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3D" w:rsidRDefault="00C1453D" w:rsidP="00C1453D">
      <w:pPr>
        <w:pStyle w:val="Head1"/>
        <w:tabs>
          <w:tab w:val="left" w:pos="426"/>
        </w:tabs>
      </w:pPr>
      <w:bookmarkStart w:id="0" w:name="_GoBack"/>
      <w:bookmarkEnd w:id="0"/>
      <w:r>
        <w:t xml:space="preserve">Editorial Changes—Report No. </w:t>
      </w:r>
      <w:r w:rsidR="00664BEF">
        <w:t>9</w:t>
      </w:r>
    </w:p>
    <w:p w:rsidR="00C1453D" w:rsidRPr="004D0C34" w:rsidRDefault="00C1453D" w:rsidP="00C1453D">
      <w:pPr>
        <w:pStyle w:val="Head2"/>
      </w:pPr>
      <w:r>
        <w:t>1 J</w:t>
      </w:r>
      <w:r w:rsidR="00592789">
        <w:t>anuary</w:t>
      </w:r>
      <w:r w:rsidR="00664BEF">
        <w:t xml:space="preserve"> 2020</w:t>
      </w:r>
      <w:r>
        <w:t>–3</w:t>
      </w:r>
      <w:r w:rsidR="00592789">
        <w:t>0</w:t>
      </w:r>
      <w:r>
        <w:t xml:space="preserve"> </w:t>
      </w:r>
      <w:r w:rsidR="00592789">
        <w:t>June</w:t>
      </w:r>
      <w:r>
        <w:t xml:space="preserve"> </w:t>
      </w:r>
      <w:r w:rsidR="00664BEF">
        <w:t>2020</w:t>
      </w:r>
    </w:p>
    <w:p w:rsidR="00C1453D" w:rsidRDefault="00C1453D" w:rsidP="00C1453D">
      <w:pPr>
        <w:pStyle w:val="BodyNum"/>
      </w:pPr>
      <w:r>
        <w:t xml:space="preserve">In preparing compilations for registration during the above period, First Parliamentary Counsel made the following editorial changes under the </w:t>
      </w:r>
      <w:r>
        <w:rPr>
          <w:i/>
        </w:rPr>
        <w:t>Legislation Act 2003</w:t>
      </w:r>
      <w:r>
        <w:t>.</w:t>
      </w:r>
    </w:p>
    <w:p w:rsidR="00C1453D" w:rsidRDefault="00C1453D" w:rsidP="00C1453D">
      <w:pPr>
        <w:pStyle w:val="BodyNum"/>
      </w:pPr>
      <w:r>
        <w:t>The summary of editorial changes for th</w:t>
      </w:r>
      <w:r w:rsidRPr="00025B66">
        <w:t xml:space="preserve">e </w:t>
      </w:r>
      <w:r w:rsidR="00A52586">
        <w:t>70</w:t>
      </w:r>
      <w:r w:rsidR="00732892">
        <w:t xml:space="preserve"> </w:t>
      </w:r>
      <w:r w:rsidRPr="00025B66">
        <w:t>c</w:t>
      </w:r>
      <w:r>
        <w:t>ompilation</w:t>
      </w:r>
      <w:r w:rsidR="00B64871">
        <w:t>s</w:t>
      </w:r>
      <w:r>
        <w:t xml:space="preserve"> affected is as follows:</w:t>
      </w:r>
    </w:p>
    <w:p w:rsidR="00C1453D" w:rsidRDefault="00C1453D" w:rsidP="00C145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652"/>
        <w:gridCol w:w="1660"/>
      </w:tblGrid>
      <w:tr w:rsidR="00C1453D" w:rsidRPr="00A40A2D" w:rsidTr="00DD16B9">
        <w:trPr>
          <w:tblHeader/>
        </w:trPr>
        <w:tc>
          <w:tcPr>
            <w:tcW w:w="714" w:type="dxa"/>
            <w:tcBorders>
              <w:top w:val="single" w:sz="12" w:space="0" w:color="auto"/>
              <w:bottom w:val="single" w:sz="12" w:space="0" w:color="auto"/>
            </w:tcBorders>
            <w:shd w:val="clear" w:color="auto" w:fill="auto"/>
          </w:tcPr>
          <w:p w:rsidR="00C1453D" w:rsidRDefault="00C1453D" w:rsidP="00DD16B9">
            <w:pPr>
              <w:pStyle w:val="TableHeading"/>
            </w:pPr>
            <w:r>
              <w:t>Item</w:t>
            </w:r>
          </w:p>
        </w:tc>
        <w:tc>
          <w:tcPr>
            <w:tcW w:w="6652" w:type="dxa"/>
            <w:tcBorders>
              <w:top w:val="single" w:sz="12" w:space="0" w:color="auto"/>
              <w:bottom w:val="single" w:sz="12" w:space="0" w:color="auto"/>
            </w:tcBorders>
            <w:shd w:val="clear" w:color="auto" w:fill="auto"/>
          </w:tcPr>
          <w:p w:rsidR="00C1453D" w:rsidRDefault="00C1453D" w:rsidP="00DD16B9">
            <w:pPr>
              <w:pStyle w:val="TableHeading"/>
            </w:pPr>
            <w:r>
              <w:t>Kind of editorial change</w:t>
            </w:r>
          </w:p>
        </w:tc>
        <w:tc>
          <w:tcPr>
            <w:tcW w:w="1660" w:type="dxa"/>
            <w:tcBorders>
              <w:top w:val="single" w:sz="12" w:space="0" w:color="auto"/>
              <w:bottom w:val="single" w:sz="12" w:space="0" w:color="auto"/>
            </w:tcBorders>
            <w:shd w:val="clear" w:color="auto" w:fill="auto"/>
          </w:tcPr>
          <w:p w:rsidR="00C1453D" w:rsidRDefault="00C1453D" w:rsidP="00DD16B9">
            <w:pPr>
              <w:pStyle w:val="TableHeading"/>
            </w:pPr>
            <w:r>
              <w:t>Number</w:t>
            </w:r>
          </w:p>
        </w:tc>
      </w:tr>
      <w:tr w:rsidR="00611FC6" w:rsidRPr="00DE5EE5" w:rsidTr="00D043FD">
        <w:tc>
          <w:tcPr>
            <w:tcW w:w="714" w:type="dxa"/>
            <w:tcBorders>
              <w:top w:val="single" w:sz="2" w:space="0" w:color="auto"/>
              <w:bottom w:val="single" w:sz="2" w:space="0" w:color="auto"/>
            </w:tcBorders>
            <w:shd w:val="clear" w:color="auto" w:fill="auto"/>
          </w:tcPr>
          <w:p w:rsidR="00611FC6" w:rsidRDefault="00C060A6" w:rsidP="00DD16B9">
            <w:pPr>
              <w:pStyle w:val="Tabletext"/>
            </w:pPr>
            <w:r>
              <w:t>1</w:t>
            </w:r>
          </w:p>
        </w:tc>
        <w:tc>
          <w:tcPr>
            <w:tcW w:w="6652" w:type="dxa"/>
            <w:tcBorders>
              <w:top w:val="single" w:sz="2" w:space="0" w:color="auto"/>
              <w:bottom w:val="single" w:sz="2" w:space="0" w:color="auto"/>
            </w:tcBorders>
            <w:shd w:val="clear" w:color="auto" w:fill="auto"/>
          </w:tcPr>
          <w:p w:rsidR="00611FC6" w:rsidRPr="0024772F" w:rsidRDefault="00C060A6" w:rsidP="00C060A6">
            <w:pPr>
              <w:pStyle w:val="Tabletext"/>
            </w:pPr>
            <w:r>
              <w:t>Changes to capitalisation</w:t>
            </w:r>
          </w:p>
        </w:tc>
        <w:tc>
          <w:tcPr>
            <w:tcW w:w="1660" w:type="dxa"/>
            <w:tcBorders>
              <w:top w:val="single" w:sz="2" w:space="0" w:color="auto"/>
              <w:bottom w:val="single" w:sz="2" w:space="0" w:color="auto"/>
            </w:tcBorders>
            <w:shd w:val="clear" w:color="auto" w:fill="auto"/>
          </w:tcPr>
          <w:p w:rsidR="00611FC6" w:rsidRDefault="00304D2F" w:rsidP="00DD16B9">
            <w:pPr>
              <w:pStyle w:val="Tabletext"/>
            </w:pPr>
            <w:r>
              <w:t>2</w:t>
            </w:r>
          </w:p>
        </w:tc>
      </w:tr>
      <w:tr w:rsidR="00C060A6" w:rsidRPr="00DE5EE5" w:rsidTr="00D043FD">
        <w:tc>
          <w:tcPr>
            <w:tcW w:w="714" w:type="dxa"/>
            <w:tcBorders>
              <w:top w:val="single" w:sz="2" w:space="0" w:color="auto"/>
              <w:bottom w:val="single" w:sz="2" w:space="0" w:color="auto"/>
            </w:tcBorders>
            <w:shd w:val="clear" w:color="auto" w:fill="auto"/>
          </w:tcPr>
          <w:p w:rsidR="00C060A6" w:rsidRDefault="00C060A6" w:rsidP="00DD16B9">
            <w:pPr>
              <w:pStyle w:val="Tabletext"/>
            </w:pPr>
            <w:r>
              <w:t>2</w:t>
            </w:r>
          </w:p>
        </w:tc>
        <w:tc>
          <w:tcPr>
            <w:tcW w:w="6652" w:type="dxa"/>
            <w:tcBorders>
              <w:top w:val="single" w:sz="2" w:space="0" w:color="auto"/>
              <w:bottom w:val="single" w:sz="2" w:space="0" w:color="auto"/>
            </w:tcBorders>
            <w:shd w:val="clear" w:color="auto" w:fill="auto"/>
          </w:tcPr>
          <w:p w:rsidR="00C060A6" w:rsidRPr="002010D4" w:rsidRDefault="00C060A6" w:rsidP="00DD16B9">
            <w:pPr>
              <w:pStyle w:val="Tabletext"/>
            </w:pPr>
            <w:r w:rsidRPr="002010D4">
              <w:t>Change</w:t>
            </w:r>
            <w:r>
              <w:t>s</w:t>
            </w:r>
            <w:r w:rsidRPr="002010D4">
              <w:t xml:space="preserve"> to grammar, syntax or the use of conjunctives or disjunctives</w:t>
            </w:r>
          </w:p>
        </w:tc>
        <w:tc>
          <w:tcPr>
            <w:tcW w:w="1660" w:type="dxa"/>
            <w:tcBorders>
              <w:top w:val="single" w:sz="2" w:space="0" w:color="auto"/>
              <w:bottom w:val="single" w:sz="2" w:space="0" w:color="auto"/>
            </w:tcBorders>
            <w:shd w:val="clear" w:color="auto" w:fill="auto"/>
          </w:tcPr>
          <w:p w:rsidR="00C060A6" w:rsidRDefault="009B6116" w:rsidP="00DD16B9">
            <w:pPr>
              <w:pStyle w:val="Tabletext"/>
            </w:pPr>
            <w:r>
              <w:t>6</w:t>
            </w:r>
          </w:p>
        </w:tc>
      </w:tr>
      <w:tr w:rsidR="00526C86" w:rsidRPr="00DE5EE5" w:rsidTr="00D043FD">
        <w:tc>
          <w:tcPr>
            <w:tcW w:w="714" w:type="dxa"/>
            <w:tcBorders>
              <w:top w:val="single" w:sz="2" w:space="0" w:color="auto"/>
              <w:bottom w:val="single" w:sz="2" w:space="0" w:color="auto"/>
            </w:tcBorders>
            <w:shd w:val="clear" w:color="auto" w:fill="auto"/>
          </w:tcPr>
          <w:p w:rsidR="00526C86" w:rsidRDefault="00C060A6" w:rsidP="00DD16B9">
            <w:pPr>
              <w:pStyle w:val="Tabletext"/>
            </w:pPr>
            <w:r>
              <w:t>3</w:t>
            </w:r>
          </w:p>
        </w:tc>
        <w:tc>
          <w:tcPr>
            <w:tcW w:w="6652" w:type="dxa"/>
            <w:tcBorders>
              <w:top w:val="single" w:sz="2" w:space="0" w:color="auto"/>
              <w:bottom w:val="single" w:sz="2" w:space="0" w:color="auto"/>
            </w:tcBorders>
            <w:shd w:val="clear" w:color="auto" w:fill="auto"/>
          </w:tcPr>
          <w:p w:rsidR="00526C86" w:rsidRPr="002010D4" w:rsidRDefault="00526C86" w:rsidP="00DD16B9">
            <w:pPr>
              <w:pStyle w:val="Tabletext"/>
            </w:pPr>
            <w:r w:rsidRPr="0024772F">
              <w:t>Changes to punctuation</w:t>
            </w:r>
          </w:p>
        </w:tc>
        <w:tc>
          <w:tcPr>
            <w:tcW w:w="1660" w:type="dxa"/>
            <w:tcBorders>
              <w:top w:val="single" w:sz="2" w:space="0" w:color="auto"/>
              <w:bottom w:val="single" w:sz="2" w:space="0" w:color="auto"/>
            </w:tcBorders>
            <w:shd w:val="clear" w:color="auto" w:fill="auto"/>
          </w:tcPr>
          <w:p w:rsidR="00526C86" w:rsidRDefault="0009402D" w:rsidP="00DD16B9">
            <w:pPr>
              <w:pStyle w:val="Tabletext"/>
            </w:pPr>
            <w:r>
              <w:t>16</w:t>
            </w:r>
          </w:p>
        </w:tc>
      </w:tr>
      <w:tr w:rsidR="000706C5" w:rsidRPr="00DE5EE5" w:rsidTr="00D043FD">
        <w:tc>
          <w:tcPr>
            <w:tcW w:w="714" w:type="dxa"/>
            <w:tcBorders>
              <w:top w:val="single" w:sz="2" w:space="0" w:color="auto"/>
              <w:bottom w:val="single" w:sz="2" w:space="0" w:color="auto"/>
            </w:tcBorders>
            <w:shd w:val="clear" w:color="auto" w:fill="auto"/>
          </w:tcPr>
          <w:p w:rsidR="000706C5" w:rsidRDefault="000706C5" w:rsidP="00DD16B9">
            <w:pPr>
              <w:pStyle w:val="Tabletext"/>
            </w:pPr>
            <w:r>
              <w:t>4</w:t>
            </w:r>
          </w:p>
        </w:tc>
        <w:tc>
          <w:tcPr>
            <w:tcW w:w="6652" w:type="dxa"/>
            <w:tcBorders>
              <w:top w:val="single" w:sz="2" w:space="0" w:color="auto"/>
              <w:bottom w:val="single" w:sz="2" w:space="0" w:color="auto"/>
            </w:tcBorders>
            <w:shd w:val="clear" w:color="auto" w:fill="auto"/>
          </w:tcPr>
          <w:p w:rsidR="000706C5" w:rsidRPr="0024772F" w:rsidRDefault="000706C5" w:rsidP="00DD16B9">
            <w:pPr>
              <w:pStyle w:val="Tabletext"/>
            </w:pPr>
            <w:r>
              <w:t>Changes to spelling</w:t>
            </w:r>
          </w:p>
        </w:tc>
        <w:tc>
          <w:tcPr>
            <w:tcW w:w="1660" w:type="dxa"/>
            <w:tcBorders>
              <w:top w:val="single" w:sz="2" w:space="0" w:color="auto"/>
              <w:bottom w:val="single" w:sz="2" w:space="0" w:color="auto"/>
            </w:tcBorders>
            <w:shd w:val="clear" w:color="auto" w:fill="auto"/>
          </w:tcPr>
          <w:p w:rsidR="000706C5" w:rsidRDefault="000706C5" w:rsidP="00DD16B9">
            <w:pPr>
              <w:pStyle w:val="Tabletext"/>
            </w:pPr>
            <w:r>
              <w:t>1</w:t>
            </w:r>
          </w:p>
        </w:tc>
      </w:tr>
      <w:tr w:rsidR="00D043FD" w:rsidRPr="00DE5EE5" w:rsidTr="00D043FD">
        <w:tc>
          <w:tcPr>
            <w:tcW w:w="714" w:type="dxa"/>
            <w:tcBorders>
              <w:top w:val="single" w:sz="2" w:space="0" w:color="auto"/>
              <w:bottom w:val="single" w:sz="2" w:space="0" w:color="auto"/>
            </w:tcBorders>
            <w:shd w:val="clear" w:color="auto" w:fill="auto"/>
          </w:tcPr>
          <w:p w:rsidR="00D043FD" w:rsidRDefault="000706C5" w:rsidP="00DD16B9">
            <w:pPr>
              <w:pStyle w:val="Tabletext"/>
            </w:pPr>
            <w:r>
              <w:t>5</w:t>
            </w:r>
          </w:p>
        </w:tc>
        <w:tc>
          <w:tcPr>
            <w:tcW w:w="6652" w:type="dxa"/>
            <w:tcBorders>
              <w:top w:val="single" w:sz="2" w:space="0" w:color="auto"/>
              <w:bottom w:val="single" w:sz="2" w:space="0" w:color="auto"/>
            </w:tcBorders>
            <w:shd w:val="clear" w:color="auto" w:fill="auto"/>
          </w:tcPr>
          <w:p w:rsidR="00D043FD" w:rsidRDefault="00D043FD" w:rsidP="00DD16B9">
            <w:pPr>
              <w:pStyle w:val="Tabletext"/>
            </w:pPr>
            <w:r>
              <w:t>Changes to typeface</w:t>
            </w:r>
          </w:p>
        </w:tc>
        <w:tc>
          <w:tcPr>
            <w:tcW w:w="1660" w:type="dxa"/>
            <w:tcBorders>
              <w:top w:val="single" w:sz="2" w:space="0" w:color="auto"/>
              <w:bottom w:val="single" w:sz="2" w:space="0" w:color="auto"/>
            </w:tcBorders>
            <w:shd w:val="clear" w:color="auto" w:fill="auto"/>
          </w:tcPr>
          <w:p w:rsidR="00D043FD" w:rsidRDefault="00086F12" w:rsidP="00DD16B9">
            <w:pPr>
              <w:pStyle w:val="Tabletext"/>
            </w:pPr>
            <w:r>
              <w:t>4</w:t>
            </w:r>
          </w:p>
        </w:tc>
      </w:tr>
      <w:tr w:rsidR="00FF10A8" w:rsidRPr="00DE5EE5" w:rsidTr="00D043FD">
        <w:tc>
          <w:tcPr>
            <w:tcW w:w="714" w:type="dxa"/>
            <w:tcBorders>
              <w:top w:val="single" w:sz="2" w:space="0" w:color="auto"/>
              <w:bottom w:val="single" w:sz="2" w:space="0" w:color="auto"/>
            </w:tcBorders>
            <w:shd w:val="clear" w:color="auto" w:fill="auto"/>
          </w:tcPr>
          <w:p w:rsidR="00FF10A8" w:rsidRDefault="000706C5" w:rsidP="00DD16B9">
            <w:pPr>
              <w:pStyle w:val="Tabletext"/>
            </w:pPr>
            <w:r>
              <w:t>6</w:t>
            </w:r>
          </w:p>
        </w:tc>
        <w:tc>
          <w:tcPr>
            <w:tcW w:w="6652" w:type="dxa"/>
            <w:tcBorders>
              <w:top w:val="single" w:sz="2" w:space="0" w:color="auto"/>
              <w:bottom w:val="single" w:sz="2" w:space="0" w:color="auto"/>
            </w:tcBorders>
            <w:shd w:val="clear" w:color="auto" w:fill="auto"/>
          </w:tcPr>
          <w:p w:rsidR="00FF10A8" w:rsidRDefault="00FF10A8" w:rsidP="00DD16B9">
            <w:pPr>
              <w:pStyle w:val="Tabletext"/>
            </w:pPr>
            <w:r w:rsidRPr="003F53EB">
              <w:t>Correct a drafting error</w:t>
            </w:r>
          </w:p>
        </w:tc>
        <w:tc>
          <w:tcPr>
            <w:tcW w:w="1660" w:type="dxa"/>
            <w:tcBorders>
              <w:top w:val="single" w:sz="2" w:space="0" w:color="auto"/>
              <w:bottom w:val="single" w:sz="2" w:space="0" w:color="auto"/>
            </w:tcBorders>
            <w:shd w:val="clear" w:color="auto" w:fill="auto"/>
          </w:tcPr>
          <w:p w:rsidR="00FF10A8" w:rsidRDefault="006236EC" w:rsidP="00DD16B9">
            <w:pPr>
              <w:pStyle w:val="Tabletext"/>
            </w:pPr>
            <w:r>
              <w:t>2</w:t>
            </w:r>
          </w:p>
        </w:tc>
      </w:tr>
      <w:tr w:rsidR="00634072" w:rsidRPr="00DE5EE5" w:rsidTr="00D043FD">
        <w:tc>
          <w:tcPr>
            <w:tcW w:w="714" w:type="dxa"/>
            <w:tcBorders>
              <w:top w:val="single" w:sz="2" w:space="0" w:color="auto"/>
              <w:bottom w:val="single" w:sz="2" w:space="0" w:color="auto"/>
            </w:tcBorders>
            <w:shd w:val="clear" w:color="auto" w:fill="auto"/>
          </w:tcPr>
          <w:p w:rsidR="00634072" w:rsidRDefault="000706C5" w:rsidP="00DD16B9">
            <w:pPr>
              <w:pStyle w:val="Tabletext"/>
            </w:pPr>
            <w:r>
              <w:t>7</w:t>
            </w:r>
          </w:p>
        </w:tc>
        <w:tc>
          <w:tcPr>
            <w:tcW w:w="6652" w:type="dxa"/>
            <w:tcBorders>
              <w:top w:val="single" w:sz="2" w:space="0" w:color="auto"/>
              <w:bottom w:val="single" w:sz="2" w:space="0" w:color="auto"/>
            </w:tcBorders>
            <w:shd w:val="clear" w:color="auto" w:fill="auto"/>
          </w:tcPr>
          <w:p w:rsidR="00634072" w:rsidRPr="003F53EB" w:rsidRDefault="00634072" w:rsidP="00DD16B9">
            <w:pPr>
              <w:pStyle w:val="Tabletext"/>
            </w:pPr>
            <w:r w:rsidRPr="007A05B5">
              <w:t>Correct a typographical error</w:t>
            </w:r>
          </w:p>
        </w:tc>
        <w:tc>
          <w:tcPr>
            <w:tcW w:w="1660" w:type="dxa"/>
            <w:tcBorders>
              <w:top w:val="single" w:sz="2" w:space="0" w:color="auto"/>
              <w:bottom w:val="single" w:sz="2" w:space="0" w:color="auto"/>
            </w:tcBorders>
            <w:shd w:val="clear" w:color="auto" w:fill="auto"/>
          </w:tcPr>
          <w:p w:rsidR="00634072" w:rsidRDefault="00A52586" w:rsidP="00DD16B9">
            <w:pPr>
              <w:pStyle w:val="Tabletext"/>
            </w:pPr>
            <w:r>
              <w:t>6</w:t>
            </w:r>
          </w:p>
        </w:tc>
      </w:tr>
      <w:tr w:rsidR="00D043FD" w:rsidRPr="00DE5EE5" w:rsidTr="003D2362">
        <w:tc>
          <w:tcPr>
            <w:tcW w:w="714" w:type="dxa"/>
            <w:tcBorders>
              <w:top w:val="single" w:sz="2" w:space="0" w:color="auto"/>
              <w:bottom w:val="single" w:sz="2" w:space="0" w:color="auto"/>
            </w:tcBorders>
            <w:shd w:val="clear" w:color="auto" w:fill="auto"/>
          </w:tcPr>
          <w:p w:rsidR="00D043FD" w:rsidRDefault="000706C5" w:rsidP="00DD16B9">
            <w:pPr>
              <w:pStyle w:val="Tabletext"/>
            </w:pPr>
            <w:r>
              <w:t>8</w:t>
            </w:r>
          </w:p>
        </w:tc>
        <w:tc>
          <w:tcPr>
            <w:tcW w:w="6652" w:type="dxa"/>
            <w:tcBorders>
              <w:top w:val="single" w:sz="2" w:space="0" w:color="auto"/>
              <w:bottom w:val="single" w:sz="2" w:space="0" w:color="auto"/>
            </w:tcBorders>
            <w:shd w:val="clear" w:color="auto" w:fill="auto"/>
          </w:tcPr>
          <w:p w:rsidR="00D043FD" w:rsidRDefault="008F3BBC" w:rsidP="00DD16B9">
            <w:pPr>
              <w:pStyle w:val="Tabletext"/>
            </w:pPr>
            <w:r w:rsidRPr="00010212">
              <w:t>Give effect to the misdescribed amendments as intended</w:t>
            </w:r>
          </w:p>
        </w:tc>
        <w:tc>
          <w:tcPr>
            <w:tcW w:w="1660" w:type="dxa"/>
            <w:tcBorders>
              <w:top w:val="single" w:sz="2" w:space="0" w:color="auto"/>
              <w:bottom w:val="single" w:sz="2" w:space="0" w:color="auto"/>
            </w:tcBorders>
            <w:shd w:val="clear" w:color="auto" w:fill="auto"/>
          </w:tcPr>
          <w:p w:rsidR="00D043FD" w:rsidRDefault="00CF1989" w:rsidP="00DD16B9">
            <w:pPr>
              <w:pStyle w:val="Tabletext"/>
            </w:pPr>
            <w:r>
              <w:t>49</w:t>
            </w:r>
          </w:p>
        </w:tc>
      </w:tr>
      <w:tr w:rsidR="003D2362" w:rsidRPr="00DE5EE5" w:rsidTr="00376199">
        <w:tc>
          <w:tcPr>
            <w:tcW w:w="714" w:type="dxa"/>
            <w:tcBorders>
              <w:top w:val="single" w:sz="2" w:space="0" w:color="auto"/>
              <w:bottom w:val="single" w:sz="2" w:space="0" w:color="auto"/>
            </w:tcBorders>
            <w:shd w:val="clear" w:color="auto" w:fill="auto"/>
          </w:tcPr>
          <w:p w:rsidR="003D2362" w:rsidRDefault="000706C5" w:rsidP="00DD16B9">
            <w:pPr>
              <w:pStyle w:val="Tabletext"/>
            </w:pPr>
            <w:r>
              <w:t>9</w:t>
            </w:r>
          </w:p>
        </w:tc>
        <w:tc>
          <w:tcPr>
            <w:tcW w:w="6652" w:type="dxa"/>
            <w:tcBorders>
              <w:top w:val="single" w:sz="2" w:space="0" w:color="auto"/>
              <w:bottom w:val="single" w:sz="2" w:space="0" w:color="auto"/>
            </w:tcBorders>
            <w:shd w:val="clear" w:color="auto" w:fill="auto"/>
          </w:tcPr>
          <w:p w:rsidR="003D2362" w:rsidRPr="00010212" w:rsidRDefault="003D2362" w:rsidP="00DD16B9">
            <w:pPr>
              <w:pStyle w:val="Tabletext"/>
            </w:pPr>
            <w:r>
              <w:t>Removal of redundant text</w:t>
            </w:r>
          </w:p>
        </w:tc>
        <w:tc>
          <w:tcPr>
            <w:tcW w:w="1660" w:type="dxa"/>
            <w:tcBorders>
              <w:top w:val="single" w:sz="2" w:space="0" w:color="auto"/>
              <w:bottom w:val="single" w:sz="2" w:space="0" w:color="auto"/>
            </w:tcBorders>
            <w:shd w:val="clear" w:color="auto" w:fill="auto"/>
          </w:tcPr>
          <w:p w:rsidR="003D2362" w:rsidRDefault="001B1382" w:rsidP="00DD16B9">
            <w:pPr>
              <w:pStyle w:val="Tabletext"/>
            </w:pPr>
            <w:r>
              <w:t>8</w:t>
            </w:r>
          </w:p>
        </w:tc>
      </w:tr>
      <w:tr w:rsidR="00FF10A8" w:rsidRPr="00DE5EE5" w:rsidTr="00376199">
        <w:tc>
          <w:tcPr>
            <w:tcW w:w="714" w:type="dxa"/>
            <w:tcBorders>
              <w:top w:val="single" w:sz="2" w:space="0" w:color="auto"/>
              <w:bottom w:val="single" w:sz="2" w:space="0" w:color="auto"/>
            </w:tcBorders>
            <w:shd w:val="clear" w:color="auto" w:fill="auto"/>
          </w:tcPr>
          <w:p w:rsidR="00FF10A8" w:rsidRDefault="000706C5" w:rsidP="00DD16B9">
            <w:pPr>
              <w:pStyle w:val="Tabletext"/>
            </w:pPr>
            <w:r>
              <w:t>10</w:t>
            </w:r>
          </w:p>
        </w:tc>
        <w:tc>
          <w:tcPr>
            <w:tcW w:w="6652" w:type="dxa"/>
            <w:tcBorders>
              <w:top w:val="single" w:sz="2" w:space="0" w:color="auto"/>
              <w:bottom w:val="single" w:sz="2" w:space="0" w:color="auto"/>
            </w:tcBorders>
            <w:shd w:val="clear" w:color="auto" w:fill="auto"/>
          </w:tcPr>
          <w:p w:rsidR="00FF10A8" w:rsidRDefault="00FF10A8" w:rsidP="00DD16B9">
            <w:pPr>
              <w:pStyle w:val="Tabletext"/>
            </w:pPr>
            <w:r w:rsidRPr="00654832">
              <w:t>Renumbering of provisions</w:t>
            </w:r>
          </w:p>
        </w:tc>
        <w:tc>
          <w:tcPr>
            <w:tcW w:w="1660" w:type="dxa"/>
            <w:tcBorders>
              <w:top w:val="single" w:sz="2" w:space="0" w:color="auto"/>
              <w:bottom w:val="single" w:sz="2" w:space="0" w:color="auto"/>
            </w:tcBorders>
            <w:shd w:val="clear" w:color="auto" w:fill="auto"/>
          </w:tcPr>
          <w:p w:rsidR="00FF10A8" w:rsidRDefault="00535BB8" w:rsidP="00DD16B9">
            <w:pPr>
              <w:pStyle w:val="Tabletext"/>
            </w:pPr>
            <w:r>
              <w:t>8</w:t>
            </w:r>
          </w:p>
        </w:tc>
      </w:tr>
      <w:tr w:rsidR="00376199" w:rsidRPr="00DE5EE5" w:rsidTr="00F966F7">
        <w:tc>
          <w:tcPr>
            <w:tcW w:w="714" w:type="dxa"/>
            <w:tcBorders>
              <w:top w:val="single" w:sz="2" w:space="0" w:color="auto"/>
              <w:bottom w:val="single" w:sz="2" w:space="0" w:color="auto"/>
            </w:tcBorders>
            <w:shd w:val="clear" w:color="auto" w:fill="auto"/>
          </w:tcPr>
          <w:p w:rsidR="00376199" w:rsidRDefault="000706C5" w:rsidP="00DD16B9">
            <w:pPr>
              <w:pStyle w:val="Tabletext"/>
            </w:pPr>
            <w:r>
              <w:t>11</w:t>
            </w:r>
          </w:p>
        </w:tc>
        <w:tc>
          <w:tcPr>
            <w:tcW w:w="6652" w:type="dxa"/>
            <w:tcBorders>
              <w:top w:val="single" w:sz="2" w:space="0" w:color="auto"/>
              <w:bottom w:val="single" w:sz="2" w:space="0" w:color="auto"/>
            </w:tcBorders>
            <w:shd w:val="clear" w:color="auto" w:fill="auto"/>
          </w:tcPr>
          <w:p w:rsidR="00376199" w:rsidRDefault="00376199" w:rsidP="00DD16B9">
            <w:pPr>
              <w:pStyle w:val="Tabletext"/>
            </w:pPr>
            <w:r>
              <w:t>Reordering of definitions</w:t>
            </w:r>
          </w:p>
        </w:tc>
        <w:tc>
          <w:tcPr>
            <w:tcW w:w="1660" w:type="dxa"/>
            <w:tcBorders>
              <w:top w:val="single" w:sz="2" w:space="0" w:color="auto"/>
              <w:bottom w:val="single" w:sz="2" w:space="0" w:color="auto"/>
            </w:tcBorders>
            <w:shd w:val="clear" w:color="auto" w:fill="auto"/>
          </w:tcPr>
          <w:p w:rsidR="00376199" w:rsidRDefault="00392707" w:rsidP="00DD16B9">
            <w:pPr>
              <w:pStyle w:val="Tabletext"/>
            </w:pPr>
            <w:r>
              <w:t>8</w:t>
            </w:r>
          </w:p>
        </w:tc>
      </w:tr>
      <w:tr w:rsidR="00535BB8" w:rsidRPr="00DE5EE5" w:rsidTr="00F966F7">
        <w:tc>
          <w:tcPr>
            <w:tcW w:w="714" w:type="dxa"/>
            <w:tcBorders>
              <w:top w:val="single" w:sz="2" w:space="0" w:color="auto"/>
              <w:bottom w:val="single" w:sz="2" w:space="0" w:color="auto"/>
            </w:tcBorders>
            <w:shd w:val="clear" w:color="auto" w:fill="auto"/>
          </w:tcPr>
          <w:p w:rsidR="00535BB8" w:rsidRDefault="00535BB8" w:rsidP="00DD16B9">
            <w:pPr>
              <w:pStyle w:val="Tabletext"/>
            </w:pPr>
            <w:r>
              <w:t>12</w:t>
            </w:r>
          </w:p>
        </w:tc>
        <w:tc>
          <w:tcPr>
            <w:tcW w:w="6652" w:type="dxa"/>
            <w:tcBorders>
              <w:top w:val="single" w:sz="2" w:space="0" w:color="auto"/>
              <w:bottom w:val="single" w:sz="2" w:space="0" w:color="auto"/>
            </w:tcBorders>
            <w:shd w:val="clear" w:color="auto" w:fill="auto"/>
          </w:tcPr>
          <w:p w:rsidR="00535BB8" w:rsidRDefault="00535BB8" w:rsidP="00DD16B9">
            <w:pPr>
              <w:pStyle w:val="Tabletext"/>
            </w:pPr>
            <w:r>
              <w:t>Updates to cross</w:t>
            </w:r>
            <w:r>
              <w:noBreakHyphen/>
              <w:t>references</w:t>
            </w:r>
          </w:p>
        </w:tc>
        <w:tc>
          <w:tcPr>
            <w:tcW w:w="1660" w:type="dxa"/>
            <w:tcBorders>
              <w:top w:val="single" w:sz="2" w:space="0" w:color="auto"/>
              <w:bottom w:val="single" w:sz="2" w:space="0" w:color="auto"/>
            </w:tcBorders>
            <w:shd w:val="clear" w:color="auto" w:fill="auto"/>
          </w:tcPr>
          <w:p w:rsidR="00535BB8" w:rsidRDefault="00535BB8" w:rsidP="00DD16B9">
            <w:pPr>
              <w:pStyle w:val="Tabletext"/>
            </w:pPr>
            <w:r>
              <w:t>1</w:t>
            </w:r>
          </w:p>
        </w:tc>
      </w:tr>
      <w:tr w:rsidR="00F966F7" w:rsidRPr="00DE5EE5" w:rsidTr="00256EFB">
        <w:tc>
          <w:tcPr>
            <w:tcW w:w="714" w:type="dxa"/>
            <w:tcBorders>
              <w:top w:val="single" w:sz="2" w:space="0" w:color="auto"/>
              <w:bottom w:val="single" w:sz="12" w:space="0" w:color="auto"/>
            </w:tcBorders>
            <w:shd w:val="clear" w:color="auto" w:fill="auto"/>
          </w:tcPr>
          <w:p w:rsidR="00F966F7" w:rsidRDefault="00535BB8" w:rsidP="00DD16B9">
            <w:pPr>
              <w:pStyle w:val="Tabletext"/>
            </w:pPr>
            <w:r>
              <w:t>13</w:t>
            </w:r>
          </w:p>
        </w:tc>
        <w:tc>
          <w:tcPr>
            <w:tcW w:w="6652" w:type="dxa"/>
            <w:tcBorders>
              <w:top w:val="single" w:sz="2" w:space="0" w:color="auto"/>
              <w:bottom w:val="single" w:sz="12" w:space="0" w:color="auto"/>
            </w:tcBorders>
            <w:shd w:val="clear" w:color="auto" w:fill="auto"/>
          </w:tcPr>
          <w:p w:rsidR="00F966F7" w:rsidRDefault="00F966F7" w:rsidP="00DD16B9">
            <w:pPr>
              <w:pStyle w:val="Tabletext"/>
            </w:pPr>
            <w:r w:rsidRPr="000807CC">
              <w:t>Update</w:t>
            </w:r>
            <w:r>
              <w:t>s</w:t>
            </w:r>
            <w:r w:rsidRPr="000807CC">
              <w:t xml:space="preserve"> to reference</w:t>
            </w:r>
            <w:r>
              <w:t>s</w:t>
            </w:r>
            <w:r w:rsidRPr="000807CC">
              <w:t xml:space="preserve"> of a law or a provision</w:t>
            </w:r>
          </w:p>
        </w:tc>
        <w:tc>
          <w:tcPr>
            <w:tcW w:w="1660" w:type="dxa"/>
            <w:tcBorders>
              <w:top w:val="single" w:sz="2" w:space="0" w:color="auto"/>
              <w:bottom w:val="single" w:sz="12" w:space="0" w:color="auto"/>
            </w:tcBorders>
            <w:shd w:val="clear" w:color="auto" w:fill="auto"/>
          </w:tcPr>
          <w:p w:rsidR="00F966F7" w:rsidRDefault="00791EC9" w:rsidP="00DD16B9">
            <w:pPr>
              <w:pStyle w:val="Tabletext"/>
            </w:pPr>
            <w:r>
              <w:t>2</w:t>
            </w:r>
          </w:p>
        </w:tc>
      </w:tr>
    </w:tbl>
    <w:p w:rsidR="00C1453D" w:rsidRDefault="00C1453D" w:rsidP="00C1453D">
      <w:pPr>
        <w:pStyle w:val="Tabletext"/>
      </w:pPr>
    </w:p>
    <w:p w:rsidR="00C1453D" w:rsidRDefault="00C1453D" w:rsidP="00C1453D">
      <w:pPr>
        <w:pStyle w:val="BodyNum"/>
      </w:pPr>
      <w:r>
        <w:t>Please note that each instance of the power being used in a compilation is counted. This means that for a number of compilations the power has been used multiple times (for example, to correct typographical errors in different sections of the same compilation).</w:t>
      </w:r>
    </w:p>
    <w:p w:rsidR="00C1453D" w:rsidRDefault="00C1453D" w:rsidP="00C1453D">
      <w:pPr>
        <w:pStyle w:val="BodyNum"/>
      </w:pPr>
      <w:r>
        <w:t>Complete details of each use of the power within a compilation appears below:</w:t>
      </w:r>
    </w:p>
    <w:p w:rsidR="00962076" w:rsidRDefault="00962076" w:rsidP="00962076">
      <w:pPr>
        <w:pStyle w:val="Head2"/>
        <w:keepLines/>
      </w:pPr>
      <w:bookmarkStart w:id="1" w:name="CITATION"/>
      <w:r>
        <w:t>National Health (Electronic National Residential Medication Chart Trial) Special Arrangement 2018 (PB 49 of 2018), Compilation No. 4,</w:t>
      </w:r>
      <w:r w:rsidRPr="003342C4">
        <w:t xml:space="preserve"> Registration Date:</w:t>
      </w:r>
      <w:r>
        <w:t xml:space="preserve"> 26 June 2020 [</w:t>
      </w:r>
      <w:r>
        <w:rPr>
          <w:bCs/>
        </w:rPr>
        <w:t>F2020C00531</w:t>
      </w:r>
      <w:r>
        <w:t>]</w:t>
      </w:r>
    </w:p>
    <w:p w:rsidR="00962076" w:rsidRPr="00F1113C" w:rsidRDefault="00962076" w:rsidP="00962076"/>
    <w:p w:rsidR="00962076" w:rsidRPr="00F1113C" w:rsidRDefault="00962076" w:rsidP="00962076">
      <w:pPr>
        <w:rPr>
          <w:b/>
          <w:sz w:val="24"/>
          <w:szCs w:val="24"/>
        </w:rPr>
      </w:pPr>
      <w:r w:rsidRPr="00F1113C">
        <w:rPr>
          <w:b/>
          <w:sz w:val="24"/>
          <w:szCs w:val="24"/>
        </w:rPr>
        <w:t>Schedule</w:t>
      </w:r>
      <w:r>
        <w:rPr>
          <w:b/>
          <w:sz w:val="24"/>
          <w:szCs w:val="24"/>
        </w:rPr>
        <w:t xml:space="preserve"> (table item 6, column 4)</w:t>
      </w:r>
    </w:p>
    <w:p w:rsidR="00962076" w:rsidRPr="00F1113C" w:rsidRDefault="00962076" w:rsidP="00962076"/>
    <w:p w:rsidR="00962076" w:rsidRPr="00F1113C" w:rsidRDefault="00962076" w:rsidP="00962076">
      <w:pPr>
        <w:rPr>
          <w:b/>
        </w:rPr>
      </w:pPr>
      <w:r w:rsidRPr="00F1113C">
        <w:rPr>
          <w:b/>
        </w:rPr>
        <w:t>Kind of editorial change</w:t>
      </w:r>
    </w:p>
    <w:p w:rsidR="00962076" w:rsidRPr="00F1113C" w:rsidRDefault="00962076" w:rsidP="00962076"/>
    <w:p w:rsidR="00962076" w:rsidRPr="00F1113C" w:rsidRDefault="00962076" w:rsidP="00962076">
      <w:r w:rsidRPr="00DD4D6F">
        <w:t>Correct a typographical error</w:t>
      </w:r>
    </w:p>
    <w:p w:rsidR="00962076" w:rsidRPr="00F1113C" w:rsidRDefault="00962076" w:rsidP="00962076"/>
    <w:p w:rsidR="00962076" w:rsidRPr="00F1113C" w:rsidRDefault="00962076" w:rsidP="00962076">
      <w:pPr>
        <w:rPr>
          <w:b/>
        </w:rPr>
      </w:pPr>
      <w:r w:rsidRPr="00F1113C">
        <w:rPr>
          <w:b/>
        </w:rPr>
        <w:t>Details of editorial change</w:t>
      </w:r>
    </w:p>
    <w:p w:rsidR="00962076" w:rsidRPr="00F1113C" w:rsidRDefault="00962076" w:rsidP="00962076"/>
    <w:p w:rsidR="00962076" w:rsidRPr="000B28A2" w:rsidRDefault="00962076" w:rsidP="00962076">
      <w:pPr>
        <w:rPr>
          <w:szCs w:val="22"/>
        </w:rPr>
      </w:pPr>
      <w:r>
        <w:t xml:space="preserve">Schedule 1 item 1 of the </w:t>
      </w:r>
      <w:r w:rsidRPr="00D8528D">
        <w:rPr>
          <w:i/>
        </w:rPr>
        <w:t>National Health (Electronic National Residential Medication Chart Trial) Amendment (Approved Residential Care Services) Special Arrangement 3 of 2020</w:t>
      </w:r>
      <w:r w:rsidRPr="000B28A2">
        <w:t xml:space="preserve"> instructs</w:t>
      </w:r>
      <w:r>
        <w:t xml:space="preserve"> to </w:t>
      </w:r>
      <w:r w:rsidRPr="00D8528D">
        <w:t>repeal and substitute</w:t>
      </w:r>
      <w:r>
        <w:t xml:space="preserve"> the table in the Schedule</w:t>
      </w:r>
      <w:r w:rsidRPr="000B28A2">
        <w:rPr>
          <w:szCs w:val="22"/>
        </w:rPr>
        <w:t>.</w:t>
      </w:r>
    </w:p>
    <w:p w:rsidR="00962076" w:rsidRPr="00F1113C" w:rsidRDefault="00962076" w:rsidP="00962076"/>
    <w:p w:rsidR="00962076" w:rsidRDefault="00962076" w:rsidP="00962076">
      <w:r>
        <w:t>The newly inserted table item 6 refers to “</w:t>
      </w:r>
      <w:r w:rsidRPr="00D8528D">
        <w:rPr>
          <w:rFonts w:cs="Times New Roman"/>
          <w:szCs w:val="22"/>
        </w:rPr>
        <w:t>Grohorsup</w:t>
      </w:r>
      <w:r>
        <w:t>” rather than “</w:t>
      </w:r>
      <w:r w:rsidRPr="00D8528D">
        <w:rPr>
          <w:rFonts w:cs="Times New Roman"/>
          <w:szCs w:val="22"/>
        </w:rPr>
        <w:t>Group</w:t>
      </w:r>
      <w:r>
        <w:t>”.</w:t>
      </w:r>
    </w:p>
    <w:p w:rsidR="00962076" w:rsidRDefault="00962076" w:rsidP="00962076"/>
    <w:p w:rsidR="00962076" w:rsidRPr="00F1113C" w:rsidRDefault="00962076" w:rsidP="00962076">
      <w:r>
        <w:t>This compilation was editorially changed to omit “</w:t>
      </w:r>
      <w:r w:rsidRPr="00D8528D">
        <w:rPr>
          <w:rFonts w:cs="Times New Roman"/>
          <w:szCs w:val="22"/>
        </w:rPr>
        <w:t>Grohorsup</w:t>
      </w:r>
      <w:r>
        <w:t>” and substitute “</w:t>
      </w:r>
      <w:r w:rsidRPr="00D8528D">
        <w:rPr>
          <w:rFonts w:cs="Times New Roman"/>
          <w:szCs w:val="22"/>
        </w:rPr>
        <w:t>Group</w:t>
      </w:r>
      <w:r>
        <w:t xml:space="preserve">” in column 4 of table item 6 of the Schedule to correct the </w:t>
      </w:r>
      <w:r w:rsidRPr="00DD4D6F">
        <w:t>typographical error</w:t>
      </w:r>
      <w:r>
        <w:t>.</w:t>
      </w:r>
    </w:p>
    <w:p w:rsidR="00067596" w:rsidRDefault="00067596" w:rsidP="00067596">
      <w:pPr>
        <w:pStyle w:val="Head2"/>
        <w:keepLines/>
      </w:pPr>
      <w:r w:rsidRPr="008359CC">
        <w:t>Telecommunications (Consumer Protection and Service Standards) Act 1999</w:t>
      </w:r>
      <w:r>
        <w:t>, Compilation No. 41,</w:t>
      </w:r>
      <w:r w:rsidRPr="003342C4">
        <w:t xml:space="preserve"> Registration Date:</w:t>
      </w:r>
      <w:r>
        <w:t xml:space="preserve"> 25 June 2020 [</w:t>
      </w:r>
      <w:r>
        <w:rPr>
          <w:bCs/>
        </w:rPr>
        <w:t>C2020C00180</w:t>
      </w:r>
      <w:r>
        <w:t>]</w:t>
      </w:r>
    </w:p>
    <w:p w:rsidR="00067596" w:rsidRPr="008359CC" w:rsidRDefault="00067596" w:rsidP="00067596"/>
    <w:p w:rsidR="00067596" w:rsidRPr="008359CC" w:rsidRDefault="00067596" w:rsidP="00067596">
      <w:pPr>
        <w:rPr>
          <w:b/>
          <w:sz w:val="24"/>
          <w:szCs w:val="24"/>
        </w:rPr>
      </w:pPr>
      <w:r w:rsidRPr="008359CC">
        <w:rPr>
          <w:b/>
          <w:sz w:val="24"/>
          <w:szCs w:val="24"/>
        </w:rPr>
        <w:t>Subsections</w:t>
      </w:r>
      <w:r>
        <w:rPr>
          <w:b/>
          <w:sz w:val="24"/>
          <w:szCs w:val="24"/>
        </w:rPr>
        <w:t> </w:t>
      </w:r>
      <w:r w:rsidRPr="008359CC">
        <w:rPr>
          <w:b/>
          <w:sz w:val="24"/>
          <w:szCs w:val="24"/>
        </w:rPr>
        <w:t>102(1) and (2) (note 2)</w:t>
      </w:r>
    </w:p>
    <w:p w:rsidR="00067596" w:rsidRPr="008359CC" w:rsidRDefault="00067596" w:rsidP="00067596"/>
    <w:p w:rsidR="00067596" w:rsidRPr="008359CC" w:rsidRDefault="00067596" w:rsidP="00067596">
      <w:pPr>
        <w:rPr>
          <w:b/>
        </w:rPr>
      </w:pPr>
      <w:r w:rsidRPr="008359CC">
        <w:rPr>
          <w:b/>
        </w:rPr>
        <w:t>Kind of editorial change</w:t>
      </w:r>
    </w:p>
    <w:p w:rsidR="00067596" w:rsidRPr="008359CC" w:rsidRDefault="00067596" w:rsidP="00067596"/>
    <w:p w:rsidR="00067596" w:rsidRPr="008359CC" w:rsidRDefault="00067596" w:rsidP="00067596">
      <w:r w:rsidRPr="008359CC">
        <w:t>Correct typographical errors</w:t>
      </w:r>
    </w:p>
    <w:p w:rsidR="00067596" w:rsidRPr="008359CC" w:rsidRDefault="00067596" w:rsidP="00067596"/>
    <w:p w:rsidR="00067596" w:rsidRPr="008359CC" w:rsidRDefault="00067596" w:rsidP="00067596">
      <w:pPr>
        <w:rPr>
          <w:b/>
        </w:rPr>
      </w:pPr>
      <w:r w:rsidRPr="008359CC">
        <w:rPr>
          <w:b/>
        </w:rPr>
        <w:t>Details of editorial change</w:t>
      </w:r>
    </w:p>
    <w:p w:rsidR="00067596" w:rsidRPr="008359CC" w:rsidRDefault="00067596" w:rsidP="00067596"/>
    <w:p w:rsidR="00067596" w:rsidRPr="008359CC" w:rsidRDefault="00067596" w:rsidP="00067596">
      <w:pPr>
        <w:rPr>
          <w:szCs w:val="22"/>
        </w:rPr>
      </w:pPr>
      <w:r w:rsidRPr="008359CC">
        <w:t>Schedule</w:t>
      </w:r>
      <w:r>
        <w:t> </w:t>
      </w:r>
      <w:r w:rsidRPr="008359CC">
        <w:t>4 item</w:t>
      </w:r>
      <w:r>
        <w:t> </w:t>
      </w:r>
      <w:r w:rsidRPr="008359CC">
        <w:t xml:space="preserve">13 of the </w:t>
      </w:r>
      <w:r w:rsidRPr="008359CC">
        <w:rPr>
          <w:i/>
        </w:rPr>
        <w:t>Telecommunications Legislation Amendment (Competition and Consumer) Act 2020</w:t>
      </w:r>
      <w:r w:rsidRPr="008359CC">
        <w:t xml:space="preserve"> instructs to insert Part</w:t>
      </w:r>
      <w:r>
        <w:t> </w:t>
      </w:r>
      <w:r w:rsidRPr="008359CC">
        <w:t>3 after Part</w:t>
      </w:r>
      <w:r>
        <w:t> </w:t>
      </w:r>
      <w:r w:rsidRPr="008359CC">
        <w:t>2</w:t>
      </w:r>
      <w:r w:rsidRPr="008359CC">
        <w:rPr>
          <w:szCs w:val="22"/>
        </w:rPr>
        <w:t>.</w:t>
      </w:r>
    </w:p>
    <w:p w:rsidR="00067596" w:rsidRPr="008359CC" w:rsidRDefault="00067596" w:rsidP="00067596"/>
    <w:p w:rsidR="00067596" w:rsidRPr="008359CC" w:rsidRDefault="00067596" w:rsidP="00067596">
      <w:r w:rsidRPr="008359CC">
        <w:t>Note 2 to subsections</w:t>
      </w:r>
      <w:r>
        <w:t> </w:t>
      </w:r>
      <w:r w:rsidRPr="008359CC">
        <w:t>102(1) and (2) of the newly inserted Part</w:t>
      </w:r>
      <w:r>
        <w:t> </w:t>
      </w:r>
      <w:r w:rsidRPr="008359CC">
        <w:t>3 refers to “fourth of fifth” rather than “fourth or fifth”.</w:t>
      </w:r>
    </w:p>
    <w:p w:rsidR="00067596" w:rsidRPr="008359CC" w:rsidRDefault="00067596" w:rsidP="00067596"/>
    <w:p w:rsidR="00067596" w:rsidRPr="008359CC" w:rsidRDefault="00067596" w:rsidP="00067596">
      <w:r w:rsidRPr="008359CC">
        <w:t>This compilation was editorially changed to omit “fourth of fifth” and substitute “fourth or fifth” in Note 2 to subsections</w:t>
      </w:r>
      <w:r>
        <w:t> </w:t>
      </w:r>
      <w:r w:rsidRPr="008359CC">
        <w:t>102(1) and (2) to correct the typographical errors.</w:t>
      </w:r>
    </w:p>
    <w:p w:rsidR="00CF1989" w:rsidRDefault="00CF1989" w:rsidP="00CF1989">
      <w:pPr>
        <w:pStyle w:val="Head2"/>
        <w:keepLines/>
      </w:pPr>
      <w:r w:rsidRPr="00974E86">
        <w:t>Health Insurance (Allied Health Services) Determination 2014</w:t>
      </w:r>
      <w:r>
        <w:t>, Compilation No. 14,</w:t>
      </w:r>
      <w:r w:rsidRPr="003342C4">
        <w:t xml:space="preserve"> Registration Date:</w:t>
      </w:r>
      <w:r>
        <w:t xml:space="preserve"> 24 June 2020 [</w:t>
      </w:r>
      <w:r>
        <w:rPr>
          <w:bCs/>
        </w:rPr>
        <w:t>F2020C00523</w:t>
      </w:r>
      <w:r>
        <w:t>]</w:t>
      </w:r>
    </w:p>
    <w:p w:rsidR="00CF1989" w:rsidRPr="00F2598C" w:rsidRDefault="00CF1989" w:rsidP="00CF1989"/>
    <w:p w:rsidR="00CF1989" w:rsidRPr="000B28A2" w:rsidRDefault="00CF1989" w:rsidP="00CF1989">
      <w:pPr>
        <w:rPr>
          <w:b/>
          <w:sz w:val="24"/>
          <w:szCs w:val="24"/>
        </w:rPr>
      </w:pPr>
      <w:r w:rsidRPr="00E13637">
        <w:rPr>
          <w:b/>
          <w:sz w:val="24"/>
          <w:szCs w:val="24"/>
        </w:rPr>
        <w:t>Part 4 of Schedule 2 (item 81115, column 2, paragraph (a))</w:t>
      </w:r>
    </w:p>
    <w:p w:rsidR="00CF1989" w:rsidRPr="00D65DB5" w:rsidRDefault="00CF1989" w:rsidP="00CF1989"/>
    <w:p w:rsidR="00CF1989" w:rsidRPr="004549F1" w:rsidRDefault="00CF1989" w:rsidP="00CF1989">
      <w:pPr>
        <w:rPr>
          <w:b/>
        </w:rPr>
      </w:pPr>
      <w:r w:rsidRPr="004549F1">
        <w:rPr>
          <w:b/>
        </w:rPr>
        <w:t>Kind of editorial change</w:t>
      </w:r>
    </w:p>
    <w:p w:rsidR="00CF1989" w:rsidRPr="004549F1" w:rsidRDefault="00CF1989" w:rsidP="00CF1989"/>
    <w:p w:rsidR="00CF1989" w:rsidRPr="00D65DB5" w:rsidRDefault="00CF1989" w:rsidP="00CF1989">
      <w:r>
        <w:t>Give effect to the misdescribed amendment as intended</w:t>
      </w:r>
    </w:p>
    <w:p w:rsidR="00CF1989" w:rsidRPr="004549F1" w:rsidRDefault="00CF1989" w:rsidP="00CF1989"/>
    <w:p w:rsidR="00CF1989" w:rsidRPr="004549F1" w:rsidRDefault="00CF1989" w:rsidP="00CF1989">
      <w:pPr>
        <w:rPr>
          <w:b/>
        </w:rPr>
      </w:pPr>
      <w:r w:rsidRPr="004549F1">
        <w:rPr>
          <w:b/>
        </w:rPr>
        <w:t>Details of editorial change</w:t>
      </w:r>
    </w:p>
    <w:p w:rsidR="00CF1989" w:rsidRPr="00D65DB5" w:rsidRDefault="00CF1989" w:rsidP="00CF1989"/>
    <w:p w:rsidR="00CF1989" w:rsidRPr="000B28A2" w:rsidRDefault="00CF1989" w:rsidP="00CF1989">
      <w:pPr>
        <w:rPr>
          <w:szCs w:val="22"/>
        </w:rPr>
      </w:pPr>
      <w:r>
        <w:t xml:space="preserve">Schedule 2 item 6 of the </w:t>
      </w:r>
      <w:r w:rsidRPr="001E6FFF">
        <w:rPr>
          <w:i/>
        </w:rPr>
        <w:t xml:space="preserve">Health Insurance (Section 3C General Medical Services </w:t>
      </w:r>
      <w:r>
        <w:rPr>
          <w:i/>
        </w:rPr>
        <w:noBreakHyphen/>
      </w:r>
      <w:r w:rsidRPr="001E6FFF">
        <w:rPr>
          <w:i/>
        </w:rPr>
        <w:t xml:space="preserve"> COVID</w:t>
      </w:r>
      <w:r>
        <w:rPr>
          <w:i/>
        </w:rPr>
        <w:noBreakHyphen/>
      </w:r>
      <w:r w:rsidRPr="001E6FFF">
        <w:rPr>
          <w:i/>
        </w:rPr>
        <w:t>19 Telehealth and Telephone Attendances) Amendment (Further Expansion of Remote Attendance Items) Determination 2020</w:t>
      </w:r>
      <w:r w:rsidRPr="000B28A2">
        <w:t xml:space="preserve"> instructs</w:t>
      </w:r>
      <w:r>
        <w:t xml:space="preserve"> to insert </w:t>
      </w:r>
      <w:r w:rsidRPr="006A32FD">
        <w:t>the words</w:t>
      </w:r>
      <w:r>
        <w:t xml:space="preserve"> </w:t>
      </w:r>
      <w:r w:rsidRPr="001E6FFF">
        <w:t>“or items 93284 or 93286 of the COVID</w:t>
      </w:r>
      <w:r>
        <w:noBreakHyphen/>
      </w:r>
      <w:r w:rsidRPr="001E6FFF">
        <w:t>19 Determination</w:t>
      </w:r>
      <w:r>
        <w:t xml:space="preserve">” after </w:t>
      </w:r>
      <w:r w:rsidRPr="001E6FFF">
        <w:t>“and 81120”</w:t>
      </w:r>
      <w:r>
        <w:t xml:space="preserve"> in</w:t>
      </w:r>
      <w:r w:rsidRPr="000B28A2">
        <w:rPr>
          <w:szCs w:val="22"/>
        </w:rPr>
        <w:t xml:space="preserve"> Part 4 of Schedule 2 (item 81115, column 2, paragraph (a)).</w:t>
      </w:r>
    </w:p>
    <w:p w:rsidR="00CF1989" w:rsidRDefault="00CF1989" w:rsidP="00CF1989"/>
    <w:p w:rsidR="00CF1989" w:rsidRDefault="00CF1989" w:rsidP="00CF1989">
      <w:r>
        <w:t xml:space="preserve">The words </w:t>
      </w:r>
      <w:r w:rsidRPr="001E6FFF">
        <w:t>“and 81120”</w:t>
      </w:r>
      <w:r>
        <w:t xml:space="preserve"> do not appear in </w:t>
      </w:r>
      <w:r w:rsidRPr="00D479BE">
        <w:rPr>
          <w:szCs w:val="22"/>
        </w:rPr>
        <w:t>Part 4 of Schedule 2 (item 81115, column 2, paragraph (a))</w:t>
      </w:r>
      <w:r>
        <w:t>. However, the words “or 81120” do appear.</w:t>
      </w:r>
    </w:p>
    <w:p w:rsidR="00CF1989" w:rsidRDefault="00CF1989" w:rsidP="00CF1989"/>
    <w:p w:rsidR="00CF1989" w:rsidRDefault="00CF1989" w:rsidP="00CF1989">
      <w:r>
        <w:lastRenderedPageBreak/>
        <w:t xml:space="preserve">This compilation was editorially changed to insert </w:t>
      </w:r>
      <w:r w:rsidRPr="005401BD">
        <w:t xml:space="preserve">the words </w:t>
      </w:r>
      <w:r w:rsidRPr="001E6FFF">
        <w:t>“or items 93284 or 93286 of the COVID</w:t>
      </w:r>
      <w:r>
        <w:noBreakHyphen/>
      </w:r>
      <w:r w:rsidRPr="001E6FFF">
        <w:t>19 Determination</w:t>
      </w:r>
      <w:r>
        <w:t xml:space="preserve">” after </w:t>
      </w:r>
      <w:r w:rsidRPr="001E6FFF">
        <w:t>“</w:t>
      </w:r>
      <w:r>
        <w:t>or</w:t>
      </w:r>
      <w:r w:rsidRPr="001E6FFF">
        <w:t xml:space="preserve"> 81120”</w:t>
      </w:r>
      <w:r>
        <w:t xml:space="preserve"> in </w:t>
      </w:r>
      <w:r w:rsidRPr="001E6FFF">
        <w:t>Part 4 of Schedule 2 (item 81115, column 2, paragraph (a))</w:t>
      </w:r>
      <w:r>
        <w:t xml:space="preserve"> to give effect to the misdescribed amendment as intended.</w:t>
      </w:r>
    </w:p>
    <w:p w:rsidR="00CF1989" w:rsidRPr="00F2598C" w:rsidRDefault="00CF1989" w:rsidP="00CF1989"/>
    <w:p w:rsidR="00CF1989" w:rsidRPr="00F2598C" w:rsidRDefault="00CF1989" w:rsidP="00CF1989"/>
    <w:p w:rsidR="00CF1989" w:rsidRPr="002B6BC3" w:rsidRDefault="00CF1989" w:rsidP="00CF1989">
      <w:pPr>
        <w:rPr>
          <w:b/>
          <w:sz w:val="24"/>
          <w:szCs w:val="24"/>
        </w:rPr>
      </w:pPr>
      <w:r w:rsidRPr="002B6BC3">
        <w:rPr>
          <w:b/>
          <w:sz w:val="24"/>
          <w:szCs w:val="24"/>
        </w:rPr>
        <w:t>Part 4 of Schedule 2 (item 81115, column 2, paragraph (f))</w:t>
      </w:r>
    </w:p>
    <w:p w:rsidR="00CF1989" w:rsidRPr="00D65DB5" w:rsidRDefault="00CF1989" w:rsidP="00CF1989"/>
    <w:p w:rsidR="00CF1989" w:rsidRPr="004549F1" w:rsidRDefault="00CF1989" w:rsidP="00CF1989">
      <w:pPr>
        <w:rPr>
          <w:b/>
        </w:rPr>
      </w:pPr>
      <w:r w:rsidRPr="004549F1">
        <w:rPr>
          <w:b/>
        </w:rPr>
        <w:t>Kind of editorial change</w:t>
      </w:r>
    </w:p>
    <w:p w:rsidR="00CF1989" w:rsidRPr="004549F1" w:rsidRDefault="00CF1989" w:rsidP="00CF1989"/>
    <w:p w:rsidR="00CF1989" w:rsidRPr="00D65DB5" w:rsidRDefault="00CF1989" w:rsidP="00CF1989">
      <w:r>
        <w:t>Give effect to the misdescribed amendment as intended</w:t>
      </w:r>
    </w:p>
    <w:p w:rsidR="00CF1989" w:rsidRPr="004549F1" w:rsidRDefault="00CF1989" w:rsidP="00CF1989"/>
    <w:p w:rsidR="00CF1989" w:rsidRPr="004549F1" w:rsidRDefault="00CF1989" w:rsidP="00CF1989">
      <w:pPr>
        <w:rPr>
          <w:b/>
        </w:rPr>
      </w:pPr>
      <w:r w:rsidRPr="004549F1">
        <w:rPr>
          <w:b/>
        </w:rPr>
        <w:t>Details of editorial change</w:t>
      </w:r>
    </w:p>
    <w:p w:rsidR="00CF1989" w:rsidRPr="00D65DB5" w:rsidRDefault="00CF1989" w:rsidP="00CF1989"/>
    <w:p w:rsidR="00CF1989" w:rsidRDefault="00CF1989" w:rsidP="00CF1989">
      <w:r>
        <w:t xml:space="preserve">Schedule 2 item 7 of the </w:t>
      </w:r>
      <w:r w:rsidRPr="001E6FFF">
        <w:rPr>
          <w:i/>
        </w:rPr>
        <w:t xml:space="preserve">Health Insurance (Section 3C General Medical Services </w:t>
      </w:r>
      <w:r>
        <w:rPr>
          <w:i/>
        </w:rPr>
        <w:noBreakHyphen/>
      </w:r>
      <w:r w:rsidRPr="001E6FFF">
        <w:rPr>
          <w:i/>
        </w:rPr>
        <w:t xml:space="preserve"> COVID</w:t>
      </w:r>
      <w:r>
        <w:rPr>
          <w:i/>
        </w:rPr>
        <w:noBreakHyphen/>
      </w:r>
      <w:r w:rsidRPr="001E6FFF">
        <w:rPr>
          <w:i/>
        </w:rPr>
        <w:t>19 Telehealth and Telephone Attendances) Amendment (Further Expansion of Remote Attendance Items) Determination 2020</w:t>
      </w:r>
      <w:r w:rsidRPr="000B28A2">
        <w:t xml:space="preserve"> </w:t>
      </w:r>
      <w:r w:rsidRPr="00275F6F">
        <w:t>instructs</w:t>
      </w:r>
      <w:r>
        <w:t xml:space="preserve"> to insert </w:t>
      </w:r>
      <w:r w:rsidRPr="006A32FD">
        <w:t>the words</w:t>
      </w:r>
      <w:r>
        <w:t xml:space="preserve"> </w:t>
      </w:r>
      <w:r w:rsidRPr="001E6FFF">
        <w:t>“or item 93285 of the COVID</w:t>
      </w:r>
      <w:r>
        <w:noBreakHyphen/>
      </w:r>
      <w:r w:rsidRPr="001E6FFF">
        <w:t>19 Determination”</w:t>
      </w:r>
      <w:r>
        <w:t xml:space="preserve"> after “and 81125</w:t>
      </w:r>
      <w:r w:rsidRPr="001E6FFF">
        <w:t>”</w:t>
      </w:r>
      <w:r>
        <w:t xml:space="preserve"> in </w:t>
      </w:r>
      <w:r w:rsidRPr="000B28A2">
        <w:rPr>
          <w:szCs w:val="22"/>
        </w:rPr>
        <w:t>Part 4 of Schedule 2 (item 81115, column 2, paragraph (f))</w:t>
      </w:r>
      <w:r>
        <w:t>.</w:t>
      </w:r>
    </w:p>
    <w:p w:rsidR="00CF1989" w:rsidRDefault="00CF1989" w:rsidP="00CF1989"/>
    <w:p w:rsidR="00CF1989" w:rsidRDefault="00CF1989" w:rsidP="00CF1989">
      <w:r>
        <w:t>The words “and 81125</w:t>
      </w:r>
      <w:r w:rsidRPr="001E6FFF">
        <w:t>”</w:t>
      </w:r>
      <w:r>
        <w:t xml:space="preserve"> do not appear in </w:t>
      </w:r>
      <w:r w:rsidRPr="00D479BE">
        <w:rPr>
          <w:szCs w:val="22"/>
        </w:rPr>
        <w:t>Part 4 of Schedule 2 (item 81115, column 2, paragraph (f))</w:t>
      </w:r>
      <w:r>
        <w:t>. However, the words “or 81125” do appear.</w:t>
      </w:r>
    </w:p>
    <w:p w:rsidR="00CF1989" w:rsidRDefault="00CF1989" w:rsidP="00CF1989"/>
    <w:p w:rsidR="00CF1989" w:rsidRPr="004549F1" w:rsidRDefault="00CF1989" w:rsidP="00CF1989">
      <w:r>
        <w:t xml:space="preserve">This compilation was editorially changed to insert </w:t>
      </w:r>
      <w:r w:rsidRPr="005401BD">
        <w:t>the words</w:t>
      </w:r>
      <w:r>
        <w:t xml:space="preserve"> </w:t>
      </w:r>
      <w:r w:rsidRPr="001E6FFF">
        <w:t>“or item 93285 of the COVID</w:t>
      </w:r>
      <w:r>
        <w:noBreakHyphen/>
      </w:r>
      <w:r w:rsidRPr="001E6FFF">
        <w:t>19 Determination”</w:t>
      </w:r>
      <w:r>
        <w:t xml:space="preserve"> after “or 81125</w:t>
      </w:r>
      <w:r w:rsidRPr="001E6FFF">
        <w:t>”</w:t>
      </w:r>
      <w:r>
        <w:t xml:space="preserve"> in </w:t>
      </w:r>
      <w:r w:rsidRPr="001E6FFF">
        <w:t xml:space="preserve">Part 4 of Schedule 2 (item 81115, column 2, </w:t>
      </w:r>
      <w:r>
        <w:t>paragraph (f</w:t>
      </w:r>
      <w:r w:rsidRPr="001E6FFF">
        <w:t>))</w:t>
      </w:r>
      <w:r>
        <w:t xml:space="preserve"> to give effect to the misdescribed amendment as intended.</w:t>
      </w:r>
    </w:p>
    <w:p w:rsidR="00CF1989" w:rsidRPr="00F2598C" w:rsidRDefault="00CF1989" w:rsidP="00CF1989"/>
    <w:p w:rsidR="00CF1989" w:rsidRPr="00B07411" w:rsidRDefault="00CF1989" w:rsidP="00CF1989"/>
    <w:p w:rsidR="00CF1989" w:rsidRPr="000B28A2" w:rsidRDefault="00CF1989" w:rsidP="00CF1989">
      <w:pPr>
        <w:keepNext/>
        <w:rPr>
          <w:b/>
          <w:sz w:val="24"/>
          <w:szCs w:val="24"/>
        </w:rPr>
      </w:pPr>
      <w:r w:rsidRPr="00E13637">
        <w:rPr>
          <w:b/>
          <w:sz w:val="24"/>
          <w:szCs w:val="24"/>
        </w:rPr>
        <w:t>Part 4 of Schedule 2</w:t>
      </w:r>
      <w:r w:rsidRPr="009D3129">
        <w:rPr>
          <w:b/>
          <w:sz w:val="24"/>
          <w:szCs w:val="24"/>
        </w:rPr>
        <w:t xml:space="preserve"> </w:t>
      </w:r>
      <w:r w:rsidRPr="007300D0">
        <w:rPr>
          <w:b/>
          <w:sz w:val="24"/>
          <w:szCs w:val="24"/>
        </w:rPr>
        <w:t>(item 81125, column 2, after paragraph (g))</w:t>
      </w:r>
    </w:p>
    <w:p w:rsidR="00CF1989" w:rsidRPr="00D65DB5" w:rsidRDefault="00CF1989" w:rsidP="00CF1989"/>
    <w:p w:rsidR="00CF1989" w:rsidRPr="004549F1" w:rsidRDefault="00CF1989" w:rsidP="00CF1989">
      <w:pPr>
        <w:rPr>
          <w:b/>
        </w:rPr>
      </w:pPr>
      <w:r w:rsidRPr="004549F1">
        <w:rPr>
          <w:b/>
        </w:rPr>
        <w:t>Kind of editorial change</w:t>
      </w:r>
    </w:p>
    <w:p w:rsidR="00CF1989" w:rsidRPr="004549F1" w:rsidRDefault="00CF1989" w:rsidP="00CF1989"/>
    <w:p w:rsidR="00CF1989" w:rsidRPr="00D65DB5" w:rsidRDefault="00CF1989" w:rsidP="00CF1989">
      <w:r w:rsidRPr="00AA2A03">
        <w:t>Correct a typographical error</w:t>
      </w:r>
    </w:p>
    <w:p w:rsidR="00CF1989" w:rsidRPr="004549F1" w:rsidRDefault="00CF1989" w:rsidP="00CF1989"/>
    <w:p w:rsidR="00CF1989" w:rsidRPr="004549F1" w:rsidRDefault="00CF1989" w:rsidP="00CF1989">
      <w:pPr>
        <w:rPr>
          <w:b/>
        </w:rPr>
      </w:pPr>
      <w:r w:rsidRPr="004549F1">
        <w:rPr>
          <w:b/>
        </w:rPr>
        <w:t>Details of editorial change</w:t>
      </w:r>
    </w:p>
    <w:p w:rsidR="00CF1989" w:rsidRPr="00D65DB5" w:rsidRDefault="00CF1989" w:rsidP="00CF1989"/>
    <w:p w:rsidR="00CF1989" w:rsidRPr="000B28A2" w:rsidRDefault="00CF1989" w:rsidP="00CF1989">
      <w:pPr>
        <w:rPr>
          <w:szCs w:val="22"/>
        </w:rPr>
      </w:pPr>
      <w:r>
        <w:t xml:space="preserve">Schedule 2 item 12 of the </w:t>
      </w:r>
      <w:r w:rsidRPr="001E6FFF">
        <w:rPr>
          <w:i/>
        </w:rPr>
        <w:t xml:space="preserve">Health Insurance (Section 3C General Medical Services </w:t>
      </w:r>
      <w:r>
        <w:rPr>
          <w:i/>
        </w:rPr>
        <w:noBreakHyphen/>
      </w:r>
      <w:r w:rsidRPr="001E6FFF">
        <w:rPr>
          <w:i/>
        </w:rPr>
        <w:t xml:space="preserve"> COVID</w:t>
      </w:r>
      <w:r>
        <w:rPr>
          <w:i/>
        </w:rPr>
        <w:noBreakHyphen/>
      </w:r>
      <w:r w:rsidRPr="001E6FFF">
        <w:rPr>
          <w:i/>
        </w:rPr>
        <w:t>19 Telehealth and Telephone Attendances) Amendment (Further Expansion of Remote Attendance Items) Determination 2020</w:t>
      </w:r>
      <w:r w:rsidRPr="000B28A2">
        <w:t xml:space="preserve"> instructs</w:t>
      </w:r>
      <w:r>
        <w:t xml:space="preserve"> to insert </w:t>
      </w:r>
      <w:r w:rsidRPr="006A32FD">
        <w:t>the words</w:t>
      </w:r>
      <w:r>
        <w:t xml:space="preserve"> </w:t>
      </w:r>
      <w:r w:rsidRPr="001E6FFF">
        <w:t>“or items 93285 of the COVID-19 Determination</w:t>
      </w:r>
      <w:r>
        <w:t xml:space="preserve">” after </w:t>
      </w:r>
      <w:r w:rsidRPr="001E6FFF">
        <w:t>“and 81125”</w:t>
      </w:r>
      <w:r>
        <w:t xml:space="preserve"> in</w:t>
      </w:r>
      <w:r w:rsidRPr="000B28A2">
        <w:rPr>
          <w:szCs w:val="22"/>
        </w:rPr>
        <w:t xml:space="preserve"> Part 4 of Schedule 2 </w:t>
      </w:r>
      <w:r w:rsidRPr="001E6FFF">
        <w:t>(item 81125, column 2, after paragraph (g))</w:t>
      </w:r>
      <w:r w:rsidRPr="000B28A2">
        <w:rPr>
          <w:szCs w:val="22"/>
        </w:rPr>
        <w:t>.</w:t>
      </w:r>
    </w:p>
    <w:p w:rsidR="00CF1989" w:rsidRDefault="00CF1989" w:rsidP="00CF1989"/>
    <w:p w:rsidR="00CF1989" w:rsidRDefault="00CF1989" w:rsidP="00CF1989">
      <w:r>
        <w:t>T</w:t>
      </w:r>
      <w:r w:rsidRPr="009D3129">
        <w:t>he newly inserted</w:t>
      </w:r>
      <w:r>
        <w:t xml:space="preserve"> words refer to “</w:t>
      </w:r>
      <w:r w:rsidRPr="001E6FFF">
        <w:t>items</w:t>
      </w:r>
      <w:r>
        <w:t xml:space="preserve"> </w:t>
      </w:r>
      <w:r w:rsidRPr="001E6FFF">
        <w:t>93285</w:t>
      </w:r>
      <w:r>
        <w:t xml:space="preserve">” rather than “item </w:t>
      </w:r>
      <w:r w:rsidRPr="001E6FFF">
        <w:t>93285</w:t>
      </w:r>
      <w:r>
        <w:t>”.</w:t>
      </w:r>
    </w:p>
    <w:p w:rsidR="00CF1989" w:rsidRDefault="00CF1989" w:rsidP="00CF1989"/>
    <w:p w:rsidR="00CF1989" w:rsidRDefault="00CF1989" w:rsidP="00CF1989">
      <w:r w:rsidRPr="009D3129">
        <w:t>This compilation was editorially changed to omit the word</w:t>
      </w:r>
      <w:r>
        <w:t>s</w:t>
      </w:r>
      <w:r w:rsidRPr="009D3129">
        <w:t xml:space="preserve"> “</w:t>
      </w:r>
      <w:r>
        <w:t xml:space="preserve">items </w:t>
      </w:r>
      <w:r w:rsidRPr="001E6FFF">
        <w:t>93285</w:t>
      </w:r>
      <w:r w:rsidRPr="009D3129">
        <w:t>” and substitute the word</w:t>
      </w:r>
      <w:r>
        <w:t>s</w:t>
      </w:r>
      <w:r w:rsidRPr="009D3129">
        <w:t xml:space="preserve"> “</w:t>
      </w:r>
      <w:r>
        <w:t xml:space="preserve">item </w:t>
      </w:r>
      <w:r w:rsidRPr="001E6FFF">
        <w:t>93285</w:t>
      </w:r>
      <w:r w:rsidRPr="009D3129">
        <w:t xml:space="preserve">” </w:t>
      </w:r>
      <w:r>
        <w:t>in</w:t>
      </w:r>
      <w:r w:rsidRPr="000B28A2">
        <w:rPr>
          <w:szCs w:val="22"/>
        </w:rPr>
        <w:t xml:space="preserve"> Part 4 of Schedule 2 </w:t>
      </w:r>
      <w:r w:rsidRPr="001E6FFF">
        <w:t>(item 81125, column 2, after paragraph (g))</w:t>
      </w:r>
      <w:r w:rsidRPr="009D3129">
        <w:t xml:space="preserve"> </w:t>
      </w:r>
      <w:r w:rsidRPr="008D5A84">
        <w:t>to correct the typographical error.</w:t>
      </w:r>
    </w:p>
    <w:p w:rsidR="00DF3E8E" w:rsidRDefault="00DF3E8E" w:rsidP="00062F75">
      <w:pPr>
        <w:pStyle w:val="Head2"/>
        <w:keepLines/>
      </w:pPr>
      <w:r>
        <w:lastRenderedPageBreak/>
        <w:t>National Health (Immunisation Program – Designated Vaccines) Determination 2014 (No.1), Compilation No. 19,</w:t>
      </w:r>
      <w:r w:rsidRPr="003342C4">
        <w:t xml:space="preserve"> Registration Date:</w:t>
      </w:r>
      <w:r>
        <w:t xml:space="preserve"> 23 June 2020 [</w:t>
      </w:r>
      <w:r>
        <w:rPr>
          <w:bCs/>
        </w:rPr>
        <w:t>F2020C00515</w:t>
      </w:r>
      <w:r>
        <w:t>]</w:t>
      </w:r>
    </w:p>
    <w:p w:rsidR="00DF3E8E" w:rsidRPr="00F1113C" w:rsidRDefault="00DF3E8E" w:rsidP="00062F75">
      <w:pPr>
        <w:keepNext/>
        <w:keepLines/>
      </w:pPr>
    </w:p>
    <w:p w:rsidR="00DF3E8E" w:rsidRPr="00663307" w:rsidRDefault="00DF3E8E" w:rsidP="00062F75">
      <w:pPr>
        <w:keepNext/>
        <w:keepLines/>
        <w:rPr>
          <w:b/>
          <w:sz w:val="24"/>
          <w:szCs w:val="24"/>
        </w:rPr>
      </w:pPr>
      <w:r w:rsidRPr="00073039">
        <w:rPr>
          <w:b/>
          <w:sz w:val="24"/>
          <w:szCs w:val="24"/>
        </w:rPr>
        <w:t xml:space="preserve">Part 1 of Schedule 1 (table item 110, column headed </w:t>
      </w:r>
      <w:r w:rsidRPr="00663307">
        <w:rPr>
          <w:b/>
          <w:sz w:val="24"/>
          <w:szCs w:val="24"/>
        </w:rPr>
        <w:t>“</w:t>
      </w:r>
      <w:r w:rsidRPr="00073039">
        <w:rPr>
          <w:b/>
          <w:sz w:val="24"/>
          <w:szCs w:val="24"/>
        </w:rPr>
        <w:t>Vaccine and the circumstances in which vaccine may be provided</w:t>
      </w:r>
      <w:r w:rsidRPr="00663307">
        <w:rPr>
          <w:b/>
          <w:sz w:val="24"/>
          <w:szCs w:val="24"/>
        </w:rPr>
        <w:t>”</w:t>
      </w:r>
      <w:r w:rsidRPr="00073039">
        <w:rPr>
          <w:b/>
          <w:sz w:val="24"/>
          <w:szCs w:val="24"/>
        </w:rPr>
        <w:t>)</w:t>
      </w:r>
    </w:p>
    <w:p w:rsidR="00DF3E8E" w:rsidRPr="00F1113C" w:rsidRDefault="00DF3E8E" w:rsidP="00062F75">
      <w:pPr>
        <w:keepNext/>
        <w:keepLines/>
      </w:pPr>
    </w:p>
    <w:p w:rsidR="00DF3E8E" w:rsidRPr="00F1113C" w:rsidRDefault="00DF3E8E" w:rsidP="00DF3E8E">
      <w:pPr>
        <w:rPr>
          <w:b/>
        </w:rPr>
      </w:pPr>
      <w:r w:rsidRPr="00F1113C">
        <w:rPr>
          <w:b/>
        </w:rPr>
        <w:t>Kind of editorial change</w:t>
      </w:r>
    </w:p>
    <w:p w:rsidR="00DF3E8E" w:rsidRPr="00F1113C" w:rsidRDefault="00DF3E8E" w:rsidP="00DF3E8E"/>
    <w:p w:rsidR="00DF3E8E" w:rsidRPr="00F1113C" w:rsidRDefault="00DF3E8E" w:rsidP="00DF3E8E">
      <w:r w:rsidRPr="00067519">
        <w:t>Removal of redundant text</w:t>
      </w:r>
    </w:p>
    <w:p w:rsidR="00DF3E8E" w:rsidRPr="00F1113C" w:rsidRDefault="00DF3E8E" w:rsidP="00DF3E8E"/>
    <w:p w:rsidR="00DF3E8E" w:rsidRPr="00F1113C" w:rsidRDefault="00DF3E8E" w:rsidP="00DF3E8E">
      <w:pPr>
        <w:rPr>
          <w:b/>
        </w:rPr>
      </w:pPr>
      <w:r w:rsidRPr="00F1113C">
        <w:rPr>
          <w:b/>
        </w:rPr>
        <w:t>Details of editorial change</w:t>
      </w:r>
    </w:p>
    <w:p w:rsidR="00DF3E8E" w:rsidRPr="00F1113C" w:rsidRDefault="00DF3E8E" w:rsidP="00DF3E8E"/>
    <w:p w:rsidR="00DF3E8E" w:rsidRPr="00F1113C" w:rsidRDefault="00DF3E8E" w:rsidP="00DF3E8E">
      <w:r>
        <w:t xml:space="preserve">Schedule 1 item 7 of the </w:t>
      </w:r>
      <w:r w:rsidRPr="00A774F9">
        <w:rPr>
          <w:i/>
        </w:rPr>
        <w:t>National Health (Immunisation Program – Designated Vaccines) Amendment Determination (No. 1) 2020</w:t>
      </w:r>
      <w:r>
        <w:t xml:space="preserve"> instructs to omit “</w:t>
      </w:r>
      <w:r w:rsidRPr="00A774F9">
        <w:t>(b) to a child who is about 6 months of age and is a member of a medical risk group”</w:t>
      </w:r>
      <w:r>
        <w:t xml:space="preserve"> from </w:t>
      </w:r>
      <w:r w:rsidRPr="00A774F9">
        <w:t>Part 1 of Schedule 1 (table item</w:t>
      </w:r>
      <w:r>
        <w:t> </w:t>
      </w:r>
      <w:r w:rsidRPr="00A774F9">
        <w:t>110, column headed “</w:t>
      </w:r>
      <w:r w:rsidRPr="004B2BCC">
        <w:rPr>
          <w:b/>
        </w:rPr>
        <w:t>Vaccine and the circumstances in which vaccine may be provided</w:t>
      </w:r>
      <w:r w:rsidRPr="00A774F9">
        <w:t>”)</w:t>
      </w:r>
      <w:r>
        <w:t>.</w:t>
      </w:r>
    </w:p>
    <w:p w:rsidR="00DF3E8E" w:rsidRPr="00F1113C" w:rsidRDefault="00DF3E8E" w:rsidP="00DF3E8E"/>
    <w:p w:rsidR="00DF3E8E" w:rsidRDefault="00DF3E8E" w:rsidP="00DF3E8E">
      <w:r>
        <w:t>This amendment does not include the “; or” at the end of paragraph (b).</w:t>
      </w:r>
    </w:p>
    <w:p w:rsidR="00DF3E8E" w:rsidRDefault="00DF3E8E" w:rsidP="00DF3E8E"/>
    <w:p w:rsidR="00DF3E8E" w:rsidRDefault="00DF3E8E" w:rsidP="00DF3E8E">
      <w:r>
        <w:t>This compilation was editorially changed to omit the redundant “; or”.</w:t>
      </w:r>
    </w:p>
    <w:p w:rsidR="007426A8" w:rsidRDefault="007426A8" w:rsidP="007426A8">
      <w:pPr>
        <w:pStyle w:val="Head2"/>
        <w:keepLines/>
      </w:pPr>
      <w:r w:rsidRPr="00BC3F1F">
        <w:rPr>
          <w:rFonts w:eastAsiaTheme="minorHAnsi"/>
        </w:rPr>
        <w:t>Health Insurance (Section 3C General Medical Services – Other Medical Practitioner) Determination 2018</w:t>
      </w:r>
      <w:r>
        <w:t>, Compilation No. 8,</w:t>
      </w:r>
      <w:r w:rsidRPr="003342C4">
        <w:t xml:space="preserve"> Registration Date:</w:t>
      </w:r>
      <w:r>
        <w:t xml:space="preserve"> 17 June 2020 [</w:t>
      </w:r>
      <w:r>
        <w:rPr>
          <w:bCs/>
        </w:rPr>
        <w:t>F2020C00491</w:t>
      </w:r>
      <w:r>
        <w:t>]</w:t>
      </w:r>
    </w:p>
    <w:p w:rsidR="007426A8" w:rsidRPr="00F1113C" w:rsidRDefault="007426A8" w:rsidP="007426A8"/>
    <w:p w:rsidR="007426A8" w:rsidRPr="00DE5123" w:rsidRDefault="007426A8" w:rsidP="007426A8">
      <w:pPr>
        <w:rPr>
          <w:b/>
          <w:sz w:val="24"/>
          <w:szCs w:val="24"/>
        </w:rPr>
      </w:pPr>
      <w:r>
        <w:rPr>
          <w:b/>
          <w:sz w:val="24"/>
          <w:szCs w:val="24"/>
        </w:rPr>
        <w:t xml:space="preserve">Group A7 of </w:t>
      </w:r>
      <w:r w:rsidRPr="007B7F7C">
        <w:rPr>
          <w:b/>
          <w:sz w:val="24"/>
          <w:szCs w:val="24"/>
        </w:rPr>
        <w:t>Division 1.</w:t>
      </w:r>
      <w:r>
        <w:rPr>
          <w:b/>
          <w:sz w:val="24"/>
          <w:szCs w:val="24"/>
        </w:rPr>
        <w:t xml:space="preserve">6 of </w:t>
      </w:r>
      <w:r w:rsidRPr="0055223B">
        <w:rPr>
          <w:b/>
          <w:sz w:val="24"/>
          <w:szCs w:val="24"/>
        </w:rPr>
        <w:t>Schedule 1</w:t>
      </w:r>
      <w:r w:rsidRPr="007B7F7C">
        <w:rPr>
          <w:b/>
          <w:sz w:val="24"/>
          <w:szCs w:val="24"/>
        </w:rPr>
        <w:t xml:space="preserve"> (</w:t>
      </w:r>
      <w:r>
        <w:rPr>
          <w:b/>
          <w:sz w:val="24"/>
          <w:szCs w:val="24"/>
        </w:rPr>
        <w:t xml:space="preserve">table </w:t>
      </w:r>
      <w:r w:rsidRPr="007B7F7C">
        <w:rPr>
          <w:b/>
          <w:sz w:val="24"/>
          <w:szCs w:val="24"/>
        </w:rPr>
        <w:t>item</w:t>
      </w:r>
      <w:r>
        <w:rPr>
          <w:b/>
          <w:sz w:val="24"/>
          <w:szCs w:val="24"/>
        </w:rPr>
        <w:t xml:space="preserve">s </w:t>
      </w:r>
      <w:r w:rsidRPr="007B7F7C">
        <w:rPr>
          <w:b/>
          <w:sz w:val="24"/>
          <w:szCs w:val="24"/>
        </w:rPr>
        <w:t>2</w:t>
      </w:r>
      <w:r>
        <w:rPr>
          <w:b/>
          <w:sz w:val="24"/>
          <w:szCs w:val="24"/>
        </w:rPr>
        <w:t>35 and 236</w:t>
      </w:r>
      <w:r w:rsidRPr="007B7F7C">
        <w:rPr>
          <w:b/>
          <w:sz w:val="24"/>
          <w:szCs w:val="24"/>
        </w:rPr>
        <w:t>)</w:t>
      </w:r>
    </w:p>
    <w:p w:rsidR="007426A8" w:rsidRPr="00F1113C" w:rsidRDefault="007426A8" w:rsidP="007426A8"/>
    <w:p w:rsidR="007426A8" w:rsidRPr="00F1113C" w:rsidRDefault="007426A8" w:rsidP="007426A8">
      <w:pPr>
        <w:rPr>
          <w:b/>
        </w:rPr>
      </w:pPr>
      <w:r w:rsidRPr="00F1113C">
        <w:rPr>
          <w:b/>
        </w:rPr>
        <w:t>Kind of editorial change</w:t>
      </w:r>
    </w:p>
    <w:p w:rsidR="007426A8" w:rsidRPr="00F1113C" w:rsidRDefault="007426A8" w:rsidP="007426A8"/>
    <w:p w:rsidR="007426A8" w:rsidRPr="00F1113C" w:rsidRDefault="007426A8" w:rsidP="007426A8">
      <w:r w:rsidRPr="00FC7AF2">
        <w:t>Give effect to the misdescribed amendment</w:t>
      </w:r>
      <w:r>
        <w:t>s</w:t>
      </w:r>
      <w:r w:rsidRPr="00FC7AF2">
        <w:t xml:space="preserve"> as intended</w:t>
      </w:r>
    </w:p>
    <w:p w:rsidR="007426A8" w:rsidRPr="00F1113C" w:rsidRDefault="007426A8" w:rsidP="007426A8"/>
    <w:p w:rsidR="007426A8" w:rsidRPr="00F1113C" w:rsidRDefault="007426A8" w:rsidP="007426A8">
      <w:pPr>
        <w:rPr>
          <w:b/>
        </w:rPr>
      </w:pPr>
      <w:r w:rsidRPr="00F1113C">
        <w:rPr>
          <w:b/>
        </w:rPr>
        <w:t>Details of editorial change</w:t>
      </w:r>
    </w:p>
    <w:p w:rsidR="007426A8" w:rsidRPr="00F1113C" w:rsidRDefault="007426A8" w:rsidP="007426A8"/>
    <w:p w:rsidR="007426A8" w:rsidRDefault="007426A8" w:rsidP="007426A8">
      <w:r w:rsidRPr="00F536A9">
        <w:t xml:space="preserve">Schedule </w:t>
      </w:r>
      <w:r>
        <w:t>2 item 6</w:t>
      </w:r>
      <w:r w:rsidRPr="00F536A9">
        <w:t xml:space="preserve"> of the </w:t>
      </w:r>
      <w:r w:rsidRPr="003C6A2B">
        <w:rPr>
          <w:rFonts w:eastAsia="Times New Roman"/>
          <w:i/>
          <w:lang w:eastAsia="en-AU"/>
        </w:rPr>
        <w:t>Health Insurance (Section 3C General Medical Services – GP and Allied Health COVID-19 Services) Amendment (Consequential) Determination 2020</w:t>
      </w:r>
      <w:r w:rsidRPr="00F536A9">
        <w:t xml:space="preserve"> provides as follows:</w:t>
      </w:r>
    </w:p>
    <w:p w:rsidR="007426A8" w:rsidRDefault="007426A8" w:rsidP="007426A8"/>
    <w:p w:rsidR="007426A8" w:rsidRPr="003C6A2B" w:rsidRDefault="007426A8" w:rsidP="007426A8">
      <w:pPr>
        <w:pStyle w:val="ItemHead"/>
        <w:spacing w:before="0"/>
        <w:ind w:left="714" w:hanging="357"/>
      </w:pPr>
      <w:r w:rsidRPr="003C6A2B">
        <w:t>6.</w:t>
      </w:r>
      <w:r w:rsidRPr="003C6A2B">
        <w:tab/>
        <w:t>Schedule 1, Division 1.6, Group A7 (items 235, 236, 237, 238, 239 and 240)</w:t>
      </w:r>
    </w:p>
    <w:p w:rsidR="007426A8" w:rsidRPr="003C6A2B" w:rsidRDefault="007426A8" w:rsidP="007426A8">
      <w:pPr>
        <w:pStyle w:val="Item"/>
        <w:rPr>
          <w:szCs w:val="22"/>
        </w:rPr>
      </w:pPr>
      <w:r w:rsidRPr="003C6A2B">
        <w:rPr>
          <w:szCs w:val="22"/>
        </w:rPr>
        <w:t>Omit “items 721 to 732 of the general</w:t>
      </w:r>
      <w:r>
        <w:rPr>
          <w:szCs w:val="22"/>
        </w:rPr>
        <w:t xml:space="preserve"> medical services table or items</w:t>
      </w:r>
      <w:r w:rsidRPr="003C6A2B">
        <w:rPr>
          <w:szCs w:val="22"/>
        </w:rPr>
        <w:t xml:space="preserve"> 229 to 233 apply)”, substitute:</w:t>
      </w:r>
    </w:p>
    <w:p w:rsidR="007426A8" w:rsidRPr="003C6A2B" w:rsidRDefault="007426A8" w:rsidP="007426A8">
      <w:pPr>
        <w:pStyle w:val="Item"/>
      </w:pPr>
      <w:r w:rsidRPr="003C6A2B">
        <w:rPr>
          <w:szCs w:val="22"/>
        </w:rPr>
        <w:t>items 721 to 732 of the general medical services table, or items 229 to 233, or items 92024 to 92028, 92055 to 92059, 92068 to 92072, or 92099 to 92103 of the COVID-19 Determination, apply)</w:t>
      </w:r>
    </w:p>
    <w:p w:rsidR="007426A8" w:rsidRDefault="007426A8" w:rsidP="007426A8"/>
    <w:p w:rsidR="007426A8" w:rsidRDefault="007426A8" w:rsidP="007426A8">
      <w:r>
        <w:t xml:space="preserve">The words </w:t>
      </w:r>
      <w:r w:rsidRPr="003C6A2B">
        <w:rPr>
          <w:szCs w:val="22"/>
        </w:rPr>
        <w:t>“items 721 to 732 of the general</w:t>
      </w:r>
      <w:r>
        <w:rPr>
          <w:szCs w:val="22"/>
        </w:rPr>
        <w:t xml:space="preserve"> medical services table or items</w:t>
      </w:r>
      <w:r w:rsidRPr="003C6A2B">
        <w:rPr>
          <w:szCs w:val="22"/>
        </w:rPr>
        <w:t xml:space="preserve"> 229 to 233 apply)”</w:t>
      </w:r>
      <w:r>
        <w:t xml:space="preserve"> do not appear in table items 235 and 236 of Group A7 of Division 1.6 of Schedule 1. However, the words </w:t>
      </w:r>
      <w:r w:rsidRPr="003C6A2B">
        <w:rPr>
          <w:szCs w:val="22"/>
        </w:rPr>
        <w:t>“items 721 to 732 of the general</w:t>
      </w:r>
      <w:r>
        <w:rPr>
          <w:szCs w:val="22"/>
        </w:rPr>
        <w:t xml:space="preserve"> medical services table or item</w:t>
      </w:r>
      <w:r w:rsidRPr="003C6A2B">
        <w:rPr>
          <w:szCs w:val="22"/>
        </w:rPr>
        <w:t xml:space="preserve"> 229 to 233 apply)”</w:t>
      </w:r>
      <w:r>
        <w:t xml:space="preserve"> do appear.</w:t>
      </w:r>
    </w:p>
    <w:p w:rsidR="007426A8" w:rsidRDefault="007426A8" w:rsidP="007426A8"/>
    <w:p w:rsidR="007426A8" w:rsidRPr="00F1113C" w:rsidRDefault="007426A8" w:rsidP="007426A8">
      <w:r>
        <w:t xml:space="preserve">This compilation was editorially changed to omit </w:t>
      </w:r>
      <w:r w:rsidRPr="00781BA6">
        <w:t>the words</w:t>
      </w:r>
      <w:r>
        <w:t xml:space="preserve"> </w:t>
      </w:r>
      <w:r w:rsidRPr="003C6A2B">
        <w:rPr>
          <w:szCs w:val="22"/>
        </w:rPr>
        <w:t>“items 721 to 732 of the general</w:t>
      </w:r>
      <w:r>
        <w:rPr>
          <w:szCs w:val="22"/>
        </w:rPr>
        <w:t xml:space="preserve"> medical services table or item</w:t>
      </w:r>
      <w:r w:rsidRPr="003C6A2B">
        <w:rPr>
          <w:szCs w:val="22"/>
        </w:rPr>
        <w:t xml:space="preserve"> 229 to 233 apply)”</w:t>
      </w:r>
      <w:r>
        <w:rPr>
          <w:szCs w:val="22"/>
        </w:rPr>
        <w:t xml:space="preserve"> and substitute “</w:t>
      </w:r>
      <w:r w:rsidRPr="003C6A2B">
        <w:rPr>
          <w:szCs w:val="22"/>
        </w:rPr>
        <w:t xml:space="preserve">items 721 to 732 of the general medical </w:t>
      </w:r>
      <w:r w:rsidRPr="003C6A2B">
        <w:rPr>
          <w:szCs w:val="22"/>
        </w:rPr>
        <w:lastRenderedPageBreak/>
        <w:t>services table, or items 229 to 233, or items 92024 to 92028, 92055 to 92059, 92068 to 92072, or 92099 to 92103 of the COVID-19 Determination, apply)</w:t>
      </w:r>
      <w:r>
        <w:rPr>
          <w:szCs w:val="22"/>
        </w:rPr>
        <w:t>”</w:t>
      </w:r>
      <w:r>
        <w:t xml:space="preserve"> in table items 235 and 236 of Group A7 of Division 1.6 of Schedule 1 to give effect to the misdescribed amendments as intended.</w:t>
      </w:r>
    </w:p>
    <w:p w:rsidR="007426A8" w:rsidRPr="00F1113C" w:rsidRDefault="007426A8" w:rsidP="007426A8"/>
    <w:p w:rsidR="007426A8" w:rsidRPr="00F1113C" w:rsidRDefault="007426A8" w:rsidP="007426A8"/>
    <w:p w:rsidR="007426A8" w:rsidRPr="00DE5123" w:rsidRDefault="007426A8" w:rsidP="007426A8">
      <w:pPr>
        <w:rPr>
          <w:b/>
          <w:sz w:val="24"/>
          <w:szCs w:val="24"/>
        </w:rPr>
      </w:pPr>
      <w:r w:rsidRPr="004015FF">
        <w:rPr>
          <w:b/>
          <w:sz w:val="24"/>
          <w:szCs w:val="24"/>
        </w:rPr>
        <w:t>Division 1.11</w:t>
      </w:r>
      <w:r>
        <w:rPr>
          <w:b/>
          <w:sz w:val="24"/>
          <w:szCs w:val="24"/>
        </w:rPr>
        <w:t xml:space="preserve"> of </w:t>
      </w:r>
      <w:r w:rsidRPr="0055223B">
        <w:rPr>
          <w:b/>
          <w:sz w:val="24"/>
          <w:szCs w:val="24"/>
        </w:rPr>
        <w:t>Schedule 1</w:t>
      </w:r>
      <w:r w:rsidRPr="004015FF">
        <w:rPr>
          <w:b/>
          <w:sz w:val="24"/>
          <w:szCs w:val="24"/>
        </w:rPr>
        <w:t xml:space="preserve"> (</w:t>
      </w:r>
      <w:r>
        <w:rPr>
          <w:b/>
          <w:sz w:val="24"/>
          <w:szCs w:val="24"/>
        </w:rPr>
        <w:t xml:space="preserve">table </w:t>
      </w:r>
      <w:r w:rsidRPr="004015FF">
        <w:rPr>
          <w:b/>
          <w:sz w:val="24"/>
          <w:szCs w:val="24"/>
        </w:rPr>
        <w:t>item 792)</w:t>
      </w:r>
    </w:p>
    <w:p w:rsidR="007426A8" w:rsidRPr="00F1113C" w:rsidRDefault="007426A8" w:rsidP="007426A8"/>
    <w:p w:rsidR="007426A8" w:rsidRPr="00F1113C" w:rsidRDefault="007426A8" w:rsidP="007426A8">
      <w:pPr>
        <w:rPr>
          <w:b/>
        </w:rPr>
      </w:pPr>
      <w:r w:rsidRPr="00F1113C">
        <w:rPr>
          <w:b/>
        </w:rPr>
        <w:t>Kind of editorial change</w:t>
      </w:r>
    </w:p>
    <w:p w:rsidR="007426A8" w:rsidRPr="00F1113C" w:rsidRDefault="007426A8" w:rsidP="007426A8"/>
    <w:p w:rsidR="007426A8" w:rsidRPr="00F1113C" w:rsidRDefault="007426A8" w:rsidP="007426A8">
      <w:r w:rsidRPr="00F536A9">
        <w:t>Change to punctuation</w:t>
      </w:r>
    </w:p>
    <w:p w:rsidR="007426A8" w:rsidRPr="00F1113C" w:rsidRDefault="007426A8" w:rsidP="007426A8"/>
    <w:p w:rsidR="007426A8" w:rsidRPr="00F1113C" w:rsidRDefault="007426A8" w:rsidP="007426A8">
      <w:pPr>
        <w:rPr>
          <w:b/>
        </w:rPr>
      </w:pPr>
      <w:r w:rsidRPr="00F1113C">
        <w:rPr>
          <w:b/>
        </w:rPr>
        <w:t>Details of editorial change</w:t>
      </w:r>
    </w:p>
    <w:p w:rsidR="007426A8" w:rsidRPr="00F1113C" w:rsidRDefault="007426A8" w:rsidP="007426A8"/>
    <w:p w:rsidR="007426A8" w:rsidRDefault="007426A8" w:rsidP="007426A8">
      <w:r w:rsidRPr="00F536A9">
        <w:t xml:space="preserve">Schedule </w:t>
      </w:r>
      <w:r>
        <w:t>2</w:t>
      </w:r>
      <w:r w:rsidRPr="00F536A9">
        <w:t xml:space="preserve"> item 1</w:t>
      </w:r>
      <w:r>
        <w:t>0</w:t>
      </w:r>
      <w:r w:rsidRPr="00F536A9">
        <w:t xml:space="preserve"> of the </w:t>
      </w:r>
      <w:r w:rsidRPr="003C6A2B">
        <w:rPr>
          <w:rFonts w:eastAsia="Times New Roman"/>
          <w:i/>
          <w:lang w:eastAsia="en-AU"/>
        </w:rPr>
        <w:t>Health Insurance (Section 3C General Medical Services – GP and Allied Health COVID-19 Services) Amendment (Consequential) Determination 2020</w:t>
      </w:r>
      <w:r w:rsidRPr="00F536A9">
        <w:t xml:space="preserve"> provides as follows:</w:t>
      </w:r>
    </w:p>
    <w:p w:rsidR="007426A8" w:rsidRDefault="007426A8" w:rsidP="007426A8"/>
    <w:p w:rsidR="007426A8" w:rsidRPr="003C6A2B" w:rsidRDefault="007426A8" w:rsidP="007426A8">
      <w:pPr>
        <w:pStyle w:val="ItemHead"/>
        <w:spacing w:before="0"/>
        <w:ind w:left="714" w:hanging="357"/>
      </w:pPr>
      <w:r w:rsidRPr="003C6A2B">
        <w:t>10.</w:t>
      </w:r>
      <w:r w:rsidRPr="003C6A2B">
        <w:tab/>
        <w:t>Schedule 1, Division 1.11 (item 792)</w:t>
      </w:r>
    </w:p>
    <w:p w:rsidR="007426A8" w:rsidRPr="003C6A2B" w:rsidRDefault="007426A8" w:rsidP="007426A8">
      <w:pPr>
        <w:pStyle w:val="Tablea"/>
        <w:keepNext/>
        <w:keepLines/>
        <w:ind w:left="993"/>
        <w:rPr>
          <w:sz w:val="22"/>
          <w:szCs w:val="22"/>
        </w:rPr>
      </w:pPr>
      <w:r w:rsidRPr="003C6A2B">
        <w:rPr>
          <w:sz w:val="22"/>
          <w:szCs w:val="22"/>
        </w:rPr>
        <w:t>Omit:</w:t>
      </w:r>
    </w:p>
    <w:p w:rsidR="007426A8" w:rsidRPr="003C6A2B" w:rsidRDefault="007426A8" w:rsidP="007426A8">
      <w:pPr>
        <w:pStyle w:val="Tablea"/>
        <w:keepNext/>
        <w:keepLines/>
        <w:ind w:left="993" w:firstLine="0"/>
        <w:rPr>
          <w:sz w:val="22"/>
          <w:szCs w:val="22"/>
        </w:rPr>
      </w:pPr>
      <w:r w:rsidRPr="003C6A2B">
        <w:rPr>
          <w:sz w:val="22"/>
          <w:szCs w:val="22"/>
        </w:rPr>
        <w:t>or 81010 of the general medical services table applies in relation to that pregnancy</w:t>
      </w:r>
    </w:p>
    <w:p w:rsidR="007426A8" w:rsidRPr="003C6A2B" w:rsidRDefault="007426A8" w:rsidP="007426A8">
      <w:pPr>
        <w:pStyle w:val="Item"/>
        <w:ind w:left="993"/>
        <w:rPr>
          <w:sz w:val="18"/>
          <w:szCs w:val="18"/>
        </w:rPr>
      </w:pPr>
      <w:r w:rsidRPr="003C6A2B">
        <w:rPr>
          <w:sz w:val="18"/>
          <w:szCs w:val="18"/>
        </w:rPr>
        <w:t xml:space="preserve">Note: For items 81000, 81005 and 81010, see the determination about allied health services under subsection 3C(1) of the Act. </w:t>
      </w:r>
    </w:p>
    <w:p w:rsidR="007426A8" w:rsidRPr="003C6A2B" w:rsidRDefault="007426A8" w:rsidP="007426A8">
      <w:pPr>
        <w:pStyle w:val="Tablea"/>
        <w:keepNext/>
        <w:keepLines/>
        <w:ind w:left="993"/>
        <w:rPr>
          <w:sz w:val="22"/>
          <w:szCs w:val="22"/>
        </w:rPr>
      </w:pPr>
      <w:r w:rsidRPr="003C6A2B">
        <w:rPr>
          <w:sz w:val="22"/>
          <w:szCs w:val="22"/>
        </w:rPr>
        <w:t>substitute:</w:t>
      </w:r>
    </w:p>
    <w:p w:rsidR="007426A8" w:rsidRPr="003C6A2B" w:rsidRDefault="007426A8" w:rsidP="007426A8">
      <w:pPr>
        <w:pStyle w:val="Tablea"/>
        <w:keepNext/>
        <w:keepLines/>
        <w:ind w:left="993" w:firstLine="0"/>
        <w:rPr>
          <w:sz w:val="22"/>
          <w:szCs w:val="22"/>
        </w:rPr>
      </w:pPr>
      <w:r w:rsidRPr="003C6A2B">
        <w:rPr>
          <w:sz w:val="22"/>
          <w:szCs w:val="22"/>
        </w:rPr>
        <w:t>81010, 93026, 93029, 92136, 92137, 92138 or 92139 of the general medical services table applies in relation to that pregnancy</w:t>
      </w:r>
    </w:p>
    <w:p w:rsidR="007426A8" w:rsidRPr="003C6A2B" w:rsidRDefault="007426A8" w:rsidP="007426A8">
      <w:pPr>
        <w:pStyle w:val="Item"/>
        <w:ind w:left="993"/>
        <w:rPr>
          <w:sz w:val="18"/>
          <w:szCs w:val="18"/>
        </w:rPr>
      </w:pPr>
      <w:r w:rsidRPr="003C6A2B">
        <w:rPr>
          <w:sz w:val="18"/>
          <w:szCs w:val="18"/>
        </w:rPr>
        <w:t>Note: For items 81000, 81005 and 81010, see the determination about allied health services under subsection 3C(1) of the Act.  For items 93026, 93029, 92136, 92137, 92138 or 92139 see the COVID-19 Determination.</w:t>
      </w:r>
    </w:p>
    <w:p w:rsidR="007426A8" w:rsidRDefault="007426A8" w:rsidP="007426A8"/>
    <w:p w:rsidR="007426A8" w:rsidRPr="00F1113C" w:rsidRDefault="007426A8" w:rsidP="007426A8">
      <w:r w:rsidRPr="00DE5123">
        <w:t>This compilation was editorially changed to insert a comma before “</w:t>
      </w:r>
      <w:r w:rsidRPr="003C6A2B">
        <w:rPr>
          <w:szCs w:val="22"/>
        </w:rPr>
        <w:t>81010, 93026,</w:t>
      </w:r>
      <w:r w:rsidRPr="00DE5123">
        <w:t xml:space="preserve">” in </w:t>
      </w:r>
      <w:r>
        <w:t>table item 792</w:t>
      </w:r>
      <w:r w:rsidRPr="00DE5123">
        <w:t xml:space="preserve"> of Division</w:t>
      </w:r>
      <w:r>
        <w:t> 1</w:t>
      </w:r>
      <w:r w:rsidRPr="00DE5123">
        <w:t>.1</w:t>
      </w:r>
      <w:r>
        <w:t>1</w:t>
      </w:r>
      <w:r w:rsidRPr="00DE5123">
        <w:t xml:space="preserve"> of Schedule</w:t>
      </w:r>
      <w:r>
        <w:t> 1</w:t>
      </w:r>
      <w:r w:rsidRPr="00DE5123">
        <w:t xml:space="preserve"> to correct the punctuation.</w:t>
      </w:r>
    </w:p>
    <w:p w:rsidR="005D06A2" w:rsidRDefault="005D06A2" w:rsidP="005D06A2">
      <w:pPr>
        <w:pStyle w:val="Head2"/>
        <w:keepLines/>
      </w:pPr>
      <w:r w:rsidRPr="0006617D">
        <w:t>Australian Defence Force Superannuation Act 2015</w:t>
      </w:r>
      <w:r>
        <w:t>, Compilation No. 3,</w:t>
      </w:r>
      <w:r w:rsidRPr="003342C4">
        <w:t xml:space="preserve"> Registration Date:</w:t>
      </w:r>
      <w:r>
        <w:t xml:space="preserve"> 15 June 2020 [</w:t>
      </w:r>
      <w:r>
        <w:rPr>
          <w:bCs/>
        </w:rPr>
        <w:t>C2020C00172</w:t>
      </w:r>
      <w:r>
        <w:t>]</w:t>
      </w:r>
    </w:p>
    <w:p w:rsidR="005D06A2" w:rsidRPr="0006617D" w:rsidRDefault="005D06A2" w:rsidP="005D06A2"/>
    <w:p w:rsidR="005D06A2" w:rsidRPr="0006617D" w:rsidRDefault="005D06A2" w:rsidP="005D06A2">
      <w:pPr>
        <w:rPr>
          <w:b/>
          <w:sz w:val="24"/>
          <w:szCs w:val="24"/>
        </w:rPr>
      </w:pPr>
      <w:r w:rsidRPr="0006617D">
        <w:rPr>
          <w:b/>
          <w:sz w:val="24"/>
          <w:szCs w:val="24"/>
        </w:rPr>
        <w:t>Section</w:t>
      </w:r>
      <w:r>
        <w:rPr>
          <w:b/>
          <w:sz w:val="24"/>
          <w:szCs w:val="24"/>
        </w:rPr>
        <w:t> </w:t>
      </w:r>
      <w:r w:rsidRPr="0006617D">
        <w:rPr>
          <w:b/>
          <w:sz w:val="24"/>
          <w:szCs w:val="24"/>
        </w:rPr>
        <w:t>4 (</w:t>
      </w:r>
      <w:r>
        <w:rPr>
          <w:b/>
          <w:sz w:val="24"/>
          <w:szCs w:val="24"/>
        </w:rPr>
        <w:t>paragraph (</w:t>
      </w:r>
      <w:r w:rsidRPr="0006617D">
        <w:rPr>
          <w:b/>
          <w:sz w:val="24"/>
          <w:szCs w:val="24"/>
        </w:rPr>
        <w:t xml:space="preserve">a) of the definition of </w:t>
      </w:r>
      <w:r w:rsidRPr="0006617D">
        <w:rPr>
          <w:b/>
          <w:i/>
          <w:sz w:val="24"/>
          <w:szCs w:val="24"/>
        </w:rPr>
        <w:t>continuous full</w:t>
      </w:r>
      <w:r>
        <w:rPr>
          <w:b/>
          <w:i/>
          <w:sz w:val="24"/>
          <w:szCs w:val="24"/>
        </w:rPr>
        <w:noBreakHyphen/>
      </w:r>
      <w:r w:rsidRPr="0006617D">
        <w:rPr>
          <w:b/>
          <w:i/>
          <w:sz w:val="24"/>
          <w:szCs w:val="24"/>
        </w:rPr>
        <w:t>time Reservist</w:t>
      </w:r>
      <w:r w:rsidRPr="0006617D">
        <w:rPr>
          <w:b/>
          <w:sz w:val="24"/>
          <w:szCs w:val="24"/>
        </w:rPr>
        <w:t>)</w:t>
      </w:r>
    </w:p>
    <w:p w:rsidR="005D06A2" w:rsidRPr="004F1ED0" w:rsidRDefault="005D06A2" w:rsidP="005D06A2"/>
    <w:p w:rsidR="005D06A2" w:rsidRPr="0006617D" w:rsidRDefault="005D06A2" w:rsidP="005D06A2">
      <w:pPr>
        <w:rPr>
          <w:b/>
        </w:rPr>
      </w:pPr>
      <w:r w:rsidRPr="0006617D">
        <w:rPr>
          <w:b/>
        </w:rPr>
        <w:t>Kind of editorial change</w:t>
      </w:r>
    </w:p>
    <w:p w:rsidR="005D06A2" w:rsidRPr="0006617D" w:rsidRDefault="005D06A2" w:rsidP="005D06A2"/>
    <w:p w:rsidR="005D06A2" w:rsidRPr="004F1ED0" w:rsidRDefault="005D06A2" w:rsidP="005D06A2">
      <w:r w:rsidRPr="0006617D">
        <w:t>Change to punctuation</w:t>
      </w:r>
    </w:p>
    <w:p w:rsidR="005D06A2" w:rsidRPr="0006617D" w:rsidRDefault="005D06A2" w:rsidP="005D06A2"/>
    <w:p w:rsidR="005D06A2" w:rsidRPr="0006617D" w:rsidRDefault="005D06A2" w:rsidP="005D06A2">
      <w:pPr>
        <w:rPr>
          <w:b/>
        </w:rPr>
      </w:pPr>
      <w:r w:rsidRPr="0006617D">
        <w:rPr>
          <w:b/>
        </w:rPr>
        <w:t>Details of editorial change</w:t>
      </w:r>
    </w:p>
    <w:p w:rsidR="005D06A2" w:rsidRPr="004F1ED0" w:rsidRDefault="005D06A2" w:rsidP="005D06A2"/>
    <w:p w:rsidR="005D06A2" w:rsidRPr="0006617D" w:rsidRDefault="005D06A2" w:rsidP="005D06A2">
      <w:r w:rsidRPr="0006617D">
        <w:t>The amendment made by Schedule</w:t>
      </w:r>
      <w:r>
        <w:t> </w:t>
      </w:r>
      <w:r w:rsidRPr="0006617D">
        <w:t>2 item</w:t>
      </w:r>
      <w:r>
        <w:t> </w:t>
      </w:r>
      <w:r w:rsidRPr="0006617D">
        <w:t xml:space="preserve">10 of the </w:t>
      </w:r>
      <w:r w:rsidRPr="0006617D">
        <w:rPr>
          <w:i/>
        </w:rPr>
        <w:t>Defence Legislation Amendment (First Principles) Act 2015</w:t>
      </w:r>
      <w:r w:rsidRPr="0006617D">
        <w:t xml:space="preserve"> leaves no punctuation at the end of </w:t>
      </w:r>
      <w:r>
        <w:t>paragraph (</w:t>
      </w:r>
      <w:r w:rsidRPr="0006617D">
        <w:t>a) of the definition.</w:t>
      </w:r>
    </w:p>
    <w:p w:rsidR="005D06A2" w:rsidRPr="0006617D" w:rsidRDefault="005D06A2" w:rsidP="005D06A2"/>
    <w:p w:rsidR="005D06A2" w:rsidRPr="0006617D" w:rsidRDefault="005D06A2" w:rsidP="005D06A2">
      <w:r w:rsidRPr="0006617D">
        <w:t xml:space="preserve">This compilation was editorially changed to add “; and” at the end of </w:t>
      </w:r>
      <w:r>
        <w:t>paragraph (</w:t>
      </w:r>
      <w:r w:rsidRPr="0006617D">
        <w:t>a) of the definition to bring it into line with legislative drafting practice.</w:t>
      </w:r>
    </w:p>
    <w:p w:rsidR="00A20D8F" w:rsidRDefault="00A20D8F" w:rsidP="00A20D8F">
      <w:pPr>
        <w:pStyle w:val="Head2"/>
        <w:keepLines/>
      </w:pPr>
      <w:r>
        <w:lastRenderedPageBreak/>
        <w:t>Health Insurance (Section 3C General Medical Services - COVID-19 Telehealth and Telephone Attendances) Determination 2020, Compilation No. 4,</w:t>
      </w:r>
      <w:r w:rsidRPr="003342C4">
        <w:t xml:space="preserve"> Registration Date:</w:t>
      </w:r>
      <w:r>
        <w:t xml:space="preserve"> 10 June 2020 [</w:t>
      </w:r>
      <w:r>
        <w:rPr>
          <w:bCs/>
        </w:rPr>
        <w:t>F2020C00479</w:t>
      </w:r>
      <w:r>
        <w:t>]</w:t>
      </w:r>
    </w:p>
    <w:p w:rsidR="00A20D8F" w:rsidRPr="00F1113C" w:rsidRDefault="00A20D8F" w:rsidP="00A20D8F"/>
    <w:p w:rsidR="00A20D8F" w:rsidRPr="00A317D2" w:rsidRDefault="00A20D8F" w:rsidP="00A20D8F">
      <w:pPr>
        <w:rPr>
          <w:b/>
          <w:sz w:val="24"/>
          <w:szCs w:val="24"/>
        </w:rPr>
      </w:pPr>
      <w:r w:rsidRPr="00A317D2">
        <w:rPr>
          <w:b/>
          <w:sz w:val="24"/>
          <w:szCs w:val="24"/>
        </w:rPr>
        <w:t xml:space="preserve">Subclause 4.1.2(1) of Schedule 4 (definition of </w:t>
      </w:r>
      <w:r w:rsidRPr="00100480">
        <w:rPr>
          <w:b/>
          <w:i/>
          <w:sz w:val="24"/>
          <w:szCs w:val="24"/>
        </w:rPr>
        <w:t>person with a chronic disease</w:t>
      </w:r>
      <w:r w:rsidRPr="00100480">
        <w:rPr>
          <w:b/>
          <w:sz w:val="24"/>
          <w:szCs w:val="24"/>
        </w:rPr>
        <w:t>)</w:t>
      </w:r>
    </w:p>
    <w:p w:rsidR="00A20D8F" w:rsidRPr="00F1113C" w:rsidRDefault="00A20D8F" w:rsidP="00A20D8F"/>
    <w:p w:rsidR="00A20D8F" w:rsidRPr="00F1113C" w:rsidRDefault="00A20D8F" w:rsidP="00A20D8F">
      <w:pPr>
        <w:rPr>
          <w:b/>
        </w:rPr>
      </w:pPr>
      <w:r w:rsidRPr="00F1113C">
        <w:rPr>
          <w:b/>
        </w:rPr>
        <w:t>Kind of editorial change</w:t>
      </w:r>
    </w:p>
    <w:p w:rsidR="00A20D8F" w:rsidRPr="00F1113C" w:rsidRDefault="00A20D8F" w:rsidP="00A20D8F"/>
    <w:p w:rsidR="00A20D8F" w:rsidRPr="00F1113C" w:rsidRDefault="00A20D8F" w:rsidP="00A20D8F">
      <w:r w:rsidRPr="00F72FDB">
        <w:t>Change to punctuation</w:t>
      </w:r>
    </w:p>
    <w:p w:rsidR="00A20D8F" w:rsidRPr="00F1113C" w:rsidRDefault="00A20D8F" w:rsidP="00A20D8F"/>
    <w:p w:rsidR="00A20D8F" w:rsidRPr="00F1113C" w:rsidRDefault="00A20D8F" w:rsidP="00A20D8F">
      <w:pPr>
        <w:rPr>
          <w:b/>
        </w:rPr>
      </w:pPr>
      <w:r w:rsidRPr="00F1113C">
        <w:rPr>
          <w:b/>
        </w:rPr>
        <w:t>Details of editorial change</w:t>
      </w:r>
    </w:p>
    <w:p w:rsidR="00A20D8F" w:rsidRPr="00F1113C" w:rsidRDefault="00A20D8F" w:rsidP="00A20D8F"/>
    <w:p w:rsidR="00A20D8F" w:rsidRDefault="00A20D8F" w:rsidP="00A20D8F">
      <w:r>
        <w:t xml:space="preserve">Schedule 1 item 15 of the </w:t>
      </w:r>
      <w:r w:rsidRPr="00C04168">
        <w:rPr>
          <w:i/>
        </w:rPr>
        <w:t>Health Insurance (Section 3C General Medical Services – COVID-19 Telehealth and Telephone Attendances) Amendment (Bulk-billing Requirement and New Remote Attendance Services) Determination 2020</w:t>
      </w:r>
      <w:r>
        <w:t xml:space="preserve"> instructs to insert clause 4.1.2 after clause 4.1.1 of Schedule 4.</w:t>
      </w:r>
    </w:p>
    <w:p w:rsidR="00A20D8F" w:rsidRDefault="00A20D8F" w:rsidP="00A20D8F"/>
    <w:p w:rsidR="00A20D8F" w:rsidRPr="00F1113C" w:rsidRDefault="00A20D8F" w:rsidP="00A20D8F">
      <w:r>
        <w:t xml:space="preserve">The newly inserted definition of </w:t>
      </w:r>
      <w:r w:rsidRPr="00C04168">
        <w:rPr>
          <w:b/>
          <w:i/>
        </w:rPr>
        <w:t>person with a chronic disease</w:t>
      </w:r>
      <w:r>
        <w:t xml:space="preserve"> in s</w:t>
      </w:r>
      <w:r w:rsidRPr="00100480">
        <w:t>ubclause 4.1.2(1) of Schedule</w:t>
      </w:r>
      <w:r>
        <w:t> </w:t>
      </w:r>
      <w:r w:rsidRPr="00100480">
        <w:t xml:space="preserve">4 </w:t>
      </w:r>
      <w:r>
        <w:t>reads as follows:</w:t>
      </w:r>
    </w:p>
    <w:p w:rsidR="00A20D8F" w:rsidRDefault="00A20D8F" w:rsidP="00A20D8F"/>
    <w:p w:rsidR="00A20D8F" w:rsidRPr="00C04168" w:rsidRDefault="00A20D8F" w:rsidP="00A20D8F">
      <w:pPr>
        <w:pStyle w:val="paragraph"/>
      </w:pPr>
      <w:r w:rsidRPr="00C04168">
        <w:tab/>
      </w:r>
      <w:r w:rsidRPr="00C04168">
        <w:tab/>
      </w:r>
      <w:r w:rsidRPr="00C04168">
        <w:rPr>
          <w:b/>
          <w:i/>
        </w:rPr>
        <w:t>person with a chronic disease</w:t>
      </w:r>
      <w:r w:rsidRPr="00C04168">
        <w:t xml:space="preserve"> means a person who has a care plan under</w:t>
      </w:r>
    </w:p>
    <w:p w:rsidR="00A20D8F" w:rsidRPr="00C04168" w:rsidRDefault="00A20D8F" w:rsidP="00A20D8F">
      <w:pPr>
        <w:pStyle w:val="paragraphsub"/>
      </w:pPr>
      <w:r w:rsidRPr="00C04168">
        <w:tab/>
        <w:t>(a)</w:t>
      </w:r>
      <w:r w:rsidRPr="00C04168">
        <w:tab/>
        <w:t>item 721, 723, 729, 731 or 732 of the general medical services table; or</w:t>
      </w:r>
    </w:p>
    <w:p w:rsidR="00A20D8F" w:rsidRPr="00C04168" w:rsidRDefault="00A20D8F" w:rsidP="00A20D8F">
      <w:pPr>
        <w:pStyle w:val="paragraphsub"/>
      </w:pPr>
      <w:r w:rsidRPr="00C04168">
        <w:tab/>
        <w:t>(b)</w:t>
      </w:r>
      <w:r w:rsidRPr="00C04168">
        <w:tab/>
        <w:t>item 229, 230, 231, 232 or 233 of the Other Medical Practitioner Determination; or</w:t>
      </w:r>
    </w:p>
    <w:p w:rsidR="00A20D8F" w:rsidRPr="00C04168" w:rsidRDefault="00A20D8F" w:rsidP="00A20D8F">
      <w:pPr>
        <w:pStyle w:val="paragraphsub"/>
      </w:pPr>
      <w:r w:rsidRPr="00C04168">
        <w:tab/>
        <w:t>(c)</w:t>
      </w:r>
      <w:r w:rsidRPr="00C04168">
        <w:tab/>
        <w:t>item 92024 to 92028, 92055 to 92059, 92</w:t>
      </w:r>
      <w:r>
        <w:t>068 to 92072 or 92099 to 92103.</w:t>
      </w:r>
    </w:p>
    <w:p w:rsidR="00A20D8F" w:rsidRDefault="00A20D8F" w:rsidP="00A20D8F"/>
    <w:p w:rsidR="00A20D8F" w:rsidRPr="00F1113C" w:rsidRDefault="00A20D8F" w:rsidP="00A20D8F">
      <w:r w:rsidRPr="00F72FDB">
        <w:t xml:space="preserve">This compilation was editorially changed to </w:t>
      </w:r>
      <w:r>
        <w:t>insert a</w:t>
      </w:r>
      <w:r w:rsidRPr="00F72FDB">
        <w:t xml:space="preserve"> </w:t>
      </w:r>
      <w:r>
        <w:t>c</w:t>
      </w:r>
      <w:r w:rsidRPr="00F72FDB">
        <w:t xml:space="preserve">olon </w:t>
      </w:r>
      <w:r>
        <w:t xml:space="preserve">after the word “under” in the definition of </w:t>
      </w:r>
      <w:r w:rsidRPr="00C04168">
        <w:rPr>
          <w:b/>
          <w:i/>
        </w:rPr>
        <w:t>person with a chronic disease</w:t>
      </w:r>
      <w:r w:rsidRPr="00F72FDB">
        <w:t xml:space="preserve"> </w:t>
      </w:r>
      <w:r>
        <w:t>in s</w:t>
      </w:r>
      <w:r w:rsidRPr="00BC3291">
        <w:t>ubclause</w:t>
      </w:r>
      <w:r>
        <w:t> </w:t>
      </w:r>
      <w:r w:rsidRPr="00BC3291">
        <w:t>4.1.2(1) of Schedule</w:t>
      </w:r>
      <w:r>
        <w:t> </w:t>
      </w:r>
      <w:r w:rsidRPr="00BC3291">
        <w:t>4</w:t>
      </w:r>
      <w:r w:rsidRPr="00F72FDB">
        <w:t xml:space="preserve"> to correct the punctuation.</w:t>
      </w:r>
    </w:p>
    <w:p w:rsidR="009141F2" w:rsidRDefault="009141F2" w:rsidP="003E0FC7">
      <w:pPr>
        <w:pStyle w:val="Head2"/>
        <w:keepLines/>
      </w:pPr>
      <w:r w:rsidRPr="006A1FC9">
        <w:t>Child Care Subsidy Minister’s Rules 2017</w:t>
      </w:r>
      <w:r>
        <w:t>, Compilation No. 11,</w:t>
      </w:r>
      <w:r w:rsidRPr="003342C4">
        <w:t xml:space="preserve"> Registration Date:</w:t>
      </w:r>
      <w:r>
        <w:t xml:space="preserve"> 9 June 2020 [</w:t>
      </w:r>
      <w:r>
        <w:rPr>
          <w:bCs/>
        </w:rPr>
        <w:t>F2020C00470</w:t>
      </w:r>
      <w:r>
        <w:t>]</w:t>
      </w:r>
    </w:p>
    <w:p w:rsidR="009141F2" w:rsidRPr="00F2598C" w:rsidRDefault="009141F2" w:rsidP="003E0FC7">
      <w:pPr>
        <w:keepNext/>
        <w:keepLines/>
      </w:pPr>
    </w:p>
    <w:p w:rsidR="009141F2" w:rsidRPr="004549F1" w:rsidRDefault="009141F2" w:rsidP="003E0FC7">
      <w:pPr>
        <w:keepNext/>
        <w:keepLines/>
        <w:rPr>
          <w:b/>
          <w:sz w:val="24"/>
          <w:szCs w:val="24"/>
        </w:rPr>
      </w:pPr>
      <w:r>
        <w:rPr>
          <w:b/>
          <w:sz w:val="24"/>
          <w:szCs w:val="24"/>
        </w:rPr>
        <w:t>Paragraph 8(1)(g)</w:t>
      </w:r>
    </w:p>
    <w:p w:rsidR="009141F2" w:rsidRPr="00B054F9" w:rsidRDefault="009141F2" w:rsidP="009141F2"/>
    <w:p w:rsidR="009141F2" w:rsidRPr="004549F1" w:rsidRDefault="009141F2" w:rsidP="009141F2">
      <w:pPr>
        <w:rPr>
          <w:b/>
        </w:rPr>
      </w:pPr>
      <w:r w:rsidRPr="004549F1">
        <w:rPr>
          <w:b/>
        </w:rPr>
        <w:t>Kind of editorial change</w:t>
      </w:r>
    </w:p>
    <w:p w:rsidR="009141F2" w:rsidRPr="004549F1" w:rsidRDefault="009141F2" w:rsidP="009141F2"/>
    <w:p w:rsidR="009141F2" w:rsidRPr="00B054F9" w:rsidRDefault="009141F2" w:rsidP="009141F2">
      <w:r w:rsidRPr="0097246C">
        <w:t>Change to punctuation</w:t>
      </w:r>
    </w:p>
    <w:p w:rsidR="009141F2" w:rsidRPr="004549F1" w:rsidRDefault="009141F2" w:rsidP="009141F2"/>
    <w:p w:rsidR="009141F2" w:rsidRPr="004549F1" w:rsidRDefault="009141F2" w:rsidP="009141F2">
      <w:pPr>
        <w:rPr>
          <w:b/>
        </w:rPr>
      </w:pPr>
      <w:r w:rsidRPr="004549F1">
        <w:rPr>
          <w:b/>
        </w:rPr>
        <w:t>Details of editorial change</w:t>
      </w:r>
    </w:p>
    <w:p w:rsidR="009141F2" w:rsidRPr="00B054F9" w:rsidRDefault="009141F2" w:rsidP="009141F2"/>
    <w:p w:rsidR="009141F2" w:rsidRDefault="009141F2" w:rsidP="009141F2">
      <w:r w:rsidRPr="0097246C">
        <w:t xml:space="preserve">Schedule 1 item 1 of the </w:t>
      </w:r>
      <w:r w:rsidRPr="002400D4">
        <w:rPr>
          <w:i/>
        </w:rPr>
        <w:t>Child Care Subsidy Amendment (Coronavirus Response Measures No.</w:t>
      </w:r>
      <w:r>
        <w:rPr>
          <w:i/>
        </w:rPr>
        <w:t> </w:t>
      </w:r>
      <w:r w:rsidRPr="002400D4">
        <w:rPr>
          <w:i/>
        </w:rPr>
        <w:t>3) Minister’s Rules 2020</w:t>
      </w:r>
      <w:r w:rsidRPr="0097246C">
        <w:t xml:space="preserve"> </w:t>
      </w:r>
      <w:r w:rsidRPr="00836570">
        <w:t xml:space="preserve">instructs to insert </w:t>
      </w:r>
      <w:r>
        <w:t>paragraphs 8(1)(h) and (i) after paragraph 8(1)(g).</w:t>
      </w:r>
    </w:p>
    <w:p w:rsidR="009141F2" w:rsidRDefault="009141F2" w:rsidP="009141F2"/>
    <w:p w:rsidR="009141F2" w:rsidRDefault="009141F2" w:rsidP="009141F2">
      <w:pPr>
        <w:rPr>
          <w:szCs w:val="22"/>
        </w:rPr>
      </w:pPr>
      <w:r w:rsidRPr="00836570">
        <w:rPr>
          <w:szCs w:val="22"/>
        </w:rPr>
        <w:t xml:space="preserve">Paragraph </w:t>
      </w:r>
      <w:r>
        <w:t>8(1)(g)</w:t>
      </w:r>
      <w:r w:rsidRPr="00836570">
        <w:rPr>
          <w:szCs w:val="22"/>
        </w:rPr>
        <w:t xml:space="preserve"> ends in a full stop despite being followed by paragraph</w:t>
      </w:r>
      <w:r>
        <w:rPr>
          <w:szCs w:val="22"/>
        </w:rPr>
        <w:t>s </w:t>
      </w:r>
      <w:r>
        <w:t>8(1)(h) and (i)</w:t>
      </w:r>
      <w:r w:rsidRPr="00836570">
        <w:rPr>
          <w:szCs w:val="22"/>
        </w:rPr>
        <w:t>.</w:t>
      </w:r>
    </w:p>
    <w:p w:rsidR="009141F2" w:rsidRDefault="009141F2" w:rsidP="009141F2">
      <w:pPr>
        <w:rPr>
          <w:szCs w:val="22"/>
        </w:rPr>
      </w:pPr>
    </w:p>
    <w:p w:rsidR="009141F2" w:rsidRPr="00F1113C" w:rsidRDefault="009141F2" w:rsidP="009141F2">
      <w:r w:rsidRPr="00836570">
        <w:rPr>
          <w:szCs w:val="22"/>
        </w:rPr>
        <w:t xml:space="preserve">This compilation was editorially changed to omit the full stop at the end of </w:t>
      </w:r>
      <w:r>
        <w:rPr>
          <w:szCs w:val="22"/>
        </w:rPr>
        <w:t>p</w:t>
      </w:r>
      <w:r w:rsidRPr="00836570">
        <w:rPr>
          <w:szCs w:val="22"/>
        </w:rPr>
        <w:t>aragraph</w:t>
      </w:r>
      <w:r>
        <w:rPr>
          <w:szCs w:val="22"/>
        </w:rPr>
        <w:t> </w:t>
      </w:r>
      <w:r>
        <w:t>8(1)(g)</w:t>
      </w:r>
      <w:r w:rsidRPr="00836570">
        <w:rPr>
          <w:szCs w:val="22"/>
        </w:rPr>
        <w:t xml:space="preserve"> and substitute a semicolon to bring it into line with legislative drafting practice.</w:t>
      </w:r>
    </w:p>
    <w:p w:rsidR="003E34F5" w:rsidRDefault="003E34F5" w:rsidP="003E34F5">
      <w:pPr>
        <w:pStyle w:val="Head2"/>
        <w:keepLines/>
      </w:pPr>
      <w:r>
        <w:lastRenderedPageBreak/>
        <w:t xml:space="preserve">National Capital Plan 1990 </w:t>
      </w:r>
      <w:r w:rsidRPr="00FE7F25">
        <w:t>(December 1990)</w:t>
      </w:r>
      <w:r>
        <w:t>, Compilation No. 28,</w:t>
      </w:r>
      <w:r w:rsidRPr="003342C4">
        <w:t xml:space="preserve"> Registration Date:</w:t>
      </w:r>
      <w:r>
        <w:t xml:space="preserve"> 9 June 2020 [</w:t>
      </w:r>
      <w:r>
        <w:rPr>
          <w:bCs/>
        </w:rPr>
        <w:t>F2020C00468</w:t>
      </w:r>
      <w:r>
        <w:t>]</w:t>
      </w:r>
    </w:p>
    <w:p w:rsidR="003E34F5" w:rsidRPr="00845FC8" w:rsidRDefault="003E34F5" w:rsidP="003E34F5"/>
    <w:p w:rsidR="003E34F5" w:rsidRPr="00845FC8" w:rsidRDefault="003E34F5" w:rsidP="003E34F5">
      <w:pPr>
        <w:rPr>
          <w:b/>
        </w:rPr>
      </w:pPr>
      <w:r w:rsidRPr="00845FC8">
        <w:rPr>
          <w:b/>
        </w:rPr>
        <w:t>Kind of editorial change</w:t>
      </w:r>
    </w:p>
    <w:p w:rsidR="003E34F5" w:rsidRPr="00845FC8" w:rsidRDefault="003E34F5" w:rsidP="003E34F5"/>
    <w:p w:rsidR="003E34F5" w:rsidRPr="00845FC8" w:rsidRDefault="003E34F5" w:rsidP="003E34F5">
      <w:r w:rsidRPr="00845FC8">
        <w:t>Renumbering of provisions and updates to cross-references</w:t>
      </w:r>
    </w:p>
    <w:p w:rsidR="003E34F5" w:rsidRPr="00845FC8" w:rsidRDefault="003E34F5" w:rsidP="003E34F5"/>
    <w:p w:rsidR="003E34F5" w:rsidRPr="00845FC8" w:rsidRDefault="003E34F5" w:rsidP="003E34F5">
      <w:pPr>
        <w:rPr>
          <w:b/>
        </w:rPr>
      </w:pPr>
      <w:r w:rsidRPr="00845FC8">
        <w:rPr>
          <w:b/>
        </w:rPr>
        <w:t>Details of editorial change</w:t>
      </w:r>
    </w:p>
    <w:p w:rsidR="003E34F5" w:rsidRPr="00845FC8" w:rsidRDefault="003E34F5" w:rsidP="003E34F5"/>
    <w:p w:rsidR="003E34F5" w:rsidRPr="00845FC8" w:rsidRDefault="003E34F5" w:rsidP="003E34F5">
      <w:r w:rsidRPr="00845FC8">
        <w:t xml:space="preserve">Schedule 1 item 2 of the </w:t>
      </w:r>
      <w:r w:rsidRPr="00845FC8">
        <w:rPr>
          <w:i/>
        </w:rPr>
        <w:t>National Capital Plan – Amendment 94 – National Arboretum Commercial Accommodation</w:t>
      </w:r>
      <w:r w:rsidRPr="00845FC8">
        <w:t xml:space="preserve"> instructs to add a new section 3.2.4.4.</w:t>
      </w:r>
    </w:p>
    <w:p w:rsidR="003E34F5" w:rsidRPr="00845FC8" w:rsidRDefault="003E34F5" w:rsidP="003E34F5"/>
    <w:p w:rsidR="003E34F5" w:rsidRPr="00845FC8" w:rsidRDefault="003E34F5" w:rsidP="003E34F5">
      <w:r w:rsidRPr="00845FC8">
        <w:t>Section 3.2.4.4 occurs twice.</w:t>
      </w:r>
    </w:p>
    <w:p w:rsidR="003E34F5" w:rsidRPr="00845FC8" w:rsidRDefault="003E34F5" w:rsidP="003E34F5"/>
    <w:p w:rsidR="003E34F5" w:rsidRPr="00845FC8" w:rsidRDefault="003E34F5" w:rsidP="003E34F5">
      <w:r w:rsidRPr="00845FC8">
        <w:t>The newly inserted section 3.2.4.4 contains Figures 8 and 9. However, there is already a Figure 8 in section 3.5.3 and a Figure 9 in section 3.7.3.</w:t>
      </w:r>
    </w:p>
    <w:p w:rsidR="003E34F5" w:rsidRPr="00845FC8" w:rsidRDefault="003E34F5" w:rsidP="003E34F5"/>
    <w:p w:rsidR="003E34F5" w:rsidRPr="00845FC8" w:rsidRDefault="003E34F5" w:rsidP="003E34F5">
      <w:r w:rsidRPr="00845FC8">
        <w:t>This compilation was editorially changed by renumbering the newly inserted, second occurring section 3.2.4.4 as section 3.2.4.5.</w:t>
      </w:r>
    </w:p>
    <w:p w:rsidR="003E34F5" w:rsidRPr="00845FC8" w:rsidRDefault="003E34F5" w:rsidP="003E34F5"/>
    <w:p w:rsidR="003E34F5" w:rsidRPr="00845FC8" w:rsidRDefault="003E34F5" w:rsidP="003E34F5">
      <w:r w:rsidRPr="00845FC8">
        <w:t>This compilation was also editorially changed by renumbering the Figures as shown in the table below and updating the cross-references to those Figures.</w:t>
      </w:r>
    </w:p>
    <w:p w:rsidR="003E34F5" w:rsidRDefault="003E34F5" w:rsidP="003E34F5">
      <w:pPr>
        <w:pStyle w:val="Tabletext"/>
      </w:pPr>
    </w:p>
    <w:p w:rsidR="00196713" w:rsidRDefault="00196713" w:rsidP="00196713">
      <w:pPr>
        <w:sectPr w:rsidR="00196713" w:rsidSect="00C1453D">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pPr>
    </w:p>
    <w:tbl>
      <w:tblPr>
        <w:tblW w:w="4253" w:type="dxa"/>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552"/>
        <w:gridCol w:w="1701"/>
      </w:tblGrid>
      <w:tr w:rsidR="003E34F5" w:rsidRPr="00E91D6B" w:rsidTr="008276FB">
        <w:trPr>
          <w:tblHeader/>
        </w:trPr>
        <w:tc>
          <w:tcPr>
            <w:tcW w:w="4253" w:type="dxa"/>
            <w:gridSpan w:val="2"/>
            <w:tcBorders>
              <w:top w:val="single" w:sz="12" w:space="0" w:color="auto"/>
              <w:bottom w:val="single" w:sz="6" w:space="0" w:color="auto"/>
            </w:tcBorders>
            <w:shd w:val="clear" w:color="auto" w:fill="auto"/>
          </w:tcPr>
          <w:p w:rsidR="003E34F5" w:rsidRPr="00E91D6B" w:rsidRDefault="003E34F5" w:rsidP="008276FB">
            <w:pPr>
              <w:pStyle w:val="TableHeading"/>
            </w:pPr>
            <w:r w:rsidRPr="00E91D6B">
              <w:lastRenderedPageBreak/>
              <w:t>Renumbering</w:t>
            </w:r>
          </w:p>
        </w:tc>
      </w:tr>
      <w:tr w:rsidR="003E34F5" w:rsidRPr="00E91D6B" w:rsidTr="008276FB">
        <w:trPr>
          <w:tblHeader/>
        </w:trPr>
        <w:tc>
          <w:tcPr>
            <w:tcW w:w="2552" w:type="dxa"/>
            <w:tcBorders>
              <w:top w:val="single" w:sz="6" w:space="0" w:color="auto"/>
              <w:bottom w:val="single" w:sz="12" w:space="0" w:color="auto"/>
            </w:tcBorders>
            <w:shd w:val="clear" w:color="auto" w:fill="auto"/>
          </w:tcPr>
          <w:p w:rsidR="003E34F5" w:rsidRPr="00E91D6B" w:rsidRDefault="003E34F5" w:rsidP="008276FB">
            <w:pPr>
              <w:pStyle w:val="TableHeading"/>
            </w:pPr>
            <w:r>
              <w:t>Provision</w:t>
            </w:r>
          </w:p>
        </w:tc>
        <w:tc>
          <w:tcPr>
            <w:tcW w:w="1701" w:type="dxa"/>
            <w:tcBorders>
              <w:top w:val="single" w:sz="6" w:space="0" w:color="auto"/>
              <w:bottom w:val="single" w:sz="12" w:space="0" w:color="auto"/>
            </w:tcBorders>
            <w:shd w:val="clear" w:color="auto" w:fill="auto"/>
          </w:tcPr>
          <w:p w:rsidR="003E34F5" w:rsidRPr="00E91D6B" w:rsidRDefault="003E34F5" w:rsidP="008276FB">
            <w:pPr>
              <w:pStyle w:val="TableHeading"/>
              <w:rPr>
                <w:sz w:val="24"/>
              </w:rPr>
            </w:pPr>
            <w:r w:rsidRPr="00E91D6B">
              <w:t>Renumbered as:</w:t>
            </w:r>
          </w:p>
        </w:tc>
      </w:tr>
      <w:tr w:rsidR="003E34F5" w:rsidRPr="00E91D6B" w:rsidTr="008276FB">
        <w:tc>
          <w:tcPr>
            <w:tcW w:w="2552" w:type="dxa"/>
            <w:tcBorders>
              <w:top w:val="single" w:sz="12" w:space="0" w:color="auto"/>
            </w:tcBorders>
            <w:shd w:val="clear" w:color="auto" w:fill="auto"/>
          </w:tcPr>
          <w:p w:rsidR="003E34F5" w:rsidRPr="00E91D6B" w:rsidRDefault="003E34F5" w:rsidP="008276FB">
            <w:pPr>
              <w:pStyle w:val="Tabletext"/>
            </w:pPr>
            <w:r>
              <w:t>Figure 8 (second occurring)</w:t>
            </w:r>
          </w:p>
        </w:tc>
        <w:tc>
          <w:tcPr>
            <w:tcW w:w="1701" w:type="dxa"/>
            <w:tcBorders>
              <w:top w:val="single" w:sz="12" w:space="0" w:color="auto"/>
            </w:tcBorders>
            <w:shd w:val="clear" w:color="auto" w:fill="auto"/>
          </w:tcPr>
          <w:p w:rsidR="003E34F5" w:rsidRPr="00E91D6B" w:rsidRDefault="003E34F5" w:rsidP="008276FB">
            <w:pPr>
              <w:pStyle w:val="Tabletext"/>
            </w:pPr>
            <w:r>
              <w:t>Figure 10</w:t>
            </w:r>
          </w:p>
        </w:tc>
      </w:tr>
      <w:tr w:rsidR="003E34F5" w:rsidRPr="00E91D6B" w:rsidTr="008276FB">
        <w:tc>
          <w:tcPr>
            <w:tcW w:w="2552" w:type="dxa"/>
            <w:shd w:val="clear" w:color="auto" w:fill="auto"/>
          </w:tcPr>
          <w:p w:rsidR="003E34F5" w:rsidRPr="00E91D6B" w:rsidRDefault="003E34F5" w:rsidP="008276FB">
            <w:pPr>
              <w:pStyle w:val="Tabletext"/>
            </w:pPr>
            <w:r>
              <w:t>Figure 9 (second occurring)</w:t>
            </w:r>
          </w:p>
        </w:tc>
        <w:tc>
          <w:tcPr>
            <w:tcW w:w="1701" w:type="dxa"/>
            <w:shd w:val="clear" w:color="auto" w:fill="auto"/>
          </w:tcPr>
          <w:p w:rsidR="003E34F5" w:rsidRPr="00E91D6B" w:rsidRDefault="003E34F5" w:rsidP="008276FB">
            <w:pPr>
              <w:pStyle w:val="Tabletext"/>
            </w:pPr>
            <w:r>
              <w:t>Figure 11</w:t>
            </w:r>
          </w:p>
        </w:tc>
      </w:tr>
      <w:tr w:rsidR="003E34F5" w:rsidRPr="00E91D6B" w:rsidTr="008276FB">
        <w:tc>
          <w:tcPr>
            <w:tcW w:w="2552" w:type="dxa"/>
            <w:tcBorders>
              <w:bottom w:val="single" w:sz="2" w:space="0" w:color="auto"/>
            </w:tcBorders>
            <w:shd w:val="clear" w:color="auto" w:fill="auto"/>
          </w:tcPr>
          <w:p w:rsidR="003E34F5" w:rsidRPr="00E91D6B" w:rsidRDefault="003E34F5" w:rsidP="008276FB">
            <w:pPr>
              <w:pStyle w:val="Tabletext"/>
            </w:pPr>
            <w:r>
              <w:t>Figure 10</w:t>
            </w:r>
          </w:p>
        </w:tc>
        <w:tc>
          <w:tcPr>
            <w:tcW w:w="1701" w:type="dxa"/>
            <w:tcBorders>
              <w:bottom w:val="single" w:sz="2" w:space="0" w:color="auto"/>
            </w:tcBorders>
            <w:shd w:val="clear" w:color="auto" w:fill="auto"/>
          </w:tcPr>
          <w:p w:rsidR="003E34F5" w:rsidRPr="00E91D6B" w:rsidRDefault="003E34F5" w:rsidP="008276FB">
            <w:pPr>
              <w:pStyle w:val="Tabletext"/>
            </w:pPr>
            <w:r>
              <w:t>Figure 12</w:t>
            </w:r>
          </w:p>
        </w:tc>
      </w:tr>
      <w:tr w:rsidR="003E34F5" w:rsidRPr="00E91D6B" w:rsidTr="008276FB">
        <w:tc>
          <w:tcPr>
            <w:tcW w:w="2552" w:type="dxa"/>
            <w:tcBorders>
              <w:top w:val="single" w:sz="2" w:space="0" w:color="auto"/>
              <w:bottom w:val="single" w:sz="2" w:space="0" w:color="auto"/>
            </w:tcBorders>
            <w:shd w:val="clear" w:color="auto" w:fill="auto"/>
          </w:tcPr>
          <w:p w:rsidR="003E34F5" w:rsidRPr="00E91D6B" w:rsidRDefault="003E34F5" w:rsidP="008276FB">
            <w:pPr>
              <w:pStyle w:val="Tabletext"/>
            </w:pPr>
            <w:r>
              <w:t>Figure 11</w:t>
            </w:r>
          </w:p>
        </w:tc>
        <w:tc>
          <w:tcPr>
            <w:tcW w:w="1701" w:type="dxa"/>
            <w:tcBorders>
              <w:top w:val="single" w:sz="2" w:space="0" w:color="auto"/>
              <w:bottom w:val="single" w:sz="2" w:space="0" w:color="auto"/>
            </w:tcBorders>
            <w:shd w:val="clear" w:color="auto" w:fill="auto"/>
          </w:tcPr>
          <w:p w:rsidR="003E34F5" w:rsidRPr="00E91D6B" w:rsidRDefault="003E34F5" w:rsidP="008276FB">
            <w:pPr>
              <w:pStyle w:val="Tabletext"/>
            </w:pPr>
            <w:r>
              <w:t>Figure 13</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12</w:t>
            </w:r>
          </w:p>
        </w:tc>
        <w:tc>
          <w:tcPr>
            <w:tcW w:w="1701" w:type="dxa"/>
            <w:tcBorders>
              <w:top w:val="single" w:sz="2" w:space="0" w:color="auto"/>
              <w:bottom w:val="single" w:sz="2" w:space="0" w:color="auto"/>
            </w:tcBorders>
            <w:shd w:val="clear" w:color="auto" w:fill="auto"/>
          </w:tcPr>
          <w:p w:rsidR="003E34F5" w:rsidRPr="00E91D6B" w:rsidRDefault="003E34F5" w:rsidP="008276FB">
            <w:pPr>
              <w:pStyle w:val="Tabletext"/>
            </w:pPr>
            <w:r>
              <w:t>Figure 14</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13</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15</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14</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16</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15</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17</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16</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18</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17</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19</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18</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20</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19</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21</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20</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22</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21</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23</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22</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24</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23</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25</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24</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26</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25</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27</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26</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28</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27</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29</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28</w:t>
            </w:r>
          </w:p>
        </w:tc>
        <w:tc>
          <w:tcPr>
            <w:tcW w:w="1701" w:type="dxa"/>
            <w:tcBorders>
              <w:top w:val="single" w:sz="2" w:space="0" w:color="auto"/>
              <w:bottom w:val="single" w:sz="2" w:space="0" w:color="auto"/>
            </w:tcBorders>
            <w:shd w:val="clear" w:color="auto" w:fill="auto"/>
          </w:tcPr>
          <w:p w:rsidR="003E34F5" w:rsidRPr="004049C8" w:rsidRDefault="003E34F5" w:rsidP="008276FB">
            <w:pPr>
              <w:pStyle w:val="Tabletext"/>
            </w:pPr>
            <w:r>
              <w:t>Figure 30</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29</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31</w:t>
            </w:r>
          </w:p>
        </w:tc>
      </w:tr>
      <w:tr w:rsidR="003E34F5" w:rsidRPr="00E91D6B" w:rsidTr="008276FB">
        <w:tc>
          <w:tcPr>
            <w:tcW w:w="2552" w:type="dxa"/>
            <w:tcBorders>
              <w:top w:val="single" w:sz="2" w:space="0" w:color="auto"/>
              <w:bottom w:val="single" w:sz="2" w:space="0" w:color="auto"/>
            </w:tcBorders>
            <w:shd w:val="clear" w:color="auto" w:fill="auto"/>
          </w:tcPr>
          <w:p w:rsidR="003E34F5" w:rsidRPr="004049C8" w:rsidRDefault="003E34F5" w:rsidP="008276FB">
            <w:pPr>
              <w:pStyle w:val="Tabletext"/>
            </w:pPr>
            <w:r>
              <w:t>Figure 30</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32</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lastRenderedPageBreak/>
              <w:t>Figure 31</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33</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32</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34</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33</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35</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34</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36</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35</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37</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36</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38</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37</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39</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38</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40</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39</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41</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40</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42</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41</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43</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42</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44</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43</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45</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44</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46</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45</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47</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46</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48</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47</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49</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48</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50</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49</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51</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50</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52</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51</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53</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52</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54</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53</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55</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lastRenderedPageBreak/>
              <w:t>Figure 54</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56</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55</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57</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56</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58</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57</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59</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58</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60</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59</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61</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60</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62</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61</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63</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62</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64</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63</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65</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64</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66</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65</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67</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66</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68</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67</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69</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68</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70</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69</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71</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70</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72</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71</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73</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72</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74</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73</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75</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74</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76</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75</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77</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76</w:t>
            </w:r>
          </w:p>
        </w:tc>
        <w:tc>
          <w:tcPr>
            <w:tcW w:w="1701" w:type="dxa"/>
            <w:tcBorders>
              <w:top w:val="single" w:sz="2" w:space="0" w:color="auto"/>
              <w:bottom w:val="single" w:sz="2" w:space="0" w:color="auto"/>
            </w:tcBorders>
            <w:shd w:val="clear" w:color="auto" w:fill="auto"/>
          </w:tcPr>
          <w:p w:rsidR="003E34F5" w:rsidRPr="004049C8" w:rsidRDefault="003E34F5" w:rsidP="008276FB">
            <w:pPr>
              <w:pStyle w:val="Tabletext"/>
            </w:pPr>
            <w:r>
              <w:t>Figure 78</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77</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79</w:t>
            </w:r>
          </w:p>
        </w:tc>
      </w:tr>
      <w:tr w:rsidR="003E34F5" w:rsidRPr="00E91D6B" w:rsidTr="008276FB">
        <w:tc>
          <w:tcPr>
            <w:tcW w:w="2552" w:type="dxa"/>
            <w:tcBorders>
              <w:top w:val="single" w:sz="2" w:space="0" w:color="auto"/>
              <w:bottom w:val="single" w:sz="2" w:space="0" w:color="auto"/>
            </w:tcBorders>
            <w:shd w:val="clear" w:color="auto" w:fill="auto"/>
          </w:tcPr>
          <w:p w:rsidR="003E34F5" w:rsidRPr="004049C8" w:rsidRDefault="003E34F5" w:rsidP="008276FB">
            <w:pPr>
              <w:pStyle w:val="Tabletext"/>
            </w:pPr>
            <w:r>
              <w:t>Figure 78</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80</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79</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81</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80</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82</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81</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83</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82</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84</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83</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85</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84</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86</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85</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87</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86</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88</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87</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89</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88</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90</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89</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91</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90</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92</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91</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93</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92</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94</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93</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95</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94</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96</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95</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97</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96</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98</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lastRenderedPageBreak/>
              <w:t>Figure 97</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99</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98</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100</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99</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101</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100</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102</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101</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103</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102</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104</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103</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105</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104</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106</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105</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107</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106</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108</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107</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109</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108</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110</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109</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111</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110</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112</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111</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113</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112</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114</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113</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115</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114</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116</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115</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117</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116</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118</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117</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119</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118</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120</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119</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121</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120</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122</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121</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123</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122</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124</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123</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125</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124</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126</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125</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127</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126</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128</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127</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129</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128</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130</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129</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131</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130</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132</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131</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133</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132</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134</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133</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135</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134</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136</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135</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137</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136</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138</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137</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139</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138</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140</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139</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141</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lastRenderedPageBreak/>
              <w:t>Figure 140</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142</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141</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143</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142</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144</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143</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145</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144</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146</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145</w:t>
            </w:r>
          </w:p>
        </w:tc>
        <w:tc>
          <w:tcPr>
            <w:tcW w:w="1701" w:type="dxa"/>
            <w:tcBorders>
              <w:top w:val="single" w:sz="2" w:space="0" w:color="auto"/>
              <w:bottom w:val="single" w:sz="2" w:space="0" w:color="auto"/>
            </w:tcBorders>
            <w:shd w:val="clear" w:color="auto" w:fill="auto"/>
          </w:tcPr>
          <w:p w:rsidR="003E34F5" w:rsidRPr="004049C8" w:rsidRDefault="003E34F5" w:rsidP="008276FB">
            <w:pPr>
              <w:pStyle w:val="Tabletext"/>
            </w:pPr>
            <w:r>
              <w:t>Figure 147</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lastRenderedPageBreak/>
              <w:t>Figure 146</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148</w:t>
            </w:r>
          </w:p>
        </w:tc>
      </w:tr>
      <w:tr w:rsidR="003E34F5" w:rsidRPr="00E91D6B" w:rsidTr="008276FB">
        <w:tc>
          <w:tcPr>
            <w:tcW w:w="2552" w:type="dxa"/>
            <w:tcBorders>
              <w:top w:val="single" w:sz="2" w:space="0" w:color="auto"/>
              <w:bottom w:val="single" w:sz="2" w:space="0" w:color="auto"/>
            </w:tcBorders>
            <w:shd w:val="clear" w:color="auto" w:fill="auto"/>
          </w:tcPr>
          <w:p w:rsidR="003E34F5" w:rsidRPr="004049C8" w:rsidRDefault="003E34F5" w:rsidP="008276FB">
            <w:pPr>
              <w:pStyle w:val="Tabletext"/>
            </w:pPr>
            <w:r>
              <w:t>Figure 147</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149</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148</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150</w:t>
            </w:r>
          </w:p>
        </w:tc>
      </w:tr>
      <w:tr w:rsidR="003E34F5" w:rsidRPr="00E91D6B" w:rsidTr="008276FB">
        <w:tc>
          <w:tcPr>
            <w:tcW w:w="2552" w:type="dxa"/>
            <w:tcBorders>
              <w:top w:val="single" w:sz="2" w:space="0" w:color="auto"/>
              <w:bottom w:val="single" w:sz="2" w:space="0" w:color="auto"/>
            </w:tcBorders>
            <w:shd w:val="clear" w:color="auto" w:fill="auto"/>
          </w:tcPr>
          <w:p w:rsidR="003E34F5" w:rsidRDefault="003E34F5" w:rsidP="008276FB">
            <w:pPr>
              <w:pStyle w:val="Tabletext"/>
            </w:pPr>
            <w:r>
              <w:t>Figure 149</w:t>
            </w:r>
          </w:p>
        </w:tc>
        <w:tc>
          <w:tcPr>
            <w:tcW w:w="1701" w:type="dxa"/>
            <w:tcBorders>
              <w:top w:val="single" w:sz="2" w:space="0" w:color="auto"/>
              <w:bottom w:val="single" w:sz="2" w:space="0" w:color="auto"/>
            </w:tcBorders>
            <w:shd w:val="clear" w:color="auto" w:fill="auto"/>
          </w:tcPr>
          <w:p w:rsidR="003E34F5" w:rsidRDefault="003E34F5" w:rsidP="008276FB">
            <w:pPr>
              <w:pStyle w:val="Tabletext"/>
            </w:pPr>
            <w:r>
              <w:t>Figure 151</w:t>
            </w:r>
          </w:p>
        </w:tc>
      </w:tr>
      <w:tr w:rsidR="003E34F5" w:rsidRPr="00E91D6B" w:rsidTr="008276FB">
        <w:tc>
          <w:tcPr>
            <w:tcW w:w="2552" w:type="dxa"/>
            <w:tcBorders>
              <w:top w:val="single" w:sz="2" w:space="0" w:color="auto"/>
              <w:bottom w:val="single" w:sz="12" w:space="0" w:color="auto"/>
            </w:tcBorders>
            <w:shd w:val="clear" w:color="auto" w:fill="auto"/>
          </w:tcPr>
          <w:p w:rsidR="003E34F5" w:rsidRDefault="003E34F5" w:rsidP="008276FB">
            <w:pPr>
              <w:pStyle w:val="Tabletext"/>
            </w:pPr>
            <w:r>
              <w:t>Figure 150</w:t>
            </w:r>
          </w:p>
        </w:tc>
        <w:tc>
          <w:tcPr>
            <w:tcW w:w="1701" w:type="dxa"/>
            <w:tcBorders>
              <w:top w:val="single" w:sz="2" w:space="0" w:color="auto"/>
              <w:bottom w:val="single" w:sz="12" w:space="0" w:color="auto"/>
            </w:tcBorders>
            <w:shd w:val="clear" w:color="auto" w:fill="auto"/>
          </w:tcPr>
          <w:p w:rsidR="003E34F5" w:rsidRDefault="003E34F5" w:rsidP="008276FB">
            <w:pPr>
              <w:pStyle w:val="Tabletext"/>
            </w:pPr>
            <w:r>
              <w:t>Figure 152</w:t>
            </w:r>
          </w:p>
        </w:tc>
      </w:tr>
    </w:tbl>
    <w:p w:rsidR="00196713" w:rsidRDefault="00196713" w:rsidP="00196713">
      <w:pPr>
        <w:sectPr w:rsidR="00196713" w:rsidSect="00196713">
          <w:type w:val="continuous"/>
          <w:pgSz w:w="11907" w:h="16839"/>
          <w:pgMar w:top="1440" w:right="1440" w:bottom="1440" w:left="1440" w:header="720" w:footer="720" w:gutter="0"/>
          <w:cols w:num="2" w:space="708"/>
          <w:titlePg/>
          <w:docGrid w:linePitch="360"/>
        </w:sectPr>
      </w:pPr>
    </w:p>
    <w:p w:rsidR="00392707" w:rsidRDefault="00392707" w:rsidP="00B73314">
      <w:pPr>
        <w:pStyle w:val="Head2"/>
        <w:keepLines/>
      </w:pPr>
      <w:r w:rsidRPr="00974E86">
        <w:lastRenderedPageBreak/>
        <w:t>Health Insurance (Allied Health Services) Determination 2014</w:t>
      </w:r>
      <w:r>
        <w:t>, Compilation No. 12,</w:t>
      </w:r>
      <w:r w:rsidRPr="003342C4">
        <w:t xml:space="preserve"> Registration Date:</w:t>
      </w:r>
      <w:r>
        <w:t xml:space="preserve"> 5 June 2020 [</w:t>
      </w:r>
      <w:r>
        <w:rPr>
          <w:bCs/>
        </w:rPr>
        <w:t>F2020C00464</w:t>
      </w:r>
      <w:r>
        <w:t>]</w:t>
      </w:r>
    </w:p>
    <w:p w:rsidR="00392707" w:rsidRPr="00F2598C" w:rsidRDefault="00392707" w:rsidP="00B73314">
      <w:pPr>
        <w:keepNext/>
        <w:keepLines/>
      </w:pPr>
    </w:p>
    <w:p w:rsidR="00392707" w:rsidRPr="00941DE7" w:rsidRDefault="00392707" w:rsidP="00B73314">
      <w:pPr>
        <w:keepNext/>
        <w:keepLines/>
        <w:rPr>
          <w:b/>
          <w:sz w:val="24"/>
          <w:szCs w:val="24"/>
        </w:rPr>
      </w:pPr>
      <w:r w:rsidRPr="00941DE7">
        <w:rPr>
          <w:rFonts w:cs="Times New Roman"/>
          <w:b/>
          <w:sz w:val="24"/>
          <w:szCs w:val="24"/>
        </w:rPr>
        <w:t xml:space="preserve">Subsection 4(1) </w:t>
      </w:r>
      <w:r>
        <w:rPr>
          <w:rFonts w:cs="Times New Roman"/>
          <w:b/>
          <w:sz w:val="24"/>
          <w:szCs w:val="24"/>
        </w:rPr>
        <w:t>(</w:t>
      </w:r>
      <w:r w:rsidRPr="00941DE7">
        <w:rPr>
          <w:rFonts w:cs="Times New Roman"/>
          <w:b/>
          <w:sz w:val="24"/>
          <w:szCs w:val="24"/>
        </w:rPr>
        <w:t xml:space="preserve">definition of </w:t>
      </w:r>
      <w:r w:rsidRPr="00941DE7">
        <w:rPr>
          <w:rFonts w:cs="Times New Roman"/>
          <w:b/>
          <w:i/>
          <w:sz w:val="24"/>
          <w:szCs w:val="24"/>
        </w:rPr>
        <w:t>COVID-19 Determination</w:t>
      </w:r>
      <w:r w:rsidRPr="004E11D0">
        <w:rPr>
          <w:rFonts w:cs="Times New Roman"/>
          <w:b/>
          <w:sz w:val="24"/>
          <w:szCs w:val="24"/>
        </w:rPr>
        <w:t>)</w:t>
      </w:r>
    </w:p>
    <w:p w:rsidR="00392707" w:rsidRPr="0058234F" w:rsidRDefault="00392707" w:rsidP="00392707"/>
    <w:p w:rsidR="00392707" w:rsidRPr="004549F1" w:rsidRDefault="00392707" w:rsidP="00392707">
      <w:pPr>
        <w:rPr>
          <w:b/>
        </w:rPr>
      </w:pPr>
      <w:r w:rsidRPr="004549F1">
        <w:rPr>
          <w:b/>
        </w:rPr>
        <w:t>Kind of editorial change</w:t>
      </w:r>
    </w:p>
    <w:p w:rsidR="00392707" w:rsidRPr="004549F1" w:rsidRDefault="00392707" w:rsidP="00392707"/>
    <w:p w:rsidR="00392707" w:rsidRPr="00B52283" w:rsidRDefault="00392707" w:rsidP="00392707">
      <w:pPr>
        <w:rPr>
          <w:rFonts w:cs="Times New Roman"/>
        </w:rPr>
      </w:pPr>
      <w:r w:rsidRPr="00B77331">
        <w:rPr>
          <w:rFonts w:cs="Times New Roman"/>
        </w:rPr>
        <w:t>Reordering of definitions</w:t>
      </w:r>
    </w:p>
    <w:p w:rsidR="00392707" w:rsidRPr="0058234F" w:rsidRDefault="00392707" w:rsidP="00392707"/>
    <w:p w:rsidR="00392707" w:rsidRPr="004549F1" w:rsidRDefault="00392707" w:rsidP="00392707">
      <w:pPr>
        <w:rPr>
          <w:b/>
        </w:rPr>
      </w:pPr>
      <w:r w:rsidRPr="004549F1">
        <w:rPr>
          <w:b/>
        </w:rPr>
        <w:t>Details of editorial change</w:t>
      </w:r>
    </w:p>
    <w:p w:rsidR="00392707" w:rsidRPr="0058234F" w:rsidRDefault="00392707" w:rsidP="00392707"/>
    <w:p w:rsidR="00392707" w:rsidRPr="004E11D0" w:rsidRDefault="00392707" w:rsidP="00392707">
      <w:pPr>
        <w:rPr>
          <w:szCs w:val="22"/>
        </w:rPr>
      </w:pPr>
      <w:r w:rsidRPr="00B52283">
        <w:rPr>
          <w:rFonts w:cs="Times New Roman"/>
        </w:rPr>
        <w:t xml:space="preserve">Schedule 1 item 1 of the </w:t>
      </w:r>
      <w:r w:rsidRPr="00B52283">
        <w:rPr>
          <w:rFonts w:cs="Times New Roman"/>
          <w:i/>
        </w:rPr>
        <w:t>Health Insurance (Section 3C General Medical Services – GP and Allied Health COVID-19 Services) Amendment (Consequential) Determination 2020</w:t>
      </w:r>
      <w:r w:rsidRPr="00B52283">
        <w:rPr>
          <w:rFonts w:cs="Times New Roman"/>
        </w:rPr>
        <w:t xml:space="preserve"> </w:t>
      </w:r>
      <w:r>
        <w:rPr>
          <w:rFonts w:cs="Times New Roman"/>
        </w:rPr>
        <w:t xml:space="preserve">instructs to insert the </w:t>
      </w:r>
      <w:r w:rsidRPr="00550074">
        <w:rPr>
          <w:szCs w:val="22"/>
        </w:rPr>
        <w:t xml:space="preserve">definition of </w:t>
      </w:r>
      <w:r w:rsidRPr="00550074">
        <w:rPr>
          <w:b/>
          <w:i/>
          <w:szCs w:val="22"/>
        </w:rPr>
        <w:t>COVID-19 Determination</w:t>
      </w:r>
      <w:r w:rsidRPr="004E11D0">
        <w:rPr>
          <w:szCs w:val="22"/>
        </w:rPr>
        <w:t xml:space="preserve"> </w:t>
      </w:r>
      <w:r>
        <w:rPr>
          <w:szCs w:val="22"/>
        </w:rPr>
        <w:t xml:space="preserve">after the </w:t>
      </w:r>
      <w:r w:rsidRPr="004E11D0">
        <w:rPr>
          <w:szCs w:val="22"/>
        </w:rPr>
        <w:t xml:space="preserve">definition of </w:t>
      </w:r>
      <w:r w:rsidRPr="004E11D0">
        <w:rPr>
          <w:b/>
          <w:i/>
          <w:szCs w:val="22"/>
        </w:rPr>
        <w:t>allied health service</w:t>
      </w:r>
      <w:r>
        <w:rPr>
          <w:szCs w:val="22"/>
        </w:rPr>
        <w:t xml:space="preserve"> in </w:t>
      </w:r>
      <w:r w:rsidRPr="00550074">
        <w:rPr>
          <w:szCs w:val="22"/>
        </w:rPr>
        <w:t>subsection 4(1)</w:t>
      </w:r>
      <w:r>
        <w:rPr>
          <w:szCs w:val="22"/>
        </w:rPr>
        <w:t>.</w:t>
      </w:r>
    </w:p>
    <w:p w:rsidR="00392707" w:rsidRPr="004549F1" w:rsidRDefault="00392707" w:rsidP="00392707"/>
    <w:p w:rsidR="00392707" w:rsidRPr="004E11D0" w:rsidRDefault="00392707" w:rsidP="00392707">
      <w:pPr>
        <w:rPr>
          <w:szCs w:val="22"/>
        </w:rPr>
      </w:pPr>
      <w:r w:rsidRPr="00127690">
        <w:rPr>
          <w:szCs w:val="22"/>
        </w:rPr>
        <w:t>This action results in</w:t>
      </w:r>
      <w:r>
        <w:rPr>
          <w:szCs w:val="22"/>
        </w:rPr>
        <w:t xml:space="preserve"> t</w:t>
      </w:r>
      <w:r w:rsidRPr="004E11D0">
        <w:rPr>
          <w:szCs w:val="22"/>
        </w:rPr>
        <w:t xml:space="preserve">he definition of </w:t>
      </w:r>
      <w:r w:rsidRPr="00550074">
        <w:rPr>
          <w:b/>
          <w:i/>
          <w:szCs w:val="22"/>
        </w:rPr>
        <w:t>COVID-19 Determination</w:t>
      </w:r>
      <w:r w:rsidRPr="00243237">
        <w:rPr>
          <w:szCs w:val="22"/>
        </w:rPr>
        <w:t xml:space="preserve"> </w:t>
      </w:r>
      <w:r>
        <w:rPr>
          <w:szCs w:val="22"/>
        </w:rPr>
        <w:t xml:space="preserve">being </w:t>
      </w:r>
      <w:r w:rsidRPr="00127690">
        <w:rPr>
          <w:szCs w:val="22"/>
        </w:rPr>
        <w:t>out of a</w:t>
      </w:r>
      <w:r>
        <w:rPr>
          <w:szCs w:val="22"/>
        </w:rPr>
        <w:t>l</w:t>
      </w:r>
      <w:r w:rsidRPr="00127690">
        <w:rPr>
          <w:szCs w:val="22"/>
        </w:rPr>
        <w:t>phabetical order</w:t>
      </w:r>
      <w:r w:rsidRPr="004E11D0">
        <w:rPr>
          <w:szCs w:val="22"/>
        </w:rPr>
        <w:t>.</w:t>
      </w:r>
    </w:p>
    <w:p w:rsidR="00392707" w:rsidRPr="004E11D0" w:rsidRDefault="00392707" w:rsidP="00392707">
      <w:pPr>
        <w:rPr>
          <w:szCs w:val="22"/>
        </w:rPr>
      </w:pPr>
    </w:p>
    <w:p w:rsidR="00392707" w:rsidRPr="004E11D0" w:rsidRDefault="00392707" w:rsidP="00392707">
      <w:pPr>
        <w:rPr>
          <w:szCs w:val="22"/>
        </w:rPr>
      </w:pPr>
      <w:r w:rsidRPr="004E11D0">
        <w:rPr>
          <w:szCs w:val="22"/>
        </w:rPr>
        <w:t xml:space="preserve">This compilation was editorially changed to </w:t>
      </w:r>
      <w:r>
        <w:rPr>
          <w:szCs w:val="22"/>
        </w:rPr>
        <w:t>move</w:t>
      </w:r>
      <w:r w:rsidRPr="004E11D0">
        <w:rPr>
          <w:szCs w:val="22"/>
        </w:rPr>
        <w:t xml:space="preserve"> the definition of </w:t>
      </w:r>
      <w:r w:rsidRPr="004E11D0">
        <w:rPr>
          <w:b/>
          <w:i/>
          <w:szCs w:val="22"/>
        </w:rPr>
        <w:t>COVID-19 Determination</w:t>
      </w:r>
      <w:r w:rsidRPr="004E11D0">
        <w:rPr>
          <w:szCs w:val="22"/>
        </w:rPr>
        <w:t xml:space="preserve"> in subsection 4(1) to the correct alphabetical position.</w:t>
      </w:r>
    </w:p>
    <w:p w:rsidR="00B54CF9" w:rsidRDefault="00B54CF9" w:rsidP="00B54CF9">
      <w:pPr>
        <w:pStyle w:val="Head2"/>
        <w:keepLines/>
      </w:pPr>
      <w:r>
        <w:t>List of Exempt Native Specimens Instrument 2001, Compilation No. 361,</w:t>
      </w:r>
      <w:r w:rsidRPr="003342C4">
        <w:t xml:space="preserve"> Registration Date:</w:t>
      </w:r>
      <w:r>
        <w:t xml:space="preserve"> 5 June 2020 [</w:t>
      </w:r>
      <w:r>
        <w:rPr>
          <w:bCs/>
        </w:rPr>
        <w:t>F2020C00466</w:t>
      </w:r>
      <w:r>
        <w:t>]</w:t>
      </w:r>
    </w:p>
    <w:p w:rsidR="00B54CF9" w:rsidRPr="00F2598C" w:rsidRDefault="00B54CF9" w:rsidP="00B54CF9"/>
    <w:p w:rsidR="00B54CF9" w:rsidRPr="004549F1" w:rsidRDefault="00B54CF9" w:rsidP="00B54CF9">
      <w:pPr>
        <w:rPr>
          <w:b/>
          <w:sz w:val="24"/>
          <w:szCs w:val="24"/>
        </w:rPr>
      </w:pPr>
      <w:r>
        <w:rPr>
          <w:b/>
          <w:sz w:val="24"/>
          <w:szCs w:val="24"/>
        </w:rPr>
        <w:t xml:space="preserve">Schedule 1, entry for </w:t>
      </w:r>
      <w:r w:rsidRPr="00640FA2">
        <w:rPr>
          <w:b/>
          <w:sz w:val="24"/>
          <w:szCs w:val="24"/>
        </w:rPr>
        <w:t>Queensland Commercial Trawl (Fin Fish) Fishery</w:t>
      </w:r>
    </w:p>
    <w:p w:rsidR="00B54CF9" w:rsidRPr="0033564C" w:rsidRDefault="00B54CF9" w:rsidP="00B54CF9"/>
    <w:p w:rsidR="00B54CF9" w:rsidRPr="004549F1" w:rsidRDefault="00B54CF9" w:rsidP="00B54CF9">
      <w:pPr>
        <w:rPr>
          <w:b/>
        </w:rPr>
      </w:pPr>
      <w:r w:rsidRPr="004549F1">
        <w:rPr>
          <w:b/>
        </w:rPr>
        <w:t>Kind of editorial change</w:t>
      </w:r>
    </w:p>
    <w:p w:rsidR="00B54CF9" w:rsidRPr="004549F1" w:rsidRDefault="00B54CF9" w:rsidP="00B54CF9"/>
    <w:p w:rsidR="00B54CF9" w:rsidRPr="0033564C" w:rsidRDefault="00B54CF9" w:rsidP="00B54CF9">
      <w:r w:rsidRPr="00F14579">
        <w:t>Give effect to the misdescribed amendment as intended</w:t>
      </w:r>
    </w:p>
    <w:p w:rsidR="00B54CF9" w:rsidRPr="004549F1" w:rsidRDefault="00B54CF9" w:rsidP="00B54CF9"/>
    <w:p w:rsidR="00B54CF9" w:rsidRPr="004549F1" w:rsidRDefault="00B54CF9" w:rsidP="00B54CF9">
      <w:pPr>
        <w:rPr>
          <w:b/>
        </w:rPr>
      </w:pPr>
      <w:r w:rsidRPr="004549F1">
        <w:rPr>
          <w:b/>
        </w:rPr>
        <w:t>Details of editorial change</w:t>
      </w:r>
    </w:p>
    <w:p w:rsidR="00B54CF9" w:rsidRPr="0033564C" w:rsidRDefault="00B54CF9" w:rsidP="00B54CF9"/>
    <w:p w:rsidR="00B54CF9" w:rsidRDefault="00B54CF9" w:rsidP="00B54CF9">
      <w:r>
        <w:t xml:space="preserve">Schedule 1 of the </w:t>
      </w:r>
      <w:r w:rsidRPr="00640FA2">
        <w:rPr>
          <w:i/>
          <w:szCs w:val="22"/>
        </w:rPr>
        <w:t xml:space="preserve">Amendment of List of </w:t>
      </w:r>
      <w:r w:rsidRPr="00640FA2">
        <w:rPr>
          <w:i/>
          <w:snapToGrid w:val="0"/>
          <w:szCs w:val="22"/>
        </w:rPr>
        <w:t xml:space="preserve">Exempt Native Specimens – Queensland </w:t>
      </w:r>
      <w:r w:rsidRPr="00640FA2">
        <w:rPr>
          <w:rFonts w:cs="Arial"/>
          <w:i/>
        </w:rPr>
        <w:t>Commercial Trawl (Fin Fish) Fishery</w:t>
      </w:r>
      <w:r w:rsidRPr="00640FA2">
        <w:rPr>
          <w:i/>
        </w:rPr>
        <w:t xml:space="preserve">, </w:t>
      </w:r>
      <w:r w:rsidRPr="00640FA2">
        <w:rPr>
          <w:i/>
          <w:snapToGrid w:val="0"/>
          <w:szCs w:val="22"/>
        </w:rPr>
        <w:t>May 2020</w:t>
      </w:r>
      <w:r>
        <w:t xml:space="preserve"> provides as follows:</w:t>
      </w:r>
    </w:p>
    <w:p w:rsidR="00B54CF9" w:rsidRPr="007F708E" w:rsidRDefault="00B54CF9" w:rsidP="00B54CF9">
      <w:pPr>
        <w:rPr>
          <w:sz w:val="24"/>
          <w:szCs w:val="24"/>
        </w:rPr>
      </w:pPr>
    </w:p>
    <w:p w:rsidR="00B54CF9" w:rsidRPr="004F6061" w:rsidRDefault="00B54CF9" w:rsidP="00B54CF9">
      <w:pPr>
        <w:spacing w:after="240"/>
        <w:rPr>
          <w:szCs w:val="24"/>
        </w:rPr>
      </w:pPr>
      <w:r w:rsidRPr="004F6061">
        <w:rPr>
          <w:szCs w:val="24"/>
        </w:rPr>
        <w:t>Under the heading Freshwater and Marine Animals delete from the list the following items and any associated notations:</w:t>
      </w:r>
    </w:p>
    <w:tbl>
      <w:tblPr>
        <w:tblStyle w:val="TableGrid"/>
        <w:tblW w:w="8529" w:type="dxa"/>
        <w:tblLook w:val="04A0" w:firstRow="1" w:lastRow="0" w:firstColumn="1" w:lastColumn="0" w:noHBand="0" w:noVBand="1"/>
      </w:tblPr>
      <w:tblGrid>
        <w:gridCol w:w="3227"/>
        <w:gridCol w:w="2462"/>
        <w:gridCol w:w="2840"/>
      </w:tblGrid>
      <w:tr w:rsidR="00B54CF9" w:rsidRPr="00AD62EB" w:rsidTr="00A213FE">
        <w:trPr>
          <w:cantSplit/>
          <w:tblHeader/>
        </w:trPr>
        <w:tc>
          <w:tcPr>
            <w:tcW w:w="3227" w:type="dxa"/>
          </w:tcPr>
          <w:p w:rsidR="00B54CF9" w:rsidRPr="00AD62EB" w:rsidRDefault="00B54CF9" w:rsidP="00647253">
            <w:pPr>
              <w:keepNext/>
              <w:spacing w:line="276" w:lineRule="auto"/>
              <w:rPr>
                <w:rFonts w:eastAsia="Arial Unicode MS" w:cs="Times New Roman"/>
                <w:b/>
                <w:sz w:val="18"/>
                <w:szCs w:val="18"/>
              </w:rPr>
            </w:pPr>
            <w:r w:rsidRPr="00AD62EB">
              <w:rPr>
                <w:rFonts w:eastAsia="Arial Unicode MS" w:cs="Times New Roman"/>
                <w:b/>
                <w:sz w:val="18"/>
                <w:szCs w:val="18"/>
              </w:rPr>
              <w:lastRenderedPageBreak/>
              <w:t>Taxon/Item</w:t>
            </w:r>
          </w:p>
        </w:tc>
        <w:tc>
          <w:tcPr>
            <w:tcW w:w="2462" w:type="dxa"/>
          </w:tcPr>
          <w:p w:rsidR="00B54CF9" w:rsidRPr="00AD62EB" w:rsidRDefault="00B54CF9" w:rsidP="00647253">
            <w:pPr>
              <w:spacing w:after="120" w:line="276" w:lineRule="auto"/>
              <w:rPr>
                <w:rFonts w:eastAsia="Arial Unicode MS" w:cs="Times New Roman"/>
                <w:b/>
                <w:sz w:val="18"/>
                <w:szCs w:val="18"/>
              </w:rPr>
            </w:pPr>
            <w:r w:rsidRPr="00AD62EB">
              <w:rPr>
                <w:rFonts w:eastAsia="Arial Unicode MS" w:cs="Times New Roman"/>
                <w:b/>
                <w:sz w:val="18"/>
                <w:szCs w:val="18"/>
              </w:rPr>
              <w:t>Common Name</w:t>
            </w:r>
          </w:p>
        </w:tc>
        <w:tc>
          <w:tcPr>
            <w:tcW w:w="2840" w:type="dxa"/>
          </w:tcPr>
          <w:p w:rsidR="00B54CF9" w:rsidRPr="00AD62EB" w:rsidRDefault="00B54CF9" w:rsidP="00647253">
            <w:pPr>
              <w:spacing w:after="120" w:line="276" w:lineRule="auto"/>
              <w:rPr>
                <w:rFonts w:eastAsia="Arial Unicode MS" w:cs="Times New Roman"/>
                <w:b/>
                <w:sz w:val="18"/>
                <w:szCs w:val="18"/>
              </w:rPr>
            </w:pPr>
            <w:r w:rsidRPr="00AD62EB">
              <w:rPr>
                <w:rFonts w:eastAsia="Arial Unicode MS" w:cs="Times New Roman"/>
                <w:b/>
                <w:sz w:val="18"/>
                <w:szCs w:val="18"/>
              </w:rPr>
              <w:t>Notation</w:t>
            </w:r>
          </w:p>
        </w:tc>
      </w:tr>
      <w:tr w:rsidR="00B54CF9" w:rsidRPr="00AD62EB" w:rsidTr="00062F75">
        <w:trPr>
          <w:cantSplit/>
        </w:trPr>
        <w:tc>
          <w:tcPr>
            <w:tcW w:w="3227" w:type="dxa"/>
            <w:tcBorders>
              <w:top w:val="nil"/>
              <w:left w:val="single" w:sz="8" w:space="0" w:color="auto"/>
              <w:bottom w:val="single" w:sz="4" w:space="0" w:color="auto"/>
              <w:right w:val="single" w:sz="8" w:space="0" w:color="auto"/>
            </w:tcBorders>
          </w:tcPr>
          <w:p w:rsidR="00B54CF9" w:rsidRPr="00AD62EB" w:rsidRDefault="00B54CF9" w:rsidP="00647253">
            <w:pPr>
              <w:pStyle w:val="ListNumber2"/>
              <w:numPr>
                <w:ilvl w:val="0"/>
                <w:numId w:val="0"/>
              </w:numPr>
              <w:spacing w:after="120"/>
              <w:ind w:left="29"/>
              <w:rPr>
                <w:sz w:val="18"/>
                <w:szCs w:val="18"/>
                <w:lang w:eastAsia="en-AU"/>
              </w:rPr>
            </w:pPr>
            <w:r w:rsidRPr="00AD62EB">
              <w:rPr>
                <w:sz w:val="18"/>
                <w:szCs w:val="18"/>
              </w:rPr>
              <w:t xml:space="preserve">Specimen that are, or are derived from, fish or invertebrates taken in the Queensland Commercial Trawl (Fin Fish) Fishery as defined in the management regime in force under the </w:t>
            </w:r>
            <w:r w:rsidRPr="00AD62EB">
              <w:rPr>
                <w:i/>
                <w:iCs/>
                <w:sz w:val="18"/>
                <w:szCs w:val="18"/>
              </w:rPr>
              <w:t>Fisheries Act 1994</w:t>
            </w:r>
            <w:r w:rsidRPr="00AD62EB">
              <w:rPr>
                <w:sz w:val="18"/>
                <w:szCs w:val="18"/>
              </w:rPr>
              <w:t xml:space="preserve"> (Queensland) and </w:t>
            </w:r>
            <w:r w:rsidRPr="00AD62EB">
              <w:rPr>
                <w:i/>
                <w:iCs/>
                <w:sz w:val="18"/>
                <w:szCs w:val="18"/>
              </w:rPr>
              <w:t>Fisheries (General) Regulation 2019</w:t>
            </w:r>
            <w:r w:rsidRPr="00AD62EB">
              <w:rPr>
                <w:sz w:val="18"/>
                <w:szCs w:val="18"/>
              </w:rPr>
              <w:t xml:space="preserve">, </w:t>
            </w:r>
            <w:r w:rsidRPr="00AD62EB">
              <w:rPr>
                <w:i/>
                <w:iCs/>
                <w:sz w:val="18"/>
                <w:szCs w:val="18"/>
              </w:rPr>
              <w:t>Fisheries (Commercial Fisheries) Regulation 2019</w:t>
            </w:r>
            <w:r w:rsidRPr="00AD62EB">
              <w:rPr>
                <w:iCs/>
                <w:sz w:val="18"/>
                <w:szCs w:val="18"/>
              </w:rPr>
              <w:t xml:space="preserve">, </w:t>
            </w:r>
            <w:r w:rsidRPr="00AD62EB">
              <w:rPr>
                <w:i/>
                <w:iCs/>
                <w:sz w:val="18"/>
                <w:szCs w:val="18"/>
              </w:rPr>
              <w:t>Fisheries Declaration 2019</w:t>
            </w:r>
            <w:r w:rsidRPr="00AD62EB">
              <w:rPr>
                <w:iCs/>
                <w:sz w:val="18"/>
                <w:szCs w:val="18"/>
              </w:rPr>
              <w:t xml:space="preserve"> </w:t>
            </w:r>
            <w:r w:rsidRPr="00AD62EB">
              <w:rPr>
                <w:sz w:val="18"/>
                <w:szCs w:val="18"/>
              </w:rPr>
              <w:t>and</w:t>
            </w:r>
            <w:r w:rsidRPr="00AD62EB">
              <w:rPr>
                <w:iCs/>
                <w:sz w:val="18"/>
                <w:szCs w:val="18"/>
              </w:rPr>
              <w:t xml:space="preserve"> </w:t>
            </w:r>
            <w:r w:rsidRPr="00AD62EB">
              <w:rPr>
                <w:i/>
                <w:iCs/>
                <w:sz w:val="18"/>
                <w:szCs w:val="18"/>
              </w:rPr>
              <w:t>Fisheries Quota Declaration 2019</w:t>
            </w:r>
            <w:r w:rsidRPr="00AD62EB">
              <w:rPr>
                <w:sz w:val="18"/>
                <w:szCs w:val="18"/>
              </w:rPr>
              <w:t xml:space="preserve"> (Queensland)</w:t>
            </w:r>
            <w:r w:rsidRPr="00AD62EB">
              <w:rPr>
                <w:iCs/>
                <w:sz w:val="18"/>
                <w:szCs w:val="18"/>
              </w:rPr>
              <w:t xml:space="preserve">, </w:t>
            </w:r>
            <w:r w:rsidRPr="00AD62EB">
              <w:rPr>
                <w:sz w:val="18"/>
                <w:szCs w:val="18"/>
              </w:rPr>
              <w:t>but not including:</w:t>
            </w:r>
          </w:p>
          <w:p w:rsidR="00B54CF9" w:rsidRPr="00AD62EB" w:rsidRDefault="00B54CF9" w:rsidP="00647253">
            <w:pPr>
              <w:pStyle w:val="ListNumber3"/>
              <w:numPr>
                <w:ilvl w:val="0"/>
                <w:numId w:val="0"/>
              </w:numPr>
              <w:spacing w:after="120"/>
              <w:ind w:left="454" w:hanging="369"/>
              <w:rPr>
                <w:sz w:val="18"/>
                <w:szCs w:val="18"/>
              </w:rPr>
            </w:pPr>
            <w:r w:rsidRPr="00AD62EB">
              <w:rPr>
                <w:sz w:val="18"/>
                <w:szCs w:val="18"/>
              </w:rPr>
              <w:t>i.</w:t>
            </w:r>
            <w:r w:rsidRPr="00AD62EB">
              <w:rPr>
                <w:sz w:val="18"/>
                <w:szCs w:val="18"/>
              </w:rPr>
              <w:tab/>
              <w:t>i.        specimens that belong to taxa listed under section 209 of the EPBC Act (Australia’s list of Migratory Species), or</w:t>
            </w:r>
          </w:p>
          <w:p w:rsidR="00B54CF9" w:rsidRPr="00AD62EB" w:rsidRDefault="00B54CF9" w:rsidP="00647253">
            <w:pPr>
              <w:pStyle w:val="ListNumber3"/>
              <w:numPr>
                <w:ilvl w:val="0"/>
                <w:numId w:val="0"/>
              </w:numPr>
              <w:spacing w:after="120"/>
              <w:ind w:left="454" w:hanging="369"/>
              <w:rPr>
                <w:sz w:val="18"/>
                <w:szCs w:val="18"/>
              </w:rPr>
            </w:pPr>
            <w:r w:rsidRPr="00AD62EB">
              <w:rPr>
                <w:sz w:val="18"/>
                <w:szCs w:val="18"/>
              </w:rPr>
              <w:t>ii.</w:t>
            </w:r>
            <w:r w:rsidRPr="00AD62EB">
              <w:rPr>
                <w:sz w:val="18"/>
                <w:szCs w:val="18"/>
              </w:rPr>
              <w:tab/>
              <w:t>ii.      Specimens that belong to taxa listed under section 248 of the EPBC Act (Australia’s list of Marine Species), or</w:t>
            </w:r>
          </w:p>
          <w:p w:rsidR="00B54CF9" w:rsidRPr="00AD62EB" w:rsidRDefault="00B54CF9" w:rsidP="00647253">
            <w:pPr>
              <w:pStyle w:val="ListNumber3"/>
              <w:numPr>
                <w:ilvl w:val="0"/>
                <w:numId w:val="0"/>
              </w:numPr>
              <w:spacing w:after="120"/>
              <w:ind w:left="454" w:hanging="369"/>
              <w:rPr>
                <w:sz w:val="18"/>
                <w:szCs w:val="18"/>
              </w:rPr>
            </w:pPr>
            <w:r w:rsidRPr="00AD62EB">
              <w:rPr>
                <w:sz w:val="18"/>
                <w:szCs w:val="18"/>
              </w:rPr>
              <w:t>iii.</w:t>
            </w:r>
            <w:r w:rsidRPr="00AD62EB">
              <w:rPr>
                <w:sz w:val="18"/>
                <w:szCs w:val="18"/>
              </w:rPr>
              <w:tab/>
              <w:t>iii.    Specimens that belong to eligible listed threatened species, as defined under section 303BC of the EPBC Act, or</w:t>
            </w:r>
          </w:p>
          <w:p w:rsidR="00B54CF9" w:rsidRPr="00AD62EB" w:rsidRDefault="00B54CF9" w:rsidP="00647253">
            <w:pPr>
              <w:spacing w:after="120" w:line="276" w:lineRule="auto"/>
              <w:ind w:left="447" w:hanging="425"/>
              <w:rPr>
                <w:rFonts w:eastAsia="Arial Unicode MS" w:cs="Times New Roman"/>
                <w:sz w:val="18"/>
                <w:szCs w:val="18"/>
              </w:rPr>
            </w:pPr>
            <w:r w:rsidRPr="00AD62EB">
              <w:rPr>
                <w:rFonts w:cs="Times New Roman"/>
                <w:sz w:val="18"/>
                <w:szCs w:val="18"/>
              </w:rPr>
              <w:t>iv.    specimens that belong to taxa listed under section 303CA of the EPBC Act (Australia’s CITES List).</w:t>
            </w:r>
          </w:p>
        </w:tc>
        <w:tc>
          <w:tcPr>
            <w:tcW w:w="2462" w:type="dxa"/>
            <w:tcBorders>
              <w:top w:val="nil"/>
              <w:left w:val="nil"/>
              <w:bottom w:val="single" w:sz="4" w:space="0" w:color="auto"/>
              <w:right w:val="single" w:sz="8" w:space="0" w:color="auto"/>
            </w:tcBorders>
          </w:tcPr>
          <w:p w:rsidR="00B54CF9" w:rsidRPr="00AD62EB" w:rsidRDefault="00B54CF9" w:rsidP="00647253">
            <w:pPr>
              <w:spacing w:after="120" w:line="276" w:lineRule="auto"/>
              <w:rPr>
                <w:rFonts w:eastAsia="Arial Unicode MS" w:cs="Times New Roman"/>
                <w:sz w:val="18"/>
                <w:szCs w:val="18"/>
              </w:rPr>
            </w:pPr>
            <w:r w:rsidRPr="00AD62EB">
              <w:rPr>
                <w:rFonts w:cs="Times New Roman"/>
                <w:sz w:val="18"/>
                <w:szCs w:val="18"/>
              </w:rPr>
              <w:t>Queensland Commercial Trawl (Fin Fish) Fishery</w:t>
            </w:r>
          </w:p>
        </w:tc>
        <w:tc>
          <w:tcPr>
            <w:tcW w:w="2840" w:type="dxa"/>
            <w:tcBorders>
              <w:top w:val="nil"/>
              <w:left w:val="nil"/>
              <w:bottom w:val="single" w:sz="4" w:space="0" w:color="auto"/>
              <w:right w:val="single" w:sz="8" w:space="0" w:color="auto"/>
            </w:tcBorders>
          </w:tcPr>
          <w:p w:rsidR="00B54CF9" w:rsidRPr="00AD62EB" w:rsidRDefault="00B54CF9" w:rsidP="00647253">
            <w:pPr>
              <w:pStyle w:val="ListNumber"/>
              <w:numPr>
                <w:ilvl w:val="0"/>
                <w:numId w:val="0"/>
              </w:numPr>
              <w:spacing w:after="120"/>
              <w:ind w:left="-31" w:firstLine="12"/>
              <w:rPr>
                <w:sz w:val="18"/>
                <w:szCs w:val="18"/>
              </w:rPr>
            </w:pPr>
            <w:r w:rsidRPr="00640FA2">
              <w:rPr>
                <w:sz w:val="18"/>
                <w:szCs w:val="18"/>
              </w:rPr>
              <w:t>The specimen, or the fish or invertebrate from which it is derived, was taken lawfully and the specimens are included in the list until 31 May 2020.</w:t>
            </w:r>
          </w:p>
        </w:tc>
      </w:tr>
    </w:tbl>
    <w:p w:rsidR="00B54CF9" w:rsidRPr="00927C53" w:rsidRDefault="00B54CF9" w:rsidP="00B54CF9">
      <w:pPr>
        <w:rPr>
          <w:szCs w:val="22"/>
        </w:rPr>
      </w:pPr>
    </w:p>
    <w:p w:rsidR="00B54CF9" w:rsidRPr="004F6061" w:rsidRDefault="00B54CF9" w:rsidP="00B54CF9">
      <w:pPr>
        <w:rPr>
          <w:szCs w:val="22"/>
        </w:rPr>
      </w:pPr>
      <w:r w:rsidRPr="004F6061">
        <w:rPr>
          <w:szCs w:val="22"/>
        </w:rPr>
        <w:t>The text contained in the</w:t>
      </w:r>
      <w:r>
        <w:rPr>
          <w:szCs w:val="22"/>
        </w:rPr>
        <w:t xml:space="preserve"> </w:t>
      </w:r>
      <w:r w:rsidRPr="00640FA2">
        <w:rPr>
          <w:szCs w:val="22"/>
        </w:rPr>
        <w:t>Taxon/Item</w:t>
      </w:r>
      <w:r w:rsidRPr="004F6061">
        <w:rPr>
          <w:szCs w:val="22"/>
        </w:rPr>
        <w:t xml:space="preserve"> column of the Schedule 1 entry for </w:t>
      </w:r>
      <w:r w:rsidRPr="009E1321">
        <w:rPr>
          <w:szCs w:val="22"/>
        </w:rPr>
        <w:t>Queensland Commercial Trawl (Fin Fish) Fishery</w:t>
      </w:r>
      <w:r w:rsidRPr="004F6061">
        <w:rPr>
          <w:szCs w:val="22"/>
        </w:rPr>
        <w:t xml:space="preserve"> do</w:t>
      </w:r>
      <w:r>
        <w:rPr>
          <w:szCs w:val="22"/>
        </w:rPr>
        <w:t>es</w:t>
      </w:r>
      <w:r w:rsidRPr="004F6061">
        <w:rPr>
          <w:szCs w:val="22"/>
        </w:rPr>
        <w:t xml:space="preserve"> not exactly match the text to be omitted as outlined in </w:t>
      </w:r>
      <w:r>
        <w:rPr>
          <w:szCs w:val="22"/>
        </w:rPr>
        <w:t xml:space="preserve">Schedule 1 of </w:t>
      </w:r>
      <w:r w:rsidRPr="004F6061">
        <w:rPr>
          <w:szCs w:val="22"/>
        </w:rPr>
        <w:t xml:space="preserve">the </w:t>
      </w:r>
      <w:r w:rsidRPr="00171C9B">
        <w:rPr>
          <w:i/>
          <w:szCs w:val="22"/>
        </w:rPr>
        <w:t xml:space="preserve">Amendment of List of </w:t>
      </w:r>
      <w:r w:rsidRPr="00171C9B">
        <w:rPr>
          <w:i/>
          <w:snapToGrid w:val="0"/>
          <w:szCs w:val="22"/>
        </w:rPr>
        <w:t xml:space="preserve">Exempt Native Specimens – Queensland </w:t>
      </w:r>
      <w:r w:rsidRPr="00171C9B">
        <w:rPr>
          <w:rFonts w:cs="Arial"/>
          <w:i/>
        </w:rPr>
        <w:t>Commercial Trawl (Fin Fish) Fishery</w:t>
      </w:r>
      <w:r w:rsidRPr="00171C9B">
        <w:rPr>
          <w:i/>
        </w:rPr>
        <w:t xml:space="preserve">, </w:t>
      </w:r>
      <w:r w:rsidRPr="00171C9B">
        <w:rPr>
          <w:i/>
          <w:snapToGrid w:val="0"/>
          <w:szCs w:val="22"/>
        </w:rPr>
        <w:t>May 2020</w:t>
      </w:r>
      <w:r w:rsidRPr="004F6061">
        <w:rPr>
          <w:szCs w:val="22"/>
        </w:rPr>
        <w:t>.</w:t>
      </w:r>
    </w:p>
    <w:p w:rsidR="00B54CF9" w:rsidRPr="002B7A60" w:rsidRDefault="00B54CF9" w:rsidP="00B54CF9">
      <w:pPr>
        <w:rPr>
          <w:szCs w:val="22"/>
        </w:rPr>
      </w:pPr>
    </w:p>
    <w:p w:rsidR="00B54CF9" w:rsidRPr="002B7A60" w:rsidRDefault="00B54CF9" w:rsidP="00B54CF9">
      <w:pPr>
        <w:rPr>
          <w:szCs w:val="22"/>
        </w:rPr>
      </w:pPr>
      <w:r w:rsidRPr="002B7A60">
        <w:rPr>
          <w:szCs w:val="22"/>
        </w:rPr>
        <w:t xml:space="preserve">This compilation was editorially changed to omit the Schedule 1 entry for </w:t>
      </w:r>
      <w:r w:rsidRPr="009E1321">
        <w:rPr>
          <w:szCs w:val="22"/>
        </w:rPr>
        <w:t>Queensland Commercial Trawl (Fin Fish) Fishery</w:t>
      </w:r>
      <w:r w:rsidRPr="002B7A60">
        <w:rPr>
          <w:szCs w:val="22"/>
        </w:rPr>
        <w:t xml:space="preserve"> and give effect to the misdescribed amendment as intended.</w:t>
      </w:r>
    </w:p>
    <w:p w:rsidR="006B0DEC" w:rsidRDefault="006B0DEC" w:rsidP="006B0DEC">
      <w:pPr>
        <w:pStyle w:val="Head2"/>
        <w:keepLines/>
      </w:pPr>
      <w:r>
        <w:t>Health Insurance (Section 3C Diagnostic Imaging Services – 3D Breast Tomosynthesis) Determination 2018, Compilation No. 1,</w:t>
      </w:r>
      <w:r w:rsidRPr="003342C4">
        <w:t xml:space="preserve"> Registration Date:</w:t>
      </w:r>
      <w:r>
        <w:t xml:space="preserve"> 4 June 2020 [</w:t>
      </w:r>
      <w:r>
        <w:rPr>
          <w:bCs/>
        </w:rPr>
        <w:t>F2020C00462</w:t>
      </w:r>
      <w:r>
        <w:t>]</w:t>
      </w:r>
    </w:p>
    <w:p w:rsidR="006B0DEC" w:rsidRPr="00F1113C" w:rsidRDefault="006B0DEC" w:rsidP="006B0DEC"/>
    <w:p w:rsidR="006B0DEC" w:rsidRPr="00F1113C" w:rsidRDefault="006B0DEC" w:rsidP="006B0DEC">
      <w:pPr>
        <w:rPr>
          <w:b/>
          <w:sz w:val="24"/>
          <w:szCs w:val="24"/>
        </w:rPr>
      </w:pPr>
      <w:r w:rsidRPr="00F1113C">
        <w:rPr>
          <w:b/>
          <w:sz w:val="24"/>
          <w:szCs w:val="24"/>
        </w:rPr>
        <w:t>Schedule</w:t>
      </w:r>
    </w:p>
    <w:p w:rsidR="006B0DEC" w:rsidRPr="00F1113C" w:rsidRDefault="006B0DEC" w:rsidP="006B0DEC"/>
    <w:p w:rsidR="006B0DEC" w:rsidRPr="00F1113C" w:rsidRDefault="006B0DEC" w:rsidP="006B0DEC">
      <w:pPr>
        <w:rPr>
          <w:b/>
        </w:rPr>
      </w:pPr>
      <w:r w:rsidRPr="00F1113C">
        <w:rPr>
          <w:b/>
        </w:rPr>
        <w:t>Kind of editorial change</w:t>
      </w:r>
    </w:p>
    <w:p w:rsidR="006B0DEC" w:rsidRPr="00F1113C" w:rsidRDefault="006B0DEC" w:rsidP="006B0DEC"/>
    <w:p w:rsidR="006B0DEC" w:rsidRPr="00F1113C" w:rsidRDefault="006B0DEC" w:rsidP="006B0DEC">
      <w:r w:rsidRPr="002054B1">
        <w:t>Give effect to the misdescribed amendment as intended</w:t>
      </w:r>
    </w:p>
    <w:p w:rsidR="006B0DEC" w:rsidRPr="00F1113C" w:rsidRDefault="006B0DEC" w:rsidP="006B0DEC"/>
    <w:p w:rsidR="006B0DEC" w:rsidRPr="00F1113C" w:rsidRDefault="006B0DEC" w:rsidP="006B0DEC">
      <w:pPr>
        <w:rPr>
          <w:b/>
        </w:rPr>
      </w:pPr>
      <w:r w:rsidRPr="00F1113C">
        <w:rPr>
          <w:b/>
        </w:rPr>
        <w:t>Details of editorial change</w:t>
      </w:r>
    </w:p>
    <w:p w:rsidR="006B0DEC" w:rsidRPr="00F1113C" w:rsidRDefault="006B0DEC" w:rsidP="006B0DEC"/>
    <w:p w:rsidR="006B0DEC" w:rsidRDefault="006B0DEC" w:rsidP="006B0DEC">
      <w:r>
        <w:t xml:space="preserve">Schedule 1 item 13 of the </w:t>
      </w:r>
      <w:r w:rsidRPr="00153A4B">
        <w:rPr>
          <w:i/>
        </w:rPr>
        <w:t>Health Insurance Legislation Amendment (Section 3C – Medical and Diagnostic Imaging Services) Determination 2020</w:t>
      </w:r>
      <w:r>
        <w:t xml:space="preserve"> instructs to repeal and substitute the table in Schedule 1.</w:t>
      </w:r>
    </w:p>
    <w:p w:rsidR="006B0DEC" w:rsidRDefault="006B0DEC" w:rsidP="006B0DEC"/>
    <w:p w:rsidR="006B0DEC" w:rsidRDefault="006B0DEC" w:rsidP="006B0DEC">
      <w:r>
        <w:t>Schedule 1 does not appear. However, Schedule does appear.</w:t>
      </w:r>
    </w:p>
    <w:p w:rsidR="006B0DEC" w:rsidRDefault="006B0DEC" w:rsidP="006B0DEC"/>
    <w:p w:rsidR="006B0DEC" w:rsidRDefault="006B0DEC" w:rsidP="006B0DEC">
      <w:r>
        <w:t>This compilation was editorially changed to repeal and substitute the table in the Schedule to give effect to the misdescribed amendment as intended.</w:t>
      </w:r>
    </w:p>
    <w:p w:rsidR="00D23583" w:rsidRDefault="00D23583" w:rsidP="00B73314">
      <w:pPr>
        <w:pStyle w:val="Head2"/>
        <w:keepLines/>
      </w:pPr>
      <w:r w:rsidRPr="00B61A20">
        <w:t>Health Insurance (Section 3C Diagnostic Imaging Services—Multiparametric MRI of the prostate) Determination 2018</w:t>
      </w:r>
      <w:r>
        <w:t>, Compilation No. 1,</w:t>
      </w:r>
      <w:r w:rsidRPr="003342C4">
        <w:t xml:space="preserve"> Registration Date:</w:t>
      </w:r>
      <w:r>
        <w:t xml:space="preserve"> 3 June 2020 [</w:t>
      </w:r>
      <w:r>
        <w:rPr>
          <w:bCs/>
        </w:rPr>
        <w:t>F2020C00461</w:t>
      </w:r>
      <w:r>
        <w:t>]</w:t>
      </w:r>
    </w:p>
    <w:p w:rsidR="00D23583" w:rsidRPr="00F1113C" w:rsidRDefault="00D23583" w:rsidP="00B73314">
      <w:pPr>
        <w:keepNext/>
        <w:keepLines/>
      </w:pPr>
    </w:p>
    <w:p w:rsidR="00D23583" w:rsidRPr="00F1113C" w:rsidRDefault="00D23583" w:rsidP="00B73314">
      <w:pPr>
        <w:keepNext/>
        <w:keepLines/>
        <w:rPr>
          <w:b/>
          <w:sz w:val="24"/>
          <w:szCs w:val="24"/>
        </w:rPr>
      </w:pPr>
      <w:r w:rsidRPr="00F1113C">
        <w:rPr>
          <w:b/>
          <w:sz w:val="24"/>
          <w:szCs w:val="24"/>
        </w:rPr>
        <w:t>Schedule</w:t>
      </w:r>
    </w:p>
    <w:p w:rsidR="00D23583" w:rsidRPr="00F1113C" w:rsidRDefault="00D23583" w:rsidP="00D23583"/>
    <w:p w:rsidR="00D23583" w:rsidRPr="00F1113C" w:rsidRDefault="00D23583" w:rsidP="00D23583">
      <w:pPr>
        <w:rPr>
          <w:b/>
        </w:rPr>
      </w:pPr>
      <w:r w:rsidRPr="00F1113C">
        <w:rPr>
          <w:b/>
        </w:rPr>
        <w:t>Kind of editorial change</w:t>
      </w:r>
    </w:p>
    <w:p w:rsidR="00D23583" w:rsidRPr="00F1113C" w:rsidRDefault="00D23583" w:rsidP="00D23583"/>
    <w:p w:rsidR="00D23583" w:rsidRPr="00F1113C" w:rsidRDefault="00D23583" w:rsidP="00D23583">
      <w:r w:rsidRPr="002054B1">
        <w:t>Give effect to the misdescribed amendment as intended</w:t>
      </w:r>
    </w:p>
    <w:p w:rsidR="00D23583" w:rsidRPr="00F1113C" w:rsidRDefault="00D23583" w:rsidP="00D23583"/>
    <w:p w:rsidR="00D23583" w:rsidRPr="00F1113C" w:rsidRDefault="00D23583" w:rsidP="00D23583">
      <w:pPr>
        <w:rPr>
          <w:b/>
        </w:rPr>
      </w:pPr>
      <w:r w:rsidRPr="00F1113C">
        <w:rPr>
          <w:b/>
        </w:rPr>
        <w:t>Details of editorial change</w:t>
      </w:r>
    </w:p>
    <w:p w:rsidR="00D23583" w:rsidRPr="00F1113C" w:rsidRDefault="00D23583" w:rsidP="00D23583"/>
    <w:p w:rsidR="00D23583" w:rsidRDefault="00D23583" w:rsidP="00D23583">
      <w:r>
        <w:t xml:space="preserve">Schedule 1 item 17 of the </w:t>
      </w:r>
      <w:r w:rsidRPr="00153A4B">
        <w:rPr>
          <w:i/>
        </w:rPr>
        <w:t>Health Insurance Legislation Amendment (Section 3C – Medical and Diagnostic Imaging Services) Determination 2020</w:t>
      </w:r>
      <w:r>
        <w:t xml:space="preserve"> instructs to repeal and substitute the table in Schedule 1.</w:t>
      </w:r>
    </w:p>
    <w:p w:rsidR="00D23583" w:rsidRDefault="00D23583" w:rsidP="00D23583"/>
    <w:p w:rsidR="00D23583" w:rsidRDefault="00D23583" w:rsidP="00D23583">
      <w:r>
        <w:t>Schedule 1 does not appear. However, Schedule does appear.</w:t>
      </w:r>
    </w:p>
    <w:p w:rsidR="00D23583" w:rsidRDefault="00D23583" w:rsidP="00D23583"/>
    <w:p w:rsidR="00D23583" w:rsidRDefault="00D23583" w:rsidP="00D23583">
      <w:r>
        <w:t>This compilation was editorially changed to repeal and substitute the table in the Schedule to give effect to the misdescribed amendment as intended.</w:t>
      </w:r>
    </w:p>
    <w:p w:rsidR="006159FA" w:rsidRDefault="006159FA" w:rsidP="003E0FC7">
      <w:pPr>
        <w:pStyle w:val="Head2"/>
        <w:keepLines/>
      </w:pPr>
      <w:r w:rsidRPr="00DD34EE">
        <w:t>Norfolk Island Applied Laws Ordinance 2016</w:t>
      </w:r>
      <w:r>
        <w:t>, Compilation No. 12,</w:t>
      </w:r>
      <w:r w:rsidRPr="003342C4">
        <w:t xml:space="preserve"> Registration Date:</w:t>
      </w:r>
      <w:r>
        <w:t xml:space="preserve"> 27 May 2020 [</w:t>
      </w:r>
      <w:r>
        <w:rPr>
          <w:bCs/>
        </w:rPr>
        <w:t>F2020C00443</w:t>
      </w:r>
      <w:r>
        <w:t>]</w:t>
      </w:r>
    </w:p>
    <w:p w:rsidR="006159FA" w:rsidRPr="00DD34EE" w:rsidRDefault="006159FA" w:rsidP="003E0FC7">
      <w:pPr>
        <w:keepNext/>
        <w:keepLines/>
      </w:pPr>
    </w:p>
    <w:p w:rsidR="006159FA" w:rsidRPr="00DD34EE" w:rsidRDefault="006159FA" w:rsidP="003E0FC7">
      <w:pPr>
        <w:keepNext/>
        <w:keepLines/>
        <w:rPr>
          <w:b/>
          <w:sz w:val="24"/>
          <w:szCs w:val="24"/>
        </w:rPr>
      </w:pPr>
      <w:r w:rsidRPr="00DD34EE">
        <w:rPr>
          <w:b/>
          <w:sz w:val="24"/>
          <w:szCs w:val="24"/>
        </w:rPr>
        <w:t>Item</w:t>
      </w:r>
      <w:r>
        <w:rPr>
          <w:b/>
          <w:sz w:val="24"/>
          <w:szCs w:val="24"/>
        </w:rPr>
        <w:t> </w:t>
      </w:r>
      <w:r w:rsidRPr="00DD34EE">
        <w:rPr>
          <w:b/>
          <w:sz w:val="24"/>
          <w:szCs w:val="24"/>
        </w:rPr>
        <w:t>50A of Schedule</w:t>
      </w:r>
      <w:r>
        <w:rPr>
          <w:b/>
          <w:sz w:val="24"/>
          <w:szCs w:val="24"/>
        </w:rPr>
        <w:t> </w:t>
      </w:r>
      <w:r w:rsidRPr="00DD34EE">
        <w:rPr>
          <w:b/>
          <w:sz w:val="24"/>
          <w:szCs w:val="24"/>
        </w:rPr>
        <w:t>4</w:t>
      </w:r>
    </w:p>
    <w:p w:rsidR="006159FA" w:rsidRPr="00DD34EE" w:rsidRDefault="006159FA" w:rsidP="003E0FC7">
      <w:pPr>
        <w:keepNext/>
        <w:keepLines/>
      </w:pPr>
    </w:p>
    <w:p w:rsidR="006159FA" w:rsidRPr="00DD34EE" w:rsidRDefault="006159FA" w:rsidP="003E0FC7">
      <w:pPr>
        <w:keepNext/>
        <w:keepLines/>
        <w:rPr>
          <w:b/>
        </w:rPr>
      </w:pPr>
      <w:r w:rsidRPr="00DD34EE">
        <w:rPr>
          <w:b/>
        </w:rPr>
        <w:t>Kind of editorial change</w:t>
      </w:r>
    </w:p>
    <w:p w:rsidR="006159FA" w:rsidRPr="00DD34EE" w:rsidRDefault="006159FA" w:rsidP="006159FA"/>
    <w:p w:rsidR="006159FA" w:rsidRPr="00DD34EE" w:rsidRDefault="006159FA" w:rsidP="006159FA">
      <w:r w:rsidRPr="00DD34EE">
        <w:t>Give effect to the misdescribed amendment as intended</w:t>
      </w:r>
    </w:p>
    <w:p w:rsidR="006159FA" w:rsidRPr="00DD34EE" w:rsidRDefault="006159FA" w:rsidP="006159FA"/>
    <w:p w:rsidR="006159FA" w:rsidRPr="00DD34EE" w:rsidRDefault="006159FA" w:rsidP="006159FA">
      <w:pPr>
        <w:rPr>
          <w:b/>
        </w:rPr>
      </w:pPr>
      <w:r w:rsidRPr="00DD34EE">
        <w:rPr>
          <w:b/>
        </w:rPr>
        <w:t>Details of editorial change</w:t>
      </w:r>
    </w:p>
    <w:p w:rsidR="006159FA" w:rsidRPr="00DD34EE" w:rsidRDefault="006159FA" w:rsidP="006159FA"/>
    <w:p w:rsidR="006159FA" w:rsidRPr="00DD34EE" w:rsidRDefault="006159FA" w:rsidP="006159FA">
      <w:r w:rsidRPr="00DD34EE">
        <w:t>Schedule</w:t>
      </w:r>
      <w:r>
        <w:t> </w:t>
      </w:r>
      <w:r w:rsidRPr="00DD34EE">
        <w:t>1 item</w:t>
      </w:r>
      <w:r>
        <w:t> </w:t>
      </w:r>
      <w:r w:rsidRPr="00DD34EE">
        <w:t xml:space="preserve">19 of the </w:t>
      </w:r>
      <w:r w:rsidRPr="00DD34EE">
        <w:rPr>
          <w:i/>
          <w:noProof/>
        </w:rPr>
        <w:t>Norfolk Island Applied Laws Amendment (Local Government Elections) Ordinance 2020</w:t>
      </w:r>
      <w:r w:rsidRPr="00DD34EE">
        <w:t xml:space="preserve"> provides as follows:</w:t>
      </w:r>
    </w:p>
    <w:p w:rsidR="006159FA" w:rsidRPr="00DD34EE" w:rsidRDefault="006159FA" w:rsidP="006159FA"/>
    <w:p w:rsidR="006159FA" w:rsidRPr="00DD34EE" w:rsidRDefault="006159FA" w:rsidP="006159FA">
      <w:pPr>
        <w:pStyle w:val="ItemHead"/>
        <w:spacing w:before="0"/>
      </w:pPr>
      <w:r w:rsidRPr="00DD34EE">
        <w:t>19  After item</w:t>
      </w:r>
      <w:r>
        <w:t> </w:t>
      </w:r>
      <w:r w:rsidRPr="00DD34EE">
        <w:t>50 of Schedule</w:t>
      </w:r>
      <w:r>
        <w:t> </w:t>
      </w:r>
      <w:r w:rsidRPr="00DD34EE">
        <w:t>4</w:t>
      </w:r>
    </w:p>
    <w:p w:rsidR="006159FA" w:rsidRPr="00DD34EE" w:rsidRDefault="006159FA" w:rsidP="006159FA">
      <w:pPr>
        <w:pStyle w:val="Specialih"/>
      </w:pPr>
      <w:r w:rsidRPr="00DD34EE">
        <w:t>50A  Subclause</w:t>
      </w:r>
      <w:r>
        <w:t> </w:t>
      </w:r>
      <w:r w:rsidRPr="00DD34EE">
        <w:t>275(1)</w:t>
      </w:r>
    </w:p>
    <w:p w:rsidR="006159FA" w:rsidRPr="00DD34EE" w:rsidRDefault="006159FA" w:rsidP="006159FA">
      <w:pPr>
        <w:pStyle w:val="Item"/>
      </w:pPr>
      <w:r w:rsidRPr="00DD34EE">
        <w:t>Insert:</w:t>
      </w:r>
    </w:p>
    <w:p w:rsidR="006159FA" w:rsidRPr="00DD34EE" w:rsidRDefault="006159FA" w:rsidP="006159FA">
      <w:pPr>
        <w:pStyle w:val="Definition"/>
        <w:rPr>
          <w:color w:val="000000"/>
          <w:shd w:val="clear" w:color="auto" w:fill="FFFFFF"/>
        </w:rPr>
      </w:pPr>
      <w:r w:rsidRPr="00DD34EE">
        <w:rPr>
          <w:b/>
          <w:i/>
        </w:rPr>
        <w:t>officer</w:t>
      </w:r>
      <w:r w:rsidRPr="00DD34EE">
        <w:t xml:space="preserve">, </w:t>
      </w:r>
      <w:r w:rsidRPr="00DD34EE">
        <w:rPr>
          <w:color w:val="000000"/>
          <w:shd w:val="clear" w:color="auto" w:fill="FFFFFF"/>
        </w:rPr>
        <w:t>in relation to a political party, means a person who is occupying or acting in an office or position concerned with the management of the party.</w:t>
      </w:r>
    </w:p>
    <w:p w:rsidR="006159FA" w:rsidRPr="00DD34EE" w:rsidRDefault="006159FA" w:rsidP="006159FA"/>
    <w:p w:rsidR="006159FA" w:rsidRPr="00DD34EE" w:rsidRDefault="006159FA" w:rsidP="006159FA">
      <w:r w:rsidRPr="00DD34EE">
        <w:t>The instruction to insert the item is missing.</w:t>
      </w:r>
    </w:p>
    <w:p w:rsidR="006159FA" w:rsidRPr="00DD34EE" w:rsidRDefault="006159FA" w:rsidP="006159FA"/>
    <w:p w:rsidR="006159FA" w:rsidRPr="00DD34EE" w:rsidRDefault="006159FA" w:rsidP="006159FA">
      <w:r w:rsidRPr="00DD34EE">
        <w:lastRenderedPageBreak/>
        <w:t>This compilation was editorially changed to insert item</w:t>
      </w:r>
      <w:r>
        <w:t> </w:t>
      </w:r>
      <w:r w:rsidRPr="00DD34EE">
        <w:t>50A after item</w:t>
      </w:r>
      <w:r>
        <w:t> </w:t>
      </w:r>
      <w:r w:rsidRPr="00DD34EE">
        <w:t>50 of Schedule</w:t>
      </w:r>
      <w:r>
        <w:t> </w:t>
      </w:r>
      <w:r w:rsidRPr="00DD34EE">
        <w:t>4 to give effect to the misdescribed amendment as intended.</w:t>
      </w:r>
    </w:p>
    <w:p w:rsidR="006E2BF6" w:rsidRDefault="006E2BF6" w:rsidP="006E2BF6">
      <w:pPr>
        <w:pStyle w:val="Head2"/>
        <w:keepLines/>
      </w:pPr>
      <w:r>
        <w:t>Health Insurance (Section 3C General Medical Services - COVID-19 Telehealth and Telephone Attendances) Determination 2020, Compilation No. 3,</w:t>
      </w:r>
      <w:r w:rsidRPr="003342C4">
        <w:t xml:space="preserve"> Registration Date:</w:t>
      </w:r>
      <w:r>
        <w:t xml:space="preserve"> 25 May 2020 [</w:t>
      </w:r>
      <w:r>
        <w:rPr>
          <w:bCs/>
        </w:rPr>
        <w:t>F2020C00429</w:t>
      </w:r>
      <w:r>
        <w:t>]</w:t>
      </w:r>
    </w:p>
    <w:p w:rsidR="006E2BF6" w:rsidRPr="00F2598C" w:rsidRDefault="006E2BF6" w:rsidP="006E2BF6"/>
    <w:p w:rsidR="006E2BF6" w:rsidRPr="004549F1" w:rsidRDefault="006E2BF6" w:rsidP="006E2BF6">
      <w:pPr>
        <w:rPr>
          <w:b/>
          <w:sz w:val="24"/>
          <w:szCs w:val="24"/>
        </w:rPr>
      </w:pPr>
      <w:r w:rsidRPr="00925576">
        <w:rPr>
          <w:b/>
          <w:sz w:val="24"/>
          <w:szCs w:val="24"/>
        </w:rPr>
        <w:t>Subclause 2.1.1(1) of Division 2.1 of Schedule 2</w:t>
      </w:r>
    </w:p>
    <w:p w:rsidR="006E2BF6" w:rsidRPr="009F43E3" w:rsidRDefault="006E2BF6" w:rsidP="006E2BF6"/>
    <w:p w:rsidR="006E2BF6" w:rsidRPr="004549F1" w:rsidRDefault="006E2BF6" w:rsidP="006E2BF6">
      <w:pPr>
        <w:rPr>
          <w:b/>
        </w:rPr>
      </w:pPr>
      <w:r w:rsidRPr="004549F1">
        <w:rPr>
          <w:b/>
        </w:rPr>
        <w:t>Kind of editorial change</w:t>
      </w:r>
    </w:p>
    <w:p w:rsidR="006E2BF6" w:rsidRPr="004549F1" w:rsidRDefault="006E2BF6" w:rsidP="006E2BF6"/>
    <w:p w:rsidR="006E2BF6" w:rsidRPr="009F43E3" w:rsidRDefault="006E2BF6" w:rsidP="006E2BF6">
      <w:r>
        <w:t>Change to punctuation</w:t>
      </w:r>
    </w:p>
    <w:p w:rsidR="006E2BF6" w:rsidRPr="004549F1" w:rsidRDefault="006E2BF6" w:rsidP="006E2BF6"/>
    <w:p w:rsidR="006E2BF6" w:rsidRPr="004549F1" w:rsidRDefault="006E2BF6" w:rsidP="006E2BF6">
      <w:pPr>
        <w:rPr>
          <w:b/>
        </w:rPr>
      </w:pPr>
      <w:r w:rsidRPr="004549F1">
        <w:rPr>
          <w:b/>
        </w:rPr>
        <w:t>Details of editorial change</w:t>
      </w:r>
    </w:p>
    <w:p w:rsidR="006E2BF6" w:rsidRPr="009F43E3" w:rsidRDefault="006E2BF6" w:rsidP="006E2BF6"/>
    <w:p w:rsidR="006E2BF6" w:rsidRDefault="006E2BF6" w:rsidP="006E2BF6">
      <w:r>
        <w:t xml:space="preserve">Schedule 1 item 8 of the </w:t>
      </w:r>
      <w:r w:rsidRPr="0054399A">
        <w:rPr>
          <w:i/>
        </w:rPr>
        <w:t>Health Insurance (Section 3C General Medical Services – COVID-19 Telehealth and Telephone Attendances) Amendment (Expansion of Specialist Services) Determination 2020</w:t>
      </w:r>
      <w:r>
        <w:t xml:space="preserve"> instructs to omit </w:t>
      </w:r>
      <w:r w:rsidRPr="005237BE">
        <w:t>“or 26”</w:t>
      </w:r>
      <w:r>
        <w:t xml:space="preserve"> and</w:t>
      </w:r>
      <w:r w:rsidRPr="005237BE">
        <w:t xml:space="preserve"> substitute “26 or 32”</w:t>
      </w:r>
      <w:r>
        <w:t xml:space="preserve"> in s</w:t>
      </w:r>
      <w:r w:rsidRPr="00076731">
        <w:t>ubclause</w:t>
      </w:r>
      <w:r>
        <w:t> </w:t>
      </w:r>
      <w:r w:rsidRPr="00076731">
        <w:t>2.1.1(1) of Division 2.1 of Schedule 2</w:t>
      </w:r>
      <w:r w:rsidRPr="005237BE">
        <w:t>.</w:t>
      </w:r>
    </w:p>
    <w:p w:rsidR="006E2BF6" w:rsidRDefault="006E2BF6" w:rsidP="006E2BF6"/>
    <w:p w:rsidR="006E2BF6" w:rsidRPr="005237BE" w:rsidRDefault="006E2BF6" w:rsidP="006E2BF6">
      <w:r>
        <w:t xml:space="preserve">This compilation was editorially changed to insert a comma before </w:t>
      </w:r>
      <w:r w:rsidRPr="005237BE">
        <w:t>“26 or 32”</w:t>
      </w:r>
      <w:r>
        <w:t xml:space="preserve"> in s</w:t>
      </w:r>
      <w:r w:rsidRPr="00076731">
        <w:t>ubclause</w:t>
      </w:r>
      <w:r>
        <w:t> </w:t>
      </w:r>
      <w:r w:rsidRPr="00076731">
        <w:t>2.1.1(1) of Division 2.1 of Schedule 2</w:t>
      </w:r>
      <w:r>
        <w:t xml:space="preserve"> to </w:t>
      </w:r>
      <w:r>
        <w:rPr>
          <w:szCs w:val="22"/>
        </w:rPr>
        <w:t>correct the punctuation.</w:t>
      </w:r>
    </w:p>
    <w:p w:rsidR="003B5348" w:rsidRDefault="003B5348" w:rsidP="003E0FC7">
      <w:pPr>
        <w:pStyle w:val="Head2"/>
        <w:keepLines/>
      </w:pPr>
      <w:r w:rsidRPr="006A1FC9">
        <w:t>Child Care Subsidy Minister’s Rules 2017</w:t>
      </w:r>
      <w:r>
        <w:t>, Compilation No. 9,</w:t>
      </w:r>
      <w:r w:rsidRPr="003342C4">
        <w:t xml:space="preserve"> Registration Date:</w:t>
      </w:r>
      <w:r>
        <w:t xml:space="preserve"> 22 May 2020 [</w:t>
      </w:r>
      <w:r>
        <w:rPr>
          <w:bCs/>
        </w:rPr>
        <w:t>F2020C00419</w:t>
      </w:r>
      <w:r>
        <w:t>]</w:t>
      </w:r>
    </w:p>
    <w:p w:rsidR="003B5348" w:rsidRPr="00F1113C" w:rsidRDefault="003B5348" w:rsidP="003E0FC7">
      <w:pPr>
        <w:keepNext/>
        <w:keepLines/>
      </w:pPr>
    </w:p>
    <w:p w:rsidR="003B5348" w:rsidRPr="00F1113C" w:rsidRDefault="003B5348" w:rsidP="003E0FC7">
      <w:pPr>
        <w:keepNext/>
        <w:keepLines/>
        <w:rPr>
          <w:b/>
          <w:sz w:val="24"/>
          <w:szCs w:val="24"/>
        </w:rPr>
      </w:pPr>
      <w:r>
        <w:rPr>
          <w:b/>
          <w:sz w:val="24"/>
          <w:szCs w:val="24"/>
        </w:rPr>
        <w:t>Section 60A (first occurring)</w:t>
      </w:r>
    </w:p>
    <w:p w:rsidR="003B5348" w:rsidRPr="00F1113C" w:rsidRDefault="003B5348" w:rsidP="003B5348"/>
    <w:p w:rsidR="003B5348" w:rsidRPr="00F1113C" w:rsidRDefault="003B5348" w:rsidP="003B5348">
      <w:pPr>
        <w:rPr>
          <w:b/>
        </w:rPr>
      </w:pPr>
      <w:r w:rsidRPr="00F1113C">
        <w:rPr>
          <w:b/>
        </w:rPr>
        <w:t>Kind of editorial change</w:t>
      </w:r>
    </w:p>
    <w:p w:rsidR="003B5348" w:rsidRPr="00F1113C" w:rsidRDefault="003B5348" w:rsidP="003B5348"/>
    <w:p w:rsidR="003B5348" w:rsidRPr="00F1113C" w:rsidRDefault="003B5348" w:rsidP="003B5348">
      <w:r w:rsidRPr="008C70C2">
        <w:t>Change to grammar, syntax or the use of conjunctives or disjunctives</w:t>
      </w:r>
    </w:p>
    <w:p w:rsidR="003B5348" w:rsidRPr="00F1113C" w:rsidRDefault="003B5348" w:rsidP="003B5348"/>
    <w:p w:rsidR="003B5348" w:rsidRPr="00F1113C" w:rsidRDefault="003B5348" w:rsidP="003B5348">
      <w:pPr>
        <w:rPr>
          <w:b/>
        </w:rPr>
      </w:pPr>
      <w:r w:rsidRPr="00F1113C">
        <w:rPr>
          <w:b/>
        </w:rPr>
        <w:t>Details of editorial change</w:t>
      </w:r>
    </w:p>
    <w:p w:rsidR="003B5348" w:rsidRPr="00F1113C" w:rsidRDefault="003B5348" w:rsidP="003B5348"/>
    <w:p w:rsidR="003B5348" w:rsidRDefault="003B5348" w:rsidP="003B5348">
      <w:r>
        <w:t xml:space="preserve">Schedule 1 item 4 of the </w:t>
      </w:r>
      <w:r>
        <w:rPr>
          <w:i/>
          <w:noProof/>
        </w:rPr>
        <w:t>Child Care Subsidy Amendment (Coronavirus Response Measures No. 2) Minister’s Rules 2020</w:t>
      </w:r>
      <w:r>
        <w:t xml:space="preserve"> instructs to insert Division 2 of Part 6 after section 60. Section 60A of the newly inserted Division 2 </w:t>
      </w:r>
      <w:r w:rsidRPr="008842EF">
        <w:t>contains the phrase “</w:t>
      </w:r>
      <w:r>
        <w:t>in relation a</w:t>
      </w:r>
      <w:r w:rsidRPr="008842EF">
        <w:t>”.</w:t>
      </w:r>
    </w:p>
    <w:p w:rsidR="003B5348" w:rsidRDefault="003B5348" w:rsidP="003B5348"/>
    <w:p w:rsidR="003B5348" w:rsidRPr="00F1113C" w:rsidRDefault="003B5348" w:rsidP="003B5348">
      <w:r>
        <w:t>This compilation was editorially changed to omit “in relation a” and substitute “in relation to a” in section 60A (first occurring) to correct the grammatical error.</w:t>
      </w:r>
    </w:p>
    <w:p w:rsidR="00287E4B" w:rsidRDefault="00287E4B" w:rsidP="00287E4B">
      <w:pPr>
        <w:pStyle w:val="Head2"/>
        <w:keepLines/>
      </w:pPr>
      <w:r w:rsidRPr="00E106BD">
        <w:t>National Health (Highly specialised drugs program) Special Arrangement 2010 (PB 116 of 2010)</w:t>
      </w:r>
      <w:r>
        <w:t>, Compilation No. 106,</w:t>
      </w:r>
      <w:r w:rsidRPr="003342C4">
        <w:t xml:space="preserve"> Registration Date:</w:t>
      </w:r>
      <w:r>
        <w:t xml:space="preserve"> 18 May 2020 [</w:t>
      </w:r>
      <w:r>
        <w:rPr>
          <w:bCs/>
        </w:rPr>
        <w:t>F2020C00405</w:t>
      </w:r>
      <w:r>
        <w:t>]</w:t>
      </w:r>
    </w:p>
    <w:p w:rsidR="00287E4B" w:rsidRPr="002C6E34" w:rsidRDefault="00287E4B" w:rsidP="00287E4B"/>
    <w:p w:rsidR="00287E4B" w:rsidRPr="004C611F" w:rsidRDefault="00287E4B" w:rsidP="00287E4B">
      <w:pPr>
        <w:rPr>
          <w:rFonts w:cs="Times New Roman"/>
          <w:b/>
          <w:sz w:val="24"/>
          <w:szCs w:val="24"/>
        </w:rPr>
      </w:pPr>
      <w:r w:rsidRPr="009B66C6">
        <w:rPr>
          <w:rFonts w:cs="Times New Roman"/>
          <w:b/>
          <w:sz w:val="24"/>
          <w:szCs w:val="24"/>
        </w:rPr>
        <w:t xml:space="preserve">Schedule 3, entry for </w:t>
      </w:r>
      <w:r w:rsidRPr="00FF558F">
        <w:rPr>
          <w:rFonts w:cs="Times New Roman"/>
          <w:b/>
          <w:sz w:val="24"/>
          <w:szCs w:val="24"/>
        </w:rPr>
        <w:t>Lenalidomide</w:t>
      </w:r>
    </w:p>
    <w:p w:rsidR="00287E4B" w:rsidRPr="00C85FEA" w:rsidRDefault="00287E4B" w:rsidP="00287E4B">
      <w:pPr>
        <w:rPr>
          <w:rFonts w:cs="Times New Roman"/>
          <w:szCs w:val="22"/>
        </w:rPr>
      </w:pPr>
    </w:p>
    <w:p w:rsidR="00287E4B" w:rsidRPr="002C6E34" w:rsidRDefault="00287E4B" w:rsidP="00287E4B">
      <w:pPr>
        <w:rPr>
          <w:b/>
        </w:rPr>
      </w:pPr>
      <w:r w:rsidRPr="002C6E34">
        <w:rPr>
          <w:b/>
        </w:rPr>
        <w:t>Kind of editorial change</w:t>
      </w:r>
    </w:p>
    <w:p w:rsidR="00287E4B" w:rsidRPr="002C6E34" w:rsidRDefault="00287E4B" w:rsidP="00287E4B"/>
    <w:p w:rsidR="00287E4B" w:rsidRPr="002C6E34" w:rsidRDefault="00287E4B" w:rsidP="00287E4B">
      <w:r w:rsidRPr="004C611F">
        <w:t>Give effect to the misdescribed amendment as intended</w:t>
      </w:r>
    </w:p>
    <w:p w:rsidR="00287E4B" w:rsidRPr="002C6E34" w:rsidRDefault="00287E4B" w:rsidP="00287E4B"/>
    <w:p w:rsidR="00287E4B" w:rsidRPr="002C6E34" w:rsidRDefault="00287E4B" w:rsidP="00287E4B">
      <w:pPr>
        <w:rPr>
          <w:b/>
        </w:rPr>
      </w:pPr>
      <w:r w:rsidRPr="002C6E34">
        <w:rPr>
          <w:b/>
        </w:rPr>
        <w:lastRenderedPageBreak/>
        <w:t>Details of editorial change</w:t>
      </w:r>
    </w:p>
    <w:p w:rsidR="00287E4B" w:rsidRPr="002C6E34" w:rsidRDefault="00287E4B" w:rsidP="00287E4B"/>
    <w:p w:rsidR="00287E4B" w:rsidRDefault="00287E4B" w:rsidP="00287E4B">
      <w:r w:rsidRPr="00FF558F">
        <w:t xml:space="preserve">Schedule 1 paragraph 24(a) of the </w:t>
      </w:r>
      <w:r w:rsidRPr="00FF558F">
        <w:rPr>
          <w:i/>
        </w:rPr>
        <w:t>National Health (Highly specialised drugs program) Special Arrangement Amendment Instrument 2020 (No. 4)</w:t>
      </w:r>
      <w:r w:rsidRPr="00FF558F">
        <w:t xml:space="preserve"> (PB 37 of 2020) instructs to omit the circumstances codes C7381, C7383, C7807 and C7808 from the entry for Lenalidomide in Schedule 3.</w:t>
      </w:r>
    </w:p>
    <w:p w:rsidR="00287E4B" w:rsidRDefault="00287E4B" w:rsidP="00287E4B"/>
    <w:p w:rsidR="00287E4B" w:rsidRDefault="00287E4B" w:rsidP="00287E4B">
      <w:r w:rsidRPr="00FF558F">
        <w:t>The text contained in the column headed “</w:t>
      </w:r>
      <w:r w:rsidRPr="00FF558F">
        <w:rPr>
          <w:b/>
        </w:rPr>
        <w:t xml:space="preserve">Authority Requirements </w:t>
      </w:r>
      <w:r w:rsidRPr="00F03512">
        <w:rPr>
          <w:b/>
        </w:rPr>
        <w:noBreakHyphen/>
      </w:r>
      <w:r w:rsidRPr="00FF558F">
        <w:rPr>
          <w:b/>
        </w:rPr>
        <w:t xml:space="preserve"> Part of Circumstances</w:t>
      </w:r>
      <w:r w:rsidRPr="00FF558F">
        <w:t xml:space="preserve">” for circumstances code C7808 does not exactly match the text to be omitted as outlined in Schedule 1 paragraph 24(a) of the </w:t>
      </w:r>
      <w:r w:rsidRPr="00FF558F">
        <w:rPr>
          <w:i/>
        </w:rPr>
        <w:t>National Health (Highly specialised drugs program) Special Arrangement Amendment Instrument 2020 (No. 4)</w:t>
      </w:r>
      <w:r w:rsidRPr="00FF558F">
        <w:t xml:space="preserve"> (PB 37 of 2020).</w:t>
      </w:r>
    </w:p>
    <w:p w:rsidR="00287E4B" w:rsidRDefault="00287E4B" w:rsidP="00287E4B"/>
    <w:p w:rsidR="00287E4B" w:rsidRDefault="00287E4B" w:rsidP="00287E4B">
      <w:r w:rsidRPr="00FF558F">
        <w:t>This compilation was editorially changed to omit the entry for circumstances code C7808 of Lenalidomide in Schedule 3 to give effect to the misdescribed amendment as intended.</w:t>
      </w:r>
    </w:p>
    <w:p w:rsidR="00E50E72" w:rsidRDefault="00E50E72" w:rsidP="00A213FE">
      <w:pPr>
        <w:pStyle w:val="Head2"/>
        <w:keepLines/>
      </w:pPr>
      <w:r w:rsidRPr="00943623">
        <w:t>National Redress Scheme for Institutional Child Sexual Abuse Declaration</w:t>
      </w:r>
      <w:r>
        <w:t> </w:t>
      </w:r>
      <w:r w:rsidRPr="00943623">
        <w:t>2018</w:t>
      </w:r>
      <w:r>
        <w:t>, Compilation No. 28,</w:t>
      </w:r>
      <w:r w:rsidRPr="003342C4">
        <w:t xml:space="preserve"> Registration Date:</w:t>
      </w:r>
      <w:r>
        <w:t xml:space="preserve"> 18 May 2020 [</w:t>
      </w:r>
      <w:r>
        <w:rPr>
          <w:bCs/>
        </w:rPr>
        <w:t>F2020C00404</w:t>
      </w:r>
      <w:r>
        <w:t>]</w:t>
      </w:r>
    </w:p>
    <w:p w:rsidR="00E50E72" w:rsidRPr="00F1113C" w:rsidRDefault="00E50E72" w:rsidP="00A213FE">
      <w:pPr>
        <w:keepNext/>
        <w:keepLines/>
      </w:pPr>
    </w:p>
    <w:p w:rsidR="00E50E72" w:rsidRPr="004D2DF3" w:rsidRDefault="00E50E72" w:rsidP="00A213FE">
      <w:pPr>
        <w:keepNext/>
        <w:keepLines/>
        <w:rPr>
          <w:b/>
          <w:sz w:val="24"/>
          <w:szCs w:val="24"/>
        </w:rPr>
      </w:pPr>
      <w:r w:rsidRPr="008C63F0">
        <w:rPr>
          <w:b/>
          <w:sz w:val="24"/>
          <w:szCs w:val="24"/>
        </w:rPr>
        <w:t>S</w:t>
      </w:r>
      <w:r>
        <w:rPr>
          <w:b/>
          <w:sz w:val="24"/>
          <w:szCs w:val="24"/>
        </w:rPr>
        <w:t>ection</w:t>
      </w:r>
      <w:r w:rsidRPr="008C63F0">
        <w:rPr>
          <w:b/>
          <w:sz w:val="24"/>
          <w:szCs w:val="24"/>
        </w:rPr>
        <w:t xml:space="preserve"> 1</w:t>
      </w:r>
      <w:r>
        <w:rPr>
          <w:b/>
          <w:sz w:val="24"/>
          <w:szCs w:val="24"/>
        </w:rPr>
        <w:t>1</w:t>
      </w:r>
      <w:r w:rsidRPr="008C63F0">
        <w:rPr>
          <w:b/>
          <w:sz w:val="24"/>
          <w:szCs w:val="24"/>
        </w:rPr>
        <w:t xml:space="preserve"> (table item </w:t>
      </w:r>
      <w:r>
        <w:rPr>
          <w:b/>
          <w:sz w:val="24"/>
          <w:szCs w:val="24"/>
        </w:rPr>
        <w:t>5</w:t>
      </w:r>
      <w:r w:rsidRPr="008C63F0">
        <w:rPr>
          <w:b/>
          <w:sz w:val="24"/>
          <w:szCs w:val="24"/>
        </w:rPr>
        <w:t>1</w:t>
      </w:r>
      <w:r w:rsidRPr="001A28C0">
        <w:rPr>
          <w:b/>
          <w:sz w:val="24"/>
          <w:szCs w:val="24"/>
        </w:rPr>
        <w:t>, column 1</w:t>
      </w:r>
      <w:r w:rsidRPr="008C63F0">
        <w:rPr>
          <w:b/>
          <w:sz w:val="24"/>
          <w:szCs w:val="24"/>
        </w:rPr>
        <w:t>)</w:t>
      </w:r>
    </w:p>
    <w:p w:rsidR="00E50E72" w:rsidRPr="00F1113C" w:rsidRDefault="00E50E72" w:rsidP="00A213FE">
      <w:pPr>
        <w:keepNext/>
        <w:keepLines/>
      </w:pPr>
    </w:p>
    <w:p w:rsidR="00E50E72" w:rsidRPr="00F1113C" w:rsidRDefault="00E50E72" w:rsidP="00A213FE">
      <w:pPr>
        <w:keepNext/>
        <w:keepLines/>
        <w:rPr>
          <w:b/>
        </w:rPr>
      </w:pPr>
      <w:r w:rsidRPr="00F1113C">
        <w:rPr>
          <w:b/>
        </w:rPr>
        <w:t>Kind of editorial change</w:t>
      </w:r>
    </w:p>
    <w:p w:rsidR="00E50E72" w:rsidRPr="00F1113C" w:rsidRDefault="00E50E72" w:rsidP="00A213FE">
      <w:pPr>
        <w:keepNext/>
        <w:keepLines/>
      </w:pPr>
    </w:p>
    <w:p w:rsidR="00E50E72" w:rsidRPr="00F1113C" w:rsidRDefault="00E50E72" w:rsidP="00A213FE">
      <w:pPr>
        <w:keepNext/>
        <w:keepLines/>
      </w:pPr>
      <w:r w:rsidRPr="00671F51">
        <w:t>Removal of redundant text</w:t>
      </w:r>
    </w:p>
    <w:p w:rsidR="00E50E72" w:rsidRPr="00F1113C" w:rsidRDefault="00E50E72" w:rsidP="00E50E72"/>
    <w:p w:rsidR="00E50E72" w:rsidRPr="00F1113C" w:rsidRDefault="00E50E72" w:rsidP="00E50E72">
      <w:pPr>
        <w:rPr>
          <w:b/>
        </w:rPr>
      </w:pPr>
      <w:r w:rsidRPr="00F1113C">
        <w:rPr>
          <w:b/>
        </w:rPr>
        <w:t>Details of editorial change</w:t>
      </w:r>
    </w:p>
    <w:p w:rsidR="00E50E72" w:rsidRPr="00F1113C" w:rsidRDefault="00E50E72" w:rsidP="00E50E72"/>
    <w:p w:rsidR="00E50E72" w:rsidRPr="00F1113C" w:rsidRDefault="00E50E72" w:rsidP="00E50E72">
      <w:r w:rsidRPr="004F7DBD">
        <w:t xml:space="preserve">Schedule 1 item 1 of the </w:t>
      </w:r>
      <w:r>
        <w:rPr>
          <w:i/>
        </w:rPr>
        <w:t>National Redress Scheme for Institutional Child Sexual Abuse Amendment (2020 Measures No. 6) Declaration 2020</w:t>
      </w:r>
      <w:r w:rsidRPr="004F7DBD">
        <w:t xml:space="preserve"> </w:t>
      </w:r>
      <w:r>
        <w:t xml:space="preserve">instructs to add </w:t>
      </w:r>
      <w:r w:rsidRPr="004F7DBD">
        <w:t>table item</w:t>
      </w:r>
      <w:r>
        <w:t>s</w:t>
      </w:r>
      <w:r w:rsidRPr="004F7DBD">
        <w:t xml:space="preserve"> </w:t>
      </w:r>
      <w:r>
        <w:t>51 and 52 at the end of the table in section 11</w:t>
      </w:r>
      <w:r w:rsidRPr="004F7DBD">
        <w:t>.</w:t>
      </w:r>
    </w:p>
    <w:p w:rsidR="00E50E72" w:rsidRPr="00F1113C" w:rsidRDefault="00E50E72" w:rsidP="00E50E72"/>
    <w:p w:rsidR="00E50E72" w:rsidRDefault="00E50E72" w:rsidP="00E50E72">
      <w:r w:rsidRPr="00A81178">
        <w:t>The newly inserted</w:t>
      </w:r>
      <w:r>
        <w:t xml:space="preserve"> table item 51 of section 11 reads as follows:</w:t>
      </w:r>
    </w:p>
    <w:p w:rsidR="00E50E72" w:rsidRDefault="00E50E72" w:rsidP="00E50E72"/>
    <w:tbl>
      <w:tblPr>
        <w:tblW w:w="8647" w:type="dxa"/>
        <w:tblCellMar>
          <w:left w:w="0" w:type="dxa"/>
          <w:right w:w="0" w:type="dxa"/>
        </w:tblCellMar>
        <w:tblLook w:val="04A0" w:firstRow="1" w:lastRow="0" w:firstColumn="1" w:lastColumn="0" w:noHBand="0" w:noVBand="1"/>
      </w:tblPr>
      <w:tblGrid>
        <w:gridCol w:w="693"/>
        <w:gridCol w:w="3977"/>
        <w:gridCol w:w="3977"/>
      </w:tblGrid>
      <w:tr w:rsidR="00E50E72" w:rsidRPr="005E5D58" w:rsidTr="00354C97">
        <w:trPr>
          <w:cantSplit/>
          <w:trHeight w:val="584"/>
        </w:trPr>
        <w:tc>
          <w:tcPr>
            <w:tcW w:w="693" w:type="dxa"/>
            <w:tcBorders>
              <w:top w:val="single" w:sz="8" w:space="0" w:color="auto"/>
              <w:left w:val="nil"/>
              <w:bottom w:val="single" w:sz="8" w:space="0" w:color="auto"/>
              <w:right w:val="nil"/>
            </w:tcBorders>
            <w:tcMar>
              <w:top w:w="0" w:type="dxa"/>
              <w:left w:w="108" w:type="dxa"/>
              <w:bottom w:w="0" w:type="dxa"/>
              <w:right w:w="108" w:type="dxa"/>
            </w:tcMar>
            <w:hideMark/>
          </w:tcPr>
          <w:p w:rsidR="00E50E72" w:rsidRPr="005E5D58" w:rsidRDefault="00E50E72" w:rsidP="00E651C1">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 w:val="20"/>
                <w:lang w:eastAsia="en-AU"/>
              </w:rPr>
              <w:t>51</w:t>
            </w:r>
          </w:p>
        </w:tc>
        <w:tc>
          <w:tcPr>
            <w:tcW w:w="3977" w:type="dxa"/>
            <w:tcBorders>
              <w:top w:val="single" w:sz="8" w:space="0" w:color="auto"/>
              <w:left w:val="nil"/>
              <w:bottom w:val="single" w:sz="8" w:space="0" w:color="auto"/>
              <w:right w:val="nil"/>
            </w:tcBorders>
            <w:tcMar>
              <w:top w:w="0" w:type="dxa"/>
              <w:left w:w="108" w:type="dxa"/>
              <w:bottom w:w="0" w:type="dxa"/>
              <w:right w:w="108" w:type="dxa"/>
            </w:tcMar>
            <w:hideMark/>
          </w:tcPr>
          <w:p w:rsidR="00E50E72" w:rsidRPr="005E5D58" w:rsidRDefault="00E50E72" w:rsidP="00E651C1">
            <w:pPr>
              <w:spacing w:before="80" w:line="240" w:lineRule="auto"/>
              <w:rPr>
                <w:rFonts w:ascii="&amp;quot" w:eastAsia="Times New Roman" w:hAnsi="&amp;quot" w:cs="Times New Roman"/>
                <w:color w:val="000000"/>
                <w:szCs w:val="22"/>
                <w:lang w:eastAsia="en-AU"/>
              </w:rPr>
            </w:pPr>
            <w:r w:rsidRPr="00D31D1B">
              <w:rPr>
                <w:rFonts w:ascii="&amp;quot" w:eastAsia="Times New Roman" w:hAnsi="&amp;quot" w:cs="Times New Roman"/>
                <w:color w:val="000000"/>
                <w:sz w:val="20"/>
                <w:lang w:eastAsia="en-AU"/>
              </w:rPr>
              <w:t>All Life Church Queensland Ltd</w:t>
            </w:r>
            <w:r>
              <w:rPr>
                <w:rFonts w:ascii="&amp;quot" w:eastAsia="Times New Roman" w:hAnsi="&amp;quot" w:cs="Times New Roman"/>
                <w:color w:val="000000"/>
                <w:sz w:val="20"/>
                <w:lang w:eastAsia="en-AU"/>
              </w:rPr>
              <w:t xml:space="preserve"> </w:t>
            </w:r>
            <w:r w:rsidRPr="00D31D1B">
              <w:rPr>
                <w:rFonts w:ascii="&amp;quot" w:eastAsia="Times New Roman" w:hAnsi="&amp;quot" w:cs="Times New Roman"/>
                <w:color w:val="000000"/>
                <w:sz w:val="20"/>
                <w:lang w:eastAsia="en-AU"/>
              </w:rPr>
              <w:t xml:space="preserve">institutions as at </w:t>
            </w:r>
            <w:r w:rsidRPr="00E4142F">
              <w:rPr>
                <w:rFonts w:ascii="&amp;quot" w:eastAsia="Times New Roman" w:hAnsi="&amp;quot" w:cs="Times New Roman"/>
                <w:color w:val="000000"/>
                <w:sz w:val="20"/>
                <w:lang w:eastAsia="en-AU"/>
              </w:rPr>
              <w:t>as at paragraphs (</w:t>
            </w:r>
            <w:r>
              <w:rPr>
                <w:rFonts w:ascii="&amp;quot" w:eastAsia="Times New Roman" w:hAnsi="&amp;quot" w:cs="Times New Roman"/>
                <w:color w:val="000000"/>
                <w:sz w:val="20"/>
                <w:lang w:eastAsia="en-AU"/>
              </w:rPr>
              <w:t>c</w:t>
            </w:r>
            <w:r w:rsidRPr="00E4142F">
              <w:rPr>
                <w:rFonts w:ascii="&amp;quot" w:eastAsia="Times New Roman" w:hAnsi="&amp;quot" w:cs="Times New Roman"/>
                <w:color w:val="000000"/>
                <w:sz w:val="20"/>
                <w:lang w:eastAsia="en-AU"/>
              </w:rPr>
              <w:t xml:space="preserve">) </w:t>
            </w:r>
            <w:r>
              <w:rPr>
                <w:rFonts w:ascii="&amp;quot" w:eastAsia="Times New Roman" w:hAnsi="&amp;quot" w:cs="Times New Roman"/>
                <w:color w:val="000000"/>
                <w:sz w:val="20"/>
                <w:lang w:eastAsia="en-AU"/>
              </w:rPr>
              <w:t>to (f</w:t>
            </w:r>
            <w:r w:rsidRPr="00E4142F">
              <w:rPr>
                <w:rFonts w:ascii="&amp;quot" w:eastAsia="Times New Roman" w:hAnsi="&amp;quot" w:cs="Times New Roman"/>
                <w:color w:val="000000"/>
                <w:sz w:val="20"/>
                <w:lang w:eastAsia="en-AU"/>
              </w:rPr>
              <w:t xml:space="preserve">) </w:t>
            </w:r>
            <w:r>
              <w:rPr>
                <w:rFonts w:ascii="&amp;quot" w:eastAsia="Times New Roman" w:hAnsi="&amp;quot" w:cs="Times New Roman"/>
                <w:color w:val="000000"/>
                <w:sz w:val="20"/>
                <w:lang w:eastAsia="en-AU"/>
              </w:rPr>
              <w:t xml:space="preserve">of </w:t>
            </w:r>
            <w:r w:rsidRPr="00D31D1B">
              <w:rPr>
                <w:rFonts w:ascii="&amp;quot" w:eastAsia="Times New Roman" w:hAnsi="&amp;quot" w:cs="Times New Roman"/>
                <w:color w:val="000000"/>
                <w:sz w:val="20"/>
                <w:lang w:eastAsia="en-AU"/>
              </w:rPr>
              <w:t>Item 197 of the Table in Schedule 1 to this instrument</w:t>
            </w:r>
          </w:p>
        </w:tc>
        <w:tc>
          <w:tcPr>
            <w:tcW w:w="3977" w:type="dxa"/>
            <w:tcBorders>
              <w:top w:val="single" w:sz="8" w:space="0" w:color="auto"/>
              <w:left w:val="nil"/>
              <w:bottom w:val="single" w:sz="8" w:space="0" w:color="auto"/>
              <w:right w:val="nil"/>
            </w:tcBorders>
            <w:tcMar>
              <w:top w:w="0" w:type="dxa"/>
              <w:left w:w="108" w:type="dxa"/>
              <w:bottom w:w="0" w:type="dxa"/>
              <w:right w:w="108" w:type="dxa"/>
            </w:tcMar>
            <w:hideMark/>
          </w:tcPr>
          <w:p w:rsidR="00E50E72" w:rsidRPr="005E5D58" w:rsidRDefault="00E50E72" w:rsidP="00E651C1">
            <w:pPr>
              <w:spacing w:before="80" w:line="240" w:lineRule="auto"/>
              <w:rPr>
                <w:rFonts w:ascii="&amp;quot" w:eastAsia="Times New Roman" w:hAnsi="&amp;quot" w:cs="Times New Roman"/>
                <w:color w:val="000000"/>
                <w:szCs w:val="22"/>
                <w:lang w:eastAsia="en-AU"/>
              </w:rPr>
            </w:pPr>
            <w:r w:rsidRPr="00D31D1B">
              <w:rPr>
                <w:rFonts w:ascii="&amp;quot" w:eastAsia="Times New Roman" w:hAnsi="&amp;quot" w:cs="Times New Roman"/>
                <w:color w:val="000000"/>
                <w:sz w:val="20"/>
                <w:lang w:eastAsia="en-AU"/>
              </w:rPr>
              <w:t>Life Church Queensland Ltd</w:t>
            </w:r>
          </w:p>
        </w:tc>
      </w:tr>
    </w:tbl>
    <w:p w:rsidR="00E50E72" w:rsidRPr="00F1113C" w:rsidRDefault="00E50E72" w:rsidP="00E50E72"/>
    <w:p w:rsidR="00E50E72" w:rsidRPr="00F1113C" w:rsidRDefault="00E50E72" w:rsidP="00E50E72">
      <w:r>
        <w:t>C</w:t>
      </w:r>
      <w:r w:rsidRPr="00FF7CE4">
        <w:t xml:space="preserve">olumn 1 of table item </w:t>
      </w:r>
      <w:r>
        <w:t>51</w:t>
      </w:r>
      <w:r w:rsidRPr="00FF7CE4">
        <w:t xml:space="preserve"> of section 1</w:t>
      </w:r>
      <w:r>
        <w:t>1</w:t>
      </w:r>
      <w:r w:rsidRPr="00EB4334">
        <w:t xml:space="preserve"> contains two consecutive occurrences of the word</w:t>
      </w:r>
      <w:r>
        <w:t>s</w:t>
      </w:r>
      <w:r w:rsidRPr="00EB4334">
        <w:t xml:space="preserve"> “</w:t>
      </w:r>
      <w:r>
        <w:t>as at</w:t>
      </w:r>
      <w:r w:rsidRPr="00EB4334">
        <w:t>”</w:t>
      </w:r>
      <w:r w:rsidRPr="004F7DBD">
        <w:t>.</w:t>
      </w:r>
    </w:p>
    <w:p w:rsidR="00E50E72" w:rsidRPr="00F1113C" w:rsidRDefault="00E50E72" w:rsidP="00E50E72"/>
    <w:p w:rsidR="00E50E72" w:rsidRPr="00F1113C" w:rsidRDefault="00E50E72" w:rsidP="00E50E72">
      <w:r w:rsidRPr="004F7DBD">
        <w:t xml:space="preserve">This compilation was editorially changed to omit </w:t>
      </w:r>
      <w:r w:rsidRPr="0053377F">
        <w:t>the second occurrence of</w:t>
      </w:r>
      <w:r w:rsidRPr="004F7DBD">
        <w:t xml:space="preserve"> </w:t>
      </w:r>
      <w:r w:rsidRPr="00EB4334">
        <w:t>the word</w:t>
      </w:r>
      <w:r>
        <w:t>s</w:t>
      </w:r>
      <w:r w:rsidRPr="00EB4334">
        <w:t xml:space="preserve"> “a</w:t>
      </w:r>
      <w:r>
        <w:t>s at</w:t>
      </w:r>
      <w:r w:rsidRPr="00EB4334">
        <w:t>”</w:t>
      </w:r>
      <w:r>
        <w:t xml:space="preserve"> </w:t>
      </w:r>
      <w:r w:rsidRPr="00FF7CE4">
        <w:t xml:space="preserve">from column 1 of table item </w:t>
      </w:r>
      <w:r>
        <w:t>51</w:t>
      </w:r>
      <w:r w:rsidRPr="00FF7CE4">
        <w:t xml:space="preserve"> of section 1</w:t>
      </w:r>
      <w:r>
        <w:t>1</w:t>
      </w:r>
      <w:r w:rsidRPr="00EB4334">
        <w:t>.</w:t>
      </w:r>
    </w:p>
    <w:p w:rsidR="00E50E72" w:rsidRPr="00F1113C" w:rsidRDefault="00E50E72" w:rsidP="00E50E72"/>
    <w:p w:rsidR="00E50E72" w:rsidRPr="00F1113C" w:rsidRDefault="00E50E72" w:rsidP="00E50E72"/>
    <w:p w:rsidR="00E50E72" w:rsidRPr="004D2DF3" w:rsidRDefault="00E50E72" w:rsidP="00E50E72">
      <w:pPr>
        <w:rPr>
          <w:b/>
          <w:sz w:val="24"/>
          <w:szCs w:val="24"/>
        </w:rPr>
      </w:pPr>
      <w:r w:rsidRPr="008C63F0">
        <w:rPr>
          <w:b/>
          <w:sz w:val="24"/>
          <w:szCs w:val="24"/>
        </w:rPr>
        <w:t>S</w:t>
      </w:r>
      <w:r>
        <w:rPr>
          <w:b/>
          <w:sz w:val="24"/>
          <w:szCs w:val="24"/>
        </w:rPr>
        <w:t>ubsection</w:t>
      </w:r>
      <w:r w:rsidRPr="008C63F0">
        <w:rPr>
          <w:b/>
          <w:sz w:val="24"/>
          <w:szCs w:val="24"/>
        </w:rPr>
        <w:t xml:space="preserve"> 1</w:t>
      </w:r>
      <w:r>
        <w:rPr>
          <w:b/>
          <w:sz w:val="24"/>
          <w:szCs w:val="24"/>
        </w:rPr>
        <w:t>5(1)</w:t>
      </w:r>
      <w:r w:rsidRPr="008C63F0">
        <w:rPr>
          <w:b/>
          <w:sz w:val="24"/>
          <w:szCs w:val="24"/>
        </w:rPr>
        <w:t xml:space="preserve"> (table item </w:t>
      </w:r>
      <w:r>
        <w:rPr>
          <w:b/>
          <w:sz w:val="24"/>
          <w:szCs w:val="24"/>
        </w:rPr>
        <w:t>87</w:t>
      </w:r>
      <w:r w:rsidRPr="001A28C0">
        <w:rPr>
          <w:b/>
          <w:sz w:val="24"/>
          <w:szCs w:val="24"/>
        </w:rPr>
        <w:t>, column 1</w:t>
      </w:r>
      <w:r w:rsidRPr="008C63F0">
        <w:rPr>
          <w:b/>
          <w:sz w:val="24"/>
          <w:szCs w:val="24"/>
        </w:rPr>
        <w:t>)</w:t>
      </w:r>
    </w:p>
    <w:p w:rsidR="00E50E72" w:rsidRPr="00F1113C" w:rsidRDefault="00E50E72" w:rsidP="00E50E72"/>
    <w:p w:rsidR="00E50E72" w:rsidRPr="00F1113C" w:rsidRDefault="00E50E72" w:rsidP="00E50E72">
      <w:pPr>
        <w:rPr>
          <w:b/>
        </w:rPr>
      </w:pPr>
      <w:r w:rsidRPr="00F1113C">
        <w:rPr>
          <w:b/>
        </w:rPr>
        <w:t>Kind of editorial change</w:t>
      </w:r>
    </w:p>
    <w:p w:rsidR="00E50E72" w:rsidRPr="00F1113C" w:rsidRDefault="00E50E72" w:rsidP="00E50E72"/>
    <w:p w:rsidR="00E50E72" w:rsidRPr="00F1113C" w:rsidRDefault="00E50E72" w:rsidP="00E50E72">
      <w:r w:rsidRPr="00671F51">
        <w:t>Removal of redundant text</w:t>
      </w:r>
    </w:p>
    <w:p w:rsidR="00E50E72" w:rsidRPr="00F1113C" w:rsidRDefault="00E50E72" w:rsidP="00E50E72"/>
    <w:p w:rsidR="00E50E72" w:rsidRPr="00F1113C" w:rsidRDefault="00E50E72" w:rsidP="00E50E72">
      <w:pPr>
        <w:rPr>
          <w:b/>
        </w:rPr>
      </w:pPr>
      <w:r w:rsidRPr="00F1113C">
        <w:rPr>
          <w:b/>
        </w:rPr>
        <w:t>Details of editorial change</w:t>
      </w:r>
    </w:p>
    <w:p w:rsidR="00E50E72" w:rsidRPr="00F1113C" w:rsidRDefault="00E50E72" w:rsidP="00E50E72"/>
    <w:p w:rsidR="00E50E72" w:rsidRPr="00F1113C" w:rsidRDefault="00E50E72" w:rsidP="00E50E72">
      <w:r w:rsidRPr="004F7DBD">
        <w:lastRenderedPageBreak/>
        <w:t xml:space="preserve">Schedule 1 item </w:t>
      </w:r>
      <w:r>
        <w:t>4</w:t>
      </w:r>
      <w:r w:rsidRPr="004F7DBD">
        <w:t xml:space="preserve"> of the </w:t>
      </w:r>
      <w:r>
        <w:rPr>
          <w:i/>
        </w:rPr>
        <w:t>National Redress Scheme for Institutional Child Sexual Abuse Amendment (2020 Measures No. 6) Declaration 2020</w:t>
      </w:r>
      <w:r w:rsidRPr="004F7DBD">
        <w:t xml:space="preserve"> </w:t>
      </w:r>
      <w:r>
        <w:t xml:space="preserve">instructs to add </w:t>
      </w:r>
      <w:r w:rsidRPr="004F7DBD">
        <w:t>table item</w:t>
      </w:r>
      <w:r>
        <w:t>s</w:t>
      </w:r>
      <w:r w:rsidRPr="004F7DBD">
        <w:t xml:space="preserve"> </w:t>
      </w:r>
      <w:r>
        <w:t>86, 87 and 88 at the end of the table in subsection 15(1)</w:t>
      </w:r>
      <w:r w:rsidRPr="004F7DBD">
        <w:t>.</w:t>
      </w:r>
    </w:p>
    <w:p w:rsidR="00E50E72" w:rsidRPr="00F1113C" w:rsidRDefault="00E50E72" w:rsidP="00E50E72"/>
    <w:p w:rsidR="00E50E72" w:rsidRDefault="00E50E72" w:rsidP="00E50E72">
      <w:r w:rsidRPr="00A81178">
        <w:t>The newly inserted</w:t>
      </w:r>
      <w:r>
        <w:t xml:space="preserve"> table item 87 of subsection 15(1) reads as follows:</w:t>
      </w:r>
    </w:p>
    <w:p w:rsidR="00E50E72" w:rsidRDefault="00E50E72" w:rsidP="00E50E72"/>
    <w:tbl>
      <w:tblPr>
        <w:tblW w:w="8647" w:type="dxa"/>
        <w:tblCellMar>
          <w:left w:w="0" w:type="dxa"/>
          <w:right w:w="0" w:type="dxa"/>
        </w:tblCellMar>
        <w:tblLook w:val="04A0" w:firstRow="1" w:lastRow="0" w:firstColumn="1" w:lastColumn="0" w:noHBand="0" w:noVBand="1"/>
      </w:tblPr>
      <w:tblGrid>
        <w:gridCol w:w="693"/>
        <w:gridCol w:w="3977"/>
        <w:gridCol w:w="3977"/>
      </w:tblGrid>
      <w:tr w:rsidR="00E50E72" w:rsidRPr="005E5D58" w:rsidTr="00E651C1">
        <w:tc>
          <w:tcPr>
            <w:tcW w:w="693" w:type="dxa"/>
            <w:tcBorders>
              <w:top w:val="single" w:sz="8" w:space="0" w:color="auto"/>
              <w:left w:val="nil"/>
              <w:bottom w:val="single" w:sz="8" w:space="0" w:color="auto"/>
              <w:right w:val="nil"/>
            </w:tcBorders>
            <w:tcMar>
              <w:top w:w="0" w:type="dxa"/>
              <w:left w:w="108" w:type="dxa"/>
              <w:bottom w:w="0" w:type="dxa"/>
              <w:right w:w="108" w:type="dxa"/>
            </w:tcMar>
          </w:tcPr>
          <w:p w:rsidR="00E50E72" w:rsidRDefault="00E50E72" w:rsidP="00E651C1">
            <w:pPr>
              <w:spacing w:before="80" w:line="240" w:lineRule="auto"/>
              <w:rPr>
                <w:rFonts w:ascii="&amp;quot" w:eastAsia="Times New Roman" w:hAnsi="&amp;quot" w:cs="Times New Roman"/>
                <w:color w:val="000000"/>
                <w:sz w:val="20"/>
                <w:lang w:eastAsia="en-AU"/>
              </w:rPr>
            </w:pPr>
            <w:r>
              <w:rPr>
                <w:rFonts w:ascii="&amp;quot" w:eastAsia="Times New Roman" w:hAnsi="&amp;quot" w:cs="Times New Roman"/>
                <w:color w:val="000000"/>
                <w:sz w:val="20"/>
                <w:lang w:eastAsia="en-AU"/>
              </w:rPr>
              <w:t>87</w:t>
            </w:r>
          </w:p>
        </w:tc>
        <w:tc>
          <w:tcPr>
            <w:tcW w:w="3977" w:type="dxa"/>
            <w:tcBorders>
              <w:top w:val="single" w:sz="8" w:space="0" w:color="auto"/>
              <w:left w:val="nil"/>
              <w:bottom w:val="single" w:sz="8" w:space="0" w:color="auto"/>
              <w:right w:val="nil"/>
            </w:tcBorders>
            <w:tcMar>
              <w:top w:w="0" w:type="dxa"/>
              <w:left w:w="108" w:type="dxa"/>
              <w:bottom w:w="0" w:type="dxa"/>
              <w:right w:w="108" w:type="dxa"/>
            </w:tcMar>
          </w:tcPr>
          <w:p w:rsidR="00E50E72" w:rsidRPr="005E5D58" w:rsidRDefault="00E50E72" w:rsidP="00E651C1">
            <w:pPr>
              <w:spacing w:before="80" w:line="240" w:lineRule="auto"/>
              <w:rPr>
                <w:rFonts w:ascii="&amp;quot" w:eastAsia="Times New Roman" w:hAnsi="&amp;quot" w:cs="Times New Roman"/>
                <w:color w:val="000000"/>
                <w:sz w:val="20"/>
                <w:lang w:eastAsia="en-AU"/>
              </w:rPr>
            </w:pPr>
            <w:r w:rsidRPr="00D31D1B">
              <w:rPr>
                <w:rFonts w:ascii="&amp;quot" w:eastAsia="Times New Roman" w:hAnsi="&amp;quot" w:cs="Times New Roman"/>
                <w:color w:val="000000"/>
                <w:sz w:val="20"/>
                <w:lang w:eastAsia="en-AU"/>
              </w:rPr>
              <w:t>All Life Church Queensland Ltd</w:t>
            </w:r>
            <w:r>
              <w:rPr>
                <w:rFonts w:ascii="&amp;quot" w:eastAsia="Times New Roman" w:hAnsi="&amp;quot" w:cs="Times New Roman"/>
                <w:color w:val="000000"/>
                <w:sz w:val="20"/>
                <w:lang w:eastAsia="en-AU"/>
              </w:rPr>
              <w:t xml:space="preserve"> </w:t>
            </w:r>
            <w:r w:rsidRPr="00D31D1B">
              <w:rPr>
                <w:rFonts w:ascii="&amp;quot" w:eastAsia="Times New Roman" w:hAnsi="&amp;quot" w:cs="Times New Roman"/>
                <w:color w:val="000000"/>
                <w:sz w:val="20"/>
                <w:lang w:eastAsia="en-AU"/>
              </w:rPr>
              <w:t xml:space="preserve">institutions as at </w:t>
            </w:r>
            <w:r w:rsidRPr="00E4142F">
              <w:rPr>
                <w:rFonts w:ascii="&amp;quot" w:eastAsia="Times New Roman" w:hAnsi="&amp;quot" w:cs="Times New Roman"/>
                <w:color w:val="000000"/>
                <w:sz w:val="20"/>
                <w:lang w:eastAsia="en-AU"/>
              </w:rPr>
              <w:t xml:space="preserve">as at paragraphs (a) </w:t>
            </w:r>
            <w:r>
              <w:rPr>
                <w:rFonts w:ascii="&amp;quot" w:eastAsia="Times New Roman" w:hAnsi="&amp;quot" w:cs="Times New Roman"/>
                <w:color w:val="000000"/>
                <w:sz w:val="20"/>
                <w:lang w:eastAsia="en-AU"/>
              </w:rPr>
              <w:t>and (b</w:t>
            </w:r>
            <w:r w:rsidRPr="00E4142F">
              <w:rPr>
                <w:rFonts w:ascii="&amp;quot" w:eastAsia="Times New Roman" w:hAnsi="&amp;quot" w:cs="Times New Roman"/>
                <w:color w:val="000000"/>
                <w:sz w:val="20"/>
                <w:lang w:eastAsia="en-AU"/>
              </w:rPr>
              <w:t xml:space="preserve">) </w:t>
            </w:r>
            <w:r>
              <w:rPr>
                <w:rFonts w:ascii="&amp;quot" w:eastAsia="Times New Roman" w:hAnsi="&amp;quot" w:cs="Times New Roman"/>
                <w:color w:val="000000"/>
                <w:sz w:val="20"/>
                <w:lang w:eastAsia="en-AU"/>
              </w:rPr>
              <w:t xml:space="preserve">of </w:t>
            </w:r>
            <w:r w:rsidRPr="00D31D1B">
              <w:rPr>
                <w:rFonts w:ascii="&amp;quot" w:eastAsia="Times New Roman" w:hAnsi="&amp;quot" w:cs="Times New Roman"/>
                <w:color w:val="000000"/>
                <w:sz w:val="20"/>
                <w:lang w:eastAsia="en-AU"/>
              </w:rPr>
              <w:t>Item 197 of the Table in Schedule 1 to this instrument</w:t>
            </w:r>
          </w:p>
        </w:tc>
        <w:tc>
          <w:tcPr>
            <w:tcW w:w="3977" w:type="dxa"/>
            <w:tcBorders>
              <w:top w:val="single" w:sz="8" w:space="0" w:color="auto"/>
              <w:left w:val="nil"/>
              <w:bottom w:val="single" w:sz="8" w:space="0" w:color="auto"/>
              <w:right w:val="nil"/>
            </w:tcBorders>
            <w:tcMar>
              <w:top w:w="0" w:type="dxa"/>
              <w:left w:w="108" w:type="dxa"/>
              <w:bottom w:w="0" w:type="dxa"/>
              <w:right w:w="108" w:type="dxa"/>
            </w:tcMar>
          </w:tcPr>
          <w:p w:rsidR="00E50E72" w:rsidRDefault="00E50E72" w:rsidP="00E651C1">
            <w:pPr>
              <w:spacing w:before="80" w:line="240" w:lineRule="auto"/>
              <w:rPr>
                <w:rFonts w:ascii="&amp;quot" w:eastAsia="Times New Roman" w:hAnsi="&amp;quot" w:cs="Times New Roman"/>
                <w:color w:val="000000"/>
                <w:sz w:val="20"/>
                <w:lang w:eastAsia="en-AU"/>
              </w:rPr>
            </w:pPr>
            <w:r w:rsidRPr="00D31D1B">
              <w:rPr>
                <w:rFonts w:ascii="&amp;quot" w:eastAsia="Times New Roman" w:hAnsi="&amp;quot" w:cs="Times New Roman"/>
                <w:color w:val="000000"/>
                <w:sz w:val="20"/>
                <w:lang w:eastAsia="en-AU"/>
              </w:rPr>
              <w:t>Life Church Queensland Ltd</w:t>
            </w:r>
          </w:p>
        </w:tc>
      </w:tr>
    </w:tbl>
    <w:p w:rsidR="00E50E72" w:rsidRPr="00F1113C" w:rsidRDefault="00E50E72" w:rsidP="00E50E72"/>
    <w:p w:rsidR="00E50E72" w:rsidRPr="00F1113C" w:rsidRDefault="00E50E72" w:rsidP="00E50E72">
      <w:r>
        <w:t>C</w:t>
      </w:r>
      <w:r w:rsidRPr="00FF7CE4">
        <w:t xml:space="preserve">olumn 1 of table item </w:t>
      </w:r>
      <w:r>
        <w:t>87</w:t>
      </w:r>
      <w:r w:rsidRPr="00FF7CE4">
        <w:t xml:space="preserve"> of </w:t>
      </w:r>
      <w:r>
        <w:t>sub</w:t>
      </w:r>
      <w:r w:rsidRPr="00FF7CE4">
        <w:t>section 1</w:t>
      </w:r>
      <w:r>
        <w:t>5(1)</w:t>
      </w:r>
      <w:r w:rsidRPr="00EB4334">
        <w:t xml:space="preserve"> contains two consecutive occurrences of the word</w:t>
      </w:r>
      <w:r>
        <w:t>s</w:t>
      </w:r>
      <w:r w:rsidRPr="00EB4334">
        <w:t xml:space="preserve"> “</w:t>
      </w:r>
      <w:r>
        <w:t>as at</w:t>
      </w:r>
      <w:r w:rsidRPr="00EB4334">
        <w:t>”</w:t>
      </w:r>
      <w:r w:rsidRPr="004F7DBD">
        <w:t>.</w:t>
      </w:r>
    </w:p>
    <w:p w:rsidR="00E50E72" w:rsidRPr="00F1113C" w:rsidRDefault="00E50E72" w:rsidP="00E50E72"/>
    <w:p w:rsidR="00E50E72" w:rsidRPr="00F1113C" w:rsidRDefault="00E50E72" w:rsidP="00E50E72">
      <w:r w:rsidRPr="004F7DBD">
        <w:t xml:space="preserve">This compilation was editorially changed to omit </w:t>
      </w:r>
      <w:r w:rsidRPr="0053377F">
        <w:t>the second occurrence of</w:t>
      </w:r>
      <w:r w:rsidRPr="004F7DBD">
        <w:t xml:space="preserve"> </w:t>
      </w:r>
      <w:r w:rsidRPr="00EB4334">
        <w:t>the word</w:t>
      </w:r>
      <w:r>
        <w:t>s</w:t>
      </w:r>
      <w:r w:rsidRPr="00EB4334">
        <w:t xml:space="preserve"> “a</w:t>
      </w:r>
      <w:r>
        <w:t>s at</w:t>
      </w:r>
      <w:r w:rsidRPr="00EB4334">
        <w:t>”</w:t>
      </w:r>
      <w:r>
        <w:t xml:space="preserve"> </w:t>
      </w:r>
      <w:r w:rsidRPr="00FF7CE4">
        <w:t xml:space="preserve">from column 1 of table item </w:t>
      </w:r>
      <w:r>
        <w:t>87</w:t>
      </w:r>
      <w:r w:rsidRPr="00FF7CE4">
        <w:t xml:space="preserve"> of </w:t>
      </w:r>
      <w:r>
        <w:t>sub</w:t>
      </w:r>
      <w:r w:rsidRPr="00FF7CE4">
        <w:t>section 1</w:t>
      </w:r>
      <w:r>
        <w:t>5(1)</w:t>
      </w:r>
      <w:r w:rsidRPr="00EB4334">
        <w:t>.</w:t>
      </w:r>
    </w:p>
    <w:p w:rsidR="00E50E72" w:rsidRPr="00F1113C" w:rsidRDefault="00E50E72" w:rsidP="00E50E72"/>
    <w:p w:rsidR="00E50E72" w:rsidRPr="00F1113C" w:rsidRDefault="00E50E72" w:rsidP="00E50E72"/>
    <w:p w:rsidR="00E50E72" w:rsidRPr="004D2DF3" w:rsidRDefault="00E50E72" w:rsidP="00E50E72">
      <w:pPr>
        <w:rPr>
          <w:b/>
          <w:sz w:val="24"/>
          <w:szCs w:val="24"/>
        </w:rPr>
      </w:pPr>
      <w:r w:rsidRPr="003B7D86">
        <w:rPr>
          <w:b/>
          <w:sz w:val="24"/>
          <w:szCs w:val="24"/>
        </w:rPr>
        <w:t>Schedule 1 (table item 144, column 1)</w:t>
      </w:r>
    </w:p>
    <w:p w:rsidR="00E50E72" w:rsidRPr="00F1113C" w:rsidRDefault="00E50E72" w:rsidP="00E50E72"/>
    <w:p w:rsidR="00E50E72" w:rsidRPr="00F1113C" w:rsidRDefault="00E50E72" w:rsidP="00E50E72">
      <w:pPr>
        <w:rPr>
          <w:b/>
        </w:rPr>
      </w:pPr>
      <w:r w:rsidRPr="00F1113C">
        <w:rPr>
          <w:b/>
        </w:rPr>
        <w:t>Kind of editorial change</w:t>
      </w:r>
    </w:p>
    <w:p w:rsidR="00E50E72" w:rsidRPr="00F1113C" w:rsidRDefault="00E50E72" w:rsidP="00E50E72"/>
    <w:p w:rsidR="00E50E72" w:rsidRPr="00F1113C" w:rsidRDefault="00E50E72" w:rsidP="00E50E72">
      <w:r w:rsidRPr="004F7DBD">
        <w:t>Change to spelling</w:t>
      </w:r>
    </w:p>
    <w:p w:rsidR="00E50E72" w:rsidRPr="00F1113C" w:rsidRDefault="00E50E72" w:rsidP="00E50E72"/>
    <w:p w:rsidR="00E50E72" w:rsidRPr="00F1113C" w:rsidRDefault="00E50E72" w:rsidP="00E50E72">
      <w:pPr>
        <w:rPr>
          <w:b/>
        </w:rPr>
      </w:pPr>
      <w:r w:rsidRPr="00F1113C">
        <w:rPr>
          <w:b/>
        </w:rPr>
        <w:t>Details of editorial change</w:t>
      </w:r>
    </w:p>
    <w:p w:rsidR="00E50E72" w:rsidRPr="00F1113C" w:rsidRDefault="00E50E72" w:rsidP="00E50E72"/>
    <w:p w:rsidR="00E50E72" w:rsidRPr="00F1113C" w:rsidRDefault="00E50E72" w:rsidP="00E50E72">
      <w:r w:rsidRPr="004F7DBD">
        <w:t>Schedule 1 item 1</w:t>
      </w:r>
      <w:r>
        <w:t>1</w:t>
      </w:r>
      <w:r w:rsidRPr="004F7DBD">
        <w:t xml:space="preserve"> of the </w:t>
      </w:r>
      <w:r>
        <w:rPr>
          <w:i/>
        </w:rPr>
        <w:t>National Redress Scheme for Institutional Child Sexual Abuse Amendment (2020 Measures No. 6) Declaration 2020</w:t>
      </w:r>
      <w:r w:rsidRPr="004F7DBD">
        <w:t xml:space="preserve"> </w:t>
      </w:r>
      <w:r>
        <w:t>instructs to insert</w:t>
      </w:r>
      <w:r w:rsidRPr="004F7DBD">
        <w:t xml:space="preserve"> </w:t>
      </w:r>
      <w:r>
        <w:t xml:space="preserve">paragraph (d) after paragraph (c) in column 1 of </w:t>
      </w:r>
      <w:r w:rsidRPr="004F7DBD">
        <w:t xml:space="preserve">table item </w:t>
      </w:r>
      <w:r>
        <w:t>144 o</w:t>
      </w:r>
      <w:r w:rsidRPr="004F7DBD">
        <w:t>f Schedule 1.</w:t>
      </w:r>
    </w:p>
    <w:p w:rsidR="00E50E72" w:rsidRPr="00F1113C" w:rsidRDefault="00E50E72" w:rsidP="00E50E72"/>
    <w:p w:rsidR="00E50E72" w:rsidRPr="00F1113C" w:rsidRDefault="00E50E72" w:rsidP="00E50E72">
      <w:r w:rsidRPr="00A81178">
        <w:t>The newly inserted</w:t>
      </w:r>
      <w:r>
        <w:t xml:space="preserve"> p</w:t>
      </w:r>
      <w:r w:rsidRPr="004F7DBD">
        <w:t>aragraph (</w:t>
      </w:r>
      <w:r>
        <w:t>d</w:t>
      </w:r>
      <w:r w:rsidRPr="004F7DBD">
        <w:t>) refers to “</w:t>
      </w:r>
      <w:r>
        <w:t>Sprit</w:t>
      </w:r>
      <w:r w:rsidRPr="004F7DBD">
        <w:t>” rather than “</w:t>
      </w:r>
      <w:r>
        <w:t>Spirit</w:t>
      </w:r>
      <w:r w:rsidRPr="004F7DBD">
        <w:t>”.</w:t>
      </w:r>
    </w:p>
    <w:p w:rsidR="00E50E72" w:rsidRPr="00F1113C" w:rsidRDefault="00E50E72" w:rsidP="00E50E72"/>
    <w:p w:rsidR="00E50E72" w:rsidRDefault="00E50E72" w:rsidP="00E50E72">
      <w:r>
        <w:t>This compilation was editorially changed to omit the word “Sprit” and substitute the word “Spirit” in paragraph (d) in column 1 of table item 144 of Schedule 1 to correct the spelling.</w:t>
      </w:r>
    </w:p>
    <w:p w:rsidR="00A21675" w:rsidRDefault="00A21675" w:rsidP="00450F7F">
      <w:pPr>
        <w:pStyle w:val="Head2"/>
        <w:keepLines/>
      </w:pPr>
      <w:r w:rsidRPr="00033659">
        <w:t>Carbon Credits (Carbon Farming Initiative) Regulations</w:t>
      </w:r>
      <w:r>
        <w:t> </w:t>
      </w:r>
      <w:r w:rsidRPr="00033659">
        <w:t>2011</w:t>
      </w:r>
      <w:r>
        <w:t>, Compilation No. 12,</w:t>
      </w:r>
      <w:r w:rsidRPr="003342C4">
        <w:t xml:space="preserve"> Registration Date:</w:t>
      </w:r>
      <w:r>
        <w:t xml:space="preserve"> 12 May 2020 [</w:t>
      </w:r>
      <w:r>
        <w:rPr>
          <w:bCs/>
        </w:rPr>
        <w:t>F2020C00389</w:t>
      </w:r>
      <w:r>
        <w:t>]</w:t>
      </w:r>
    </w:p>
    <w:p w:rsidR="00A21675" w:rsidRPr="00033659" w:rsidRDefault="00A21675" w:rsidP="00450F7F">
      <w:pPr>
        <w:keepNext/>
        <w:keepLines/>
      </w:pPr>
    </w:p>
    <w:p w:rsidR="00A21675" w:rsidRPr="00033659" w:rsidRDefault="00A21675" w:rsidP="00450F7F">
      <w:pPr>
        <w:keepNext/>
        <w:keepLines/>
        <w:rPr>
          <w:b/>
          <w:sz w:val="24"/>
          <w:szCs w:val="24"/>
        </w:rPr>
      </w:pPr>
      <w:r w:rsidRPr="00033659">
        <w:rPr>
          <w:b/>
          <w:sz w:val="24"/>
          <w:szCs w:val="24"/>
        </w:rPr>
        <w:t>Regulation</w:t>
      </w:r>
      <w:r>
        <w:rPr>
          <w:b/>
          <w:sz w:val="24"/>
          <w:szCs w:val="24"/>
        </w:rPr>
        <w:t> </w:t>
      </w:r>
      <w:r w:rsidRPr="00033659">
        <w:rPr>
          <w:b/>
          <w:sz w:val="24"/>
          <w:szCs w:val="24"/>
        </w:rPr>
        <w:t>3.34</w:t>
      </w:r>
    </w:p>
    <w:p w:rsidR="00A21675" w:rsidRPr="00033659" w:rsidRDefault="00A21675" w:rsidP="00450F7F">
      <w:pPr>
        <w:keepNext/>
        <w:keepLines/>
      </w:pPr>
    </w:p>
    <w:p w:rsidR="00A21675" w:rsidRPr="00033659" w:rsidRDefault="00A21675" w:rsidP="00450F7F">
      <w:pPr>
        <w:keepNext/>
        <w:keepLines/>
        <w:rPr>
          <w:b/>
        </w:rPr>
      </w:pPr>
      <w:r w:rsidRPr="00033659">
        <w:rPr>
          <w:b/>
        </w:rPr>
        <w:t>Kind of editorial change</w:t>
      </w:r>
    </w:p>
    <w:p w:rsidR="00A21675" w:rsidRPr="00033659" w:rsidRDefault="00A21675" w:rsidP="00A21675"/>
    <w:p w:rsidR="00A21675" w:rsidRPr="00033659" w:rsidRDefault="00A21675" w:rsidP="00A21675">
      <w:r w:rsidRPr="00033659">
        <w:rPr>
          <w:szCs w:val="22"/>
        </w:rPr>
        <w:t>Reordering of definitions</w:t>
      </w:r>
    </w:p>
    <w:p w:rsidR="00A21675" w:rsidRPr="00033659" w:rsidRDefault="00A21675" w:rsidP="00A21675"/>
    <w:p w:rsidR="00A21675" w:rsidRPr="00033659" w:rsidRDefault="00A21675" w:rsidP="00A21675">
      <w:pPr>
        <w:rPr>
          <w:b/>
        </w:rPr>
      </w:pPr>
      <w:r w:rsidRPr="00033659">
        <w:rPr>
          <w:b/>
        </w:rPr>
        <w:t>Details of editorial change</w:t>
      </w:r>
    </w:p>
    <w:p w:rsidR="00A21675" w:rsidRPr="00033659" w:rsidRDefault="00A21675" w:rsidP="00A21675"/>
    <w:p w:rsidR="00A21675" w:rsidRPr="00033659" w:rsidRDefault="00A21675" w:rsidP="00A21675">
      <w:r w:rsidRPr="00033659">
        <w:t xml:space="preserve">This compilation was editorially changed to move the definition of </w:t>
      </w:r>
      <w:r w:rsidRPr="00033659">
        <w:rPr>
          <w:b/>
          <w:i/>
        </w:rPr>
        <w:t>natural distribution</w:t>
      </w:r>
      <w:r w:rsidRPr="00033659">
        <w:t xml:space="preserve"> in regulation</w:t>
      </w:r>
      <w:r>
        <w:t> </w:t>
      </w:r>
      <w:r w:rsidRPr="00033659">
        <w:t>3.34 to the correct alphabetical position.</w:t>
      </w:r>
    </w:p>
    <w:p w:rsidR="004A5E5B" w:rsidRDefault="004A5E5B" w:rsidP="00B73314">
      <w:pPr>
        <w:pStyle w:val="Head2"/>
        <w:keepLines/>
      </w:pPr>
      <w:r w:rsidRPr="00913901">
        <w:lastRenderedPageBreak/>
        <w:t>Offshore Petroleum and Greenhouse Gas Storage (Resource Management and Administration) Regulations</w:t>
      </w:r>
      <w:r>
        <w:t> </w:t>
      </w:r>
      <w:r w:rsidRPr="00913901">
        <w:t>2011</w:t>
      </w:r>
      <w:r>
        <w:t>, Compilation No. 9,</w:t>
      </w:r>
      <w:r w:rsidRPr="003342C4">
        <w:t xml:space="preserve"> Registration Date:</w:t>
      </w:r>
      <w:r>
        <w:t xml:space="preserve"> 12 May 2020 [</w:t>
      </w:r>
      <w:r>
        <w:rPr>
          <w:bCs/>
        </w:rPr>
        <w:t>F2020C00379</w:t>
      </w:r>
      <w:r>
        <w:t>]</w:t>
      </w:r>
    </w:p>
    <w:p w:rsidR="004A5E5B" w:rsidRPr="00913901" w:rsidRDefault="004A5E5B" w:rsidP="00B73314">
      <w:pPr>
        <w:keepNext/>
        <w:keepLines/>
      </w:pPr>
    </w:p>
    <w:p w:rsidR="004A5E5B" w:rsidRPr="00913901" w:rsidRDefault="004A5E5B" w:rsidP="00B73314">
      <w:pPr>
        <w:keepNext/>
        <w:keepLines/>
        <w:rPr>
          <w:b/>
          <w:sz w:val="24"/>
          <w:szCs w:val="24"/>
        </w:rPr>
      </w:pPr>
      <w:r w:rsidRPr="00913901">
        <w:rPr>
          <w:b/>
          <w:sz w:val="24"/>
          <w:szCs w:val="24"/>
        </w:rPr>
        <w:t>Regulation</w:t>
      </w:r>
      <w:r>
        <w:rPr>
          <w:b/>
          <w:sz w:val="24"/>
          <w:szCs w:val="24"/>
        </w:rPr>
        <w:t> </w:t>
      </w:r>
      <w:r w:rsidRPr="00913901">
        <w:rPr>
          <w:b/>
          <w:sz w:val="24"/>
          <w:szCs w:val="24"/>
        </w:rPr>
        <w:t>5.02</w:t>
      </w:r>
    </w:p>
    <w:p w:rsidR="004A5E5B" w:rsidRPr="00913901" w:rsidRDefault="004A5E5B" w:rsidP="00B73314">
      <w:pPr>
        <w:keepNext/>
        <w:keepLines/>
      </w:pPr>
    </w:p>
    <w:p w:rsidR="004A5E5B" w:rsidRPr="00913901" w:rsidRDefault="004A5E5B" w:rsidP="00B73314">
      <w:pPr>
        <w:keepNext/>
        <w:keepLines/>
        <w:rPr>
          <w:b/>
        </w:rPr>
      </w:pPr>
      <w:r w:rsidRPr="00913901">
        <w:rPr>
          <w:b/>
        </w:rPr>
        <w:t>Kind of editorial change</w:t>
      </w:r>
    </w:p>
    <w:p w:rsidR="004A5E5B" w:rsidRPr="00913901" w:rsidRDefault="004A5E5B" w:rsidP="004A5E5B"/>
    <w:p w:rsidR="004A5E5B" w:rsidRPr="00913901" w:rsidRDefault="004A5E5B" w:rsidP="004A5E5B">
      <w:r w:rsidRPr="00913901">
        <w:t>Reordering of definitions</w:t>
      </w:r>
    </w:p>
    <w:p w:rsidR="004A5E5B" w:rsidRPr="00913901" w:rsidRDefault="004A5E5B" w:rsidP="004A5E5B"/>
    <w:p w:rsidR="004A5E5B" w:rsidRPr="00913901" w:rsidRDefault="004A5E5B" w:rsidP="004A5E5B">
      <w:pPr>
        <w:rPr>
          <w:b/>
        </w:rPr>
      </w:pPr>
      <w:r w:rsidRPr="00913901">
        <w:rPr>
          <w:b/>
        </w:rPr>
        <w:t>Details of editorial change</w:t>
      </w:r>
    </w:p>
    <w:p w:rsidR="004A5E5B" w:rsidRPr="00913901" w:rsidRDefault="004A5E5B" w:rsidP="004A5E5B"/>
    <w:p w:rsidR="004A5E5B" w:rsidRPr="00913901" w:rsidRDefault="004A5E5B" w:rsidP="004A5E5B">
      <w:r w:rsidRPr="00913901">
        <w:t xml:space="preserve">This compilation was editorially changed to move the definition of </w:t>
      </w:r>
      <w:r w:rsidRPr="00913901">
        <w:rPr>
          <w:b/>
          <w:i/>
        </w:rPr>
        <w:t>Regulator</w:t>
      </w:r>
      <w:r w:rsidRPr="00913901">
        <w:t xml:space="preserve"> in regulation</w:t>
      </w:r>
      <w:r>
        <w:t> </w:t>
      </w:r>
      <w:r w:rsidRPr="00913901">
        <w:t>5.02 to the correct alphabetical position.</w:t>
      </w:r>
    </w:p>
    <w:p w:rsidR="006B148C" w:rsidRDefault="006B148C" w:rsidP="00A213FE">
      <w:pPr>
        <w:pStyle w:val="Head2"/>
        <w:keepLines/>
      </w:pPr>
      <w:r>
        <w:t>Telecommunications Code of Practice 2018, Compilation No. 1,</w:t>
      </w:r>
      <w:r w:rsidRPr="003342C4">
        <w:t xml:space="preserve"> Registration Date:</w:t>
      </w:r>
      <w:r>
        <w:t xml:space="preserve"> 11 May 2020 [</w:t>
      </w:r>
      <w:r>
        <w:rPr>
          <w:bCs/>
        </w:rPr>
        <w:t>F2020C00374</w:t>
      </w:r>
      <w:r>
        <w:t>]</w:t>
      </w:r>
    </w:p>
    <w:p w:rsidR="00A54B55" w:rsidRPr="00126712" w:rsidRDefault="00A54B55" w:rsidP="00A213FE">
      <w:pPr>
        <w:keepNext/>
        <w:keepLines/>
      </w:pPr>
    </w:p>
    <w:p w:rsidR="006B148C" w:rsidRPr="004549F1" w:rsidRDefault="006B148C" w:rsidP="00A213FE">
      <w:pPr>
        <w:keepNext/>
        <w:keepLines/>
        <w:rPr>
          <w:b/>
          <w:sz w:val="24"/>
          <w:szCs w:val="24"/>
        </w:rPr>
      </w:pPr>
      <w:r>
        <w:rPr>
          <w:b/>
          <w:sz w:val="24"/>
          <w:szCs w:val="24"/>
        </w:rPr>
        <w:t>Subparagraph 4.4A(1)(a)(v)</w:t>
      </w:r>
    </w:p>
    <w:p w:rsidR="006B148C" w:rsidRPr="0035566A" w:rsidRDefault="006B148C" w:rsidP="006B148C"/>
    <w:p w:rsidR="006B148C" w:rsidRPr="004549F1" w:rsidRDefault="006B148C" w:rsidP="006B148C">
      <w:pPr>
        <w:rPr>
          <w:b/>
        </w:rPr>
      </w:pPr>
      <w:r w:rsidRPr="004549F1">
        <w:rPr>
          <w:b/>
        </w:rPr>
        <w:t>Kind of editorial change</w:t>
      </w:r>
    </w:p>
    <w:p w:rsidR="006B148C" w:rsidRPr="004549F1" w:rsidRDefault="006B148C" w:rsidP="006B148C"/>
    <w:p w:rsidR="006B148C" w:rsidRPr="0035566A" w:rsidRDefault="006B148C" w:rsidP="006B148C">
      <w:r>
        <w:t>C</w:t>
      </w:r>
      <w:r w:rsidRPr="00E2562F">
        <w:t>hange to grammar, syntax or the use of conjunctives or disjunctives</w:t>
      </w:r>
    </w:p>
    <w:p w:rsidR="006B148C" w:rsidRPr="004549F1" w:rsidRDefault="006B148C" w:rsidP="006B148C"/>
    <w:p w:rsidR="006B148C" w:rsidRPr="004549F1" w:rsidRDefault="006B148C" w:rsidP="006B148C">
      <w:pPr>
        <w:rPr>
          <w:b/>
        </w:rPr>
      </w:pPr>
      <w:r w:rsidRPr="004549F1">
        <w:rPr>
          <w:b/>
        </w:rPr>
        <w:t>Details of editorial change</w:t>
      </w:r>
    </w:p>
    <w:p w:rsidR="006B148C" w:rsidRPr="0035566A" w:rsidRDefault="006B148C" w:rsidP="006B148C"/>
    <w:p w:rsidR="006B148C" w:rsidRPr="007B30F6" w:rsidRDefault="006B148C" w:rsidP="006B148C">
      <w:pPr>
        <w:rPr>
          <w:szCs w:val="22"/>
        </w:rPr>
      </w:pPr>
      <w:r w:rsidRPr="00FB25B5">
        <w:rPr>
          <w:szCs w:val="22"/>
        </w:rPr>
        <w:t xml:space="preserve">Schedule 1 item </w:t>
      </w:r>
      <w:r>
        <w:rPr>
          <w:szCs w:val="22"/>
        </w:rPr>
        <w:t>9</w:t>
      </w:r>
      <w:r w:rsidRPr="00FB25B5">
        <w:rPr>
          <w:szCs w:val="22"/>
        </w:rPr>
        <w:t xml:space="preserve"> of the </w:t>
      </w:r>
      <w:r w:rsidRPr="00FB25B5">
        <w:rPr>
          <w:i/>
          <w:szCs w:val="22"/>
        </w:rPr>
        <w:t>Telecommunications Code of Practice (Temporary Facilities) Amendment Determination 2020</w:t>
      </w:r>
      <w:r w:rsidRPr="00FB25B5">
        <w:rPr>
          <w:szCs w:val="22"/>
        </w:rPr>
        <w:t xml:space="preserve"> instructs to insert </w:t>
      </w:r>
      <w:r>
        <w:rPr>
          <w:szCs w:val="22"/>
        </w:rPr>
        <w:t>sections 4.4A, 4.4B and 4.4C</w:t>
      </w:r>
      <w:r w:rsidRPr="007B30F6">
        <w:rPr>
          <w:szCs w:val="22"/>
        </w:rPr>
        <w:t xml:space="preserve"> after </w:t>
      </w:r>
      <w:r>
        <w:rPr>
          <w:szCs w:val="22"/>
        </w:rPr>
        <w:t>section 4.4</w:t>
      </w:r>
      <w:r w:rsidRPr="007B30F6">
        <w:rPr>
          <w:szCs w:val="22"/>
        </w:rPr>
        <w:t>.</w:t>
      </w:r>
    </w:p>
    <w:p w:rsidR="006B148C" w:rsidRDefault="006B148C" w:rsidP="006B148C"/>
    <w:p w:rsidR="006B148C" w:rsidRDefault="006B148C" w:rsidP="006B148C">
      <w:r w:rsidRPr="00EC2096">
        <w:t xml:space="preserve">The newly inserted </w:t>
      </w:r>
      <w:r>
        <w:t>sub</w:t>
      </w:r>
      <w:r w:rsidRPr="00EC2096">
        <w:t xml:space="preserve">paragraph </w:t>
      </w:r>
      <w:r>
        <w:t>4.4A</w:t>
      </w:r>
      <w:r w:rsidRPr="00EC2096">
        <w:t>(</w:t>
      </w:r>
      <w:r>
        <w:t>1</w:t>
      </w:r>
      <w:r w:rsidRPr="00EC2096">
        <w:t>)(a)</w:t>
      </w:r>
      <w:r>
        <w:t>(v)</w:t>
      </w:r>
      <w:r w:rsidRPr="00EC2096">
        <w:t xml:space="preserve"> reads as follows:</w:t>
      </w:r>
    </w:p>
    <w:p w:rsidR="006B148C" w:rsidRDefault="006B148C" w:rsidP="006B148C"/>
    <w:p w:rsidR="006B148C" w:rsidRPr="00B16832" w:rsidRDefault="006B148C" w:rsidP="006B148C">
      <w:pPr>
        <w:pStyle w:val="paragraph"/>
        <w:ind w:left="2370" w:hanging="720"/>
      </w:pPr>
      <w:r w:rsidRPr="00B16832">
        <w:t>(v)</w:t>
      </w:r>
      <w:r w:rsidRPr="00B16832">
        <w:tab/>
        <w:t>to provide additional capacity to supply carriage services to person who are physically present in a particular area during a hig</w:t>
      </w:r>
      <w:r>
        <w:t>h-demand holiday period;</w:t>
      </w:r>
    </w:p>
    <w:p w:rsidR="006B148C" w:rsidRDefault="006B148C" w:rsidP="006B148C"/>
    <w:p w:rsidR="006B148C" w:rsidRDefault="006B148C" w:rsidP="006B148C">
      <w:r w:rsidRPr="004A1E28">
        <w:t xml:space="preserve">This compilation was editorially changed to </w:t>
      </w:r>
      <w:r>
        <w:rPr>
          <w:szCs w:val="22"/>
        </w:rPr>
        <w:t xml:space="preserve">omit the word “person” and substitute the word “persons” in </w:t>
      </w:r>
      <w:r>
        <w:t>sub</w:t>
      </w:r>
      <w:r w:rsidRPr="00EC2096">
        <w:t xml:space="preserve">paragraph </w:t>
      </w:r>
      <w:r>
        <w:t>4.4A</w:t>
      </w:r>
      <w:r w:rsidRPr="00EC2096">
        <w:t>(</w:t>
      </w:r>
      <w:r>
        <w:t>1</w:t>
      </w:r>
      <w:r w:rsidRPr="00EC2096">
        <w:t>)(a)</w:t>
      </w:r>
      <w:r>
        <w:t>(v)</w:t>
      </w:r>
      <w:r w:rsidRPr="004A1E28">
        <w:t xml:space="preserve"> </w:t>
      </w:r>
      <w:r w:rsidRPr="00EC2096">
        <w:t>to correct the grammatical error.</w:t>
      </w:r>
    </w:p>
    <w:p w:rsidR="006B148C" w:rsidRPr="00F2598C" w:rsidRDefault="006B148C" w:rsidP="006B148C"/>
    <w:p w:rsidR="006B148C" w:rsidRPr="00F2598C" w:rsidRDefault="006B148C" w:rsidP="006B148C"/>
    <w:p w:rsidR="006B148C" w:rsidRPr="004549F1" w:rsidRDefault="006B148C" w:rsidP="006B148C">
      <w:pPr>
        <w:rPr>
          <w:b/>
          <w:sz w:val="24"/>
          <w:szCs w:val="24"/>
        </w:rPr>
      </w:pPr>
      <w:r>
        <w:rPr>
          <w:b/>
          <w:sz w:val="24"/>
          <w:szCs w:val="24"/>
        </w:rPr>
        <w:t>Subparagraph 4.4A(1)(a)(vi)</w:t>
      </w:r>
    </w:p>
    <w:p w:rsidR="006B148C" w:rsidRPr="0035566A" w:rsidRDefault="006B148C" w:rsidP="006B148C"/>
    <w:p w:rsidR="006B148C" w:rsidRPr="004549F1" w:rsidRDefault="006B148C" w:rsidP="006B148C">
      <w:pPr>
        <w:rPr>
          <w:b/>
        </w:rPr>
      </w:pPr>
      <w:r w:rsidRPr="004549F1">
        <w:rPr>
          <w:b/>
        </w:rPr>
        <w:t>Kind of editorial change</w:t>
      </w:r>
    </w:p>
    <w:p w:rsidR="006B148C" w:rsidRPr="004549F1" w:rsidRDefault="006B148C" w:rsidP="006B148C"/>
    <w:p w:rsidR="006B148C" w:rsidRPr="0035566A" w:rsidRDefault="006B148C" w:rsidP="006B148C">
      <w:r w:rsidRPr="000668B0">
        <w:t>Removal of redundant text</w:t>
      </w:r>
    </w:p>
    <w:p w:rsidR="006B148C" w:rsidRPr="004549F1" w:rsidRDefault="006B148C" w:rsidP="006B148C"/>
    <w:p w:rsidR="006B148C" w:rsidRPr="004549F1" w:rsidRDefault="006B148C" w:rsidP="006B148C">
      <w:pPr>
        <w:rPr>
          <w:b/>
        </w:rPr>
      </w:pPr>
      <w:r w:rsidRPr="004549F1">
        <w:rPr>
          <w:b/>
        </w:rPr>
        <w:t>Details of editorial change</w:t>
      </w:r>
    </w:p>
    <w:p w:rsidR="006B148C" w:rsidRPr="0035566A" w:rsidRDefault="006B148C" w:rsidP="006B148C"/>
    <w:p w:rsidR="006B148C" w:rsidRPr="007B30F6" w:rsidRDefault="006B148C" w:rsidP="006B148C">
      <w:pPr>
        <w:rPr>
          <w:szCs w:val="22"/>
        </w:rPr>
      </w:pPr>
      <w:r w:rsidRPr="00FB25B5">
        <w:rPr>
          <w:szCs w:val="22"/>
        </w:rPr>
        <w:t xml:space="preserve">Schedule 1 item </w:t>
      </w:r>
      <w:r>
        <w:rPr>
          <w:szCs w:val="22"/>
        </w:rPr>
        <w:t>9</w:t>
      </w:r>
      <w:r w:rsidRPr="00FB25B5">
        <w:rPr>
          <w:szCs w:val="22"/>
        </w:rPr>
        <w:t xml:space="preserve"> of the </w:t>
      </w:r>
      <w:r w:rsidRPr="00FB25B5">
        <w:rPr>
          <w:i/>
          <w:szCs w:val="22"/>
        </w:rPr>
        <w:t>Telecommunications Code of Practice (Temporary Facilities) Amendment Determination 2020</w:t>
      </w:r>
      <w:r w:rsidRPr="00FB25B5">
        <w:rPr>
          <w:szCs w:val="22"/>
        </w:rPr>
        <w:t xml:space="preserve"> instructs to insert </w:t>
      </w:r>
      <w:r>
        <w:rPr>
          <w:szCs w:val="22"/>
        </w:rPr>
        <w:t>sections 4.4A, 4.4B and 4.4C</w:t>
      </w:r>
      <w:r w:rsidRPr="007B30F6">
        <w:rPr>
          <w:szCs w:val="22"/>
        </w:rPr>
        <w:t xml:space="preserve"> after </w:t>
      </w:r>
      <w:r>
        <w:rPr>
          <w:szCs w:val="22"/>
        </w:rPr>
        <w:t>section 4.4</w:t>
      </w:r>
      <w:r w:rsidRPr="007B30F6">
        <w:rPr>
          <w:szCs w:val="22"/>
        </w:rPr>
        <w:t>.</w:t>
      </w:r>
    </w:p>
    <w:p w:rsidR="006B148C" w:rsidRDefault="006B148C" w:rsidP="006B148C"/>
    <w:p w:rsidR="006B148C" w:rsidRDefault="006B148C" w:rsidP="006B148C">
      <w:r w:rsidRPr="00EC2096">
        <w:t xml:space="preserve">The newly inserted </w:t>
      </w:r>
      <w:r>
        <w:t>sub</w:t>
      </w:r>
      <w:r w:rsidRPr="00EC2096">
        <w:t xml:space="preserve">paragraph </w:t>
      </w:r>
      <w:r>
        <w:t>4.4A</w:t>
      </w:r>
      <w:r w:rsidRPr="00EC2096">
        <w:t>(</w:t>
      </w:r>
      <w:r>
        <w:t>1</w:t>
      </w:r>
      <w:r w:rsidRPr="00EC2096">
        <w:t>)(a)</w:t>
      </w:r>
      <w:r>
        <w:t>(vi)</w:t>
      </w:r>
      <w:r w:rsidRPr="00EC2096">
        <w:t xml:space="preserve"> reads as follows:</w:t>
      </w:r>
    </w:p>
    <w:p w:rsidR="006B148C" w:rsidRDefault="006B148C" w:rsidP="006B148C"/>
    <w:p w:rsidR="006B148C" w:rsidRDefault="006B148C" w:rsidP="006B148C">
      <w:pPr>
        <w:pStyle w:val="paragraph"/>
        <w:ind w:left="2370" w:hanging="720"/>
      </w:pPr>
      <w:r>
        <w:t>(vi)</w:t>
      </w:r>
      <w:r>
        <w:tab/>
      </w:r>
      <w:r w:rsidRPr="00B16832">
        <w:t>to</w:t>
      </w:r>
      <w:r w:rsidRPr="008C0FCA">
        <w:t xml:space="preserve"> provide capacity to supply carriage services to one or more emergency service organisations so that the those organisations can deal with an emergency or natural disaster;</w:t>
      </w:r>
      <w:r>
        <w:t xml:space="preserve"> and</w:t>
      </w:r>
    </w:p>
    <w:p w:rsidR="006B148C" w:rsidRDefault="006B148C" w:rsidP="006B148C"/>
    <w:p w:rsidR="006B148C" w:rsidRDefault="006B148C" w:rsidP="006B148C">
      <w:r w:rsidRPr="000668B0">
        <w:t>This compilation was editorially changed to omit the redundant word</w:t>
      </w:r>
      <w:r>
        <w:rPr>
          <w:szCs w:val="22"/>
        </w:rPr>
        <w:t xml:space="preserve"> “the” from </w:t>
      </w:r>
      <w:r>
        <w:t>sub</w:t>
      </w:r>
      <w:r w:rsidRPr="00EC2096">
        <w:t>paragraph</w:t>
      </w:r>
      <w:r>
        <w:t> 4.4A</w:t>
      </w:r>
      <w:r w:rsidRPr="00EC2096">
        <w:t>(</w:t>
      </w:r>
      <w:r>
        <w:t>1</w:t>
      </w:r>
      <w:r w:rsidRPr="00EC2096">
        <w:t>)(a)</w:t>
      </w:r>
      <w:r>
        <w:t>(vi)</w:t>
      </w:r>
      <w:r w:rsidRPr="00EC2096">
        <w:t>.</w:t>
      </w:r>
    </w:p>
    <w:p w:rsidR="006B148C" w:rsidRPr="00F2598C" w:rsidRDefault="006B148C" w:rsidP="006B148C"/>
    <w:p w:rsidR="006B148C" w:rsidRPr="00F2598C" w:rsidRDefault="006B148C" w:rsidP="006B148C"/>
    <w:p w:rsidR="006B148C" w:rsidRPr="004549F1" w:rsidRDefault="006B148C" w:rsidP="00A213FE">
      <w:pPr>
        <w:keepNext/>
        <w:keepLines/>
        <w:rPr>
          <w:b/>
          <w:sz w:val="24"/>
          <w:szCs w:val="24"/>
        </w:rPr>
      </w:pPr>
      <w:r>
        <w:rPr>
          <w:b/>
          <w:sz w:val="24"/>
          <w:szCs w:val="24"/>
        </w:rPr>
        <w:t>Subsection 4.10(2)</w:t>
      </w:r>
    </w:p>
    <w:p w:rsidR="006B148C" w:rsidRPr="0035566A" w:rsidRDefault="006B148C" w:rsidP="00A213FE">
      <w:pPr>
        <w:keepNext/>
        <w:keepLines/>
      </w:pPr>
    </w:p>
    <w:p w:rsidR="006B148C" w:rsidRPr="004549F1" w:rsidRDefault="006B148C" w:rsidP="00A213FE">
      <w:pPr>
        <w:keepNext/>
        <w:keepLines/>
        <w:rPr>
          <w:b/>
        </w:rPr>
      </w:pPr>
      <w:r w:rsidRPr="004549F1">
        <w:rPr>
          <w:b/>
        </w:rPr>
        <w:t>Kind of editorial change</w:t>
      </w:r>
    </w:p>
    <w:p w:rsidR="006B148C" w:rsidRPr="004549F1" w:rsidRDefault="006B148C" w:rsidP="00A213FE">
      <w:pPr>
        <w:keepNext/>
        <w:keepLines/>
      </w:pPr>
    </w:p>
    <w:p w:rsidR="006B148C" w:rsidRPr="0035566A" w:rsidRDefault="006B148C" w:rsidP="00A213FE">
      <w:pPr>
        <w:keepNext/>
        <w:keepLines/>
      </w:pPr>
      <w:r>
        <w:t>Give effect to the misdescribed amendment as intended</w:t>
      </w:r>
    </w:p>
    <w:p w:rsidR="006B148C" w:rsidRPr="004549F1" w:rsidRDefault="006B148C" w:rsidP="00A213FE">
      <w:pPr>
        <w:keepNext/>
        <w:keepLines/>
      </w:pPr>
    </w:p>
    <w:p w:rsidR="006B148C" w:rsidRPr="004549F1" w:rsidRDefault="006B148C" w:rsidP="00A213FE">
      <w:pPr>
        <w:keepNext/>
        <w:keepLines/>
        <w:rPr>
          <w:b/>
        </w:rPr>
      </w:pPr>
      <w:r w:rsidRPr="004549F1">
        <w:rPr>
          <w:b/>
        </w:rPr>
        <w:t>Details of editorial change</w:t>
      </w:r>
    </w:p>
    <w:p w:rsidR="006B148C" w:rsidRPr="0035566A" w:rsidRDefault="006B148C" w:rsidP="006B148C"/>
    <w:p w:rsidR="006B148C" w:rsidRPr="00D501E9" w:rsidRDefault="006B148C" w:rsidP="006B148C">
      <w:pPr>
        <w:rPr>
          <w:szCs w:val="22"/>
        </w:rPr>
      </w:pPr>
      <w:r>
        <w:t xml:space="preserve">Schedule 1 item 11 of the </w:t>
      </w:r>
      <w:r w:rsidRPr="003E6E4B">
        <w:rPr>
          <w:i/>
        </w:rPr>
        <w:t>Telecommunications Code of Practice (Temporary Facilities) Amendment Determination 2020</w:t>
      </w:r>
      <w:r>
        <w:t xml:space="preserve"> </w:t>
      </w:r>
      <w:r w:rsidRPr="008D66BA">
        <w:t>instruct</w:t>
      </w:r>
      <w:r w:rsidRPr="00D501E9">
        <w:rPr>
          <w:szCs w:val="22"/>
        </w:rPr>
        <w:t>s to insert the words “(other than facilities mentioned in subsection 4.10(4) or (5) below)” after “towers”</w:t>
      </w:r>
      <w:r>
        <w:rPr>
          <w:szCs w:val="22"/>
        </w:rPr>
        <w:t xml:space="preserve"> in subsection 4.10(2)</w:t>
      </w:r>
      <w:r w:rsidRPr="00D501E9">
        <w:rPr>
          <w:szCs w:val="22"/>
        </w:rPr>
        <w:t>.</w:t>
      </w:r>
    </w:p>
    <w:p w:rsidR="006B148C" w:rsidRDefault="006B148C" w:rsidP="006B148C"/>
    <w:p w:rsidR="006B148C" w:rsidRDefault="006B148C" w:rsidP="006B148C">
      <w:r w:rsidRPr="004A1E28">
        <w:t>The word “</w:t>
      </w:r>
      <w:r w:rsidRPr="00FB25B5">
        <w:rPr>
          <w:szCs w:val="22"/>
        </w:rPr>
        <w:t>towers</w:t>
      </w:r>
      <w:r>
        <w:t>” appears</w:t>
      </w:r>
      <w:r w:rsidRPr="004A1E28">
        <w:t xml:space="preserve"> twice in </w:t>
      </w:r>
      <w:r>
        <w:t>subsection 4.10(2)</w:t>
      </w:r>
      <w:r w:rsidRPr="004A1E28">
        <w:t>.</w:t>
      </w:r>
    </w:p>
    <w:p w:rsidR="006B148C" w:rsidRDefault="006B148C" w:rsidP="006B148C"/>
    <w:p w:rsidR="006B148C" w:rsidRDefault="006B148C" w:rsidP="006B148C">
      <w:r w:rsidRPr="004A1E28">
        <w:t xml:space="preserve">This compilation was editorially changed to </w:t>
      </w:r>
      <w:r w:rsidRPr="00FB25B5">
        <w:rPr>
          <w:szCs w:val="22"/>
        </w:rPr>
        <w:t>insert the words “(other than facilities mentioned in subsection 4.10(4) or (5) below)” after “towers”</w:t>
      </w:r>
      <w:r>
        <w:rPr>
          <w:szCs w:val="22"/>
        </w:rPr>
        <w:t xml:space="preserve"> </w:t>
      </w:r>
      <w:r w:rsidRPr="004A1E28">
        <w:rPr>
          <w:szCs w:val="22"/>
        </w:rPr>
        <w:t>(first occurring)</w:t>
      </w:r>
      <w:r>
        <w:rPr>
          <w:szCs w:val="22"/>
        </w:rPr>
        <w:t xml:space="preserve"> in subsection 4.10(2)</w:t>
      </w:r>
      <w:r w:rsidRPr="004A1E28">
        <w:t xml:space="preserve"> </w:t>
      </w:r>
      <w:r>
        <w:t>to</w:t>
      </w:r>
      <w:r w:rsidRPr="004A1E28">
        <w:t xml:space="preserve"> give effect to the misdescribed amendment as intended.</w:t>
      </w:r>
    </w:p>
    <w:p w:rsidR="006B148C" w:rsidRPr="00F2598C" w:rsidRDefault="006B148C" w:rsidP="006B148C"/>
    <w:p w:rsidR="006B148C" w:rsidRPr="00F2598C" w:rsidRDefault="006B148C" w:rsidP="006B148C"/>
    <w:p w:rsidR="006B148C" w:rsidRPr="004549F1" w:rsidRDefault="006B148C" w:rsidP="00A213FE">
      <w:pPr>
        <w:keepNext/>
        <w:keepLines/>
        <w:rPr>
          <w:b/>
          <w:sz w:val="24"/>
          <w:szCs w:val="24"/>
        </w:rPr>
      </w:pPr>
      <w:r>
        <w:rPr>
          <w:b/>
          <w:sz w:val="24"/>
          <w:szCs w:val="24"/>
        </w:rPr>
        <w:t>Subsection 4.10(5)</w:t>
      </w:r>
    </w:p>
    <w:p w:rsidR="006B148C" w:rsidRPr="0035566A" w:rsidRDefault="006B148C" w:rsidP="00A213FE">
      <w:pPr>
        <w:keepNext/>
        <w:keepLines/>
      </w:pPr>
    </w:p>
    <w:p w:rsidR="006B148C" w:rsidRPr="004549F1" w:rsidRDefault="006B148C" w:rsidP="006B148C">
      <w:pPr>
        <w:rPr>
          <w:b/>
        </w:rPr>
      </w:pPr>
      <w:r w:rsidRPr="004549F1">
        <w:rPr>
          <w:b/>
        </w:rPr>
        <w:t>Kind of editorial change</w:t>
      </w:r>
    </w:p>
    <w:p w:rsidR="006B148C" w:rsidRPr="004549F1" w:rsidRDefault="006B148C" w:rsidP="006B148C"/>
    <w:p w:rsidR="006B148C" w:rsidRPr="0035566A" w:rsidRDefault="006B148C" w:rsidP="006B148C">
      <w:r w:rsidRPr="007C2B7F">
        <w:t>Correct a drafting error</w:t>
      </w:r>
    </w:p>
    <w:p w:rsidR="006B148C" w:rsidRPr="004549F1" w:rsidRDefault="006B148C" w:rsidP="006B148C"/>
    <w:p w:rsidR="006B148C" w:rsidRPr="004549F1" w:rsidRDefault="006B148C" w:rsidP="006B148C">
      <w:pPr>
        <w:rPr>
          <w:b/>
        </w:rPr>
      </w:pPr>
      <w:r w:rsidRPr="004549F1">
        <w:rPr>
          <w:b/>
        </w:rPr>
        <w:t>Details of editorial change</w:t>
      </w:r>
    </w:p>
    <w:p w:rsidR="006B148C" w:rsidRPr="0035566A" w:rsidRDefault="006B148C" w:rsidP="006B148C"/>
    <w:p w:rsidR="006B148C" w:rsidRPr="007B30F6" w:rsidRDefault="006B148C" w:rsidP="006B148C">
      <w:pPr>
        <w:rPr>
          <w:szCs w:val="22"/>
        </w:rPr>
      </w:pPr>
      <w:r w:rsidRPr="00FB25B5">
        <w:rPr>
          <w:szCs w:val="22"/>
        </w:rPr>
        <w:t xml:space="preserve">Schedule 1 item </w:t>
      </w:r>
      <w:r>
        <w:rPr>
          <w:szCs w:val="22"/>
        </w:rPr>
        <w:t>12</w:t>
      </w:r>
      <w:r w:rsidRPr="00FB25B5">
        <w:rPr>
          <w:szCs w:val="22"/>
        </w:rPr>
        <w:t xml:space="preserve"> of the </w:t>
      </w:r>
      <w:r w:rsidRPr="00FB25B5">
        <w:rPr>
          <w:i/>
          <w:szCs w:val="22"/>
        </w:rPr>
        <w:t>Telecommunications Code of Practice (Temporary Facilities) Amendment Determination 2020</w:t>
      </w:r>
      <w:r w:rsidRPr="00FB25B5">
        <w:rPr>
          <w:szCs w:val="22"/>
        </w:rPr>
        <w:t xml:space="preserve"> instructs to </w:t>
      </w:r>
      <w:r>
        <w:rPr>
          <w:szCs w:val="22"/>
        </w:rPr>
        <w:t>omit the note at the end of section 4.10 and substitute subsections 4.10(4) and (5)</w:t>
      </w:r>
      <w:r w:rsidRPr="007B30F6">
        <w:rPr>
          <w:szCs w:val="22"/>
        </w:rPr>
        <w:t>.</w:t>
      </w:r>
    </w:p>
    <w:p w:rsidR="006B148C" w:rsidRDefault="006B148C" w:rsidP="006B148C"/>
    <w:p w:rsidR="006B148C" w:rsidRDefault="006B148C" w:rsidP="006B148C">
      <w:r w:rsidRPr="00EC2096">
        <w:t xml:space="preserve">The newly inserted </w:t>
      </w:r>
      <w:r>
        <w:t>subsection</w:t>
      </w:r>
      <w:r w:rsidRPr="00EC2096">
        <w:t xml:space="preserve"> </w:t>
      </w:r>
      <w:r>
        <w:t>4.10</w:t>
      </w:r>
      <w:r w:rsidRPr="00EC2096">
        <w:t>(</w:t>
      </w:r>
      <w:r>
        <w:t>5)</w:t>
      </w:r>
      <w:r w:rsidRPr="00EC2096">
        <w:t xml:space="preserve"> reads as follows:</w:t>
      </w:r>
    </w:p>
    <w:p w:rsidR="006B148C" w:rsidRDefault="006B148C" w:rsidP="006B148C"/>
    <w:p w:rsidR="006B148C" w:rsidRPr="00A8771F" w:rsidRDefault="006B148C" w:rsidP="006B148C">
      <w:pPr>
        <w:pStyle w:val="R1"/>
        <w:spacing w:before="0"/>
      </w:pPr>
      <w:r w:rsidRPr="00A8771F">
        <w:tab/>
        <w:t>(5)</w:t>
      </w:r>
      <w:r w:rsidRPr="00A8771F">
        <w:tab/>
      </w:r>
      <w:r w:rsidRPr="0066505F">
        <w:t>If</w:t>
      </w:r>
      <w:r w:rsidRPr="00A8771F">
        <w:t xml:space="preserve"> a carrier owns or operates temporary facilities that are installed for the purpose of providing additional capacity to supply carriage services to persons who are attending one or more events at a venue, the carrier must maintain keep and records of:</w:t>
      </w:r>
    </w:p>
    <w:p w:rsidR="006B148C" w:rsidRDefault="006B148C" w:rsidP="006B148C">
      <w:pPr>
        <w:pStyle w:val="P1"/>
        <w:jc w:val="left"/>
      </w:pPr>
      <w:r>
        <w:tab/>
        <w:t>(a)</w:t>
      </w:r>
      <w:r>
        <w:tab/>
      </w:r>
      <w:r w:rsidRPr="00A8771F">
        <w:t>each of the matters described in paragraphs 4.10(4)(b)-(i) above;</w:t>
      </w:r>
    </w:p>
    <w:p w:rsidR="006B148C" w:rsidRDefault="006B148C" w:rsidP="006B148C">
      <w:pPr>
        <w:pStyle w:val="P1"/>
        <w:jc w:val="left"/>
      </w:pPr>
      <w:r>
        <w:tab/>
        <w:t>(b)</w:t>
      </w:r>
      <w:r>
        <w:tab/>
      </w:r>
      <w:r w:rsidRPr="00B16832">
        <w:t>the start time and date of t</w:t>
      </w:r>
      <w:r>
        <w:t>he particular event or events;</w:t>
      </w:r>
    </w:p>
    <w:p w:rsidR="006B148C" w:rsidRDefault="006B148C" w:rsidP="006B148C">
      <w:pPr>
        <w:pStyle w:val="P1"/>
        <w:jc w:val="left"/>
      </w:pPr>
      <w:r>
        <w:tab/>
        <w:t>(c)</w:t>
      </w:r>
      <w:r>
        <w:tab/>
      </w:r>
      <w:r w:rsidRPr="00B16832">
        <w:t>the end time and date of the</w:t>
      </w:r>
      <w:r>
        <w:t xml:space="preserve"> particular event or events; and</w:t>
      </w:r>
    </w:p>
    <w:p w:rsidR="006B148C" w:rsidRPr="00B16832" w:rsidRDefault="006B148C" w:rsidP="006B148C">
      <w:pPr>
        <w:pStyle w:val="P1"/>
        <w:jc w:val="left"/>
      </w:pPr>
      <w:r>
        <w:tab/>
      </w:r>
      <w:r w:rsidRPr="00B16832">
        <w:t>(d)</w:t>
      </w:r>
      <w:r w:rsidRPr="00B16832">
        <w:tab/>
        <w:t>the name and location of the particular venue where the event or events will be held.</w:t>
      </w:r>
    </w:p>
    <w:p w:rsidR="006B148C" w:rsidRDefault="006B148C" w:rsidP="006B148C">
      <w:pPr>
        <w:pStyle w:val="notetext"/>
        <w:ind w:left="1701" w:hanging="737"/>
        <w:rPr>
          <w:iCs/>
        </w:rPr>
      </w:pPr>
      <w:r w:rsidRPr="0095619D">
        <w:rPr>
          <w:iCs/>
        </w:rPr>
        <w:t>Note</w:t>
      </w:r>
      <w:r>
        <w:rPr>
          <w:iCs/>
        </w:rPr>
        <w:t xml:space="preserve"> 1</w:t>
      </w:r>
      <w:r>
        <w:rPr>
          <w:iCs/>
        </w:rPr>
        <w:tab/>
      </w:r>
      <w:r w:rsidRPr="0095619D">
        <w:rPr>
          <w:iCs/>
        </w:rPr>
        <w:t xml:space="preserve">See Act, Schedule 1, clause 41, which defines the terms </w:t>
      </w:r>
      <w:r w:rsidRPr="0095619D">
        <w:rPr>
          <w:b/>
          <w:i/>
          <w:iCs/>
        </w:rPr>
        <w:t>designated overhead line</w:t>
      </w:r>
      <w:r w:rsidRPr="0095619D">
        <w:rPr>
          <w:iCs/>
        </w:rPr>
        <w:t>,</w:t>
      </w:r>
      <w:r>
        <w:rPr>
          <w:iCs/>
        </w:rPr>
        <w:t xml:space="preserve"> </w:t>
      </w:r>
      <w:r w:rsidRPr="0095619D">
        <w:rPr>
          <w:b/>
          <w:i/>
          <w:iCs/>
        </w:rPr>
        <w:t>telecommunications transmission tower</w:t>
      </w:r>
      <w:r w:rsidRPr="0095619D">
        <w:rPr>
          <w:iCs/>
        </w:rPr>
        <w:t xml:space="preserve"> and </w:t>
      </w:r>
      <w:r w:rsidRPr="0095619D">
        <w:rPr>
          <w:b/>
          <w:i/>
          <w:iCs/>
        </w:rPr>
        <w:t>eligible underground facility</w:t>
      </w:r>
      <w:r w:rsidRPr="0095619D">
        <w:rPr>
          <w:iCs/>
        </w:rPr>
        <w:t>.</w:t>
      </w:r>
    </w:p>
    <w:p w:rsidR="006B148C" w:rsidRPr="0095619D" w:rsidRDefault="006B148C" w:rsidP="006B148C">
      <w:pPr>
        <w:pStyle w:val="notetext"/>
        <w:ind w:left="1701" w:hanging="737"/>
        <w:rPr>
          <w:iCs/>
        </w:rPr>
      </w:pPr>
      <w:r>
        <w:rPr>
          <w:iCs/>
        </w:rPr>
        <w:t>Note 2</w:t>
      </w:r>
      <w:r>
        <w:rPr>
          <w:iCs/>
        </w:rPr>
        <w:tab/>
        <w:t>See Items 5, 6 and 8 of Part 6A of the Schedule to the LIFD.</w:t>
      </w:r>
    </w:p>
    <w:p w:rsidR="006B148C" w:rsidRDefault="006B148C" w:rsidP="006B148C"/>
    <w:p w:rsidR="006B148C" w:rsidRDefault="006B148C" w:rsidP="006B148C">
      <w:r w:rsidRPr="000668B0">
        <w:t xml:space="preserve">This compilation was editorially changed </w:t>
      </w:r>
      <w:r w:rsidRPr="004A1E28">
        <w:t xml:space="preserve">to </w:t>
      </w:r>
      <w:r>
        <w:rPr>
          <w:szCs w:val="22"/>
        </w:rPr>
        <w:t>omit the words “</w:t>
      </w:r>
      <w:r w:rsidRPr="00A8771F">
        <w:t>maintain keep and records</w:t>
      </w:r>
      <w:r>
        <w:rPr>
          <w:szCs w:val="22"/>
        </w:rPr>
        <w:t>” and substitute the words “</w:t>
      </w:r>
      <w:r w:rsidRPr="00A8771F">
        <w:t>keep and maintain</w:t>
      </w:r>
      <w:r>
        <w:t xml:space="preserve"> r</w:t>
      </w:r>
      <w:r w:rsidRPr="00A8771F">
        <w:t>ecords</w:t>
      </w:r>
      <w:r>
        <w:rPr>
          <w:szCs w:val="22"/>
        </w:rPr>
        <w:t xml:space="preserve">” in </w:t>
      </w:r>
      <w:r>
        <w:t>subsection 4.10</w:t>
      </w:r>
      <w:r w:rsidRPr="00EC2096">
        <w:t>(</w:t>
      </w:r>
      <w:r>
        <w:t xml:space="preserve">5) </w:t>
      </w:r>
      <w:r w:rsidRPr="0078369E">
        <w:t>to correct the drafting error.</w:t>
      </w:r>
    </w:p>
    <w:p w:rsidR="006B148C" w:rsidRPr="00F2598C" w:rsidRDefault="006B148C" w:rsidP="006B148C"/>
    <w:p w:rsidR="006B148C" w:rsidRPr="00F2598C" w:rsidRDefault="006B148C" w:rsidP="006B148C"/>
    <w:p w:rsidR="006B148C" w:rsidRPr="004549F1" w:rsidRDefault="006B148C" w:rsidP="00A213FE">
      <w:pPr>
        <w:keepNext/>
        <w:keepLines/>
        <w:rPr>
          <w:b/>
          <w:sz w:val="24"/>
          <w:szCs w:val="24"/>
        </w:rPr>
      </w:pPr>
      <w:r>
        <w:rPr>
          <w:b/>
          <w:sz w:val="24"/>
          <w:szCs w:val="24"/>
        </w:rPr>
        <w:t>Section 4.23</w:t>
      </w:r>
    </w:p>
    <w:p w:rsidR="006B148C" w:rsidRPr="0035566A" w:rsidRDefault="006B148C" w:rsidP="00A213FE">
      <w:pPr>
        <w:keepNext/>
        <w:keepLines/>
      </w:pPr>
    </w:p>
    <w:p w:rsidR="006B148C" w:rsidRPr="004549F1" w:rsidRDefault="006B148C" w:rsidP="00A213FE">
      <w:pPr>
        <w:keepNext/>
        <w:keepLines/>
        <w:rPr>
          <w:b/>
        </w:rPr>
      </w:pPr>
      <w:r w:rsidRPr="004549F1">
        <w:rPr>
          <w:b/>
        </w:rPr>
        <w:t>Kind of editorial change</w:t>
      </w:r>
    </w:p>
    <w:p w:rsidR="006B148C" w:rsidRPr="004549F1" w:rsidRDefault="006B148C" w:rsidP="00A213FE">
      <w:pPr>
        <w:keepNext/>
        <w:keepLines/>
      </w:pPr>
    </w:p>
    <w:p w:rsidR="006B148C" w:rsidRPr="0035566A" w:rsidRDefault="006B148C" w:rsidP="006B148C">
      <w:r>
        <w:t>Give effect to the misdescribed amendment as intended</w:t>
      </w:r>
    </w:p>
    <w:p w:rsidR="006B148C" w:rsidRPr="004549F1" w:rsidRDefault="006B148C" w:rsidP="006B148C"/>
    <w:p w:rsidR="006B148C" w:rsidRPr="004549F1" w:rsidRDefault="006B148C" w:rsidP="006B148C">
      <w:pPr>
        <w:rPr>
          <w:b/>
        </w:rPr>
      </w:pPr>
      <w:r w:rsidRPr="004549F1">
        <w:rPr>
          <w:b/>
        </w:rPr>
        <w:t>Details of editorial change</w:t>
      </w:r>
    </w:p>
    <w:p w:rsidR="006B148C" w:rsidRPr="0035566A" w:rsidRDefault="006B148C" w:rsidP="006B148C"/>
    <w:p w:rsidR="006B148C" w:rsidRDefault="006B148C" w:rsidP="006B148C">
      <w:r>
        <w:t xml:space="preserve">Schedule 1 item 15 of the </w:t>
      </w:r>
      <w:r w:rsidRPr="003E6E4B">
        <w:rPr>
          <w:i/>
        </w:rPr>
        <w:t>Telecommunications Code of Practice (Temporary Facilities) Amendment Determination 2020</w:t>
      </w:r>
      <w:r>
        <w:t xml:space="preserve"> instructs to insert subsection (3A) after subsection 4.23A(3).</w:t>
      </w:r>
    </w:p>
    <w:p w:rsidR="006B148C" w:rsidRDefault="006B148C" w:rsidP="006B148C"/>
    <w:p w:rsidR="006B148C" w:rsidRDefault="006B148C" w:rsidP="006B148C">
      <w:r>
        <w:t>Section 4.23A does not appear. However, section 4.23 does appear.</w:t>
      </w:r>
    </w:p>
    <w:p w:rsidR="006B148C" w:rsidRDefault="006B148C" w:rsidP="006B148C"/>
    <w:p w:rsidR="006B148C" w:rsidRDefault="006B148C" w:rsidP="006B148C">
      <w:r>
        <w:t>This compilation was editorially changed to insert subsection (3A) after subsection 4.23(3) to give effect to the misdescribed amendment as intended.</w:t>
      </w:r>
    </w:p>
    <w:p w:rsidR="006B148C" w:rsidRPr="00F2598C" w:rsidRDefault="006B148C" w:rsidP="006B148C"/>
    <w:p w:rsidR="006B148C" w:rsidRPr="00F2598C" w:rsidRDefault="006B148C" w:rsidP="006B148C"/>
    <w:p w:rsidR="006B148C" w:rsidRPr="004549F1" w:rsidRDefault="006B148C" w:rsidP="00A213FE">
      <w:pPr>
        <w:keepNext/>
        <w:keepLines/>
        <w:rPr>
          <w:b/>
          <w:sz w:val="24"/>
          <w:szCs w:val="24"/>
        </w:rPr>
      </w:pPr>
      <w:r>
        <w:rPr>
          <w:b/>
          <w:sz w:val="24"/>
          <w:szCs w:val="24"/>
        </w:rPr>
        <w:t>Subsection 6.10(2)</w:t>
      </w:r>
    </w:p>
    <w:p w:rsidR="006B148C" w:rsidRPr="0035566A" w:rsidRDefault="006B148C" w:rsidP="00A213FE">
      <w:pPr>
        <w:keepNext/>
        <w:keepLines/>
      </w:pPr>
    </w:p>
    <w:p w:rsidR="006B148C" w:rsidRPr="004549F1" w:rsidRDefault="006B148C" w:rsidP="00A213FE">
      <w:pPr>
        <w:keepNext/>
        <w:keepLines/>
        <w:rPr>
          <w:b/>
        </w:rPr>
      </w:pPr>
      <w:r w:rsidRPr="004549F1">
        <w:rPr>
          <w:b/>
        </w:rPr>
        <w:t>Kind of editorial change</w:t>
      </w:r>
    </w:p>
    <w:p w:rsidR="006B148C" w:rsidRPr="004549F1" w:rsidRDefault="006B148C" w:rsidP="00A213FE">
      <w:pPr>
        <w:keepNext/>
        <w:keepLines/>
      </w:pPr>
    </w:p>
    <w:p w:rsidR="006B148C" w:rsidRPr="0035566A" w:rsidRDefault="006B148C" w:rsidP="00A213FE">
      <w:pPr>
        <w:keepNext/>
        <w:keepLines/>
      </w:pPr>
      <w:r>
        <w:t>Give effect to the misdescribed amendment as intended</w:t>
      </w:r>
    </w:p>
    <w:p w:rsidR="006B148C" w:rsidRPr="004549F1" w:rsidRDefault="006B148C" w:rsidP="00A213FE">
      <w:pPr>
        <w:keepNext/>
        <w:keepLines/>
      </w:pPr>
    </w:p>
    <w:p w:rsidR="006B148C" w:rsidRPr="004549F1" w:rsidRDefault="006B148C" w:rsidP="006B148C">
      <w:pPr>
        <w:rPr>
          <w:b/>
        </w:rPr>
      </w:pPr>
      <w:r w:rsidRPr="004549F1">
        <w:rPr>
          <w:b/>
        </w:rPr>
        <w:t>Details of editorial change</w:t>
      </w:r>
    </w:p>
    <w:p w:rsidR="006B148C" w:rsidRPr="0035566A" w:rsidRDefault="006B148C" w:rsidP="006B148C"/>
    <w:p w:rsidR="006B148C" w:rsidRPr="007B30F6" w:rsidRDefault="006B148C" w:rsidP="006B148C">
      <w:pPr>
        <w:rPr>
          <w:szCs w:val="22"/>
        </w:rPr>
      </w:pPr>
      <w:r w:rsidRPr="00D501E9">
        <w:rPr>
          <w:szCs w:val="22"/>
        </w:rPr>
        <w:t xml:space="preserve">Schedule 1 item 23 of the </w:t>
      </w:r>
      <w:r w:rsidRPr="00D501E9">
        <w:rPr>
          <w:i/>
          <w:szCs w:val="22"/>
        </w:rPr>
        <w:t>Telecommunications Code of Practice (Temporary Facilities) Amendment Determination 2020</w:t>
      </w:r>
      <w:r w:rsidRPr="00D501E9">
        <w:rPr>
          <w:szCs w:val="22"/>
        </w:rPr>
        <w:t xml:space="preserve"> instructs to insert the words “(other than temporary facilities mentioned in subsection 6.10(4) or (5) below)”</w:t>
      </w:r>
      <w:r w:rsidRPr="007B30F6">
        <w:rPr>
          <w:szCs w:val="22"/>
        </w:rPr>
        <w:t xml:space="preserve"> after “towers” in subsection 6.10(2).</w:t>
      </w:r>
    </w:p>
    <w:p w:rsidR="006B148C" w:rsidRDefault="006B148C" w:rsidP="006B148C"/>
    <w:p w:rsidR="006B148C" w:rsidRDefault="006B148C" w:rsidP="006B148C">
      <w:r w:rsidRPr="004A1E28">
        <w:t>The word “</w:t>
      </w:r>
      <w:r w:rsidRPr="00FB25B5">
        <w:rPr>
          <w:szCs w:val="22"/>
        </w:rPr>
        <w:t>towers</w:t>
      </w:r>
      <w:r>
        <w:t>” appears</w:t>
      </w:r>
      <w:r w:rsidRPr="004A1E28">
        <w:t xml:space="preserve"> twice in </w:t>
      </w:r>
      <w:r>
        <w:t>subsection 6.10(2)</w:t>
      </w:r>
      <w:r w:rsidRPr="004A1E28">
        <w:t>.</w:t>
      </w:r>
    </w:p>
    <w:p w:rsidR="006B148C" w:rsidRDefault="006B148C" w:rsidP="006B148C"/>
    <w:p w:rsidR="006B148C" w:rsidRDefault="006B148C" w:rsidP="006B148C">
      <w:r w:rsidRPr="004A1E28">
        <w:t xml:space="preserve">This compilation was editorially changed to </w:t>
      </w:r>
      <w:r w:rsidRPr="00FB25B5">
        <w:rPr>
          <w:szCs w:val="22"/>
        </w:rPr>
        <w:t>insert the words “(other than temporary facilities mentioned in subsection 6.10(4) or (5) below)” after “towers”</w:t>
      </w:r>
      <w:r>
        <w:rPr>
          <w:szCs w:val="22"/>
        </w:rPr>
        <w:t xml:space="preserve"> </w:t>
      </w:r>
      <w:r w:rsidRPr="004A1E28">
        <w:rPr>
          <w:szCs w:val="22"/>
        </w:rPr>
        <w:t>(first occurring)</w:t>
      </w:r>
      <w:r>
        <w:rPr>
          <w:szCs w:val="22"/>
        </w:rPr>
        <w:t xml:space="preserve"> in subsection 6.10(2)</w:t>
      </w:r>
      <w:r w:rsidRPr="004A1E28">
        <w:t xml:space="preserve"> </w:t>
      </w:r>
      <w:r>
        <w:t>to</w:t>
      </w:r>
      <w:r w:rsidRPr="004A1E28">
        <w:t xml:space="preserve"> give effect to the misdescribed amendment as intended.</w:t>
      </w:r>
    </w:p>
    <w:p w:rsidR="006B148C" w:rsidRPr="00F2598C" w:rsidRDefault="006B148C" w:rsidP="006B148C"/>
    <w:p w:rsidR="006B148C" w:rsidRPr="00F2598C" w:rsidRDefault="006B148C" w:rsidP="006B148C"/>
    <w:p w:rsidR="006B148C" w:rsidRPr="004549F1" w:rsidRDefault="006B148C" w:rsidP="006B148C">
      <w:pPr>
        <w:rPr>
          <w:b/>
          <w:sz w:val="24"/>
          <w:szCs w:val="24"/>
        </w:rPr>
      </w:pPr>
      <w:r>
        <w:rPr>
          <w:b/>
          <w:sz w:val="24"/>
          <w:szCs w:val="24"/>
        </w:rPr>
        <w:t>Subparagraph 6.10(4)(d)(iii)</w:t>
      </w:r>
    </w:p>
    <w:p w:rsidR="006B148C" w:rsidRPr="0035566A" w:rsidRDefault="006B148C" w:rsidP="006B148C"/>
    <w:p w:rsidR="006B148C" w:rsidRPr="004549F1" w:rsidRDefault="006B148C" w:rsidP="006B148C">
      <w:pPr>
        <w:rPr>
          <w:b/>
        </w:rPr>
      </w:pPr>
      <w:r w:rsidRPr="004549F1">
        <w:rPr>
          <w:b/>
        </w:rPr>
        <w:t>Kind of editorial change</w:t>
      </w:r>
    </w:p>
    <w:p w:rsidR="006B148C" w:rsidRPr="004549F1" w:rsidRDefault="006B148C" w:rsidP="006B148C"/>
    <w:p w:rsidR="006B148C" w:rsidRPr="0035566A" w:rsidRDefault="006B148C" w:rsidP="006B148C">
      <w:r w:rsidRPr="0084508C">
        <w:t>Change to punctuation</w:t>
      </w:r>
    </w:p>
    <w:p w:rsidR="006B148C" w:rsidRPr="004549F1" w:rsidRDefault="006B148C" w:rsidP="006B148C"/>
    <w:p w:rsidR="006B148C" w:rsidRPr="004549F1" w:rsidRDefault="006B148C" w:rsidP="006B148C">
      <w:pPr>
        <w:rPr>
          <w:b/>
        </w:rPr>
      </w:pPr>
      <w:r w:rsidRPr="004549F1">
        <w:rPr>
          <w:b/>
        </w:rPr>
        <w:t>Details of editorial change</w:t>
      </w:r>
    </w:p>
    <w:p w:rsidR="006B148C" w:rsidRPr="0035566A" w:rsidRDefault="006B148C" w:rsidP="006B148C"/>
    <w:p w:rsidR="006B148C" w:rsidRPr="007B30F6" w:rsidRDefault="006B148C" w:rsidP="006B148C">
      <w:pPr>
        <w:rPr>
          <w:szCs w:val="22"/>
        </w:rPr>
      </w:pPr>
      <w:r w:rsidRPr="00FB25B5">
        <w:rPr>
          <w:szCs w:val="22"/>
        </w:rPr>
        <w:t xml:space="preserve">Schedule 1 item </w:t>
      </w:r>
      <w:r>
        <w:rPr>
          <w:szCs w:val="22"/>
        </w:rPr>
        <w:t>24</w:t>
      </w:r>
      <w:r w:rsidRPr="00FB25B5">
        <w:rPr>
          <w:szCs w:val="22"/>
        </w:rPr>
        <w:t xml:space="preserve"> of the </w:t>
      </w:r>
      <w:r w:rsidRPr="00FB25B5">
        <w:rPr>
          <w:i/>
          <w:szCs w:val="22"/>
        </w:rPr>
        <w:t>Telecommunications Code of Practice (Temporary Facilities) Amendment Determination 2020</w:t>
      </w:r>
      <w:r w:rsidRPr="00FB25B5">
        <w:rPr>
          <w:szCs w:val="22"/>
        </w:rPr>
        <w:t xml:space="preserve"> instructs to </w:t>
      </w:r>
      <w:r>
        <w:rPr>
          <w:szCs w:val="22"/>
        </w:rPr>
        <w:t>insert subsections 6.10(4) and (5) at the end of section 6.10</w:t>
      </w:r>
      <w:r w:rsidRPr="007B30F6">
        <w:rPr>
          <w:szCs w:val="22"/>
        </w:rPr>
        <w:t>.</w:t>
      </w:r>
    </w:p>
    <w:p w:rsidR="006B148C" w:rsidRDefault="006B148C" w:rsidP="006B148C"/>
    <w:p w:rsidR="006B148C" w:rsidRDefault="006B148C" w:rsidP="006B148C">
      <w:r w:rsidRPr="00EC2096">
        <w:t xml:space="preserve">The newly inserted </w:t>
      </w:r>
      <w:r>
        <w:t>sub</w:t>
      </w:r>
      <w:r w:rsidRPr="00EC2096">
        <w:t xml:space="preserve">paragraph </w:t>
      </w:r>
      <w:r>
        <w:t>6.10</w:t>
      </w:r>
      <w:r w:rsidRPr="00EC2096">
        <w:t>(</w:t>
      </w:r>
      <w:r>
        <w:t>4)(d)(iii)</w:t>
      </w:r>
      <w:r w:rsidRPr="00EC2096">
        <w:t xml:space="preserve"> reads as follows:</w:t>
      </w:r>
    </w:p>
    <w:p w:rsidR="006B148C" w:rsidRDefault="006B148C" w:rsidP="006B148C"/>
    <w:p w:rsidR="006B148C" w:rsidRDefault="006B148C" w:rsidP="006B148C">
      <w:pPr>
        <w:pStyle w:val="paragraph"/>
        <w:ind w:left="2370" w:hanging="720"/>
      </w:pPr>
      <w:r>
        <w:t>(iii)</w:t>
      </w:r>
      <w:r>
        <w:tab/>
      </w:r>
      <w:r w:rsidRPr="00E26CD5">
        <w:t>the day on which maintenance of the other facility ceased; and</w:t>
      </w:r>
      <w:r>
        <w:t>;</w:t>
      </w:r>
    </w:p>
    <w:p w:rsidR="006B148C" w:rsidRDefault="006B148C" w:rsidP="006B148C"/>
    <w:p w:rsidR="006B148C" w:rsidRDefault="006B148C" w:rsidP="006B148C">
      <w:r w:rsidRPr="000668B0">
        <w:t xml:space="preserve">This compilation was editorially changed </w:t>
      </w:r>
      <w:r w:rsidRPr="004A1E28">
        <w:t xml:space="preserve">to </w:t>
      </w:r>
      <w:r>
        <w:rPr>
          <w:szCs w:val="22"/>
        </w:rPr>
        <w:t xml:space="preserve">omit the semicolon at the end of </w:t>
      </w:r>
      <w:r>
        <w:t>sub</w:t>
      </w:r>
      <w:r w:rsidRPr="00EC2096">
        <w:t>paragraph</w:t>
      </w:r>
      <w:r>
        <w:t> 6.10</w:t>
      </w:r>
      <w:r w:rsidRPr="00EC2096">
        <w:t>(</w:t>
      </w:r>
      <w:r>
        <w:t xml:space="preserve">4)(d)(iii) </w:t>
      </w:r>
      <w:r w:rsidRPr="0084508C">
        <w:t>to correct the punctuation</w:t>
      </w:r>
      <w:r w:rsidRPr="0078369E">
        <w:t>.</w:t>
      </w:r>
    </w:p>
    <w:p w:rsidR="008C7A66" w:rsidRDefault="008C7A66" w:rsidP="008C7A66">
      <w:pPr>
        <w:pStyle w:val="Head2"/>
        <w:keepLines/>
      </w:pPr>
      <w:r w:rsidRPr="00126712">
        <w:t>Australian Federal Police Act 1979</w:t>
      </w:r>
      <w:r>
        <w:t>, Compilation No. 62,</w:t>
      </w:r>
      <w:r w:rsidRPr="003342C4">
        <w:t xml:space="preserve"> Registration Date:</w:t>
      </w:r>
      <w:r>
        <w:t xml:space="preserve"> 6 May 2020 [</w:t>
      </w:r>
      <w:r>
        <w:rPr>
          <w:bCs/>
        </w:rPr>
        <w:t>C2020C00155</w:t>
      </w:r>
      <w:r>
        <w:t>]</w:t>
      </w:r>
    </w:p>
    <w:p w:rsidR="008C7A66" w:rsidRPr="00126712" w:rsidRDefault="008C7A66" w:rsidP="008C7A66"/>
    <w:p w:rsidR="008C7A66" w:rsidRPr="00CD4021" w:rsidRDefault="008C7A66" w:rsidP="008C7A66">
      <w:pPr>
        <w:rPr>
          <w:b/>
          <w:sz w:val="24"/>
          <w:szCs w:val="24"/>
        </w:rPr>
      </w:pPr>
      <w:r w:rsidRPr="00126712">
        <w:rPr>
          <w:b/>
          <w:bCs/>
          <w:sz w:val="24"/>
          <w:szCs w:val="24"/>
        </w:rPr>
        <w:t>Subsections</w:t>
      </w:r>
      <w:r>
        <w:rPr>
          <w:b/>
          <w:bCs/>
          <w:sz w:val="24"/>
          <w:szCs w:val="24"/>
        </w:rPr>
        <w:t> </w:t>
      </w:r>
      <w:r w:rsidRPr="00126712">
        <w:rPr>
          <w:b/>
          <w:bCs/>
          <w:sz w:val="24"/>
          <w:szCs w:val="24"/>
        </w:rPr>
        <w:t>12A(4), 45A(2), (3) and (4)</w:t>
      </w:r>
    </w:p>
    <w:p w:rsidR="008C7A66" w:rsidRPr="00126712" w:rsidRDefault="008C7A66" w:rsidP="008C7A66"/>
    <w:p w:rsidR="008C7A66" w:rsidRPr="00126712" w:rsidRDefault="008C7A66" w:rsidP="008C7A66">
      <w:pPr>
        <w:rPr>
          <w:b/>
        </w:rPr>
      </w:pPr>
      <w:r w:rsidRPr="00126712">
        <w:rPr>
          <w:b/>
        </w:rPr>
        <w:t>Kind of editorial change</w:t>
      </w:r>
    </w:p>
    <w:p w:rsidR="008C7A66" w:rsidRPr="00126712" w:rsidRDefault="008C7A66" w:rsidP="008C7A66"/>
    <w:p w:rsidR="008C7A66" w:rsidRPr="00126712" w:rsidRDefault="008C7A66" w:rsidP="008C7A66">
      <w:r w:rsidRPr="00126712">
        <w:t>Change to typeface</w:t>
      </w:r>
    </w:p>
    <w:p w:rsidR="008C7A66" w:rsidRPr="00126712" w:rsidRDefault="008C7A66" w:rsidP="008C7A66"/>
    <w:p w:rsidR="008C7A66" w:rsidRPr="00126712" w:rsidRDefault="008C7A66" w:rsidP="008C7A66">
      <w:pPr>
        <w:rPr>
          <w:b/>
        </w:rPr>
      </w:pPr>
      <w:r w:rsidRPr="00126712">
        <w:rPr>
          <w:b/>
        </w:rPr>
        <w:t>Details of editorial change</w:t>
      </w:r>
    </w:p>
    <w:p w:rsidR="008C7A66" w:rsidRPr="00126712" w:rsidRDefault="008C7A66" w:rsidP="008C7A66"/>
    <w:p w:rsidR="008C7A66" w:rsidRPr="00126712" w:rsidRDefault="008C7A66" w:rsidP="008C7A66">
      <w:r w:rsidRPr="00126712">
        <w:t xml:space="preserve">This compilation was editorially changed to update four occurrences of the italicised words </w:t>
      </w:r>
      <w:r w:rsidRPr="00126712">
        <w:rPr>
          <w:i/>
          <w:iCs/>
        </w:rPr>
        <w:t>prima facie</w:t>
      </w:r>
      <w:r w:rsidRPr="00CD4021">
        <w:rPr>
          <w:iCs/>
        </w:rPr>
        <w:t xml:space="preserve"> </w:t>
      </w:r>
      <w:r w:rsidRPr="00126712">
        <w:t>to regular font.</w:t>
      </w:r>
    </w:p>
    <w:p w:rsidR="00627019" w:rsidRDefault="00627019" w:rsidP="00627019">
      <w:pPr>
        <w:pStyle w:val="Head2"/>
        <w:keepLines/>
      </w:pPr>
      <w:r w:rsidRPr="00545D6C">
        <w:t>Patents Regulations</w:t>
      </w:r>
      <w:r>
        <w:t> </w:t>
      </w:r>
      <w:r w:rsidRPr="00545D6C">
        <w:t>1991</w:t>
      </w:r>
      <w:r>
        <w:t>, Compilation No. 69,</w:t>
      </w:r>
      <w:r w:rsidRPr="003342C4">
        <w:t xml:space="preserve"> Registration Date:</w:t>
      </w:r>
      <w:r>
        <w:t xml:space="preserve"> 30 April 2020 [</w:t>
      </w:r>
      <w:r>
        <w:rPr>
          <w:bCs/>
        </w:rPr>
        <w:t>F2020C00348</w:t>
      </w:r>
      <w:r>
        <w:t>]</w:t>
      </w:r>
    </w:p>
    <w:p w:rsidR="00627019" w:rsidRPr="00545D6C" w:rsidRDefault="00627019" w:rsidP="00627019"/>
    <w:p w:rsidR="00627019" w:rsidRPr="00545D6C" w:rsidRDefault="00627019" w:rsidP="00627019">
      <w:pPr>
        <w:rPr>
          <w:b/>
          <w:sz w:val="24"/>
          <w:szCs w:val="24"/>
        </w:rPr>
      </w:pPr>
      <w:r w:rsidRPr="00545D6C">
        <w:rPr>
          <w:b/>
          <w:sz w:val="24"/>
          <w:szCs w:val="24"/>
        </w:rPr>
        <w:t>Subregulation</w:t>
      </w:r>
      <w:r>
        <w:rPr>
          <w:b/>
          <w:sz w:val="24"/>
          <w:szCs w:val="24"/>
        </w:rPr>
        <w:t> </w:t>
      </w:r>
      <w:r w:rsidRPr="00545D6C">
        <w:rPr>
          <w:b/>
          <w:sz w:val="24"/>
          <w:szCs w:val="24"/>
        </w:rPr>
        <w:t>3.1A(1)</w:t>
      </w:r>
    </w:p>
    <w:p w:rsidR="00627019" w:rsidRPr="00545D6C" w:rsidRDefault="00627019" w:rsidP="00627019"/>
    <w:p w:rsidR="00627019" w:rsidRPr="00545D6C" w:rsidRDefault="00627019" w:rsidP="00627019">
      <w:pPr>
        <w:rPr>
          <w:b/>
        </w:rPr>
      </w:pPr>
      <w:r w:rsidRPr="00545D6C">
        <w:rPr>
          <w:b/>
        </w:rPr>
        <w:t>Kind of editorial change</w:t>
      </w:r>
    </w:p>
    <w:p w:rsidR="00627019" w:rsidRPr="00545D6C" w:rsidRDefault="00627019" w:rsidP="00627019"/>
    <w:p w:rsidR="00627019" w:rsidRPr="00545D6C" w:rsidRDefault="00627019" w:rsidP="00627019">
      <w:r w:rsidRPr="00545D6C">
        <w:t>Renumbering of provisions</w:t>
      </w:r>
    </w:p>
    <w:p w:rsidR="00627019" w:rsidRPr="00545D6C" w:rsidRDefault="00627019" w:rsidP="00627019"/>
    <w:p w:rsidR="00627019" w:rsidRPr="00545D6C" w:rsidRDefault="00627019" w:rsidP="00627019">
      <w:pPr>
        <w:rPr>
          <w:b/>
        </w:rPr>
      </w:pPr>
      <w:r w:rsidRPr="00545D6C">
        <w:rPr>
          <w:b/>
        </w:rPr>
        <w:t>Details of editorial change</w:t>
      </w:r>
    </w:p>
    <w:p w:rsidR="00627019" w:rsidRPr="00545D6C" w:rsidRDefault="00627019" w:rsidP="00627019"/>
    <w:p w:rsidR="00627019" w:rsidRPr="00545D6C" w:rsidRDefault="00627019" w:rsidP="00627019">
      <w:r w:rsidRPr="00545D6C">
        <w:t>Regulation</w:t>
      </w:r>
      <w:r>
        <w:t> </w:t>
      </w:r>
      <w:r w:rsidRPr="00545D6C">
        <w:t>3.1A appears as follows:</w:t>
      </w:r>
    </w:p>
    <w:p w:rsidR="00627019" w:rsidRPr="00545D6C" w:rsidRDefault="00627019" w:rsidP="00627019">
      <w:pPr>
        <w:pStyle w:val="ActHead5"/>
        <w:keepNext w:val="0"/>
        <w:keepLines w:val="0"/>
      </w:pPr>
      <w:bookmarkStart w:id="2" w:name="_Toc39074463"/>
      <w:r w:rsidRPr="00545D6C">
        <w:rPr>
          <w:rStyle w:val="CharSectno"/>
        </w:rPr>
        <w:t>3.1A</w:t>
      </w:r>
      <w:r w:rsidRPr="00545D6C">
        <w:t xml:space="preserve">  Applicant taken to be nominated person</w:t>
      </w:r>
      <w:bookmarkEnd w:id="2"/>
    </w:p>
    <w:p w:rsidR="00627019" w:rsidRPr="00545D6C" w:rsidRDefault="00627019" w:rsidP="00627019">
      <w:pPr>
        <w:pStyle w:val="subsection"/>
      </w:pPr>
      <w:r w:rsidRPr="00545D6C">
        <w:tab/>
      </w:r>
      <w:r w:rsidRPr="00545D6C">
        <w:tab/>
        <w:t>For an application for a standard patent or an innovation patent, the applicant is taken to be the nominated person.</w:t>
      </w:r>
    </w:p>
    <w:p w:rsidR="00627019" w:rsidRPr="00545D6C" w:rsidRDefault="00627019" w:rsidP="00627019">
      <w:pPr>
        <w:pStyle w:val="subsection"/>
      </w:pPr>
      <w:r w:rsidRPr="00545D6C">
        <w:tab/>
        <w:t>(2)</w:t>
      </w:r>
      <w:r w:rsidRPr="00545D6C">
        <w:tab/>
        <w:t>For a PCT application, the applicant is taken to be the nominated person.</w:t>
      </w:r>
    </w:p>
    <w:p w:rsidR="00627019" w:rsidRPr="00545D6C" w:rsidRDefault="00627019" w:rsidP="00627019"/>
    <w:p w:rsidR="00627019" w:rsidRPr="00545D6C" w:rsidRDefault="00627019" w:rsidP="00627019">
      <w:r w:rsidRPr="00545D6C">
        <w:t>This compilation was editorially changed to renumber the text above subregulation</w:t>
      </w:r>
      <w:r>
        <w:t> </w:t>
      </w:r>
      <w:r w:rsidRPr="00545D6C">
        <w:t>(2) as subregulation</w:t>
      </w:r>
      <w:r>
        <w:t> </w:t>
      </w:r>
      <w:r w:rsidRPr="00545D6C">
        <w:t>(1).</w:t>
      </w:r>
    </w:p>
    <w:p w:rsidR="0025131C" w:rsidRDefault="0025131C" w:rsidP="00B73314">
      <w:pPr>
        <w:pStyle w:val="Head2"/>
        <w:keepLines/>
      </w:pPr>
      <w:r>
        <w:lastRenderedPageBreak/>
        <w:t>National Health (COVID-19 Supply of Pharmaceutical Benefits) Special Arrangement 2020, Compilation No. 1,</w:t>
      </w:r>
      <w:r w:rsidRPr="003342C4">
        <w:t xml:space="preserve"> Registration Date:</w:t>
      </w:r>
      <w:r>
        <w:t xml:space="preserve"> 28 April 2020 [</w:t>
      </w:r>
      <w:r>
        <w:rPr>
          <w:bCs/>
        </w:rPr>
        <w:t>F2020C00339</w:t>
      </w:r>
      <w:r>
        <w:t>]</w:t>
      </w:r>
    </w:p>
    <w:p w:rsidR="0025131C" w:rsidRPr="00F2598C" w:rsidRDefault="0025131C" w:rsidP="00B73314">
      <w:pPr>
        <w:keepNext/>
        <w:keepLines/>
      </w:pPr>
    </w:p>
    <w:p w:rsidR="0025131C" w:rsidRPr="004549F1" w:rsidRDefault="0025131C" w:rsidP="00B73314">
      <w:pPr>
        <w:keepNext/>
        <w:keepLines/>
        <w:rPr>
          <w:b/>
          <w:sz w:val="24"/>
          <w:szCs w:val="24"/>
        </w:rPr>
      </w:pPr>
      <w:r w:rsidRPr="004F1DE8">
        <w:rPr>
          <w:b/>
          <w:sz w:val="24"/>
          <w:szCs w:val="24"/>
        </w:rPr>
        <w:t>Section 13 (</w:t>
      </w:r>
      <w:r w:rsidRPr="003C73A0">
        <w:rPr>
          <w:b/>
          <w:sz w:val="24"/>
          <w:szCs w:val="24"/>
        </w:rPr>
        <w:t>second occurring</w:t>
      </w:r>
      <w:r w:rsidRPr="004F1DE8">
        <w:rPr>
          <w:b/>
          <w:sz w:val="24"/>
          <w:szCs w:val="24"/>
        </w:rPr>
        <w:t>)</w:t>
      </w:r>
    </w:p>
    <w:p w:rsidR="0025131C" w:rsidRPr="00E00C86" w:rsidRDefault="0025131C" w:rsidP="00B73314">
      <w:pPr>
        <w:keepNext/>
        <w:keepLines/>
      </w:pPr>
    </w:p>
    <w:p w:rsidR="0025131C" w:rsidRPr="004549F1" w:rsidRDefault="0025131C" w:rsidP="00B73314">
      <w:pPr>
        <w:keepNext/>
        <w:keepLines/>
        <w:rPr>
          <w:b/>
        </w:rPr>
      </w:pPr>
      <w:r w:rsidRPr="004549F1">
        <w:rPr>
          <w:b/>
        </w:rPr>
        <w:t>Kind of editorial change</w:t>
      </w:r>
    </w:p>
    <w:p w:rsidR="0025131C" w:rsidRPr="004549F1" w:rsidRDefault="0025131C" w:rsidP="00B73314">
      <w:pPr>
        <w:keepNext/>
        <w:keepLines/>
      </w:pPr>
    </w:p>
    <w:p w:rsidR="0025131C" w:rsidRPr="00E00C86" w:rsidRDefault="0025131C" w:rsidP="0025131C">
      <w:r>
        <w:t>Renumbering of provisions</w:t>
      </w:r>
    </w:p>
    <w:p w:rsidR="0025131C" w:rsidRPr="004549F1" w:rsidRDefault="0025131C" w:rsidP="0025131C"/>
    <w:p w:rsidR="0025131C" w:rsidRPr="004549F1" w:rsidRDefault="0025131C" w:rsidP="0025131C">
      <w:pPr>
        <w:rPr>
          <w:b/>
        </w:rPr>
      </w:pPr>
      <w:r w:rsidRPr="004549F1">
        <w:rPr>
          <w:b/>
        </w:rPr>
        <w:t>Details of editorial change</w:t>
      </w:r>
    </w:p>
    <w:p w:rsidR="0025131C" w:rsidRPr="00E00C86" w:rsidRDefault="0025131C" w:rsidP="0025131C"/>
    <w:p w:rsidR="0025131C" w:rsidRDefault="0025131C" w:rsidP="0025131C">
      <w:r>
        <w:t xml:space="preserve">Schedule 1 item 10 of the </w:t>
      </w:r>
      <w:r w:rsidRPr="00DF6247">
        <w:rPr>
          <w:i/>
        </w:rPr>
        <w:t>National Health (COVID-19 Supply of Pharmaceutical Benefits) Amendment (Expansion of Telehealth and Telephone Attendances) Special Arrangement 2020</w:t>
      </w:r>
      <w:r>
        <w:t xml:space="preserve"> instructs to repeal section 11 and substitute sections 11, 12, 13, 14 and 15.</w:t>
      </w:r>
    </w:p>
    <w:p w:rsidR="0025131C" w:rsidRDefault="0025131C" w:rsidP="0025131C"/>
    <w:p w:rsidR="0025131C" w:rsidRDefault="0025131C" w:rsidP="0025131C">
      <w:r>
        <w:t xml:space="preserve">Schedule 1 item 12 of the </w:t>
      </w:r>
      <w:r w:rsidRPr="00E00C86">
        <w:rPr>
          <w:i/>
        </w:rPr>
        <w:t>National Health (COVID-19 Supply of Pharmaceutical Benefits) Amendment (Expansion of Telehealth and Telephone Attendances) Special Arrangement 2020</w:t>
      </w:r>
      <w:r>
        <w:t xml:space="preserve"> instructs to insert Part 3 at the end of the instrument. Part 3</w:t>
      </w:r>
      <w:r w:rsidRPr="003C73A0">
        <w:t xml:space="preserve"> contains section </w:t>
      </w:r>
      <w:r>
        <w:t>1</w:t>
      </w:r>
      <w:r w:rsidRPr="003C73A0">
        <w:t>3.</w:t>
      </w:r>
    </w:p>
    <w:p w:rsidR="0025131C" w:rsidRDefault="0025131C" w:rsidP="0025131C"/>
    <w:p w:rsidR="0025131C" w:rsidRDefault="0025131C" w:rsidP="0025131C">
      <w:r>
        <w:t>Section 13</w:t>
      </w:r>
      <w:r w:rsidRPr="006C0880">
        <w:t xml:space="preserve"> occurs twice.</w:t>
      </w:r>
    </w:p>
    <w:p w:rsidR="0025131C" w:rsidRDefault="0025131C" w:rsidP="0025131C"/>
    <w:p w:rsidR="0025131C" w:rsidRPr="004549F1" w:rsidRDefault="0025131C" w:rsidP="0025131C">
      <w:r w:rsidRPr="004F1DE8">
        <w:t xml:space="preserve">This compilation was editorially changed by renumbering the second occurring </w:t>
      </w:r>
      <w:r>
        <w:t>section 13 as section 17</w:t>
      </w:r>
      <w:r w:rsidRPr="004F1DE8">
        <w:t>.</w:t>
      </w:r>
    </w:p>
    <w:p w:rsidR="002A2296" w:rsidRDefault="002A2296" w:rsidP="002A2296">
      <w:pPr>
        <w:pStyle w:val="Head2"/>
        <w:keepLines/>
      </w:pPr>
      <w:r>
        <w:t>Health Insurance (Section 3C General Medical Services - COVID-19 Telehealth and Telephone Attendances) Determination 2020, Compilation No. 1,</w:t>
      </w:r>
      <w:r w:rsidRPr="003342C4">
        <w:t xml:space="preserve"> Registration Date:</w:t>
      </w:r>
      <w:r>
        <w:t xml:space="preserve"> 24 April 2020 [</w:t>
      </w:r>
      <w:r>
        <w:rPr>
          <w:bCs/>
        </w:rPr>
        <w:t>F2020C00331</w:t>
      </w:r>
      <w:r>
        <w:t>]</w:t>
      </w:r>
    </w:p>
    <w:p w:rsidR="002A2296" w:rsidRPr="00F2598C" w:rsidRDefault="002A2296" w:rsidP="002A2296"/>
    <w:p w:rsidR="002A2296" w:rsidRPr="004549F1" w:rsidRDefault="002A2296" w:rsidP="002A2296">
      <w:pPr>
        <w:rPr>
          <w:b/>
          <w:sz w:val="24"/>
          <w:szCs w:val="24"/>
        </w:rPr>
      </w:pPr>
      <w:r>
        <w:rPr>
          <w:b/>
          <w:sz w:val="24"/>
          <w:szCs w:val="24"/>
        </w:rPr>
        <w:t>Heading to clause 1.1.3A of Schedule 1</w:t>
      </w:r>
    </w:p>
    <w:p w:rsidR="002A2296" w:rsidRPr="00930BE1" w:rsidRDefault="002A2296" w:rsidP="002A2296"/>
    <w:p w:rsidR="002A2296" w:rsidRPr="004549F1" w:rsidRDefault="002A2296" w:rsidP="002A2296">
      <w:pPr>
        <w:rPr>
          <w:b/>
        </w:rPr>
      </w:pPr>
      <w:r w:rsidRPr="004549F1">
        <w:rPr>
          <w:b/>
        </w:rPr>
        <w:t>Kind of editorial change</w:t>
      </w:r>
    </w:p>
    <w:p w:rsidR="002A2296" w:rsidRPr="004549F1" w:rsidRDefault="002A2296" w:rsidP="002A2296"/>
    <w:p w:rsidR="002A2296" w:rsidRPr="00930BE1" w:rsidRDefault="002A2296" w:rsidP="002A2296">
      <w:r w:rsidRPr="0020515A">
        <w:t>Give effect to the misdescribed amendment as intended</w:t>
      </w:r>
    </w:p>
    <w:p w:rsidR="002A2296" w:rsidRPr="004549F1" w:rsidRDefault="002A2296" w:rsidP="002A2296"/>
    <w:p w:rsidR="002A2296" w:rsidRPr="004549F1" w:rsidRDefault="002A2296" w:rsidP="002A2296">
      <w:pPr>
        <w:rPr>
          <w:b/>
        </w:rPr>
      </w:pPr>
      <w:r w:rsidRPr="004549F1">
        <w:rPr>
          <w:b/>
        </w:rPr>
        <w:t>Details of editorial change</w:t>
      </w:r>
    </w:p>
    <w:p w:rsidR="002A2296" w:rsidRPr="004549F1" w:rsidRDefault="002A2296" w:rsidP="002A2296"/>
    <w:p w:rsidR="002A2296" w:rsidRDefault="002A2296" w:rsidP="002A2296">
      <w:r w:rsidRPr="0020515A">
        <w:t xml:space="preserve">Schedule 1 item </w:t>
      </w:r>
      <w:r>
        <w:t>8</w:t>
      </w:r>
      <w:r w:rsidRPr="0020515A">
        <w:t xml:space="preserve"> of the</w:t>
      </w:r>
      <w:r w:rsidRPr="00930BE1">
        <w:rPr>
          <w:szCs w:val="22"/>
        </w:rPr>
        <w:t xml:space="preserve"> </w:t>
      </w:r>
      <w:r w:rsidRPr="00930BE1">
        <w:rPr>
          <w:i/>
          <w:iCs/>
          <w:szCs w:val="22"/>
        </w:rPr>
        <w:t>Health Insurance (Section 3C General Medical Services – COVID-19 Telehealth and Telephone Attendances) Amendment Determination 2020</w:t>
      </w:r>
      <w:r w:rsidRPr="00930BE1">
        <w:rPr>
          <w:szCs w:val="22"/>
        </w:rPr>
        <w:t xml:space="preserve"> </w:t>
      </w:r>
      <w:r w:rsidRPr="0020515A">
        <w:t xml:space="preserve">instructs to </w:t>
      </w:r>
      <w:r>
        <w:t xml:space="preserve">omit </w:t>
      </w:r>
      <w:r w:rsidRPr="00EE19A2">
        <w:t>“92101, 92102, 92026 and 92027”</w:t>
      </w:r>
      <w:r>
        <w:t xml:space="preserve"> and </w:t>
      </w:r>
      <w:r w:rsidRPr="00EE19A2">
        <w:t>substitute “92026, 92027, 92057, 92058, 92070, 92071, 92101 and 92102”</w:t>
      </w:r>
      <w:r>
        <w:t xml:space="preserve"> from the heading to subclause 1.1.3A(1</w:t>
      </w:r>
      <w:r w:rsidRPr="0020515A">
        <w:t>)</w:t>
      </w:r>
      <w:r>
        <w:t xml:space="preserve"> of Schedule 1.</w:t>
      </w:r>
    </w:p>
    <w:p w:rsidR="002A2296" w:rsidRDefault="002A2296" w:rsidP="002A2296"/>
    <w:p w:rsidR="002A2296" w:rsidRPr="0020515A" w:rsidRDefault="002A2296" w:rsidP="002A2296">
      <w:r>
        <w:t>There is no heading for subclause 1.1.3A(1</w:t>
      </w:r>
      <w:r w:rsidRPr="0020515A">
        <w:t xml:space="preserve">) </w:t>
      </w:r>
      <w:r>
        <w:t>of Schedule 1</w:t>
      </w:r>
      <w:r w:rsidRPr="0020515A">
        <w:t xml:space="preserve">. However, </w:t>
      </w:r>
      <w:r>
        <w:t>there is a heading for clause 1.1.3A</w:t>
      </w:r>
      <w:r w:rsidRPr="0020515A">
        <w:t xml:space="preserve"> </w:t>
      </w:r>
      <w:r>
        <w:t>of Schedule 1</w:t>
      </w:r>
      <w:r w:rsidRPr="0020515A">
        <w:t>.</w:t>
      </w:r>
    </w:p>
    <w:p w:rsidR="002A2296" w:rsidRPr="0020515A" w:rsidRDefault="002A2296" w:rsidP="002A2296"/>
    <w:p w:rsidR="002A2296" w:rsidRDefault="002A2296" w:rsidP="002A2296">
      <w:r w:rsidRPr="0020515A">
        <w:t xml:space="preserve">This compilation was editorially changed to </w:t>
      </w:r>
      <w:r>
        <w:t xml:space="preserve">omit </w:t>
      </w:r>
      <w:r w:rsidRPr="00EE19A2">
        <w:t>“92101, 92102, 92026 and 92027”</w:t>
      </w:r>
      <w:r>
        <w:t xml:space="preserve"> and </w:t>
      </w:r>
      <w:r w:rsidRPr="00EE19A2">
        <w:t>substitute “92026, 92027, 92057, 92058, 92070, 92071, 92101 and 92102”</w:t>
      </w:r>
      <w:r>
        <w:t xml:space="preserve"> from the heading to clause 1.1.3A of Schedule 1</w:t>
      </w:r>
      <w:r w:rsidRPr="0020515A">
        <w:t xml:space="preserve"> to give effect to the misdescribed amendment as intended.</w:t>
      </w:r>
    </w:p>
    <w:p w:rsidR="002A2296" w:rsidRDefault="002A2296" w:rsidP="002A2296"/>
    <w:p w:rsidR="002A2296" w:rsidRDefault="002A2296" w:rsidP="002A2296"/>
    <w:p w:rsidR="002A2296" w:rsidRPr="00930BE1" w:rsidRDefault="002A2296" w:rsidP="006F1A7B">
      <w:pPr>
        <w:keepNext/>
        <w:keepLines/>
        <w:rPr>
          <w:b/>
          <w:sz w:val="24"/>
          <w:szCs w:val="24"/>
        </w:rPr>
      </w:pPr>
      <w:r w:rsidRPr="00930BE1">
        <w:rPr>
          <w:b/>
          <w:sz w:val="24"/>
          <w:szCs w:val="24"/>
        </w:rPr>
        <w:lastRenderedPageBreak/>
        <w:t>Schedule 1 (Group A40, Subgroup 13, item 92056, column 2)</w:t>
      </w:r>
    </w:p>
    <w:p w:rsidR="002A2296" w:rsidRPr="0019445D" w:rsidRDefault="002A2296" w:rsidP="002A2296"/>
    <w:p w:rsidR="002A2296" w:rsidRPr="00930BE1" w:rsidRDefault="002A2296" w:rsidP="002A2296">
      <w:pPr>
        <w:rPr>
          <w:b/>
        </w:rPr>
      </w:pPr>
      <w:r w:rsidRPr="00930BE1">
        <w:rPr>
          <w:b/>
        </w:rPr>
        <w:t>Kind of editorial change</w:t>
      </w:r>
    </w:p>
    <w:p w:rsidR="002A2296" w:rsidRPr="0019445D" w:rsidRDefault="002A2296" w:rsidP="002A2296"/>
    <w:p w:rsidR="002A2296" w:rsidRDefault="002A2296" w:rsidP="002A2296">
      <w:r w:rsidRPr="0020515A">
        <w:t>Give effect to the misdescribed amendment as intended</w:t>
      </w:r>
    </w:p>
    <w:p w:rsidR="002A2296" w:rsidRPr="0019445D" w:rsidRDefault="002A2296" w:rsidP="002A2296"/>
    <w:p w:rsidR="002A2296" w:rsidRPr="00930BE1" w:rsidRDefault="002A2296" w:rsidP="002A2296">
      <w:pPr>
        <w:rPr>
          <w:b/>
        </w:rPr>
      </w:pPr>
      <w:r w:rsidRPr="00930BE1">
        <w:rPr>
          <w:b/>
        </w:rPr>
        <w:t>Details of editorial change</w:t>
      </w:r>
    </w:p>
    <w:p w:rsidR="002A2296" w:rsidRPr="0019445D" w:rsidRDefault="002A2296" w:rsidP="002A2296"/>
    <w:p w:rsidR="002A2296" w:rsidRDefault="002A2296" w:rsidP="002A2296">
      <w:r w:rsidRPr="0019445D">
        <w:t>Schedule 1 item 2</w:t>
      </w:r>
      <w:r>
        <w:t>8</w:t>
      </w:r>
      <w:r w:rsidRPr="0019445D">
        <w:t xml:space="preserve"> of the </w:t>
      </w:r>
      <w:r w:rsidRPr="00DC0326">
        <w:rPr>
          <w:i/>
          <w:iCs/>
          <w:szCs w:val="22"/>
        </w:rPr>
        <w:t>Health Insurance (Section 3C General Medical Services – COVID-19 Telehealth and Telephone Attendances) Amendment Determination 2020</w:t>
      </w:r>
      <w:r w:rsidRPr="00DC0326">
        <w:rPr>
          <w:szCs w:val="22"/>
        </w:rPr>
        <w:t xml:space="preserve"> </w:t>
      </w:r>
      <w:r>
        <w:t>instructs</w:t>
      </w:r>
      <w:r w:rsidRPr="0019445D">
        <w:t xml:space="preserve"> to </w:t>
      </w:r>
      <w:r>
        <w:t>o</w:t>
      </w:r>
      <w:r w:rsidRPr="00FF6C9E">
        <w:t>mit “, items 92074 to 92078 or 92030 to 92034,”</w:t>
      </w:r>
      <w:r>
        <w:t xml:space="preserve"> from </w:t>
      </w:r>
      <w:r w:rsidRPr="00EE19A2">
        <w:t>column 2</w:t>
      </w:r>
      <w:r>
        <w:t xml:space="preserve">, item </w:t>
      </w:r>
      <w:r w:rsidRPr="00EE19A2">
        <w:t>92056</w:t>
      </w:r>
      <w:r>
        <w:t xml:space="preserve">, </w:t>
      </w:r>
      <w:r w:rsidRPr="00EE19A2">
        <w:t>Subgroup 13</w:t>
      </w:r>
      <w:r>
        <w:t xml:space="preserve">, </w:t>
      </w:r>
      <w:r w:rsidRPr="00EE19A2">
        <w:t>Group A40</w:t>
      </w:r>
      <w:r>
        <w:t xml:space="preserve"> of Schedule 1.</w:t>
      </w:r>
    </w:p>
    <w:p w:rsidR="002A2296" w:rsidRDefault="002A2296" w:rsidP="002A2296"/>
    <w:p w:rsidR="002A2296" w:rsidRDefault="002A2296" w:rsidP="002A2296">
      <w:r>
        <w:t>The words “</w:t>
      </w:r>
      <w:r w:rsidRPr="00FF6C9E">
        <w:t>, items 92074 to 92078 or 92030 to 92034,</w:t>
      </w:r>
      <w:r>
        <w:t xml:space="preserve">” do not appear in </w:t>
      </w:r>
      <w:r w:rsidRPr="00EE19A2">
        <w:t>column 2</w:t>
      </w:r>
      <w:r>
        <w:t xml:space="preserve">, item </w:t>
      </w:r>
      <w:r w:rsidRPr="00EE19A2">
        <w:t>92056</w:t>
      </w:r>
      <w:r>
        <w:t xml:space="preserve">, </w:t>
      </w:r>
      <w:r w:rsidRPr="00EE19A2">
        <w:t>Subgroup 13</w:t>
      </w:r>
      <w:r>
        <w:t xml:space="preserve">, </w:t>
      </w:r>
      <w:r w:rsidRPr="00EE19A2">
        <w:t>Group A40</w:t>
      </w:r>
      <w:r>
        <w:t xml:space="preserve"> of Schedule 1. However, the words “</w:t>
      </w:r>
      <w:r w:rsidRPr="00FF6C9E">
        <w:t>, items 92074 to 92078 or 92030 to 92034</w:t>
      </w:r>
      <w:r>
        <w:t>” do appear.</w:t>
      </w:r>
    </w:p>
    <w:p w:rsidR="002A2296" w:rsidRDefault="002A2296" w:rsidP="002A2296"/>
    <w:p w:rsidR="002A2296" w:rsidRDefault="002A2296" w:rsidP="002A2296">
      <w:r w:rsidRPr="0020515A">
        <w:t xml:space="preserve">This compilation was editorially changed to </w:t>
      </w:r>
      <w:r>
        <w:t>o</w:t>
      </w:r>
      <w:r w:rsidRPr="002C5DBB">
        <w:t>mit “, items 9207</w:t>
      </w:r>
      <w:r>
        <w:t xml:space="preserve">4 to 92078 or 92030 to 92034” from </w:t>
      </w:r>
      <w:r w:rsidRPr="00EE19A2">
        <w:t>column 2</w:t>
      </w:r>
      <w:r>
        <w:t xml:space="preserve">, item </w:t>
      </w:r>
      <w:r w:rsidRPr="00EE19A2">
        <w:t>92056</w:t>
      </w:r>
      <w:r>
        <w:t xml:space="preserve">, </w:t>
      </w:r>
      <w:r w:rsidRPr="00EE19A2">
        <w:t>Subgroup 13</w:t>
      </w:r>
      <w:r>
        <w:t xml:space="preserve">, </w:t>
      </w:r>
      <w:r w:rsidRPr="00EE19A2">
        <w:t>Group A40</w:t>
      </w:r>
      <w:r>
        <w:t xml:space="preserve"> of Schedule 1</w:t>
      </w:r>
      <w:r w:rsidRPr="0020515A">
        <w:t xml:space="preserve"> to give effect to the misdescribed amendment as intended.</w:t>
      </w:r>
    </w:p>
    <w:p w:rsidR="002A2296" w:rsidRDefault="002A2296" w:rsidP="002A2296"/>
    <w:p w:rsidR="002A2296" w:rsidRDefault="002A2296" w:rsidP="002A2296"/>
    <w:p w:rsidR="002A2296" w:rsidRPr="00930BE1" w:rsidRDefault="002A2296" w:rsidP="002A2296">
      <w:pPr>
        <w:rPr>
          <w:b/>
          <w:sz w:val="24"/>
          <w:szCs w:val="24"/>
        </w:rPr>
      </w:pPr>
      <w:r w:rsidRPr="00930BE1">
        <w:rPr>
          <w:b/>
          <w:sz w:val="24"/>
          <w:szCs w:val="24"/>
        </w:rPr>
        <w:t>Schedule 1 (Group A40, Subgroup 14, item 92102</w:t>
      </w:r>
      <w:r w:rsidRPr="00AA13E9">
        <w:rPr>
          <w:b/>
          <w:sz w:val="24"/>
          <w:szCs w:val="24"/>
        </w:rPr>
        <w:t>, column 2</w:t>
      </w:r>
      <w:r w:rsidRPr="00930BE1">
        <w:rPr>
          <w:b/>
          <w:sz w:val="24"/>
          <w:szCs w:val="24"/>
        </w:rPr>
        <w:t>)</w:t>
      </w:r>
    </w:p>
    <w:p w:rsidR="002A2296" w:rsidRPr="0019445D" w:rsidRDefault="002A2296" w:rsidP="002A2296"/>
    <w:p w:rsidR="002A2296" w:rsidRPr="00930BE1" w:rsidRDefault="002A2296" w:rsidP="002A2296">
      <w:pPr>
        <w:rPr>
          <w:b/>
        </w:rPr>
      </w:pPr>
      <w:r w:rsidRPr="00930BE1">
        <w:rPr>
          <w:b/>
        </w:rPr>
        <w:t>Kind of editorial change</w:t>
      </w:r>
    </w:p>
    <w:p w:rsidR="002A2296" w:rsidRPr="0019445D" w:rsidRDefault="002A2296" w:rsidP="002A2296"/>
    <w:p w:rsidR="002A2296" w:rsidRDefault="002A2296" w:rsidP="002A2296">
      <w:r w:rsidRPr="0020515A">
        <w:t>Give effect to the misdescribed amendment as intended</w:t>
      </w:r>
    </w:p>
    <w:p w:rsidR="002A2296" w:rsidRPr="0019445D" w:rsidRDefault="002A2296" w:rsidP="002A2296"/>
    <w:p w:rsidR="002A2296" w:rsidRPr="00930BE1" w:rsidRDefault="002A2296" w:rsidP="002A2296">
      <w:pPr>
        <w:rPr>
          <w:b/>
        </w:rPr>
      </w:pPr>
      <w:r w:rsidRPr="00930BE1">
        <w:rPr>
          <w:b/>
        </w:rPr>
        <w:t>Details of editorial change</w:t>
      </w:r>
    </w:p>
    <w:p w:rsidR="002A2296" w:rsidRPr="0019445D" w:rsidRDefault="002A2296" w:rsidP="002A2296"/>
    <w:p w:rsidR="002A2296" w:rsidRDefault="002A2296" w:rsidP="002A2296">
      <w:r w:rsidRPr="0019445D">
        <w:t xml:space="preserve">Schedule 1 item </w:t>
      </w:r>
      <w:r>
        <w:t>35</w:t>
      </w:r>
      <w:r w:rsidRPr="0019445D">
        <w:t xml:space="preserve"> of the </w:t>
      </w:r>
      <w:r w:rsidRPr="00DC0326">
        <w:rPr>
          <w:i/>
          <w:iCs/>
          <w:szCs w:val="22"/>
        </w:rPr>
        <w:t>Health Insurance (Section 3C General Medical Services – COVID-19 Telehealth and Telephone Attendances) Amendment Determination 2020</w:t>
      </w:r>
      <w:r w:rsidRPr="00DC0326">
        <w:rPr>
          <w:szCs w:val="22"/>
        </w:rPr>
        <w:t xml:space="preserve"> </w:t>
      </w:r>
      <w:r>
        <w:t>instructs</w:t>
      </w:r>
      <w:r w:rsidRPr="0019445D">
        <w:t xml:space="preserve"> to </w:t>
      </w:r>
      <w:r>
        <w:t>o</w:t>
      </w:r>
      <w:r w:rsidRPr="00560E86">
        <w:t>mit “, items 92074 to 92078 or 92030 to 92034,”</w:t>
      </w:r>
      <w:r>
        <w:t xml:space="preserve"> from </w:t>
      </w:r>
      <w:r w:rsidRPr="00EE19A2">
        <w:t>column 2</w:t>
      </w:r>
      <w:r>
        <w:t xml:space="preserve">, item </w:t>
      </w:r>
      <w:r w:rsidRPr="00EE19A2">
        <w:t>92</w:t>
      </w:r>
      <w:r>
        <w:t>1</w:t>
      </w:r>
      <w:r w:rsidRPr="00EE19A2">
        <w:t>0</w:t>
      </w:r>
      <w:r>
        <w:t xml:space="preserve">2, </w:t>
      </w:r>
      <w:r w:rsidRPr="00EE19A2">
        <w:t>Subgroup 1</w:t>
      </w:r>
      <w:r>
        <w:t xml:space="preserve">4, </w:t>
      </w:r>
      <w:r w:rsidRPr="00EE19A2">
        <w:t>Group A40</w:t>
      </w:r>
      <w:r>
        <w:t xml:space="preserve"> of Schedule 1.</w:t>
      </w:r>
    </w:p>
    <w:p w:rsidR="002A2296" w:rsidRDefault="002A2296" w:rsidP="002A2296"/>
    <w:p w:rsidR="002A2296" w:rsidRDefault="002A2296" w:rsidP="002A2296">
      <w:r>
        <w:t xml:space="preserve">The words </w:t>
      </w:r>
      <w:r w:rsidRPr="00EE19A2">
        <w:t>“, items 92074 to 92078 or 92030 to 92034,”</w:t>
      </w:r>
      <w:r>
        <w:t xml:space="preserve"> do not appear in </w:t>
      </w:r>
      <w:r w:rsidRPr="00EE19A2">
        <w:t>column 2</w:t>
      </w:r>
      <w:r>
        <w:t xml:space="preserve">, item </w:t>
      </w:r>
      <w:r w:rsidRPr="00EE19A2">
        <w:t>92</w:t>
      </w:r>
      <w:r>
        <w:t>1</w:t>
      </w:r>
      <w:r w:rsidRPr="00EE19A2">
        <w:t>0</w:t>
      </w:r>
      <w:r>
        <w:t xml:space="preserve">2, </w:t>
      </w:r>
      <w:r w:rsidRPr="00EE19A2">
        <w:t>Subgroup 1</w:t>
      </w:r>
      <w:r>
        <w:t xml:space="preserve">4, </w:t>
      </w:r>
      <w:r w:rsidRPr="00EE19A2">
        <w:t>Group A40</w:t>
      </w:r>
      <w:r>
        <w:t xml:space="preserve"> of Schedule 1. However, the words </w:t>
      </w:r>
      <w:r w:rsidRPr="00EE19A2">
        <w:t>“, items 9</w:t>
      </w:r>
      <w:r>
        <w:t>2074 to 92078 or 92030 to 92034</w:t>
      </w:r>
      <w:r w:rsidRPr="00EE19A2">
        <w:t>”</w:t>
      </w:r>
      <w:r>
        <w:t xml:space="preserve"> do appear.</w:t>
      </w:r>
    </w:p>
    <w:p w:rsidR="002A2296" w:rsidRDefault="002A2296" w:rsidP="002A2296"/>
    <w:p w:rsidR="002A2296" w:rsidRDefault="002A2296" w:rsidP="002A2296">
      <w:r w:rsidRPr="0020515A">
        <w:t xml:space="preserve">This compilation was editorially changed to </w:t>
      </w:r>
      <w:r>
        <w:t>o</w:t>
      </w:r>
      <w:r w:rsidRPr="002C5DBB">
        <w:t xml:space="preserve">mit </w:t>
      </w:r>
      <w:r w:rsidRPr="00EE19A2">
        <w:t>“, items 9</w:t>
      </w:r>
      <w:r>
        <w:t>2074 to 92078 or 92030 to 92034</w:t>
      </w:r>
      <w:r w:rsidRPr="00EE19A2">
        <w:t>”</w:t>
      </w:r>
      <w:r>
        <w:t xml:space="preserve"> from </w:t>
      </w:r>
      <w:r w:rsidRPr="00EE19A2">
        <w:t>column 2</w:t>
      </w:r>
      <w:r>
        <w:t xml:space="preserve">, item </w:t>
      </w:r>
      <w:r w:rsidRPr="00EE19A2">
        <w:t>92</w:t>
      </w:r>
      <w:r>
        <w:t>1</w:t>
      </w:r>
      <w:r w:rsidRPr="00EE19A2">
        <w:t>0</w:t>
      </w:r>
      <w:r>
        <w:t xml:space="preserve">2, </w:t>
      </w:r>
      <w:r w:rsidRPr="00EE19A2">
        <w:t>Subgroup 1</w:t>
      </w:r>
      <w:r>
        <w:t xml:space="preserve">4, </w:t>
      </w:r>
      <w:r w:rsidRPr="00EE19A2">
        <w:t>Group A40</w:t>
      </w:r>
      <w:r>
        <w:t xml:space="preserve"> of Schedule 1</w:t>
      </w:r>
      <w:r w:rsidRPr="0020515A">
        <w:t xml:space="preserve"> to give effect to the misdescribed amendment as intended.</w:t>
      </w:r>
    </w:p>
    <w:p w:rsidR="00460DED" w:rsidRDefault="00460DED" w:rsidP="00354C97">
      <w:pPr>
        <w:pStyle w:val="Head2"/>
        <w:keepLines/>
      </w:pPr>
      <w:r w:rsidRPr="00943623">
        <w:t>National Redress Scheme for Institutional Child Sexual Abuse Declaration</w:t>
      </w:r>
      <w:r>
        <w:t> </w:t>
      </w:r>
      <w:r w:rsidRPr="00943623">
        <w:t>2018</w:t>
      </w:r>
      <w:r>
        <w:t>, Compilation No. 27,</w:t>
      </w:r>
      <w:r w:rsidRPr="003342C4">
        <w:t xml:space="preserve"> Registration Date:</w:t>
      </w:r>
      <w:r>
        <w:t xml:space="preserve"> 24 April 2020 [</w:t>
      </w:r>
      <w:r>
        <w:rPr>
          <w:bCs/>
        </w:rPr>
        <w:t>F2020C00332</w:t>
      </w:r>
      <w:r>
        <w:t>]</w:t>
      </w:r>
    </w:p>
    <w:p w:rsidR="00460DED" w:rsidRPr="00943623" w:rsidRDefault="00460DED" w:rsidP="00354C97">
      <w:pPr>
        <w:keepNext/>
        <w:keepLines/>
      </w:pPr>
    </w:p>
    <w:p w:rsidR="00460DED" w:rsidRPr="00943623" w:rsidRDefault="00460DED" w:rsidP="00460DED">
      <w:pPr>
        <w:rPr>
          <w:b/>
          <w:sz w:val="24"/>
          <w:szCs w:val="24"/>
        </w:rPr>
      </w:pPr>
      <w:r>
        <w:rPr>
          <w:b/>
          <w:sz w:val="24"/>
          <w:szCs w:val="24"/>
        </w:rPr>
        <w:t>Subs</w:t>
      </w:r>
      <w:r w:rsidRPr="00943623">
        <w:rPr>
          <w:b/>
          <w:sz w:val="24"/>
          <w:szCs w:val="24"/>
        </w:rPr>
        <w:t>ection</w:t>
      </w:r>
      <w:r>
        <w:rPr>
          <w:b/>
          <w:sz w:val="24"/>
          <w:szCs w:val="24"/>
        </w:rPr>
        <w:t> </w:t>
      </w:r>
      <w:r w:rsidRPr="00943623">
        <w:rPr>
          <w:b/>
          <w:sz w:val="24"/>
          <w:szCs w:val="24"/>
        </w:rPr>
        <w:t>15</w:t>
      </w:r>
      <w:r>
        <w:rPr>
          <w:b/>
          <w:sz w:val="24"/>
          <w:szCs w:val="24"/>
        </w:rPr>
        <w:t>(1)</w:t>
      </w:r>
      <w:r w:rsidRPr="00943623">
        <w:rPr>
          <w:b/>
          <w:sz w:val="24"/>
          <w:szCs w:val="24"/>
        </w:rPr>
        <w:t xml:space="preserve"> (table item</w:t>
      </w:r>
      <w:r>
        <w:rPr>
          <w:b/>
          <w:sz w:val="24"/>
          <w:szCs w:val="24"/>
        </w:rPr>
        <w:t> 78, column 1</w:t>
      </w:r>
      <w:r w:rsidRPr="00943623">
        <w:rPr>
          <w:b/>
          <w:sz w:val="24"/>
          <w:szCs w:val="24"/>
        </w:rPr>
        <w:t>)</w:t>
      </w:r>
    </w:p>
    <w:p w:rsidR="00460DED" w:rsidRPr="00943623" w:rsidRDefault="00460DED" w:rsidP="00460DED"/>
    <w:p w:rsidR="00460DED" w:rsidRPr="00943623" w:rsidRDefault="00460DED" w:rsidP="00460DED">
      <w:pPr>
        <w:rPr>
          <w:b/>
        </w:rPr>
      </w:pPr>
      <w:r w:rsidRPr="00943623">
        <w:rPr>
          <w:b/>
        </w:rPr>
        <w:t>Kind of editorial change</w:t>
      </w:r>
    </w:p>
    <w:p w:rsidR="00460DED" w:rsidRPr="00943623" w:rsidRDefault="00460DED" w:rsidP="00460DED"/>
    <w:p w:rsidR="00460DED" w:rsidRPr="00943623" w:rsidRDefault="00460DED" w:rsidP="00460DED">
      <w:r w:rsidRPr="00943623">
        <w:t>Give effect to the misdescribed amendment as intended</w:t>
      </w:r>
    </w:p>
    <w:p w:rsidR="00460DED" w:rsidRPr="00943623" w:rsidRDefault="00460DED" w:rsidP="00460DED"/>
    <w:p w:rsidR="00460DED" w:rsidRPr="00943623" w:rsidRDefault="00460DED" w:rsidP="00460DED">
      <w:pPr>
        <w:rPr>
          <w:b/>
        </w:rPr>
      </w:pPr>
      <w:r w:rsidRPr="00943623">
        <w:rPr>
          <w:b/>
        </w:rPr>
        <w:t>Details of editorial change</w:t>
      </w:r>
    </w:p>
    <w:p w:rsidR="00460DED" w:rsidRPr="00943623" w:rsidRDefault="00460DED" w:rsidP="00460DED"/>
    <w:p w:rsidR="00460DED" w:rsidRPr="00943623" w:rsidRDefault="00460DED" w:rsidP="00460DED">
      <w:r w:rsidRPr="00943623">
        <w:t>Schedule</w:t>
      </w:r>
      <w:r>
        <w:t> </w:t>
      </w:r>
      <w:r w:rsidRPr="00943623">
        <w:t>1 item</w:t>
      </w:r>
      <w:r>
        <w:t> 4</w:t>
      </w:r>
      <w:r w:rsidRPr="00943623">
        <w:t xml:space="preserve"> of the </w:t>
      </w:r>
      <w:r>
        <w:rPr>
          <w:i/>
        </w:rPr>
        <w:t>National Redress Scheme for Institutional Child Sexual Abuse Amendment (2020 Measures No. 5) Declaration 2020</w:t>
      </w:r>
      <w:r w:rsidRPr="00943623">
        <w:t xml:space="preserve"> instructs to omit the words “</w:t>
      </w:r>
      <w:r w:rsidRPr="00DA4892">
        <w:t>paragraph (a)-(n) of</w:t>
      </w:r>
      <w:r w:rsidRPr="00943623">
        <w:t>” from column 1 of table item</w:t>
      </w:r>
      <w:r>
        <w:t> </w:t>
      </w:r>
      <w:r w:rsidRPr="00943623">
        <w:t>7</w:t>
      </w:r>
      <w:r>
        <w:t>8</w:t>
      </w:r>
      <w:r w:rsidRPr="00943623">
        <w:t xml:space="preserve"> of </w:t>
      </w:r>
      <w:r>
        <w:t>sub</w:t>
      </w:r>
      <w:r w:rsidRPr="00943623">
        <w:t>section</w:t>
      </w:r>
      <w:r>
        <w:t> </w:t>
      </w:r>
      <w:r w:rsidRPr="00943623">
        <w:t>15</w:t>
      </w:r>
      <w:r>
        <w:t>(1)</w:t>
      </w:r>
      <w:r w:rsidRPr="00943623">
        <w:t>.</w:t>
      </w:r>
    </w:p>
    <w:p w:rsidR="00460DED" w:rsidRPr="00943623" w:rsidRDefault="00460DED" w:rsidP="00460DED"/>
    <w:p w:rsidR="00460DED" w:rsidRPr="00943623" w:rsidRDefault="00460DED" w:rsidP="00460DED">
      <w:r w:rsidRPr="00943623">
        <w:t>The words “</w:t>
      </w:r>
      <w:r w:rsidRPr="00DA4892">
        <w:t>paragraph (a)-(n) of</w:t>
      </w:r>
      <w:r w:rsidRPr="00943623">
        <w:t>” do not appear in column 1 of table item</w:t>
      </w:r>
      <w:r>
        <w:t> </w:t>
      </w:r>
      <w:r w:rsidRPr="00943623">
        <w:t>7</w:t>
      </w:r>
      <w:r>
        <w:t>8</w:t>
      </w:r>
      <w:r w:rsidRPr="00943623">
        <w:t xml:space="preserve"> of </w:t>
      </w:r>
      <w:r>
        <w:t>sub</w:t>
      </w:r>
      <w:r w:rsidRPr="00943623">
        <w:t>section</w:t>
      </w:r>
      <w:r>
        <w:t> </w:t>
      </w:r>
      <w:r w:rsidRPr="00943623">
        <w:t>15</w:t>
      </w:r>
      <w:r>
        <w:t>(1)</w:t>
      </w:r>
      <w:r w:rsidRPr="00943623">
        <w:t>. However, the words “</w:t>
      </w:r>
      <w:r w:rsidRPr="0074032D">
        <w:t>paragraphs (a) to (n) of</w:t>
      </w:r>
      <w:r w:rsidRPr="00943623">
        <w:t>” do appear.</w:t>
      </w:r>
    </w:p>
    <w:p w:rsidR="00460DED" w:rsidRPr="00943623" w:rsidRDefault="00460DED" w:rsidP="00460DED"/>
    <w:p w:rsidR="00460DED" w:rsidRPr="00943623" w:rsidRDefault="00460DED" w:rsidP="00460DED">
      <w:r w:rsidRPr="00943623">
        <w:t>This compilation was editorially changed to omit the words “</w:t>
      </w:r>
      <w:r w:rsidRPr="0074032D">
        <w:t>paragraphs (a) to (n) of</w:t>
      </w:r>
      <w:r w:rsidRPr="00943623">
        <w:t>” from column 1 of table item</w:t>
      </w:r>
      <w:r>
        <w:t> </w:t>
      </w:r>
      <w:r w:rsidRPr="00943623">
        <w:t>7</w:t>
      </w:r>
      <w:r>
        <w:t>8</w:t>
      </w:r>
      <w:r w:rsidRPr="00943623">
        <w:t xml:space="preserve"> of </w:t>
      </w:r>
      <w:r>
        <w:t>sub</w:t>
      </w:r>
      <w:r w:rsidRPr="00943623">
        <w:t>section</w:t>
      </w:r>
      <w:r>
        <w:t> </w:t>
      </w:r>
      <w:r w:rsidRPr="00943623">
        <w:t>15</w:t>
      </w:r>
      <w:r>
        <w:t>(1)</w:t>
      </w:r>
      <w:r w:rsidRPr="00943623">
        <w:t xml:space="preserve"> to give effect to the misdescribed amendment as intended.</w:t>
      </w:r>
    </w:p>
    <w:p w:rsidR="00791EC9" w:rsidRDefault="00791EC9" w:rsidP="00791EC9">
      <w:pPr>
        <w:pStyle w:val="Head2"/>
        <w:keepLines/>
      </w:pPr>
      <w:r w:rsidRPr="007B486D">
        <w:t>Income Tax (Transitional Provisions) Act 1997</w:t>
      </w:r>
      <w:r>
        <w:t>, Compilation No. 88,</w:t>
      </w:r>
      <w:r w:rsidRPr="003342C4">
        <w:t xml:space="preserve"> Registration Date:</w:t>
      </w:r>
      <w:r>
        <w:t xml:space="preserve"> 22 April 2020 [</w:t>
      </w:r>
      <w:r>
        <w:rPr>
          <w:bCs/>
        </w:rPr>
        <w:t>C2020C00138</w:t>
      </w:r>
      <w:r>
        <w:t>]</w:t>
      </w:r>
    </w:p>
    <w:p w:rsidR="00791EC9" w:rsidRPr="007B486D" w:rsidRDefault="00791EC9" w:rsidP="00791EC9"/>
    <w:p w:rsidR="00791EC9" w:rsidRPr="007B486D" w:rsidRDefault="00791EC9" w:rsidP="00791EC9">
      <w:pPr>
        <w:rPr>
          <w:b/>
          <w:sz w:val="24"/>
          <w:szCs w:val="24"/>
        </w:rPr>
      </w:pPr>
      <w:r w:rsidRPr="007B486D">
        <w:rPr>
          <w:b/>
          <w:sz w:val="24"/>
          <w:szCs w:val="24"/>
        </w:rPr>
        <w:t>Heading to Subdivision</w:t>
      </w:r>
      <w:r>
        <w:rPr>
          <w:b/>
          <w:sz w:val="24"/>
          <w:szCs w:val="24"/>
        </w:rPr>
        <w:t> </w:t>
      </w:r>
      <w:r w:rsidRPr="007B486D">
        <w:rPr>
          <w:b/>
          <w:sz w:val="24"/>
          <w:szCs w:val="24"/>
        </w:rPr>
        <w:t>40</w:t>
      </w:r>
      <w:r>
        <w:rPr>
          <w:b/>
          <w:sz w:val="24"/>
          <w:szCs w:val="24"/>
        </w:rPr>
        <w:noBreakHyphen/>
      </w:r>
      <w:r w:rsidRPr="007B486D">
        <w:rPr>
          <w:b/>
          <w:sz w:val="24"/>
          <w:szCs w:val="24"/>
        </w:rPr>
        <w:t>BA</w:t>
      </w:r>
    </w:p>
    <w:p w:rsidR="00791EC9" w:rsidRPr="007B486D" w:rsidRDefault="00791EC9" w:rsidP="00791EC9"/>
    <w:p w:rsidR="00791EC9" w:rsidRPr="007B486D" w:rsidRDefault="00791EC9" w:rsidP="00791EC9">
      <w:pPr>
        <w:rPr>
          <w:b/>
        </w:rPr>
      </w:pPr>
      <w:r w:rsidRPr="007B486D">
        <w:rPr>
          <w:b/>
        </w:rPr>
        <w:t>Kind of editorial change</w:t>
      </w:r>
    </w:p>
    <w:p w:rsidR="00791EC9" w:rsidRPr="007B486D" w:rsidRDefault="00791EC9" w:rsidP="00791EC9"/>
    <w:p w:rsidR="00791EC9" w:rsidRPr="007B486D" w:rsidRDefault="00791EC9" w:rsidP="00791EC9">
      <w:pPr>
        <w:rPr>
          <w:szCs w:val="22"/>
        </w:rPr>
      </w:pPr>
      <w:r w:rsidRPr="007B486D">
        <w:rPr>
          <w:szCs w:val="22"/>
        </w:rPr>
        <w:t>Update to a reference of a law or a provision</w:t>
      </w:r>
    </w:p>
    <w:p w:rsidR="00791EC9" w:rsidRPr="007B486D" w:rsidRDefault="00791EC9" w:rsidP="00791EC9">
      <w:pPr>
        <w:rPr>
          <w:szCs w:val="22"/>
        </w:rPr>
      </w:pPr>
    </w:p>
    <w:p w:rsidR="00791EC9" w:rsidRPr="007B486D" w:rsidRDefault="00791EC9" w:rsidP="00791EC9">
      <w:pPr>
        <w:rPr>
          <w:b/>
        </w:rPr>
      </w:pPr>
      <w:r w:rsidRPr="007B486D">
        <w:rPr>
          <w:b/>
        </w:rPr>
        <w:t>Details of editorial change</w:t>
      </w:r>
    </w:p>
    <w:p w:rsidR="00791EC9" w:rsidRPr="007B486D" w:rsidRDefault="00791EC9" w:rsidP="00791EC9"/>
    <w:p w:rsidR="00791EC9" w:rsidRPr="007B486D" w:rsidRDefault="00791EC9" w:rsidP="00791EC9">
      <w:r w:rsidRPr="007B486D">
        <w:t>Schedule</w:t>
      </w:r>
      <w:r>
        <w:t> </w:t>
      </w:r>
      <w:r w:rsidRPr="007B486D">
        <w:t>2 item</w:t>
      </w:r>
      <w:r>
        <w:t> </w:t>
      </w:r>
      <w:r w:rsidRPr="007B486D">
        <w:t xml:space="preserve">7 of the </w:t>
      </w:r>
      <w:r w:rsidRPr="007B486D">
        <w:rPr>
          <w:i/>
        </w:rPr>
        <w:t>Coronavirus Economic Response Package Omnibus Act 2020</w:t>
      </w:r>
      <w:r w:rsidRPr="007B486D">
        <w:t xml:space="preserve"> instructs to insert Subdivision</w:t>
      </w:r>
      <w:r>
        <w:t> </w:t>
      </w:r>
      <w:r w:rsidRPr="007B486D">
        <w:t>40</w:t>
      </w:r>
      <w:r>
        <w:noBreakHyphen/>
      </w:r>
      <w:r w:rsidRPr="007B486D">
        <w:t>BA after Subdivision</w:t>
      </w:r>
      <w:r>
        <w:t> </w:t>
      </w:r>
      <w:r w:rsidRPr="007B486D">
        <w:t>40</w:t>
      </w:r>
      <w:r>
        <w:noBreakHyphen/>
      </w:r>
      <w:r w:rsidRPr="007B486D">
        <w:t>B.</w:t>
      </w:r>
    </w:p>
    <w:p w:rsidR="00791EC9" w:rsidRPr="007B486D" w:rsidRDefault="00791EC9" w:rsidP="00791EC9"/>
    <w:p w:rsidR="00791EC9" w:rsidRPr="007B486D" w:rsidRDefault="00791EC9" w:rsidP="00791EC9">
      <w:r w:rsidRPr="007B486D">
        <w:t>The newly inserted heading for Subdivision</w:t>
      </w:r>
      <w:r>
        <w:t> </w:t>
      </w:r>
      <w:r w:rsidRPr="007B486D">
        <w:t>40</w:t>
      </w:r>
      <w:r>
        <w:noBreakHyphen/>
      </w:r>
      <w:r w:rsidRPr="007B486D">
        <w:t>BA appears as follows:</w:t>
      </w:r>
    </w:p>
    <w:p w:rsidR="00791EC9" w:rsidRPr="007B486D" w:rsidRDefault="00791EC9" w:rsidP="00791EC9"/>
    <w:p w:rsidR="00791EC9" w:rsidRPr="007B486D" w:rsidRDefault="00791EC9" w:rsidP="00791EC9">
      <w:pPr>
        <w:pStyle w:val="Specialsd"/>
      </w:pPr>
      <w:r w:rsidRPr="007B486D">
        <w:t>40</w:t>
      </w:r>
      <w:r w:rsidRPr="007B486D">
        <w:noBreakHyphen/>
        <w:t>BA—Backing business investment</w:t>
      </w:r>
    </w:p>
    <w:p w:rsidR="00791EC9" w:rsidRPr="007B486D" w:rsidRDefault="00791EC9" w:rsidP="00791EC9"/>
    <w:p w:rsidR="00791EC9" w:rsidRPr="007B486D" w:rsidRDefault="00791EC9" w:rsidP="00791EC9">
      <w:r w:rsidRPr="007B486D">
        <w:t>This compilation was editorially changed to insert the word “</w:t>
      </w:r>
      <w:r w:rsidRPr="007B486D">
        <w:rPr>
          <w:b/>
        </w:rPr>
        <w:t>Subdivision</w:t>
      </w:r>
      <w:r w:rsidRPr="007B486D">
        <w:t>” before “</w:t>
      </w:r>
      <w:r w:rsidRPr="007B486D">
        <w:rPr>
          <w:b/>
        </w:rPr>
        <w:t>40</w:t>
      </w:r>
      <w:r>
        <w:rPr>
          <w:b/>
        </w:rPr>
        <w:noBreakHyphen/>
      </w:r>
      <w:r w:rsidRPr="007B486D">
        <w:rPr>
          <w:b/>
        </w:rPr>
        <w:t>BA</w:t>
      </w:r>
      <w:r w:rsidRPr="007B486D">
        <w:t>” to bring it into line with legislative drafting practice.</w:t>
      </w:r>
    </w:p>
    <w:p w:rsidR="00235232" w:rsidRDefault="00235232" w:rsidP="00450F7F">
      <w:pPr>
        <w:pStyle w:val="Head2"/>
        <w:keepNext w:val="0"/>
      </w:pPr>
      <w:r w:rsidRPr="002A58D9">
        <w:t>Retirement Savings Accounts Regulations</w:t>
      </w:r>
      <w:r>
        <w:t> </w:t>
      </w:r>
      <w:r w:rsidRPr="002A58D9">
        <w:t>1997</w:t>
      </w:r>
      <w:r>
        <w:t>, Compilation No. 61,</w:t>
      </w:r>
      <w:r w:rsidRPr="003342C4">
        <w:t xml:space="preserve"> Registration Date:</w:t>
      </w:r>
      <w:r>
        <w:t xml:space="preserve"> 21 April 2020 [</w:t>
      </w:r>
      <w:r>
        <w:rPr>
          <w:bCs/>
        </w:rPr>
        <w:t>F2020C00312</w:t>
      </w:r>
      <w:r>
        <w:t>]</w:t>
      </w:r>
    </w:p>
    <w:p w:rsidR="00235232" w:rsidRPr="002A58D9" w:rsidRDefault="00235232" w:rsidP="00450F7F"/>
    <w:p w:rsidR="00235232" w:rsidRPr="002A58D9" w:rsidRDefault="00235232" w:rsidP="00450F7F">
      <w:pPr>
        <w:rPr>
          <w:b/>
          <w:sz w:val="24"/>
          <w:szCs w:val="24"/>
        </w:rPr>
      </w:pPr>
      <w:r w:rsidRPr="002A58D9">
        <w:rPr>
          <w:b/>
          <w:sz w:val="24"/>
          <w:szCs w:val="24"/>
        </w:rPr>
        <w:t>Regulation</w:t>
      </w:r>
      <w:r>
        <w:rPr>
          <w:b/>
          <w:sz w:val="24"/>
          <w:szCs w:val="24"/>
        </w:rPr>
        <w:t> </w:t>
      </w:r>
      <w:r w:rsidRPr="002A58D9">
        <w:rPr>
          <w:b/>
          <w:sz w:val="24"/>
          <w:szCs w:val="24"/>
        </w:rPr>
        <w:t>4.19</w:t>
      </w:r>
    </w:p>
    <w:p w:rsidR="00235232" w:rsidRPr="002A58D9" w:rsidRDefault="00235232" w:rsidP="00450F7F"/>
    <w:p w:rsidR="00235232" w:rsidRPr="002A58D9" w:rsidRDefault="00235232" w:rsidP="00450F7F">
      <w:pPr>
        <w:rPr>
          <w:b/>
        </w:rPr>
      </w:pPr>
      <w:r w:rsidRPr="002A58D9">
        <w:rPr>
          <w:b/>
        </w:rPr>
        <w:t>Kind of editorial change</w:t>
      </w:r>
    </w:p>
    <w:p w:rsidR="00235232" w:rsidRPr="002A58D9" w:rsidRDefault="00235232" w:rsidP="00450F7F"/>
    <w:p w:rsidR="00235232" w:rsidRPr="002A58D9" w:rsidRDefault="00235232" w:rsidP="00450F7F">
      <w:r w:rsidRPr="002A58D9">
        <w:t>Changes to grammar, syntax or the use of conjunctives or disjunctives</w:t>
      </w:r>
    </w:p>
    <w:p w:rsidR="00235232" w:rsidRPr="002A58D9" w:rsidRDefault="00235232" w:rsidP="00450F7F"/>
    <w:p w:rsidR="00235232" w:rsidRPr="002A58D9" w:rsidRDefault="00235232" w:rsidP="00235232">
      <w:pPr>
        <w:rPr>
          <w:b/>
        </w:rPr>
      </w:pPr>
      <w:r w:rsidRPr="002A58D9">
        <w:rPr>
          <w:b/>
        </w:rPr>
        <w:t>Details of editorial change</w:t>
      </w:r>
    </w:p>
    <w:p w:rsidR="00235232" w:rsidRPr="002A58D9" w:rsidRDefault="00235232" w:rsidP="00235232"/>
    <w:p w:rsidR="00235232" w:rsidRPr="002A58D9" w:rsidRDefault="00235232" w:rsidP="00235232">
      <w:pPr>
        <w:rPr>
          <w:szCs w:val="22"/>
        </w:rPr>
      </w:pPr>
      <w:r w:rsidRPr="002A58D9">
        <w:rPr>
          <w:szCs w:val="22"/>
        </w:rPr>
        <w:t>Schedule</w:t>
      </w:r>
      <w:r>
        <w:rPr>
          <w:szCs w:val="22"/>
        </w:rPr>
        <w:t> </w:t>
      </w:r>
      <w:r w:rsidRPr="002A58D9">
        <w:rPr>
          <w:szCs w:val="22"/>
        </w:rPr>
        <w:t>13 item</w:t>
      </w:r>
      <w:r>
        <w:rPr>
          <w:szCs w:val="22"/>
        </w:rPr>
        <w:t> </w:t>
      </w:r>
      <w:r w:rsidRPr="002A58D9">
        <w:rPr>
          <w:szCs w:val="22"/>
        </w:rPr>
        <w:t xml:space="preserve">3 of the </w:t>
      </w:r>
      <w:r w:rsidRPr="002A58D9">
        <w:rPr>
          <w:i/>
        </w:rPr>
        <w:t>Coronavirus Economic Response Package Omnibus Act 2020</w:t>
      </w:r>
      <w:r w:rsidRPr="002A58D9">
        <w:rPr>
          <w:szCs w:val="22"/>
        </w:rPr>
        <w:t xml:space="preserve"> instructs to o</w:t>
      </w:r>
      <w:r w:rsidRPr="002A58D9">
        <w:t>mit “standard set out in regulation</w:t>
      </w:r>
      <w:r>
        <w:t> </w:t>
      </w:r>
      <w:r w:rsidRPr="002A58D9">
        <w:t>4.20 is” and substitute “standards set out regulations</w:t>
      </w:r>
      <w:r>
        <w:t> </w:t>
      </w:r>
      <w:r w:rsidRPr="002A58D9">
        <w:t>4.20 and 4.20B are” in regulation</w:t>
      </w:r>
      <w:r>
        <w:t> </w:t>
      </w:r>
      <w:r w:rsidRPr="002A58D9">
        <w:t>4.19.</w:t>
      </w:r>
    </w:p>
    <w:p w:rsidR="00235232" w:rsidRPr="002A58D9" w:rsidRDefault="00235232" w:rsidP="00235232">
      <w:pPr>
        <w:rPr>
          <w:szCs w:val="22"/>
        </w:rPr>
      </w:pPr>
    </w:p>
    <w:p w:rsidR="00235232" w:rsidRPr="002A58D9" w:rsidRDefault="00235232" w:rsidP="00235232">
      <w:pPr>
        <w:rPr>
          <w:szCs w:val="22"/>
        </w:rPr>
      </w:pPr>
      <w:r w:rsidRPr="002A58D9">
        <w:rPr>
          <w:szCs w:val="22"/>
        </w:rPr>
        <w:t>This compilation was editorially changed to insert “in” after “out” in regulation</w:t>
      </w:r>
      <w:r>
        <w:rPr>
          <w:szCs w:val="22"/>
        </w:rPr>
        <w:t> </w:t>
      </w:r>
      <w:r w:rsidRPr="002A58D9">
        <w:rPr>
          <w:szCs w:val="22"/>
        </w:rPr>
        <w:t>4.19 to correct the grammatical error.</w:t>
      </w:r>
    </w:p>
    <w:p w:rsidR="00EE7B6D" w:rsidRDefault="00EE7B6D" w:rsidP="00EE7B6D">
      <w:pPr>
        <w:pStyle w:val="Head2"/>
        <w:keepLines/>
      </w:pPr>
      <w:r w:rsidRPr="00490F19">
        <w:lastRenderedPageBreak/>
        <w:t>Telecommunications (Low</w:t>
      </w:r>
      <w:r>
        <w:noBreakHyphen/>
      </w:r>
      <w:r w:rsidRPr="00490F19">
        <w:t>impact Facilities) Determination</w:t>
      </w:r>
      <w:r>
        <w:t> </w:t>
      </w:r>
      <w:r w:rsidRPr="00490F19">
        <w:t>2018</w:t>
      </w:r>
      <w:r>
        <w:t>, Compilation No. 2,</w:t>
      </w:r>
      <w:r w:rsidRPr="003342C4">
        <w:t xml:space="preserve"> Registration Date:</w:t>
      </w:r>
      <w:r>
        <w:t xml:space="preserve"> 20 April 2020 [</w:t>
      </w:r>
      <w:r>
        <w:rPr>
          <w:bCs/>
        </w:rPr>
        <w:t>F2020C00305</w:t>
      </w:r>
      <w:r>
        <w:t>]</w:t>
      </w:r>
    </w:p>
    <w:p w:rsidR="00EE7B6D" w:rsidRPr="00490F19" w:rsidRDefault="00EE7B6D" w:rsidP="00EE7B6D"/>
    <w:p w:rsidR="00EE7B6D" w:rsidRPr="00490F19" w:rsidRDefault="00EE7B6D" w:rsidP="00EE7B6D">
      <w:pPr>
        <w:rPr>
          <w:b/>
          <w:sz w:val="24"/>
          <w:szCs w:val="24"/>
        </w:rPr>
      </w:pPr>
      <w:r w:rsidRPr="00490F19">
        <w:rPr>
          <w:b/>
          <w:sz w:val="24"/>
          <w:szCs w:val="24"/>
        </w:rPr>
        <w:t>Section</w:t>
      </w:r>
      <w:r>
        <w:rPr>
          <w:b/>
          <w:sz w:val="24"/>
          <w:szCs w:val="24"/>
        </w:rPr>
        <w:t> </w:t>
      </w:r>
      <w:r w:rsidRPr="00490F19">
        <w:rPr>
          <w:b/>
          <w:sz w:val="24"/>
          <w:szCs w:val="24"/>
        </w:rPr>
        <w:t>1.4 (Background to determination, third paragraph)</w:t>
      </w:r>
    </w:p>
    <w:p w:rsidR="00EE7B6D" w:rsidRPr="00490F19" w:rsidRDefault="00EE7B6D" w:rsidP="00EE7B6D"/>
    <w:p w:rsidR="00EE7B6D" w:rsidRPr="00490F19" w:rsidRDefault="00EE7B6D" w:rsidP="00EE7B6D">
      <w:pPr>
        <w:rPr>
          <w:b/>
        </w:rPr>
      </w:pPr>
      <w:r w:rsidRPr="00490F19">
        <w:rPr>
          <w:b/>
        </w:rPr>
        <w:t>Kind of editorial change</w:t>
      </w:r>
    </w:p>
    <w:p w:rsidR="00EE7B6D" w:rsidRPr="00490F19" w:rsidRDefault="00EE7B6D" w:rsidP="00EE7B6D"/>
    <w:p w:rsidR="00EE7B6D" w:rsidRPr="00490F19" w:rsidRDefault="00EE7B6D" w:rsidP="00EE7B6D">
      <w:r w:rsidRPr="00490F19">
        <w:t>Change to punctuation</w:t>
      </w:r>
    </w:p>
    <w:p w:rsidR="00EE7B6D" w:rsidRPr="00490F19" w:rsidRDefault="00EE7B6D" w:rsidP="00EE7B6D"/>
    <w:p w:rsidR="00EE7B6D" w:rsidRPr="00490F19" w:rsidRDefault="00EE7B6D" w:rsidP="00EE7B6D">
      <w:pPr>
        <w:rPr>
          <w:b/>
        </w:rPr>
      </w:pPr>
      <w:r w:rsidRPr="00490F19">
        <w:rPr>
          <w:b/>
        </w:rPr>
        <w:t>Details of editorial change</w:t>
      </w:r>
    </w:p>
    <w:p w:rsidR="00EE7B6D" w:rsidRPr="00490F19" w:rsidRDefault="00EE7B6D" w:rsidP="00EE7B6D"/>
    <w:p w:rsidR="00EE7B6D" w:rsidRPr="00490F19" w:rsidRDefault="00EE7B6D" w:rsidP="00EE7B6D">
      <w:r w:rsidRPr="00490F19">
        <w:t>Schedule</w:t>
      </w:r>
      <w:r>
        <w:t> </w:t>
      </w:r>
      <w:r w:rsidRPr="00490F19">
        <w:t>1 item</w:t>
      </w:r>
      <w:r>
        <w:t> </w:t>
      </w:r>
      <w:r w:rsidRPr="00490F19">
        <w:t xml:space="preserve">2 of the </w:t>
      </w:r>
      <w:r w:rsidRPr="00490F19">
        <w:rPr>
          <w:i/>
        </w:rPr>
        <w:t>Telecommunications (Low</w:t>
      </w:r>
      <w:r>
        <w:rPr>
          <w:i/>
        </w:rPr>
        <w:noBreakHyphen/>
      </w:r>
      <w:r w:rsidRPr="00490F19">
        <w:rPr>
          <w:i/>
        </w:rPr>
        <w:t>impact Facilities) (Temporary Facilities) Amendment Determination</w:t>
      </w:r>
      <w:r>
        <w:rPr>
          <w:i/>
        </w:rPr>
        <w:t> </w:t>
      </w:r>
      <w:r w:rsidRPr="00490F19">
        <w:rPr>
          <w:i/>
        </w:rPr>
        <w:t>2020</w:t>
      </w:r>
      <w:r w:rsidRPr="00490F19">
        <w:t xml:space="preserve"> instructs to insert the words “temporary towers unless certain conditions are satisfied” after “an extension to a tower, if the extension is more than 5 metres high” in section</w:t>
      </w:r>
      <w:r>
        <w:t> </w:t>
      </w:r>
      <w:r w:rsidRPr="00490F19">
        <w:t xml:space="preserve">1.4 </w:t>
      </w:r>
      <w:r w:rsidRPr="00490F19">
        <w:rPr>
          <w:szCs w:val="22"/>
        </w:rPr>
        <w:t>(Background to determination, third paragraph).</w:t>
      </w:r>
    </w:p>
    <w:p w:rsidR="00EE7B6D" w:rsidRPr="00490F19" w:rsidRDefault="00EE7B6D" w:rsidP="00EE7B6D"/>
    <w:p w:rsidR="00EE7B6D" w:rsidRPr="00490F19" w:rsidRDefault="00EE7B6D" w:rsidP="00EE7B6D">
      <w:r w:rsidRPr="00490F19">
        <w:t>This compilation was editorially changed to insert a bullet point before the words “temporary towers unless certain conditions are satisfied” to correct the punctuation.</w:t>
      </w:r>
    </w:p>
    <w:p w:rsidR="00EE7B6D" w:rsidRPr="00490F19" w:rsidRDefault="00EE7B6D" w:rsidP="00EE7B6D"/>
    <w:p w:rsidR="00EE7B6D" w:rsidRPr="00490F19" w:rsidRDefault="00EE7B6D" w:rsidP="00EE7B6D"/>
    <w:p w:rsidR="00EE7B6D" w:rsidRPr="00490F19" w:rsidRDefault="00EE7B6D" w:rsidP="00EE7B6D">
      <w:pPr>
        <w:rPr>
          <w:b/>
          <w:sz w:val="24"/>
          <w:szCs w:val="24"/>
        </w:rPr>
      </w:pPr>
      <w:r w:rsidRPr="00490F19">
        <w:rPr>
          <w:b/>
          <w:sz w:val="24"/>
          <w:szCs w:val="24"/>
        </w:rPr>
        <w:t>Part</w:t>
      </w:r>
      <w:r>
        <w:rPr>
          <w:b/>
          <w:sz w:val="24"/>
          <w:szCs w:val="24"/>
        </w:rPr>
        <w:t> </w:t>
      </w:r>
      <w:r w:rsidRPr="00490F19">
        <w:rPr>
          <w:b/>
          <w:sz w:val="24"/>
          <w:szCs w:val="24"/>
        </w:rPr>
        <w:t>6A of the Schedule (table item</w:t>
      </w:r>
      <w:r>
        <w:rPr>
          <w:b/>
          <w:sz w:val="24"/>
          <w:szCs w:val="24"/>
        </w:rPr>
        <w:t> </w:t>
      </w:r>
      <w:r w:rsidRPr="00490F19">
        <w:rPr>
          <w:b/>
          <w:sz w:val="24"/>
          <w:szCs w:val="24"/>
        </w:rPr>
        <w:t>6)</w:t>
      </w:r>
    </w:p>
    <w:p w:rsidR="00EE7B6D" w:rsidRPr="00490F19" w:rsidRDefault="00EE7B6D" w:rsidP="00EE7B6D"/>
    <w:p w:rsidR="00EE7B6D" w:rsidRPr="00490F19" w:rsidRDefault="00EE7B6D" w:rsidP="00EE7B6D">
      <w:pPr>
        <w:rPr>
          <w:b/>
        </w:rPr>
      </w:pPr>
      <w:r w:rsidRPr="00490F19">
        <w:rPr>
          <w:b/>
        </w:rPr>
        <w:t>Kind of editorial change</w:t>
      </w:r>
    </w:p>
    <w:p w:rsidR="00EE7B6D" w:rsidRPr="00490F19" w:rsidRDefault="00EE7B6D" w:rsidP="00EE7B6D"/>
    <w:p w:rsidR="00EE7B6D" w:rsidRPr="00490F19" w:rsidRDefault="00EE7B6D" w:rsidP="00EE7B6D">
      <w:r w:rsidRPr="00490F19">
        <w:t>Renumbering of provisions</w:t>
      </w:r>
    </w:p>
    <w:p w:rsidR="00EE7B6D" w:rsidRPr="00490F19" w:rsidRDefault="00EE7B6D" w:rsidP="00EE7B6D"/>
    <w:p w:rsidR="00EE7B6D" w:rsidRPr="00490F19" w:rsidRDefault="00EE7B6D" w:rsidP="00EE7B6D">
      <w:pPr>
        <w:rPr>
          <w:b/>
        </w:rPr>
      </w:pPr>
      <w:r w:rsidRPr="00490F19">
        <w:rPr>
          <w:b/>
        </w:rPr>
        <w:t>Details of editorial change</w:t>
      </w:r>
    </w:p>
    <w:p w:rsidR="00EE7B6D" w:rsidRPr="00490F19" w:rsidRDefault="00EE7B6D" w:rsidP="00EE7B6D"/>
    <w:p w:rsidR="00EE7B6D" w:rsidRPr="00490F19" w:rsidRDefault="00EE7B6D" w:rsidP="00EE7B6D">
      <w:r w:rsidRPr="00490F19">
        <w:t>Schedule</w:t>
      </w:r>
      <w:r>
        <w:t> </w:t>
      </w:r>
      <w:r w:rsidRPr="00490F19">
        <w:t>1 item</w:t>
      </w:r>
      <w:r>
        <w:t> </w:t>
      </w:r>
      <w:r w:rsidRPr="00490F19">
        <w:t xml:space="preserve">8 of the </w:t>
      </w:r>
      <w:r w:rsidRPr="00490F19">
        <w:rPr>
          <w:i/>
        </w:rPr>
        <w:t>Telecommunications (Low</w:t>
      </w:r>
      <w:r>
        <w:rPr>
          <w:i/>
        </w:rPr>
        <w:noBreakHyphen/>
      </w:r>
      <w:r w:rsidRPr="00490F19">
        <w:rPr>
          <w:i/>
        </w:rPr>
        <w:t>impact Facilities) (Temporary Facilities) Amendment Determination</w:t>
      </w:r>
      <w:r>
        <w:rPr>
          <w:i/>
        </w:rPr>
        <w:t> </w:t>
      </w:r>
      <w:r w:rsidRPr="00490F19">
        <w:rPr>
          <w:i/>
        </w:rPr>
        <w:t>2020</w:t>
      </w:r>
      <w:r w:rsidRPr="00490F19">
        <w:t xml:space="preserve"> instructs to insert Part</w:t>
      </w:r>
      <w:r>
        <w:t> </w:t>
      </w:r>
      <w:r w:rsidRPr="00490F19">
        <w:t>6A after Part</w:t>
      </w:r>
      <w:r>
        <w:t> </w:t>
      </w:r>
      <w:r w:rsidRPr="00490F19">
        <w:t>6 of the Schedule.</w:t>
      </w:r>
    </w:p>
    <w:p w:rsidR="00EE7B6D" w:rsidRPr="00490F19" w:rsidRDefault="00EE7B6D" w:rsidP="00EE7B6D"/>
    <w:p w:rsidR="00EE7B6D" w:rsidRPr="00490F19" w:rsidRDefault="00EE7B6D" w:rsidP="00EE7B6D">
      <w:r w:rsidRPr="00490F19">
        <w:t>Table item</w:t>
      </w:r>
      <w:r>
        <w:t> </w:t>
      </w:r>
      <w:r w:rsidRPr="00490F19">
        <w:t>6 of Part</w:t>
      </w:r>
      <w:r>
        <w:t> </w:t>
      </w:r>
      <w:r w:rsidRPr="00490F19">
        <w:t xml:space="preserve">6A of the Schedule contains two </w:t>
      </w:r>
      <w:r>
        <w:t>paragraph (</w:t>
      </w:r>
      <w:r w:rsidRPr="00490F19">
        <w:t>e)s.</w:t>
      </w:r>
    </w:p>
    <w:p w:rsidR="00EE7B6D" w:rsidRPr="00490F19" w:rsidRDefault="00EE7B6D" w:rsidP="00EE7B6D"/>
    <w:p w:rsidR="00EE7B6D" w:rsidRPr="00490F19" w:rsidRDefault="00EE7B6D" w:rsidP="00EE7B6D">
      <w:r w:rsidRPr="00490F19">
        <w:t xml:space="preserve">This compilation was editorially changed by renumbering the second occurring </w:t>
      </w:r>
      <w:r>
        <w:t>paragraph (</w:t>
      </w:r>
      <w:r w:rsidRPr="00490F19">
        <w:t xml:space="preserve">e) as </w:t>
      </w:r>
      <w:r>
        <w:t>paragraph (</w:t>
      </w:r>
      <w:r w:rsidRPr="00490F19">
        <w:t>f).</w:t>
      </w:r>
    </w:p>
    <w:p w:rsidR="00304D2F" w:rsidRDefault="00304D2F" w:rsidP="00354C97">
      <w:pPr>
        <w:pStyle w:val="Head2"/>
        <w:keepLines/>
      </w:pPr>
      <w:r w:rsidRPr="00E106BD">
        <w:t>National Health (Highly specialised drugs program) Special Arrangement 2010 (PB 116 of 2010)</w:t>
      </w:r>
      <w:r>
        <w:t>, Compilation No. 105,</w:t>
      </w:r>
      <w:r w:rsidRPr="003342C4">
        <w:t xml:space="preserve"> Registration Date:</w:t>
      </w:r>
      <w:r>
        <w:t xml:space="preserve"> 16 April 2020 [</w:t>
      </w:r>
      <w:r>
        <w:rPr>
          <w:bCs/>
        </w:rPr>
        <w:t>F2020C00292</w:t>
      </w:r>
      <w:r>
        <w:t>]</w:t>
      </w:r>
    </w:p>
    <w:p w:rsidR="00304D2F" w:rsidRPr="00E106BD" w:rsidRDefault="00304D2F" w:rsidP="00354C97">
      <w:pPr>
        <w:keepNext/>
        <w:keepLines/>
      </w:pPr>
    </w:p>
    <w:p w:rsidR="00304D2F" w:rsidRPr="00E106BD" w:rsidRDefault="00304D2F" w:rsidP="00304D2F">
      <w:pPr>
        <w:rPr>
          <w:b/>
          <w:sz w:val="24"/>
          <w:szCs w:val="24"/>
        </w:rPr>
      </w:pPr>
      <w:r w:rsidRPr="00E106BD">
        <w:rPr>
          <w:b/>
          <w:sz w:val="24"/>
          <w:szCs w:val="24"/>
        </w:rPr>
        <w:t>Section</w:t>
      </w:r>
      <w:r>
        <w:rPr>
          <w:b/>
          <w:sz w:val="24"/>
          <w:szCs w:val="24"/>
        </w:rPr>
        <w:t> </w:t>
      </w:r>
      <w:r w:rsidRPr="00E106BD">
        <w:rPr>
          <w:b/>
          <w:sz w:val="24"/>
          <w:szCs w:val="24"/>
        </w:rPr>
        <w:t xml:space="preserve">4 (definition of </w:t>
      </w:r>
      <w:r w:rsidRPr="00E106BD">
        <w:rPr>
          <w:b/>
          <w:bCs/>
          <w:i/>
          <w:iCs/>
          <w:sz w:val="24"/>
          <w:szCs w:val="24"/>
        </w:rPr>
        <w:t>accredited prescriber of medication for the treatment of Hepatitis C</w:t>
      </w:r>
      <w:r w:rsidRPr="00E106BD">
        <w:rPr>
          <w:b/>
          <w:sz w:val="24"/>
          <w:szCs w:val="24"/>
        </w:rPr>
        <w:t>)</w:t>
      </w:r>
    </w:p>
    <w:p w:rsidR="00304D2F" w:rsidRPr="00E106BD" w:rsidRDefault="00304D2F" w:rsidP="00304D2F"/>
    <w:p w:rsidR="00304D2F" w:rsidRPr="00E106BD" w:rsidRDefault="00304D2F" w:rsidP="00304D2F">
      <w:pPr>
        <w:rPr>
          <w:b/>
        </w:rPr>
      </w:pPr>
      <w:r w:rsidRPr="00E106BD">
        <w:rPr>
          <w:b/>
        </w:rPr>
        <w:t>Kind of editorial change</w:t>
      </w:r>
    </w:p>
    <w:p w:rsidR="00304D2F" w:rsidRPr="00E106BD" w:rsidRDefault="00304D2F" w:rsidP="00304D2F"/>
    <w:p w:rsidR="00304D2F" w:rsidRPr="00E106BD" w:rsidRDefault="00304D2F" w:rsidP="00304D2F">
      <w:r w:rsidRPr="00E106BD">
        <w:t>Changes to capitalisation</w:t>
      </w:r>
    </w:p>
    <w:p w:rsidR="00304D2F" w:rsidRPr="00E106BD" w:rsidRDefault="00304D2F" w:rsidP="00304D2F"/>
    <w:p w:rsidR="00304D2F" w:rsidRPr="00E106BD" w:rsidRDefault="00304D2F" w:rsidP="00304D2F">
      <w:pPr>
        <w:rPr>
          <w:b/>
        </w:rPr>
      </w:pPr>
      <w:r w:rsidRPr="00E106BD">
        <w:rPr>
          <w:b/>
        </w:rPr>
        <w:t>Details of editorial change</w:t>
      </w:r>
    </w:p>
    <w:p w:rsidR="00304D2F" w:rsidRPr="00E106BD" w:rsidRDefault="00304D2F" w:rsidP="00304D2F"/>
    <w:p w:rsidR="00304D2F" w:rsidRPr="00E106BD" w:rsidRDefault="00304D2F" w:rsidP="00304D2F">
      <w:r w:rsidRPr="00E106BD">
        <w:rPr>
          <w:szCs w:val="22"/>
        </w:rPr>
        <w:t>Section</w:t>
      </w:r>
      <w:r>
        <w:rPr>
          <w:szCs w:val="22"/>
        </w:rPr>
        <w:t> </w:t>
      </w:r>
      <w:r w:rsidRPr="00E106BD">
        <w:rPr>
          <w:szCs w:val="22"/>
        </w:rPr>
        <w:t>4 contains the following definition:</w:t>
      </w:r>
    </w:p>
    <w:p w:rsidR="00304D2F" w:rsidRPr="00E106BD" w:rsidRDefault="00304D2F" w:rsidP="00304D2F"/>
    <w:p w:rsidR="00304D2F" w:rsidRPr="00E106BD" w:rsidRDefault="00304D2F" w:rsidP="00304D2F">
      <w:pPr>
        <w:pStyle w:val="Definition"/>
      </w:pPr>
      <w:r w:rsidRPr="00E106BD">
        <w:rPr>
          <w:b/>
          <w:bCs/>
          <w:i/>
          <w:iCs/>
        </w:rPr>
        <w:lastRenderedPageBreak/>
        <w:t>accredited prescriber of medication for the treatment of Hepatitis C</w:t>
      </w:r>
      <w:r w:rsidRPr="00E106BD">
        <w:t xml:space="preserve"> means a medical practitioner, or an authorised nurse practitioner, approved by a State or Territory to prescribe medication for the treatment of Hepatitis C for this Special Arrangement.</w:t>
      </w:r>
    </w:p>
    <w:p w:rsidR="00304D2F" w:rsidRPr="00E106BD" w:rsidRDefault="00304D2F" w:rsidP="00304D2F"/>
    <w:p w:rsidR="00304D2F" w:rsidRPr="00E106BD" w:rsidRDefault="00304D2F" w:rsidP="00304D2F">
      <w:r w:rsidRPr="00E106BD">
        <w:t>This compilation was editorially changed to update the occurrences of “</w:t>
      </w:r>
      <w:r w:rsidRPr="00E106BD">
        <w:rPr>
          <w:b/>
          <w:bCs/>
          <w:i/>
          <w:iCs/>
        </w:rPr>
        <w:t>Hepatitis</w:t>
      </w:r>
      <w:r w:rsidRPr="00E106BD">
        <w:t>” and “Hepatitis” to “</w:t>
      </w:r>
      <w:r w:rsidRPr="00E106BD">
        <w:rPr>
          <w:b/>
          <w:bCs/>
          <w:i/>
          <w:iCs/>
        </w:rPr>
        <w:t>hepatitis</w:t>
      </w:r>
      <w:r w:rsidRPr="00E106BD">
        <w:t>” and “hepatitis” respectively to correct the capitalisation and bring them into line with legislative drafting practice.</w:t>
      </w:r>
    </w:p>
    <w:p w:rsidR="002667C0" w:rsidRDefault="002667C0" w:rsidP="002667C0">
      <w:pPr>
        <w:pStyle w:val="Head2"/>
        <w:keepLines/>
      </w:pPr>
      <w:r w:rsidRPr="00666EAF">
        <w:t>Coronavirus Economic Response Package Omnibus (Measures No.</w:t>
      </w:r>
      <w:r>
        <w:t> </w:t>
      </w:r>
      <w:r w:rsidRPr="00666EAF">
        <w:t>2) Act 2020</w:t>
      </w:r>
      <w:r>
        <w:t>, Compilation No. 1,</w:t>
      </w:r>
      <w:r w:rsidRPr="003342C4">
        <w:t xml:space="preserve"> Registration Date:</w:t>
      </w:r>
      <w:r>
        <w:t xml:space="preserve"> 15 April 2020 [</w:t>
      </w:r>
      <w:r>
        <w:rPr>
          <w:bCs/>
        </w:rPr>
        <w:t>C2020C00128</w:t>
      </w:r>
      <w:r>
        <w:t>]</w:t>
      </w:r>
    </w:p>
    <w:p w:rsidR="002667C0" w:rsidRPr="00666EAF" w:rsidRDefault="002667C0" w:rsidP="002667C0"/>
    <w:p w:rsidR="002667C0" w:rsidRPr="00666EAF" w:rsidRDefault="002667C0" w:rsidP="002667C0">
      <w:pPr>
        <w:rPr>
          <w:b/>
          <w:sz w:val="24"/>
          <w:szCs w:val="24"/>
        </w:rPr>
      </w:pPr>
      <w:r w:rsidRPr="00666EAF">
        <w:rPr>
          <w:b/>
          <w:sz w:val="24"/>
          <w:szCs w:val="24"/>
        </w:rPr>
        <w:t>Subsection</w:t>
      </w:r>
      <w:r>
        <w:rPr>
          <w:b/>
          <w:sz w:val="24"/>
          <w:szCs w:val="24"/>
        </w:rPr>
        <w:t> </w:t>
      </w:r>
      <w:r w:rsidRPr="00666EAF">
        <w:rPr>
          <w:b/>
          <w:sz w:val="24"/>
          <w:szCs w:val="24"/>
        </w:rPr>
        <w:t>2(1) (table item</w:t>
      </w:r>
      <w:r>
        <w:rPr>
          <w:b/>
          <w:sz w:val="24"/>
          <w:szCs w:val="24"/>
        </w:rPr>
        <w:t> </w:t>
      </w:r>
      <w:r w:rsidRPr="00666EAF">
        <w:rPr>
          <w:b/>
          <w:sz w:val="24"/>
          <w:szCs w:val="24"/>
        </w:rPr>
        <w:t>8, column 2)</w:t>
      </w:r>
    </w:p>
    <w:p w:rsidR="002667C0" w:rsidRPr="00666EAF" w:rsidRDefault="002667C0" w:rsidP="002667C0"/>
    <w:p w:rsidR="002667C0" w:rsidRPr="00666EAF" w:rsidRDefault="002667C0" w:rsidP="002667C0">
      <w:pPr>
        <w:rPr>
          <w:b/>
        </w:rPr>
      </w:pPr>
      <w:r w:rsidRPr="00666EAF">
        <w:rPr>
          <w:b/>
        </w:rPr>
        <w:t>Kind of editorial change</w:t>
      </w:r>
    </w:p>
    <w:p w:rsidR="002667C0" w:rsidRPr="00666EAF" w:rsidRDefault="002667C0" w:rsidP="002667C0"/>
    <w:p w:rsidR="002667C0" w:rsidRPr="00666EAF" w:rsidRDefault="002667C0" w:rsidP="002667C0">
      <w:r w:rsidRPr="00666EAF">
        <w:t>Correct a typographical error</w:t>
      </w:r>
    </w:p>
    <w:p w:rsidR="002667C0" w:rsidRPr="00666EAF" w:rsidRDefault="002667C0" w:rsidP="002667C0"/>
    <w:p w:rsidR="002667C0" w:rsidRPr="00666EAF" w:rsidRDefault="002667C0" w:rsidP="002667C0">
      <w:pPr>
        <w:rPr>
          <w:b/>
        </w:rPr>
      </w:pPr>
      <w:r w:rsidRPr="00666EAF">
        <w:rPr>
          <w:b/>
        </w:rPr>
        <w:t>Details of editorial change</w:t>
      </w:r>
    </w:p>
    <w:p w:rsidR="002667C0" w:rsidRPr="00666EAF" w:rsidRDefault="002667C0" w:rsidP="002667C0"/>
    <w:p w:rsidR="002667C0" w:rsidRPr="00666EAF" w:rsidRDefault="002667C0" w:rsidP="002667C0">
      <w:r w:rsidRPr="00666EAF">
        <w:t>Subsection</w:t>
      </w:r>
      <w:r>
        <w:t> </w:t>
      </w:r>
      <w:r w:rsidRPr="00666EAF">
        <w:t xml:space="preserve">2(1) </w:t>
      </w:r>
      <w:r w:rsidRPr="00666EAF">
        <w:rPr>
          <w:szCs w:val="22"/>
        </w:rPr>
        <w:t>(table item</w:t>
      </w:r>
      <w:r>
        <w:rPr>
          <w:szCs w:val="22"/>
        </w:rPr>
        <w:t> </w:t>
      </w:r>
      <w:r w:rsidRPr="00666EAF">
        <w:rPr>
          <w:szCs w:val="22"/>
        </w:rPr>
        <w:t>8, column 2)</w:t>
      </w:r>
      <w:r w:rsidRPr="00666EAF">
        <w:t xml:space="preserve"> refers to “CSS fortnight” rather than “CCS fortnight”.</w:t>
      </w:r>
    </w:p>
    <w:p w:rsidR="002667C0" w:rsidRPr="00666EAF" w:rsidRDefault="002667C0" w:rsidP="002667C0"/>
    <w:p w:rsidR="002667C0" w:rsidRPr="00666EAF" w:rsidRDefault="002667C0" w:rsidP="002667C0">
      <w:r w:rsidRPr="00666EAF">
        <w:t>This compilation was editorially changed to omit “CSS fortnight” and substitute “CCS fortnight” in subsection</w:t>
      </w:r>
      <w:r>
        <w:t> </w:t>
      </w:r>
      <w:r w:rsidRPr="00666EAF">
        <w:t xml:space="preserve">2(1) </w:t>
      </w:r>
      <w:r w:rsidRPr="00666EAF">
        <w:rPr>
          <w:szCs w:val="22"/>
        </w:rPr>
        <w:t>(table item</w:t>
      </w:r>
      <w:r>
        <w:rPr>
          <w:szCs w:val="22"/>
        </w:rPr>
        <w:t> </w:t>
      </w:r>
      <w:r w:rsidRPr="00666EAF">
        <w:rPr>
          <w:szCs w:val="22"/>
        </w:rPr>
        <w:t>8, column 2)</w:t>
      </w:r>
      <w:r w:rsidRPr="00666EAF">
        <w:t xml:space="preserve"> to correct the typographical error.</w:t>
      </w:r>
    </w:p>
    <w:p w:rsidR="003B364C" w:rsidRDefault="003B364C" w:rsidP="009D0433">
      <w:pPr>
        <w:pStyle w:val="Head2"/>
        <w:keepLines/>
      </w:pPr>
      <w:r w:rsidRPr="006A1FC9">
        <w:t>Child Care Subsidy Minister’s Rules 2017</w:t>
      </w:r>
      <w:r>
        <w:t>, Compilation No. 6,</w:t>
      </w:r>
      <w:r w:rsidRPr="003342C4">
        <w:t xml:space="preserve"> Registration Date:</w:t>
      </w:r>
      <w:r>
        <w:t xml:space="preserve"> 8 April 2020 [</w:t>
      </w:r>
      <w:r>
        <w:rPr>
          <w:bCs/>
        </w:rPr>
        <w:t>F2020C00254</w:t>
      </w:r>
      <w:r>
        <w:t>]</w:t>
      </w:r>
    </w:p>
    <w:p w:rsidR="003B364C" w:rsidRPr="00F1113C" w:rsidRDefault="003B364C" w:rsidP="009D0433">
      <w:pPr>
        <w:keepNext/>
        <w:keepLines/>
      </w:pPr>
    </w:p>
    <w:p w:rsidR="003B364C" w:rsidRPr="00F1113C" w:rsidRDefault="003B364C" w:rsidP="009D0433">
      <w:pPr>
        <w:keepNext/>
        <w:keepLines/>
        <w:rPr>
          <w:b/>
          <w:sz w:val="24"/>
          <w:szCs w:val="24"/>
        </w:rPr>
      </w:pPr>
      <w:r>
        <w:rPr>
          <w:b/>
          <w:sz w:val="24"/>
          <w:szCs w:val="24"/>
        </w:rPr>
        <w:t>Paragraph 8(1</w:t>
      </w:r>
      <w:r w:rsidRPr="00F1113C">
        <w:rPr>
          <w:b/>
          <w:sz w:val="24"/>
          <w:szCs w:val="24"/>
        </w:rPr>
        <w:t>)(</w:t>
      </w:r>
      <w:r>
        <w:rPr>
          <w:b/>
          <w:sz w:val="24"/>
          <w:szCs w:val="24"/>
        </w:rPr>
        <w:t>f</w:t>
      </w:r>
      <w:r w:rsidRPr="00F1113C">
        <w:rPr>
          <w:b/>
          <w:sz w:val="24"/>
          <w:szCs w:val="24"/>
        </w:rPr>
        <w:t>)</w:t>
      </w:r>
    </w:p>
    <w:p w:rsidR="003B364C" w:rsidRPr="00F1113C" w:rsidRDefault="003B364C" w:rsidP="009D0433">
      <w:pPr>
        <w:keepNext/>
        <w:keepLines/>
      </w:pPr>
    </w:p>
    <w:p w:rsidR="003B364C" w:rsidRPr="00F1113C" w:rsidRDefault="003B364C" w:rsidP="009D0433">
      <w:pPr>
        <w:keepNext/>
        <w:keepLines/>
        <w:rPr>
          <w:b/>
        </w:rPr>
      </w:pPr>
      <w:r w:rsidRPr="00F1113C">
        <w:rPr>
          <w:b/>
        </w:rPr>
        <w:t>Kind of editorial change</w:t>
      </w:r>
    </w:p>
    <w:p w:rsidR="003B364C" w:rsidRPr="00F1113C" w:rsidRDefault="003B364C" w:rsidP="009D0433">
      <w:pPr>
        <w:keepNext/>
        <w:keepLines/>
      </w:pPr>
    </w:p>
    <w:p w:rsidR="003B364C" w:rsidRPr="003E607C" w:rsidRDefault="003B364C" w:rsidP="003B364C">
      <w:r w:rsidRPr="003E607C">
        <w:t>Change to punctuation</w:t>
      </w:r>
    </w:p>
    <w:p w:rsidR="003B364C" w:rsidRPr="00F1113C" w:rsidRDefault="003B364C" w:rsidP="003B364C"/>
    <w:p w:rsidR="003B364C" w:rsidRPr="00F1113C" w:rsidRDefault="003B364C" w:rsidP="003B364C">
      <w:pPr>
        <w:rPr>
          <w:b/>
        </w:rPr>
      </w:pPr>
      <w:r w:rsidRPr="00F1113C">
        <w:rPr>
          <w:b/>
        </w:rPr>
        <w:t>Details of editorial change</w:t>
      </w:r>
    </w:p>
    <w:p w:rsidR="003B364C" w:rsidRPr="00F1113C" w:rsidRDefault="003B364C" w:rsidP="003B364C"/>
    <w:p w:rsidR="003B364C" w:rsidRPr="003E607C" w:rsidRDefault="003B364C" w:rsidP="003B364C">
      <w:r>
        <w:t>Schedule 1 item 6</w:t>
      </w:r>
      <w:r w:rsidRPr="003E607C">
        <w:t xml:space="preserve"> of the </w:t>
      </w:r>
      <w:r>
        <w:rPr>
          <w:i/>
          <w:noProof/>
        </w:rPr>
        <w:t>Child Care Subsidy Minister’s Amendment (Building on the Child Care Package and Other Measures) Rules 2020</w:t>
      </w:r>
      <w:r w:rsidRPr="003E607C">
        <w:t xml:space="preserve"> provides as follows:</w:t>
      </w:r>
    </w:p>
    <w:p w:rsidR="003B364C" w:rsidRPr="002251A3" w:rsidRDefault="003B364C" w:rsidP="003B364C">
      <w:pPr>
        <w:pStyle w:val="ItemHead"/>
      </w:pPr>
      <w:r>
        <w:t>6</w:t>
      </w:r>
      <w:r w:rsidRPr="002251A3">
        <w:t xml:space="preserve">  Paragraph 8(1)(g)</w:t>
      </w:r>
    </w:p>
    <w:p w:rsidR="003B364C" w:rsidRPr="002251A3" w:rsidRDefault="003B364C" w:rsidP="003B364C">
      <w:pPr>
        <w:pStyle w:val="Item"/>
      </w:pPr>
      <w:r w:rsidRPr="002251A3">
        <w:t>Repeal the paragraph, substitute:</w:t>
      </w:r>
    </w:p>
    <w:p w:rsidR="003B364C" w:rsidRPr="002251A3" w:rsidRDefault="003B364C" w:rsidP="003B364C">
      <w:pPr>
        <w:pStyle w:val="paragraph"/>
      </w:pPr>
      <w:r w:rsidRPr="002251A3">
        <w:tab/>
        <w:t>; (g)</w:t>
      </w:r>
      <w:r w:rsidRPr="002251A3">
        <w:tab/>
        <w:t>where the session of care is taken to have been provided on a day covered by subsection (4B).</w:t>
      </w:r>
    </w:p>
    <w:p w:rsidR="003B364C" w:rsidRDefault="003B364C" w:rsidP="003B364C"/>
    <w:p w:rsidR="003B364C" w:rsidRDefault="003B364C" w:rsidP="003B364C">
      <w:r w:rsidRPr="00812A5B">
        <w:t xml:space="preserve">This action </w:t>
      </w:r>
      <w:r>
        <w:t>results in</w:t>
      </w:r>
      <w:r w:rsidRPr="00812A5B">
        <w:t xml:space="preserve"> two </w:t>
      </w:r>
      <w:r>
        <w:t>semicolons</w:t>
      </w:r>
      <w:r w:rsidRPr="00812A5B">
        <w:t xml:space="preserve"> at the end of paragraph </w:t>
      </w:r>
      <w:r>
        <w:t>8(1)</w:t>
      </w:r>
      <w:r w:rsidRPr="00812A5B">
        <w:t>(</w:t>
      </w:r>
      <w:r>
        <w:t>f</w:t>
      </w:r>
      <w:r w:rsidRPr="00812A5B">
        <w:t>).</w:t>
      </w:r>
    </w:p>
    <w:p w:rsidR="003B364C" w:rsidRPr="003E607C" w:rsidRDefault="003B364C" w:rsidP="003B364C"/>
    <w:p w:rsidR="003B364C" w:rsidRPr="003E607C" w:rsidRDefault="003B364C" w:rsidP="003B364C">
      <w:r w:rsidRPr="00812A5B">
        <w:t xml:space="preserve">This compilation was editorially changed to remove the </w:t>
      </w:r>
      <w:r>
        <w:t>extra semicolon</w:t>
      </w:r>
      <w:r w:rsidRPr="00812A5B">
        <w:t xml:space="preserve"> at the end of paragraph</w:t>
      </w:r>
      <w:r>
        <w:t> 8(1)</w:t>
      </w:r>
      <w:r w:rsidRPr="00812A5B">
        <w:t>(</w:t>
      </w:r>
      <w:r>
        <w:t>f</w:t>
      </w:r>
      <w:r w:rsidRPr="00812A5B">
        <w:t>) to bring it into line with legislative drafting practice.</w:t>
      </w:r>
    </w:p>
    <w:p w:rsidR="00FC3F42" w:rsidRDefault="00FC3F42" w:rsidP="00FC3F42">
      <w:pPr>
        <w:pStyle w:val="Head2"/>
        <w:keepLines/>
      </w:pPr>
      <w:r w:rsidRPr="00643ADD">
        <w:lastRenderedPageBreak/>
        <w:t>Income Tax Assessment Act 1936</w:t>
      </w:r>
      <w:r>
        <w:t>, Compilation No. 166,</w:t>
      </w:r>
      <w:r w:rsidRPr="003342C4">
        <w:t xml:space="preserve"> Registration Date:</w:t>
      </w:r>
      <w:r>
        <w:t xml:space="preserve"> 2 April 2020 [</w:t>
      </w:r>
      <w:r>
        <w:rPr>
          <w:bCs/>
        </w:rPr>
        <w:t>C2020C00116</w:t>
      </w:r>
      <w:r>
        <w:t>]</w:t>
      </w:r>
    </w:p>
    <w:p w:rsidR="00FC3F42" w:rsidRPr="00F2598C" w:rsidRDefault="00FC3F42" w:rsidP="00FC3F42"/>
    <w:p w:rsidR="00FC3F42" w:rsidRPr="004549F1" w:rsidRDefault="00FC3F42" w:rsidP="00FC3F42">
      <w:pPr>
        <w:rPr>
          <w:b/>
          <w:sz w:val="24"/>
          <w:szCs w:val="24"/>
        </w:rPr>
      </w:pPr>
      <w:r>
        <w:rPr>
          <w:b/>
          <w:sz w:val="24"/>
          <w:szCs w:val="24"/>
        </w:rPr>
        <w:t>Paragraph 23AD(1)(b)</w:t>
      </w:r>
    </w:p>
    <w:p w:rsidR="00FC3F42" w:rsidRPr="00D12B3D" w:rsidRDefault="00FC3F42" w:rsidP="00FC3F42"/>
    <w:p w:rsidR="00FC3F42" w:rsidRPr="004549F1" w:rsidRDefault="00FC3F42" w:rsidP="00FC3F42">
      <w:pPr>
        <w:rPr>
          <w:b/>
        </w:rPr>
      </w:pPr>
      <w:r w:rsidRPr="004549F1">
        <w:rPr>
          <w:b/>
        </w:rPr>
        <w:t>Kind of editorial change</w:t>
      </w:r>
    </w:p>
    <w:p w:rsidR="00FC3F42" w:rsidRPr="004549F1" w:rsidRDefault="00FC3F42" w:rsidP="00FC3F42"/>
    <w:p w:rsidR="00FC3F42" w:rsidRPr="00D12B3D" w:rsidRDefault="00FC3F42" w:rsidP="00FC3F42">
      <w:r>
        <w:rPr>
          <w:szCs w:val="22"/>
        </w:rPr>
        <w:t>Correct a typographical error</w:t>
      </w:r>
    </w:p>
    <w:p w:rsidR="00FC3F42" w:rsidRPr="004549F1" w:rsidRDefault="00FC3F42" w:rsidP="00FC3F42"/>
    <w:p w:rsidR="00FC3F42" w:rsidRPr="004549F1" w:rsidRDefault="00FC3F42" w:rsidP="00FC3F42">
      <w:pPr>
        <w:rPr>
          <w:b/>
        </w:rPr>
      </w:pPr>
      <w:r w:rsidRPr="004549F1">
        <w:rPr>
          <w:b/>
        </w:rPr>
        <w:t>Details of editorial change</w:t>
      </w:r>
    </w:p>
    <w:p w:rsidR="00FC3F42" w:rsidRPr="00D12B3D" w:rsidRDefault="00FC3F42" w:rsidP="00FC3F42"/>
    <w:p w:rsidR="00FC3F42" w:rsidRDefault="00FC3F42" w:rsidP="00FC3F42">
      <w:r>
        <w:t>Paragraph 23AD(1)(b) refers to “attache”. The acute accent mark does not appear on the letter “e”.</w:t>
      </w:r>
    </w:p>
    <w:p w:rsidR="00FC3F42" w:rsidRDefault="00FC3F42" w:rsidP="00FC3F42"/>
    <w:p w:rsidR="00FC3F42" w:rsidRPr="004549F1" w:rsidRDefault="00FC3F42" w:rsidP="00FC3F42">
      <w:r>
        <w:t>This compilation was editorially changed to omit “attache” and substitute “attach</w:t>
      </w:r>
      <w:r w:rsidRPr="00B8796A">
        <w:rPr>
          <w:rFonts w:cs="Times New Roman"/>
        </w:rPr>
        <w:t>é</w:t>
      </w:r>
      <w:r>
        <w:rPr>
          <w:rFonts w:cs="Times New Roman"/>
        </w:rPr>
        <w:t>” in paragraph 23AD(1)(b) to correct the typographical error.</w:t>
      </w:r>
    </w:p>
    <w:p w:rsidR="00EF2236" w:rsidRDefault="00EF2236" w:rsidP="00450F7F">
      <w:pPr>
        <w:pStyle w:val="Head2"/>
        <w:keepLines/>
      </w:pPr>
      <w:r w:rsidRPr="003E0425">
        <w:t>Social Security (Administration) Act 1999</w:t>
      </w:r>
      <w:r>
        <w:t>, Compilation No. 132,</w:t>
      </w:r>
      <w:r w:rsidRPr="003342C4">
        <w:t xml:space="preserve"> Registration Date:</w:t>
      </w:r>
      <w:r>
        <w:t xml:space="preserve"> 1 April 2020 [</w:t>
      </w:r>
      <w:r>
        <w:rPr>
          <w:bCs/>
        </w:rPr>
        <w:t>C2020C00112</w:t>
      </w:r>
      <w:r>
        <w:t>]</w:t>
      </w:r>
    </w:p>
    <w:p w:rsidR="00EF2236" w:rsidRPr="003E0425" w:rsidRDefault="00EF2236" w:rsidP="00450F7F">
      <w:pPr>
        <w:keepNext/>
        <w:keepLines/>
      </w:pPr>
    </w:p>
    <w:p w:rsidR="00EF2236" w:rsidRPr="003E0425" w:rsidRDefault="00EF2236" w:rsidP="00450F7F">
      <w:pPr>
        <w:keepNext/>
        <w:keepLines/>
        <w:rPr>
          <w:b/>
          <w:sz w:val="24"/>
          <w:szCs w:val="24"/>
        </w:rPr>
      </w:pPr>
      <w:r w:rsidRPr="003E0425">
        <w:rPr>
          <w:b/>
          <w:sz w:val="24"/>
          <w:szCs w:val="24"/>
        </w:rPr>
        <w:t>Paragraph 110A(a)</w:t>
      </w:r>
    </w:p>
    <w:p w:rsidR="00EF2236" w:rsidRPr="003E0425" w:rsidRDefault="00EF2236" w:rsidP="00450F7F">
      <w:pPr>
        <w:keepNext/>
        <w:keepLines/>
      </w:pPr>
    </w:p>
    <w:p w:rsidR="00EF2236" w:rsidRPr="003E0425" w:rsidRDefault="00EF2236" w:rsidP="00450F7F">
      <w:pPr>
        <w:keepNext/>
        <w:keepLines/>
        <w:rPr>
          <w:b/>
        </w:rPr>
      </w:pPr>
      <w:r w:rsidRPr="003E0425">
        <w:rPr>
          <w:b/>
        </w:rPr>
        <w:t>Kind of editorial change</w:t>
      </w:r>
    </w:p>
    <w:p w:rsidR="00EF2236" w:rsidRPr="003E0425" w:rsidRDefault="00EF2236" w:rsidP="00450F7F">
      <w:pPr>
        <w:keepNext/>
        <w:keepLines/>
      </w:pPr>
    </w:p>
    <w:p w:rsidR="00EF2236" w:rsidRPr="003E0425" w:rsidRDefault="00EF2236" w:rsidP="00450F7F">
      <w:pPr>
        <w:keepNext/>
        <w:keepLines/>
      </w:pPr>
      <w:r w:rsidRPr="003E0425">
        <w:t>Give effect to the misdescribed amendment as intended</w:t>
      </w:r>
    </w:p>
    <w:p w:rsidR="00EF2236" w:rsidRPr="003E0425" w:rsidRDefault="00EF2236" w:rsidP="00450F7F">
      <w:pPr>
        <w:keepNext/>
        <w:keepLines/>
      </w:pPr>
    </w:p>
    <w:p w:rsidR="00EF2236" w:rsidRPr="003E0425" w:rsidRDefault="00EF2236" w:rsidP="00450F7F">
      <w:pPr>
        <w:keepNext/>
        <w:keepLines/>
        <w:rPr>
          <w:b/>
        </w:rPr>
      </w:pPr>
      <w:r w:rsidRPr="003E0425">
        <w:rPr>
          <w:b/>
        </w:rPr>
        <w:t>Details of editorial change</w:t>
      </w:r>
    </w:p>
    <w:p w:rsidR="00EF2236" w:rsidRPr="003E0425" w:rsidRDefault="00EF2236" w:rsidP="00450F7F">
      <w:pPr>
        <w:keepNext/>
        <w:keepLines/>
      </w:pPr>
    </w:p>
    <w:p w:rsidR="00EF2236" w:rsidRPr="003E0425" w:rsidRDefault="00EF2236" w:rsidP="00EF2236">
      <w:r w:rsidRPr="003E0425">
        <w:t>Schedule</w:t>
      </w:r>
      <w:r>
        <w:t> </w:t>
      </w:r>
      <w:r w:rsidRPr="003E0425">
        <w:t>1 item</w:t>
      </w:r>
      <w:r>
        <w:t> </w:t>
      </w:r>
      <w:r w:rsidRPr="003E0425">
        <w:t xml:space="preserve">324 of the </w:t>
      </w:r>
      <w:r w:rsidRPr="003E0425">
        <w:rPr>
          <w:i/>
        </w:rPr>
        <w:t>Social Services Legislation Amendment (Welfare Reform) Act 2018</w:t>
      </w:r>
      <w:r w:rsidRPr="003E0425">
        <w:t xml:space="preserve"> instructs to omit “newstart allowance” and substitute “jobseeker payment” in paragraph</w:t>
      </w:r>
      <w:r>
        <w:t> </w:t>
      </w:r>
      <w:r w:rsidRPr="003E0425">
        <w:t>110A(1)(a).</w:t>
      </w:r>
    </w:p>
    <w:p w:rsidR="00EF2236" w:rsidRPr="003E0425" w:rsidRDefault="00EF2236" w:rsidP="00EF2236"/>
    <w:p w:rsidR="00EF2236" w:rsidRPr="003E0425" w:rsidRDefault="00EF2236" w:rsidP="00EF2236">
      <w:r w:rsidRPr="003E0425">
        <w:t>Paragraph 110A(1)(a) does not appear. However, paragraph</w:t>
      </w:r>
      <w:r>
        <w:t> </w:t>
      </w:r>
      <w:r w:rsidRPr="003E0425">
        <w:t>110A(a) does appear.</w:t>
      </w:r>
    </w:p>
    <w:p w:rsidR="00EF2236" w:rsidRPr="003E0425" w:rsidRDefault="00EF2236" w:rsidP="00EF2236"/>
    <w:p w:rsidR="00EF2236" w:rsidRPr="003E0425" w:rsidRDefault="00EF2236" w:rsidP="00EF2236">
      <w:r w:rsidRPr="003E0425">
        <w:t>This compilation was editorially changed to omit “newstart allowance” and substitute “jobseeker payment” in paragraph</w:t>
      </w:r>
      <w:r>
        <w:t> </w:t>
      </w:r>
      <w:r w:rsidRPr="003E0425">
        <w:t>110A(a) to give effect to the misdescribed amendment as intended.</w:t>
      </w:r>
    </w:p>
    <w:p w:rsidR="00111C4A" w:rsidRDefault="00111C4A" w:rsidP="00111C4A">
      <w:pPr>
        <w:pStyle w:val="Head2"/>
        <w:keepLines/>
      </w:pPr>
      <w:r>
        <w:t>Health Insurance (Section 3C General Medical Services – GP and Allied Health COVID</w:t>
      </w:r>
      <w:r>
        <w:noBreakHyphen/>
        <w:t>19 Services) Determination 2020, Compilation No. 2,</w:t>
      </w:r>
      <w:r w:rsidRPr="003342C4">
        <w:t xml:space="preserve"> Registration Date:</w:t>
      </w:r>
      <w:r>
        <w:t xml:space="preserve"> 26 March 2020 [</w:t>
      </w:r>
      <w:r>
        <w:rPr>
          <w:bCs/>
        </w:rPr>
        <w:t>F2020C00221</w:t>
      </w:r>
      <w:r>
        <w:t>]</w:t>
      </w:r>
    </w:p>
    <w:p w:rsidR="00111C4A" w:rsidRPr="00F1113C" w:rsidRDefault="00111C4A" w:rsidP="00111C4A"/>
    <w:p w:rsidR="00111C4A" w:rsidRPr="00DA7CF9" w:rsidRDefault="00111C4A" w:rsidP="00111C4A">
      <w:pPr>
        <w:rPr>
          <w:b/>
          <w:sz w:val="24"/>
          <w:szCs w:val="24"/>
        </w:rPr>
      </w:pPr>
      <w:r w:rsidRPr="00DA7CF9">
        <w:rPr>
          <w:b/>
          <w:sz w:val="24"/>
          <w:szCs w:val="24"/>
        </w:rPr>
        <w:t>Subsection 5(1)</w:t>
      </w:r>
    </w:p>
    <w:p w:rsidR="00111C4A" w:rsidRPr="007A2088" w:rsidRDefault="00111C4A" w:rsidP="00111C4A"/>
    <w:p w:rsidR="00111C4A" w:rsidRPr="00F1113C" w:rsidRDefault="00111C4A" w:rsidP="00111C4A">
      <w:pPr>
        <w:rPr>
          <w:b/>
        </w:rPr>
      </w:pPr>
      <w:r w:rsidRPr="00F1113C">
        <w:rPr>
          <w:b/>
        </w:rPr>
        <w:t>Kind of editorial change</w:t>
      </w:r>
    </w:p>
    <w:p w:rsidR="00111C4A" w:rsidRPr="00F1113C" w:rsidRDefault="00111C4A" w:rsidP="00111C4A"/>
    <w:p w:rsidR="00111C4A" w:rsidRPr="00F1113C" w:rsidRDefault="00111C4A" w:rsidP="00111C4A">
      <w:r w:rsidRPr="00980741">
        <w:t>Give effect to the misdescribed amendment as intended</w:t>
      </w:r>
    </w:p>
    <w:p w:rsidR="00111C4A" w:rsidRPr="00F1113C" w:rsidRDefault="00111C4A" w:rsidP="00111C4A"/>
    <w:p w:rsidR="00111C4A" w:rsidRPr="00F1113C" w:rsidRDefault="00111C4A" w:rsidP="00111C4A">
      <w:pPr>
        <w:rPr>
          <w:b/>
        </w:rPr>
      </w:pPr>
      <w:r w:rsidRPr="00F1113C">
        <w:rPr>
          <w:b/>
        </w:rPr>
        <w:t>Details of editorial change</w:t>
      </w:r>
    </w:p>
    <w:p w:rsidR="00111C4A" w:rsidRPr="00F1113C" w:rsidRDefault="00111C4A" w:rsidP="00111C4A"/>
    <w:p w:rsidR="00111C4A" w:rsidRDefault="00111C4A" w:rsidP="00111C4A">
      <w:r>
        <w:t xml:space="preserve">Schedule 1 item 1 of the </w:t>
      </w:r>
      <w:r w:rsidRPr="00ED5A43">
        <w:rPr>
          <w:rFonts w:eastAsia="Times New Roman"/>
          <w:i/>
          <w:lang w:eastAsia="en-AU"/>
        </w:rPr>
        <w:t>Health Insurance (Section 3C General Medical Services – GP and Allied Health COVID-19 Services) Amendment Determination No. 2 2020</w:t>
      </w:r>
      <w:r>
        <w:t xml:space="preserve"> provides as follows:</w:t>
      </w:r>
    </w:p>
    <w:p w:rsidR="00111C4A" w:rsidRPr="00F1113C" w:rsidRDefault="00111C4A" w:rsidP="00111C4A"/>
    <w:p w:rsidR="00111C4A" w:rsidRPr="00ED5A43" w:rsidRDefault="00111C4A" w:rsidP="006F1A7B">
      <w:pPr>
        <w:pStyle w:val="ItemHead"/>
        <w:keepNext/>
        <w:spacing w:before="0"/>
        <w:ind w:left="714" w:hanging="357"/>
      </w:pPr>
      <w:r w:rsidRPr="00ED5A43">
        <w:lastRenderedPageBreak/>
        <w:t>1.</w:t>
      </w:r>
      <w:r w:rsidRPr="00ED5A43">
        <w:tab/>
        <w:t>Subsection 5(1) (at the end of the note in the subsection</w:t>
      </w:r>
      <w:r w:rsidRPr="00B75FDD">
        <w:t>)</w:t>
      </w:r>
    </w:p>
    <w:p w:rsidR="00111C4A" w:rsidRPr="00ED5A43" w:rsidRDefault="00111C4A" w:rsidP="00111C4A">
      <w:pPr>
        <w:pStyle w:val="Item"/>
        <w:spacing w:after="240"/>
        <w:rPr>
          <w:sz w:val="24"/>
          <w:szCs w:val="24"/>
        </w:rPr>
      </w:pPr>
      <w:r w:rsidRPr="00ED5A43">
        <w:rPr>
          <w:sz w:val="24"/>
          <w:szCs w:val="24"/>
        </w:rPr>
        <w:t>Repeal the note, substitute:</w:t>
      </w:r>
    </w:p>
    <w:p w:rsidR="00111C4A" w:rsidRPr="00ED5A43" w:rsidRDefault="00111C4A" w:rsidP="00111C4A">
      <w:pPr>
        <w:shd w:val="clear" w:color="auto" w:fill="FFFFFF"/>
        <w:spacing w:before="120"/>
        <w:ind w:left="851"/>
        <w:jc w:val="both"/>
        <w:rPr>
          <w:rFonts w:ascii="Helvetica Neue" w:eastAsia="Times New Roman" w:hAnsi="Helvetica Neue"/>
          <w:sz w:val="19"/>
          <w:szCs w:val="19"/>
          <w:lang w:val="en-US" w:eastAsia="en-AU"/>
        </w:rPr>
      </w:pPr>
      <w:r w:rsidRPr="00ED5A43">
        <w:rPr>
          <w:rFonts w:ascii="Helvetica Neue" w:eastAsia="Times New Roman" w:hAnsi="Helvetica Neue"/>
          <w:color w:val="000000"/>
          <w:sz w:val="16"/>
          <w:szCs w:val="16"/>
          <w:lang w:eastAsia="en-AU"/>
        </w:rPr>
        <w:t>Note:     The following terms are defined in subsection 3(1) of the Act:</w:t>
      </w:r>
    </w:p>
    <w:p w:rsidR="00111C4A" w:rsidRPr="00ED5A43" w:rsidRDefault="00111C4A" w:rsidP="00111C4A">
      <w:pPr>
        <w:shd w:val="clear" w:color="auto" w:fill="FFFFFF"/>
        <w:spacing w:before="120" w:line="240" w:lineRule="auto"/>
        <w:ind w:left="2061" w:hanging="360"/>
        <w:jc w:val="both"/>
        <w:rPr>
          <w:rFonts w:ascii="Helvetica Neue" w:eastAsia="Times New Roman" w:hAnsi="Helvetica Neue"/>
          <w:sz w:val="19"/>
          <w:szCs w:val="19"/>
          <w:lang w:val="en-US" w:eastAsia="en-AU"/>
        </w:rPr>
      </w:pPr>
      <w:r w:rsidRPr="00ED5A43">
        <w:rPr>
          <w:rFonts w:ascii="Symbol" w:eastAsia="Times New Roman" w:hAnsi="Symbol"/>
          <w:color w:val="000000"/>
          <w:sz w:val="16"/>
          <w:szCs w:val="16"/>
          <w:lang w:eastAsia="en-AU"/>
        </w:rPr>
        <w:t></w:t>
      </w:r>
      <w:r w:rsidRPr="00ED5A43">
        <w:rPr>
          <w:rFonts w:eastAsia="Times New Roman"/>
          <w:color w:val="000000"/>
          <w:sz w:val="14"/>
          <w:szCs w:val="14"/>
          <w:lang w:eastAsia="en-AU"/>
        </w:rPr>
        <w:t xml:space="preserve">          </w:t>
      </w:r>
      <w:r w:rsidRPr="00ED5A43">
        <w:rPr>
          <w:rFonts w:ascii="Helvetica Neue" w:eastAsia="Times New Roman" w:hAnsi="Helvetica Neue"/>
          <w:color w:val="000000"/>
          <w:sz w:val="16"/>
          <w:szCs w:val="16"/>
          <w:lang w:eastAsia="en-AU"/>
        </w:rPr>
        <w:t>clinically relevant service;</w:t>
      </w:r>
    </w:p>
    <w:p w:rsidR="00111C4A" w:rsidRPr="00ED5A43" w:rsidRDefault="00111C4A" w:rsidP="00111C4A">
      <w:pPr>
        <w:shd w:val="clear" w:color="auto" w:fill="FFFFFF"/>
        <w:spacing w:before="120" w:line="240" w:lineRule="auto"/>
        <w:ind w:left="2061" w:hanging="360"/>
        <w:jc w:val="both"/>
        <w:rPr>
          <w:rFonts w:ascii="Helvetica Neue" w:eastAsia="Times New Roman" w:hAnsi="Helvetica Neue"/>
          <w:sz w:val="19"/>
          <w:szCs w:val="19"/>
          <w:lang w:val="en-US" w:eastAsia="en-AU"/>
        </w:rPr>
      </w:pPr>
      <w:r w:rsidRPr="00ED5A43">
        <w:rPr>
          <w:rFonts w:ascii="Symbol" w:eastAsia="Times New Roman" w:hAnsi="Symbol"/>
          <w:color w:val="000000"/>
          <w:sz w:val="16"/>
          <w:szCs w:val="16"/>
          <w:lang w:eastAsia="en-AU"/>
        </w:rPr>
        <w:t></w:t>
      </w:r>
      <w:r w:rsidRPr="00ED5A43">
        <w:rPr>
          <w:rFonts w:eastAsia="Times New Roman"/>
          <w:color w:val="000000"/>
          <w:sz w:val="14"/>
          <w:szCs w:val="14"/>
          <w:lang w:eastAsia="en-AU"/>
        </w:rPr>
        <w:t xml:space="preserve">          </w:t>
      </w:r>
      <w:r w:rsidRPr="00ED5A43">
        <w:rPr>
          <w:rFonts w:ascii="Helvetica Neue" w:eastAsia="Times New Roman" w:hAnsi="Helvetica Neue"/>
          <w:sz w:val="16"/>
          <w:szCs w:val="16"/>
          <w:lang w:eastAsia="en-AU"/>
        </w:rPr>
        <w:t>general medical services table</w:t>
      </w:r>
      <w:r w:rsidRPr="00ED5A43">
        <w:rPr>
          <w:rFonts w:ascii="Helvetica Neue" w:eastAsia="Times New Roman" w:hAnsi="Helvetica Neue"/>
          <w:color w:val="000000"/>
          <w:sz w:val="16"/>
          <w:szCs w:val="16"/>
          <w:lang w:eastAsia="en-AU"/>
        </w:rPr>
        <w:t>;</w:t>
      </w:r>
    </w:p>
    <w:p w:rsidR="00111C4A" w:rsidRPr="00ED5A43" w:rsidRDefault="00111C4A" w:rsidP="00111C4A">
      <w:pPr>
        <w:shd w:val="clear" w:color="auto" w:fill="FFFFFF"/>
        <w:spacing w:before="120" w:line="240" w:lineRule="auto"/>
        <w:ind w:left="2061" w:hanging="360"/>
        <w:jc w:val="both"/>
        <w:rPr>
          <w:rFonts w:ascii="Helvetica Neue" w:eastAsia="Times New Roman" w:hAnsi="Helvetica Neue"/>
          <w:color w:val="000000"/>
          <w:sz w:val="16"/>
          <w:szCs w:val="16"/>
          <w:lang w:eastAsia="en-AU"/>
        </w:rPr>
      </w:pPr>
      <w:r w:rsidRPr="00ED5A43">
        <w:rPr>
          <w:rFonts w:ascii="Symbol" w:eastAsia="Times New Roman" w:hAnsi="Symbol"/>
          <w:color w:val="000000"/>
          <w:sz w:val="16"/>
          <w:szCs w:val="16"/>
          <w:lang w:eastAsia="en-AU"/>
        </w:rPr>
        <w:t></w:t>
      </w:r>
      <w:r w:rsidRPr="00ED5A43">
        <w:rPr>
          <w:rFonts w:eastAsia="Times New Roman"/>
          <w:color w:val="000000"/>
          <w:sz w:val="14"/>
          <w:szCs w:val="14"/>
          <w:lang w:eastAsia="en-AU"/>
        </w:rPr>
        <w:t xml:space="preserve">          </w:t>
      </w:r>
      <w:r w:rsidRPr="00ED5A43">
        <w:rPr>
          <w:rFonts w:ascii="Helvetica Neue" w:eastAsia="Times New Roman" w:hAnsi="Helvetica Neue"/>
          <w:color w:val="000000"/>
          <w:sz w:val="16"/>
          <w:szCs w:val="16"/>
          <w:lang w:eastAsia="en-AU"/>
        </w:rPr>
        <w:t>item;</w:t>
      </w:r>
    </w:p>
    <w:p w:rsidR="00111C4A" w:rsidRPr="00ED5A43" w:rsidRDefault="00111C4A" w:rsidP="00111C4A">
      <w:pPr>
        <w:shd w:val="clear" w:color="auto" w:fill="FFFFFF"/>
        <w:spacing w:before="120" w:line="240" w:lineRule="auto"/>
        <w:ind w:left="2061" w:hanging="360"/>
        <w:jc w:val="both"/>
        <w:rPr>
          <w:rFonts w:ascii="Helvetica Neue" w:eastAsia="Times New Roman" w:hAnsi="Helvetica Neue"/>
          <w:color w:val="000000"/>
          <w:sz w:val="16"/>
          <w:szCs w:val="16"/>
          <w:lang w:eastAsia="en-AU"/>
        </w:rPr>
      </w:pPr>
      <w:r w:rsidRPr="00ED5A43">
        <w:rPr>
          <w:rFonts w:ascii="Symbol" w:eastAsia="Times New Roman" w:hAnsi="Symbol"/>
          <w:color w:val="000000"/>
          <w:sz w:val="16"/>
          <w:szCs w:val="16"/>
          <w:lang w:eastAsia="en-AU"/>
        </w:rPr>
        <w:t></w:t>
      </w:r>
      <w:r w:rsidRPr="00ED5A43">
        <w:rPr>
          <w:rFonts w:eastAsia="Times New Roman"/>
          <w:color w:val="000000"/>
          <w:sz w:val="14"/>
          <w:szCs w:val="14"/>
          <w:lang w:eastAsia="en-AU"/>
        </w:rPr>
        <w:t xml:space="preserve">          </w:t>
      </w:r>
      <w:r w:rsidRPr="00ED5A43">
        <w:rPr>
          <w:rFonts w:ascii="Helvetica Neue" w:eastAsia="Times New Roman" w:hAnsi="Helvetica Neue"/>
          <w:color w:val="000000"/>
          <w:sz w:val="16"/>
          <w:szCs w:val="16"/>
          <w:lang w:eastAsia="en-AU"/>
        </w:rPr>
        <w:t>participating midwife;</w:t>
      </w:r>
    </w:p>
    <w:p w:rsidR="00111C4A" w:rsidRPr="00ED5A43" w:rsidRDefault="00111C4A" w:rsidP="00111C4A">
      <w:pPr>
        <w:shd w:val="clear" w:color="auto" w:fill="FFFFFF"/>
        <w:spacing w:before="120" w:line="240" w:lineRule="auto"/>
        <w:ind w:left="2061" w:hanging="360"/>
        <w:jc w:val="both"/>
        <w:rPr>
          <w:rFonts w:ascii="Helvetica Neue" w:eastAsia="Times New Roman" w:hAnsi="Helvetica Neue"/>
          <w:color w:val="000000"/>
          <w:sz w:val="16"/>
          <w:szCs w:val="16"/>
          <w:lang w:eastAsia="en-AU"/>
        </w:rPr>
      </w:pPr>
      <w:r w:rsidRPr="00ED5A43">
        <w:rPr>
          <w:rFonts w:ascii="Symbol" w:eastAsia="Times New Roman" w:hAnsi="Symbol"/>
          <w:color w:val="000000"/>
          <w:sz w:val="16"/>
          <w:szCs w:val="16"/>
          <w:lang w:eastAsia="en-AU"/>
        </w:rPr>
        <w:t></w:t>
      </w:r>
      <w:r w:rsidRPr="00ED5A43">
        <w:rPr>
          <w:rFonts w:eastAsia="Times New Roman"/>
          <w:color w:val="000000"/>
          <w:sz w:val="14"/>
          <w:szCs w:val="14"/>
          <w:lang w:eastAsia="en-AU"/>
        </w:rPr>
        <w:t xml:space="preserve">          </w:t>
      </w:r>
      <w:r w:rsidRPr="00ED5A43">
        <w:rPr>
          <w:rFonts w:ascii="Helvetica Neue" w:eastAsia="Times New Roman" w:hAnsi="Helvetica Neue"/>
          <w:color w:val="000000"/>
          <w:sz w:val="16"/>
          <w:szCs w:val="16"/>
          <w:lang w:eastAsia="en-AU"/>
        </w:rPr>
        <w:t>participating nurse practitioner;</w:t>
      </w:r>
    </w:p>
    <w:p w:rsidR="00111C4A" w:rsidRPr="00ED5A43" w:rsidRDefault="00111C4A" w:rsidP="00111C4A">
      <w:pPr>
        <w:shd w:val="clear" w:color="auto" w:fill="FFFFFF"/>
        <w:spacing w:before="120" w:line="240" w:lineRule="auto"/>
        <w:ind w:left="2061" w:hanging="360"/>
        <w:jc w:val="both"/>
        <w:rPr>
          <w:rFonts w:ascii="Helvetica Neue" w:eastAsia="Times New Roman" w:hAnsi="Helvetica Neue"/>
          <w:sz w:val="19"/>
          <w:szCs w:val="19"/>
          <w:lang w:val="en-US" w:eastAsia="en-AU"/>
        </w:rPr>
      </w:pPr>
      <w:r w:rsidRPr="00ED5A43">
        <w:rPr>
          <w:rFonts w:ascii="Symbol" w:eastAsia="Times New Roman" w:hAnsi="Symbol"/>
          <w:color w:val="000000"/>
          <w:sz w:val="16"/>
          <w:szCs w:val="16"/>
          <w:lang w:eastAsia="en-AU"/>
        </w:rPr>
        <w:t></w:t>
      </w:r>
      <w:r w:rsidRPr="00ED5A43">
        <w:rPr>
          <w:rFonts w:eastAsia="Times New Roman"/>
          <w:color w:val="000000"/>
          <w:sz w:val="14"/>
          <w:szCs w:val="14"/>
          <w:lang w:eastAsia="en-AU"/>
        </w:rPr>
        <w:t xml:space="preserve">          </w:t>
      </w:r>
      <w:r w:rsidRPr="00ED5A43">
        <w:rPr>
          <w:rFonts w:ascii="Helvetica Neue" w:eastAsia="Times New Roman" w:hAnsi="Helvetica Neue"/>
          <w:color w:val="000000"/>
          <w:sz w:val="16"/>
          <w:szCs w:val="16"/>
          <w:lang w:eastAsia="en-AU"/>
        </w:rPr>
        <w:t>professional service</w:t>
      </w:r>
    </w:p>
    <w:p w:rsidR="00111C4A" w:rsidRPr="00F1113C" w:rsidRDefault="00111C4A" w:rsidP="00111C4A"/>
    <w:p w:rsidR="00111C4A" w:rsidRDefault="00111C4A" w:rsidP="00111C4A">
      <w:r>
        <w:t xml:space="preserve">This compilation was editorially changed to repeal and substitute the note after the definition of </w:t>
      </w:r>
      <w:r w:rsidRPr="00DA7CF9">
        <w:rPr>
          <w:b/>
          <w:i/>
        </w:rPr>
        <w:t>Schedule</w:t>
      </w:r>
      <w:r>
        <w:t xml:space="preserve"> in subsection 5(1) </w:t>
      </w:r>
      <w:r w:rsidRPr="00714743">
        <w:t>to give effect to the misdescribed amendment as intended</w:t>
      </w:r>
      <w:r>
        <w:t>.</w:t>
      </w:r>
    </w:p>
    <w:p w:rsidR="00E24203" w:rsidRDefault="00E24203" w:rsidP="00E24203">
      <w:pPr>
        <w:pStyle w:val="Head2"/>
        <w:keepLines/>
      </w:pPr>
      <w:r w:rsidRPr="00010581">
        <w:t>Private Health Insurance (Complying Product) Rules 2015</w:t>
      </w:r>
      <w:r>
        <w:t>, Compilation No. 25,</w:t>
      </w:r>
      <w:r w:rsidRPr="003342C4">
        <w:t xml:space="preserve"> Registration Date:</w:t>
      </w:r>
      <w:r>
        <w:t xml:space="preserve"> 25 March 2020 [</w:t>
      </w:r>
      <w:r>
        <w:rPr>
          <w:bCs/>
        </w:rPr>
        <w:t>F2020C00219</w:t>
      </w:r>
      <w:r>
        <w:t>]</w:t>
      </w:r>
    </w:p>
    <w:p w:rsidR="00E24203" w:rsidRPr="00F2598C" w:rsidRDefault="00E24203" w:rsidP="00E24203"/>
    <w:p w:rsidR="00E24203" w:rsidRPr="00F8736F" w:rsidRDefault="00E24203" w:rsidP="00E24203">
      <w:pPr>
        <w:rPr>
          <w:b/>
          <w:sz w:val="24"/>
          <w:szCs w:val="24"/>
        </w:rPr>
      </w:pPr>
      <w:r w:rsidRPr="00F8736F">
        <w:rPr>
          <w:b/>
          <w:sz w:val="24"/>
          <w:szCs w:val="24"/>
        </w:rPr>
        <w:t xml:space="preserve">Subrule 8A(3) (paragraph (a) of the definition of </w:t>
      </w:r>
      <w:r w:rsidRPr="00F8736F">
        <w:rPr>
          <w:b/>
          <w:i/>
          <w:sz w:val="24"/>
          <w:szCs w:val="24"/>
        </w:rPr>
        <w:t>patient contribution</w:t>
      </w:r>
      <w:r w:rsidRPr="00F8736F">
        <w:rPr>
          <w:b/>
          <w:sz w:val="24"/>
          <w:szCs w:val="24"/>
        </w:rPr>
        <w:t>)</w:t>
      </w:r>
    </w:p>
    <w:p w:rsidR="00E24203" w:rsidRPr="00F8736F" w:rsidRDefault="00E24203" w:rsidP="00E24203"/>
    <w:p w:rsidR="00E24203" w:rsidRPr="004549F1" w:rsidRDefault="00E24203" w:rsidP="00E24203">
      <w:pPr>
        <w:rPr>
          <w:b/>
        </w:rPr>
      </w:pPr>
      <w:r w:rsidRPr="004549F1">
        <w:rPr>
          <w:b/>
        </w:rPr>
        <w:t>Kind of editorial change</w:t>
      </w:r>
    </w:p>
    <w:p w:rsidR="00E24203" w:rsidRPr="004549F1" w:rsidRDefault="00E24203" w:rsidP="00E24203"/>
    <w:p w:rsidR="00E24203" w:rsidRPr="00F8736F" w:rsidRDefault="00E24203" w:rsidP="00E24203">
      <w:r>
        <w:t>Give effect to the misdescribed amendment as intended</w:t>
      </w:r>
    </w:p>
    <w:p w:rsidR="00E24203" w:rsidRPr="004549F1" w:rsidRDefault="00E24203" w:rsidP="00E24203"/>
    <w:p w:rsidR="00E24203" w:rsidRPr="004549F1" w:rsidRDefault="00E24203" w:rsidP="00E24203">
      <w:pPr>
        <w:rPr>
          <w:b/>
        </w:rPr>
      </w:pPr>
      <w:r w:rsidRPr="004549F1">
        <w:rPr>
          <w:b/>
        </w:rPr>
        <w:t>Details of editorial change</w:t>
      </w:r>
    </w:p>
    <w:p w:rsidR="00E24203" w:rsidRPr="00F8736F" w:rsidRDefault="00E24203" w:rsidP="00E24203"/>
    <w:p w:rsidR="00E24203" w:rsidRDefault="00E24203" w:rsidP="00E24203">
      <w:r>
        <w:t xml:space="preserve">Schedule 2 item 1 of the </w:t>
      </w:r>
      <w:r w:rsidRPr="003A2C3E">
        <w:rPr>
          <w:i/>
        </w:rPr>
        <w:t>Private Health Insurance Legislation Amendment Rules (No. 2) 2020</w:t>
      </w:r>
      <w:r>
        <w:t xml:space="preserve"> instructs to repeal and substitute paragraph (a) of the definition of </w:t>
      </w:r>
      <w:r w:rsidRPr="003A2C3E">
        <w:rPr>
          <w:b/>
          <w:i/>
        </w:rPr>
        <w:t>patient contribution</w:t>
      </w:r>
      <w:r w:rsidRPr="00781CE3">
        <w:t xml:space="preserve"> i</w:t>
      </w:r>
      <w:r>
        <w:t>n subsection 8A(3).</w:t>
      </w:r>
    </w:p>
    <w:p w:rsidR="00E24203" w:rsidRDefault="00E24203" w:rsidP="00E24203"/>
    <w:p w:rsidR="00E24203" w:rsidRDefault="00E24203" w:rsidP="00E24203">
      <w:r>
        <w:t>Subsection 8A(3) does not appear. However, subrule 8A(3) does appear.</w:t>
      </w:r>
    </w:p>
    <w:p w:rsidR="00E24203" w:rsidRDefault="00E24203" w:rsidP="00E24203"/>
    <w:p w:rsidR="00E24203" w:rsidRPr="004549F1" w:rsidRDefault="00E24203" w:rsidP="00E24203">
      <w:r>
        <w:t xml:space="preserve">This compilation was editorially changed to repeal and substitute paragraph (a) of the definition of </w:t>
      </w:r>
      <w:r w:rsidRPr="003A2C3E">
        <w:rPr>
          <w:b/>
          <w:i/>
        </w:rPr>
        <w:t>patient contribution</w:t>
      </w:r>
      <w:r>
        <w:t xml:space="preserve"> in subrule 8A(3) to give effect to the misdescribed amendment as intended.</w:t>
      </w:r>
    </w:p>
    <w:p w:rsidR="00E24203" w:rsidRDefault="00E24203" w:rsidP="00E24203"/>
    <w:p w:rsidR="00E24203" w:rsidRPr="00F2598C" w:rsidRDefault="00E24203" w:rsidP="00E24203"/>
    <w:p w:rsidR="00E24203" w:rsidRPr="00F8736F" w:rsidRDefault="00E24203" w:rsidP="00E24203">
      <w:pPr>
        <w:rPr>
          <w:b/>
          <w:sz w:val="24"/>
          <w:szCs w:val="24"/>
        </w:rPr>
      </w:pPr>
      <w:r w:rsidRPr="00F8736F">
        <w:rPr>
          <w:b/>
          <w:sz w:val="24"/>
          <w:szCs w:val="24"/>
        </w:rPr>
        <w:t xml:space="preserve">Subrule 8A(3) (paragraph (b) of the definition of </w:t>
      </w:r>
      <w:r w:rsidRPr="00F8736F">
        <w:rPr>
          <w:b/>
          <w:i/>
          <w:sz w:val="24"/>
          <w:szCs w:val="24"/>
        </w:rPr>
        <w:t>patient contribution</w:t>
      </w:r>
      <w:r w:rsidRPr="00F8736F">
        <w:rPr>
          <w:b/>
          <w:sz w:val="24"/>
          <w:szCs w:val="24"/>
        </w:rPr>
        <w:t>)</w:t>
      </w:r>
    </w:p>
    <w:p w:rsidR="00E24203" w:rsidRPr="00F8736F" w:rsidRDefault="00E24203" w:rsidP="00E24203"/>
    <w:p w:rsidR="00E24203" w:rsidRPr="004549F1" w:rsidRDefault="00E24203" w:rsidP="00E24203">
      <w:pPr>
        <w:rPr>
          <w:b/>
        </w:rPr>
      </w:pPr>
      <w:r w:rsidRPr="004549F1">
        <w:rPr>
          <w:b/>
        </w:rPr>
        <w:t>Kind of editorial change</w:t>
      </w:r>
    </w:p>
    <w:p w:rsidR="00E24203" w:rsidRPr="004549F1" w:rsidRDefault="00E24203" w:rsidP="00E24203"/>
    <w:p w:rsidR="00E24203" w:rsidRPr="00F8736F" w:rsidRDefault="00E24203" w:rsidP="00E24203">
      <w:r>
        <w:t>Give effect to the misdescribed amendment as intended</w:t>
      </w:r>
    </w:p>
    <w:p w:rsidR="00E24203" w:rsidRPr="004549F1" w:rsidRDefault="00E24203" w:rsidP="00E24203"/>
    <w:p w:rsidR="00E24203" w:rsidRPr="004549F1" w:rsidRDefault="00E24203" w:rsidP="00E24203">
      <w:pPr>
        <w:rPr>
          <w:b/>
        </w:rPr>
      </w:pPr>
      <w:r w:rsidRPr="004549F1">
        <w:rPr>
          <w:b/>
        </w:rPr>
        <w:t>Details of editorial change</w:t>
      </w:r>
    </w:p>
    <w:p w:rsidR="00E24203" w:rsidRPr="00F8736F" w:rsidRDefault="00E24203" w:rsidP="00E24203"/>
    <w:p w:rsidR="00E24203" w:rsidRDefault="00E24203" w:rsidP="00E24203">
      <w:r>
        <w:t xml:space="preserve">Schedule 2 item 2 of the </w:t>
      </w:r>
      <w:r w:rsidRPr="003A2C3E">
        <w:rPr>
          <w:i/>
        </w:rPr>
        <w:t>Private Health Insurance Legislation Amendment Rules (No. 2) 2020</w:t>
      </w:r>
      <w:r>
        <w:t xml:space="preserve"> instructs to o</w:t>
      </w:r>
      <w:r w:rsidRPr="002C3E92">
        <w:rPr>
          <w:rFonts w:eastAsia="Times New Roman" w:cs="Times New Roman"/>
          <w:color w:val="000000"/>
          <w:szCs w:val="22"/>
          <w:lang w:eastAsia="en-AU"/>
        </w:rPr>
        <w:t>mit “</w:t>
      </w:r>
      <w:r>
        <w:rPr>
          <w:rFonts w:eastAsia="Times New Roman" w:cs="Times New Roman"/>
          <w:color w:val="000000"/>
          <w:szCs w:val="22"/>
          <w:lang w:eastAsia="en-AU"/>
        </w:rPr>
        <w:t>$61.80</w:t>
      </w:r>
      <w:r w:rsidRPr="002C3E92">
        <w:rPr>
          <w:rFonts w:eastAsia="Times New Roman" w:cs="Times New Roman"/>
          <w:color w:val="000000"/>
          <w:szCs w:val="22"/>
          <w:lang w:eastAsia="en-AU"/>
        </w:rPr>
        <w:t>”</w:t>
      </w:r>
      <w:r>
        <w:rPr>
          <w:rFonts w:eastAsia="Times New Roman" w:cs="Times New Roman"/>
          <w:color w:val="000000"/>
          <w:szCs w:val="22"/>
          <w:lang w:eastAsia="en-AU"/>
        </w:rPr>
        <w:t xml:space="preserve"> and</w:t>
      </w:r>
      <w:r w:rsidRPr="002C3E92">
        <w:rPr>
          <w:rFonts w:eastAsia="Times New Roman" w:cs="Times New Roman"/>
          <w:color w:val="000000"/>
          <w:szCs w:val="22"/>
          <w:lang w:eastAsia="en-AU"/>
        </w:rPr>
        <w:t xml:space="preserve"> substitute “</w:t>
      </w:r>
      <w:r>
        <w:rPr>
          <w:rFonts w:eastAsia="Times New Roman" w:cs="Times New Roman"/>
          <w:color w:val="000000"/>
          <w:szCs w:val="22"/>
          <w:lang w:eastAsia="en-AU"/>
        </w:rPr>
        <w:t>$62.50</w:t>
      </w:r>
      <w:r w:rsidRPr="002C3E92">
        <w:rPr>
          <w:rFonts w:eastAsia="Times New Roman" w:cs="Times New Roman"/>
          <w:color w:val="000000"/>
          <w:szCs w:val="22"/>
          <w:lang w:eastAsia="en-AU"/>
        </w:rPr>
        <w:t>”</w:t>
      </w:r>
      <w:r>
        <w:rPr>
          <w:rFonts w:eastAsia="Times New Roman" w:cs="Times New Roman"/>
          <w:color w:val="000000"/>
          <w:szCs w:val="22"/>
          <w:lang w:eastAsia="en-AU"/>
        </w:rPr>
        <w:t xml:space="preserve"> </w:t>
      </w:r>
      <w:r>
        <w:t xml:space="preserve">in paragraph (b) of the definition of </w:t>
      </w:r>
      <w:r w:rsidRPr="003A2C3E">
        <w:rPr>
          <w:b/>
          <w:i/>
        </w:rPr>
        <w:t>patient contribution</w:t>
      </w:r>
      <w:r>
        <w:t xml:space="preserve"> in subsection 8A(3).</w:t>
      </w:r>
    </w:p>
    <w:p w:rsidR="00E24203" w:rsidRDefault="00E24203" w:rsidP="00E24203"/>
    <w:p w:rsidR="00E24203" w:rsidRDefault="00E24203" w:rsidP="00E24203">
      <w:r>
        <w:t>Subsection 8A(3) does not appear. However, subrule 8A(3) does appear.</w:t>
      </w:r>
    </w:p>
    <w:p w:rsidR="00E24203" w:rsidRDefault="00E24203" w:rsidP="00E24203"/>
    <w:p w:rsidR="00E24203" w:rsidRPr="004549F1" w:rsidRDefault="00E24203" w:rsidP="00E24203">
      <w:r>
        <w:lastRenderedPageBreak/>
        <w:t>This compilation was editorially changed to o</w:t>
      </w:r>
      <w:r w:rsidRPr="002C3E92">
        <w:rPr>
          <w:rFonts w:eastAsia="Times New Roman" w:cs="Times New Roman"/>
          <w:color w:val="000000"/>
          <w:szCs w:val="22"/>
          <w:lang w:eastAsia="en-AU"/>
        </w:rPr>
        <w:t>mit “</w:t>
      </w:r>
      <w:r>
        <w:rPr>
          <w:rFonts w:eastAsia="Times New Roman" w:cs="Times New Roman"/>
          <w:color w:val="000000"/>
          <w:szCs w:val="22"/>
          <w:lang w:eastAsia="en-AU"/>
        </w:rPr>
        <w:t>$61.80</w:t>
      </w:r>
      <w:r w:rsidRPr="002C3E92">
        <w:rPr>
          <w:rFonts w:eastAsia="Times New Roman" w:cs="Times New Roman"/>
          <w:color w:val="000000"/>
          <w:szCs w:val="22"/>
          <w:lang w:eastAsia="en-AU"/>
        </w:rPr>
        <w:t>”</w:t>
      </w:r>
      <w:r>
        <w:rPr>
          <w:rFonts w:eastAsia="Times New Roman" w:cs="Times New Roman"/>
          <w:color w:val="000000"/>
          <w:szCs w:val="22"/>
          <w:lang w:eastAsia="en-AU"/>
        </w:rPr>
        <w:t xml:space="preserve"> and</w:t>
      </w:r>
      <w:r w:rsidRPr="002C3E92">
        <w:rPr>
          <w:rFonts w:eastAsia="Times New Roman" w:cs="Times New Roman"/>
          <w:color w:val="000000"/>
          <w:szCs w:val="22"/>
          <w:lang w:eastAsia="en-AU"/>
        </w:rPr>
        <w:t xml:space="preserve"> substitute “</w:t>
      </w:r>
      <w:r>
        <w:rPr>
          <w:rFonts w:eastAsia="Times New Roman" w:cs="Times New Roman"/>
          <w:color w:val="000000"/>
          <w:szCs w:val="22"/>
          <w:lang w:eastAsia="en-AU"/>
        </w:rPr>
        <w:t>$62.50</w:t>
      </w:r>
      <w:r w:rsidRPr="002C3E92">
        <w:rPr>
          <w:rFonts w:eastAsia="Times New Roman" w:cs="Times New Roman"/>
          <w:color w:val="000000"/>
          <w:szCs w:val="22"/>
          <w:lang w:eastAsia="en-AU"/>
        </w:rPr>
        <w:t>”</w:t>
      </w:r>
      <w:r>
        <w:rPr>
          <w:rFonts w:eastAsia="Times New Roman" w:cs="Times New Roman"/>
          <w:color w:val="000000"/>
          <w:szCs w:val="22"/>
          <w:lang w:eastAsia="en-AU"/>
        </w:rPr>
        <w:t xml:space="preserve"> </w:t>
      </w:r>
      <w:r>
        <w:t xml:space="preserve">in paragraph (b) of the definition of </w:t>
      </w:r>
      <w:r w:rsidRPr="003A2C3E">
        <w:rPr>
          <w:b/>
          <w:i/>
        </w:rPr>
        <w:t>patient contribution</w:t>
      </w:r>
      <w:r>
        <w:t xml:space="preserve"> in subrule 8A(3) to give effect to the misdescribed amendment as intended.</w:t>
      </w:r>
    </w:p>
    <w:p w:rsidR="000335C7" w:rsidRDefault="000335C7" w:rsidP="00450F7F">
      <w:pPr>
        <w:pStyle w:val="Head2"/>
        <w:keepLines/>
      </w:pPr>
      <w:r w:rsidRPr="00943623">
        <w:t>National Redress Scheme for Institutional Child Sexual Abuse Declaration</w:t>
      </w:r>
      <w:r>
        <w:t> </w:t>
      </w:r>
      <w:r w:rsidRPr="00943623">
        <w:t>2018</w:t>
      </w:r>
      <w:r>
        <w:t>, Compilation No. 25,</w:t>
      </w:r>
      <w:r w:rsidRPr="003342C4">
        <w:t xml:space="preserve"> Registration Date:</w:t>
      </w:r>
      <w:r>
        <w:t xml:space="preserve"> 23 March 2020 [</w:t>
      </w:r>
      <w:r>
        <w:rPr>
          <w:bCs/>
        </w:rPr>
        <w:t>F2020C00210</w:t>
      </w:r>
      <w:r>
        <w:t>]</w:t>
      </w:r>
    </w:p>
    <w:p w:rsidR="000335C7" w:rsidRPr="00943623" w:rsidRDefault="000335C7" w:rsidP="00450F7F">
      <w:pPr>
        <w:keepNext/>
        <w:keepLines/>
      </w:pPr>
    </w:p>
    <w:p w:rsidR="000335C7" w:rsidRPr="00943623" w:rsidRDefault="000335C7" w:rsidP="00450F7F">
      <w:pPr>
        <w:keepNext/>
        <w:keepLines/>
        <w:rPr>
          <w:b/>
          <w:sz w:val="24"/>
          <w:szCs w:val="24"/>
        </w:rPr>
      </w:pPr>
      <w:r w:rsidRPr="00943623">
        <w:rPr>
          <w:b/>
          <w:sz w:val="24"/>
          <w:szCs w:val="24"/>
        </w:rPr>
        <w:t>Section</w:t>
      </w:r>
      <w:r>
        <w:rPr>
          <w:b/>
          <w:sz w:val="24"/>
          <w:szCs w:val="24"/>
        </w:rPr>
        <w:t> </w:t>
      </w:r>
      <w:r w:rsidRPr="00943623">
        <w:rPr>
          <w:b/>
          <w:sz w:val="24"/>
          <w:szCs w:val="24"/>
        </w:rPr>
        <w:t>15 (table item</w:t>
      </w:r>
      <w:r>
        <w:rPr>
          <w:b/>
          <w:sz w:val="24"/>
          <w:szCs w:val="24"/>
        </w:rPr>
        <w:t> </w:t>
      </w:r>
      <w:r w:rsidRPr="00943623">
        <w:rPr>
          <w:b/>
          <w:sz w:val="24"/>
          <w:szCs w:val="24"/>
        </w:rPr>
        <w:t>72)</w:t>
      </w:r>
    </w:p>
    <w:p w:rsidR="000335C7" w:rsidRPr="00943623" w:rsidRDefault="000335C7" w:rsidP="00450F7F">
      <w:pPr>
        <w:keepNext/>
        <w:keepLines/>
      </w:pPr>
    </w:p>
    <w:p w:rsidR="000335C7" w:rsidRPr="00943623" w:rsidRDefault="000335C7" w:rsidP="00450F7F">
      <w:pPr>
        <w:keepNext/>
        <w:keepLines/>
        <w:rPr>
          <w:b/>
        </w:rPr>
      </w:pPr>
      <w:r w:rsidRPr="00943623">
        <w:rPr>
          <w:b/>
        </w:rPr>
        <w:t>Kind of editorial change</w:t>
      </w:r>
    </w:p>
    <w:p w:rsidR="000335C7" w:rsidRPr="00943623" w:rsidRDefault="000335C7" w:rsidP="00450F7F">
      <w:pPr>
        <w:keepNext/>
        <w:keepLines/>
      </w:pPr>
    </w:p>
    <w:p w:rsidR="000335C7" w:rsidRPr="00943623" w:rsidRDefault="000335C7" w:rsidP="00450F7F">
      <w:pPr>
        <w:keepNext/>
        <w:keepLines/>
      </w:pPr>
      <w:r w:rsidRPr="00943623">
        <w:t>Give effect to the misdescribed amendment as intended</w:t>
      </w:r>
    </w:p>
    <w:p w:rsidR="000335C7" w:rsidRPr="00943623" w:rsidRDefault="000335C7" w:rsidP="00450F7F">
      <w:pPr>
        <w:keepNext/>
        <w:keepLines/>
      </w:pPr>
    </w:p>
    <w:p w:rsidR="000335C7" w:rsidRPr="00943623" w:rsidRDefault="000335C7" w:rsidP="00450F7F">
      <w:pPr>
        <w:keepNext/>
        <w:keepLines/>
        <w:rPr>
          <w:b/>
        </w:rPr>
      </w:pPr>
      <w:r w:rsidRPr="00943623">
        <w:rPr>
          <w:b/>
        </w:rPr>
        <w:t>Details of editorial change</w:t>
      </w:r>
    </w:p>
    <w:p w:rsidR="000335C7" w:rsidRPr="00943623" w:rsidRDefault="000335C7" w:rsidP="000335C7"/>
    <w:p w:rsidR="000335C7" w:rsidRPr="00943623" w:rsidRDefault="000335C7" w:rsidP="000335C7">
      <w:r w:rsidRPr="00943623">
        <w:t>Schedule</w:t>
      </w:r>
      <w:r>
        <w:t> </w:t>
      </w:r>
      <w:r w:rsidRPr="00943623">
        <w:t>1 item</w:t>
      </w:r>
      <w:r>
        <w:t> </w:t>
      </w:r>
      <w:r w:rsidRPr="00943623">
        <w:t xml:space="preserve">3 of the </w:t>
      </w:r>
      <w:r w:rsidRPr="00943623">
        <w:rPr>
          <w:i/>
        </w:rPr>
        <w:t>National Redress Scheme for Institutional Child Sexual Abuse Amendment (2020 Measures No.3) Declaration</w:t>
      </w:r>
      <w:r>
        <w:rPr>
          <w:i/>
        </w:rPr>
        <w:t> </w:t>
      </w:r>
      <w:r w:rsidRPr="00943623">
        <w:rPr>
          <w:i/>
        </w:rPr>
        <w:t>2020</w:t>
      </w:r>
      <w:r w:rsidRPr="00943623">
        <w:t xml:space="preserve"> instructs to omit the words “</w:t>
      </w:r>
      <w:r>
        <w:t>paragraph (</w:t>
      </w:r>
      <w:r w:rsidRPr="00943623">
        <w:t>a)</w:t>
      </w:r>
      <w:r>
        <w:noBreakHyphen/>
      </w:r>
      <w:r w:rsidRPr="00943623">
        <w:t>(d) of” from column 1 of table item</w:t>
      </w:r>
      <w:r>
        <w:t> </w:t>
      </w:r>
      <w:r w:rsidRPr="00943623">
        <w:t>72 of section</w:t>
      </w:r>
      <w:r>
        <w:t> </w:t>
      </w:r>
      <w:r w:rsidRPr="00943623">
        <w:t>15.</w:t>
      </w:r>
    </w:p>
    <w:p w:rsidR="000335C7" w:rsidRPr="00943623" w:rsidRDefault="000335C7" w:rsidP="000335C7"/>
    <w:p w:rsidR="000335C7" w:rsidRPr="00943623" w:rsidRDefault="000335C7" w:rsidP="000335C7">
      <w:r w:rsidRPr="00943623">
        <w:t>The words “</w:t>
      </w:r>
      <w:r>
        <w:t>paragraph (</w:t>
      </w:r>
      <w:r w:rsidRPr="00943623">
        <w:t>a)</w:t>
      </w:r>
      <w:r>
        <w:noBreakHyphen/>
      </w:r>
      <w:r w:rsidRPr="00943623">
        <w:t>(d) of” do not appear in column 1 of table item</w:t>
      </w:r>
      <w:r>
        <w:t> </w:t>
      </w:r>
      <w:r w:rsidRPr="00943623">
        <w:t>72 of section</w:t>
      </w:r>
      <w:r>
        <w:t> </w:t>
      </w:r>
      <w:r w:rsidRPr="00943623">
        <w:t>15. However, the words “</w:t>
      </w:r>
      <w:r>
        <w:t>paragraphs (</w:t>
      </w:r>
      <w:r w:rsidRPr="00943623">
        <w:t>a)</w:t>
      </w:r>
      <w:r>
        <w:noBreakHyphen/>
      </w:r>
      <w:r w:rsidRPr="00943623">
        <w:t>(d) of” do appear.</w:t>
      </w:r>
    </w:p>
    <w:p w:rsidR="000335C7" w:rsidRPr="00943623" w:rsidRDefault="000335C7" w:rsidP="000335C7"/>
    <w:p w:rsidR="000335C7" w:rsidRPr="00943623" w:rsidRDefault="000335C7" w:rsidP="000335C7">
      <w:r w:rsidRPr="00943623">
        <w:t>This compilation was editorially changed to omit the words “</w:t>
      </w:r>
      <w:r>
        <w:t>paragraphs (</w:t>
      </w:r>
      <w:r w:rsidRPr="00943623">
        <w:t>a)</w:t>
      </w:r>
      <w:r>
        <w:noBreakHyphen/>
      </w:r>
      <w:r w:rsidRPr="00943623">
        <w:t>(d) of” from column 1 of table item</w:t>
      </w:r>
      <w:r>
        <w:t> </w:t>
      </w:r>
      <w:r w:rsidRPr="00943623">
        <w:t>72 of section</w:t>
      </w:r>
      <w:r>
        <w:t> </w:t>
      </w:r>
      <w:r w:rsidRPr="00943623">
        <w:t>15 to give effect to the misdescribed amendment as intended.</w:t>
      </w:r>
    </w:p>
    <w:p w:rsidR="00C252CC" w:rsidRDefault="00C252CC" w:rsidP="00C252CC">
      <w:pPr>
        <w:pStyle w:val="Head2"/>
        <w:keepLines/>
      </w:pPr>
      <w:r w:rsidRPr="00926F11">
        <w:t>Child Support (Assessment) Act 1989</w:t>
      </w:r>
      <w:r>
        <w:t>, Compilation No. 58,</w:t>
      </w:r>
      <w:r w:rsidRPr="003342C4">
        <w:t xml:space="preserve"> Registration Date:</w:t>
      </w:r>
      <w:r>
        <w:t xml:space="preserve"> 20 March 2020 [</w:t>
      </w:r>
      <w:r>
        <w:rPr>
          <w:bCs/>
        </w:rPr>
        <w:t>C2020C00108</w:t>
      </w:r>
      <w:r>
        <w:t>]</w:t>
      </w:r>
    </w:p>
    <w:p w:rsidR="00C252CC" w:rsidRPr="00926F11" w:rsidRDefault="00C252CC" w:rsidP="00C252CC"/>
    <w:p w:rsidR="00C252CC" w:rsidRPr="00926F11" w:rsidRDefault="00C252CC" w:rsidP="00C252CC">
      <w:pPr>
        <w:rPr>
          <w:b/>
        </w:rPr>
      </w:pPr>
      <w:r w:rsidRPr="00926F11">
        <w:rPr>
          <w:b/>
        </w:rPr>
        <w:t>Kind of editorial change</w:t>
      </w:r>
    </w:p>
    <w:p w:rsidR="00C252CC" w:rsidRPr="00926F11" w:rsidRDefault="00C252CC" w:rsidP="00C252CC"/>
    <w:p w:rsidR="00C252CC" w:rsidRPr="00926F11" w:rsidRDefault="00C252CC" w:rsidP="00C252CC">
      <w:r w:rsidRPr="00926F11">
        <w:t>Changes to typeface</w:t>
      </w:r>
    </w:p>
    <w:p w:rsidR="00C252CC" w:rsidRPr="00926F11" w:rsidRDefault="00C252CC" w:rsidP="00C252CC"/>
    <w:p w:rsidR="00C252CC" w:rsidRPr="00926F11" w:rsidRDefault="00C252CC" w:rsidP="00C252CC">
      <w:pPr>
        <w:rPr>
          <w:b/>
        </w:rPr>
      </w:pPr>
      <w:r w:rsidRPr="00926F11">
        <w:rPr>
          <w:b/>
        </w:rPr>
        <w:t>Details of editorial change</w:t>
      </w:r>
    </w:p>
    <w:p w:rsidR="00C252CC" w:rsidRPr="00926F11" w:rsidRDefault="00C252CC" w:rsidP="00C252CC"/>
    <w:p w:rsidR="00C252CC" w:rsidRPr="00926F11" w:rsidRDefault="00C252CC" w:rsidP="00C252CC">
      <w:r w:rsidRPr="00926F11">
        <w:rPr>
          <w:szCs w:val="22"/>
        </w:rPr>
        <w:t xml:space="preserve">This compilation was editorially changed to update all occurrences of the italicised words </w:t>
      </w:r>
      <w:r w:rsidRPr="00926F11">
        <w:rPr>
          <w:i/>
        </w:rPr>
        <w:t>de novo</w:t>
      </w:r>
      <w:r w:rsidRPr="00926F11">
        <w:t xml:space="preserve">, </w:t>
      </w:r>
      <w:r w:rsidRPr="00926F11">
        <w:rPr>
          <w:i/>
          <w:iCs/>
          <w:szCs w:val="22"/>
        </w:rPr>
        <w:t>bona fide</w:t>
      </w:r>
      <w:r w:rsidRPr="00926F11">
        <w:rPr>
          <w:iCs/>
          <w:szCs w:val="22"/>
        </w:rPr>
        <w:t xml:space="preserve"> and </w:t>
      </w:r>
      <w:r w:rsidRPr="00926F11">
        <w:rPr>
          <w:i/>
        </w:rPr>
        <w:t>prima facie</w:t>
      </w:r>
      <w:r w:rsidRPr="00926F11">
        <w:t xml:space="preserve"> </w:t>
      </w:r>
      <w:r w:rsidRPr="00926F11">
        <w:rPr>
          <w:szCs w:val="22"/>
        </w:rPr>
        <w:t>to regular font.</w:t>
      </w:r>
    </w:p>
    <w:p w:rsidR="00AC63F5" w:rsidRDefault="00AC63F5" w:rsidP="00AC63F5">
      <w:pPr>
        <w:pStyle w:val="Head2"/>
        <w:keepLines/>
      </w:pPr>
      <w:r>
        <w:t>Health Insurance (Section 3C General Medical Services – GP and Allied Health COVID</w:t>
      </w:r>
      <w:r>
        <w:noBreakHyphen/>
        <w:t>19 Services) Determination 2020, Compilation No. 1,</w:t>
      </w:r>
      <w:r w:rsidRPr="003342C4">
        <w:t xml:space="preserve"> Registration Date:</w:t>
      </w:r>
      <w:r>
        <w:t xml:space="preserve"> 20 March 2020 [</w:t>
      </w:r>
      <w:r>
        <w:rPr>
          <w:bCs/>
        </w:rPr>
        <w:t>F2020C00205</w:t>
      </w:r>
      <w:r>
        <w:t>]</w:t>
      </w:r>
    </w:p>
    <w:p w:rsidR="00AC63F5" w:rsidRPr="00F1113C" w:rsidRDefault="00AC63F5" w:rsidP="00AC63F5"/>
    <w:p w:rsidR="00AC63F5" w:rsidRPr="00F1113C" w:rsidRDefault="00AC63F5" w:rsidP="00AC63F5">
      <w:pPr>
        <w:rPr>
          <w:b/>
        </w:rPr>
      </w:pPr>
      <w:r w:rsidRPr="00F1113C">
        <w:rPr>
          <w:b/>
        </w:rPr>
        <w:t>Kind of editorial change</w:t>
      </w:r>
    </w:p>
    <w:p w:rsidR="00AC63F5" w:rsidRPr="00F1113C" w:rsidRDefault="00AC63F5" w:rsidP="00AC63F5"/>
    <w:p w:rsidR="00AC63F5" w:rsidRPr="00F1113C" w:rsidRDefault="00AC63F5" w:rsidP="00AC63F5">
      <w:r w:rsidRPr="00980741">
        <w:t>Give effect to the misdescribed amendment as intended</w:t>
      </w:r>
    </w:p>
    <w:p w:rsidR="00AC63F5" w:rsidRPr="00F1113C" w:rsidRDefault="00AC63F5" w:rsidP="00AC63F5"/>
    <w:p w:rsidR="00AC63F5" w:rsidRPr="00F1113C" w:rsidRDefault="00AC63F5" w:rsidP="00AC63F5">
      <w:pPr>
        <w:rPr>
          <w:b/>
        </w:rPr>
      </w:pPr>
      <w:r w:rsidRPr="00F1113C">
        <w:rPr>
          <w:b/>
        </w:rPr>
        <w:t>Details of editorial change</w:t>
      </w:r>
    </w:p>
    <w:p w:rsidR="00AC63F5" w:rsidRPr="00F1113C" w:rsidRDefault="00AC63F5" w:rsidP="00AC63F5"/>
    <w:p w:rsidR="00AC63F5" w:rsidRDefault="00AC63F5" w:rsidP="00AC63F5">
      <w:r>
        <w:t>S</w:t>
      </w:r>
      <w:r w:rsidRPr="00980741">
        <w:t>ubsection 2(1) (table item 1, column 2)</w:t>
      </w:r>
      <w:r>
        <w:t xml:space="preserve"> of the </w:t>
      </w:r>
      <w:r w:rsidRPr="00980741">
        <w:rPr>
          <w:i/>
        </w:rPr>
        <w:t>Health Insurance (Section 3C General Medical Services – GP and Allied Health COVID</w:t>
      </w:r>
      <w:r>
        <w:rPr>
          <w:i/>
        </w:rPr>
        <w:noBreakHyphen/>
      </w:r>
      <w:r w:rsidRPr="00980741">
        <w:rPr>
          <w:i/>
        </w:rPr>
        <w:t>19 Services) Amendment Determination No.1 2020</w:t>
      </w:r>
      <w:r w:rsidRPr="00980741">
        <w:t xml:space="preserve"> </w:t>
      </w:r>
      <w:r>
        <w:t>appears as follows:</w:t>
      </w:r>
    </w:p>
    <w:p w:rsidR="00AC63F5" w:rsidRDefault="00AC63F5" w:rsidP="00AC63F5"/>
    <w:p w:rsidR="00AC63F5" w:rsidRPr="00980741" w:rsidRDefault="00AC63F5" w:rsidP="00AC63F5">
      <w:r w:rsidRPr="00980741">
        <w:t xml:space="preserve">Immediately after the registration of the </w:t>
      </w:r>
      <w:r w:rsidRPr="00980741">
        <w:rPr>
          <w:i/>
        </w:rPr>
        <w:t>Health Insurance (Section 3C General Medical Services – GP and Allied Health COVID</w:t>
      </w:r>
      <w:r>
        <w:rPr>
          <w:i/>
        </w:rPr>
        <w:noBreakHyphen/>
      </w:r>
      <w:r w:rsidRPr="00980741">
        <w:rPr>
          <w:i/>
        </w:rPr>
        <w:t>19 Services) Determination 2020</w:t>
      </w:r>
      <w:r w:rsidRPr="00980741">
        <w:t>.</w:t>
      </w:r>
    </w:p>
    <w:p w:rsidR="00AC63F5" w:rsidRPr="00F1113C" w:rsidRDefault="00AC63F5" w:rsidP="00AC63F5"/>
    <w:p w:rsidR="00AC63F5" w:rsidRDefault="00AC63F5" w:rsidP="00AC63F5">
      <w:r>
        <w:t>T</w:t>
      </w:r>
      <w:r w:rsidRPr="008D2036">
        <w:t xml:space="preserve">he explanatory </w:t>
      </w:r>
      <w:r>
        <w:t>statement</w:t>
      </w:r>
      <w:r w:rsidRPr="008D2036">
        <w:t xml:space="preserve"> makes it clear that the amendment</w:t>
      </w:r>
      <w:r>
        <w:t>s</w:t>
      </w:r>
      <w:r w:rsidRPr="008D2036">
        <w:t xml:space="preserve"> </w:t>
      </w:r>
      <w:r>
        <w:t>were to commence i</w:t>
      </w:r>
      <w:r w:rsidRPr="00980741">
        <w:t xml:space="preserve">mmediately after the </w:t>
      </w:r>
      <w:r>
        <w:t>commencement</w:t>
      </w:r>
      <w:r w:rsidRPr="00980741">
        <w:t xml:space="preserve"> of the </w:t>
      </w:r>
      <w:r w:rsidRPr="00980741">
        <w:rPr>
          <w:i/>
        </w:rPr>
        <w:t>Health Insurance (Section 3C General Medical Services – GP and Allied Health COVID</w:t>
      </w:r>
      <w:r>
        <w:rPr>
          <w:i/>
        </w:rPr>
        <w:noBreakHyphen/>
      </w:r>
      <w:r w:rsidRPr="00980741">
        <w:rPr>
          <w:i/>
        </w:rPr>
        <w:t>19 Services) Determination 2020</w:t>
      </w:r>
      <w:r w:rsidRPr="00E234B2">
        <w:t xml:space="preserve"> on 13 March 2020</w:t>
      </w:r>
      <w:r w:rsidRPr="008D2036">
        <w:t>.</w:t>
      </w:r>
    </w:p>
    <w:p w:rsidR="00AC63F5" w:rsidRDefault="00AC63F5" w:rsidP="00AC63F5"/>
    <w:p w:rsidR="00AC63F5" w:rsidRPr="00F1113C" w:rsidRDefault="00AC63F5" w:rsidP="00AC63F5">
      <w:r w:rsidRPr="00F1113C">
        <w:t xml:space="preserve">This compilation </w:t>
      </w:r>
      <w:r>
        <w:t xml:space="preserve">was </w:t>
      </w:r>
      <w:r w:rsidRPr="00F1113C">
        <w:t xml:space="preserve">editorially changed to </w:t>
      </w:r>
      <w:r>
        <w:t xml:space="preserve">read the commencement of the </w:t>
      </w:r>
      <w:r w:rsidRPr="00980741">
        <w:rPr>
          <w:i/>
        </w:rPr>
        <w:t>Health Insurance (Section 3C General Medical Services – GP and Allied Health COVID</w:t>
      </w:r>
      <w:r>
        <w:rPr>
          <w:i/>
        </w:rPr>
        <w:noBreakHyphen/>
      </w:r>
      <w:r w:rsidRPr="00980741">
        <w:rPr>
          <w:i/>
        </w:rPr>
        <w:t>19 Services) Amendment Determination No.1 2020</w:t>
      </w:r>
      <w:r w:rsidRPr="00063842">
        <w:t xml:space="preserve"> </w:t>
      </w:r>
      <w:r>
        <w:t>as if it commenced i</w:t>
      </w:r>
      <w:r w:rsidRPr="00980741">
        <w:t xml:space="preserve">mmediately after the </w:t>
      </w:r>
      <w:r>
        <w:t>commencement</w:t>
      </w:r>
      <w:r w:rsidRPr="00980741">
        <w:t xml:space="preserve"> of the </w:t>
      </w:r>
      <w:r w:rsidRPr="00980741">
        <w:rPr>
          <w:i/>
        </w:rPr>
        <w:t>Health Insurance (Section 3C General Medical Services – GP and Allied Health COVID</w:t>
      </w:r>
      <w:r>
        <w:rPr>
          <w:i/>
        </w:rPr>
        <w:noBreakHyphen/>
      </w:r>
      <w:r w:rsidRPr="00980741">
        <w:rPr>
          <w:i/>
        </w:rPr>
        <w:t>19 Services) Determination 2020</w:t>
      </w:r>
      <w:r>
        <w:t xml:space="preserve"> </w:t>
      </w:r>
      <w:r w:rsidRPr="007D150C">
        <w:t>and give effect to the misdescribed amendment as intended.</w:t>
      </w:r>
    </w:p>
    <w:p w:rsidR="00AC63F5" w:rsidRPr="00F2598C" w:rsidRDefault="00AC63F5" w:rsidP="00AC63F5"/>
    <w:p w:rsidR="00AC63F5" w:rsidRPr="00F2598C" w:rsidRDefault="00AC63F5" w:rsidP="00AC63F5"/>
    <w:p w:rsidR="00AC63F5" w:rsidRPr="004549F1" w:rsidRDefault="00AC63F5" w:rsidP="00AC63F5">
      <w:pPr>
        <w:rPr>
          <w:b/>
          <w:sz w:val="24"/>
          <w:szCs w:val="24"/>
        </w:rPr>
      </w:pPr>
      <w:r>
        <w:rPr>
          <w:b/>
          <w:sz w:val="24"/>
          <w:szCs w:val="24"/>
        </w:rPr>
        <w:t xml:space="preserve">Section 5 (definition of </w:t>
      </w:r>
      <w:r w:rsidRPr="0056475A">
        <w:rPr>
          <w:b/>
          <w:i/>
          <w:sz w:val="24"/>
          <w:szCs w:val="24"/>
        </w:rPr>
        <w:t>p</w:t>
      </w:r>
      <w:r w:rsidRPr="0035068F">
        <w:rPr>
          <w:b/>
          <w:i/>
          <w:sz w:val="24"/>
          <w:szCs w:val="24"/>
        </w:rPr>
        <w:t>atient at risk of COVID</w:t>
      </w:r>
      <w:r>
        <w:rPr>
          <w:b/>
          <w:i/>
          <w:sz w:val="24"/>
          <w:szCs w:val="24"/>
        </w:rPr>
        <w:noBreakHyphen/>
      </w:r>
      <w:r w:rsidRPr="0035068F">
        <w:rPr>
          <w:b/>
          <w:i/>
          <w:sz w:val="24"/>
          <w:szCs w:val="24"/>
        </w:rPr>
        <w:t>19 virus</w:t>
      </w:r>
      <w:r w:rsidRPr="00694594">
        <w:rPr>
          <w:b/>
          <w:sz w:val="24"/>
          <w:szCs w:val="24"/>
        </w:rPr>
        <w:t>)</w:t>
      </w:r>
    </w:p>
    <w:p w:rsidR="00AC63F5" w:rsidRPr="008B1BF9" w:rsidRDefault="00AC63F5" w:rsidP="00AC63F5"/>
    <w:p w:rsidR="00AC63F5" w:rsidRPr="004549F1" w:rsidRDefault="00AC63F5" w:rsidP="00AC63F5">
      <w:pPr>
        <w:rPr>
          <w:b/>
        </w:rPr>
      </w:pPr>
      <w:r w:rsidRPr="004549F1">
        <w:rPr>
          <w:b/>
        </w:rPr>
        <w:t>Kind of editorial change</w:t>
      </w:r>
    </w:p>
    <w:p w:rsidR="00AC63F5" w:rsidRPr="004549F1" w:rsidRDefault="00AC63F5" w:rsidP="00AC63F5"/>
    <w:p w:rsidR="00AC63F5" w:rsidRPr="008B1BF9" w:rsidRDefault="00AC63F5" w:rsidP="00AC63F5">
      <w:r>
        <w:t>Give effect to the misdescribed amendment as intended and changes to punctuation</w:t>
      </w:r>
    </w:p>
    <w:p w:rsidR="00AC63F5" w:rsidRPr="004549F1" w:rsidRDefault="00AC63F5" w:rsidP="00AC63F5"/>
    <w:p w:rsidR="00AC63F5" w:rsidRPr="004549F1" w:rsidRDefault="00AC63F5" w:rsidP="00AC63F5">
      <w:pPr>
        <w:rPr>
          <w:b/>
        </w:rPr>
      </w:pPr>
      <w:r w:rsidRPr="004549F1">
        <w:rPr>
          <w:b/>
        </w:rPr>
        <w:t>Details of editorial change</w:t>
      </w:r>
    </w:p>
    <w:p w:rsidR="00AC63F5" w:rsidRPr="008B1BF9" w:rsidRDefault="00AC63F5" w:rsidP="00AC63F5"/>
    <w:p w:rsidR="00AC63F5" w:rsidRDefault="00AC63F5" w:rsidP="00AC63F5">
      <w:r>
        <w:t xml:space="preserve">Schedule 1 item 1 of </w:t>
      </w:r>
      <w:r w:rsidRPr="00AE75AD">
        <w:rPr>
          <w:rFonts w:eastAsia="Times New Roman"/>
          <w:i/>
          <w:lang w:eastAsia="en-AU"/>
        </w:rPr>
        <w:t>Health Insurance (Section 3C General Medical Services – GP and Allied Health COVID</w:t>
      </w:r>
      <w:r>
        <w:rPr>
          <w:rFonts w:eastAsia="Times New Roman"/>
          <w:i/>
          <w:lang w:eastAsia="en-AU"/>
        </w:rPr>
        <w:noBreakHyphen/>
      </w:r>
      <w:r w:rsidRPr="00AE75AD">
        <w:rPr>
          <w:rFonts w:eastAsia="Times New Roman"/>
          <w:i/>
          <w:lang w:eastAsia="en-AU"/>
        </w:rPr>
        <w:t>19 Services)</w:t>
      </w:r>
      <w:r>
        <w:rPr>
          <w:rFonts w:eastAsia="Times New Roman"/>
          <w:i/>
          <w:lang w:eastAsia="en-AU"/>
        </w:rPr>
        <w:t xml:space="preserve"> Amendment</w:t>
      </w:r>
      <w:r w:rsidRPr="00AE75AD">
        <w:rPr>
          <w:rFonts w:eastAsia="Times New Roman"/>
          <w:i/>
          <w:lang w:eastAsia="en-AU"/>
        </w:rPr>
        <w:t xml:space="preserve"> Determination </w:t>
      </w:r>
      <w:r>
        <w:rPr>
          <w:rFonts w:eastAsia="Times New Roman"/>
          <w:i/>
          <w:lang w:eastAsia="en-AU"/>
        </w:rPr>
        <w:t xml:space="preserve">No.1 </w:t>
      </w:r>
      <w:r w:rsidRPr="00AE75AD">
        <w:rPr>
          <w:rFonts w:eastAsia="Times New Roman"/>
          <w:i/>
          <w:lang w:eastAsia="en-AU"/>
        </w:rPr>
        <w:t>2020</w:t>
      </w:r>
      <w:r>
        <w:rPr>
          <w:rFonts w:eastAsia="Times New Roman"/>
          <w:lang w:eastAsia="en-AU"/>
        </w:rPr>
        <w:t xml:space="preserve"> provides as follows:</w:t>
      </w:r>
    </w:p>
    <w:p w:rsidR="00AC63F5" w:rsidRDefault="00AC63F5" w:rsidP="00AC63F5"/>
    <w:p w:rsidR="00AC63F5" w:rsidRDefault="00AC63F5" w:rsidP="00AC63F5">
      <w:pPr>
        <w:pStyle w:val="ItemHead"/>
        <w:spacing w:before="0"/>
        <w:ind w:left="720" w:hanging="360"/>
      </w:pPr>
      <w:r>
        <w:t>1.</w:t>
      </w:r>
      <w:r>
        <w:tab/>
        <w:t>Within the definition of Patient at risk of COVID</w:t>
      </w:r>
      <w:r>
        <w:noBreakHyphen/>
        <w:t>19 of section 5 Definitions</w:t>
      </w:r>
    </w:p>
    <w:p w:rsidR="00AC63F5" w:rsidRDefault="00AC63F5" w:rsidP="00AC63F5">
      <w:pPr>
        <w:pStyle w:val="Item"/>
        <w:spacing w:after="240"/>
      </w:pPr>
      <w:r>
        <w:t>Insert after (c)(v):</w:t>
      </w:r>
    </w:p>
    <w:p w:rsidR="00AC63F5" w:rsidRPr="00901119" w:rsidRDefault="00AC63F5" w:rsidP="00AC63F5">
      <w:pPr>
        <w:pStyle w:val="Item"/>
        <w:spacing w:after="240"/>
        <w:ind w:left="1985" w:firstLine="142"/>
      </w:pPr>
      <w:r w:rsidRPr="00901119">
        <w:rPr>
          <w:bCs/>
          <w:szCs w:val="22"/>
        </w:rPr>
        <w:t>or</w:t>
      </w:r>
    </w:p>
    <w:p w:rsidR="00AC63F5" w:rsidRPr="00801520" w:rsidRDefault="00AC63F5" w:rsidP="00AC63F5">
      <w:pPr>
        <w:spacing w:line="240" w:lineRule="auto"/>
        <w:ind w:left="1434" w:hanging="357"/>
        <w:rPr>
          <w:bCs/>
          <w:szCs w:val="22"/>
        </w:rPr>
      </w:pPr>
      <w:r>
        <w:rPr>
          <w:bCs/>
          <w:szCs w:val="22"/>
        </w:rPr>
        <w:t>(d)</w:t>
      </w:r>
      <w:r>
        <w:rPr>
          <w:bCs/>
          <w:szCs w:val="22"/>
        </w:rPr>
        <w:tab/>
      </w:r>
      <w:r w:rsidRPr="00801520">
        <w:rPr>
          <w:bCs/>
          <w:szCs w:val="22"/>
          <w:lang w:eastAsia="en-AU"/>
        </w:rPr>
        <w:t>the person meets the current national triage protocol criteria for suspected COVID</w:t>
      </w:r>
      <w:r>
        <w:rPr>
          <w:bCs/>
          <w:szCs w:val="22"/>
          <w:lang w:eastAsia="en-AU"/>
        </w:rPr>
        <w:noBreakHyphen/>
        <w:t>19 infection</w:t>
      </w:r>
    </w:p>
    <w:p w:rsidR="00AC63F5" w:rsidRDefault="00AC63F5" w:rsidP="00AC63F5"/>
    <w:p w:rsidR="00AC63F5" w:rsidRDefault="00AC63F5" w:rsidP="00AC63F5">
      <w:r>
        <w:t>A semicolon is missing before the word “or” and a full stop is missing at the end of paragraph (d).</w:t>
      </w:r>
    </w:p>
    <w:p w:rsidR="00AC63F5" w:rsidRDefault="00AC63F5" w:rsidP="00AC63F5"/>
    <w:p w:rsidR="00AC63F5" w:rsidRDefault="00AC63F5" w:rsidP="00AC63F5">
      <w:r>
        <w:t xml:space="preserve">The definition of </w:t>
      </w:r>
      <w:r w:rsidRPr="0035068F">
        <w:rPr>
          <w:b/>
          <w:i/>
        </w:rPr>
        <w:t>Patient at risk of COVID</w:t>
      </w:r>
      <w:r>
        <w:rPr>
          <w:b/>
          <w:i/>
        </w:rPr>
        <w:noBreakHyphen/>
      </w:r>
      <w:r w:rsidRPr="0035068F">
        <w:rPr>
          <w:b/>
          <w:i/>
        </w:rPr>
        <w:t>19</w:t>
      </w:r>
      <w:r>
        <w:t xml:space="preserve"> does not appear in section 5. However, the definition of </w:t>
      </w:r>
      <w:r>
        <w:rPr>
          <w:b/>
          <w:i/>
        </w:rPr>
        <w:t>p</w:t>
      </w:r>
      <w:r w:rsidRPr="0035068F">
        <w:rPr>
          <w:b/>
          <w:i/>
        </w:rPr>
        <w:t>atient at risk of COVID</w:t>
      </w:r>
      <w:r>
        <w:rPr>
          <w:b/>
          <w:i/>
        </w:rPr>
        <w:noBreakHyphen/>
      </w:r>
      <w:r w:rsidRPr="0035068F">
        <w:rPr>
          <w:b/>
          <w:i/>
        </w:rPr>
        <w:t>19</w:t>
      </w:r>
      <w:r>
        <w:rPr>
          <w:b/>
          <w:i/>
        </w:rPr>
        <w:t xml:space="preserve"> virus</w:t>
      </w:r>
      <w:r>
        <w:t xml:space="preserve"> does appear.</w:t>
      </w:r>
    </w:p>
    <w:p w:rsidR="00AC63F5" w:rsidRDefault="00AC63F5" w:rsidP="00AC63F5"/>
    <w:p w:rsidR="00AC63F5" w:rsidRDefault="00AC63F5" w:rsidP="00AC63F5">
      <w:r>
        <w:t xml:space="preserve">This compilation was editorially changed to insert “; or (d) </w:t>
      </w:r>
      <w:r w:rsidRPr="00801520">
        <w:rPr>
          <w:bCs/>
          <w:szCs w:val="22"/>
          <w:lang w:eastAsia="en-AU"/>
        </w:rPr>
        <w:t>the person meets the current national triage protocol criteria for suspected COVID</w:t>
      </w:r>
      <w:r>
        <w:rPr>
          <w:bCs/>
          <w:szCs w:val="22"/>
          <w:lang w:eastAsia="en-AU"/>
        </w:rPr>
        <w:noBreakHyphen/>
        <w:t>19 infection.</w:t>
      </w:r>
      <w:r>
        <w:t xml:space="preserve">” at the end of subparagraph (c)(v) of the definition of </w:t>
      </w:r>
      <w:r>
        <w:rPr>
          <w:b/>
          <w:i/>
        </w:rPr>
        <w:t>p</w:t>
      </w:r>
      <w:r w:rsidRPr="0035068F">
        <w:rPr>
          <w:b/>
          <w:i/>
        </w:rPr>
        <w:t>atient at risk of COVID</w:t>
      </w:r>
      <w:r>
        <w:rPr>
          <w:b/>
          <w:i/>
        </w:rPr>
        <w:noBreakHyphen/>
      </w:r>
      <w:r w:rsidRPr="0035068F">
        <w:rPr>
          <w:b/>
          <w:i/>
        </w:rPr>
        <w:t>19</w:t>
      </w:r>
      <w:r>
        <w:rPr>
          <w:b/>
          <w:i/>
        </w:rPr>
        <w:t xml:space="preserve"> virus</w:t>
      </w:r>
      <w:r w:rsidRPr="00A82807">
        <w:t xml:space="preserve"> in</w:t>
      </w:r>
      <w:r>
        <w:t xml:space="preserve"> section 5 to give effect to the misdescribed amendment as intended and make changes to punctuation.</w:t>
      </w:r>
    </w:p>
    <w:p w:rsidR="00320A79" w:rsidRDefault="00320A79" w:rsidP="006F1A7B">
      <w:pPr>
        <w:pStyle w:val="Head2"/>
        <w:keepLines/>
      </w:pPr>
      <w:r>
        <w:lastRenderedPageBreak/>
        <w:t>Health Insurance (Section 3C General Medical Services – Specialist, Consultant Physician and Consultant Psychiatrist COVID-19 Telehealth Services) Determination 2020, Compilation No. 1,</w:t>
      </w:r>
      <w:r w:rsidRPr="003342C4">
        <w:t xml:space="preserve"> Registration Date:</w:t>
      </w:r>
      <w:r>
        <w:t xml:space="preserve"> 20 March 2020 [</w:t>
      </w:r>
      <w:r>
        <w:rPr>
          <w:bCs/>
        </w:rPr>
        <w:t>F2020C00206</w:t>
      </w:r>
      <w:r>
        <w:t>]</w:t>
      </w:r>
    </w:p>
    <w:p w:rsidR="00320A79" w:rsidRPr="00F2598C" w:rsidRDefault="00320A79" w:rsidP="006F1A7B">
      <w:pPr>
        <w:keepNext/>
        <w:keepLines/>
      </w:pPr>
    </w:p>
    <w:p w:rsidR="00320A79" w:rsidRPr="004549F1" w:rsidRDefault="00320A79" w:rsidP="006F1A7B">
      <w:pPr>
        <w:keepNext/>
        <w:keepLines/>
        <w:rPr>
          <w:b/>
          <w:sz w:val="24"/>
          <w:szCs w:val="24"/>
        </w:rPr>
      </w:pPr>
      <w:r>
        <w:rPr>
          <w:b/>
          <w:sz w:val="24"/>
          <w:szCs w:val="24"/>
        </w:rPr>
        <w:t xml:space="preserve">Section 5 (definition of </w:t>
      </w:r>
      <w:r w:rsidRPr="0001537C">
        <w:rPr>
          <w:b/>
          <w:i/>
          <w:sz w:val="24"/>
          <w:szCs w:val="24"/>
        </w:rPr>
        <w:t>p</w:t>
      </w:r>
      <w:r w:rsidRPr="0035068F">
        <w:rPr>
          <w:b/>
          <w:i/>
          <w:sz w:val="24"/>
          <w:szCs w:val="24"/>
        </w:rPr>
        <w:t>atient at risk of COVID</w:t>
      </w:r>
      <w:r>
        <w:rPr>
          <w:b/>
          <w:i/>
          <w:sz w:val="24"/>
          <w:szCs w:val="24"/>
        </w:rPr>
        <w:noBreakHyphen/>
      </w:r>
      <w:r w:rsidRPr="0035068F">
        <w:rPr>
          <w:b/>
          <w:i/>
          <w:sz w:val="24"/>
          <w:szCs w:val="24"/>
        </w:rPr>
        <w:t>19 virus</w:t>
      </w:r>
      <w:r w:rsidRPr="00694594">
        <w:rPr>
          <w:b/>
          <w:sz w:val="24"/>
          <w:szCs w:val="24"/>
        </w:rPr>
        <w:t>)</w:t>
      </w:r>
    </w:p>
    <w:p w:rsidR="00320A79" w:rsidRPr="008B1BF9" w:rsidRDefault="00320A79" w:rsidP="006F1A7B">
      <w:pPr>
        <w:keepNext/>
        <w:keepLines/>
      </w:pPr>
    </w:p>
    <w:p w:rsidR="00320A79" w:rsidRPr="004549F1" w:rsidRDefault="00320A79" w:rsidP="00320A79">
      <w:pPr>
        <w:rPr>
          <w:b/>
        </w:rPr>
      </w:pPr>
      <w:r w:rsidRPr="004549F1">
        <w:rPr>
          <w:b/>
        </w:rPr>
        <w:t>Kind of editorial change</w:t>
      </w:r>
    </w:p>
    <w:p w:rsidR="00320A79" w:rsidRPr="004549F1" w:rsidRDefault="00320A79" w:rsidP="00320A79"/>
    <w:p w:rsidR="00320A79" w:rsidRPr="008B1BF9" w:rsidRDefault="00320A79" w:rsidP="00320A79">
      <w:r>
        <w:t>Give effect to the misdescribed amendment as intended and changes to punctuation</w:t>
      </w:r>
    </w:p>
    <w:p w:rsidR="00320A79" w:rsidRPr="004549F1" w:rsidRDefault="00320A79" w:rsidP="00320A79"/>
    <w:p w:rsidR="00320A79" w:rsidRPr="004549F1" w:rsidRDefault="00320A79" w:rsidP="00320A79">
      <w:pPr>
        <w:rPr>
          <w:b/>
        </w:rPr>
      </w:pPr>
      <w:r w:rsidRPr="004549F1">
        <w:rPr>
          <w:b/>
        </w:rPr>
        <w:t>Details of editorial change</w:t>
      </w:r>
    </w:p>
    <w:p w:rsidR="00320A79" w:rsidRPr="008B1BF9" w:rsidRDefault="00320A79" w:rsidP="00320A79"/>
    <w:p w:rsidR="00320A79" w:rsidRDefault="00320A79" w:rsidP="00320A79">
      <w:r>
        <w:t xml:space="preserve">Schedule 1 item 1 of </w:t>
      </w:r>
      <w:r w:rsidRPr="00EE4362">
        <w:rPr>
          <w:i/>
        </w:rPr>
        <w:t xml:space="preserve">Health Insurance (Section 3C General Medical Services – Specialist, Consultant Physician and Consultant Psychiatrist COVID-19 Telehealth Services) Amendment Determination </w:t>
      </w:r>
      <w:r>
        <w:rPr>
          <w:i/>
        </w:rPr>
        <w:t xml:space="preserve">No.1 </w:t>
      </w:r>
      <w:r w:rsidRPr="00EE4362">
        <w:rPr>
          <w:i/>
        </w:rPr>
        <w:t>2020</w:t>
      </w:r>
      <w:r>
        <w:rPr>
          <w:rFonts w:eastAsia="Times New Roman"/>
          <w:lang w:eastAsia="en-AU"/>
        </w:rPr>
        <w:t xml:space="preserve"> provides as follows:</w:t>
      </w:r>
    </w:p>
    <w:p w:rsidR="00320A79" w:rsidRDefault="00320A79" w:rsidP="00320A79"/>
    <w:p w:rsidR="00320A79" w:rsidRPr="005A2B6A" w:rsidRDefault="00320A79" w:rsidP="00320A79">
      <w:pPr>
        <w:pStyle w:val="ItemHead"/>
        <w:spacing w:before="0"/>
        <w:ind w:left="714" w:hanging="357"/>
        <w:rPr>
          <w:sz w:val="22"/>
          <w:szCs w:val="22"/>
        </w:rPr>
      </w:pPr>
      <w:r w:rsidRPr="005A2B6A">
        <w:rPr>
          <w:sz w:val="22"/>
          <w:szCs w:val="22"/>
        </w:rPr>
        <w:t>1.</w:t>
      </w:r>
      <w:r w:rsidRPr="005A2B6A">
        <w:rPr>
          <w:sz w:val="22"/>
          <w:szCs w:val="22"/>
        </w:rPr>
        <w:tab/>
        <w:t>Within the definition of ‘</w:t>
      </w:r>
      <w:r w:rsidRPr="005A2B6A">
        <w:rPr>
          <w:i/>
          <w:sz w:val="22"/>
          <w:szCs w:val="22"/>
        </w:rPr>
        <w:t>Patient at risk of COVID-19 virus’</w:t>
      </w:r>
      <w:r w:rsidRPr="005A2B6A">
        <w:rPr>
          <w:sz w:val="22"/>
          <w:szCs w:val="22"/>
        </w:rPr>
        <w:t xml:space="preserve"> of section 5 Definitions</w:t>
      </w:r>
    </w:p>
    <w:p w:rsidR="00320A79" w:rsidRDefault="00320A79" w:rsidP="00320A79">
      <w:pPr>
        <w:pStyle w:val="Item"/>
        <w:spacing w:after="240"/>
      </w:pPr>
      <w:r>
        <w:t>Insert after (c)(v):</w:t>
      </w:r>
    </w:p>
    <w:p w:rsidR="00320A79" w:rsidRPr="00901119" w:rsidRDefault="00320A79" w:rsidP="00320A79">
      <w:pPr>
        <w:pStyle w:val="Item"/>
        <w:spacing w:after="240"/>
        <w:ind w:left="1985" w:firstLine="142"/>
      </w:pPr>
      <w:r w:rsidRPr="00901119">
        <w:rPr>
          <w:bCs/>
          <w:szCs w:val="22"/>
        </w:rPr>
        <w:t>or</w:t>
      </w:r>
    </w:p>
    <w:p w:rsidR="00320A79" w:rsidRPr="00642DEA" w:rsidRDefault="00320A79" w:rsidP="00320A79">
      <w:pPr>
        <w:spacing w:after="240"/>
        <w:ind w:left="2127" w:hanging="567"/>
        <w:contextualSpacing/>
        <w:rPr>
          <w:bCs/>
          <w:szCs w:val="22"/>
        </w:rPr>
      </w:pPr>
      <w:r w:rsidRPr="00B82C78">
        <w:rPr>
          <w:rFonts w:eastAsia="Times New Roman" w:cs="Times New Roman"/>
          <w:bCs/>
          <w:sz w:val="24"/>
          <w:szCs w:val="22"/>
          <w:lang w:eastAsia="en-AU"/>
        </w:rPr>
        <w:t>(d)</w:t>
      </w:r>
      <w:r w:rsidRPr="00B82C78">
        <w:rPr>
          <w:rFonts w:eastAsia="Times New Roman" w:cs="Times New Roman"/>
          <w:bCs/>
          <w:sz w:val="24"/>
          <w:szCs w:val="22"/>
          <w:lang w:eastAsia="en-AU"/>
        </w:rPr>
        <w:tab/>
      </w:r>
      <w:r w:rsidRPr="00642DEA">
        <w:rPr>
          <w:bCs/>
          <w:szCs w:val="22"/>
        </w:rPr>
        <w:t>the person meets the current national triage protocol criteria f</w:t>
      </w:r>
      <w:r>
        <w:rPr>
          <w:bCs/>
          <w:szCs w:val="22"/>
        </w:rPr>
        <w:t>or suspected COVID-19 infection</w:t>
      </w:r>
    </w:p>
    <w:p w:rsidR="00320A79" w:rsidRDefault="00320A79" w:rsidP="00320A79"/>
    <w:p w:rsidR="00320A79" w:rsidRDefault="00320A79" w:rsidP="00320A79">
      <w:r>
        <w:t>A semicolon is missing before the word “or” and a full stop is missing at the end of paragraph (d).</w:t>
      </w:r>
    </w:p>
    <w:p w:rsidR="00320A79" w:rsidRDefault="00320A79" w:rsidP="00320A79"/>
    <w:p w:rsidR="00320A79" w:rsidRDefault="00320A79" w:rsidP="00320A79">
      <w:r>
        <w:t xml:space="preserve">The definition of </w:t>
      </w:r>
      <w:r w:rsidRPr="0035068F">
        <w:rPr>
          <w:b/>
          <w:i/>
        </w:rPr>
        <w:t>Patient at risk of COVID</w:t>
      </w:r>
      <w:r>
        <w:rPr>
          <w:b/>
          <w:i/>
        </w:rPr>
        <w:noBreakHyphen/>
      </w:r>
      <w:r w:rsidRPr="0035068F">
        <w:rPr>
          <w:b/>
          <w:i/>
        </w:rPr>
        <w:t>19</w:t>
      </w:r>
      <w:r>
        <w:rPr>
          <w:b/>
          <w:i/>
        </w:rPr>
        <w:t xml:space="preserve"> virus</w:t>
      </w:r>
      <w:r>
        <w:t xml:space="preserve"> does not appear in section 5. However, the definition of </w:t>
      </w:r>
      <w:r>
        <w:rPr>
          <w:b/>
          <w:i/>
        </w:rPr>
        <w:t>p</w:t>
      </w:r>
      <w:r w:rsidRPr="0035068F">
        <w:rPr>
          <w:b/>
          <w:i/>
        </w:rPr>
        <w:t>atient at risk of COVID</w:t>
      </w:r>
      <w:r>
        <w:rPr>
          <w:b/>
          <w:i/>
        </w:rPr>
        <w:noBreakHyphen/>
      </w:r>
      <w:r w:rsidRPr="0035068F">
        <w:rPr>
          <w:b/>
          <w:i/>
        </w:rPr>
        <w:t>19</w:t>
      </w:r>
      <w:r>
        <w:rPr>
          <w:b/>
          <w:i/>
        </w:rPr>
        <w:t xml:space="preserve"> virus</w:t>
      </w:r>
      <w:r>
        <w:t xml:space="preserve"> does appear.</w:t>
      </w:r>
    </w:p>
    <w:p w:rsidR="00320A79" w:rsidRDefault="00320A79" w:rsidP="00320A79"/>
    <w:p w:rsidR="00320A79" w:rsidRDefault="00320A79" w:rsidP="00320A79">
      <w:r>
        <w:t xml:space="preserve">This compilation was editorially changed to insert “; or (d) </w:t>
      </w:r>
      <w:r w:rsidRPr="00801520">
        <w:rPr>
          <w:bCs/>
          <w:szCs w:val="22"/>
          <w:lang w:eastAsia="en-AU"/>
        </w:rPr>
        <w:t>the person meets the current national triage protocol criteria for suspected COVID</w:t>
      </w:r>
      <w:r>
        <w:rPr>
          <w:bCs/>
          <w:szCs w:val="22"/>
          <w:lang w:eastAsia="en-AU"/>
        </w:rPr>
        <w:noBreakHyphen/>
        <w:t>19 infection.</w:t>
      </w:r>
      <w:r>
        <w:t xml:space="preserve">” at the end of subparagraph (c)(v) of the definition of </w:t>
      </w:r>
      <w:r>
        <w:rPr>
          <w:b/>
          <w:i/>
        </w:rPr>
        <w:t>p</w:t>
      </w:r>
      <w:r w:rsidRPr="0035068F">
        <w:rPr>
          <w:b/>
          <w:i/>
        </w:rPr>
        <w:t>atient at risk of COVID</w:t>
      </w:r>
      <w:r>
        <w:rPr>
          <w:b/>
          <w:i/>
        </w:rPr>
        <w:noBreakHyphen/>
      </w:r>
      <w:r w:rsidRPr="0035068F">
        <w:rPr>
          <w:b/>
          <w:i/>
        </w:rPr>
        <w:t>19</w:t>
      </w:r>
      <w:r>
        <w:rPr>
          <w:b/>
          <w:i/>
        </w:rPr>
        <w:t xml:space="preserve"> virus</w:t>
      </w:r>
      <w:r w:rsidRPr="00A82807">
        <w:t xml:space="preserve"> in</w:t>
      </w:r>
      <w:r>
        <w:t xml:space="preserve"> section 5 to give effect to the misdescribed amendment as intended and make changes to punctuation.</w:t>
      </w:r>
    </w:p>
    <w:p w:rsidR="009C2D6E" w:rsidRDefault="009C2D6E" w:rsidP="009C2D6E">
      <w:pPr>
        <w:pStyle w:val="Head2"/>
        <w:keepLines/>
      </w:pPr>
      <w:r w:rsidRPr="007B0D73">
        <w:t>Superannuation Guarantee (Administration) Act 1992</w:t>
      </w:r>
      <w:r>
        <w:t>, Compilation No. 71,</w:t>
      </w:r>
      <w:r w:rsidRPr="003342C4">
        <w:t xml:space="preserve"> Registration Date:</w:t>
      </w:r>
      <w:r>
        <w:t xml:space="preserve"> 20 March 2020 [</w:t>
      </w:r>
      <w:r>
        <w:rPr>
          <w:bCs/>
        </w:rPr>
        <w:t>C2020C00107</w:t>
      </w:r>
      <w:r>
        <w:t>]</w:t>
      </w:r>
    </w:p>
    <w:p w:rsidR="009C2D6E" w:rsidRPr="00B70E92" w:rsidRDefault="009C2D6E" w:rsidP="009C2D6E"/>
    <w:p w:rsidR="009C2D6E" w:rsidRPr="00B70E92" w:rsidRDefault="009C2D6E" w:rsidP="009C2D6E">
      <w:pPr>
        <w:rPr>
          <w:b/>
          <w:sz w:val="24"/>
          <w:szCs w:val="24"/>
        </w:rPr>
      </w:pPr>
      <w:r w:rsidRPr="00B70E92">
        <w:rPr>
          <w:b/>
          <w:sz w:val="24"/>
          <w:szCs w:val="24"/>
        </w:rPr>
        <w:t>S</w:t>
      </w:r>
      <w:r>
        <w:rPr>
          <w:b/>
          <w:sz w:val="24"/>
          <w:szCs w:val="24"/>
        </w:rPr>
        <w:t>ubs</w:t>
      </w:r>
      <w:r w:rsidRPr="00B70E92">
        <w:rPr>
          <w:b/>
          <w:sz w:val="24"/>
          <w:szCs w:val="24"/>
        </w:rPr>
        <w:t xml:space="preserve">ection </w:t>
      </w:r>
      <w:r>
        <w:rPr>
          <w:b/>
          <w:sz w:val="24"/>
          <w:szCs w:val="24"/>
        </w:rPr>
        <w:t>22(3)</w:t>
      </w:r>
    </w:p>
    <w:p w:rsidR="009C2D6E" w:rsidRPr="00B70E92" w:rsidRDefault="009C2D6E" w:rsidP="009C2D6E"/>
    <w:p w:rsidR="009C2D6E" w:rsidRPr="00B70E92" w:rsidRDefault="009C2D6E" w:rsidP="009C2D6E">
      <w:pPr>
        <w:rPr>
          <w:b/>
        </w:rPr>
      </w:pPr>
      <w:r w:rsidRPr="00B70E92">
        <w:rPr>
          <w:b/>
        </w:rPr>
        <w:t>Kind of editorial change</w:t>
      </w:r>
    </w:p>
    <w:p w:rsidR="009C2D6E" w:rsidRPr="00B70E92" w:rsidRDefault="009C2D6E" w:rsidP="009C2D6E"/>
    <w:p w:rsidR="009C2D6E" w:rsidRPr="00B70E92" w:rsidRDefault="009C2D6E" w:rsidP="009C2D6E">
      <w:r w:rsidRPr="00B70E92">
        <w:t>Reordering of definitions</w:t>
      </w:r>
    </w:p>
    <w:p w:rsidR="009C2D6E" w:rsidRPr="00B70E92" w:rsidRDefault="009C2D6E" w:rsidP="009C2D6E"/>
    <w:p w:rsidR="009C2D6E" w:rsidRPr="00B70E92" w:rsidRDefault="009C2D6E" w:rsidP="009C2D6E">
      <w:pPr>
        <w:rPr>
          <w:b/>
        </w:rPr>
      </w:pPr>
      <w:r w:rsidRPr="00B70E92">
        <w:rPr>
          <w:b/>
        </w:rPr>
        <w:t>Details of editorial change</w:t>
      </w:r>
    </w:p>
    <w:p w:rsidR="009C2D6E" w:rsidRPr="00B70E92" w:rsidRDefault="009C2D6E" w:rsidP="009C2D6E"/>
    <w:p w:rsidR="009C2D6E" w:rsidRPr="00B70E92" w:rsidRDefault="009C2D6E" w:rsidP="009C2D6E">
      <w:r w:rsidRPr="0059569E">
        <w:t xml:space="preserve">This compilation was editorially changed to move the definition of </w:t>
      </w:r>
      <w:r w:rsidRPr="007B0D73">
        <w:rPr>
          <w:b/>
          <w:i/>
        </w:rPr>
        <w:t>the certificate period</w:t>
      </w:r>
      <w:r w:rsidRPr="0059569E">
        <w:t xml:space="preserve"> in </w:t>
      </w:r>
      <w:r w:rsidRPr="00B70E92">
        <w:t>s</w:t>
      </w:r>
      <w:r>
        <w:t>ubs</w:t>
      </w:r>
      <w:r w:rsidRPr="00B70E92">
        <w:t xml:space="preserve">ection </w:t>
      </w:r>
      <w:r>
        <w:t>22(</w:t>
      </w:r>
      <w:r w:rsidRPr="00B70E92">
        <w:t>3</w:t>
      </w:r>
      <w:r>
        <w:t>)</w:t>
      </w:r>
      <w:r w:rsidRPr="0059569E">
        <w:t xml:space="preserve"> to the correct alphabetical position.</w:t>
      </w:r>
    </w:p>
    <w:p w:rsidR="00F6099A" w:rsidRDefault="00F6099A" w:rsidP="00F6099A">
      <w:pPr>
        <w:pStyle w:val="Head2"/>
        <w:keepLines/>
      </w:pPr>
      <w:r>
        <w:lastRenderedPageBreak/>
        <w:t>National Health (Listing of Pharmaceutical Benefits) Instrument 2012 (PB 71 of 2012), Compilation No. 89,</w:t>
      </w:r>
      <w:r w:rsidRPr="003342C4">
        <w:t xml:space="preserve"> Registration Date:</w:t>
      </w:r>
      <w:r>
        <w:t xml:space="preserve"> 19 March 2020 [</w:t>
      </w:r>
      <w:r>
        <w:rPr>
          <w:bCs/>
        </w:rPr>
        <w:t>F2020C00198</w:t>
      </w:r>
      <w:r>
        <w:t>]</w:t>
      </w:r>
    </w:p>
    <w:p w:rsidR="00F6099A" w:rsidRPr="00F2598C" w:rsidRDefault="00F6099A" w:rsidP="00F6099A"/>
    <w:p w:rsidR="00F6099A" w:rsidRPr="004549F1" w:rsidRDefault="00F6099A" w:rsidP="00F6099A">
      <w:pPr>
        <w:rPr>
          <w:b/>
          <w:sz w:val="24"/>
          <w:szCs w:val="24"/>
        </w:rPr>
      </w:pPr>
      <w:r>
        <w:rPr>
          <w:b/>
          <w:sz w:val="24"/>
          <w:szCs w:val="24"/>
        </w:rPr>
        <w:t>S</w:t>
      </w:r>
      <w:r w:rsidRPr="0079000F">
        <w:rPr>
          <w:b/>
          <w:sz w:val="24"/>
          <w:szCs w:val="24"/>
        </w:rPr>
        <w:t>chedule 5, entry for Ramipril</w:t>
      </w:r>
      <w:r>
        <w:rPr>
          <w:b/>
          <w:sz w:val="24"/>
          <w:szCs w:val="24"/>
        </w:rPr>
        <w:t xml:space="preserve"> </w:t>
      </w:r>
      <w:r w:rsidRPr="0079000F">
        <w:rPr>
          <w:b/>
          <w:sz w:val="24"/>
          <w:szCs w:val="24"/>
        </w:rPr>
        <w:t xml:space="preserve">in the form Tablet 5 mg </w:t>
      </w:r>
      <w:r w:rsidRPr="0079000F">
        <w:rPr>
          <w:b/>
          <w:i/>
          <w:sz w:val="24"/>
          <w:szCs w:val="24"/>
        </w:rPr>
        <w:t>[GRP-15424]</w:t>
      </w:r>
    </w:p>
    <w:p w:rsidR="00F6099A" w:rsidRPr="0091532C" w:rsidRDefault="00F6099A" w:rsidP="00F6099A"/>
    <w:p w:rsidR="00F6099A" w:rsidRPr="004549F1" w:rsidRDefault="00F6099A" w:rsidP="00F6099A">
      <w:pPr>
        <w:rPr>
          <w:b/>
        </w:rPr>
      </w:pPr>
      <w:r w:rsidRPr="004549F1">
        <w:rPr>
          <w:b/>
        </w:rPr>
        <w:t>Kind of editorial change</w:t>
      </w:r>
    </w:p>
    <w:p w:rsidR="00F6099A" w:rsidRPr="004549F1" w:rsidRDefault="00F6099A" w:rsidP="00F6099A"/>
    <w:p w:rsidR="00F6099A" w:rsidRPr="0091532C" w:rsidRDefault="00F6099A" w:rsidP="00F6099A">
      <w:r w:rsidRPr="005305F7">
        <w:t>Give effect to the misdescribed amendment as intended</w:t>
      </w:r>
    </w:p>
    <w:p w:rsidR="00F6099A" w:rsidRPr="004549F1" w:rsidRDefault="00F6099A" w:rsidP="00F6099A"/>
    <w:p w:rsidR="00F6099A" w:rsidRPr="004549F1" w:rsidRDefault="00F6099A" w:rsidP="00F6099A">
      <w:pPr>
        <w:rPr>
          <w:b/>
        </w:rPr>
      </w:pPr>
      <w:r w:rsidRPr="004549F1">
        <w:rPr>
          <w:b/>
        </w:rPr>
        <w:t>Details of editorial change</w:t>
      </w:r>
    </w:p>
    <w:p w:rsidR="00F6099A" w:rsidRPr="0091532C" w:rsidRDefault="00F6099A" w:rsidP="00F6099A"/>
    <w:p w:rsidR="00F6099A" w:rsidRDefault="00F6099A" w:rsidP="00F6099A">
      <w:r>
        <w:t xml:space="preserve">Schedule 1 item 120 of the </w:t>
      </w:r>
      <w:r w:rsidRPr="005305F7">
        <w:rPr>
          <w:i/>
        </w:rPr>
        <w:t>National Health (Listing of Pharmaceutical Benefits) Amendment Instrument 2020 (No. 2)</w:t>
      </w:r>
      <w:r>
        <w:t xml:space="preserve"> (PB 14 of 2020) provides as follows:</w:t>
      </w:r>
    </w:p>
    <w:p w:rsidR="00F6099A" w:rsidRDefault="00F6099A" w:rsidP="00F6099A"/>
    <w:p w:rsidR="00F6099A" w:rsidRDefault="00F6099A" w:rsidP="00F6099A">
      <w:pPr>
        <w:pStyle w:val="Amendment1"/>
        <w:numPr>
          <w:ilvl w:val="0"/>
          <w:numId w:val="0"/>
        </w:numPr>
        <w:tabs>
          <w:tab w:val="left" w:pos="851"/>
        </w:tabs>
        <w:spacing w:before="0"/>
        <w:ind w:left="851" w:hanging="851"/>
      </w:pPr>
      <w:r>
        <w:t>[120]</w:t>
      </w:r>
      <w:r>
        <w:tab/>
        <w:t xml:space="preserve">Schedule 5, entry for Ramiprilin the form Tablet 5 mg </w:t>
      </w:r>
      <w:r>
        <w:rPr>
          <w:i/>
        </w:rPr>
        <w:t>[GRP-15424]</w:t>
      </w:r>
    </w:p>
    <w:p w:rsidR="00F6099A" w:rsidRDefault="00F6099A" w:rsidP="00F6099A">
      <w:pPr>
        <w:pStyle w:val="Amendment2"/>
        <w:spacing w:after="0" w:line="240" w:lineRule="auto"/>
        <w:ind w:left="851" w:hanging="851"/>
      </w:pPr>
      <w:r>
        <w:tab/>
        <w:t xml:space="preserve">insert in alphabetical order in the column headed “Brand”: </w:t>
      </w:r>
      <w:r>
        <w:rPr>
          <w:rStyle w:val="AmendmentKeyword"/>
        </w:rPr>
        <w:t>Prilace</w:t>
      </w:r>
    </w:p>
    <w:p w:rsidR="00F6099A" w:rsidRPr="005305F7" w:rsidRDefault="00F6099A" w:rsidP="00F6099A"/>
    <w:p w:rsidR="00F6099A" w:rsidRDefault="00F6099A" w:rsidP="00F6099A">
      <w:pPr>
        <w:tabs>
          <w:tab w:val="left" w:pos="720"/>
          <w:tab w:val="left" w:pos="3828"/>
        </w:tabs>
      </w:pPr>
      <w:r w:rsidRPr="005305F7">
        <w:t>The instruction refers to “</w:t>
      </w:r>
      <w:r>
        <w:t>Ramiprilin</w:t>
      </w:r>
      <w:r w:rsidRPr="005305F7">
        <w:t>” rather than “</w:t>
      </w:r>
      <w:r>
        <w:t>Ramipril in</w:t>
      </w:r>
      <w:r w:rsidRPr="005305F7">
        <w:t>”.</w:t>
      </w:r>
    </w:p>
    <w:p w:rsidR="00F6099A" w:rsidRPr="005305F7" w:rsidRDefault="00F6099A" w:rsidP="00F6099A"/>
    <w:p w:rsidR="00F6099A" w:rsidRPr="00F41C15" w:rsidRDefault="00F6099A" w:rsidP="00F6099A">
      <w:pPr>
        <w:tabs>
          <w:tab w:val="left" w:pos="720"/>
          <w:tab w:val="left" w:pos="3828"/>
        </w:tabs>
      </w:pPr>
      <w:r w:rsidRPr="005305F7">
        <w:t xml:space="preserve">This compilation was editorially changed to </w:t>
      </w:r>
      <w:r>
        <w:t>insert</w:t>
      </w:r>
      <w:r w:rsidRPr="005305F7">
        <w:t xml:space="preserve"> “</w:t>
      </w:r>
      <w:r w:rsidRPr="005305F7">
        <w:rPr>
          <w:b/>
        </w:rPr>
        <w:t>Prilace</w:t>
      </w:r>
      <w:r>
        <w:t>” into</w:t>
      </w:r>
      <w:r w:rsidRPr="005305F7">
        <w:t xml:space="preserve"> the column headed “</w:t>
      </w:r>
      <w:r w:rsidRPr="00CB74BD">
        <w:t>Brand</w:t>
      </w:r>
      <w:r>
        <w:t>” in the entry for</w:t>
      </w:r>
      <w:r w:rsidRPr="005305F7">
        <w:t xml:space="preserve"> </w:t>
      </w:r>
      <w:r>
        <w:t xml:space="preserve">Ramipril in the form Tablet 5 mg </w:t>
      </w:r>
      <w:r>
        <w:rPr>
          <w:i/>
        </w:rPr>
        <w:t>[GRP-15424]</w:t>
      </w:r>
      <w:r w:rsidRPr="005305F7">
        <w:t xml:space="preserve"> </w:t>
      </w:r>
      <w:r>
        <w:t>in Schedule 5</w:t>
      </w:r>
      <w:r w:rsidRPr="005305F7">
        <w:t xml:space="preserve"> to give effec</w:t>
      </w:r>
      <w:r>
        <w:t>t to the misdescribed amendment</w:t>
      </w:r>
      <w:r w:rsidRPr="005305F7">
        <w:t xml:space="preserve"> as intended.</w:t>
      </w:r>
    </w:p>
    <w:p w:rsidR="00F6099A" w:rsidRPr="00F2598C" w:rsidRDefault="00F6099A" w:rsidP="00F6099A"/>
    <w:p w:rsidR="00F6099A" w:rsidRPr="00F2598C" w:rsidRDefault="00F6099A" w:rsidP="00F6099A"/>
    <w:p w:rsidR="00F6099A" w:rsidRPr="004549F1" w:rsidRDefault="00F6099A" w:rsidP="00F6099A">
      <w:pPr>
        <w:rPr>
          <w:b/>
          <w:sz w:val="24"/>
          <w:szCs w:val="24"/>
        </w:rPr>
      </w:pPr>
      <w:r>
        <w:rPr>
          <w:b/>
          <w:sz w:val="24"/>
          <w:szCs w:val="24"/>
        </w:rPr>
        <w:t>S</w:t>
      </w:r>
      <w:r w:rsidRPr="0079000F">
        <w:rPr>
          <w:b/>
          <w:sz w:val="24"/>
          <w:szCs w:val="24"/>
        </w:rPr>
        <w:t>chedule 5, entry for Ramipril</w:t>
      </w:r>
      <w:r>
        <w:rPr>
          <w:b/>
          <w:sz w:val="24"/>
          <w:szCs w:val="24"/>
        </w:rPr>
        <w:t xml:space="preserve"> </w:t>
      </w:r>
      <w:r w:rsidRPr="0079000F">
        <w:rPr>
          <w:b/>
          <w:sz w:val="24"/>
          <w:szCs w:val="24"/>
        </w:rPr>
        <w:t xml:space="preserve">in the form </w:t>
      </w:r>
      <w:r w:rsidRPr="000E5561">
        <w:rPr>
          <w:b/>
          <w:sz w:val="24"/>
          <w:szCs w:val="24"/>
        </w:rPr>
        <w:t xml:space="preserve">Capsule 10 mg </w:t>
      </w:r>
      <w:r w:rsidRPr="000E5561">
        <w:rPr>
          <w:b/>
          <w:i/>
          <w:sz w:val="24"/>
          <w:szCs w:val="24"/>
        </w:rPr>
        <w:t>[GRP-15431]</w:t>
      </w:r>
    </w:p>
    <w:p w:rsidR="00F6099A" w:rsidRPr="0091532C" w:rsidRDefault="00F6099A" w:rsidP="00F6099A"/>
    <w:p w:rsidR="00F6099A" w:rsidRPr="004549F1" w:rsidRDefault="00F6099A" w:rsidP="00F6099A">
      <w:pPr>
        <w:rPr>
          <w:b/>
        </w:rPr>
      </w:pPr>
      <w:r w:rsidRPr="004549F1">
        <w:rPr>
          <w:b/>
        </w:rPr>
        <w:t>Kind of editorial change</w:t>
      </w:r>
    </w:p>
    <w:p w:rsidR="00F6099A" w:rsidRPr="004549F1" w:rsidRDefault="00F6099A" w:rsidP="00F6099A"/>
    <w:p w:rsidR="00F6099A" w:rsidRPr="0091532C" w:rsidRDefault="00F6099A" w:rsidP="00F6099A">
      <w:r w:rsidRPr="005305F7">
        <w:t>Give effect to the misdescribed amendment as intended</w:t>
      </w:r>
    </w:p>
    <w:p w:rsidR="00F6099A" w:rsidRPr="004549F1" w:rsidRDefault="00F6099A" w:rsidP="00F6099A"/>
    <w:p w:rsidR="00F6099A" w:rsidRPr="004549F1" w:rsidRDefault="00F6099A" w:rsidP="00F6099A">
      <w:pPr>
        <w:rPr>
          <w:b/>
        </w:rPr>
      </w:pPr>
      <w:r w:rsidRPr="004549F1">
        <w:rPr>
          <w:b/>
        </w:rPr>
        <w:t>Details of editorial change</w:t>
      </w:r>
    </w:p>
    <w:p w:rsidR="00F6099A" w:rsidRPr="0091532C" w:rsidRDefault="00F6099A" w:rsidP="00F6099A"/>
    <w:p w:rsidR="00F6099A" w:rsidRDefault="00F6099A" w:rsidP="00F6099A">
      <w:r>
        <w:t xml:space="preserve">Schedule 1 item 121 of the </w:t>
      </w:r>
      <w:r w:rsidRPr="005305F7">
        <w:rPr>
          <w:i/>
        </w:rPr>
        <w:t>National Health (Listing of Pharmaceutical Benefits) Amendment Instrument 2020 (No. 2)</w:t>
      </w:r>
      <w:r>
        <w:t xml:space="preserve"> (PB 14 of 2020) provides as follows:</w:t>
      </w:r>
    </w:p>
    <w:p w:rsidR="00F6099A" w:rsidRDefault="00F6099A" w:rsidP="00F6099A"/>
    <w:p w:rsidR="00F6099A" w:rsidRDefault="00F6099A" w:rsidP="00F6099A">
      <w:pPr>
        <w:pStyle w:val="Amendment1"/>
        <w:numPr>
          <w:ilvl w:val="0"/>
          <w:numId w:val="0"/>
        </w:numPr>
        <w:tabs>
          <w:tab w:val="left" w:pos="851"/>
        </w:tabs>
        <w:spacing w:before="0"/>
        <w:ind w:left="851" w:hanging="851"/>
      </w:pPr>
      <w:r>
        <w:t>[121]</w:t>
      </w:r>
      <w:r>
        <w:tab/>
        <w:t xml:space="preserve">Schedule 5, entry for Ramiprilin the form </w:t>
      </w:r>
      <w:r w:rsidRPr="000E5561">
        <w:t xml:space="preserve">Capsule 10 mg </w:t>
      </w:r>
      <w:r w:rsidRPr="00076E3B">
        <w:rPr>
          <w:i/>
        </w:rPr>
        <w:t>[GRP-15431]</w:t>
      </w:r>
    </w:p>
    <w:p w:rsidR="00F6099A" w:rsidRDefault="00F6099A" w:rsidP="00F6099A">
      <w:pPr>
        <w:pStyle w:val="Amendment2"/>
        <w:spacing w:after="0" w:line="240" w:lineRule="auto"/>
        <w:ind w:left="851" w:hanging="851"/>
      </w:pPr>
      <w:r>
        <w:tab/>
        <w:t xml:space="preserve">insert in alphabetical order in the column headed “Brand”: </w:t>
      </w:r>
      <w:r>
        <w:rPr>
          <w:rStyle w:val="AmendmentKeyword"/>
        </w:rPr>
        <w:t>Prilace</w:t>
      </w:r>
    </w:p>
    <w:p w:rsidR="00F6099A" w:rsidRPr="005305F7" w:rsidRDefault="00F6099A" w:rsidP="00F6099A"/>
    <w:p w:rsidR="00F6099A" w:rsidRDefault="00F6099A" w:rsidP="00F6099A">
      <w:pPr>
        <w:tabs>
          <w:tab w:val="left" w:pos="720"/>
          <w:tab w:val="left" w:pos="3828"/>
        </w:tabs>
      </w:pPr>
      <w:r w:rsidRPr="005305F7">
        <w:t>The instruction refers to “</w:t>
      </w:r>
      <w:r>
        <w:t>Ramiprilin</w:t>
      </w:r>
      <w:r w:rsidRPr="005305F7">
        <w:t>” rather than “</w:t>
      </w:r>
      <w:r>
        <w:t>Ramipril in</w:t>
      </w:r>
      <w:r w:rsidRPr="005305F7">
        <w:t>”.</w:t>
      </w:r>
    </w:p>
    <w:p w:rsidR="00F6099A" w:rsidRPr="005305F7" w:rsidRDefault="00F6099A" w:rsidP="00F6099A"/>
    <w:p w:rsidR="00F6099A" w:rsidRPr="00F41C15" w:rsidRDefault="00F6099A" w:rsidP="00F6099A">
      <w:pPr>
        <w:tabs>
          <w:tab w:val="left" w:pos="720"/>
          <w:tab w:val="left" w:pos="3828"/>
        </w:tabs>
      </w:pPr>
      <w:r w:rsidRPr="005305F7">
        <w:t xml:space="preserve">This compilation was editorially changed to </w:t>
      </w:r>
      <w:r>
        <w:t>insert</w:t>
      </w:r>
      <w:r w:rsidRPr="005305F7">
        <w:t xml:space="preserve"> “</w:t>
      </w:r>
      <w:r w:rsidRPr="005305F7">
        <w:rPr>
          <w:b/>
        </w:rPr>
        <w:t>Prilace</w:t>
      </w:r>
      <w:r>
        <w:t>” into</w:t>
      </w:r>
      <w:r w:rsidRPr="005305F7">
        <w:t xml:space="preserve"> the column headed “</w:t>
      </w:r>
      <w:r w:rsidRPr="00CB74BD">
        <w:t>Brand</w:t>
      </w:r>
      <w:r>
        <w:t>” in the entry for</w:t>
      </w:r>
      <w:r w:rsidRPr="005305F7">
        <w:t xml:space="preserve"> </w:t>
      </w:r>
      <w:r>
        <w:t xml:space="preserve">Ramipril in the form </w:t>
      </w:r>
      <w:r w:rsidRPr="000E5561">
        <w:t xml:space="preserve">Capsule 10 mg </w:t>
      </w:r>
      <w:r w:rsidRPr="00076E3B">
        <w:rPr>
          <w:i/>
        </w:rPr>
        <w:t>[GRP-15431]</w:t>
      </w:r>
      <w:r w:rsidRPr="005305F7">
        <w:t xml:space="preserve"> </w:t>
      </w:r>
      <w:r>
        <w:t>in Schedule 5</w:t>
      </w:r>
      <w:r w:rsidRPr="005305F7">
        <w:t xml:space="preserve"> to give effec</w:t>
      </w:r>
      <w:r>
        <w:t>t to the misdescribed amendment</w:t>
      </w:r>
      <w:r w:rsidRPr="005305F7">
        <w:t xml:space="preserve"> as intended.</w:t>
      </w:r>
    </w:p>
    <w:p w:rsidR="00F6099A" w:rsidRPr="00F2598C" w:rsidRDefault="00F6099A" w:rsidP="00F6099A"/>
    <w:p w:rsidR="00F6099A" w:rsidRPr="00F2598C" w:rsidRDefault="00F6099A" w:rsidP="00F6099A"/>
    <w:p w:rsidR="00F6099A" w:rsidRPr="004549F1" w:rsidRDefault="00F6099A" w:rsidP="00354C97">
      <w:pPr>
        <w:keepNext/>
        <w:rPr>
          <w:b/>
          <w:sz w:val="24"/>
          <w:szCs w:val="24"/>
        </w:rPr>
      </w:pPr>
      <w:r>
        <w:rPr>
          <w:b/>
          <w:sz w:val="24"/>
          <w:szCs w:val="24"/>
        </w:rPr>
        <w:t>S</w:t>
      </w:r>
      <w:r w:rsidRPr="0079000F">
        <w:rPr>
          <w:b/>
          <w:sz w:val="24"/>
          <w:szCs w:val="24"/>
        </w:rPr>
        <w:t>chedule 5, entry for Ramipril</w:t>
      </w:r>
      <w:r>
        <w:rPr>
          <w:b/>
          <w:sz w:val="24"/>
          <w:szCs w:val="24"/>
        </w:rPr>
        <w:t xml:space="preserve"> </w:t>
      </w:r>
      <w:r w:rsidRPr="0079000F">
        <w:rPr>
          <w:b/>
          <w:sz w:val="24"/>
          <w:szCs w:val="24"/>
        </w:rPr>
        <w:t xml:space="preserve">in the form </w:t>
      </w:r>
      <w:r w:rsidRPr="000E5561">
        <w:rPr>
          <w:b/>
          <w:sz w:val="24"/>
          <w:szCs w:val="24"/>
        </w:rPr>
        <w:t xml:space="preserve">Tablet 1.25 mg </w:t>
      </w:r>
      <w:r w:rsidRPr="00076E3B">
        <w:rPr>
          <w:b/>
          <w:i/>
          <w:sz w:val="24"/>
          <w:szCs w:val="24"/>
        </w:rPr>
        <w:t>[GRP-15640]</w:t>
      </w:r>
    </w:p>
    <w:p w:rsidR="00F6099A" w:rsidRPr="0091532C" w:rsidRDefault="00F6099A" w:rsidP="00F6099A"/>
    <w:p w:rsidR="00F6099A" w:rsidRPr="004549F1" w:rsidRDefault="00F6099A" w:rsidP="00F6099A">
      <w:pPr>
        <w:rPr>
          <w:b/>
        </w:rPr>
      </w:pPr>
      <w:r w:rsidRPr="004549F1">
        <w:rPr>
          <w:b/>
        </w:rPr>
        <w:t>Kind of editorial change</w:t>
      </w:r>
    </w:p>
    <w:p w:rsidR="00F6099A" w:rsidRPr="004549F1" w:rsidRDefault="00F6099A" w:rsidP="00F6099A"/>
    <w:p w:rsidR="00F6099A" w:rsidRPr="0091532C" w:rsidRDefault="00F6099A" w:rsidP="00F6099A">
      <w:r w:rsidRPr="005305F7">
        <w:t>Give effect to the misdescribed amendment as intended</w:t>
      </w:r>
    </w:p>
    <w:p w:rsidR="00F6099A" w:rsidRPr="004549F1" w:rsidRDefault="00F6099A" w:rsidP="00F6099A"/>
    <w:p w:rsidR="00F6099A" w:rsidRPr="004549F1" w:rsidRDefault="00F6099A" w:rsidP="00F6099A">
      <w:pPr>
        <w:rPr>
          <w:b/>
        </w:rPr>
      </w:pPr>
      <w:r w:rsidRPr="004549F1">
        <w:rPr>
          <w:b/>
        </w:rPr>
        <w:lastRenderedPageBreak/>
        <w:t>Details of editorial change</w:t>
      </w:r>
    </w:p>
    <w:p w:rsidR="00F6099A" w:rsidRPr="0091532C" w:rsidRDefault="00F6099A" w:rsidP="00F6099A"/>
    <w:p w:rsidR="00F6099A" w:rsidRDefault="00F6099A" w:rsidP="00F6099A">
      <w:r>
        <w:t xml:space="preserve">Schedule 1 item 122 of the </w:t>
      </w:r>
      <w:r w:rsidRPr="005305F7">
        <w:rPr>
          <w:i/>
        </w:rPr>
        <w:t>National Health (Listing of Pharmaceutical Benefits) Amendment Instrument 2020 (No. 2)</w:t>
      </w:r>
      <w:r>
        <w:t xml:space="preserve"> (PB 14 of 2020) provides as follows:</w:t>
      </w:r>
    </w:p>
    <w:p w:rsidR="00F6099A" w:rsidRDefault="00F6099A" w:rsidP="00F6099A"/>
    <w:p w:rsidR="00F6099A" w:rsidRDefault="00F6099A" w:rsidP="00F6099A">
      <w:pPr>
        <w:pStyle w:val="Amendment1"/>
        <w:numPr>
          <w:ilvl w:val="0"/>
          <w:numId w:val="0"/>
        </w:numPr>
        <w:tabs>
          <w:tab w:val="left" w:pos="851"/>
        </w:tabs>
        <w:spacing w:before="0"/>
        <w:ind w:left="851" w:hanging="851"/>
      </w:pPr>
      <w:r>
        <w:t>[122]</w:t>
      </w:r>
      <w:r>
        <w:tab/>
        <w:t xml:space="preserve">Schedule 5, entry for Ramiprilin the form </w:t>
      </w:r>
      <w:r w:rsidRPr="000E5561">
        <w:t xml:space="preserve">Tablet 1.25 mg </w:t>
      </w:r>
      <w:r w:rsidRPr="00076E3B">
        <w:rPr>
          <w:i/>
        </w:rPr>
        <w:t>[GRP-15640]</w:t>
      </w:r>
    </w:p>
    <w:p w:rsidR="00F6099A" w:rsidRDefault="00F6099A" w:rsidP="00F6099A">
      <w:pPr>
        <w:pStyle w:val="Amendment2"/>
        <w:spacing w:after="0" w:line="240" w:lineRule="auto"/>
        <w:ind w:left="851" w:hanging="851"/>
      </w:pPr>
      <w:r>
        <w:tab/>
        <w:t xml:space="preserve">insert in alphabetical order in the column headed “Brand”: </w:t>
      </w:r>
      <w:r>
        <w:rPr>
          <w:rStyle w:val="AmendmentKeyword"/>
        </w:rPr>
        <w:t>Prilace</w:t>
      </w:r>
    </w:p>
    <w:p w:rsidR="00F6099A" w:rsidRPr="005305F7" w:rsidRDefault="00F6099A" w:rsidP="00F6099A"/>
    <w:p w:rsidR="00F6099A" w:rsidRDefault="00F6099A" w:rsidP="00F6099A">
      <w:pPr>
        <w:tabs>
          <w:tab w:val="left" w:pos="720"/>
          <w:tab w:val="left" w:pos="3828"/>
        </w:tabs>
      </w:pPr>
      <w:r w:rsidRPr="005305F7">
        <w:t>The instruction refers to “</w:t>
      </w:r>
      <w:r>
        <w:t>Ramiprilin</w:t>
      </w:r>
      <w:r w:rsidRPr="005305F7">
        <w:t>” rather than “</w:t>
      </w:r>
      <w:r>
        <w:t>Ramipril in</w:t>
      </w:r>
      <w:r w:rsidRPr="005305F7">
        <w:t>”.</w:t>
      </w:r>
    </w:p>
    <w:p w:rsidR="00F6099A" w:rsidRPr="005305F7" w:rsidRDefault="00F6099A" w:rsidP="00F6099A"/>
    <w:p w:rsidR="00F6099A" w:rsidRPr="00F41C15" w:rsidRDefault="00F6099A" w:rsidP="00F6099A">
      <w:pPr>
        <w:tabs>
          <w:tab w:val="left" w:pos="720"/>
          <w:tab w:val="left" w:pos="3828"/>
        </w:tabs>
      </w:pPr>
      <w:r w:rsidRPr="005305F7">
        <w:t xml:space="preserve">This compilation was editorially changed to </w:t>
      </w:r>
      <w:r>
        <w:t>insert</w:t>
      </w:r>
      <w:r w:rsidRPr="005305F7">
        <w:t xml:space="preserve"> “</w:t>
      </w:r>
      <w:r w:rsidRPr="005305F7">
        <w:rPr>
          <w:b/>
        </w:rPr>
        <w:t>Prilace</w:t>
      </w:r>
      <w:r>
        <w:t>” into</w:t>
      </w:r>
      <w:r w:rsidRPr="005305F7">
        <w:t xml:space="preserve"> the column headed “</w:t>
      </w:r>
      <w:r w:rsidRPr="00CB74BD">
        <w:t>Brand</w:t>
      </w:r>
      <w:r>
        <w:t>” in the entry for</w:t>
      </w:r>
      <w:r w:rsidRPr="005305F7">
        <w:t xml:space="preserve"> </w:t>
      </w:r>
      <w:r>
        <w:t xml:space="preserve">Ramipril in the form </w:t>
      </w:r>
      <w:r w:rsidRPr="000E5561">
        <w:t xml:space="preserve">Tablet 1.25 mg </w:t>
      </w:r>
      <w:r w:rsidRPr="00076E3B">
        <w:rPr>
          <w:i/>
        </w:rPr>
        <w:t>[GRP-15640]</w:t>
      </w:r>
      <w:r w:rsidRPr="005305F7">
        <w:t xml:space="preserve"> </w:t>
      </w:r>
      <w:r>
        <w:t>in Schedule 5</w:t>
      </w:r>
      <w:r w:rsidRPr="005305F7">
        <w:t xml:space="preserve"> to give effec</w:t>
      </w:r>
      <w:r>
        <w:t>t to the misdescribed amendment</w:t>
      </w:r>
      <w:r w:rsidRPr="005305F7">
        <w:t xml:space="preserve"> as intended.</w:t>
      </w:r>
    </w:p>
    <w:p w:rsidR="00F6099A" w:rsidRPr="00F2598C" w:rsidRDefault="00F6099A" w:rsidP="00F6099A"/>
    <w:p w:rsidR="00F6099A" w:rsidRPr="00F2598C" w:rsidRDefault="00F6099A" w:rsidP="00F6099A"/>
    <w:p w:rsidR="00F6099A" w:rsidRPr="004549F1" w:rsidRDefault="00F6099A" w:rsidP="00F6099A">
      <w:pPr>
        <w:rPr>
          <w:b/>
          <w:sz w:val="24"/>
          <w:szCs w:val="24"/>
        </w:rPr>
      </w:pPr>
      <w:r>
        <w:rPr>
          <w:b/>
          <w:sz w:val="24"/>
          <w:szCs w:val="24"/>
        </w:rPr>
        <w:t>S</w:t>
      </w:r>
      <w:r w:rsidRPr="0079000F">
        <w:rPr>
          <w:b/>
          <w:sz w:val="24"/>
          <w:szCs w:val="24"/>
        </w:rPr>
        <w:t>chedule 5, entry for Ramipril</w:t>
      </w:r>
      <w:r>
        <w:rPr>
          <w:b/>
          <w:sz w:val="24"/>
          <w:szCs w:val="24"/>
        </w:rPr>
        <w:t xml:space="preserve"> </w:t>
      </w:r>
      <w:r w:rsidRPr="0079000F">
        <w:rPr>
          <w:b/>
          <w:sz w:val="24"/>
          <w:szCs w:val="24"/>
        </w:rPr>
        <w:t xml:space="preserve">in the form </w:t>
      </w:r>
      <w:r w:rsidRPr="000E5561">
        <w:rPr>
          <w:b/>
          <w:sz w:val="24"/>
          <w:szCs w:val="24"/>
        </w:rPr>
        <w:t xml:space="preserve">Tablet 2.5 mg </w:t>
      </w:r>
      <w:r w:rsidRPr="00076E3B">
        <w:rPr>
          <w:b/>
          <w:i/>
          <w:sz w:val="24"/>
          <w:szCs w:val="24"/>
        </w:rPr>
        <w:t>[GRP-15769]</w:t>
      </w:r>
    </w:p>
    <w:p w:rsidR="00F6099A" w:rsidRPr="0091532C" w:rsidRDefault="00F6099A" w:rsidP="00F6099A"/>
    <w:p w:rsidR="00F6099A" w:rsidRPr="004549F1" w:rsidRDefault="00F6099A" w:rsidP="00F6099A">
      <w:pPr>
        <w:rPr>
          <w:b/>
        </w:rPr>
      </w:pPr>
      <w:r w:rsidRPr="004549F1">
        <w:rPr>
          <w:b/>
        </w:rPr>
        <w:t>Kind of editorial change</w:t>
      </w:r>
    </w:p>
    <w:p w:rsidR="00F6099A" w:rsidRPr="004549F1" w:rsidRDefault="00F6099A" w:rsidP="00F6099A"/>
    <w:p w:rsidR="00F6099A" w:rsidRPr="0091532C" w:rsidRDefault="00F6099A" w:rsidP="00F6099A">
      <w:r w:rsidRPr="005305F7">
        <w:t>Give effect to the misdescribed amendment as intended</w:t>
      </w:r>
    </w:p>
    <w:p w:rsidR="00F6099A" w:rsidRPr="004549F1" w:rsidRDefault="00F6099A" w:rsidP="00F6099A"/>
    <w:p w:rsidR="00F6099A" w:rsidRPr="004549F1" w:rsidRDefault="00F6099A" w:rsidP="00F6099A">
      <w:pPr>
        <w:rPr>
          <w:b/>
        </w:rPr>
      </w:pPr>
      <w:r w:rsidRPr="004549F1">
        <w:rPr>
          <w:b/>
        </w:rPr>
        <w:t>Details of editorial change</w:t>
      </w:r>
    </w:p>
    <w:p w:rsidR="00F6099A" w:rsidRPr="0091532C" w:rsidRDefault="00F6099A" w:rsidP="00F6099A"/>
    <w:p w:rsidR="00F6099A" w:rsidRDefault="00F6099A" w:rsidP="00F6099A">
      <w:r>
        <w:t xml:space="preserve">Schedule 1 item 123 of the </w:t>
      </w:r>
      <w:r w:rsidRPr="005305F7">
        <w:rPr>
          <w:i/>
        </w:rPr>
        <w:t>National Health (Listing of Pharmaceutical Benefits) Amendment Instrument 2020 (No. 2)</w:t>
      </w:r>
      <w:r>
        <w:t xml:space="preserve"> (PB 14 of 2020) provides as follows:</w:t>
      </w:r>
    </w:p>
    <w:p w:rsidR="00F6099A" w:rsidRDefault="00F6099A" w:rsidP="00F6099A"/>
    <w:p w:rsidR="00F6099A" w:rsidRDefault="00F6099A" w:rsidP="00F6099A">
      <w:pPr>
        <w:pStyle w:val="Amendment1"/>
        <w:numPr>
          <w:ilvl w:val="0"/>
          <w:numId w:val="0"/>
        </w:numPr>
        <w:tabs>
          <w:tab w:val="left" w:pos="851"/>
        </w:tabs>
        <w:spacing w:before="0"/>
        <w:ind w:left="851" w:hanging="851"/>
      </w:pPr>
      <w:r>
        <w:t>[123]</w:t>
      </w:r>
      <w:r>
        <w:tab/>
        <w:t xml:space="preserve">Schedule 5, entry for Ramiprilin the form Tablet 2.5 mg </w:t>
      </w:r>
      <w:r>
        <w:rPr>
          <w:i/>
        </w:rPr>
        <w:t>[GRP-15769]</w:t>
      </w:r>
    </w:p>
    <w:p w:rsidR="00F6099A" w:rsidRDefault="00F6099A" w:rsidP="00F6099A">
      <w:pPr>
        <w:pStyle w:val="Amendment2"/>
        <w:spacing w:after="0" w:line="240" w:lineRule="auto"/>
        <w:ind w:left="851" w:hanging="851"/>
      </w:pPr>
      <w:r>
        <w:tab/>
        <w:t xml:space="preserve">insert in alphabetical order in the column headed “Brand”: </w:t>
      </w:r>
      <w:r>
        <w:rPr>
          <w:rStyle w:val="AmendmentKeyword"/>
        </w:rPr>
        <w:t>Prilace</w:t>
      </w:r>
    </w:p>
    <w:p w:rsidR="00F6099A" w:rsidRPr="005305F7" w:rsidRDefault="00F6099A" w:rsidP="00F6099A"/>
    <w:p w:rsidR="00F6099A" w:rsidRDefault="00F6099A" w:rsidP="00F6099A">
      <w:pPr>
        <w:tabs>
          <w:tab w:val="left" w:pos="720"/>
          <w:tab w:val="left" w:pos="3828"/>
        </w:tabs>
      </w:pPr>
      <w:r w:rsidRPr="005305F7">
        <w:t>The instruction refers to “</w:t>
      </w:r>
      <w:r>
        <w:t>Ramiprilin</w:t>
      </w:r>
      <w:r w:rsidRPr="005305F7">
        <w:t>” rather than “</w:t>
      </w:r>
      <w:r>
        <w:t>Ramipril in</w:t>
      </w:r>
      <w:r w:rsidRPr="005305F7">
        <w:t>”.</w:t>
      </w:r>
    </w:p>
    <w:p w:rsidR="00F6099A" w:rsidRPr="005305F7" w:rsidRDefault="00F6099A" w:rsidP="00F6099A"/>
    <w:p w:rsidR="00F6099A" w:rsidRPr="00F41C15" w:rsidRDefault="00F6099A" w:rsidP="00F6099A">
      <w:pPr>
        <w:tabs>
          <w:tab w:val="left" w:pos="720"/>
          <w:tab w:val="left" w:pos="3828"/>
        </w:tabs>
      </w:pPr>
      <w:r w:rsidRPr="005305F7">
        <w:t xml:space="preserve">This compilation was editorially changed to </w:t>
      </w:r>
      <w:r>
        <w:t>insert</w:t>
      </w:r>
      <w:r w:rsidRPr="005305F7">
        <w:t xml:space="preserve"> “</w:t>
      </w:r>
      <w:r w:rsidRPr="005305F7">
        <w:rPr>
          <w:b/>
        </w:rPr>
        <w:t>Prilace</w:t>
      </w:r>
      <w:r>
        <w:t>” into</w:t>
      </w:r>
      <w:r w:rsidRPr="005305F7">
        <w:t xml:space="preserve"> the column headed “</w:t>
      </w:r>
      <w:r w:rsidRPr="00CB74BD">
        <w:t>Brand</w:t>
      </w:r>
      <w:r>
        <w:t>” in the entry for</w:t>
      </w:r>
      <w:r w:rsidRPr="005305F7">
        <w:t xml:space="preserve"> </w:t>
      </w:r>
      <w:r>
        <w:t xml:space="preserve">Ramipril in the form Tablet 2.5 mg </w:t>
      </w:r>
      <w:r>
        <w:rPr>
          <w:i/>
        </w:rPr>
        <w:t>[GRP-15769]</w:t>
      </w:r>
      <w:r w:rsidRPr="005305F7">
        <w:t xml:space="preserve"> </w:t>
      </w:r>
      <w:r>
        <w:t>in Schedule 5</w:t>
      </w:r>
      <w:r w:rsidRPr="005305F7">
        <w:t xml:space="preserve"> to give effec</w:t>
      </w:r>
      <w:r>
        <w:t>t to the misdescribed amendment</w:t>
      </w:r>
      <w:r w:rsidRPr="005305F7">
        <w:t xml:space="preserve"> as intended.</w:t>
      </w:r>
    </w:p>
    <w:p w:rsidR="009A0E25" w:rsidRDefault="009A0E25" w:rsidP="009A0E25">
      <w:pPr>
        <w:pStyle w:val="Head2"/>
        <w:keepLines/>
      </w:pPr>
      <w:r>
        <w:t>National Redress Scheme for Institutional Child Sexual Abuse (Funders of Last Resort) Declaration 2019, Compilation No. 1,</w:t>
      </w:r>
      <w:r w:rsidRPr="003342C4">
        <w:t xml:space="preserve"> Registration Date:</w:t>
      </w:r>
      <w:r>
        <w:t xml:space="preserve"> 13 March 2020 [</w:t>
      </w:r>
      <w:r>
        <w:rPr>
          <w:bCs/>
        </w:rPr>
        <w:t>F2020C00181</w:t>
      </w:r>
      <w:r>
        <w:t>]</w:t>
      </w:r>
    </w:p>
    <w:p w:rsidR="009A0E25" w:rsidRPr="00F2598C" w:rsidRDefault="009A0E25" w:rsidP="009A0E25"/>
    <w:p w:rsidR="009A0E25" w:rsidRPr="008167BA" w:rsidRDefault="009A0E25" w:rsidP="009A0E25">
      <w:pPr>
        <w:rPr>
          <w:b/>
          <w:sz w:val="24"/>
          <w:szCs w:val="24"/>
        </w:rPr>
      </w:pPr>
      <w:r w:rsidRPr="008167BA">
        <w:rPr>
          <w:b/>
          <w:sz w:val="24"/>
          <w:szCs w:val="24"/>
        </w:rPr>
        <w:t xml:space="preserve">Section </w:t>
      </w:r>
      <w:r>
        <w:rPr>
          <w:b/>
          <w:sz w:val="24"/>
          <w:szCs w:val="24"/>
        </w:rPr>
        <w:t>5</w:t>
      </w:r>
    </w:p>
    <w:p w:rsidR="009A0E25" w:rsidRPr="008A17F8" w:rsidRDefault="009A0E25" w:rsidP="009A0E25"/>
    <w:p w:rsidR="009A0E25" w:rsidRPr="004549F1" w:rsidRDefault="009A0E25" w:rsidP="009A0E25">
      <w:pPr>
        <w:rPr>
          <w:b/>
        </w:rPr>
      </w:pPr>
      <w:r w:rsidRPr="004549F1">
        <w:rPr>
          <w:b/>
        </w:rPr>
        <w:t>Kind of editorial change</w:t>
      </w:r>
    </w:p>
    <w:p w:rsidR="009A0E25" w:rsidRPr="004549F1" w:rsidRDefault="009A0E25" w:rsidP="009A0E25"/>
    <w:p w:rsidR="009A0E25" w:rsidRDefault="009A0E25" w:rsidP="009A0E25">
      <w:r>
        <w:t>Give effect to the misdescribed amendment as intended</w:t>
      </w:r>
    </w:p>
    <w:p w:rsidR="009A0E25" w:rsidRPr="004549F1" w:rsidRDefault="009A0E25" w:rsidP="009A0E25"/>
    <w:p w:rsidR="009A0E25" w:rsidRPr="004549F1" w:rsidRDefault="009A0E25" w:rsidP="009A0E25">
      <w:pPr>
        <w:rPr>
          <w:b/>
        </w:rPr>
      </w:pPr>
      <w:r w:rsidRPr="004549F1">
        <w:rPr>
          <w:b/>
        </w:rPr>
        <w:t>Details of editorial change</w:t>
      </w:r>
    </w:p>
    <w:p w:rsidR="009A0E25" w:rsidRPr="008A17F8" w:rsidRDefault="009A0E25" w:rsidP="009A0E25"/>
    <w:p w:rsidR="009A0E25" w:rsidRDefault="009A0E25" w:rsidP="009A0E25">
      <w:r>
        <w:t xml:space="preserve">Schedule 1 item 1 </w:t>
      </w:r>
      <w:r w:rsidRPr="00FB3A2A">
        <w:t xml:space="preserve">of the </w:t>
      </w:r>
      <w:r w:rsidRPr="00A95996">
        <w:rPr>
          <w:i/>
        </w:rPr>
        <w:t>National Redress Scheme for Institutional Child Sexual Abuse Amendment (Funders of Last Resort) Declaration 2020</w:t>
      </w:r>
      <w:r w:rsidRPr="00FB3A2A">
        <w:t xml:space="preserve"> instructs t</w:t>
      </w:r>
      <w:r>
        <w:t>o repeal and substitute section 5.</w:t>
      </w:r>
    </w:p>
    <w:p w:rsidR="009A0E25" w:rsidRDefault="009A0E25" w:rsidP="009A0E25"/>
    <w:p w:rsidR="009A0E25" w:rsidRDefault="009A0E25" w:rsidP="009A0E25">
      <w:r>
        <w:t>This action repeals the section heading but does not replace it.</w:t>
      </w:r>
    </w:p>
    <w:p w:rsidR="009A0E25" w:rsidRDefault="009A0E25" w:rsidP="009A0E25"/>
    <w:p w:rsidR="009A0E25" w:rsidRDefault="009A0E25" w:rsidP="009A0E25">
      <w:r>
        <w:lastRenderedPageBreak/>
        <w:t>This compilation was editorially changed to reinsert the section 5 heading and give effect to the misdescribed amendment as intended.</w:t>
      </w:r>
    </w:p>
    <w:p w:rsidR="000170C2" w:rsidRDefault="000170C2" w:rsidP="000170C2">
      <w:pPr>
        <w:pStyle w:val="Head2"/>
        <w:keepLines/>
      </w:pPr>
      <w:r w:rsidRPr="002735D8">
        <w:t>Jervis Bay Territory Emergency Management Ordinance 2015</w:t>
      </w:r>
      <w:r>
        <w:t>, Compilation No. 1,</w:t>
      </w:r>
      <w:r w:rsidRPr="003342C4">
        <w:t xml:space="preserve"> Registration Date:</w:t>
      </w:r>
      <w:r>
        <w:t xml:space="preserve"> 12 March 2020 [</w:t>
      </w:r>
      <w:r>
        <w:rPr>
          <w:bCs/>
        </w:rPr>
        <w:t>F2020C00175</w:t>
      </w:r>
      <w:r>
        <w:t>]</w:t>
      </w:r>
    </w:p>
    <w:p w:rsidR="000170C2" w:rsidRPr="002735D8" w:rsidRDefault="000170C2" w:rsidP="000170C2"/>
    <w:p w:rsidR="000170C2" w:rsidRPr="002735D8" w:rsidRDefault="000170C2" w:rsidP="000170C2">
      <w:pPr>
        <w:rPr>
          <w:b/>
          <w:sz w:val="24"/>
          <w:szCs w:val="24"/>
        </w:rPr>
      </w:pPr>
      <w:r w:rsidRPr="002735D8">
        <w:rPr>
          <w:b/>
          <w:sz w:val="24"/>
          <w:szCs w:val="24"/>
        </w:rPr>
        <w:t>Section</w:t>
      </w:r>
      <w:r>
        <w:rPr>
          <w:b/>
          <w:sz w:val="24"/>
          <w:szCs w:val="24"/>
        </w:rPr>
        <w:t> </w:t>
      </w:r>
      <w:r w:rsidRPr="002735D8">
        <w:rPr>
          <w:b/>
          <w:sz w:val="24"/>
          <w:szCs w:val="24"/>
        </w:rPr>
        <w:t>29 (</w:t>
      </w:r>
      <w:r>
        <w:rPr>
          <w:b/>
          <w:sz w:val="24"/>
          <w:szCs w:val="24"/>
        </w:rPr>
        <w:t>paragraph (</w:t>
      </w:r>
      <w:r w:rsidRPr="002735D8">
        <w:rPr>
          <w:b/>
          <w:sz w:val="24"/>
          <w:szCs w:val="24"/>
        </w:rPr>
        <w:t xml:space="preserve">d) of the definitions of </w:t>
      </w:r>
      <w:r w:rsidRPr="002735D8">
        <w:rPr>
          <w:b/>
          <w:i/>
          <w:sz w:val="24"/>
          <w:szCs w:val="24"/>
        </w:rPr>
        <w:t>employer</w:t>
      </w:r>
      <w:r w:rsidRPr="002735D8">
        <w:rPr>
          <w:b/>
          <w:sz w:val="24"/>
          <w:szCs w:val="24"/>
        </w:rPr>
        <w:t xml:space="preserve"> and </w:t>
      </w:r>
      <w:r w:rsidRPr="002735D8">
        <w:rPr>
          <w:b/>
          <w:i/>
          <w:sz w:val="24"/>
          <w:szCs w:val="24"/>
        </w:rPr>
        <w:t>employee</w:t>
      </w:r>
      <w:r w:rsidRPr="002735D8">
        <w:rPr>
          <w:b/>
          <w:sz w:val="24"/>
          <w:szCs w:val="24"/>
        </w:rPr>
        <w:t>)</w:t>
      </w:r>
    </w:p>
    <w:p w:rsidR="000170C2" w:rsidRPr="002735D8" w:rsidRDefault="000170C2" w:rsidP="000170C2"/>
    <w:p w:rsidR="000170C2" w:rsidRPr="002735D8" w:rsidRDefault="000170C2" w:rsidP="000170C2">
      <w:pPr>
        <w:rPr>
          <w:b/>
        </w:rPr>
      </w:pPr>
      <w:r w:rsidRPr="002735D8">
        <w:rPr>
          <w:b/>
        </w:rPr>
        <w:t>Kind of editorial change</w:t>
      </w:r>
    </w:p>
    <w:p w:rsidR="000170C2" w:rsidRPr="002735D8" w:rsidRDefault="000170C2" w:rsidP="000170C2"/>
    <w:p w:rsidR="000170C2" w:rsidRPr="002735D8" w:rsidRDefault="000170C2" w:rsidP="000170C2">
      <w:r w:rsidRPr="002735D8">
        <w:t>Give effect to the misdescribed amendment as intended</w:t>
      </w:r>
    </w:p>
    <w:p w:rsidR="000170C2" w:rsidRPr="002735D8" w:rsidRDefault="000170C2" w:rsidP="000170C2"/>
    <w:p w:rsidR="000170C2" w:rsidRPr="002735D8" w:rsidRDefault="000170C2" w:rsidP="000170C2">
      <w:pPr>
        <w:rPr>
          <w:b/>
        </w:rPr>
      </w:pPr>
      <w:r w:rsidRPr="002735D8">
        <w:rPr>
          <w:b/>
        </w:rPr>
        <w:t>Details of editorial change</w:t>
      </w:r>
    </w:p>
    <w:p w:rsidR="000170C2" w:rsidRPr="002735D8" w:rsidRDefault="000170C2" w:rsidP="000170C2"/>
    <w:p w:rsidR="000170C2" w:rsidRPr="002735D8" w:rsidRDefault="000170C2" w:rsidP="000170C2">
      <w:r w:rsidRPr="002735D8">
        <w:t>Schedule</w:t>
      </w:r>
      <w:r>
        <w:t> </w:t>
      </w:r>
      <w:r w:rsidRPr="002735D8">
        <w:t>1 item</w:t>
      </w:r>
      <w:r>
        <w:t> </w:t>
      </w:r>
      <w:r w:rsidRPr="002735D8">
        <w:t xml:space="preserve">8 of the </w:t>
      </w:r>
      <w:r w:rsidRPr="002735D8">
        <w:rPr>
          <w:i/>
        </w:rPr>
        <w:t>Jervis Bay Territory Emergency Management Amendment (2020 Measures No.</w:t>
      </w:r>
      <w:r>
        <w:rPr>
          <w:i/>
        </w:rPr>
        <w:t> </w:t>
      </w:r>
      <w:r w:rsidRPr="002735D8">
        <w:rPr>
          <w:i/>
        </w:rPr>
        <w:t>1) Ordinance 2020</w:t>
      </w:r>
      <w:r w:rsidRPr="002735D8">
        <w:t xml:space="preserve"> instructs to omit “the </w:t>
      </w:r>
      <w:r w:rsidRPr="002735D8">
        <w:rPr>
          <w:i/>
        </w:rPr>
        <w:t>Interstate Road Transport Act 1985</w:t>
      </w:r>
      <w:r w:rsidRPr="002735D8">
        <w:t xml:space="preserve"> or the </w:t>
      </w:r>
      <w:r w:rsidRPr="002735D8">
        <w:rPr>
          <w:i/>
        </w:rPr>
        <w:t>Passenger Transport Act 1990 (NSW)</w:t>
      </w:r>
      <w:r w:rsidRPr="002735D8">
        <w:t xml:space="preserve">” and substitute “the </w:t>
      </w:r>
      <w:r w:rsidRPr="002735D8">
        <w:rPr>
          <w:i/>
        </w:rPr>
        <w:t>Passenger Transport Act 2014</w:t>
      </w:r>
      <w:r w:rsidRPr="002735D8">
        <w:t xml:space="preserve"> (NSW)”.</w:t>
      </w:r>
    </w:p>
    <w:p w:rsidR="000170C2" w:rsidRPr="002735D8" w:rsidRDefault="000170C2" w:rsidP="000170C2"/>
    <w:p w:rsidR="000170C2" w:rsidRPr="002735D8" w:rsidRDefault="000170C2" w:rsidP="000170C2">
      <w:r w:rsidRPr="002735D8">
        <w:t xml:space="preserve">The words “the </w:t>
      </w:r>
      <w:r w:rsidRPr="002735D8">
        <w:rPr>
          <w:i/>
        </w:rPr>
        <w:t>Interstate Road Transport Act 1985</w:t>
      </w:r>
      <w:r w:rsidRPr="002735D8">
        <w:t xml:space="preserve"> or the </w:t>
      </w:r>
      <w:r w:rsidRPr="002735D8">
        <w:rPr>
          <w:i/>
        </w:rPr>
        <w:t>Passenger Transport Act 1990 (NSW)</w:t>
      </w:r>
      <w:r w:rsidRPr="002735D8">
        <w:t xml:space="preserve">” do not appear in </w:t>
      </w:r>
      <w:r>
        <w:t>paragraph (</w:t>
      </w:r>
      <w:r w:rsidRPr="002735D8">
        <w:t xml:space="preserve">d) of the definitions of </w:t>
      </w:r>
      <w:r w:rsidRPr="002735D8">
        <w:rPr>
          <w:b/>
          <w:i/>
        </w:rPr>
        <w:t>employer</w:t>
      </w:r>
      <w:r w:rsidRPr="002735D8">
        <w:t xml:space="preserve"> and </w:t>
      </w:r>
      <w:r w:rsidRPr="002735D8">
        <w:rPr>
          <w:b/>
          <w:i/>
        </w:rPr>
        <w:t>employee</w:t>
      </w:r>
      <w:r w:rsidRPr="002735D8">
        <w:t xml:space="preserve"> in section</w:t>
      </w:r>
      <w:r>
        <w:t> </w:t>
      </w:r>
      <w:r w:rsidRPr="002735D8">
        <w:t xml:space="preserve">29. However, the words “the </w:t>
      </w:r>
      <w:r w:rsidRPr="002735D8">
        <w:rPr>
          <w:i/>
        </w:rPr>
        <w:t>Interstate Road Transport Act 1985</w:t>
      </w:r>
      <w:r w:rsidRPr="002735D8">
        <w:t xml:space="preserve"> or the </w:t>
      </w:r>
      <w:r w:rsidRPr="002735D8">
        <w:rPr>
          <w:i/>
        </w:rPr>
        <w:t>Passenger Transport Act 1990</w:t>
      </w:r>
      <w:r w:rsidRPr="002735D8">
        <w:t xml:space="preserve"> (NSW)” do appear.</w:t>
      </w:r>
    </w:p>
    <w:p w:rsidR="000170C2" w:rsidRPr="002735D8" w:rsidRDefault="000170C2" w:rsidP="000170C2"/>
    <w:p w:rsidR="000170C2" w:rsidRPr="002735D8" w:rsidRDefault="000170C2" w:rsidP="000170C2">
      <w:r w:rsidRPr="002735D8">
        <w:t xml:space="preserve">This compilation was editorially changed to omit “the </w:t>
      </w:r>
      <w:r w:rsidRPr="002735D8">
        <w:rPr>
          <w:i/>
        </w:rPr>
        <w:t>Interstate Road Transport Act 1985</w:t>
      </w:r>
      <w:r w:rsidRPr="002735D8">
        <w:t xml:space="preserve"> or the </w:t>
      </w:r>
      <w:r w:rsidRPr="002735D8">
        <w:rPr>
          <w:i/>
        </w:rPr>
        <w:t>Passenger Transport Act 1990</w:t>
      </w:r>
      <w:r w:rsidRPr="002735D8">
        <w:t xml:space="preserve"> (NSW)” and substitute “the </w:t>
      </w:r>
      <w:r w:rsidRPr="002735D8">
        <w:rPr>
          <w:i/>
        </w:rPr>
        <w:t>Passenger Transport Act 2014</w:t>
      </w:r>
      <w:r w:rsidRPr="002735D8">
        <w:t xml:space="preserve"> (NSW)” in </w:t>
      </w:r>
      <w:r>
        <w:t>paragraph (</w:t>
      </w:r>
      <w:r w:rsidRPr="002735D8">
        <w:t xml:space="preserve">d) of the definitions of </w:t>
      </w:r>
      <w:r w:rsidRPr="002735D8">
        <w:rPr>
          <w:b/>
          <w:i/>
        </w:rPr>
        <w:t>employer</w:t>
      </w:r>
      <w:r w:rsidRPr="002735D8">
        <w:t xml:space="preserve"> and </w:t>
      </w:r>
      <w:r w:rsidRPr="002735D8">
        <w:rPr>
          <w:b/>
          <w:i/>
        </w:rPr>
        <w:t>employee</w:t>
      </w:r>
      <w:r w:rsidRPr="002735D8">
        <w:t xml:space="preserve"> in section</w:t>
      </w:r>
      <w:r>
        <w:t> </w:t>
      </w:r>
      <w:r w:rsidRPr="002735D8">
        <w:t>29 to give effect to the misdescribed amendment as intended.</w:t>
      </w:r>
    </w:p>
    <w:p w:rsidR="00542971" w:rsidRDefault="00542971" w:rsidP="009D0433">
      <w:pPr>
        <w:pStyle w:val="Head2"/>
        <w:keepLines/>
      </w:pPr>
      <w:r w:rsidRPr="000D040C">
        <w:t>Patents Act 1990</w:t>
      </w:r>
      <w:r>
        <w:t>, Compilation No. 44,</w:t>
      </w:r>
      <w:r w:rsidRPr="003342C4">
        <w:t xml:space="preserve"> Registration Date:</w:t>
      </w:r>
      <w:r>
        <w:t xml:space="preserve"> 12 March 2020 [</w:t>
      </w:r>
      <w:r>
        <w:rPr>
          <w:bCs/>
        </w:rPr>
        <w:t>C2020C00099</w:t>
      </w:r>
      <w:r>
        <w:t>]</w:t>
      </w:r>
    </w:p>
    <w:p w:rsidR="00542971" w:rsidRPr="000D040C" w:rsidRDefault="00542971" w:rsidP="009D0433">
      <w:pPr>
        <w:keepNext/>
        <w:keepLines/>
      </w:pPr>
    </w:p>
    <w:p w:rsidR="00542971" w:rsidRPr="000D040C" w:rsidRDefault="00542971" w:rsidP="009D0433">
      <w:pPr>
        <w:keepNext/>
        <w:keepLines/>
        <w:rPr>
          <w:b/>
          <w:sz w:val="24"/>
          <w:szCs w:val="24"/>
        </w:rPr>
      </w:pPr>
      <w:r w:rsidRPr="000D040C">
        <w:rPr>
          <w:b/>
          <w:sz w:val="24"/>
          <w:szCs w:val="24"/>
        </w:rPr>
        <w:t>Section</w:t>
      </w:r>
      <w:r>
        <w:rPr>
          <w:b/>
          <w:sz w:val="24"/>
          <w:szCs w:val="24"/>
        </w:rPr>
        <w:t> </w:t>
      </w:r>
      <w:r w:rsidRPr="000D040C">
        <w:rPr>
          <w:b/>
          <w:sz w:val="24"/>
          <w:szCs w:val="24"/>
        </w:rPr>
        <w:t>3 (list of definitions) and Schedule</w:t>
      </w:r>
      <w:r>
        <w:rPr>
          <w:b/>
          <w:sz w:val="24"/>
          <w:szCs w:val="24"/>
        </w:rPr>
        <w:t> </w:t>
      </w:r>
      <w:r w:rsidRPr="000D040C">
        <w:rPr>
          <w:b/>
          <w:sz w:val="24"/>
          <w:szCs w:val="24"/>
        </w:rPr>
        <w:t>1</w:t>
      </w:r>
    </w:p>
    <w:p w:rsidR="00542971" w:rsidRPr="000D040C" w:rsidRDefault="00542971" w:rsidP="009D0433">
      <w:pPr>
        <w:keepNext/>
        <w:keepLines/>
      </w:pPr>
    </w:p>
    <w:p w:rsidR="00542971" w:rsidRPr="000D040C" w:rsidRDefault="00542971" w:rsidP="009D0433">
      <w:pPr>
        <w:keepNext/>
        <w:keepLines/>
        <w:rPr>
          <w:b/>
        </w:rPr>
      </w:pPr>
      <w:r w:rsidRPr="000D040C">
        <w:rPr>
          <w:b/>
        </w:rPr>
        <w:t>Kind of editorial change</w:t>
      </w:r>
    </w:p>
    <w:p w:rsidR="00542971" w:rsidRPr="000D040C" w:rsidRDefault="00542971" w:rsidP="00542971"/>
    <w:p w:rsidR="00542971" w:rsidRPr="000D040C" w:rsidRDefault="00542971" w:rsidP="00542971">
      <w:r w:rsidRPr="000D040C">
        <w:rPr>
          <w:szCs w:val="22"/>
        </w:rPr>
        <w:t>Reordering of definitions</w:t>
      </w:r>
    </w:p>
    <w:p w:rsidR="00542971" w:rsidRPr="000D040C" w:rsidRDefault="00542971" w:rsidP="00542971"/>
    <w:p w:rsidR="00542971" w:rsidRPr="000D040C" w:rsidRDefault="00542971" w:rsidP="00542971">
      <w:pPr>
        <w:rPr>
          <w:b/>
        </w:rPr>
      </w:pPr>
      <w:r w:rsidRPr="000D040C">
        <w:rPr>
          <w:b/>
        </w:rPr>
        <w:t>Details of editorial change</w:t>
      </w:r>
    </w:p>
    <w:p w:rsidR="00542971" w:rsidRPr="000D040C" w:rsidRDefault="00542971" w:rsidP="00542971"/>
    <w:p w:rsidR="00542971" w:rsidRPr="000D040C" w:rsidRDefault="00542971" w:rsidP="00542971">
      <w:r w:rsidRPr="000D040C">
        <w:rPr>
          <w:szCs w:val="22"/>
        </w:rPr>
        <w:t xml:space="preserve">This compilation was editorially changed to move the definitions of </w:t>
      </w:r>
      <w:r w:rsidRPr="000D040C">
        <w:rPr>
          <w:b/>
          <w:i/>
          <w:szCs w:val="22"/>
        </w:rPr>
        <w:t>1952 Act</w:t>
      </w:r>
      <w:r w:rsidRPr="000D040C">
        <w:rPr>
          <w:szCs w:val="22"/>
        </w:rPr>
        <w:t xml:space="preserve">, </w:t>
      </w:r>
      <w:r w:rsidRPr="000D040C">
        <w:rPr>
          <w:b/>
          <w:i/>
          <w:szCs w:val="22"/>
        </w:rPr>
        <w:t>1989 Amending Act</w:t>
      </w:r>
      <w:r w:rsidRPr="000D040C">
        <w:rPr>
          <w:szCs w:val="22"/>
        </w:rPr>
        <w:t xml:space="preserve">, </w:t>
      </w:r>
      <w:r w:rsidRPr="000D040C">
        <w:rPr>
          <w:b/>
          <w:bCs/>
          <w:i/>
          <w:iCs/>
        </w:rPr>
        <w:t>deposit requirements</w:t>
      </w:r>
      <w:r w:rsidRPr="000D040C">
        <w:rPr>
          <w:bCs/>
          <w:iCs/>
          <w:szCs w:val="22"/>
        </w:rPr>
        <w:t xml:space="preserve">, </w:t>
      </w:r>
      <w:r w:rsidRPr="000D040C">
        <w:rPr>
          <w:b/>
          <w:bCs/>
          <w:i/>
          <w:iCs/>
        </w:rPr>
        <w:t>patentable invention</w:t>
      </w:r>
      <w:r w:rsidRPr="000D040C">
        <w:rPr>
          <w:bCs/>
          <w:iCs/>
        </w:rPr>
        <w:t xml:space="preserve">, </w:t>
      </w:r>
      <w:r w:rsidRPr="000D040C">
        <w:rPr>
          <w:b/>
          <w:bCs/>
          <w:i/>
          <w:iCs/>
        </w:rPr>
        <w:t>patented pharmaceutical invention</w:t>
      </w:r>
      <w:r w:rsidRPr="000D040C">
        <w:rPr>
          <w:bCs/>
          <w:iCs/>
          <w:szCs w:val="22"/>
        </w:rPr>
        <w:t xml:space="preserve">, </w:t>
      </w:r>
      <w:r w:rsidRPr="000D040C">
        <w:rPr>
          <w:b/>
          <w:bCs/>
          <w:i/>
          <w:iCs/>
        </w:rPr>
        <w:t>patented process</w:t>
      </w:r>
      <w:r w:rsidRPr="000D040C">
        <w:rPr>
          <w:bCs/>
          <w:iCs/>
          <w:szCs w:val="22"/>
        </w:rPr>
        <w:t xml:space="preserve">, </w:t>
      </w:r>
      <w:r w:rsidRPr="000D040C">
        <w:rPr>
          <w:b/>
          <w:bCs/>
          <w:i/>
          <w:iCs/>
        </w:rPr>
        <w:t>patented product</w:t>
      </w:r>
      <w:r w:rsidRPr="000D040C">
        <w:rPr>
          <w:bCs/>
          <w:iCs/>
          <w:szCs w:val="22"/>
        </w:rPr>
        <w:t xml:space="preserve"> and </w:t>
      </w:r>
      <w:r w:rsidRPr="000D040C">
        <w:rPr>
          <w:b/>
          <w:bCs/>
          <w:i/>
          <w:iCs/>
        </w:rPr>
        <w:t>patentee</w:t>
      </w:r>
      <w:r w:rsidRPr="000D040C">
        <w:rPr>
          <w:bCs/>
          <w:iCs/>
          <w:szCs w:val="22"/>
        </w:rPr>
        <w:t xml:space="preserve"> </w:t>
      </w:r>
      <w:r w:rsidRPr="000D040C">
        <w:rPr>
          <w:szCs w:val="22"/>
        </w:rPr>
        <w:t>in Schedule</w:t>
      </w:r>
      <w:r>
        <w:rPr>
          <w:szCs w:val="22"/>
        </w:rPr>
        <w:t> </w:t>
      </w:r>
      <w:r w:rsidRPr="000D040C">
        <w:rPr>
          <w:szCs w:val="22"/>
        </w:rPr>
        <w:t>1, and the references to these definitions listed in section</w:t>
      </w:r>
      <w:r>
        <w:rPr>
          <w:szCs w:val="22"/>
        </w:rPr>
        <w:t> </w:t>
      </w:r>
      <w:r w:rsidRPr="000D040C">
        <w:rPr>
          <w:szCs w:val="22"/>
        </w:rPr>
        <w:t>3, to the correct alphabetical positions.</w:t>
      </w:r>
    </w:p>
    <w:p w:rsidR="00542971" w:rsidRPr="000D040C" w:rsidRDefault="00542971" w:rsidP="00542971"/>
    <w:p w:rsidR="00542971" w:rsidRPr="000D040C" w:rsidRDefault="00542971" w:rsidP="00542971"/>
    <w:p w:rsidR="00542971" w:rsidRPr="000D040C" w:rsidRDefault="00542971" w:rsidP="00B73314">
      <w:pPr>
        <w:keepNext/>
        <w:keepLines/>
        <w:rPr>
          <w:b/>
        </w:rPr>
      </w:pPr>
      <w:r w:rsidRPr="000D040C">
        <w:rPr>
          <w:b/>
        </w:rPr>
        <w:lastRenderedPageBreak/>
        <w:t>Kind of editorial change</w:t>
      </w:r>
    </w:p>
    <w:p w:rsidR="00542971" w:rsidRPr="000D040C" w:rsidRDefault="00542971" w:rsidP="00B73314">
      <w:pPr>
        <w:keepNext/>
        <w:keepLines/>
      </w:pPr>
    </w:p>
    <w:p w:rsidR="00542971" w:rsidRPr="000D040C" w:rsidRDefault="00542971" w:rsidP="00B73314">
      <w:pPr>
        <w:keepNext/>
        <w:keepLines/>
      </w:pPr>
      <w:r w:rsidRPr="000D040C">
        <w:t>Change</w:t>
      </w:r>
      <w:r>
        <w:t>s</w:t>
      </w:r>
      <w:r w:rsidRPr="000D040C">
        <w:t xml:space="preserve"> to typeface</w:t>
      </w:r>
    </w:p>
    <w:p w:rsidR="00542971" w:rsidRPr="000D040C" w:rsidRDefault="00542971" w:rsidP="00B73314">
      <w:pPr>
        <w:keepNext/>
        <w:keepLines/>
      </w:pPr>
    </w:p>
    <w:p w:rsidR="00542971" w:rsidRPr="000D040C" w:rsidRDefault="00542971" w:rsidP="00B73314">
      <w:pPr>
        <w:keepNext/>
        <w:keepLines/>
        <w:rPr>
          <w:b/>
        </w:rPr>
      </w:pPr>
      <w:r w:rsidRPr="000D040C">
        <w:rPr>
          <w:b/>
        </w:rPr>
        <w:t>Details of editorial change</w:t>
      </w:r>
    </w:p>
    <w:p w:rsidR="00542971" w:rsidRPr="000D040C" w:rsidRDefault="00542971" w:rsidP="00B73314">
      <w:pPr>
        <w:keepNext/>
        <w:keepLines/>
      </w:pPr>
    </w:p>
    <w:p w:rsidR="00542971" w:rsidRPr="000D040C" w:rsidRDefault="00542971" w:rsidP="00B73314">
      <w:pPr>
        <w:keepNext/>
        <w:keepLines/>
      </w:pPr>
      <w:r w:rsidRPr="000D040C">
        <w:rPr>
          <w:szCs w:val="22"/>
        </w:rPr>
        <w:t xml:space="preserve">This compilation was editorially changed to update all occurrences of the italicised words </w:t>
      </w:r>
      <w:r w:rsidRPr="000D040C">
        <w:rPr>
          <w:i/>
          <w:iCs/>
        </w:rPr>
        <w:t>in vitro</w:t>
      </w:r>
      <w:r w:rsidRPr="000D040C">
        <w:rPr>
          <w:iCs/>
          <w:szCs w:val="22"/>
        </w:rPr>
        <w:t>,</w:t>
      </w:r>
      <w:r w:rsidRPr="000D040C">
        <w:t xml:space="preserve"> </w:t>
      </w:r>
      <w:r w:rsidRPr="000D040C">
        <w:rPr>
          <w:i/>
          <w:iCs/>
        </w:rPr>
        <w:t>per se</w:t>
      </w:r>
      <w:r w:rsidRPr="000D040C">
        <w:rPr>
          <w:iCs/>
          <w:szCs w:val="22"/>
        </w:rPr>
        <w:t xml:space="preserve"> and </w:t>
      </w:r>
      <w:r w:rsidRPr="000D040C">
        <w:rPr>
          <w:i/>
          <w:iCs/>
        </w:rPr>
        <w:t>prima facie</w:t>
      </w:r>
      <w:r w:rsidRPr="000D040C">
        <w:t xml:space="preserve"> </w:t>
      </w:r>
      <w:r w:rsidRPr="000D040C">
        <w:rPr>
          <w:szCs w:val="22"/>
        </w:rPr>
        <w:t>to regular font</w:t>
      </w:r>
      <w:r w:rsidRPr="000D040C">
        <w:t>.</w:t>
      </w:r>
    </w:p>
    <w:p w:rsidR="006C7117" w:rsidRDefault="006C7117" w:rsidP="006C7117">
      <w:pPr>
        <w:pStyle w:val="Head2"/>
        <w:keepLines/>
      </w:pPr>
      <w:r w:rsidRPr="006C3EBC">
        <w:t>Corporations (Aboriginal and Torres Strait Islander) Act 2006</w:t>
      </w:r>
      <w:r>
        <w:t>, Compilation No. 17,</w:t>
      </w:r>
      <w:r w:rsidRPr="003342C4">
        <w:t xml:space="preserve"> Registration Date:</w:t>
      </w:r>
      <w:r>
        <w:t xml:space="preserve"> 4 March 2020 [</w:t>
      </w:r>
      <w:r w:rsidRPr="006C7117">
        <w:rPr>
          <w:bCs/>
        </w:rPr>
        <w:t>C2020C00090</w:t>
      </w:r>
      <w:r>
        <w:t>]</w:t>
      </w:r>
    </w:p>
    <w:p w:rsidR="006C7117" w:rsidRPr="006C3EBC" w:rsidRDefault="006C7117" w:rsidP="006C7117"/>
    <w:p w:rsidR="006C7117" w:rsidRPr="006C3EBC" w:rsidRDefault="006C7117" w:rsidP="006C7117">
      <w:pPr>
        <w:rPr>
          <w:b/>
          <w:sz w:val="24"/>
          <w:szCs w:val="24"/>
        </w:rPr>
      </w:pPr>
      <w:r w:rsidRPr="006C3EBC">
        <w:rPr>
          <w:b/>
          <w:sz w:val="24"/>
          <w:szCs w:val="24"/>
        </w:rPr>
        <w:t>Paragraph 386</w:t>
      </w:r>
      <w:r>
        <w:rPr>
          <w:b/>
          <w:sz w:val="24"/>
          <w:szCs w:val="24"/>
        </w:rPr>
        <w:noBreakHyphen/>
      </w:r>
      <w:r w:rsidRPr="006C3EBC">
        <w:rPr>
          <w:b/>
          <w:sz w:val="24"/>
          <w:szCs w:val="24"/>
        </w:rPr>
        <w:t>1(1)(d)</w:t>
      </w:r>
    </w:p>
    <w:p w:rsidR="006C7117" w:rsidRPr="006C3EBC" w:rsidRDefault="006C7117" w:rsidP="006C7117"/>
    <w:p w:rsidR="006C7117" w:rsidRPr="006C3EBC" w:rsidRDefault="006C7117" w:rsidP="006C7117">
      <w:pPr>
        <w:rPr>
          <w:b/>
        </w:rPr>
      </w:pPr>
      <w:r w:rsidRPr="006C3EBC">
        <w:rPr>
          <w:b/>
        </w:rPr>
        <w:t>Kind of editorial change</w:t>
      </w:r>
    </w:p>
    <w:p w:rsidR="006C7117" w:rsidRPr="006C3EBC" w:rsidRDefault="006C7117" w:rsidP="006C7117"/>
    <w:p w:rsidR="006C7117" w:rsidRPr="006C3EBC" w:rsidRDefault="006C7117" w:rsidP="006C7117">
      <w:r w:rsidRPr="006C3EBC">
        <w:rPr>
          <w:szCs w:val="22"/>
        </w:rPr>
        <w:t>Give effect to the misdescribed amendment as intended</w:t>
      </w:r>
    </w:p>
    <w:p w:rsidR="006C7117" w:rsidRPr="006C3EBC" w:rsidRDefault="006C7117" w:rsidP="006C7117"/>
    <w:p w:rsidR="006C7117" w:rsidRPr="006C3EBC" w:rsidRDefault="006C7117" w:rsidP="006C7117">
      <w:pPr>
        <w:rPr>
          <w:b/>
        </w:rPr>
      </w:pPr>
      <w:r w:rsidRPr="006C3EBC">
        <w:rPr>
          <w:b/>
        </w:rPr>
        <w:t>Details of editorial change</w:t>
      </w:r>
    </w:p>
    <w:p w:rsidR="006C7117" w:rsidRPr="006C3EBC" w:rsidRDefault="006C7117" w:rsidP="006C7117"/>
    <w:p w:rsidR="006C7117" w:rsidRPr="006C3EBC" w:rsidRDefault="006C7117" w:rsidP="006C7117">
      <w:r w:rsidRPr="006C3EBC">
        <w:t>Schedule</w:t>
      </w:r>
      <w:r>
        <w:t> </w:t>
      </w:r>
      <w:r w:rsidRPr="006C3EBC">
        <w:t>1 item</w:t>
      </w:r>
      <w:r>
        <w:t> </w:t>
      </w:r>
      <w:r w:rsidRPr="006C3EBC">
        <w:t xml:space="preserve">81 of the </w:t>
      </w:r>
      <w:r w:rsidRPr="006C3EBC">
        <w:rPr>
          <w:i/>
          <w:szCs w:val="22"/>
        </w:rPr>
        <w:t>Treasury Laws Amendment (Combating Illegal Phoenixing) Act 2020</w:t>
      </w:r>
      <w:r w:rsidRPr="006C3EBC">
        <w:t xml:space="preserve"> instructs to repeal and substitute paragraph</w:t>
      </w:r>
      <w:r>
        <w:t> </w:t>
      </w:r>
      <w:r w:rsidRPr="006C3EBC">
        <w:t>386</w:t>
      </w:r>
      <w:r>
        <w:noBreakHyphen/>
      </w:r>
      <w:r w:rsidRPr="006C3EBC">
        <w:t>1(d).</w:t>
      </w:r>
    </w:p>
    <w:p w:rsidR="006C7117" w:rsidRPr="006C3EBC" w:rsidRDefault="006C7117" w:rsidP="006C7117"/>
    <w:p w:rsidR="006C7117" w:rsidRPr="006C3EBC" w:rsidRDefault="006C7117" w:rsidP="006C7117">
      <w:r w:rsidRPr="006C3EBC">
        <w:t>The instruction is missing the subsection reference. Although section</w:t>
      </w:r>
      <w:r>
        <w:t> </w:t>
      </w:r>
      <w:r w:rsidRPr="006C3EBC">
        <w:t>386</w:t>
      </w:r>
      <w:r>
        <w:noBreakHyphen/>
      </w:r>
      <w:r w:rsidRPr="006C3EBC">
        <w:t xml:space="preserve">1 contains two </w:t>
      </w:r>
      <w:r>
        <w:t>paragraph (</w:t>
      </w:r>
      <w:r w:rsidRPr="006C3EBC">
        <w:t xml:space="preserve">d)s, the </w:t>
      </w:r>
      <w:r w:rsidRPr="006C3EBC">
        <w:rPr>
          <w:szCs w:val="22"/>
        </w:rPr>
        <w:t xml:space="preserve">explanatory memorandum makes it clear that the amendment is intended for </w:t>
      </w:r>
      <w:r w:rsidRPr="006C3EBC">
        <w:t>paragraph</w:t>
      </w:r>
      <w:r>
        <w:t> </w:t>
      </w:r>
      <w:r w:rsidRPr="006C3EBC">
        <w:t>386</w:t>
      </w:r>
      <w:r>
        <w:noBreakHyphen/>
      </w:r>
      <w:r w:rsidRPr="006C3EBC">
        <w:t>1(1)(d).</w:t>
      </w:r>
    </w:p>
    <w:p w:rsidR="006C7117" w:rsidRPr="006C3EBC" w:rsidRDefault="006C7117" w:rsidP="006C7117"/>
    <w:p w:rsidR="006C7117" w:rsidRPr="006C3EBC" w:rsidRDefault="006C7117" w:rsidP="006C7117">
      <w:r w:rsidRPr="006C3EBC">
        <w:t>This compilation was editorially changed to repeal and substitute paragraph</w:t>
      </w:r>
      <w:r>
        <w:t> </w:t>
      </w:r>
      <w:r w:rsidRPr="006C3EBC">
        <w:t>386</w:t>
      </w:r>
      <w:r>
        <w:noBreakHyphen/>
      </w:r>
      <w:r w:rsidRPr="006C3EBC">
        <w:t xml:space="preserve">1(1)(d) to give effect to the misdescribed amendment </w:t>
      </w:r>
      <w:r w:rsidRPr="006C3EBC">
        <w:rPr>
          <w:szCs w:val="22"/>
        </w:rPr>
        <w:t>as intended</w:t>
      </w:r>
      <w:r w:rsidRPr="006C3EBC">
        <w:t>.</w:t>
      </w:r>
    </w:p>
    <w:p w:rsidR="00620BDA" w:rsidRDefault="00686FFF" w:rsidP="009D0433">
      <w:pPr>
        <w:pStyle w:val="Head2"/>
        <w:keepLines/>
      </w:pPr>
      <w:r w:rsidRPr="00285318">
        <w:t>Foreign Acquisitions and Takeovers Regulation</w:t>
      </w:r>
      <w:r>
        <w:t> </w:t>
      </w:r>
      <w:r w:rsidRPr="00285318">
        <w:t>2015</w:t>
      </w:r>
      <w:r w:rsidR="00620BDA">
        <w:t>, Compilation No. </w:t>
      </w:r>
      <w:r>
        <w:t>8</w:t>
      </w:r>
      <w:r w:rsidR="00620BDA">
        <w:t>,</w:t>
      </w:r>
      <w:r w:rsidR="00620BDA" w:rsidRPr="003342C4">
        <w:t xml:space="preserve"> Registration Date:</w:t>
      </w:r>
      <w:r w:rsidR="00620BDA">
        <w:t xml:space="preserve"> 2</w:t>
      </w:r>
      <w:r>
        <w:t>7</w:t>
      </w:r>
      <w:r w:rsidR="00620BDA">
        <w:t> February 2020 [</w:t>
      </w:r>
      <w:r>
        <w:rPr>
          <w:bCs/>
        </w:rPr>
        <w:t>F</w:t>
      </w:r>
      <w:r w:rsidR="00620BDA">
        <w:rPr>
          <w:bCs/>
        </w:rPr>
        <w:t>2020</w:t>
      </w:r>
      <w:r w:rsidR="00620BDA" w:rsidRPr="005A1F2E">
        <w:rPr>
          <w:bCs/>
        </w:rPr>
        <w:t>C00</w:t>
      </w:r>
      <w:r>
        <w:rPr>
          <w:bCs/>
        </w:rPr>
        <w:t>157</w:t>
      </w:r>
      <w:r w:rsidR="00620BDA">
        <w:t>]</w:t>
      </w:r>
    </w:p>
    <w:p w:rsidR="00686FFF" w:rsidRPr="00285318" w:rsidRDefault="00686FFF" w:rsidP="009D0433">
      <w:pPr>
        <w:keepNext/>
        <w:keepLines/>
      </w:pPr>
    </w:p>
    <w:p w:rsidR="00686FFF" w:rsidRPr="00285318" w:rsidRDefault="00686FFF" w:rsidP="009D0433">
      <w:pPr>
        <w:keepNext/>
        <w:keepLines/>
        <w:rPr>
          <w:b/>
          <w:sz w:val="24"/>
          <w:szCs w:val="24"/>
        </w:rPr>
      </w:pPr>
      <w:r w:rsidRPr="00285318">
        <w:rPr>
          <w:b/>
          <w:sz w:val="24"/>
          <w:szCs w:val="24"/>
        </w:rPr>
        <w:t>Section</w:t>
      </w:r>
      <w:r>
        <w:rPr>
          <w:b/>
          <w:sz w:val="24"/>
          <w:szCs w:val="24"/>
        </w:rPr>
        <w:t> </w:t>
      </w:r>
      <w:r w:rsidRPr="00285318">
        <w:rPr>
          <w:b/>
          <w:sz w:val="24"/>
          <w:szCs w:val="24"/>
        </w:rPr>
        <w:t xml:space="preserve">5 (definition of </w:t>
      </w:r>
      <w:r w:rsidRPr="00285318">
        <w:rPr>
          <w:b/>
          <w:i/>
          <w:sz w:val="24"/>
          <w:szCs w:val="24"/>
        </w:rPr>
        <w:t>agreement country or region</w:t>
      </w:r>
      <w:r w:rsidRPr="00285318">
        <w:rPr>
          <w:b/>
          <w:sz w:val="24"/>
          <w:szCs w:val="24"/>
        </w:rPr>
        <w:t>)</w:t>
      </w:r>
    </w:p>
    <w:p w:rsidR="00686FFF" w:rsidRPr="00285318" w:rsidRDefault="00686FFF" w:rsidP="00686FFF"/>
    <w:p w:rsidR="00686FFF" w:rsidRPr="00285318" w:rsidRDefault="00686FFF" w:rsidP="00686FFF">
      <w:pPr>
        <w:rPr>
          <w:b/>
        </w:rPr>
      </w:pPr>
      <w:r w:rsidRPr="00285318">
        <w:rPr>
          <w:b/>
        </w:rPr>
        <w:t>Kind of editorial change</w:t>
      </w:r>
    </w:p>
    <w:p w:rsidR="00686FFF" w:rsidRPr="00285318" w:rsidRDefault="00686FFF" w:rsidP="00686FFF"/>
    <w:p w:rsidR="00686FFF" w:rsidRPr="00285318" w:rsidRDefault="00686FFF" w:rsidP="00686FFF">
      <w:r w:rsidRPr="00285318">
        <w:rPr>
          <w:szCs w:val="22"/>
        </w:rPr>
        <w:t>Give effect to the misdescribed amendment as intended</w:t>
      </w:r>
    </w:p>
    <w:p w:rsidR="00686FFF" w:rsidRPr="00285318" w:rsidRDefault="00686FFF" w:rsidP="00686FFF"/>
    <w:p w:rsidR="00686FFF" w:rsidRPr="00285318" w:rsidRDefault="00686FFF" w:rsidP="00686FFF">
      <w:pPr>
        <w:rPr>
          <w:b/>
        </w:rPr>
      </w:pPr>
      <w:r w:rsidRPr="00285318">
        <w:rPr>
          <w:b/>
        </w:rPr>
        <w:t>Details of editorial change</w:t>
      </w:r>
    </w:p>
    <w:p w:rsidR="00686FFF" w:rsidRPr="00285318" w:rsidRDefault="00686FFF" w:rsidP="00686FFF"/>
    <w:p w:rsidR="00686FFF" w:rsidRPr="00285318" w:rsidRDefault="00686FFF" w:rsidP="00686FFF">
      <w:pPr>
        <w:rPr>
          <w:noProof/>
        </w:rPr>
      </w:pPr>
      <w:r w:rsidRPr="00285318">
        <w:t>Schedule</w:t>
      </w:r>
      <w:r>
        <w:t> </w:t>
      </w:r>
      <w:r w:rsidRPr="00285318">
        <w:t>1 item</w:t>
      </w:r>
      <w:r>
        <w:t> </w:t>
      </w:r>
      <w:r w:rsidRPr="00285318">
        <w:t xml:space="preserve">1 of the </w:t>
      </w:r>
      <w:r w:rsidRPr="00285318">
        <w:rPr>
          <w:i/>
          <w:noProof/>
        </w:rPr>
        <w:t>Foreign Acquisitions and Takeovers Amendment (Peru</w:t>
      </w:r>
      <w:r>
        <w:rPr>
          <w:i/>
          <w:noProof/>
        </w:rPr>
        <w:noBreakHyphen/>
      </w:r>
      <w:r w:rsidRPr="00285318">
        <w:rPr>
          <w:i/>
          <w:noProof/>
        </w:rPr>
        <w:t>Australia Free Trade Agreement Implementation) Regulations</w:t>
      </w:r>
      <w:r>
        <w:rPr>
          <w:i/>
          <w:noProof/>
        </w:rPr>
        <w:t> </w:t>
      </w:r>
      <w:r w:rsidRPr="00285318">
        <w:rPr>
          <w:i/>
          <w:noProof/>
        </w:rPr>
        <w:t>2018</w:t>
      </w:r>
      <w:r w:rsidRPr="00285318">
        <w:rPr>
          <w:noProof/>
        </w:rPr>
        <w:t xml:space="preserve"> instructs to insert </w:t>
      </w:r>
      <w:r>
        <w:rPr>
          <w:noProof/>
        </w:rPr>
        <w:t>paragraph (</w:t>
      </w:r>
      <w:r w:rsidRPr="00285318">
        <w:rPr>
          <w:noProof/>
        </w:rPr>
        <w:t xml:space="preserve">fa) after </w:t>
      </w:r>
      <w:r>
        <w:rPr>
          <w:noProof/>
        </w:rPr>
        <w:t>paragraph (</w:t>
      </w:r>
      <w:r w:rsidRPr="00285318">
        <w:rPr>
          <w:noProof/>
        </w:rPr>
        <w:t xml:space="preserve">f) of the definition of </w:t>
      </w:r>
      <w:r w:rsidRPr="00285318">
        <w:rPr>
          <w:b/>
          <w:i/>
          <w:noProof/>
        </w:rPr>
        <w:t>agreement country</w:t>
      </w:r>
      <w:r w:rsidRPr="00285318">
        <w:rPr>
          <w:noProof/>
        </w:rPr>
        <w:t xml:space="preserve"> in section</w:t>
      </w:r>
      <w:r>
        <w:rPr>
          <w:noProof/>
        </w:rPr>
        <w:t> </w:t>
      </w:r>
      <w:r w:rsidRPr="00285318">
        <w:rPr>
          <w:noProof/>
        </w:rPr>
        <w:t>5.</w:t>
      </w:r>
    </w:p>
    <w:p w:rsidR="00686FFF" w:rsidRPr="00285318" w:rsidRDefault="00686FFF" w:rsidP="00686FFF">
      <w:pPr>
        <w:rPr>
          <w:noProof/>
        </w:rPr>
      </w:pPr>
    </w:p>
    <w:p w:rsidR="00686FFF" w:rsidRPr="00285318" w:rsidRDefault="00686FFF" w:rsidP="00686FFF">
      <w:pPr>
        <w:rPr>
          <w:noProof/>
        </w:rPr>
      </w:pPr>
      <w:r w:rsidRPr="00285318">
        <w:rPr>
          <w:noProof/>
        </w:rPr>
        <w:t xml:space="preserve">There is no definition of </w:t>
      </w:r>
      <w:r w:rsidRPr="00285318">
        <w:rPr>
          <w:b/>
          <w:i/>
          <w:noProof/>
        </w:rPr>
        <w:t>agreement country</w:t>
      </w:r>
      <w:r w:rsidRPr="00285318">
        <w:rPr>
          <w:noProof/>
        </w:rPr>
        <w:t xml:space="preserve"> in section</w:t>
      </w:r>
      <w:r>
        <w:rPr>
          <w:noProof/>
        </w:rPr>
        <w:t> </w:t>
      </w:r>
      <w:r w:rsidRPr="00285318">
        <w:rPr>
          <w:noProof/>
        </w:rPr>
        <w:t xml:space="preserve">5. However, there is a definition of </w:t>
      </w:r>
      <w:r w:rsidRPr="00285318">
        <w:rPr>
          <w:b/>
          <w:i/>
          <w:noProof/>
        </w:rPr>
        <w:t>agreement country or region</w:t>
      </w:r>
      <w:r w:rsidRPr="00285318">
        <w:rPr>
          <w:noProof/>
        </w:rPr>
        <w:t>.</w:t>
      </w:r>
    </w:p>
    <w:p w:rsidR="00686FFF" w:rsidRPr="00285318" w:rsidRDefault="00686FFF" w:rsidP="00686FFF"/>
    <w:p w:rsidR="00686FFF" w:rsidRPr="00285318" w:rsidRDefault="00686FFF" w:rsidP="00686FFF">
      <w:r w:rsidRPr="00285318">
        <w:t xml:space="preserve">This compilation was editorially changed to insert </w:t>
      </w:r>
      <w:r>
        <w:t>paragraph (</w:t>
      </w:r>
      <w:r w:rsidRPr="00285318">
        <w:t xml:space="preserve">fa) after </w:t>
      </w:r>
      <w:r>
        <w:t>paragraph (</w:t>
      </w:r>
      <w:r w:rsidRPr="00285318">
        <w:t xml:space="preserve">f) of the definition of </w:t>
      </w:r>
      <w:r w:rsidRPr="00285318">
        <w:rPr>
          <w:b/>
          <w:i/>
          <w:noProof/>
        </w:rPr>
        <w:t>agreement country or region</w:t>
      </w:r>
      <w:r w:rsidRPr="00285318">
        <w:rPr>
          <w:noProof/>
        </w:rPr>
        <w:t xml:space="preserve"> in section</w:t>
      </w:r>
      <w:r>
        <w:rPr>
          <w:noProof/>
        </w:rPr>
        <w:t> </w:t>
      </w:r>
      <w:r w:rsidRPr="00285318">
        <w:rPr>
          <w:noProof/>
        </w:rPr>
        <w:t>5</w:t>
      </w:r>
      <w:r w:rsidRPr="00285318">
        <w:t xml:space="preserve"> to give effect to the misdescribed amendment as intended.</w:t>
      </w:r>
    </w:p>
    <w:p w:rsidR="007D2346" w:rsidRDefault="007D2346" w:rsidP="007D2346">
      <w:pPr>
        <w:pStyle w:val="Head2"/>
        <w:keepLines/>
      </w:pPr>
      <w:r w:rsidRPr="00216ECB">
        <w:lastRenderedPageBreak/>
        <w:t>Income Tax Assessment Act 1997</w:t>
      </w:r>
      <w:r>
        <w:t>, Compilation No. 202,</w:t>
      </w:r>
      <w:r w:rsidRPr="003342C4">
        <w:t xml:space="preserve"> Registration Date:</w:t>
      </w:r>
      <w:r>
        <w:t xml:space="preserve"> 24 February 2020 [</w:t>
      </w:r>
      <w:r>
        <w:rPr>
          <w:bCs/>
        </w:rPr>
        <w:t>C2020</w:t>
      </w:r>
      <w:r w:rsidRPr="005A1F2E">
        <w:rPr>
          <w:bCs/>
        </w:rPr>
        <w:t>C00</w:t>
      </w:r>
      <w:r>
        <w:rPr>
          <w:bCs/>
        </w:rPr>
        <w:t>083</w:t>
      </w:r>
      <w:r>
        <w:t>]</w:t>
      </w:r>
    </w:p>
    <w:p w:rsidR="007D2346" w:rsidRPr="00F2598C" w:rsidRDefault="007D2346" w:rsidP="007D2346"/>
    <w:p w:rsidR="007D2346" w:rsidRPr="004549F1" w:rsidRDefault="007D2346" w:rsidP="007D2346">
      <w:pPr>
        <w:rPr>
          <w:b/>
          <w:sz w:val="24"/>
          <w:szCs w:val="24"/>
        </w:rPr>
      </w:pPr>
      <w:r>
        <w:rPr>
          <w:b/>
          <w:sz w:val="24"/>
          <w:szCs w:val="24"/>
        </w:rPr>
        <w:t>Section 11-55 (table item headed “disasters”)</w:t>
      </w:r>
    </w:p>
    <w:p w:rsidR="007D2346" w:rsidRPr="00852990" w:rsidRDefault="007D2346" w:rsidP="007D2346"/>
    <w:p w:rsidR="007D2346" w:rsidRPr="004549F1" w:rsidRDefault="007D2346" w:rsidP="007D2346">
      <w:pPr>
        <w:rPr>
          <w:b/>
        </w:rPr>
      </w:pPr>
      <w:r w:rsidRPr="004549F1">
        <w:rPr>
          <w:b/>
        </w:rPr>
        <w:t>Kind of editorial change</w:t>
      </w:r>
    </w:p>
    <w:p w:rsidR="007D2346" w:rsidRPr="004549F1" w:rsidRDefault="007D2346" w:rsidP="007D2346"/>
    <w:p w:rsidR="007D2346" w:rsidRDefault="007D2346" w:rsidP="007D2346">
      <w:r w:rsidRPr="005B6A41">
        <w:t>Correct a typographical error</w:t>
      </w:r>
    </w:p>
    <w:p w:rsidR="007D2346" w:rsidRPr="004549F1" w:rsidRDefault="007D2346" w:rsidP="007D2346"/>
    <w:p w:rsidR="007D2346" w:rsidRPr="004549F1" w:rsidRDefault="007D2346" w:rsidP="007D2346">
      <w:pPr>
        <w:rPr>
          <w:b/>
        </w:rPr>
      </w:pPr>
      <w:r w:rsidRPr="004549F1">
        <w:rPr>
          <w:b/>
        </w:rPr>
        <w:t>Details of editorial change</w:t>
      </w:r>
    </w:p>
    <w:p w:rsidR="007D2346" w:rsidRPr="00852990" w:rsidRDefault="007D2346" w:rsidP="007D2346"/>
    <w:p w:rsidR="007D2346" w:rsidRDefault="007D2346" w:rsidP="007D2346">
      <w:pPr>
        <w:tabs>
          <w:tab w:val="left" w:pos="720"/>
          <w:tab w:val="left" w:pos="3828"/>
        </w:tabs>
      </w:pPr>
      <w:r>
        <w:t xml:space="preserve">Schedule 1 item 1 of the </w:t>
      </w:r>
      <w:r w:rsidRPr="00593F51">
        <w:rPr>
          <w:i/>
          <w:szCs w:val="22"/>
        </w:rPr>
        <w:t>Treasury Laws Amendment (2019-20 Bushfire Tax Assistance) Act 2020</w:t>
      </w:r>
      <w:r>
        <w:t xml:space="preserve"> provides as follows:</w:t>
      </w:r>
    </w:p>
    <w:p w:rsidR="007D2346" w:rsidRPr="006A7F5B" w:rsidRDefault="007D2346" w:rsidP="007D2346">
      <w:pPr>
        <w:pStyle w:val="ItemHead"/>
      </w:pPr>
      <w:r w:rsidRPr="006A7F5B">
        <w:t>1  Section 11</w:t>
      </w:r>
      <w:r>
        <w:noBreakHyphen/>
      </w:r>
      <w:r w:rsidRPr="006A7F5B">
        <w:t>55 (table item headed “disasters”)</w:t>
      </w:r>
    </w:p>
    <w:p w:rsidR="007D2346" w:rsidRPr="006A7F5B" w:rsidRDefault="007D2346" w:rsidP="007D2346">
      <w:pPr>
        <w:pStyle w:val="Item"/>
      </w:pPr>
      <w:r w:rsidRPr="006A7F5B">
        <w:t>Before:</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3"/>
        <w:gridCol w:w="1979"/>
      </w:tblGrid>
      <w:tr w:rsidR="007D2346" w:rsidRPr="006A7F5B" w:rsidTr="004F0DDC">
        <w:tc>
          <w:tcPr>
            <w:tcW w:w="5223" w:type="dxa"/>
            <w:tcBorders>
              <w:top w:val="nil"/>
              <w:bottom w:val="nil"/>
            </w:tcBorders>
            <w:shd w:val="clear" w:color="auto" w:fill="auto"/>
          </w:tcPr>
          <w:p w:rsidR="007D2346" w:rsidRPr="006A7F5B" w:rsidRDefault="007D2346" w:rsidP="004F0DDC">
            <w:pPr>
              <w:pStyle w:val="tableIndentText"/>
              <w:rPr>
                <w:rFonts w:ascii="Times New Roman" w:hAnsi="Times New Roman"/>
              </w:rPr>
            </w:pPr>
            <w:r w:rsidRPr="006A7F5B">
              <w:rPr>
                <w:rFonts w:ascii="Times New Roman" w:hAnsi="Times New Roman"/>
              </w:rPr>
              <w:t>2019 floods—recovery grants</w:t>
            </w:r>
            <w:r w:rsidRPr="006A7F5B">
              <w:rPr>
                <w:rFonts w:ascii="Times New Roman" w:hAnsi="Times New Roman"/>
              </w:rPr>
              <w:tab/>
            </w:r>
          </w:p>
        </w:tc>
        <w:tc>
          <w:tcPr>
            <w:tcW w:w="1979" w:type="dxa"/>
            <w:tcBorders>
              <w:top w:val="nil"/>
              <w:bottom w:val="nil"/>
            </w:tcBorders>
            <w:shd w:val="clear" w:color="auto" w:fill="auto"/>
          </w:tcPr>
          <w:p w:rsidR="007D2346" w:rsidRPr="006A7F5B" w:rsidRDefault="007D2346" w:rsidP="004F0DDC">
            <w:pPr>
              <w:pStyle w:val="tableText0"/>
              <w:spacing w:line="240" w:lineRule="auto"/>
            </w:pPr>
            <w:r w:rsidRPr="006A7F5B">
              <w:t>59</w:t>
            </w:r>
            <w:r>
              <w:noBreakHyphen/>
            </w:r>
            <w:r w:rsidRPr="006A7F5B">
              <w:t>85</w:t>
            </w:r>
          </w:p>
        </w:tc>
      </w:tr>
    </w:tbl>
    <w:p w:rsidR="007D2346" w:rsidRPr="006A7F5B" w:rsidRDefault="007D2346" w:rsidP="007D2346">
      <w:pPr>
        <w:pStyle w:val="Item"/>
      </w:pPr>
      <w:r w:rsidRPr="006A7F5B">
        <w:t>insert: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3"/>
        <w:gridCol w:w="1979"/>
      </w:tblGrid>
      <w:tr w:rsidR="007D2346" w:rsidRPr="006A7F5B" w:rsidTr="004F0DDC">
        <w:trPr>
          <w:cantSplit/>
        </w:trPr>
        <w:tc>
          <w:tcPr>
            <w:tcW w:w="5223" w:type="dxa"/>
            <w:tcBorders>
              <w:top w:val="nil"/>
              <w:bottom w:val="nil"/>
            </w:tcBorders>
            <w:shd w:val="clear" w:color="auto" w:fill="auto"/>
          </w:tcPr>
          <w:p w:rsidR="007D2346" w:rsidRPr="006A7F5B" w:rsidRDefault="007D2346" w:rsidP="004F0DDC">
            <w:pPr>
              <w:pStyle w:val="tableIndentText"/>
              <w:rPr>
                <w:rFonts w:ascii="Times New Roman" w:hAnsi="Times New Roman"/>
              </w:rPr>
            </w:pPr>
            <w:r w:rsidRPr="006A7F5B">
              <w:rPr>
                <w:rFonts w:ascii="Times New Roman" w:hAnsi="Times New Roman"/>
              </w:rPr>
              <w:t>2019</w:t>
            </w:r>
            <w:r>
              <w:rPr>
                <w:rFonts w:ascii="Times New Roman" w:hAnsi="Times New Roman"/>
              </w:rPr>
              <w:noBreakHyphen/>
            </w:r>
            <w:r w:rsidRPr="006A7F5B">
              <w:rPr>
                <w:rFonts w:ascii="Times New Roman" w:hAnsi="Times New Roman"/>
              </w:rPr>
              <w:t>20 bushfires—payments for volunteer work with fire services</w:t>
            </w:r>
            <w:r w:rsidRPr="006A7F5B">
              <w:rPr>
                <w:rFonts w:ascii="Times New Roman" w:hAnsi="Times New Roman"/>
              </w:rPr>
              <w:tab/>
            </w:r>
          </w:p>
        </w:tc>
        <w:tc>
          <w:tcPr>
            <w:tcW w:w="1979" w:type="dxa"/>
            <w:tcBorders>
              <w:top w:val="nil"/>
              <w:bottom w:val="nil"/>
            </w:tcBorders>
            <w:shd w:val="clear" w:color="auto" w:fill="auto"/>
          </w:tcPr>
          <w:p w:rsidR="007D2346" w:rsidRPr="006A7F5B" w:rsidRDefault="007D2346" w:rsidP="004F0DDC">
            <w:pPr>
              <w:pStyle w:val="tableText0"/>
              <w:spacing w:line="240" w:lineRule="auto"/>
            </w:pPr>
            <w:r w:rsidRPr="006A7F5B">
              <w:br/>
              <w:t>59</w:t>
            </w:r>
            <w:r>
              <w:noBreakHyphen/>
            </w:r>
            <w:r w:rsidRPr="006A7F5B">
              <w:t>55</w:t>
            </w:r>
          </w:p>
        </w:tc>
      </w:tr>
      <w:tr w:rsidR="007D2346" w:rsidRPr="006A7F5B" w:rsidTr="004F0DDC">
        <w:trPr>
          <w:cantSplit/>
        </w:trPr>
        <w:tc>
          <w:tcPr>
            <w:tcW w:w="5223" w:type="dxa"/>
            <w:tcBorders>
              <w:top w:val="nil"/>
              <w:bottom w:val="nil"/>
            </w:tcBorders>
            <w:shd w:val="clear" w:color="auto" w:fill="auto"/>
          </w:tcPr>
          <w:p w:rsidR="007D2346" w:rsidRPr="006A7F5B" w:rsidRDefault="007D2346" w:rsidP="004F0DDC">
            <w:pPr>
              <w:pStyle w:val="tableIndentText"/>
              <w:rPr>
                <w:rFonts w:ascii="Times New Roman" w:hAnsi="Times New Roman"/>
              </w:rPr>
            </w:pPr>
            <w:r w:rsidRPr="006A7F5B">
              <w:rPr>
                <w:rFonts w:ascii="Times New Roman" w:hAnsi="Times New Roman"/>
              </w:rPr>
              <w:t>2019</w:t>
            </w:r>
            <w:r>
              <w:rPr>
                <w:rFonts w:ascii="Times New Roman" w:hAnsi="Times New Roman"/>
              </w:rPr>
              <w:noBreakHyphen/>
            </w:r>
            <w:r w:rsidRPr="006A7F5B">
              <w:rPr>
                <w:rFonts w:ascii="Times New Roman" w:hAnsi="Times New Roman"/>
              </w:rPr>
              <w:t>20 bushfires—disaster relief payments and non—cash benefits</w:t>
            </w:r>
            <w:r w:rsidRPr="006A7F5B">
              <w:rPr>
                <w:rFonts w:ascii="Times New Roman" w:hAnsi="Times New Roman"/>
              </w:rPr>
              <w:tab/>
            </w:r>
          </w:p>
        </w:tc>
        <w:tc>
          <w:tcPr>
            <w:tcW w:w="1979" w:type="dxa"/>
            <w:tcBorders>
              <w:top w:val="nil"/>
              <w:bottom w:val="nil"/>
            </w:tcBorders>
            <w:shd w:val="clear" w:color="auto" w:fill="auto"/>
          </w:tcPr>
          <w:p w:rsidR="007D2346" w:rsidRPr="006A7F5B" w:rsidRDefault="007D2346" w:rsidP="004F0DDC">
            <w:pPr>
              <w:pStyle w:val="tableText0"/>
              <w:spacing w:line="240" w:lineRule="auto"/>
            </w:pPr>
            <w:r w:rsidRPr="006A7F5B">
              <w:br/>
              <w:t>59</w:t>
            </w:r>
            <w:r>
              <w:noBreakHyphen/>
            </w:r>
            <w:r w:rsidRPr="006A7F5B">
              <w:t>60</w:t>
            </w:r>
          </w:p>
        </w:tc>
      </w:tr>
    </w:tbl>
    <w:p w:rsidR="007D2346" w:rsidRPr="00F41C15" w:rsidRDefault="007D2346" w:rsidP="007D2346">
      <w:pPr>
        <w:tabs>
          <w:tab w:val="left" w:pos="720"/>
          <w:tab w:val="left" w:pos="3828"/>
        </w:tabs>
        <w:spacing w:before="120"/>
      </w:pPr>
      <w:r>
        <w:t>This compilation was editorially changed by omitting the em rule between “non” and “cash” and substituting a hyphen to correct the typographical error.</w:t>
      </w:r>
    </w:p>
    <w:p w:rsidR="00AE49E6" w:rsidRDefault="00AE49E6" w:rsidP="00AE49E6">
      <w:pPr>
        <w:pStyle w:val="Head2"/>
        <w:keepLines/>
      </w:pPr>
      <w:r w:rsidRPr="00AC72D9">
        <w:t>National Redress Scheme for Institutional Child Sexual Abuse Declaration</w:t>
      </w:r>
      <w:r>
        <w:t> </w:t>
      </w:r>
      <w:r w:rsidRPr="00AC72D9">
        <w:t>2018</w:t>
      </w:r>
      <w:r>
        <w:t>, Compilation No. 23,</w:t>
      </w:r>
      <w:r w:rsidRPr="003342C4">
        <w:t xml:space="preserve"> Registration Date:</w:t>
      </w:r>
      <w:r>
        <w:t xml:space="preserve"> 20 February 2020 [</w:t>
      </w:r>
      <w:r>
        <w:rPr>
          <w:bCs/>
        </w:rPr>
        <w:t>F2020</w:t>
      </w:r>
      <w:r w:rsidRPr="005A1F2E">
        <w:rPr>
          <w:bCs/>
        </w:rPr>
        <w:t>C00</w:t>
      </w:r>
      <w:r>
        <w:rPr>
          <w:bCs/>
        </w:rPr>
        <w:t>153</w:t>
      </w:r>
      <w:r>
        <w:t>]</w:t>
      </w:r>
    </w:p>
    <w:p w:rsidR="00AE49E6" w:rsidRPr="00F2598C" w:rsidRDefault="00AE49E6" w:rsidP="00AE49E6"/>
    <w:p w:rsidR="00AE49E6" w:rsidRPr="004549F1" w:rsidRDefault="00AE49E6" w:rsidP="00AE49E6">
      <w:pPr>
        <w:rPr>
          <w:b/>
          <w:sz w:val="24"/>
          <w:szCs w:val="24"/>
        </w:rPr>
      </w:pPr>
      <w:r>
        <w:rPr>
          <w:b/>
          <w:sz w:val="24"/>
          <w:szCs w:val="24"/>
        </w:rPr>
        <w:t>Schedule 1 (table item 140)</w:t>
      </w:r>
    </w:p>
    <w:p w:rsidR="00AE49E6" w:rsidRPr="00D63397" w:rsidRDefault="00AE49E6" w:rsidP="00AE49E6"/>
    <w:p w:rsidR="00AE49E6" w:rsidRPr="004549F1" w:rsidRDefault="00AE49E6" w:rsidP="00AE49E6">
      <w:pPr>
        <w:rPr>
          <w:b/>
        </w:rPr>
      </w:pPr>
      <w:r w:rsidRPr="004549F1">
        <w:rPr>
          <w:b/>
        </w:rPr>
        <w:t>Kind of editorial change</w:t>
      </w:r>
    </w:p>
    <w:p w:rsidR="00AE49E6" w:rsidRPr="004549F1" w:rsidRDefault="00AE49E6" w:rsidP="00AE49E6"/>
    <w:p w:rsidR="00AE49E6" w:rsidRPr="00D63397" w:rsidRDefault="00AE49E6" w:rsidP="00AE49E6">
      <w:r>
        <w:t>Renumbering of provisions</w:t>
      </w:r>
    </w:p>
    <w:p w:rsidR="00AE49E6" w:rsidRPr="004549F1" w:rsidRDefault="00AE49E6" w:rsidP="00AE49E6"/>
    <w:p w:rsidR="00AE49E6" w:rsidRPr="004549F1" w:rsidRDefault="00AE49E6" w:rsidP="00AE49E6">
      <w:pPr>
        <w:rPr>
          <w:b/>
        </w:rPr>
      </w:pPr>
      <w:r w:rsidRPr="004549F1">
        <w:rPr>
          <w:b/>
        </w:rPr>
        <w:t>Details of editorial change</w:t>
      </w:r>
    </w:p>
    <w:p w:rsidR="00AE49E6" w:rsidRPr="00D63397" w:rsidRDefault="00AE49E6" w:rsidP="00AE49E6"/>
    <w:p w:rsidR="00AE49E6" w:rsidRDefault="00AE49E6" w:rsidP="00AE49E6">
      <w:r>
        <w:t xml:space="preserve">Schedule 1 item 25 of the </w:t>
      </w:r>
      <w:r w:rsidRPr="00D3778E">
        <w:rPr>
          <w:i/>
        </w:rPr>
        <w:t>National Redress Scheme for Institutional Child Sexual Abuse Amendment (2020 Measures No. 1) Declaration 2020</w:t>
      </w:r>
      <w:r>
        <w:t xml:space="preserve"> </w:t>
      </w:r>
      <w:r w:rsidRPr="007A64E9">
        <w:t>insert</w:t>
      </w:r>
      <w:r>
        <w:t>s</w:t>
      </w:r>
      <w:r w:rsidRPr="007A64E9">
        <w:t xml:space="preserve"> table items </w:t>
      </w:r>
      <w:r>
        <w:t>79</w:t>
      </w:r>
      <w:r w:rsidRPr="007A64E9">
        <w:t xml:space="preserve"> to </w:t>
      </w:r>
      <w:r>
        <w:t>154</w:t>
      </w:r>
      <w:r w:rsidRPr="007A64E9">
        <w:t xml:space="preserve"> after table item </w:t>
      </w:r>
      <w:r>
        <w:t>78</w:t>
      </w:r>
      <w:r w:rsidRPr="007A64E9">
        <w:t xml:space="preserve"> of Schedule 1.</w:t>
      </w:r>
    </w:p>
    <w:p w:rsidR="00AE49E6" w:rsidRDefault="00AE49E6" w:rsidP="00AE49E6"/>
    <w:p w:rsidR="00AE49E6" w:rsidRDefault="00AE49E6" w:rsidP="00AE49E6">
      <w:r>
        <w:t xml:space="preserve">Table item 140 </w:t>
      </w:r>
      <w:r w:rsidRPr="00080D55">
        <w:t>in Schedule 1</w:t>
      </w:r>
      <w:r>
        <w:t xml:space="preserve"> contains two paragraph (jg)s.</w:t>
      </w:r>
    </w:p>
    <w:p w:rsidR="00AE49E6" w:rsidRDefault="00AE49E6" w:rsidP="00AE49E6"/>
    <w:p w:rsidR="00AE49E6" w:rsidRPr="004549F1" w:rsidRDefault="00AE49E6" w:rsidP="00AE49E6">
      <w:r>
        <w:t>This compilation was editorially changed by renumbering the second occurring paragraph (jg) as paragraph (jh).</w:t>
      </w:r>
    </w:p>
    <w:p w:rsidR="006A111F" w:rsidRDefault="006A111F" w:rsidP="00B20524">
      <w:pPr>
        <w:pStyle w:val="Head2"/>
        <w:keepLines/>
      </w:pPr>
      <w:r w:rsidRPr="00373948">
        <w:rPr>
          <w:bCs/>
        </w:rPr>
        <w:lastRenderedPageBreak/>
        <w:t>Autonomous Sanctions (Designated Persons and</w:t>
      </w:r>
      <w:r>
        <w:rPr>
          <w:bCs/>
        </w:rPr>
        <w:t xml:space="preserve"> Entities and Declared Persons –</w:t>
      </w:r>
      <w:r w:rsidRPr="00373948">
        <w:rPr>
          <w:bCs/>
        </w:rPr>
        <w:t xml:space="preserve"> Ukraine) List 2014</w:t>
      </w:r>
      <w:r>
        <w:t>, Compilation No. 5,</w:t>
      </w:r>
      <w:r w:rsidRPr="003342C4">
        <w:t xml:space="preserve"> Registration Date:</w:t>
      </w:r>
      <w:r>
        <w:t xml:space="preserve"> 19 February 2020 [</w:t>
      </w:r>
      <w:r>
        <w:rPr>
          <w:bCs/>
        </w:rPr>
        <w:t>F2020</w:t>
      </w:r>
      <w:r w:rsidRPr="005A1F2E">
        <w:rPr>
          <w:bCs/>
        </w:rPr>
        <w:t>C00</w:t>
      </w:r>
      <w:r>
        <w:rPr>
          <w:bCs/>
        </w:rPr>
        <w:t>143</w:t>
      </w:r>
      <w:r>
        <w:t>]</w:t>
      </w:r>
    </w:p>
    <w:p w:rsidR="006A111F" w:rsidRPr="00F2598C" w:rsidRDefault="006A111F" w:rsidP="00B20524">
      <w:pPr>
        <w:keepNext/>
        <w:keepLines/>
      </w:pPr>
    </w:p>
    <w:p w:rsidR="006A111F" w:rsidRPr="004549F1" w:rsidRDefault="006A111F" w:rsidP="006A111F">
      <w:pPr>
        <w:rPr>
          <w:b/>
          <w:sz w:val="24"/>
          <w:szCs w:val="24"/>
        </w:rPr>
      </w:pPr>
      <w:r>
        <w:rPr>
          <w:b/>
          <w:sz w:val="24"/>
          <w:szCs w:val="24"/>
        </w:rPr>
        <w:t>Part 1 of Schedule 1</w:t>
      </w:r>
    </w:p>
    <w:p w:rsidR="006A111F" w:rsidRPr="001476AF" w:rsidRDefault="006A111F" w:rsidP="006A111F"/>
    <w:p w:rsidR="006A111F" w:rsidRPr="004549F1" w:rsidRDefault="006A111F" w:rsidP="006A111F">
      <w:pPr>
        <w:rPr>
          <w:b/>
        </w:rPr>
      </w:pPr>
      <w:r w:rsidRPr="004549F1">
        <w:rPr>
          <w:b/>
        </w:rPr>
        <w:t>Kind of editorial change</w:t>
      </w:r>
    </w:p>
    <w:p w:rsidR="006A111F" w:rsidRPr="004549F1" w:rsidRDefault="006A111F" w:rsidP="006A111F"/>
    <w:p w:rsidR="006A111F" w:rsidRPr="001476AF" w:rsidRDefault="006A111F" w:rsidP="006A111F">
      <w:r>
        <w:t>Removal of redundant text</w:t>
      </w:r>
    </w:p>
    <w:p w:rsidR="006A111F" w:rsidRPr="004549F1" w:rsidRDefault="006A111F" w:rsidP="006A111F"/>
    <w:p w:rsidR="006A111F" w:rsidRPr="004549F1" w:rsidRDefault="006A111F" w:rsidP="006A111F">
      <w:pPr>
        <w:rPr>
          <w:b/>
        </w:rPr>
      </w:pPr>
      <w:r w:rsidRPr="004549F1">
        <w:rPr>
          <w:b/>
        </w:rPr>
        <w:t>Details of editorial change</w:t>
      </w:r>
    </w:p>
    <w:p w:rsidR="006A111F" w:rsidRPr="001476AF" w:rsidRDefault="006A111F" w:rsidP="006A111F"/>
    <w:p w:rsidR="006A111F" w:rsidRPr="001476AF" w:rsidRDefault="006A111F" w:rsidP="006A111F">
      <w:r>
        <w:t xml:space="preserve">Schedule 2 item 1 of the </w:t>
      </w:r>
      <w:r w:rsidRPr="00487C40">
        <w:rPr>
          <w:i/>
        </w:rPr>
        <w:t>Autonomous Sanctions (Designated and Declared Persons – Ukraine) Amendment List 2020</w:t>
      </w:r>
      <w:r>
        <w:t xml:space="preserve"> instructs to insert column headings and table items after item 163 of Part 1 of Schedule 1.</w:t>
      </w:r>
    </w:p>
    <w:p w:rsidR="006A111F" w:rsidRDefault="006A111F" w:rsidP="006A111F"/>
    <w:p w:rsidR="006A111F" w:rsidRDefault="006A111F" w:rsidP="006A111F">
      <w:r>
        <w:t>This action results in two occurrences of the column headings “</w:t>
      </w:r>
      <w:r w:rsidRPr="00016098">
        <w:rPr>
          <w:b/>
        </w:rPr>
        <w:t>Item</w:t>
      </w:r>
      <w:r>
        <w:t>” and “</w:t>
      </w:r>
      <w:r w:rsidRPr="00016098">
        <w:rPr>
          <w:b/>
        </w:rPr>
        <w:t>Description</w:t>
      </w:r>
      <w:r>
        <w:t>” in the same table.</w:t>
      </w:r>
    </w:p>
    <w:p w:rsidR="006A111F" w:rsidRDefault="006A111F" w:rsidP="006A111F"/>
    <w:p w:rsidR="006A111F" w:rsidRDefault="006A111F" w:rsidP="006A111F">
      <w:r>
        <w:t>This compilation was editorially changed to omit the second occurrence of the column headings “</w:t>
      </w:r>
      <w:r w:rsidRPr="00016098">
        <w:rPr>
          <w:b/>
        </w:rPr>
        <w:t>Item</w:t>
      </w:r>
      <w:r>
        <w:t>” and “</w:t>
      </w:r>
      <w:r w:rsidRPr="00016098">
        <w:rPr>
          <w:b/>
        </w:rPr>
        <w:t>Description</w:t>
      </w:r>
      <w:r>
        <w:t>” in Part 1 of Schedule 1.</w:t>
      </w:r>
    </w:p>
    <w:p w:rsidR="006A111F" w:rsidRDefault="006A111F" w:rsidP="006A111F"/>
    <w:p w:rsidR="006A111F" w:rsidRPr="00996725" w:rsidRDefault="006A111F" w:rsidP="006A111F"/>
    <w:p w:rsidR="006A111F" w:rsidRPr="004549F1" w:rsidRDefault="006A111F" w:rsidP="006A111F">
      <w:pPr>
        <w:rPr>
          <w:b/>
          <w:sz w:val="24"/>
          <w:szCs w:val="24"/>
        </w:rPr>
      </w:pPr>
      <w:r>
        <w:rPr>
          <w:b/>
          <w:sz w:val="24"/>
          <w:szCs w:val="24"/>
        </w:rPr>
        <w:t>Part 1 of Schedule 1</w:t>
      </w:r>
    </w:p>
    <w:p w:rsidR="006A111F" w:rsidRPr="001476AF" w:rsidRDefault="006A111F" w:rsidP="006A111F"/>
    <w:p w:rsidR="006A111F" w:rsidRPr="004549F1" w:rsidRDefault="006A111F" w:rsidP="006A111F">
      <w:pPr>
        <w:rPr>
          <w:b/>
        </w:rPr>
      </w:pPr>
      <w:r w:rsidRPr="004549F1">
        <w:rPr>
          <w:b/>
        </w:rPr>
        <w:t>Kind of editorial change</w:t>
      </w:r>
    </w:p>
    <w:p w:rsidR="006A111F" w:rsidRDefault="006A111F" w:rsidP="006A111F"/>
    <w:p w:rsidR="006A111F" w:rsidRDefault="006A111F" w:rsidP="006A111F">
      <w:r>
        <w:t>Renumbering of provisions</w:t>
      </w:r>
    </w:p>
    <w:p w:rsidR="006A111F" w:rsidRPr="004549F1" w:rsidRDefault="006A111F" w:rsidP="006A111F"/>
    <w:p w:rsidR="006A111F" w:rsidRPr="004549F1" w:rsidRDefault="006A111F" w:rsidP="006A111F">
      <w:pPr>
        <w:rPr>
          <w:b/>
        </w:rPr>
      </w:pPr>
      <w:r w:rsidRPr="004549F1">
        <w:rPr>
          <w:b/>
        </w:rPr>
        <w:t>Details of editorial change</w:t>
      </w:r>
    </w:p>
    <w:p w:rsidR="006A111F" w:rsidRPr="001476AF" w:rsidRDefault="006A111F" w:rsidP="006A111F"/>
    <w:p w:rsidR="006A111F" w:rsidRPr="001476AF" w:rsidRDefault="006A111F" w:rsidP="006A111F">
      <w:r>
        <w:t xml:space="preserve">Schedule 2 item 1 of the </w:t>
      </w:r>
      <w:r w:rsidRPr="00487C40">
        <w:rPr>
          <w:i/>
        </w:rPr>
        <w:t>Autonomous Sanctions (Designated and Declared Persons – Ukraine) Amendment List 2020</w:t>
      </w:r>
      <w:r>
        <w:t xml:space="preserve"> instructs to insert table items 1 to 7 after item 163 of Part 1 of Schedule 1.</w:t>
      </w:r>
    </w:p>
    <w:p w:rsidR="006A111F" w:rsidRDefault="006A111F" w:rsidP="006A111F"/>
    <w:p w:rsidR="006A111F" w:rsidRDefault="006A111F" w:rsidP="006A111F">
      <w:r>
        <w:t>Table items 1 to 7 already appear in Part 1 of Schedule 1.</w:t>
      </w:r>
    </w:p>
    <w:p w:rsidR="006A111F" w:rsidRDefault="006A111F" w:rsidP="006A111F"/>
    <w:p w:rsidR="006A111F" w:rsidRDefault="006A111F" w:rsidP="006A111F">
      <w:r>
        <w:t>This compilation was editorially changed by renumbering the newly inserted, second occurring table items 1 to 7 to table items 164 to 170.</w:t>
      </w:r>
    </w:p>
    <w:p w:rsidR="005B1817" w:rsidRDefault="005B1817" w:rsidP="004830A2">
      <w:pPr>
        <w:pStyle w:val="Head2"/>
        <w:keepLines/>
      </w:pPr>
      <w:r w:rsidRPr="00FF233B">
        <w:t>Foreign Acquisitions and Takeovers Regulation</w:t>
      </w:r>
      <w:r>
        <w:t> </w:t>
      </w:r>
      <w:r w:rsidRPr="00FF233B">
        <w:t>2015</w:t>
      </w:r>
      <w:r>
        <w:t>, Compilation No. 7,</w:t>
      </w:r>
      <w:r w:rsidRPr="003342C4">
        <w:t xml:space="preserve"> Registration Date:</w:t>
      </w:r>
      <w:r>
        <w:t xml:space="preserve"> 19 February 2020 [</w:t>
      </w:r>
      <w:r>
        <w:rPr>
          <w:bCs/>
        </w:rPr>
        <w:t>F2020</w:t>
      </w:r>
      <w:r w:rsidRPr="005A1F2E">
        <w:rPr>
          <w:bCs/>
        </w:rPr>
        <w:t>C00</w:t>
      </w:r>
      <w:r>
        <w:rPr>
          <w:bCs/>
        </w:rPr>
        <w:t>144</w:t>
      </w:r>
      <w:r>
        <w:t>]</w:t>
      </w:r>
    </w:p>
    <w:p w:rsidR="005B1817" w:rsidRPr="00F2598C" w:rsidRDefault="005B1817" w:rsidP="004830A2">
      <w:pPr>
        <w:keepNext/>
        <w:keepLines/>
      </w:pPr>
    </w:p>
    <w:p w:rsidR="005B1817" w:rsidRPr="00AD4B68" w:rsidRDefault="005B1817" w:rsidP="004830A2">
      <w:pPr>
        <w:keepNext/>
        <w:keepLines/>
        <w:rPr>
          <w:b/>
          <w:sz w:val="24"/>
          <w:szCs w:val="24"/>
        </w:rPr>
      </w:pPr>
      <w:r w:rsidRPr="00AD4B68">
        <w:rPr>
          <w:b/>
          <w:sz w:val="24"/>
          <w:szCs w:val="24"/>
        </w:rPr>
        <w:t xml:space="preserve">Section </w:t>
      </w:r>
      <w:r>
        <w:rPr>
          <w:b/>
          <w:sz w:val="24"/>
          <w:szCs w:val="24"/>
        </w:rPr>
        <w:t>73</w:t>
      </w:r>
    </w:p>
    <w:p w:rsidR="005B1817" w:rsidRPr="002016BC" w:rsidRDefault="005B1817" w:rsidP="004830A2">
      <w:pPr>
        <w:keepNext/>
        <w:keepLines/>
      </w:pPr>
    </w:p>
    <w:p w:rsidR="005B1817" w:rsidRPr="004549F1" w:rsidRDefault="005B1817" w:rsidP="004830A2">
      <w:pPr>
        <w:keepNext/>
        <w:keepLines/>
        <w:rPr>
          <w:b/>
        </w:rPr>
      </w:pPr>
      <w:r w:rsidRPr="004549F1">
        <w:rPr>
          <w:b/>
        </w:rPr>
        <w:t>Kind of editorial change</w:t>
      </w:r>
    </w:p>
    <w:p w:rsidR="005B1817" w:rsidRPr="004549F1" w:rsidRDefault="005B1817" w:rsidP="004830A2">
      <w:pPr>
        <w:keepNext/>
        <w:keepLines/>
      </w:pPr>
    </w:p>
    <w:p w:rsidR="005B1817" w:rsidRDefault="005B1817" w:rsidP="005B1817">
      <w:r w:rsidRPr="00F13DCB">
        <w:rPr>
          <w:szCs w:val="22"/>
        </w:rPr>
        <w:t>Change to grammar, syntax or the use of conjunctives or disjunctives</w:t>
      </w:r>
    </w:p>
    <w:p w:rsidR="005B1817" w:rsidRPr="004549F1" w:rsidRDefault="005B1817" w:rsidP="005B1817"/>
    <w:p w:rsidR="005B1817" w:rsidRPr="004549F1" w:rsidRDefault="005B1817" w:rsidP="00B20524">
      <w:pPr>
        <w:rPr>
          <w:b/>
        </w:rPr>
      </w:pPr>
      <w:r w:rsidRPr="004549F1">
        <w:rPr>
          <w:b/>
        </w:rPr>
        <w:t>Details of editorial change</w:t>
      </w:r>
    </w:p>
    <w:p w:rsidR="005B1817" w:rsidRPr="002016BC" w:rsidRDefault="005B1817" w:rsidP="00B20524"/>
    <w:p w:rsidR="005B1817" w:rsidRDefault="005B1817" w:rsidP="005B1817">
      <w:pPr>
        <w:rPr>
          <w:noProof/>
        </w:rPr>
      </w:pPr>
      <w:r>
        <w:lastRenderedPageBreak/>
        <w:t xml:space="preserve">Schedule 1 item 23 of the </w:t>
      </w:r>
      <w:r>
        <w:rPr>
          <w:i/>
          <w:noProof/>
        </w:rPr>
        <w:t>Foreign Acquisitions and Takeovers Amendment (Australia-Hong Kong Free Trade Agreement) Regulations 2019</w:t>
      </w:r>
      <w:r w:rsidRPr="002016BC">
        <w:rPr>
          <w:noProof/>
        </w:rPr>
        <w:t xml:space="preserve"> </w:t>
      </w:r>
      <w:r>
        <w:rPr>
          <w:noProof/>
        </w:rPr>
        <w:t>instructs to insert section 73 in the appropriate position in Part 7.</w:t>
      </w:r>
    </w:p>
    <w:p w:rsidR="005B1817" w:rsidRDefault="005B1817" w:rsidP="005B1817">
      <w:pPr>
        <w:rPr>
          <w:noProof/>
        </w:rPr>
      </w:pPr>
    </w:p>
    <w:p w:rsidR="005B1817" w:rsidRDefault="005B1817" w:rsidP="005B1817">
      <w:pPr>
        <w:rPr>
          <w:noProof/>
        </w:rPr>
      </w:pPr>
      <w:r>
        <w:rPr>
          <w:noProof/>
        </w:rPr>
        <w:t>Section 73 appears as follows:</w:t>
      </w:r>
    </w:p>
    <w:p w:rsidR="005B1817" w:rsidRDefault="005B1817" w:rsidP="005B1817">
      <w:pPr>
        <w:rPr>
          <w:noProof/>
        </w:rPr>
      </w:pPr>
    </w:p>
    <w:p w:rsidR="005B1817" w:rsidRPr="002016BC" w:rsidRDefault="005B1817" w:rsidP="005B1817">
      <w:pPr>
        <w:pStyle w:val="ActHead5"/>
        <w:spacing w:before="0"/>
        <w:rPr>
          <w:noProof/>
        </w:rPr>
      </w:pPr>
      <w:bookmarkStart w:id="3" w:name="_Toc32997803"/>
      <w:r w:rsidRPr="00713E9F">
        <w:rPr>
          <w:rStyle w:val="CharSectno"/>
        </w:rPr>
        <w:t>73</w:t>
      </w:r>
      <w:r w:rsidRPr="00470C56">
        <w:t xml:space="preserve">  Application of the </w:t>
      </w:r>
      <w:r w:rsidRPr="00D00C45">
        <w:rPr>
          <w:i/>
          <w:noProof/>
        </w:rPr>
        <w:t>Foreign Acquisitions and Takeovers Amendment (Australia</w:t>
      </w:r>
      <w:r>
        <w:rPr>
          <w:i/>
          <w:noProof/>
        </w:rPr>
        <w:noBreakHyphen/>
      </w:r>
      <w:r w:rsidRPr="00D00C45">
        <w:rPr>
          <w:i/>
          <w:noProof/>
        </w:rPr>
        <w:t xml:space="preserve">Hong Kong Free Trade Agreement) </w:t>
      </w:r>
      <w:r>
        <w:rPr>
          <w:i/>
          <w:noProof/>
        </w:rPr>
        <w:t>Regulations 2</w:t>
      </w:r>
      <w:r w:rsidRPr="00D00C45">
        <w:rPr>
          <w:i/>
          <w:noProof/>
        </w:rPr>
        <w:t>019</w:t>
      </w:r>
      <w:bookmarkEnd w:id="3"/>
    </w:p>
    <w:p w:rsidR="005B1817" w:rsidRPr="00470C56" w:rsidRDefault="005B1817" w:rsidP="005B1817">
      <w:pPr>
        <w:pStyle w:val="subsection"/>
        <w:rPr>
          <w:noProof/>
        </w:rPr>
      </w:pPr>
      <w:r w:rsidRPr="00470C56">
        <w:tab/>
      </w:r>
      <w:r w:rsidRPr="00470C56">
        <w:tab/>
        <w:t xml:space="preserve">The amendments by the </w:t>
      </w:r>
      <w:r w:rsidRPr="00470C56">
        <w:rPr>
          <w:i/>
          <w:noProof/>
        </w:rPr>
        <w:t>Foreign Acquisitions and Takeovers Amendment (Australia</w:t>
      </w:r>
      <w:r>
        <w:rPr>
          <w:i/>
          <w:noProof/>
        </w:rPr>
        <w:noBreakHyphen/>
      </w:r>
      <w:r w:rsidRPr="00470C56">
        <w:rPr>
          <w:i/>
          <w:noProof/>
        </w:rPr>
        <w:t xml:space="preserve">Hong Kong Free Trade Agreement) </w:t>
      </w:r>
      <w:r>
        <w:rPr>
          <w:i/>
          <w:noProof/>
        </w:rPr>
        <w:t>Regulations 2</w:t>
      </w:r>
      <w:r w:rsidRPr="00470C56">
        <w:rPr>
          <w:i/>
          <w:noProof/>
        </w:rPr>
        <w:t>019</w:t>
      </w:r>
      <w:r w:rsidRPr="00470C56">
        <w:rPr>
          <w:noProof/>
        </w:rPr>
        <w:t xml:space="preserve"> apply in relation to </w:t>
      </w:r>
      <w:r>
        <w:rPr>
          <w:noProof/>
        </w:rPr>
        <w:t>an action</w:t>
      </w:r>
      <w:r w:rsidRPr="00470C56">
        <w:rPr>
          <w:noProof/>
        </w:rPr>
        <w:t xml:space="preserve"> taken on or after the </w:t>
      </w:r>
      <w:r w:rsidRPr="00593322">
        <w:rPr>
          <w:noProof/>
        </w:rPr>
        <w:t>commencement of those Regulations</w:t>
      </w:r>
      <w:r w:rsidRPr="00470C56">
        <w:rPr>
          <w:noProof/>
        </w:rPr>
        <w:t>.</w:t>
      </w:r>
    </w:p>
    <w:p w:rsidR="005B1817" w:rsidRDefault="005B1817" w:rsidP="005B1817"/>
    <w:p w:rsidR="005B1817" w:rsidRDefault="005B1817" w:rsidP="005B1817">
      <w:r>
        <w:t>This compilation was editorially changed to insert the word “made” after “The amendments” to correct the grammatical error.</w:t>
      </w:r>
    </w:p>
    <w:p w:rsidR="00F33232" w:rsidRDefault="00F33232" w:rsidP="00F33232">
      <w:pPr>
        <w:pStyle w:val="Head2"/>
        <w:keepLines/>
      </w:pPr>
      <w:r w:rsidRPr="00DD6A1E">
        <w:t>National Redress Scheme for Institutional Child Sexual Abuse Rules</w:t>
      </w:r>
      <w:r>
        <w:t> </w:t>
      </w:r>
      <w:r w:rsidRPr="00DD6A1E">
        <w:t>2018</w:t>
      </w:r>
      <w:r>
        <w:t>, Compilation No. 2,</w:t>
      </w:r>
      <w:r w:rsidRPr="003342C4">
        <w:t xml:space="preserve"> Registration Date:</w:t>
      </w:r>
      <w:r>
        <w:t xml:space="preserve"> 19 February 2020 [</w:t>
      </w:r>
      <w:r>
        <w:rPr>
          <w:bCs/>
        </w:rPr>
        <w:t>F2020</w:t>
      </w:r>
      <w:r w:rsidRPr="005A1F2E">
        <w:rPr>
          <w:bCs/>
        </w:rPr>
        <w:t>C00</w:t>
      </w:r>
      <w:r>
        <w:rPr>
          <w:bCs/>
        </w:rPr>
        <w:t>147</w:t>
      </w:r>
      <w:r>
        <w:t>]</w:t>
      </w:r>
    </w:p>
    <w:p w:rsidR="00F33232" w:rsidRPr="00DD6A1E" w:rsidRDefault="00F33232" w:rsidP="00F33232"/>
    <w:p w:rsidR="00F33232" w:rsidRPr="00DD6A1E" w:rsidRDefault="00F33232" w:rsidP="00F33232">
      <w:pPr>
        <w:rPr>
          <w:b/>
          <w:sz w:val="24"/>
          <w:szCs w:val="24"/>
        </w:rPr>
      </w:pPr>
      <w:r w:rsidRPr="00DD6A1E">
        <w:rPr>
          <w:b/>
          <w:sz w:val="24"/>
          <w:szCs w:val="24"/>
        </w:rPr>
        <w:t>Heading to Division</w:t>
      </w:r>
      <w:r>
        <w:rPr>
          <w:b/>
          <w:sz w:val="24"/>
          <w:szCs w:val="24"/>
        </w:rPr>
        <w:t> </w:t>
      </w:r>
      <w:r w:rsidRPr="00DD6A1E">
        <w:rPr>
          <w:b/>
          <w:sz w:val="24"/>
          <w:szCs w:val="24"/>
        </w:rPr>
        <w:t>2 of Part</w:t>
      </w:r>
      <w:r>
        <w:rPr>
          <w:b/>
          <w:sz w:val="24"/>
          <w:szCs w:val="24"/>
        </w:rPr>
        <w:t> </w:t>
      </w:r>
      <w:r w:rsidRPr="00DD6A1E">
        <w:rPr>
          <w:b/>
          <w:sz w:val="24"/>
          <w:szCs w:val="24"/>
        </w:rPr>
        <w:t>11A</w:t>
      </w:r>
    </w:p>
    <w:p w:rsidR="00F33232" w:rsidRPr="00DD6A1E" w:rsidRDefault="00F33232" w:rsidP="00F33232"/>
    <w:p w:rsidR="00F33232" w:rsidRPr="00DD6A1E" w:rsidRDefault="00F33232" w:rsidP="00F33232">
      <w:pPr>
        <w:rPr>
          <w:b/>
        </w:rPr>
      </w:pPr>
      <w:r w:rsidRPr="00DD6A1E">
        <w:rPr>
          <w:b/>
        </w:rPr>
        <w:t>Kind of editorial change</w:t>
      </w:r>
    </w:p>
    <w:p w:rsidR="00F33232" w:rsidRPr="00DD6A1E" w:rsidRDefault="00F33232" w:rsidP="00F33232"/>
    <w:p w:rsidR="00F33232" w:rsidRPr="00DD6A1E" w:rsidRDefault="00F33232" w:rsidP="00F33232">
      <w:r w:rsidRPr="00DD6A1E">
        <w:t>Change to capitalisation</w:t>
      </w:r>
    </w:p>
    <w:p w:rsidR="00F33232" w:rsidRPr="00DD6A1E" w:rsidRDefault="00F33232" w:rsidP="00F33232"/>
    <w:p w:rsidR="00F33232" w:rsidRPr="00DD6A1E" w:rsidRDefault="00F33232" w:rsidP="00F33232">
      <w:pPr>
        <w:rPr>
          <w:b/>
        </w:rPr>
      </w:pPr>
      <w:r w:rsidRPr="00DD6A1E">
        <w:rPr>
          <w:b/>
        </w:rPr>
        <w:t>Details of editorial change</w:t>
      </w:r>
    </w:p>
    <w:p w:rsidR="00F33232" w:rsidRPr="00DD6A1E" w:rsidRDefault="00F33232" w:rsidP="00F33232"/>
    <w:p w:rsidR="00F33232" w:rsidRPr="00DD6A1E" w:rsidRDefault="00F33232" w:rsidP="00F33232">
      <w:r w:rsidRPr="00DD6A1E">
        <w:t>The heading to Division</w:t>
      </w:r>
      <w:r>
        <w:t> </w:t>
      </w:r>
      <w:r w:rsidRPr="00DD6A1E">
        <w:t>2 of Part</w:t>
      </w:r>
      <w:r>
        <w:t> </w:t>
      </w:r>
      <w:r w:rsidRPr="00DD6A1E">
        <w:t>11A appears as follows:</w:t>
      </w:r>
    </w:p>
    <w:p w:rsidR="00F33232" w:rsidRPr="00DD6A1E" w:rsidRDefault="00F33232" w:rsidP="00F33232"/>
    <w:p w:rsidR="00F33232" w:rsidRPr="00DD6A1E" w:rsidRDefault="00F33232" w:rsidP="00F33232">
      <w:pPr>
        <w:pStyle w:val="Speciald"/>
      </w:pPr>
      <w:r w:rsidRPr="00DD6A1E">
        <w:rPr>
          <w:rStyle w:val="CharDivNo"/>
        </w:rPr>
        <w:t>Division</w:t>
      </w:r>
      <w:r>
        <w:rPr>
          <w:rStyle w:val="CharDivNo"/>
        </w:rPr>
        <w:t> </w:t>
      </w:r>
      <w:r w:rsidRPr="00DD6A1E">
        <w:rPr>
          <w:rStyle w:val="CharDivNo"/>
        </w:rPr>
        <w:t>2</w:t>
      </w:r>
      <w:r w:rsidRPr="00DD6A1E">
        <w:t>—</w:t>
      </w:r>
      <w:r w:rsidRPr="00DD6A1E">
        <w:rPr>
          <w:rStyle w:val="CharDivText"/>
        </w:rPr>
        <w:t>institutions that are not State institutions</w:t>
      </w:r>
    </w:p>
    <w:p w:rsidR="00F33232" w:rsidRPr="00DD6A1E" w:rsidRDefault="00F33232" w:rsidP="00F33232"/>
    <w:p w:rsidR="00F33232" w:rsidRPr="00DD6A1E" w:rsidRDefault="00F33232" w:rsidP="00F33232">
      <w:r w:rsidRPr="00DD6A1E">
        <w:t>This compilation was editorially changed to replace the lower case “</w:t>
      </w:r>
      <w:r w:rsidRPr="00DD6A1E">
        <w:rPr>
          <w:b/>
        </w:rPr>
        <w:t>i</w:t>
      </w:r>
      <w:r w:rsidRPr="00DD6A1E">
        <w:t>” at the beginning of the word “</w:t>
      </w:r>
      <w:r w:rsidRPr="00DD6A1E">
        <w:rPr>
          <w:rStyle w:val="CharDivText"/>
          <w:b/>
        </w:rPr>
        <w:t>institutions</w:t>
      </w:r>
      <w:r w:rsidRPr="00DD6A1E">
        <w:rPr>
          <w:rStyle w:val="CharDivText"/>
        </w:rPr>
        <w:t>” (first occurring) with a capitial “</w:t>
      </w:r>
      <w:r w:rsidRPr="00DD6A1E">
        <w:rPr>
          <w:rStyle w:val="CharDivText"/>
          <w:b/>
        </w:rPr>
        <w:t>I</w:t>
      </w:r>
      <w:r w:rsidRPr="00DD6A1E">
        <w:rPr>
          <w:rStyle w:val="CharDivText"/>
        </w:rPr>
        <w:t>” to correct the capitalisation and bring it into line with legislative drafting practice.</w:t>
      </w:r>
    </w:p>
    <w:p w:rsidR="00942773" w:rsidRDefault="00942773" w:rsidP="00775CC1">
      <w:pPr>
        <w:pStyle w:val="Head2"/>
        <w:keepLines/>
      </w:pPr>
      <w:r>
        <w:t>Repatriation Pharmaceutical Benefits Scheme, Compilation No. 8,</w:t>
      </w:r>
      <w:r w:rsidRPr="003342C4">
        <w:t xml:space="preserve"> Registration Date:</w:t>
      </w:r>
      <w:r>
        <w:t xml:space="preserve"> 18 February 2020 [</w:t>
      </w:r>
      <w:r>
        <w:rPr>
          <w:bCs/>
        </w:rPr>
        <w:t>F2020</w:t>
      </w:r>
      <w:r w:rsidRPr="005A1F2E">
        <w:rPr>
          <w:bCs/>
        </w:rPr>
        <w:t>C00</w:t>
      </w:r>
      <w:r>
        <w:rPr>
          <w:bCs/>
        </w:rPr>
        <w:t>137</w:t>
      </w:r>
      <w:r>
        <w:t>]</w:t>
      </w:r>
    </w:p>
    <w:p w:rsidR="00942773" w:rsidRPr="00F2598C" w:rsidRDefault="00942773" w:rsidP="00775CC1">
      <w:pPr>
        <w:keepNext/>
        <w:keepLines/>
      </w:pPr>
    </w:p>
    <w:p w:rsidR="00942773" w:rsidRPr="004549F1" w:rsidRDefault="00942773" w:rsidP="00775CC1">
      <w:pPr>
        <w:keepNext/>
        <w:keepLines/>
        <w:rPr>
          <w:b/>
          <w:sz w:val="24"/>
          <w:szCs w:val="24"/>
        </w:rPr>
      </w:pPr>
      <w:r w:rsidRPr="001D74D1">
        <w:rPr>
          <w:b/>
          <w:sz w:val="24"/>
          <w:szCs w:val="24"/>
        </w:rPr>
        <w:t xml:space="preserve">Section </w:t>
      </w:r>
      <w:r>
        <w:rPr>
          <w:b/>
          <w:sz w:val="24"/>
          <w:szCs w:val="24"/>
        </w:rPr>
        <w:t xml:space="preserve">3 (paragraph (a) of the definition of </w:t>
      </w:r>
      <w:r w:rsidRPr="004E22E9">
        <w:rPr>
          <w:b/>
          <w:i/>
          <w:sz w:val="24"/>
          <w:szCs w:val="24"/>
        </w:rPr>
        <w:t>electronic prescription</w:t>
      </w:r>
      <w:r>
        <w:rPr>
          <w:b/>
          <w:sz w:val="24"/>
          <w:szCs w:val="24"/>
        </w:rPr>
        <w:t>)</w:t>
      </w:r>
    </w:p>
    <w:p w:rsidR="00942773" w:rsidRPr="003763A7" w:rsidRDefault="00942773" w:rsidP="00942773"/>
    <w:p w:rsidR="00942773" w:rsidRPr="004549F1" w:rsidRDefault="00942773" w:rsidP="00942773">
      <w:pPr>
        <w:rPr>
          <w:b/>
        </w:rPr>
      </w:pPr>
      <w:r w:rsidRPr="004549F1">
        <w:rPr>
          <w:b/>
        </w:rPr>
        <w:t>Kind of editorial change</w:t>
      </w:r>
    </w:p>
    <w:p w:rsidR="00942773" w:rsidRPr="004549F1" w:rsidRDefault="00942773" w:rsidP="00942773"/>
    <w:p w:rsidR="00942773" w:rsidRPr="003763A7" w:rsidRDefault="00942773" w:rsidP="00942773">
      <w:r>
        <w:t>Give effect to the misdescribed amendment as intended</w:t>
      </w:r>
    </w:p>
    <w:p w:rsidR="00942773" w:rsidRPr="004549F1" w:rsidRDefault="00942773" w:rsidP="00942773"/>
    <w:p w:rsidR="00942773" w:rsidRPr="004549F1" w:rsidRDefault="00942773" w:rsidP="00942773">
      <w:pPr>
        <w:rPr>
          <w:b/>
        </w:rPr>
      </w:pPr>
      <w:r w:rsidRPr="004549F1">
        <w:rPr>
          <w:b/>
        </w:rPr>
        <w:t>Details of editorial change</w:t>
      </w:r>
    </w:p>
    <w:p w:rsidR="00942773" w:rsidRPr="003763A7" w:rsidRDefault="00942773" w:rsidP="00942773"/>
    <w:p w:rsidR="00942773" w:rsidRPr="00D66B75" w:rsidRDefault="00942773" w:rsidP="00942773">
      <w:pPr>
        <w:rPr>
          <w:szCs w:val="22"/>
        </w:rPr>
      </w:pPr>
      <w:r w:rsidRPr="00D66B75">
        <w:rPr>
          <w:szCs w:val="22"/>
        </w:rPr>
        <w:t xml:space="preserve">Schedule 1 </w:t>
      </w:r>
      <w:r>
        <w:rPr>
          <w:szCs w:val="22"/>
        </w:rPr>
        <w:t xml:space="preserve">Part 1 </w:t>
      </w:r>
      <w:r w:rsidRPr="00D66B75">
        <w:rPr>
          <w:szCs w:val="22"/>
        </w:rPr>
        <w:t xml:space="preserve">item 3 of the </w:t>
      </w:r>
      <w:r w:rsidRPr="00D66B75">
        <w:rPr>
          <w:i/>
          <w:szCs w:val="22"/>
        </w:rPr>
        <w:t>Veterans’ Affairs Pharmaceutical Benefits Schemes (Electronic Prescriptions and Active Ingredient Prescribing) Amendment Instrument 2019</w:t>
      </w:r>
      <w:r w:rsidRPr="00D66B75">
        <w:rPr>
          <w:szCs w:val="22"/>
        </w:rPr>
        <w:t xml:space="preserve"> instructs to omit “approved electronic” and substitute “eligible electronic”.</w:t>
      </w:r>
    </w:p>
    <w:p w:rsidR="00942773" w:rsidRPr="00D66B75" w:rsidRDefault="00942773" w:rsidP="00942773">
      <w:pPr>
        <w:rPr>
          <w:szCs w:val="22"/>
        </w:rPr>
      </w:pPr>
    </w:p>
    <w:p w:rsidR="00942773" w:rsidRPr="00D66B75" w:rsidRDefault="00942773" w:rsidP="00942773">
      <w:pPr>
        <w:rPr>
          <w:szCs w:val="22"/>
        </w:rPr>
      </w:pPr>
      <w:r w:rsidRPr="00D66B75">
        <w:rPr>
          <w:szCs w:val="22"/>
        </w:rPr>
        <w:lastRenderedPageBreak/>
        <w:t>The</w:t>
      </w:r>
      <w:r>
        <w:rPr>
          <w:szCs w:val="22"/>
        </w:rPr>
        <w:t xml:space="preserve"> words</w:t>
      </w:r>
      <w:r w:rsidRPr="00D66B75">
        <w:rPr>
          <w:szCs w:val="22"/>
        </w:rPr>
        <w:t xml:space="preserve"> “approved electronic”</w:t>
      </w:r>
      <w:r>
        <w:rPr>
          <w:szCs w:val="22"/>
        </w:rPr>
        <w:t xml:space="preserve"> do not appear </w:t>
      </w:r>
      <w:r w:rsidRPr="00D66B75">
        <w:rPr>
          <w:szCs w:val="22"/>
        </w:rPr>
        <w:t xml:space="preserve">in paragraph (a) of the definition of </w:t>
      </w:r>
      <w:r w:rsidRPr="000B08CC">
        <w:rPr>
          <w:b/>
          <w:i/>
          <w:szCs w:val="22"/>
        </w:rPr>
        <w:t>electronic prescription</w:t>
      </w:r>
      <w:r>
        <w:rPr>
          <w:szCs w:val="22"/>
        </w:rPr>
        <w:t xml:space="preserve"> in section 3</w:t>
      </w:r>
      <w:r w:rsidRPr="00D66B75">
        <w:rPr>
          <w:szCs w:val="22"/>
        </w:rPr>
        <w:t xml:space="preserve">. However, </w:t>
      </w:r>
      <w:r>
        <w:rPr>
          <w:szCs w:val="22"/>
        </w:rPr>
        <w:t>the words</w:t>
      </w:r>
      <w:r w:rsidRPr="00D66B75">
        <w:rPr>
          <w:szCs w:val="22"/>
        </w:rPr>
        <w:t xml:space="preserve"> “</w:t>
      </w:r>
      <w:r w:rsidRPr="004E22E9">
        <w:rPr>
          <w:i/>
          <w:szCs w:val="22"/>
        </w:rPr>
        <w:t>approved electronic</w:t>
      </w:r>
      <w:r w:rsidRPr="00D66B75">
        <w:rPr>
          <w:szCs w:val="22"/>
        </w:rPr>
        <w:t>”</w:t>
      </w:r>
      <w:r>
        <w:rPr>
          <w:szCs w:val="22"/>
        </w:rPr>
        <w:t xml:space="preserve"> do appear</w:t>
      </w:r>
      <w:r w:rsidRPr="00D66B75">
        <w:rPr>
          <w:szCs w:val="22"/>
        </w:rPr>
        <w:t>.</w:t>
      </w:r>
    </w:p>
    <w:p w:rsidR="00942773" w:rsidRPr="00D66B75" w:rsidRDefault="00942773" w:rsidP="00942773">
      <w:pPr>
        <w:rPr>
          <w:szCs w:val="22"/>
        </w:rPr>
      </w:pPr>
    </w:p>
    <w:p w:rsidR="00942773" w:rsidRPr="00D66B75" w:rsidRDefault="00942773" w:rsidP="00942773">
      <w:pPr>
        <w:rPr>
          <w:szCs w:val="22"/>
        </w:rPr>
      </w:pPr>
      <w:r w:rsidRPr="00D66B75">
        <w:rPr>
          <w:szCs w:val="22"/>
        </w:rPr>
        <w:t>This compilation was editorially changed to omit “</w:t>
      </w:r>
      <w:r w:rsidRPr="00D66B75">
        <w:rPr>
          <w:i/>
          <w:szCs w:val="22"/>
        </w:rPr>
        <w:t>approved electronic</w:t>
      </w:r>
      <w:r w:rsidRPr="00D66B75">
        <w:rPr>
          <w:szCs w:val="22"/>
        </w:rPr>
        <w:t xml:space="preserve">” </w:t>
      </w:r>
      <w:r>
        <w:rPr>
          <w:szCs w:val="22"/>
        </w:rPr>
        <w:t>and substitute “</w:t>
      </w:r>
      <w:r w:rsidRPr="004E22E9">
        <w:rPr>
          <w:i/>
          <w:szCs w:val="22"/>
        </w:rPr>
        <w:t>eligible electronic</w:t>
      </w:r>
      <w:r>
        <w:rPr>
          <w:szCs w:val="22"/>
        </w:rPr>
        <w:t xml:space="preserve">” </w:t>
      </w:r>
      <w:r w:rsidRPr="00D66B75">
        <w:rPr>
          <w:szCs w:val="22"/>
        </w:rPr>
        <w:t xml:space="preserve">in paragraph (a) of the definition of </w:t>
      </w:r>
      <w:r w:rsidRPr="000B08CC">
        <w:rPr>
          <w:b/>
          <w:i/>
          <w:szCs w:val="22"/>
        </w:rPr>
        <w:t>electronic prescription</w:t>
      </w:r>
      <w:r>
        <w:rPr>
          <w:szCs w:val="22"/>
        </w:rPr>
        <w:t xml:space="preserve"> in section 3</w:t>
      </w:r>
      <w:r w:rsidRPr="00D66B75">
        <w:rPr>
          <w:szCs w:val="22"/>
        </w:rPr>
        <w:t xml:space="preserve"> to give effect to the misdescribed amendment as intended.</w:t>
      </w:r>
    </w:p>
    <w:p w:rsidR="00942773" w:rsidRPr="003763A7" w:rsidRDefault="00942773" w:rsidP="00942773"/>
    <w:p w:rsidR="00942773" w:rsidRPr="00F2598C" w:rsidRDefault="00942773" w:rsidP="00942773"/>
    <w:p w:rsidR="00942773" w:rsidRPr="004549F1" w:rsidRDefault="00942773" w:rsidP="00942773">
      <w:pPr>
        <w:rPr>
          <w:b/>
          <w:sz w:val="24"/>
          <w:szCs w:val="24"/>
        </w:rPr>
      </w:pPr>
      <w:r w:rsidRPr="001D74D1">
        <w:rPr>
          <w:b/>
          <w:sz w:val="24"/>
          <w:szCs w:val="24"/>
        </w:rPr>
        <w:t xml:space="preserve">Section </w:t>
      </w:r>
      <w:r>
        <w:rPr>
          <w:b/>
          <w:sz w:val="24"/>
          <w:szCs w:val="24"/>
        </w:rPr>
        <w:t xml:space="preserve">3 (definition of </w:t>
      </w:r>
      <w:r w:rsidRPr="004E22E9">
        <w:rPr>
          <w:b/>
          <w:i/>
          <w:sz w:val="24"/>
          <w:szCs w:val="24"/>
        </w:rPr>
        <w:t>PBS prescriber</w:t>
      </w:r>
      <w:r>
        <w:rPr>
          <w:b/>
          <w:sz w:val="24"/>
          <w:szCs w:val="24"/>
        </w:rPr>
        <w:t>)</w:t>
      </w:r>
    </w:p>
    <w:p w:rsidR="00942773" w:rsidRPr="003763A7" w:rsidRDefault="00942773" w:rsidP="00942773"/>
    <w:p w:rsidR="00942773" w:rsidRPr="004549F1" w:rsidRDefault="00942773" w:rsidP="00942773">
      <w:pPr>
        <w:rPr>
          <w:b/>
        </w:rPr>
      </w:pPr>
      <w:r w:rsidRPr="004549F1">
        <w:rPr>
          <w:b/>
        </w:rPr>
        <w:t>Kind of editorial change</w:t>
      </w:r>
    </w:p>
    <w:p w:rsidR="00942773" w:rsidRPr="004549F1" w:rsidRDefault="00942773" w:rsidP="00942773"/>
    <w:p w:rsidR="00942773" w:rsidRDefault="00942773" w:rsidP="00942773">
      <w:r>
        <w:t>Removal of redundant text</w:t>
      </w:r>
    </w:p>
    <w:p w:rsidR="00942773" w:rsidRPr="004549F1" w:rsidRDefault="00942773" w:rsidP="00942773"/>
    <w:p w:rsidR="00942773" w:rsidRPr="004549F1" w:rsidRDefault="00942773" w:rsidP="00942773">
      <w:pPr>
        <w:rPr>
          <w:b/>
        </w:rPr>
      </w:pPr>
      <w:r w:rsidRPr="004549F1">
        <w:rPr>
          <w:b/>
        </w:rPr>
        <w:t>Details of editorial change</w:t>
      </w:r>
    </w:p>
    <w:p w:rsidR="00942773" w:rsidRDefault="00942773" w:rsidP="00942773"/>
    <w:p w:rsidR="00942773" w:rsidRDefault="00942773" w:rsidP="00942773">
      <w:r>
        <w:t xml:space="preserve">Section 3 contains two occurrences of the definition of </w:t>
      </w:r>
      <w:r w:rsidRPr="004E22E9">
        <w:rPr>
          <w:b/>
          <w:i/>
        </w:rPr>
        <w:t>PBS prescriber</w:t>
      </w:r>
      <w:r>
        <w:t>.</w:t>
      </w:r>
    </w:p>
    <w:p w:rsidR="00942773" w:rsidRDefault="00942773" w:rsidP="00942773"/>
    <w:p w:rsidR="00942773" w:rsidRDefault="00942773" w:rsidP="00942773">
      <w:r>
        <w:t xml:space="preserve">This compilation was editorially changed to omit the first occurrence of the definition of </w:t>
      </w:r>
      <w:r w:rsidRPr="004E22E9">
        <w:rPr>
          <w:b/>
          <w:i/>
        </w:rPr>
        <w:t>PBS prescriber</w:t>
      </w:r>
      <w:r>
        <w:t xml:space="preserve"> in section 3.</w:t>
      </w:r>
    </w:p>
    <w:p w:rsidR="00942773" w:rsidRDefault="00942773" w:rsidP="00942773"/>
    <w:p w:rsidR="00942773" w:rsidRPr="00F2598C" w:rsidRDefault="00942773" w:rsidP="00942773"/>
    <w:p w:rsidR="00942773" w:rsidRPr="004549F1" w:rsidRDefault="00942773" w:rsidP="00CE3639">
      <w:pPr>
        <w:keepNext/>
        <w:keepLines/>
        <w:rPr>
          <w:b/>
          <w:sz w:val="24"/>
          <w:szCs w:val="24"/>
        </w:rPr>
      </w:pPr>
      <w:r w:rsidRPr="001D74D1">
        <w:rPr>
          <w:b/>
          <w:sz w:val="24"/>
          <w:szCs w:val="24"/>
        </w:rPr>
        <w:t xml:space="preserve">Section </w:t>
      </w:r>
      <w:r>
        <w:rPr>
          <w:b/>
          <w:sz w:val="24"/>
          <w:szCs w:val="24"/>
        </w:rPr>
        <w:t>3</w:t>
      </w:r>
    </w:p>
    <w:p w:rsidR="00942773" w:rsidRPr="003763A7" w:rsidRDefault="00942773" w:rsidP="00CE3639">
      <w:pPr>
        <w:keepNext/>
        <w:keepLines/>
      </w:pPr>
    </w:p>
    <w:p w:rsidR="00942773" w:rsidRPr="004549F1" w:rsidRDefault="00942773" w:rsidP="00CE3639">
      <w:pPr>
        <w:keepNext/>
        <w:keepLines/>
        <w:rPr>
          <w:b/>
        </w:rPr>
      </w:pPr>
      <w:r w:rsidRPr="004549F1">
        <w:rPr>
          <w:b/>
        </w:rPr>
        <w:t>Kind of editorial change</w:t>
      </w:r>
    </w:p>
    <w:p w:rsidR="00942773" w:rsidRPr="004549F1" w:rsidRDefault="00942773" w:rsidP="00CE3639">
      <w:pPr>
        <w:keepNext/>
        <w:keepLines/>
      </w:pPr>
    </w:p>
    <w:p w:rsidR="00942773" w:rsidRDefault="00942773" w:rsidP="00942773">
      <w:r>
        <w:t>Reordering of definitions</w:t>
      </w:r>
    </w:p>
    <w:p w:rsidR="00942773" w:rsidRPr="004549F1" w:rsidRDefault="00942773" w:rsidP="00942773"/>
    <w:p w:rsidR="00942773" w:rsidRPr="004549F1" w:rsidRDefault="00942773" w:rsidP="00942773">
      <w:pPr>
        <w:rPr>
          <w:b/>
        </w:rPr>
      </w:pPr>
      <w:r w:rsidRPr="004549F1">
        <w:rPr>
          <w:b/>
        </w:rPr>
        <w:t>Details of editorial change</w:t>
      </w:r>
    </w:p>
    <w:p w:rsidR="00942773" w:rsidRDefault="00942773" w:rsidP="00942773"/>
    <w:p w:rsidR="00942773" w:rsidRDefault="00942773" w:rsidP="00942773">
      <w:r>
        <w:t>This compilation was editorially changed to move the definitions in section 3 into alphabetical order.</w:t>
      </w:r>
    </w:p>
    <w:p w:rsidR="00942773" w:rsidRDefault="00942773" w:rsidP="00942773"/>
    <w:p w:rsidR="00942773" w:rsidRPr="00F2598C" w:rsidRDefault="00942773" w:rsidP="00942773"/>
    <w:p w:rsidR="00942773" w:rsidRPr="004549F1" w:rsidRDefault="00942773" w:rsidP="00775CC1">
      <w:pPr>
        <w:keepNext/>
        <w:keepLines/>
        <w:rPr>
          <w:b/>
          <w:sz w:val="24"/>
          <w:szCs w:val="24"/>
        </w:rPr>
      </w:pPr>
      <w:r w:rsidRPr="001D74D1">
        <w:rPr>
          <w:b/>
          <w:sz w:val="24"/>
          <w:szCs w:val="24"/>
        </w:rPr>
        <w:t xml:space="preserve">Section </w:t>
      </w:r>
      <w:r>
        <w:rPr>
          <w:b/>
          <w:sz w:val="24"/>
          <w:szCs w:val="24"/>
        </w:rPr>
        <w:t>3</w:t>
      </w:r>
    </w:p>
    <w:p w:rsidR="00942773" w:rsidRPr="003763A7" w:rsidRDefault="00942773" w:rsidP="00775CC1">
      <w:pPr>
        <w:keepNext/>
        <w:keepLines/>
      </w:pPr>
    </w:p>
    <w:p w:rsidR="00942773" w:rsidRPr="004549F1" w:rsidRDefault="00942773" w:rsidP="00775CC1">
      <w:pPr>
        <w:keepNext/>
        <w:keepLines/>
        <w:rPr>
          <w:b/>
        </w:rPr>
      </w:pPr>
      <w:r w:rsidRPr="004549F1">
        <w:rPr>
          <w:b/>
        </w:rPr>
        <w:t>Kind of editorial change</w:t>
      </w:r>
    </w:p>
    <w:p w:rsidR="00942773" w:rsidRPr="004549F1" w:rsidRDefault="00942773" w:rsidP="00775CC1">
      <w:pPr>
        <w:keepNext/>
        <w:keepLines/>
      </w:pPr>
    </w:p>
    <w:p w:rsidR="00942773" w:rsidRDefault="00942773" w:rsidP="00942773">
      <w:r>
        <w:t>Changes to punctuation</w:t>
      </w:r>
    </w:p>
    <w:p w:rsidR="00942773" w:rsidRPr="004549F1" w:rsidRDefault="00942773" w:rsidP="00942773"/>
    <w:p w:rsidR="00942773" w:rsidRPr="004549F1" w:rsidRDefault="00942773" w:rsidP="00942773">
      <w:pPr>
        <w:rPr>
          <w:b/>
        </w:rPr>
      </w:pPr>
      <w:r w:rsidRPr="004549F1">
        <w:rPr>
          <w:b/>
        </w:rPr>
        <w:t>Details of editorial change</w:t>
      </w:r>
    </w:p>
    <w:p w:rsidR="00942773" w:rsidRDefault="00942773" w:rsidP="00942773"/>
    <w:p w:rsidR="00942773" w:rsidRDefault="00942773" w:rsidP="00942773">
      <w:r>
        <w:t xml:space="preserve">This compilation was editorially changed to </w:t>
      </w:r>
      <w:r w:rsidRPr="00A73AB6">
        <w:t xml:space="preserve">omit the </w:t>
      </w:r>
      <w:r>
        <w:t>semicolons</w:t>
      </w:r>
      <w:r w:rsidRPr="00A73AB6">
        <w:t xml:space="preserve"> at the end of the </w:t>
      </w:r>
      <w:r>
        <w:t>definitions in section 3</w:t>
      </w:r>
      <w:r w:rsidRPr="00A73AB6">
        <w:t xml:space="preserve"> and substitute </w:t>
      </w:r>
      <w:r>
        <w:t>full stops</w:t>
      </w:r>
      <w:r w:rsidRPr="00A73AB6">
        <w:t xml:space="preserve"> to bring it into line with legislative drafting practice.</w:t>
      </w:r>
    </w:p>
    <w:p w:rsidR="00942773" w:rsidRDefault="00942773" w:rsidP="00942773"/>
    <w:p w:rsidR="00942773" w:rsidRPr="00F2598C" w:rsidRDefault="00942773" w:rsidP="00942773"/>
    <w:p w:rsidR="00942773" w:rsidRPr="004549F1" w:rsidRDefault="00942773" w:rsidP="00942773">
      <w:pPr>
        <w:rPr>
          <w:b/>
          <w:sz w:val="24"/>
          <w:szCs w:val="24"/>
        </w:rPr>
      </w:pPr>
      <w:r w:rsidRPr="001D74D1">
        <w:rPr>
          <w:b/>
          <w:sz w:val="24"/>
          <w:szCs w:val="24"/>
        </w:rPr>
        <w:t>S</w:t>
      </w:r>
      <w:r>
        <w:rPr>
          <w:b/>
          <w:sz w:val="24"/>
          <w:szCs w:val="24"/>
        </w:rPr>
        <w:t>ubparagraph 11B(1)(b)(ii)</w:t>
      </w:r>
    </w:p>
    <w:p w:rsidR="00942773" w:rsidRPr="003763A7" w:rsidRDefault="00942773" w:rsidP="00942773"/>
    <w:p w:rsidR="00942773" w:rsidRPr="004549F1" w:rsidRDefault="00942773" w:rsidP="00942773">
      <w:pPr>
        <w:rPr>
          <w:b/>
        </w:rPr>
      </w:pPr>
      <w:r w:rsidRPr="004549F1">
        <w:rPr>
          <w:b/>
        </w:rPr>
        <w:t>Kind of editorial change</w:t>
      </w:r>
    </w:p>
    <w:p w:rsidR="00942773" w:rsidRPr="004549F1" w:rsidRDefault="00942773" w:rsidP="00942773"/>
    <w:p w:rsidR="00942773" w:rsidRPr="003763A7" w:rsidRDefault="00942773" w:rsidP="00942773">
      <w:r>
        <w:t>Give effect to the misdescribed amendment as intended</w:t>
      </w:r>
    </w:p>
    <w:p w:rsidR="00942773" w:rsidRPr="004549F1" w:rsidRDefault="00942773" w:rsidP="00942773"/>
    <w:p w:rsidR="00942773" w:rsidRPr="004549F1" w:rsidRDefault="00942773" w:rsidP="00B20524">
      <w:pPr>
        <w:keepNext/>
        <w:keepLines/>
        <w:rPr>
          <w:b/>
        </w:rPr>
      </w:pPr>
      <w:r w:rsidRPr="004549F1">
        <w:rPr>
          <w:b/>
        </w:rPr>
        <w:t>Details of editorial change</w:t>
      </w:r>
    </w:p>
    <w:p w:rsidR="00942773" w:rsidRPr="003763A7" w:rsidRDefault="00942773" w:rsidP="00942773"/>
    <w:p w:rsidR="00942773" w:rsidRPr="00D66B75" w:rsidRDefault="00942773" w:rsidP="00942773">
      <w:pPr>
        <w:rPr>
          <w:szCs w:val="22"/>
        </w:rPr>
      </w:pPr>
      <w:r w:rsidRPr="00D66B75">
        <w:rPr>
          <w:szCs w:val="22"/>
        </w:rPr>
        <w:lastRenderedPageBreak/>
        <w:t xml:space="preserve">Schedule 1 </w:t>
      </w:r>
      <w:r>
        <w:rPr>
          <w:szCs w:val="22"/>
        </w:rPr>
        <w:t xml:space="preserve">Part 1 </w:t>
      </w:r>
      <w:r w:rsidRPr="00D66B75">
        <w:rPr>
          <w:szCs w:val="22"/>
        </w:rPr>
        <w:t xml:space="preserve">item 7 of the </w:t>
      </w:r>
      <w:r w:rsidRPr="00D66B75">
        <w:rPr>
          <w:i/>
          <w:szCs w:val="22"/>
        </w:rPr>
        <w:t>Veterans’ Affairs Pharmaceutical Benefits Schemes (Electronic Prescriptions and Active Ingredient Prescribing) Amendment Instrument 2019</w:t>
      </w:r>
      <w:r w:rsidRPr="00D66B75">
        <w:rPr>
          <w:szCs w:val="22"/>
        </w:rPr>
        <w:t xml:space="preserve"> instructs to insert “other than an </w:t>
      </w:r>
      <w:r w:rsidRPr="00D66B75">
        <w:rPr>
          <w:i/>
          <w:szCs w:val="22"/>
        </w:rPr>
        <w:t>authority prescription</w:t>
      </w:r>
      <w:r w:rsidRPr="00D66B75">
        <w:rPr>
          <w:szCs w:val="22"/>
        </w:rPr>
        <w:t xml:space="preserve"> referred to in subsection (4A)” after “authority prescription”.</w:t>
      </w:r>
    </w:p>
    <w:p w:rsidR="00942773" w:rsidRPr="00D66B75" w:rsidRDefault="00942773" w:rsidP="00942773">
      <w:pPr>
        <w:rPr>
          <w:szCs w:val="22"/>
        </w:rPr>
      </w:pPr>
    </w:p>
    <w:p w:rsidR="00942773" w:rsidRPr="00D66B75" w:rsidRDefault="00942773" w:rsidP="00942773">
      <w:pPr>
        <w:rPr>
          <w:szCs w:val="22"/>
        </w:rPr>
      </w:pPr>
      <w:r w:rsidRPr="00D66B75">
        <w:rPr>
          <w:szCs w:val="22"/>
        </w:rPr>
        <w:t>The</w:t>
      </w:r>
      <w:r>
        <w:rPr>
          <w:szCs w:val="22"/>
        </w:rPr>
        <w:t xml:space="preserve"> words</w:t>
      </w:r>
      <w:r w:rsidRPr="00D66B75">
        <w:rPr>
          <w:szCs w:val="22"/>
        </w:rPr>
        <w:t xml:space="preserve"> “authority prescription”</w:t>
      </w:r>
      <w:r>
        <w:rPr>
          <w:szCs w:val="22"/>
        </w:rPr>
        <w:t xml:space="preserve"> do not appear in subparagraph 11B(1)(b)(ii)</w:t>
      </w:r>
      <w:r w:rsidRPr="00D66B75">
        <w:rPr>
          <w:szCs w:val="22"/>
        </w:rPr>
        <w:t>. However, the</w:t>
      </w:r>
      <w:r>
        <w:rPr>
          <w:szCs w:val="22"/>
        </w:rPr>
        <w:t xml:space="preserve"> words</w:t>
      </w:r>
      <w:r w:rsidRPr="00D66B75">
        <w:rPr>
          <w:szCs w:val="22"/>
        </w:rPr>
        <w:t xml:space="preserve"> “</w:t>
      </w:r>
      <w:r w:rsidRPr="004E22E9">
        <w:rPr>
          <w:i/>
          <w:szCs w:val="22"/>
        </w:rPr>
        <w:t>authority prescription</w:t>
      </w:r>
      <w:r w:rsidRPr="00D66B75">
        <w:rPr>
          <w:szCs w:val="22"/>
        </w:rPr>
        <w:t>”</w:t>
      </w:r>
      <w:r>
        <w:rPr>
          <w:szCs w:val="22"/>
        </w:rPr>
        <w:t xml:space="preserve"> do appear</w:t>
      </w:r>
      <w:r w:rsidRPr="00D66B75">
        <w:rPr>
          <w:szCs w:val="22"/>
        </w:rPr>
        <w:t>.</w:t>
      </w:r>
    </w:p>
    <w:p w:rsidR="00942773" w:rsidRPr="00D66B75" w:rsidRDefault="00942773" w:rsidP="00942773">
      <w:pPr>
        <w:rPr>
          <w:szCs w:val="22"/>
        </w:rPr>
      </w:pPr>
    </w:p>
    <w:p w:rsidR="00942773" w:rsidRPr="00D66B75" w:rsidRDefault="00942773" w:rsidP="00942773">
      <w:pPr>
        <w:rPr>
          <w:szCs w:val="22"/>
        </w:rPr>
      </w:pPr>
      <w:r w:rsidRPr="00D66B75">
        <w:rPr>
          <w:szCs w:val="22"/>
        </w:rPr>
        <w:t xml:space="preserve">This compilation was editorially changed to insert “other than an </w:t>
      </w:r>
      <w:r w:rsidRPr="00D66B75">
        <w:rPr>
          <w:i/>
          <w:szCs w:val="22"/>
        </w:rPr>
        <w:t>authority prescription</w:t>
      </w:r>
      <w:r w:rsidRPr="00D66B75">
        <w:rPr>
          <w:szCs w:val="22"/>
        </w:rPr>
        <w:t xml:space="preserve"> referred to in subsection (4A)” after “</w:t>
      </w:r>
      <w:r w:rsidRPr="00B35725">
        <w:rPr>
          <w:i/>
          <w:szCs w:val="22"/>
        </w:rPr>
        <w:t>authority prescription</w:t>
      </w:r>
      <w:r w:rsidRPr="00D66B75">
        <w:rPr>
          <w:szCs w:val="22"/>
        </w:rPr>
        <w:t>”</w:t>
      </w:r>
      <w:r>
        <w:rPr>
          <w:szCs w:val="22"/>
        </w:rPr>
        <w:t xml:space="preserve"> in subparagraph 11B(1)(b)(ii)</w:t>
      </w:r>
      <w:r w:rsidRPr="00D66B75">
        <w:rPr>
          <w:szCs w:val="22"/>
        </w:rPr>
        <w:t xml:space="preserve"> to give effect to the misdescribed amendment as intended.</w:t>
      </w:r>
    </w:p>
    <w:p w:rsidR="006117F4" w:rsidRDefault="006117F4" w:rsidP="006117F4">
      <w:pPr>
        <w:pStyle w:val="Head2"/>
        <w:keepLines/>
      </w:pPr>
      <w:r w:rsidRPr="00B70E92">
        <w:t>MRCA Pharmaceutical Benefits Scheme</w:t>
      </w:r>
      <w:r>
        <w:t>, Compilation No. 8,</w:t>
      </w:r>
      <w:r w:rsidRPr="003342C4">
        <w:t xml:space="preserve"> Registration Date:</w:t>
      </w:r>
      <w:r>
        <w:t xml:space="preserve"> 17 February 2020 [</w:t>
      </w:r>
      <w:r>
        <w:rPr>
          <w:bCs/>
        </w:rPr>
        <w:t>F2020</w:t>
      </w:r>
      <w:r w:rsidRPr="005A1F2E">
        <w:rPr>
          <w:bCs/>
        </w:rPr>
        <w:t>C00</w:t>
      </w:r>
      <w:r>
        <w:rPr>
          <w:bCs/>
        </w:rPr>
        <w:t>136</w:t>
      </w:r>
      <w:r>
        <w:t>]</w:t>
      </w:r>
    </w:p>
    <w:p w:rsidR="006117F4" w:rsidRPr="00B70E92" w:rsidRDefault="006117F4" w:rsidP="006117F4"/>
    <w:p w:rsidR="006117F4" w:rsidRPr="00B70E92" w:rsidRDefault="006117F4" w:rsidP="006117F4">
      <w:pPr>
        <w:rPr>
          <w:b/>
          <w:sz w:val="24"/>
          <w:szCs w:val="24"/>
        </w:rPr>
      </w:pPr>
      <w:r w:rsidRPr="00B70E92">
        <w:rPr>
          <w:b/>
          <w:sz w:val="24"/>
          <w:szCs w:val="24"/>
        </w:rPr>
        <w:t xml:space="preserve">Section 3 (definition of </w:t>
      </w:r>
      <w:r w:rsidRPr="00B70E92">
        <w:rPr>
          <w:b/>
          <w:i/>
          <w:sz w:val="24"/>
          <w:szCs w:val="24"/>
        </w:rPr>
        <w:t>PBS prescriber</w:t>
      </w:r>
      <w:r w:rsidRPr="00B70E92">
        <w:rPr>
          <w:b/>
          <w:sz w:val="24"/>
          <w:szCs w:val="24"/>
        </w:rPr>
        <w:t>)</w:t>
      </w:r>
    </w:p>
    <w:p w:rsidR="006117F4" w:rsidRPr="00B70E92" w:rsidRDefault="006117F4" w:rsidP="006117F4"/>
    <w:p w:rsidR="006117F4" w:rsidRPr="00B70E92" w:rsidRDefault="006117F4" w:rsidP="006117F4">
      <w:pPr>
        <w:rPr>
          <w:b/>
        </w:rPr>
      </w:pPr>
      <w:r w:rsidRPr="00B70E92">
        <w:rPr>
          <w:b/>
        </w:rPr>
        <w:t>Kind of editorial change</w:t>
      </w:r>
    </w:p>
    <w:p w:rsidR="006117F4" w:rsidRPr="00B70E92" w:rsidRDefault="006117F4" w:rsidP="006117F4"/>
    <w:p w:rsidR="006117F4" w:rsidRPr="00B70E92" w:rsidRDefault="006117F4" w:rsidP="006117F4">
      <w:r w:rsidRPr="00B70E92">
        <w:t>Removal of redundant text</w:t>
      </w:r>
    </w:p>
    <w:p w:rsidR="006117F4" w:rsidRPr="00B70E92" w:rsidRDefault="006117F4" w:rsidP="006117F4"/>
    <w:p w:rsidR="006117F4" w:rsidRPr="00B70E92" w:rsidRDefault="006117F4" w:rsidP="006117F4">
      <w:pPr>
        <w:rPr>
          <w:b/>
        </w:rPr>
      </w:pPr>
      <w:r w:rsidRPr="00B70E92">
        <w:rPr>
          <w:b/>
        </w:rPr>
        <w:t>Details of editorial change</w:t>
      </w:r>
    </w:p>
    <w:p w:rsidR="006117F4" w:rsidRPr="00B70E92" w:rsidRDefault="006117F4" w:rsidP="006117F4"/>
    <w:p w:rsidR="006117F4" w:rsidRPr="00B70E92" w:rsidRDefault="006117F4" w:rsidP="006117F4">
      <w:r w:rsidRPr="00B70E92">
        <w:t xml:space="preserve">Section 3 contains two occurrences of the definition of </w:t>
      </w:r>
      <w:r w:rsidRPr="00B70E92">
        <w:rPr>
          <w:b/>
          <w:i/>
        </w:rPr>
        <w:t>PBS prescriber</w:t>
      </w:r>
      <w:r w:rsidRPr="00B70E92">
        <w:t>.</w:t>
      </w:r>
    </w:p>
    <w:p w:rsidR="006117F4" w:rsidRPr="00B70E92" w:rsidRDefault="006117F4" w:rsidP="006117F4"/>
    <w:p w:rsidR="006117F4" w:rsidRPr="00B70E92" w:rsidRDefault="006117F4" w:rsidP="006117F4">
      <w:r w:rsidRPr="00B70E92">
        <w:t xml:space="preserve">This compilation was editorially changed to omit the first occurrence of the definition of </w:t>
      </w:r>
      <w:r w:rsidRPr="00B70E92">
        <w:rPr>
          <w:b/>
          <w:i/>
        </w:rPr>
        <w:t>PBS prescriber</w:t>
      </w:r>
      <w:r w:rsidRPr="00B70E92">
        <w:t xml:space="preserve"> in section 3.</w:t>
      </w:r>
    </w:p>
    <w:p w:rsidR="006117F4" w:rsidRPr="00B70E92" w:rsidRDefault="006117F4" w:rsidP="006117F4"/>
    <w:p w:rsidR="006117F4" w:rsidRPr="00B70E92" w:rsidRDefault="006117F4" w:rsidP="006117F4"/>
    <w:p w:rsidR="006117F4" w:rsidRPr="00B70E92" w:rsidRDefault="006117F4" w:rsidP="00775CC1">
      <w:pPr>
        <w:keepNext/>
        <w:keepLines/>
        <w:rPr>
          <w:b/>
          <w:sz w:val="24"/>
          <w:szCs w:val="24"/>
        </w:rPr>
      </w:pPr>
      <w:r w:rsidRPr="00B70E92">
        <w:rPr>
          <w:b/>
          <w:sz w:val="24"/>
          <w:szCs w:val="24"/>
        </w:rPr>
        <w:t>Section 3</w:t>
      </w:r>
    </w:p>
    <w:p w:rsidR="006117F4" w:rsidRPr="00B70E92" w:rsidRDefault="006117F4" w:rsidP="00775CC1">
      <w:pPr>
        <w:keepNext/>
        <w:keepLines/>
      </w:pPr>
    </w:p>
    <w:p w:rsidR="006117F4" w:rsidRPr="00B70E92" w:rsidRDefault="006117F4" w:rsidP="00775CC1">
      <w:pPr>
        <w:keepNext/>
        <w:keepLines/>
        <w:rPr>
          <w:b/>
        </w:rPr>
      </w:pPr>
      <w:r w:rsidRPr="00B70E92">
        <w:rPr>
          <w:b/>
        </w:rPr>
        <w:t>Kind of editorial change</w:t>
      </w:r>
    </w:p>
    <w:p w:rsidR="006117F4" w:rsidRPr="00B70E92" w:rsidRDefault="006117F4" w:rsidP="00775CC1">
      <w:pPr>
        <w:keepNext/>
        <w:keepLines/>
      </w:pPr>
    </w:p>
    <w:p w:rsidR="006117F4" w:rsidRPr="00B70E92" w:rsidRDefault="006117F4" w:rsidP="006117F4">
      <w:r w:rsidRPr="00B70E92">
        <w:t>Reordering of definitions</w:t>
      </w:r>
    </w:p>
    <w:p w:rsidR="006117F4" w:rsidRPr="00B70E92" w:rsidRDefault="006117F4" w:rsidP="006117F4"/>
    <w:p w:rsidR="006117F4" w:rsidRPr="00B70E92" w:rsidRDefault="006117F4" w:rsidP="006117F4">
      <w:pPr>
        <w:rPr>
          <w:b/>
        </w:rPr>
      </w:pPr>
      <w:r w:rsidRPr="00B70E92">
        <w:rPr>
          <w:b/>
        </w:rPr>
        <w:t>Details of editorial change</w:t>
      </w:r>
    </w:p>
    <w:p w:rsidR="006117F4" w:rsidRPr="00B70E92" w:rsidRDefault="006117F4" w:rsidP="006117F4"/>
    <w:p w:rsidR="006117F4" w:rsidRPr="00B70E92" w:rsidRDefault="006117F4" w:rsidP="006117F4">
      <w:r w:rsidRPr="00B70E92">
        <w:t>This compilation was editorially changed to move the definitions in section 3 into alphabetical order.</w:t>
      </w:r>
    </w:p>
    <w:p w:rsidR="006117F4" w:rsidRPr="00B70E92" w:rsidRDefault="006117F4" w:rsidP="006117F4"/>
    <w:p w:rsidR="006117F4" w:rsidRPr="00B70E92" w:rsidRDefault="006117F4" w:rsidP="006117F4"/>
    <w:p w:rsidR="006117F4" w:rsidRPr="00B70E92" w:rsidRDefault="006117F4" w:rsidP="006117F4">
      <w:pPr>
        <w:rPr>
          <w:b/>
          <w:sz w:val="24"/>
          <w:szCs w:val="24"/>
        </w:rPr>
      </w:pPr>
      <w:r w:rsidRPr="00B70E92">
        <w:rPr>
          <w:b/>
          <w:sz w:val="24"/>
          <w:szCs w:val="24"/>
        </w:rPr>
        <w:t>Section 3</w:t>
      </w:r>
    </w:p>
    <w:p w:rsidR="006117F4" w:rsidRPr="00B70E92" w:rsidRDefault="006117F4" w:rsidP="006117F4"/>
    <w:p w:rsidR="006117F4" w:rsidRPr="00B70E92" w:rsidRDefault="006117F4" w:rsidP="006117F4">
      <w:pPr>
        <w:rPr>
          <w:b/>
        </w:rPr>
      </w:pPr>
      <w:r w:rsidRPr="00B70E92">
        <w:rPr>
          <w:b/>
        </w:rPr>
        <w:t>Kind of editorial change</w:t>
      </w:r>
    </w:p>
    <w:p w:rsidR="006117F4" w:rsidRPr="00B70E92" w:rsidRDefault="006117F4" w:rsidP="006117F4"/>
    <w:p w:rsidR="006117F4" w:rsidRPr="00B70E92" w:rsidRDefault="006117F4" w:rsidP="006117F4">
      <w:r w:rsidRPr="00B70E92">
        <w:t>Changes to punctuation</w:t>
      </w:r>
    </w:p>
    <w:p w:rsidR="006117F4" w:rsidRPr="00B70E92" w:rsidRDefault="006117F4" w:rsidP="006117F4"/>
    <w:p w:rsidR="006117F4" w:rsidRPr="00B70E92" w:rsidRDefault="006117F4" w:rsidP="006117F4">
      <w:pPr>
        <w:rPr>
          <w:b/>
        </w:rPr>
      </w:pPr>
      <w:r w:rsidRPr="00B70E92">
        <w:rPr>
          <w:b/>
        </w:rPr>
        <w:t>Details of editorial change</w:t>
      </w:r>
    </w:p>
    <w:p w:rsidR="006117F4" w:rsidRPr="00B70E92" w:rsidRDefault="006117F4" w:rsidP="006117F4"/>
    <w:p w:rsidR="006117F4" w:rsidRPr="00B70E92" w:rsidRDefault="006117F4" w:rsidP="006117F4">
      <w:r w:rsidRPr="00B70E92">
        <w:t>This compilation was editorially changed to omit the semicolons at the end of the definitions in section 3 and substitute full stops to bring it into line with legislative drafting practice.</w:t>
      </w:r>
    </w:p>
    <w:p w:rsidR="006117F4" w:rsidRPr="00B70E92" w:rsidRDefault="006117F4" w:rsidP="006117F4"/>
    <w:p w:rsidR="006117F4" w:rsidRPr="00B70E92" w:rsidRDefault="006117F4" w:rsidP="006117F4"/>
    <w:p w:rsidR="006117F4" w:rsidRPr="00B70E92" w:rsidRDefault="006117F4" w:rsidP="00B20524">
      <w:pPr>
        <w:keepNext/>
        <w:keepLines/>
        <w:rPr>
          <w:b/>
          <w:sz w:val="24"/>
          <w:szCs w:val="24"/>
        </w:rPr>
      </w:pPr>
      <w:r w:rsidRPr="00B70E92">
        <w:rPr>
          <w:b/>
          <w:sz w:val="24"/>
          <w:szCs w:val="24"/>
        </w:rPr>
        <w:lastRenderedPageBreak/>
        <w:t>Subparagraph 11B(1)(b)(ii)</w:t>
      </w:r>
    </w:p>
    <w:p w:rsidR="006117F4" w:rsidRPr="00B70E92" w:rsidRDefault="006117F4" w:rsidP="006117F4"/>
    <w:p w:rsidR="006117F4" w:rsidRPr="00B70E92" w:rsidRDefault="006117F4" w:rsidP="006117F4">
      <w:pPr>
        <w:rPr>
          <w:b/>
        </w:rPr>
      </w:pPr>
      <w:r w:rsidRPr="00B70E92">
        <w:rPr>
          <w:b/>
        </w:rPr>
        <w:t>Kind of editorial change</w:t>
      </w:r>
    </w:p>
    <w:p w:rsidR="006117F4" w:rsidRPr="00B70E92" w:rsidRDefault="006117F4" w:rsidP="006117F4"/>
    <w:p w:rsidR="006117F4" w:rsidRPr="00B70E92" w:rsidRDefault="006117F4" w:rsidP="006117F4">
      <w:r w:rsidRPr="00B70E92">
        <w:t>Give effect to the misdescribed amendment as intended</w:t>
      </w:r>
    </w:p>
    <w:p w:rsidR="006117F4" w:rsidRPr="00B70E92" w:rsidRDefault="006117F4" w:rsidP="006117F4"/>
    <w:p w:rsidR="006117F4" w:rsidRPr="00B70E92" w:rsidRDefault="006117F4" w:rsidP="006117F4">
      <w:pPr>
        <w:rPr>
          <w:b/>
        </w:rPr>
      </w:pPr>
      <w:r w:rsidRPr="00B70E92">
        <w:rPr>
          <w:b/>
        </w:rPr>
        <w:t>Details of editorial change</w:t>
      </w:r>
    </w:p>
    <w:p w:rsidR="006117F4" w:rsidRPr="00B70E92" w:rsidRDefault="006117F4" w:rsidP="006117F4"/>
    <w:p w:rsidR="006117F4" w:rsidRPr="00B70E92" w:rsidRDefault="006117F4" w:rsidP="006117F4">
      <w:pPr>
        <w:rPr>
          <w:szCs w:val="22"/>
        </w:rPr>
      </w:pPr>
      <w:r w:rsidRPr="00B70E92">
        <w:rPr>
          <w:szCs w:val="22"/>
        </w:rPr>
        <w:t xml:space="preserve">Schedule 2 Part 1 item 7 of the </w:t>
      </w:r>
      <w:r w:rsidRPr="00B70E92">
        <w:rPr>
          <w:i/>
          <w:szCs w:val="22"/>
        </w:rPr>
        <w:t>Veterans’ Affairs Pharmaceutical Benefits Schemes (Electronic Prescriptions and Active Ingredient Prescribing) Amendment Instrument 2019</w:t>
      </w:r>
      <w:r w:rsidRPr="00B70E92">
        <w:rPr>
          <w:szCs w:val="22"/>
        </w:rPr>
        <w:t xml:space="preserve"> instructs to insert “other than an </w:t>
      </w:r>
      <w:r w:rsidRPr="00B70E92">
        <w:rPr>
          <w:i/>
          <w:szCs w:val="22"/>
        </w:rPr>
        <w:t>authority prescription</w:t>
      </w:r>
      <w:r w:rsidRPr="00B70E92">
        <w:rPr>
          <w:szCs w:val="22"/>
        </w:rPr>
        <w:t xml:space="preserve"> referred to in subsection (4A)” after “authority prescription”.</w:t>
      </w:r>
    </w:p>
    <w:p w:rsidR="006117F4" w:rsidRPr="00B70E92" w:rsidRDefault="006117F4" w:rsidP="006117F4">
      <w:pPr>
        <w:rPr>
          <w:szCs w:val="22"/>
        </w:rPr>
      </w:pPr>
    </w:p>
    <w:p w:rsidR="006117F4" w:rsidRPr="00B70E92" w:rsidRDefault="006117F4" w:rsidP="006117F4">
      <w:pPr>
        <w:rPr>
          <w:szCs w:val="22"/>
        </w:rPr>
      </w:pPr>
      <w:r w:rsidRPr="00B70E92">
        <w:rPr>
          <w:szCs w:val="22"/>
        </w:rPr>
        <w:t>The words “authority prescription” do not appear in subparagraph 11B(1)(b)(ii). However, the words “</w:t>
      </w:r>
      <w:r w:rsidRPr="00B70E92">
        <w:rPr>
          <w:i/>
          <w:szCs w:val="22"/>
        </w:rPr>
        <w:t>authority prescription</w:t>
      </w:r>
      <w:r w:rsidRPr="00B70E92">
        <w:rPr>
          <w:szCs w:val="22"/>
        </w:rPr>
        <w:t>” do appear.</w:t>
      </w:r>
    </w:p>
    <w:p w:rsidR="006117F4" w:rsidRPr="00B70E92" w:rsidRDefault="006117F4" w:rsidP="006117F4">
      <w:pPr>
        <w:rPr>
          <w:szCs w:val="22"/>
        </w:rPr>
      </w:pPr>
    </w:p>
    <w:p w:rsidR="006117F4" w:rsidRPr="00B70E92" w:rsidRDefault="006117F4" w:rsidP="006117F4">
      <w:pPr>
        <w:rPr>
          <w:szCs w:val="22"/>
        </w:rPr>
      </w:pPr>
      <w:r w:rsidRPr="00B70E92">
        <w:rPr>
          <w:szCs w:val="22"/>
        </w:rPr>
        <w:t xml:space="preserve">This compilation was editorially changed to insert “other than an </w:t>
      </w:r>
      <w:r w:rsidRPr="00B70E92">
        <w:rPr>
          <w:i/>
          <w:szCs w:val="22"/>
        </w:rPr>
        <w:t>authority prescription</w:t>
      </w:r>
      <w:r w:rsidRPr="00B70E92">
        <w:rPr>
          <w:szCs w:val="22"/>
        </w:rPr>
        <w:t xml:space="preserve"> referred to in subsection (4A)” after “</w:t>
      </w:r>
      <w:r w:rsidRPr="00B70E92">
        <w:rPr>
          <w:i/>
          <w:szCs w:val="22"/>
        </w:rPr>
        <w:t>authority prescription</w:t>
      </w:r>
      <w:r w:rsidRPr="00B70E92">
        <w:rPr>
          <w:szCs w:val="22"/>
        </w:rPr>
        <w:t>” in subparagraph 11B(1)(b)(ii) to give effect to the misdescribed amendment as intended.</w:t>
      </w:r>
    </w:p>
    <w:p w:rsidR="006117F4" w:rsidRPr="00B70E92" w:rsidRDefault="006117F4" w:rsidP="006117F4"/>
    <w:p w:rsidR="006117F4" w:rsidRPr="00B70E92" w:rsidRDefault="006117F4" w:rsidP="006117F4"/>
    <w:p w:rsidR="006117F4" w:rsidRPr="00B70E92" w:rsidRDefault="006117F4" w:rsidP="00CE3639">
      <w:pPr>
        <w:keepNext/>
        <w:keepLines/>
        <w:rPr>
          <w:b/>
          <w:sz w:val="24"/>
          <w:szCs w:val="24"/>
        </w:rPr>
      </w:pPr>
      <w:r w:rsidRPr="00B70E92">
        <w:rPr>
          <w:b/>
          <w:sz w:val="24"/>
          <w:szCs w:val="24"/>
        </w:rPr>
        <w:t>Subsection 11B(3A)</w:t>
      </w:r>
    </w:p>
    <w:p w:rsidR="006117F4" w:rsidRPr="00B70E92" w:rsidRDefault="006117F4" w:rsidP="00CE3639">
      <w:pPr>
        <w:keepNext/>
        <w:keepLines/>
      </w:pPr>
    </w:p>
    <w:p w:rsidR="006117F4" w:rsidRPr="00B70E92" w:rsidRDefault="006117F4" w:rsidP="00CE3639">
      <w:pPr>
        <w:keepNext/>
        <w:keepLines/>
        <w:rPr>
          <w:b/>
        </w:rPr>
      </w:pPr>
      <w:r w:rsidRPr="00B70E92">
        <w:rPr>
          <w:b/>
        </w:rPr>
        <w:t>Kind of editorial change</w:t>
      </w:r>
    </w:p>
    <w:p w:rsidR="006117F4" w:rsidRPr="00B70E92" w:rsidRDefault="006117F4" w:rsidP="006117F4"/>
    <w:p w:rsidR="006117F4" w:rsidRPr="00B70E92" w:rsidRDefault="006117F4" w:rsidP="006117F4">
      <w:r w:rsidRPr="00B70E92">
        <w:t>Renumbering of provisions</w:t>
      </w:r>
    </w:p>
    <w:p w:rsidR="006117F4" w:rsidRPr="00B70E92" w:rsidRDefault="006117F4" w:rsidP="006117F4"/>
    <w:p w:rsidR="006117F4" w:rsidRPr="00B70E92" w:rsidRDefault="006117F4" w:rsidP="006117F4">
      <w:pPr>
        <w:rPr>
          <w:b/>
        </w:rPr>
      </w:pPr>
      <w:r w:rsidRPr="00B70E92">
        <w:rPr>
          <w:b/>
        </w:rPr>
        <w:t>Details of editorial change</w:t>
      </w:r>
    </w:p>
    <w:p w:rsidR="006117F4" w:rsidRPr="00B70E92" w:rsidRDefault="006117F4" w:rsidP="006117F4"/>
    <w:p w:rsidR="006117F4" w:rsidRPr="00B70E92" w:rsidRDefault="006117F4" w:rsidP="006117F4">
      <w:pPr>
        <w:rPr>
          <w:szCs w:val="22"/>
        </w:rPr>
      </w:pPr>
      <w:r w:rsidRPr="00B70E92">
        <w:rPr>
          <w:szCs w:val="22"/>
        </w:rPr>
        <w:t xml:space="preserve">Schedule 2 Part 2 item 7 of the </w:t>
      </w:r>
      <w:r w:rsidRPr="00B70E92">
        <w:rPr>
          <w:i/>
          <w:szCs w:val="22"/>
        </w:rPr>
        <w:t>Veterans’ Affairs Pharmaceutical Benefits Schemes (Electronic Prescriptions and Active Ingredient Prescribing) Amendment Instrument 2019</w:t>
      </w:r>
      <w:r w:rsidRPr="00B70E92">
        <w:rPr>
          <w:szCs w:val="22"/>
        </w:rPr>
        <w:t xml:space="preserve"> instructs to insert subsection 11B(3A) after subsection 11B(3).</w:t>
      </w:r>
    </w:p>
    <w:p w:rsidR="006117F4" w:rsidRPr="00B70E92" w:rsidRDefault="006117F4" w:rsidP="006117F4">
      <w:pPr>
        <w:rPr>
          <w:szCs w:val="22"/>
        </w:rPr>
      </w:pPr>
    </w:p>
    <w:p w:rsidR="006117F4" w:rsidRPr="00B70E92" w:rsidRDefault="006117F4" w:rsidP="006117F4">
      <w:r w:rsidRPr="00B70E92">
        <w:rPr>
          <w:szCs w:val="22"/>
        </w:rPr>
        <w:t>Subsection 11B(3A) contains two paragraph (b)s.</w:t>
      </w:r>
    </w:p>
    <w:p w:rsidR="006117F4" w:rsidRPr="00B70E92" w:rsidRDefault="006117F4" w:rsidP="006117F4"/>
    <w:p w:rsidR="006117F4" w:rsidRDefault="006117F4" w:rsidP="006117F4">
      <w:r w:rsidRPr="00B70E92">
        <w:t>This compilation was editorially changed by renumbering the first occurring paragraph (b) as paragraph (a).</w:t>
      </w:r>
    </w:p>
    <w:p w:rsidR="00E520FB" w:rsidRDefault="00E520FB" w:rsidP="00E520FB">
      <w:pPr>
        <w:pStyle w:val="Head2"/>
        <w:keepLines/>
      </w:pPr>
      <w:r w:rsidRPr="00B309D3">
        <w:t>Terrorism Insurance Regulations</w:t>
      </w:r>
      <w:r>
        <w:t> </w:t>
      </w:r>
      <w:r w:rsidRPr="00B309D3">
        <w:t>2003</w:t>
      </w:r>
      <w:r>
        <w:t>, Compilation No. 7,</w:t>
      </w:r>
      <w:r w:rsidRPr="003342C4">
        <w:t xml:space="preserve"> Registration Date:</w:t>
      </w:r>
      <w:r>
        <w:t xml:space="preserve"> 13 February 2020 [</w:t>
      </w:r>
      <w:r>
        <w:rPr>
          <w:bCs/>
        </w:rPr>
        <w:t>F2020</w:t>
      </w:r>
      <w:r w:rsidRPr="005A1F2E">
        <w:rPr>
          <w:bCs/>
        </w:rPr>
        <w:t>C00</w:t>
      </w:r>
      <w:r>
        <w:rPr>
          <w:bCs/>
        </w:rPr>
        <w:t>124</w:t>
      </w:r>
      <w:r>
        <w:t>]</w:t>
      </w:r>
    </w:p>
    <w:p w:rsidR="00E520FB" w:rsidRDefault="00E520FB" w:rsidP="00E520FB"/>
    <w:p w:rsidR="00E520FB" w:rsidRPr="004549F1" w:rsidRDefault="00E520FB" w:rsidP="00E520FB">
      <w:pPr>
        <w:rPr>
          <w:b/>
          <w:sz w:val="24"/>
          <w:szCs w:val="24"/>
        </w:rPr>
      </w:pPr>
      <w:r>
        <w:rPr>
          <w:b/>
          <w:sz w:val="24"/>
          <w:szCs w:val="24"/>
        </w:rPr>
        <w:t>Regulation 3</w:t>
      </w:r>
    </w:p>
    <w:p w:rsidR="00E520FB" w:rsidRPr="003504E1" w:rsidRDefault="00E520FB" w:rsidP="00E520FB"/>
    <w:p w:rsidR="00E520FB" w:rsidRPr="004549F1" w:rsidRDefault="00E520FB" w:rsidP="00E520FB">
      <w:pPr>
        <w:rPr>
          <w:b/>
        </w:rPr>
      </w:pPr>
      <w:r w:rsidRPr="004549F1">
        <w:rPr>
          <w:b/>
        </w:rPr>
        <w:t>Kind of editorial change</w:t>
      </w:r>
    </w:p>
    <w:p w:rsidR="00E520FB" w:rsidRPr="004549F1" w:rsidRDefault="00E520FB" w:rsidP="00E520FB"/>
    <w:p w:rsidR="00E520FB" w:rsidRPr="00A05C44" w:rsidRDefault="00E520FB" w:rsidP="00E520FB">
      <w:r w:rsidRPr="00A05C44">
        <w:t>Give effect to the misdescribed amendment as intended</w:t>
      </w:r>
    </w:p>
    <w:p w:rsidR="00E520FB" w:rsidRPr="004549F1" w:rsidRDefault="00E520FB" w:rsidP="00E520FB"/>
    <w:p w:rsidR="00E520FB" w:rsidRPr="004549F1" w:rsidRDefault="00E520FB" w:rsidP="00E520FB">
      <w:pPr>
        <w:rPr>
          <w:b/>
        </w:rPr>
      </w:pPr>
      <w:r w:rsidRPr="004549F1">
        <w:rPr>
          <w:b/>
        </w:rPr>
        <w:t>Details of editorial change</w:t>
      </w:r>
    </w:p>
    <w:p w:rsidR="00E520FB" w:rsidRPr="003504E1" w:rsidRDefault="00E520FB" w:rsidP="00E520FB"/>
    <w:p w:rsidR="00E520FB" w:rsidRPr="00B164BF" w:rsidRDefault="00E520FB" w:rsidP="00E520FB">
      <w:r>
        <w:t xml:space="preserve">Schedule 1 item 32 of the </w:t>
      </w:r>
      <w:r w:rsidRPr="00285E54">
        <w:rPr>
          <w:i/>
          <w:szCs w:val="22"/>
        </w:rPr>
        <w:t>T</w:t>
      </w:r>
      <w:r w:rsidRPr="0022787E">
        <w:rPr>
          <w:i/>
          <w:szCs w:val="22"/>
        </w:rPr>
        <w:t>reasury Laws Amendment (Miscel</w:t>
      </w:r>
      <w:r w:rsidRPr="0022787E">
        <w:rPr>
          <w:i/>
        </w:rPr>
        <w:t>l</w:t>
      </w:r>
      <w:r w:rsidRPr="0022787E">
        <w:rPr>
          <w:i/>
          <w:szCs w:val="22"/>
        </w:rPr>
        <w:t>aneous Amendments) Regulations 2019</w:t>
      </w:r>
      <w:r>
        <w:t xml:space="preserve"> instructs to insert the definition of </w:t>
      </w:r>
      <w:r w:rsidRPr="00951D7C">
        <w:rPr>
          <w:b/>
          <w:i/>
        </w:rPr>
        <w:t>high</w:t>
      </w:r>
      <w:r>
        <w:rPr>
          <w:b/>
          <w:i/>
        </w:rPr>
        <w:noBreakHyphen/>
      </w:r>
      <w:r w:rsidRPr="00951D7C">
        <w:rPr>
          <w:b/>
          <w:i/>
        </w:rPr>
        <w:t>value multiple building contract</w:t>
      </w:r>
      <w:r>
        <w:t xml:space="preserve"> in section 3.</w:t>
      </w:r>
    </w:p>
    <w:p w:rsidR="00E520FB" w:rsidRDefault="00E520FB" w:rsidP="00E520FB"/>
    <w:p w:rsidR="00E520FB" w:rsidRDefault="00E520FB" w:rsidP="00E520FB">
      <w:r>
        <w:t>Section 3 does not appear. However, regulation 3 does appear.</w:t>
      </w:r>
    </w:p>
    <w:p w:rsidR="00E520FB" w:rsidRDefault="00E520FB" w:rsidP="00E520FB"/>
    <w:p w:rsidR="00E520FB" w:rsidRDefault="00E520FB" w:rsidP="00E520FB">
      <w:r>
        <w:t xml:space="preserve">This compilation was editorially changed to insert the definition of </w:t>
      </w:r>
      <w:r w:rsidRPr="00951D7C">
        <w:rPr>
          <w:b/>
          <w:i/>
        </w:rPr>
        <w:t>high</w:t>
      </w:r>
      <w:r>
        <w:rPr>
          <w:b/>
          <w:i/>
        </w:rPr>
        <w:noBreakHyphen/>
      </w:r>
      <w:r w:rsidRPr="00951D7C">
        <w:rPr>
          <w:b/>
          <w:i/>
        </w:rPr>
        <w:t>value multiple building contract</w:t>
      </w:r>
      <w:r w:rsidRPr="003504E1">
        <w:t xml:space="preserve"> </w:t>
      </w:r>
      <w:r>
        <w:t>in regulation 3 to give effect to the misdescribed amendment as intended.</w:t>
      </w:r>
    </w:p>
    <w:p w:rsidR="00E520FB" w:rsidRDefault="00E520FB" w:rsidP="00E520FB"/>
    <w:p w:rsidR="00E520FB" w:rsidRDefault="00E520FB" w:rsidP="00E520FB"/>
    <w:p w:rsidR="00E520FB" w:rsidRPr="004549F1" w:rsidRDefault="00E520FB" w:rsidP="00E520FB">
      <w:pPr>
        <w:rPr>
          <w:b/>
          <w:sz w:val="24"/>
          <w:szCs w:val="24"/>
        </w:rPr>
      </w:pPr>
      <w:r>
        <w:rPr>
          <w:b/>
          <w:sz w:val="24"/>
          <w:szCs w:val="24"/>
        </w:rPr>
        <w:t>Paragraph 2(d) of Schedule 1</w:t>
      </w:r>
    </w:p>
    <w:p w:rsidR="00E520FB" w:rsidRPr="003504E1" w:rsidRDefault="00E520FB" w:rsidP="00E520FB"/>
    <w:p w:rsidR="00E520FB" w:rsidRPr="004549F1" w:rsidRDefault="00E520FB" w:rsidP="00E520FB">
      <w:pPr>
        <w:rPr>
          <w:b/>
        </w:rPr>
      </w:pPr>
      <w:r w:rsidRPr="004549F1">
        <w:rPr>
          <w:b/>
        </w:rPr>
        <w:t>Kind of editorial change</w:t>
      </w:r>
    </w:p>
    <w:p w:rsidR="00E520FB" w:rsidRPr="004549F1" w:rsidRDefault="00E520FB" w:rsidP="00E520FB"/>
    <w:p w:rsidR="00E520FB" w:rsidRPr="00A05C44" w:rsidRDefault="00E520FB" w:rsidP="00E520FB">
      <w:r w:rsidRPr="00A05C44">
        <w:t>Give effect to the misdescribed amendment as intended</w:t>
      </w:r>
    </w:p>
    <w:p w:rsidR="00E520FB" w:rsidRPr="004549F1" w:rsidRDefault="00E520FB" w:rsidP="00E520FB"/>
    <w:p w:rsidR="00E520FB" w:rsidRPr="004549F1" w:rsidRDefault="00E520FB" w:rsidP="00E520FB">
      <w:pPr>
        <w:rPr>
          <w:b/>
        </w:rPr>
      </w:pPr>
      <w:r w:rsidRPr="004549F1">
        <w:rPr>
          <w:b/>
        </w:rPr>
        <w:t>Details of editorial change</w:t>
      </w:r>
    </w:p>
    <w:p w:rsidR="00E520FB" w:rsidRPr="003504E1" w:rsidRDefault="00E520FB" w:rsidP="00E520FB"/>
    <w:p w:rsidR="00E520FB" w:rsidRPr="004549F1" w:rsidRDefault="00E520FB" w:rsidP="00E520FB">
      <w:r>
        <w:t xml:space="preserve">Schedule 1 item 36 of the </w:t>
      </w:r>
      <w:r w:rsidRPr="00285E54">
        <w:rPr>
          <w:i/>
          <w:szCs w:val="22"/>
        </w:rPr>
        <w:t>T</w:t>
      </w:r>
      <w:r w:rsidRPr="0022787E">
        <w:rPr>
          <w:i/>
          <w:szCs w:val="22"/>
        </w:rPr>
        <w:t>reasury Laws Amendment (Miscel</w:t>
      </w:r>
      <w:r w:rsidRPr="0022787E">
        <w:rPr>
          <w:i/>
        </w:rPr>
        <w:t>l</w:t>
      </w:r>
      <w:r w:rsidRPr="0022787E">
        <w:rPr>
          <w:i/>
          <w:szCs w:val="22"/>
        </w:rPr>
        <w:t>aneous Amendments) Regulations 2019</w:t>
      </w:r>
      <w:r>
        <w:t xml:space="preserve"> provides as follows:</w:t>
      </w:r>
    </w:p>
    <w:p w:rsidR="00E520FB" w:rsidRPr="00951D7C" w:rsidRDefault="00E520FB" w:rsidP="00E520FB">
      <w:pPr>
        <w:pStyle w:val="ItemHead"/>
      </w:pPr>
      <w:r w:rsidRPr="00951D7C">
        <w:t>36  Paragraph 2(d) of Schedule 1</w:t>
      </w:r>
    </w:p>
    <w:p w:rsidR="00E520FB" w:rsidRPr="00951D7C" w:rsidRDefault="00E520FB" w:rsidP="00E520FB">
      <w:pPr>
        <w:pStyle w:val="Item"/>
      </w:pPr>
      <w:r w:rsidRPr="00951D7C">
        <w:t>Omit “unless the personal property is part of the contents of a residential part of a mixed use or high value building.”, substitute:</w:t>
      </w:r>
    </w:p>
    <w:p w:rsidR="00E520FB" w:rsidRPr="00951D7C" w:rsidRDefault="00E520FB" w:rsidP="00E520FB">
      <w:pPr>
        <w:pStyle w:val="paragraph"/>
      </w:pPr>
      <w:r w:rsidRPr="00951D7C">
        <w:tab/>
      </w:r>
      <w:r w:rsidRPr="00951D7C">
        <w:tab/>
        <w:t>unless:</w:t>
      </w:r>
    </w:p>
    <w:p w:rsidR="00E520FB" w:rsidRPr="00951D7C" w:rsidRDefault="00E520FB" w:rsidP="00E520FB">
      <w:pPr>
        <w:pStyle w:val="paragraphsub"/>
      </w:pPr>
      <w:r w:rsidRPr="00951D7C">
        <w:tab/>
        <w:t>(iii)</w:t>
      </w:r>
      <w:r w:rsidRPr="00951D7C">
        <w:tab/>
        <w:t>the personal property is part of the contents of a residential part of a mixed use or high value building; or</w:t>
      </w:r>
    </w:p>
    <w:p w:rsidR="00E520FB" w:rsidRPr="00951D7C" w:rsidRDefault="00E520FB" w:rsidP="00E520FB">
      <w:pPr>
        <w:pStyle w:val="paragraphsub"/>
      </w:pPr>
      <w:r w:rsidRPr="00951D7C">
        <w:tab/>
        <w:t>(iv)</w:t>
      </w:r>
      <w:r w:rsidRPr="00951D7C">
        <w:tab/>
        <w:t>the contract is also a high</w:t>
      </w:r>
      <w:r>
        <w:noBreakHyphen/>
      </w:r>
      <w:r w:rsidRPr="00951D7C">
        <w:t>value multiple building contract.</w:t>
      </w:r>
    </w:p>
    <w:p w:rsidR="00E520FB" w:rsidRDefault="00E520FB" w:rsidP="00E520FB"/>
    <w:p w:rsidR="00E520FB" w:rsidRDefault="00E520FB" w:rsidP="00E520FB">
      <w:r>
        <w:t xml:space="preserve">Regulation 3 contains the definition of </w:t>
      </w:r>
      <w:r w:rsidRPr="00B309D3">
        <w:rPr>
          <w:b/>
          <w:i/>
        </w:rPr>
        <w:t>residential part of a mixed</w:t>
      </w:r>
      <w:r>
        <w:rPr>
          <w:b/>
          <w:i/>
        </w:rPr>
        <w:noBreakHyphen/>
      </w:r>
      <w:r w:rsidRPr="00B309D3">
        <w:rPr>
          <w:b/>
          <w:i/>
        </w:rPr>
        <w:t>use or high</w:t>
      </w:r>
      <w:r>
        <w:rPr>
          <w:b/>
          <w:i/>
        </w:rPr>
        <w:noBreakHyphen/>
      </w:r>
      <w:r w:rsidRPr="00B309D3">
        <w:rPr>
          <w:b/>
          <w:i/>
        </w:rPr>
        <w:t>value building</w:t>
      </w:r>
      <w:r>
        <w:t>.</w:t>
      </w:r>
    </w:p>
    <w:p w:rsidR="00E520FB" w:rsidRDefault="00E520FB" w:rsidP="00E520FB"/>
    <w:p w:rsidR="00E520FB" w:rsidRDefault="00E520FB" w:rsidP="00E520FB">
      <w:r>
        <w:t>In the words to be omitted and substituted, hyphens are missing between “</w:t>
      </w:r>
      <w:r w:rsidRPr="00951D7C">
        <w:t>mixed</w:t>
      </w:r>
      <w:r>
        <w:t>”</w:t>
      </w:r>
      <w:r w:rsidRPr="00951D7C">
        <w:t xml:space="preserve"> </w:t>
      </w:r>
      <w:r>
        <w:t>and “</w:t>
      </w:r>
      <w:r w:rsidRPr="00951D7C">
        <w:t>use</w:t>
      </w:r>
      <w:r>
        <w:t xml:space="preserve">” </w:t>
      </w:r>
      <w:r w:rsidRPr="005650AA">
        <w:t>(</w:t>
      </w:r>
      <w:r>
        <w:t>twice</w:t>
      </w:r>
      <w:r w:rsidRPr="005650AA">
        <w:t xml:space="preserve"> occurring) </w:t>
      </w:r>
      <w:r>
        <w:t xml:space="preserve">and between “high” and “value </w:t>
      </w:r>
      <w:r w:rsidRPr="00951D7C">
        <w:t>building</w:t>
      </w:r>
      <w:r>
        <w:t>” (twice occurring).</w:t>
      </w:r>
    </w:p>
    <w:p w:rsidR="00E520FB" w:rsidRDefault="00E520FB" w:rsidP="00E520FB"/>
    <w:p w:rsidR="00E520FB" w:rsidRDefault="00E520FB" w:rsidP="00E520FB">
      <w:r>
        <w:t xml:space="preserve">This compilation was editorially changed to omit </w:t>
      </w:r>
      <w:r w:rsidRPr="00951D7C">
        <w:t xml:space="preserve">“unless the personal property is part of the contents of </w:t>
      </w:r>
      <w:r>
        <w:t>a residential part of a mixed-use or high-</w:t>
      </w:r>
      <w:r w:rsidRPr="00951D7C">
        <w:t>value building.”</w:t>
      </w:r>
      <w:r>
        <w:t xml:space="preserve"> and substitute:</w:t>
      </w:r>
    </w:p>
    <w:p w:rsidR="00E520FB" w:rsidRPr="00951D7C" w:rsidRDefault="00E520FB" w:rsidP="00E520FB">
      <w:pPr>
        <w:pStyle w:val="paragraph"/>
      </w:pPr>
      <w:r w:rsidRPr="00951D7C">
        <w:tab/>
      </w:r>
      <w:r w:rsidRPr="00951D7C">
        <w:tab/>
        <w:t>unless:</w:t>
      </w:r>
    </w:p>
    <w:p w:rsidR="00E520FB" w:rsidRPr="00951D7C" w:rsidRDefault="00E520FB" w:rsidP="00E520FB">
      <w:pPr>
        <w:pStyle w:val="paragraphsub"/>
      </w:pPr>
      <w:r w:rsidRPr="00951D7C">
        <w:tab/>
        <w:t>(iii)</w:t>
      </w:r>
      <w:r w:rsidRPr="00951D7C">
        <w:tab/>
        <w:t>the personal property is part of the contents o</w:t>
      </w:r>
      <w:r>
        <w:t>f a residential part of a mixed-use or high-</w:t>
      </w:r>
      <w:r w:rsidRPr="00951D7C">
        <w:t>value building; or</w:t>
      </w:r>
    </w:p>
    <w:p w:rsidR="00E520FB" w:rsidRPr="00951D7C" w:rsidRDefault="00E520FB" w:rsidP="00E520FB">
      <w:pPr>
        <w:pStyle w:val="paragraphsub"/>
      </w:pPr>
      <w:r w:rsidRPr="00951D7C">
        <w:tab/>
        <w:t>(iv)</w:t>
      </w:r>
      <w:r w:rsidRPr="00951D7C">
        <w:tab/>
        <w:t>the contract is also a high</w:t>
      </w:r>
      <w:r>
        <w:noBreakHyphen/>
      </w:r>
      <w:r w:rsidRPr="00951D7C">
        <w:t>value multiple building contract.</w:t>
      </w:r>
    </w:p>
    <w:p w:rsidR="00E520FB" w:rsidRDefault="00E520FB" w:rsidP="00E520FB"/>
    <w:p w:rsidR="00E520FB" w:rsidRDefault="00E520FB" w:rsidP="00E520FB">
      <w:r>
        <w:t>in paragraph 2(d) of Schedule 1 to give effect to the misdescribed amendment as intended.</w:t>
      </w:r>
    </w:p>
    <w:p w:rsidR="00D17176" w:rsidRDefault="00D17176" w:rsidP="00D17176">
      <w:pPr>
        <w:pStyle w:val="Head2"/>
        <w:keepLines/>
      </w:pPr>
      <w:r>
        <w:t xml:space="preserve">National Capital Plan 1990 </w:t>
      </w:r>
      <w:r w:rsidRPr="00FE7F25">
        <w:t>(December 1990)</w:t>
      </w:r>
      <w:r>
        <w:t>, Compilation No. 27,</w:t>
      </w:r>
      <w:r w:rsidRPr="003342C4">
        <w:t xml:space="preserve"> Registration Date:</w:t>
      </w:r>
      <w:r>
        <w:t xml:space="preserve"> 12 February 2020 [</w:t>
      </w:r>
      <w:r>
        <w:rPr>
          <w:bCs/>
        </w:rPr>
        <w:t>F2020</w:t>
      </w:r>
      <w:r w:rsidRPr="005A1F2E">
        <w:rPr>
          <w:bCs/>
        </w:rPr>
        <w:t>C00</w:t>
      </w:r>
      <w:r>
        <w:rPr>
          <w:bCs/>
        </w:rPr>
        <w:t>118</w:t>
      </w:r>
      <w:r>
        <w:t>]</w:t>
      </w:r>
    </w:p>
    <w:p w:rsidR="00D17176" w:rsidRPr="00000DE6" w:rsidRDefault="00D17176" w:rsidP="00D17176"/>
    <w:p w:rsidR="00D17176" w:rsidRPr="00000DE6" w:rsidRDefault="00D17176" w:rsidP="00D17176">
      <w:pPr>
        <w:rPr>
          <w:b/>
          <w:sz w:val="24"/>
        </w:rPr>
      </w:pPr>
      <w:r w:rsidRPr="00000DE6">
        <w:rPr>
          <w:b/>
          <w:sz w:val="24"/>
        </w:rPr>
        <w:t xml:space="preserve">Section </w:t>
      </w:r>
      <w:r>
        <w:rPr>
          <w:b/>
          <w:sz w:val="24"/>
        </w:rPr>
        <w:t>4.17 (Figure 135)</w:t>
      </w:r>
    </w:p>
    <w:p w:rsidR="00D17176" w:rsidRPr="00000DE6" w:rsidRDefault="00D17176" w:rsidP="00D17176"/>
    <w:p w:rsidR="00D17176" w:rsidRPr="00000DE6" w:rsidRDefault="00D17176" w:rsidP="00D17176">
      <w:pPr>
        <w:rPr>
          <w:b/>
        </w:rPr>
      </w:pPr>
      <w:r w:rsidRPr="00000DE6">
        <w:rPr>
          <w:b/>
        </w:rPr>
        <w:t>Kind of editorial change</w:t>
      </w:r>
    </w:p>
    <w:p w:rsidR="00D17176" w:rsidRPr="00000DE6" w:rsidRDefault="00D17176" w:rsidP="00D17176"/>
    <w:p w:rsidR="00D17176" w:rsidRPr="00000DE6" w:rsidRDefault="00D17176" w:rsidP="00D17176">
      <w:r>
        <w:t>Give effect to the misdescribed amendment as intended</w:t>
      </w:r>
    </w:p>
    <w:p w:rsidR="00D17176" w:rsidRPr="00000DE6" w:rsidRDefault="00D17176" w:rsidP="00D17176"/>
    <w:p w:rsidR="00D17176" w:rsidRPr="00000DE6" w:rsidRDefault="00D17176" w:rsidP="00D17176">
      <w:pPr>
        <w:rPr>
          <w:b/>
        </w:rPr>
      </w:pPr>
      <w:r w:rsidRPr="00000DE6">
        <w:rPr>
          <w:b/>
        </w:rPr>
        <w:t>Details of editorial change</w:t>
      </w:r>
    </w:p>
    <w:p w:rsidR="00D17176" w:rsidRPr="00000DE6" w:rsidRDefault="00D17176" w:rsidP="00D17176"/>
    <w:p w:rsidR="00D17176" w:rsidRPr="00000DE6" w:rsidRDefault="00D17176" w:rsidP="00D17176">
      <w:pPr>
        <w:rPr>
          <w:szCs w:val="22"/>
        </w:rPr>
      </w:pPr>
      <w:r w:rsidRPr="00000DE6">
        <w:rPr>
          <w:szCs w:val="22"/>
        </w:rPr>
        <w:t xml:space="preserve">Schedule 1 item 3 of the </w:t>
      </w:r>
      <w:r w:rsidRPr="00000DE6">
        <w:rPr>
          <w:i/>
          <w:szCs w:val="22"/>
        </w:rPr>
        <w:t>National Capital Plan – Amendment 92 – Uncommitted Land Adjacent to the Australian National University</w:t>
      </w:r>
      <w:r w:rsidRPr="00000DE6">
        <w:rPr>
          <w:szCs w:val="22"/>
        </w:rPr>
        <w:t xml:space="preserve"> instructs to </w:t>
      </w:r>
      <w:r w:rsidRPr="00B17C75">
        <w:rPr>
          <w:szCs w:val="22"/>
        </w:rPr>
        <w:t>delete and replace “Figure 135 ‘Australian National University – Campus Structure Figure’”</w:t>
      </w:r>
      <w:r w:rsidRPr="00000DE6">
        <w:rPr>
          <w:szCs w:val="22"/>
        </w:rPr>
        <w:t>.</w:t>
      </w:r>
    </w:p>
    <w:p w:rsidR="00D17176" w:rsidRPr="00000DE6" w:rsidRDefault="00D17176" w:rsidP="00D17176">
      <w:pPr>
        <w:rPr>
          <w:szCs w:val="22"/>
        </w:rPr>
      </w:pPr>
    </w:p>
    <w:p w:rsidR="00D17176" w:rsidRPr="00000DE6" w:rsidRDefault="00D17176" w:rsidP="00D17176">
      <w:pPr>
        <w:rPr>
          <w:szCs w:val="22"/>
        </w:rPr>
      </w:pPr>
      <w:r>
        <w:rPr>
          <w:szCs w:val="22"/>
        </w:rPr>
        <w:t xml:space="preserve">There is no “Figure </w:t>
      </w:r>
      <w:r w:rsidRPr="00B17C75">
        <w:rPr>
          <w:szCs w:val="22"/>
        </w:rPr>
        <w:t>135 ‘Australian National University – Campus Structure Figure’”</w:t>
      </w:r>
      <w:r>
        <w:rPr>
          <w:szCs w:val="22"/>
        </w:rPr>
        <w:t xml:space="preserve">. </w:t>
      </w:r>
      <w:r w:rsidRPr="00000DE6">
        <w:rPr>
          <w:szCs w:val="22"/>
        </w:rPr>
        <w:t xml:space="preserve">However, </w:t>
      </w:r>
      <w:r>
        <w:rPr>
          <w:szCs w:val="22"/>
        </w:rPr>
        <w:t>there is a “Figure</w:t>
      </w:r>
      <w:r w:rsidRPr="00B17C75">
        <w:rPr>
          <w:szCs w:val="22"/>
        </w:rPr>
        <w:t xml:space="preserve"> </w:t>
      </w:r>
      <w:r>
        <w:rPr>
          <w:szCs w:val="22"/>
        </w:rPr>
        <w:t xml:space="preserve">135 </w:t>
      </w:r>
      <w:r w:rsidRPr="00B17C75">
        <w:rPr>
          <w:szCs w:val="22"/>
        </w:rPr>
        <w:t>‘</w:t>
      </w:r>
      <w:r w:rsidRPr="00000DE6">
        <w:rPr>
          <w:szCs w:val="22"/>
        </w:rPr>
        <w:t xml:space="preserve">Australian National University </w:t>
      </w:r>
      <w:r w:rsidRPr="00B17C75">
        <w:rPr>
          <w:szCs w:val="22"/>
        </w:rPr>
        <w:t>–</w:t>
      </w:r>
      <w:r w:rsidRPr="00000DE6">
        <w:rPr>
          <w:szCs w:val="22"/>
        </w:rPr>
        <w:t xml:space="preserve"> campus structure</w:t>
      </w:r>
      <w:r w:rsidRPr="00B17C75">
        <w:rPr>
          <w:szCs w:val="22"/>
        </w:rPr>
        <w:t>’”</w:t>
      </w:r>
      <w:r w:rsidRPr="00000DE6">
        <w:rPr>
          <w:szCs w:val="22"/>
        </w:rPr>
        <w:t>.</w:t>
      </w:r>
    </w:p>
    <w:p w:rsidR="00D17176" w:rsidRPr="00000DE6" w:rsidRDefault="00D17176" w:rsidP="00D17176">
      <w:pPr>
        <w:rPr>
          <w:szCs w:val="22"/>
        </w:rPr>
      </w:pPr>
    </w:p>
    <w:p w:rsidR="00D17176" w:rsidRPr="00B17C75" w:rsidRDefault="00D17176" w:rsidP="00D17176">
      <w:pPr>
        <w:rPr>
          <w:szCs w:val="22"/>
        </w:rPr>
      </w:pPr>
      <w:r w:rsidRPr="00000DE6">
        <w:rPr>
          <w:szCs w:val="22"/>
        </w:rPr>
        <w:t xml:space="preserve">This compilation was editorially changed to </w:t>
      </w:r>
      <w:r w:rsidRPr="00B17C75">
        <w:rPr>
          <w:szCs w:val="22"/>
        </w:rPr>
        <w:t xml:space="preserve">delete and replace </w:t>
      </w:r>
      <w:r>
        <w:rPr>
          <w:szCs w:val="22"/>
        </w:rPr>
        <w:t>F</w:t>
      </w:r>
      <w:r w:rsidRPr="00B17C75">
        <w:rPr>
          <w:szCs w:val="22"/>
        </w:rPr>
        <w:t xml:space="preserve">igure 135 to give effect to the misdescribed amendment as </w:t>
      </w:r>
      <w:r w:rsidRPr="004F7312">
        <w:rPr>
          <w:szCs w:val="22"/>
        </w:rPr>
        <w:t>intended</w:t>
      </w:r>
      <w:r w:rsidRPr="00000DE6">
        <w:rPr>
          <w:szCs w:val="22"/>
        </w:rPr>
        <w:t>.</w:t>
      </w:r>
    </w:p>
    <w:p w:rsidR="00D17176" w:rsidRDefault="00D17176" w:rsidP="00D17176"/>
    <w:p w:rsidR="00D17176" w:rsidRPr="005666C0" w:rsidRDefault="00D17176" w:rsidP="00D17176"/>
    <w:p w:rsidR="00D17176" w:rsidRPr="005666C0" w:rsidRDefault="00D17176" w:rsidP="00D17176">
      <w:pPr>
        <w:rPr>
          <w:b/>
          <w:sz w:val="24"/>
        </w:rPr>
      </w:pPr>
      <w:r w:rsidRPr="005666C0">
        <w:rPr>
          <w:b/>
          <w:sz w:val="24"/>
        </w:rPr>
        <w:t xml:space="preserve">Section </w:t>
      </w:r>
      <w:r>
        <w:rPr>
          <w:b/>
          <w:sz w:val="24"/>
        </w:rPr>
        <w:t>4.17 (Figure 137)</w:t>
      </w:r>
    </w:p>
    <w:p w:rsidR="00D17176" w:rsidRPr="005666C0" w:rsidRDefault="00D17176" w:rsidP="00D17176"/>
    <w:p w:rsidR="00D17176" w:rsidRPr="005666C0" w:rsidRDefault="00D17176" w:rsidP="00D17176">
      <w:pPr>
        <w:rPr>
          <w:b/>
        </w:rPr>
      </w:pPr>
      <w:r w:rsidRPr="005666C0">
        <w:rPr>
          <w:b/>
        </w:rPr>
        <w:t>Kind of editorial change</w:t>
      </w:r>
    </w:p>
    <w:p w:rsidR="00D17176" w:rsidRPr="005666C0" w:rsidRDefault="00D17176" w:rsidP="00D17176"/>
    <w:p w:rsidR="00D17176" w:rsidRPr="005666C0" w:rsidRDefault="00D17176" w:rsidP="00D17176">
      <w:r>
        <w:t>Give effect to the misdescribed amendment as intended</w:t>
      </w:r>
    </w:p>
    <w:p w:rsidR="00D17176" w:rsidRPr="005666C0" w:rsidRDefault="00D17176" w:rsidP="00D17176"/>
    <w:p w:rsidR="00D17176" w:rsidRPr="005666C0" w:rsidRDefault="00D17176" w:rsidP="00D17176">
      <w:pPr>
        <w:rPr>
          <w:b/>
        </w:rPr>
      </w:pPr>
      <w:r w:rsidRPr="005666C0">
        <w:rPr>
          <w:b/>
        </w:rPr>
        <w:t>Details of editorial change</w:t>
      </w:r>
    </w:p>
    <w:p w:rsidR="00D17176" w:rsidRPr="005666C0" w:rsidRDefault="00D17176" w:rsidP="00D17176"/>
    <w:p w:rsidR="00D17176" w:rsidRPr="00B17C75" w:rsidRDefault="00D17176" w:rsidP="00D17176">
      <w:pPr>
        <w:rPr>
          <w:szCs w:val="22"/>
        </w:rPr>
      </w:pPr>
      <w:r w:rsidRPr="00B17C75">
        <w:rPr>
          <w:szCs w:val="22"/>
        </w:rPr>
        <w:t xml:space="preserve">Schedule 1 item 5 of the </w:t>
      </w:r>
      <w:r w:rsidRPr="00B17C75">
        <w:rPr>
          <w:i/>
          <w:szCs w:val="22"/>
        </w:rPr>
        <w:t>National Capital Plan – Amendment 92 – Uncommitted Land Adjacent to the Australian National University</w:t>
      </w:r>
      <w:r w:rsidRPr="00B17C75">
        <w:rPr>
          <w:szCs w:val="22"/>
        </w:rPr>
        <w:t xml:space="preserve"> instructs to delete and replace “Figure 137 ‘Australian National University – Indicative Building Heights’”.</w:t>
      </w:r>
    </w:p>
    <w:p w:rsidR="00D17176" w:rsidRPr="00B17C75" w:rsidRDefault="00D17176" w:rsidP="00D17176">
      <w:pPr>
        <w:rPr>
          <w:szCs w:val="22"/>
        </w:rPr>
      </w:pPr>
    </w:p>
    <w:p w:rsidR="00D17176" w:rsidRPr="00B17C75" w:rsidRDefault="00D17176" w:rsidP="00D17176">
      <w:pPr>
        <w:rPr>
          <w:szCs w:val="22"/>
        </w:rPr>
      </w:pPr>
      <w:r>
        <w:rPr>
          <w:szCs w:val="22"/>
        </w:rPr>
        <w:t xml:space="preserve">There is no “Figure </w:t>
      </w:r>
      <w:r w:rsidRPr="00B17C75">
        <w:rPr>
          <w:szCs w:val="22"/>
        </w:rPr>
        <w:t>13</w:t>
      </w:r>
      <w:r>
        <w:rPr>
          <w:szCs w:val="22"/>
        </w:rPr>
        <w:t>7</w:t>
      </w:r>
      <w:r w:rsidRPr="00B17C75">
        <w:rPr>
          <w:szCs w:val="22"/>
        </w:rPr>
        <w:t xml:space="preserve"> ‘Australian National University – Indicative Building Heights’”</w:t>
      </w:r>
      <w:r>
        <w:rPr>
          <w:szCs w:val="22"/>
        </w:rPr>
        <w:t xml:space="preserve">. </w:t>
      </w:r>
      <w:r w:rsidRPr="00B17C75">
        <w:rPr>
          <w:szCs w:val="22"/>
        </w:rPr>
        <w:t xml:space="preserve">However, </w:t>
      </w:r>
      <w:r>
        <w:rPr>
          <w:szCs w:val="22"/>
        </w:rPr>
        <w:t>there is a “F</w:t>
      </w:r>
      <w:r w:rsidRPr="00B17C75">
        <w:rPr>
          <w:szCs w:val="22"/>
        </w:rPr>
        <w:t>igure 137 ‘</w:t>
      </w:r>
      <w:r w:rsidRPr="00000DE6">
        <w:rPr>
          <w:szCs w:val="22"/>
        </w:rPr>
        <w:t xml:space="preserve">Australian National University </w:t>
      </w:r>
      <w:r w:rsidRPr="00B17C75">
        <w:rPr>
          <w:szCs w:val="22"/>
        </w:rPr>
        <w:t>–</w:t>
      </w:r>
      <w:r w:rsidRPr="00000DE6">
        <w:rPr>
          <w:szCs w:val="22"/>
        </w:rPr>
        <w:t xml:space="preserve"> Indicative building heights</w:t>
      </w:r>
      <w:r w:rsidRPr="00B17C75">
        <w:rPr>
          <w:szCs w:val="22"/>
        </w:rPr>
        <w:t>’”.</w:t>
      </w:r>
    </w:p>
    <w:p w:rsidR="00D17176" w:rsidRPr="00B17C75" w:rsidRDefault="00D17176" w:rsidP="00D17176">
      <w:pPr>
        <w:rPr>
          <w:szCs w:val="22"/>
        </w:rPr>
      </w:pPr>
    </w:p>
    <w:p w:rsidR="00D17176" w:rsidRPr="00B17C75" w:rsidRDefault="00D17176" w:rsidP="00D17176">
      <w:pPr>
        <w:rPr>
          <w:szCs w:val="22"/>
        </w:rPr>
      </w:pPr>
      <w:r w:rsidRPr="00B17C75">
        <w:rPr>
          <w:szCs w:val="22"/>
        </w:rPr>
        <w:t xml:space="preserve">This compilation was editorially changed to delete and replace </w:t>
      </w:r>
      <w:r>
        <w:rPr>
          <w:szCs w:val="22"/>
        </w:rPr>
        <w:t>F</w:t>
      </w:r>
      <w:r w:rsidRPr="00B17C75">
        <w:rPr>
          <w:szCs w:val="22"/>
        </w:rPr>
        <w:t xml:space="preserve">igure 137 to give effect to the misdescribed </w:t>
      </w:r>
      <w:r w:rsidRPr="004F7312">
        <w:rPr>
          <w:szCs w:val="22"/>
        </w:rPr>
        <w:t>amendment</w:t>
      </w:r>
      <w:r w:rsidRPr="00B17C75">
        <w:rPr>
          <w:szCs w:val="22"/>
        </w:rPr>
        <w:t xml:space="preserve"> as intended.</w:t>
      </w:r>
    </w:p>
    <w:p w:rsidR="00D17176" w:rsidRPr="00000DE6" w:rsidRDefault="00D17176" w:rsidP="00D17176">
      <w:pPr>
        <w:rPr>
          <w:szCs w:val="22"/>
        </w:rPr>
      </w:pPr>
    </w:p>
    <w:p w:rsidR="00D17176" w:rsidRPr="005666C0" w:rsidRDefault="00D17176" w:rsidP="00D17176"/>
    <w:p w:rsidR="00D17176" w:rsidRPr="005666C0" w:rsidRDefault="00D17176" w:rsidP="00775CC1">
      <w:pPr>
        <w:keepNext/>
        <w:keepLines/>
        <w:rPr>
          <w:b/>
          <w:sz w:val="24"/>
        </w:rPr>
      </w:pPr>
      <w:r w:rsidRPr="005666C0">
        <w:rPr>
          <w:b/>
          <w:sz w:val="24"/>
        </w:rPr>
        <w:t xml:space="preserve">Section </w:t>
      </w:r>
      <w:r>
        <w:rPr>
          <w:b/>
          <w:sz w:val="24"/>
        </w:rPr>
        <w:t>4.17 (Figure 138)</w:t>
      </w:r>
    </w:p>
    <w:p w:rsidR="00D17176" w:rsidRPr="005666C0" w:rsidRDefault="00D17176" w:rsidP="00D17176"/>
    <w:p w:rsidR="00D17176" w:rsidRPr="005666C0" w:rsidRDefault="00D17176" w:rsidP="00D17176">
      <w:pPr>
        <w:rPr>
          <w:b/>
        </w:rPr>
      </w:pPr>
      <w:r w:rsidRPr="005666C0">
        <w:rPr>
          <w:b/>
        </w:rPr>
        <w:t>Kind of editorial change</w:t>
      </w:r>
    </w:p>
    <w:p w:rsidR="00D17176" w:rsidRPr="005666C0" w:rsidRDefault="00D17176" w:rsidP="00D17176"/>
    <w:p w:rsidR="00D17176" w:rsidRPr="005666C0" w:rsidRDefault="00D17176" w:rsidP="00D17176">
      <w:r>
        <w:t>Give effect to the misdescribed amendment as intended</w:t>
      </w:r>
    </w:p>
    <w:p w:rsidR="00D17176" w:rsidRPr="005666C0" w:rsidRDefault="00D17176" w:rsidP="00D17176"/>
    <w:p w:rsidR="00D17176" w:rsidRPr="005666C0" w:rsidRDefault="00D17176" w:rsidP="00D17176">
      <w:pPr>
        <w:rPr>
          <w:b/>
        </w:rPr>
      </w:pPr>
      <w:r w:rsidRPr="005666C0">
        <w:rPr>
          <w:b/>
        </w:rPr>
        <w:t>Details of editorial change</w:t>
      </w:r>
    </w:p>
    <w:p w:rsidR="00D17176" w:rsidRPr="005666C0" w:rsidRDefault="00D17176" w:rsidP="00D17176"/>
    <w:p w:rsidR="00D17176" w:rsidRPr="00B17C75" w:rsidRDefault="00D17176" w:rsidP="00D17176">
      <w:pPr>
        <w:rPr>
          <w:szCs w:val="22"/>
        </w:rPr>
      </w:pPr>
      <w:r w:rsidRPr="00B17C75">
        <w:rPr>
          <w:szCs w:val="22"/>
        </w:rPr>
        <w:t xml:space="preserve">Schedule 1 item 6 of the </w:t>
      </w:r>
      <w:r w:rsidRPr="00B17C75">
        <w:rPr>
          <w:i/>
          <w:szCs w:val="22"/>
        </w:rPr>
        <w:t>National Capital Plan – Amendment 92 – Uncommitted Land Adjacent to the Australian National University</w:t>
      </w:r>
      <w:r w:rsidRPr="00B17C75">
        <w:rPr>
          <w:szCs w:val="22"/>
        </w:rPr>
        <w:t xml:space="preserve"> instructs to delete and replace “Figure 138 ‘Australian National University – </w:t>
      </w:r>
      <w:r w:rsidRPr="00B17C75">
        <w:rPr>
          <w:iCs/>
          <w:szCs w:val="22"/>
        </w:rPr>
        <w:t>Heritage Items</w:t>
      </w:r>
      <w:r w:rsidRPr="00B17C75">
        <w:rPr>
          <w:szCs w:val="22"/>
        </w:rPr>
        <w:t>’”.</w:t>
      </w:r>
    </w:p>
    <w:p w:rsidR="00D17176" w:rsidRPr="00B17C75" w:rsidRDefault="00D17176" w:rsidP="00D17176">
      <w:pPr>
        <w:rPr>
          <w:szCs w:val="22"/>
        </w:rPr>
      </w:pPr>
    </w:p>
    <w:p w:rsidR="00D17176" w:rsidRPr="00B17C75" w:rsidRDefault="00D17176" w:rsidP="00D17176">
      <w:pPr>
        <w:rPr>
          <w:szCs w:val="22"/>
        </w:rPr>
      </w:pPr>
      <w:r>
        <w:rPr>
          <w:szCs w:val="22"/>
        </w:rPr>
        <w:t xml:space="preserve">There is no “Figure </w:t>
      </w:r>
      <w:r w:rsidRPr="00B17C75">
        <w:rPr>
          <w:szCs w:val="22"/>
        </w:rPr>
        <w:t>13</w:t>
      </w:r>
      <w:r>
        <w:rPr>
          <w:szCs w:val="22"/>
        </w:rPr>
        <w:t>8</w:t>
      </w:r>
      <w:r w:rsidRPr="00B17C75">
        <w:rPr>
          <w:szCs w:val="22"/>
        </w:rPr>
        <w:t xml:space="preserve"> ‘Australian National University – </w:t>
      </w:r>
      <w:r w:rsidRPr="00B17C75">
        <w:rPr>
          <w:iCs/>
          <w:szCs w:val="22"/>
        </w:rPr>
        <w:t>Heritage Items</w:t>
      </w:r>
      <w:r w:rsidRPr="00B17C75">
        <w:rPr>
          <w:szCs w:val="22"/>
        </w:rPr>
        <w:t>’”</w:t>
      </w:r>
      <w:r>
        <w:rPr>
          <w:szCs w:val="22"/>
        </w:rPr>
        <w:t xml:space="preserve">. </w:t>
      </w:r>
      <w:r w:rsidRPr="00B17C75">
        <w:rPr>
          <w:szCs w:val="22"/>
        </w:rPr>
        <w:t xml:space="preserve">However, </w:t>
      </w:r>
      <w:r>
        <w:rPr>
          <w:szCs w:val="22"/>
        </w:rPr>
        <w:t>there is a “F</w:t>
      </w:r>
      <w:r w:rsidRPr="00B17C75">
        <w:rPr>
          <w:szCs w:val="22"/>
        </w:rPr>
        <w:t>igure 13</w:t>
      </w:r>
      <w:r>
        <w:rPr>
          <w:szCs w:val="22"/>
        </w:rPr>
        <w:t>8</w:t>
      </w:r>
      <w:r w:rsidRPr="00B17C75">
        <w:rPr>
          <w:szCs w:val="22"/>
        </w:rPr>
        <w:t xml:space="preserve"> ‘</w:t>
      </w:r>
      <w:r w:rsidRPr="003F631E">
        <w:rPr>
          <w:szCs w:val="22"/>
        </w:rPr>
        <w:t>Australian National Univers</w:t>
      </w:r>
      <w:r>
        <w:rPr>
          <w:szCs w:val="22"/>
        </w:rPr>
        <w:t xml:space="preserve">ity </w:t>
      </w:r>
      <w:r w:rsidRPr="00B17C75">
        <w:rPr>
          <w:szCs w:val="22"/>
        </w:rPr>
        <w:t>–</w:t>
      </w:r>
      <w:r>
        <w:rPr>
          <w:szCs w:val="22"/>
        </w:rPr>
        <w:t xml:space="preserve"> Heritage items</w:t>
      </w:r>
      <w:r w:rsidRPr="00B17C75">
        <w:rPr>
          <w:szCs w:val="22"/>
        </w:rPr>
        <w:t>’”</w:t>
      </w:r>
      <w:r>
        <w:rPr>
          <w:szCs w:val="22"/>
        </w:rPr>
        <w:t>.</w:t>
      </w:r>
    </w:p>
    <w:p w:rsidR="00D17176" w:rsidRPr="00B17C75" w:rsidRDefault="00D17176" w:rsidP="00D17176">
      <w:pPr>
        <w:rPr>
          <w:szCs w:val="22"/>
        </w:rPr>
      </w:pPr>
    </w:p>
    <w:p w:rsidR="00D17176" w:rsidRPr="00B17C75" w:rsidRDefault="00D17176" w:rsidP="00D17176">
      <w:pPr>
        <w:rPr>
          <w:szCs w:val="22"/>
        </w:rPr>
      </w:pPr>
      <w:r w:rsidRPr="00B17C75">
        <w:rPr>
          <w:szCs w:val="22"/>
        </w:rPr>
        <w:t xml:space="preserve">This compilation was editorially changed to delete and replace </w:t>
      </w:r>
      <w:r>
        <w:rPr>
          <w:szCs w:val="22"/>
        </w:rPr>
        <w:t>F</w:t>
      </w:r>
      <w:r w:rsidRPr="00B17C75">
        <w:rPr>
          <w:szCs w:val="22"/>
        </w:rPr>
        <w:t>igure 138 to give effect to the misdescribed amendment as intended.</w:t>
      </w:r>
    </w:p>
    <w:p w:rsidR="002810D0" w:rsidRDefault="002810D0" w:rsidP="00B20524">
      <w:pPr>
        <w:pStyle w:val="Head2"/>
        <w:keepLines/>
      </w:pPr>
      <w:r>
        <w:lastRenderedPageBreak/>
        <w:t>Private Health Insurance (Prostheses) Rules (No. 4) 2019, Compilation No. 1,</w:t>
      </w:r>
      <w:r w:rsidRPr="003342C4">
        <w:t xml:space="preserve"> Registration Date:</w:t>
      </w:r>
      <w:r>
        <w:t xml:space="preserve"> 12 February 2020 [</w:t>
      </w:r>
      <w:r>
        <w:rPr>
          <w:bCs/>
        </w:rPr>
        <w:t>F2020</w:t>
      </w:r>
      <w:r w:rsidRPr="005A1F2E">
        <w:rPr>
          <w:bCs/>
        </w:rPr>
        <w:t>C00</w:t>
      </w:r>
      <w:r>
        <w:rPr>
          <w:bCs/>
        </w:rPr>
        <w:t>120</w:t>
      </w:r>
      <w:r>
        <w:t>]</w:t>
      </w:r>
    </w:p>
    <w:p w:rsidR="002810D0" w:rsidRPr="00F2598C" w:rsidRDefault="002810D0" w:rsidP="00B20524">
      <w:pPr>
        <w:keepNext/>
        <w:keepLines/>
      </w:pPr>
    </w:p>
    <w:p w:rsidR="002810D0" w:rsidRDefault="002810D0" w:rsidP="00B20524">
      <w:pPr>
        <w:keepNext/>
        <w:keepLines/>
        <w:rPr>
          <w:b/>
          <w:sz w:val="24"/>
          <w:szCs w:val="24"/>
        </w:rPr>
      </w:pPr>
      <w:r w:rsidRPr="00A52C7F">
        <w:rPr>
          <w:b/>
          <w:sz w:val="24"/>
          <w:szCs w:val="24"/>
        </w:rPr>
        <w:t>Schedule 1, Part 1, Prostheses List – Part A, 02.01.06 – Ventilation Tube/Grommet (table item dealing with billing code MC269, column headed “Minimum Benefit”)</w:t>
      </w:r>
    </w:p>
    <w:p w:rsidR="002810D0" w:rsidRPr="003869CF" w:rsidRDefault="002810D0" w:rsidP="00B20524">
      <w:pPr>
        <w:keepNext/>
        <w:keepLines/>
        <w:rPr>
          <w:sz w:val="24"/>
          <w:szCs w:val="24"/>
        </w:rPr>
      </w:pPr>
    </w:p>
    <w:p w:rsidR="002810D0" w:rsidRDefault="002810D0" w:rsidP="002810D0">
      <w:pPr>
        <w:rPr>
          <w:b/>
          <w:sz w:val="24"/>
          <w:szCs w:val="24"/>
        </w:rPr>
      </w:pPr>
      <w:r w:rsidRPr="00A52C7F">
        <w:rPr>
          <w:b/>
          <w:sz w:val="24"/>
          <w:szCs w:val="24"/>
        </w:rPr>
        <w:t>Schedule 1, Part 1, Prostheses List – Part A, 02.01.06 – Ventilation Tube/Grommet (table item dealing with billing code MI077, column headed “Minimum Benefit”)</w:t>
      </w:r>
    </w:p>
    <w:p w:rsidR="002810D0" w:rsidRPr="003869CF" w:rsidRDefault="002810D0" w:rsidP="002810D0">
      <w:pPr>
        <w:rPr>
          <w:sz w:val="24"/>
          <w:szCs w:val="24"/>
        </w:rPr>
      </w:pPr>
    </w:p>
    <w:p w:rsidR="002810D0" w:rsidRDefault="002810D0" w:rsidP="002810D0">
      <w:pPr>
        <w:rPr>
          <w:b/>
          <w:sz w:val="24"/>
          <w:szCs w:val="24"/>
        </w:rPr>
      </w:pPr>
      <w:r w:rsidRPr="00A52C7F">
        <w:rPr>
          <w:b/>
          <w:sz w:val="24"/>
          <w:szCs w:val="24"/>
        </w:rPr>
        <w:t>Schedule 1, Part 1, Prostheses List – Part A, 08.11.02.01 – Antibacterial Envelope, No SubGroup (table item dealing with billing code MI195, column headed “Minimum Benefit”)</w:t>
      </w:r>
    </w:p>
    <w:p w:rsidR="002810D0" w:rsidRPr="003869CF" w:rsidRDefault="002810D0" w:rsidP="002810D0">
      <w:pPr>
        <w:rPr>
          <w:sz w:val="24"/>
          <w:szCs w:val="24"/>
        </w:rPr>
      </w:pPr>
    </w:p>
    <w:p w:rsidR="002810D0" w:rsidRDefault="002810D0" w:rsidP="002810D0">
      <w:pPr>
        <w:rPr>
          <w:b/>
          <w:sz w:val="24"/>
          <w:szCs w:val="24"/>
        </w:rPr>
      </w:pPr>
      <w:r w:rsidRPr="00A52C7F">
        <w:rPr>
          <w:b/>
          <w:sz w:val="24"/>
          <w:szCs w:val="24"/>
        </w:rPr>
        <w:t>Schedule 1, Part 3, Prostheses List – Part C</w:t>
      </w:r>
    </w:p>
    <w:p w:rsidR="002810D0" w:rsidRPr="003869CF" w:rsidRDefault="002810D0" w:rsidP="002810D0"/>
    <w:p w:rsidR="002810D0" w:rsidRPr="004549F1" w:rsidRDefault="002810D0" w:rsidP="002810D0">
      <w:pPr>
        <w:rPr>
          <w:b/>
        </w:rPr>
      </w:pPr>
      <w:r w:rsidRPr="004549F1">
        <w:rPr>
          <w:b/>
        </w:rPr>
        <w:t>Kind of editorial change</w:t>
      </w:r>
    </w:p>
    <w:p w:rsidR="002810D0" w:rsidRDefault="002810D0" w:rsidP="002810D0"/>
    <w:p w:rsidR="002810D0" w:rsidRDefault="002810D0" w:rsidP="002810D0">
      <w:r>
        <w:t>Give effect to the misdescribed amendments as intended</w:t>
      </w:r>
    </w:p>
    <w:p w:rsidR="002810D0" w:rsidRPr="004549F1" w:rsidRDefault="002810D0" w:rsidP="002810D0"/>
    <w:p w:rsidR="002810D0" w:rsidRPr="004549F1" w:rsidRDefault="002810D0" w:rsidP="002810D0">
      <w:pPr>
        <w:rPr>
          <w:b/>
        </w:rPr>
      </w:pPr>
      <w:r w:rsidRPr="004549F1">
        <w:rPr>
          <w:b/>
        </w:rPr>
        <w:t>Details of editorial change</w:t>
      </w:r>
    </w:p>
    <w:p w:rsidR="002810D0" w:rsidRPr="003869CF" w:rsidRDefault="002810D0" w:rsidP="002810D0"/>
    <w:p w:rsidR="002810D0" w:rsidRDefault="002810D0" w:rsidP="002810D0">
      <w:r>
        <w:t xml:space="preserve">Schedule 1 items 1 to 4 of the </w:t>
      </w:r>
      <w:r w:rsidRPr="00E81DFB">
        <w:rPr>
          <w:i/>
        </w:rPr>
        <w:t>Private Health Insurance (Prostheses) Amendment Rules (No. 8) 2019</w:t>
      </w:r>
      <w:r>
        <w:t xml:space="preserve"> instruct to amend “Schedule 1”.</w:t>
      </w:r>
    </w:p>
    <w:p w:rsidR="002810D0" w:rsidRDefault="002810D0" w:rsidP="002810D0"/>
    <w:p w:rsidR="002810D0" w:rsidRDefault="002810D0" w:rsidP="002810D0">
      <w:r>
        <w:t>Schedule 1 does not appear. However, Schedule does appear.</w:t>
      </w:r>
    </w:p>
    <w:p w:rsidR="002810D0" w:rsidRDefault="002810D0" w:rsidP="002810D0"/>
    <w:p w:rsidR="002810D0" w:rsidRPr="004549F1" w:rsidRDefault="002810D0" w:rsidP="002810D0">
      <w:r>
        <w:t>This compilation was editorially changed to give effect to the misdescribed amendments as intended.</w:t>
      </w:r>
    </w:p>
    <w:p w:rsidR="00F966F7" w:rsidRDefault="00F966F7" w:rsidP="00775CC1">
      <w:pPr>
        <w:pStyle w:val="Head2"/>
        <w:keepLines/>
      </w:pPr>
      <w:r w:rsidRPr="00E81D8C">
        <w:t>Australian Communications and Media Authority Act 2005</w:t>
      </w:r>
      <w:r>
        <w:t>, Compilation No. 31,</w:t>
      </w:r>
      <w:r w:rsidRPr="003342C4">
        <w:t xml:space="preserve"> Registration Date:</w:t>
      </w:r>
      <w:r>
        <w:t xml:space="preserve"> 11 February 2020 [</w:t>
      </w:r>
      <w:r>
        <w:rPr>
          <w:bCs/>
        </w:rPr>
        <w:t>C2020</w:t>
      </w:r>
      <w:r w:rsidRPr="005A1F2E">
        <w:rPr>
          <w:bCs/>
        </w:rPr>
        <w:t>C00</w:t>
      </w:r>
      <w:r>
        <w:rPr>
          <w:bCs/>
        </w:rPr>
        <w:t>074</w:t>
      </w:r>
      <w:r>
        <w:t>]</w:t>
      </w:r>
    </w:p>
    <w:p w:rsidR="00F966F7" w:rsidRPr="00E81D8C" w:rsidRDefault="00F966F7" w:rsidP="00775CC1">
      <w:pPr>
        <w:keepNext/>
        <w:keepLines/>
      </w:pPr>
    </w:p>
    <w:p w:rsidR="00F966F7" w:rsidRPr="00E81D8C" w:rsidRDefault="00F966F7" w:rsidP="00F966F7">
      <w:pPr>
        <w:rPr>
          <w:b/>
          <w:sz w:val="24"/>
          <w:szCs w:val="24"/>
        </w:rPr>
      </w:pPr>
      <w:r w:rsidRPr="00E81D8C">
        <w:rPr>
          <w:b/>
          <w:sz w:val="24"/>
          <w:szCs w:val="24"/>
        </w:rPr>
        <w:t>Section</w:t>
      </w:r>
      <w:r>
        <w:rPr>
          <w:b/>
          <w:sz w:val="24"/>
          <w:szCs w:val="24"/>
        </w:rPr>
        <w:t> </w:t>
      </w:r>
      <w:r w:rsidRPr="00E81D8C">
        <w:rPr>
          <w:b/>
          <w:sz w:val="24"/>
          <w:szCs w:val="24"/>
        </w:rPr>
        <w:t>59KA</w:t>
      </w:r>
    </w:p>
    <w:p w:rsidR="00F966F7" w:rsidRPr="00E81D8C" w:rsidRDefault="00F966F7" w:rsidP="00F966F7"/>
    <w:p w:rsidR="00F966F7" w:rsidRPr="00E81D8C" w:rsidRDefault="00F966F7" w:rsidP="00F966F7">
      <w:pPr>
        <w:rPr>
          <w:b/>
        </w:rPr>
      </w:pPr>
      <w:r w:rsidRPr="00E81D8C">
        <w:rPr>
          <w:b/>
        </w:rPr>
        <w:t>Kind of editorial change</w:t>
      </w:r>
    </w:p>
    <w:p w:rsidR="00F966F7" w:rsidRPr="00E81D8C" w:rsidRDefault="00F966F7" w:rsidP="00F966F7"/>
    <w:p w:rsidR="00F966F7" w:rsidRPr="00E81D8C" w:rsidRDefault="00F966F7" w:rsidP="00F966F7">
      <w:r w:rsidRPr="00E81D8C">
        <w:t>Update to a reference of a law or a provision</w:t>
      </w:r>
    </w:p>
    <w:p w:rsidR="00F966F7" w:rsidRPr="00E81D8C" w:rsidRDefault="00F966F7" w:rsidP="00F966F7"/>
    <w:p w:rsidR="00F966F7" w:rsidRPr="00E81D8C" w:rsidRDefault="00F966F7" w:rsidP="00F966F7">
      <w:pPr>
        <w:rPr>
          <w:b/>
        </w:rPr>
      </w:pPr>
      <w:r w:rsidRPr="00E81D8C">
        <w:rPr>
          <w:b/>
        </w:rPr>
        <w:t>Details of editorial change</w:t>
      </w:r>
    </w:p>
    <w:p w:rsidR="00F966F7" w:rsidRPr="00E81D8C" w:rsidRDefault="00F966F7" w:rsidP="00F966F7"/>
    <w:p w:rsidR="00F966F7" w:rsidRPr="00E81D8C" w:rsidRDefault="00F966F7" w:rsidP="00F966F7">
      <w:r w:rsidRPr="00E81D8C">
        <w:t xml:space="preserve">This compilation was editorially changed to update a reference from </w:t>
      </w:r>
      <w:r w:rsidRPr="00E81D8C">
        <w:rPr>
          <w:i/>
        </w:rPr>
        <w:t>Interactive Gambling 2001</w:t>
      </w:r>
      <w:r w:rsidRPr="00E81D8C">
        <w:t xml:space="preserve"> to </w:t>
      </w:r>
      <w:r w:rsidRPr="00E81D8C">
        <w:rPr>
          <w:i/>
        </w:rPr>
        <w:t>Interactive Gambling Act 2001</w:t>
      </w:r>
      <w:r w:rsidRPr="00E81D8C">
        <w:t xml:space="preserve"> in section</w:t>
      </w:r>
      <w:r>
        <w:t> </w:t>
      </w:r>
      <w:r w:rsidRPr="00E81D8C">
        <w:t>59KA.</w:t>
      </w:r>
    </w:p>
    <w:p w:rsidR="000F06B0" w:rsidRDefault="000F06B0" w:rsidP="00145202">
      <w:pPr>
        <w:pStyle w:val="Head2"/>
        <w:keepLines/>
      </w:pPr>
      <w:bookmarkStart w:id="4" w:name="_Toc32227150"/>
      <w:r w:rsidRPr="0002238E">
        <w:lastRenderedPageBreak/>
        <w:t>Higher Education Provider Guidelines 2012</w:t>
      </w:r>
      <w:bookmarkEnd w:id="4"/>
      <w:r>
        <w:t>, Compilation No. 2,</w:t>
      </w:r>
      <w:r w:rsidRPr="003342C4">
        <w:t xml:space="preserve"> Registration Date:</w:t>
      </w:r>
      <w:r>
        <w:t xml:space="preserve"> 10 February 2020 [</w:t>
      </w:r>
      <w:r>
        <w:rPr>
          <w:bCs/>
        </w:rPr>
        <w:t>F2020</w:t>
      </w:r>
      <w:r w:rsidRPr="005A1F2E">
        <w:rPr>
          <w:bCs/>
        </w:rPr>
        <w:t>C00</w:t>
      </w:r>
      <w:r>
        <w:rPr>
          <w:bCs/>
        </w:rPr>
        <w:t>111</w:t>
      </w:r>
      <w:r>
        <w:t>]</w:t>
      </w:r>
    </w:p>
    <w:p w:rsidR="000F06B0" w:rsidRPr="003E607C" w:rsidRDefault="000F06B0" w:rsidP="00145202">
      <w:pPr>
        <w:keepNext/>
        <w:keepLines/>
      </w:pPr>
    </w:p>
    <w:p w:rsidR="000F06B0" w:rsidRPr="00AE4D81" w:rsidRDefault="000F06B0" w:rsidP="00145202">
      <w:pPr>
        <w:keepNext/>
        <w:keepLines/>
        <w:rPr>
          <w:b/>
          <w:sz w:val="24"/>
          <w:szCs w:val="24"/>
        </w:rPr>
      </w:pPr>
      <w:r w:rsidRPr="00AE4D81">
        <w:rPr>
          <w:b/>
          <w:sz w:val="24"/>
          <w:szCs w:val="24"/>
        </w:rPr>
        <w:t>Paragraph 1.1.1(a)</w:t>
      </w:r>
    </w:p>
    <w:p w:rsidR="000F06B0" w:rsidRPr="003E607C" w:rsidRDefault="000F06B0" w:rsidP="00145202">
      <w:pPr>
        <w:keepNext/>
        <w:keepLines/>
      </w:pPr>
    </w:p>
    <w:p w:rsidR="000F06B0" w:rsidRPr="003E607C" w:rsidRDefault="000F06B0" w:rsidP="00145202">
      <w:pPr>
        <w:keepNext/>
        <w:keepLines/>
        <w:rPr>
          <w:b/>
        </w:rPr>
      </w:pPr>
      <w:r w:rsidRPr="003E607C">
        <w:rPr>
          <w:b/>
        </w:rPr>
        <w:t>Kind of editorial change</w:t>
      </w:r>
    </w:p>
    <w:p w:rsidR="000F06B0" w:rsidRPr="003E607C" w:rsidRDefault="000F06B0" w:rsidP="000F06B0"/>
    <w:p w:rsidR="000F06B0" w:rsidRPr="003E607C" w:rsidRDefault="000F06B0" w:rsidP="000F06B0">
      <w:r w:rsidRPr="003E607C">
        <w:t>Change to punctuation</w:t>
      </w:r>
    </w:p>
    <w:p w:rsidR="000F06B0" w:rsidRPr="003E607C" w:rsidRDefault="000F06B0" w:rsidP="000F06B0"/>
    <w:p w:rsidR="000F06B0" w:rsidRPr="003E607C" w:rsidRDefault="000F06B0" w:rsidP="000F06B0">
      <w:pPr>
        <w:rPr>
          <w:b/>
        </w:rPr>
      </w:pPr>
      <w:r w:rsidRPr="003E607C">
        <w:rPr>
          <w:b/>
        </w:rPr>
        <w:t>Details of editorial change</w:t>
      </w:r>
    </w:p>
    <w:p w:rsidR="000F06B0" w:rsidRPr="003E607C" w:rsidRDefault="000F06B0" w:rsidP="000F06B0"/>
    <w:p w:rsidR="000F06B0" w:rsidRPr="003E607C" w:rsidRDefault="000F06B0" w:rsidP="000F06B0">
      <w:r w:rsidRPr="003E607C">
        <w:t xml:space="preserve">Schedule 1 item 1 of the </w:t>
      </w:r>
      <w:r w:rsidRPr="003E607C">
        <w:rPr>
          <w:i/>
          <w:noProof/>
        </w:rPr>
        <w:t>Higher Education Provider Amendment (Tuition Protection and Other Measures) Guidelines 2019</w:t>
      </w:r>
      <w:r w:rsidRPr="003E607C">
        <w:t xml:space="preserve"> provides as follows:</w:t>
      </w:r>
    </w:p>
    <w:p w:rsidR="000F06B0" w:rsidRDefault="000F06B0" w:rsidP="000F06B0">
      <w:pPr>
        <w:pStyle w:val="ItemHead"/>
      </w:pPr>
      <w:r w:rsidRPr="002C1BA6">
        <w:t xml:space="preserve">1  </w:t>
      </w:r>
      <w:r>
        <w:t>After p</w:t>
      </w:r>
      <w:r w:rsidRPr="002C1BA6">
        <w:t>aragraph 1.1.1</w:t>
      </w:r>
      <w:r>
        <w:t>(a)</w:t>
      </w:r>
    </w:p>
    <w:p w:rsidR="000F06B0" w:rsidRPr="00EE207E" w:rsidRDefault="000F06B0" w:rsidP="000F06B0">
      <w:pPr>
        <w:pStyle w:val="Item"/>
      </w:pPr>
      <w:r>
        <w:t>Insert:</w:t>
      </w:r>
    </w:p>
    <w:p w:rsidR="000F06B0" w:rsidRPr="00EE207E" w:rsidRDefault="000F06B0" w:rsidP="000F06B0">
      <w:pPr>
        <w:ind w:left="1701" w:hanging="567"/>
        <w:rPr>
          <w:lang w:eastAsia="en-AU"/>
        </w:rPr>
      </w:pPr>
      <w:r w:rsidRPr="00EE207E">
        <w:rPr>
          <w:lang w:eastAsia="en-AU"/>
        </w:rPr>
        <w:t>; (aa)</w:t>
      </w:r>
      <w:r w:rsidRPr="00EE207E">
        <w:rPr>
          <w:lang w:eastAsia="en-AU"/>
        </w:rPr>
        <w:tab/>
        <w:t>set out the application fee for a body corporate’s application to be approved as a higher education provider;</w:t>
      </w:r>
    </w:p>
    <w:p w:rsidR="000F06B0" w:rsidRDefault="000F06B0" w:rsidP="000F06B0"/>
    <w:p w:rsidR="000F06B0" w:rsidRDefault="000F06B0" w:rsidP="000F06B0">
      <w:r w:rsidRPr="00812A5B">
        <w:t xml:space="preserve">This action </w:t>
      </w:r>
      <w:r>
        <w:t>results in</w:t>
      </w:r>
      <w:r w:rsidRPr="00812A5B">
        <w:t xml:space="preserve"> two </w:t>
      </w:r>
      <w:r>
        <w:t>semicolons</w:t>
      </w:r>
      <w:r w:rsidRPr="00812A5B">
        <w:t xml:space="preserve"> at the end of paragraph </w:t>
      </w:r>
      <w:r>
        <w:t>1</w:t>
      </w:r>
      <w:r w:rsidRPr="00812A5B">
        <w:t>.</w:t>
      </w:r>
      <w:r>
        <w:t>1.1</w:t>
      </w:r>
      <w:r w:rsidRPr="00812A5B">
        <w:t>(</w:t>
      </w:r>
      <w:r>
        <w:t>a</w:t>
      </w:r>
      <w:r w:rsidRPr="00812A5B">
        <w:t>).</w:t>
      </w:r>
    </w:p>
    <w:p w:rsidR="000F06B0" w:rsidRPr="003E607C" w:rsidRDefault="000F06B0" w:rsidP="000F06B0"/>
    <w:p w:rsidR="000F06B0" w:rsidRPr="003E607C" w:rsidRDefault="000F06B0" w:rsidP="000F06B0">
      <w:r w:rsidRPr="00812A5B">
        <w:t xml:space="preserve">This compilation was editorially changed to remove the </w:t>
      </w:r>
      <w:r>
        <w:t>extra semicolon</w:t>
      </w:r>
      <w:r w:rsidRPr="00812A5B">
        <w:t xml:space="preserve"> at the end of paragraph</w:t>
      </w:r>
      <w:r>
        <w:t> 1</w:t>
      </w:r>
      <w:r w:rsidRPr="00812A5B">
        <w:t>.</w:t>
      </w:r>
      <w:r>
        <w:t>1.1</w:t>
      </w:r>
      <w:r w:rsidRPr="00812A5B">
        <w:t>(</w:t>
      </w:r>
      <w:r>
        <w:t>a</w:t>
      </w:r>
      <w:r w:rsidRPr="00812A5B">
        <w:t>) to bring it into line with legislative drafting practice.</w:t>
      </w:r>
    </w:p>
    <w:p w:rsidR="00E73FEE" w:rsidRDefault="00E73FEE" w:rsidP="00CE3639">
      <w:pPr>
        <w:pStyle w:val="Head2"/>
        <w:keepLines/>
      </w:pPr>
      <w:r w:rsidRPr="0061371D">
        <w:t>National Health (Price and Special Patient Contribution) Determination</w:t>
      </w:r>
      <w:r>
        <w:t> </w:t>
      </w:r>
      <w:r w:rsidRPr="0061371D">
        <w:t>2010 (PB 109 of 2010)</w:t>
      </w:r>
      <w:r>
        <w:t>, Compilation No. 83,</w:t>
      </w:r>
      <w:r w:rsidRPr="003342C4">
        <w:t xml:space="preserve"> Registration Date:</w:t>
      </w:r>
      <w:r>
        <w:t xml:space="preserve"> 10 February 2020 [</w:t>
      </w:r>
      <w:r>
        <w:rPr>
          <w:bCs/>
        </w:rPr>
        <w:t>F2020</w:t>
      </w:r>
      <w:r w:rsidRPr="005A1F2E">
        <w:rPr>
          <w:bCs/>
        </w:rPr>
        <w:t>C00</w:t>
      </w:r>
      <w:r>
        <w:rPr>
          <w:bCs/>
        </w:rPr>
        <w:t>114</w:t>
      </w:r>
      <w:r>
        <w:t>]</w:t>
      </w:r>
    </w:p>
    <w:p w:rsidR="00E73FEE" w:rsidRPr="00F2598C" w:rsidRDefault="00E73FEE" w:rsidP="00CE3639">
      <w:pPr>
        <w:keepNext/>
        <w:keepLines/>
      </w:pPr>
    </w:p>
    <w:p w:rsidR="00E73FEE" w:rsidRPr="001A77C6" w:rsidRDefault="00E73FEE" w:rsidP="00CE3639">
      <w:pPr>
        <w:keepNext/>
        <w:keepLines/>
        <w:rPr>
          <w:b/>
          <w:sz w:val="24"/>
          <w:szCs w:val="24"/>
        </w:rPr>
      </w:pPr>
      <w:r w:rsidRPr="001A77C6">
        <w:rPr>
          <w:b/>
          <w:sz w:val="24"/>
          <w:szCs w:val="24"/>
        </w:rPr>
        <w:t>Schedule 1, entry for Levonorgestrel wi</w:t>
      </w:r>
      <w:r>
        <w:rPr>
          <w:b/>
          <w:sz w:val="24"/>
          <w:szCs w:val="24"/>
        </w:rPr>
        <w:t>t</w:t>
      </w:r>
      <w:r w:rsidRPr="001A77C6">
        <w:rPr>
          <w:b/>
          <w:sz w:val="24"/>
          <w:szCs w:val="24"/>
        </w:rPr>
        <w:t>h Ethinylestradiol in the form Pack containing 21 tablets 150 micrograms</w:t>
      </w:r>
      <w:r w:rsidRPr="001A77C6">
        <w:rPr>
          <w:b/>
          <w:sz w:val="24"/>
          <w:szCs w:val="24"/>
        </w:rPr>
        <w:noBreakHyphen/>
        <w:t>30 micrograms and 7 inert tablets [Brand: Levlen ED]</w:t>
      </w:r>
    </w:p>
    <w:p w:rsidR="00E73FEE" w:rsidRPr="00CF0313" w:rsidRDefault="00E73FEE" w:rsidP="00CE3639">
      <w:pPr>
        <w:keepNext/>
        <w:keepLines/>
      </w:pPr>
    </w:p>
    <w:p w:rsidR="00E73FEE" w:rsidRPr="004549F1" w:rsidRDefault="00E73FEE" w:rsidP="00CE3639">
      <w:pPr>
        <w:keepNext/>
        <w:keepLines/>
        <w:rPr>
          <w:b/>
        </w:rPr>
      </w:pPr>
      <w:r w:rsidRPr="004549F1">
        <w:rPr>
          <w:b/>
        </w:rPr>
        <w:t>Kind of editorial change</w:t>
      </w:r>
    </w:p>
    <w:p w:rsidR="00E73FEE" w:rsidRDefault="00E73FEE" w:rsidP="00CE3639">
      <w:pPr>
        <w:keepNext/>
        <w:keepLines/>
      </w:pPr>
    </w:p>
    <w:p w:rsidR="00E73FEE" w:rsidRDefault="00E73FEE" w:rsidP="00E73FEE">
      <w:r>
        <w:t>Give effect to the misdescribed amendment as intended</w:t>
      </w:r>
    </w:p>
    <w:p w:rsidR="00E73FEE" w:rsidRPr="004549F1" w:rsidRDefault="00E73FEE" w:rsidP="00E73FEE"/>
    <w:p w:rsidR="00E73FEE" w:rsidRPr="004549F1" w:rsidRDefault="00E73FEE" w:rsidP="00E73FEE">
      <w:pPr>
        <w:rPr>
          <w:b/>
        </w:rPr>
      </w:pPr>
      <w:r w:rsidRPr="004549F1">
        <w:rPr>
          <w:b/>
        </w:rPr>
        <w:t>Details of editorial change</w:t>
      </w:r>
    </w:p>
    <w:p w:rsidR="00E73FEE" w:rsidRDefault="00E73FEE" w:rsidP="00E73FEE"/>
    <w:p w:rsidR="00E73FEE" w:rsidRDefault="00E73FEE" w:rsidP="00E73FEE">
      <w:r>
        <w:t xml:space="preserve">Schedule 1 item 7 of the </w:t>
      </w:r>
      <w:r w:rsidRPr="001A77C6">
        <w:rPr>
          <w:i/>
        </w:rPr>
        <w:t>National Health (Price and Special Patient Contribution) Amendment Determination 2020 (No. 1)</w:t>
      </w:r>
      <w:r w:rsidRPr="001A77C6">
        <w:t xml:space="preserve"> </w:t>
      </w:r>
      <w:r>
        <w:t>(PB 10 of 2020) provides as follows:</w:t>
      </w:r>
    </w:p>
    <w:p w:rsidR="00E73FEE" w:rsidRDefault="00E73FEE" w:rsidP="00E73FEE"/>
    <w:p w:rsidR="00E73FEE" w:rsidRPr="00C903E4" w:rsidRDefault="00E73FEE" w:rsidP="00E73FEE">
      <w:pPr>
        <w:spacing w:before="60" w:after="60"/>
        <w:ind w:left="360" w:hanging="360"/>
      </w:pPr>
      <w:r w:rsidRPr="00C903E4">
        <w:rPr>
          <w:rFonts w:ascii="Arial" w:hAnsi="Arial" w:cs="Arial"/>
          <w:b/>
          <w:sz w:val="20"/>
        </w:rPr>
        <w:t>[7]</w:t>
      </w:r>
      <w:r w:rsidRPr="00C903E4">
        <w:rPr>
          <w:rFonts w:ascii="Arial" w:hAnsi="Arial" w:cs="Arial"/>
          <w:b/>
          <w:sz w:val="20"/>
        </w:rPr>
        <w:tab/>
      </w:r>
      <w:r w:rsidRPr="002E0273">
        <w:rPr>
          <w:rFonts w:ascii="Arial" w:hAnsi="Arial" w:cs="Arial"/>
          <w:b/>
        </w:rPr>
        <w:t>Schedule 1, entry for Levonorgestrel wih Ethinylestradiol in the form Pack containing 21 tablets 150 micrograms</w:t>
      </w:r>
      <w:r w:rsidRPr="002E0273">
        <w:rPr>
          <w:rFonts w:ascii="Arial" w:hAnsi="Arial" w:cs="Arial"/>
          <w:b/>
        </w:rPr>
        <w:noBreakHyphen/>
        <w:t xml:space="preserve">30 micrograms and 7 inert tablets </w:t>
      </w:r>
      <w:r w:rsidRPr="002E0273">
        <w:rPr>
          <w:rFonts w:ascii="Arial" w:hAnsi="Arial" w:cs="Arial"/>
          <w:b/>
          <w:i/>
        </w:rPr>
        <w:t>[Brand: Levlen ED]</w:t>
      </w:r>
    </w:p>
    <w:p w:rsidR="00E73FEE" w:rsidRPr="00CF0313" w:rsidRDefault="00E73FEE" w:rsidP="00E73FEE">
      <w:pPr>
        <w:spacing w:before="60" w:after="60" w:line="276" w:lineRule="auto"/>
        <w:ind w:firstLine="567"/>
        <w:rPr>
          <w:rFonts w:ascii="Arial" w:hAnsi="Arial" w:cs="Arial"/>
          <w:sz w:val="18"/>
          <w:szCs w:val="18"/>
        </w:rPr>
      </w:pPr>
      <w:r w:rsidRPr="00606762">
        <w:rPr>
          <w:i/>
          <w:sz w:val="18"/>
          <w:szCs w:val="18"/>
        </w:rPr>
        <w:t>omit from the column headed “Claimed Price”:</w:t>
      </w:r>
      <w:r w:rsidRPr="00606762">
        <w:rPr>
          <w:i/>
          <w:sz w:val="18"/>
          <w:szCs w:val="18"/>
        </w:rPr>
        <w:tab/>
      </w:r>
      <w:r w:rsidRPr="00606762">
        <w:rPr>
          <w:i/>
          <w:sz w:val="18"/>
          <w:szCs w:val="18"/>
        </w:rPr>
        <w:tab/>
      </w:r>
      <w:r>
        <w:rPr>
          <w:rFonts w:ascii="Arial" w:hAnsi="Arial" w:cs="Arial"/>
          <w:b/>
          <w:sz w:val="18"/>
          <w:szCs w:val="18"/>
        </w:rPr>
        <w:t>8.94</w:t>
      </w:r>
      <w:r w:rsidRPr="00606762">
        <w:rPr>
          <w:i/>
          <w:sz w:val="18"/>
          <w:szCs w:val="18"/>
        </w:rPr>
        <w:tab/>
        <w:t>substitute:</w:t>
      </w:r>
      <w:r w:rsidRPr="00606762">
        <w:rPr>
          <w:i/>
          <w:sz w:val="18"/>
          <w:szCs w:val="18"/>
        </w:rPr>
        <w:tab/>
      </w:r>
      <w:r>
        <w:rPr>
          <w:rFonts w:ascii="Arial" w:hAnsi="Arial" w:cs="Arial"/>
          <w:b/>
          <w:sz w:val="18"/>
          <w:szCs w:val="18"/>
        </w:rPr>
        <w:t>9.37</w:t>
      </w:r>
    </w:p>
    <w:p w:rsidR="00E73FEE" w:rsidRDefault="00E73FEE" w:rsidP="00E73FEE"/>
    <w:p w:rsidR="00E73FEE" w:rsidRDefault="00E73FEE" w:rsidP="00E73FEE">
      <w:r>
        <w:t>There is no entry in Schedule 1</w:t>
      </w:r>
      <w:r w:rsidRPr="00C148AE">
        <w:t xml:space="preserve"> for </w:t>
      </w:r>
      <w:r>
        <w:t>“</w:t>
      </w:r>
      <w:r w:rsidRPr="00C148AE">
        <w:t>Levonorgestrel wih Ethinylestradiol</w:t>
      </w:r>
      <w:r>
        <w:t>”. However, there is an entry for “</w:t>
      </w:r>
      <w:r w:rsidRPr="00C148AE">
        <w:t>Levonorgestrel wi</w:t>
      </w:r>
      <w:r>
        <w:t>t</w:t>
      </w:r>
      <w:r w:rsidRPr="00C148AE">
        <w:t>h Ethinylestradiol</w:t>
      </w:r>
      <w:r>
        <w:t>”.</w:t>
      </w:r>
    </w:p>
    <w:p w:rsidR="00E73FEE" w:rsidRDefault="00E73FEE" w:rsidP="00E73FEE"/>
    <w:p w:rsidR="00E73FEE" w:rsidRDefault="00E73FEE" w:rsidP="00E73FEE">
      <w:r w:rsidRPr="001A77C6">
        <w:t xml:space="preserve">This compilation was editorially changed to omit “8.94” from the column headed “Claimed Price” and substitute “9.37” in the entry for </w:t>
      </w:r>
      <w:r w:rsidRPr="00C148AE">
        <w:t>Levonorgestrel wi</w:t>
      </w:r>
      <w:r>
        <w:t>t</w:t>
      </w:r>
      <w:r w:rsidRPr="00C148AE">
        <w:t xml:space="preserve">h Ethinylestradiol in the form Pack containing </w:t>
      </w:r>
      <w:r w:rsidRPr="00C148AE">
        <w:lastRenderedPageBreak/>
        <w:t>21 tablets 150 micrograms</w:t>
      </w:r>
      <w:r w:rsidRPr="001A77C6">
        <w:rPr>
          <w:szCs w:val="22"/>
        </w:rPr>
        <w:noBreakHyphen/>
      </w:r>
      <w:r w:rsidRPr="00C148AE">
        <w:t>30 micrograms and 7 inert tablets [Brand: Levlen ED]</w:t>
      </w:r>
      <w:r w:rsidRPr="001A77C6">
        <w:t xml:space="preserve"> in Schedule 1 to give effect to the misdescribed amendment as intended.</w:t>
      </w:r>
    </w:p>
    <w:p w:rsidR="00A65B56" w:rsidRDefault="00A65B56" w:rsidP="00A65B56">
      <w:pPr>
        <w:pStyle w:val="Head2"/>
        <w:keepLines/>
      </w:pPr>
      <w:r w:rsidRPr="005F59ED">
        <w:t>National Disability Insurance Scheme (Approved Quality Auditors Scheme) Guidelines</w:t>
      </w:r>
      <w:r>
        <w:t> </w:t>
      </w:r>
      <w:r w:rsidRPr="005F59ED">
        <w:t>2018</w:t>
      </w:r>
      <w:r>
        <w:t>, Compilation No. 2,</w:t>
      </w:r>
      <w:r w:rsidRPr="003342C4">
        <w:t xml:space="preserve"> Registration Date:</w:t>
      </w:r>
      <w:r>
        <w:t xml:space="preserve"> 5 February 2020 [</w:t>
      </w:r>
      <w:r>
        <w:rPr>
          <w:bCs/>
        </w:rPr>
        <w:t>F2020</w:t>
      </w:r>
      <w:r w:rsidRPr="005A1F2E">
        <w:rPr>
          <w:bCs/>
        </w:rPr>
        <w:t>C00</w:t>
      </w:r>
      <w:r>
        <w:rPr>
          <w:bCs/>
        </w:rPr>
        <w:t>100</w:t>
      </w:r>
      <w:r>
        <w:t>]</w:t>
      </w:r>
    </w:p>
    <w:p w:rsidR="004366F5" w:rsidRPr="00F2598C" w:rsidRDefault="004366F5" w:rsidP="004366F5"/>
    <w:p w:rsidR="004366F5" w:rsidRPr="004549F1" w:rsidRDefault="004366F5" w:rsidP="004366F5">
      <w:pPr>
        <w:rPr>
          <w:b/>
          <w:sz w:val="24"/>
          <w:szCs w:val="24"/>
        </w:rPr>
      </w:pPr>
      <w:r w:rsidRPr="001D74D1">
        <w:rPr>
          <w:b/>
          <w:sz w:val="24"/>
          <w:szCs w:val="24"/>
        </w:rPr>
        <w:t xml:space="preserve">Section 4 (definition of </w:t>
      </w:r>
      <w:r w:rsidRPr="001D74D1">
        <w:rPr>
          <w:b/>
          <w:i/>
          <w:sz w:val="24"/>
          <w:szCs w:val="24"/>
        </w:rPr>
        <w:t>IAF MD2</w:t>
      </w:r>
      <w:r w:rsidRPr="001D74D1">
        <w:rPr>
          <w:b/>
          <w:sz w:val="24"/>
          <w:szCs w:val="24"/>
        </w:rPr>
        <w:t>)</w:t>
      </w:r>
    </w:p>
    <w:p w:rsidR="004366F5" w:rsidRPr="003763A7" w:rsidRDefault="004366F5" w:rsidP="004366F5"/>
    <w:p w:rsidR="004366F5" w:rsidRPr="004549F1" w:rsidRDefault="004366F5" w:rsidP="004366F5">
      <w:pPr>
        <w:rPr>
          <w:b/>
        </w:rPr>
      </w:pPr>
      <w:r w:rsidRPr="004549F1">
        <w:rPr>
          <w:b/>
        </w:rPr>
        <w:t>Kind of editorial change</w:t>
      </w:r>
    </w:p>
    <w:p w:rsidR="004366F5" w:rsidRPr="004549F1" w:rsidRDefault="004366F5" w:rsidP="004366F5"/>
    <w:p w:rsidR="004366F5" w:rsidRPr="003763A7" w:rsidRDefault="004366F5" w:rsidP="004366F5">
      <w:r>
        <w:t>Correct a drafting error</w:t>
      </w:r>
    </w:p>
    <w:p w:rsidR="004366F5" w:rsidRPr="004549F1" w:rsidRDefault="004366F5" w:rsidP="004366F5"/>
    <w:p w:rsidR="004366F5" w:rsidRPr="004549F1" w:rsidRDefault="004366F5" w:rsidP="004366F5">
      <w:pPr>
        <w:rPr>
          <w:b/>
        </w:rPr>
      </w:pPr>
      <w:r w:rsidRPr="004549F1">
        <w:rPr>
          <w:b/>
        </w:rPr>
        <w:t>Details of editorial change</w:t>
      </w:r>
    </w:p>
    <w:p w:rsidR="004366F5" w:rsidRPr="003763A7" w:rsidRDefault="004366F5" w:rsidP="004366F5"/>
    <w:p w:rsidR="004366F5" w:rsidRDefault="004366F5" w:rsidP="004366F5">
      <w:r>
        <w:t xml:space="preserve">The definition of </w:t>
      </w:r>
      <w:r w:rsidRPr="001D74D1">
        <w:rPr>
          <w:b/>
          <w:i/>
          <w:szCs w:val="22"/>
        </w:rPr>
        <w:t>IAF MD2</w:t>
      </w:r>
      <w:r w:rsidRPr="001D74D1">
        <w:rPr>
          <w:szCs w:val="22"/>
        </w:rPr>
        <w:t xml:space="preserve"> </w:t>
      </w:r>
      <w:r>
        <w:t>rea</w:t>
      </w:r>
      <w:r w:rsidRPr="00667B65">
        <w:rPr>
          <w:szCs w:val="22"/>
        </w:rPr>
        <w:t>d</w:t>
      </w:r>
      <w:r>
        <w:rPr>
          <w:szCs w:val="22"/>
        </w:rPr>
        <w:t xml:space="preserve"> </w:t>
      </w:r>
      <w:r w:rsidRPr="003920EA">
        <w:rPr>
          <w:szCs w:val="22"/>
        </w:rPr>
        <w:t>a</w:t>
      </w:r>
      <w:r>
        <w:t>s follows:</w:t>
      </w:r>
    </w:p>
    <w:p w:rsidR="004366F5" w:rsidRDefault="004366F5" w:rsidP="004366F5"/>
    <w:p w:rsidR="004366F5" w:rsidRPr="005F59ED" w:rsidRDefault="004366F5" w:rsidP="004366F5">
      <w:pPr>
        <w:pStyle w:val="subsection"/>
      </w:pPr>
      <w:r w:rsidRPr="00002844">
        <w:tab/>
      </w:r>
      <w:r w:rsidRPr="00002844">
        <w:tab/>
      </w:r>
      <w:r w:rsidRPr="005F59ED">
        <w:rPr>
          <w:b/>
          <w:i/>
        </w:rPr>
        <w:t>IAF MD2</w:t>
      </w:r>
      <w:r w:rsidRPr="005F59ED">
        <w:t xml:space="preserve"> means the International Accreditation Forum Inc. Mandatory Document 2017 for the Transfer of Accredited Certification of Management Systems.</w:t>
      </w:r>
    </w:p>
    <w:p w:rsidR="004366F5" w:rsidRDefault="004366F5" w:rsidP="004366F5"/>
    <w:p w:rsidR="004366F5" w:rsidRDefault="004366F5" w:rsidP="004366F5">
      <w:r>
        <w:t xml:space="preserve">Schedule 1 item 3 of the </w:t>
      </w:r>
      <w:r w:rsidRPr="00C942F2">
        <w:rPr>
          <w:i/>
        </w:rPr>
        <w:t>National Disability Insurance Scheme (Approved Quality Auditors Scheme) Amendment Guidelines</w:t>
      </w:r>
      <w:r>
        <w:rPr>
          <w:i/>
        </w:rPr>
        <w:t xml:space="preserve"> No. 2 </w:t>
      </w:r>
      <w:r w:rsidRPr="00C942F2">
        <w:rPr>
          <w:i/>
        </w:rPr>
        <w:t>2019</w:t>
      </w:r>
      <w:r w:rsidRPr="003763A7">
        <w:t xml:space="preserve"> </w:t>
      </w:r>
      <w:r>
        <w:t>instructs to insert “</w:t>
      </w:r>
      <w:r w:rsidRPr="000D16CA">
        <w:t>current version of</w:t>
      </w:r>
      <w:r>
        <w:t>” after “means the”.</w:t>
      </w:r>
    </w:p>
    <w:p w:rsidR="004366F5" w:rsidRDefault="004366F5" w:rsidP="004366F5"/>
    <w:p w:rsidR="004366F5" w:rsidRDefault="004366F5" w:rsidP="004366F5">
      <w:r>
        <w:t>However, this action results in “</w:t>
      </w:r>
      <w:r w:rsidRPr="005F59ED">
        <w:t>International</w:t>
      </w:r>
      <w:r>
        <w:t xml:space="preserve"> </w:t>
      </w:r>
      <w:r w:rsidRPr="005F59ED">
        <w:t>Accreditation Forum Inc. Mandatory Document</w:t>
      </w:r>
      <w:r>
        <w:t>” losing its definite article.</w:t>
      </w:r>
    </w:p>
    <w:p w:rsidR="004366F5" w:rsidRDefault="004366F5" w:rsidP="004366F5"/>
    <w:p w:rsidR="004366F5" w:rsidRPr="001D74D1" w:rsidRDefault="004366F5" w:rsidP="004366F5">
      <w:pPr>
        <w:rPr>
          <w:szCs w:val="22"/>
        </w:rPr>
      </w:pPr>
      <w:r w:rsidRPr="003920EA">
        <w:rPr>
          <w:szCs w:val="22"/>
        </w:rPr>
        <w:t>This compilation was editorially changed to insert “</w:t>
      </w:r>
      <w:r w:rsidRPr="006B6905">
        <w:rPr>
          <w:szCs w:val="22"/>
        </w:rPr>
        <w:t>the</w:t>
      </w:r>
      <w:r w:rsidRPr="00D67B79">
        <w:rPr>
          <w:szCs w:val="22"/>
        </w:rPr>
        <w:t xml:space="preserve">” </w:t>
      </w:r>
      <w:r w:rsidRPr="000832A8">
        <w:rPr>
          <w:szCs w:val="22"/>
        </w:rPr>
        <w:t xml:space="preserve">before “International” </w:t>
      </w:r>
      <w:r w:rsidRPr="001D74D1">
        <w:rPr>
          <w:szCs w:val="22"/>
        </w:rPr>
        <w:t xml:space="preserve">in section 4 (definition of </w:t>
      </w:r>
      <w:r w:rsidRPr="001D74D1">
        <w:rPr>
          <w:b/>
          <w:i/>
          <w:szCs w:val="22"/>
        </w:rPr>
        <w:t>IAF MD2</w:t>
      </w:r>
      <w:r w:rsidRPr="001D74D1">
        <w:rPr>
          <w:szCs w:val="22"/>
        </w:rPr>
        <w:t xml:space="preserve">) </w:t>
      </w:r>
      <w:r w:rsidRPr="003920EA">
        <w:rPr>
          <w:szCs w:val="22"/>
        </w:rPr>
        <w:t>to</w:t>
      </w:r>
      <w:r w:rsidRPr="006B6905">
        <w:rPr>
          <w:szCs w:val="22"/>
        </w:rPr>
        <w:t xml:space="preserve"> </w:t>
      </w:r>
      <w:r w:rsidRPr="00D67B79">
        <w:rPr>
          <w:szCs w:val="22"/>
        </w:rPr>
        <w:t>corre</w:t>
      </w:r>
      <w:r w:rsidRPr="000832A8">
        <w:rPr>
          <w:szCs w:val="22"/>
        </w:rPr>
        <w:t xml:space="preserve">ct </w:t>
      </w:r>
      <w:r w:rsidRPr="001D74D1">
        <w:rPr>
          <w:szCs w:val="22"/>
        </w:rPr>
        <w:t>the drafting error.</w:t>
      </w:r>
    </w:p>
    <w:p w:rsidR="004366F5" w:rsidRDefault="004366F5" w:rsidP="004366F5"/>
    <w:p w:rsidR="004366F5" w:rsidRPr="001D74D1" w:rsidRDefault="004366F5" w:rsidP="004366F5">
      <w:pPr>
        <w:rPr>
          <w:szCs w:val="22"/>
        </w:rPr>
      </w:pPr>
    </w:p>
    <w:p w:rsidR="004366F5" w:rsidRPr="004549F1" w:rsidRDefault="004366F5" w:rsidP="004366F5">
      <w:pPr>
        <w:rPr>
          <w:b/>
          <w:sz w:val="24"/>
          <w:szCs w:val="24"/>
        </w:rPr>
      </w:pPr>
      <w:r>
        <w:rPr>
          <w:b/>
          <w:sz w:val="24"/>
          <w:szCs w:val="24"/>
        </w:rPr>
        <w:t>Subs</w:t>
      </w:r>
      <w:r w:rsidRPr="006465E7">
        <w:rPr>
          <w:b/>
          <w:sz w:val="24"/>
          <w:szCs w:val="24"/>
        </w:rPr>
        <w:t xml:space="preserve">ection </w:t>
      </w:r>
      <w:r>
        <w:rPr>
          <w:b/>
          <w:sz w:val="24"/>
          <w:szCs w:val="24"/>
        </w:rPr>
        <w:t>10(5) (note)</w:t>
      </w:r>
    </w:p>
    <w:p w:rsidR="004366F5" w:rsidRPr="003763A7" w:rsidRDefault="004366F5" w:rsidP="004366F5"/>
    <w:p w:rsidR="004366F5" w:rsidRPr="004549F1" w:rsidRDefault="004366F5" w:rsidP="004366F5">
      <w:pPr>
        <w:rPr>
          <w:b/>
        </w:rPr>
      </w:pPr>
      <w:r w:rsidRPr="004549F1">
        <w:rPr>
          <w:b/>
        </w:rPr>
        <w:t>Kind of editorial change</w:t>
      </w:r>
    </w:p>
    <w:p w:rsidR="004366F5" w:rsidRPr="004549F1" w:rsidRDefault="004366F5" w:rsidP="004366F5"/>
    <w:p w:rsidR="004366F5" w:rsidRPr="003763A7" w:rsidRDefault="004366F5" w:rsidP="004366F5">
      <w:r>
        <w:t>Change to punctuation</w:t>
      </w:r>
    </w:p>
    <w:p w:rsidR="004366F5" w:rsidRPr="004549F1" w:rsidRDefault="004366F5" w:rsidP="004366F5"/>
    <w:p w:rsidR="004366F5" w:rsidRPr="004549F1" w:rsidRDefault="004366F5" w:rsidP="004366F5">
      <w:pPr>
        <w:rPr>
          <w:b/>
        </w:rPr>
      </w:pPr>
      <w:r w:rsidRPr="004549F1">
        <w:rPr>
          <w:b/>
        </w:rPr>
        <w:t>Details of editorial change</w:t>
      </w:r>
    </w:p>
    <w:p w:rsidR="004366F5" w:rsidRPr="003763A7" w:rsidRDefault="004366F5" w:rsidP="004366F5"/>
    <w:p w:rsidR="004366F5" w:rsidRDefault="004366F5" w:rsidP="004366F5">
      <w:r>
        <w:t xml:space="preserve">Schedule 1 item 23 of the </w:t>
      </w:r>
      <w:r w:rsidRPr="00C942F2">
        <w:rPr>
          <w:i/>
        </w:rPr>
        <w:t>National Disability Insurance Scheme (Approved Quality Auditors Scheme) Amendment Guidelines</w:t>
      </w:r>
      <w:r>
        <w:rPr>
          <w:i/>
        </w:rPr>
        <w:t xml:space="preserve"> No. 2 </w:t>
      </w:r>
      <w:r w:rsidRPr="00C942F2">
        <w:rPr>
          <w:i/>
        </w:rPr>
        <w:t>2019</w:t>
      </w:r>
      <w:r w:rsidRPr="003763A7">
        <w:t xml:space="preserve"> </w:t>
      </w:r>
      <w:r>
        <w:t xml:space="preserve">instructs to insert </w:t>
      </w:r>
      <w:r w:rsidRPr="005C3FE8">
        <w:rPr>
          <w:kern w:val="28"/>
          <w:szCs w:val="22"/>
        </w:rPr>
        <w:t>“for a certification audit.”</w:t>
      </w:r>
      <w:r>
        <w:rPr>
          <w:kern w:val="28"/>
          <w:szCs w:val="22"/>
        </w:rPr>
        <w:t xml:space="preserve"> after </w:t>
      </w:r>
      <w:r>
        <w:t>“quality audit processes” in the note to subsection 10(5).</w:t>
      </w:r>
    </w:p>
    <w:p w:rsidR="004366F5" w:rsidRDefault="004366F5" w:rsidP="004366F5"/>
    <w:p w:rsidR="004366F5" w:rsidRDefault="004366F5" w:rsidP="004366F5">
      <w:r>
        <w:t>This action results in two full stops at the end of the note to subsection 10(5).</w:t>
      </w:r>
    </w:p>
    <w:p w:rsidR="004366F5" w:rsidRDefault="004366F5" w:rsidP="004366F5"/>
    <w:p w:rsidR="004366F5" w:rsidRDefault="004366F5" w:rsidP="004366F5">
      <w:r>
        <w:t>This compilation was editorially changed to omit the extra full stop.</w:t>
      </w:r>
    </w:p>
    <w:p w:rsidR="004366F5" w:rsidRDefault="004366F5" w:rsidP="004366F5"/>
    <w:p w:rsidR="004366F5" w:rsidRDefault="004366F5" w:rsidP="004366F5"/>
    <w:p w:rsidR="004366F5" w:rsidRPr="004549F1" w:rsidRDefault="004366F5" w:rsidP="008F4C3C">
      <w:pPr>
        <w:keepNext/>
        <w:keepLines/>
        <w:rPr>
          <w:b/>
          <w:sz w:val="24"/>
          <w:szCs w:val="24"/>
        </w:rPr>
      </w:pPr>
      <w:r>
        <w:rPr>
          <w:b/>
          <w:sz w:val="24"/>
          <w:szCs w:val="24"/>
        </w:rPr>
        <w:lastRenderedPageBreak/>
        <w:t>Subs</w:t>
      </w:r>
      <w:r w:rsidRPr="006465E7">
        <w:rPr>
          <w:b/>
          <w:sz w:val="24"/>
          <w:szCs w:val="24"/>
        </w:rPr>
        <w:t xml:space="preserve">ection </w:t>
      </w:r>
      <w:r>
        <w:rPr>
          <w:b/>
          <w:sz w:val="24"/>
          <w:szCs w:val="24"/>
        </w:rPr>
        <w:t>11(3A)</w:t>
      </w:r>
    </w:p>
    <w:p w:rsidR="004366F5" w:rsidRPr="003763A7" w:rsidRDefault="004366F5" w:rsidP="008F4C3C">
      <w:pPr>
        <w:keepNext/>
        <w:keepLines/>
      </w:pPr>
    </w:p>
    <w:p w:rsidR="004366F5" w:rsidRPr="004549F1" w:rsidRDefault="004366F5" w:rsidP="008F4C3C">
      <w:pPr>
        <w:keepNext/>
        <w:keepLines/>
        <w:rPr>
          <w:b/>
        </w:rPr>
      </w:pPr>
      <w:r w:rsidRPr="004549F1">
        <w:rPr>
          <w:b/>
        </w:rPr>
        <w:t>Kind of editorial change</w:t>
      </w:r>
    </w:p>
    <w:p w:rsidR="004366F5" w:rsidRPr="004549F1" w:rsidRDefault="004366F5" w:rsidP="008F4C3C">
      <w:pPr>
        <w:keepNext/>
        <w:keepLines/>
      </w:pPr>
    </w:p>
    <w:p w:rsidR="004366F5" w:rsidRPr="003763A7" w:rsidRDefault="004366F5" w:rsidP="004366F5">
      <w:r>
        <w:t>Give effect to the misdescribed amendment as intended</w:t>
      </w:r>
    </w:p>
    <w:p w:rsidR="004366F5" w:rsidRPr="004549F1" w:rsidRDefault="004366F5" w:rsidP="004366F5"/>
    <w:p w:rsidR="004366F5" w:rsidRPr="004549F1" w:rsidRDefault="004366F5" w:rsidP="004366F5">
      <w:pPr>
        <w:rPr>
          <w:b/>
        </w:rPr>
      </w:pPr>
      <w:r w:rsidRPr="004549F1">
        <w:rPr>
          <w:b/>
        </w:rPr>
        <w:t>Details of editorial change</w:t>
      </w:r>
    </w:p>
    <w:p w:rsidR="004366F5" w:rsidRPr="003763A7" w:rsidRDefault="004366F5" w:rsidP="004366F5"/>
    <w:p w:rsidR="004366F5" w:rsidRDefault="004366F5" w:rsidP="004366F5">
      <w:r>
        <w:t xml:space="preserve">Schedule 1 item 24 of the </w:t>
      </w:r>
      <w:r w:rsidRPr="00C942F2">
        <w:rPr>
          <w:i/>
        </w:rPr>
        <w:t>National Disability Insurance Scheme (Approved Quality Auditors Scheme) Amendment Guidelines</w:t>
      </w:r>
      <w:r>
        <w:rPr>
          <w:i/>
        </w:rPr>
        <w:t xml:space="preserve"> No. 2 </w:t>
      </w:r>
      <w:r w:rsidRPr="00C942F2">
        <w:rPr>
          <w:i/>
        </w:rPr>
        <w:t>2019</w:t>
      </w:r>
      <w:r w:rsidRPr="003763A7">
        <w:t xml:space="preserve"> </w:t>
      </w:r>
      <w:r>
        <w:t>instructs to repeal and substitute subsection 11(3A) and the note.</w:t>
      </w:r>
    </w:p>
    <w:p w:rsidR="004366F5" w:rsidRDefault="004366F5" w:rsidP="004366F5"/>
    <w:p w:rsidR="004366F5" w:rsidRDefault="004366F5" w:rsidP="004366F5">
      <w:r>
        <w:t>However, there is no note to subsection 11(3A).</w:t>
      </w:r>
    </w:p>
    <w:p w:rsidR="004366F5" w:rsidRDefault="004366F5" w:rsidP="004366F5"/>
    <w:p w:rsidR="004366F5" w:rsidRDefault="004366F5" w:rsidP="004366F5">
      <w:r>
        <w:t>This compilation was editorially changed to repeal and substitute subsection 11(3A) to give effect to the misdescribed amendment as intended.</w:t>
      </w:r>
    </w:p>
    <w:p w:rsidR="004366F5" w:rsidRDefault="004366F5" w:rsidP="004366F5"/>
    <w:p w:rsidR="004366F5" w:rsidRDefault="004366F5" w:rsidP="004366F5"/>
    <w:p w:rsidR="004366F5" w:rsidRPr="004549F1" w:rsidRDefault="004366F5" w:rsidP="004366F5">
      <w:pPr>
        <w:rPr>
          <w:b/>
          <w:sz w:val="24"/>
          <w:szCs w:val="24"/>
        </w:rPr>
      </w:pPr>
      <w:r>
        <w:rPr>
          <w:b/>
          <w:sz w:val="24"/>
          <w:szCs w:val="24"/>
        </w:rPr>
        <w:t>Subsection 21(1)</w:t>
      </w:r>
    </w:p>
    <w:p w:rsidR="004366F5" w:rsidRPr="003763A7" w:rsidRDefault="004366F5" w:rsidP="004366F5"/>
    <w:p w:rsidR="004366F5" w:rsidRPr="004549F1" w:rsidRDefault="004366F5" w:rsidP="004366F5">
      <w:pPr>
        <w:rPr>
          <w:b/>
        </w:rPr>
      </w:pPr>
      <w:r w:rsidRPr="004549F1">
        <w:rPr>
          <w:b/>
        </w:rPr>
        <w:t>Kind of editorial change</w:t>
      </w:r>
    </w:p>
    <w:p w:rsidR="004366F5" w:rsidRPr="004549F1" w:rsidRDefault="004366F5" w:rsidP="004366F5"/>
    <w:p w:rsidR="004366F5" w:rsidRPr="003763A7" w:rsidRDefault="004366F5" w:rsidP="004366F5">
      <w:r>
        <w:t>Change to punctuation</w:t>
      </w:r>
    </w:p>
    <w:p w:rsidR="004366F5" w:rsidRPr="004549F1" w:rsidRDefault="004366F5" w:rsidP="004366F5"/>
    <w:p w:rsidR="004366F5" w:rsidRPr="004549F1" w:rsidRDefault="004366F5" w:rsidP="004366F5">
      <w:pPr>
        <w:rPr>
          <w:b/>
        </w:rPr>
      </w:pPr>
      <w:r w:rsidRPr="004549F1">
        <w:rPr>
          <w:b/>
        </w:rPr>
        <w:t>Details of editorial change</w:t>
      </w:r>
    </w:p>
    <w:p w:rsidR="004366F5" w:rsidRPr="003763A7" w:rsidRDefault="004366F5" w:rsidP="004366F5"/>
    <w:p w:rsidR="004366F5" w:rsidRDefault="004366F5" w:rsidP="004366F5">
      <w:r>
        <w:t xml:space="preserve">Schedule 1 item 32 of the </w:t>
      </w:r>
      <w:r w:rsidRPr="00C942F2">
        <w:rPr>
          <w:i/>
        </w:rPr>
        <w:t>National Disability Insurance Scheme (Approved Quality Auditors Scheme) Amendment Guidelines</w:t>
      </w:r>
      <w:r>
        <w:rPr>
          <w:i/>
        </w:rPr>
        <w:t xml:space="preserve"> No. 2 </w:t>
      </w:r>
      <w:r w:rsidRPr="00C942F2">
        <w:rPr>
          <w:i/>
        </w:rPr>
        <w:t>2019</w:t>
      </w:r>
      <w:r w:rsidRPr="003763A7">
        <w:t xml:space="preserve"> </w:t>
      </w:r>
      <w:r>
        <w:t>instructs to repeal and substitute section 21.</w:t>
      </w:r>
    </w:p>
    <w:p w:rsidR="004366F5" w:rsidRDefault="004366F5" w:rsidP="004366F5"/>
    <w:p w:rsidR="004366F5" w:rsidRDefault="004366F5" w:rsidP="004366F5">
      <w:r>
        <w:t>Subsection 21(1) has two full stops at the end.</w:t>
      </w:r>
    </w:p>
    <w:p w:rsidR="004366F5" w:rsidRDefault="004366F5" w:rsidP="004366F5"/>
    <w:p w:rsidR="004366F5" w:rsidRDefault="004366F5" w:rsidP="004366F5">
      <w:r>
        <w:t>This compilation was editorially changed to omit the extra full stop at the end of subsection 21(1).</w:t>
      </w:r>
    </w:p>
    <w:p w:rsidR="004366F5" w:rsidRDefault="004366F5" w:rsidP="004366F5"/>
    <w:p w:rsidR="004366F5" w:rsidRDefault="004366F5" w:rsidP="004366F5"/>
    <w:p w:rsidR="004366F5" w:rsidRPr="004549F1" w:rsidRDefault="004366F5" w:rsidP="004366F5">
      <w:pPr>
        <w:rPr>
          <w:b/>
          <w:sz w:val="24"/>
          <w:szCs w:val="24"/>
        </w:rPr>
      </w:pPr>
      <w:r>
        <w:rPr>
          <w:b/>
          <w:sz w:val="24"/>
          <w:szCs w:val="24"/>
        </w:rPr>
        <w:t>Section 36</w:t>
      </w:r>
    </w:p>
    <w:p w:rsidR="004366F5" w:rsidRPr="003763A7" w:rsidRDefault="004366F5" w:rsidP="004366F5"/>
    <w:p w:rsidR="004366F5" w:rsidRPr="004549F1" w:rsidRDefault="004366F5" w:rsidP="004366F5">
      <w:pPr>
        <w:rPr>
          <w:b/>
        </w:rPr>
      </w:pPr>
      <w:r w:rsidRPr="004549F1">
        <w:rPr>
          <w:b/>
        </w:rPr>
        <w:t>Kind of editorial change</w:t>
      </w:r>
    </w:p>
    <w:p w:rsidR="004366F5" w:rsidRPr="004549F1" w:rsidRDefault="004366F5" w:rsidP="004366F5"/>
    <w:p w:rsidR="004366F5" w:rsidRPr="003763A7" w:rsidRDefault="004366F5" w:rsidP="004366F5">
      <w:r>
        <w:t>Give effect to the misdescribed amendment as intended</w:t>
      </w:r>
    </w:p>
    <w:p w:rsidR="004366F5" w:rsidRPr="004549F1" w:rsidRDefault="004366F5" w:rsidP="004366F5"/>
    <w:p w:rsidR="004366F5" w:rsidRPr="004549F1" w:rsidRDefault="004366F5" w:rsidP="004366F5">
      <w:pPr>
        <w:rPr>
          <w:b/>
        </w:rPr>
      </w:pPr>
      <w:r w:rsidRPr="004549F1">
        <w:rPr>
          <w:b/>
        </w:rPr>
        <w:t>Details of editorial change</w:t>
      </w:r>
    </w:p>
    <w:p w:rsidR="004366F5" w:rsidRPr="003763A7" w:rsidRDefault="004366F5" w:rsidP="004366F5"/>
    <w:p w:rsidR="004366F5" w:rsidRDefault="004366F5" w:rsidP="004366F5">
      <w:r>
        <w:t xml:space="preserve">Schedule 1 item 36 of the </w:t>
      </w:r>
      <w:r w:rsidRPr="00C942F2">
        <w:rPr>
          <w:i/>
        </w:rPr>
        <w:t>National Disability Insurance Scheme (Approved Quality Auditors Scheme) Amendment Guidelines</w:t>
      </w:r>
      <w:r>
        <w:rPr>
          <w:i/>
        </w:rPr>
        <w:t xml:space="preserve"> No. 2 </w:t>
      </w:r>
      <w:r w:rsidRPr="00C942F2">
        <w:rPr>
          <w:i/>
        </w:rPr>
        <w:t>2019</w:t>
      </w:r>
      <w:r w:rsidRPr="003763A7">
        <w:t xml:space="preserve"> </w:t>
      </w:r>
      <w:r>
        <w:t>instructs to insert section 36.</w:t>
      </w:r>
    </w:p>
    <w:p w:rsidR="004366F5" w:rsidRDefault="004366F5" w:rsidP="004366F5"/>
    <w:p w:rsidR="004366F5" w:rsidRDefault="004366F5" w:rsidP="004366F5">
      <w:r>
        <w:t>The instruction does not specify where to insert the section.</w:t>
      </w:r>
    </w:p>
    <w:p w:rsidR="004366F5" w:rsidRDefault="004366F5" w:rsidP="004366F5"/>
    <w:p w:rsidR="004366F5" w:rsidRDefault="004366F5" w:rsidP="004366F5">
      <w:r>
        <w:t>This compilation was editorially changed to insert section 36 after section 35 to give effect to the misdescribed amendment as intended.</w:t>
      </w:r>
    </w:p>
    <w:p w:rsidR="004366F5" w:rsidRDefault="004366F5" w:rsidP="004366F5"/>
    <w:p w:rsidR="004366F5" w:rsidRDefault="004366F5" w:rsidP="004366F5"/>
    <w:p w:rsidR="004366F5" w:rsidRPr="004549F1" w:rsidRDefault="004366F5" w:rsidP="008F4C3C">
      <w:pPr>
        <w:keepNext/>
        <w:keepLines/>
        <w:rPr>
          <w:b/>
          <w:sz w:val="24"/>
          <w:szCs w:val="24"/>
        </w:rPr>
      </w:pPr>
      <w:r w:rsidRPr="001D74D1">
        <w:rPr>
          <w:b/>
          <w:sz w:val="24"/>
          <w:szCs w:val="24"/>
        </w:rPr>
        <w:lastRenderedPageBreak/>
        <w:t>Subsections 36(4) (second occurring) and (5)</w:t>
      </w:r>
    </w:p>
    <w:p w:rsidR="004366F5" w:rsidRPr="003763A7" w:rsidRDefault="004366F5" w:rsidP="008F4C3C">
      <w:pPr>
        <w:keepNext/>
        <w:keepLines/>
      </w:pPr>
    </w:p>
    <w:p w:rsidR="004366F5" w:rsidRPr="004549F1" w:rsidRDefault="004366F5" w:rsidP="008F4C3C">
      <w:pPr>
        <w:keepNext/>
        <w:keepLines/>
        <w:rPr>
          <w:b/>
        </w:rPr>
      </w:pPr>
      <w:r w:rsidRPr="004549F1">
        <w:rPr>
          <w:b/>
        </w:rPr>
        <w:t>Kind of editorial change</w:t>
      </w:r>
    </w:p>
    <w:p w:rsidR="004366F5" w:rsidRPr="004549F1" w:rsidRDefault="004366F5" w:rsidP="004366F5"/>
    <w:p w:rsidR="004366F5" w:rsidRPr="003763A7" w:rsidRDefault="004366F5" w:rsidP="004366F5">
      <w:r>
        <w:t>Renumbering of provisions</w:t>
      </w:r>
    </w:p>
    <w:p w:rsidR="004366F5" w:rsidRPr="004549F1" w:rsidRDefault="004366F5" w:rsidP="004366F5"/>
    <w:p w:rsidR="004366F5" w:rsidRPr="004549F1" w:rsidRDefault="004366F5" w:rsidP="004366F5">
      <w:pPr>
        <w:rPr>
          <w:b/>
        </w:rPr>
      </w:pPr>
      <w:r w:rsidRPr="004549F1">
        <w:rPr>
          <w:b/>
        </w:rPr>
        <w:t>Details of editorial change</w:t>
      </w:r>
    </w:p>
    <w:p w:rsidR="004366F5" w:rsidRPr="003763A7" w:rsidRDefault="004366F5" w:rsidP="004366F5"/>
    <w:p w:rsidR="004366F5" w:rsidRDefault="004366F5" w:rsidP="004366F5">
      <w:r>
        <w:t xml:space="preserve">Schedule 1 item 36 of the </w:t>
      </w:r>
      <w:r w:rsidRPr="00C942F2">
        <w:rPr>
          <w:i/>
        </w:rPr>
        <w:t>National Disability Insurance Scheme (Approved Quality Auditors Scheme) Amendment Guidelines</w:t>
      </w:r>
      <w:r>
        <w:rPr>
          <w:i/>
        </w:rPr>
        <w:t xml:space="preserve"> No. 2 </w:t>
      </w:r>
      <w:r w:rsidRPr="00C942F2">
        <w:rPr>
          <w:i/>
        </w:rPr>
        <w:t>2019</w:t>
      </w:r>
      <w:r w:rsidRPr="003763A7">
        <w:t xml:space="preserve"> </w:t>
      </w:r>
      <w:r>
        <w:t>instructs to insert section 36.</w:t>
      </w:r>
    </w:p>
    <w:p w:rsidR="004366F5" w:rsidRDefault="004366F5" w:rsidP="004366F5"/>
    <w:p w:rsidR="004366F5" w:rsidRDefault="004366F5" w:rsidP="004366F5">
      <w:r>
        <w:t>Subsection 36</w:t>
      </w:r>
      <w:r w:rsidRPr="003D5295">
        <w:t>(</w:t>
      </w:r>
      <w:r>
        <w:t>4</w:t>
      </w:r>
      <w:r w:rsidRPr="003D5295">
        <w:t>) occurs twice</w:t>
      </w:r>
      <w:r>
        <w:t xml:space="preserve"> in the newly inserted section</w:t>
      </w:r>
      <w:r w:rsidRPr="003D5295">
        <w:t>.</w:t>
      </w:r>
    </w:p>
    <w:p w:rsidR="004366F5" w:rsidRDefault="004366F5" w:rsidP="004366F5"/>
    <w:p w:rsidR="004366F5" w:rsidRDefault="004366F5" w:rsidP="004366F5">
      <w:r w:rsidRPr="003D5295">
        <w:t xml:space="preserve">This compilation was editorially changed by renumbering </w:t>
      </w:r>
      <w:r w:rsidRPr="009E7369">
        <w:t xml:space="preserve">the second occurring </w:t>
      </w:r>
      <w:r w:rsidRPr="003D5295">
        <w:t>subsection</w:t>
      </w:r>
      <w:r>
        <w:t> </w:t>
      </w:r>
      <w:r w:rsidRPr="003D5295">
        <w:t>3</w:t>
      </w:r>
      <w:r>
        <w:t>6</w:t>
      </w:r>
      <w:r w:rsidRPr="003D5295">
        <w:t>(</w:t>
      </w:r>
      <w:r>
        <w:t>4</w:t>
      </w:r>
      <w:r w:rsidRPr="003D5295">
        <w:t xml:space="preserve">) </w:t>
      </w:r>
      <w:r>
        <w:t>as</w:t>
      </w:r>
      <w:r w:rsidRPr="003D5295">
        <w:t xml:space="preserve"> subsection 3</w:t>
      </w:r>
      <w:r>
        <w:t>6</w:t>
      </w:r>
      <w:r w:rsidRPr="003D5295">
        <w:t>(</w:t>
      </w:r>
      <w:r>
        <w:t>5</w:t>
      </w:r>
      <w:r w:rsidRPr="003D5295">
        <w:t>)</w:t>
      </w:r>
      <w:r>
        <w:t xml:space="preserve"> and subsection 36(5) as subsection 36(6)</w:t>
      </w:r>
      <w:r w:rsidRPr="003D5295">
        <w:t>.</w:t>
      </w:r>
    </w:p>
    <w:p w:rsidR="004366F5" w:rsidRDefault="004366F5" w:rsidP="004366F5"/>
    <w:p w:rsidR="004366F5" w:rsidRDefault="004366F5" w:rsidP="004366F5"/>
    <w:p w:rsidR="004366F5" w:rsidRPr="004549F1" w:rsidRDefault="004366F5" w:rsidP="004366F5">
      <w:pPr>
        <w:rPr>
          <w:b/>
          <w:sz w:val="24"/>
          <w:szCs w:val="24"/>
        </w:rPr>
      </w:pPr>
      <w:r>
        <w:rPr>
          <w:b/>
          <w:sz w:val="24"/>
          <w:szCs w:val="24"/>
        </w:rPr>
        <w:t>Annex B, clause B.4, paragraph 1</w:t>
      </w:r>
    </w:p>
    <w:p w:rsidR="004366F5" w:rsidRPr="003763A7" w:rsidRDefault="004366F5" w:rsidP="004366F5"/>
    <w:p w:rsidR="004366F5" w:rsidRPr="004549F1" w:rsidRDefault="004366F5" w:rsidP="004366F5">
      <w:pPr>
        <w:rPr>
          <w:b/>
        </w:rPr>
      </w:pPr>
      <w:r w:rsidRPr="004549F1">
        <w:rPr>
          <w:b/>
        </w:rPr>
        <w:t>Kind of editorial change</w:t>
      </w:r>
    </w:p>
    <w:p w:rsidR="004366F5" w:rsidRPr="004549F1" w:rsidRDefault="004366F5" w:rsidP="004366F5"/>
    <w:p w:rsidR="004366F5" w:rsidRPr="003763A7" w:rsidRDefault="004366F5" w:rsidP="004366F5">
      <w:r>
        <w:t>Give effect to the misdescribed amendment as intended</w:t>
      </w:r>
    </w:p>
    <w:p w:rsidR="004366F5" w:rsidRPr="004549F1" w:rsidRDefault="004366F5" w:rsidP="004366F5"/>
    <w:p w:rsidR="004366F5" w:rsidRPr="004549F1" w:rsidRDefault="004366F5" w:rsidP="004366F5">
      <w:pPr>
        <w:rPr>
          <w:b/>
        </w:rPr>
      </w:pPr>
      <w:r w:rsidRPr="004549F1">
        <w:rPr>
          <w:b/>
        </w:rPr>
        <w:t>Details of editorial change</w:t>
      </w:r>
    </w:p>
    <w:p w:rsidR="004366F5" w:rsidRPr="003763A7" w:rsidRDefault="004366F5" w:rsidP="004366F5"/>
    <w:p w:rsidR="004366F5" w:rsidRDefault="004366F5" w:rsidP="004366F5">
      <w:r>
        <w:t xml:space="preserve">Schedule 1 item 37 of the </w:t>
      </w:r>
      <w:r w:rsidRPr="00C942F2">
        <w:rPr>
          <w:i/>
        </w:rPr>
        <w:t>National Disability Insurance Scheme (Approved Quality Auditors Scheme) Amendment Guidelines</w:t>
      </w:r>
      <w:r>
        <w:rPr>
          <w:i/>
        </w:rPr>
        <w:t xml:space="preserve"> No. 2 </w:t>
      </w:r>
      <w:r w:rsidRPr="00C942F2">
        <w:rPr>
          <w:i/>
        </w:rPr>
        <w:t>2019</w:t>
      </w:r>
      <w:r w:rsidRPr="003763A7">
        <w:t xml:space="preserve"> </w:t>
      </w:r>
      <w:r>
        <w:t>instructs to omit “(proportionate to the size and scale of their organisation and the risk and complexity of the services being delivered)” and substitute “in accordance with proportionality”.</w:t>
      </w:r>
    </w:p>
    <w:p w:rsidR="004366F5" w:rsidRDefault="004366F5" w:rsidP="004366F5"/>
    <w:p w:rsidR="004366F5" w:rsidRDefault="004366F5" w:rsidP="004366F5">
      <w:r w:rsidRPr="005522BE">
        <w:t>The words “</w:t>
      </w:r>
      <w:r>
        <w:t>(proportionate to the size and scale of their organisation and the risk and complexity of the services being delivered)</w:t>
      </w:r>
      <w:r w:rsidRPr="005522BE">
        <w:t>” do not appear in Annex B, clause B.4, paragraph 1. However, the words “</w:t>
      </w:r>
      <w:r>
        <w:t>(proportionate to the size and scale of their organisation and the risk and complexity of the services delivered)</w:t>
      </w:r>
      <w:r w:rsidRPr="005522BE">
        <w:t>” do appear.</w:t>
      </w:r>
    </w:p>
    <w:p w:rsidR="004366F5" w:rsidRDefault="004366F5" w:rsidP="004366F5"/>
    <w:p w:rsidR="004366F5" w:rsidRDefault="004366F5" w:rsidP="004366F5">
      <w:r>
        <w:t>This compilation was editorially changed to omit the words “(proportionate to the size and scale of their organisation and the risk and complexity of the services delivered)” and substitute “in accordance with proportionality” to give effect to the misdescribed amendment as intended.</w:t>
      </w:r>
    </w:p>
    <w:p w:rsidR="00D84264" w:rsidRDefault="00D84264" w:rsidP="00775CC1">
      <w:pPr>
        <w:pStyle w:val="Head2"/>
        <w:keepLines/>
      </w:pPr>
      <w:r>
        <w:t>List of Exempt Native Specimens Instrument 2001, Compilation No. 359,</w:t>
      </w:r>
      <w:r w:rsidRPr="003342C4">
        <w:t xml:space="preserve"> Registration Date:</w:t>
      </w:r>
      <w:r>
        <w:t xml:space="preserve"> 4 February 2020 [</w:t>
      </w:r>
      <w:r>
        <w:rPr>
          <w:bCs/>
        </w:rPr>
        <w:t>F2020</w:t>
      </w:r>
      <w:r w:rsidRPr="005A1F2E">
        <w:rPr>
          <w:bCs/>
        </w:rPr>
        <w:t>C00</w:t>
      </w:r>
      <w:r>
        <w:rPr>
          <w:bCs/>
        </w:rPr>
        <w:t>099</w:t>
      </w:r>
      <w:r>
        <w:t>]</w:t>
      </w:r>
    </w:p>
    <w:p w:rsidR="00D84264" w:rsidRPr="00F2598C" w:rsidRDefault="00D84264" w:rsidP="00775CC1">
      <w:pPr>
        <w:keepNext/>
        <w:keepLines/>
      </w:pPr>
    </w:p>
    <w:p w:rsidR="00D84264" w:rsidRPr="004549F1" w:rsidRDefault="00D84264" w:rsidP="00775CC1">
      <w:pPr>
        <w:keepNext/>
        <w:keepLines/>
        <w:rPr>
          <w:b/>
          <w:sz w:val="24"/>
          <w:szCs w:val="24"/>
        </w:rPr>
      </w:pPr>
      <w:r>
        <w:rPr>
          <w:b/>
          <w:sz w:val="24"/>
          <w:szCs w:val="24"/>
        </w:rPr>
        <w:t xml:space="preserve">Schedule 1, entry for </w:t>
      </w:r>
      <w:r w:rsidRPr="00512539">
        <w:rPr>
          <w:b/>
          <w:sz w:val="24"/>
          <w:szCs w:val="24"/>
        </w:rPr>
        <w:t>Western Australian West Coast Purse Seine Managed Fishery</w:t>
      </w:r>
    </w:p>
    <w:p w:rsidR="00D84264" w:rsidRPr="0033564C" w:rsidRDefault="00D84264" w:rsidP="00D84264"/>
    <w:p w:rsidR="00D84264" w:rsidRPr="004549F1" w:rsidRDefault="00D84264" w:rsidP="00D84264">
      <w:pPr>
        <w:rPr>
          <w:b/>
        </w:rPr>
      </w:pPr>
      <w:r w:rsidRPr="004549F1">
        <w:rPr>
          <w:b/>
        </w:rPr>
        <w:t>Kind of editorial change</w:t>
      </w:r>
    </w:p>
    <w:p w:rsidR="00D84264" w:rsidRPr="004549F1" w:rsidRDefault="00D84264" w:rsidP="00D84264"/>
    <w:p w:rsidR="00D84264" w:rsidRPr="0033564C" w:rsidRDefault="00D84264" w:rsidP="00D84264">
      <w:r w:rsidRPr="00F14579">
        <w:t>Give effect to the misdescribed amendment as intended</w:t>
      </w:r>
    </w:p>
    <w:p w:rsidR="00D84264" w:rsidRPr="004549F1" w:rsidRDefault="00D84264" w:rsidP="00D84264"/>
    <w:p w:rsidR="00D84264" w:rsidRPr="004549F1" w:rsidRDefault="00D84264" w:rsidP="00D84264">
      <w:pPr>
        <w:rPr>
          <w:b/>
        </w:rPr>
      </w:pPr>
      <w:r w:rsidRPr="004549F1">
        <w:rPr>
          <w:b/>
        </w:rPr>
        <w:t>Details of editorial change</w:t>
      </w:r>
    </w:p>
    <w:p w:rsidR="00D84264" w:rsidRPr="0033564C" w:rsidRDefault="00D84264" w:rsidP="00D84264"/>
    <w:p w:rsidR="00D84264" w:rsidRDefault="00D84264" w:rsidP="00D84264">
      <w:r>
        <w:t xml:space="preserve">Schedule 1 of the </w:t>
      </w:r>
      <w:r w:rsidRPr="00794579">
        <w:rPr>
          <w:i/>
        </w:rPr>
        <w:t>Amendment of List of Exempt Native Specimens – Western Australian West Coast Purse Seine Managed Fishery and Development Zones – January 2020</w:t>
      </w:r>
      <w:r>
        <w:t xml:space="preserve"> provides as follows:</w:t>
      </w:r>
    </w:p>
    <w:p w:rsidR="00D84264" w:rsidRPr="007F708E" w:rsidRDefault="00D84264" w:rsidP="00D84264">
      <w:pPr>
        <w:rPr>
          <w:sz w:val="24"/>
          <w:szCs w:val="24"/>
        </w:rPr>
      </w:pPr>
    </w:p>
    <w:p w:rsidR="00D84264" w:rsidRPr="004F6061" w:rsidRDefault="00D84264" w:rsidP="00D84264">
      <w:pPr>
        <w:spacing w:after="240"/>
        <w:rPr>
          <w:szCs w:val="24"/>
        </w:rPr>
      </w:pPr>
      <w:r w:rsidRPr="004F6061">
        <w:rPr>
          <w:szCs w:val="24"/>
        </w:rPr>
        <w:t>Under the heading Freshwater and Marine Animals delete from the list the following items and any associated notations:</w:t>
      </w:r>
    </w:p>
    <w:tbl>
      <w:tblPr>
        <w:tblStyle w:val="TableGrid"/>
        <w:tblW w:w="0" w:type="auto"/>
        <w:tblLook w:val="04A0" w:firstRow="1" w:lastRow="0" w:firstColumn="1" w:lastColumn="0" w:noHBand="0" w:noVBand="1"/>
      </w:tblPr>
      <w:tblGrid>
        <w:gridCol w:w="3021"/>
        <w:gridCol w:w="2993"/>
        <w:gridCol w:w="3002"/>
      </w:tblGrid>
      <w:tr w:rsidR="00D84264" w:rsidRPr="004F6061" w:rsidTr="002837E6">
        <w:trPr>
          <w:cantSplit/>
        </w:trPr>
        <w:tc>
          <w:tcPr>
            <w:tcW w:w="3021" w:type="dxa"/>
          </w:tcPr>
          <w:p w:rsidR="00D84264" w:rsidRPr="004F6061" w:rsidRDefault="00D84264" w:rsidP="00D84264">
            <w:pPr>
              <w:keepNext/>
              <w:keepLines/>
              <w:rPr>
                <w:b/>
                <w:szCs w:val="24"/>
              </w:rPr>
            </w:pPr>
            <w:r w:rsidRPr="004F6061">
              <w:rPr>
                <w:b/>
                <w:szCs w:val="24"/>
              </w:rPr>
              <w:t>Taxon/Item</w:t>
            </w:r>
          </w:p>
        </w:tc>
        <w:tc>
          <w:tcPr>
            <w:tcW w:w="2993" w:type="dxa"/>
          </w:tcPr>
          <w:p w:rsidR="00D84264" w:rsidRPr="004F6061" w:rsidRDefault="00D84264" w:rsidP="002837E6">
            <w:pPr>
              <w:rPr>
                <w:b/>
                <w:szCs w:val="24"/>
              </w:rPr>
            </w:pPr>
            <w:r w:rsidRPr="004F6061">
              <w:rPr>
                <w:b/>
                <w:szCs w:val="24"/>
              </w:rPr>
              <w:t>Common Name</w:t>
            </w:r>
          </w:p>
        </w:tc>
        <w:tc>
          <w:tcPr>
            <w:tcW w:w="3002" w:type="dxa"/>
          </w:tcPr>
          <w:p w:rsidR="00D84264" w:rsidRPr="004F6061" w:rsidRDefault="00D84264" w:rsidP="002837E6">
            <w:pPr>
              <w:rPr>
                <w:b/>
                <w:szCs w:val="24"/>
              </w:rPr>
            </w:pPr>
            <w:r w:rsidRPr="004F6061">
              <w:rPr>
                <w:b/>
                <w:szCs w:val="24"/>
              </w:rPr>
              <w:t>Notation</w:t>
            </w:r>
          </w:p>
        </w:tc>
      </w:tr>
      <w:tr w:rsidR="00D84264" w:rsidRPr="004F6061" w:rsidTr="002837E6">
        <w:trPr>
          <w:cantSplit/>
        </w:trPr>
        <w:tc>
          <w:tcPr>
            <w:tcW w:w="3021" w:type="dxa"/>
          </w:tcPr>
          <w:p w:rsidR="00D84264" w:rsidRPr="004F6061" w:rsidRDefault="00D84264" w:rsidP="002837E6">
            <w:pPr>
              <w:rPr>
                <w:szCs w:val="24"/>
              </w:rPr>
            </w:pPr>
            <w:r w:rsidRPr="004F6061">
              <w:rPr>
                <w:szCs w:val="24"/>
                <w:lang w:val="en"/>
              </w:rPr>
              <w:t>Specimens that are or are derived from fish or invertebrates, other than specimens that belong to species listed under Part 13 of the Act, taken in the Western Australian West Coast Purse Seine Managed Fishery.</w:t>
            </w:r>
          </w:p>
        </w:tc>
        <w:tc>
          <w:tcPr>
            <w:tcW w:w="2993" w:type="dxa"/>
          </w:tcPr>
          <w:p w:rsidR="00D84264" w:rsidRPr="004F6061" w:rsidRDefault="00D84264" w:rsidP="002837E6">
            <w:pPr>
              <w:rPr>
                <w:color w:val="FF0000"/>
                <w:szCs w:val="24"/>
              </w:rPr>
            </w:pPr>
            <w:r w:rsidRPr="004F6061">
              <w:rPr>
                <w:szCs w:val="24"/>
              </w:rPr>
              <w:t>Western Australian West Coast Purse Seine Managed Fishery</w:t>
            </w:r>
          </w:p>
        </w:tc>
        <w:tc>
          <w:tcPr>
            <w:tcW w:w="3002" w:type="dxa"/>
          </w:tcPr>
          <w:p w:rsidR="00D84264" w:rsidRPr="004F6061" w:rsidRDefault="00D84264" w:rsidP="00D84264">
            <w:pPr>
              <w:pStyle w:val="ListParagraph"/>
              <w:numPr>
                <w:ilvl w:val="0"/>
                <w:numId w:val="32"/>
              </w:numPr>
              <w:tabs>
                <w:tab w:val="left" w:pos="1096"/>
              </w:tabs>
              <w:spacing w:after="120" w:line="240" w:lineRule="auto"/>
              <w:ind w:left="360"/>
              <w:contextualSpacing w:val="0"/>
              <w:rPr>
                <w:szCs w:val="24"/>
                <w:lang w:val="en"/>
              </w:rPr>
            </w:pPr>
            <w:r w:rsidRPr="004F6061">
              <w:rPr>
                <w:szCs w:val="24"/>
                <w:lang w:val="en"/>
              </w:rPr>
              <w:t>The specimen, or the fish or invertebrate from which it is derived, was taken lawfully;</w:t>
            </w:r>
          </w:p>
          <w:p w:rsidR="00D84264" w:rsidRPr="004F6061" w:rsidRDefault="00D84264" w:rsidP="00D84264">
            <w:pPr>
              <w:pStyle w:val="ListParagraph"/>
              <w:numPr>
                <w:ilvl w:val="0"/>
                <w:numId w:val="32"/>
              </w:numPr>
              <w:tabs>
                <w:tab w:val="left" w:pos="1096"/>
              </w:tabs>
              <w:spacing w:line="240" w:lineRule="auto"/>
              <w:ind w:left="360"/>
              <w:contextualSpacing w:val="0"/>
            </w:pPr>
            <w:r w:rsidRPr="004F6061">
              <w:rPr>
                <w:szCs w:val="24"/>
                <w:lang w:val="en"/>
              </w:rPr>
              <w:t>The specimens are covered by the declaration of an approved Wildlife Trade Operation under s.303FN of the Act in relation to the fishery.</w:t>
            </w:r>
          </w:p>
        </w:tc>
      </w:tr>
    </w:tbl>
    <w:p w:rsidR="00D84264" w:rsidRPr="007F708E" w:rsidRDefault="00D84264" w:rsidP="00D84264">
      <w:pPr>
        <w:rPr>
          <w:sz w:val="24"/>
          <w:szCs w:val="24"/>
        </w:rPr>
      </w:pPr>
    </w:p>
    <w:p w:rsidR="00D84264" w:rsidRPr="004F6061" w:rsidRDefault="00D84264" w:rsidP="00D84264">
      <w:pPr>
        <w:rPr>
          <w:szCs w:val="22"/>
        </w:rPr>
      </w:pPr>
      <w:r w:rsidRPr="004F6061">
        <w:rPr>
          <w:szCs w:val="22"/>
        </w:rPr>
        <w:t>The text contained in the</w:t>
      </w:r>
      <w:r>
        <w:rPr>
          <w:szCs w:val="22"/>
        </w:rPr>
        <w:t xml:space="preserve"> Common Name and</w:t>
      </w:r>
      <w:r w:rsidRPr="004F6061">
        <w:rPr>
          <w:szCs w:val="22"/>
        </w:rPr>
        <w:t xml:space="preserve"> Notation column</w:t>
      </w:r>
      <w:r>
        <w:rPr>
          <w:szCs w:val="22"/>
        </w:rPr>
        <w:t>s</w:t>
      </w:r>
      <w:r w:rsidRPr="004F6061">
        <w:rPr>
          <w:szCs w:val="22"/>
        </w:rPr>
        <w:t xml:space="preserve"> of the Schedule 1 entry for Western Australian West Coast Purse Seine Managed Fishery do not exactly match the text to be omitted as outlined in </w:t>
      </w:r>
      <w:r>
        <w:rPr>
          <w:szCs w:val="22"/>
        </w:rPr>
        <w:t xml:space="preserve">Schedule 1 of </w:t>
      </w:r>
      <w:r w:rsidRPr="004F6061">
        <w:rPr>
          <w:szCs w:val="22"/>
        </w:rPr>
        <w:t xml:space="preserve">the </w:t>
      </w:r>
      <w:r w:rsidRPr="00794579">
        <w:rPr>
          <w:i/>
          <w:szCs w:val="22"/>
        </w:rPr>
        <w:t>Amendment of List of Exempt Native Specimens – Western Australian West Coast Purse Seine Managed Fishery and Development Zones – January 2020</w:t>
      </w:r>
      <w:r w:rsidRPr="004F6061">
        <w:rPr>
          <w:szCs w:val="22"/>
        </w:rPr>
        <w:t>.</w:t>
      </w:r>
    </w:p>
    <w:p w:rsidR="00D84264" w:rsidRPr="002B7A60" w:rsidRDefault="00D84264" w:rsidP="00D84264">
      <w:pPr>
        <w:rPr>
          <w:szCs w:val="22"/>
        </w:rPr>
      </w:pPr>
    </w:p>
    <w:p w:rsidR="00D84264" w:rsidRPr="002B7A60" w:rsidRDefault="00D84264" w:rsidP="00D84264">
      <w:pPr>
        <w:rPr>
          <w:szCs w:val="22"/>
        </w:rPr>
      </w:pPr>
      <w:r w:rsidRPr="002B7A60">
        <w:rPr>
          <w:szCs w:val="22"/>
        </w:rPr>
        <w:t>This compilation was editorially changed to omit the Schedule 1 entry for Western Australian West Coast Purse Seine Managed Fishery and give effect to the misdescribed amendment as intended.</w:t>
      </w:r>
    </w:p>
    <w:p w:rsidR="0057491B" w:rsidRDefault="00526C86" w:rsidP="00CE3639">
      <w:pPr>
        <w:pStyle w:val="Head2"/>
        <w:keepLines/>
      </w:pPr>
      <w:r>
        <w:t>Private Health Insurance (National Joint Replacement Register Levy) Rule 2015</w:t>
      </w:r>
      <w:r w:rsidR="0057491B">
        <w:t>, Compilation No. 1,</w:t>
      </w:r>
      <w:r w:rsidR="0057491B" w:rsidRPr="003342C4">
        <w:t xml:space="preserve"> Registration Date:</w:t>
      </w:r>
      <w:r w:rsidR="0057491B">
        <w:t xml:space="preserve"> </w:t>
      </w:r>
      <w:r>
        <w:t>30</w:t>
      </w:r>
      <w:r w:rsidR="0057491B">
        <w:t> January 2020 [</w:t>
      </w:r>
      <w:r>
        <w:rPr>
          <w:bCs/>
        </w:rPr>
        <w:t>F</w:t>
      </w:r>
      <w:r w:rsidR="0057491B">
        <w:rPr>
          <w:bCs/>
        </w:rPr>
        <w:t>2020</w:t>
      </w:r>
      <w:r w:rsidR="0057491B" w:rsidRPr="005A1F2E">
        <w:rPr>
          <w:bCs/>
        </w:rPr>
        <w:t>C00</w:t>
      </w:r>
      <w:r w:rsidR="0057491B">
        <w:rPr>
          <w:bCs/>
        </w:rPr>
        <w:t>0</w:t>
      </w:r>
      <w:r>
        <w:rPr>
          <w:bCs/>
        </w:rPr>
        <w:t>88</w:t>
      </w:r>
      <w:r w:rsidR="0057491B">
        <w:t>]</w:t>
      </w:r>
    </w:p>
    <w:p w:rsidR="00526C86" w:rsidRPr="00F2598C" w:rsidRDefault="00526C86" w:rsidP="00CE3639">
      <w:pPr>
        <w:keepNext/>
        <w:keepLines/>
      </w:pPr>
    </w:p>
    <w:p w:rsidR="00526C86" w:rsidRPr="00B73E73" w:rsidRDefault="00526C86" w:rsidP="00CE3639">
      <w:pPr>
        <w:keepNext/>
        <w:keepLines/>
        <w:rPr>
          <w:b/>
          <w:sz w:val="24"/>
          <w:szCs w:val="24"/>
        </w:rPr>
      </w:pPr>
      <w:r w:rsidRPr="00B73E73">
        <w:rPr>
          <w:b/>
          <w:sz w:val="24"/>
          <w:szCs w:val="24"/>
        </w:rPr>
        <w:t>Subsection 7(4) (</w:t>
      </w:r>
      <w:r w:rsidRPr="00E85C43">
        <w:rPr>
          <w:b/>
          <w:sz w:val="24"/>
          <w:szCs w:val="24"/>
        </w:rPr>
        <w:t xml:space="preserve">paragraph (d) of the definition of </w:t>
      </w:r>
      <w:r w:rsidRPr="00E85C43">
        <w:rPr>
          <w:b/>
          <w:i/>
          <w:sz w:val="24"/>
          <w:szCs w:val="24"/>
        </w:rPr>
        <w:t xml:space="preserve">NJRR </w:t>
      </w:r>
      <w:r>
        <w:rPr>
          <w:b/>
          <w:i/>
          <w:sz w:val="24"/>
          <w:szCs w:val="24"/>
        </w:rPr>
        <w:t xml:space="preserve">funding </w:t>
      </w:r>
      <w:r w:rsidRPr="00282673">
        <w:rPr>
          <w:b/>
          <w:i/>
          <w:sz w:val="24"/>
          <w:szCs w:val="24"/>
        </w:rPr>
        <w:t>amount</w:t>
      </w:r>
      <w:r w:rsidRPr="00282673">
        <w:rPr>
          <w:b/>
          <w:sz w:val="24"/>
          <w:szCs w:val="24"/>
        </w:rPr>
        <w:t>)</w:t>
      </w:r>
    </w:p>
    <w:p w:rsidR="00526C86" w:rsidRPr="00335ADE" w:rsidRDefault="00526C86" w:rsidP="00CE3639">
      <w:pPr>
        <w:keepNext/>
        <w:keepLines/>
      </w:pPr>
    </w:p>
    <w:p w:rsidR="00526C86" w:rsidRPr="004549F1" w:rsidRDefault="00526C86" w:rsidP="00CE3639">
      <w:pPr>
        <w:keepNext/>
        <w:keepLines/>
        <w:rPr>
          <w:b/>
        </w:rPr>
      </w:pPr>
      <w:r w:rsidRPr="004549F1">
        <w:rPr>
          <w:b/>
        </w:rPr>
        <w:t>Kind of editorial change</w:t>
      </w:r>
    </w:p>
    <w:p w:rsidR="00526C86" w:rsidRPr="004549F1" w:rsidRDefault="00526C86" w:rsidP="00526C86"/>
    <w:p w:rsidR="00526C86" w:rsidRPr="00335ADE" w:rsidRDefault="00526C86" w:rsidP="00526C86">
      <w:r w:rsidRPr="00E2562F">
        <w:t>Give effect to the misdescribed amendment as intended</w:t>
      </w:r>
    </w:p>
    <w:p w:rsidR="00526C86" w:rsidRPr="004549F1" w:rsidRDefault="00526C86" w:rsidP="00526C86"/>
    <w:p w:rsidR="00526C86" w:rsidRPr="004549F1" w:rsidRDefault="00526C86" w:rsidP="00526C86">
      <w:pPr>
        <w:rPr>
          <w:b/>
        </w:rPr>
      </w:pPr>
      <w:r w:rsidRPr="004549F1">
        <w:rPr>
          <w:b/>
        </w:rPr>
        <w:t>Details of editorial change</w:t>
      </w:r>
    </w:p>
    <w:p w:rsidR="00526C86" w:rsidRPr="00335ADE" w:rsidRDefault="00526C86" w:rsidP="00526C86"/>
    <w:p w:rsidR="00526C86" w:rsidRDefault="00526C86" w:rsidP="00526C86">
      <w:r>
        <w:t xml:space="preserve">Schedule 1 item 1 of the </w:t>
      </w:r>
      <w:r w:rsidRPr="00282673">
        <w:rPr>
          <w:i/>
        </w:rPr>
        <w:t>Private Health Insurance (National Joint Replacement Register Levy) Amendment Rule 2019</w:t>
      </w:r>
      <w:r>
        <w:t xml:space="preserve"> provides as follows:</w:t>
      </w:r>
    </w:p>
    <w:p w:rsidR="00526C86" w:rsidRDefault="00526C86" w:rsidP="00526C86">
      <w:pPr>
        <w:pStyle w:val="ScheduleItem"/>
        <w:numPr>
          <w:ilvl w:val="0"/>
          <w:numId w:val="0"/>
        </w:numPr>
        <w:spacing w:before="240"/>
        <w:ind w:left="360" w:hanging="360"/>
      </w:pPr>
      <w:r>
        <w:t>1.</w:t>
      </w:r>
      <w:r>
        <w:tab/>
        <w:t>Subsection 7(4), paragraph (d) of the definition of NJRR amount</w:t>
      </w:r>
    </w:p>
    <w:p w:rsidR="00526C86" w:rsidRPr="0018146D" w:rsidRDefault="00526C86" w:rsidP="00526C86">
      <w:pPr>
        <w:pStyle w:val="ScheduleItem"/>
        <w:numPr>
          <w:ilvl w:val="0"/>
          <w:numId w:val="0"/>
        </w:numPr>
        <w:spacing w:before="0"/>
        <w:ind w:left="567" w:hanging="207"/>
        <w:rPr>
          <w:rFonts w:ascii="Times New Roman" w:hAnsi="Times New Roman"/>
          <w:b w:val="0"/>
          <w:sz w:val="22"/>
          <w:szCs w:val="22"/>
        </w:rPr>
      </w:pPr>
      <w:r>
        <w:rPr>
          <w:rFonts w:ascii="Times New Roman" w:hAnsi="Times New Roman"/>
          <w:b w:val="0"/>
          <w:sz w:val="22"/>
          <w:szCs w:val="22"/>
        </w:rPr>
        <w:t>Omit</w:t>
      </w:r>
      <w:r w:rsidRPr="00DC4DD3">
        <w:rPr>
          <w:rFonts w:ascii="Times New Roman" w:hAnsi="Times New Roman"/>
          <w:b w:val="0"/>
          <w:sz w:val="22"/>
          <w:szCs w:val="22"/>
        </w:rPr>
        <w:t xml:space="preserve"> “</w:t>
      </w:r>
      <w:r w:rsidRPr="0018146D">
        <w:rPr>
          <w:rFonts w:ascii="Times New Roman" w:hAnsi="Times New Roman"/>
          <w:b w:val="0"/>
          <w:sz w:val="22"/>
          <w:szCs w:val="22"/>
        </w:rPr>
        <w:t>$2 376 000</w:t>
      </w:r>
      <w:r>
        <w:rPr>
          <w:rFonts w:ascii="Times New Roman" w:hAnsi="Times New Roman"/>
          <w:b w:val="0"/>
          <w:sz w:val="22"/>
          <w:szCs w:val="22"/>
        </w:rPr>
        <w:t>.</w:t>
      </w:r>
      <w:r w:rsidRPr="00693F82">
        <w:rPr>
          <w:rFonts w:ascii="Times New Roman" w:hAnsi="Times New Roman"/>
          <w:b w:val="0"/>
          <w:sz w:val="22"/>
          <w:szCs w:val="22"/>
        </w:rPr>
        <w:t xml:space="preserve">” </w:t>
      </w:r>
      <w:r>
        <w:rPr>
          <w:rFonts w:ascii="Times New Roman" w:hAnsi="Times New Roman"/>
          <w:b w:val="0"/>
          <w:sz w:val="22"/>
          <w:szCs w:val="22"/>
        </w:rPr>
        <w:t>substitute</w:t>
      </w:r>
      <w:r w:rsidRPr="0018146D">
        <w:rPr>
          <w:rFonts w:ascii="Times New Roman" w:hAnsi="Times New Roman"/>
          <w:b w:val="0"/>
          <w:sz w:val="22"/>
          <w:szCs w:val="22"/>
        </w:rPr>
        <w:t xml:space="preserve"> “</w:t>
      </w:r>
      <w:r>
        <w:rPr>
          <w:rFonts w:ascii="Times New Roman" w:hAnsi="Times New Roman"/>
          <w:b w:val="0"/>
          <w:sz w:val="22"/>
          <w:szCs w:val="22"/>
        </w:rPr>
        <w:t>$</w:t>
      </w:r>
      <w:r w:rsidRPr="009964EC">
        <w:rPr>
          <w:rFonts w:ascii="Times New Roman" w:hAnsi="Times New Roman"/>
          <w:b w:val="0"/>
          <w:sz w:val="22"/>
          <w:szCs w:val="22"/>
        </w:rPr>
        <w:t>2 376 000</w:t>
      </w:r>
      <w:r w:rsidRPr="0018146D">
        <w:rPr>
          <w:rFonts w:ascii="Times New Roman" w:hAnsi="Times New Roman"/>
          <w:b w:val="0"/>
          <w:sz w:val="22"/>
          <w:szCs w:val="22"/>
        </w:rPr>
        <w:t>; or”.</w:t>
      </w:r>
    </w:p>
    <w:p w:rsidR="00526C86" w:rsidRDefault="00526C86" w:rsidP="00526C86"/>
    <w:p w:rsidR="00526C86" w:rsidRDefault="00526C86" w:rsidP="00526C86">
      <w:r>
        <w:t xml:space="preserve">The definition of </w:t>
      </w:r>
      <w:r w:rsidRPr="00282673">
        <w:rPr>
          <w:b/>
          <w:i/>
        </w:rPr>
        <w:t>NJRR amount</w:t>
      </w:r>
      <w:r w:rsidRPr="00282673">
        <w:t xml:space="preserve"> </w:t>
      </w:r>
      <w:r>
        <w:t xml:space="preserve">does not appear. However, the definition of </w:t>
      </w:r>
      <w:r w:rsidRPr="00BB17B9">
        <w:rPr>
          <w:b/>
          <w:i/>
        </w:rPr>
        <w:t xml:space="preserve">NJRR </w:t>
      </w:r>
      <w:r>
        <w:rPr>
          <w:b/>
          <w:i/>
        </w:rPr>
        <w:t xml:space="preserve">funding </w:t>
      </w:r>
      <w:r w:rsidRPr="00BB17B9">
        <w:rPr>
          <w:b/>
          <w:i/>
        </w:rPr>
        <w:t>amount</w:t>
      </w:r>
      <w:r w:rsidRPr="00BB17B9">
        <w:t xml:space="preserve"> </w:t>
      </w:r>
      <w:r>
        <w:t>does appear.</w:t>
      </w:r>
    </w:p>
    <w:p w:rsidR="00526C86" w:rsidRDefault="00526C86" w:rsidP="00526C86"/>
    <w:p w:rsidR="00526C86" w:rsidRDefault="00526C86" w:rsidP="00526C86">
      <w:r w:rsidRPr="006C07D7">
        <w:t>This compilation was editorially changed to omit “</w:t>
      </w:r>
      <w:r w:rsidRPr="0018146D">
        <w:rPr>
          <w:szCs w:val="22"/>
        </w:rPr>
        <w:t>$2</w:t>
      </w:r>
      <w:r>
        <w:rPr>
          <w:szCs w:val="22"/>
        </w:rPr>
        <w:t> </w:t>
      </w:r>
      <w:r w:rsidRPr="0018146D">
        <w:rPr>
          <w:szCs w:val="22"/>
        </w:rPr>
        <w:t>376 000</w:t>
      </w:r>
      <w:r>
        <w:rPr>
          <w:szCs w:val="22"/>
        </w:rPr>
        <w:t>.</w:t>
      </w:r>
      <w:r w:rsidRPr="006C07D7">
        <w:t>” and substitute “</w:t>
      </w:r>
      <w:r>
        <w:rPr>
          <w:szCs w:val="22"/>
        </w:rPr>
        <w:t>$</w:t>
      </w:r>
      <w:r w:rsidRPr="009964EC">
        <w:rPr>
          <w:szCs w:val="22"/>
        </w:rPr>
        <w:t>2</w:t>
      </w:r>
      <w:r>
        <w:rPr>
          <w:szCs w:val="22"/>
        </w:rPr>
        <w:t> </w:t>
      </w:r>
      <w:r w:rsidRPr="009964EC">
        <w:rPr>
          <w:szCs w:val="22"/>
        </w:rPr>
        <w:t>376</w:t>
      </w:r>
      <w:r>
        <w:rPr>
          <w:szCs w:val="22"/>
        </w:rPr>
        <w:t> </w:t>
      </w:r>
      <w:r w:rsidRPr="009964EC">
        <w:rPr>
          <w:szCs w:val="22"/>
        </w:rPr>
        <w:t>000</w:t>
      </w:r>
      <w:r w:rsidRPr="0018146D">
        <w:rPr>
          <w:szCs w:val="22"/>
        </w:rPr>
        <w:t>; or</w:t>
      </w:r>
      <w:r w:rsidRPr="006C07D7">
        <w:t xml:space="preserve">” in </w:t>
      </w:r>
      <w:r>
        <w:t>subsection 7(4)</w:t>
      </w:r>
      <w:r w:rsidRPr="006C07D7">
        <w:t xml:space="preserve"> (</w:t>
      </w:r>
      <w:r>
        <w:t xml:space="preserve">paragraph (d) of the definition of </w:t>
      </w:r>
      <w:r w:rsidRPr="00282673">
        <w:rPr>
          <w:b/>
          <w:i/>
        </w:rPr>
        <w:t>NJRR funding amount</w:t>
      </w:r>
      <w:r w:rsidRPr="006C07D7">
        <w:t xml:space="preserve">) </w:t>
      </w:r>
      <w:r>
        <w:t>to</w:t>
      </w:r>
      <w:r w:rsidRPr="006C07D7">
        <w:t xml:space="preserve"> give effect to the misdescribed amendment as intended.</w:t>
      </w:r>
    </w:p>
    <w:p w:rsidR="00526C86" w:rsidRDefault="00526C86" w:rsidP="00526C86"/>
    <w:p w:rsidR="00526C86" w:rsidRDefault="00526C86" w:rsidP="00526C86"/>
    <w:p w:rsidR="00526C86" w:rsidRPr="00CB505B" w:rsidRDefault="00526C86" w:rsidP="008F4C3C">
      <w:pPr>
        <w:keepNext/>
        <w:keepLines/>
        <w:rPr>
          <w:b/>
          <w:sz w:val="24"/>
          <w:szCs w:val="24"/>
        </w:rPr>
      </w:pPr>
      <w:r w:rsidRPr="00CB505B">
        <w:rPr>
          <w:b/>
          <w:sz w:val="24"/>
          <w:szCs w:val="24"/>
        </w:rPr>
        <w:lastRenderedPageBreak/>
        <w:t>Subsection 7(4) (paragraph (e</w:t>
      </w:r>
      <w:r w:rsidRPr="00C87BBF">
        <w:rPr>
          <w:b/>
          <w:sz w:val="24"/>
          <w:szCs w:val="24"/>
        </w:rPr>
        <w:t xml:space="preserve">) </w:t>
      </w:r>
      <w:r w:rsidRPr="00CB505B">
        <w:rPr>
          <w:b/>
          <w:sz w:val="24"/>
          <w:szCs w:val="24"/>
        </w:rPr>
        <w:t xml:space="preserve">of the definition of </w:t>
      </w:r>
      <w:r w:rsidRPr="00CB505B">
        <w:rPr>
          <w:b/>
          <w:i/>
          <w:sz w:val="24"/>
          <w:szCs w:val="24"/>
        </w:rPr>
        <w:t>NJRR funding amount</w:t>
      </w:r>
      <w:r w:rsidRPr="00CB505B">
        <w:rPr>
          <w:b/>
          <w:sz w:val="24"/>
          <w:szCs w:val="24"/>
        </w:rPr>
        <w:t>)</w:t>
      </w:r>
    </w:p>
    <w:p w:rsidR="00526C86" w:rsidRPr="00335ADE" w:rsidRDefault="00526C86" w:rsidP="008F4C3C">
      <w:pPr>
        <w:keepNext/>
        <w:keepLines/>
      </w:pPr>
    </w:p>
    <w:p w:rsidR="00526C86" w:rsidRPr="004549F1" w:rsidRDefault="00526C86" w:rsidP="00526C86">
      <w:pPr>
        <w:rPr>
          <w:b/>
        </w:rPr>
      </w:pPr>
      <w:r w:rsidRPr="004549F1">
        <w:rPr>
          <w:b/>
        </w:rPr>
        <w:t>Kind of editorial change</w:t>
      </w:r>
    </w:p>
    <w:p w:rsidR="00526C86" w:rsidRPr="004549F1" w:rsidRDefault="00526C86" w:rsidP="00526C86"/>
    <w:p w:rsidR="00526C86" w:rsidRPr="00335ADE" w:rsidRDefault="00526C86" w:rsidP="00526C86">
      <w:r>
        <w:t>Change to punctuation</w:t>
      </w:r>
    </w:p>
    <w:p w:rsidR="00526C86" w:rsidRPr="004549F1" w:rsidRDefault="00526C86" w:rsidP="00526C86"/>
    <w:p w:rsidR="00526C86" w:rsidRPr="004549F1" w:rsidRDefault="00526C86" w:rsidP="00526C86">
      <w:pPr>
        <w:rPr>
          <w:b/>
        </w:rPr>
      </w:pPr>
      <w:r w:rsidRPr="004549F1">
        <w:rPr>
          <w:b/>
        </w:rPr>
        <w:t>Details of editorial change</w:t>
      </w:r>
    </w:p>
    <w:p w:rsidR="00526C86" w:rsidRPr="00335ADE" w:rsidRDefault="00526C86" w:rsidP="00526C86"/>
    <w:p w:rsidR="00526C86" w:rsidRDefault="00526C86" w:rsidP="00526C86">
      <w:r>
        <w:t xml:space="preserve">Schedule 1 item 2 of the </w:t>
      </w:r>
      <w:r w:rsidRPr="00F26440">
        <w:rPr>
          <w:i/>
        </w:rPr>
        <w:t>Private Health Insurance (National Joint Replacement Register Levy) Amendment Rule 2019</w:t>
      </w:r>
      <w:r>
        <w:t xml:space="preserve"> provides as follows:</w:t>
      </w:r>
    </w:p>
    <w:p w:rsidR="00526C86" w:rsidRDefault="00526C86" w:rsidP="00526C86">
      <w:pPr>
        <w:pStyle w:val="ScheduleItem"/>
        <w:numPr>
          <w:ilvl w:val="0"/>
          <w:numId w:val="0"/>
        </w:numPr>
        <w:spacing w:before="240"/>
        <w:ind w:left="360" w:hanging="360"/>
      </w:pPr>
      <w:r>
        <w:t>2.</w:t>
      </w:r>
      <w:r>
        <w:tab/>
        <w:t xml:space="preserve">Subsection 7(4) (at the end of the definition of </w:t>
      </w:r>
      <w:r w:rsidRPr="00DC4DD3">
        <w:rPr>
          <w:i/>
        </w:rPr>
        <w:t>NJRR funding amount</w:t>
      </w:r>
      <w:r>
        <w:t>)</w:t>
      </w:r>
    </w:p>
    <w:p w:rsidR="00526C86" w:rsidRPr="00316381" w:rsidRDefault="00526C86" w:rsidP="00526C86">
      <w:pPr>
        <w:pStyle w:val="Item"/>
      </w:pPr>
      <w:r>
        <w:rPr>
          <w:iCs/>
          <w:lang w:val="en-US"/>
        </w:rPr>
        <w:t>Add:</w:t>
      </w:r>
    </w:p>
    <w:p w:rsidR="00526C86" w:rsidRPr="00636E23" w:rsidRDefault="00526C86" w:rsidP="00526C86">
      <w:pPr>
        <w:pStyle w:val="Item"/>
      </w:pPr>
      <w:r w:rsidRPr="00DC4DD3">
        <w:rPr>
          <w:iCs/>
          <w:lang w:val="en-US"/>
        </w:rPr>
        <w:t>(e)</w:t>
      </w:r>
      <w:r>
        <w:rPr>
          <w:lang w:val="en-US"/>
        </w:rPr>
        <w:t xml:space="preserve"> for the levy day on 30 November of any financial year after 31 October 2018</w:t>
      </w:r>
      <w:r>
        <w:rPr>
          <w:lang w:val="en-US"/>
        </w:rPr>
        <w:noBreakHyphen/>
        <w:t xml:space="preserve"> $2 376 000.</w:t>
      </w:r>
    </w:p>
    <w:p w:rsidR="00526C86" w:rsidRDefault="00526C86" w:rsidP="00526C86"/>
    <w:p w:rsidR="00526C86" w:rsidRDefault="00526C86" w:rsidP="00526C86">
      <w:r>
        <w:t xml:space="preserve">This compilation was editorially changed to omit the hyphen and insert an em rule </w:t>
      </w:r>
      <w:r w:rsidRPr="006C07D7">
        <w:t xml:space="preserve">in </w:t>
      </w:r>
      <w:r>
        <w:t>subsection 7(4)</w:t>
      </w:r>
      <w:r w:rsidRPr="006C07D7">
        <w:t xml:space="preserve"> (</w:t>
      </w:r>
      <w:r>
        <w:t xml:space="preserve">paragraph (e) of the definition of </w:t>
      </w:r>
      <w:r w:rsidRPr="00C87BBF">
        <w:rPr>
          <w:b/>
          <w:i/>
        </w:rPr>
        <w:t>NJRR funding amount</w:t>
      </w:r>
      <w:r w:rsidRPr="006C07D7">
        <w:t>)</w:t>
      </w:r>
      <w:r>
        <w:t xml:space="preserve"> to bring it into line with legislative drafting practice.</w:t>
      </w:r>
    </w:p>
    <w:p w:rsidR="0070541A" w:rsidRDefault="0070541A" w:rsidP="00CE7A1E">
      <w:pPr>
        <w:pStyle w:val="Head2"/>
        <w:keepLines/>
      </w:pPr>
      <w:r w:rsidRPr="009A5632">
        <w:t>Aged Care Quality and Safety Commission Act 2018</w:t>
      </w:r>
      <w:r>
        <w:t>, Compilation No. 1,</w:t>
      </w:r>
      <w:r w:rsidRPr="003342C4">
        <w:t xml:space="preserve"> Registration Date:</w:t>
      </w:r>
      <w:r>
        <w:t xml:space="preserve"> 28 January 2020 [</w:t>
      </w:r>
      <w:r>
        <w:rPr>
          <w:bCs/>
        </w:rPr>
        <w:t>C2020</w:t>
      </w:r>
      <w:r w:rsidRPr="005A1F2E">
        <w:rPr>
          <w:bCs/>
        </w:rPr>
        <w:t>C00</w:t>
      </w:r>
      <w:r>
        <w:rPr>
          <w:bCs/>
        </w:rPr>
        <w:t>046</w:t>
      </w:r>
      <w:r>
        <w:t>]</w:t>
      </w:r>
    </w:p>
    <w:p w:rsidR="0070541A" w:rsidRPr="009A5632" w:rsidRDefault="0070541A" w:rsidP="00CE7A1E">
      <w:pPr>
        <w:keepNext/>
        <w:keepLines/>
      </w:pPr>
    </w:p>
    <w:p w:rsidR="0070541A" w:rsidRPr="009A5632" w:rsidRDefault="0070541A" w:rsidP="00CE7A1E">
      <w:pPr>
        <w:keepNext/>
        <w:keepLines/>
        <w:rPr>
          <w:b/>
          <w:sz w:val="24"/>
          <w:szCs w:val="24"/>
        </w:rPr>
      </w:pPr>
      <w:r w:rsidRPr="009A5632">
        <w:rPr>
          <w:b/>
          <w:sz w:val="24"/>
          <w:szCs w:val="24"/>
        </w:rPr>
        <w:t>Paragraph 61(1)(f)</w:t>
      </w:r>
    </w:p>
    <w:p w:rsidR="0070541A" w:rsidRPr="00965276" w:rsidRDefault="0070541A" w:rsidP="00CE7A1E">
      <w:pPr>
        <w:keepNext/>
        <w:keepLines/>
      </w:pPr>
    </w:p>
    <w:p w:rsidR="0070541A" w:rsidRPr="009A5632" w:rsidRDefault="0070541A" w:rsidP="00CE7A1E">
      <w:pPr>
        <w:keepNext/>
        <w:keepLines/>
        <w:rPr>
          <w:b/>
        </w:rPr>
      </w:pPr>
      <w:r w:rsidRPr="009A5632">
        <w:rPr>
          <w:b/>
        </w:rPr>
        <w:t>Kind of editorial change</w:t>
      </w:r>
    </w:p>
    <w:p w:rsidR="0070541A" w:rsidRPr="009A5632" w:rsidRDefault="0070541A" w:rsidP="0070541A"/>
    <w:p w:rsidR="0070541A" w:rsidRPr="009A5632" w:rsidRDefault="0070541A" w:rsidP="0070541A">
      <w:r w:rsidRPr="009A5632">
        <w:t>Give effect to the misdescribed amendment as intended</w:t>
      </w:r>
    </w:p>
    <w:p w:rsidR="0070541A" w:rsidRPr="009A5632" w:rsidRDefault="0070541A" w:rsidP="0070541A"/>
    <w:p w:rsidR="0070541A" w:rsidRPr="009A5632" w:rsidRDefault="0070541A" w:rsidP="0070541A">
      <w:pPr>
        <w:rPr>
          <w:b/>
        </w:rPr>
      </w:pPr>
      <w:r w:rsidRPr="009A5632">
        <w:rPr>
          <w:b/>
        </w:rPr>
        <w:t>Details of editorial change</w:t>
      </w:r>
    </w:p>
    <w:p w:rsidR="0070541A" w:rsidRPr="00965276" w:rsidRDefault="0070541A" w:rsidP="0070541A"/>
    <w:p w:rsidR="0070541A" w:rsidRPr="009A5632" w:rsidRDefault="0070541A" w:rsidP="0070541A">
      <w:r w:rsidRPr="009A5632">
        <w:t>Schedule</w:t>
      </w:r>
      <w:r>
        <w:t> </w:t>
      </w:r>
      <w:r w:rsidRPr="009A5632">
        <w:t>2 item</w:t>
      </w:r>
      <w:r>
        <w:t> </w:t>
      </w:r>
      <w:r w:rsidRPr="009A5632">
        <w:t xml:space="preserve">49 of the </w:t>
      </w:r>
      <w:r w:rsidRPr="009A5632">
        <w:rPr>
          <w:i/>
          <w:iCs/>
        </w:rPr>
        <w:t>Aged Care Legislation Amendment (New Commissio</w:t>
      </w:r>
      <w:bookmarkStart w:id="5" w:name="opcCurrentPosition"/>
      <w:bookmarkEnd w:id="5"/>
      <w:r w:rsidRPr="009A5632">
        <w:rPr>
          <w:i/>
          <w:iCs/>
        </w:rPr>
        <w:t>ner Functions) Act 2019</w:t>
      </w:r>
      <w:r w:rsidRPr="009A5632">
        <w:t xml:space="preserve"> instructs to omit “</w:t>
      </w:r>
      <w:r w:rsidRPr="009A5632">
        <w:rPr>
          <w:color w:val="000000"/>
          <w:szCs w:val="22"/>
        </w:rPr>
        <w:t>; and”, and substitute “; or” in paragraphs 61(1)(a) to (g).</w:t>
      </w:r>
    </w:p>
    <w:p w:rsidR="0070541A" w:rsidRPr="009A5632" w:rsidRDefault="0070541A" w:rsidP="0070541A"/>
    <w:p w:rsidR="0070541A" w:rsidRPr="009A5632" w:rsidRDefault="0070541A" w:rsidP="0070541A">
      <w:r w:rsidRPr="009A5632">
        <w:t>The amendment to paragraphs 61(1)(a) to (e) and (g) omits and substitutes the punctuation and conjunction at the end of the paragraphs.</w:t>
      </w:r>
    </w:p>
    <w:p w:rsidR="0070541A" w:rsidRPr="009A5632" w:rsidRDefault="0070541A" w:rsidP="0070541A"/>
    <w:p w:rsidR="0070541A" w:rsidRPr="009A5632" w:rsidRDefault="0070541A" w:rsidP="0070541A">
      <w:r w:rsidRPr="009A5632">
        <w:t>However, paragraph</w:t>
      </w:r>
      <w:r>
        <w:t> </w:t>
      </w:r>
      <w:r w:rsidRPr="009A5632">
        <w:t>61(1)(f) contains two occurrences of “; and”. The paragraph reads as follows:</w:t>
      </w:r>
    </w:p>
    <w:p w:rsidR="0070541A" w:rsidRPr="009A5632" w:rsidRDefault="0070541A" w:rsidP="0070541A"/>
    <w:p w:rsidR="0070541A" w:rsidRPr="009A5632" w:rsidRDefault="0070541A" w:rsidP="0070541A">
      <w:pPr>
        <w:pStyle w:val="paragraph"/>
        <w:keepNext/>
      </w:pPr>
      <w:r w:rsidRPr="009A5632">
        <w:tab/>
        <w:t>(f)</w:t>
      </w:r>
      <w:r w:rsidRPr="009A5632">
        <w:tab/>
        <w:t>if the Commissioner believes, on reasonable grounds, that:</w:t>
      </w:r>
    </w:p>
    <w:p w:rsidR="0070541A" w:rsidRPr="009A5632" w:rsidRDefault="0070541A" w:rsidP="0070541A">
      <w:pPr>
        <w:pStyle w:val="paragraphsub"/>
      </w:pPr>
      <w:r w:rsidRPr="009A5632">
        <w:tab/>
        <w:t>(i)</w:t>
      </w:r>
      <w:r w:rsidRPr="009A5632">
        <w:tab/>
        <w:t>a person’s conduct breaches the standards of professional conduct of a profession of which the person is a member; and</w:t>
      </w:r>
    </w:p>
    <w:p w:rsidR="0070541A" w:rsidRPr="009A5632" w:rsidRDefault="0070541A" w:rsidP="0070541A">
      <w:pPr>
        <w:pStyle w:val="paragraphsub"/>
        <w:keepNext/>
      </w:pPr>
      <w:r w:rsidRPr="009A5632">
        <w:tab/>
        <w:t>(ii)</w:t>
      </w:r>
      <w:r w:rsidRPr="009A5632">
        <w:tab/>
        <w:t>the person should be reported to a body responsible for standards of conduct in the profession;</w:t>
      </w:r>
    </w:p>
    <w:p w:rsidR="0070541A" w:rsidRPr="009A5632" w:rsidRDefault="0070541A" w:rsidP="0070541A">
      <w:pPr>
        <w:pStyle w:val="paragraph"/>
      </w:pPr>
      <w:r w:rsidRPr="009A5632">
        <w:tab/>
      </w:r>
      <w:r w:rsidRPr="009A5632">
        <w:tab/>
        <w:t>to that body, for the purposes of maintaining standards of professional conduct in the profession; and</w:t>
      </w:r>
    </w:p>
    <w:p w:rsidR="0070541A" w:rsidRPr="009A5632" w:rsidRDefault="0070541A" w:rsidP="0070541A"/>
    <w:p w:rsidR="0070541A" w:rsidRPr="009A5632" w:rsidRDefault="0070541A" w:rsidP="0070541A">
      <w:r w:rsidRPr="009A5632">
        <w:t>This compilation was editorially changed to omit</w:t>
      </w:r>
      <w:r>
        <w:t xml:space="preserve"> </w:t>
      </w:r>
      <w:r w:rsidRPr="009A5632">
        <w:t>“; and” (second occurring) from paragraph</w:t>
      </w:r>
      <w:r>
        <w:t> </w:t>
      </w:r>
      <w:r w:rsidRPr="009A5632">
        <w:t xml:space="preserve">61(1)(f) and substitute </w:t>
      </w:r>
      <w:r w:rsidRPr="009A5632">
        <w:rPr>
          <w:color w:val="000000"/>
          <w:szCs w:val="22"/>
        </w:rPr>
        <w:t>“; or”</w:t>
      </w:r>
      <w:r w:rsidRPr="009A5632">
        <w:t xml:space="preserve"> to give effect to the misdescribed amendment as intended.</w:t>
      </w:r>
    </w:p>
    <w:p w:rsidR="009A5CD2" w:rsidRDefault="009A5CD2" w:rsidP="00145202">
      <w:pPr>
        <w:pStyle w:val="Head2"/>
        <w:keepLines/>
      </w:pPr>
      <w:r w:rsidRPr="00F063EA">
        <w:lastRenderedPageBreak/>
        <w:t>Ozone Protection and Synthetic Greenhouse Gas Management Regulations</w:t>
      </w:r>
      <w:r>
        <w:t> </w:t>
      </w:r>
      <w:r w:rsidRPr="00F063EA">
        <w:t>1995</w:t>
      </w:r>
      <w:r>
        <w:t>, Compilation No. 38,</w:t>
      </w:r>
      <w:r w:rsidRPr="003342C4">
        <w:t xml:space="preserve"> Registration Date:</w:t>
      </w:r>
      <w:r>
        <w:t xml:space="preserve"> 28 January 2020 [</w:t>
      </w:r>
      <w:r>
        <w:rPr>
          <w:bCs/>
        </w:rPr>
        <w:t>F2020</w:t>
      </w:r>
      <w:r w:rsidRPr="005A1F2E">
        <w:rPr>
          <w:bCs/>
        </w:rPr>
        <w:t>C00</w:t>
      </w:r>
      <w:r>
        <w:rPr>
          <w:bCs/>
        </w:rPr>
        <w:t>077</w:t>
      </w:r>
      <w:r>
        <w:t>]</w:t>
      </w:r>
    </w:p>
    <w:p w:rsidR="009A5CD2" w:rsidRPr="00F063EA" w:rsidRDefault="009A5CD2" w:rsidP="00145202">
      <w:pPr>
        <w:keepNext/>
        <w:keepLines/>
      </w:pPr>
    </w:p>
    <w:p w:rsidR="009A5CD2" w:rsidRPr="00F063EA" w:rsidRDefault="009A5CD2" w:rsidP="00145202">
      <w:pPr>
        <w:keepNext/>
        <w:keepLines/>
        <w:rPr>
          <w:b/>
          <w:sz w:val="24"/>
          <w:szCs w:val="24"/>
        </w:rPr>
      </w:pPr>
      <w:r w:rsidRPr="00F063EA">
        <w:rPr>
          <w:b/>
          <w:sz w:val="24"/>
          <w:szCs w:val="24"/>
        </w:rPr>
        <w:t>Regulation</w:t>
      </w:r>
      <w:r>
        <w:rPr>
          <w:b/>
          <w:sz w:val="24"/>
          <w:szCs w:val="24"/>
        </w:rPr>
        <w:t> </w:t>
      </w:r>
      <w:r w:rsidRPr="00F063EA">
        <w:rPr>
          <w:b/>
          <w:sz w:val="24"/>
          <w:szCs w:val="24"/>
        </w:rPr>
        <w:t>301</w:t>
      </w:r>
    </w:p>
    <w:p w:rsidR="009A5CD2" w:rsidRPr="00F063EA" w:rsidRDefault="009A5CD2" w:rsidP="00145202">
      <w:pPr>
        <w:keepNext/>
        <w:keepLines/>
      </w:pPr>
    </w:p>
    <w:p w:rsidR="009A5CD2" w:rsidRPr="00F063EA" w:rsidRDefault="009A5CD2" w:rsidP="00145202">
      <w:pPr>
        <w:keepNext/>
        <w:keepLines/>
        <w:rPr>
          <w:b/>
        </w:rPr>
      </w:pPr>
      <w:r w:rsidRPr="00F063EA">
        <w:rPr>
          <w:b/>
        </w:rPr>
        <w:t>Kind of editorial change</w:t>
      </w:r>
    </w:p>
    <w:p w:rsidR="009A5CD2" w:rsidRPr="00F063EA" w:rsidRDefault="009A5CD2" w:rsidP="00145202">
      <w:pPr>
        <w:keepNext/>
        <w:keepLines/>
      </w:pPr>
    </w:p>
    <w:p w:rsidR="009A5CD2" w:rsidRPr="00F063EA" w:rsidRDefault="009A5CD2" w:rsidP="009A5CD2">
      <w:r w:rsidRPr="00F063EA">
        <w:t>Reordering of definitions</w:t>
      </w:r>
    </w:p>
    <w:p w:rsidR="009A5CD2" w:rsidRPr="00F063EA" w:rsidRDefault="009A5CD2" w:rsidP="009A5CD2"/>
    <w:p w:rsidR="009A5CD2" w:rsidRPr="00F063EA" w:rsidRDefault="009A5CD2" w:rsidP="009A5CD2">
      <w:pPr>
        <w:rPr>
          <w:b/>
        </w:rPr>
      </w:pPr>
      <w:r w:rsidRPr="00F063EA">
        <w:rPr>
          <w:b/>
        </w:rPr>
        <w:t>Details of editorial change</w:t>
      </w:r>
    </w:p>
    <w:p w:rsidR="009A5CD2" w:rsidRPr="00F063EA" w:rsidRDefault="009A5CD2" w:rsidP="009A5CD2"/>
    <w:p w:rsidR="009A5CD2" w:rsidRPr="00F063EA" w:rsidRDefault="009A5CD2" w:rsidP="009A5CD2">
      <w:r w:rsidRPr="00F063EA">
        <w:t xml:space="preserve">This compilation was editorially changed to move the definition of </w:t>
      </w:r>
      <w:r w:rsidRPr="00F063EA">
        <w:rPr>
          <w:b/>
          <w:i/>
        </w:rPr>
        <w:t>fire protection equipment</w:t>
      </w:r>
      <w:r w:rsidRPr="00F063EA">
        <w:t xml:space="preserve"> in regulation</w:t>
      </w:r>
      <w:r>
        <w:t> </w:t>
      </w:r>
      <w:r w:rsidRPr="00F063EA">
        <w:t>301 to the correct alphabetical position.</w:t>
      </w:r>
    </w:p>
    <w:p w:rsidR="00C75C52" w:rsidRDefault="00C75C52" w:rsidP="00CE7A1E">
      <w:pPr>
        <w:pStyle w:val="Head2"/>
        <w:keepLines/>
      </w:pPr>
      <w:r w:rsidRPr="00EE70B2">
        <w:t>Civil Aviation Safety Amendment (Part</w:t>
      </w:r>
      <w:r>
        <w:t> </w:t>
      </w:r>
      <w:r w:rsidRPr="00EE70B2">
        <w:t>91) Regulations</w:t>
      </w:r>
      <w:r>
        <w:t> </w:t>
      </w:r>
      <w:r w:rsidRPr="00EE70B2">
        <w:t>2018</w:t>
      </w:r>
      <w:r>
        <w:t>, Compilation No. 1,</w:t>
      </w:r>
      <w:r w:rsidRPr="003342C4">
        <w:t xml:space="preserve"> Registration Date:</w:t>
      </w:r>
      <w:r>
        <w:t xml:space="preserve"> 23 January 2020 [</w:t>
      </w:r>
      <w:r>
        <w:rPr>
          <w:bCs/>
        </w:rPr>
        <w:t>F2020</w:t>
      </w:r>
      <w:r w:rsidRPr="005A1F2E">
        <w:rPr>
          <w:bCs/>
        </w:rPr>
        <w:t>C00</w:t>
      </w:r>
      <w:r>
        <w:rPr>
          <w:bCs/>
        </w:rPr>
        <w:t>067</w:t>
      </w:r>
      <w:r>
        <w:t>]</w:t>
      </w:r>
    </w:p>
    <w:p w:rsidR="00C75C52" w:rsidRPr="00EE70B2" w:rsidRDefault="00C75C52" w:rsidP="00CE7A1E">
      <w:pPr>
        <w:keepNext/>
        <w:keepLines/>
      </w:pPr>
    </w:p>
    <w:p w:rsidR="00C75C52" w:rsidRPr="00EE70B2" w:rsidRDefault="00C75C52" w:rsidP="00CE7A1E">
      <w:pPr>
        <w:keepNext/>
        <w:keepLines/>
        <w:rPr>
          <w:b/>
          <w:sz w:val="24"/>
          <w:szCs w:val="24"/>
        </w:rPr>
      </w:pPr>
      <w:r w:rsidRPr="00EE70B2">
        <w:rPr>
          <w:b/>
          <w:sz w:val="24"/>
          <w:szCs w:val="24"/>
        </w:rPr>
        <w:t>Item</w:t>
      </w:r>
      <w:r>
        <w:rPr>
          <w:b/>
          <w:sz w:val="24"/>
          <w:szCs w:val="24"/>
        </w:rPr>
        <w:t> </w:t>
      </w:r>
      <w:r w:rsidRPr="00EE70B2">
        <w:rPr>
          <w:b/>
          <w:sz w:val="24"/>
          <w:szCs w:val="24"/>
        </w:rPr>
        <w:t>1 of Schedule</w:t>
      </w:r>
      <w:r>
        <w:rPr>
          <w:b/>
          <w:sz w:val="24"/>
          <w:szCs w:val="24"/>
        </w:rPr>
        <w:t> </w:t>
      </w:r>
      <w:r w:rsidRPr="00EE70B2">
        <w:rPr>
          <w:b/>
          <w:sz w:val="24"/>
          <w:szCs w:val="24"/>
        </w:rPr>
        <w:t>1 (subregulation</w:t>
      </w:r>
      <w:r>
        <w:rPr>
          <w:b/>
          <w:sz w:val="24"/>
          <w:szCs w:val="24"/>
        </w:rPr>
        <w:t> </w:t>
      </w:r>
      <w:r w:rsidRPr="00EE70B2">
        <w:rPr>
          <w:b/>
          <w:sz w:val="24"/>
          <w:szCs w:val="24"/>
        </w:rPr>
        <w:t>91.035(1))</w:t>
      </w:r>
    </w:p>
    <w:p w:rsidR="00C75C52" w:rsidRPr="00EE70B2" w:rsidRDefault="00C75C52" w:rsidP="00C75C52"/>
    <w:p w:rsidR="00C75C52" w:rsidRPr="00EE70B2" w:rsidRDefault="00C75C52" w:rsidP="00C75C52">
      <w:pPr>
        <w:rPr>
          <w:b/>
        </w:rPr>
      </w:pPr>
      <w:r w:rsidRPr="00EE70B2">
        <w:rPr>
          <w:b/>
        </w:rPr>
        <w:t>Kind of editorial change</w:t>
      </w:r>
    </w:p>
    <w:p w:rsidR="00C75C52" w:rsidRPr="00EE70B2" w:rsidRDefault="00C75C52" w:rsidP="00C75C52"/>
    <w:p w:rsidR="00C75C52" w:rsidRPr="00EE70B2" w:rsidRDefault="00C75C52" w:rsidP="00C75C52">
      <w:r w:rsidRPr="00EE70B2">
        <w:t>Give effect to the misdescribed amendment as intended</w:t>
      </w:r>
    </w:p>
    <w:p w:rsidR="00C75C52" w:rsidRPr="00EE70B2" w:rsidRDefault="00C75C52" w:rsidP="00C75C52"/>
    <w:p w:rsidR="00C75C52" w:rsidRPr="00EE70B2" w:rsidRDefault="00C75C52" w:rsidP="00C75C52">
      <w:pPr>
        <w:rPr>
          <w:b/>
        </w:rPr>
      </w:pPr>
      <w:r w:rsidRPr="00EE70B2">
        <w:rPr>
          <w:b/>
        </w:rPr>
        <w:t>Details of editorial change</w:t>
      </w:r>
    </w:p>
    <w:p w:rsidR="00C75C52" w:rsidRPr="00EE70B2" w:rsidRDefault="00C75C52" w:rsidP="00C75C52"/>
    <w:p w:rsidR="00C75C52" w:rsidRPr="00EE70B2" w:rsidRDefault="00C75C52" w:rsidP="00C75C52">
      <w:r w:rsidRPr="00EE70B2">
        <w:t>Schedule</w:t>
      </w:r>
      <w:r>
        <w:t> </w:t>
      </w:r>
      <w:r w:rsidRPr="00EE70B2">
        <w:t>4 item</w:t>
      </w:r>
      <w:r>
        <w:t> </w:t>
      </w:r>
      <w:r w:rsidRPr="00EE70B2">
        <w:t xml:space="preserve">9 of the </w:t>
      </w:r>
      <w:r w:rsidRPr="00EE70B2">
        <w:rPr>
          <w:i/>
        </w:rPr>
        <w:t>Civil Aviation Legislation Amendment (Parts</w:t>
      </w:r>
      <w:r>
        <w:rPr>
          <w:i/>
        </w:rPr>
        <w:t> </w:t>
      </w:r>
      <w:r w:rsidRPr="00EE70B2">
        <w:rPr>
          <w:i/>
        </w:rPr>
        <w:t>103, 105 and 131) Regulations</w:t>
      </w:r>
      <w:r>
        <w:rPr>
          <w:i/>
        </w:rPr>
        <w:t> </w:t>
      </w:r>
      <w:r w:rsidRPr="00EE70B2">
        <w:rPr>
          <w:i/>
        </w:rPr>
        <w:t>2019</w:t>
      </w:r>
      <w:r w:rsidRPr="00EE70B2">
        <w:t xml:space="preserve"> instructs to insert “105,” after “provision of Part”.</w:t>
      </w:r>
    </w:p>
    <w:p w:rsidR="00C75C52" w:rsidRPr="00EE70B2" w:rsidRDefault="00C75C52" w:rsidP="00C75C52"/>
    <w:p w:rsidR="00C75C52" w:rsidRPr="00EE70B2" w:rsidRDefault="00C75C52" w:rsidP="00C75C52">
      <w:r w:rsidRPr="00EE70B2">
        <w:t>The words “provision of Part” appear twice in item</w:t>
      </w:r>
      <w:r>
        <w:t> </w:t>
      </w:r>
      <w:r w:rsidRPr="00EE70B2">
        <w:t>1 of Schedule</w:t>
      </w:r>
      <w:r>
        <w:t> </w:t>
      </w:r>
      <w:r w:rsidRPr="00EE70B2">
        <w:t>1 (subregulation</w:t>
      </w:r>
      <w:r>
        <w:t> </w:t>
      </w:r>
      <w:r w:rsidRPr="00EE70B2">
        <w:t>91.035(1)).</w:t>
      </w:r>
    </w:p>
    <w:p w:rsidR="00C75C52" w:rsidRPr="00EE70B2" w:rsidRDefault="00C75C52" w:rsidP="00C75C52"/>
    <w:p w:rsidR="00C75C52" w:rsidRPr="00EE70B2" w:rsidRDefault="00C75C52" w:rsidP="00C75C52">
      <w:r w:rsidRPr="00EE70B2">
        <w:t>This compilation was editorially changed to insert “105,” after “provision of Part” (second occurring) and give effect to the misdescribed amendment as intended.</w:t>
      </w:r>
    </w:p>
    <w:p w:rsidR="00C75C52" w:rsidRPr="00EE70B2" w:rsidRDefault="00C75C52" w:rsidP="00C75C52"/>
    <w:p w:rsidR="00C75C52" w:rsidRPr="00EE70B2" w:rsidRDefault="00C75C52" w:rsidP="00C75C52"/>
    <w:p w:rsidR="00C75C52" w:rsidRPr="00EE70B2" w:rsidRDefault="00C75C52" w:rsidP="00C75C52">
      <w:pPr>
        <w:rPr>
          <w:b/>
          <w:sz w:val="24"/>
          <w:szCs w:val="24"/>
        </w:rPr>
      </w:pPr>
      <w:r w:rsidRPr="00EE70B2">
        <w:rPr>
          <w:b/>
          <w:sz w:val="24"/>
          <w:szCs w:val="24"/>
        </w:rPr>
        <w:t>Item</w:t>
      </w:r>
      <w:r>
        <w:rPr>
          <w:b/>
          <w:sz w:val="24"/>
          <w:szCs w:val="24"/>
        </w:rPr>
        <w:t> </w:t>
      </w:r>
      <w:r w:rsidRPr="00EE70B2">
        <w:rPr>
          <w:b/>
          <w:sz w:val="24"/>
          <w:szCs w:val="24"/>
        </w:rPr>
        <w:t>1 of Schedule</w:t>
      </w:r>
      <w:r>
        <w:rPr>
          <w:b/>
          <w:sz w:val="24"/>
          <w:szCs w:val="24"/>
        </w:rPr>
        <w:t> </w:t>
      </w:r>
      <w:r w:rsidRPr="00EE70B2">
        <w:rPr>
          <w:b/>
          <w:sz w:val="24"/>
          <w:szCs w:val="24"/>
        </w:rPr>
        <w:t>1 (subregulation</w:t>
      </w:r>
      <w:r>
        <w:rPr>
          <w:b/>
          <w:sz w:val="24"/>
          <w:szCs w:val="24"/>
        </w:rPr>
        <w:t> </w:t>
      </w:r>
      <w:r w:rsidRPr="00EE70B2">
        <w:rPr>
          <w:b/>
          <w:sz w:val="24"/>
          <w:szCs w:val="24"/>
        </w:rPr>
        <w:t>91.385(2))</w:t>
      </w:r>
    </w:p>
    <w:p w:rsidR="00C75C52" w:rsidRPr="00EE70B2" w:rsidRDefault="00C75C52" w:rsidP="00C75C52"/>
    <w:p w:rsidR="00C75C52" w:rsidRPr="00EE70B2" w:rsidRDefault="00C75C52" w:rsidP="00C75C52">
      <w:pPr>
        <w:rPr>
          <w:b/>
        </w:rPr>
      </w:pPr>
      <w:r w:rsidRPr="00EE70B2">
        <w:rPr>
          <w:b/>
        </w:rPr>
        <w:t>Kind of editorial change</w:t>
      </w:r>
    </w:p>
    <w:p w:rsidR="00C75C52" w:rsidRPr="00EE70B2" w:rsidRDefault="00C75C52" w:rsidP="00C75C52"/>
    <w:p w:rsidR="00C75C52" w:rsidRPr="00EE70B2" w:rsidRDefault="00C75C52" w:rsidP="00C75C52">
      <w:r w:rsidRPr="00EE70B2">
        <w:t>Changes to grammar, syntax or the use of conjunctives or disjunctives</w:t>
      </w:r>
    </w:p>
    <w:p w:rsidR="00C75C52" w:rsidRPr="00EE70B2" w:rsidRDefault="00C75C52" w:rsidP="00C75C52"/>
    <w:p w:rsidR="00C75C52" w:rsidRPr="00EE70B2" w:rsidRDefault="00C75C52" w:rsidP="00C75C52">
      <w:pPr>
        <w:rPr>
          <w:b/>
        </w:rPr>
      </w:pPr>
      <w:r w:rsidRPr="00EE70B2">
        <w:rPr>
          <w:b/>
        </w:rPr>
        <w:t>Details of editorial change</w:t>
      </w:r>
    </w:p>
    <w:p w:rsidR="00C75C52" w:rsidRPr="00EE70B2" w:rsidRDefault="00C75C52" w:rsidP="00C75C52"/>
    <w:p w:rsidR="00C75C52" w:rsidRPr="00EE70B2" w:rsidRDefault="00C75C52" w:rsidP="00C75C52">
      <w:r w:rsidRPr="00EE70B2">
        <w:t>Schedule</w:t>
      </w:r>
      <w:r>
        <w:t> </w:t>
      </w:r>
      <w:r w:rsidRPr="00EE70B2">
        <w:t>4 item</w:t>
      </w:r>
      <w:r>
        <w:t> </w:t>
      </w:r>
      <w:r w:rsidRPr="00EE70B2">
        <w:t xml:space="preserve">32 of the </w:t>
      </w:r>
      <w:r w:rsidRPr="00EE70B2">
        <w:rPr>
          <w:i/>
        </w:rPr>
        <w:t>Civil Aviation Legislation Amendment (Parts</w:t>
      </w:r>
      <w:r>
        <w:rPr>
          <w:i/>
        </w:rPr>
        <w:t> </w:t>
      </w:r>
      <w:r w:rsidRPr="00EE70B2">
        <w:rPr>
          <w:i/>
        </w:rPr>
        <w:t>103, 105 and 131) Regulations</w:t>
      </w:r>
      <w:r>
        <w:rPr>
          <w:i/>
        </w:rPr>
        <w:t> </w:t>
      </w:r>
      <w:r w:rsidRPr="00EE70B2">
        <w:rPr>
          <w:i/>
        </w:rPr>
        <w:t>2019</w:t>
      </w:r>
      <w:r w:rsidRPr="00EE70B2">
        <w:t xml:space="preserve"> instructs to repeal and substitute item</w:t>
      </w:r>
      <w:r>
        <w:t> </w:t>
      </w:r>
      <w:r w:rsidRPr="00EE70B2">
        <w:t>1 of Schedule</w:t>
      </w:r>
      <w:r>
        <w:t> </w:t>
      </w:r>
      <w:r w:rsidRPr="00EE70B2">
        <w:t>1 (subregulation</w:t>
      </w:r>
      <w:r>
        <w:t> </w:t>
      </w:r>
      <w:r w:rsidRPr="00EE70B2">
        <w:t>91.385(2)).</w:t>
      </w:r>
    </w:p>
    <w:p w:rsidR="00C75C52" w:rsidRPr="00EE70B2" w:rsidRDefault="00C75C52" w:rsidP="00C75C52"/>
    <w:p w:rsidR="00C75C52" w:rsidRPr="00EE70B2" w:rsidRDefault="00C75C52" w:rsidP="00C75C52">
      <w:r w:rsidRPr="00EE70B2">
        <w:t>The inserted subregulation contains the phrase “Subregulation (1) not apply to the pilot in command of an aircraft”.</w:t>
      </w:r>
    </w:p>
    <w:p w:rsidR="00C75C52" w:rsidRPr="00EE70B2" w:rsidRDefault="00C75C52" w:rsidP="00C75C52"/>
    <w:p w:rsidR="00C75C52" w:rsidRPr="00EE70B2" w:rsidRDefault="00C75C52" w:rsidP="00C75C52">
      <w:r w:rsidRPr="00EE70B2">
        <w:lastRenderedPageBreak/>
        <w:t>This compilation was editorially changed to insert “does” after “Subregulation (1)” in item</w:t>
      </w:r>
      <w:r>
        <w:t> </w:t>
      </w:r>
      <w:r w:rsidRPr="00EE70B2">
        <w:t>1 of Schedule</w:t>
      </w:r>
      <w:r>
        <w:t> </w:t>
      </w:r>
      <w:r w:rsidRPr="00EE70B2">
        <w:t>1 (subregulation</w:t>
      </w:r>
      <w:r>
        <w:t> </w:t>
      </w:r>
      <w:r w:rsidRPr="00EE70B2">
        <w:t>91.385(2)) to correct the grammatical error.</w:t>
      </w:r>
    </w:p>
    <w:p w:rsidR="008F3BBC" w:rsidRDefault="008F3BBC" w:rsidP="008F3BBC">
      <w:pPr>
        <w:pStyle w:val="Head2"/>
        <w:keepLines/>
      </w:pPr>
      <w:r w:rsidRPr="00086F67">
        <w:t>Education Services for Overseas Students Act 2000</w:t>
      </w:r>
      <w:r>
        <w:t>, Compilation No. 34,</w:t>
      </w:r>
      <w:r w:rsidRPr="003342C4">
        <w:t xml:space="preserve"> Registration Date:</w:t>
      </w:r>
      <w:r>
        <w:t xml:space="preserve"> 21 January 2020 [</w:t>
      </w:r>
      <w:r>
        <w:rPr>
          <w:bCs/>
        </w:rPr>
        <w:t>C2020</w:t>
      </w:r>
      <w:r w:rsidRPr="005A1F2E">
        <w:rPr>
          <w:bCs/>
        </w:rPr>
        <w:t>C00</w:t>
      </w:r>
      <w:r>
        <w:rPr>
          <w:bCs/>
        </w:rPr>
        <w:t>039</w:t>
      </w:r>
      <w:r>
        <w:t>]</w:t>
      </w:r>
    </w:p>
    <w:p w:rsidR="008F3BBC" w:rsidRPr="00F2598C" w:rsidRDefault="008F3BBC" w:rsidP="008F3BBC"/>
    <w:p w:rsidR="008F3BBC" w:rsidRPr="0047354D" w:rsidRDefault="008F3BBC" w:rsidP="008F3BBC">
      <w:pPr>
        <w:rPr>
          <w:b/>
          <w:sz w:val="24"/>
          <w:szCs w:val="24"/>
        </w:rPr>
      </w:pPr>
      <w:r w:rsidRPr="0047354D">
        <w:rPr>
          <w:b/>
          <w:sz w:val="24"/>
          <w:szCs w:val="24"/>
        </w:rPr>
        <w:t>Section 176A</w:t>
      </w:r>
    </w:p>
    <w:p w:rsidR="008F3BBC" w:rsidRPr="008B31DD" w:rsidRDefault="008F3BBC" w:rsidP="008F3BBC"/>
    <w:p w:rsidR="008F3BBC" w:rsidRDefault="008F3BBC" w:rsidP="008F3BBC">
      <w:pPr>
        <w:rPr>
          <w:b/>
        </w:rPr>
      </w:pPr>
      <w:r>
        <w:rPr>
          <w:b/>
        </w:rPr>
        <w:t>Kind of editorial change</w:t>
      </w:r>
    </w:p>
    <w:p w:rsidR="008F3BBC" w:rsidRPr="008B31DD" w:rsidRDefault="008F3BBC" w:rsidP="008F3BBC"/>
    <w:p w:rsidR="008F3BBC" w:rsidRPr="0039129B" w:rsidRDefault="008F3BBC" w:rsidP="008F3BBC">
      <w:r w:rsidRPr="0039129B">
        <w:rPr>
          <w:szCs w:val="22"/>
        </w:rPr>
        <w:t xml:space="preserve">Give effect to the misdescribed </w:t>
      </w:r>
      <w:r>
        <w:rPr>
          <w:szCs w:val="22"/>
        </w:rPr>
        <w:t>amendment</w:t>
      </w:r>
      <w:r w:rsidRPr="0039129B">
        <w:rPr>
          <w:szCs w:val="22"/>
        </w:rPr>
        <w:t xml:space="preserve"> as intended</w:t>
      </w:r>
    </w:p>
    <w:p w:rsidR="008F3BBC" w:rsidRPr="004549F1" w:rsidRDefault="008F3BBC" w:rsidP="008F3BBC"/>
    <w:p w:rsidR="008F3BBC" w:rsidRPr="004549F1" w:rsidRDefault="008F3BBC" w:rsidP="008F3BBC">
      <w:pPr>
        <w:rPr>
          <w:b/>
        </w:rPr>
      </w:pPr>
      <w:r w:rsidRPr="004549F1">
        <w:rPr>
          <w:b/>
        </w:rPr>
        <w:t>Details of editorial change</w:t>
      </w:r>
    </w:p>
    <w:p w:rsidR="008F3BBC" w:rsidRDefault="008F3BBC" w:rsidP="008F3BBC"/>
    <w:p w:rsidR="008F3BBC" w:rsidRDefault="008F3BBC" w:rsidP="008F3BBC">
      <w:r>
        <w:t xml:space="preserve">Schedule 1 item 50 of the </w:t>
      </w:r>
      <w:r w:rsidRPr="0047354D">
        <w:rPr>
          <w:i/>
          <w:szCs w:val="22"/>
        </w:rPr>
        <w:t>Education Legislation Amendment (Tuition Protection and Other Measures) Act 2019</w:t>
      </w:r>
      <w:r>
        <w:t xml:space="preserve"> instructs to insert section 176A after section 176.</w:t>
      </w:r>
    </w:p>
    <w:p w:rsidR="008F3BBC" w:rsidRDefault="008F3BBC" w:rsidP="008F3BBC"/>
    <w:p w:rsidR="008F3BBC" w:rsidRDefault="008F3BBC" w:rsidP="008F3BBC">
      <w:r>
        <w:t xml:space="preserve">Section 176 was repealed by Schedule 2 item 7 of the </w:t>
      </w:r>
      <w:r w:rsidRPr="0039129B">
        <w:rPr>
          <w:i/>
          <w:szCs w:val="22"/>
        </w:rPr>
        <w:t>Education Services for Overseas Students Amendment (Streamlining Regulation) Act 2015</w:t>
      </w:r>
      <w:r w:rsidRPr="008B31DD">
        <w:rPr>
          <w:szCs w:val="22"/>
        </w:rPr>
        <w:t xml:space="preserve">, </w:t>
      </w:r>
      <w:r>
        <w:t>commencing 1 July 2016.</w:t>
      </w:r>
    </w:p>
    <w:p w:rsidR="008F3BBC" w:rsidRDefault="008F3BBC" w:rsidP="008F3BBC"/>
    <w:p w:rsidR="008F3BBC" w:rsidRDefault="008F3BBC" w:rsidP="008F3BBC">
      <w:r>
        <w:t>This compilation was editorially changed to insert section 176A before section 176B to give effect to the misdescribed amendment as intended.</w:t>
      </w:r>
    </w:p>
    <w:p w:rsidR="005C7673" w:rsidRDefault="005C7673" w:rsidP="005C7673">
      <w:pPr>
        <w:pStyle w:val="Head2"/>
        <w:keepLines/>
      </w:pPr>
      <w:r>
        <w:t>Migration (LIN 20/001: Payment of Visa Application Charges and Fees in Foreign Currencies) Instrument 2020, Compilation No. 1,</w:t>
      </w:r>
      <w:r w:rsidRPr="003342C4">
        <w:t xml:space="preserve"> Registration Date:</w:t>
      </w:r>
      <w:r>
        <w:t xml:space="preserve"> 21 January 2020 [</w:t>
      </w:r>
      <w:r>
        <w:rPr>
          <w:bCs/>
        </w:rPr>
        <w:t>F2020</w:t>
      </w:r>
      <w:r w:rsidRPr="005A1F2E">
        <w:rPr>
          <w:bCs/>
        </w:rPr>
        <w:t>C00</w:t>
      </w:r>
      <w:r>
        <w:rPr>
          <w:bCs/>
        </w:rPr>
        <w:t>052</w:t>
      </w:r>
      <w:r>
        <w:t>]</w:t>
      </w:r>
    </w:p>
    <w:p w:rsidR="005C7673" w:rsidRPr="00F2598C" w:rsidRDefault="005C7673" w:rsidP="005C7673"/>
    <w:p w:rsidR="005C7673" w:rsidRPr="008167BA" w:rsidRDefault="005C7673" w:rsidP="005C7673">
      <w:pPr>
        <w:rPr>
          <w:b/>
          <w:sz w:val="24"/>
          <w:szCs w:val="24"/>
        </w:rPr>
      </w:pPr>
      <w:r w:rsidRPr="008167BA">
        <w:rPr>
          <w:b/>
          <w:sz w:val="24"/>
          <w:szCs w:val="24"/>
        </w:rPr>
        <w:t xml:space="preserve">Section </w:t>
      </w:r>
      <w:r>
        <w:rPr>
          <w:b/>
          <w:sz w:val="24"/>
          <w:szCs w:val="24"/>
        </w:rPr>
        <w:t>4</w:t>
      </w:r>
      <w:r w:rsidRPr="008167BA">
        <w:rPr>
          <w:b/>
          <w:sz w:val="24"/>
          <w:szCs w:val="24"/>
        </w:rPr>
        <w:t xml:space="preserve"> </w:t>
      </w:r>
      <w:r>
        <w:rPr>
          <w:b/>
          <w:sz w:val="24"/>
          <w:szCs w:val="24"/>
        </w:rPr>
        <w:t xml:space="preserve">definition of </w:t>
      </w:r>
      <w:r w:rsidRPr="00493F03">
        <w:rPr>
          <w:b/>
          <w:i/>
          <w:sz w:val="24"/>
          <w:szCs w:val="24"/>
        </w:rPr>
        <w:t>foreign country</w:t>
      </w:r>
    </w:p>
    <w:p w:rsidR="005C7673" w:rsidRPr="002C484F" w:rsidRDefault="005C7673" w:rsidP="005C7673"/>
    <w:p w:rsidR="005C7673" w:rsidRPr="004549F1" w:rsidRDefault="005C7673" w:rsidP="005C7673">
      <w:pPr>
        <w:rPr>
          <w:b/>
        </w:rPr>
      </w:pPr>
      <w:r w:rsidRPr="004549F1">
        <w:rPr>
          <w:b/>
        </w:rPr>
        <w:t>Kind of editorial change</w:t>
      </w:r>
    </w:p>
    <w:p w:rsidR="005C7673" w:rsidRPr="004549F1" w:rsidRDefault="005C7673" w:rsidP="005C7673"/>
    <w:p w:rsidR="005C7673" w:rsidRDefault="005C7673" w:rsidP="005C7673">
      <w:r>
        <w:t>Removal of redundant text</w:t>
      </w:r>
    </w:p>
    <w:p w:rsidR="005C7673" w:rsidRPr="004549F1" w:rsidRDefault="005C7673" w:rsidP="005C7673"/>
    <w:p w:rsidR="005C7673" w:rsidRPr="004549F1" w:rsidRDefault="005C7673" w:rsidP="00C2374B">
      <w:pPr>
        <w:rPr>
          <w:b/>
        </w:rPr>
      </w:pPr>
      <w:r w:rsidRPr="004549F1">
        <w:rPr>
          <w:b/>
        </w:rPr>
        <w:t>Details of editorial change</w:t>
      </w:r>
    </w:p>
    <w:p w:rsidR="005C7673" w:rsidRPr="002C484F" w:rsidRDefault="005C7673" w:rsidP="00C2374B"/>
    <w:p w:rsidR="005C7673" w:rsidRDefault="005C7673" w:rsidP="005C7673">
      <w:r>
        <w:t>Schedule 1 it</w:t>
      </w:r>
      <w:r w:rsidRPr="00FB3A2A">
        <w:t xml:space="preserve">em 2 of the </w:t>
      </w:r>
      <w:r w:rsidRPr="00863DA9">
        <w:rPr>
          <w:i/>
        </w:rPr>
        <w:t>Migration (LIN 20/007: Payment of Visa Application Charges and Fees in Foreign Currencies) Amendment Instrument 2020</w:t>
      </w:r>
      <w:r w:rsidRPr="00FB3A2A">
        <w:t xml:space="preserve"> instructs t</w:t>
      </w:r>
      <w:r>
        <w:t>o repeal “</w:t>
      </w:r>
      <w:r w:rsidRPr="00FB3A2A">
        <w:rPr>
          <w:b/>
          <w:i/>
        </w:rPr>
        <w:t>foreign country</w:t>
      </w:r>
      <w:r>
        <w:t xml:space="preserve"> has the meaning defined in section 2B of the </w:t>
      </w:r>
      <w:r w:rsidRPr="002C484F">
        <w:rPr>
          <w:i/>
        </w:rPr>
        <w:t>Acts Interpretation Act 1901</w:t>
      </w:r>
      <w:r>
        <w:t>”.</w:t>
      </w:r>
    </w:p>
    <w:p w:rsidR="005C7673" w:rsidRDefault="005C7673" w:rsidP="005C7673"/>
    <w:p w:rsidR="005C7673" w:rsidRDefault="005C7673" w:rsidP="005C7673">
      <w:r>
        <w:t xml:space="preserve">This amendment does not include the full stop at the end of the definition of </w:t>
      </w:r>
      <w:r w:rsidRPr="00411023">
        <w:rPr>
          <w:b/>
          <w:i/>
        </w:rPr>
        <w:t>foreign country</w:t>
      </w:r>
      <w:r>
        <w:t>.</w:t>
      </w:r>
    </w:p>
    <w:p w:rsidR="005C7673" w:rsidRDefault="005C7673" w:rsidP="005C7673"/>
    <w:p w:rsidR="005C7673" w:rsidRDefault="005C7673" w:rsidP="005C7673">
      <w:r>
        <w:t>This compilation was editorially changed to omit the redundant full stop.</w:t>
      </w:r>
    </w:p>
    <w:p w:rsidR="00611A7C" w:rsidRDefault="00611A7C" w:rsidP="003D3100">
      <w:pPr>
        <w:pStyle w:val="Head2"/>
        <w:keepLines/>
      </w:pPr>
      <w:r w:rsidRPr="008842EF">
        <w:lastRenderedPageBreak/>
        <w:t>Telecommunications Act 1997</w:t>
      </w:r>
      <w:r>
        <w:t>, Compilation No. 94,</w:t>
      </w:r>
      <w:r w:rsidRPr="003342C4">
        <w:t xml:space="preserve"> Registration Date:</w:t>
      </w:r>
      <w:r>
        <w:t xml:space="preserve"> 17 January 2020 [</w:t>
      </w:r>
      <w:r>
        <w:rPr>
          <w:bCs/>
        </w:rPr>
        <w:t>C2020</w:t>
      </w:r>
      <w:r w:rsidRPr="005A1F2E">
        <w:rPr>
          <w:bCs/>
        </w:rPr>
        <w:t>C00</w:t>
      </w:r>
      <w:r>
        <w:rPr>
          <w:bCs/>
        </w:rPr>
        <w:t>037</w:t>
      </w:r>
      <w:r>
        <w:t>]</w:t>
      </w:r>
    </w:p>
    <w:p w:rsidR="00611A7C" w:rsidRPr="008842EF" w:rsidRDefault="00611A7C" w:rsidP="003D3100">
      <w:pPr>
        <w:keepNext/>
        <w:keepLines/>
      </w:pPr>
    </w:p>
    <w:p w:rsidR="00611A7C" w:rsidRPr="008842EF" w:rsidRDefault="00611A7C" w:rsidP="003D3100">
      <w:pPr>
        <w:keepNext/>
        <w:keepLines/>
        <w:rPr>
          <w:b/>
          <w:sz w:val="24"/>
          <w:szCs w:val="24"/>
        </w:rPr>
      </w:pPr>
      <w:r w:rsidRPr="008842EF">
        <w:rPr>
          <w:b/>
          <w:sz w:val="24"/>
          <w:szCs w:val="24"/>
        </w:rPr>
        <w:t>Paragraph 454D(1)(b)</w:t>
      </w:r>
    </w:p>
    <w:p w:rsidR="00611A7C" w:rsidRPr="003413D9" w:rsidRDefault="00611A7C" w:rsidP="003D3100">
      <w:pPr>
        <w:keepNext/>
        <w:keepLines/>
      </w:pPr>
    </w:p>
    <w:p w:rsidR="00611A7C" w:rsidRPr="008842EF" w:rsidRDefault="00611A7C" w:rsidP="003D3100">
      <w:pPr>
        <w:keepNext/>
        <w:keepLines/>
        <w:rPr>
          <w:b/>
        </w:rPr>
      </w:pPr>
      <w:r w:rsidRPr="008842EF">
        <w:rPr>
          <w:b/>
        </w:rPr>
        <w:t>Kind of editorial change</w:t>
      </w:r>
    </w:p>
    <w:p w:rsidR="00611A7C" w:rsidRPr="008842EF" w:rsidRDefault="00611A7C" w:rsidP="003D3100">
      <w:pPr>
        <w:keepNext/>
        <w:keepLines/>
      </w:pPr>
    </w:p>
    <w:p w:rsidR="00611A7C" w:rsidRPr="008842EF" w:rsidRDefault="00611A7C" w:rsidP="003D3100">
      <w:pPr>
        <w:keepNext/>
        <w:keepLines/>
      </w:pPr>
      <w:r w:rsidRPr="008842EF">
        <w:t>Change to grammar, syntax or the use of conjunctives or disjunctives</w:t>
      </w:r>
    </w:p>
    <w:p w:rsidR="00611A7C" w:rsidRPr="008842EF" w:rsidRDefault="00611A7C" w:rsidP="00611A7C"/>
    <w:p w:rsidR="00611A7C" w:rsidRPr="008842EF" w:rsidRDefault="00611A7C" w:rsidP="00611A7C">
      <w:pPr>
        <w:rPr>
          <w:b/>
        </w:rPr>
      </w:pPr>
      <w:r w:rsidRPr="008842EF">
        <w:rPr>
          <w:b/>
        </w:rPr>
        <w:t>Details of editorial change</w:t>
      </w:r>
    </w:p>
    <w:p w:rsidR="00611A7C" w:rsidRPr="003413D9" w:rsidRDefault="00611A7C" w:rsidP="00611A7C"/>
    <w:p w:rsidR="00611A7C" w:rsidRPr="008842EF" w:rsidRDefault="00611A7C" w:rsidP="00611A7C">
      <w:r w:rsidRPr="008842EF">
        <w:rPr>
          <w:szCs w:val="22"/>
        </w:rPr>
        <w:t>Schedule</w:t>
      </w:r>
      <w:r>
        <w:rPr>
          <w:szCs w:val="22"/>
        </w:rPr>
        <w:t> </w:t>
      </w:r>
      <w:r w:rsidRPr="008842EF">
        <w:rPr>
          <w:szCs w:val="22"/>
        </w:rPr>
        <w:t>6 item</w:t>
      </w:r>
      <w:r>
        <w:rPr>
          <w:szCs w:val="22"/>
        </w:rPr>
        <w:t> </w:t>
      </w:r>
      <w:r w:rsidRPr="008842EF">
        <w:rPr>
          <w:szCs w:val="22"/>
        </w:rPr>
        <w:t xml:space="preserve">10 of the </w:t>
      </w:r>
      <w:r w:rsidRPr="008842EF">
        <w:rPr>
          <w:i/>
          <w:szCs w:val="22"/>
        </w:rPr>
        <w:t>Communications Legislation Amendment (Deregulation and Other Measures) Act 2019</w:t>
      </w:r>
      <w:r w:rsidRPr="008842EF">
        <w:rPr>
          <w:szCs w:val="22"/>
        </w:rPr>
        <w:t xml:space="preserve"> instructs to insert Subdivision AA before Subdivision A of Division</w:t>
      </w:r>
      <w:r>
        <w:rPr>
          <w:szCs w:val="22"/>
        </w:rPr>
        <w:t> </w:t>
      </w:r>
      <w:r w:rsidRPr="008842EF">
        <w:rPr>
          <w:szCs w:val="22"/>
        </w:rPr>
        <w:t>2 of Part</w:t>
      </w:r>
      <w:r>
        <w:rPr>
          <w:szCs w:val="22"/>
        </w:rPr>
        <w:t> </w:t>
      </w:r>
      <w:r w:rsidRPr="008842EF">
        <w:rPr>
          <w:szCs w:val="22"/>
        </w:rPr>
        <w:t xml:space="preserve">22. </w:t>
      </w:r>
      <w:r w:rsidRPr="008842EF">
        <w:t>Paragraph 454D(1)(b) of the newly inserted Subdivision AA contains the phrase “interests of one of more”.</w:t>
      </w:r>
    </w:p>
    <w:p w:rsidR="00611A7C" w:rsidRPr="008842EF" w:rsidRDefault="00611A7C" w:rsidP="00611A7C"/>
    <w:p w:rsidR="00611A7C" w:rsidRPr="008842EF" w:rsidRDefault="00611A7C" w:rsidP="00611A7C">
      <w:r w:rsidRPr="008842EF">
        <w:t>This compilation was editorially changed to omit “one of” and substitute “one or” to correct the grammatical error.</w:t>
      </w:r>
    </w:p>
    <w:p w:rsidR="005A1F2E" w:rsidRDefault="00AA0F43" w:rsidP="00CE7A1E">
      <w:pPr>
        <w:pStyle w:val="Head2"/>
        <w:keepLines/>
      </w:pPr>
      <w:r w:rsidRPr="00AA0F43">
        <w:t>Social Security Act 1991</w:t>
      </w:r>
      <w:r>
        <w:t>, Compilation No. 172</w:t>
      </w:r>
      <w:r w:rsidR="005A1F2E">
        <w:t>,</w:t>
      </w:r>
      <w:r w:rsidR="005A1F2E" w:rsidRPr="003342C4">
        <w:t xml:space="preserve"> Registration Date:</w:t>
      </w:r>
      <w:r>
        <w:t xml:space="preserve"> 14 January 2020</w:t>
      </w:r>
      <w:r w:rsidR="005A1F2E">
        <w:t xml:space="preserve"> [</w:t>
      </w:r>
      <w:r>
        <w:rPr>
          <w:bCs/>
        </w:rPr>
        <w:t>C2020</w:t>
      </w:r>
      <w:r w:rsidR="005A1F2E" w:rsidRPr="005A1F2E">
        <w:rPr>
          <w:bCs/>
        </w:rPr>
        <w:t>C00</w:t>
      </w:r>
      <w:r>
        <w:rPr>
          <w:bCs/>
        </w:rPr>
        <w:t>033</w:t>
      </w:r>
      <w:r w:rsidR="005A1F2E">
        <w:t>]</w:t>
      </w:r>
    </w:p>
    <w:p w:rsidR="005A1F2E" w:rsidRPr="001605F4" w:rsidRDefault="005A1F2E" w:rsidP="00CE7A1E">
      <w:pPr>
        <w:keepNext/>
        <w:keepLines/>
      </w:pPr>
    </w:p>
    <w:p w:rsidR="005A1F2E" w:rsidRDefault="00896AF6" w:rsidP="00CE7A1E">
      <w:pPr>
        <w:keepNext/>
        <w:keepLines/>
        <w:rPr>
          <w:b/>
          <w:sz w:val="24"/>
          <w:szCs w:val="24"/>
        </w:rPr>
      </w:pPr>
      <w:r w:rsidRPr="00896AF6">
        <w:rPr>
          <w:b/>
          <w:sz w:val="24"/>
          <w:szCs w:val="24"/>
        </w:rPr>
        <w:t>Subsection 1140(3)</w:t>
      </w:r>
    </w:p>
    <w:p w:rsidR="00896AF6" w:rsidRPr="001605F4" w:rsidRDefault="00896AF6" w:rsidP="00CE7A1E">
      <w:pPr>
        <w:keepNext/>
        <w:keepLines/>
      </w:pPr>
    </w:p>
    <w:p w:rsidR="005A1F2E" w:rsidRPr="001605F4" w:rsidRDefault="005A1F2E" w:rsidP="005A1F2E">
      <w:pPr>
        <w:rPr>
          <w:b/>
        </w:rPr>
      </w:pPr>
      <w:r w:rsidRPr="001605F4">
        <w:rPr>
          <w:b/>
        </w:rPr>
        <w:t>Kind of editorial change</w:t>
      </w:r>
    </w:p>
    <w:p w:rsidR="005A1F2E" w:rsidRPr="001605F4" w:rsidRDefault="005A1F2E" w:rsidP="005A1F2E"/>
    <w:p w:rsidR="005A1F2E" w:rsidRDefault="00896AF6" w:rsidP="005A1F2E">
      <w:pPr>
        <w:rPr>
          <w:color w:val="000000"/>
          <w:szCs w:val="22"/>
          <w:shd w:val="clear" w:color="auto" w:fill="FFFFFF"/>
        </w:rPr>
      </w:pPr>
      <w:r>
        <w:rPr>
          <w:color w:val="000000"/>
          <w:szCs w:val="22"/>
          <w:shd w:val="clear" w:color="auto" w:fill="FFFFFF"/>
        </w:rPr>
        <w:t>Change to typeface</w:t>
      </w:r>
    </w:p>
    <w:p w:rsidR="00896AF6" w:rsidRPr="001605F4" w:rsidRDefault="00896AF6" w:rsidP="005A1F2E"/>
    <w:p w:rsidR="005A1F2E" w:rsidRPr="001605F4" w:rsidRDefault="005A1F2E" w:rsidP="00F04D6D">
      <w:pPr>
        <w:keepNext/>
        <w:rPr>
          <w:b/>
        </w:rPr>
      </w:pPr>
      <w:r w:rsidRPr="001605F4">
        <w:rPr>
          <w:b/>
        </w:rPr>
        <w:t>Details of editorial change</w:t>
      </w:r>
    </w:p>
    <w:p w:rsidR="005A1F2E" w:rsidRPr="001605F4" w:rsidRDefault="005A1F2E" w:rsidP="005A1F2E"/>
    <w:bookmarkEnd w:id="1"/>
    <w:p w:rsidR="005A1F2E" w:rsidRPr="001605F4" w:rsidRDefault="00896AF6" w:rsidP="00896AF6">
      <w:r w:rsidRPr="00896AF6">
        <w:t xml:space="preserve">This compilation was editorially changed to update an occurrence of the italicised words </w:t>
      </w:r>
      <w:r w:rsidRPr="00896AF6">
        <w:rPr>
          <w:i/>
        </w:rPr>
        <w:t>bona fide</w:t>
      </w:r>
      <w:r w:rsidRPr="00896AF6">
        <w:t xml:space="preserve"> to regular font.</w:t>
      </w:r>
    </w:p>
    <w:sectPr w:rsidR="005A1F2E" w:rsidRPr="001605F4" w:rsidSect="00196713">
      <w:type w:val="continuous"/>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B95" w:rsidRDefault="004F5B95" w:rsidP="008E17F3">
      <w:pPr>
        <w:spacing w:line="240" w:lineRule="auto"/>
      </w:pPr>
      <w:r>
        <w:separator/>
      </w:r>
    </w:p>
  </w:endnote>
  <w:endnote w:type="continuationSeparator" w:id="0">
    <w:p w:rsidR="004F5B95" w:rsidRDefault="004F5B95"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95" w:rsidRDefault="004F5B95"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5B95" w:rsidRDefault="004F5B95"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95" w:rsidRDefault="004F5B95" w:rsidP="008E17F3">
    <w:pPr>
      <w:pStyle w:val="Footer"/>
      <w:tabs>
        <w:tab w:val="clear" w:pos="4153"/>
        <w:tab w:val="clear" w:pos="8306"/>
        <w:tab w:val="left" w:pos="7680"/>
      </w:tabs>
      <w:ind w:right="27"/>
      <w:rPr>
        <w:sz w:val="16"/>
      </w:rPr>
    </w:pPr>
    <w:r>
      <w:rPr>
        <w:sz w:val="16"/>
      </w:rPr>
      <w:t>[</w:t>
    </w:r>
    <w:r w:rsidR="00C328DE">
      <w:rPr>
        <w:noProof/>
        <w:sz w:val="16"/>
        <w:szCs w:val="16"/>
      </w:rPr>
      <w:t>S20SX389.v18.docx</w:t>
    </w:r>
    <w:r w:rsidRPr="00766393">
      <w:rPr>
        <w:sz w:val="16"/>
        <w:szCs w:val="16"/>
      </w:rPr>
      <w:t>] [</w:t>
    </w:r>
    <w:r w:rsidR="00C328DE">
      <w:rPr>
        <w:noProof/>
        <w:sz w:val="16"/>
        <w:szCs w:val="16"/>
      </w:rPr>
      <w:t>29-Jun-20</w:t>
    </w:r>
    <w:r>
      <w:rPr>
        <w:sz w:val="16"/>
      </w:rPr>
      <w:t>] [</w:t>
    </w:r>
    <w:r w:rsidR="00C328DE">
      <w:rPr>
        <w:noProof/>
        <w:sz w:val="16"/>
      </w:rPr>
      <w:t>11:16 AM</w:t>
    </w:r>
    <w:r>
      <w:rPr>
        <w:sz w:val="16"/>
      </w:rPr>
      <w:t>]</w:t>
    </w:r>
    <w:r>
      <w:rPr>
        <w:sz w:val="16"/>
      </w:rPr>
      <w:tab/>
    </w:r>
    <w:r>
      <w:rPr>
        <w:sz w:val="16"/>
      </w:rPr>
      <w:tab/>
    </w:r>
    <w:r>
      <w:t xml:space="preserve">Page  </w:t>
    </w:r>
    <w:r>
      <w:fldChar w:fldCharType="begin"/>
    </w:r>
    <w:r>
      <w:instrText xml:space="preserve"> PAGE  \* MERGEFORMAT </w:instrText>
    </w:r>
    <w:r>
      <w:fldChar w:fldCharType="separate"/>
    </w:r>
    <w:r w:rsidR="0077068B">
      <w:rPr>
        <w:noProof/>
      </w:rPr>
      <w:t>50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95" w:rsidRDefault="004F5B95" w:rsidP="00C1453D">
    <w:pPr>
      <w:rPr>
        <w:sz w:val="16"/>
        <w:szCs w:val="16"/>
      </w:rPr>
    </w:pPr>
    <w:r>
      <w:rPr>
        <w:sz w:val="16"/>
        <w:szCs w:val="16"/>
      </w:rPr>
      <w:t>________________________________________________________________________________________________________________</w:t>
    </w:r>
  </w:p>
  <w:p w:rsidR="004F5B95" w:rsidRDefault="004F5B95" w:rsidP="00C1453D">
    <w:pPr>
      <w:ind w:right="27"/>
      <w:jc w:val="center"/>
      <w:rPr>
        <w:sz w:val="20"/>
      </w:rPr>
    </w:pPr>
    <w:r>
      <w:rPr>
        <w:sz w:val="20"/>
      </w:rPr>
      <w:t>28 Sydney Avenue  Forrest  ACT  2603</w:t>
    </w:r>
  </w:p>
  <w:p w:rsidR="004F5B95" w:rsidRDefault="004F5B95" w:rsidP="00C1453D">
    <w:pPr>
      <w:ind w:right="27"/>
      <w:jc w:val="center"/>
      <w:rPr>
        <w:sz w:val="20"/>
      </w:rPr>
    </w:pPr>
    <w:r>
      <w:rPr>
        <w:sz w:val="20"/>
      </w:rPr>
      <w:t>Locked Bag 30 Kingston ACT 2604 • Telephone (02) 6120 1400 • Fax (02) 6120 1403 • ABN 41 425 630 817</w:t>
    </w:r>
  </w:p>
  <w:p w:rsidR="004F5B95" w:rsidRDefault="004F5B95" w:rsidP="00C1453D">
    <w:pPr>
      <w:ind w:right="27"/>
      <w:jc w:val="center"/>
      <w:rPr>
        <w:sz w:val="20"/>
      </w:rPr>
    </w:pPr>
    <w:r>
      <w:rPr>
        <w:sz w:val="20"/>
      </w:rPr>
      <w:t>www.opc.gov.au</w:t>
    </w:r>
  </w:p>
  <w:p w:rsidR="004F5B95" w:rsidRDefault="00C328DE" w:rsidP="00C1453D">
    <w:pPr>
      <w:ind w:right="27"/>
      <w:rPr>
        <w:sz w:val="16"/>
        <w:szCs w:val="16"/>
      </w:rPr>
    </w:pPr>
    <w:r>
      <w:rPr>
        <w:noProof/>
        <w:sz w:val="16"/>
        <w:szCs w:val="16"/>
      </w:rPr>
      <w:t>S20SX389.v18.docx</w:t>
    </w:r>
  </w:p>
  <w:p w:rsidR="004F5B95" w:rsidRDefault="004F5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B95" w:rsidRDefault="004F5B95" w:rsidP="008E17F3">
      <w:pPr>
        <w:spacing w:line="240" w:lineRule="auto"/>
      </w:pPr>
      <w:r>
        <w:separator/>
      </w:r>
    </w:p>
  </w:footnote>
  <w:footnote w:type="continuationSeparator" w:id="0">
    <w:p w:rsidR="004F5B95" w:rsidRDefault="004F5B95"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DE" w:rsidRDefault="00C32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DE" w:rsidRDefault="00C328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95" w:rsidRDefault="004F5B95" w:rsidP="00C1453D">
    <w:pPr>
      <w:ind w:right="27"/>
      <w:rPr>
        <w:sz w:val="18"/>
        <w:szCs w:val="18"/>
      </w:rPr>
    </w:pPr>
    <w:r>
      <w:rPr>
        <w:noProof/>
        <w:sz w:val="20"/>
        <w:lang w:eastAsia="en-AU"/>
      </w:rPr>
      <w:drawing>
        <wp:inline distT="0" distB="0" distL="0" distR="0" wp14:anchorId="75C88194" wp14:editId="281FFCE2">
          <wp:extent cx="3962400" cy="1000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rsidR="004F5B95" w:rsidRPr="00C1453D" w:rsidRDefault="004F5B95" w:rsidP="00C14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D275D8"/>
    <w:lvl w:ilvl="0">
      <w:start w:val="1"/>
      <w:numFmt w:val="decimal"/>
      <w:lvlText w:val="%1."/>
      <w:lvlJc w:val="left"/>
      <w:pPr>
        <w:tabs>
          <w:tab w:val="num" w:pos="1492"/>
        </w:tabs>
        <w:ind w:left="1492" w:hanging="360"/>
      </w:pPr>
    </w:lvl>
  </w:abstractNum>
  <w:abstractNum w:abstractNumId="1">
    <w:nsid w:val="FFFFFF7D"/>
    <w:multiLevelType w:val="singleLevel"/>
    <w:tmpl w:val="6B3EA31E"/>
    <w:lvl w:ilvl="0">
      <w:start w:val="1"/>
      <w:numFmt w:val="decimal"/>
      <w:lvlText w:val="%1."/>
      <w:lvlJc w:val="left"/>
      <w:pPr>
        <w:tabs>
          <w:tab w:val="num" w:pos="1209"/>
        </w:tabs>
        <w:ind w:left="1209" w:hanging="360"/>
      </w:pPr>
    </w:lvl>
  </w:abstractNum>
  <w:abstractNum w:abstractNumId="2">
    <w:nsid w:val="FFFFFF7E"/>
    <w:multiLevelType w:val="singleLevel"/>
    <w:tmpl w:val="95E621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AC2487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21C4E5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5E6E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9C44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6A5B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CA40BA"/>
    <w:lvl w:ilvl="0">
      <w:start w:val="1"/>
      <w:numFmt w:val="decimal"/>
      <w:pStyle w:val="ListNumber"/>
      <w:lvlText w:val="%1."/>
      <w:lvlJc w:val="left"/>
      <w:pPr>
        <w:tabs>
          <w:tab w:val="num" w:pos="360"/>
        </w:tabs>
        <w:ind w:left="360" w:hanging="360"/>
      </w:pPr>
    </w:lvl>
  </w:abstractNum>
  <w:abstractNum w:abstractNumId="9">
    <w:nsid w:val="FFFFFF89"/>
    <w:multiLevelType w:val="singleLevel"/>
    <w:tmpl w:val="A3CC48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360E3A"/>
    <w:multiLevelType w:val="multilevel"/>
    <w:tmpl w:val="FB6863C6"/>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1">
    <w:nsid w:val="0455725F"/>
    <w:multiLevelType w:val="hybridMultilevel"/>
    <w:tmpl w:val="F7CE2AA2"/>
    <w:lvl w:ilvl="0" w:tplc="79227B68">
      <w:start w:val="1"/>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nsid w:val="077E1EC0"/>
    <w:multiLevelType w:val="hybridMultilevel"/>
    <w:tmpl w:val="6A48B222"/>
    <w:lvl w:ilvl="0" w:tplc="52E6ABBC">
      <w:start w:val="1"/>
      <w:numFmt w:val="lowerLetter"/>
      <w:lvlText w:val="(%1)"/>
      <w:lvlJc w:val="left"/>
      <w:pPr>
        <w:ind w:left="1287" w:hanging="360"/>
      </w:pPr>
      <w:rPr>
        <w:rFonts w:ascii="Arial" w:hAnsi="Arial" w:cs="Arial" w:hint="default"/>
        <w:b/>
        <w:i w:val="0"/>
        <w:sz w:val="20"/>
        <w:szCs w:val="20"/>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nsid w:val="09B87853"/>
    <w:multiLevelType w:val="hybridMultilevel"/>
    <w:tmpl w:val="B3289428"/>
    <w:lvl w:ilvl="0" w:tplc="F81CD576">
      <w:start w:val="9"/>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FAF6BE3"/>
    <w:multiLevelType w:val="hybridMultilevel"/>
    <w:tmpl w:val="C194F43E"/>
    <w:lvl w:ilvl="0" w:tplc="B8448ECC">
      <w:start w:val="1"/>
      <w:numFmt w:val="decimal"/>
      <w:pStyle w:val="Amendment1"/>
      <w:lvlText w:val="[%1]"/>
      <w:lvlJc w:val="left"/>
      <w:pPr>
        <w:tabs>
          <w:tab w:val="num" w:pos="-3"/>
        </w:tabs>
        <w:ind w:left="-59" w:firstLine="59"/>
      </w:pPr>
      <w:rPr>
        <w:rFonts w:ascii="Arial Bold" w:hAnsi="Arial Bold" w:cs="Times New Roman" w:hint="default"/>
        <w:b w:val="0"/>
        <w:i w:val="0"/>
        <w:color w:val="auto"/>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B1768C"/>
    <w:multiLevelType w:val="multilevel"/>
    <w:tmpl w:val="F134D908"/>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624"/>
        </w:tabs>
        <w:ind w:left="62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3A3762C"/>
    <w:multiLevelType w:val="hybridMultilevel"/>
    <w:tmpl w:val="DC6EE568"/>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7844ED1"/>
    <w:multiLevelType w:val="hybridMultilevel"/>
    <w:tmpl w:val="2EFE53EA"/>
    <w:lvl w:ilvl="0" w:tplc="A5CCFA7C">
      <w:start w:val="1"/>
      <w:numFmt w:val="decimal"/>
      <w:pStyle w:val="ScheduleItem"/>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2071F67"/>
    <w:multiLevelType w:val="hybridMultilevel"/>
    <w:tmpl w:val="073A8B46"/>
    <w:lvl w:ilvl="0" w:tplc="DDE63986">
      <w:start w:val="1"/>
      <w:numFmt w:val="lowerLetter"/>
      <w:lvlText w:val="(%1)"/>
      <w:lvlJc w:val="left"/>
      <w:pPr>
        <w:ind w:left="1287" w:hanging="360"/>
      </w:pPr>
      <w:rPr>
        <w:rFonts w:ascii="Arial" w:hAnsi="Arial" w:cs="Arial" w:hint="default"/>
        <w:b/>
        <w:i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8881934"/>
    <w:multiLevelType w:val="hybridMultilevel"/>
    <w:tmpl w:val="8BCC80EE"/>
    <w:lvl w:ilvl="0" w:tplc="163EBFAA">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3F506AB"/>
    <w:multiLevelType w:val="hybridMultilevel"/>
    <w:tmpl w:val="BD029DE8"/>
    <w:lvl w:ilvl="0" w:tplc="BF721BF4">
      <w:start w:val="2"/>
      <w:numFmt w:val="decimal"/>
      <w:lvlText w:val="[%1]"/>
      <w:lvlJc w:val="left"/>
      <w:pPr>
        <w:ind w:left="567" w:hanging="567"/>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506528F"/>
    <w:multiLevelType w:val="hybridMultilevel"/>
    <w:tmpl w:val="06B46928"/>
    <w:lvl w:ilvl="0" w:tplc="F6FE30E0">
      <w:start w:val="1"/>
      <w:numFmt w:val="lowerLetter"/>
      <w:lvlText w:val="(%1)"/>
      <w:lvlJc w:val="left"/>
      <w:pPr>
        <w:ind w:left="1287" w:hanging="360"/>
      </w:pPr>
      <w:rPr>
        <w:rFonts w:ascii="Arial Bold" w:hAnsi="Arial Bold" w:hint="default"/>
        <w:b/>
        <w:i w:val="0"/>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366A38B5"/>
    <w:multiLevelType w:val="hybridMultilevel"/>
    <w:tmpl w:val="AAAC2662"/>
    <w:lvl w:ilvl="0" w:tplc="4C0E12BA">
      <w:start w:val="27"/>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28">
    <w:nsid w:val="5C2E219C"/>
    <w:multiLevelType w:val="hybridMultilevel"/>
    <w:tmpl w:val="1FE63B40"/>
    <w:lvl w:ilvl="0" w:tplc="A6DE20D4">
      <w:start w:val="1"/>
      <w:numFmt w:val="decimal"/>
      <w:lvlText w:val="[%1]"/>
      <w:lvlJc w:val="left"/>
      <w:pPr>
        <w:ind w:left="720" w:hanging="360"/>
      </w:pPr>
      <w:rPr>
        <w:rFonts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D777841"/>
    <w:multiLevelType w:val="hybridMultilevel"/>
    <w:tmpl w:val="C34CBE48"/>
    <w:lvl w:ilvl="0" w:tplc="C2249424">
      <w:start w:val="1"/>
      <w:numFmt w:val="decimal"/>
      <w:pStyle w:val="Amendment10"/>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5456429"/>
    <w:multiLevelType w:val="multilevel"/>
    <w:tmpl w:val="15C225C8"/>
    <w:lvl w:ilvl="0">
      <w:start w:val="1"/>
      <w:numFmt w:val="decimal"/>
      <w:lvlText w:val="%1."/>
      <w:lvlJc w:val="left"/>
      <w:pPr>
        <w:ind w:left="369" w:hanging="369"/>
      </w:pPr>
      <w:rPr>
        <w:rFonts w:ascii="Arial" w:hAnsi="Arial" w:hint="default"/>
        <w:b w:val="0"/>
        <w:i w:val="0"/>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2">
    <w:nsid w:val="66940965"/>
    <w:multiLevelType w:val="hybridMultilevel"/>
    <w:tmpl w:val="28F24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0"/>
  </w:num>
  <w:num w:numId="13">
    <w:abstractNumId w:val="18"/>
  </w:num>
  <w:num w:numId="14">
    <w:abstractNumId w:val="26"/>
  </w:num>
  <w:num w:numId="15">
    <w:abstractNumId w:val="27"/>
  </w:num>
  <w:num w:numId="16">
    <w:abstractNumId w:val="29"/>
  </w:num>
  <w:num w:numId="17">
    <w:abstractNumId w:val="12"/>
  </w:num>
  <w:num w:numId="18">
    <w:abstractNumId w:val="19"/>
  </w:num>
  <w:num w:numId="19">
    <w:abstractNumId w:val="13"/>
  </w:num>
  <w:num w:numId="20">
    <w:abstractNumId w:val="14"/>
  </w:num>
  <w:num w:numId="21">
    <w:abstractNumId w:val="22"/>
  </w:num>
  <w:num w:numId="22">
    <w:abstractNumId w:val="11"/>
  </w:num>
  <w:num w:numId="23">
    <w:abstractNumId w:val="16"/>
  </w:num>
  <w:num w:numId="24">
    <w:abstractNumId w:val="21"/>
  </w:num>
  <w:num w:numId="25">
    <w:abstractNumId w:val="2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624"/>
          </w:tabs>
          <w:ind w:left="624" w:hanging="340"/>
        </w:pPr>
        <w:rPr>
          <w:rFonts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28"/>
  </w:num>
  <w:num w:numId="30">
    <w:abstractNumId w:val="20"/>
  </w:num>
  <w:num w:numId="31">
    <w:abstractNumId w:val="17"/>
  </w:num>
  <w:num w:numId="32">
    <w:abstractNumId w:val="32"/>
  </w:num>
  <w:num w:numId="33">
    <w:abstractNumId w:val="1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C2"/>
    <w:rsid w:val="00001387"/>
    <w:rsid w:val="00010212"/>
    <w:rsid w:val="000136AF"/>
    <w:rsid w:val="000170C2"/>
    <w:rsid w:val="00017F77"/>
    <w:rsid w:val="0002238E"/>
    <w:rsid w:val="00022B7E"/>
    <w:rsid w:val="000267E5"/>
    <w:rsid w:val="000268A8"/>
    <w:rsid w:val="000335C7"/>
    <w:rsid w:val="0003449F"/>
    <w:rsid w:val="00036B0B"/>
    <w:rsid w:val="0004296A"/>
    <w:rsid w:val="000537C7"/>
    <w:rsid w:val="000562AE"/>
    <w:rsid w:val="00056743"/>
    <w:rsid w:val="000614BF"/>
    <w:rsid w:val="00062F75"/>
    <w:rsid w:val="00067596"/>
    <w:rsid w:val="000706C5"/>
    <w:rsid w:val="000807CC"/>
    <w:rsid w:val="00086F12"/>
    <w:rsid w:val="0009402D"/>
    <w:rsid w:val="0009737E"/>
    <w:rsid w:val="000A3045"/>
    <w:rsid w:val="000A317F"/>
    <w:rsid w:val="000B1FC3"/>
    <w:rsid w:val="000B4688"/>
    <w:rsid w:val="000C604C"/>
    <w:rsid w:val="000C6FC2"/>
    <w:rsid w:val="000D0266"/>
    <w:rsid w:val="000D05EF"/>
    <w:rsid w:val="000D1F55"/>
    <w:rsid w:val="000F06B0"/>
    <w:rsid w:val="000F1A0F"/>
    <w:rsid w:val="000F4AF4"/>
    <w:rsid w:val="0010060D"/>
    <w:rsid w:val="00102227"/>
    <w:rsid w:val="00104A38"/>
    <w:rsid w:val="00106F6F"/>
    <w:rsid w:val="0010745C"/>
    <w:rsid w:val="001108DB"/>
    <w:rsid w:val="00111C4A"/>
    <w:rsid w:val="00122300"/>
    <w:rsid w:val="00124BF3"/>
    <w:rsid w:val="001355DF"/>
    <w:rsid w:val="00143E6E"/>
    <w:rsid w:val="00145202"/>
    <w:rsid w:val="0015061A"/>
    <w:rsid w:val="00166C2F"/>
    <w:rsid w:val="00173FAA"/>
    <w:rsid w:val="00174846"/>
    <w:rsid w:val="00176306"/>
    <w:rsid w:val="0018102C"/>
    <w:rsid w:val="001939E1"/>
    <w:rsid w:val="00195382"/>
    <w:rsid w:val="00196713"/>
    <w:rsid w:val="001A6224"/>
    <w:rsid w:val="001B1382"/>
    <w:rsid w:val="001B5241"/>
    <w:rsid w:val="001C0003"/>
    <w:rsid w:val="001C69C4"/>
    <w:rsid w:val="001E14A3"/>
    <w:rsid w:val="001E3590"/>
    <w:rsid w:val="001E63F5"/>
    <w:rsid w:val="001E7407"/>
    <w:rsid w:val="001F166E"/>
    <w:rsid w:val="001F62E2"/>
    <w:rsid w:val="002010D4"/>
    <w:rsid w:val="002131D8"/>
    <w:rsid w:val="00216477"/>
    <w:rsid w:val="002169C7"/>
    <w:rsid w:val="00223DDB"/>
    <w:rsid w:val="00230496"/>
    <w:rsid w:val="00235232"/>
    <w:rsid w:val="0024772F"/>
    <w:rsid w:val="0025131C"/>
    <w:rsid w:val="00251A0A"/>
    <w:rsid w:val="00252F8C"/>
    <w:rsid w:val="00253D1B"/>
    <w:rsid w:val="0025499F"/>
    <w:rsid w:val="00255C58"/>
    <w:rsid w:val="00256EFB"/>
    <w:rsid w:val="002614FC"/>
    <w:rsid w:val="002667C0"/>
    <w:rsid w:val="00270D95"/>
    <w:rsid w:val="002810D0"/>
    <w:rsid w:val="00281937"/>
    <w:rsid w:val="00287E4B"/>
    <w:rsid w:val="00295FBA"/>
    <w:rsid w:val="002970D7"/>
    <w:rsid w:val="00297ECB"/>
    <w:rsid w:val="002A2296"/>
    <w:rsid w:val="002B0E1F"/>
    <w:rsid w:val="002B6400"/>
    <w:rsid w:val="002C0E99"/>
    <w:rsid w:val="002C103B"/>
    <w:rsid w:val="002C6A5C"/>
    <w:rsid w:val="002D043A"/>
    <w:rsid w:val="002D6A8E"/>
    <w:rsid w:val="002E469C"/>
    <w:rsid w:val="002E66BA"/>
    <w:rsid w:val="002F6130"/>
    <w:rsid w:val="00301D98"/>
    <w:rsid w:val="00304D2F"/>
    <w:rsid w:val="003105E8"/>
    <w:rsid w:val="00311448"/>
    <w:rsid w:val="00314E15"/>
    <w:rsid w:val="00315101"/>
    <w:rsid w:val="00315275"/>
    <w:rsid w:val="00320A79"/>
    <w:rsid w:val="003220FC"/>
    <w:rsid w:val="003342C4"/>
    <w:rsid w:val="00336894"/>
    <w:rsid w:val="00352B0F"/>
    <w:rsid w:val="00352B8B"/>
    <w:rsid w:val="00354C97"/>
    <w:rsid w:val="00360FB0"/>
    <w:rsid w:val="00365D3C"/>
    <w:rsid w:val="00375F22"/>
    <w:rsid w:val="00376199"/>
    <w:rsid w:val="0038197F"/>
    <w:rsid w:val="00383F54"/>
    <w:rsid w:val="00391865"/>
    <w:rsid w:val="00392707"/>
    <w:rsid w:val="00393436"/>
    <w:rsid w:val="003A31D2"/>
    <w:rsid w:val="003B2C98"/>
    <w:rsid w:val="003B364C"/>
    <w:rsid w:val="003B5348"/>
    <w:rsid w:val="003B5735"/>
    <w:rsid w:val="003B689A"/>
    <w:rsid w:val="003D0BFE"/>
    <w:rsid w:val="003D2362"/>
    <w:rsid w:val="003D3100"/>
    <w:rsid w:val="003D5700"/>
    <w:rsid w:val="003D651B"/>
    <w:rsid w:val="003D6F8A"/>
    <w:rsid w:val="003E05EF"/>
    <w:rsid w:val="003E0FC7"/>
    <w:rsid w:val="003E34F5"/>
    <w:rsid w:val="003E4160"/>
    <w:rsid w:val="003E5990"/>
    <w:rsid w:val="00401E53"/>
    <w:rsid w:val="004116CD"/>
    <w:rsid w:val="00412C41"/>
    <w:rsid w:val="0041321F"/>
    <w:rsid w:val="004175A1"/>
    <w:rsid w:val="00417BC4"/>
    <w:rsid w:val="00422087"/>
    <w:rsid w:val="00424CA9"/>
    <w:rsid w:val="00434508"/>
    <w:rsid w:val="004366F5"/>
    <w:rsid w:val="004374B1"/>
    <w:rsid w:val="0044291A"/>
    <w:rsid w:val="004432FB"/>
    <w:rsid w:val="00443803"/>
    <w:rsid w:val="00450A86"/>
    <w:rsid w:val="00450F7F"/>
    <w:rsid w:val="004560FB"/>
    <w:rsid w:val="00460DED"/>
    <w:rsid w:val="004647DF"/>
    <w:rsid w:val="004653F8"/>
    <w:rsid w:val="00465CCE"/>
    <w:rsid w:val="00466DE8"/>
    <w:rsid w:val="004830A2"/>
    <w:rsid w:val="0048468B"/>
    <w:rsid w:val="00495423"/>
    <w:rsid w:val="00496F97"/>
    <w:rsid w:val="004A01AC"/>
    <w:rsid w:val="004A5E5B"/>
    <w:rsid w:val="004B2ED9"/>
    <w:rsid w:val="004B5C6B"/>
    <w:rsid w:val="004C2AE5"/>
    <w:rsid w:val="004C7098"/>
    <w:rsid w:val="004D5AED"/>
    <w:rsid w:val="004E4B57"/>
    <w:rsid w:val="004E4C0D"/>
    <w:rsid w:val="004F5B95"/>
    <w:rsid w:val="00511219"/>
    <w:rsid w:val="00516B8D"/>
    <w:rsid w:val="00521266"/>
    <w:rsid w:val="00526C86"/>
    <w:rsid w:val="005327A0"/>
    <w:rsid w:val="00535BB8"/>
    <w:rsid w:val="00537FBC"/>
    <w:rsid w:val="00542971"/>
    <w:rsid w:val="00543894"/>
    <w:rsid w:val="005523D4"/>
    <w:rsid w:val="0056004C"/>
    <w:rsid w:val="00560808"/>
    <w:rsid w:val="005624DD"/>
    <w:rsid w:val="00564C16"/>
    <w:rsid w:val="00574669"/>
    <w:rsid w:val="0057491B"/>
    <w:rsid w:val="00584811"/>
    <w:rsid w:val="00587D24"/>
    <w:rsid w:val="00592789"/>
    <w:rsid w:val="005931E4"/>
    <w:rsid w:val="00594161"/>
    <w:rsid w:val="00594749"/>
    <w:rsid w:val="005971F4"/>
    <w:rsid w:val="005A1F2E"/>
    <w:rsid w:val="005A4626"/>
    <w:rsid w:val="005A5D92"/>
    <w:rsid w:val="005A5E8D"/>
    <w:rsid w:val="005B1817"/>
    <w:rsid w:val="005B3892"/>
    <w:rsid w:val="005B730A"/>
    <w:rsid w:val="005C0E49"/>
    <w:rsid w:val="005C51D3"/>
    <w:rsid w:val="005C7673"/>
    <w:rsid w:val="005D06A2"/>
    <w:rsid w:val="005D30B4"/>
    <w:rsid w:val="005D57CC"/>
    <w:rsid w:val="005D7129"/>
    <w:rsid w:val="005E0666"/>
    <w:rsid w:val="005E5023"/>
    <w:rsid w:val="005F7E85"/>
    <w:rsid w:val="00600219"/>
    <w:rsid w:val="00603664"/>
    <w:rsid w:val="006117F4"/>
    <w:rsid w:val="00611A7C"/>
    <w:rsid w:val="00611B0E"/>
    <w:rsid w:val="00611FC6"/>
    <w:rsid w:val="006159FA"/>
    <w:rsid w:val="006207A3"/>
    <w:rsid w:val="00620BDA"/>
    <w:rsid w:val="00623107"/>
    <w:rsid w:val="006236EC"/>
    <w:rsid w:val="00626067"/>
    <w:rsid w:val="00627019"/>
    <w:rsid w:val="00627543"/>
    <w:rsid w:val="006279B8"/>
    <w:rsid w:val="00630A6B"/>
    <w:rsid w:val="006315AB"/>
    <w:rsid w:val="00634072"/>
    <w:rsid w:val="006400E7"/>
    <w:rsid w:val="00647EC2"/>
    <w:rsid w:val="00654832"/>
    <w:rsid w:val="00662CD3"/>
    <w:rsid w:val="00664BEF"/>
    <w:rsid w:val="006660D5"/>
    <w:rsid w:val="006708B0"/>
    <w:rsid w:val="00674B14"/>
    <w:rsid w:val="00677CC2"/>
    <w:rsid w:val="00680F77"/>
    <w:rsid w:val="00683DDA"/>
    <w:rsid w:val="00686FFF"/>
    <w:rsid w:val="0069207B"/>
    <w:rsid w:val="006A111F"/>
    <w:rsid w:val="006A18BE"/>
    <w:rsid w:val="006B0C8C"/>
    <w:rsid w:val="006B0DEC"/>
    <w:rsid w:val="006B148C"/>
    <w:rsid w:val="006B58FB"/>
    <w:rsid w:val="006C7117"/>
    <w:rsid w:val="006C7F8C"/>
    <w:rsid w:val="006D77BA"/>
    <w:rsid w:val="006E2BF6"/>
    <w:rsid w:val="006E2E9F"/>
    <w:rsid w:val="006E3937"/>
    <w:rsid w:val="006F1A7B"/>
    <w:rsid w:val="006F7C34"/>
    <w:rsid w:val="00700190"/>
    <w:rsid w:val="0070114E"/>
    <w:rsid w:val="00704A73"/>
    <w:rsid w:val="0070541A"/>
    <w:rsid w:val="00705A48"/>
    <w:rsid w:val="0070717A"/>
    <w:rsid w:val="00721CEA"/>
    <w:rsid w:val="007276BC"/>
    <w:rsid w:val="00731E00"/>
    <w:rsid w:val="00732892"/>
    <w:rsid w:val="00733990"/>
    <w:rsid w:val="00735C08"/>
    <w:rsid w:val="007426A8"/>
    <w:rsid w:val="00743324"/>
    <w:rsid w:val="007504D6"/>
    <w:rsid w:val="00750FA1"/>
    <w:rsid w:val="00760D5B"/>
    <w:rsid w:val="00764C27"/>
    <w:rsid w:val="00766393"/>
    <w:rsid w:val="00766779"/>
    <w:rsid w:val="0077068B"/>
    <w:rsid w:val="007715C9"/>
    <w:rsid w:val="00771DF4"/>
    <w:rsid w:val="00774EDD"/>
    <w:rsid w:val="00775577"/>
    <w:rsid w:val="007757EC"/>
    <w:rsid w:val="00775CC1"/>
    <w:rsid w:val="00791EC9"/>
    <w:rsid w:val="00793C2C"/>
    <w:rsid w:val="00797BF5"/>
    <w:rsid w:val="007A05B5"/>
    <w:rsid w:val="007A11F3"/>
    <w:rsid w:val="007A48D9"/>
    <w:rsid w:val="007A7E1E"/>
    <w:rsid w:val="007B62D8"/>
    <w:rsid w:val="007C6064"/>
    <w:rsid w:val="007D2346"/>
    <w:rsid w:val="007D446B"/>
    <w:rsid w:val="007D51EF"/>
    <w:rsid w:val="007E0638"/>
    <w:rsid w:val="007E6D25"/>
    <w:rsid w:val="007F6FF0"/>
    <w:rsid w:val="008006B2"/>
    <w:rsid w:val="00803B3D"/>
    <w:rsid w:val="0082004A"/>
    <w:rsid w:val="00825347"/>
    <w:rsid w:val="008311CB"/>
    <w:rsid w:val="00856A31"/>
    <w:rsid w:val="00864D53"/>
    <w:rsid w:val="00871DE0"/>
    <w:rsid w:val="008754D0"/>
    <w:rsid w:val="0087640A"/>
    <w:rsid w:val="008826A4"/>
    <w:rsid w:val="0089274C"/>
    <w:rsid w:val="0089332F"/>
    <w:rsid w:val="00896AF6"/>
    <w:rsid w:val="00896D0E"/>
    <w:rsid w:val="008B2614"/>
    <w:rsid w:val="008B4E45"/>
    <w:rsid w:val="008C288F"/>
    <w:rsid w:val="008C6715"/>
    <w:rsid w:val="008C7A66"/>
    <w:rsid w:val="008C7E23"/>
    <w:rsid w:val="008D65E6"/>
    <w:rsid w:val="008E140B"/>
    <w:rsid w:val="008E17F3"/>
    <w:rsid w:val="008E3B8C"/>
    <w:rsid w:val="008E3EF9"/>
    <w:rsid w:val="008F3ADA"/>
    <w:rsid w:val="008F3BBC"/>
    <w:rsid w:val="008F4C3C"/>
    <w:rsid w:val="008F79EA"/>
    <w:rsid w:val="00905402"/>
    <w:rsid w:val="009141F2"/>
    <w:rsid w:val="00915D04"/>
    <w:rsid w:val="0091739A"/>
    <w:rsid w:val="00920B28"/>
    <w:rsid w:val="00934B56"/>
    <w:rsid w:val="009371BC"/>
    <w:rsid w:val="00942773"/>
    <w:rsid w:val="0094390A"/>
    <w:rsid w:val="00943E46"/>
    <w:rsid w:val="00944624"/>
    <w:rsid w:val="0094622F"/>
    <w:rsid w:val="00947590"/>
    <w:rsid w:val="00953831"/>
    <w:rsid w:val="00962076"/>
    <w:rsid w:val="009747C5"/>
    <w:rsid w:val="009749BC"/>
    <w:rsid w:val="00974D2D"/>
    <w:rsid w:val="0097634C"/>
    <w:rsid w:val="00977462"/>
    <w:rsid w:val="0098638B"/>
    <w:rsid w:val="009871A5"/>
    <w:rsid w:val="009925A2"/>
    <w:rsid w:val="009A0E25"/>
    <w:rsid w:val="009A3939"/>
    <w:rsid w:val="009A5CD2"/>
    <w:rsid w:val="009B2000"/>
    <w:rsid w:val="009B247A"/>
    <w:rsid w:val="009B4671"/>
    <w:rsid w:val="009B6116"/>
    <w:rsid w:val="009B6F38"/>
    <w:rsid w:val="009C2D6E"/>
    <w:rsid w:val="009C5B7E"/>
    <w:rsid w:val="009D0433"/>
    <w:rsid w:val="009E3987"/>
    <w:rsid w:val="009E3EDC"/>
    <w:rsid w:val="009E7322"/>
    <w:rsid w:val="009F4A10"/>
    <w:rsid w:val="00A0254D"/>
    <w:rsid w:val="00A11E81"/>
    <w:rsid w:val="00A15835"/>
    <w:rsid w:val="00A20D8F"/>
    <w:rsid w:val="00A213FE"/>
    <w:rsid w:val="00A21675"/>
    <w:rsid w:val="00A231E2"/>
    <w:rsid w:val="00A42532"/>
    <w:rsid w:val="00A52586"/>
    <w:rsid w:val="00A54B55"/>
    <w:rsid w:val="00A57EE5"/>
    <w:rsid w:val="00A61598"/>
    <w:rsid w:val="00A64912"/>
    <w:rsid w:val="00A65B56"/>
    <w:rsid w:val="00A70A74"/>
    <w:rsid w:val="00A76DAE"/>
    <w:rsid w:val="00A83856"/>
    <w:rsid w:val="00A91176"/>
    <w:rsid w:val="00A91B5C"/>
    <w:rsid w:val="00A9586F"/>
    <w:rsid w:val="00A95C14"/>
    <w:rsid w:val="00AA0F43"/>
    <w:rsid w:val="00AC390E"/>
    <w:rsid w:val="00AC412B"/>
    <w:rsid w:val="00AC4F74"/>
    <w:rsid w:val="00AC63F5"/>
    <w:rsid w:val="00AD5641"/>
    <w:rsid w:val="00AD5DCC"/>
    <w:rsid w:val="00AE49E6"/>
    <w:rsid w:val="00AF001F"/>
    <w:rsid w:val="00B20524"/>
    <w:rsid w:val="00B33B3C"/>
    <w:rsid w:val="00B37DA5"/>
    <w:rsid w:val="00B54CF9"/>
    <w:rsid w:val="00B64871"/>
    <w:rsid w:val="00B73314"/>
    <w:rsid w:val="00B8461E"/>
    <w:rsid w:val="00B86B84"/>
    <w:rsid w:val="00BC4543"/>
    <w:rsid w:val="00BC5AD3"/>
    <w:rsid w:val="00BC77B0"/>
    <w:rsid w:val="00BE719A"/>
    <w:rsid w:val="00BE720A"/>
    <w:rsid w:val="00BF56EA"/>
    <w:rsid w:val="00C029C0"/>
    <w:rsid w:val="00C060A6"/>
    <w:rsid w:val="00C12043"/>
    <w:rsid w:val="00C1453D"/>
    <w:rsid w:val="00C2374B"/>
    <w:rsid w:val="00C252CC"/>
    <w:rsid w:val="00C25793"/>
    <w:rsid w:val="00C328DE"/>
    <w:rsid w:val="00C32CBD"/>
    <w:rsid w:val="00C340FF"/>
    <w:rsid w:val="00C35CED"/>
    <w:rsid w:val="00C42BF8"/>
    <w:rsid w:val="00C4516D"/>
    <w:rsid w:val="00C47252"/>
    <w:rsid w:val="00C50043"/>
    <w:rsid w:val="00C55885"/>
    <w:rsid w:val="00C60503"/>
    <w:rsid w:val="00C60ECD"/>
    <w:rsid w:val="00C61CDD"/>
    <w:rsid w:val="00C636FA"/>
    <w:rsid w:val="00C64C6F"/>
    <w:rsid w:val="00C7149F"/>
    <w:rsid w:val="00C7573B"/>
    <w:rsid w:val="00C75C52"/>
    <w:rsid w:val="00C8127B"/>
    <w:rsid w:val="00C83868"/>
    <w:rsid w:val="00C873C2"/>
    <w:rsid w:val="00C9153E"/>
    <w:rsid w:val="00C93DFC"/>
    <w:rsid w:val="00CA1D81"/>
    <w:rsid w:val="00CB0996"/>
    <w:rsid w:val="00CB3D6B"/>
    <w:rsid w:val="00CB3FEE"/>
    <w:rsid w:val="00CB480A"/>
    <w:rsid w:val="00CB48D8"/>
    <w:rsid w:val="00CC0365"/>
    <w:rsid w:val="00CC0D05"/>
    <w:rsid w:val="00CC2064"/>
    <w:rsid w:val="00CC6D78"/>
    <w:rsid w:val="00CE3639"/>
    <w:rsid w:val="00CE6884"/>
    <w:rsid w:val="00CE7A1E"/>
    <w:rsid w:val="00CF0BB2"/>
    <w:rsid w:val="00CF1989"/>
    <w:rsid w:val="00CF4E7E"/>
    <w:rsid w:val="00CF7724"/>
    <w:rsid w:val="00D0141A"/>
    <w:rsid w:val="00D02370"/>
    <w:rsid w:val="00D043FD"/>
    <w:rsid w:val="00D0684B"/>
    <w:rsid w:val="00D06D5F"/>
    <w:rsid w:val="00D13441"/>
    <w:rsid w:val="00D148B8"/>
    <w:rsid w:val="00D17176"/>
    <w:rsid w:val="00D23583"/>
    <w:rsid w:val="00D24D9C"/>
    <w:rsid w:val="00D26B74"/>
    <w:rsid w:val="00D27DDD"/>
    <w:rsid w:val="00D34808"/>
    <w:rsid w:val="00D41FF9"/>
    <w:rsid w:val="00D46A46"/>
    <w:rsid w:val="00D66C57"/>
    <w:rsid w:val="00D70DFB"/>
    <w:rsid w:val="00D73F45"/>
    <w:rsid w:val="00D766DF"/>
    <w:rsid w:val="00D77775"/>
    <w:rsid w:val="00D82BA1"/>
    <w:rsid w:val="00D84264"/>
    <w:rsid w:val="00D87099"/>
    <w:rsid w:val="00D95D7F"/>
    <w:rsid w:val="00D97DC2"/>
    <w:rsid w:val="00DA3C32"/>
    <w:rsid w:val="00DB3CFE"/>
    <w:rsid w:val="00DB4333"/>
    <w:rsid w:val="00DC6593"/>
    <w:rsid w:val="00DD16B9"/>
    <w:rsid w:val="00DD1BD6"/>
    <w:rsid w:val="00DD2D30"/>
    <w:rsid w:val="00DE2241"/>
    <w:rsid w:val="00DE24C6"/>
    <w:rsid w:val="00DE5EE5"/>
    <w:rsid w:val="00DE7073"/>
    <w:rsid w:val="00DF3E8E"/>
    <w:rsid w:val="00DF7C4D"/>
    <w:rsid w:val="00E1199A"/>
    <w:rsid w:val="00E12A89"/>
    <w:rsid w:val="00E24203"/>
    <w:rsid w:val="00E32A67"/>
    <w:rsid w:val="00E3456C"/>
    <w:rsid w:val="00E41B72"/>
    <w:rsid w:val="00E42366"/>
    <w:rsid w:val="00E428A5"/>
    <w:rsid w:val="00E446EB"/>
    <w:rsid w:val="00E46981"/>
    <w:rsid w:val="00E50E72"/>
    <w:rsid w:val="00E520FB"/>
    <w:rsid w:val="00E54F68"/>
    <w:rsid w:val="00E644D4"/>
    <w:rsid w:val="00E65965"/>
    <w:rsid w:val="00E65A7E"/>
    <w:rsid w:val="00E6703A"/>
    <w:rsid w:val="00E73FEE"/>
    <w:rsid w:val="00E74DC7"/>
    <w:rsid w:val="00E768BE"/>
    <w:rsid w:val="00E9349F"/>
    <w:rsid w:val="00E96AF3"/>
    <w:rsid w:val="00EA0FC2"/>
    <w:rsid w:val="00EA14B3"/>
    <w:rsid w:val="00EB1864"/>
    <w:rsid w:val="00EB3592"/>
    <w:rsid w:val="00EC7C8B"/>
    <w:rsid w:val="00ED0C49"/>
    <w:rsid w:val="00ED4542"/>
    <w:rsid w:val="00ED59C1"/>
    <w:rsid w:val="00EE2499"/>
    <w:rsid w:val="00EE6426"/>
    <w:rsid w:val="00EE7B6D"/>
    <w:rsid w:val="00EF2236"/>
    <w:rsid w:val="00EF2E3A"/>
    <w:rsid w:val="00EF55EB"/>
    <w:rsid w:val="00EF5773"/>
    <w:rsid w:val="00F04811"/>
    <w:rsid w:val="00F04D6D"/>
    <w:rsid w:val="00F078DC"/>
    <w:rsid w:val="00F16256"/>
    <w:rsid w:val="00F1692C"/>
    <w:rsid w:val="00F23E5F"/>
    <w:rsid w:val="00F26A91"/>
    <w:rsid w:val="00F31EB1"/>
    <w:rsid w:val="00F33232"/>
    <w:rsid w:val="00F364F2"/>
    <w:rsid w:val="00F45149"/>
    <w:rsid w:val="00F51269"/>
    <w:rsid w:val="00F56007"/>
    <w:rsid w:val="00F56C40"/>
    <w:rsid w:val="00F6099A"/>
    <w:rsid w:val="00F73DDE"/>
    <w:rsid w:val="00F87C53"/>
    <w:rsid w:val="00F966F7"/>
    <w:rsid w:val="00FB4235"/>
    <w:rsid w:val="00FC3F42"/>
    <w:rsid w:val="00FD0415"/>
    <w:rsid w:val="00FD456C"/>
    <w:rsid w:val="00FE495E"/>
    <w:rsid w:val="00FF1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endnote text" w:uiPriority="0"/>
    <w:lsdException w:name="List Number" w:qFormat="1"/>
    <w:lsdException w:name="List 3" w:uiPriority="0"/>
    <w:lsdException w:name="List 4" w:uiPriority="0"/>
    <w:lsdException w:name="List 5" w:uiPriority="0"/>
    <w:lsdException w:name="List Bullet 3" w:uiPriority="0"/>
    <w:lsdException w:name="List Bullet 4" w:uiPriority="0"/>
    <w:lsdException w:name="Title" w:semiHidden="0" w:uiPriority="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Colorful 2" w:uiPriority="0"/>
    <w:lsdException w:name="Table Columns 5" w:uiPriority="0"/>
    <w:lsdException w:name="Table Web 2"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2">
    <w:name w:val="heading 2"/>
    <w:basedOn w:val="Normal"/>
    <w:next w:val="Normal"/>
    <w:link w:val="Heading2Char"/>
    <w:uiPriority w:val="9"/>
    <w:semiHidden/>
    <w:unhideWhenUsed/>
    <w:qFormat/>
    <w:rsid w:val="00D27D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1453D"/>
    <w:pPr>
      <w:keepNext/>
      <w:spacing w:line="240" w:lineRule="auto"/>
      <w:jc w:val="both"/>
      <w:outlineLvl w:val="3"/>
    </w:pPr>
    <w:rPr>
      <w:rFonts w:eastAsia="Times New Roman" w:cs="Times New Roman"/>
      <w:color w:val="FFFFFF"/>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Heading4Char">
    <w:name w:val="Heading 4 Char"/>
    <w:basedOn w:val="DefaultParagraphFont"/>
    <w:link w:val="Heading4"/>
    <w:rsid w:val="00C1453D"/>
    <w:rPr>
      <w:rFonts w:eastAsia="Times New Roman" w:cs="Times New Roman"/>
      <w:color w:val="FFFFFF"/>
      <w:sz w:val="24"/>
      <w:lang w:eastAsia="en-AU"/>
    </w:rPr>
  </w:style>
  <w:style w:type="paragraph" w:customStyle="1" w:styleId="enstatementheading">
    <w:name w:val="enstatementheading"/>
    <w:basedOn w:val="Normal"/>
    <w:rsid w:val="00C1453D"/>
    <w:pPr>
      <w:spacing w:before="100" w:beforeAutospacing="1" w:after="100" w:afterAutospacing="1" w:line="240" w:lineRule="auto"/>
    </w:pPr>
    <w:rPr>
      <w:rFonts w:eastAsia="Times New Roman" w:cs="Times New Roman"/>
      <w:sz w:val="24"/>
      <w:szCs w:val="24"/>
      <w:lang w:eastAsia="en-AU"/>
    </w:rPr>
  </w:style>
  <w:style w:type="paragraph" w:customStyle="1" w:styleId="enstatement0">
    <w:name w:val="enstatement"/>
    <w:basedOn w:val="Normal"/>
    <w:rsid w:val="00C1453D"/>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rsid w:val="00C1453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C1453D"/>
    <w:rPr>
      <w:rFonts w:eastAsia="Times New Roman" w:cs="Times New Roman"/>
      <w:sz w:val="22"/>
      <w:lang w:eastAsia="en-AU"/>
    </w:rPr>
  </w:style>
  <w:style w:type="character" w:customStyle="1" w:styleId="paragraphChar">
    <w:name w:val="paragraph Char"/>
    <w:aliases w:val="a Char,Paragraph Char"/>
    <w:link w:val="paragraph"/>
    <w:rsid w:val="00C1453D"/>
    <w:rPr>
      <w:rFonts w:eastAsia="Times New Roman" w:cs="Times New Roman"/>
      <w:sz w:val="22"/>
      <w:lang w:eastAsia="en-AU"/>
    </w:rPr>
  </w:style>
  <w:style w:type="character" w:customStyle="1" w:styleId="subsectionChar">
    <w:name w:val="subsection Char"/>
    <w:aliases w:val="ss Char,Subsection Char"/>
    <w:link w:val="subsection"/>
    <w:rsid w:val="00C1453D"/>
    <w:rPr>
      <w:rFonts w:eastAsia="Times New Roman" w:cs="Times New Roman"/>
      <w:sz w:val="22"/>
      <w:lang w:eastAsia="en-AU"/>
    </w:rPr>
  </w:style>
  <w:style w:type="paragraph" w:customStyle="1" w:styleId="ENotesHeading2">
    <w:name w:val="ENotesHeading 2"/>
    <w:aliases w:val="Enh2,ENh2"/>
    <w:basedOn w:val="Normal"/>
    <w:next w:val="Normal"/>
    <w:rsid w:val="00C1453D"/>
    <w:pPr>
      <w:spacing w:before="120" w:after="120"/>
      <w:outlineLvl w:val="2"/>
    </w:pPr>
    <w:rPr>
      <w:rFonts w:eastAsia="Times New Roman" w:cs="Times New Roman"/>
      <w:b/>
      <w:sz w:val="24"/>
      <w:szCs w:val="28"/>
      <w:lang w:eastAsia="en-AU"/>
    </w:rPr>
  </w:style>
  <w:style w:type="table" w:styleId="TableColorful2">
    <w:name w:val="Table Colorful 2"/>
    <w:basedOn w:val="TableNormal"/>
    <w:semiHidden/>
    <w:rsid w:val="00C145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OText">
    <w:name w:val="SO Text"/>
    <w:aliases w:val="sot"/>
    <w:link w:val="SOTextChar"/>
    <w:rsid w:val="00C1453D"/>
    <w:pPr>
      <w:pBdr>
        <w:top w:val="single" w:sz="6" w:space="5" w:color="auto"/>
        <w:left w:val="single" w:sz="6" w:space="5" w:color="auto"/>
        <w:bottom w:val="single" w:sz="6" w:space="5" w:color="auto"/>
        <w:right w:val="single" w:sz="6" w:space="5" w:color="auto"/>
      </w:pBdr>
      <w:spacing w:before="240"/>
      <w:ind w:left="1134"/>
    </w:pPr>
    <w:rPr>
      <w:rFonts w:eastAsiaTheme="minorEastAsia"/>
      <w:sz w:val="22"/>
      <w:lang w:eastAsia="en-AU"/>
    </w:rPr>
  </w:style>
  <w:style w:type="character" w:customStyle="1" w:styleId="SOTextChar">
    <w:name w:val="SO Text Char"/>
    <w:aliases w:val="sot Char"/>
    <w:basedOn w:val="DefaultParagraphFont"/>
    <w:link w:val="SOText"/>
    <w:rsid w:val="00C1453D"/>
    <w:rPr>
      <w:rFonts w:eastAsiaTheme="minorEastAsia"/>
      <w:sz w:val="22"/>
      <w:lang w:eastAsia="en-AU"/>
    </w:rPr>
  </w:style>
  <w:style w:type="paragraph" w:styleId="ListNumber5">
    <w:name w:val="List Number 5"/>
    <w:basedOn w:val="Normal"/>
    <w:uiPriority w:val="99"/>
    <w:unhideWhenUsed/>
    <w:rsid w:val="00C1453D"/>
    <w:pPr>
      <w:spacing w:after="200" w:line="276" w:lineRule="auto"/>
      <w:contextualSpacing/>
    </w:pPr>
    <w:rPr>
      <w:rFonts w:asciiTheme="minorHAnsi" w:eastAsiaTheme="minorEastAsia" w:hAnsiTheme="minorHAnsi"/>
      <w:szCs w:val="22"/>
      <w:lang w:eastAsia="en-AU"/>
    </w:rPr>
  </w:style>
  <w:style w:type="character" w:styleId="HTMLTypewriter">
    <w:name w:val="HTML Typewriter"/>
    <w:rsid w:val="00C1453D"/>
    <w:rPr>
      <w:rFonts w:ascii="Courier New" w:hAnsi="Courier New" w:cs="Courier New"/>
      <w:sz w:val="20"/>
      <w:szCs w:val="20"/>
    </w:rPr>
  </w:style>
  <w:style w:type="paragraph" w:styleId="ListBullet3">
    <w:name w:val="List Bullet 3"/>
    <w:rsid w:val="00C1453D"/>
    <w:pPr>
      <w:tabs>
        <w:tab w:val="num" w:pos="360"/>
      </w:tabs>
      <w:ind w:left="360" w:hanging="360"/>
    </w:pPr>
    <w:rPr>
      <w:rFonts w:eastAsia="Times New Roman" w:cs="Times New Roman"/>
      <w:sz w:val="22"/>
      <w:szCs w:val="24"/>
      <w:lang w:eastAsia="en-AU"/>
    </w:rPr>
  </w:style>
  <w:style w:type="paragraph" w:styleId="Index1">
    <w:name w:val="index 1"/>
    <w:basedOn w:val="Normal"/>
    <w:next w:val="Normal"/>
    <w:autoRedefine/>
    <w:uiPriority w:val="99"/>
    <w:semiHidden/>
    <w:unhideWhenUsed/>
    <w:rsid w:val="00C1453D"/>
    <w:pPr>
      <w:spacing w:line="240" w:lineRule="auto"/>
      <w:ind w:left="220" w:hanging="220"/>
    </w:pPr>
  </w:style>
  <w:style w:type="paragraph" w:styleId="IndexHeading">
    <w:name w:val="index heading"/>
    <w:next w:val="Index1"/>
    <w:rsid w:val="00C1453D"/>
    <w:rPr>
      <w:rFonts w:ascii="Arial" w:eastAsia="Times New Roman" w:hAnsi="Arial" w:cs="Arial"/>
      <w:b/>
      <w:bCs/>
      <w:sz w:val="22"/>
      <w:szCs w:val="24"/>
      <w:lang w:eastAsia="en-AU"/>
    </w:rPr>
  </w:style>
  <w:style w:type="paragraph" w:styleId="EndnoteText">
    <w:name w:val="endnote text"/>
    <w:basedOn w:val="Normal"/>
    <w:link w:val="EndnoteTextChar"/>
    <w:rsid w:val="00C1453D"/>
    <w:rPr>
      <w:sz w:val="20"/>
    </w:rPr>
  </w:style>
  <w:style w:type="character" w:customStyle="1" w:styleId="EndnoteTextChar">
    <w:name w:val="Endnote Text Char"/>
    <w:basedOn w:val="DefaultParagraphFont"/>
    <w:link w:val="EndnoteText"/>
    <w:rsid w:val="00C1453D"/>
  </w:style>
  <w:style w:type="paragraph" w:customStyle="1" w:styleId="EnStatementHeading0">
    <w:name w:val="EnStatementHeading"/>
    <w:basedOn w:val="Normal"/>
    <w:rsid w:val="00C1453D"/>
    <w:rPr>
      <w:rFonts w:eastAsia="Times New Roman" w:cs="Times New Roman"/>
      <w:b/>
      <w:lang w:eastAsia="en-AU"/>
    </w:rPr>
  </w:style>
  <w:style w:type="table" w:styleId="TableGrid">
    <w:name w:val="Table Grid"/>
    <w:aliases w:val="Summary box"/>
    <w:basedOn w:val="TableNormal"/>
    <w:rsid w:val="00C1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ih">
    <w:name w:val="Special ih"/>
    <w:basedOn w:val="ItemHead"/>
    <w:link w:val="SpecialihChar"/>
    <w:rsid w:val="00C1453D"/>
    <w:pPr>
      <w:keepNext/>
    </w:pPr>
  </w:style>
  <w:style w:type="character" w:customStyle="1" w:styleId="SpecialihChar">
    <w:name w:val="Special ih Char"/>
    <w:basedOn w:val="DefaultParagraphFont"/>
    <w:link w:val="Specialih"/>
    <w:rsid w:val="00C1453D"/>
    <w:rPr>
      <w:rFonts w:ascii="Arial" w:eastAsia="Times New Roman" w:hAnsi="Arial" w:cs="Times New Roman"/>
      <w:b/>
      <w:kern w:val="28"/>
      <w:sz w:val="24"/>
      <w:lang w:eastAsia="en-AU"/>
    </w:rPr>
  </w:style>
  <w:style w:type="paragraph" w:customStyle="1" w:styleId="EnStatement">
    <w:name w:val="EnStatement"/>
    <w:basedOn w:val="Normal"/>
    <w:rsid w:val="00C1453D"/>
    <w:pPr>
      <w:numPr>
        <w:numId w:val="14"/>
      </w:numPr>
    </w:pPr>
    <w:rPr>
      <w:rFonts w:eastAsia="Times New Roman" w:cs="Times New Roman"/>
      <w:lang w:eastAsia="en-AU"/>
    </w:rPr>
  </w:style>
  <w:style w:type="paragraph" w:customStyle="1" w:styleId="Specialaat">
    <w:name w:val="Special aat"/>
    <w:basedOn w:val="ActHead9"/>
    <w:link w:val="SpecialaatChar"/>
    <w:rsid w:val="00C1453D"/>
    <w:pPr>
      <w:outlineLvl w:val="9"/>
    </w:pPr>
  </w:style>
  <w:style w:type="character" w:customStyle="1" w:styleId="SpecialaatChar">
    <w:name w:val="Special aat Char"/>
    <w:basedOn w:val="DefaultParagraphFont"/>
    <w:link w:val="Specialaat"/>
    <w:rsid w:val="00C1453D"/>
    <w:rPr>
      <w:rFonts w:eastAsia="Times New Roman" w:cs="Times New Roman"/>
      <w:b/>
      <w:i/>
      <w:kern w:val="28"/>
      <w:sz w:val="28"/>
      <w:lang w:eastAsia="en-AU"/>
    </w:rPr>
  </w:style>
  <w:style w:type="paragraph" w:styleId="Index4">
    <w:name w:val="index 4"/>
    <w:basedOn w:val="Normal"/>
    <w:next w:val="Normal"/>
    <w:autoRedefine/>
    <w:unhideWhenUsed/>
    <w:rsid w:val="00C1453D"/>
    <w:pPr>
      <w:spacing w:line="240" w:lineRule="auto"/>
      <w:ind w:left="880" w:hanging="220"/>
    </w:pPr>
  </w:style>
  <w:style w:type="paragraph" w:styleId="List5">
    <w:name w:val="List 5"/>
    <w:basedOn w:val="Normal"/>
    <w:unhideWhenUsed/>
    <w:rsid w:val="00C1453D"/>
    <w:pPr>
      <w:ind w:left="1415" w:hanging="283"/>
      <w:contextualSpacing/>
    </w:pPr>
  </w:style>
  <w:style w:type="paragraph" w:customStyle="1" w:styleId="Default">
    <w:name w:val="Default"/>
    <w:rsid w:val="00C1453D"/>
    <w:pPr>
      <w:autoSpaceDE w:val="0"/>
      <w:autoSpaceDN w:val="0"/>
      <w:adjustRightInd w:val="0"/>
    </w:pPr>
    <w:rPr>
      <w:rFonts w:cs="Times New Roman"/>
      <w:color w:val="000000"/>
      <w:sz w:val="24"/>
      <w:szCs w:val="24"/>
    </w:rPr>
  </w:style>
  <w:style w:type="table" w:styleId="TableColumns5">
    <w:name w:val="Table Columns 5"/>
    <w:basedOn w:val="TableNormal"/>
    <w:semiHidden/>
    <w:rsid w:val="00C145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2">
    <w:name w:val="Table Web 2"/>
    <w:basedOn w:val="TableNormal"/>
    <w:rsid w:val="00C145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tHead5Char">
    <w:name w:val="ActHead 5 Char"/>
    <w:aliases w:val="s Char"/>
    <w:basedOn w:val="DefaultParagraphFont"/>
    <w:link w:val="ActHead5"/>
    <w:rsid w:val="00C1453D"/>
    <w:rPr>
      <w:rFonts w:eastAsia="Times New Roman" w:cs="Times New Roman"/>
      <w:b/>
      <w:kern w:val="28"/>
      <w:sz w:val="24"/>
      <w:lang w:eastAsia="en-AU"/>
    </w:rPr>
  </w:style>
  <w:style w:type="paragraph" w:styleId="List3">
    <w:name w:val="List 3"/>
    <w:basedOn w:val="Normal"/>
    <w:unhideWhenUsed/>
    <w:rsid w:val="00C1453D"/>
    <w:pPr>
      <w:ind w:left="849" w:hanging="283"/>
      <w:contextualSpacing/>
    </w:pPr>
  </w:style>
  <w:style w:type="paragraph" w:styleId="ListContinue4">
    <w:name w:val="List Continue 4"/>
    <w:basedOn w:val="Normal"/>
    <w:unhideWhenUsed/>
    <w:rsid w:val="00C1453D"/>
    <w:pPr>
      <w:spacing w:after="120"/>
      <w:ind w:left="1132"/>
      <w:contextualSpacing/>
    </w:pPr>
  </w:style>
  <w:style w:type="paragraph" w:styleId="List4">
    <w:name w:val="List 4"/>
    <w:basedOn w:val="Normal"/>
    <w:unhideWhenUsed/>
    <w:rsid w:val="00C1453D"/>
    <w:pPr>
      <w:ind w:left="1132" w:hanging="283"/>
      <w:contextualSpacing/>
    </w:pPr>
  </w:style>
  <w:style w:type="paragraph" w:styleId="Title">
    <w:name w:val="Title"/>
    <w:basedOn w:val="Normal"/>
    <w:link w:val="TitleChar"/>
    <w:qFormat/>
    <w:rsid w:val="00C1453D"/>
    <w:pPr>
      <w:spacing w:before="240" w:after="60"/>
    </w:pPr>
    <w:rPr>
      <w:rFonts w:ascii="Arial" w:hAnsi="Arial" w:cs="Arial"/>
      <w:b/>
      <w:bCs/>
      <w:sz w:val="40"/>
      <w:szCs w:val="40"/>
    </w:rPr>
  </w:style>
  <w:style w:type="character" w:customStyle="1" w:styleId="TitleChar">
    <w:name w:val="Title Char"/>
    <w:basedOn w:val="DefaultParagraphFont"/>
    <w:link w:val="Title"/>
    <w:rsid w:val="00C1453D"/>
    <w:rPr>
      <w:rFonts w:ascii="Arial" w:hAnsi="Arial" w:cs="Arial"/>
      <w:b/>
      <w:bCs/>
      <w:sz w:val="40"/>
      <w:szCs w:val="40"/>
    </w:rPr>
  </w:style>
  <w:style w:type="paragraph" w:customStyle="1" w:styleId="Speciali">
    <w:name w:val="Special i"/>
    <w:basedOn w:val="Item"/>
    <w:link w:val="SpecialiChar"/>
    <w:rsid w:val="00C1453D"/>
  </w:style>
  <w:style w:type="character" w:customStyle="1" w:styleId="SpecialiChar">
    <w:name w:val="Special i Char"/>
    <w:basedOn w:val="ItemChar"/>
    <w:link w:val="Speciali"/>
    <w:rsid w:val="00C1453D"/>
    <w:rPr>
      <w:rFonts w:eastAsia="Times New Roman" w:cs="Times New Roman"/>
      <w:sz w:val="22"/>
      <w:lang w:eastAsia="en-AU"/>
    </w:rPr>
  </w:style>
  <w:style w:type="paragraph" w:customStyle="1" w:styleId="I">
    <w:name w:val="I"/>
    <w:basedOn w:val="Normal"/>
    <w:rsid w:val="00C1453D"/>
    <w:pPr>
      <w:spacing w:before="100" w:beforeAutospacing="1" w:after="100" w:afterAutospacing="1" w:line="240" w:lineRule="auto"/>
      <w:ind w:left="567" w:hanging="567"/>
    </w:pPr>
    <w:rPr>
      <w:rFonts w:ascii="Arial" w:eastAsia="Times New Roman" w:hAnsi="Arial" w:cs="Arial"/>
      <w:b/>
      <w:bCs/>
      <w:color w:val="000000"/>
      <w:sz w:val="26"/>
      <w:szCs w:val="26"/>
      <w:lang w:eastAsia="en-AU"/>
    </w:rPr>
  </w:style>
  <w:style w:type="paragraph" w:customStyle="1" w:styleId="HR">
    <w:name w:val="HR"/>
    <w:aliases w:val="Regulation Heading"/>
    <w:basedOn w:val="Normal"/>
    <w:next w:val="Normal"/>
    <w:rsid w:val="00C1453D"/>
    <w:pPr>
      <w:keepNext/>
      <w:spacing w:before="360" w:line="240" w:lineRule="auto"/>
      <w:ind w:left="964" w:hanging="964"/>
    </w:pPr>
    <w:rPr>
      <w:rFonts w:ascii="Arial" w:eastAsia="Times New Roman" w:hAnsi="Arial" w:cs="Times New Roman"/>
      <w:b/>
      <w:sz w:val="24"/>
      <w:szCs w:val="24"/>
      <w:lang w:eastAsia="en-AU"/>
    </w:rPr>
  </w:style>
  <w:style w:type="paragraph" w:customStyle="1" w:styleId="tableText0">
    <w:name w:val="table.Text"/>
    <w:basedOn w:val="Normal"/>
    <w:rsid w:val="00C1453D"/>
    <w:pPr>
      <w:spacing w:before="24" w:after="24"/>
    </w:pPr>
    <w:rPr>
      <w:rFonts w:eastAsia="Calibri" w:cs="Times New Roman"/>
      <w:sz w:val="20"/>
    </w:rPr>
  </w:style>
  <w:style w:type="paragraph" w:customStyle="1" w:styleId="tableIndentText">
    <w:name w:val="table.Indent.Text"/>
    <w:rsid w:val="00C1453D"/>
    <w:pPr>
      <w:tabs>
        <w:tab w:val="left" w:leader="dot" w:pos="5245"/>
      </w:tabs>
      <w:spacing w:before="24" w:after="24"/>
      <w:ind w:left="851" w:hanging="284"/>
    </w:pPr>
    <w:rPr>
      <w:rFonts w:ascii="Times" w:eastAsia="Times New Roman" w:hAnsi="Times" w:cs="Times New Roman"/>
    </w:rPr>
  </w:style>
  <w:style w:type="paragraph" w:styleId="ListBullet4">
    <w:name w:val="List Bullet 4"/>
    <w:rsid w:val="00C1453D"/>
    <w:pPr>
      <w:tabs>
        <w:tab w:val="num" w:pos="926"/>
      </w:tabs>
      <w:ind w:left="926" w:hanging="360"/>
    </w:pPr>
    <w:rPr>
      <w:rFonts w:eastAsia="Times New Roman" w:cs="Times New Roman"/>
      <w:sz w:val="22"/>
      <w:szCs w:val="24"/>
      <w:lang w:eastAsia="en-AU"/>
    </w:rPr>
  </w:style>
  <w:style w:type="character" w:customStyle="1" w:styleId="notetextChar">
    <w:name w:val="note(text) Char"/>
    <w:aliases w:val="n Char"/>
    <w:link w:val="notetext"/>
    <w:rsid w:val="00C1453D"/>
    <w:rPr>
      <w:rFonts w:eastAsia="Times New Roman" w:cs="Times New Roman"/>
      <w:sz w:val="18"/>
      <w:lang w:eastAsia="en-AU"/>
    </w:rPr>
  </w:style>
  <w:style w:type="paragraph" w:customStyle="1" w:styleId="Specials">
    <w:name w:val="Special s"/>
    <w:basedOn w:val="ActHead5"/>
    <w:link w:val="SpecialsChar"/>
    <w:rsid w:val="00C1453D"/>
    <w:pPr>
      <w:outlineLvl w:val="9"/>
    </w:pPr>
  </w:style>
  <w:style w:type="character" w:customStyle="1" w:styleId="SpecialsChar">
    <w:name w:val="Special s Char"/>
    <w:basedOn w:val="ActHead5Char"/>
    <w:link w:val="Specials"/>
    <w:rsid w:val="00C1453D"/>
    <w:rPr>
      <w:rFonts w:eastAsia="Times New Roman" w:cs="Times New Roman"/>
      <w:b/>
      <w:kern w:val="28"/>
      <w:sz w:val="24"/>
      <w:lang w:eastAsia="en-AU"/>
    </w:rPr>
  </w:style>
  <w:style w:type="paragraph" w:customStyle="1" w:styleId="Amendment10">
    <w:name w:val="Amendment1"/>
    <w:basedOn w:val="Normal"/>
    <w:link w:val="Amendment1Char"/>
    <w:qFormat/>
    <w:rsid w:val="00C32CBD"/>
    <w:pPr>
      <w:widowControl w:val="0"/>
      <w:numPr>
        <w:numId w:val="16"/>
      </w:numPr>
      <w:spacing w:before="120" w:line="260" w:lineRule="exact"/>
    </w:pPr>
    <w:rPr>
      <w:rFonts w:ascii="Arial" w:eastAsia="Times New Roman" w:hAnsi="Arial" w:cs="Times New Roman"/>
      <w:b/>
      <w:sz w:val="20"/>
      <w:lang w:eastAsia="en-AU"/>
    </w:rPr>
  </w:style>
  <w:style w:type="character" w:customStyle="1" w:styleId="Amendment1Char">
    <w:name w:val="Amendment1 Char"/>
    <w:basedOn w:val="DefaultParagraphFont"/>
    <w:link w:val="Amendment10"/>
    <w:rsid w:val="00C32CBD"/>
    <w:rPr>
      <w:rFonts w:ascii="Arial" w:eastAsia="Times New Roman" w:hAnsi="Arial" w:cs="Times New Roman"/>
      <w:b/>
      <w:lang w:eastAsia="en-AU"/>
    </w:rPr>
  </w:style>
  <w:style w:type="paragraph" w:styleId="ListParagraph">
    <w:name w:val="List Paragraph"/>
    <w:basedOn w:val="Normal"/>
    <w:link w:val="ListParagraphChar"/>
    <w:uiPriority w:val="34"/>
    <w:qFormat/>
    <w:rsid w:val="006F7C34"/>
    <w:pPr>
      <w:ind w:left="720"/>
      <w:contextualSpacing/>
    </w:pPr>
  </w:style>
  <w:style w:type="paragraph" w:customStyle="1" w:styleId="Amendment1">
    <w:name w:val="Amendment 1"/>
    <w:basedOn w:val="Normal"/>
    <w:link w:val="Amendment1Char0"/>
    <w:qFormat/>
    <w:rsid w:val="00871DE0"/>
    <w:pPr>
      <w:widowControl w:val="0"/>
      <w:numPr>
        <w:numId w:val="20"/>
      </w:numPr>
      <w:spacing w:before="120" w:line="240" w:lineRule="auto"/>
    </w:pPr>
    <w:rPr>
      <w:rFonts w:ascii="Arial" w:eastAsia="Times New Roman" w:hAnsi="Arial" w:cs="Arial"/>
      <w:b/>
      <w:bCs/>
      <w:sz w:val="20"/>
      <w:lang w:eastAsia="en-AU"/>
    </w:rPr>
  </w:style>
  <w:style w:type="paragraph" w:customStyle="1" w:styleId="Amendment2">
    <w:name w:val="Amendment 2"/>
    <w:basedOn w:val="Normal"/>
    <w:link w:val="Amendment2Char"/>
    <w:qFormat/>
    <w:rsid w:val="00871DE0"/>
    <w:pPr>
      <w:widowControl w:val="0"/>
      <w:spacing w:before="60" w:after="60" w:line="260" w:lineRule="exact"/>
      <w:ind w:left="709"/>
    </w:pPr>
    <w:rPr>
      <w:rFonts w:eastAsia="Times New Roman" w:cs="Times New Roman"/>
      <w:i/>
      <w:iCs/>
      <w:sz w:val="20"/>
      <w:lang w:eastAsia="en-AU"/>
    </w:rPr>
  </w:style>
  <w:style w:type="character" w:customStyle="1" w:styleId="Amendment1Char0">
    <w:name w:val="Amendment 1 Char"/>
    <w:basedOn w:val="DefaultParagraphFont"/>
    <w:link w:val="Amendment1"/>
    <w:rsid w:val="00871DE0"/>
    <w:rPr>
      <w:rFonts w:ascii="Arial" w:eastAsia="Times New Roman" w:hAnsi="Arial" w:cs="Arial"/>
      <w:b/>
      <w:bCs/>
      <w:lang w:eastAsia="en-AU"/>
    </w:rPr>
  </w:style>
  <w:style w:type="character" w:customStyle="1" w:styleId="Amendment2Char">
    <w:name w:val="Amendment 2 Char"/>
    <w:basedOn w:val="DefaultParagraphFont"/>
    <w:link w:val="Amendment2"/>
    <w:rsid w:val="00871DE0"/>
    <w:rPr>
      <w:rFonts w:eastAsia="Times New Roman" w:cs="Times New Roman"/>
      <w:i/>
      <w:iCs/>
      <w:lang w:eastAsia="en-AU"/>
    </w:rPr>
  </w:style>
  <w:style w:type="character" w:customStyle="1" w:styleId="ListParagraphChar">
    <w:name w:val="List Paragraph Char"/>
    <w:basedOn w:val="DefaultParagraphFont"/>
    <w:link w:val="ListParagraph"/>
    <w:rsid w:val="003342C4"/>
    <w:rPr>
      <w:sz w:val="22"/>
    </w:rPr>
  </w:style>
  <w:style w:type="paragraph" w:styleId="ListBullet">
    <w:name w:val="List Bullet"/>
    <w:basedOn w:val="Normal"/>
    <w:uiPriority w:val="99"/>
    <w:unhideWhenUsed/>
    <w:rsid w:val="00E3456C"/>
    <w:pPr>
      <w:numPr>
        <w:numId w:val="1"/>
      </w:numPr>
      <w:contextualSpacing/>
    </w:pPr>
  </w:style>
  <w:style w:type="table" w:styleId="TableWeb3">
    <w:name w:val="Table Web 3"/>
    <w:basedOn w:val="TableNormal"/>
    <w:rsid w:val="003151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mendmentInstruction">
    <w:name w:val="Amendment Instruction"/>
    <w:basedOn w:val="NoList"/>
    <w:uiPriority w:val="99"/>
    <w:rsid w:val="002614FC"/>
    <w:pPr>
      <w:numPr>
        <w:numId w:val="27"/>
      </w:numPr>
    </w:pPr>
  </w:style>
  <w:style w:type="paragraph" w:customStyle="1" w:styleId="LITableText">
    <w:name w:val="LI Table Text"/>
    <w:basedOn w:val="Tabletext"/>
    <w:link w:val="LITableTextChar"/>
    <w:autoRedefine/>
    <w:qFormat/>
    <w:rsid w:val="002614FC"/>
    <w:pPr>
      <w:spacing w:after="60" w:line="240" w:lineRule="auto"/>
    </w:pPr>
    <w:rPr>
      <w:rFonts w:ascii="Arial" w:hAnsi="Arial"/>
      <w:sz w:val="16"/>
    </w:rPr>
  </w:style>
  <w:style w:type="character" w:customStyle="1" w:styleId="LITableTextChar">
    <w:name w:val="LI Table Text Char"/>
    <w:basedOn w:val="DefaultParagraphFont"/>
    <w:link w:val="LITableText"/>
    <w:rsid w:val="002614FC"/>
    <w:rPr>
      <w:rFonts w:ascii="Arial" w:eastAsia="Times New Roman" w:hAnsi="Arial" w:cs="Times New Roman"/>
      <w:sz w:val="16"/>
      <w:lang w:eastAsia="en-AU"/>
    </w:rPr>
  </w:style>
  <w:style w:type="paragraph" w:customStyle="1" w:styleId="EndNotespara">
    <w:name w:val="EndNotes(para)"/>
    <w:aliases w:val="eta"/>
    <w:basedOn w:val="OPCParaBase"/>
    <w:next w:val="Normal"/>
    <w:rsid w:val="00C93DFC"/>
    <w:pPr>
      <w:tabs>
        <w:tab w:val="right" w:pos="1985"/>
      </w:tabs>
      <w:spacing w:before="40" w:line="240" w:lineRule="auto"/>
      <w:ind w:left="828" w:hanging="828"/>
    </w:pPr>
    <w:rPr>
      <w:sz w:val="20"/>
    </w:rPr>
  </w:style>
  <w:style w:type="character" w:customStyle="1" w:styleId="Heading2Char">
    <w:name w:val="Heading 2 Char"/>
    <w:basedOn w:val="DefaultParagraphFont"/>
    <w:link w:val="Heading2"/>
    <w:uiPriority w:val="9"/>
    <w:semiHidden/>
    <w:rsid w:val="00D27DDD"/>
    <w:rPr>
      <w:rFonts w:asciiTheme="majorHAnsi" w:eastAsiaTheme="majorEastAsia" w:hAnsiTheme="majorHAnsi" w:cstheme="majorBidi"/>
      <w:b/>
      <w:bCs/>
      <w:color w:val="4F81BD" w:themeColor="accent1"/>
      <w:sz w:val="26"/>
      <w:szCs w:val="26"/>
    </w:rPr>
  </w:style>
  <w:style w:type="paragraph" w:customStyle="1" w:styleId="Amendment3">
    <w:name w:val="Amendment 3"/>
    <w:basedOn w:val="ListParagraph"/>
    <w:link w:val="Amendment3Char"/>
    <w:qFormat/>
    <w:rsid w:val="007B62D8"/>
    <w:pPr>
      <w:widowControl w:val="0"/>
      <w:numPr>
        <w:numId w:val="30"/>
      </w:numPr>
      <w:spacing w:before="60" w:after="60" w:line="260" w:lineRule="exact"/>
    </w:pPr>
    <w:rPr>
      <w:rFonts w:eastAsia="Times New Roman"/>
      <w:i/>
      <w:iCs/>
    </w:rPr>
  </w:style>
  <w:style w:type="character" w:customStyle="1" w:styleId="Amendment3Char">
    <w:name w:val="Amendment 3 Char"/>
    <w:basedOn w:val="ListParagraphChar"/>
    <w:link w:val="Amendment3"/>
    <w:rsid w:val="007B62D8"/>
    <w:rPr>
      <w:rFonts w:eastAsia="Times New Roman"/>
      <w:i/>
      <w:iCs/>
      <w:sz w:val="22"/>
    </w:rPr>
  </w:style>
  <w:style w:type="character" w:customStyle="1" w:styleId="TabletextChar">
    <w:name w:val="Tabletext Char"/>
    <w:aliases w:val="tt Char"/>
    <w:basedOn w:val="DefaultParagraphFont"/>
    <w:link w:val="Tabletext"/>
    <w:rsid w:val="007B62D8"/>
    <w:rPr>
      <w:rFonts w:eastAsia="Times New Roman" w:cs="Times New Roman"/>
      <w:lang w:eastAsia="en-AU"/>
    </w:rPr>
  </w:style>
  <w:style w:type="character" w:customStyle="1" w:styleId="AmendmentKeyword">
    <w:name w:val="Amendment Keyword"/>
    <w:basedOn w:val="Amendment3Char"/>
    <w:uiPriority w:val="1"/>
    <w:rsid w:val="007B62D8"/>
    <w:rPr>
      <w:rFonts w:ascii="Arial" w:eastAsia="Times New Roman" w:hAnsi="Arial"/>
      <w:b/>
      <w:i/>
      <w:iCs/>
      <w:sz w:val="20"/>
      <w:szCs w:val="24"/>
    </w:rPr>
  </w:style>
  <w:style w:type="character" w:customStyle="1" w:styleId="legsubtitle1">
    <w:name w:val="legsubtitle1"/>
    <w:basedOn w:val="DefaultParagraphFont"/>
    <w:rsid w:val="005A1F2E"/>
    <w:rPr>
      <w:b/>
      <w:bCs/>
    </w:rPr>
  </w:style>
  <w:style w:type="paragraph" w:customStyle="1" w:styleId="ScheduleItem">
    <w:name w:val="Schedule Item"/>
    <w:basedOn w:val="ItemHead"/>
    <w:link w:val="ScheduleItemChar"/>
    <w:qFormat/>
    <w:rsid w:val="00526C86"/>
    <w:pPr>
      <w:keepLines w:val="0"/>
      <w:numPr>
        <w:numId w:val="31"/>
      </w:numPr>
      <w:spacing w:before="360"/>
    </w:pPr>
  </w:style>
  <w:style w:type="character" w:customStyle="1" w:styleId="ScheduleItemChar">
    <w:name w:val="Schedule Item Char"/>
    <w:basedOn w:val="DefaultParagraphFont"/>
    <w:link w:val="ScheduleItem"/>
    <w:rsid w:val="00526C86"/>
    <w:rPr>
      <w:rFonts w:ascii="Arial" w:eastAsia="Times New Roman" w:hAnsi="Arial" w:cs="Times New Roman"/>
      <w:b/>
      <w:kern w:val="28"/>
      <w:sz w:val="24"/>
      <w:lang w:eastAsia="en-AU"/>
    </w:rPr>
  </w:style>
  <w:style w:type="paragraph" w:customStyle="1" w:styleId="Speciald">
    <w:name w:val="Special d"/>
    <w:basedOn w:val="ActHead3"/>
    <w:link w:val="SpecialdChar"/>
    <w:rsid w:val="00F33232"/>
    <w:pPr>
      <w:spacing w:before="0"/>
      <w:outlineLvl w:val="9"/>
    </w:pPr>
  </w:style>
  <w:style w:type="character" w:customStyle="1" w:styleId="SpecialdChar">
    <w:name w:val="Special d Char"/>
    <w:basedOn w:val="DefaultParagraphFont"/>
    <w:link w:val="Speciald"/>
    <w:rsid w:val="00F33232"/>
    <w:rPr>
      <w:rFonts w:eastAsia="Times New Roman" w:cs="Times New Roman"/>
      <w:b/>
      <w:kern w:val="28"/>
      <w:sz w:val="28"/>
      <w:lang w:eastAsia="en-AU"/>
    </w:rPr>
  </w:style>
  <w:style w:type="paragraph" w:customStyle="1" w:styleId="Specialsd">
    <w:name w:val="Special sd"/>
    <w:basedOn w:val="ActHead4"/>
    <w:link w:val="SpecialsdChar"/>
    <w:rsid w:val="00791EC9"/>
    <w:pPr>
      <w:spacing w:before="0"/>
      <w:outlineLvl w:val="9"/>
    </w:pPr>
  </w:style>
  <w:style w:type="character" w:customStyle="1" w:styleId="SpecialsdChar">
    <w:name w:val="Special sd Char"/>
    <w:basedOn w:val="DefaultParagraphFont"/>
    <w:link w:val="Specialsd"/>
    <w:rsid w:val="00791EC9"/>
    <w:rPr>
      <w:rFonts w:eastAsia="Times New Roman" w:cs="Times New Roman"/>
      <w:b/>
      <w:kern w:val="28"/>
      <w:sz w:val="26"/>
      <w:lang w:eastAsia="en-AU"/>
    </w:rPr>
  </w:style>
  <w:style w:type="paragraph" w:customStyle="1" w:styleId="R1">
    <w:name w:val="R1"/>
    <w:aliases w:val="1. or 1.(1)"/>
    <w:basedOn w:val="Normal"/>
    <w:next w:val="Normal"/>
    <w:uiPriority w:val="99"/>
    <w:rsid w:val="006B148C"/>
    <w:pPr>
      <w:tabs>
        <w:tab w:val="right" w:pos="794"/>
      </w:tabs>
      <w:spacing w:before="120" w:line="260" w:lineRule="exact"/>
      <w:ind w:left="964" w:hanging="964"/>
      <w:jc w:val="both"/>
    </w:pPr>
  </w:style>
  <w:style w:type="paragraph" w:customStyle="1" w:styleId="P1">
    <w:name w:val="P1"/>
    <w:aliases w:val="(a)"/>
    <w:basedOn w:val="Normal"/>
    <w:uiPriority w:val="99"/>
    <w:rsid w:val="006B148C"/>
    <w:pPr>
      <w:tabs>
        <w:tab w:val="right" w:pos="1191"/>
      </w:tabs>
      <w:spacing w:before="60" w:line="260" w:lineRule="exact"/>
      <w:ind w:left="1418" w:hanging="1418"/>
      <w:jc w:val="both"/>
    </w:pPr>
  </w:style>
  <w:style w:type="paragraph" w:styleId="ListNumber">
    <w:name w:val="List Number"/>
    <w:basedOn w:val="Normal"/>
    <w:uiPriority w:val="99"/>
    <w:unhideWhenUsed/>
    <w:qFormat/>
    <w:rsid w:val="00B54CF9"/>
    <w:pPr>
      <w:numPr>
        <w:numId w:val="6"/>
      </w:numPr>
      <w:contextualSpacing/>
    </w:pPr>
  </w:style>
  <w:style w:type="paragraph" w:styleId="ListNumber2">
    <w:name w:val="List Number 2"/>
    <w:basedOn w:val="Normal"/>
    <w:uiPriority w:val="99"/>
    <w:unhideWhenUsed/>
    <w:rsid w:val="00B54CF9"/>
    <w:pPr>
      <w:numPr>
        <w:numId w:val="7"/>
      </w:numPr>
      <w:contextualSpacing/>
    </w:pPr>
  </w:style>
  <w:style w:type="paragraph" w:styleId="ListNumber3">
    <w:name w:val="List Number 3"/>
    <w:basedOn w:val="Normal"/>
    <w:uiPriority w:val="99"/>
    <w:unhideWhenUsed/>
    <w:rsid w:val="00B54CF9"/>
    <w:pPr>
      <w:numPr>
        <w:numId w:val="8"/>
      </w:numPr>
      <w:contextualSpacing/>
    </w:pPr>
  </w:style>
  <w:style w:type="paragraph" w:styleId="ListNumber4">
    <w:name w:val="List Number 4"/>
    <w:basedOn w:val="Normal"/>
    <w:uiPriority w:val="99"/>
    <w:rsid w:val="00B54CF9"/>
    <w:pPr>
      <w:spacing w:after="200" w:line="276" w:lineRule="auto"/>
      <w:ind w:left="1476" w:hanging="369"/>
    </w:pPr>
    <w:rPr>
      <w:rFonts w:ascii="Arial" w:eastAsia="Calibri" w:hAnsi="Arial"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endnote text" w:uiPriority="0"/>
    <w:lsdException w:name="List Number" w:qFormat="1"/>
    <w:lsdException w:name="List 3" w:uiPriority="0"/>
    <w:lsdException w:name="List 4" w:uiPriority="0"/>
    <w:lsdException w:name="List 5" w:uiPriority="0"/>
    <w:lsdException w:name="List Bullet 3" w:uiPriority="0"/>
    <w:lsdException w:name="List Bullet 4" w:uiPriority="0"/>
    <w:lsdException w:name="Title" w:semiHidden="0" w:uiPriority="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Colorful 2" w:uiPriority="0"/>
    <w:lsdException w:name="Table Columns 5" w:uiPriority="0"/>
    <w:lsdException w:name="Table Web 2"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2">
    <w:name w:val="heading 2"/>
    <w:basedOn w:val="Normal"/>
    <w:next w:val="Normal"/>
    <w:link w:val="Heading2Char"/>
    <w:uiPriority w:val="9"/>
    <w:semiHidden/>
    <w:unhideWhenUsed/>
    <w:qFormat/>
    <w:rsid w:val="00D27D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1453D"/>
    <w:pPr>
      <w:keepNext/>
      <w:spacing w:line="240" w:lineRule="auto"/>
      <w:jc w:val="both"/>
      <w:outlineLvl w:val="3"/>
    </w:pPr>
    <w:rPr>
      <w:rFonts w:eastAsia="Times New Roman" w:cs="Times New Roman"/>
      <w:color w:val="FFFFFF"/>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Heading4Char">
    <w:name w:val="Heading 4 Char"/>
    <w:basedOn w:val="DefaultParagraphFont"/>
    <w:link w:val="Heading4"/>
    <w:rsid w:val="00C1453D"/>
    <w:rPr>
      <w:rFonts w:eastAsia="Times New Roman" w:cs="Times New Roman"/>
      <w:color w:val="FFFFFF"/>
      <w:sz w:val="24"/>
      <w:lang w:eastAsia="en-AU"/>
    </w:rPr>
  </w:style>
  <w:style w:type="paragraph" w:customStyle="1" w:styleId="enstatementheading">
    <w:name w:val="enstatementheading"/>
    <w:basedOn w:val="Normal"/>
    <w:rsid w:val="00C1453D"/>
    <w:pPr>
      <w:spacing w:before="100" w:beforeAutospacing="1" w:after="100" w:afterAutospacing="1" w:line="240" w:lineRule="auto"/>
    </w:pPr>
    <w:rPr>
      <w:rFonts w:eastAsia="Times New Roman" w:cs="Times New Roman"/>
      <w:sz w:val="24"/>
      <w:szCs w:val="24"/>
      <w:lang w:eastAsia="en-AU"/>
    </w:rPr>
  </w:style>
  <w:style w:type="paragraph" w:customStyle="1" w:styleId="enstatement0">
    <w:name w:val="enstatement"/>
    <w:basedOn w:val="Normal"/>
    <w:rsid w:val="00C1453D"/>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rsid w:val="00C1453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C1453D"/>
    <w:rPr>
      <w:rFonts w:eastAsia="Times New Roman" w:cs="Times New Roman"/>
      <w:sz w:val="22"/>
      <w:lang w:eastAsia="en-AU"/>
    </w:rPr>
  </w:style>
  <w:style w:type="character" w:customStyle="1" w:styleId="paragraphChar">
    <w:name w:val="paragraph Char"/>
    <w:aliases w:val="a Char,Paragraph Char"/>
    <w:link w:val="paragraph"/>
    <w:rsid w:val="00C1453D"/>
    <w:rPr>
      <w:rFonts w:eastAsia="Times New Roman" w:cs="Times New Roman"/>
      <w:sz w:val="22"/>
      <w:lang w:eastAsia="en-AU"/>
    </w:rPr>
  </w:style>
  <w:style w:type="character" w:customStyle="1" w:styleId="subsectionChar">
    <w:name w:val="subsection Char"/>
    <w:aliases w:val="ss Char,Subsection Char"/>
    <w:link w:val="subsection"/>
    <w:rsid w:val="00C1453D"/>
    <w:rPr>
      <w:rFonts w:eastAsia="Times New Roman" w:cs="Times New Roman"/>
      <w:sz w:val="22"/>
      <w:lang w:eastAsia="en-AU"/>
    </w:rPr>
  </w:style>
  <w:style w:type="paragraph" w:customStyle="1" w:styleId="ENotesHeading2">
    <w:name w:val="ENotesHeading 2"/>
    <w:aliases w:val="Enh2,ENh2"/>
    <w:basedOn w:val="Normal"/>
    <w:next w:val="Normal"/>
    <w:rsid w:val="00C1453D"/>
    <w:pPr>
      <w:spacing w:before="120" w:after="120"/>
      <w:outlineLvl w:val="2"/>
    </w:pPr>
    <w:rPr>
      <w:rFonts w:eastAsia="Times New Roman" w:cs="Times New Roman"/>
      <w:b/>
      <w:sz w:val="24"/>
      <w:szCs w:val="28"/>
      <w:lang w:eastAsia="en-AU"/>
    </w:rPr>
  </w:style>
  <w:style w:type="table" w:styleId="TableColorful2">
    <w:name w:val="Table Colorful 2"/>
    <w:basedOn w:val="TableNormal"/>
    <w:semiHidden/>
    <w:rsid w:val="00C145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OText">
    <w:name w:val="SO Text"/>
    <w:aliases w:val="sot"/>
    <w:link w:val="SOTextChar"/>
    <w:rsid w:val="00C1453D"/>
    <w:pPr>
      <w:pBdr>
        <w:top w:val="single" w:sz="6" w:space="5" w:color="auto"/>
        <w:left w:val="single" w:sz="6" w:space="5" w:color="auto"/>
        <w:bottom w:val="single" w:sz="6" w:space="5" w:color="auto"/>
        <w:right w:val="single" w:sz="6" w:space="5" w:color="auto"/>
      </w:pBdr>
      <w:spacing w:before="240"/>
      <w:ind w:left="1134"/>
    </w:pPr>
    <w:rPr>
      <w:rFonts w:eastAsiaTheme="minorEastAsia"/>
      <w:sz w:val="22"/>
      <w:lang w:eastAsia="en-AU"/>
    </w:rPr>
  </w:style>
  <w:style w:type="character" w:customStyle="1" w:styleId="SOTextChar">
    <w:name w:val="SO Text Char"/>
    <w:aliases w:val="sot Char"/>
    <w:basedOn w:val="DefaultParagraphFont"/>
    <w:link w:val="SOText"/>
    <w:rsid w:val="00C1453D"/>
    <w:rPr>
      <w:rFonts w:eastAsiaTheme="minorEastAsia"/>
      <w:sz w:val="22"/>
      <w:lang w:eastAsia="en-AU"/>
    </w:rPr>
  </w:style>
  <w:style w:type="paragraph" w:styleId="ListNumber5">
    <w:name w:val="List Number 5"/>
    <w:basedOn w:val="Normal"/>
    <w:uiPriority w:val="99"/>
    <w:unhideWhenUsed/>
    <w:rsid w:val="00C1453D"/>
    <w:pPr>
      <w:spacing w:after="200" w:line="276" w:lineRule="auto"/>
      <w:contextualSpacing/>
    </w:pPr>
    <w:rPr>
      <w:rFonts w:asciiTheme="minorHAnsi" w:eastAsiaTheme="minorEastAsia" w:hAnsiTheme="minorHAnsi"/>
      <w:szCs w:val="22"/>
      <w:lang w:eastAsia="en-AU"/>
    </w:rPr>
  </w:style>
  <w:style w:type="character" w:styleId="HTMLTypewriter">
    <w:name w:val="HTML Typewriter"/>
    <w:rsid w:val="00C1453D"/>
    <w:rPr>
      <w:rFonts w:ascii="Courier New" w:hAnsi="Courier New" w:cs="Courier New"/>
      <w:sz w:val="20"/>
      <w:szCs w:val="20"/>
    </w:rPr>
  </w:style>
  <w:style w:type="paragraph" w:styleId="ListBullet3">
    <w:name w:val="List Bullet 3"/>
    <w:rsid w:val="00C1453D"/>
    <w:pPr>
      <w:tabs>
        <w:tab w:val="num" w:pos="360"/>
      </w:tabs>
      <w:ind w:left="360" w:hanging="360"/>
    </w:pPr>
    <w:rPr>
      <w:rFonts w:eastAsia="Times New Roman" w:cs="Times New Roman"/>
      <w:sz w:val="22"/>
      <w:szCs w:val="24"/>
      <w:lang w:eastAsia="en-AU"/>
    </w:rPr>
  </w:style>
  <w:style w:type="paragraph" w:styleId="Index1">
    <w:name w:val="index 1"/>
    <w:basedOn w:val="Normal"/>
    <w:next w:val="Normal"/>
    <w:autoRedefine/>
    <w:uiPriority w:val="99"/>
    <w:semiHidden/>
    <w:unhideWhenUsed/>
    <w:rsid w:val="00C1453D"/>
    <w:pPr>
      <w:spacing w:line="240" w:lineRule="auto"/>
      <w:ind w:left="220" w:hanging="220"/>
    </w:pPr>
  </w:style>
  <w:style w:type="paragraph" w:styleId="IndexHeading">
    <w:name w:val="index heading"/>
    <w:next w:val="Index1"/>
    <w:rsid w:val="00C1453D"/>
    <w:rPr>
      <w:rFonts w:ascii="Arial" w:eastAsia="Times New Roman" w:hAnsi="Arial" w:cs="Arial"/>
      <w:b/>
      <w:bCs/>
      <w:sz w:val="22"/>
      <w:szCs w:val="24"/>
      <w:lang w:eastAsia="en-AU"/>
    </w:rPr>
  </w:style>
  <w:style w:type="paragraph" w:styleId="EndnoteText">
    <w:name w:val="endnote text"/>
    <w:basedOn w:val="Normal"/>
    <w:link w:val="EndnoteTextChar"/>
    <w:rsid w:val="00C1453D"/>
    <w:rPr>
      <w:sz w:val="20"/>
    </w:rPr>
  </w:style>
  <w:style w:type="character" w:customStyle="1" w:styleId="EndnoteTextChar">
    <w:name w:val="Endnote Text Char"/>
    <w:basedOn w:val="DefaultParagraphFont"/>
    <w:link w:val="EndnoteText"/>
    <w:rsid w:val="00C1453D"/>
  </w:style>
  <w:style w:type="paragraph" w:customStyle="1" w:styleId="EnStatementHeading0">
    <w:name w:val="EnStatementHeading"/>
    <w:basedOn w:val="Normal"/>
    <w:rsid w:val="00C1453D"/>
    <w:rPr>
      <w:rFonts w:eastAsia="Times New Roman" w:cs="Times New Roman"/>
      <w:b/>
      <w:lang w:eastAsia="en-AU"/>
    </w:rPr>
  </w:style>
  <w:style w:type="table" w:styleId="TableGrid">
    <w:name w:val="Table Grid"/>
    <w:aliases w:val="Summary box"/>
    <w:basedOn w:val="TableNormal"/>
    <w:rsid w:val="00C1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ih">
    <w:name w:val="Special ih"/>
    <w:basedOn w:val="ItemHead"/>
    <w:link w:val="SpecialihChar"/>
    <w:rsid w:val="00C1453D"/>
    <w:pPr>
      <w:keepNext/>
    </w:pPr>
  </w:style>
  <w:style w:type="character" w:customStyle="1" w:styleId="SpecialihChar">
    <w:name w:val="Special ih Char"/>
    <w:basedOn w:val="DefaultParagraphFont"/>
    <w:link w:val="Specialih"/>
    <w:rsid w:val="00C1453D"/>
    <w:rPr>
      <w:rFonts w:ascii="Arial" w:eastAsia="Times New Roman" w:hAnsi="Arial" w:cs="Times New Roman"/>
      <w:b/>
      <w:kern w:val="28"/>
      <w:sz w:val="24"/>
      <w:lang w:eastAsia="en-AU"/>
    </w:rPr>
  </w:style>
  <w:style w:type="paragraph" w:customStyle="1" w:styleId="EnStatement">
    <w:name w:val="EnStatement"/>
    <w:basedOn w:val="Normal"/>
    <w:rsid w:val="00C1453D"/>
    <w:pPr>
      <w:numPr>
        <w:numId w:val="14"/>
      </w:numPr>
    </w:pPr>
    <w:rPr>
      <w:rFonts w:eastAsia="Times New Roman" w:cs="Times New Roman"/>
      <w:lang w:eastAsia="en-AU"/>
    </w:rPr>
  </w:style>
  <w:style w:type="paragraph" w:customStyle="1" w:styleId="Specialaat">
    <w:name w:val="Special aat"/>
    <w:basedOn w:val="ActHead9"/>
    <w:link w:val="SpecialaatChar"/>
    <w:rsid w:val="00C1453D"/>
    <w:pPr>
      <w:outlineLvl w:val="9"/>
    </w:pPr>
  </w:style>
  <w:style w:type="character" w:customStyle="1" w:styleId="SpecialaatChar">
    <w:name w:val="Special aat Char"/>
    <w:basedOn w:val="DefaultParagraphFont"/>
    <w:link w:val="Specialaat"/>
    <w:rsid w:val="00C1453D"/>
    <w:rPr>
      <w:rFonts w:eastAsia="Times New Roman" w:cs="Times New Roman"/>
      <w:b/>
      <w:i/>
      <w:kern w:val="28"/>
      <w:sz w:val="28"/>
      <w:lang w:eastAsia="en-AU"/>
    </w:rPr>
  </w:style>
  <w:style w:type="paragraph" w:styleId="Index4">
    <w:name w:val="index 4"/>
    <w:basedOn w:val="Normal"/>
    <w:next w:val="Normal"/>
    <w:autoRedefine/>
    <w:unhideWhenUsed/>
    <w:rsid w:val="00C1453D"/>
    <w:pPr>
      <w:spacing w:line="240" w:lineRule="auto"/>
      <w:ind w:left="880" w:hanging="220"/>
    </w:pPr>
  </w:style>
  <w:style w:type="paragraph" w:styleId="List5">
    <w:name w:val="List 5"/>
    <w:basedOn w:val="Normal"/>
    <w:unhideWhenUsed/>
    <w:rsid w:val="00C1453D"/>
    <w:pPr>
      <w:ind w:left="1415" w:hanging="283"/>
      <w:contextualSpacing/>
    </w:pPr>
  </w:style>
  <w:style w:type="paragraph" w:customStyle="1" w:styleId="Default">
    <w:name w:val="Default"/>
    <w:rsid w:val="00C1453D"/>
    <w:pPr>
      <w:autoSpaceDE w:val="0"/>
      <w:autoSpaceDN w:val="0"/>
      <w:adjustRightInd w:val="0"/>
    </w:pPr>
    <w:rPr>
      <w:rFonts w:cs="Times New Roman"/>
      <w:color w:val="000000"/>
      <w:sz w:val="24"/>
      <w:szCs w:val="24"/>
    </w:rPr>
  </w:style>
  <w:style w:type="table" w:styleId="TableColumns5">
    <w:name w:val="Table Columns 5"/>
    <w:basedOn w:val="TableNormal"/>
    <w:semiHidden/>
    <w:rsid w:val="00C145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2">
    <w:name w:val="Table Web 2"/>
    <w:basedOn w:val="TableNormal"/>
    <w:rsid w:val="00C145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tHead5Char">
    <w:name w:val="ActHead 5 Char"/>
    <w:aliases w:val="s Char"/>
    <w:basedOn w:val="DefaultParagraphFont"/>
    <w:link w:val="ActHead5"/>
    <w:rsid w:val="00C1453D"/>
    <w:rPr>
      <w:rFonts w:eastAsia="Times New Roman" w:cs="Times New Roman"/>
      <w:b/>
      <w:kern w:val="28"/>
      <w:sz w:val="24"/>
      <w:lang w:eastAsia="en-AU"/>
    </w:rPr>
  </w:style>
  <w:style w:type="paragraph" w:styleId="List3">
    <w:name w:val="List 3"/>
    <w:basedOn w:val="Normal"/>
    <w:unhideWhenUsed/>
    <w:rsid w:val="00C1453D"/>
    <w:pPr>
      <w:ind w:left="849" w:hanging="283"/>
      <w:contextualSpacing/>
    </w:pPr>
  </w:style>
  <w:style w:type="paragraph" w:styleId="ListContinue4">
    <w:name w:val="List Continue 4"/>
    <w:basedOn w:val="Normal"/>
    <w:unhideWhenUsed/>
    <w:rsid w:val="00C1453D"/>
    <w:pPr>
      <w:spacing w:after="120"/>
      <w:ind w:left="1132"/>
      <w:contextualSpacing/>
    </w:pPr>
  </w:style>
  <w:style w:type="paragraph" w:styleId="List4">
    <w:name w:val="List 4"/>
    <w:basedOn w:val="Normal"/>
    <w:unhideWhenUsed/>
    <w:rsid w:val="00C1453D"/>
    <w:pPr>
      <w:ind w:left="1132" w:hanging="283"/>
      <w:contextualSpacing/>
    </w:pPr>
  </w:style>
  <w:style w:type="paragraph" w:styleId="Title">
    <w:name w:val="Title"/>
    <w:basedOn w:val="Normal"/>
    <w:link w:val="TitleChar"/>
    <w:qFormat/>
    <w:rsid w:val="00C1453D"/>
    <w:pPr>
      <w:spacing w:before="240" w:after="60"/>
    </w:pPr>
    <w:rPr>
      <w:rFonts w:ascii="Arial" w:hAnsi="Arial" w:cs="Arial"/>
      <w:b/>
      <w:bCs/>
      <w:sz w:val="40"/>
      <w:szCs w:val="40"/>
    </w:rPr>
  </w:style>
  <w:style w:type="character" w:customStyle="1" w:styleId="TitleChar">
    <w:name w:val="Title Char"/>
    <w:basedOn w:val="DefaultParagraphFont"/>
    <w:link w:val="Title"/>
    <w:rsid w:val="00C1453D"/>
    <w:rPr>
      <w:rFonts w:ascii="Arial" w:hAnsi="Arial" w:cs="Arial"/>
      <w:b/>
      <w:bCs/>
      <w:sz w:val="40"/>
      <w:szCs w:val="40"/>
    </w:rPr>
  </w:style>
  <w:style w:type="paragraph" w:customStyle="1" w:styleId="Speciali">
    <w:name w:val="Special i"/>
    <w:basedOn w:val="Item"/>
    <w:link w:val="SpecialiChar"/>
    <w:rsid w:val="00C1453D"/>
  </w:style>
  <w:style w:type="character" w:customStyle="1" w:styleId="SpecialiChar">
    <w:name w:val="Special i Char"/>
    <w:basedOn w:val="ItemChar"/>
    <w:link w:val="Speciali"/>
    <w:rsid w:val="00C1453D"/>
    <w:rPr>
      <w:rFonts w:eastAsia="Times New Roman" w:cs="Times New Roman"/>
      <w:sz w:val="22"/>
      <w:lang w:eastAsia="en-AU"/>
    </w:rPr>
  </w:style>
  <w:style w:type="paragraph" w:customStyle="1" w:styleId="I">
    <w:name w:val="I"/>
    <w:basedOn w:val="Normal"/>
    <w:rsid w:val="00C1453D"/>
    <w:pPr>
      <w:spacing w:before="100" w:beforeAutospacing="1" w:after="100" w:afterAutospacing="1" w:line="240" w:lineRule="auto"/>
      <w:ind w:left="567" w:hanging="567"/>
    </w:pPr>
    <w:rPr>
      <w:rFonts w:ascii="Arial" w:eastAsia="Times New Roman" w:hAnsi="Arial" w:cs="Arial"/>
      <w:b/>
      <w:bCs/>
      <w:color w:val="000000"/>
      <w:sz w:val="26"/>
      <w:szCs w:val="26"/>
      <w:lang w:eastAsia="en-AU"/>
    </w:rPr>
  </w:style>
  <w:style w:type="paragraph" w:customStyle="1" w:styleId="HR">
    <w:name w:val="HR"/>
    <w:aliases w:val="Regulation Heading"/>
    <w:basedOn w:val="Normal"/>
    <w:next w:val="Normal"/>
    <w:rsid w:val="00C1453D"/>
    <w:pPr>
      <w:keepNext/>
      <w:spacing w:before="360" w:line="240" w:lineRule="auto"/>
      <w:ind w:left="964" w:hanging="964"/>
    </w:pPr>
    <w:rPr>
      <w:rFonts w:ascii="Arial" w:eastAsia="Times New Roman" w:hAnsi="Arial" w:cs="Times New Roman"/>
      <w:b/>
      <w:sz w:val="24"/>
      <w:szCs w:val="24"/>
      <w:lang w:eastAsia="en-AU"/>
    </w:rPr>
  </w:style>
  <w:style w:type="paragraph" w:customStyle="1" w:styleId="tableText0">
    <w:name w:val="table.Text"/>
    <w:basedOn w:val="Normal"/>
    <w:rsid w:val="00C1453D"/>
    <w:pPr>
      <w:spacing w:before="24" w:after="24"/>
    </w:pPr>
    <w:rPr>
      <w:rFonts w:eastAsia="Calibri" w:cs="Times New Roman"/>
      <w:sz w:val="20"/>
    </w:rPr>
  </w:style>
  <w:style w:type="paragraph" w:customStyle="1" w:styleId="tableIndentText">
    <w:name w:val="table.Indent.Text"/>
    <w:rsid w:val="00C1453D"/>
    <w:pPr>
      <w:tabs>
        <w:tab w:val="left" w:leader="dot" w:pos="5245"/>
      </w:tabs>
      <w:spacing w:before="24" w:after="24"/>
      <w:ind w:left="851" w:hanging="284"/>
    </w:pPr>
    <w:rPr>
      <w:rFonts w:ascii="Times" w:eastAsia="Times New Roman" w:hAnsi="Times" w:cs="Times New Roman"/>
    </w:rPr>
  </w:style>
  <w:style w:type="paragraph" w:styleId="ListBullet4">
    <w:name w:val="List Bullet 4"/>
    <w:rsid w:val="00C1453D"/>
    <w:pPr>
      <w:tabs>
        <w:tab w:val="num" w:pos="926"/>
      </w:tabs>
      <w:ind w:left="926" w:hanging="360"/>
    </w:pPr>
    <w:rPr>
      <w:rFonts w:eastAsia="Times New Roman" w:cs="Times New Roman"/>
      <w:sz w:val="22"/>
      <w:szCs w:val="24"/>
      <w:lang w:eastAsia="en-AU"/>
    </w:rPr>
  </w:style>
  <w:style w:type="character" w:customStyle="1" w:styleId="notetextChar">
    <w:name w:val="note(text) Char"/>
    <w:aliases w:val="n Char"/>
    <w:link w:val="notetext"/>
    <w:rsid w:val="00C1453D"/>
    <w:rPr>
      <w:rFonts w:eastAsia="Times New Roman" w:cs="Times New Roman"/>
      <w:sz w:val="18"/>
      <w:lang w:eastAsia="en-AU"/>
    </w:rPr>
  </w:style>
  <w:style w:type="paragraph" w:customStyle="1" w:styleId="Specials">
    <w:name w:val="Special s"/>
    <w:basedOn w:val="ActHead5"/>
    <w:link w:val="SpecialsChar"/>
    <w:rsid w:val="00C1453D"/>
    <w:pPr>
      <w:outlineLvl w:val="9"/>
    </w:pPr>
  </w:style>
  <w:style w:type="character" w:customStyle="1" w:styleId="SpecialsChar">
    <w:name w:val="Special s Char"/>
    <w:basedOn w:val="ActHead5Char"/>
    <w:link w:val="Specials"/>
    <w:rsid w:val="00C1453D"/>
    <w:rPr>
      <w:rFonts w:eastAsia="Times New Roman" w:cs="Times New Roman"/>
      <w:b/>
      <w:kern w:val="28"/>
      <w:sz w:val="24"/>
      <w:lang w:eastAsia="en-AU"/>
    </w:rPr>
  </w:style>
  <w:style w:type="paragraph" w:customStyle="1" w:styleId="Amendment10">
    <w:name w:val="Amendment1"/>
    <w:basedOn w:val="Normal"/>
    <w:link w:val="Amendment1Char"/>
    <w:qFormat/>
    <w:rsid w:val="00C32CBD"/>
    <w:pPr>
      <w:widowControl w:val="0"/>
      <w:numPr>
        <w:numId w:val="16"/>
      </w:numPr>
      <w:spacing w:before="120" w:line="260" w:lineRule="exact"/>
    </w:pPr>
    <w:rPr>
      <w:rFonts w:ascii="Arial" w:eastAsia="Times New Roman" w:hAnsi="Arial" w:cs="Times New Roman"/>
      <w:b/>
      <w:sz w:val="20"/>
      <w:lang w:eastAsia="en-AU"/>
    </w:rPr>
  </w:style>
  <w:style w:type="character" w:customStyle="1" w:styleId="Amendment1Char">
    <w:name w:val="Amendment1 Char"/>
    <w:basedOn w:val="DefaultParagraphFont"/>
    <w:link w:val="Amendment10"/>
    <w:rsid w:val="00C32CBD"/>
    <w:rPr>
      <w:rFonts w:ascii="Arial" w:eastAsia="Times New Roman" w:hAnsi="Arial" w:cs="Times New Roman"/>
      <w:b/>
      <w:lang w:eastAsia="en-AU"/>
    </w:rPr>
  </w:style>
  <w:style w:type="paragraph" w:styleId="ListParagraph">
    <w:name w:val="List Paragraph"/>
    <w:basedOn w:val="Normal"/>
    <w:link w:val="ListParagraphChar"/>
    <w:uiPriority w:val="34"/>
    <w:qFormat/>
    <w:rsid w:val="006F7C34"/>
    <w:pPr>
      <w:ind w:left="720"/>
      <w:contextualSpacing/>
    </w:pPr>
  </w:style>
  <w:style w:type="paragraph" w:customStyle="1" w:styleId="Amendment1">
    <w:name w:val="Amendment 1"/>
    <w:basedOn w:val="Normal"/>
    <w:link w:val="Amendment1Char0"/>
    <w:qFormat/>
    <w:rsid w:val="00871DE0"/>
    <w:pPr>
      <w:widowControl w:val="0"/>
      <w:numPr>
        <w:numId w:val="20"/>
      </w:numPr>
      <w:spacing w:before="120" w:line="240" w:lineRule="auto"/>
    </w:pPr>
    <w:rPr>
      <w:rFonts w:ascii="Arial" w:eastAsia="Times New Roman" w:hAnsi="Arial" w:cs="Arial"/>
      <w:b/>
      <w:bCs/>
      <w:sz w:val="20"/>
      <w:lang w:eastAsia="en-AU"/>
    </w:rPr>
  </w:style>
  <w:style w:type="paragraph" w:customStyle="1" w:styleId="Amendment2">
    <w:name w:val="Amendment 2"/>
    <w:basedOn w:val="Normal"/>
    <w:link w:val="Amendment2Char"/>
    <w:qFormat/>
    <w:rsid w:val="00871DE0"/>
    <w:pPr>
      <w:widowControl w:val="0"/>
      <w:spacing w:before="60" w:after="60" w:line="260" w:lineRule="exact"/>
      <w:ind w:left="709"/>
    </w:pPr>
    <w:rPr>
      <w:rFonts w:eastAsia="Times New Roman" w:cs="Times New Roman"/>
      <w:i/>
      <w:iCs/>
      <w:sz w:val="20"/>
      <w:lang w:eastAsia="en-AU"/>
    </w:rPr>
  </w:style>
  <w:style w:type="character" w:customStyle="1" w:styleId="Amendment1Char0">
    <w:name w:val="Amendment 1 Char"/>
    <w:basedOn w:val="DefaultParagraphFont"/>
    <w:link w:val="Amendment1"/>
    <w:rsid w:val="00871DE0"/>
    <w:rPr>
      <w:rFonts w:ascii="Arial" w:eastAsia="Times New Roman" w:hAnsi="Arial" w:cs="Arial"/>
      <w:b/>
      <w:bCs/>
      <w:lang w:eastAsia="en-AU"/>
    </w:rPr>
  </w:style>
  <w:style w:type="character" w:customStyle="1" w:styleId="Amendment2Char">
    <w:name w:val="Amendment 2 Char"/>
    <w:basedOn w:val="DefaultParagraphFont"/>
    <w:link w:val="Amendment2"/>
    <w:rsid w:val="00871DE0"/>
    <w:rPr>
      <w:rFonts w:eastAsia="Times New Roman" w:cs="Times New Roman"/>
      <w:i/>
      <w:iCs/>
      <w:lang w:eastAsia="en-AU"/>
    </w:rPr>
  </w:style>
  <w:style w:type="character" w:customStyle="1" w:styleId="ListParagraphChar">
    <w:name w:val="List Paragraph Char"/>
    <w:basedOn w:val="DefaultParagraphFont"/>
    <w:link w:val="ListParagraph"/>
    <w:rsid w:val="003342C4"/>
    <w:rPr>
      <w:sz w:val="22"/>
    </w:rPr>
  </w:style>
  <w:style w:type="paragraph" w:styleId="ListBullet">
    <w:name w:val="List Bullet"/>
    <w:basedOn w:val="Normal"/>
    <w:uiPriority w:val="99"/>
    <w:unhideWhenUsed/>
    <w:rsid w:val="00E3456C"/>
    <w:pPr>
      <w:numPr>
        <w:numId w:val="1"/>
      </w:numPr>
      <w:contextualSpacing/>
    </w:pPr>
  </w:style>
  <w:style w:type="table" w:styleId="TableWeb3">
    <w:name w:val="Table Web 3"/>
    <w:basedOn w:val="TableNormal"/>
    <w:rsid w:val="003151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mendmentInstruction">
    <w:name w:val="Amendment Instruction"/>
    <w:basedOn w:val="NoList"/>
    <w:uiPriority w:val="99"/>
    <w:rsid w:val="002614FC"/>
    <w:pPr>
      <w:numPr>
        <w:numId w:val="27"/>
      </w:numPr>
    </w:pPr>
  </w:style>
  <w:style w:type="paragraph" w:customStyle="1" w:styleId="LITableText">
    <w:name w:val="LI Table Text"/>
    <w:basedOn w:val="Tabletext"/>
    <w:link w:val="LITableTextChar"/>
    <w:autoRedefine/>
    <w:qFormat/>
    <w:rsid w:val="002614FC"/>
    <w:pPr>
      <w:spacing w:after="60" w:line="240" w:lineRule="auto"/>
    </w:pPr>
    <w:rPr>
      <w:rFonts w:ascii="Arial" w:hAnsi="Arial"/>
      <w:sz w:val="16"/>
    </w:rPr>
  </w:style>
  <w:style w:type="character" w:customStyle="1" w:styleId="LITableTextChar">
    <w:name w:val="LI Table Text Char"/>
    <w:basedOn w:val="DefaultParagraphFont"/>
    <w:link w:val="LITableText"/>
    <w:rsid w:val="002614FC"/>
    <w:rPr>
      <w:rFonts w:ascii="Arial" w:eastAsia="Times New Roman" w:hAnsi="Arial" w:cs="Times New Roman"/>
      <w:sz w:val="16"/>
      <w:lang w:eastAsia="en-AU"/>
    </w:rPr>
  </w:style>
  <w:style w:type="paragraph" w:customStyle="1" w:styleId="EndNotespara">
    <w:name w:val="EndNotes(para)"/>
    <w:aliases w:val="eta"/>
    <w:basedOn w:val="OPCParaBase"/>
    <w:next w:val="Normal"/>
    <w:rsid w:val="00C93DFC"/>
    <w:pPr>
      <w:tabs>
        <w:tab w:val="right" w:pos="1985"/>
      </w:tabs>
      <w:spacing w:before="40" w:line="240" w:lineRule="auto"/>
      <w:ind w:left="828" w:hanging="828"/>
    </w:pPr>
    <w:rPr>
      <w:sz w:val="20"/>
    </w:rPr>
  </w:style>
  <w:style w:type="character" w:customStyle="1" w:styleId="Heading2Char">
    <w:name w:val="Heading 2 Char"/>
    <w:basedOn w:val="DefaultParagraphFont"/>
    <w:link w:val="Heading2"/>
    <w:uiPriority w:val="9"/>
    <w:semiHidden/>
    <w:rsid w:val="00D27DDD"/>
    <w:rPr>
      <w:rFonts w:asciiTheme="majorHAnsi" w:eastAsiaTheme="majorEastAsia" w:hAnsiTheme="majorHAnsi" w:cstheme="majorBidi"/>
      <w:b/>
      <w:bCs/>
      <w:color w:val="4F81BD" w:themeColor="accent1"/>
      <w:sz w:val="26"/>
      <w:szCs w:val="26"/>
    </w:rPr>
  </w:style>
  <w:style w:type="paragraph" w:customStyle="1" w:styleId="Amendment3">
    <w:name w:val="Amendment 3"/>
    <w:basedOn w:val="ListParagraph"/>
    <w:link w:val="Amendment3Char"/>
    <w:qFormat/>
    <w:rsid w:val="007B62D8"/>
    <w:pPr>
      <w:widowControl w:val="0"/>
      <w:numPr>
        <w:numId w:val="30"/>
      </w:numPr>
      <w:spacing w:before="60" w:after="60" w:line="260" w:lineRule="exact"/>
    </w:pPr>
    <w:rPr>
      <w:rFonts w:eastAsia="Times New Roman"/>
      <w:i/>
      <w:iCs/>
    </w:rPr>
  </w:style>
  <w:style w:type="character" w:customStyle="1" w:styleId="Amendment3Char">
    <w:name w:val="Amendment 3 Char"/>
    <w:basedOn w:val="ListParagraphChar"/>
    <w:link w:val="Amendment3"/>
    <w:rsid w:val="007B62D8"/>
    <w:rPr>
      <w:rFonts w:eastAsia="Times New Roman"/>
      <w:i/>
      <w:iCs/>
      <w:sz w:val="22"/>
    </w:rPr>
  </w:style>
  <w:style w:type="character" w:customStyle="1" w:styleId="TabletextChar">
    <w:name w:val="Tabletext Char"/>
    <w:aliases w:val="tt Char"/>
    <w:basedOn w:val="DefaultParagraphFont"/>
    <w:link w:val="Tabletext"/>
    <w:rsid w:val="007B62D8"/>
    <w:rPr>
      <w:rFonts w:eastAsia="Times New Roman" w:cs="Times New Roman"/>
      <w:lang w:eastAsia="en-AU"/>
    </w:rPr>
  </w:style>
  <w:style w:type="character" w:customStyle="1" w:styleId="AmendmentKeyword">
    <w:name w:val="Amendment Keyword"/>
    <w:basedOn w:val="Amendment3Char"/>
    <w:uiPriority w:val="1"/>
    <w:rsid w:val="007B62D8"/>
    <w:rPr>
      <w:rFonts w:ascii="Arial" w:eastAsia="Times New Roman" w:hAnsi="Arial"/>
      <w:b/>
      <w:i/>
      <w:iCs/>
      <w:sz w:val="20"/>
      <w:szCs w:val="24"/>
    </w:rPr>
  </w:style>
  <w:style w:type="character" w:customStyle="1" w:styleId="legsubtitle1">
    <w:name w:val="legsubtitle1"/>
    <w:basedOn w:val="DefaultParagraphFont"/>
    <w:rsid w:val="005A1F2E"/>
    <w:rPr>
      <w:b/>
      <w:bCs/>
    </w:rPr>
  </w:style>
  <w:style w:type="paragraph" w:customStyle="1" w:styleId="ScheduleItem">
    <w:name w:val="Schedule Item"/>
    <w:basedOn w:val="ItemHead"/>
    <w:link w:val="ScheduleItemChar"/>
    <w:qFormat/>
    <w:rsid w:val="00526C86"/>
    <w:pPr>
      <w:keepLines w:val="0"/>
      <w:numPr>
        <w:numId w:val="31"/>
      </w:numPr>
      <w:spacing w:before="360"/>
    </w:pPr>
  </w:style>
  <w:style w:type="character" w:customStyle="1" w:styleId="ScheduleItemChar">
    <w:name w:val="Schedule Item Char"/>
    <w:basedOn w:val="DefaultParagraphFont"/>
    <w:link w:val="ScheduleItem"/>
    <w:rsid w:val="00526C86"/>
    <w:rPr>
      <w:rFonts w:ascii="Arial" w:eastAsia="Times New Roman" w:hAnsi="Arial" w:cs="Times New Roman"/>
      <w:b/>
      <w:kern w:val="28"/>
      <w:sz w:val="24"/>
      <w:lang w:eastAsia="en-AU"/>
    </w:rPr>
  </w:style>
  <w:style w:type="paragraph" w:customStyle="1" w:styleId="Speciald">
    <w:name w:val="Special d"/>
    <w:basedOn w:val="ActHead3"/>
    <w:link w:val="SpecialdChar"/>
    <w:rsid w:val="00F33232"/>
    <w:pPr>
      <w:spacing w:before="0"/>
      <w:outlineLvl w:val="9"/>
    </w:pPr>
  </w:style>
  <w:style w:type="character" w:customStyle="1" w:styleId="SpecialdChar">
    <w:name w:val="Special d Char"/>
    <w:basedOn w:val="DefaultParagraphFont"/>
    <w:link w:val="Speciald"/>
    <w:rsid w:val="00F33232"/>
    <w:rPr>
      <w:rFonts w:eastAsia="Times New Roman" w:cs="Times New Roman"/>
      <w:b/>
      <w:kern w:val="28"/>
      <w:sz w:val="28"/>
      <w:lang w:eastAsia="en-AU"/>
    </w:rPr>
  </w:style>
  <w:style w:type="paragraph" w:customStyle="1" w:styleId="Specialsd">
    <w:name w:val="Special sd"/>
    <w:basedOn w:val="ActHead4"/>
    <w:link w:val="SpecialsdChar"/>
    <w:rsid w:val="00791EC9"/>
    <w:pPr>
      <w:spacing w:before="0"/>
      <w:outlineLvl w:val="9"/>
    </w:pPr>
  </w:style>
  <w:style w:type="character" w:customStyle="1" w:styleId="SpecialsdChar">
    <w:name w:val="Special sd Char"/>
    <w:basedOn w:val="DefaultParagraphFont"/>
    <w:link w:val="Specialsd"/>
    <w:rsid w:val="00791EC9"/>
    <w:rPr>
      <w:rFonts w:eastAsia="Times New Roman" w:cs="Times New Roman"/>
      <w:b/>
      <w:kern w:val="28"/>
      <w:sz w:val="26"/>
      <w:lang w:eastAsia="en-AU"/>
    </w:rPr>
  </w:style>
  <w:style w:type="paragraph" w:customStyle="1" w:styleId="R1">
    <w:name w:val="R1"/>
    <w:aliases w:val="1. or 1.(1)"/>
    <w:basedOn w:val="Normal"/>
    <w:next w:val="Normal"/>
    <w:uiPriority w:val="99"/>
    <w:rsid w:val="006B148C"/>
    <w:pPr>
      <w:tabs>
        <w:tab w:val="right" w:pos="794"/>
      </w:tabs>
      <w:spacing w:before="120" w:line="260" w:lineRule="exact"/>
      <w:ind w:left="964" w:hanging="964"/>
      <w:jc w:val="both"/>
    </w:pPr>
  </w:style>
  <w:style w:type="paragraph" w:customStyle="1" w:styleId="P1">
    <w:name w:val="P1"/>
    <w:aliases w:val="(a)"/>
    <w:basedOn w:val="Normal"/>
    <w:uiPriority w:val="99"/>
    <w:rsid w:val="006B148C"/>
    <w:pPr>
      <w:tabs>
        <w:tab w:val="right" w:pos="1191"/>
      </w:tabs>
      <w:spacing w:before="60" w:line="260" w:lineRule="exact"/>
      <w:ind w:left="1418" w:hanging="1418"/>
      <w:jc w:val="both"/>
    </w:pPr>
  </w:style>
  <w:style w:type="paragraph" w:styleId="ListNumber">
    <w:name w:val="List Number"/>
    <w:basedOn w:val="Normal"/>
    <w:uiPriority w:val="99"/>
    <w:unhideWhenUsed/>
    <w:qFormat/>
    <w:rsid w:val="00B54CF9"/>
    <w:pPr>
      <w:numPr>
        <w:numId w:val="6"/>
      </w:numPr>
      <w:contextualSpacing/>
    </w:pPr>
  </w:style>
  <w:style w:type="paragraph" w:styleId="ListNumber2">
    <w:name w:val="List Number 2"/>
    <w:basedOn w:val="Normal"/>
    <w:uiPriority w:val="99"/>
    <w:unhideWhenUsed/>
    <w:rsid w:val="00B54CF9"/>
    <w:pPr>
      <w:numPr>
        <w:numId w:val="7"/>
      </w:numPr>
      <w:contextualSpacing/>
    </w:pPr>
  </w:style>
  <w:style w:type="paragraph" w:styleId="ListNumber3">
    <w:name w:val="List Number 3"/>
    <w:basedOn w:val="Normal"/>
    <w:uiPriority w:val="99"/>
    <w:unhideWhenUsed/>
    <w:rsid w:val="00B54CF9"/>
    <w:pPr>
      <w:numPr>
        <w:numId w:val="8"/>
      </w:numPr>
      <w:contextualSpacing/>
    </w:pPr>
  </w:style>
  <w:style w:type="paragraph" w:styleId="ListNumber4">
    <w:name w:val="List Number 4"/>
    <w:basedOn w:val="Normal"/>
    <w:uiPriority w:val="99"/>
    <w:rsid w:val="00B54CF9"/>
    <w:pPr>
      <w:spacing w:after="200" w:line="276" w:lineRule="auto"/>
      <w:ind w:left="1476" w:hanging="369"/>
    </w:pPr>
    <w:rPr>
      <w:rFonts w:ascii="Arial" w:eastAsia="Calibri" w:hAnsi="Arial"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83301">
      <w:bodyDiv w:val="1"/>
      <w:marLeft w:val="0"/>
      <w:marRight w:val="0"/>
      <w:marTop w:val="0"/>
      <w:marBottom w:val="0"/>
      <w:divBdr>
        <w:top w:val="none" w:sz="0" w:space="0" w:color="auto"/>
        <w:left w:val="none" w:sz="0" w:space="0" w:color="auto"/>
        <w:bottom w:val="none" w:sz="0" w:space="0" w:color="auto"/>
        <w:right w:val="none" w:sz="0" w:space="0" w:color="auto"/>
      </w:divBdr>
    </w:div>
    <w:div w:id="21063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10\Templates\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0</TotalTime>
  <Pages>50</Pages>
  <Words>13523</Words>
  <Characters>75056</Characters>
  <Application>Microsoft Office Word</Application>
  <DocSecurity>12</DocSecurity>
  <Lines>2680</Lines>
  <Paragraphs>1501</Paragraphs>
  <ScaleCrop>false</ScaleCrop>
  <HeadingPairs>
    <vt:vector size="2" baseType="variant">
      <vt:variant>
        <vt:lpstr>Title</vt:lpstr>
      </vt:variant>
      <vt:variant>
        <vt:i4>1</vt:i4>
      </vt:variant>
    </vt:vector>
  </HeadingPairs>
  <TitlesOfParts>
    <vt:vector size="1" baseType="lpstr">
      <vt:lpstr>Editorial Changes—Report No. 9</vt:lpstr>
    </vt:vector>
  </TitlesOfParts>
  <Company>Office of Parliamentary Counsel</Company>
  <LinksUpToDate>false</LinksUpToDate>
  <CharactersWithSpaces>87078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Changes—Report No. 9</dc:title>
  <dc:creator>paynek</dc:creator>
  <cp:lastModifiedBy>Cuming, Lorna</cp:lastModifiedBy>
  <cp:revision>2</cp:revision>
  <dcterms:created xsi:type="dcterms:W3CDTF">2020-06-29T01:17:00Z</dcterms:created>
  <dcterms:modified xsi:type="dcterms:W3CDTF">2020-06-29T01:17:00Z</dcterms:modified>
  <cp:category>Other - To publish on the Register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TrimID">
    <vt:lpwstr>PC:D20/8946</vt:lpwstr>
  </property>
</Properties>
</file>