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3D" w:rsidRPr="004C7422" w:rsidRDefault="00C1453D" w:rsidP="00C1453D">
      <w:pPr>
        <w:pStyle w:val="Head1"/>
        <w:tabs>
          <w:tab w:val="left" w:pos="426"/>
        </w:tabs>
      </w:pPr>
      <w:r w:rsidRPr="004C7422">
        <w:t>Editorial Change</w:t>
      </w:r>
      <w:bookmarkStart w:id="0" w:name="_GoBack"/>
      <w:bookmarkEnd w:id="0"/>
      <w:r w:rsidRPr="004C7422">
        <w:t>s—Report No.</w:t>
      </w:r>
      <w:r w:rsidR="0033109F" w:rsidRPr="004C7422">
        <w:t> 1</w:t>
      </w:r>
      <w:r w:rsidR="00BB03A4">
        <w:t>4</w:t>
      </w:r>
    </w:p>
    <w:p w:rsidR="0033109F" w:rsidRPr="004C7422" w:rsidRDefault="0033109F" w:rsidP="0033109F">
      <w:pPr>
        <w:pStyle w:val="Head2"/>
      </w:pPr>
      <w:r w:rsidRPr="004C7422">
        <w:t>1 J</w:t>
      </w:r>
      <w:r w:rsidR="00BB03A4">
        <w:t>ul</w:t>
      </w:r>
      <w:r w:rsidR="00DD73D4">
        <w:t>y</w:t>
      </w:r>
      <w:r w:rsidRPr="004C7422">
        <w:t xml:space="preserve"> 202</w:t>
      </w:r>
      <w:r w:rsidR="00DD73D4">
        <w:t>2</w:t>
      </w:r>
      <w:r w:rsidRPr="004C7422">
        <w:t>–3</w:t>
      </w:r>
      <w:r w:rsidR="00BB03A4">
        <w:t>1</w:t>
      </w:r>
      <w:r w:rsidRPr="004C7422">
        <w:t xml:space="preserve"> </w:t>
      </w:r>
      <w:r w:rsidR="00BB03A4">
        <w:t>December</w:t>
      </w:r>
      <w:r w:rsidRPr="004C7422">
        <w:t xml:space="preserve"> 202</w:t>
      </w:r>
      <w:r w:rsidR="00DD73D4">
        <w:t>2</w:t>
      </w:r>
    </w:p>
    <w:p w:rsidR="00C1453D" w:rsidRPr="004C7422" w:rsidRDefault="00C1453D" w:rsidP="00C1453D">
      <w:pPr>
        <w:pStyle w:val="BodyNum"/>
      </w:pPr>
      <w:r w:rsidRPr="004C7422">
        <w:t xml:space="preserve">In preparing compilations for registration during the above period, First Parliamentary Counsel made the following editorial changes under the </w:t>
      </w:r>
      <w:r w:rsidRPr="004C7422">
        <w:rPr>
          <w:i/>
        </w:rPr>
        <w:t>Legislation Act 2003</w:t>
      </w:r>
      <w:r w:rsidRPr="004C7422">
        <w:t>.</w:t>
      </w:r>
    </w:p>
    <w:p w:rsidR="00C1453D" w:rsidRPr="004C7422" w:rsidRDefault="00C1453D" w:rsidP="00C1453D">
      <w:pPr>
        <w:pStyle w:val="BodyNum"/>
      </w:pPr>
      <w:r w:rsidRPr="004C7422">
        <w:t xml:space="preserve">The summary of editorial changes for the </w:t>
      </w:r>
      <w:r w:rsidR="00704318">
        <w:t>2</w:t>
      </w:r>
      <w:r w:rsidR="00CC22BA">
        <w:t>3</w:t>
      </w:r>
      <w:r w:rsidR="00732892" w:rsidRPr="004C7422">
        <w:t xml:space="preserve"> </w:t>
      </w:r>
      <w:r w:rsidRPr="004C7422">
        <w:t>compilation</w:t>
      </w:r>
      <w:r w:rsidR="00B64871" w:rsidRPr="004C7422">
        <w:t>s</w:t>
      </w:r>
      <w:r w:rsidRPr="004C7422">
        <w:t xml:space="preserve"> affected is as follows:</w:t>
      </w:r>
    </w:p>
    <w:p w:rsidR="00C1453D" w:rsidRPr="004C7422" w:rsidRDefault="00C1453D" w:rsidP="00C145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4C7422" w:rsidTr="009219E7">
        <w:trPr>
          <w:tblHeader/>
        </w:trPr>
        <w:tc>
          <w:tcPr>
            <w:tcW w:w="714" w:type="dxa"/>
            <w:tcBorders>
              <w:top w:val="single" w:sz="12" w:space="0" w:color="auto"/>
              <w:bottom w:val="single" w:sz="12" w:space="0" w:color="auto"/>
            </w:tcBorders>
            <w:shd w:val="clear" w:color="auto" w:fill="auto"/>
          </w:tcPr>
          <w:p w:rsidR="00C1453D" w:rsidRPr="004C7422" w:rsidRDefault="00C1453D" w:rsidP="00DD16B9">
            <w:pPr>
              <w:pStyle w:val="TableHeading"/>
            </w:pPr>
            <w:r w:rsidRPr="004C7422">
              <w:t>Item</w:t>
            </w:r>
          </w:p>
        </w:tc>
        <w:tc>
          <w:tcPr>
            <w:tcW w:w="6652" w:type="dxa"/>
            <w:tcBorders>
              <w:top w:val="single" w:sz="12" w:space="0" w:color="auto"/>
              <w:bottom w:val="single" w:sz="12" w:space="0" w:color="auto"/>
            </w:tcBorders>
            <w:shd w:val="clear" w:color="auto" w:fill="auto"/>
          </w:tcPr>
          <w:p w:rsidR="00C1453D" w:rsidRPr="004C7422" w:rsidRDefault="00C1453D" w:rsidP="00DD16B9">
            <w:pPr>
              <w:pStyle w:val="TableHeading"/>
            </w:pPr>
            <w:r w:rsidRPr="004C7422">
              <w:t>Kind of editorial change</w:t>
            </w:r>
          </w:p>
        </w:tc>
        <w:tc>
          <w:tcPr>
            <w:tcW w:w="1660" w:type="dxa"/>
            <w:tcBorders>
              <w:top w:val="single" w:sz="12" w:space="0" w:color="auto"/>
              <w:bottom w:val="single" w:sz="12" w:space="0" w:color="auto"/>
            </w:tcBorders>
            <w:shd w:val="clear" w:color="auto" w:fill="auto"/>
          </w:tcPr>
          <w:p w:rsidR="00C1453D" w:rsidRPr="004C7422" w:rsidRDefault="00C1453D" w:rsidP="00DD16B9">
            <w:pPr>
              <w:pStyle w:val="TableHeading"/>
            </w:pPr>
            <w:r w:rsidRPr="004C7422">
              <w:t>Number</w:t>
            </w:r>
          </w:p>
        </w:tc>
      </w:tr>
      <w:tr w:rsidR="00351BD6" w:rsidRPr="004C7422" w:rsidTr="007C034A">
        <w:tc>
          <w:tcPr>
            <w:tcW w:w="714" w:type="dxa"/>
            <w:tcBorders>
              <w:top w:val="single" w:sz="2" w:space="0" w:color="auto"/>
              <w:bottom w:val="single" w:sz="2" w:space="0" w:color="auto"/>
            </w:tcBorders>
            <w:shd w:val="clear" w:color="auto" w:fill="auto"/>
          </w:tcPr>
          <w:p w:rsidR="00351BD6" w:rsidRDefault="00FC6F35" w:rsidP="004D596D">
            <w:pPr>
              <w:pStyle w:val="Tabletext"/>
            </w:pPr>
            <w:r>
              <w:t>1</w:t>
            </w:r>
          </w:p>
        </w:tc>
        <w:tc>
          <w:tcPr>
            <w:tcW w:w="6652" w:type="dxa"/>
            <w:tcBorders>
              <w:top w:val="single" w:sz="2" w:space="0" w:color="auto"/>
              <w:bottom w:val="single" w:sz="2" w:space="0" w:color="auto"/>
            </w:tcBorders>
            <w:shd w:val="clear" w:color="auto" w:fill="auto"/>
          </w:tcPr>
          <w:p w:rsidR="00351BD6" w:rsidRPr="004C7422" w:rsidRDefault="00EC1E82" w:rsidP="00DD16B9">
            <w:pPr>
              <w:pStyle w:val="Tabletext"/>
            </w:pPr>
            <w:r w:rsidRPr="002010D4">
              <w:t>Change</w:t>
            </w:r>
            <w:r>
              <w:t>s</w:t>
            </w:r>
            <w:r w:rsidRPr="002010D4">
              <w:t xml:space="preserve"> to grammar, syntax or the use of conjunctives or disjunctives</w:t>
            </w:r>
          </w:p>
        </w:tc>
        <w:tc>
          <w:tcPr>
            <w:tcW w:w="1660" w:type="dxa"/>
            <w:tcBorders>
              <w:top w:val="single" w:sz="2" w:space="0" w:color="auto"/>
              <w:bottom w:val="single" w:sz="2" w:space="0" w:color="auto"/>
            </w:tcBorders>
            <w:shd w:val="clear" w:color="auto" w:fill="auto"/>
          </w:tcPr>
          <w:p w:rsidR="00351BD6" w:rsidRDefault="00EC1E82" w:rsidP="00DD16B9">
            <w:pPr>
              <w:pStyle w:val="Tabletext"/>
            </w:pPr>
            <w:r>
              <w:t>1</w:t>
            </w:r>
          </w:p>
        </w:tc>
      </w:tr>
      <w:tr w:rsidR="005B428A" w:rsidRPr="004C7422" w:rsidTr="007C034A">
        <w:tc>
          <w:tcPr>
            <w:tcW w:w="714" w:type="dxa"/>
            <w:tcBorders>
              <w:top w:val="single" w:sz="2" w:space="0" w:color="auto"/>
              <w:bottom w:val="single" w:sz="2" w:space="0" w:color="auto"/>
            </w:tcBorders>
            <w:shd w:val="clear" w:color="auto" w:fill="auto"/>
          </w:tcPr>
          <w:p w:rsidR="005B428A" w:rsidRDefault="00FC6F35" w:rsidP="004D596D">
            <w:pPr>
              <w:pStyle w:val="Tabletext"/>
            </w:pPr>
            <w:r>
              <w:t>2</w:t>
            </w:r>
          </w:p>
        </w:tc>
        <w:tc>
          <w:tcPr>
            <w:tcW w:w="6652" w:type="dxa"/>
            <w:tcBorders>
              <w:top w:val="single" w:sz="2" w:space="0" w:color="auto"/>
              <w:bottom w:val="single" w:sz="2" w:space="0" w:color="auto"/>
            </w:tcBorders>
            <w:shd w:val="clear" w:color="auto" w:fill="auto"/>
          </w:tcPr>
          <w:p w:rsidR="005B428A" w:rsidRPr="004C7422" w:rsidRDefault="00EC1E82" w:rsidP="00DD16B9">
            <w:pPr>
              <w:pStyle w:val="Tabletext"/>
            </w:pPr>
            <w:r w:rsidRPr="004C7422">
              <w:t>Changes to punctuation</w:t>
            </w:r>
          </w:p>
        </w:tc>
        <w:tc>
          <w:tcPr>
            <w:tcW w:w="1660" w:type="dxa"/>
            <w:tcBorders>
              <w:top w:val="single" w:sz="2" w:space="0" w:color="auto"/>
              <w:bottom w:val="single" w:sz="2" w:space="0" w:color="auto"/>
            </w:tcBorders>
            <w:shd w:val="clear" w:color="auto" w:fill="auto"/>
          </w:tcPr>
          <w:p w:rsidR="005B428A" w:rsidRDefault="00A9645C" w:rsidP="00DD16B9">
            <w:pPr>
              <w:pStyle w:val="Tabletext"/>
            </w:pPr>
            <w:r>
              <w:t>5</w:t>
            </w:r>
          </w:p>
        </w:tc>
      </w:tr>
      <w:tr w:rsidR="00EC1E82" w:rsidRPr="004C7422" w:rsidTr="007C034A">
        <w:tc>
          <w:tcPr>
            <w:tcW w:w="714" w:type="dxa"/>
            <w:tcBorders>
              <w:top w:val="single" w:sz="2" w:space="0" w:color="auto"/>
              <w:bottom w:val="single" w:sz="2" w:space="0" w:color="auto"/>
            </w:tcBorders>
            <w:shd w:val="clear" w:color="auto" w:fill="auto"/>
          </w:tcPr>
          <w:p w:rsidR="00EC1E82" w:rsidRDefault="00EA5232" w:rsidP="004D596D">
            <w:pPr>
              <w:pStyle w:val="Tabletext"/>
            </w:pPr>
            <w:r>
              <w:t>3</w:t>
            </w:r>
          </w:p>
        </w:tc>
        <w:tc>
          <w:tcPr>
            <w:tcW w:w="6652" w:type="dxa"/>
            <w:tcBorders>
              <w:top w:val="single" w:sz="2" w:space="0" w:color="auto"/>
              <w:bottom w:val="single" w:sz="2" w:space="0" w:color="auto"/>
            </w:tcBorders>
            <w:shd w:val="clear" w:color="auto" w:fill="auto"/>
          </w:tcPr>
          <w:p w:rsidR="00EC1E82" w:rsidRDefault="00EC1E82" w:rsidP="00DD16B9">
            <w:pPr>
              <w:pStyle w:val="Tabletext"/>
            </w:pPr>
            <w:r>
              <w:t>Changes to spelling</w:t>
            </w:r>
          </w:p>
        </w:tc>
        <w:tc>
          <w:tcPr>
            <w:tcW w:w="1660" w:type="dxa"/>
            <w:tcBorders>
              <w:top w:val="single" w:sz="2" w:space="0" w:color="auto"/>
              <w:bottom w:val="single" w:sz="2" w:space="0" w:color="auto"/>
            </w:tcBorders>
            <w:shd w:val="clear" w:color="auto" w:fill="auto"/>
          </w:tcPr>
          <w:p w:rsidR="00EC1E82" w:rsidRDefault="00EC1E82" w:rsidP="00DD16B9">
            <w:pPr>
              <w:pStyle w:val="Tabletext"/>
            </w:pPr>
            <w:r>
              <w:t>1</w:t>
            </w:r>
          </w:p>
        </w:tc>
      </w:tr>
      <w:tr w:rsidR="009A0DA7" w:rsidRPr="004C7422" w:rsidTr="007C034A">
        <w:tc>
          <w:tcPr>
            <w:tcW w:w="714" w:type="dxa"/>
            <w:tcBorders>
              <w:top w:val="single" w:sz="2" w:space="0" w:color="auto"/>
              <w:bottom w:val="single" w:sz="2" w:space="0" w:color="auto"/>
            </w:tcBorders>
            <w:shd w:val="clear" w:color="auto" w:fill="auto"/>
          </w:tcPr>
          <w:p w:rsidR="009A0DA7" w:rsidRDefault="00EA5232" w:rsidP="004D596D">
            <w:pPr>
              <w:pStyle w:val="Tabletext"/>
            </w:pPr>
            <w:r>
              <w:t>4</w:t>
            </w:r>
          </w:p>
        </w:tc>
        <w:tc>
          <w:tcPr>
            <w:tcW w:w="6652" w:type="dxa"/>
            <w:tcBorders>
              <w:top w:val="single" w:sz="2" w:space="0" w:color="auto"/>
              <w:bottom w:val="single" w:sz="2" w:space="0" w:color="auto"/>
            </w:tcBorders>
            <w:shd w:val="clear" w:color="auto" w:fill="auto"/>
          </w:tcPr>
          <w:p w:rsidR="009A0DA7" w:rsidRPr="004C7422" w:rsidRDefault="009A0DA7" w:rsidP="00DD16B9">
            <w:pPr>
              <w:pStyle w:val="Tabletext"/>
            </w:pPr>
            <w:r w:rsidRPr="004C7422">
              <w:t>Give effect to the misdescribed amendments as intended</w:t>
            </w:r>
          </w:p>
        </w:tc>
        <w:tc>
          <w:tcPr>
            <w:tcW w:w="1660" w:type="dxa"/>
            <w:tcBorders>
              <w:top w:val="single" w:sz="2" w:space="0" w:color="auto"/>
              <w:bottom w:val="single" w:sz="2" w:space="0" w:color="auto"/>
            </w:tcBorders>
            <w:shd w:val="clear" w:color="auto" w:fill="auto"/>
          </w:tcPr>
          <w:p w:rsidR="009A0DA7" w:rsidRDefault="008E50B8" w:rsidP="00DD16B9">
            <w:pPr>
              <w:pStyle w:val="Tabletext"/>
            </w:pPr>
            <w:r>
              <w:t>1</w:t>
            </w:r>
            <w:r w:rsidR="00CC22BA">
              <w:t>5</w:t>
            </w:r>
          </w:p>
        </w:tc>
      </w:tr>
      <w:tr w:rsidR="00BF1D82" w:rsidRPr="004C7422" w:rsidTr="00140D8E">
        <w:tc>
          <w:tcPr>
            <w:tcW w:w="714" w:type="dxa"/>
            <w:tcBorders>
              <w:top w:val="single" w:sz="2" w:space="0" w:color="auto"/>
              <w:bottom w:val="single" w:sz="2" w:space="0" w:color="auto"/>
            </w:tcBorders>
            <w:shd w:val="clear" w:color="auto" w:fill="auto"/>
          </w:tcPr>
          <w:p w:rsidR="00BF1D82" w:rsidRDefault="00EA5232" w:rsidP="004D596D">
            <w:pPr>
              <w:pStyle w:val="Tabletext"/>
            </w:pPr>
            <w:r>
              <w:t>5</w:t>
            </w:r>
          </w:p>
        </w:tc>
        <w:tc>
          <w:tcPr>
            <w:tcW w:w="6652" w:type="dxa"/>
            <w:tcBorders>
              <w:top w:val="single" w:sz="2" w:space="0" w:color="auto"/>
              <w:bottom w:val="single" w:sz="2" w:space="0" w:color="auto"/>
            </w:tcBorders>
            <w:shd w:val="clear" w:color="auto" w:fill="auto"/>
          </w:tcPr>
          <w:p w:rsidR="00BF1D82" w:rsidRPr="004C7422" w:rsidRDefault="00BF1D82" w:rsidP="00DD16B9">
            <w:pPr>
              <w:pStyle w:val="Tabletext"/>
            </w:pPr>
            <w:r>
              <w:t>Removal of redundant text</w:t>
            </w:r>
          </w:p>
        </w:tc>
        <w:tc>
          <w:tcPr>
            <w:tcW w:w="1660" w:type="dxa"/>
            <w:tcBorders>
              <w:top w:val="single" w:sz="2" w:space="0" w:color="auto"/>
              <w:bottom w:val="single" w:sz="2" w:space="0" w:color="auto"/>
            </w:tcBorders>
            <w:shd w:val="clear" w:color="auto" w:fill="auto"/>
          </w:tcPr>
          <w:p w:rsidR="00BF1D82" w:rsidRDefault="00704318" w:rsidP="00DD16B9">
            <w:pPr>
              <w:pStyle w:val="Tabletext"/>
            </w:pPr>
            <w:r>
              <w:t>3</w:t>
            </w:r>
          </w:p>
        </w:tc>
      </w:tr>
      <w:tr w:rsidR="001369E5" w:rsidRPr="004C7422" w:rsidTr="001369E5">
        <w:tc>
          <w:tcPr>
            <w:tcW w:w="714" w:type="dxa"/>
            <w:tcBorders>
              <w:top w:val="single" w:sz="2" w:space="0" w:color="auto"/>
              <w:bottom w:val="single" w:sz="2" w:space="0" w:color="auto"/>
            </w:tcBorders>
            <w:shd w:val="clear" w:color="auto" w:fill="auto"/>
          </w:tcPr>
          <w:p w:rsidR="001369E5" w:rsidRDefault="00EA5232" w:rsidP="004D596D">
            <w:pPr>
              <w:pStyle w:val="Tabletext"/>
            </w:pPr>
            <w:r>
              <w:t>6</w:t>
            </w:r>
          </w:p>
        </w:tc>
        <w:tc>
          <w:tcPr>
            <w:tcW w:w="6652" w:type="dxa"/>
            <w:tcBorders>
              <w:top w:val="single" w:sz="2" w:space="0" w:color="auto"/>
              <w:bottom w:val="single" w:sz="2" w:space="0" w:color="auto"/>
            </w:tcBorders>
            <w:shd w:val="clear" w:color="auto" w:fill="auto"/>
          </w:tcPr>
          <w:p w:rsidR="001369E5" w:rsidRDefault="001369E5" w:rsidP="00DD16B9">
            <w:pPr>
              <w:pStyle w:val="Tabletext"/>
            </w:pPr>
            <w:r w:rsidRPr="004C7422">
              <w:t>Renumbering of provisions</w:t>
            </w:r>
          </w:p>
        </w:tc>
        <w:tc>
          <w:tcPr>
            <w:tcW w:w="1660" w:type="dxa"/>
            <w:tcBorders>
              <w:top w:val="single" w:sz="2" w:space="0" w:color="auto"/>
              <w:bottom w:val="single" w:sz="2" w:space="0" w:color="auto"/>
            </w:tcBorders>
            <w:shd w:val="clear" w:color="auto" w:fill="auto"/>
          </w:tcPr>
          <w:p w:rsidR="001369E5" w:rsidRDefault="000A76EB" w:rsidP="00DD16B9">
            <w:pPr>
              <w:pStyle w:val="Tabletext"/>
            </w:pPr>
            <w:r>
              <w:t>2</w:t>
            </w:r>
          </w:p>
        </w:tc>
      </w:tr>
      <w:tr w:rsidR="00584094" w:rsidRPr="004C7422" w:rsidTr="001369E5">
        <w:tc>
          <w:tcPr>
            <w:tcW w:w="714" w:type="dxa"/>
            <w:tcBorders>
              <w:top w:val="single" w:sz="2" w:space="0" w:color="auto"/>
              <w:bottom w:val="single" w:sz="2" w:space="0" w:color="auto"/>
            </w:tcBorders>
            <w:shd w:val="clear" w:color="auto" w:fill="auto"/>
          </w:tcPr>
          <w:p w:rsidR="00584094" w:rsidRDefault="00EA5232" w:rsidP="004D596D">
            <w:pPr>
              <w:pStyle w:val="Tabletext"/>
            </w:pPr>
            <w:r>
              <w:t>7</w:t>
            </w:r>
          </w:p>
        </w:tc>
        <w:tc>
          <w:tcPr>
            <w:tcW w:w="6652" w:type="dxa"/>
            <w:tcBorders>
              <w:top w:val="single" w:sz="2" w:space="0" w:color="auto"/>
              <w:bottom w:val="single" w:sz="2" w:space="0" w:color="auto"/>
            </w:tcBorders>
            <w:shd w:val="clear" w:color="auto" w:fill="auto"/>
          </w:tcPr>
          <w:p w:rsidR="00584094" w:rsidRPr="004C7422" w:rsidRDefault="00584094" w:rsidP="00DD16B9">
            <w:pPr>
              <w:pStyle w:val="Tabletext"/>
            </w:pPr>
            <w:r>
              <w:t>Reordering of definitions</w:t>
            </w:r>
          </w:p>
        </w:tc>
        <w:tc>
          <w:tcPr>
            <w:tcW w:w="1660" w:type="dxa"/>
            <w:tcBorders>
              <w:top w:val="single" w:sz="2" w:space="0" w:color="auto"/>
              <w:bottom w:val="single" w:sz="2" w:space="0" w:color="auto"/>
            </w:tcBorders>
            <w:shd w:val="clear" w:color="auto" w:fill="auto"/>
          </w:tcPr>
          <w:p w:rsidR="00584094" w:rsidRDefault="00234F19" w:rsidP="00DD16B9">
            <w:pPr>
              <w:pStyle w:val="Tabletext"/>
            </w:pPr>
            <w:r>
              <w:t>2</w:t>
            </w:r>
          </w:p>
        </w:tc>
      </w:tr>
      <w:tr w:rsidR="00FC6F35" w:rsidRPr="004C7422" w:rsidTr="005A21F3">
        <w:tc>
          <w:tcPr>
            <w:tcW w:w="714" w:type="dxa"/>
            <w:tcBorders>
              <w:top w:val="single" w:sz="2" w:space="0" w:color="auto"/>
              <w:bottom w:val="single" w:sz="2" w:space="0" w:color="auto"/>
            </w:tcBorders>
            <w:shd w:val="clear" w:color="auto" w:fill="auto"/>
          </w:tcPr>
          <w:p w:rsidR="00FC6F35" w:rsidRDefault="00EA5232" w:rsidP="004D596D">
            <w:pPr>
              <w:pStyle w:val="Tabletext"/>
            </w:pPr>
            <w:r>
              <w:t>8</w:t>
            </w:r>
          </w:p>
        </w:tc>
        <w:tc>
          <w:tcPr>
            <w:tcW w:w="6652" w:type="dxa"/>
            <w:tcBorders>
              <w:top w:val="single" w:sz="2" w:space="0" w:color="auto"/>
              <w:bottom w:val="single" w:sz="2" w:space="0" w:color="auto"/>
            </w:tcBorders>
            <w:shd w:val="clear" w:color="auto" w:fill="auto"/>
          </w:tcPr>
          <w:p w:rsidR="00FC6F35" w:rsidRDefault="00FC6F35" w:rsidP="00DD16B9">
            <w:pPr>
              <w:pStyle w:val="Tabletext"/>
            </w:pPr>
            <w:r w:rsidRPr="00335831">
              <w:t>Reordering of provisions</w:t>
            </w:r>
          </w:p>
        </w:tc>
        <w:tc>
          <w:tcPr>
            <w:tcW w:w="1660" w:type="dxa"/>
            <w:tcBorders>
              <w:top w:val="single" w:sz="2" w:space="0" w:color="auto"/>
              <w:bottom w:val="single" w:sz="2" w:space="0" w:color="auto"/>
            </w:tcBorders>
            <w:shd w:val="clear" w:color="auto" w:fill="auto"/>
          </w:tcPr>
          <w:p w:rsidR="00FC6F35" w:rsidRDefault="00FC6F35" w:rsidP="00DD16B9">
            <w:pPr>
              <w:pStyle w:val="Tabletext"/>
            </w:pPr>
            <w:r>
              <w:t>1</w:t>
            </w:r>
          </w:p>
        </w:tc>
      </w:tr>
      <w:tr w:rsidR="00A146BF" w:rsidRPr="004C7422" w:rsidTr="001369E5">
        <w:tc>
          <w:tcPr>
            <w:tcW w:w="714" w:type="dxa"/>
            <w:tcBorders>
              <w:top w:val="single" w:sz="2" w:space="0" w:color="auto"/>
              <w:bottom w:val="single" w:sz="12" w:space="0" w:color="auto"/>
            </w:tcBorders>
            <w:shd w:val="clear" w:color="auto" w:fill="auto"/>
          </w:tcPr>
          <w:p w:rsidR="00A146BF" w:rsidRDefault="00EA5232" w:rsidP="004D596D">
            <w:pPr>
              <w:pStyle w:val="Tabletext"/>
            </w:pPr>
            <w:r>
              <w:t>9</w:t>
            </w:r>
          </w:p>
        </w:tc>
        <w:tc>
          <w:tcPr>
            <w:tcW w:w="6652" w:type="dxa"/>
            <w:tcBorders>
              <w:top w:val="single" w:sz="2" w:space="0" w:color="auto"/>
              <w:bottom w:val="single" w:sz="12" w:space="0" w:color="auto"/>
            </w:tcBorders>
            <w:shd w:val="clear" w:color="auto" w:fill="auto"/>
          </w:tcPr>
          <w:p w:rsidR="00A146BF" w:rsidRDefault="00A146BF" w:rsidP="00DD16B9">
            <w:pPr>
              <w:pStyle w:val="Tabletext"/>
            </w:pPr>
            <w:r w:rsidRPr="000807CC">
              <w:t>Update</w:t>
            </w:r>
            <w:r>
              <w:t>s</w:t>
            </w:r>
            <w:r w:rsidRPr="000807CC">
              <w:t xml:space="preserve"> to reference</w:t>
            </w:r>
            <w:r>
              <w:t>s</w:t>
            </w:r>
            <w:r w:rsidRPr="000807CC">
              <w:t xml:space="preserve"> of a law or a provision</w:t>
            </w:r>
          </w:p>
        </w:tc>
        <w:tc>
          <w:tcPr>
            <w:tcW w:w="1660" w:type="dxa"/>
            <w:tcBorders>
              <w:top w:val="single" w:sz="2" w:space="0" w:color="auto"/>
              <w:bottom w:val="single" w:sz="12" w:space="0" w:color="auto"/>
            </w:tcBorders>
            <w:shd w:val="clear" w:color="auto" w:fill="auto"/>
          </w:tcPr>
          <w:p w:rsidR="00A146BF" w:rsidRDefault="00545F52" w:rsidP="00DD16B9">
            <w:pPr>
              <w:pStyle w:val="Tabletext"/>
            </w:pPr>
            <w:r>
              <w:t>1</w:t>
            </w:r>
          </w:p>
        </w:tc>
      </w:tr>
    </w:tbl>
    <w:p w:rsidR="00C1453D" w:rsidRPr="004C7422" w:rsidRDefault="00C1453D" w:rsidP="00C1453D">
      <w:pPr>
        <w:pStyle w:val="Tabletext"/>
      </w:pPr>
    </w:p>
    <w:p w:rsidR="00C1453D" w:rsidRPr="004C7422" w:rsidRDefault="00C1453D" w:rsidP="00C1453D">
      <w:pPr>
        <w:pStyle w:val="BodyNum"/>
      </w:pPr>
      <w:r w:rsidRPr="004C7422">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Pr="004C7422" w:rsidRDefault="00C1453D" w:rsidP="00C1453D">
      <w:pPr>
        <w:pStyle w:val="BodyNum"/>
      </w:pPr>
      <w:r w:rsidRPr="004C7422">
        <w:t>Complete details of each use of the power within a compilation appears below:</w:t>
      </w:r>
    </w:p>
    <w:p w:rsidR="0093325E" w:rsidRDefault="0093325E" w:rsidP="0093325E">
      <w:pPr>
        <w:pStyle w:val="Head2"/>
        <w:keepLines/>
        <w:spacing w:after="240"/>
      </w:pPr>
      <w:bookmarkStart w:id="1" w:name="_Hlk111628764"/>
      <w:bookmarkStart w:id="2" w:name="_Hlk109895787"/>
      <w:bookmarkStart w:id="3" w:name="_Hlk100752153"/>
      <w:bookmarkStart w:id="4" w:name="_Hlk98834175"/>
      <w:bookmarkStart w:id="5" w:name="_Hlk95228066"/>
      <w:bookmarkStart w:id="6" w:name="_Hlk88214706"/>
      <w:bookmarkStart w:id="7" w:name="_Hlk88059733"/>
      <w:bookmarkStart w:id="8" w:name="_Hlk87973336"/>
      <w:bookmarkStart w:id="9" w:name="_Hlk86239383"/>
      <w:bookmarkStart w:id="10" w:name="_Hlk85202742"/>
      <w:bookmarkStart w:id="11" w:name="_Hlk83806415"/>
      <w:bookmarkStart w:id="12" w:name="_Hlk78211436"/>
      <w:bookmarkStart w:id="13" w:name="_Hlk78982182"/>
      <w:bookmarkStart w:id="14" w:name="_Toc159817352"/>
      <w:bookmarkStart w:id="15" w:name="_Toc151439511"/>
      <w:bookmarkStart w:id="16" w:name="_Toc151265172"/>
      <w:bookmarkStart w:id="17" w:name="_Toc101876442"/>
      <w:bookmarkStart w:id="18" w:name="_Toc101844710"/>
      <w:bookmarkStart w:id="19" w:name="_Toc101772215"/>
      <w:bookmarkStart w:id="20" w:name="_Toc101684071"/>
      <w:bookmarkStart w:id="21" w:name="_Toc101683873"/>
      <w:bookmarkStart w:id="22" w:name="_Toc101683529"/>
      <w:bookmarkStart w:id="23" w:name="_Toc101349090"/>
      <w:bookmarkStart w:id="24" w:name="_Toc206912603"/>
      <w:bookmarkStart w:id="25" w:name="_Toc206912689"/>
      <w:bookmarkStart w:id="26" w:name="CITATION"/>
      <w:r w:rsidRPr="0093325E">
        <w:t>National Health (Highly Specialised Drugs Program) Special Arrangement 2021</w:t>
      </w:r>
      <w:r w:rsidRPr="004C7422">
        <w:t>, Compilation No. </w:t>
      </w:r>
      <w:r>
        <w:t>18</w:t>
      </w:r>
      <w:r w:rsidRPr="004C7422">
        <w:t xml:space="preserve">, Registration Date: </w:t>
      </w:r>
      <w:r>
        <w:t>6</w:t>
      </w:r>
      <w:r w:rsidRPr="004C7422">
        <w:t> </w:t>
      </w:r>
      <w:r>
        <w:t xml:space="preserve">September </w:t>
      </w:r>
      <w:r w:rsidRPr="004C7422">
        <w:t>202</w:t>
      </w:r>
      <w:r>
        <w:t>2</w:t>
      </w:r>
      <w:r w:rsidRPr="004C7422">
        <w:t xml:space="preserve"> [</w:t>
      </w:r>
      <w:r w:rsidRPr="00E241C9">
        <w:t>F2022C008</w:t>
      </w:r>
      <w:r>
        <w:t>55</w:t>
      </w:r>
      <w:r w:rsidRPr="004C7422">
        <w:t>]</w:t>
      </w:r>
    </w:p>
    <w:p w:rsidR="0093325E" w:rsidRPr="004549F1" w:rsidRDefault="0093325E" w:rsidP="0093325E">
      <w:pPr>
        <w:spacing w:after="240"/>
        <w:rPr>
          <w:b/>
          <w:sz w:val="24"/>
          <w:szCs w:val="24"/>
        </w:rPr>
      </w:pPr>
      <w:bookmarkStart w:id="27" w:name="_Hlk112664083"/>
      <w:r>
        <w:rPr>
          <w:b/>
          <w:sz w:val="24"/>
          <w:szCs w:val="24"/>
        </w:rPr>
        <w:t xml:space="preserve">Schedule 1, entry for </w:t>
      </w:r>
      <w:r w:rsidRPr="001D05D8">
        <w:rPr>
          <w:b/>
          <w:sz w:val="24"/>
          <w:szCs w:val="24"/>
        </w:rPr>
        <w:t>Ciclosporin in the form Capsule 25 mg</w:t>
      </w:r>
      <w:bookmarkEnd w:id="27"/>
    </w:p>
    <w:p w:rsidR="0093325E" w:rsidRPr="004549F1" w:rsidRDefault="0093325E" w:rsidP="0093325E">
      <w:pPr>
        <w:spacing w:after="240"/>
        <w:rPr>
          <w:b/>
        </w:rPr>
      </w:pPr>
      <w:r w:rsidRPr="004549F1">
        <w:rPr>
          <w:b/>
        </w:rPr>
        <w:t>Kind of editorial change</w:t>
      </w:r>
    </w:p>
    <w:p w:rsidR="0093325E" w:rsidRDefault="0093325E" w:rsidP="0093325E">
      <w:pPr>
        <w:spacing w:after="240"/>
      </w:pPr>
      <w:r w:rsidRPr="00E2562F">
        <w:t>Give effect to the misdescribed amendment as intended</w:t>
      </w:r>
    </w:p>
    <w:p w:rsidR="0093325E" w:rsidRPr="004549F1" w:rsidRDefault="0093325E" w:rsidP="0093325E">
      <w:pPr>
        <w:spacing w:after="240"/>
        <w:rPr>
          <w:b/>
        </w:rPr>
      </w:pPr>
      <w:r w:rsidRPr="004549F1">
        <w:rPr>
          <w:b/>
        </w:rPr>
        <w:t>Details of editorial change</w:t>
      </w:r>
    </w:p>
    <w:p w:rsidR="0093325E" w:rsidRDefault="0093325E" w:rsidP="0093325E">
      <w:pPr>
        <w:spacing w:after="240"/>
      </w:pPr>
      <w:r>
        <w:t xml:space="preserve">Schedule 1 item 2 of the </w:t>
      </w:r>
      <w:r>
        <w:rPr>
          <w:i/>
          <w:iCs/>
        </w:rPr>
        <w:t xml:space="preserve">National Health (Highly Specialised Drugs Program) Special Arrangement Amendment (September Update) Instrument 2022 </w:t>
      </w:r>
      <w:r>
        <w:t>provides in part as follows:</w:t>
      </w:r>
    </w:p>
    <w:p w:rsidR="0093325E" w:rsidRDefault="0093325E" w:rsidP="0093325E">
      <w:pPr>
        <w:pStyle w:val="Amendment1"/>
        <w:numPr>
          <w:ilvl w:val="0"/>
          <w:numId w:val="0"/>
        </w:numPr>
        <w:spacing w:line="260" w:lineRule="exact"/>
        <w:ind w:left="1134" w:hanging="567"/>
        <w:rPr>
          <w:b w:val="0"/>
          <w:bCs w:val="0"/>
          <w:sz w:val="24"/>
          <w:szCs w:val="24"/>
        </w:rPr>
      </w:pPr>
      <w:bookmarkStart w:id="28" w:name="_Toc113350516"/>
      <w:bookmarkStart w:id="29" w:name="_Hlk112677156"/>
      <w:r>
        <w:lastRenderedPageBreak/>
        <w:t>[2]</w:t>
      </w:r>
      <w:r>
        <w:tab/>
      </w:r>
      <w:r w:rsidRPr="001D05D8">
        <w:rPr>
          <w:rFonts w:ascii="Arial Bold" w:hAnsi="Arial Bold"/>
        </w:rPr>
        <w:t>Schedule 1</w:t>
      </w:r>
      <w:r>
        <w:t>, entry for Ciclosporin in the form Capsule 25 mg</w:t>
      </w:r>
      <w:bookmarkEnd w:id="28"/>
    </w:p>
    <w:p w:rsidR="0093325E" w:rsidRDefault="0093325E" w:rsidP="0093325E">
      <w:pPr>
        <w:pStyle w:val="Amendment1"/>
        <w:numPr>
          <w:ilvl w:val="0"/>
          <w:numId w:val="0"/>
        </w:numPr>
        <w:spacing w:before="60" w:after="60" w:line="260" w:lineRule="exact"/>
        <w:ind w:left="1134"/>
        <w:rPr>
          <w:rFonts w:ascii="Arial Bold" w:hAnsi="Arial Bold"/>
        </w:rPr>
      </w:pPr>
      <w:bookmarkStart w:id="30" w:name="_Toc113350517"/>
      <w:bookmarkStart w:id="31" w:name="_Hlk112677129"/>
      <w:bookmarkEnd w:id="29"/>
      <w:r>
        <w:rPr>
          <w:rFonts w:ascii="Arial Bold" w:hAnsi="Arial Bold"/>
        </w:rPr>
        <w:t>[…]</w:t>
      </w:r>
      <w:bookmarkEnd w:id="30"/>
    </w:p>
    <w:p w:rsidR="0093325E" w:rsidRDefault="0093325E" w:rsidP="0093325E">
      <w:pPr>
        <w:pStyle w:val="Amendment1"/>
        <w:numPr>
          <w:ilvl w:val="0"/>
          <w:numId w:val="0"/>
        </w:numPr>
        <w:tabs>
          <w:tab w:val="left" w:pos="851"/>
        </w:tabs>
        <w:spacing w:before="60" w:after="240" w:line="260" w:lineRule="exact"/>
        <w:ind w:left="1134"/>
      </w:pPr>
      <w:bookmarkStart w:id="32" w:name="_Toc113350518"/>
      <w:r>
        <w:rPr>
          <w:rFonts w:ascii="Arial Bold" w:hAnsi="Arial Bold"/>
        </w:rPr>
        <w:t>(c)</w:t>
      </w:r>
      <w:r>
        <w:rPr>
          <w:rFonts w:ascii="Arial Bold" w:hAnsi="Arial Bold"/>
        </w:rPr>
        <w:tab/>
      </w:r>
      <w:r>
        <w:rPr>
          <w:rFonts w:ascii="Times New Roman" w:hAnsi="Times New Roman" w:cs="Times New Roman"/>
          <w:b w:val="0"/>
          <w:bCs w:val="0"/>
          <w:i/>
          <w:iCs/>
        </w:rPr>
        <w:t xml:space="preserve">insert in numerical order in the column headed “Circumstances”: </w:t>
      </w:r>
      <w:r>
        <w:t>C13122 C13168</w:t>
      </w:r>
      <w:bookmarkEnd w:id="31"/>
      <w:bookmarkEnd w:id="32"/>
    </w:p>
    <w:p w:rsidR="0093325E" w:rsidRDefault="0093325E" w:rsidP="0093325E">
      <w:pPr>
        <w:spacing w:after="240"/>
      </w:pPr>
      <w:r>
        <w:t>There are multiple instances of numerical lists in the column headed “Circumstances” in the entry for Ciclosporin in the form Capsule 25 mg.</w:t>
      </w:r>
    </w:p>
    <w:p w:rsidR="0093325E" w:rsidRDefault="0093325E" w:rsidP="00CC22BA">
      <w:pPr>
        <w:spacing w:after="240"/>
      </w:pPr>
      <w:r>
        <w:t>This compilation was editorially changed to insert “C13122 C13168” in numerical order in the column headed “Circumstances” (all instances) in the entry for Ciclosporin in the form Capsule 25 mg in Schedule 1 to give effect to the misdescribed amendment as intended.</w:t>
      </w:r>
    </w:p>
    <w:p w:rsidR="0093325E" w:rsidRPr="004549F1" w:rsidRDefault="0093325E" w:rsidP="0093325E">
      <w:pPr>
        <w:spacing w:after="240"/>
        <w:rPr>
          <w:b/>
          <w:sz w:val="24"/>
          <w:szCs w:val="24"/>
        </w:rPr>
      </w:pPr>
      <w:r>
        <w:rPr>
          <w:b/>
          <w:sz w:val="24"/>
          <w:szCs w:val="24"/>
        </w:rPr>
        <w:t xml:space="preserve">Schedule 1, entry for </w:t>
      </w:r>
      <w:r w:rsidRPr="007037E7">
        <w:rPr>
          <w:b/>
          <w:sz w:val="24"/>
          <w:szCs w:val="24"/>
        </w:rPr>
        <w:t xml:space="preserve">Ciclosporin in the form Capsule </w:t>
      </w:r>
      <w:r>
        <w:rPr>
          <w:b/>
          <w:sz w:val="24"/>
          <w:szCs w:val="24"/>
        </w:rPr>
        <w:t>50</w:t>
      </w:r>
      <w:r w:rsidRPr="007037E7">
        <w:rPr>
          <w:b/>
          <w:sz w:val="24"/>
          <w:szCs w:val="24"/>
        </w:rPr>
        <w:t xml:space="preserve"> mg</w:t>
      </w:r>
    </w:p>
    <w:p w:rsidR="0093325E" w:rsidRPr="004549F1" w:rsidRDefault="0093325E" w:rsidP="0093325E">
      <w:pPr>
        <w:spacing w:after="240"/>
        <w:rPr>
          <w:b/>
        </w:rPr>
      </w:pPr>
      <w:r w:rsidRPr="004549F1">
        <w:rPr>
          <w:b/>
        </w:rPr>
        <w:t>Kind of editorial change</w:t>
      </w:r>
    </w:p>
    <w:p w:rsidR="0093325E" w:rsidRDefault="0093325E" w:rsidP="0093325E">
      <w:pPr>
        <w:spacing w:after="240"/>
      </w:pPr>
      <w:r w:rsidRPr="00E2562F">
        <w:t>Give effect to the misdescribed amendment as intended</w:t>
      </w:r>
    </w:p>
    <w:p w:rsidR="0093325E" w:rsidRPr="004549F1" w:rsidRDefault="0093325E" w:rsidP="0093325E">
      <w:pPr>
        <w:spacing w:after="240"/>
        <w:rPr>
          <w:b/>
        </w:rPr>
      </w:pPr>
      <w:r w:rsidRPr="004549F1">
        <w:rPr>
          <w:b/>
        </w:rPr>
        <w:t>Details of editorial change</w:t>
      </w:r>
    </w:p>
    <w:p w:rsidR="0093325E" w:rsidRDefault="0093325E" w:rsidP="0093325E">
      <w:pPr>
        <w:spacing w:after="240"/>
      </w:pPr>
      <w:r>
        <w:t xml:space="preserve">Schedule 1 item 3 of the </w:t>
      </w:r>
      <w:r>
        <w:rPr>
          <w:i/>
          <w:iCs/>
        </w:rPr>
        <w:t xml:space="preserve">National Health (Highly Specialised Drugs Program) Special Arrangement Amendment (September Update) Instrument 2022 </w:t>
      </w:r>
      <w:r>
        <w:t>provides in part as follows:</w:t>
      </w:r>
    </w:p>
    <w:p w:rsidR="0093325E" w:rsidRDefault="0093325E" w:rsidP="0093325E">
      <w:pPr>
        <w:pStyle w:val="Amendment1"/>
        <w:numPr>
          <w:ilvl w:val="0"/>
          <w:numId w:val="0"/>
        </w:numPr>
        <w:spacing w:line="260" w:lineRule="exact"/>
        <w:ind w:left="1134" w:hanging="567"/>
        <w:rPr>
          <w:b w:val="0"/>
          <w:bCs w:val="0"/>
          <w:sz w:val="24"/>
          <w:szCs w:val="24"/>
        </w:rPr>
      </w:pPr>
      <w:bookmarkStart w:id="33" w:name="_Toc113350519"/>
      <w:r>
        <w:t>[3]</w:t>
      </w:r>
      <w:r>
        <w:tab/>
      </w:r>
      <w:r w:rsidRPr="002D1438">
        <w:rPr>
          <w:rFonts w:ascii="Arial Bold" w:hAnsi="Arial Bold"/>
        </w:rPr>
        <w:t>Schedule 1</w:t>
      </w:r>
      <w:r>
        <w:t>, entry for Ciclosporin in the form Capsule 50 mg</w:t>
      </w:r>
      <w:bookmarkEnd w:id="33"/>
    </w:p>
    <w:p w:rsidR="0093325E" w:rsidRDefault="0093325E" w:rsidP="0093325E">
      <w:pPr>
        <w:pStyle w:val="Amendment1"/>
        <w:numPr>
          <w:ilvl w:val="0"/>
          <w:numId w:val="0"/>
        </w:numPr>
        <w:spacing w:before="60" w:after="60" w:line="260" w:lineRule="exact"/>
        <w:ind w:left="1134"/>
        <w:rPr>
          <w:rFonts w:ascii="Arial Bold" w:hAnsi="Arial Bold"/>
        </w:rPr>
      </w:pPr>
      <w:bookmarkStart w:id="34" w:name="_Toc113350520"/>
      <w:r>
        <w:rPr>
          <w:rFonts w:ascii="Arial Bold" w:hAnsi="Arial Bold"/>
        </w:rPr>
        <w:t>[…]</w:t>
      </w:r>
      <w:bookmarkEnd w:id="34"/>
    </w:p>
    <w:p w:rsidR="0093325E" w:rsidRDefault="0093325E" w:rsidP="0093325E">
      <w:pPr>
        <w:pStyle w:val="Amendment1"/>
        <w:numPr>
          <w:ilvl w:val="0"/>
          <w:numId w:val="0"/>
        </w:numPr>
        <w:tabs>
          <w:tab w:val="left" w:pos="851"/>
        </w:tabs>
        <w:spacing w:before="60" w:after="240" w:line="260" w:lineRule="exact"/>
        <w:ind w:left="1134"/>
      </w:pPr>
      <w:bookmarkStart w:id="35" w:name="_Toc113350521"/>
      <w:r>
        <w:rPr>
          <w:rFonts w:ascii="Arial Bold" w:hAnsi="Arial Bold"/>
        </w:rPr>
        <w:t>(c)</w:t>
      </w:r>
      <w:r>
        <w:rPr>
          <w:rFonts w:ascii="Arial Bold" w:hAnsi="Arial Bold"/>
        </w:rPr>
        <w:tab/>
      </w:r>
      <w:r>
        <w:rPr>
          <w:rFonts w:ascii="Times New Roman" w:hAnsi="Times New Roman" w:cs="Times New Roman"/>
          <w:b w:val="0"/>
          <w:bCs w:val="0"/>
          <w:i/>
          <w:iCs/>
        </w:rPr>
        <w:t xml:space="preserve">insert in numerical order in the column headed “Circumstances”: </w:t>
      </w:r>
      <w:r>
        <w:t>C13122 C13168</w:t>
      </w:r>
      <w:bookmarkEnd w:id="35"/>
    </w:p>
    <w:p w:rsidR="0093325E" w:rsidRDefault="0093325E" w:rsidP="0093325E">
      <w:pPr>
        <w:spacing w:after="240"/>
      </w:pPr>
      <w:r>
        <w:t>There are multiple instances of numerical lists in the column headed “Circumstances” in the entry for Ciclosporin in the form Capsule 50 mg.</w:t>
      </w:r>
    </w:p>
    <w:p w:rsidR="0093325E" w:rsidRDefault="0093325E" w:rsidP="00CC22BA">
      <w:pPr>
        <w:spacing w:after="240"/>
      </w:pPr>
      <w:r>
        <w:t>This compilation was editorially changed to insert “C13122 C13168” in numerical order in the column headed “Circumstances” (all instances) in the entry for Ciclosporin in the form Capsule 50 mg in Schedule 1 to give effect to the misdescribed amendment as intended.</w:t>
      </w:r>
    </w:p>
    <w:p w:rsidR="0093325E" w:rsidRPr="004549F1" w:rsidRDefault="0093325E" w:rsidP="0093325E">
      <w:pPr>
        <w:spacing w:after="240"/>
        <w:rPr>
          <w:b/>
          <w:sz w:val="24"/>
          <w:szCs w:val="24"/>
        </w:rPr>
      </w:pPr>
      <w:r>
        <w:rPr>
          <w:b/>
          <w:sz w:val="24"/>
          <w:szCs w:val="24"/>
        </w:rPr>
        <w:t xml:space="preserve">Schedule 1, entry for </w:t>
      </w:r>
      <w:r w:rsidRPr="007037E7">
        <w:rPr>
          <w:b/>
          <w:sz w:val="24"/>
          <w:szCs w:val="24"/>
        </w:rPr>
        <w:t xml:space="preserve">Ciclosporin in the form Capsule </w:t>
      </w:r>
      <w:r>
        <w:rPr>
          <w:b/>
          <w:sz w:val="24"/>
          <w:szCs w:val="24"/>
        </w:rPr>
        <w:t>100</w:t>
      </w:r>
      <w:r w:rsidRPr="007037E7">
        <w:rPr>
          <w:b/>
          <w:sz w:val="24"/>
          <w:szCs w:val="24"/>
        </w:rPr>
        <w:t xml:space="preserve"> mg</w:t>
      </w:r>
    </w:p>
    <w:p w:rsidR="0093325E" w:rsidRPr="004549F1" w:rsidRDefault="0093325E" w:rsidP="0093325E">
      <w:pPr>
        <w:spacing w:after="240"/>
        <w:rPr>
          <w:b/>
        </w:rPr>
      </w:pPr>
      <w:r w:rsidRPr="004549F1">
        <w:rPr>
          <w:b/>
        </w:rPr>
        <w:t>Kind of editorial change</w:t>
      </w:r>
    </w:p>
    <w:p w:rsidR="0093325E" w:rsidRDefault="0093325E" w:rsidP="0093325E">
      <w:pPr>
        <w:spacing w:after="240"/>
      </w:pPr>
      <w:r w:rsidRPr="00E2562F">
        <w:t>Give effect to the misdescribed amendment as intended</w:t>
      </w:r>
    </w:p>
    <w:p w:rsidR="0093325E" w:rsidRPr="004549F1" w:rsidRDefault="0093325E" w:rsidP="0093325E">
      <w:pPr>
        <w:spacing w:after="240"/>
        <w:rPr>
          <w:b/>
        </w:rPr>
      </w:pPr>
      <w:r w:rsidRPr="004549F1">
        <w:rPr>
          <w:b/>
        </w:rPr>
        <w:t>Details of editorial change</w:t>
      </w:r>
    </w:p>
    <w:p w:rsidR="0093325E" w:rsidRDefault="0093325E" w:rsidP="0093325E">
      <w:pPr>
        <w:spacing w:after="240"/>
      </w:pPr>
      <w:r>
        <w:t xml:space="preserve">Schedule 1 item 4 of the </w:t>
      </w:r>
      <w:r>
        <w:rPr>
          <w:i/>
          <w:iCs/>
        </w:rPr>
        <w:t xml:space="preserve">National Health (Highly Specialised Drugs Program) Special Arrangement Amendment (September Update) Instrument 2022 </w:t>
      </w:r>
      <w:r>
        <w:t>provides in part as follows:</w:t>
      </w:r>
    </w:p>
    <w:p w:rsidR="0093325E" w:rsidRDefault="0093325E" w:rsidP="0093325E">
      <w:pPr>
        <w:pStyle w:val="Amendment1"/>
        <w:numPr>
          <w:ilvl w:val="0"/>
          <w:numId w:val="0"/>
        </w:numPr>
        <w:spacing w:line="260" w:lineRule="exact"/>
        <w:ind w:left="1134" w:hanging="567"/>
        <w:rPr>
          <w:b w:val="0"/>
          <w:bCs w:val="0"/>
          <w:sz w:val="24"/>
          <w:szCs w:val="24"/>
        </w:rPr>
      </w:pPr>
      <w:bookmarkStart w:id="36" w:name="_Toc113350522"/>
      <w:r>
        <w:t>[4]</w:t>
      </w:r>
      <w:r>
        <w:tab/>
      </w:r>
      <w:r w:rsidRPr="002D1438">
        <w:rPr>
          <w:rFonts w:ascii="Arial Bold" w:hAnsi="Arial Bold"/>
        </w:rPr>
        <w:t>Schedule 1</w:t>
      </w:r>
      <w:r>
        <w:t>, entry for Ciclosporin in the form Capsule 100 mg</w:t>
      </w:r>
      <w:bookmarkEnd w:id="36"/>
    </w:p>
    <w:p w:rsidR="0093325E" w:rsidRDefault="0093325E" w:rsidP="0093325E">
      <w:pPr>
        <w:pStyle w:val="Amendment1"/>
        <w:numPr>
          <w:ilvl w:val="0"/>
          <w:numId w:val="0"/>
        </w:numPr>
        <w:spacing w:before="60" w:after="60" w:line="260" w:lineRule="exact"/>
        <w:ind w:left="1134"/>
        <w:rPr>
          <w:rFonts w:ascii="Arial Bold" w:hAnsi="Arial Bold"/>
        </w:rPr>
      </w:pPr>
      <w:bookmarkStart w:id="37" w:name="_Toc113350523"/>
      <w:r>
        <w:rPr>
          <w:rFonts w:ascii="Arial Bold" w:hAnsi="Arial Bold"/>
        </w:rPr>
        <w:t>[…]</w:t>
      </w:r>
      <w:bookmarkEnd w:id="37"/>
    </w:p>
    <w:p w:rsidR="0093325E" w:rsidRDefault="0093325E" w:rsidP="0093325E">
      <w:pPr>
        <w:pStyle w:val="Amendment1"/>
        <w:numPr>
          <w:ilvl w:val="0"/>
          <w:numId w:val="0"/>
        </w:numPr>
        <w:tabs>
          <w:tab w:val="left" w:pos="851"/>
        </w:tabs>
        <w:spacing w:before="60" w:after="240" w:line="260" w:lineRule="exact"/>
        <w:ind w:left="1134"/>
      </w:pPr>
      <w:bookmarkStart w:id="38" w:name="_Toc113350524"/>
      <w:r>
        <w:rPr>
          <w:rFonts w:ascii="Arial Bold" w:hAnsi="Arial Bold"/>
        </w:rPr>
        <w:t>(c)</w:t>
      </w:r>
      <w:r>
        <w:rPr>
          <w:rFonts w:ascii="Arial Bold" w:hAnsi="Arial Bold"/>
        </w:rPr>
        <w:tab/>
      </w:r>
      <w:r>
        <w:rPr>
          <w:rFonts w:ascii="Times New Roman" w:hAnsi="Times New Roman" w:cs="Times New Roman"/>
          <w:b w:val="0"/>
          <w:bCs w:val="0"/>
          <w:i/>
          <w:iCs/>
        </w:rPr>
        <w:t xml:space="preserve">insert in numerical order in the column headed “Circumstances”: </w:t>
      </w:r>
      <w:r>
        <w:t>C13122 C13168</w:t>
      </w:r>
      <w:bookmarkEnd w:id="38"/>
    </w:p>
    <w:p w:rsidR="0093325E" w:rsidRDefault="0093325E" w:rsidP="0093325E">
      <w:pPr>
        <w:spacing w:after="240"/>
      </w:pPr>
      <w:r>
        <w:t>There are multiple instances of numerical lists in the column headed “Circumstances” in the entry for Ciclosporin in the form Capsule 100 mg.</w:t>
      </w:r>
    </w:p>
    <w:p w:rsidR="0093325E" w:rsidRPr="00AA4EB0" w:rsidRDefault="0093325E" w:rsidP="0093325E">
      <w:r>
        <w:lastRenderedPageBreak/>
        <w:t>This compilation was editorially changed to insert “C13122 C13168” in numerical order in the column headed “Circumstances” (all instances) in the entry for Ciclosporin in the form Capsule 100 mg in Schedule 1 to give effect to the misdescribed amendment as intended.</w:t>
      </w:r>
    </w:p>
    <w:p w:rsidR="00E241C9" w:rsidRDefault="00E241C9" w:rsidP="00DE0481">
      <w:pPr>
        <w:pStyle w:val="Head2"/>
        <w:keepLines/>
        <w:spacing w:after="240"/>
      </w:pPr>
      <w:r w:rsidRPr="00E241C9">
        <w:t>Remuneration Tribunal (Remuneration and Allowances for Holders of Full</w:t>
      </w:r>
      <w:r w:rsidR="00E76CEC">
        <w:noBreakHyphen/>
      </w:r>
      <w:r w:rsidRPr="00E241C9">
        <w:t>time Public Office) Determination 2022</w:t>
      </w:r>
      <w:r w:rsidRPr="004C7422">
        <w:t>, Compilation No. </w:t>
      </w:r>
      <w:r>
        <w:t>2</w:t>
      </w:r>
      <w:r w:rsidRPr="004C7422">
        <w:t xml:space="preserve">, Registration Date: </w:t>
      </w:r>
      <w:r>
        <w:t>26</w:t>
      </w:r>
      <w:r w:rsidRPr="004C7422">
        <w:t> </w:t>
      </w:r>
      <w:r>
        <w:t xml:space="preserve">August </w:t>
      </w:r>
      <w:r w:rsidRPr="004C7422">
        <w:t>202</w:t>
      </w:r>
      <w:r>
        <w:t>2</w:t>
      </w:r>
      <w:r w:rsidRPr="004C7422">
        <w:t xml:space="preserve"> [</w:t>
      </w:r>
      <w:r w:rsidRPr="00E241C9">
        <w:t>F2022C00840</w:t>
      </w:r>
      <w:r w:rsidRPr="004C7422">
        <w:t>]</w:t>
      </w:r>
    </w:p>
    <w:p w:rsidR="00E241C9" w:rsidRPr="004549F1" w:rsidRDefault="00E241C9" w:rsidP="00E241C9">
      <w:pPr>
        <w:spacing w:after="240"/>
        <w:rPr>
          <w:b/>
          <w:sz w:val="24"/>
          <w:szCs w:val="24"/>
        </w:rPr>
      </w:pPr>
      <w:r>
        <w:rPr>
          <w:b/>
          <w:sz w:val="24"/>
          <w:szCs w:val="24"/>
        </w:rPr>
        <w:t>Part 6</w:t>
      </w:r>
    </w:p>
    <w:p w:rsidR="00E241C9" w:rsidRPr="004549F1" w:rsidRDefault="00E241C9" w:rsidP="00E241C9">
      <w:pPr>
        <w:spacing w:after="240"/>
        <w:rPr>
          <w:b/>
        </w:rPr>
      </w:pPr>
      <w:r w:rsidRPr="004549F1">
        <w:rPr>
          <w:b/>
        </w:rPr>
        <w:t>Kind of editorial change</w:t>
      </w:r>
    </w:p>
    <w:p w:rsidR="00E241C9" w:rsidRDefault="00E241C9" w:rsidP="00E241C9">
      <w:pPr>
        <w:spacing w:after="240"/>
      </w:pPr>
      <w:r w:rsidRPr="005E6973">
        <w:t>Give effect to the misdescribed amendment as intended</w:t>
      </w:r>
    </w:p>
    <w:p w:rsidR="00E241C9" w:rsidRPr="004549F1" w:rsidRDefault="00E241C9" w:rsidP="00E241C9">
      <w:pPr>
        <w:spacing w:after="240"/>
        <w:rPr>
          <w:b/>
        </w:rPr>
      </w:pPr>
      <w:r w:rsidRPr="004549F1">
        <w:rPr>
          <w:b/>
        </w:rPr>
        <w:t>Details of editorial change</w:t>
      </w:r>
    </w:p>
    <w:p w:rsidR="00E241C9" w:rsidRDefault="00E241C9" w:rsidP="00E241C9">
      <w:pPr>
        <w:spacing w:after="240"/>
      </w:pPr>
      <w:r>
        <w:t xml:space="preserve">Schedule 1 item 11 of the </w:t>
      </w:r>
      <w:r w:rsidRPr="00FF29E9">
        <w:rPr>
          <w:i/>
        </w:rPr>
        <w:t>Remuneration Tribunal Amendment Determination (No. 9) 2022</w:t>
      </w:r>
      <w:r>
        <w:t xml:space="preserve"> instructs to add Part 6 at the end of the instrument.</w:t>
      </w:r>
    </w:p>
    <w:p w:rsidR="00E241C9" w:rsidRDefault="00E241C9" w:rsidP="00E241C9">
      <w:pPr>
        <w:spacing w:after="240"/>
      </w:pPr>
      <w:r>
        <w:t>This amendment results in Part 6 appearing after Schedule 1.</w:t>
      </w:r>
    </w:p>
    <w:p w:rsidR="00E241C9" w:rsidRPr="004549F1" w:rsidRDefault="00E241C9" w:rsidP="00E241C9">
      <w:r>
        <w:t>This compilation was editorially changed to move Part 6 after Part 5 to give effect to the misdescribed amendment as intended.</w:t>
      </w:r>
    </w:p>
    <w:p w:rsidR="00704318" w:rsidRPr="004C7422" w:rsidRDefault="00704318" w:rsidP="00704318">
      <w:pPr>
        <w:pStyle w:val="Head2"/>
        <w:keepLines/>
      </w:pPr>
      <w:r w:rsidRPr="00400E29">
        <w:t xml:space="preserve">Remuneration Tribunal (Judicial and Related Offices—Remuneration and Allowances) </w:t>
      </w:r>
      <w:r>
        <w:t>Determination 2</w:t>
      </w:r>
      <w:r w:rsidRPr="00400E29">
        <w:t>022</w:t>
      </w:r>
      <w:r w:rsidRPr="004C7422">
        <w:t>, Compilation No. </w:t>
      </w:r>
      <w:r>
        <w:t>1</w:t>
      </w:r>
      <w:r w:rsidRPr="004C7422">
        <w:t xml:space="preserve">, Registration Date: </w:t>
      </w:r>
      <w:r>
        <w:t>23</w:t>
      </w:r>
      <w:r w:rsidRPr="004C7422">
        <w:t> </w:t>
      </w:r>
      <w:r>
        <w:t xml:space="preserve">August </w:t>
      </w:r>
      <w:r w:rsidRPr="004C7422">
        <w:t>202</w:t>
      </w:r>
      <w:r>
        <w:t>2</w:t>
      </w:r>
      <w:r w:rsidRPr="004C7422">
        <w:t xml:space="preserve"> [</w:t>
      </w:r>
      <w:r>
        <w:t>F</w:t>
      </w:r>
      <w:r w:rsidRPr="00234F19">
        <w:t>2022C00</w:t>
      </w:r>
      <w:r>
        <w:t>828</w:t>
      </w:r>
      <w:r w:rsidRPr="004C7422">
        <w:t>]</w:t>
      </w:r>
    </w:p>
    <w:p w:rsidR="00704318" w:rsidRPr="004549F1" w:rsidRDefault="00704318" w:rsidP="00704318">
      <w:pPr>
        <w:spacing w:before="240" w:after="240"/>
        <w:rPr>
          <w:b/>
          <w:sz w:val="24"/>
          <w:szCs w:val="24"/>
        </w:rPr>
      </w:pPr>
      <w:r>
        <w:rPr>
          <w:b/>
          <w:sz w:val="24"/>
          <w:szCs w:val="24"/>
        </w:rPr>
        <w:t>Part 6</w:t>
      </w:r>
    </w:p>
    <w:p w:rsidR="00704318" w:rsidRPr="004549F1" w:rsidRDefault="00704318" w:rsidP="00704318">
      <w:pPr>
        <w:spacing w:after="240"/>
        <w:rPr>
          <w:b/>
        </w:rPr>
      </w:pPr>
      <w:r w:rsidRPr="004549F1">
        <w:rPr>
          <w:b/>
        </w:rPr>
        <w:t>Kind of editorial change</w:t>
      </w:r>
    </w:p>
    <w:p w:rsidR="00704318" w:rsidRDefault="00704318" w:rsidP="00704318">
      <w:pPr>
        <w:spacing w:after="240"/>
      </w:pPr>
      <w:r w:rsidRPr="005E6973">
        <w:t>Give effect to the misdescribed amendment as intended</w:t>
      </w:r>
    </w:p>
    <w:p w:rsidR="00704318" w:rsidRPr="004549F1" w:rsidRDefault="00704318" w:rsidP="00704318">
      <w:pPr>
        <w:spacing w:after="240"/>
        <w:rPr>
          <w:b/>
        </w:rPr>
      </w:pPr>
      <w:r w:rsidRPr="004549F1">
        <w:rPr>
          <w:b/>
        </w:rPr>
        <w:t>Details of editorial change</w:t>
      </w:r>
    </w:p>
    <w:p w:rsidR="00704318" w:rsidRDefault="00704318" w:rsidP="00704318">
      <w:pPr>
        <w:spacing w:after="240"/>
      </w:pPr>
      <w:r>
        <w:t xml:space="preserve">Schedule 1 item 5 of the </w:t>
      </w:r>
      <w:r w:rsidRPr="00460270">
        <w:rPr>
          <w:i/>
        </w:rPr>
        <w:t>Remuneration Tribunal Amendment Determination (No. 9) 2022</w:t>
      </w:r>
      <w:r>
        <w:t xml:space="preserve"> instructs to add Part 6 at the end of the instrument.</w:t>
      </w:r>
    </w:p>
    <w:p w:rsidR="00704318" w:rsidRDefault="00704318" w:rsidP="00704318">
      <w:pPr>
        <w:spacing w:after="240"/>
      </w:pPr>
      <w:r>
        <w:t>This amendment results in Part 6 appearing after Schedule 1.</w:t>
      </w:r>
    </w:p>
    <w:p w:rsidR="00704318" w:rsidRDefault="00704318" w:rsidP="00704318">
      <w:r>
        <w:t>This compilation was editorially changed to move Part 6 after Part 5 to give effect to the misdescribed amendment as intended.</w:t>
      </w:r>
    </w:p>
    <w:p w:rsidR="00656CA6" w:rsidRPr="004C7422" w:rsidRDefault="00656CA6" w:rsidP="009D4183">
      <w:pPr>
        <w:pStyle w:val="Head2"/>
        <w:keepLines/>
      </w:pPr>
      <w:r w:rsidRPr="003671A6">
        <w:lastRenderedPageBreak/>
        <w:t>Safety, Rehabilitation and Compensation (Defence</w:t>
      </w:r>
      <w:r>
        <w:noBreakHyphen/>
      </w:r>
      <w:r w:rsidRPr="003671A6">
        <w:t>related Claims) Act 1988</w:t>
      </w:r>
      <w:r w:rsidRPr="004C7422">
        <w:t>, Compilation No. </w:t>
      </w:r>
      <w:r>
        <w:t>9</w:t>
      </w:r>
      <w:r w:rsidRPr="004C7422">
        <w:t xml:space="preserve">, Registration Date: </w:t>
      </w:r>
      <w:r>
        <w:t>23</w:t>
      </w:r>
      <w:r w:rsidRPr="004C7422">
        <w:t> </w:t>
      </w:r>
      <w:r>
        <w:t xml:space="preserve">August </w:t>
      </w:r>
      <w:r w:rsidRPr="004C7422">
        <w:t>202</w:t>
      </w:r>
      <w:r>
        <w:t>2</w:t>
      </w:r>
      <w:r w:rsidRPr="004C7422">
        <w:t xml:space="preserve"> [</w:t>
      </w:r>
      <w:r w:rsidR="00234F19" w:rsidRPr="00234F19">
        <w:t>C2022C00230</w:t>
      </w:r>
      <w:r w:rsidRPr="004C7422">
        <w:t>]</w:t>
      </w:r>
    </w:p>
    <w:p w:rsidR="00234F19" w:rsidRPr="004549F1" w:rsidRDefault="00234F19" w:rsidP="009D4183">
      <w:pPr>
        <w:keepNext/>
        <w:keepLines/>
        <w:spacing w:before="240" w:after="240"/>
        <w:rPr>
          <w:b/>
          <w:sz w:val="24"/>
          <w:szCs w:val="24"/>
        </w:rPr>
      </w:pPr>
      <w:r>
        <w:rPr>
          <w:b/>
          <w:sz w:val="24"/>
          <w:szCs w:val="24"/>
        </w:rPr>
        <w:t>Subsection 119(7)</w:t>
      </w:r>
    </w:p>
    <w:p w:rsidR="00234F19" w:rsidRPr="004549F1" w:rsidRDefault="00234F19" w:rsidP="009D4183">
      <w:pPr>
        <w:keepNext/>
        <w:keepLines/>
        <w:spacing w:after="240"/>
        <w:rPr>
          <w:b/>
        </w:rPr>
      </w:pPr>
      <w:r w:rsidRPr="004549F1">
        <w:rPr>
          <w:b/>
        </w:rPr>
        <w:t>Kind of editorial change</w:t>
      </w:r>
    </w:p>
    <w:p w:rsidR="00234F19" w:rsidRPr="00AD0805" w:rsidRDefault="00234F19" w:rsidP="00234F19">
      <w:pPr>
        <w:spacing w:after="240"/>
      </w:pPr>
      <w:r>
        <w:rPr>
          <w:color w:val="000000"/>
          <w:szCs w:val="22"/>
          <w:shd w:val="clear" w:color="auto" w:fill="FFFFFF"/>
        </w:rPr>
        <w:t>Reordering of definitions</w:t>
      </w:r>
    </w:p>
    <w:p w:rsidR="00234F19" w:rsidRPr="004549F1" w:rsidRDefault="00234F19" w:rsidP="00234F19">
      <w:pPr>
        <w:spacing w:after="240"/>
        <w:rPr>
          <w:b/>
        </w:rPr>
      </w:pPr>
      <w:r w:rsidRPr="004549F1">
        <w:rPr>
          <w:b/>
        </w:rPr>
        <w:t>Details of editorial change</w:t>
      </w:r>
    </w:p>
    <w:p w:rsidR="00234F19" w:rsidRDefault="00234F19" w:rsidP="00234F19">
      <w:r>
        <w:rPr>
          <w:color w:val="000000"/>
          <w:szCs w:val="22"/>
          <w:shd w:val="clear" w:color="auto" w:fill="FFFFFF"/>
        </w:rPr>
        <w:t xml:space="preserve">This compilation was editorially changed to move the definition of </w:t>
      </w:r>
      <w:r w:rsidRPr="003671A6">
        <w:rPr>
          <w:b/>
          <w:i/>
        </w:rPr>
        <w:t>specified law</w:t>
      </w:r>
      <w:r>
        <w:rPr>
          <w:b/>
          <w:i/>
        </w:rPr>
        <w:t xml:space="preserve"> </w:t>
      </w:r>
      <w:r>
        <w:rPr>
          <w:color w:val="000000"/>
          <w:szCs w:val="22"/>
          <w:shd w:val="clear" w:color="auto" w:fill="FFFFFF"/>
        </w:rPr>
        <w:t>in subsection 119(7) to the correct alphabetical position.</w:t>
      </w:r>
    </w:p>
    <w:p w:rsidR="003E208E" w:rsidRDefault="003E208E" w:rsidP="00B65916">
      <w:pPr>
        <w:pStyle w:val="Head2"/>
        <w:keepNext w:val="0"/>
      </w:pPr>
      <w:r w:rsidRPr="00E10A0B">
        <w:t>Treasury Laws Amendment (Registries Modernisation and Other Measures) Act 2020</w:t>
      </w:r>
      <w:r w:rsidRPr="004C7422">
        <w:t>, Compilation No. </w:t>
      </w:r>
      <w:r>
        <w:t>2</w:t>
      </w:r>
      <w:r w:rsidRPr="004C7422">
        <w:t xml:space="preserve">, Registration Date: </w:t>
      </w:r>
      <w:r>
        <w:t>23</w:t>
      </w:r>
      <w:r w:rsidRPr="004C7422">
        <w:t> </w:t>
      </w:r>
      <w:r>
        <w:t xml:space="preserve">August </w:t>
      </w:r>
      <w:r w:rsidRPr="004C7422">
        <w:t>202</w:t>
      </w:r>
      <w:r>
        <w:t>2</w:t>
      </w:r>
      <w:r w:rsidRPr="004C7422">
        <w:t xml:space="preserve"> [</w:t>
      </w:r>
      <w:r w:rsidRPr="00234F19">
        <w:t>C2022C002</w:t>
      </w:r>
      <w:r>
        <w:t>29</w:t>
      </w:r>
      <w:r w:rsidRPr="004C7422">
        <w:t>]</w:t>
      </w:r>
    </w:p>
    <w:p w:rsidR="003E208E" w:rsidRPr="004549F1" w:rsidRDefault="003E208E" w:rsidP="00B65916">
      <w:pPr>
        <w:spacing w:before="240" w:after="240"/>
        <w:rPr>
          <w:b/>
          <w:sz w:val="24"/>
          <w:szCs w:val="24"/>
        </w:rPr>
      </w:pPr>
      <w:bookmarkStart w:id="39" w:name="_Hlk111640025"/>
      <w:r>
        <w:rPr>
          <w:b/>
          <w:sz w:val="24"/>
          <w:szCs w:val="24"/>
        </w:rPr>
        <w:t xml:space="preserve">Part 2 of Schedule 1 (heading specifying </w:t>
      </w:r>
      <w:r w:rsidRPr="00640340">
        <w:rPr>
          <w:b/>
          <w:i/>
          <w:sz w:val="24"/>
          <w:szCs w:val="24"/>
        </w:rPr>
        <w:t>National Consumer Credit Protection (Transitional and Consequential Provisions) Act 2009</w:t>
      </w:r>
      <w:r w:rsidRPr="00640340">
        <w:rPr>
          <w:b/>
          <w:sz w:val="24"/>
          <w:szCs w:val="24"/>
        </w:rPr>
        <w:t>)</w:t>
      </w:r>
      <w:bookmarkEnd w:id="39"/>
    </w:p>
    <w:p w:rsidR="003E208E" w:rsidRPr="004549F1" w:rsidRDefault="003E208E" w:rsidP="00B65916">
      <w:pPr>
        <w:spacing w:after="240"/>
        <w:rPr>
          <w:b/>
        </w:rPr>
      </w:pPr>
      <w:r w:rsidRPr="004549F1">
        <w:rPr>
          <w:b/>
        </w:rPr>
        <w:t>Kind of editorial change</w:t>
      </w:r>
    </w:p>
    <w:p w:rsidR="003E208E" w:rsidRPr="00E3780C" w:rsidRDefault="003E208E" w:rsidP="00B65916">
      <w:pPr>
        <w:spacing w:after="240"/>
      </w:pPr>
      <w:r>
        <w:t>Removal of redundant text</w:t>
      </w:r>
    </w:p>
    <w:p w:rsidR="003E208E" w:rsidRPr="004549F1" w:rsidRDefault="003E208E" w:rsidP="00DE0481">
      <w:pPr>
        <w:keepNext/>
        <w:spacing w:after="240"/>
        <w:rPr>
          <w:b/>
        </w:rPr>
      </w:pPr>
      <w:r w:rsidRPr="004549F1">
        <w:rPr>
          <w:b/>
        </w:rPr>
        <w:t>Details of editorial change</w:t>
      </w:r>
    </w:p>
    <w:p w:rsidR="003E208E" w:rsidRPr="00E97FB3" w:rsidRDefault="003E208E" w:rsidP="003E208E">
      <w:pPr>
        <w:spacing w:after="240"/>
        <w:rPr>
          <w:rFonts w:eastAsia="Calibri" w:cs="Times New Roman"/>
        </w:rPr>
      </w:pPr>
      <w:r>
        <w:rPr>
          <w:rFonts w:eastAsia="Calibri" w:cs="Times New Roman"/>
        </w:rPr>
        <w:t>Schedule 4</w:t>
      </w:r>
      <w:r w:rsidRPr="00E97FB3">
        <w:rPr>
          <w:rFonts w:eastAsia="Calibri" w:cs="Times New Roman"/>
        </w:rPr>
        <w:t xml:space="preserve"> </w:t>
      </w:r>
      <w:r>
        <w:rPr>
          <w:rFonts w:eastAsia="Calibri" w:cs="Times New Roman"/>
        </w:rPr>
        <w:t>item 8</w:t>
      </w:r>
      <w:r w:rsidRPr="00E97FB3">
        <w:rPr>
          <w:rFonts w:eastAsia="Calibri" w:cs="Times New Roman"/>
        </w:rPr>
        <w:t xml:space="preserve"> of the </w:t>
      </w:r>
      <w:r w:rsidRPr="00640340">
        <w:rPr>
          <w:i/>
        </w:rPr>
        <w:t>Treasury Laws Amendment (2022 Measures No. 1) Act 2022</w:t>
      </w:r>
      <w:r w:rsidRPr="00E97FB3">
        <w:rPr>
          <w:rFonts w:eastAsia="Calibri" w:cs="Times New Roman"/>
        </w:rPr>
        <w:t xml:space="preserve"> instructs to repeal </w:t>
      </w:r>
      <w:r>
        <w:rPr>
          <w:rFonts w:eastAsia="Calibri" w:cs="Times New Roman"/>
        </w:rPr>
        <w:t xml:space="preserve">items 359, </w:t>
      </w:r>
      <w:r w:rsidRPr="00421AEE">
        <w:t xml:space="preserve">1315 and 1414 of </w:t>
      </w:r>
      <w:r>
        <w:t>Schedule 1</w:t>
      </w:r>
      <w:r w:rsidRPr="00E97FB3">
        <w:rPr>
          <w:rFonts w:eastAsia="Calibri" w:cs="Times New Roman"/>
        </w:rPr>
        <w:t>.</w:t>
      </w:r>
    </w:p>
    <w:p w:rsidR="003E208E" w:rsidRPr="00E97FB3" w:rsidRDefault="003E208E" w:rsidP="003E208E">
      <w:pPr>
        <w:spacing w:after="240"/>
        <w:rPr>
          <w:rFonts w:eastAsia="Calibri" w:cs="Times New Roman"/>
        </w:rPr>
      </w:pPr>
      <w:r>
        <w:rPr>
          <w:rFonts w:eastAsia="Calibri" w:cs="Times New Roman"/>
        </w:rPr>
        <w:t xml:space="preserve">The repeal of item 1414 of Schedule 1 results in the </w:t>
      </w:r>
      <w:r w:rsidRPr="00640340">
        <w:rPr>
          <w:rFonts w:eastAsia="Calibri" w:cs="Times New Roman"/>
        </w:rPr>
        <w:t xml:space="preserve">heading specifying </w:t>
      </w:r>
      <w:r w:rsidRPr="00640340">
        <w:rPr>
          <w:rFonts w:eastAsia="Calibri" w:cs="Times New Roman"/>
          <w:i/>
        </w:rPr>
        <w:t>National Consumer Credit Protection (Transitional and Consequential Provisions) Act 2009</w:t>
      </w:r>
      <w:r>
        <w:rPr>
          <w:rFonts w:eastAsia="Calibri" w:cs="Times New Roman"/>
        </w:rPr>
        <w:t xml:space="preserve"> containing no items.</w:t>
      </w:r>
    </w:p>
    <w:p w:rsidR="003E208E" w:rsidRPr="003E208E" w:rsidRDefault="003E208E" w:rsidP="003E208E">
      <w:pPr>
        <w:spacing w:after="240"/>
        <w:rPr>
          <w:rFonts w:eastAsia="Calibri" w:cs="Times New Roman"/>
        </w:rPr>
      </w:pPr>
      <w:r w:rsidRPr="00E97FB3">
        <w:rPr>
          <w:rFonts w:eastAsia="Calibri" w:cs="Times New Roman"/>
        </w:rPr>
        <w:t xml:space="preserve">This compilation was editorially changed to omit the redundant </w:t>
      </w:r>
      <w:r w:rsidRPr="00B716A3">
        <w:rPr>
          <w:rFonts w:eastAsia="Calibri" w:cs="Times New Roman"/>
        </w:rPr>
        <w:t xml:space="preserve">heading specifying </w:t>
      </w:r>
      <w:r w:rsidRPr="003E208E">
        <w:rPr>
          <w:rFonts w:eastAsia="Calibri" w:cs="Times New Roman"/>
          <w:i/>
        </w:rPr>
        <w:t>National Consumer Credit Protection (Transitional and Consequential Provisions) Act 2009</w:t>
      </w:r>
      <w:r w:rsidRPr="00E97FB3">
        <w:rPr>
          <w:rFonts w:eastAsia="Calibri" w:cs="Times New Roman"/>
        </w:rPr>
        <w:t>.</w:t>
      </w:r>
    </w:p>
    <w:p w:rsidR="00A9645C" w:rsidRPr="004C7422" w:rsidRDefault="00A9645C" w:rsidP="008316EF">
      <w:pPr>
        <w:pStyle w:val="Head2"/>
        <w:keepLines/>
      </w:pPr>
      <w:r w:rsidRPr="00CE2FDD">
        <w:lastRenderedPageBreak/>
        <w:t>Parliamentary Business Resources (Former Prime Ministers) Determination 2017</w:t>
      </w:r>
      <w:r w:rsidRPr="004C7422">
        <w:t>, Compilation No. </w:t>
      </w:r>
      <w:r>
        <w:t>5</w:t>
      </w:r>
      <w:r w:rsidRPr="004C7422">
        <w:t xml:space="preserve">, Registration Date: </w:t>
      </w:r>
      <w:r>
        <w:t>22</w:t>
      </w:r>
      <w:r w:rsidRPr="004C7422">
        <w:t> </w:t>
      </w:r>
      <w:r>
        <w:t xml:space="preserve">August </w:t>
      </w:r>
      <w:r w:rsidRPr="004C7422">
        <w:t>202</w:t>
      </w:r>
      <w:r>
        <w:t>2</w:t>
      </w:r>
      <w:r w:rsidRPr="004C7422">
        <w:t xml:space="preserve"> [</w:t>
      </w:r>
      <w:r w:rsidRPr="00A9645C">
        <w:t>F2022C00821</w:t>
      </w:r>
      <w:r w:rsidRPr="004C7422">
        <w:t>]</w:t>
      </w:r>
    </w:p>
    <w:p w:rsidR="00A9645C" w:rsidRPr="00CE2FDD" w:rsidRDefault="00A9645C" w:rsidP="008316EF">
      <w:pPr>
        <w:keepNext/>
        <w:keepLines/>
        <w:spacing w:before="240" w:after="240"/>
        <w:rPr>
          <w:b/>
          <w:sz w:val="24"/>
          <w:szCs w:val="24"/>
        </w:rPr>
      </w:pPr>
      <w:r w:rsidRPr="00CE2FDD">
        <w:rPr>
          <w:b/>
          <w:sz w:val="24"/>
          <w:szCs w:val="24"/>
        </w:rPr>
        <w:t xml:space="preserve">Subsection 4(1) (definition of </w:t>
      </w:r>
      <w:r w:rsidRPr="00CE2FDD">
        <w:rPr>
          <w:b/>
          <w:i/>
          <w:sz w:val="24"/>
          <w:szCs w:val="24"/>
        </w:rPr>
        <w:t>MOP(S) Act</w:t>
      </w:r>
      <w:r w:rsidRPr="00CE2FDD">
        <w:rPr>
          <w:b/>
          <w:sz w:val="24"/>
          <w:szCs w:val="24"/>
        </w:rPr>
        <w:t>)</w:t>
      </w:r>
    </w:p>
    <w:p w:rsidR="00A9645C" w:rsidRPr="00CE2FDD" w:rsidRDefault="00A9645C" w:rsidP="008316EF">
      <w:pPr>
        <w:keepNext/>
        <w:keepLines/>
        <w:spacing w:after="240"/>
        <w:rPr>
          <w:b/>
        </w:rPr>
      </w:pPr>
      <w:r w:rsidRPr="00CE2FDD">
        <w:rPr>
          <w:b/>
        </w:rPr>
        <w:t>Kind of editorial change</w:t>
      </w:r>
    </w:p>
    <w:p w:rsidR="00A9645C" w:rsidRPr="00CE2FDD" w:rsidRDefault="00A9645C" w:rsidP="008316EF">
      <w:pPr>
        <w:keepNext/>
        <w:keepLines/>
        <w:spacing w:after="240"/>
      </w:pPr>
      <w:r w:rsidRPr="00CE2FDD">
        <w:t>Change to punctuation</w:t>
      </w:r>
    </w:p>
    <w:p w:rsidR="00A9645C" w:rsidRPr="00CE2FDD" w:rsidRDefault="00A9645C" w:rsidP="008316EF">
      <w:pPr>
        <w:keepNext/>
        <w:keepLines/>
        <w:spacing w:after="240"/>
        <w:rPr>
          <w:b/>
        </w:rPr>
      </w:pPr>
      <w:r w:rsidRPr="00CE2FDD">
        <w:rPr>
          <w:b/>
        </w:rPr>
        <w:t>Details of editorial change</w:t>
      </w:r>
    </w:p>
    <w:p w:rsidR="00A9645C" w:rsidRPr="00CE2FDD" w:rsidRDefault="00A9645C" w:rsidP="008316EF">
      <w:pPr>
        <w:keepNext/>
        <w:keepLines/>
        <w:spacing w:after="240"/>
      </w:pPr>
      <w:r w:rsidRPr="00CE2FDD">
        <w:t xml:space="preserve">Schedule 1 item 1 of the </w:t>
      </w:r>
      <w:r w:rsidRPr="00CE2FDD">
        <w:rPr>
          <w:i/>
          <w:noProof/>
        </w:rPr>
        <w:t>Parliamentary Business Resources (Former Prime Ministers) Amendment Determination 2022</w:t>
      </w:r>
      <w:r w:rsidRPr="00CE2FDD">
        <w:t xml:space="preserve"> instructs to insert the definition of </w:t>
      </w:r>
      <w:r w:rsidRPr="00CE2FDD">
        <w:rPr>
          <w:b/>
          <w:i/>
        </w:rPr>
        <w:t>MOP(S) Act</w:t>
      </w:r>
      <w:r w:rsidRPr="00CE2FDD">
        <w:t xml:space="preserve"> into subsection 4(1).</w:t>
      </w:r>
    </w:p>
    <w:p w:rsidR="00A9645C" w:rsidRPr="00CE2FDD" w:rsidRDefault="00A9645C" w:rsidP="008316EF">
      <w:pPr>
        <w:keepNext/>
        <w:keepLines/>
        <w:spacing w:after="240"/>
      </w:pPr>
      <w:r w:rsidRPr="00CE2FDD">
        <w:t xml:space="preserve">The definition of </w:t>
      </w:r>
      <w:r w:rsidRPr="00CE2FDD">
        <w:rPr>
          <w:b/>
          <w:i/>
        </w:rPr>
        <w:t>MOP(S) Act</w:t>
      </w:r>
      <w:r w:rsidRPr="00CE2FDD">
        <w:t xml:space="preserve"> ends with a closing square bracket.</w:t>
      </w:r>
    </w:p>
    <w:p w:rsidR="00A9645C" w:rsidRPr="00CE2FDD" w:rsidRDefault="00A9645C" w:rsidP="00A9645C">
      <w:pPr>
        <w:spacing w:before="240"/>
      </w:pPr>
      <w:r w:rsidRPr="00CE2FDD">
        <w:t xml:space="preserve">This compilation was editorially changed to remove the closing square bracket from the end of the definition of </w:t>
      </w:r>
      <w:r w:rsidRPr="00CE2FDD">
        <w:rPr>
          <w:b/>
          <w:i/>
        </w:rPr>
        <w:t>MOP(S) Act</w:t>
      </w:r>
      <w:r w:rsidRPr="00CE2FDD">
        <w:t xml:space="preserve"> in subsection 4(1) to correct the punctuation.</w:t>
      </w:r>
    </w:p>
    <w:p w:rsidR="008E50B8" w:rsidRPr="004C7422" w:rsidRDefault="008E50B8" w:rsidP="008E50B8">
      <w:pPr>
        <w:pStyle w:val="Head2"/>
        <w:keepLines/>
      </w:pPr>
      <w:r w:rsidRPr="0096426B">
        <w:t>Aged Care Quality and Safety Commission Act 2018</w:t>
      </w:r>
      <w:bookmarkEnd w:id="1"/>
      <w:r w:rsidRPr="004C7422">
        <w:t>, Compilation No. </w:t>
      </w:r>
      <w:r>
        <w:t>5</w:t>
      </w:r>
      <w:r w:rsidRPr="004C7422">
        <w:t xml:space="preserve">, Registration Date: </w:t>
      </w:r>
      <w:r>
        <w:t>19</w:t>
      </w:r>
      <w:r w:rsidRPr="004C7422">
        <w:t> </w:t>
      </w:r>
      <w:r>
        <w:t xml:space="preserve">August </w:t>
      </w:r>
      <w:r w:rsidRPr="004C7422">
        <w:t>202</w:t>
      </w:r>
      <w:r>
        <w:t>2</w:t>
      </w:r>
      <w:r w:rsidRPr="004C7422">
        <w:t xml:space="preserve"> [</w:t>
      </w:r>
      <w:r w:rsidRPr="008E50B8">
        <w:t>C2022C00226</w:t>
      </w:r>
      <w:r w:rsidRPr="004C7422">
        <w:t>]</w:t>
      </w:r>
    </w:p>
    <w:p w:rsidR="008E50B8" w:rsidRPr="004549F1" w:rsidRDefault="008E50B8" w:rsidP="008E50B8">
      <w:pPr>
        <w:spacing w:before="240" w:after="240"/>
        <w:rPr>
          <w:b/>
          <w:sz w:val="24"/>
          <w:szCs w:val="24"/>
        </w:rPr>
      </w:pPr>
      <w:r>
        <w:rPr>
          <w:b/>
          <w:sz w:val="24"/>
          <w:szCs w:val="24"/>
        </w:rPr>
        <w:t>Subsection 21(7)</w:t>
      </w:r>
    </w:p>
    <w:p w:rsidR="008E50B8" w:rsidRPr="004549F1" w:rsidRDefault="008E50B8" w:rsidP="008E50B8">
      <w:pPr>
        <w:spacing w:after="240"/>
        <w:rPr>
          <w:b/>
        </w:rPr>
      </w:pPr>
      <w:r w:rsidRPr="004549F1">
        <w:rPr>
          <w:b/>
        </w:rPr>
        <w:t>Kind of editorial change</w:t>
      </w:r>
    </w:p>
    <w:p w:rsidR="008E50B8" w:rsidRPr="00435688" w:rsidRDefault="008E50B8" w:rsidP="008E50B8">
      <w:pPr>
        <w:spacing w:after="240"/>
      </w:pPr>
      <w:r>
        <w:t>Give effect to the misdescribed amendment as intended</w:t>
      </w:r>
    </w:p>
    <w:p w:rsidR="008E50B8" w:rsidRPr="004549F1" w:rsidRDefault="008E50B8" w:rsidP="008E50B8">
      <w:pPr>
        <w:spacing w:after="240"/>
        <w:rPr>
          <w:b/>
        </w:rPr>
      </w:pPr>
      <w:r w:rsidRPr="004549F1">
        <w:rPr>
          <w:b/>
        </w:rPr>
        <w:t>Details of editorial change</w:t>
      </w:r>
    </w:p>
    <w:p w:rsidR="008E50B8" w:rsidRDefault="008E50B8" w:rsidP="008E50B8">
      <w:pPr>
        <w:spacing w:after="240"/>
      </w:pPr>
      <w:r>
        <w:t xml:space="preserve">Schedule 4 item 11 of the </w:t>
      </w:r>
      <w:r w:rsidRPr="004376E0">
        <w:rPr>
          <w:i/>
        </w:rPr>
        <w:t>Aged Care and Other Legislation Amendment (Royal Commission Response) Act 2022</w:t>
      </w:r>
      <w:r>
        <w:t xml:space="preserve"> instructs to omit “reportable incidents” and substitute “a reportable incident for an approved provider” in subsection 21(7).</w:t>
      </w:r>
    </w:p>
    <w:p w:rsidR="008E50B8" w:rsidRDefault="008E50B8" w:rsidP="008E50B8">
      <w:pPr>
        <w:spacing w:after="240"/>
      </w:pPr>
      <w:r>
        <w:t>The words “reportable incidents” appear twice in subsection 21(7).</w:t>
      </w:r>
    </w:p>
    <w:p w:rsidR="008E50B8" w:rsidRPr="004549F1" w:rsidRDefault="008E50B8" w:rsidP="008E50B8">
      <w:r>
        <w:t>This compilation was editorially changed to omit “reportable incidents” (first occurring) and substitute “a reportable incident for an approved provider” in subsection 21(7) to give effect to the misdescribed amendment as intended.</w:t>
      </w:r>
    </w:p>
    <w:p w:rsidR="00B74132" w:rsidRPr="004C7422" w:rsidRDefault="00B74132" w:rsidP="00F749E4">
      <w:pPr>
        <w:pStyle w:val="Head2"/>
        <w:keepLines/>
      </w:pPr>
      <w:r>
        <w:rPr>
          <w:lang w:val="es-CL"/>
        </w:rPr>
        <w:lastRenderedPageBreak/>
        <w:t>Fuel Quality Standards (Ethanol E85) Determination 2019</w:t>
      </w:r>
      <w:r w:rsidRPr="004C7422">
        <w:t>, Compilation No. </w:t>
      </w:r>
      <w:r>
        <w:t>1</w:t>
      </w:r>
      <w:r w:rsidRPr="004C7422">
        <w:t xml:space="preserve">, Registration Date: </w:t>
      </w:r>
      <w:r>
        <w:t>16</w:t>
      </w:r>
      <w:r w:rsidRPr="004C7422">
        <w:t> </w:t>
      </w:r>
      <w:r>
        <w:t xml:space="preserve">August </w:t>
      </w:r>
      <w:r w:rsidRPr="004C7422">
        <w:t>202</w:t>
      </w:r>
      <w:r>
        <w:t>2</w:t>
      </w:r>
      <w:r w:rsidRPr="004C7422">
        <w:t xml:space="preserve"> [</w:t>
      </w:r>
      <w:r w:rsidRPr="00B74132">
        <w:t>F2022C00805</w:t>
      </w:r>
      <w:r w:rsidRPr="004C7422">
        <w:t>]</w:t>
      </w:r>
    </w:p>
    <w:p w:rsidR="00B74132" w:rsidRPr="004549F1" w:rsidRDefault="00B74132" w:rsidP="00F749E4">
      <w:pPr>
        <w:keepNext/>
        <w:keepLines/>
        <w:spacing w:before="240" w:after="240"/>
        <w:rPr>
          <w:b/>
          <w:sz w:val="24"/>
          <w:szCs w:val="24"/>
        </w:rPr>
      </w:pPr>
      <w:r>
        <w:rPr>
          <w:b/>
          <w:sz w:val="24"/>
          <w:szCs w:val="24"/>
        </w:rPr>
        <w:t>Subsection 5(1) (table item 17)</w:t>
      </w:r>
    </w:p>
    <w:p w:rsidR="00B74132" w:rsidRPr="004549F1" w:rsidRDefault="00B74132" w:rsidP="00F749E4">
      <w:pPr>
        <w:keepNext/>
        <w:keepLines/>
        <w:spacing w:after="240"/>
        <w:rPr>
          <w:b/>
        </w:rPr>
      </w:pPr>
      <w:r w:rsidRPr="004549F1">
        <w:rPr>
          <w:b/>
        </w:rPr>
        <w:t>Kind of editorial change</w:t>
      </w:r>
    </w:p>
    <w:p w:rsidR="00B74132" w:rsidRPr="00FD72DA" w:rsidRDefault="00B74132" w:rsidP="00F749E4">
      <w:pPr>
        <w:keepNext/>
        <w:keepLines/>
        <w:spacing w:after="240"/>
      </w:pPr>
      <w:r>
        <w:t>Give effect to the misdescribed amendment as intended</w:t>
      </w:r>
    </w:p>
    <w:p w:rsidR="00B74132" w:rsidRPr="004549F1" w:rsidRDefault="00B74132" w:rsidP="00F749E4">
      <w:pPr>
        <w:keepNext/>
        <w:keepLines/>
        <w:spacing w:after="240"/>
        <w:rPr>
          <w:b/>
        </w:rPr>
      </w:pPr>
      <w:r w:rsidRPr="004549F1">
        <w:rPr>
          <w:b/>
        </w:rPr>
        <w:t>Details of editorial change</w:t>
      </w:r>
    </w:p>
    <w:p w:rsidR="00B74132" w:rsidRDefault="00B74132" w:rsidP="00B74132">
      <w:pPr>
        <w:spacing w:after="240"/>
      </w:pPr>
      <w:r>
        <w:t xml:space="preserve">Schedule 1 of the </w:t>
      </w:r>
      <w:r w:rsidRPr="00862920">
        <w:rPr>
          <w:i/>
        </w:rPr>
        <w:t>Fuel Quality Standards (Ethanol E85) Amendment Determination 2022</w:t>
      </w:r>
      <w:r>
        <w:t xml:space="preserve"> provides as follows:</w:t>
      </w:r>
    </w:p>
    <w:p w:rsidR="00B74132" w:rsidRDefault="00B74132" w:rsidP="00B74132">
      <w:pPr>
        <w:pStyle w:val="Specialas"/>
      </w:pPr>
      <w:r w:rsidRPr="00DB64FC">
        <w:rPr>
          <w:rStyle w:val="CharAmSchNo"/>
        </w:rPr>
        <w:t>Schedule 1</w:t>
      </w:r>
      <w:r>
        <w:t>—</w:t>
      </w:r>
      <w:r w:rsidRPr="00DB64FC">
        <w:rPr>
          <w:rStyle w:val="CharAmSchText"/>
        </w:rPr>
        <w:t>Amendments</w:t>
      </w:r>
    </w:p>
    <w:p w:rsidR="00B74132" w:rsidRDefault="00B74132" w:rsidP="00B74132">
      <w:pPr>
        <w:pStyle w:val="Specialaat"/>
      </w:pPr>
      <w:r>
        <w:t>Fuel Quality Standards (Ethanol 85) Determination 2019</w:t>
      </w:r>
    </w:p>
    <w:p w:rsidR="00B74132" w:rsidRDefault="00B74132" w:rsidP="00B74132">
      <w:pPr>
        <w:pStyle w:val="Specialih"/>
      </w:pPr>
      <w:r>
        <w:t xml:space="preserve">5  Subsection 5(1) (item 17 of the table) </w:t>
      </w:r>
    </w:p>
    <w:p w:rsidR="00B74132" w:rsidRPr="00501C06" w:rsidRDefault="00B74132" w:rsidP="00B74132">
      <w:pPr>
        <w:spacing w:before="60" w:after="60"/>
        <w:rPr>
          <w:rFonts w:eastAsia="Times New Roman" w:cs="Times New Roman"/>
          <w:color w:val="000000"/>
          <w:szCs w:val="22"/>
          <w:lang w:eastAsia="en-AU"/>
        </w:rPr>
      </w:pPr>
      <w:r>
        <w:tab/>
      </w:r>
      <w:r>
        <w:rPr>
          <w:rFonts w:eastAsia="Times New Roman" w:cs="Times New Roman"/>
          <w:color w:val="000000"/>
          <w:szCs w:val="22"/>
          <w:lang w:eastAsia="en-AU"/>
        </w:rPr>
        <w:t>Omit “1 July 2027”, substitute “15 December 2024”.</w:t>
      </w:r>
    </w:p>
    <w:p w:rsidR="00B74132" w:rsidRDefault="00B74132" w:rsidP="00B74132">
      <w:pPr>
        <w:spacing w:before="240" w:after="240"/>
      </w:pPr>
      <w:r w:rsidRPr="00C07300">
        <w:t>The title to be amended rea</w:t>
      </w:r>
      <w:r>
        <w:t>ds “</w:t>
      </w:r>
      <w:r w:rsidRPr="00862920">
        <w:rPr>
          <w:i/>
        </w:rPr>
        <w:t>Fuel Quality Standards (Ethanol 85) Determination 2019</w:t>
      </w:r>
      <w:r w:rsidRPr="00862920">
        <w:t>”</w:t>
      </w:r>
      <w:r>
        <w:t xml:space="preserve"> rather than the correct title of “</w:t>
      </w:r>
      <w:r w:rsidRPr="00862920">
        <w:rPr>
          <w:i/>
        </w:rPr>
        <w:t>Fuel Quality Standards (Ethanol E85) Determination 2019</w:t>
      </w:r>
      <w:r>
        <w:t>”.</w:t>
      </w:r>
    </w:p>
    <w:p w:rsidR="00B74132" w:rsidRPr="00C07300" w:rsidRDefault="00B74132" w:rsidP="00B74132">
      <w:r>
        <w:t xml:space="preserve">This compilation was editorially changed by applying the amendment from Schedule 1 of the </w:t>
      </w:r>
      <w:r w:rsidRPr="00862920">
        <w:rPr>
          <w:i/>
        </w:rPr>
        <w:t>Fuel Quality Standards (Ethanol E85) Amendment Determination 2022</w:t>
      </w:r>
      <w:r w:rsidRPr="00862920">
        <w:t xml:space="preserve"> to the </w:t>
      </w:r>
      <w:r w:rsidRPr="00E95BAC">
        <w:rPr>
          <w:i/>
        </w:rPr>
        <w:t>Fuel Quality Standards (Ethanol E85) Determination 2019</w:t>
      </w:r>
      <w:r w:rsidRPr="00862920">
        <w:t xml:space="preserve"> </w:t>
      </w:r>
      <w:r>
        <w:t>to give effect to the misdescribed amendment as intended.</w:t>
      </w:r>
    </w:p>
    <w:p w:rsidR="00802A87" w:rsidRPr="004C7422" w:rsidRDefault="00802A87" w:rsidP="00802A87">
      <w:pPr>
        <w:pStyle w:val="Head2"/>
        <w:keepLines/>
      </w:pPr>
      <w:r w:rsidRPr="009E1AF9">
        <w:t>Telecommunications (Designated Service Area and Statutory Infrastructure Provider) Declaration (No. 1) 2020</w:t>
      </w:r>
      <w:r w:rsidRPr="004C7422">
        <w:t>, Compilation No. </w:t>
      </w:r>
      <w:r>
        <w:t>4</w:t>
      </w:r>
      <w:r w:rsidRPr="004C7422">
        <w:t xml:space="preserve">, Registration Date: </w:t>
      </w:r>
      <w:r>
        <w:t>11</w:t>
      </w:r>
      <w:r w:rsidRPr="004C7422">
        <w:t> </w:t>
      </w:r>
      <w:r>
        <w:t xml:space="preserve">August </w:t>
      </w:r>
      <w:r w:rsidRPr="004C7422">
        <w:t>202</w:t>
      </w:r>
      <w:r>
        <w:t>2</w:t>
      </w:r>
      <w:r w:rsidRPr="004C7422">
        <w:t xml:space="preserve"> [</w:t>
      </w:r>
      <w:r w:rsidRPr="00802A87">
        <w:t>F2022C00794</w:t>
      </w:r>
      <w:r w:rsidRPr="004C7422">
        <w:t>]</w:t>
      </w:r>
    </w:p>
    <w:p w:rsidR="00802A87" w:rsidRPr="004549F1" w:rsidRDefault="00802A87" w:rsidP="00802A87">
      <w:pPr>
        <w:spacing w:before="240" w:after="240"/>
        <w:rPr>
          <w:b/>
          <w:sz w:val="24"/>
          <w:szCs w:val="24"/>
        </w:rPr>
      </w:pPr>
      <w:r>
        <w:rPr>
          <w:b/>
          <w:sz w:val="24"/>
          <w:szCs w:val="24"/>
        </w:rPr>
        <w:t>Schedule 12 (table item 166)</w:t>
      </w:r>
    </w:p>
    <w:p w:rsidR="00802A87" w:rsidRPr="004549F1" w:rsidRDefault="00802A87" w:rsidP="00802A87">
      <w:pPr>
        <w:spacing w:after="240"/>
        <w:rPr>
          <w:b/>
        </w:rPr>
      </w:pPr>
      <w:r w:rsidRPr="004549F1">
        <w:rPr>
          <w:b/>
        </w:rPr>
        <w:t>Kind of editorial change</w:t>
      </w:r>
    </w:p>
    <w:p w:rsidR="00802A87" w:rsidRPr="007D65A5" w:rsidRDefault="00802A87" w:rsidP="00802A87">
      <w:pPr>
        <w:spacing w:after="240"/>
      </w:pPr>
      <w:r w:rsidRPr="004C7422">
        <w:t>Change to punctuation</w:t>
      </w:r>
    </w:p>
    <w:p w:rsidR="00802A87" w:rsidRPr="004549F1" w:rsidRDefault="00802A87" w:rsidP="00802A87">
      <w:pPr>
        <w:spacing w:after="240"/>
        <w:rPr>
          <w:b/>
        </w:rPr>
      </w:pPr>
      <w:r w:rsidRPr="004549F1">
        <w:rPr>
          <w:b/>
        </w:rPr>
        <w:t>Details of editorial change</w:t>
      </w:r>
    </w:p>
    <w:p w:rsidR="00802A87" w:rsidRPr="003E4978" w:rsidRDefault="00802A87" w:rsidP="00802A87">
      <w:pPr>
        <w:spacing w:after="240"/>
        <w:rPr>
          <w:szCs w:val="22"/>
        </w:rPr>
      </w:pPr>
      <w:r w:rsidRPr="003F33C3">
        <w:rPr>
          <w:szCs w:val="22"/>
        </w:rPr>
        <w:t>Schedule 1 item 19</w:t>
      </w:r>
      <w:r w:rsidRPr="00602221">
        <w:rPr>
          <w:szCs w:val="22"/>
        </w:rPr>
        <w:t xml:space="preserve"> of the </w:t>
      </w:r>
      <w:r w:rsidRPr="00602221">
        <w:rPr>
          <w:i/>
          <w:iCs/>
          <w:color w:val="000000"/>
          <w:szCs w:val="22"/>
          <w:shd w:val="clear" w:color="auto" w:fill="FFFFFF"/>
        </w:rPr>
        <w:t>Telecommunications (Designated Service Area and Statutory Infrastructure Provider) Amendment Declaration (No. 2) 2022</w:t>
      </w:r>
      <w:r w:rsidRPr="003E4978">
        <w:rPr>
          <w:szCs w:val="22"/>
        </w:rPr>
        <w:t xml:space="preserve"> instructs to repeal and substitute Schedule 12.</w:t>
      </w:r>
    </w:p>
    <w:p w:rsidR="00802A87" w:rsidRPr="003E4978" w:rsidRDefault="00802A87" w:rsidP="00802A87">
      <w:pPr>
        <w:spacing w:after="240"/>
        <w:rPr>
          <w:szCs w:val="22"/>
        </w:rPr>
      </w:pPr>
      <w:r w:rsidRPr="003E4978">
        <w:rPr>
          <w:szCs w:val="22"/>
        </w:rPr>
        <w:t>There are two commas appearing after “</w:t>
      </w:r>
      <w:r w:rsidRPr="003E4978">
        <w:rPr>
          <w:rFonts w:cs="Times New Roman"/>
          <w:color w:val="000000"/>
          <w:szCs w:val="22"/>
        </w:rPr>
        <w:t>-37.54188500000000062</w:t>
      </w:r>
      <w:r w:rsidRPr="003F33C3">
        <w:rPr>
          <w:szCs w:val="22"/>
        </w:rPr>
        <w:t>”</w:t>
      </w:r>
      <w:r w:rsidRPr="00602221">
        <w:rPr>
          <w:szCs w:val="22"/>
        </w:rPr>
        <w:t xml:space="preserve"> in table item 166 o</w:t>
      </w:r>
      <w:r w:rsidRPr="003E4978">
        <w:rPr>
          <w:szCs w:val="22"/>
        </w:rPr>
        <w:t>f Schedule</w:t>
      </w:r>
      <w:r w:rsidR="00A83A89">
        <w:rPr>
          <w:szCs w:val="22"/>
        </w:rPr>
        <w:t> </w:t>
      </w:r>
      <w:r w:rsidRPr="003E4978">
        <w:rPr>
          <w:szCs w:val="22"/>
        </w:rPr>
        <w:t>12.</w:t>
      </w:r>
    </w:p>
    <w:p w:rsidR="00802A87" w:rsidRPr="003E4978" w:rsidRDefault="00802A87" w:rsidP="00802A87">
      <w:pPr>
        <w:rPr>
          <w:szCs w:val="22"/>
        </w:rPr>
      </w:pPr>
      <w:r w:rsidRPr="003E4978">
        <w:rPr>
          <w:szCs w:val="22"/>
        </w:rPr>
        <w:t>This compilation was editorially changed to omit the redundant comma after “</w:t>
      </w:r>
      <w:r w:rsidRPr="003E4978">
        <w:rPr>
          <w:szCs w:val="22"/>
        </w:rPr>
        <w:noBreakHyphen/>
      </w:r>
      <w:r w:rsidRPr="003E4978">
        <w:rPr>
          <w:rFonts w:cs="Times New Roman"/>
          <w:color w:val="000000"/>
          <w:szCs w:val="22"/>
        </w:rPr>
        <w:t>37.54188500000000062</w:t>
      </w:r>
      <w:r w:rsidRPr="003F33C3">
        <w:rPr>
          <w:szCs w:val="22"/>
        </w:rPr>
        <w:t xml:space="preserve">” </w:t>
      </w:r>
      <w:r w:rsidRPr="00602221">
        <w:rPr>
          <w:szCs w:val="22"/>
        </w:rPr>
        <w:t>in table item 166 o</w:t>
      </w:r>
      <w:r w:rsidRPr="003E4978">
        <w:rPr>
          <w:szCs w:val="22"/>
        </w:rPr>
        <w:t>f Schedule 12 to correct the punctuation.</w:t>
      </w:r>
    </w:p>
    <w:p w:rsidR="00174394" w:rsidRPr="004C7422" w:rsidRDefault="00174394" w:rsidP="00174394">
      <w:pPr>
        <w:pStyle w:val="Head2"/>
        <w:keepLines/>
      </w:pPr>
      <w:r w:rsidRPr="003A5C73">
        <w:lastRenderedPageBreak/>
        <w:t>Federal Circuit and Family Court of Australia (Commonwealth Tenancy Disputes) Instrument 2015</w:t>
      </w:r>
      <w:bookmarkEnd w:id="2"/>
      <w:r w:rsidRPr="004C7422">
        <w:t>, Compilation No. </w:t>
      </w:r>
      <w:r>
        <w:t>3</w:t>
      </w:r>
      <w:r w:rsidRPr="004C7422">
        <w:t xml:space="preserve">, Registration Date: </w:t>
      </w:r>
      <w:r>
        <w:t>5</w:t>
      </w:r>
      <w:r w:rsidRPr="004C7422">
        <w:t> </w:t>
      </w:r>
      <w:r>
        <w:t xml:space="preserve">August </w:t>
      </w:r>
      <w:r w:rsidRPr="004C7422">
        <w:t>202</w:t>
      </w:r>
      <w:r>
        <w:t>2</w:t>
      </w:r>
      <w:r w:rsidRPr="004C7422">
        <w:t xml:space="preserve"> [</w:t>
      </w:r>
      <w:r w:rsidRPr="00174394">
        <w:t>F2022C00779</w:t>
      </w:r>
      <w:r w:rsidRPr="004C7422">
        <w:t>]</w:t>
      </w:r>
    </w:p>
    <w:p w:rsidR="00174394" w:rsidRPr="003A5C73" w:rsidRDefault="00174394" w:rsidP="00174394">
      <w:pPr>
        <w:spacing w:before="240" w:after="240"/>
        <w:rPr>
          <w:b/>
          <w:sz w:val="24"/>
          <w:szCs w:val="24"/>
        </w:rPr>
      </w:pPr>
      <w:r w:rsidRPr="003A5C73">
        <w:rPr>
          <w:b/>
          <w:sz w:val="24"/>
          <w:szCs w:val="24"/>
        </w:rPr>
        <w:t>Subsection 10(1)</w:t>
      </w:r>
    </w:p>
    <w:p w:rsidR="00174394" w:rsidRPr="003A5C73" w:rsidRDefault="00174394" w:rsidP="00174394">
      <w:pPr>
        <w:spacing w:after="240"/>
        <w:rPr>
          <w:b/>
        </w:rPr>
      </w:pPr>
      <w:r w:rsidRPr="003A5C73">
        <w:rPr>
          <w:b/>
        </w:rPr>
        <w:t>Kind of editorial change</w:t>
      </w:r>
    </w:p>
    <w:p w:rsidR="00174394" w:rsidRPr="003A5C73" w:rsidRDefault="00174394" w:rsidP="00174394">
      <w:pPr>
        <w:spacing w:after="240"/>
      </w:pPr>
      <w:r w:rsidRPr="003A5C73">
        <w:t>Give effect to the misdescribed amendment as intended</w:t>
      </w:r>
    </w:p>
    <w:p w:rsidR="00174394" w:rsidRPr="003A5C73" w:rsidRDefault="00174394" w:rsidP="00174394">
      <w:pPr>
        <w:spacing w:after="240"/>
        <w:rPr>
          <w:b/>
        </w:rPr>
      </w:pPr>
      <w:r w:rsidRPr="003A5C73">
        <w:rPr>
          <w:b/>
        </w:rPr>
        <w:t>Details of editorial change</w:t>
      </w:r>
    </w:p>
    <w:p w:rsidR="00174394" w:rsidRPr="003A5C73" w:rsidRDefault="00174394" w:rsidP="00174394">
      <w:pPr>
        <w:spacing w:after="240"/>
      </w:pPr>
      <w:r w:rsidRPr="003A5C73">
        <w:t xml:space="preserve">Schedule 1 item 14 of the </w:t>
      </w:r>
      <w:r w:rsidRPr="003A5C73">
        <w:rPr>
          <w:i/>
        </w:rPr>
        <w:t>Federal Circuit Court (Commonwealth Tenancy Disputes) Amendment Instrument 2021</w:t>
      </w:r>
      <w:r w:rsidRPr="003A5C73">
        <w:t xml:space="preserve"> instructs to omit “Federal Circuit Court of Australia” and substitute “Federal Circuit and Family Court of Australia (Division 2)” in subsection 10(1).</w:t>
      </w:r>
    </w:p>
    <w:p w:rsidR="00174394" w:rsidRPr="003A5C73" w:rsidRDefault="00174394" w:rsidP="00174394">
      <w:pPr>
        <w:spacing w:after="240"/>
      </w:pPr>
      <w:r w:rsidRPr="003A5C73">
        <w:t>The phrase “Federal Circuit Court of Australia” appears four times in subsection 10(1).</w:t>
      </w:r>
    </w:p>
    <w:p w:rsidR="00174394" w:rsidRPr="003A5C73" w:rsidRDefault="00174394" w:rsidP="00174394">
      <w:pPr>
        <w:spacing w:after="240"/>
      </w:pPr>
      <w:r w:rsidRPr="003A5C73">
        <w:t>This compilation was editorially changed to omit “Federal Circuit Court of Australia” (first occurring) and substitute “Federal Circuit and Family Court of Australia (Division 2)” in subsection 10(1) to give effect to the misdescribed amendment as intended.</w:t>
      </w:r>
    </w:p>
    <w:p w:rsidR="00174394" w:rsidRPr="003A5C73" w:rsidRDefault="00174394" w:rsidP="00174394">
      <w:pPr>
        <w:spacing w:after="240"/>
        <w:rPr>
          <w:b/>
          <w:sz w:val="24"/>
          <w:szCs w:val="24"/>
        </w:rPr>
      </w:pPr>
      <w:r w:rsidRPr="003A5C73">
        <w:rPr>
          <w:b/>
          <w:sz w:val="24"/>
          <w:szCs w:val="24"/>
        </w:rPr>
        <w:t>Section 21</w:t>
      </w:r>
    </w:p>
    <w:p w:rsidR="00174394" w:rsidRPr="003A5C73" w:rsidRDefault="00174394" w:rsidP="00174394">
      <w:pPr>
        <w:spacing w:after="240"/>
        <w:rPr>
          <w:b/>
        </w:rPr>
      </w:pPr>
      <w:r w:rsidRPr="003A5C73">
        <w:rPr>
          <w:b/>
        </w:rPr>
        <w:t>Kind of editorial change</w:t>
      </w:r>
    </w:p>
    <w:p w:rsidR="00174394" w:rsidRPr="003A5C73" w:rsidRDefault="00174394" w:rsidP="00174394">
      <w:pPr>
        <w:spacing w:after="240"/>
      </w:pPr>
      <w:r w:rsidRPr="003A5C73">
        <w:t>Give effect to the misdescribed amendment as intended</w:t>
      </w:r>
    </w:p>
    <w:p w:rsidR="00174394" w:rsidRPr="003A5C73" w:rsidRDefault="00174394" w:rsidP="00174394">
      <w:pPr>
        <w:spacing w:after="240"/>
        <w:rPr>
          <w:b/>
        </w:rPr>
      </w:pPr>
      <w:r w:rsidRPr="003A5C73">
        <w:rPr>
          <w:b/>
        </w:rPr>
        <w:t>Details of editorial change</w:t>
      </w:r>
    </w:p>
    <w:p w:rsidR="00174394" w:rsidRPr="003A5C73" w:rsidRDefault="00174394" w:rsidP="00174394">
      <w:pPr>
        <w:spacing w:after="240"/>
      </w:pPr>
      <w:r w:rsidRPr="003A5C73">
        <w:t xml:space="preserve">Schedule 1 item 35 of the </w:t>
      </w:r>
      <w:r w:rsidRPr="003A5C73">
        <w:rPr>
          <w:i/>
        </w:rPr>
        <w:t>Federal Circuit Court (Commonwealth Tenancy Disputes) Amendment Instrument 2021</w:t>
      </w:r>
      <w:r w:rsidRPr="003A5C73">
        <w:t xml:space="preserve"> instructs to omit “Federal Circuit Court of Australia” and substitute “</w:t>
      </w:r>
      <w:bookmarkStart w:id="40" w:name="_Hlk109817542"/>
      <w:r w:rsidRPr="003A5C73">
        <w:t>Federal Circuit and Family Court of Australia (Division 2)</w:t>
      </w:r>
      <w:bookmarkEnd w:id="40"/>
      <w:r w:rsidRPr="003A5C73">
        <w:t>” in section 21.</w:t>
      </w:r>
    </w:p>
    <w:p w:rsidR="00174394" w:rsidRPr="003A5C73" w:rsidRDefault="00174394" w:rsidP="00174394">
      <w:pPr>
        <w:spacing w:after="240"/>
      </w:pPr>
      <w:r w:rsidRPr="003A5C73">
        <w:t>The phrase “Federal Circuit Court of Australia” appears three times in section 21.</w:t>
      </w:r>
    </w:p>
    <w:p w:rsidR="00174394" w:rsidRPr="003A5C73" w:rsidRDefault="00174394" w:rsidP="00174394">
      <w:r w:rsidRPr="003A5C73">
        <w:t>This compilation was editorially changed to omit “Federal Circuit Court of Australia” (first occurring) and substitute “Federal Circuit and Family Court of Australia (Division 2)” in section 21 to give effect to the misdescribed amendment as intended.</w:t>
      </w:r>
    </w:p>
    <w:p w:rsidR="001B6D22" w:rsidRPr="004C7422" w:rsidRDefault="001B6D22" w:rsidP="00F749E4">
      <w:pPr>
        <w:pStyle w:val="Head2"/>
        <w:keepLines/>
      </w:pPr>
      <w:r w:rsidRPr="00A67008">
        <w:lastRenderedPageBreak/>
        <w:t>Health Insurance (</w:t>
      </w:r>
      <w:r>
        <w:t>Section 3</w:t>
      </w:r>
      <w:r w:rsidRPr="00A67008">
        <w:t xml:space="preserve">C General Medical – Expansion of GP and Allied Health Mental Health Services) </w:t>
      </w:r>
      <w:r>
        <w:t>Determination 2</w:t>
      </w:r>
      <w:r w:rsidRPr="00A67008">
        <w:t>020</w:t>
      </w:r>
      <w:r w:rsidRPr="004C7422">
        <w:t>, Compilation No. </w:t>
      </w:r>
      <w:r>
        <w:t>14</w:t>
      </w:r>
      <w:r w:rsidRPr="004C7422">
        <w:t xml:space="preserve">, Registration Date: </w:t>
      </w:r>
      <w:r>
        <w:t>3</w:t>
      </w:r>
      <w:r w:rsidRPr="004C7422">
        <w:t> </w:t>
      </w:r>
      <w:r>
        <w:t xml:space="preserve">August </w:t>
      </w:r>
      <w:r w:rsidRPr="004C7422">
        <w:t>202</w:t>
      </w:r>
      <w:r>
        <w:t>2</w:t>
      </w:r>
      <w:r w:rsidRPr="004C7422">
        <w:t xml:space="preserve"> [</w:t>
      </w:r>
      <w:r w:rsidRPr="001B6D22">
        <w:t>F2022C00767</w:t>
      </w:r>
      <w:r w:rsidRPr="004C7422">
        <w:t>]</w:t>
      </w:r>
    </w:p>
    <w:p w:rsidR="003D2D68" w:rsidRPr="004549F1" w:rsidRDefault="003D2D68" w:rsidP="00F749E4">
      <w:pPr>
        <w:keepNext/>
        <w:keepLines/>
        <w:spacing w:before="240" w:after="240"/>
        <w:rPr>
          <w:b/>
          <w:sz w:val="24"/>
          <w:szCs w:val="24"/>
        </w:rPr>
      </w:pPr>
      <w:r>
        <w:rPr>
          <w:b/>
          <w:sz w:val="24"/>
          <w:szCs w:val="24"/>
        </w:rPr>
        <w:t>Subsection 12(1)</w:t>
      </w:r>
    </w:p>
    <w:p w:rsidR="003D2D68" w:rsidRPr="004549F1" w:rsidRDefault="003D2D68" w:rsidP="00F749E4">
      <w:pPr>
        <w:keepNext/>
        <w:keepLines/>
        <w:spacing w:after="240"/>
        <w:rPr>
          <w:b/>
        </w:rPr>
      </w:pPr>
      <w:r w:rsidRPr="004549F1">
        <w:rPr>
          <w:b/>
        </w:rPr>
        <w:t>Kind of editorial change</w:t>
      </w:r>
    </w:p>
    <w:p w:rsidR="003D2D68" w:rsidRPr="005F1C60" w:rsidRDefault="003D2D68" w:rsidP="00F749E4">
      <w:pPr>
        <w:keepNext/>
        <w:keepLines/>
        <w:spacing w:after="240"/>
      </w:pPr>
      <w:r>
        <w:t>Removal of redundant text</w:t>
      </w:r>
    </w:p>
    <w:p w:rsidR="003D2D68" w:rsidRPr="004549F1" w:rsidRDefault="003D2D68" w:rsidP="00F749E4">
      <w:pPr>
        <w:keepNext/>
        <w:keepLines/>
        <w:spacing w:after="240"/>
        <w:rPr>
          <w:b/>
        </w:rPr>
      </w:pPr>
      <w:r w:rsidRPr="004549F1">
        <w:rPr>
          <w:b/>
        </w:rPr>
        <w:t>Details of editorial change</w:t>
      </w:r>
    </w:p>
    <w:p w:rsidR="003D2D68" w:rsidRDefault="003D2D68" w:rsidP="003D2D68">
      <w:pPr>
        <w:spacing w:after="240"/>
        <w:rPr>
          <w:iCs/>
          <w:color w:val="000000"/>
          <w:szCs w:val="22"/>
          <w:shd w:val="clear" w:color="auto" w:fill="FFFFFF"/>
        </w:rPr>
      </w:pPr>
      <w:r>
        <w:t xml:space="preserve">Schedule 1 item 15 of the </w:t>
      </w:r>
      <w:r w:rsidRPr="007108F6">
        <w:rPr>
          <w:i/>
          <w:iCs/>
          <w:color w:val="000000"/>
          <w:szCs w:val="22"/>
          <w:shd w:val="clear" w:color="auto" w:fill="FFFFFF"/>
        </w:rPr>
        <w:t xml:space="preserve">Health Insurance Legislation Amendment (Indexation) </w:t>
      </w:r>
      <w:r>
        <w:rPr>
          <w:i/>
          <w:iCs/>
          <w:color w:val="000000"/>
          <w:szCs w:val="22"/>
          <w:shd w:val="clear" w:color="auto" w:fill="FFFFFF"/>
        </w:rPr>
        <w:t>Determination 2</w:t>
      </w:r>
      <w:r w:rsidRPr="007108F6">
        <w:rPr>
          <w:i/>
          <w:iCs/>
          <w:color w:val="000000"/>
          <w:szCs w:val="22"/>
          <w:shd w:val="clear" w:color="auto" w:fill="FFFFFF"/>
        </w:rPr>
        <w:t>022</w:t>
      </w:r>
      <w:r w:rsidRPr="005F1C60">
        <w:rPr>
          <w:iCs/>
          <w:color w:val="000000"/>
          <w:szCs w:val="22"/>
          <w:shd w:val="clear" w:color="auto" w:fill="FFFFFF"/>
        </w:rPr>
        <w:t xml:space="preserve"> </w:t>
      </w:r>
      <w:r>
        <w:rPr>
          <w:iCs/>
          <w:color w:val="000000"/>
          <w:szCs w:val="22"/>
          <w:shd w:val="clear" w:color="auto" w:fill="FFFFFF"/>
        </w:rPr>
        <w:t>instructs to insert section 12 after section 11.</w:t>
      </w:r>
    </w:p>
    <w:p w:rsidR="003D2D68" w:rsidRDefault="003D2D68" w:rsidP="003D2D68">
      <w:pPr>
        <w:spacing w:after="240"/>
        <w:rPr>
          <w:szCs w:val="22"/>
        </w:rPr>
      </w:pPr>
      <w:r>
        <w:rPr>
          <w:szCs w:val="22"/>
        </w:rPr>
        <w:t>Subsection 12(1) contains two consecutive occurrences of “(1)”.</w:t>
      </w:r>
    </w:p>
    <w:p w:rsidR="003D2D68" w:rsidRPr="007108F6" w:rsidRDefault="003D2D68" w:rsidP="003D2D68">
      <w:pPr>
        <w:spacing w:before="240"/>
      </w:pPr>
      <w:r>
        <w:rPr>
          <w:szCs w:val="22"/>
        </w:rPr>
        <w:t>This compilation was editorially changed to omit the second occurrence of “(1)” from subsection 12(1) to remove the redundant text.</w:t>
      </w:r>
    </w:p>
    <w:p w:rsidR="00710689" w:rsidRPr="004C7422" w:rsidRDefault="00710689" w:rsidP="00710689">
      <w:pPr>
        <w:pStyle w:val="Head2"/>
        <w:keepLines/>
      </w:pPr>
      <w:r>
        <w:t>Health Insurance (Section 3C Cleft Lip and Cleft Palate Services) Determination 2020</w:t>
      </w:r>
      <w:r w:rsidRPr="004C7422">
        <w:t>, Compilation No. </w:t>
      </w:r>
      <w:r>
        <w:t>2</w:t>
      </w:r>
      <w:r w:rsidRPr="004C7422">
        <w:t xml:space="preserve">, Registration Date: </w:t>
      </w:r>
      <w:r>
        <w:t>1</w:t>
      </w:r>
      <w:r w:rsidRPr="004C7422">
        <w:t> </w:t>
      </w:r>
      <w:r>
        <w:t xml:space="preserve">August </w:t>
      </w:r>
      <w:r w:rsidRPr="004C7422">
        <w:t>202</w:t>
      </w:r>
      <w:r>
        <w:t>2</w:t>
      </w:r>
      <w:r w:rsidRPr="004C7422">
        <w:t xml:space="preserve"> [</w:t>
      </w:r>
      <w:r w:rsidRPr="00710689">
        <w:t>F2022C00771</w:t>
      </w:r>
      <w:r w:rsidRPr="004C7422">
        <w:t>]</w:t>
      </w:r>
    </w:p>
    <w:p w:rsidR="00710689" w:rsidRPr="004549F1" w:rsidRDefault="00710689" w:rsidP="00710689">
      <w:pPr>
        <w:spacing w:before="240" w:after="240"/>
        <w:rPr>
          <w:b/>
          <w:sz w:val="24"/>
          <w:szCs w:val="24"/>
        </w:rPr>
      </w:pPr>
      <w:r>
        <w:rPr>
          <w:b/>
          <w:sz w:val="24"/>
          <w:szCs w:val="24"/>
        </w:rPr>
        <w:t>Subsection 7(7)</w:t>
      </w:r>
    </w:p>
    <w:p w:rsidR="00710689" w:rsidRPr="004549F1" w:rsidRDefault="00710689" w:rsidP="00710689">
      <w:pPr>
        <w:spacing w:after="240"/>
        <w:rPr>
          <w:b/>
        </w:rPr>
      </w:pPr>
      <w:r w:rsidRPr="004549F1">
        <w:rPr>
          <w:b/>
        </w:rPr>
        <w:t>Kind of editorial change</w:t>
      </w:r>
    </w:p>
    <w:p w:rsidR="00710689" w:rsidRPr="00B8328C" w:rsidRDefault="00710689" w:rsidP="00710689">
      <w:pPr>
        <w:spacing w:after="240"/>
      </w:pPr>
      <w:r w:rsidRPr="00B8328C">
        <w:t>Change to punctuation</w:t>
      </w:r>
    </w:p>
    <w:p w:rsidR="00710689" w:rsidRPr="004549F1" w:rsidRDefault="00710689" w:rsidP="00710689">
      <w:pPr>
        <w:spacing w:after="240"/>
        <w:rPr>
          <w:b/>
        </w:rPr>
      </w:pPr>
      <w:r w:rsidRPr="004549F1">
        <w:rPr>
          <w:b/>
        </w:rPr>
        <w:t>Details of editorial change</w:t>
      </w:r>
    </w:p>
    <w:p w:rsidR="00710689" w:rsidRDefault="00710689" w:rsidP="00710689">
      <w:pPr>
        <w:spacing w:after="240"/>
      </w:pPr>
      <w:r>
        <w:t>Subsection 7(7) is missing a full stop at the end.</w:t>
      </w:r>
    </w:p>
    <w:p w:rsidR="00710689" w:rsidRPr="004549F1" w:rsidRDefault="00710689" w:rsidP="00710689">
      <w:r>
        <w:t>This compilation was editorially changed to insert a full stop at the end of subsection 7(7) to correct the punctuation.</w:t>
      </w:r>
    </w:p>
    <w:p w:rsidR="0087696C" w:rsidRPr="004C7422" w:rsidRDefault="0087696C" w:rsidP="00703EB2">
      <w:pPr>
        <w:pStyle w:val="Head2"/>
        <w:keepLines/>
      </w:pPr>
      <w:r w:rsidRPr="003B652A">
        <w:lastRenderedPageBreak/>
        <w:t xml:space="preserve">Social Security (Coronavirus Economic Response—2020 Measures No. 2) </w:t>
      </w:r>
      <w:r>
        <w:t>Determination 2</w:t>
      </w:r>
      <w:r w:rsidRPr="003B652A">
        <w:t>020</w:t>
      </w:r>
      <w:r w:rsidRPr="004C7422">
        <w:t>, Compilation No. </w:t>
      </w:r>
      <w:r>
        <w:t>4</w:t>
      </w:r>
      <w:r w:rsidRPr="004C7422">
        <w:t xml:space="preserve">, Registration Date: </w:t>
      </w:r>
      <w:r>
        <w:t>1</w:t>
      </w:r>
      <w:r w:rsidRPr="004C7422">
        <w:t> </w:t>
      </w:r>
      <w:r>
        <w:t xml:space="preserve">August </w:t>
      </w:r>
      <w:r w:rsidRPr="004C7422">
        <w:t>202</w:t>
      </w:r>
      <w:r>
        <w:t>2</w:t>
      </w:r>
      <w:r w:rsidRPr="004C7422">
        <w:t xml:space="preserve"> [</w:t>
      </w:r>
      <w:r w:rsidRPr="0087696C">
        <w:t>F2022C00766</w:t>
      </w:r>
      <w:r w:rsidRPr="004C7422">
        <w:t>]</w:t>
      </w:r>
    </w:p>
    <w:p w:rsidR="0087696C" w:rsidRPr="004549F1" w:rsidRDefault="0087696C" w:rsidP="00AB3BE9">
      <w:pPr>
        <w:keepNext/>
        <w:keepLines/>
        <w:spacing w:before="240" w:after="240"/>
        <w:rPr>
          <w:b/>
          <w:sz w:val="24"/>
          <w:szCs w:val="24"/>
        </w:rPr>
      </w:pPr>
      <w:r>
        <w:rPr>
          <w:b/>
          <w:sz w:val="24"/>
          <w:szCs w:val="24"/>
        </w:rPr>
        <w:t>Subparagraph 6(b)(ii)</w:t>
      </w:r>
    </w:p>
    <w:p w:rsidR="0087696C" w:rsidRPr="004549F1" w:rsidRDefault="0087696C" w:rsidP="00AB3BE9">
      <w:pPr>
        <w:keepNext/>
        <w:keepLines/>
        <w:spacing w:after="240"/>
        <w:rPr>
          <w:b/>
        </w:rPr>
      </w:pPr>
      <w:r w:rsidRPr="004549F1">
        <w:rPr>
          <w:b/>
        </w:rPr>
        <w:t>Kind of editorial change</w:t>
      </w:r>
    </w:p>
    <w:p w:rsidR="0087696C" w:rsidRPr="008F6A6D" w:rsidRDefault="0087696C" w:rsidP="00AB3BE9">
      <w:pPr>
        <w:keepNext/>
        <w:keepLines/>
        <w:spacing w:after="240"/>
      </w:pPr>
      <w:r>
        <w:t>Change to punctuation</w:t>
      </w:r>
    </w:p>
    <w:p w:rsidR="0087696C" w:rsidRPr="004549F1" w:rsidRDefault="0087696C" w:rsidP="00AB3BE9">
      <w:pPr>
        <w:keepNext/>
        <w:keepLines/>
        <w:spacing w:after="240"/>
        <w:rPr>
          <w:b/>
        </w:rPr>
      </w:pPr>
      <w:r w:rsidRPr="004549F1">
        <w:rPr>
          <w:b/>
        </w:rPr>
        <w:t>Details of editorial change</w:t>
      </w:r>
    </w:p>
    <w:p w:rsidR="0087696C" w:rsidRPr="004549F1" w:rsidRDefault="0087696C" w:rsidP="0087696C">
      <w:pPr>
        <w:spacing w:after="240"/>
      </w:pPr>
      <w:r>
        <w:t xml:space="preserve">Schedule 1 item 1 of the </w:t>
      </w:r>
      <w:r w:rsidRPr="00D83473">
        <w:rPr>
          <w:i/>
        </w:rPr>
        <w:t xml:space="preserve">Social Security (Qualification for Crisis Payment – National Health Emergency) Amendment </w:t>
      </w:r>
      <w:r>
        <w:rPr>
          <w:i/>
        </w:rPr>
        <w:t>Determination 2</w:t>
      </w:r>
      <w:r w:rsidRPr="00D83473">
        <w:rPr>
          <w:i/>
        </w:rPr>
        <w:t>022</w:t>
      </w:r>
      <w:r w:rsidRPr="00F46946">
        <w:t xml:space="preserve"> </w:t>
      </w:r>
      <w:r>
        <w:t>instructs to insert paragraph (c) after paragraph (b) in section 6.</w:t>
      </w:r>
    </w:p>
    <w:p w:rsidR="0087696C" w:rsidRPr="00D95F41" w:rsidRDefault="0087696C" w:rsidP="0087696C">
      <w:pPr>
        <w:spacing w:after="240"/>
      </w:pPr>
      <w:r>
        <w:t>Subparagraph 6</w:t>
      </w:r>
      <w:r w:rsidRPr="00D95F41">
        <w:t xml:space="preserve">(b)(ii) ends in a full stop despite being followed by </w:t>
      </w:r>
      <w:r>
        <w:t>paragraph (</w:t>
      </w:r>
      <w:r w:rsidRPr="00D95F41">
        <w:t>c).</w:t>
      </w:r>
    </w:p>
    <w:p w:rsidR="0087696C" w:rsidRPr="00D95F41" w:rsidRDefault="0087696C" w:rsidP="0087696C">
      <w:r w:rsidRPr="00D95F41">
        <w:t xml:space="preserve">This compilation was editorially changed to omit the full stop and substitute </w:t>
      </w:r>
      <w:r>
        <w:t>a semicolon</w:t>
      </w:r>
      <w:r w:rsidRPr="00D95F41">
        <w:t xml:space="preserve"> at the end of </w:t>
      </w:r>
      <w:r>
        <w:t>subparagraph 6</w:t>
      </w:r>
      <w:r w:rsidRPr="00D95F41">
        <w:t>(b)(ii)</w:t>
      </w:r>
      <w:r>
        <w:t xml:space="preserve"> </w:t>
      </w:r>
      <w:r>
        <w:rPr>
          <w:color w:val="000000"/>
          <w:szCs w:val="22"/>
          <w:shd w:val="clear" w:color="auto" w:fill="FFFFFF"/>
        </w:rPr>
        <w:t>to bring it into line with legislative drafting practice.</w:t>
      </w:r>
    </w:p>
    <w:p w:rsidR="00EA5232" w:rsidRPr="004C7422" w:rsidRDefault="00EA5232" w:rsidP="00EA5232">
      <w:pPr>
        <w:pStyle w:val="Head2"/>
        <w:keepLines/>
      </w:pPr>
      <w:r w:rsidRPr="00932561">
        <w:t xml:space="preserve">Australian Citizenship </w:t>
      </w:r>
      <w:r>
        <w:t>Regulation 2</w:t>
      </w:r>
      <w:r w:rsidRPr="00932561">
        <w:t>016</w:t>
      </w:r>
      <w:r w:rsidRPr="004C7422">
        <w:t>, Compilation No. </w:t>
      </w:r>
      <w:r>
        <w:t>14</w:t>
      </w:r>
      <w:r w:rsidRPr="004C7422">
        <w:t xml:space="preserve">, Registration Date: </w:t>
      </w:r>
      <w:r>
        <w:t>28</w:t>
      </w:r>
      <w:r w:rsidRPr="004C7422">
        <w:t> </w:t>
      </w:r>
      <w:r>
        <w:t xml:space="preserve">July </w:t>
      </w:r>
      <w:r w:rsidRPr="004C7422">
        <w:t>202</w:t>
      </w:r>
      <w:r>
        <w:t>2</w:t>
      </w:r>
      <w:r w:rsidRPr="004C7422">
        <w:t xml:space="preserve"> [</w:t>
      </w:r>
      <w:r w:rsidRPr="00EA5232">
        <w:t>F2022C00755</w:t>
      </w:r>
      <w:r w:rsidRPr="004C7422">
        <w:t>]</w:t>
      </w:r>
    </w:p>
    <w:p w:rsidR="00EA5232" w:rsidRPr="0096486A" w:rsidRDefault="00EA5232" w:rsidP="00EA5232">
      <w:pPr>
        <w:spacing w:before="240" w:after="240"/>
        <w:rPr>
          <w:b/>
          <w:sz w:val="24"/>
          <w:szCs w:val="24"/>
        </w:rPr>
      </w:pPr>
      <w:r w:rsidRPr="0096486A">
        <w:rPr>
          <w:b/>
          <w:sz w:val="24"/>
          <w:szCs w:val="24"/>
        </w:rPr>
        <w:t>Sub</w:t>
      </w:r>
      <w:r>
        <w:rPr>
          <w:b/>
          <w:sz w:val="24"/>
          <w:szCs w:val="24"/>
        </w:rPr>
        <w:t>section 1</w:t>
      </w:r>
      <w:r w:rsidRPr="0096486A">
        <w:rPr>
          <w:b/>
          <w:sz w:val="24"/>
          <w:szCs w:val="24"/>
        </w:rPr>
        <w:t>6(1)</w:t>
      </w:r>
    </w:p>
    <w:p w:rsidR="00EA5232" w:rsidRPr="00932561" w:rsidRDefault="00EA5232" w:rsidP="00EA5232">
      <w:pPr>
        <w:spacing w:after="240"/>
        <w:rPr>
          <w:b/>
        </w:rPr>
      </w:pPr>
      <w:r w:rsidRPr="00932561">
        <w:rPr>
          <w:b/>
        </w:rPr>
        <w:t>Kind of editorial change</w:t>
      </w:r>
    </w:p>
    <w:p w:rsidR="00EA5232" w:rsidRPr="0096486A" w:rsidRDefault="00EA5232" w:rsidP="00EA5232">
      <w:pPr>
        <w:spacing w:after="240"/>
      </w:pPr>
      <w:r w:rsidRPr="0096486A">
        <w:t>Give effect to the misdescribed amendment as intended</w:t>
      </w:r>
    </w:p>
    <w:p w:rsidR="00EA5232" w:rsidRPr="00932561" w:rsidRDefault="00EA5232" w:rsidP="00EA5232">
      <w:pPr>
        <w:spacing w:after="240"/>
        <w:rPr>
          <w:b/>
        </w:rPr>
      </w:pPr>
      <w:r w:rsidRPr="00932561">
        <w:rPr>
          <w:b/>
        </w:rPr>
        <w:t>Details of editorial change</w:t>
      </w:r>
    </w:p>
    <w:p w:rsidR="00EA5232" w:rsidRPr="00932561" w:rsidRDefault="00EA5232" w:rsidP="00EA5232">
      <w:pPr>
        <w:spacing w:after="240"/>
      </w:pPr>
      <w:r>
        <w:t>Schedule 1</w:t>
      </w:r>
      <w:r w:rsidRPr="00932561">
        <w:t xml:space="preserve"> </w:t>
      </w:r>
      <w:r>
        <w:t>item 2</w:t>
      </w:r>
      <w:r w:rsidRPr="00932561">
        <w:t xml:space="preserve"> of the </w:t>
      </w:r>
      <w:r w:rsidRPr="00932561">
        <w:rPr>
          <w:i/>
        </w:rPr>
        <w:t>Home Affairs Legislation Amendment (2022 Measures No. 1) Regulations 2022</w:t>
      </w:r>
      <w:r w:rsidRPr="00932561">
        <w:t xml:space="preserve"> instructs to omit “(1)” from </w:t>
      </w:r>
      <w:r>
        <w:t>subsection 1</w:t>
      </w:r>
      <w:r w:rsidRPr="00932561">
        <w:t>6(1).</w:t>
      </w:r>
    </w:p>
    <w:p w:rsidR="00EA5232" w:rsidRPr="00932561" w:rsidRDefault="00EA5232" w:rsidP="00EA5232">
      <w:pPr>
        <w:spacing w:after="240"/>
      </w:pPr>
      <w:r w:rsidRPr="00932561">
        <w:t xml:space="preserve">The text “(1)” appears twice in </w:t>
      </w:r>
      <w:r>
        <w:t>subsection 1</w:t>
      </w:r>
      <w:r w:rsidRPr="00932561">
        <w:t>6(1).</w:t>
      </w:r>
    </w:p>
    <w:p w:rsidR="00EA5232" w:rsidRPr="00932561" w:rsidRDefault="00EA5232" w:rsidP="00EA5232">
      <w:r w:rsidRPr="00932561">
        <w:t xml:space="preserve">This compilation was editorially changed to omit “(1)” (first occurring) from </w:t>
      </w:r>
      <w:r>
        <w:t>subsection 1</w:t>
      </w:r>
      <w:r w:rsidRPr="00932561">
        <w:t>6(1) to give effect to the misdescribed amendment as intended.</w:t>
      </w:r>
    </w:p>
    <w:p w:rsidR="00703F48" w:rsidRPr="004C7422" w:rsidRDefault="00703F48" w:rsidP="00703F48">
      <w:pPr>
        <w:pStyle w:val="Head2"/>
        <w:keepLines/>
      </w:pPr>
      <w:r w:rsidRPr="00F72C33">
        <w:t>Health Insurance (Allied Health Services) Determination 2014</w:t>
      </w:r>
      <w:r w:rsidRPr="004C7422">
        <w:t>, Compilation No. </w:t>
      </w:r>
      <w:r>
        <w:t>23</w:t>
      </w:r>
      <w:r w:rsidRPr="004C7422">
        <w:t xml:space="preserve">, Registration Date: </w:t>
      </w:r>
      <w:r>
        <w:t>2</w:t>
      </w:r>
      <w:r w:rsidR="00584094">
        <w:t>7</w:t>
      </w:r>
      <w:r w:rsidRPr="004C7422">
        <w:t> </w:t>
      </w:r>
      <w:r>
        <w:t xml:space="preserve">July </w:t>
      </w:r>
      <w:r w:rsidRPr="004C7422">
        <w:t>202</w:t>
      </w:r>
      <w:r>
        <w:t>2</w:t>
      </w:r>
      <w:r w:rsidRPr="004C7422">
        <w:t xml:space="preserve"> [</w:t>
      </w:r>
      <w:r w:rsidR="00584094" w:rsidRPr="00584094">
        <w:t>F2022C00751</w:t>
      </w:r>
      <w:r w:rsidRPr="004C7422">
        <w:t>]</w:t>
      </w:r>
    </w:p>
    <w:p w:rsidR="00584094" w:rsidRPr="00F72C33" w:rsidRDefault="00584094" w:rsidP="00584094">
      <w:pPr>
        <w:spacing w:before="240" w:after="240"/>
        <w:rPr>
          <w:b/>
          <w:sz w:val="24"/>
          <w:szCs w:val="24"/>
        </w:rPr>
      </w:pPr>
      <w:r>
        <w:rPr>
          <w:b/>
          <w:sz w:val="24"/>
          <w:szCs w:val="24"/>
        </w:rPr>
        <w:t>Subsection 4(1)</w:t>
      </w:r>
    </w:p>
    <w:p w:rsidR="00584094" w:rsidRPr="00F72C33" w:rsidRDefault="00584094" w:rsidP="00584094">
      <w:pPr>
        <w:spacing w:after="240"/>
        <w:rPr>
          <w:b/>
        </w:rPr>
      </w:pPr>
      <w:r w:rsidRPr="00F72C33">
        <w:rPr>
          <w:b/>
        </w:rPr>
        <w:t>Kind of editorial change</w:t>
      </w:r>
    </w:p>
    <w:p w:rsidR="00584094" w:rsidRPr="00F72C33" w:rsidRDefault="00584094" w:rsidP="00584094">
      <w:pPr>
        <w:spacing w:after="240"/>
      </w:pPr>
      <w:r>
        <w:t>Reordering of definitions</w:t>
      </w:r>
    </w:p>
    <w:p w:rsidR="00584094" w:rsidRPr="00F72C33" w:rsidRDefault="00584094" w:rsidP="00584094">
      <w:pPr>
        <w:spacing w:after="240"/>
        <w:rPr>
          <w:b/>
        </w:rPr>
      </w:pPr>
      <w:r w:rsidRPr="00F72C33">
        <w:rPr>
          <w:b/>
        </w:rPr>
        <w:t>Details of editorial change</w:t>
      </w:r>
    </w:p>
    <w:p w:rsidR="00584094" w:rsidRDefault="00584094" w:rsidP="00584094">
      <w:pPr>
        <w:spacing w:after="240"/>
      </w:pPr>
      <w:r>
        <w:t xml:space="preserve">This compilation was editorially changed to move the definition of </w:t>
      </w:r>
      <w:r w:rsidRPr="00E17901">
        <w:rPr>
          <w:b/>
          <w:i/>
        </w:rPr>
        <w:t xml:space="preserve">Health Care </w:t>
      </w:r>
      <w:r>
        <w:rPr>
          <w:b/>
          <w:i/>
        </w:rPr>
        <w:t xml:space="preserve">Homes </w:t>
      </w:r>
      <w:r w:rsidRPr="00E17901">
        <w:rPr>
          <w:b/>
          <w:i/>
        </w:rPr>
        <w:t>Program</w:t>
      </w:r>
      <w:r w:rsidRPr="00E17901">
        <w:t xml:space="preserve"> </w:t>
      </w:r>
      <w:r>
        <w:t>in subsection 4(1) to the correct alphabetical position.</w:t>
      </w:r>
    </w:p>
    <w:p w:rsidR="00584094" w:rsidRPr="00F72C33" w:rsidRDefault="00584094" w:rsidP="00584094">
      <w:pPr>
        <w:spacing w:after="240"/>
        <w:rPr>
          <w:b/>
          <w:sz w:val="24"/>
          <w:szCs w:val="24"/>
        </w:rPr>
      </w:pPr>
      <w:r w:rsidRPr="00F72C33">
        <w:rPr>
          <w:b/>
          <w:sz w:val="24"/>
          <w:szCs w:val="24"/>
        </w:rPr>
        <w:lastRenderedPageBreak/>
        <w:t>Part 2 of Schedule 2 (items 80000, 80001, 80010, 80011, 80020, 80021, 80100, 80101, 80110, 80111, 80120, 80121, 80125, 80126, 80135, 80136, 80145, 80146, 80150, 80151, 80160, 80161, 80170 and 80171, subparagraph (a)(i))</w:t>
      </w:r>
    </w:p>
    <w:p w:rsidR="00584094" w:rsidRPr="00F72C33" w:rsidRDefault="00584094" w:rsidP="00584094">
      <w:pPr>
        <w:spacing w:after="240"/>
        <w:rPr>
          <w:b/>
        </w:rPr>
      </w:pPr>
      <w:r w:rsidRPr="00F72C33">
        <w:rPr>
          <w:b/>
        </w:rPr>
        <w:t>Kind of editorial change</w:t>
      </w:r>
    </w:p>
    <w:p w:rsidR="00584094" w:rsidRPr="00F72C33" w:rsidRDefault="00584094" w:rsidP="00584094">
      <w:pPr>
        <w:spacing w:after="240"/>
      </w:pPr>
      <w:r w:rsidRPr="00F72C33">
        <w:t>Give effect to the misdescribed amendments as intended</w:t>
      </w:r>
    </w:p>
    <w:p w:rsidR="00584094" w:rsidRPr="00F72C33" w:rsidRDefault="00584094" w:rsidP="00584094">
      <w:pPr>
        <w:spacing w:after="240"/>
        <w:rPr>
          <w:b/>
        </w:rPr>
      </w:pPr>
      <w:r w:rsidRPr="00F72C33">
        <w:rPr>
          <w:b/>
        </w:rPr>
        <w:t>Details of editorial change</w:t>
      </w:r>
    </w:p>
    <w:p w:rsidR="00584094" w:rsidRPr="00F72C33" w:rsidRDefault="00584094" w:rsidP="00584094">
      <w:pPr>
        <w:spacing w:after="240"/>
      </w:pPr>
      <w:r w:rsidRPr="00F72C33">
        <w:t xml:space="preserve">Schedule 3 item 6 of the </w:t>
      </w:r>
      <w:r w:rsidRPr="00F72C33">
        <w:rPr>
          <w:i/>
        </w:rPr>
        <w:t>Health Insurance Legislation Amendment (Section 3C General Medical Services – Eating Disorder and HCH Consequential Changes) Determination 2021</w:t>
      </w:r>
      <w:r w:rsidRPr="00F72C33">
        <w:t xml:space="preserve"> provides as follows:</w:t>
      </w:r>
    </w:p>
    <w:p w:rsidR="00584094" w:rsidRPr="00F72C33" w:rsidRDefault="00584094" w:rsidP="00584094">
      <w:pPr>
        <w:pStyle w:val="ItemHead"/>
        <w:ind w:left="720" w:hanging="360"/>
        <w:rPr>
          <w:lang w:eastAsia="en-US"/>
        </w:rPr>
      </w:pPr>
      <w:r w:rsidRPr="00F72C33">
        <w:rPr>
          <w:lang w:eastAsia="en-US"/>
        </w:rPr>
        <w:t>6.</w:t>
      </w:r>
      <w:r w:rsidRPr="00F72C33">
        <w:rPr>
          <w:lang w:eastAsia="en-US"/>
        </w:rPr>
        <w:tab/>
        <w:t>Part 2 of Schedule 2 (items 80000, 80001, 80010, 80011, 80020, 80021, 80100, 80101, 80110, 80111, 80120, 80121, 80125, 80126, 80135, 80136, 80145, 80146, 80150, 80151, 80160, 80161, 80170 and 80171, subparagraph (a)(ii))</w:t>
      </w:r>
    </w:p>
    <w:p w:rsidR="00584094" w:rsidRPr="00F72C33" w:rsidRDefault="00584094" w:rsidP="00584094">
      <w:pPr>
        <w:pStyle w:val="Item"/>
        <w:ind w:left="567" w:firstLine="567"/>
        <w:rPr>
          <w:lang w:eastAsia="en-US"/>
        </w:rPr>
      </w:pPr>
      <w:r w:rsidRPr="00F72C33">
        <w:rPr>
          <w:lang w:eastAsia="en-US"/>
        </w:rPr>
        <w:t>Omit “as part of a shared care plan or”.</w:t>
      </w:r>
    </w:p>
    <w:p w:rsidR="00584094" w:rsidRPr="00F72C33" w:rsidRDefault="00584094" w:rsidP="00584094">
      <w:pPr>
        <w:spacing w:before="240" w:after="240"/>
      </w:pPr>
      <w:r w:rsidRPr="00F72C33">
        <w:t>The text to be omitted does not appear in subparagraph (a)(ii) of the specified items in Part 2 of Schedule 2. However, the text does appear in subparagraph (a)(i).</w:t>
      </w:r>
    </w:p>
    <w:p w:rsidR="00584094" w:rsidRPr="00F72C33" w:rsidRDefault="00584094" w:rsidP="00584094">
      <w:pPr>
        <w:spacing w:before="240"/>
      </w:pPr>
      <w:r w:rsidRPr="00F72C33">
        <w:t>This compilation was editorially changed to omit “as part of a shared care plan or” from subparagraph (a)(i) of the specified items in Part 2 of Schedule 2 to give effect to the misdescribed amendments as intended.</w:t>
      </w:r>
    </w:p>
    <w:p w:rsidR="00EC1E82" w:rsidRPr="004C7422" w:rsidRDefault="00EC1E82" w:rsidP="006E6343">
      <w:pPr>
        <w:pStyle w:val="Head2"/>
        <w:keepLines/>
      </w:pPr>
      <w:r w:rsidRPr="00F461D2">
        <w:t xml:space="preserve">Maritime Transport and Offshore Facilities Security </w:t>
      </w:r>
      <w:r>
        <w:t>Regulations 2</w:t>
      </w:r>
      <w:r w:rsidRPr="00F461D2">
        <w:t>003</w:t>
      </w:r>
      <w:r w:rsidRPr="004C7422">
        <w:t>, Compilation No. </w:t>
      </w:r>
      <w:r>
        <w:t>45</w:t>
      </w:r>
      <w:r w:rsidRPr="004C7422">
        <w:t xml:space="preserve">, Registration Date: </w:t>
      </w:r>
      <w:r>
        <w:t>25</w:t>
      </w:r>
      <w:r w:rsidRPr="004C7422">
        <w:t> </w:t>
      </w:r>
      <w:r>
        <w:t xml:space="preserve">July </w:t>
      </w:r>
      <w:r w:rsidRPr="004C7422">
        <w:t>202</w:t>
      </w:r>
      <w:r>
        <w:t>2</w:t>
      </w:r>
      <w:r w:rsidRPr="004C7422">
        <w:t xml:space="preserve"> [</w:t>
      </w:r>
      <w:r w:rsidRPr="00EC1E82">
        <w:t>F2022C00735</w:t>
      </w:r>
      <w:r w:rsidRPr="004C7422">
        <w:t>]</w:t>
      </w:r>
    </w:p>
    <w:p w:rsidR="00EC1E82" w:rsidRPr="004549F1" w:rsidRDefault="00EC1E82" w:rsidP="006E6343">
      <w:pPr>
        <w:keepNext/>
        <w:keepLines/>
        <w:spacing w:before="240" w:after="240"/>
        <w:rPr>
          <w:b/>
          <w:sz w:val="24"/>
          <w:szCs w:val="24"/>
        </w:rPr>
      </w:pPr>
      <w:r>
        <w:rPr>
          <w:b/>
          <w:sz w:val="24"/>
          <w:szCs w:val="24"/>
        </w:rPr>
        <w:t>Paragraph 6.08C(1)(da)</w:t>
      </w:r>
    </w:p>
    <w:p w:rsidR="00EC1E82" w:rsidRPr="004549F1" w:rsidRDefault="00EC1E82" w:rsidP="006E6343">
      <w:pPr>
        <w:keepNext/>
        <w:keepLines/>
        <w:spacing w:after="240"/>
        <w:rPr>
          <w:b/>
        </w:rPr>
      </w:pPr>
      <w:r w:rsidRPr="004549F1">
        <w:rPr>
          <w:b/>
        </w:rPr>
        <w:t>Kind of editorial change</w:t>
      </w:r>
    </w:p>
    <w:p w:rsidR="00EC1E82" w:rsidRPr="00D73F34" w:rsidRDefault="00EC1E82" w:rsidP="006E6343">
      <w:pPr>
        <w:keepNext/>
        <w:keepLines/>
        <w:spacing w:after="240"/>
      </w:pPr>
      <w:r w:rsidRPr="00D73F34">
        <w:t>Change to gramma</w:t>
      </w:r>
      <w:r>
        <w:t>r, syntax or the use of conjunctives or disjunctives</w:t>
      </w:r>
    </w:p>
    <w:p w:rsidR="00EC1E82" w:rsidRPr="004549F1" w:rsidRDefault="00EC1E82" w:rsidP="00EC1E82">
      <w:pPr>
        <w:spacing w:after="240"/>
        <w:rPr>
          <w:b/>
        </w:rPr>
      </w:pPr>
      <w:r w:rsidRPr="004549F1">
        <w:rPr>
          <w:b/>
        </w:rPr>
        <w:t>Details of editorial change</w:t>
      </w:r>
    </w:p>
    <w:p w:rsidR="00EC1E82" w:rsidRDefault="00EC1E82" w:rsidP="00EC1E82">
      <w:pPr>
        <w:spacing w:after="240"/>
      </w:pPr>
      <w:r>
        <w:t xml:space="preserve">Schedule 2 item 19 of the </w:t>
      </w:r>
      <w:r w:rsidRPr="008467B0">
        <w:rPr>
          <w:i/>
        </w:rPr>
        <w:t xml:space="preserve">Transport Security Legislation Amendment (Serious Crime) </w:t>
      </w:r>
      <w:r>
        <w:rPr>
          <w:i/>
        </w:rPr>
        <w:t>Regulations 2</w:t>
      </w:r>
      <w:r w:rsidRPr="008467B0">
        <w:rPr>
          <w:i/>
        </w:rPr>
        <w:t>022</w:t>
      </w:r>
      <w:r>
        <w:t xml:space="preserve"> provides as follows:</w:t>
      </w:r>
    </w:p>
    <w:p w:rsidR="00EC1E82" w:rsidRPr="00943D9D" w:rsidRDefault="00EC1E82" w:rsidP="00EC1E82">
      <w:pPr>
        <w:pStyle w:val="ItemHead"/>
      </w:pPr>
      <w:bookmarkStart w:id="41" w:name="_Hlk109295070"/>
      <w:r w:rsidRPr="00943D9D">
        <w:t>19  After paragraph 6.08C(1)(d)</w:t>
      </w:r>
    </w:p>
    <w:p w:rsidR="00EC1E82" w:rsidRPr="00943D9D" w:rsidRDefault="00EC1E82" w:rsidP="00EC1E82">
      <w:pPr>
        <w:pStyle w:val="Item"/>
      </w:pPr>
      <w:r w:rsidRPr="00943D9D">
        <w:t>Insert:</w:t>
      </w:r>
    </w:p>
    <w:p w:rsidR="00EC1E82" w:rsidRPr="00943D9D" w:rsidRDefault="00EC1E82" w:rsidP="00EC1E82">
      <w:pPr>
        <w:pStyle w:val="paragraph"/>
      </w:pPr>
      <w:r w:rsidRPr="00943D9D">
        <w:tab/>
        <w:t>(da)</w:t>
      </w:r>
      <w:r w:rsidRPr="00943D9D">
        <w:tab/>
        <w:t>the issuing body has been notified in writing by the Secretary that an adverse criminal intelligence assessment of the person has not been given to the Secretary; and</w:t>
      </w:r>
    </w:p>
    <w:bookmarkEnd w:id="41"/>
    <w:p w:rsidR="00EC1E82" w:rsidRDefault="00EC1E82" w:rsidP="00EC1E82">
      <w:pPr>
        <w:spacing w:before="240"/>
      </w:pPr>
      <w:r>
        <w:t>This compilation was editorially changed to omit the word “and” from the end of paragraph 6.08C(1)(da) to bring it into line with legislative drafting practice.</w:t>
      </w:r>
    </w:p>
    <w:p w:rsidR="00820F01" w:rsidRPr="004C7422" w:rsidRDefault="00820F01" w:rsidP="00820F01">
      <w:pPr>
        <w:pStyle w:val="Head2"/>
        <w:keepLines/>
      </w:pPr>
      <w:r w:rsidRPr="00BA7B7A">
        <w:lastRenderedPageBreak/>
        <w:t>Health Insurance (</w:t>
      </w:r>
      <w:r>
        <w:t>Section 3</w:t>
      </w:r>
      <w:r w:rsidRPr="00BA7B7A">
        <w:t xml:space="preserve">C General Medical Services – Telehealth and Telephone Attendances) </w:t>
      </w:r>
      <w:r>
        <w:t>Determination 2</w:t>
      </w:r>
      <w:r w:rsidRPr="00BA7B7A">
        <w:t>021</w:t>
      </w:r>
      <w:r w:rsidRPr="004C7422">
        <w:t>, Compilation No. </w:t>
      </w:r>
      <w:r>
        <w:t>6</w:t>
      </w:r>
      <w:r w:rsidRPr="004C7422">
        <w:t xml:space="preserve">, Registration Date: </w:t>
      </w:r>
      <w:r>
        <w:t>23</w:t>
      </w:r>
      <w:r w:rsidRPr="004C7422">
        <w:t> </w:t>
      </w:r>
      <w:r>
        <w:t xml:space="preserve">July </w:t>
      </w:r>
      <w:r w:rsidRPr="004C7422">
        <w:t>202</w:t>
      </w:r>
      <w:r>
        <w:t>2</w:t>
      </w:r>
      <w:r w:rsidRPr="004C7422">
        <w:t xml:space="preserve"> [</w:t>
      </w:r>
      <w:r w:rsidRPr="00820F01">
        <w:t>F2022C00729</w:t>
      </w:r>
      <w:r w:rsidRPr="004C7422">
        <w:t>]</w:t>
      </w:r>
    </w:p>
    <w:p w:rsidR="000A76EB" w:rsidRPr="004549F1" w:rsidRDefault="000A76EB" w:rsidP="000A76EB">
      <w:pPr>
        <w:spacing w:before="240" w:after="240"/>
        <w:rPr>
          <w:b/>
          <w:sz w:val="24"/>
          <w:szCs w:val="24"/>
        </w:rPr>
      </w:pPr>
      <w:r>
        <w:rPr>
          <w:b/>
          <w:sz w:val="24"/>
          <w:szCs w:val="24"/>
        </w:rPr>
        <w:t>Section 7 (second occurring)</w:t>
      </w:r>
    </w:p>
    <w:p w:rsidR="000A76EB" w:rsidRPr="004549F1" w:rsidRDefault="000A76EB" w:rsidP="000A76EB">
      <w:pPr>
        <w:spacing w:after="240"/>
        <w:rPr>
          <w:b/>
        </w:rPr>
      </w:pPr>
      <w:r w:rsidRPr="004549F1">
        <w:rPr>
          <w:b/>
        </w:rPr>
        <w:t>Kind of editorial change</w:t>
      </w:r>
    </w:p>
    <w:p w:rsidR="000A76EB" w:rsidRPr="00562E19" w:rsidRDefault="000A76EB" w:rsidP="000A76EB">
      <w:pPr>
        <w:spacing w:after="240"/>
      </w:pPr>
      <w:r>
        <w:t>Renumbering of provisions</w:t>
      </w:r>
    </w:p>
    <w:p w:rsidR="000A76EB" w:rsidRPr="004549F1" w:rsidRDefault="000A76EB" w:rsidP="000A76EB">
      <w:pPr>
        <w:spacing w:after="240"/>
        <w:rPr>
          <w:b/>
        </w:rPr>
      </w:pPr>
      <w:r w:rsidRPr="004549F1">
        <w:rPr>
          <w:b/>
        </w:rPr>
        <w:t>Details of editorial change</w:t>
      </w:r>
    </w:p>
    <w:p w:rsidR="000A76EB" w:rsidRDefault="000A76EB" w:rsidP="000A76EB">
      <w:pPr>
        <w:spacing w:after="240"/>
      </w:pPr>
      <w:r>
        <w:t xml:space="preserve">Schedule 1 item 13 of the </w:t>
      </w:r>
      <w:r w:rsidRPr="0092459F">
        <w:rPr>
          <w:i/>
        </w:rPr>
        <w:t>Health Insurance Legislation Amendment (Indexation) Determination 2022</w:t>
      </w:r>
      <w:r>
        <w:t xml:space="preserve"> provides as follows:</w:t>
      </w:r>
    </w:p>
    <w:p w:rsidR="000A76EB" w:rsidRDefault="000A76EB" w:rsidP="000A76EB">
      <w:pPr>
        <w:pStyle w:val="subsection"/>
        <w:ind w:left="643" w:hanging="360"/>
        <w:rPr>
          <w:rFonts w:ascii="Arial" w:hAnsi="Arial" w:cs="Arial"/>
          <w:b/>
          <w:bCs/>
          <w:color w:val="000000"/>
          <w:sz w:val="24"/>
          <w:szCs w:val="22"/>
          <w:shd w:val="clear" w:color="auto" w:fill="FFFFFF"/>
        </w:rPr>
      </w:pPr>
      <w:r>
        <w:rPr>
          <w:rFonts w:ascii="Arial" w:hAnsi="Arial" w:cs="Arial"/>
          <w:b/>
          <w:bCs/>
          <w:color w:val="000000"/>
          <w:sz w:val="24"/>
          <w:szCs w:val="22"/>
        </w:rPr>
        <w:t>13.</w:t>
      </w:r>
      <w:r>
        <w:rPr>
          <w:rFonts w:ascii="Arial" w:hAnsi="Arial" w:cs="Arial"/>
          <w:b/>
          <w:bCs/>
          <w:color w:val="000000"/>
          <w:sz w:val="24"/>
          <w:szCs w:val="22"/>
        </w:rPr>
        <w:tab/>
      </w:r>
      <w:r>
        <w:rPr>
          <w:rFonts w:ascii="Arial" w:hAnsi="Arial" w:cs="Arial"/>
          <w:b/>
          <w:bCs/>
          <w:color w:val="000000"/>
          <w:sz w:val="24"/>
          <w:szCs w:val="22"/>
          <w:shd w:val="clear" w:color="auto" w:fill="FFFFFF"/>
        </w:rPr>
        <w:t>After section 7</w:t>
      </w:r>
    </w:p>
    <w:p w:rsidR="000A76EB" w:rsidRDefault="000A76EB" w:rsidP="000A76EB">
      <w:pPr>
        <w:pStyle w:val="subsection"/>
        <w:ind w:left="720" w:firstLine="0"/>
        <w:rPr>
          <w:color w:val="000000"/>
          <w:shd w:val="clear" w:color="auto" w:fill="FFFFFF"/>
        </w:rPr>
      </w:pPr>
      <w:r>
        <w:rPr>
          <w:color w:val="000000"/>
          <w:shd w:val="clear" w:color="auto" w:fill="FFFFFF"/>
        </w:rPr>
        <w:t>Insert:</w:t>
      </w:r>
    </w:p>
    <w:p w:rsidR="000A76EB" w:rsidRPr="008106FE" w:rsidRDefault="000A76EB" w:rsidP="000A76EB">
      <w:pPr>
        <w:shd w:val="clear" w:color="auto" w:fill="FFFFFF"/>
        <w:spacing w:before="280" w:line="240" w:lineRule="auto"/>
        <w:ind w:left="1134" w:hanging="1134"/>
        <w:rPr>
          <w:rFonts w:eastAsia="Times New Roman" w:cs="Times New Roman"/>
          <w:b/>
          <w:bCs/>
          <w:color w:val="000000"/>
          <w:sz w:val="24"/>
          <w:szCs w:val="24"/>
          <w:lang w:eastAsia="en-AU"/>
        </w:rPr>
      </w:pPr>
      <w:r w:rsidRPr="008106FE">
        <w:rPr>
          <w:rFonts w:eastAsia="Times New Roman" w:cs="Times New Roman"/>
          <w:b/>
          <w:bCs/>
          <w:color w:val="000000"/>
          <w:szCs w:val="22"/>
          <w:lang w:eastAsia="en-AU"/>
        </w:rPr>
        <w:t xml:space="preserve">7  </w:t>
      </w:r>
      <w:r w:rsidRPr="008106FE">
        <w:rPr>
          <w:b/>
          <w:bCs/>
          <w:color w:val="000000"/>
          <w:shd w:val="clear" w:color="auto" w:fill="FFFFFF"/>
        </w:rPr>
        <w:t>Indexation</w:t>
      </w:r>
    </w:p>
    <w:p w:rsidR="000A76EB" w:rsidRDefault="000A76EB" w:rsidP="000A76EB">
      <w:pPr>
        <w:pStyle w:val="subsection"/>
        <w:ind w:left="846" w:hanging="420"/>
        <w:rPr>
          <w:color w:val="000000"/>
          <w:shd w:val="clear" w:color="auto" w:fill="FFFFFF"/>
        </w:rPr>
      </w:pPr>
      <w:r>
        <w:rPr>
          <w:color w:val="000000"/>
        </w:rPr>
        <w:t>(1)</w:t>
      </w:r>
      <w:r>
        <w:rPr>
          <w:color w:val="000000"/>
        </w:rPr>
        <w:tab/>
      </w:r>
      <w:r w:rsidRPr="00415953">
        <w:rPr>
          <w:color w:val="000000"/>
          <w:shd w:val="clear" w:color="auto" w:fill="FFFFFF"/>
        </w:rPr>
        <w:t xml:space="preserve">On 1 July 2022 (the </w:t>
      </w:r>
      <w:r w:rsidRPr="00415953">
        <w:rPr>
          <w:i/>
          <w:iCs/>
          <w:color w:val="000000"/>
          <w:shd w:val="clear" w:color="auto" w:fill="FFFFFF"/>
        </w:rPr>
        <w:t>indexation day</w:t>
      </w:r>
      <w:r w:rsidRPr="00415953">
        <w:rPr>
          <w:color w:val="000000"/>
          <w:shd w:val="clear" w:color="auto" w:fill="FFFFFF"/>
        </w:rPr>
        <w:t>), each amount covered by subsection (2) is replaced by the amount worked out using the following formula:</w:t>
      </w:r>
    </w:p>
    <w:p w:rsidR="000A76EB" w:rsidRPr="00415953" w:rsidRDefault="000A76EB" w:rsidP="000A76EB">
      <w:pPr>
        <w:pStyle w:val="subsection"/>
        <w:ind w:left="0" w:firstLine="0"/>
        <w:rPr>
          <w:color w:val="000000"/>
          <w:sz w:val="20"/>
          <w:szCs w:val="18"/>
          <w:shd w:val="clear" w:color="auto" w:fill="FFFFFF"/>
        </w:rPr>
      </w:pPr>
      <m:oMathPara>
        <m:oMath>
          <m:r>
            <m:rPr>
              <m:sty m:val="p"/>
            </m:rPr>
            <w:rPr>
              <w:rFonts w:ascii="Cambria Math" w:hAnsi="Cambria Math"/>
              <w:color w:val="000000"/>
              <w:sz w:val="20"/>
              <w:szCs w:val="18"/>
              <w:shd w:val="clear" w:color="auto" w:fill="FFFFFF"/>
              <w:lang w:val=""/>
            </w:rPr>
            <m:t>1.016×</m:t>
          </m:r>
          <m:limUpp>
            <m:limUppPr>
              <m:ctrlPr>
                <w:rPr>
                  <w:rFonts w:ascii="Cambria Math" w:hAnsi="Cambria Math"/>
                  <w:color w:val="000000"/>
                  <w:sz w:val="20"/>
                  <w:szCs w:val="18"/>
                  <w:shd w:val="clear" w:color="auto" w:fill="FFFFFF"/>
                  <w:lang w:val=""/>
                </w:rPr>
              </m:ctrlPr>
            </m:limUppPr>
            <m:e>
              <m:r>
                <m:rPr>
                  <m:nor/>
                </m:rPr>
                <w:rPr>
                  <w:color w:val="000000"/>
                  <w:sz w:val="20"/>
                  <w:szCs w:val="18"/>
                  <w:shd w:val="clear" w:color="auto" w:fill="FFFFFF"/>
                  <w:lang w:val=""/>
                </w:rPr>
                <m:t>the amount immediately before the indexation day</m:t>
              </m:r>
            </m:e>
            <m:lim/>
          </m:limUpp>
        </m:oMath>
      </m:oMathPara>
    </w:p>
    <w:p w:rsidR="000A76EB" w:rsidRDefault="000A76EB" w:rsidP="000A76EB">
      <w:pPr>
        <w:pStyle w:val="subsection"/>
        <w:ind w:left="846" w:hanging="420"/>
        <w:rPr>
          <w:color w:val="000000"/>
          <w:shd w:val="clear" w:color="auto" w:fill="FFFFFF"/>
        </w:rPr>
      </w:pPr>
      <w:r>
        <w:rPr>
          <w:color w:val="000000"/>
        </w:rPr>
        <w:t>(2)</w:t>
      </w:r>
      <w:r>
        <w:rPr>
          <w:color w:val="000000"/>
        </w:rPr>
        <w:tab/>
      </w:r>
      <w:r w:rsidRPr="00415953">
        <w:rPr>
          <w:color w:val="000000"/>
          <w:shd w:val="clear" w:color="auto" w:fill="FFFFFF"/>
        </w:rPr>
        <w:t>The amounts covered by this subsection are the fee for each item in this Determination</w:t>
      </w:r>
      <w:r>
        <w:rPr>
          <w:color w:val="000000"/>
          <w:shd w:val="clear" w:color="auto" w:fill="FFFFFF"/>
        </w:rPr>
        <w:t xml:space="preserve">, </w:t>
      </w:r>
      <w:r w:rsidRPr="0033405E">
        <w:rPr>
          <w:color w:val="000000"/>
          <w:shd w:val="clear" w:color="auto" w:fill="FFFFFF"/>
        </w:rPr>
        <w:t>other than the fee for the following</w:t>
      </w:r>
      <w:r>
        <w:rPr>
          <w:color w:val="000000"/>
          <w:shd w:val="clear" w:color="auto" w:fill="FFFFFF"/>
        </w:rPr>
        <w:t>:</w:t>
      </w:r>
    </w:p>
    <w:p w:rsidR="000A76EB" w:rsidRPr="00B26537" w:rsidRDefault="000A76EB" w:rsidP="000A76EB">
      <w:pPr>
        <w:pStyle w:val="subsection"/>
        <w:ind w:left="1506" w:hanging="360"/>
        <w:rPr>
          <w:color w:val="000000"/>
          <w:szCs w:val="22"/>
          <w:shd w:val="clear" w:color="auto" w:fill="FFFFFF"/>
        </w:rPr>
      </w:pPr>
      <w:r w:rsidRPr="00B26537">
        <w:rPr>
          <w:color w:val="000000"/>
          <w:szCs w:val="22"/>
        </w:rPr>
        <w:t>(a)</w:t>
      </w:r>
      <w:r w:rsidRPr="00B26537">
        <w:rPr>
          <w:color w:val="000000"/>
          <w:szCs w:val="22"/>
        </w:rPr>
        <w:tab/>
      </w:r>
      <w:r>
        <w:rPr>
          <w:color w:val="000000"/>
          <w:shd w:val="clear" w:color="auto" w:fill="FFFFFF"/>
        </w:rPr>
        <w:t xml:space="preserve">items </w:t>
      </w:r>
      <w:r w:rsidRPr="00544EAE">
        <w:rPr>
          <w:color w:val="000000"/>
          <w:szCs w:val="22"/>
          <w:shd w:val="clear" w:color="auto" w:fill="FFFFFF"/>
        </w:rPr>
        <w:t>91792</w:t>
      </w:r>
      <w:r>
        <w:rPr>
          <w:color w:val="000000"/>
          <w:szCs w:val="22"/>
          <w:shd w:val="clear" w:color="auto" w:fill="FFFFFF"/>
        </w:rPr>
        <w:t xml:space="preserve">, </w:t>
      </w:r>
      <w:r w:rsidRPr="00544EAE">
        <w:rPr>
          <w:color w:val="000000"/>
          <w:szCs w:val="22"/>
          <w:shd w:val="clear" w:color="auto" w:fill="FFFFFF"/>
        </w:rPr>
        <w:t>91803</w:t>
      </w:r>
      <w:r>
        <w:rPr>
          <w:color w:val="000000"/>
          <w:szCs w:val="22"/>
          <w:shd w:val="clear" w:color="auto" w:fill="FFFFFF"/>
        </w:rPr>
        <w:t xml:space="preserve">, </w:t>
      </w:r>
      <w:r w:rsidRPr="00544EAE">
        <w:rPr>
          <w:color w:val="000000"/>
          <w:szCs w:val="22"/>
          <w:shd w:val="clear" w:color="auto" w:fill="FFFFFF"/>
        </w:rPr>
        <w:t>91804</w:t>
      </w:r>
      <w:r>
        <w:rPr>
          <w:color w:val="000000"/>
          <w:szCs w:val="22"/>
          <w:shd w:val="clear" w:color="auto" w:fill="FFFFFF"/>
        </w:rPr>
        <w:t xml:space="preserve">, </w:t>
      </w:r>
      <w:r w:rsidRPr="00544EAE">
        <w:rPr>
          <w:color w:val="000000"/>
          <w:szCs w:val="22"/>
          <w:shd w:val="clear" w:color="auto" w:fill="FFFFFF"/>
        </w:rPr>
        <w:t>91805</w:t>
      </w:r>
      <w:r>
        <w:rPr>
          <w:color w:val="000000"/>
          <w:szCs w:val="22"/>
          <w:shd w:val="clear" w:color="auto" w:fill="FFFFFF"/>
        </w:rPr>
        <w:t xml:space="preserve">, </w:t>
      </w:r>
      <w:r w:rsidRPr="00544EAE">
        <w:rPr>
          <w:color w:val="000000"/>
          <w:szCs w:val="22"/>
          <w:shd w:val="clear" w:color="auto" w:fill="FFFFFF"/>
        </w:rPr>
        <w:t>91794</w:t>
      </w:r>
      <w:r>
        <w:rPr>
          <w:color w:val="000000"/>
          <w:szCs w:val="22"/>
          <w:shd w:val="clear" w:color="auto" w:fill="FFFFFF"/>
        </w:rPr>
        <w:t xml:space="preserve">, </w:t>
      </w:r>
      <w:r w:rsidRPr="00544EAE">
        <w:rPr>
          <w:color w:val="000000"/>
          <w:szCs w:val="22"/>
          <w:shd w:val="clear" w:color="auto" w:fill="FFFFFF"/>
        </w:rPr>
        <w:t>91806</w:t>
      </w:r>
      <w:r>
        <w:rPr>
          <w:color w:val="000000"/>
          <w:szCs w:val="22"/>
          <w:shd w:val="clear" w:color="auto" w:fill="FFFFFF"/>
        </w:rPr>
        <w:t xml:space="preserve">, </w:t>
      </w:r>
      <w:r w:rsidRPr="00544EAE">
        <w:rPr>
          <w:color w:val="000000"/>
          <w:szCs w:val="22"/>
          <w:shd w:val="clear" w:color="auto" w:fill="FFFFFF"/>
        </w:rPr>
        <w:t>91807</w:t>
      </w:r>
      <w:r>
        <w:rPr>
          <w:color w:val="000000"/>
          <w:szCs w:val="22"/>
          <w:shd w:val="clear" w:color="auto" w:fill="FFFFFF"/>
        </w:rPr>
        <w:t xml:space="preserve">, </w:t>
      </w:r>
      <w:r w:rsidRPr="00B26537">
        <w:rPr>
          <w:color w:val="000000"/>
          <w:szCs w:val="22"/>
          <w:shd w:val="clear" w:color="auto" w:fill="FFFFFF"/>
        </w:rPr>
        <w:t>91808</w:t>
      </w:r>
      <w:r>
        <w:rPr>
          <w:color w:val="000000"/>
          <w:szCs w:val="22"/>
          <w:shd w:val="clear" w:color="auto" w:fill="FFFFFF"/>
        </w:rPr>
        <w:t xml:space="preserve">, </w:t>
      </w:r>
      <w:r w:rsidRPr="00B26537">
        <w:rPr>
          <w:color w:val="000000"/>
          <w:szCs w:val="22"/>
          <w:shd w:val="clear" w:color="auto" w:fill="FFFFFF"/>
        </w:rPr>
        <w:t>91892</w:t>
      </w:r>
      <w:r>
        <w:rPr>
          <w:color w:val="000000"/>
          <w:szCs w:val="22"/>
          <w:shd w:val="clear" w:color="auto" w:fill="FFFFFF"/>
        </w:rPr>
        <w:t xml:space="preserve">, </w:t>
      </w:r>
      <w:r w:rsidRPr="00B26537">
        <w:rPr>
          <w:color w:val="000000"/>
          <w:szCs w:val="22"/>
          <w:shd w:val="clear" w:color="auto" w:fill="FFFFFF"/>
        </w:rPr>
        <w:t>91893</w:t>
      </w:r>
      <w:r>
        <w:rPr>
          <w:color w:val="000000"/>
          <w:szCs w:val="22"/>
          <w:shd w:val="clear" w:color="auto" w:fill="FFFFFF"/>
        </w:rPr>
        <w:t xml:space="preserve">, </w:t>
      </w:r>
      <w:r w:rsidRPr="00881BC1">
        <w:rPr>
          <w:color w:val="000000"/>
          <w:szCs w:val="22"/>
          <w:shd w:val="clear" w:color="auto" w:fill="FFFFFF"/>
        </w:rPr>
        <w:t>91895</w:t>
      </w:r>
      <w:r>
        <w:rPr>
          <w:color w:val="000000"/>
          <w:szCs w:val="22"/>
          <w:shd w:val="clear" w:color="auto" w:fill="FFFFFF"/>
        </w:rPr>
        <w:t xml:space="preserve">, </w:t>
      </w:r>
      <w:r w:rsidRPr="00B26537">
        <w:rPr>
          <w:color w:val="000000"/>
          <w:szCs w:val="22"/>
          <w:shd w:val="clear" w:color="auto" w:fill="FFFFFF"/>
        </w:rPr>
        <w:t>91820</w:t>
      </w:r>
      <w:r>
        <w:rPr>
          <w:color w:val="000000"/>
          <w:szCs w:val="22"/>
          <w:shd w:val="clear" w:color="auto" w:fill="FFFFFF"/>
        </w:rPr>
        <w:t xml:space="preserve">, </w:t>
      </w:r>
      <w:r w:rsidRPr="00B26537">
        <w:rPr>
          <w:color w:val="000000"/>
          <w:szCs w:val="22"/>
          <w:shd w:val="clear" w:color="auto" w:fill="FFFFFF"/>
        </w:rPr>
        <w:t>91821</w:t>
      </w:r>
      <w:r>
        <w:rPr>
          <w:color w:val="000000"/>
          <w:szCs w:val="22"/>
          <w:shd w:val="clear" w:color="auto" w:fill="FFFFFF"/>
        </w:rPr>
        <w:t xml:space="preserve">, </w:t>
      </w:r>
      <w:r w:rsidRPr="00B26537">
        <w:rPr>
          <w:color w:val="000000"/>
          <w:szCs w:val="22"/>
          <w:shd w:val="clear" w:color="auto" w:fill="FFFFFF"/>
        </w:rPr>
        <w:t>91844</w:t>
      </w:r>
      <w:r>
        <w:rPr>
          <w:color w:val="000000"/>
          <w:szCs w:val="22"/>
          <w:shd w:val="clear" w:color="auto" w:fill="FFFFFF"/>
        </w:rPr>
        <w:t xml:space="preserve">, </w:t>
      </w:r>
      <w:r w:rsidRPr="00B26537">
        <w:rPr>
          <w:color w:val="000000"/>
          <w:szCs w:val="22"/>
          <w:shd w:val="clear" w:color="auto" w:fill="FFFFFF"/>
        </w:rPr>
        <w:t>91845</w:t>
      </w:r>
      <w:r>
        <w:rPr>
          <w:color w:val="000000"/>
          <w:szCs w:val="22"/>
          <w:shd w:val="clear" w:color="auto" w:fill="FFFFFF"/>
        </w:rPr>
        <w:t xml:space="preserve">, </w:t>
      </w:r>
      <w:r w:rsidRPr="00B26537">
        <w:rPr>
          <w:color w:val="000000"/>
          <w:szCs w:val="22"/>
          <w:shd w:val="clear" w:color="auto" w:fill="FFFFFF"/>
        </w:rPr>
        <w:t>92011</w:t>
      </w:r>
      <w:r>
        <w:rPr>
          <w:color w:val="000000"/>
          <w:szCs w:val="22"/>
          <w:shd w:val="clear" w:color="auto" w:fill="FFFFFF"/>
        </w:rPr>
        <w:t xml:space="preserve">, </w:t>
      </w:r>
      <w:r w:rsidRPr="00B26537">
        <w:rPr>
          <w:color w:val="000000"/>
          <w:szCs w:val="22"/>
          <w:shd w:val="clear" w:color="auto" w:fill="FFFFFF"/>
        </w:rPr>
        <w:t>92055</w:t>
      </w:r>
      <w:r>
        <w:rPr>
          <w:color w:val="000000"/>
          <w:szCs w:val="22"/>
          <w:shd w:val="clear" w:color="auto" w:fill="FFFFFF"/>
        </w:rPr>
        <w:t xml:space="preserve">, </w:t>
      </w:r>
      <w:r w:rsidRPr="00B26537">
        <w:rPr>
          <w:color w:val="000000"/>
          <w:szCs w:val="22"/>
          <w:shd w:val="clear" w:color="auto" w:fill="FFFFFF"/>
        </w:rPr>
        <w:t>92056</w:t>
      </w:r>
      <w:r>
        <w:rPr>
          <w:color w:val="000000"/>
          <w:szCs w:val="22"/>
          <w:shd w:val="clear" w:color="auto" w:fill="FFFFFF"/>
        </w:rPr>
        <w:t xml:space="preserve">, </w:t>
      </w:r>
      <w:r w:rsidRPr="00B26537">
        <w:rPr>
          <w:color w:val="000000"/>
          <w:szCs w:val="22"/>
          <w:shd w:val="clear" w:color="auto" w:fill="FFFFFF"/>
        </w:rPr>
        <w:t>92057</w:t>
      </w:r>
      <w:r>
        <w:rPr>
          <w:color w:val="000000"/>
          <w:szCs w:val="22"/>
          <w:shd w:val="clear" w:color="auto" w:fill="FFFFFF"/>
        </w:rPr>
        <w:t xml:space="preserve">, </w:t>
      </w:r>
      <w:r w:rsidRPr="00B26537">
        <w:rPr>
          <w:color w:val="000000"/>
          <w:szCs w:val="22"/>
          <w:shd w:val="clear" w:color="auto" w:fill="FFFFFF"/>
        </w:rPr>
        <w:t>92058</w:t>
      </w:r>
      <w:r>
        <w:rPr>
          <w:color w:val="000000"/>
          <w:szCs w:val="22"/>
          <w:shd w:val="clear" w:color="auto" w:fill="FFFFFF"/>
        </w:rPr>
        <w:t xml:space="preserve">, </w:t>
      </w:r>
      <w:r w:rsidRPr="00B26537">
        <w:rPr>
          <w:color w:val="000000"/>
          <w:szCs w:val="22"/>
          <w:shd w:val="clear" w:color="auto" w:fill="FFFFFF"/>
        </w:rPr>
        <w:t>92059</w:t>
      </w:r>
      <w:r>
        <w:rPr>
          <w:color w:val="000000"/>
          <w:szCs w:val="22"/>
          <w:shd w:val="clear" w:color="auto" w:fill="FFFFFF"/>
        </w:rPr>
        <w:t xml:space="preserve">, </w:t>
      </w:r>
      <w:r w:rsidRPr="00B26537">
        <w:rPr>
          <w:color w:val="000000"/>
          <w:szCs w:val="22"/>
          <w:shd w:val="clear" w:color="auto" w:fill="FFFFFF"/>
        </w:rPr>
        <w:t>92137</w:t>
      </w:r>
      <w:r>
        <w:rPr>
          <w:color w:val="000000"/>
          <w:szCs w:val="22"/>
          <w:shd w:val="clear" w:color="auto" w:fill="FFFFFF"/>
        </w:rPr>
        <w:t xml:space="preserve">, </w:t>
      </w:r>
      <w:r w:rsidRPr="00B26537">
        <w:rPr>
          <w:color w:val="000000"/>
          <w:szCs w:val="22"/>
          <w:shd w:val="clear" w:color="auto" w:fill="FFFFFF"/>
        </w:rPr>
        <w:t>92139</w:t>
      </w:r>
      <w:r>
        <w:rPr>
          <w:color w:val="000000"/>
          <w:szCs w:val="22"/>
          <w:shd w:val="clear" w:color="auto" w:fill="FFFFFF"/>
        </w:rPr>
        <w:t xml:space="preserve">, </w:t>
      </w:r>
      <w:r w:rsidRPr="00B26537">
        <w:rPr>
          <w:color w:val="000000"/>
          <w:szCs w:val="22"/>
          <w:shd w:val="clear" w:color="auto" w:fill="FFFFFF"/>
        </w:rPr>
        <w:t>92118</w:t>
      </w:r>
      <w:r>
        <w:rPr>
          <w:color w:val="000000"/>
          <w:szCs w:val="22"/>
          <w:shd w:val="clear" w:color="auto" w:fill="FFFFFF"/>
        </w:rPr>
        <w:t xml:space="preserve">, </w:t>
      </w:r>
      <w:r w:rsidRPr="00B26537">
        <w:rPr>
          <w:color w:val="000000"/>
          <w:szCs w:val="22"/>
          <w:shd w:val="clear" w:color="auto" w:fill="FFFFFF"/>
        </w:rPr>
        <w:t>92119</w:t>
      </w:r>
      <w:r>
        <w:rPr>
          <w:color w:val="000000"/>
          <w:szCs w:val="22"/>
          <w:shd w:val="clear" w:color="auto" w:fill="FFFFFF"/>
        </w:rPr>
        <w:t xml:space="preserve">, </w:t>
      </w:r>
      <w:r w:rsidRPr="00B26537">
        <w:rPr>
          <w:color w:val="000000"/>
          <w:szCs w:val="22"/>
          <w:shd w:val="clear" w:color="auto" w:fill="FFFFFF"/>
        </w:rPr>
        <w:t>92120</w:t>
      </w:r>
      <w:r>
        <w:rPr>
          <w:color w:val="000000"/>
          <w:szCs w:val="22"/>
          <w:shd w:val="clear" w:color="auto" w:fill="FFFFFF"/>
        </w:rPr>
        <w:t xml:space="preserve">, </w:t>
      </w:r>
      <w:r w:rsidRPr="00B26537">
        <w:rPr>
          <w:color w:val="000000"/>
          <w:szCs w:val="22"/>
          <w:shd w:val="clear" w:color="auto" w:fill="FFFFFF"/>
        </w:rPr>
        <w:t>92121</w:t>
      </w:r>
      <w:r>
        <w:rPr>
          <w:color w:val="000000"/>
          <w:szCs w:val="22"/>
          <w:shd w:val="clear" w:color="auto" w:fill="FFFFFF"/>
        </w:rPr>
        <w:t xml:space="preserve">, </w:t>
      </w:r>
      <w:r w:rsidRPr="00B26537">
        <w:rPr>
          <w:color w:val="000000"/>
          <w:szCs w:val="22"/>
          <w:shd w:val="clear" w:color="auto" w:fill="FFFFFF"/>
        </w:rPr>
        <w:t>92122</w:t>
      </w:r>
      <w:r>
        <w:rPr>
          <w:color w:val="000000"/>
          <w:szCs w:val="22"/>
          <w:shd w:val="clear" w:color="auto" w:fill="FFFFFF"/>
        </w:rPr>
        <w:t xml:space="preserve">, </w:t>
      </w:r>
      <w:r w:rsidRPr="00B26537">
        <w:rPr>
          <w:color w:val="000000"/>
          <w:szCs w:val="22"/>
          <w:shd w:val="clear" w:color="auto" w:fill="FFFFFF"/>
        </w:rPr>
        <w:t>92123</w:t>
      </w:r>
      <w:r>
        <w:rPr>
          <w:color w:val="000000"/>
          <w:szCs w:val="22"/>
          <w:shd w:val="clear" w:color="auto" w:fill="FFFFFF"/>
        </w:rPr>
        <w:t xml:space="preserve">, </w:t>
      </w:r>
      <w:r w:rsidRPr="00B26537">
        <w:rPr>
          <w:color w:val="000000"/>
          <w:szCs w:val="22"/>
          <w:shd w:val="clear" w:color="auto" w:fill="FFFFFF"/>
        </w:rPr>
        <w:t>92132</w:t>
      </w:r>
      <w:r>
        <w:rPr>
          <w:color w:val="000000"/>
          <w:szCs w:val="22"/>
          <w:shd w:val="clear" w:color="auto" w:fill="FFFFFF"/>
        </w:rPr>
        <w:t xml:space="preserve">, </w:t>
      </w:r>
      <w:r w:rsidRPr="00B26537">
        <w:rPr>
          <w:color w:val="000000"/>
          <w:szCs w:val="22"/>
          <w:shd w:val="clear" w:color="auto" w:fill="FFFFFF"/>
        </w:rPr>
        <w:t>92133</w:t>
      </w:r>
      <w:r>
        <w:rPr>
          <w:color w:val="000000"/>
          <w:szCs w:val="22"/>
          <w:shd w:val="clear" w:color="auto" w:fill="FFFFFF"/>
        </w:rPr>
        <w:t xml:space="preserve">, </w:t>
      </w:r>
      <w:r w:rsidRPr="00B26537">
        <w:rPr>
          <w:color w:val="000000"/>
          <w:szCs w:val="22"/>
          <w:shd w:val="clear" w:color="auto" w:fill="FFFFFF"/>
        </w:rPr>
        <w:t>92150</w:t>
      </w:r>
      <w:r>
        <w:rPr>
          <w:color w:val="000000"/>
          <w:szCs w:val="22"/>
          <w:shd w:val="clear" w:color="auto" w:fill="FFFFFF"/>
        </w:rPr>
        <w:t xml:space="preserve">, </w:t>
      </w:r>
      <w:r w:rsidRPr="00B26537">
        <w:rPr>
          <w:color w:val="000000"/>
          <w:szCs w:val="22"/>
          <w:shd w:val="clear" w:color="auto" w:fill="FFFFFF"/>
        </w:rPr>
        <w:t>92151</w:t>
      </w:r>
      <w:r>
        <w:rPr>
          <w:color w:val="000000"/>
          <w:szCs w:val="22"/>
          <w:shd w:val="clear" w:color="auto" w:fill="FFFFFF"/>
        </w:rPr>
        <w:t xml:space="preserve">, </w:t>
      </w:r>
      <w:r w:rsidRPr="00B26537">
        <w:rPr>
          <w:color w:val="000000"/>
          <w:szCs w:val="22"/>
          <w:shd w:val="clear" w:color="auto" w:fill="FFFFFF"/>
        </w:rPr>
        <w:t>92152</w:t>
      </w:r>
      <w:r>
        <w:rPr>
          <w:color w:val="000000"/>
          <w:szCs w:val="22"/>
          <w:shd w:val="clear" w:color="auto" w:fill="FFFFFF"/>
        </w:rPr>
        <w:t xml:space="preserve">, </w:t>
      </w:r>
      <w:r w:rsidRPr="00B26537">
        <w:rPr>
          <w:color w:val="000000"/>
          <w:szCs w:val="22"/>
          <w:shd w:val="clear" w:color="auto" w:fill="FFFFFF"/>
        </w:rPr>
        <w:t>92153</w:t>
      </w:r>
      <w:r>
        <w:rPr>
          <w:color w:val="000000"/>
          <w:szCs w:val="22"/>
          <w:shd w:val="clear" w:color="auto" w:fill="FFFFFF"/>
        </w:rPr>
        <w:t xml:space="preserve">, </w:t>
      </w:r>
      <w:r w:rsidRPr="00B26537">
        <w:rPr>
          <w:color w:val="000000"/>
          <w:szCs w:val="22"/>
          <w:shd w:val="clear" w:color="auto" w:fill="FFFFFF"/>
        </w:rPr>
        <w:t>92171</w:t>
      </w:r>
      <w:r>
        <w:rPr>
          <w:color w:val="000000"/>
          <w:szCs w:val="22"/>
          <w:shd w:val="clear" w:color="auto" w:fill="FFFFFF"/>
        </w:rPr>
        <w:t xml:space="preserve">, </w:t>
      </w:r>
      <w:r w:rsidRPr="00B26537">
        <w:rPr>
          <w:color w:val="000000"/>
          <w:szCs w:val="22"/>
          <w:shd w:val="clear" w:color="auto" w:fill="FFFFFF"/>
        </w:rPr>
        <w:t>92177</w:t>
      </w:r>
      <w:r>
        <w:rPr>
          <w:color w:val="000000"/>
          <w:szCs w:val="22"/>
          <w:shd w:val="clear" w:color="auto" w:fill="FFFFFF"/>
        </w:rPr>
        <w:t xml:space="preserve">, </w:t>
      </w:r>
      <w:r w:rsidRPr="00B26537">
        <w:rPr>
          <w:color w:val="000000"/>
          <w:szCs w:val="22"/>
          <w:shd w:val="clear" w:color="auto" w:fill="FFFFFF"/>
        </w:rPr>
        <w:t>92186</w:t>
      </w:r>
      <w:r>
        <w:rPr>
          <w:color w:val="000000"/>
          <w:szCs w:val="22"/>
          <w:shd w:val="clear" w:color="auto" w:fill="FFFFFF"/>
        </w:rPr>
        <w:t xml:space="preserve">, </w:t>
      </w:r>
      <w:r w:rsidRPr="00B26537">
        <w:rPr>
          <w:color w:val="000000"/>
          <w:szCs w:val="22"/>
          <w:shd w:val="clear" w:color="auto" w:fill="FFFFFF"/>
        </w:rPr>
        <w:t>92188</w:t>
      </w:r>
      <w:r>
        <w:rPr>
          <w:color w:val="000000"/>
          <w:szCs w:val="22"/>
          <w:shd w:val="clear" w:color="auto" w:fill="FFFFFF"/>
        </w:rPr>
        <w:t xml:space="preserve">, </w:t>
      </w:r>
      <w:r w:rsidRPr="00B26537">
        <w:rPr>
          <w:color w:val="000000"/>
          <w:szCs w:val="22"/>
          <w:shd w:val="clear" w:color="auto" w:fill="FFFFFF"/>
        </w:rPr>
        <w:t>92198</w:t>
      </w:r>
      <w:r>
        <w:rPr>
          <w:color w:val="000000"/>
          <w:szCs w:val="22"/>
          <w:shd w:val="clear" w:color="auto" w:fill="FFFFFF"/>
        </w:rPr>
        <w:t xml:space="preserve">, </w:t>
      </w:r>
      <w:r w:rsidRPr="00B26537">
        <w:rPr>
          <w:color w:val="000000"/>
          <w:szCs w:val="22"/>
          <w:shd w:val="clear" w:color="auto" w:fill="FFFFFF"/>
        </w:rPr>
        <w:t>92200</w:t>
      </w:r>
      <w:r>
        <w:rPr>
          <w:color w:val="000000"/>
          <w:szCs w:val="22"/>
          <w:shd w:val="clear" w:color="auto" w:fill="FFFFFF"/>
        </w:rPr>
        <w:t xml:space="preserve">, </w:t>
      </w:r>
      <w:r w:rsidRPr="00B26537">
        <w:rPr>
          <w:color w:val="000000"/>
          <w:szCs w:val="22"/>
          <w:shd w:val="clear" w:color="auto" w:fill="FFFFFF"/>
        </w:rPr>
        <w:t>92211</w:t>
      </w:r>
      <w:r>
        <w:rPr>
          <w:color w:val="000000"/>
          <w:szCs w:val="22"/>
          <w:shd w:val="clear" w:color="auto" w:fill="FFFFFF"/>
        </w:rPr>
        <w:t xml:space="preserve">, </w:t>
      </w:r>
      <w:r w:rsidRPr="00B26537">
        <w:rPr>
          <w:color w:val="000000"/>
          <w:szCs w:val="22"/>
          <w:shd w:val="clear" w:color="auto" w:fill="FFFFFF"/>
        </w:rPr>
        <w:t>92716</w:t>
      </w:r>
      <w:r>
        <w:rPr>
          <w:color w:val="000000"/>
          <w:szCs w:val="22"/>
          <w:shd w:val="clear" w:color="auto" w:fill="FFFFFF"/>
        </w:rPr>
        <w:t xml:space="preserve">, </w:t>
      </w:r>
      <w:r w:rsidRPr="00B26537">
        <w:rPr>
          <w:color w:val="000000"/>
          <w:szCs w:val="22"/>
          <w:shd w:val="clear" w:color="auto" w:fill="FFFFFF"/>
        </w:rPr>
        <w:t>92717</w:t>
      </w:r>
      <w:r>
        <w:rPr>
          <w:color w:val="000000"/>
          <w:szCs w:val="22"/>
          <w:shd w:val="clear" w:color="auto" w:fill="FFFFFF"/>
        </w:rPr>
        <w:t xml:space="preserve">, </w:t>
      </w:r>
      <w:r w:rsidRPr="00B26537">
        <w:rPr>
          <w:color w:val="000000"/>
          <w:szCs w:val="22"/>
          <w:shd w:val="clear" w:color="auto" w:fill="FFFFFF"/>
        </w:rPr>
        <w:t>92719</w:t>
      </w:r>
      <w:r>
        <w:rPr>
          <w:color w:val="000000"/>
          <w:szCs w:val="22"/>
          <w:shd w:val="clear" w:color="auto" w:fill="FFFFFF"/>
        </w:rPr>
        <w:t xml:space="preserve">, </w:t>
      </w:r>
      <w:r w:rsidRPr="00B26537">
        <w:rPr>
          <w:color w:val="000000"/>
          <w:szCs w:val="22"/>
          <w:shd w:val="clear" w:color="auto" w:fill="FFFFFF"/>
        </w:rPr>
        <w:t>92720</w:t>
      </w:r>
      <w:r>
        <w:rPr>
          <w:color w:val="000000"/>
          <w:szCs w:val="22"/>
          <w:shd w:val="clear" w:color="auto" w:fill="FFFFFF"/>
        </w:rPr>
        <w:t xml:space="preserve">, </w:t>
      </w:r>
      <w:r w:rsidRPr="00B26537">
        <w:rPr>
          <w:color w:val="000000"/>
          <w:szCs w:val="22"/>
          <w:shd w:val="clear" w:color="auto" w:fill="FFFFFF"/>
        </w:rPr>
        <w:t>92722</w:t>
      </w:r>
      <w:r>
        <w:rPr>
          <w:color w:val="000000"/>
          <w:szCs w:val="22"/>
          <w:shd w:val="clear" w:color="auto" w:fill="FFFFFF"/>
        </w:rPr>
        <w:t xml:space="preserve">, </w:t>
      </w:r>
      <w:r w:rsidRPr="00B26537">
        <w:rPr>
          <w:color w:val="000000"/>
          <w:szCs w:val="22"/>
          <w:shd w:val="clear" w:color="auto" w:fill="FFFFFF"/>
        </w:rPr>
        <w:t>92723</w:t>
      </w:r>
      <w:r>
        <w:rPr>
          <w:color w:val="000000"/>
          <w:szCs w:val="22"/>
          <w:shd w:val="clear" w:color="auto" w:fill="FFFFFF"/>
        </w:rPr>
        <w:t xml:space="preserve">, </w:t>
      </w:r>
      <w:r w:rsidRPr="00B26537">
        <w:rPr>
          <w:color w:val="000000"/>
          <w:szCs w:val="22"/>
          <w:shd w:val="clear" w:color="auto" w:fill="FFFFFF"/>
        </w:rPr>
        <w:t>92725</w:t>
      </w:r>
      <w:r>
        <w:rPr>
          <w:color w:val="000000"/>
          <w:szCs w:val="22"/>
          <w:shd w:val="clear" w:color="auto" w:fill="FFFFFF"/>
        </w:rPr>
        <w:t xml:space="preserve">, </w:t>
      </w:r>
      <w:r w:rsidRPr="00B26537">
        <w:rPr>
          <w:color w:val="000000"/>
          <w:szCs w:val="22"/>
          <w:shd w:val="clear" w:color="auto" w:fill="FFFFFF"/>
        </w:rPr>
        <w:t>92726</w:t>
      </w:r>
      <w:r>
        <w:rPr>
          <w:color w:val="000000"/>
          <w:szCs w:val="22"/>
          <w:shd w:val="clear" w:color="auto" w:fill="FFFFFF"/>
        </w:rPr>
        <w:t xml:space="preserve">, </w:t>
      </w:r>
      <w:r w:rsidRPr="00B26537">
        <w:rPr>
          <w:color w:val="000000"/>
          <w:szCs w:val="22"/>
          <w:shd w:val="clear" w:color="auto" w:fill="FFFFFF"/>
        </w:rPr>
        <w:t>92732</w:t>
      </w:r>
      <w:r>
        <w:rPr>
          <w:color w:val="000000"/>
          <w:szCs w:val="22"/>
          <w:shd w:val="clear" w:color="auto" w:fill="FFFFFF"/>
        </w:rPr>
        <w:t xml:space="preserve">, </w:t>
      </w:r>
      <w:r w:rsidRPr="00B26537">
        <w:rPr>
          <w:color w:val="000000"/>
          <w:szCs w:val="22"/>
          <w:shd w:val="clear" w:color="auto" w:fill="FFFFFF"/>
        </w:rPr>
        <w:t>92733</w:t>
      </w:r>
      <w:r>
        <w:rPr>
          <w:color w:val="000000"/>
          <w:szCs w:val="22"/>
          <w:shd w:val="clear" w:color="auto" w:fill="FFFFFF"/>
        </w:rPr>
        <w:t xml:space="preserve">, </w:t>
      </w:r>
      <w:r w:rsidRPr="00B26537">
        <w:rPr>
          <w:color w:val="000000"/>
          <w:szCs w:val="22"/>
          <w:shd w:val="clear" w:color="auto" w:fill="FFFFFF"/>
        </w:rPr>
        <w:t>92735</w:t>
      </w:r>
      <w:r>
        <w:rPr>
          <w:color w:val="000000"/>
          <w:szCs w:val="22"/>
          <w:shd w:val="clear" w:color="auto" w:fill="FFFFFF"/>
        </w:rPr>
        <w:t xml:space="preserve">, </w:t>
      </w:r>
      <w:r w:rsidRPr="00B26537">
        <w:rPr>
          <w:color w:val="000000"/>
          <w:szCs w:val="22"/>
          <w:shd w:val="clear" w:color="auto" w:fill="FFFFFF"/>
        </w:rPr>
        <w:t>92736</w:t>
      </w:r>
      <w:r>
        <w:rPr>
          <w:color w:val="000000"/>
          <w:szCs w:val="22"/>
          <w:shd w:val="clear" w:color="auto" w:fill="FFFFFF"/>
        </w:rPr>
        <w:t xml:space="preserve">, </w:t>
      </w:r>
      <w:r w:rsidRPr="00B26537">
        <w:rPr>
          <w:color w:val="000000"/>
          <w:szCs w:val="22"/>
          <w:shd w:val="clear" w:color="auto" w:fill="FFFFFF"/>
        </w:rPr>
        <w:t>92738</w:t>
      </w:r>
      <w:r>
        <w:rPr>
          <w:color w:val="000000"/>
          <w:szCs w:val="22"/>
          <w:shd w:val="clear" w:color="auto" w:fill="FFFFFF"/>
        </w:rPr>
        <w:t xml:space="preserve">, </w:t>
      </w:r>
      <w:r w:rsidRPr="00B26537">
        <w:rPr>
          <w:color w:val="000000"/>
          <w:szCs w:val="22"/>
          <w:shd w:val="clear" w:color="auto" w:fill="FFFFFF"/>
        </w:rPr>
        <w:t>92739</w:t>
      </w:r>
      <w:r>
        <w:rPr>
          <w:color w:val="000000"/>
          <w:szCs w:val="22"/>
          <w:shd w:val="clear" w:color="auto" w:fill="FFFFFF"/>
        </w:rPr>
        <w:t xml:space="preserve">, </w:t>
      </w:r>
      <w:r w:rsidRPr="00B26537">
        <w:rPr>
          <w:color w:val="000000"/>
          <w:szCs w:val="22"/>
          <w:shd w:val="clear" w:color="auto" w:fill="FFFFFF"/>
        </w:rPr>
        <w:t>92741</w:t>
      </w:r>
      <w:r>
        <w:rPr>
          <w:color w:val="000000"/>
          <w:szCs w:val="22"/>
          <w:shd w:val="clear" w:color="auto" w:fill="FFFFFF"/>
        </w:rPr>
        <w:t xml:space="preserve">, </w:t>
      </w:r>
      <w:r w:rsidRPr="00B26537">
        <w:rPr>
          <w:color w:val="000000"/>
          <w:szCs w:val="22"/>
          <w:shd w:val="clear" w:color="auto" w:fill="FFFFFF"/>
        </w:rPr>
        <w:t>92742</w:t>
      </w:r>
      <w:r>
        <w:rPr>
          <w:color w:val="000000"/>
          <w:szCs w:val="22"/>
          <w:shd w:val="clear" w:color="auto" w:fill="FFFFFF"/>
        </w:rPr>
        <w:t xml:space="preserve">, </w:t>
      </w:r>
      <w:r w:rsidRPr="00B26537">
        <w:rPr>
          <w:color w:val="000000"/>
          <w:szCs w:val="22"/>
          <w:shd w:val="clear" w:color="auto" w:fill="FFFFFF"/>
        </w:rPr>
        <w:t>92747</w:t>
      </w:r>
      <w:r>
        <w:rPr>
          <w:color w:val="000000"/>
          <w:szCs w:val="22"/>
          <w:shd w:val="clear" w:color="auto" w:fill="FFFFFF"/>
        </w:rPr>
        <w:t xml:space="preserve"> in Group A40.</w:t>
      </w:r>
    </w:p>
    <w:p w:rsidR="000A76EB" w:rsidRPr="008106FE" w:rsidRDefault="000A76EB" w:rsidP="000A76EB">
      <w:pPr>
        <w:pStyle w:val="subsection"/>
        <w:ind w:left="846" w:hanging="420"/>
        <w:rPr>
          <w:color w:val="000000"/>
          <w:shd w:val="clear" w:color="auto" w:fill="FFFFFF"/>
        </w:rPr>
      </w:pPr>
      <w:r w:rsidRPr="008106FE">
        <w:rPr>
          <w:color w:val="000000"/>
        </w:rPr>
        <w:t>(3)</w:t>
      </w:r>
      <w:r w:rsidRPr="008106FE">
        <w:rPr>
          <w:color w:val="000000"/>
        </w:rPr>
        <w:tab/>
      </w:r>
      <w:r w:rsidRPr="008106FE">
        <w:rPr>
          <w:color w:val="000000"/>
          <w:shd w:val="clear" w:color="auto" w:fill="FFFFFF"/>
        </w:rPr>
        <w:t>An amount worked out under subsection (1) is to be rounded up or down to the nearest 5 cents (rounding down if the amount is an exact multiple of 2.5 cents).</w:t>
      </w:r>
    </w:p>
    <w:p w:rsidR="000A76EB" w:rsidRDefault="000A76EB" w:rsidP="000A76EB">
      <w:pPr>
        <w:spacing w:before="240" w:after="240"/>
      </w:pPr>
      <w:r>
        <w:t>This amendment results in two section 7s.</w:t>
      </w:r>
    </w:p>
    <w:p w:rsidR="000A76EB" w:rsidRDefault="000A76EB" w:rsidP="000A76EB">
      <w:pPr>
        <w:spacing w:after="240"/>
      </w:pPr>
      <w:r>
        <w:t>This compilation was editorially changed by renumbering the newly inserted, second occurring section 7 as section 8.</w:t>
      </w:r>
    </w:p>
    <w:p w:rsidR="000A76EB" w:rsidRPr="004549F1" w:rsidRDefault="000A76EB" w:rsidP="000A76EB">
      <w:pPr>
        <w:keepNext/>
        <w:keepLines/>
        <w:spacing w:after="240"/>
        <w:rPr>
          <w:b/>
          <w:sz w:val="24"/>
          <w:szCs w:val="24"/>
        </w:rPr>
      </w:pPr>
      <w:r>
        <w:rPr>
          <w:b/>
          <w:sz w:val="24"/>
          <w:szCs w:val="24"/>
        </w:rPr>
        <w:t>Schedule 5</w:t>
      </w:r>
    </w:p>
    <w:p w:rsidR="000A76EB" w:rsidRPr="004549F1" w:rsidRDefault="000A76EB" w:rsidP="000A76EB">
      <w:pPr>
        <w:keepNext/>
        <w:keepLines/>
        <w:spacing w:after="240"/>
        <w:rPr>
          <w:b/>
        </w:rPr>
      </w:pPr>
      <w:r w:rsidRPr="004549F1">
        <w:rPr>
          <w:b/>
        </w:rPr>
        <w:t>Kind of editorial change</w:t>
      </w:r>
    </w:p>
    <w:p w:rsidR="000A76EB" w:rsidRPr="00B700B7" w:rsidRDefault="000A76EB" w:rsidP="000A76EB">
      <w:pPr>
        <w:spacing w:after="240"/>
      </w:pPr>
      <w:r w:rsidRPr="00412F7D">
        <w:t>Give effect to the misdescribed amendment</w:t>
      </w:r>
      <w:r>
        <w:t>s</w:t>
      </w:r>
      <w:r w:rsidRPr="00412F7D">
        <w:t xml:space="preserve"> as intended</w:t>
      </w:r>
    </w:p>
    <w:p w:rsidR="000A76EB" w:rsidRPr="004549F1" w:rsidRDefault="000A76EB" w:rsidP="000A76EB">
      <w:pPr>
        <w:spacing w:after="240"/>
        <w:rPr>
          <w:b/>
        </w:rPr>
      </w:pPr>
      <w:r w:rsidRPr="004549F1">
        <w:rPr>
          <w:b/>
        </w:rPr>
        <w:t>Details of editorial change</w:t>
      </w:r>
    </w:p>
    <w:p w:rsidR="000A76EB" w:rsidRDefault="000A76EB" w:rsidP="000A76EB">
      <w:pPr>
        <w:spacing w:after="240"/>
        <w:rPr>
          <w:iCs/>
        </w:rPr>
      </w:pPr>
      <w:r>
        <w:t xml:space="preserve">Schedule 2 item 21 of the </w:t>
      </w:r>
      <w:r w:rsidRPr="00147B54">
        <w:rPr>
          <w:i/>
          <w:iCs/>
        </w:rPr>
        <w:t>Health Insurance Legislation Amendment (Indexation) Determination 2022</w:t>
      </w:r>
      <w:r>
        <w:rPr>
          <w:iCs/>
        </w:rPr>
        <w:t xml:space="preserve"> provides, in part, as follows:</w:t>
      </w:r>
    </w:p>
    <w:p w:rsidR="000A76EB" w:rsidRDefault="000A76EB" w:rsidP="000A76EB">
      <w:pPr>
        <w:pStyle w:val="ItemHead"/>
        <w:tabs>
          <w:tab w:val="left" w:pos="4032"/>
        </w:tabs>
        <w:ind w:left="1134" w:hanging="774"/>
      </w:pPr>
      <w:r>
        <w:rPr>
          <w:rFonts w:cs="Arial"/>
          <w:szCs w:val="22"/>
        </w:rPr>
        <w:lastRenderedPageBreak/>
        <w:t>21.</w:t>
      </w:r>
      <w:r>
        <w:rPr>
          <w:rFonts w:cs="Arial"/>
          <w:szCs w:val="22"/>
        </w:rPr>
        <w:tab/>
      </w:r>
      <w:r>
        <w:t>Amendments of listed provisions—Schedule</w:t>
      </w:r>
    </w:p>
    <w:p w:rsidR="000A76EB" w:rsidRDefault="000A76EB" w:rsidP="000A76EB">
      <w:pPr>
        <w:pStyle w:val="Item"/>
        <w:ind w:left="1134"/>
      </w:pPr>
      <w:r>
        <w:t>The items of the table in Schedule 1 listed in the following table are amended as set out in the table.</w:t>
      </w:r>
    </w:p>
    <w:p w:rsidR="000A76EB" w:rsidRDefault="000A76EB" w:rsidP="000A76EB">
      <w:pPr>
        <w:pStyle w:val="Tabletext"/>
      </w:pPr>
    </w:p>
    <w:tbl>
      <w:tblPr>
        <w:tblW w:w="8429" w:type="dxa"/>
        <w:tblInd w:w="79" w:type="dxa"/>
        <w:tblBorders>
          <w:top w:val="single" w:sz="4" w:space="0" w:color="auto"/>
          <w:bottom w:val="single" w:sz="4" w:space="0" w:color="auto"/>
          <w:insideH w:val="single" w:sz="4" w:space="0" w:color="auto"/>
        </w:tblBorders>
        <w:tblLook w:val="00A0" w:firstRow="1" w:lastRow="0" w:firstColumn="1" w:lastColumn="0" w:noHBand="0" w:noVBand="0"/>
      </w:tblPr>
      <w:tblGrid>
        <w:gridCol w:w="628"/>
        <w:gridCol w:w="2282"/>
        <w:gridCol w:w="2922"/>
        <w:gridCol w:w="2597"/>
      </w:tblGrid>
      <w:tr w:rsidR="000A76EB" w:rsidTr="00F538B3">
        <w:trPr>
          <w:trHeight w:val="272"/>
        </w:trPr>
        <w:tc>
          <w:tcPr>
            <w:tcW w:w="8429" w:type="dxa"/>
            <w:gridSpan w:val="4"/>
            <w:tcBorders>
              <w:top w:val="single" w:sz="12" w:space="0" w:color="auto"/>
              <w:left w:val="nil"/>
              <w:bottom w:val="single" w:sz="4" w:space="0" w:color="auto"/>
              <w:right w:val="nil"/>
            </w:tcBorders>
            <w:hideMark/>
          </w:tcPr>
          <w:p w:rsidR="000A76EB" w:rsidRDefault="000A76EB" w:rsidP="00F538B3">
            <w:pPr>
              <w:spacing w:before="60" w:line="240" w:lineRule="exact"/>
              <w:rPr>
                <w:rFonts w:eastAsia="Times New Roman"/>
                <w:b/>
                <w:sz w:val="20"/>
              </w:rPr>
            </w:pPr>
            <w:r>
              <w:rPr>
                <w:rFonts w:eastAsia="Times New Roman"/>
                <w:b/>
                <w:snapToGrid w:val="0"/>
                <w:sz w:val="20"/>
                <w:lang w:eastAsia="en-AU"/>
              </w:rPr>
              <w:t>Amendments relating to fees</w:t>
            </w:r>
          </w:p>
        </w:tc>
      </w:tr>
      <w:tr w:rsidR="000A76EB" w:rsidTr="00F538B3">
        <w:trPr>
          <w:trHeight w:val="272"/>
        </w:trPr>
        <w:tc>
          <w:tcPr>
            <w:tcW w:w="628" w:type="dxa"/>
            <w:tcBorders>
              <w:top w:val="single" w:sz="4" w:space="0" w:color="auto"/>
              <w:left w:val="nil"/>
              <w:bottom w:val="single" w:sz="12" w:space="0" w:color="auto"/>
              <w:right w:val="nil"/>
            </w:tcBorders>
            <w:hideMark/>
          </w:tcPr>
          <w:p w:rsidR="000A76EB" w:rsidRDefault="000A76EB" w:rsidP="00F538B3">
            <w:pPr>
              <w:spacing w:before="60" w:line="240" w:lineRule="exact"/>
              <w:rPr>
                <w:rFonts w:eastAsia="Times New Roman"/>
                <w:b/>
                <w:snapToGrid w:val="0"/>
                <w:sz w:val="20"/>
              </w:rPr>
            </w:pPr>
            <w:r>
              <w:rPr>
                <w:rFonts w:eastAsia="Times New Roman"/>
                <w:b/>
                <w:snapToGrid w:val="0"/>
                <w:sz w:val="20"/>
              </w:rPr>
              <w:t>Item</w:t>
            </w:r>
          </w:p>
        </w:tc>
        <w:tc>
          <w:tcPr>
            <w:tcW w:w="2282" w:type="dxa"/>
            <w:tcBorders>
              <w:top w:val="single" w:sz="4" w:space="0" w:color="auto"/>
              <w:left w:val="nil"/>
              <w:bottom w:val="single" w:sz="12" w:space="0" w:color="auto"/>
              <w:right w:val="nil"/>
            </w:tcBorders>
            <w:hideMark/>
          </w:tcPr>
          <w:p w:rsidR="000A76EB" w:rsidRDefault="000A76EB" w:rsidP="00F538B3">
            <w:pPr>
              <w:spacing w:before="60" w:line="240" w:lineRule="exact"/>
              <w:rPr>
                <w:rFonts w:eastAsia="Times New Roman"/>
                <w:b/>
                <w:snapToGrid w:val="0"/>
                <w:sz w:val="20"/>
              </w:rPr>
            </w:pPr>
            <w:r>
              <w:rPr>
                <w:rFonts w:eastAsia="Times New Roman"/>
                <w:b/>
                <w:snapToGrid w:val="0"/>
                <w:sz w:val="20"/>
              </w:rPr>
              <w:t>Table item</w:t>
            </w:r>
          </w:p>
        </w:tc>
        <w:tc>
          <w:tcPr>
            <w:tcW w:w="2922" w:type="dxa"/>
            <w:tcBorders>
              <w:top w:val="single" w:sz="4" w:space="0" w:color="auto"/>
              <w:left w:val="nil"/>
              <w:bottom w:val="single" w:sz="12" w:space="0" w:color="auto"/>
              <w:right w:val="nil"/>
            </w:tcBorders>
            <w:hideMark/>
          </w:tcPr>
          <w:p w:rsidR="000A76EB" w:rsidRDefault="000A76EB" w:rsidP="00F538B3">
            <w:pPr>
              <w:spacing w:before="60" w:line="240" w:lineRule="exact"/>
              <w:ind w:left="720" w:firstLine="1541"/>
              <w:rPr>
                <w:rFonts w:eastAsia="Times New Roman"/>
                <w:b/>
                <w:snapToGrid w:val="0"/>
                <w:sz w:val="20"/>
              </w:rPr>
            </w:pPr>
            <w:r>
              <w:rPr>
                <w:rFonts w:eastAsia="Times New Roman"/>
                <w:b/>
                <w:snapToGrid w:val="0"/>
                <w:sz w:val="20"/>
              </w:rPr>
              <w:t>Omit</w:t>
            </w:r>
          </w:p>
        </w:tc>
        <w:tc>
          <w:tcPr>
            <w:tcW w:w="2597" w:type="dxa"/>
            <w:tcBorders>
              <w:top w:val="single" w:sz="4" w:space="0" w:color="auto"/>
              <w:left w:val="nil"/>
              <w:bottom w:val="single" w:sz="12" w:space="0" w:color="auto"/>
              <w:right w:val="nil"/>
            </w:tcBorders>
            <w:hideMark/>
          </w:tcPr>
          <w:p w:rsidR="000A76EB" w:rsidRDefault="000A76EB" w:rsidP="00F538B3">
            <w:pPr>
              <w:spacing w:before="60" w:line="240" w:lineRule="exact"/>
              <w:ind w:firstLine="1499"/>
              <w:rPr>
                <w:rFonts w:eastAsia="Times New Roman"/>
                <w:b/>
                <w:sz w:val="20"/>
              </w:rPr>
            </w:pPr>
            <w:r>
              <w:rPr>
                <w:rFonts w:eastAsia="Times New Roman"/>
                <w:b/>
                <w:sz w:val="20"/>
              </w:rPr>
              <w:t>Substitute</w:t>
            </w:r>
          </w:p>
        </w:tc>
      </w:tr>
      <w:tr w:rsidR="000A76EB" w:rsidTr="00F538B3">
        <w:tc>
          <w:tcPr>
            <w:tcW w:w="628" w:type="dxa"/>
            <w:tcBorders>
              <w:top w:val="single" w:sz="12" w:space="0" w:color="auto"/>
              <w:left w:val="nil"/>
              <w:bottom w:val="single" w:sz="4" w:space="0" w:color="auto"/>
              <w:right w:val="nil"/>
            </w:tcBorders>
          </w:tcPr>
          <w:p w:rsidR="000A76EB" w:rsidRPr="00B700B7" w:rsidRDefault="000A76EB" w:rsidP="00F538B3">
            <w:pPr>
              <w:spacing w:before="60" w:after="60" w:line="240" w:lineRule="exact"/>
              <w:ind w:left="360" w:hanging="360"/>
              <w:contextualSpacing/>
              <w:rPr>
                <w:rFonts w:eastAsia="Times New Roman" w:cs="Times New Roman"/>
                <w:snapToGrid w:val="0"/>
                <w:sz w:val="20"/>
                <w:szCs w:val="24"/>
                <w:lang w:eastAsia="en-AU"/>
              </w:rPr>
            </w:pPr>
            <w:r w:rsidRPr="00B700B7">
              <w:rPr>
                <w:rFonts w:eastAsia="Times New Roman" w:cs="Times New Roman"/>
                <w:snapToGrid w:val="0"/>
                <w:sz w:val="20"/>
                <w:szCs w:val="24"/>
                <w:lang w:eastAsia="en-AU"/>
              </w:rPr>
              <w:t>[...]</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spacing w:line="240" w:lineRule="auto"/>
              <w:rPr>
                <w:rFonts w:cs="Times New Roman"/>
                <w:color w:val="000000"/>
                <w:sz w:val="20"/>
              </w:rPr>
            </w:pP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rPr>
            </w:pPr>
          </w:p>
        </w:tc>
        <w:tc>
          <w:tcPr>
            <w:tcW w:w="2597" w:type="dxa"/>
            <w:tcBorders>
              <w:top w:val="single" w:sz="4" w:space="0" w:color="auto"/>
              <w:left w:val="nil"/>
              <w:bottom w:val="single" w:sz="4" w:space="0" w:color="auto"/>
              <w:right w:val="nil"/>
            </w:tcBorders>
          </w:tcPr>
          <w:p w:rsidR="000A76EB" w:rsidRPr="002002E9" w:rsidRDefault="000A76EB" w:rsidP="00F538B3">
            <w:pPr>
              <w:jc w:val="right"/>
              <w:rPr>
                <w:rFonts w:cs="Times New Roman"/>
                <w:color w:val="000000"/>
                <w:sz w:val="20"/>
              </w:rPr>
            </w:pP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37</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92717</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14.30</w:t>
            </w:r>
          </w:p>
        </w:tc>
        <w:tc>
          <w:tcPr>
            <w:tcW w:w="2597" w:type="dxa"/>
            <w:tcBorders>
              <w:top w:val="single" w:sz="4" w:space="0" w:color="auto"/>
              <w:left w:val="nil"/>
              <w:bottom w:val="single" w:sz="4" w:space="0" w:color="auto"/>
              <w:right w:val="nil"/>
            </w:tcBorders>
          </w:tcPr>
          <w:p w:rsidR="000A76EB" w:rsidRPr="002002E9" w:rsidRDefault="000A76EB" w:rsidP="00F538B3">
            <w:pPr>
              <w:jc w:val="right"/>
              <w:rPr>
                <w:rFonts w:cs="Times New Roman"/>
                <w:color w:val="000000"/>
                <w:sz w:val="20"/>
              </w:rPr>
            </w:pPr>
            <w:r w:rsidRPr="002002E9">
              <w:rPr>
                <w:sz w:val="20"/>
                <w:szCs w:val="18"/>
              </w:rPr>
              <w:t>14.55</w:t>
            </w: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38</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92720</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31.30</w:t>
            </w:r>
          </w:p>
        </w:tc>
        <w:tc>
          <w:tcPr>
            <w:tcW w:w="2597" w:type="dxa"/>
            <w:tcBorders>
              <w:top w:val="single" w:sz="4" w:space="0" w:color="auto"/>
              <w:left w:val="nil"/>
              <w:bottom w:val="single" w:sz="4" w:space="0" w:color="auto"/>
              <w:right w:val="nil"/>
            </w:tcBorders>
          </w:tcPr>
          <w:p w:rsidR="000A76EB" w:rsidRPr="002002E9" w:rsidRDefault="000A76EB" w:rsidP="00F538B3">
            <w:pPr>
              <w:jc w:val="right"/>
              <w:rPr>
                <w:rFonts w:cs="Times New Roman"/>
                <w:color w:val="000000"/>
                <w:sz w:val="20"/>
              </w:rPr>
            </w:pPr>
            <w:r w:rsidRPr="002002E9">
              <w:rPr>
                <w:sz w:val="20"/>
                <w:szCs w:val="18"/>
              </w:rPr>
              <w:t>31.80</w:t>
            </w: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39</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92723</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60.60</w:t>
            </w:r>
          </w:p>
        </w:tc>
        <w:tc>
          <w:tcPr>
            <w:tcW w:w="2597" w:type="dxa"/>
            <w:tcBorders>
              <w:top w:val="single" w:sz="4" w:space="0" w:color="auto"/>
              <w:left w:val="nil"/>
              <w:bottom w:val="single" w:sz="4" w:space="0" w:color="auto"/>
              <w:right w:val="nil"/>
            </w:tcBorders>
          </w:tcPr>
          <w:p w:rsidR="000A76EB" w:rsidRPr="002002E9" w:rsidRDefault="000A76EB" w:rsidP="00F538B3">
            <w:pPr>
              <w:jc w:val="right"/>
              <w:rPr>
                <w:rFonts w:cs="Times New Roman"/>
                <w:color w:val="000000"/>
                <w:sz w:val="20"/>
                <w:szCs w:val="18"/>
              </w:rPr>
            </w:pPr>
            <w:r w:rsidRPr="002002E9">
              <w:rPr>
                <w:sz w:val="20"/>
                <w:szCs w:val="18"/>
              </w:rPr>
              <w:t>61.55</w:t>
            </w: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40</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92726</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89.20</w:t>
            </w:r>
          </w:p>
        </w:tc>
        <w:tc>
          <w:tcPr>
            <w:tcW w:w="2597" w:type="dxa"/>
            <w:tcBorders>
              <w:top w:val="single" w:sz="4" w:space="0" w:color="auto"/>
              <w:left w:val="nil"/>
              <w:bottom w:val="single" w:sz="4" w:space="0" w:color="auto"/>
              <w:right w:val="nil"/>
            </w:tcBorders>
          </w:tcPr>
          <w:p w:rsidR="000A76EB" w:rsidRPr="002002E9" w:rsidRDefault="000A76EB" w:rsidP="00F538B3">
            <w:pPr>
              <w:jc w:val="right"/>
              <w:rPr>
                <w:rFonts w:cs="Times New Roman"/>
                <w:color w:val="000000"/>
                <w:sz w:val="20"/>
                <w:szCs w:val="18"/>
              </w:rPr>
            </w:pPr>
            <w:r w:rsidRPr="002002E9">
              <w:rPr>
                <w:sz w:val="20"/>
                <w:szCs w:val="18"/>
              </w:rPr>
              <w:t>90.65</w:t>
            </w: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41</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92733</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14.20</w:t>
            </w:r>
          </w:p>
        </w:tc>
        <w:tc>
          <w:tcPr>
            <w:tcW w:w="2597" w:type="dxa"/>
            <w:tcBorders>
              <w:top w:val="single" w:sz="4" w:space="0" w:color="auto"/>
              <w:left w:val="nil"/>
              <w:bottom w:val="single" w:sz="4" w:space="0" w:color="auto"/>
              <w:right w:val="nil"/>
            </w:tcBorders>
          </w:tcPr>
          <w:p w:rsidR="000A76EB" w:rsidRPr="00A113F2" w:rsidRDefault="000A76EB" w:rsidP="00F538B3">
            <w:pPr>
              <w:jc w:val="right"/>
              <w:rPr>
                <w:rFonts w:cs="Times New Roman"/>
                <w:color w:val="000000"/>
                <w:sz w:val="20"/>
                <w:szCs w:val="18"/>
              </w:rPr>
            </w:pPr>
            <w:r w:rsidRPr="00A113F2">
              <w:rPr>
                <w:sz w:val="20"/>
                <w:szCs w:val="18"/>
              </w:rPr>
              <w:t>14.55</w:t>
            </w: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42</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92736</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31.00</w:t>
            </w:r>
          </w:p>
        </w:tc>
        <w:tc>
          <w:tcPr>
            <w:tcW w:w="2597" w:type="dxa"/>
            <w:tcBorders>
              <w:top w:val="single" w:sz="4" w:space="0" w:color="auto"/>
              <w:left w:val="nil"/>
              <w:bottom w:val="single" w:sz="4" w:space="0" w:color="auto"/>
              <w:right w:val="nil"/>
            </w:tcBorders>
          </w:tcPr>
          <w:p w:rsidR="000A76EB" w:rsidRPr="00A113F2" w:rsidRDefault="000A76EB" w:rsidP="00F538B3">
            <w:pPr>
              <w:jc w:val="right"/>
              <w:rPr>
                <w:rFonts w:cs="Times New Roman"/>
                <w:color w:val="000000"/>
                <w:sz w:val="20"/>
                <w:szCs w:val="18"/>
              </w:rPr>
            </w:pPr>
            <w:r w:rsidRPr="00A113F2">
              <w:rPr>
                <w:sz w:val="20"/>
                <w:szCs w:val="18"/>
              </w:rPr>
              <w:t>31.80</w:t>
            </w: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43</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92739</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60.05</w:t>
            </w:r>
          </w:p>
        </w:tc>
        <w:tc>
          <w:tcPr>
            <w:tcW w:w="2597" w:type="dxa"/>
            <w:tcBorders>
              <w:top w:val="single" w:sz="4" w:space="0" w:color="auto"/>
              <w:left w:val="nil"/>
              <w:bottom w:val="single" w:sz="4" w:space="0" w:color="auto"/>
              <w:right w:val="nil"/>
            </w:tcBorders>
          </w:tcPr>
          <w:p w:rsidR="000A76EB" w:rsidRPr="00A113F2" w:rsidRDefault="000A76EB" w:rsidP="00F538B3">
            <w:pPr>
              <w:jc w:val="right"/>
              <w:rPr>
                <w:rFonts w:cs="Times New Roman"/>
                <w:color w:val="000000"/>
                <w:sz w:val="20"/>
                <w:szCs w:val="18"/>
              </w:rPr>
            </w:pPr>
            <w:r w:rsidRPr="00A113F2">
              <w:rPr>
                <w:sz w:val="20"/>
                <w:szCs w:val="18"/>
              </w:rPr>
              <w:t>61.55</w:t>
            </w:r>
          </w:p>
        </w:tc>
      </w:tr>
      <w:tr w:rsidR="000A76EB" w:rsidTr="00F538B3">
        <w:tc>
          <w:tcPr>
            <w:tcW w:w="628" w:type="dxa"/>
            <w:tcBorders>
              <w:top w:val="single" w:sz="4" w:space="0" w:color="auto"/>
              <w:left w:val="nil"/>
              <w:bottom w:val="single" w:sz="4" w:space="0" w:color="auto"/>
              <w:right w:val="nil"/>
            </w:tcBorders>
          </w:tcPr>
          <w:p w:rsidR="000A76EB" w:rsidRPr="00B912D0" w:rsidRDefault="000A76EB" w:rsidP="00F538B3">
            <w:pPr>
              <w:spacing w:before="60" w:after="60" w:line="240" w:lineRule="exact"/>
              <w:ind w:left="360" w:hanging="360"/>
              <w:contextualSpacing/>
              <w:rPr>
                <w:snapToGrid w:val="0"/>
                <w:sz w:val="20"/>
              </w:rPr>
            </w:pPr>
            <w:r w:rsidRPr="006F48D6">
              <w:rPr>
                <w:rFonts w:eastAsia="Times New Roman" w:cs="Times New Roman"/>
                <w:snapToGrid w:val="0"/>
                <w:sz w:val="20"/>
                <w:szCs w:val="24"/>
                <w:lang w:eastAsia="en-AU"/>
              </w:rPr>
              <w:t>44</w:t>
            </w:r>
          </w:p>
        </w:tc>
        <w:tc>
          <w:tcPr>
            <w:tcW w:w="2282" w:type="dxa"/>
            <w:tcBorders>
              <w:top w:val="single" w:sz="4" w:space="0" w:color="auto"/>
              <w:left w:val="nil"/>
              <w:bottom w:val="single" w:sz="4" w:space="0" w:color="auto"/>
              <w:right w:val="nil"/>
            </w:tcBorders>
            <w:vAlign w:val="bottom"/>
          </w:tcPr>
          <w:p w:rsidR="000A76EB" w:rsidRPr="000B11EB" w:rsidRDefault="000A76EB" w:rsidP="00F538B3">
            <w:pPr>
              <w:rPr>
                <w:rFonts w:cs="Times New Roman"/>
                <w:color w:val="000000"/>
                <w:sz w:val="20"/>
              </w:rPr>
            </w:pPr>
            <w:r>
              <w:rPr>
                <w:rFonts w:cs="Times New Roman"/>
                <w:color w:val="000000"/>
                <w:sz w:val="20"/>
              </w:rPr>
              <w:t xml:space="preserve">Item </w:t>
            </w:r>
            <w:r w:rsidRPr="000B11EB">
              <w:rPr>
                <w:rFonts w:cs="Times New Roman"/>
                <w:color w:val="000000"/>
                <w:sz w:val="20"/>
              </w:rPr>
              <w:t>92742</w:t>
            </w:r>
          </w:p>
        </w:tc>
        <w:tc>
          <w:tcPr>
            <w:tcW w:w="2922" w:type="dxa"/>
            <w:tcBorders>
              <w:top w:val="single" w:sz="4" w:space="0" w:color="auto"/>
              <w:left w:val="nil"/>
              <w:bottom w:val="single" w:sz="4" w:space="0" w:color="auto"/>
              <w:right w:val="nil"/>
            </w:tcBorders>
          </w:tcPr>
          <w:p w:rsidR="000A76EB" w:rsidRPr="000B11EB" w:rsidRDefault="000A76EB" w:rsidP="00F538B3">
            <w:pPr>
              <w:jc w:val="right"/>
              <w:rPr>
                <w:rFonts w:cs="Times New Roman"/>
                <w:color w:val="000000"/>
                <w:sz w:val="20"/>
                <w:shd w:val="clear" w:color="auto" w:fill="FFFFFF"/>
              </w:rPr>
            </w:pPr>
            <w:r w:rsidRPr="000B11EB">
              <w:rPr>
                <w:rFonts w:cs="Times New Roman"/>
                <w:sz w:val="20"/>
              </w:rPr>
              <w:t>89.20</w:t>
            </w:r>
          </w:p>
        </w:tc>
        <w:tc>
          <w:tcPr>
            <w:tcW w:w="2597" w:type="dxa"/>
            <w:tcBorders>
              <w:top w:val="single" w:sz="4" w:space="0" w:color="auto"/>
              <w:left w:val="nil"/>
              <w:bottom w:val="single" w:sz="4" w:space="0" w:color="auto"/>
              <w:right w:val="nil"/>
            </w:tcBorders>
          </w:tcPr>
          <w:p w:rsidR="000A76EB" w:rsidRPr="002002E9" w:rsidRDefault="000A76EB" w:rsidP="00F538B3">
            <w:pPr>
              <w:jc w:val="right"/>
              <w:rPr>
                <w:rFonts w:cs="Times New Roman"/>
                <w:color w:val="000000"/>
                <w:sz w:val="20"/>
                <w:szCs w:val="18"/>
              </w:rPr>
            </w:pPr>
            <w:r w:rsidRPr="002002E9">
              <w:rPr>
                <w:sz w:val="20"/>
                <w:szCs w:val="18"/>
              </w:rPr>
              <w:t>90.65</w:t>
            </w:r>
          </w:p>
        </w:tc>
      </w:tr>
    </w:tbl>
    <w:p w:rsidR="000A76EB" w:rsidRDefault="000A76EB" w:rsidP="000A76EB">
      <w:pPr>
        <w:spacing w:before="240" w:after="240"/>
      </w:pPr>
      <w:r>
        <w:t>Table items 37 to 44 of Schedule 2 item 21 amend listed items 92717, 92720, 92723, 92726, 92733, 92736, 92739 and 92742.</w:t>
      </w:r>
    </w:p>
    <w:p w:rsidR="000A76EB" w:rsidRDefault="000A76EB" w:rsidP="000A76EB">
      <w:pPr>
        <w:spacing w:after="240"/>
      </w:pPr>
      <w:r>
        <w:t>These items do not appear in Schedule 1. However, they do appear in Schedule 5.</w:t>
      </w:r>
    </w:p>
    <w:p w:rsidR="000A76EB" w:rsidRPr="0000633A" w:rsidRDefault="000A76EB" w:rsidP="000A76EB">
      <w:pPr>
        <w:rPr>
          <w:iCs/>
        </w:rPr>
      </w:pPr>
      <w:r>
        <w:rPr>
          <w:iCs/>
        </w:rPr>
        <w:t>This compilation was editorially changed to apply the amendments to the table items in Schedule 5 to give effect to the misdescribed amendments as intended.</w:t>
      </w:r>
    </w:p>
    <w:p w:rsidR="009A0DA7" w:rsidRPr="004C7422" w:rsidRDefault="009A0DA7" w:rsidP="009A0DA7">
      <w:pPr>
        <w:pStyle w:val="Head2"/>
        <w:keepLines/>
      </w:pPr>
      <w:r w:rsidRPr="00B96F93">
        <w:t xml:space="preserve">Health Insurance (General Medical Services Table) </w:t>
      </w:r>
      <w:r>
        <w:t>Regulations 2</w:t>
      </w:r>
      <w:r w:rsidRPr="00B96F93">
        <w:t>021</w:t>
      </w:r>
      <w:r w:rsidRPr="004C7422">
        <w:t>, Compilation No. </w:t>
      </w:r>
      <w:r>
        <w:t>7</w:t>
      </w:r>
      <w:r w:rsidRPr="004C7422">
        <w:t xml:space="preserve">, Registration Date: </w:t>
      </w:r>
      <w:r>
        <w:t>22</w:t>
      </w:r>
      <w:r w:rsidRPr="004C7422">
        <w:t> </w:t>
      </w:r>
      <w:r>
        <w:t xml:space="preserve">July </w:t>
      </w:r>
      <w:r w:rsidRPr="004C7422">
        <w:t>202</w:t>
      </w:r>
      <w:r>
        <w:t>2</w:t>
      </w:r>
      <w:r w:rsidRPr="004C7422">
        <w:t xml:space="preserve"> [</w:t>
      </w:r>
      <w:r w:rsidRPr="009A0DA7">
        <w:t>F2022C00728</w:t>
      </w:r>
      <w:r w:rsidRPr="004C7422">
        <w:t>]</w:t>
      </w:r>
    </w:p>
    <w:p w:rsidR="009A0DA7" w:rsidRPr="004549F1" w:rsidRDefault="009A0DA7" w:rsidP="009A0DA7">
      <w:pPr>
        <w:spacing w:before="240" w:after="240"/>
        <w:rPr>
          <w:b/>
          <w:sz w:val="24"/>
          <w:szCs w:val="24"/>
        </w:rPr>
      </w:pPr>
      <w:r>
        <w:rPr>
          <w:b/>
          <w:sz w:val="24"/>
          <w:szCs w:val="24"/>
        </w:rPr>
        <w:t>Schedule 1</w:t>
      </w:r>
      <w:r w:rsidRPr="0053289D">
        <w:rPr>
          <w:b/>
          <w:sz w:val="24"/>
          <w:szCs w:val="24"/>
        </w:rPr>
        <w:t xml:space="preserve"> (</w:t>
      </w:r>
      <w:r>
        <w:rPr>
          <w:b/>
          <w:sz w:val="24"/>
          <w:szCs w:val="24"/>
        </w:rPr>
        <w:t>item 1</w:t>
      </w:r>
      <w:r w:rsidRPr="0053289D">
        <w:rPr>
          <w:b/>
          <w:sz w:val="24"/>
          <w:szCs w:val="24"/>
        </w:rPr>
        <w:t>1607, column 2, sub</w:t>
      </w:r>
      <w:r>
        <w:rPr>
          <w:b/>
          <w:sz w:val="24"/>
          <w:szCs w:val="24"/>
        </w:rPr>
        <w:noBreakHyphen/>
        <w:t>subparagraph (</w:t>
      </w:r>
      <w:r w:rsidRPr="0053289D">
        <w:rPr>
          <w:b/>
          <w:sz w:val="24"/>
          <w:szCs w:val="24"/>
        </w:rPr>
        <w:t>g)(ii)(F))</w:t>
      </w:r>
    </w:p>
    <w:p w:rsidR="009A0DA7" w:rsidRPr="004549F1" w:rsidRDefault="009A0DA7" w:rsidP="009A0DA7">
      <w:pPr>
        <w:spacing w:after="240"/>
        <w:rPr>
          <w:b/>
        </w:rPr>
      </w:pPr>
      <w:r w:rsidRPr="004549F1">
        <w:rPr>
          <w:b/>
        </w:rPr>
        <w:t>Kind of editorial change</w:t>
      </w:r>
    </w:p>
    <w:p w:rsidR="009A0DA7" w:rsidRPr="00EE1FFB" w:rsidRDefault="009A0DA7" w:rsidP="009A0DA7">
      <w:pPr>
        <w:spacing w:after="240"/>
      </w:pPr>
      <w:r>
        <w:t>Change to punctuation</w:t>
      </w:r>
    </w:p>
    <w:p w:rsidR="009A0DA7" w:rsidRPr="004549F1" w:rsidRDefault="009A0DA7" w:rsidP="009A0DA7">
      <w:pPr>
        <w:spacing w:after="240"/>
        <w:rPr>
          <w:b/>
        </w:rPr>
      </w:pPr>
      <w:r w:rsidRPr="004549F1">
        <w:rPr>
          <w:b/>
        </w:rPr>
        <w:t>Details of editorial change</w:t>
      </w:r>
    </w:p>
    <w:p w:rsidR="009A0DA7" w:rsidRDefault="009A0DA7" w:rsidP="009A0DA7">
      <w:pPr>
        <w:spacing w:after="240"/>
      </w:pPr>
      <w:r>
        <w:t xml:space="preserve">Schedule 1 item 41 of the </w:t>
      </w:r>
      <w:r w:rsidRPr="005E3460">
        <w:rPr>
          <w:i/>
        </w:rPr>
        <w:t xml:space="preserve">Health Insurance Legislation Amendment (2022 Measures No. 1) </w:t>
      </w:r>
      <w:r>
        <w:rPr>
          <w:i/>
        </w:rPr>
        <w:t>Regulations 2</w:t>
      </w:r>
      <w:r w:rsidRPr="005E3460">
        <w:rPr>
          <w:i/>
        </w:rPr>
        <w:t>022</w:t>
      </w:r>
      <w:r>
        <w:t xml:space="preserve"> provides as follows:</w:t>
      </w:r>
    </w:p>
    <w:p w:rsidR="009A0DA7" w:rsidRPr="00021F52" w:rsidRDefault="009A0DA7" w:rsidP="009A0DA7">
      <w:pPr>
        <w:pStyle w:val="ItemHead"/>
      </w:pPr>
      <w:r>
        <w:t>41</w:t>
      </w:r>
      <w:r w:rsidRPr="00021F52">
        <w:t xml:space="preserve">  </w:t>
      </w:r>
      <w:r>
        <w:t>Schedule 1</w:t>
      </w:r>
      <w:r w:rsidRPr="00021F52">
        <w:t xml:space="preserve"> (</w:t>
      </w:r>
      <w:r>
        <w:t>item 1</w:t>
      </w:r>
      <w:r w:rsidRPr="00021F52">
        <w:t>1607, column 2, paragraph (g))</w:t>
      </w:r>
    </w:p>
    <w:p w:rsidR="009A0DA7" w:rsidRPr="00021F52" w:rsidRDefault="009A0DA7" w:rsidP="009A0DA7">
      <w:pPr>
        <w:pStyle w:val="Item"/>
      </w:pPr>
      <w:r w:rsidRPr="00021F52">
        <w:t>Repeal the paragraph, substitute:</w:t>
      </w:r>
    </w:p>
    <w:p w:rsidR="009A0DA7" w:rsidRPr="00021F52" w:rsidRDefault="009A0DA7" w:rsidP="009A0DA7">
      <w:pPr>
        <w:pStyle w:val="Tablea"/>
      </w:pPr>
      <w:r w:rsidRPr="00021F52">
        <w:t>(g) the service:</w:t>
      </w:r>
    </w:p>
    <w:p w:rsidR="009A0DA7" w:rsidRPr="00021F52" w:rsidRDefault="009A0DA7" w:rsidP="009A0DA7">
      <w:pPr>
        <w:pStyle w:val="Tablei"/>
      </w:pPr>
      <w:r w:rsidRPr="00021F52">
        <w:t>(i) is not provided in association with ambulatory electrocardiogram recording; and</w:t>
      </w:r>
    </w:p>
    <w:p w:rsidR="009A0DA7" w:rsidRPr="00021F52" w:rsidRDefault="009A0DA7" w:rsidP="009A0DA7">
      <w:pPr>
        <w:pStyle w:val="Tablei"/>
      </w:pPr>
      <w:r w:rsidRPr="00021F52">
        <w:t>(ii) is not associated with a service to which any of the following items apply:</w:t>
      </w:r>
    </w:p>
    <w:p w:rsidR="009A0DA7" w:rsidRPr="00021F52" w:rsidRDefault="009A0DA7" w:rsidP="009A0DA7">
      <w:pPr>
        <w:pStyle w:val="TableAA"/>
      </w:pPr>
      <w:r w:rsidRPr="00021F52">
        <w:t>(A) 177;</w:t>
      </w:r>
    </w:p>
    <w:p w:rsidR="009A0DA7" w:rsidRPr="00021F52" w:rsidRDefault="009A0DA7" w:rsidP="009A0DA7">
      <w:pPr>
        <w:pStyle w:val="TableAA"/>
      </w:pPr>
      <w:r w:rsidRPr="00021F52">
        <w:t>(B) 224 to 228;</w:t>
      </w:r>
    </w:p>
    <w:p w:rsidR="009A0DA7" w:rsidRPr="00021F52" w:rsidRDefault="009A0DA7" w:rsidP="009A0DA7">
      <w:pPr>
        <w:pStyle w:val="TableAA"/>
      </w:pPr>
      <w:r w:rsidRPr="00021F52">
        <w:t>(C) 229 to 244;</w:t>
      </w:r>
    </w:p>
    <w:p w:rsidR="009A0DA7" w:rsidRPr="00021F52" w:rsidRDefault="009A0DA7" w:rsidP="009A0DA7">
      <w:pPr>
        <w:pStyle w:val="TableAA"/>
      </w:pPr>
      <w:r w:rsidRPr="00021F52">
        <w:t>(D) 699;</w:t>
      </w:r>
    </w:p>
    <w:p w:rsidR="009A0DA7" w:rsidRPr="00021F52" w:rsidRDefault="009A0DA7" w:rsidP="009A0DA7">
      <w:pPr>
        <w:pStyle w:val="TableAA"/>
      </w:pPr>
      <w:r w:rsidRPr="00021F52">
        <w:t>(E) 701 to 707;</w:t>
      </w:r>
    </w:p>
    <w:p w:rsidR="009A0DA7" w:rsidRPr="00021F52" w:rsidRDefault="009A0DA7" w:rsidP="009A0DA7">
      <w:pPr>
        <w:pStyle w:val="TableAA"/>
      </w:pPr>
      <w:r w:rsidRPr="00021F52">
        <w:t>(F) 715</w:t>
      </w:r>
    </w:p>
    <w:p w:rsidR="009A0DA7" w:rsidRPr="00021F52" w:rsidRDefault="009A0DA7" w:rsidP="009A0DA7">
      <w:pPr>
        <w:pStyle w:val="TableAA"/>
      </w:pPr>
      <w:r w:rsidRPr="00021F52">
        <w:t>(G) 721 to 732;</w:t>
      </w:r>
    </w:p>
    <w:p w:rsidR="009A0DA7" w:rsidRPr="00021F52" w:rsidRDefault="009A0DA7" w:rsidP="009A0DA7">
      <w:pPr>
        <w:pStyle w:val="TableAA"/>
      </w:pPr>
      <w:r w:rsidRPr="00021F52">
        <w:t>(H) 735 to 758.</w:t>
      </w:r>
    </w:p>
    <w:p w:rsidR="009A0DA7" w:rsidRDefault="009A0DA7" w:rsidP="009A0DA7">
      <w:pPr>
        <w:spacing w:before="240" w:after="240"/>
      </w:pPr>
      <w:r>
        <w:lastRenderedPageBreak/>
        <w:t>Sub</w:t>
      </w:r>
      <w:r>
        <w:noBreakHyphen/>
        <w:t>subparagraph (g)(ii)(F) is missing a semicolon at the end.</w:t>
      </w:r>
    </w:p>
    <w:p w:rsidR="009A0DA7" w:rsidRPr="004549F1" w:rsidRDefault="009A0DA7" w:rsidP="009A0DA7">
      <w:pPr>
        <w:spacing w:after="240"/>
      </w:pPr>
      <w:r>
        <w:t>This compilation was editorially changed to insert a semicolon at the end of sub</w:t>
      </w:r>
      <w:r>
        <w:noBreakHyphen/>
        <w:t>subparagraph (g)(ii)(F) in column 2 of item 1</w:t>
      </w:r>
      <w:r w:rsidRPr="0053289D">
        <w:t>1607</w:t>
      </w:r>
      <w:r>
        <w:t xml:space="preserve"> of Schedule 1 to correct the punctuation.</w:t>
      </w:r>
    </w:p>
    <w:p w:rsidR="009A0DA7" w:rsidRPr="004549F1" w:rsidRDefault="009A0DA7" w:rsidP="009A0DA7">
      <w:pPr>
        <w:spacing w:after="240"/>
        <w:rPr>
          <w:b/>
          <w:sz w:val="24"/>
          <w:szCs w:val="24"/>
        </w:rPr>
      </w:pPr>
      <w:r>
        <w:rPr>
          <w:b/>
          <w:sz w:val="24"/>
          <w:szCs w:val="24"/>
        </w:rPr>
        <w:t>Schedule 1 (items 51300 and 51303, column 2)</w:t>
      </w:r>
    </w:p>
    <w:p w:rsidR="009A0DA7" w:rsidRPr="004549F1" w:rsidRDefault="009A0DA7" w:rsidP="009A0DA7">
      <w:pPr>
        <w:spacing w:after="240"/>
        <w:rPr>
          <w:b/>
        </w:rPr>
      </w:pPr>
      <w:r w:rsidRPr="004549F1">
        <w:rPr>
          <w:b/>
        </w:rPr>
        <w:t>Kind of editorial change</w:t>
      </w:r>
    </w:p>
    <w:p w:rsidR="009A0DA7" w:rsidRPr="00CD7AB0" w:rsidRDefault="009A0DA7" w:rsidP="009A0DA7">
      <w:pPr>
        <w:spacing w:after="240"/>
      </w:pPr>
      <w:r>
        <w:t>Give effect to the misdescribed amendments as intended</w:t>
      </w:r>
    </w:p>
    <w:p w:rsidR="009A0DA7" w:rsidRPr="004549F1" w:rsidRDefault="009A0DA7" w:rsidP="009A0DA7">
      <w:pPr>
        <w:spacing w:after="240"/>
        <w:rPr>
          <w:b/>
        </w:rPr>
      </w:pPr>
      <w:r w:rsidRPr="004549F1">
        <w:rPr>
          <w:b/>
        </w:rPr>
        <w:t>Details of editorial change</w:t>
      </w:r>
    </w:p>
    <w:p w:rsidR="009A0DA7" w:rsidRDefault="009A0DA7" w:rsidP="009A0DA7">
      <w:pPr>
        <w:spacing w:after="240"/>
      </w:pPr>
      <w:r>
        <w:t xml:space="preserve">Schedule 1 item 105 of the </w:t>
      </w:r>
      <w:r w:rsidRPr="005E3460">
        <w:rPr>
          <w:i/>
        </w:rPr>
        <w:t xml:space="preserve">Health Insurance Legislation Amendment (2022 Measures No. 1) </w:t>
      </w:r>
      <w:r>
        <w:rPr>
          <w:i/>
        </w:rPr>
        <w:t>Regulations 2</w:t>
      </w:r>
      <w:r w:rsidRPr="005E3460">
        <w:rPr>
          <w:i/>
        </w:rPr>
        <w:t>022</w:t>
      </w:r>
      <w:r>
        <w:t xml:space="preserve"> instructs to o</w:t>
      </w:r>
      <w:r w:rsidRPr="00E40D9F">
        <w:t>mit “$580.95”</w:t>
      </w:r>
      <w:r>
        <w:t xml:space="preserve"> and</w:t>
      </w:r>
      <w:r w:rsidRPr="00E40D9F">
        <w:t xml:space="preserve"> substitute “$590.25”</w:t>
      </w:r>
      <w:r>
        <w:t xml:space="preserve"> in column 2 of items 5</w:t>
      </w:r>
      <w:r w:rsidRPr="00E47889">
        <w:t>1300 and 51303</w:t>
      </w:r>
      <w:r>
        <w:t xml:space="preserve"> of Schedule 1.</w:t>
      </w:r>
    </w:p>
    <w:p w:rsidR="009A0DA7" w:rsidRDefault="009A0DA7" w:rsidP="009A0DA7">
      <w:pPr>
        <w:spacing w:after="240"/>
      </w:pPr>
      <w:r>
        <w:t>The fee of “</w:t>
      </w:r>
      <w:r w:rsidRPr="00E47889">
        <w:t>$580.95</w:t>
      </w:r>
      <w:r>
        <w:t>” appears twice in column 2 of items 5</w:t>
      </w:r>
      <w:r w:rsidRPr="00E47889">
        <w:t>1300 and 51303</w:t>
      </w:r>
      <w:r>
        <w:t xml:space="preserve"> of Schedule 1.</w:t>
      </w:r>
    </w:p>
    <w:p w:rsidR="009A0DA7" w:rsidRPr="004549F1" w:rsidRDefault="009A0DA7" w:rsidP="009A0DA7">
      <w:pPr>
        <w:spacing w:after="240"/>
      </w:pPr>
      <w:r>
        <w:t>This compilation was editorially changed to omit “</w:t>
      </w:r>
      <w:r w:rsidRPr="00E47889">
        <w:t>$580.95</w:t>
      </w:r>
      <w:r>
        <w:t>” (wherever occurring) in column 2 of items 5</w:t>
      </w:r>
      <w:r w:rsidRPr="00E47889">
        <w:t>1300 and 51303</w:t>
      </w:r>
      <w:r>
        <w:t xml:space="preserve"> of Schedule 1 and substitute “</w:t>
      </w:r>
      <w:r w:rsidRPr="00E47889">
        <w:t>$590.25</w:t>
      </w:r>
      <w:r>
        <w:t>” to give effect to the misdescribed amendments as intended.</w:t>
      </w:r>
    </w:p>
    <w:p w:rsidR="009A0DA7" w:rsidRPr="004549F1" w:rsidRDefault="009A0DA7" w:rsidP="006E6343">
      <w:pPr>
        <w:keepNext/>
        <w:keepLines/>
        <w:spacing w:after="240"/>
        <w:rPr>
          <w:b/>
          <w:sz w:val="24"/>
          <w:szCs w:val="24"/>
        </w:rPr>
      </w:pPr>
      <w:r>
        <w:rPr>
          <w:b/>
          <w:sz w:val="24"/>
          <w:szCs w:val="24"/>
        </w:rPr>
        <w:t>Schedule 1</w:t>
      </w:r>
      <w:r w:rsidRPr="002B1B03">
        <w:rPr>
          <w:b/>
          <w:sz w:val="24"/>
          <w:szCs w:val="24"/>
        </w:rPr>
        <w:t xml:space="preserve"> (</w:t>
      </w:r>
      <w:r>
        <w:rPr>
          <w:b/>
          <w:sz w:val="24"/>
          <w:szCs w:val="24"/>
        </w:rPr>
        <w:t>items 5</w:t>
      </w:r>
      <w:r w:rsidRPr="002B1B03">
        <w:rPr>
          <w:b/>
          <w:sz w:val="24"/>
          <w:szCs w:val="24"/>
        </w:rPr>
        <w:t>1800 and 51803, column 2)</w:t>
      </w:r>
    </w:p>
    <w:p w:rsidR="009A0DA7" w:rsidRPr="004549F1" w:rsidRDefault="009A0DA7" w:rsidP="009A0DA7">
      <w:pPr>
        <w:spacing w:after="240"/>
        <w:rPr>
          <w:b/>
        </w:rPr>
      </w:pPr>
      <w:r w:rsidRPr="004549F1">
        <w:rPr>
          <w:b/>
        </w:rPr>
        <w:t>Kind of editorial change</w:t>
      </w:r>
    </w:p>
    <w:p w:rsidR="009A0DA7" w:rsidRPr="006259D7" w:rsidRDefault="009A0DA7" w:rsidP="009A0DA7">
      <w:pPr>
        <w:spacing w:after="240"/>
      </w:pPr>
      <w:r>
        <w:t>Give effect to the misdescribed amendments as intended</w:t>
      </w:r>
    </w:p>
    <w:p w:rsidR="009A0DA7" w:rsidRPr="004549F1" w:rsidRDefault="009A0DA7" w:rsidP="009A0DA7">
      <w:pPr>
        <w:spacing w:after="240"/>
        <w:rPr>
          <w:b/>
        </w:rPr>
      </w:pPr>
      <w:r w:rsidRPr="004549F1">
        <w:rPr>
          <w:b/>
        </w:rPr>
        <w:t>Details of editorial change</w:t>
      </w:r>
    </w:p>
    <w:p w:rsidR="009A0DA7" w:rsidRDefault="009A0DA7" w:rsidP="009A0DA7">
      <w:pPr>
        <w:spacing w:after="240"/>
      </w:pPr>
      <w:r>
        <w:t xml:space="preserve">Schedule 1 item 108 of the </w:t>
      </w:r>
      <w:r w:rsidRPr="00BE453C">
        <w:rPr>
          <w:i/>
        </w:rPr>
        <w:t xml:space="preserve">Health Insurance Legislation Amendment (2022 Measures No. 1) </w:t>
      </w:r>
      <w:r>
        <w:rPr>
          <w:i/>
        </w:rPr>
        <w:t>Regulations 2</w:t>
      </w:r>
      <w:r w:rsidRPr="00BE453C">
        <w:rPr>
          <w:i/>
        </w:rPr>
        <w:t>022</w:t>
      </w:r>
      <w:r>
        <w:t xml:space="preserve"> instructs to o</w:t>
      </w:r>
      <w:r w:rsidRPr="00E40D9F">
        <w:t>mit “$580.95”</w:t>
      </w:r>
      <w:r>
        <w:t xml:space="preserve"> and</w:t>
      </w:r>
      <w:r w:rsidRPr="00E40D9F">
        <w:t xml:space="preserve"> substitute “$590.25”</w:t>
      </w:r>
      <w:r>
        <w:t xml:space="preserve"> in column 2 of items 5</w:t>
      </w:r>
      <w:r w:rsidRPr="002B1B03">
        <w:t>1800 and 51803</w:t>
      </w:r>
      <w:r>
        <w:t xml:space="preserve"> of Schedule 1.</w:t>
      </w:r>
    </w:p>
    <w:p w:rsidR="009A0DA7" w:rsidRDefault="009A0DA7" w:rsidP="009A0DA7">
      <w:pPr>
        <w:spacing w:after="240"/>
      </w:pPr>
      <w:r>
        <w:t>The fee of “</w:t>
      </w:r>
      <w:r w:rsidRPr="00E47889">
        <w:t>$580.95</w:t>
      </w:r>
      <w:r>
        <w:t>” appears twice in column 2 of items 5</w:t>
      </w:r>
      <w:r w:rsidRPr="004C29D1">
        <w:t xml:space="preserve">1800 and 51803 </w:t>
      </w:r>
      <w:r>
        <w:t>of Schedule 1.</w:t>
      </w:r>
    </w:p>
    <w:p w:rsidR="009A0DA7" w:rsidRPr="004549F1" w:rsidRDefault="009A0DA7" w:rsidP="009A0DA7">
      <w:r>
        <w:t>This compilation was editorially changed to omit “</w:t>
      </w:r>
      <w:r w:rsidRPr="00E47889">
        <w:t>$580.95</w:t>
      </w:r>
      <w:r>
        <w:t>” (wherever occurring) in column 2 of items 5</w:t>
      </w:r>
      <w:r w:rsidRPr="004C29D1">
        <w:t xml:space="preserve">1800 and 51803 </w:t>
      </w:r>
      <w:r>
        <w:t>of Schedule 1 and substitute “</w:t>
      </w:r>
      <w:r w:rsidRPr="00E47889">
        <w:t>$590.25</w:t>
      </w:r>
      <w:r>
        <w:t>” to give effect to the misdescribed amendments as intended.</w:t>
      </w:r>
    </w:p>
    <w:p w:rsidR="00FC6F35" w:rsidRPr="004C7422" w:rsidRDefault="00FC6F35" w:rsidP="00FC6F35">
      <w:pPr>
        <w:pStyle w:val="Head2"/>
        <w:keepLines/>
      </w:pPr>
      <w:r w:rsidRPr="00255F4E">
        <w:t xml:space="preserve">Renewable Energy (Electricity) </w:t>
      </w:r>
      <w:r>
        <w:t>Regulations 2</w:t>
      </w:r>
      <w:r w:rsidRPr="00255F4E">
        <w:t>001</w:t>
      </w:r>
      <w:r w:rsidRPr="004C7422">
        <w:t>, Compilation No. </w:t>
      </w:r>
      <w:r>
        <w:t>79</w:t>
      </w:r>
      <w:r w:rsidRPr="004C7422">
        <w:t xml:space="preserve">, Registration Date: </w:t>
      </w:r>
      <w:r>
        <w:t>18</w:t>
      </w:r>
      <w:r w:rsidRPr="004C7422">
        <w:t> </w:t>
      </w:r>
      <w:r>
        <w:t xml:space="preserve">July </w:t>
      </w:r>
      <w:r w:rsidRPr="004C7422">
        <w:t>202</w:t>
      </w:r>
      <w:r>
        <w:t>2</w:t>
      </w:r>
      <w:r w:rsidRPr="004C7422">
        <w:t xml:space="preserve"> [</w:t>
      </w:r>
      <w:r w:rsidRPr="00FC6F35">
        <w:t>F2022C00698</w:t>
      </w:r>
      <w:r w:rsidRPr="004C7422">
        <w:t>]</w:t>
      </w:r>
    </w:p>
    <w:p w:rsidR="00FC6F35" w:rsidRPr="00332C39" w:rsidRDefault="00FC6F35" w:rsidP="00FC6F35">
      <w:pPr>
        <w:spacing w:before="240" w:after="240"/>
        <w:rPr>
          <w:b/>
          <w:sz w:val="24"/>
          <w:szCs w:val="24"/>
        </w:rPr>
      </w:pPr>
      <w:r>
        <w:rPr>
          <w:b/>
          <w:sz w:val="24"/>
          <w:szCs w:val="24"/>
        </w:rPr>
        <w:t>Regulation 45</w:t>
      </w:r>
    </w:p>
    <w:p w:rsidR="00FC6F35" w:rsidRPr="00332C39" w:rsidRDefault="00FC6F35" w:rsidP="00FC6F35">
      <w:pPr>
        <w:spacing w:after="240"/>
        <w:rPr>
          <w:b/>
        </w:rPr>
      </w:pPr>
      <w:r w:rsidRPr="00332C39">
        <w:rPr>
          <w:b/>
        </w:rPr>
        <w:t>Kind of editorial change</w:t>
      </w:r>
    </w:p>
    <w:p w:rsidR="00FC6F35" w:rsidRPr="00F07CB8" w:rsidRDefault="00FC6F35" w:rsidP="00FC6F35">
      <w:pPr>
        <w:spacing w:after="240"/>
      </w:pPr>
      <w:r>
        <w:t>Removal of redundant text</w:t>
      </w:r>
    </w:p>
    <w:p w:rsidR="00FC6F35" w:rsidRPr="00332C39" w:rsidRDefault="00FC6F35" w:rsidP="00FC6F35">
      <w:pPr>
        <w:spacing w:after="240"/>
        <w:rPr>
          <w:b/>
        </w:rPr>
      </w:pPr>
      <w:r w:rsidRPr="00332C39">
        <w:rPr>
          <w:b/>
        </w:rPr>
        <w:t>Details of editorial change</w:t>
      </w:r>
    </w:p>
    <w:p w:rsidR="00FC6F35" w:rsidRPr="00332C39" w:rsidRDefault="00FC6F35" w:rsidP="00FC6F35">
      <w:pPr>
        <w:spacing w:after="240"/>
      </w:pPr>
      <w:r>
        <w:t>Schedule 2</w:t>
      </w:r>
      <w:r w:rsidRPr="00332C39">
        <w:t xml:space="preserve"> </w:t>
      </w:r>
      <w:r>
        <w:t>item 4</w:t>
      </w:r>
      <w:r w:rsidRPr="00332C39">
        <w:t xml:space="preserve"> of the </w:t>
      </w:r>
      <w:r w:rsidRPr="00332C39">
        <w:rPr>
          <w:i/>
        </w:rPr>
        <w:t>Renewable Energy (Electricity) Amendment (Small</w:t>
      </w:r>
      <w:r>
        <w:rPr>
          <w:i/>
        </w:rPr>
        <w:noBreakHyphen/>
      </w:r>
      <w:r w:rsidRPr="00332C39">
        <w:rPr>
          <w:i/>
        </w:rPr>
        <w:t xml:space="preserve">Scale Renewable Energy Scheme Reforms and Other Measures) </w:t>
      </w:r>
      <w:r>
        <w:rPr>
          <w:i/>
        </w:rPr>
        <w:t>Regulations 2</w:t>
      </w:r>
      <w:r w:rsidRPr="00332C39">
        <w:rPr>
          <w:i/>
        </w:rPr>
        <w:t>021</w:t>
      </w:r>
      <w:r w:rsidRPr="00332C39">
        <w:t xml:space="preserve"> instructs to </w:t>
      </w:r>
      <w:r>
        <w:t xml:space="preserve">omit “Clean Energy Council” </w:t>
      </w:r>
      <w:r>
        <w:lastRenderedPageBreak/>
        <w:t xml:space="preserve">and substitute </w:t>
      </w:r>
      <w:r w:rsidRPr="00342447">
        <w:t>“the scheme operator for the accreditation scheme under which the person or persons who designed and installed the small generation unit were accredited”</w:t>
      </w:r>
      <w:r>
        <w:t xml:space="preserve"> in regulation 45.</w:t>
      </w:r>
    </w:p>
    <w:p w:rsidR="00FC6F35" w:rsidRPr="00332C39" w:rsidRDefault="00FC6F35" w:rsidP="00FC6F35">
      <w:pPr>
        <w:spacing w:after="240"/>
      </w:pPr>
      <w:r w:rsidRPr="00332C39">
        <w:t xml:space="preserve">This amendment results in </w:t>
      </w:r>
      <w:r>
        <w:t>two consecutive occurrences of the word “the”.</w:t>
      </w:r>
    </w:p>
    <w:p w:rsidR="00FC6F35" w:rsidRDefault="00FC6F35" w:rsidP="00FC6F35">
      <w:pPr>
        <w:spacing w:after="240"/>
      </w:pPr>
      <w:r w:rsidRPr="00332C39">
        <w:t xml:space="preserve">This compilation was editorially changed to </w:t>
      </w:r>
      <w:r>
        <w:t>omit “the the” and substitute “the” in regulation 45 to remove the redundant text</w:t>
      </w:r>
      <w:r w:rsidRPr="00332C39">
        <w:t>.</w:t>
      </w:r>
    </w:p>
    <w:p w:rsidR="00FC6F35" w:rsidRPr="00014466" w:rsidRDefault="00FC6F35" w:rsidP="00FC6F35">
      <w:pPr>
        <w:spacing w:after="240"/>
        <w:rPr>
          <w:b/>
          <w:sz w:val="24"/>
          <w:szCs w:val="24"/>
        </w:rPr>
      </w:pPr>
      <w:bookmarkStart w:id="42" w:name="_Hlk107327369"/>
      <w:r>
        <w:rPr>
          <w:b/>
          <w:sz w:val="24"/>
          <w:szCs w:val="24"/>
        </w:rPr>
        <w:t>Subregulation 4</w:t>
      </w:r>
      <w:r w:rsidRPr="00014466">
        <w:rPr>
          <w:b/>
          <w:sz w:val="24"/>
          <w:szCs w:val="24"/>
        </w:rPr>
        <w:t xml:space="preserve">9(1) (table </w:t>
      </w:r>
      <w:r>
        <w:rPr>
          <w:b/>
          <w:sz w:val="24"/>
          <w:szCs w:val="24"/>
        </w:rPr>
        <w:t>item 2</w:t>
      </w:r>
      <w:r w:rsidRPr="00014466">
        <w:rPr>
          <w:b/>
          <w:sz w:val="24"/>
          <w:szCs w:val="24"/>
        </w:rPr>
        <w:t>AE)</w:t>
      </w:r>
    </w:p>
    <w:bookmarkEnd w:id="42"/>
    <w:p w:rsidR="00FC6F35" w:rsidRPr="00014466" w:rsidRDefault="00FC6F35" w:rsidP="00FC6F35">
      <w:pPr>
        <w:spacing w:after="240"/>
        <w:rPr>
          <w:b/>
        </w:rPr>
      </w:pPr>
      <w:r w:rsidRPr="00014466">
        <w:rPr>
          <w:b/>
        </w:rPr>
        <w:t>Kind of editorial change</w:t>
      </w:r>
    </w:p>
    <w:p w:rsidR="00FC6F35" w:rsidRPr="00F07CB8" w:rsidRDefault="00FC6F35" w:rsidP="00FC6F35">
      <w:pPr>
        <w:spacing w:after="240"/>
      </w:pPr>
      <w:bookmarkStart w:id="43" w:name="_Hlk107327359"/>
      <w:r w:rsidRPr="00014466">
        <w:t>Reordering of provisions</w:t>
      </w:r>
    </w:p>
    <w:bookmarkEnd w:id="43"/>
    <w:p w:rsidR="00FC6F35" w:rsidRPr="00014466" w:rsidRDefault="00FC6F35" w:rsidP="00FC6F35">
      <w:pPr>
        <w:spacing w:after="240"/>
        <w:rPr>
          <w:b/>
        </w:rPr>
      </w:pPr>
      <w:r w:rsidRPr="00014466">
        <w:rPr>
          <w:b/>
        </w:rPr>
        <w:t>Details of editorial change</w:t>
      </w:r>
    </w:p>
    <w:p w:rsidR="00FC6F35" w:rsidRPr="00014466" w:rsidRDefault="00FC6F35" w:rsidP="00FC6F35">
      <w:pPr>
        <w:spacing w:after="240"/>
      </w:pPr>
      <w:r>
        <w:t>Schedule 2</w:t>
      </w:r>
      <w:r w:rsidRPr="00014466">
        <w:t xml:space="preserve"> </w:t>
      </w:r>
      <w:r>
        <w:t>item 5</w:t>
      </w:r>
      <w:r w:rsidRPr="00014466">
        <w:t xml:space="preserve"> of the </w:t>
      </w:r>
      <w:r w:rsidRPr="00014466">
        <w:rPr>
          <w:i/>
        </w:rPr>
        <w:t>Renewable Energy (Electricity) Amendment (Small</w:t>
      </w:r>
      <w:r>
        <w:rPr>
          <w:i/>
        </w:rPr>
        <w:noBreakHyphen/>
      </w:r>
      <w:r w:rsidRPr="00014466">
        <w:rPr>
          <w:i/>
        </w:rPr>
        <w:t xml:space="preserve">Scale Renewable Energy Scheme Reforms and Other Measures) </w:t>
      </w:r>
      <w:r>
        <w:rPr>
          <w:i/>
        </w:rPr>
        <w:t>Regulations 2</w:t>
      </w:r>
      <w:r w:rsidRPr="00014466">
        <w:rPr>
          <w:i/>
        </w:rPr>
        <w:t>021</w:t>
      </w:r>
      <w:r w:rsidRPr="00014466">
        <w:t xml:space="preserve"> instructs to insert table </w:t>
      </w:r>
      <w:r>
        <w:t>items 2</w:t>
      </w:r>
      <w:r w:rsidRPr="00014466">
        <w:t xml:space="preserve">AF and 2AG after table </w:t>
      </w:r>
      <w:r>
        <w:t>item 2</w:t>
      </w:r>
      <w:r w:rsidRPr="00014466">
        <w:t xml:space="preserve">AD </w:t>
      </w:r>
      <w:r>
        <w:t>of</w:t>
      </w:r>
      <w:r w:rsidRPr="00014466">
        <w:t xml:space="preserve"> </w:t>
      </w:r>
      <w:r>
        <w:t>subregulation 4</w:t>
      </w:r>
      <w:r w:rsidRPr="00014466">
        <w:t>9(1).</w:t>
      </w:r>
    </w:p>
    <w:p w:rsidR="00FC6F35" w:rsidRPr="00014466" w:rsidRDefault="00FC6F35" w:rsidP="00FC6F35">
      <w:pPr>
        <w:spacing w:after="240"/>
      </w:pPr>
      <w:r w:rsidRPr="00014466">
        <w:t xml:space="preserve">This amendment results in table </w:t>
      </w:r>
      <w:r>
        <w:t>item 2</w:t>
      </w:r>
      <w:r w:rsidRPr="00014466">
        <w:t xml:space="preserve">AE </w:t>
      </w:r>
      <w:r>
        <w:t>of</w:t>
      </w:r>
      <w:r w:rsidRPr="00014466">
        <w:t xml:space="preserve"> </w:t>
      </w:r>
      <w:r>
        <w:t>subregulation 4</w:t>
      </w:r>
      <w:r w:rsidRPr="00014466">
        <w:t>9(1) being out of alphanumeric</w:t>
      </w:r>
      <w:r>
        <w:t>al</w:t>
      </w:r>
      <w:r w:rsidRPr="00014466">
        <w:t xml:space="preserve"> order.</w:t>
      </w:r>
    </w:p>
    <w:p w:rsidR="00FC6F35" w:rsidRPr="00014466" w:rsidRDefault="00FC6F35" w:rsidP="00FC6F35">
      <w:r w:rsidRPr="00014466">
        <w:t xml:space="preserve">This compilation was editorially changed to move table </w:t>
      </w:r>
      <w:r>
        <w:t>item 2</w:t>
      </w:r>
      <w:r w:rsidRPr="00014466">
        <w:t xml:space="preserve">AE </w:t>
      </w:r>
      <w:r>
        <w:t>of</w:t>
      </w:r>
      <w:r w:rsidRPr="00014466">
        <w:t xml:space="preserve"> </w:t>
      </w:r>
      <w:r>
        <w:t>subregulation 4</w:t>
      </w:r>
      <w:r w:rsidRPr="00014466">
        <w:t>9(1) to the correct alphanumeric</w:t>
      </w:r>
      <w:r>
        <w:t>al</w:t>
      </w:r>
      <w:r w:rsidRPr="00014466">
        <w:t xml:space="preserve"> position.</w:t>
      </w:r>
    </w:p>
    <w:p w:rsidR="00E73B1E" w:rsidRPr="004C7422" w:rsidRDefault="00E73B1E" w:rsidP="00E73B1E">
      <w:pPr>
        <w:pStyle w:val="Head2"/>
        <w:keepLines/>
      </w:pPr>
      <w:r w:rsidRPr="00236638">
        <w:t>Aviation Transport Secur</w:t>
      </w:r>
      <w:bookmarkStart w:id="44" w:name="opcCurrentPosition"/>
      <w:bookmarkEnd w:id="44"/>
      <w:r w:rsidRPr="00236638">
        <w:t xml:space="preserve">ity </w:t>
      </w:r>
      <w:r>
        <w:t>Regulations 2</w:t>
      </w:r>
      <w:r w:rsidRPr="00236638">
        <w:t>005</w:t>
      </w:r>
      <w:r w:rsidRPr="004C7422">
        <w:t>, Compilation No. </w:t>
      </w:r>
      <w:r>
        <w:t>72</w:t>
      </w:r>
      <w:r w:rsidRPr="004C7422">
        <w:t xml:space="preserve">, Registration Date: </w:t>
      </w:r>
      <w:r>
        <w:t>11</w:t>
      </w:r>
      <w:r w:rsidRPr="004C7422">
        <w:t> </w:t>
      </w:r>
      <w:r>
        <w:t xml:space="preserve">July </w:t>
      </w:r>
      <w:r w:rsidRPr="004C7422">
        <w:t>202</w:t>
      </w:r>
      <w:r>
        <w:t>2</w:t>
      </w:r>
      <w:r w:rsidRPr="004C7422">
        <w:t xml:space="preserve"> [</w:t>
      </w:r>
      <w:r w:rsidRPr="00E73B1E">
        <w:t>F2022C00667</w:t>
      </w:r>
      <w:r w:rsidRPr="004C7422">
        <w:t>]</w:t>
      </w:r>
    </w:p>
    <w:p w:rsidR="006E2CA4" w:rsidRPr="00236638" w:rsidRDefault="006E2CA4" w:rsidP="006E2CA4">
      <w:pPr>
        <w:spacing w:before="240" w:after="240"/>
        <w:rPr>
          <w:b/>
          <w:sz w:val="24"/>
          <w:szCs w:val="24"/>
        </w:rPr>
      </w:pPr>
      <w:r>
        <w:rPr>
          <w:b/>
          <w:sz w:val="24"/>
          <w:szCs w:val="24"/>
        </w:rPr>
        <w:t>Regulation 1</w:t>
      </w:r>
      <w:r w:rsidRPr="00236638">
        <w:rPr>
          <w:b/>
          <w:sz w:val="24"/>
          <w:szCs w:val="24"/>
        </w:rPr>
        <w:t>0.44 (first occurring)</w:t>
      </w:r>
    </w:p>
    <w:p w:rsidR="006E2CA4" w:rsidRPr="00236638" w:rsidRDefault="006E2CA4" w:rsidP="006E2CA4">
      <w:pPr>
        <w:spacing w:after="240"/>
        <w:rPr>
          <w:b/>
        </w:rPr>
      </w:pPr>
      <w:r w:rsidRPr="00236638">
        <w:rPr>
          <w:b/>
        </w:rPr>
        <w:t>Kind of editorial change</w:t>
      </w:r>
    </w:p>
    <w:p w:rsidR="006E2CA4" w:rsidRPr="00236638" w:rsidRDefault="006E2CA4" w:rsidP="006E2CA4">
      <w:pPr>
        <w:spacing w:after="240"/>
      </w:pPr>
      <w:r w:rsidRPr="00236638">
        <w:t>Renumbering of provisions</w:t>
      </w:r>
    </w:p>
    <w:p w:rsidR="006E2CA4" w:rsidRPr="00236638" w:rsidRDefault="006E2CA4" w:rsidP="006E2CA4">
      <w:pPr>
        <w:spacing w:after="240"/>
        <w:rPr>
          <w:b/>
        </w:rPr>
      </w:pPr>
      <w:r w:rsidRPr="00236638">
        <w:rPr>
          <w:b/>
        </w:rPr>
        <w:t>Details of editorial change</w:t>
      </w:r>
    </w:p>
    <w:p w:rsidR="006E2CA4" w:rsidRPr="00236638" w:rsidRDefault="006E2CA4" w:rsidP="006E2CA4">
      <w:pPr>
        <w:spacing w:after="240"/>
      </w:pPr>
      <w:r>
        <w:t>Schedule 2</w:t>
      </w:r>
      <w:r w:rsidRPr="00236638">
        <w:t xml:space="preserve"> </w:t>
      </w:r>
      <w:r>
        <w:t>item 4</w:t>
      </w:r>
      <w:r w:rsidRPr="00236638">
        <w:t xml:space="preserve"> of the </w:t>
      </w:r>
      <w:r w:rsidRPr="00236638">
        <w:rPr>
          <w:i/>
        </w:rPr>
        <w:t xml:space="preserve">Aviation Transport Security Amendment (Domestic Air Cargo—Regional Airports) </w:t>
      </w:r>
      <w:r>
        <w:rPr>
          <w:i/>
        </w:rPr>
        <w:t>Regulations 2</w:t>
      </w:r>
      <w:r w:rsidRPr="00236638">
        <w:rPr>
          <w:i/>
        </w:rPr>
        <w:t>021</w:t>
      </w:r>
      <w:r w:rsidRPr="00236638">
        <w:t xml:space="preserve"> instructs to add </w:t>
      </w:r>
      <w:r>
        <w:t>regulation 1</w:t>
      </w:r>
      <w:r w:rsidRPr="00236638">
        <w:t xml:space="preserve">0.44 at the end of Division 19 of </w:t>
      </w:r>
      <w:r>
        <w:t>Part 1</w:t>
      </w:r>
      <w:r w:rsidRPr="00236638">
        <w:t>0.</w:t>
      </w:r>
    </w:p>
    <w:p w:rsidR="006E2CA4" w:rsidRPr="00236638" w:rsidRDefault="006E2CA4" w:rsidP="006E2CA4">
      <w:pPr>
        <w:spacing w:after="240"/>
      </w:pPr>
      <w:r>
        <w:t>Regulation 1</w:t>
      </w:r>
      <w:r w:rsidRPr="00236638">
        <w:t xml:space="preserve">0.44 already appears in </w:t>
      </w:r>
      <w:r>
        <w:t>Division 2</w:t>
      </w:r>
      <w:r w:rsidRPr="00236638">
        <w:t xml:space="preserve">0 of </w:t>
      </w:r>
      <w:r>
        <w:t>Part 1</w:t>
      </w:r>
      <w:r w:rsidRPr="00236638">
        <w:t>0.</w:t>
      </w:r>
    </w:p>
    <w:p w:rsidR="006E2CA4" w:rsidRPr="00236638" w:rsidRDefault="006E2CA4" w:rsidP="006E2CA4">
      <w:r w:rsidRPr="00236638">
        <w:t xml:space="preserve">This compilation was editorially changed by renumbering the newly inserted, first occurring </w:t>
      </w:r>
      <w:r>
        <w:t>regulation 1</w:t>
      </w:r>
      <w:r w:rsidRPr="00236638">
        <w:t xml:space="preserve">0.44 as </w:t>
      </w:r>
      <w:r>
        <w:t>regulation 1</w:t>
      </w:r>
      <w:r w:rsidRPr="00236638">
        <w:t>0.44A.</w:t>
      </w:r>
    </w:p>
    <w:p w:rsidR="00E654FF" w:rsidRPr="004C7422" w:rsidRDefault="00E654FF" w:rsidP="00703EB2">
      <w:pPr>
        <w:pStyle w:val="Head2"/>
        <w:keepLines/>
      </w:pPr>
      <w:r>
        <w:lastRenderedPageBreak/>
        <w:t>Health Insurance (Section 3C General Medical Services – Transcatheter Aortic Valve Implantation) Determination 2018</w:t>
      </w:r>
      <w:r w:rsidRPr="004C7422">
        <w:t>, Compilation No. </w:t>
      </w:r>
      <w:r>
        <w:t>5</w:t>
      </w:r>
      <w:r w:rsidRPr="004C7422">
        <w:t xml:space="preserve">, Registration Date: </w:t>
      </w:r>
      <w:r>
        <w:t>10</w:t>
      </w:r>
      <w:r w:rsidRPr="004C7422">
        <w:t> </w:t>
      </w:r>
      <w:r>
        <w:t xml:space="preserve">July </w:t>
      </w:r>
      <w:r w:rsidRPr="004C7422">
        <w:t>202</w:t>
      </w:r>
      <w:r>
        <w:t>2</w:t>
      </w:r>
      <w:r w:rsidRPr="004C7422">
        <w:t xml:space="preserve"> [</w:t>
      </w:r>
      <w:r w:rsidRPr="00E654FF">
        <w:t>F2022C00663</w:t>
      </w:r>
      <w:r w:rsidRPr="004C7422">
        <w:t>]</w:t>
      </w:r>
    </w:p>
    <w:p w:rsidR="00E654FF" w:rsidRPr="004549F1" w:rsidRDefault="00E654FF" w:rsidP="00703EB2">
      <w:pPr>
        <w:keepNext/>
        <w:keepLines/>
        <w:spacing w:before="240" w:after="240"/>
        <w:rPr>
          <w:b/>
          <w:sz w:val="24"/>
          <w:szCs w:val="24"/>
        </w:rPr>
      </w:pPr>
      <w:r>
        <w:rPr>
          <w:b/>
          <w:sz w:val="24"/>
          <w:szCs w:val="24"/>
        </w:rPr>
        <w:t xml:space="preserve">Subsection 5(1) </w:t>
      </w:r>
      <w:r w:rsidRPr="00A46B20">
        <w:rPr>
          <w:b/>
          <w:sz w:val="24"/>
          <w:szCs w:val="24"/>
        </w:rPr>
        <w:t>(definition</w:t>
      </w:r>
      <w:r>
        <w:rPr>
          <w:b/>
          <w:sz w:val="24"/>
          <w:szCs w:val="24"/>
        </w:rPr>
        <w:t>s</w:t>
      </w:r>
      <w:r w:rsidRPr="00A46B20">
        <w:rPr>
          <w:b/>
          <w:sz w:val="24"/>
          <w:szCs w:val="24"/>
        </w:rPr>
        <w:t xml:space="preserve"> of </w:t>
      </w:r>
      <w:r w:rsidRPr="008F7DBB">
        <w:rPr>
          <w:b/>
          <w:i/>
          <w:sz w:val="24"/>
          <w:szCs w:val="24"/>
        </w:rPr>
        <w:t>TAVI Case Conference</w:t>
      </w:r>
      <w:r w:rsidRPr="00A46B20">
        <w:rPr>
          <w:b/>
          <w:sz w:val="24"/>
          <w:szCs w:val="24"/>
        </w:rPr>
        <w:t xml:space="preserve"> and </w:t>
      </w:r>
      <w:r w:rsidRPr="008F7DBB">
        <w:rPr>
          <w:b/>
          <w:i/>
          <w:sz w:val="24"/>
          <w:szCs w:val="24"/>
        </w:rPr>
        <w:t>TAVI Hospital</w:t>
      </w:r>
      <w:r w:rsidRPr="00A46B20">
        <w:rPr>
          <w:b/>
          <w:sz w:val="24"/>
          <w:szCs w:val="24"/>
        </w:rPr>
        <w:t>)</w:t>
      </w:r>
    </w:p>
    <w:p w:rsidR="00E654FF" w:rsidRPr="004549F1" w:rsidRDefault="00E654FF" w:rsidP="00703EB2">
      <w:pPr>
        <w:keepNext/>
        <w:keepLines/>
        <w:spacing w:after="240"/>
        <w:rPr>
          <w:b/>
        </w:rPr>
      </w:pPr>
      <w:r w:rsidRPr="004549F1">
        <w:rPr>
          <w:b/>
        </w:rPr>
        <w:t>Kind of editorial change</w:t>
      </w:r>
    </w:p>
    <w:p w:rsidR="00E654FF" w:rsidRPr="009E4991" w:rsidRDefault="00E654FF" w:rsidP="00703EB2">
      <w:pPr>
        <w:keepNext/>
        <w:keepLines/>
        <w:spacing w:after="240"/>
      </w:pPr>
      <w:r>
        <w:t xml:space="preserve">Give effect to </w:t>
      </w:r>
      <w:r w:rsidRPr="00E2562F">
        <w:t>the misdescribed amendment</w:t>
      </w:r>
      <w:r>
        <w:t>s</w:t>
      </w:r>
      <w:r w:rsidRPr="00E2562F">
        <w:t xml:space="preserve"> as intended</w:t>
      </w:r>
    </w:p>
    <w:p w:rsidR="00E654FF" w:rsidRPr="004549F1" w:rsidRDefault="00E654FF" w:rsidP="00E654FF">
      <w:pPr>
        <w:spacing w:after="240"/>
        <w:rPr>
          <w:b/>
        </w:rPr>
      </w:pPr>
      <w:r w:rsidRPr="004549F1">
        <w:rPr>
          <w:b/>
        </w:rPr>
        <w:t>Details of editorial change</w:t>
      </w:r>
    </w:p>
    <w:p w:rsidR="00E654FF" w:rsidRDefault="00E654FF" w:rsidP="00E654FF">
      <w:pPr>
        <w:spacing w:after="240"/>
        <w:rPr>
          <w:iCs/>
          <w:color w:val="000000"/>
        </w:rPr>
      </w:pPr>
      <w:r>
        <w:t xml:space="preserve">Schedule 1 item 1 of the </w:t>
      </w:r>
      <w:r w:rsidRPr="00D94950">
        <w:rPr>
          <w:i/>
        </w:rPr>
        <w:t>Health Insurance (Section 3C General Medical Services – Transcatheter Aortic Valve Implantation) Amendment (Low Risk Surgical Patients and CEP Device) Determination 2022</w:t>
      </w:r>
      <w:r w:rsidRPr="00E944E3">
        <w:rPr>
          <w:iCs/>
          <w:color w:val="000000"/>
        </w:rPr>
        <w:t xml:space="preserve"> </w:t>
      </w:r>
      <w:r>
        <w:rPr>
          <w:iCs/>
          <w:color w:val="000000"/>
        </w:rPr>
        <w:t>instructs to o</w:t>
      </w:r>
      <w:r w:rsidRPr="00230D53">
        <w:rPr>
          <w:iCs/>
          <w:color w:val="000000"/>
        </w:rPr>
        <w:t xml:space="preserve">mit </w:t>
      </w:r>
      <w:r>
        <w:rPr>
          <w:iCs/>
          <w:color w:val="000000"/>
        </w:rPr>
        <w:t>“</w:t>
      </w:r>
      <w:r w:rsidRPr="00FA06E9">
        <w:rPr>
          <w:iCs/>
          <w:color w:val="000000"/>
        </w:rPr>
        <w:t>items 38495 and 38514</w:t>
      </w:r>
      <w:r>
        <w:rPr>
          <w:iCs/>
          <w:color w:val="000000"/>
        </w:rPr>
        <w:t>”</w:t>
      </w:r>
      <w:r w:rsidRPr="00230D53">
        <w:rPr>
          <w:iCs/>
          <w:color w:val="000000"/>
        </w:rPr>
        <w:t xml:space="preserve"> </w:t>
      </w:r>
      <w:r>
        <w:rPr>
          <w:iCs/>
          <w:color w:val="000000"/>
        </w:rPr>
        <w:t>(</w:t>
      </w:r>
      <w:r w:rsidRPr="00230D53">
        <w:rPr>
          <w:iCs/>
          <w:color w:val="000000"/>
        </w:rPr>
        <w:t>wherever occurring</w:t>
      </w:r>
      <w:r>
        <w:rPr>
          <w:iCs/>
          <w:color w:val="000000"/>
        </w:rPr>
        <w:t xml:space="preserve">) and </w:t>
      </w:r>
      <w:r w:rsidRPr="00230D53">
        <w:rPr>
          <w:iCs/>
          <w:color w:val="000000"/>
        </w:rPr>
        <w:t xml:space="preserve">substitute </w:t>
      </w:r>
      <w:r>
        <w:rPr>
          <w:iCs/>
          <w:color w:val="000000"/>
        </w:rPr>
        <w:t>“</w:t>
      </w:r>
      <w:r w:rsidRPr="00631C5B">
        <w:rPr>
          <w:color w:val="000000"/>
          <w:szCs w:val="22"/>
        </w:rPr>
        <w:t>item 38495, 38514 or 38522</w:t>
      </w:r>
      <w:r>
        <w:rPr>
          <w:iCs/>
          <w:color w:val="000000"/>
        </w:rPr>
        <w:t xml:space="preserve">” in the definitions of </w:t>
      </w:r>
      <w:r w:rsidRPr="008F7DBB">
        <w:rPr>
          <w:b/>
          <w:bCs/>
          <w:i/>
          <w:iCs/>
          <w:color w:val="000000" w:themeColor="text1"/>
        </w:rPr>
        <w:t>TAVI Case Conference</w:t>
      </w:r>
      <w:r w:rsidRPr="00E944E3">
        <w:rPr>
          <w:bCs/>
          <w:iCs/>
          <w:color w:val="000000" w:themeColor="text1"/>
        </w:rPr>
        <w:t xml:space="preserve"> </w:t>
      </w:r>
      <w:r>
        <w:rPr>
          <w:bCs/>
          <w:color w:val="000000" w:themeColor="text1"/>
        </w:rPr>
        <w:t>and</w:t>
      </w:r>
      <w:r>
        <w:rPr>
          <w:bCs/>
          <w:i/>
          <w:iCs/>
          <w:color w:val="000000" w:themeColor="text1"/>
        </w:rPr>
        <w:t xml:space="preserve"> </w:t>
      </w:r>
      <w:r w:rsidRPr="008F7DBB">
        <w:rPr>
          <w:b/>
          <w:bCs/>
          <w:i/>
          <w:iCs/>
          <w:color w:val="000000" w:themeColor="text1"/>
        </w:rPr>
        <w:t>TAVI Hospital</w:t>
      </w:r>
      <w:r w:rsidRPr="008F7DBB">
        <w:rPr>
          <w:bCs/>
          <w:iCs/>
          <w:color w:val="000000" w:themeColor="text1"/>
        </w:rPr>
        <w:t xml:space="preserve"> </w:t>
      </w:r>
      <w:r>
        <w:rPr>
          <w:bCs/>
          <w:iCs/>
          <w:color w:val="000000" w:themeColor="text1"/>
        </w:rPr>
        <w:t>in subsection 5(1)</w:t>
      </w:r>
      <w:r>
        <w:rPr>
          <w:iCs/>
          <w:color w:val="000000"/>
        </w:rPr>
        <w:t>.</w:t>
      </w:r>
    </w:p>
    <w:p w:rsidR="00E654FF" w:rsidRDefault="00E654FF" w:rsidP="00E654FF">
      <w:pPr>
        <w:spacing w:after="240"/>
      </w:pPr>
      <w:r>
        <w:t>The text “</w:t>
      </w:r>
      <w:r w:rsidRPr="00FA06E9">
        <w:rPr>
          <w:iCs/>
          <w:color w:val="000000"/>
        </w:rPr>
        <w:t>items 38495 and 38514</w:t>
      </w:r>
      <w:r>
        <w:t xml:space="preserve">” does not appear </w:t>
      </w:r>
      <w:r>
        <w:rPr>
          <w:iCs/>
          <w:color w:val="000000"/>
        </w:rPr>
        <w:t xml:space="preserve">in the definitions of </w:t>
      </w:r>
      <w:r w:rsidRPr="004D6447">
        <w:rPr>
          <w:b/>
          <w:bCs/>
          <w:i/>
          <w:iCs/>
          <w:color w:val="000000" w:themeColor="text1"/>
        </w:rPr>
        <w:t>TAVI Case Conference</w:t>
      </w:r>
      <w:r w:rsidRPr="00E944E3">
        <w:rPr>
          <w:bCs/>
          <w:iCs/>
          <w:color w:val="000000" w:themeColor="text1"/>
        </w:rPr>
        <w:t xml:space="preserve"> </w:t>
      </w:r>
      <w:r>
        <w:rPr>
          <w:bCs/>
          <w:color w:val="000000" w:themeColor="text1"/>
        </w:rPr>
        <w:t>and</w:t>
      </w:r>
      <w:r>
        <w:rPr>
          <w:bCs/>
          <w:i/>
          <w:iCs/>
          <w:color w:val="000000" w:themeColor="text1"/>
        </w:rPr>
        <w:t xml:space="preserve"> </w:t>
      </w:r>
      <w:r w:rsidRPr="004D6447">
        <w:rPr>
          <w:b/>
          <w:bCs/>
          <w:i/>
          <w:iCs/>
          <w:color w:val="000000" w:themeColor="text1"/>
        </w:rPr>
        <w:t>TAVI Hospital</w:t>
      </w:r>
      <w:r w:rsidRPr="004D6447">
        <w:rPr>
          <w:bCs/>
          <w:iCs/>
          <w:color w:val="000000" w:themeColor="text1"/>
        </w:rPr>
        <w:t xml:space="preserve"> </w:t>
      </w:r>
      <w:r>
        <w:rPr>
          <w:bCs/>
          <w:iCs/>
          <w:color w:val="000000" w:themeColor="text1"/>
        </w:rPr>
        <w:t>in subsection 5(1)</w:t>
      </w:r>
      <w:r>
        <w:t>. However, the text “</w:t>
      </w:r>
      <w:r w:rsidRPr="00A90AE1">
        <w:t>items 38945 and 38514</w:t>
      </w:r>
      <w:r>
        <w:t>” does appear.</w:t>
      </w:r>
    </w:p>
    <w:p w:rsidR="00E654FF" w:rsidRPr="00A46B20" w:rsidRDefault="00E654FF" w:rsidP="00E654FF">
      <w:r>
        <w:t>This compilation was editorially changed to omit “</w:t>
      </w:r>
      <w:r w:rsidRPr="00A90AE1">
        <w:t>items 38945 and 38514</w:t>
      </w:r>
      <w:r>
        <w:t xml:space="preserve">” </w:t>
      </w:r>
      <w:r>
        <w:rPr>
          <w:iCs/>
          <w:color w:val="000000"/>
        </w:rPr>
        <w:t>(</w:t>
      </w:r>
      <w:r w:rsidRPr="00230D53">
        <w:rPr>
          <w:iCs/>
          <w:color w:val="000000"/>
        </w:rPr>
        <w:t>wherever occurring</w:t>
      </w:r>
      <w:r>
        <w:rPr>
          <w:iCs/>
          <w:color w:val="000000"/>
        </w:rPr>
        <w:t xml:space="preserve">) </w:t>
      </w:r>
      <w:r>
        <w:t>and substitute “</w:t>
      </w:r>
      <w:r w:rsidRPr="00631C5B">
        <w:rPr>
          <w:color w:val="000000"/>
          <w:szCs w:val="22"/>
        </w:rPr>
        <w:t>item 38495, 38514 or 38522</w:t>
      </w:r>
      <w:r>
        <w:rPr>
          <w:iCs/>
          <w:color w:val="000000"/>
        </w:rPr>
        <w:t xml:space="preserve">” in the definitions of </w:t>
      </w:r>
      <w:r w:rsidRPr="004639FB">
        <w:rPr>
          <w:b/>
          <w:bCs/>
          <w:i/>
          <w:iCs/>
          <w:color w:val="000000" w:themeColor="text1"/>
        </w:rPr>
        <w:t>TAVI Case Conference</w:t>
      </w:r>
      <w:r w:rsidRPr="00E944E3">
        <w:rPr>
          <w:bCs/>
          <w:iCs/>
          <w:color w:val="000000" w:themeColor="text1"/>
        </w:rPr>
        <w:t xml:space="preserve"> </w:t>
      </w:r>
      <w:r>
        <w:rPr>
          <w:bCs/>
          <w:color w:val="000000" w:themeColor="text1"/>
        </w:rPr>
        <w:t>and</w:t>
      </w:r>
      <w:r>
        <w:rPr>
          <w:bCs/>
          <w:i/>
          <w:iCs/>
          <w:color w:val="000000" w:themeColor="text1"/>
        </w:rPr>
        <w:t xml:space="preserve"> </w:t>
      </w:r>
      <w:r w:rsidRPr="004639FB">
        <w:rPr>
          <w:b/>
          <w:bCs/>
          <w:i/>
          <w:iCs/>
          <w:color w:val="000000" w:themeColor="text1"/>
        </w:rPr>
        <w:t>TAVI Hospital</w:t>
      </w:r>
      <w:r w:rsidRPr="004639FB">
        <w:rPr>
          <w:bCs/>
          <w:iCs/>
          <w:color w:val="000000" w:themeColor="text1"/>
        </w:rPr>
        <w:t xml:space="preserve"> </w:t>
      </w:r>
      <w:r>
        <w:rPr>
          <w:bCs/>
          <w:iCs/>
          <w:color w:val="000000" w:themeColor="text1"/>
        </w:rPr>
        <w:t>in subsection 5(1) to give effect to the misdescribed amendments as intended.</w:t>
      </w:r>
    </w:p>
    <w:p w:rsidR="00B57953" w:rsidRPr="004C7422" w:rsidRDefault="00B57953" w:rsidP="006E6343">
      <w:pPr>
        <w:pStyle w:val="Head2"/>
        <w:keepLines/>
      </w:pPr>
      <w:r w:rsidRPr="00BB4F7C">
        <w:t>Income Tax Assessment Act 1997</w:t>
      </w:r>
      <w:r w:rsidRPr="004C7422">
        <w:t>, Compilation No. </w:t>
      </w:r>
      <w:r>
        <w:t>233</w:t>
      </w:r>
      <w:r w:rsidRPr="004C7422">
        <w:t xml:space="preserve">, Registration Date: </w:t>
      </w:r>
      <w:r>
        <w:t>10</w:t>
      </w:r>
      <w:r w:rsidRPr="004C7422">
        <w:t> </w:t>
      </w:r>
      <w:r>
        <w:t xml:space="preserve">July </w:t>
      </w:r>
      <w:r w:rsidRPr="004C7422">
        <w:t>202</w:t>
      </w:r>
      <w:r>
        <w:t>2</w:t>
      </w:r>
      <w:r w:rsidRPr="004C7422">
        <w:t xml:space="preserve"> [</w:t>
      </w:r>
      <w:r w:rsidRPr="00B57953">
        <w:t>C2022C00200</w:t>
      </w:r>
      <w:r w:rsidRPr="004C7422">
        <w:t>]</w:t>
      </w:r>
    </w:p>
    <w:p w:rsidR="0070729C" w:rsidRPr="004549F1" w:rsidRDefault="0070729C" w:rsidP="006E6343">
      <w:pPr>
        <w:keepNext/>
        <w:keepLines/>
        <w:spacing w:before="240" w:after="240"/>
        <w:rPr>
          <w:b/>
          <w:sz w:val="24"/>
          <w:szCs w:val="24"/>
        </w:rPr>
      </w:pPr>
      <w:r>
        <w:rPr>
          <w:b/>
          <w:sz w:val="24"/>
          <w:szCs w:val="24"/>
        </w:rPr>
        <w:t>Subsections 104-95(5) and 104-100(3), (4) and (5) (formula)</w:t>
      </w:r>
    </w:p>
    <w:p w:rsidR="0070729C" w:rsidRPr="004549F1" w:rsidRDefault="0070729C" w:rsidP="006E6343">
      <w:pPr>
        <w:keepNext/>
        <w:keepLines/>
        <w:spacing w:after="240"/>
        <w:rPr>
          <w:b/>
        </w:rPr>
      </w:pPr>
      <w:r w:rsidRPr="004549F1">
        <w:rPr>
          <w:b/>
        </w:rPr>
        <w:t>Kind of editorial change</w:t>
      </w:r>
    </w:p>
    <w:p w:rsidR="0070729C" w:rsidRPr="002D62A4" w:rsidRDefault="0070729C" w:rsidP="0070729C">
      <w:pPr>
        <w:spacing w:after="240"/>
      </w:pPr>
      <w:r>
        <w:t>Changes to spelling</w:t>
      </w:r>
    </w:p>
    <w:p w:rsidR="0070729C" w:rsidRPr="004549F1" w:rsidRDefault="0070729C" w:rsidP="0070729C">
      <w:pPr>
        <w:spacing w:after="240"/>
        <w:rPr>
          <w:b/>
        </w:rPr>
      </w:pPr>
      <w:r w:rsidRPr="004549F1">
        <w:rPr>
          <w:b/>
        </w:rPr>
        <w:t>Details of editorial change</w:t>
      </w:r>
    </w:p>
    <w:p w:rsidR="0070729C" w:rsidRDefault="0070729C" w:rsidP="0070729C">
      <w:pPr>
        <w:spacing w:after="240"/>
      </w:pPr>
      <w:r>
        <w:t xml:space="preserve">Subsections </w:t>
      </w:r>
      <w:r w:rsidRPr="00716B1B">
        <w:t>104-95(5)</w:t>
      </w:r>
      <w:r>
        <w:t xml:space="preserve"> and</w:t>
      </w:r>
      <w:r w:rsidRPr="00716B1B">
        <w:t xml:space="preserve"> 104-100(3), (4)</w:t>
      </w:r>
      <w:r>
        <w:t xml:space="preserve"> and</w:t>
      </w:r>
      <w:r w:rsidRPr="00716B1B">
        <w:t xml:space="preserve"> (5)</w:t>
      </w:r>
      <w:r>
        <w:t xml:space="preserve"> contain formulas that refer to “expresesed” rather than “expressed”.</w:t>
      </w:r>
    </w:p>
    <w:p w:rsidR="0070729C" w:rsidRDefault="0070729C" w:rsidP="0070729C">
      <w:r w:rsidRPr="00716B1B">
        <w:t xml:space="preserve">This compilation was editorially changed to omit “expresesed” </w:t>
      </w:r>
      <w:r>
        <w:t xml:space="preserve">(wherever occurring) </w:t>
      </w:r>
      <w:r w:rsidRPr="00716B1B">
        <w:t>and substitute “expressed” in subsections 104-95(5)</w:t>
      </w:r>
      <w:r>
        <w:t xml:space="preserve"> and</w:t>
      </w:r>
      <w:r w:rsidRPr="00716B1B">
        <w:t xml:space="preserve"> 104-100(3), (4) and (5) to correct the spelling.</w:t>
      </w:r>
    </w:p>
    <w:p w:rsidR="00545F52" w:rsidRPr="004C7422" w:rsidRDefault="00545F52" w:rsidP="00703EB2">
      <w:pPr>
        <w:pStyle w:val="Head2"/>
        <w:keepLines/>
      </w:pPr>
      <w:r w:rsidRPr="00320289">
        <w:lastRenderedPageBreak/>
        <w:t>Business Names Registration (Transitional and Consequential Provisions) Act 2011</w:t>
      </w:r>
      <w:r w:rsidRPr="004C7422">
        <w:t>, Compilation No. </w:t>
      </w:r>
      <w:r>
        <w:t>4</w:t>
      </w:r>
      <w:r w:rsidRPr="004C7422">
        <w:t xml:space="preserve">, Registration Date: </w:t>
      </w:r>
      <w:r>
        <w:t>6</w:t>
      </w:r>
      <w:r w:rsidRPr="004C7422">
        <w:t> </w:t>
      </w:r>
      <w:r>
        <w:t xml:space="preserve">July </w:t>
      </w:r>
      <w:r w:rsidRPr="004C7422">
        <w:t>202</w:t>
      </w:r>
      <w:r>
        <w:t>2</w:t>
      </w:r>
      <w:r w:rsidRPr="004C7422">
        <w:t xml:space="preserve"> [</w:t>
      </w:r>
      <w:r w:rsidRPr="00545F52">
        <w:t>C2022C00194</w:t>
      </w:r>
      <w:r w:rsidRPr="004C7422">
        <w:t>]</w:t>
      </w:r>
    </w:p>
    <w:p w:rsidR="00545F52" w:rsidRPr="00320289" w:rsidRDefault="00545F52" w:rsidP="00703EB2">
      <w:pPr>
        <w:keepNext/>
        <w:keepLines/>
        <w:spacing w:before="240" w:after="240"/>
        <w:rPr>
          <w:b/>
          <w:sz w:val="24"/>
          <w:szCs w:val="24"/>
        </w:rPr>
      </w:pPr>
      <w:r>
        <w:rPr>
          <w:b/>
          <w:sz w:val="24"/>
          <w:szCs w:val="24"/>
        </w:rPr>
        <w:t>Subitem 1</w:t>
      </w:r>
      <w:r w:rsidRPr="00320289">
        <w:rPr>
          <w:b/>
          <w:sz w:val="24"/>
          <w:szCs w:val="24"/>
        </w:rPr>
        <w:t xml:space="preserve">1(5) of </w:t>
      </w:r>
      <w:r>
        <w:rPr>
          <w:b/>
          <w:sz w:val="24"/>
          <w:szCs w:val="24"/>
        </w:rPr>
        <w:t>Schedule 1</w:t>
      </w:r>
      <w:r w:rsidRPr="00320289">
        <w:rPr>
          <w:b/>
          <w:sz w:val="24"/>
          <w:szCs w:val="24"/>
        </w:rPr>
        <w:t xml:space="preserve"> (note)</w:t>
      </w:r>
    </w:p>
    <w:p w:rsidR="00545F52" w:rsidRPr="00320289" w:rsidRDefault="00545F52" w:rsidP="00703EB2">
      <w:pPr>
        <w:keepNext/>
        <w:keepLines/>
        <w:spacing w:after="240"/>
        <w:rPr>
          <w:b/>
        </w:rPr>
      </w:pPr>
      <w:r w:rsidRPr="00320289">
        <w:rPr>
          <w:b/>
        </w:rPr>
        <w:t>Kind of editorial change</w:t>
      </w:r>
    </w:p>
    <w:p w:rsidR="00545F52" w:rsidRPr="00320289" w:rsidRDefault="00545F52" w:rsidP="00703EB2">
      <w:pPr>
        <w:keepNext/>
        <w:keepLines/>
        <w:spacing w:after="240"/>
        <w:rPr>
          <w:szCs w:val="22"/>
        </w:rPr>
      </w:pPr>
      <w:r w:rsidRPr="00320289">
        <w:rPr>
          <w:szCs w:val="22"/>
        </w:rPr>
        <w:t>Update to a reference of a law or a provision</w:t>
      </w:r>
    </w:p>
    <w:p w:rsidR="00545F52" w:rsidRPr="00320289" w:rsidRDefault="00545F52" w:rsidP="00703EB2">
      <w:pPr>
        <w:keepNext/>
        <w:keepLines/>
        <w:spacing w:after="240"/>
        <w:rPr>
          <w:b/>
        </w:rPr>
      </w:pPr>
      <w:r w:rsidRPr="00320289">
        <w:rPr>
          <w:b/>
        </w:rPr>
        <w:t>Details of editorial change</w:t>
      </w:r>
    </w:p>
    <w:p w:rsidR="00545F52" w:rsidRPr="00320289" w:rsidRDefault="00545F52" w:rsidP="00545F52">
      <w:r w:rsidRPr="00320289">
        <w:rPr>
          <w:iCs/>
          <w:color w:val="000000"/>
          <w:shd w:val="clear" w:color="auto" w:fill="FFFFFF"/>
        </w:rPr>
        <w:t xml:space="preserve">This compilation was editorially changed to </w:t>
      </w:r>
      <w:r w:rsidRPr="00320289">
        <w:rPr>
          <w:color w:val="000000"/>
          <w:shd w:val="clear" w:color="auto" w:fill="FFFFFF"/>
        </w:rPr>
        <w:t xml:space="preserve">update a reference from the </w:t>
      </w:r>
      <w:r w:rsidRPr="00320289">
        <w:t>Business Names Registration Bill</w:t>
      </w:r>
      <w:r w:rsidRPr="00320289">
        <w:rPr>
          <w:color w:val="000000"/>
          <w:shd w:val="clear" w:color="auto" w:fill="FFFFFF"/>
        </w:rPr>
        <w:t xml:space="preserve"> to the</w:t>
      </w:r>
      <w:bookmarkStart w:id="45" w:name="_Hlk82443380"/>
      <w:r w:rsidRPr="00320289">
        <w:rPr>
          <w:color w:val="000000"/>
          <w:shd w:val="clear" w:color="auto" w:fill="FFFFFF"/>
        </w:rPr>
        <w:t xml:space="preserve"> </w:t>
      </w:r>
      <w:bookmarkEnd w:id="45"/>
      <w:r w:rsidRPr="00320289">
        <w:rPr>
          <w:iCs/>
          <w:color w:val="000000"/>
          <w:shd w:val="clear" w:color="auto" w:fill="FFFFFF"/>
        </w:rPr>
        <w:t>Business Names Registration Act</w:t>
      </w:r>
      <w:r w:rsidRPr="00320289">
        <w:rPr>
          <w:color w:val="000000"/>
          <w:shd w:val="clear" w:color="auto" w:fill="FFFFFF"/>
        </w:rPr>
        <w:t xml:space="preserve"> in the note to </w:t>
      </w:r>
      <w:r>
        <w:rPr>
          <w:color w:val="000000"/>
          <w:shd w:val="clear" w:color="auto" w:fill="FFFFFF"/>
        </w:rPr>
        <w:t>subitem 1</w:t>
      </w:r>
      <w:r w:rsidRPr="00320289">
        <w:rPr>
          <w:color w:val="000000"/>
          <w:shd w:val="clear" w:color="auto" w:fill="FFFFFF"/>
        </w:rPr>
        <w:t xml:space="preserve">1(5) of </w:t>
      </w:r>
      <w:r>
        <w:rPr>
          <w:color w:val="000000"/>
          <w:shd w:val="clear" w:color="auto" w:fill="FFFFFF"/>
        </w:rPr>
        <w:t>Schedule 1</w:t>
      </w:r>
      <w:r w:rsidRPr="00320289">
        <w:rPr>
          <w:szCs w:val="22"/>
        </w:rPr>
        <w: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sectPr w:rsidR="00545F52" w:rsidRPr="00320289" w:rsidSect="00E94477">
      <w:footerReference w:type="default" r:id="rId7"/>
      <w:headerReference w:type="first" r:id="rId8"/>
      <w:footerReference w:type="first" r:id="rId9"/>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140" w:rsidRDefault="00502140" w:rsidP="008E17F3">
      <w:pPr>
        <w:spacing w:line="240" w:lineRule="auto"/>
      </w:pPr>
      <w:r>
        <w:separator/>
      </w:r>
    </w:p>
  </w:endnote>
  <w:endnote w:type="continuationSeparator" w:id="0">
    <w:p w:rsidR="00502140" w:rsidRDefault="00502140"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embedRegular r:id="rId1" w:subsetted="1" w:fontKey="{79BAAC4E-4686-4634-934E-8C9873B68D2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40" w:rsidRDefault="00502140" w:rsidP="00871611">
    <w:pPr>
      <w:pStyle w:val="Footer"/>
      <w:tabs>
        <w:tab w:val="clear" w:pos="4153"/>
        <w:tab w:val="clear" w:pos="8306"/>
        <w:tab w:val="left" w:pos="7680"/>
      </w:tabs>
      <w:ind w:right="27"/>
      <w:rPr>
        <w:sz w:val="16"/>
      </w:rPr>
    </w:pPr>
    <w:r>
      <w:rPr>
        <w:sz w:val="16"/>
      </w:rPr>
      <w:t>[</w:t>
    </w:r>
    <w:r w:rsidR="006265C4">
      <w:rPr>
        <w:noProof/>
        <w:sz w:val="16"/>
        <w:szCs w:val="16"/>
      </w:rPr>
      <w:t>S22ZC1037.v08.docx</w:t>
    </w:r>
    <w:r w:rsidRPr="00766393">
      <w:rPr>
        <w:sz w:val="16"/>
        <w:szCs w:val="16"/>
      </w:rPr>
      <w:t>] [</w:t>
    </w:r>
    <w:r w:rsidR="006265C4">
      <w:rPr>
        <w:noProof/>
        <w:sz w:val="16"/>
        <w:szCs w:val="16"/>
      </w:rPr>
      <w:t>9-Sep-22</w:t>
    </w:r>
    <w:r>
      <w:rPr>
        <w:sz w:val="16"/>
      </w:rPr>
      <w:t>] [</w:t>
    </w:r>
    <w:r w:rsidR="006265C4">
      <w:rPr>
        <w:noProof/>
        <w:sz w:val="16"/>
      </w:rPr>
      <w:t>10:47 AM</w:t>
    </w:r>
    <w:r>
      <w:rPr>
        <w:sz w:val="16"/>
      </w:rPr>
      <w:t>]</w:t>
    </w:r>
    <w:r>
      <w:rPr>
        <w:sz w:val="16"/>
      </w:rPr>
      <w:tab/>
    </w:r>
    <w:r>
      <w:rPr>
        <w:sz w:val="16"/>
      </w:rPr>
      <w:tab/>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40" w:rsidRDefault="00502140" w:rsidP="00871611">
    <w:pPr>
      <w:rPr>
        <w:sz w:val="16"/>
        <w:szCs w:val="16"/>
      </w:rPr>
    </w:pPr>
    <w:r>
      <w:rPr>
        <w:sz w:val="16"/>
        <w:szCs w:val="16"/>
      </w:rPr>
      <w:t>________________________________________________________________________________________________________________</w:t>
    </w:r>
  </w:p>
  <w:p w:rsidR="00502140" w:rsidRDefault="00502140" w:rsidP="00871611">
    <w:pPr>
      <w:ind w:right="27"/>
      <w:jc w:val="center"/>
      <w:rPr>
        <w:sz w:val="20"/>
      </w:rPr>
    </w:pPr>
    <w:r>
      <w:rPr>
        <w:sz w:val="20"/>
      </w:rPr>
      <w:t>28 Sydney Avenue  Forrest  ACT  2603</w:t>
    </w:r>
  </w:p>
  <w:p w:rsidR="00502140" w:rsidRDefault="00502140" w:rsidP="00871611">
    <w:pPr>
      <w:ind w:right="27"/>
      <w:jc w:val="center"/>
      <w:rPr>
        <w:sz w:val="20"/>
      </w:rPr>
    </w:pPr>
    <w:r>
      <w:rPr>
        <w:sz w:val="20"/>
      </w:rPr>
      <w:t>Locked Bag 30 Kingston ACT 2604 • Telephone (02) 6120 1400 • Fax (02) 6120 1403 • ABN 41 425 630 817</w:t>
    </w:r>
  </w:p>
  <w:p w:rsidR="00502140" w:rsidRDefault="00502140" w:rsidP="00871611">
    <w:pPr>
      <w:ind w:right="27"/>
      <w:jc w:val="center"/>
      <w:rPr>
        <w:sz w:val="20"/>
      </w:rPr>
    </w:pPr>
    <w:r>
      <w:rPr>
        <w:sz w:val="20"/>
      </w:rPr>
      <w:t>www.opc.gov.au</w:t>
    </w:r>
  </w:p>
  <w:p w:rsidR="00502140" w:rsidRDefault="006265C4" w:rsidP="00871611">
    <w:pPr>
      <w:ind w:right="27"/>
      <w:rPr>
        <w:sz w:val="16"/>
        <w:szCs w:val="16"/>
      </w:rPr>
    </w:pPr>
    <w:r>
      <w:rPr>
        <w:noProof/>
        <w:sz w:val="16"/>
        <w:szCs w:val="16"/>
      </w:rPr>
      <w:t>S22ZC1037.v08.docx</w:t>
    </w:r>
  </w:p>
  <w:p w:rsidR="00502140" w:rsidRDefault="00502140" w:rsidP="0087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140" w:rsidRDefault="00502140" w:rsidP="008E17F3">
      <w:pPr>
        <w:spacing w:line="240" w:lineRule="auto"/>
      </w:pPr>
      <w:r>
        <w:separator/>
      </w:r>
    </w:p>
  </w:footnote>
  <w:footnote w:type="continuationSeparator" w:id="0">
    <w:p w:rsidR="00502140" w:rsidRDefault="00502140"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40" w:rsidRDefault="00502140" w:rsidP="00871611">
    <w:pPr>
      <w:ind w:right="27"/>
      <w:rPr>
        <w:sz w:val="18"/>
        <w:szCs w:val="18"/>
      </w:rPr>
    </w:pPr>
    <w:r>
      <w:rPr>
        <w:noProof/>
        <w:sz w:val="20"/>
        <w:lang w:eastAsia="en-AU"/>
      </w:rPr>
      <w:drawing>
        <wp:inline distT="0" distB="0" distL="0" distR="0" wp14:anchorId="7C613880" wp14:editId="38C18CB3">
          <wp:extent cx="3962400" cy="1000125"/>
          <wp:effectExtent l="19050" t="0" r="0" b="0"/>
          <wp:docPr id="2" name="Picture 2" descr="Australian Government Office of Parliamentary Couns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502140" w:rsidRPr="00C1453D" w:rsidRDefault="00502140" w:rsidP="0087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D27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6C9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81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60E3A"/>
    <w:multiLevelType w:val="multilevel"/>
    <w:tmpl w:val="FB6863C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15:restartNumberingAfterBreak="0">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4C57CB"/>
    <w:multiLevelType w:val="hybridMultilevel"/>
    <w:tmpl w:val="98740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1" w15:restartNumberingAfterBreak="0">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3"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6F92BC3"/>
    <w:multiLevelType w:val="hybridMultilevel"/>
    <w:tmpl w:val="40AA24D4"/>
    <w:lvl w:ilvl="0" w:tplc="D300200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40466C79"/>
    <w:multiLevelType w:val="hybridMultilevel"/>
    <w:tmpl w:val="62EC8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4827B37"/>
    <w:multiLevelType w:val="hybridMultilevel"/>
    <w:tmpl w:val="2C04F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7" w15:restartNumberingAfterBreak="0">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5456429"/>
    <w:multiLevelType w:val="multilevel"/>
    <w:tmpl w:val="15C225C8"/>
    <w:lvl w:ilvl="0">
      <w:start w:val="1"/>
      <w:numFmt w:val="decimal"/>
      <w:lvlText w:val="%1."/>
      <w:lvlJc w:val="left"/>
      <w:pPr>
        <w:ind w:left="369" w:hanging="369"/>
      </w:pPr>
      <w:rPr>
        <w:rFonts w:ascii="Arial" w:hAnsi="Arial" w:hint="default"/>
        <w:b w:val="0"/>
        <w:i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66940965"/>
    <w:multiLevelType w:val="hybridMultilevel"/>
    <w:tmpl w:val="28F2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8"/>
  </w:num>
  <w:num w:numId="13">
    <w:abstractNumId w:val="19"/>
  </w:num>
  <w:num w:numId="14">
    <w:abstractNumId w:val="33"/>
  </w:num>
  <w:num w:numId="15">
    <w:abstractNumId w:val="34"/>
  </w:num>
  <w:num w:numId="16">
    <w:abstractNumId w:val="36"/>
  </w:num>
  <w:num w:numId="17">
    <w:abstractNumId w:val="12"/>
  </w:num>
  <w:num w:numId="18">
    <w:abstractNumId w:val="21"/>
  </w:num>
  <w:num w:numId="19">
    <w:abstractNumId w:val="13"/>
  </w:num>
  <w:num w:numId="20">
    <w:abstractNumId w:val="14"/>
  </w:num>
  <w:num w:numId="21">
    <w:abstractNumId w:val="25"/>
  </w:num>
  <w:num w:numId="22">
    <w:abstractNumId w:val="11"/>
  </w:num>
  <w:num w:numId="23">
    <w:abstractNumId w:val="16"/>
  </w:num>
  <w:num w:numId="24">
    <w:abstractNumId w:val="24"/>
  </w:num>
  <w:num w:numId="25">
    <w:abstractNumId w:val="2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5"/>
  </w:num>
  <w:num w:numId="30">
    <w:abstractNumId w:val="23"/>
  </w:num>
  <w:num w:numId="31">
    <w:abstractNumId w:val="17"/>
  </w:num>
  <w:num w:numId="32">
    <w:abstractNumId w:val="41"/>
  </w:num>
  <w:num w:numId="33">
    <w:abstractNumId w:val="10"/>
  </w:num>
  <w:num w:numId="34">
    <w:abstractNumId w:val="40"/>
  </w:num>
  <w:num w:numId="35">
    <w:abstractNumId w:val="42"/>
  </w:num>
  <w:num w:numId="3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1"/>
  </w:num>
  <w:num w:numId="39">
    <w:abstractNumId w:val="28"/>
  </w:num>
  <w:num w:numId="40">
    <w:abstractNumId w:val="39"/>
  </w:num>
  <w:num w:numId="41">
    <w:abstractNumId w:val="37"/>
  </w:num>
  <w:num w:numId="42">
    <w:abstractNumId w:val="32"/>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2"/>
    <w:rsid w:val="00001387"/>
    <w:rsid w:val="00010212"/>
    <w:rsid w:val="000107A7"/>
    <w:rsid w:val="000136AF"/>
    <w:rsid w:val="00015432"/>
    <w:rsid w:val="00015D1E"/>
    <w:rsid w:val="000170C2"/>
    <w:rsid w:val="00017851"/>
    <w:rsid w:val="00017F77"/>
    <w:rsid w:val="0002238E"/>
    <w:rsid w:val="00022B7E"/>
    <w:rsid w:val="000267E5"/>
    <w:rsid w:val="000268A8"/>
    <w:rsid w:val="00026C02"/>
    <w:rsid w:val="0003260A"/>
    <w:rsid w:val="0003321A"/>
    <w:rsid w:val="000335C7"/>
    <w:rsid w:val="0003449F"/>
    <w:rsid w:val="00036B0B"/>
    <w:rsid w:val="00037784"/>
    <w:rsid w:val="0004296A"/>
    <w:rsid w:val="00046C71"/>
    <w:rsid w:val="000537C7"/>
    <w:rsid w:val="000544FC"/>
    <w:rsid w:val="000562AE"/>
    <w:rsid w:val="00056743"/>
    <w:rsid w:val="000614BF"/>
    <w:rsid w:val="00061B7F"/>
    <w:rsid w:val="000626FA"/>
    <w:rsid w:val="00062F75"/>
    <w:rsid w:val="000642D2"/>
    <w:rsid w:val="00066A77"/>
    <w:rsid w:val="00067596"/>
    <w:rsid w:val="000706C5"/>
    <w:rsid w:val="000720DB"/>
    <w:rsid w:val="0007681C"/>
    <w:rsid w:val="000807CC"/>
    <w:rsid w:val="00083613"/>
    <w:rsid w:val="00086F12"/>
    <w:rsid w:val="0009402D"/>
    <w:rsid w:val="0009737E"/>
    <w:rsid w:val="000A3045"/>
    <w:rsid w:val="000A317F"/>
    <w:rsid w:val="000A3966"/>
    <w:rsid w:val="000A76EB"/>
    <w:rsid w:val="000B0223"/>
    <w:rsid w:val="000B1FC3"/>
    <w:rsid w:val="000B2EFC"/>
    <w:rsid w:val="000B4688"/>
    <w:rsid w:val="000B4C96"/>
    <w:rsid w:val="000C3E7B"/>
    <w:rsid w:val="000C597E"/>
    <w:rsid w:val="000C604C"/>
    <w:rsid w:val="000C6FC2"/>
    <w:rsid w:val="000C7384"/>
    <w:rsid w:val="000C79D6"/>
    <w:rsid w:val="000D0266"/>
    <w:rsid w:val="000D05EF"/>
    <w:rsid w:val="000D1F55"/>
    <w:rsid w:val="000D2FD3"/>
    <w:rsid w:val="000D3FDA"/>
    <w:rsid w:val="000D737B"/>
    <w:rsid w:val="000E08B8"/>
    <w:rsid w:val="000E3AB4"/>
    <w:rsid w:val="000F06B0"/>
    <w:rsid w:val="000F1746"/>
    <w:rsid w:val="000F1A0F"/>
    <w:rsid w:val="000F4AF4"/>
    <w:rsid w:val="0010060D"/>
    <w:rsid w:val="00102227"/>
    <w:rsid w:val="00104A38"/>
    <w:rsid w:val="00105F49"/>
    <w:rsid w:val="00106F6F"/>
    <w:rsid w:val="0010745C"/>
    <w:rsid w:val="001108DB"/>
    <w:rsid w:val="00111C4A"/>
    <w:rsid w:val="00114616"/>
    <w:rsid w:val="00122300"/>
    <w:rsid w:val="00124BF3"/>
    <w:rsid w:val="00125C60"/>
    <w:rsid w:val="00127AA8"/>
    <w:rsid w:val="001330B9"/>
    <w:rsid w:val="001355DF"/>
    <w:rsid w:val="001369E5"/>
    <w:rsid w:val="001403CC"/>
    <w:rsid w:val="00140D8E"/>
    <w:rsid w:val="00140FBD"/>
    <w:rsid w:val="0014125E"/>
    <w:rsid w:val="00142547"/>
    <w:rsid w:val="00142F17"/>
    <w:rsid w:val="00143E6E"/>
    <w:rsid w:val="00145202"/>
    <w:rsid w:val="0014571A"/>
    <w:rsid w:val="0015061A"/>
    <w:rsid w:val="00154509"/>
    <w:rsid w:val="00156A78"/>
    <w:rsid w:val="00160A50"/>
    <w:rsid w:val="001644E1"/>
    <w:rsid w:val="00165B53"/>
    <w:rsid w:val="00166241"/>
    <w:rsid w:val="00166C2F"/>
    <w:rsid w:val="001705D7"/>
    <w:rsid w:val="00173FAA"/>
    <w:rsid w:val="0017427E"/>
    <w:rsid w:val="00174394"/>
    <w:rsid w:val="00174846"/>
    <w:rsid w:val="00175115"/>
    <w:rsid w:val="00176306"/>
    <w:rsid w:val="00176DEE"/>
    <w:rsid w:val="0018102C"/>
    <w:rsid w:val="001823C9"/>
    <w:rsid w:val="001939E1"/>
    <w:rsid w:val="00193F49"/>
    <w:rsid w:val="00195382"/>
    <w:rsid w:val="00195426"/>
    <w:rsid w:val="00196713"/>
    <w:rsid w:val="001A0905"/>
    <w:rsid w:val="001A0B36"/>
    <w:rsid w:val="001A306D"/>
    <w:rsid w:val="001A3BEF"/>
    <w:rsid w:val="001A4931"/>
    <w:rsid w:val="001A6224"/>
    <w:rsid w:val="001B1382"/>
    <w:rsid w:val="001B3BD4"/>
    <w:rsid w:val="001B4529"/>
    <w:rsid w:val="001B47A4"/>
    <w:rsid w:val="001B5241"/>
    <w:rsid w:val="001B6D22"/>
    <w:rsid w:val="001B6F9D"/>
    <w:rsid w:val="001C0003"/>
    <w:rsid w:val="001C08DD"/>
    <w:rsid w:val="001C1C8D"/>
    <w:rsid w:val="001C69C4"/>
    <w:rsid w:val="001D09F7"/>
    <w:rsid w:val="001D7E06"/>
    <w:rsid w:val="001E14A3"/>
    <w:rsid w:val="001E14DF"/>
    <w:rsid w:val="001E2C0D"/>
    <w:rsid w:val="001E3590"/>
    <w:rsid w:val="001E63F5"/>
    <w:rsid w:val="001E7407"/>
    <w:rsid w:val="001F166E"/>
    <w:rsid w:val="001F624D"/>
    <w:rsid w:val="001F62E2"/>
    <w:rsid w:val="002010D4"/>
    <w:rsid w:val="00201976"/>
    <w:rsid w:val="002033ED"/>
    <w:rsid w:val="00203E46"/>
    <w:rsid w:val="00212FE9"/>
    <w:rsid w:val="002131D8"/>
    <w:rsid w:val="0021387F"/>
    <w:rsid w:val="002142EF"/>
    <w:rsid w:val="00214FEF"/>
    <w:rsid w:val="00216477"/>
    <w:rsid w:val="002169C7"/>
    <w:rsid w:val="0022380B"/>
    <w:rsid w:val="00223DDB"/>
    <w:rsid w:val="002258C4"/>
    <w:rsid w:val="00226069"/>
    <w:rsid w:val="0022799F"/>
    <w:rsid w:val="00230496"/>
    <w:rsid w:val="00231DBE"/>
    <w:rsid w:val="00233ACF"/>
    <w:rsid w:val="00234F19"/>
    <w:rsid w:val="00235232"/>
    <w:rsid w:val="00235575"/>
    <w:rsid w:val="00236E7F"/>
    <w:rsid w:val="002418B5"/>
    <w:rsid w:val="002459F9"/>
    <w:rsid w:val="0024772F"/>
    <w:rsid w:val="00250004"/>
    <w:rsid w:val="0025131C"/>
    <w:rsid w:val="0025157B"/>
    <w:rsid w:val="00251A0A"/>
    <w:rsid w:val="00251B81"/>
    <w:rsid w:val="002527C1"/>
    <w:rsid w:val="00252F8C"/>
    <w:rsid w:val="00253A2D"/>
    <w:rsid w:val="00253D1B"/>
    <w:rsid w:val="0025499F"/>
    <w:rsid w:val="00255C58"/>
    <w:rsid w:val="0025624F"/>
    <w:rsid w:val="00256EFB"/>
    <w:rsid w:val="00256F14"/>
    <w:rsid w:val="002614FC"/>
    <w:rsid w:val="00264D4C"/>
    <w:rsid w:val="002667C0"/>
    <w:rsid w:val="00267598"/>
    <w:rsid w:val="00270D95"/>
    <w:rsid w:val="00273C85"/>
    <w:rsid w:val="002743E8"/>
    <w:rsid w:val="0027560F"/>
    <w:rsid w:val="00276D2D"/>
    <w:rsid w:val="002810D0"/>
    <w:rsid w:val="00281937"/>
    <w:rsid w:val="00284976"/>
    <w:rsid w:val="00286E26"/>
    <w:rsid w:val="00287E4B"/>
    <w:rsid w:val="00292F93"/>
    <w:rsid w:val="00295047"/>
    <w:rsid w:val="00295FBA"/>
    <w:rsid w:val="002970D7"/>
    <w:rsid w:val="00297ECB"/>
    <w:rsid w:val="002A2296"/>
    <w:rsid w:val="002A374B"/>
    <w:rsid w:val="002A5C27"/>
    <w:rsid w:val="002A7753"/>
    <w:rsid w:val="002B0E1F"/>
    <w:rsid w:val="002B259A"/>
    <w:rsid w:val="002B2857"/>
    <w:rsid w:val="002B44A7"/>
    <w:rsid w:val="002B4D69"/>
    <w:rsid w:val="002B576D"/>
    <w:rsid w:val="002B6400"/>
    <w:rsid w:val="002B72F6"/>
    <w:rsid w:val="002C0E99"/>
    <w:rsid w:val="002C103B"/>
    <w:rsid w:val="002C14FE"/>
    <w:rsid w:val="002C28A1"/>
    <w:rsid w:val="002C32D7"/>
    <w:rsid w:val="002C5D80"/>
    <w:rsid w:val="002C6A5C"/>
    <w:rsid w:val="002D043A"/>
    <w:rsid w:val="002D6A8E"/>
    <w:rsid w:val="002E2C8D"/>
    <w:rsid w:val="002E3FE4"/>
    <w:rsid w:val="002E469C"/>
    <w:rsid w:val="002E66BA"/>
    <w:rsid w:val="002F3EF1"/>
    <w:rsid w:val="002F4543"/>
    <w:rsid w:val="002F6130"/>
    <w:rsid w:val="002F7687"/>
    <w:rsid w:val="00301D98"/>
    <w:rsid w:val="003026FC"/>
    <w:rsid w:val="0030342D"/>
    <w:rsid w:val="00304D2F"/>
    <w:rsid w:val="003060DB"/>
    <w:rsid w:val="003076C2"/>
    <w:rsid w:val="003105E8"/>
    <w:rsid w:val="0031122B"/>
    <w:rsid w:val="00311448"/>
    <w:rsid w:val="00311509"/>
    <w:rsid w:val="00311558"/>
    <w:rsid w:val="00314E15"/>
    <w:rsid w:val="00315101"/>
    <w:rsid w:val="00315275"/>
    <w:rsid w:val="00320180"/>
    <w:rsid w:val="0032048A"/>
    <w:rsid w:val="00320A79"/>
    <w:rsid w:val="003220FC"/>
    <w:rsid w:val="0032435A"/>
    <w:rsid w:val="003274E0"/>
    <w:rsid w:val="0033109F"/>
    <w:rsid w:val="00331E81"/>
    <w:rsid w:val="003342C4"/>
    <w:rsid w:val="00334E31"/>
    <w:rsid w:val="00336894"/>
    <w:rsid w:val="00342EB0"/>
    <w:rsid w:val="00351722"/>
    <w:rsid w:val="00351BD6"/>
    <w:rsid w:val="00352B0F"/>
    <w:rsid w:val="00352B8B"/>
    <w:rsid w:val="00354C97"/>
    <w:rsid w:val="00355C5E"/>
    <w:rsid w:val="00356E86"/>
    <w:rsid w:val="00357432"/>
    <w:rsid w:val="003607D6"/>
    <w:rsid w:val="00360853"/>
    <w:rsid w:val="00360FB0"/>
    <w:rsid w:val="003616F0"/>
    <w:rsid w:val="00362FEC"/>
    <w:rsid w:val="00365D3C"/>
    <w:rsid w:val="00366056"/>
    <w:rsid w:val="00366694"/>
    <w:rsid w:val="0037451B"/>
    <w:rsid w:val="00375F22"/>
    <w:rsid w:val="00376199"/>
    <w:rsid w:val="0038197F"/>
    <w:rsid w:val="0038215E"/>
    <w:rsid w:val="00383F54"/>
    <w:rsid w:val="0038521B"/>
    <w:rsid w:val="00387B38"/>
    <w:rsid w:val="00391865"/>
    <w:rsid w:val="00392707"/>
    <w:rsid w:val="00393436"/>
    <w:rsid w:val="00395DE8"/>
    <w:rsid w:val="003A0D8C"/>
    <w:rsid w:val="003A0EB9"/>
    <w:rsid w:val="003A1E9A"/>
    <w:rsid w:val="003A31D2"/>
    <w:rsid w:val="003A3A0D"/>
    <w:rsid w:val="003B2C98"/>
    <w:rsid w:val="003B364C"/>
    <w:rsid w:val="003B5348"/>
    <w:rsid w:val="003B5735"/>
    <w:rsid w:val="003B6015"/>
    <w:rsid w:val="003B689A"/>
    <w:rsid w:val="003B6BFC"/>
    <w:rsid w:val="003C14C6"/>
    <w:rsid w:val="003C7084"/>
    <w:rsid w:val="003C7E6F"/>
    <w:rsid w:val="003D0BFE"/>
    <w:rsid w:val="003D2362"/>
    <w:rsid w:val="003D2D68"/>
    <w:rsid w:val="003D3100"/>
    <w:rsid w:val="003D5700"/>
    <w:rsid w:val="003D651B"/>
    <w:rsid w:val="003D6F8A"/>
    <w:rsid w:val="003E05EF"/>
    <w:rsid w:val="003E0FC7"/>
    <w:rsid w:val="003E1ECD"/>
    <w:rsid w:val="003E208E"/>
    <w:rsid w:val="003E32DB"/>
    <w:rsid w:val="003E34F5"/>
    <w:rsid w:val="003E3D42"/>
    <w:rsid w:val="003E4160"/>
    <w:rsid w:val="003E4357"/>
    <w:rsid w:val="003E5990"/>
    <w:rsid w:val="003F0059"/>
    <w:rsid w:val="003F0DEB"/>
    <w:rsid w:val="003F36B2"/>
    <w:rsid w:val="00400514"/>
    <w:rsid w:val="00401311"/>
    <w:rsid w:val="00401E53"/>
    <w:rsid w:val="00406CE3"/>
    <w:rsid w:val="004101A7"/>
    <w:rsid w:val="004116CD"/>
    <w:rsid w:val="004126FC"/>
    <w:rsid w:val="00412C41"/>
    <w:rsid w:val="00412D35"/>
    <w:rsid w:val="0041321F"/>
    <w:rsid w:val="004175A1"/>
    <w:rsid w:val="00417A4D"/>
    <w:rsid w:val="00417BC4"/>
    <w:rsid w:val="00422087"/>
    <w:rsid w:val="00422EF1"/>
    <w:rsid w:val="00424CA9"/>
    <w:rsid w:val="00426B8E"/>
    <w:rsid w:val="004331F6"/>
    <w:rsid w:val="00434508"/>
    <w:rsid w:val="004362F1"/>
    <w:rsid w:val="004366F5"/>
    <w:rsid w:val="004374B1"/>
    <w:rsid w:val="004379B4"/>
    <w:rsid w:val="0044291A"/>
    <w:rsid w:val="004432FB"/>
    <w:rsid w:val="00443803"/>
    <w:rsid w:val="00450A86"/>
    <w:rsid w:val="00450F7F"/>
    <w:rsid w:val="00451B12"/>
    <w:rsid w:val="004560FB"/>
    <w:rsid w:val="00460DED"/>
    <w:rsid w:val="004647DF"/>
    <w:rsid w:val="004653F8"/>
    <w:rsid w:val="00465CCE"/>
    <w:rsid w:val="00466DE8"/>
    <w:rsid w:val="004670A4"/>
    <w:rsid w:val="004705BC"/>
    <w:rsid w:val="00480F24"/>
    <w:rsid w:val="004830A2"/>
    <w:rsid w:val="0048468B"/>
    <w:rsid w:val="00487536"/>
    <w:rsid w:val="0049148B"/>
    <w:rsid w:val="00491EA3"/>
    <w:rsid w:val="00492EA5"/>
    <w:rsid w:val="00495423"/>
    <w:rsid w:val="00496F97"/>
    <w:rsid w:val="004971E8"/>
    <w:rsid w:val="004A01AC"/>
    <w:rsid w:val="004A5E5B"/>
    <w:rsid w:val="004B2ED9"/>
    <w:rsid w:val="004B553B"/>
    <w:rsid w:val="004B5C6B"/>
    <w:rsid w:val="004C30A4"/>
    <w:rsid w:val="004C4A7C"/>
    <w:rsid w:val="004C5B3B"/>
    <w:rsid w:val="004C7098"/>
    <w:rsid w:val="004C7422"/>
    <w:rsid w:val="004C77E4"/>
    <w:rsid w:val="004D3E21"/>
    <w:rsid w:val="004D4374"/>
    <w:rsid w:val="004D596D"/>
    <w:rsid w:val="004D5AED"/>
    <w:rsid w:val="004D746B"/>
    <w:rsid w:val="004E4B57"/>
    <w:rsid w:val="004E4C0D"/>
    <w:rsid w:val="004E7489"/>
    <w:rsid w:val="004F2D3B"/>
    <w:rsid w:val="004F311A"/>
    <w:rsid w:val="004F3AB2"/>
    <w:rsid w:val="004F5B95"/>
    <w:rsid w:val="004F792E"/>
    <w:rsid w:val="00502140"/>
    <w:rsid w:val="00503867"/>
    <w:rsid w:val="005061E8"/>
    <w:rsid w:val="0050707B"/>
    <w:rsid w:val="00511219"/>
    <w:rsid w:val="00512BEE"/>
    <w:rsid w:val="00512F55"/>
    <w:rsid w:val="00516B8D"/>
    <w:rsid w:val="00521266"/>
    <w:rsid w:val="00526C86"/>
    <w:rsid w:val="005327A0"/>
    <w:rsid w:val="00535BB8"/>
    <w:rsid w:val="00537FBC"/>
    <w:rsid w:val="00542971"/>
    <w:rsid w:val="00543894"/>
    <w:rsid w:val="00544D18"/>
    <w:rsid w:val="00545F52"/>
    <w:rsid w:val="005523D4"/>
    <w:rsid w:val="0055389F"/>
    <w:rsid w:val="00555D63"/>
    <w:rsid w:val="0056004C"/>
    <w:rsid w:val="00560808"/>
    <w:rsid w:val="005624DD"/>
    <w:rsid w:val="00563AFC"/>
    <w:rsid w:val="00564C16"/>
    <w:rsid w:val="005663AF"/>
    <w:rsid w:val="005731A8"/>
    <w:rsid w:val="00574669"/>
    <w:rsid w:val="0057491B"/>
    <w:rsid w:val="005769FD"/>
    <w:rsid w:val="00580693"/>
    <w:rsid w:val="00580A1A"/>
    <w:rsid w:val="00584008"/>
    <w:rsid w:val="00584094"/>
    <w:rsid w:val="00584811"/>
    <w:rsid w:val="00586CB0"/>
    <w:rsid w:val="00587D24"/>
    <w:rsid w:val="00592789"/>
    <w:rsid w:val="00592E1D"/>
    <w:rsid w:val="005931E4"/>
    <w:rsid w:val="00594161"/>
    <w:rsid w:val="00594749"/>
    <w:rsid w:val="00595683"/>
    <w:rsid w:val="005971F4"/>
    <w:rsid w:val="0059795A"/>
    <w:rsid w:val="005A0642"/>
    <w:rsid w:val="005A11CB"/>
    <w:rsid w:val="005A1F2E"/>
    <w:rsid w:val="005A21F3"/>
    <w:rsid w:val="005A2F41"/>
    <w:rsid w:val="005A3E13"/>
    <w:rsid w:val="005A4626"/>
    <w:rsid w:val="005A500B"/>
    <w:rsid w:val="005A522F"/>
    <w:rsid w:val="005A575B"/>
    <w:rsid w:val="005A5D92"/>
    <w:rsid w:val="005A5E8D"/>
    <w:rsid w:val="005B13DA"/>
    <w:rsid w:val="005B1817"/>
    <w:rsid w:val="005B1B97"/>
    <w:rsid w:val="005B23AE"/>
    <w:rsid w:val="005B3892"/>
    <w:rsid w:val="005B428A"/>
    <w:rsid w:val="005B5633"/>
    <w:rsid w:val="005B5E61"/>
    <w:rsid w:val="005B6F6E"/>
    <w:rsid w:val="005B730A"/>
    <w:rsid w:val="005B7B0A"/>
    <w:rsid w:val="005C0E49"/>
    <w:rsid w:val="005C51D3"/>
    <w:rsid w:val="005C68EC"/>
    <w:rsid w:val="005C7673"/>
    <w:rsid w:val="005D06A2"/>
    <w:rsid w:val="005D2278"/>
    <w:rsid w:val="005D30B4"/>
    <w:rsid w:val="005D3386"/>
    <w:rsid w:val="005D57CC"/>
    <w:rsid w:val="005D5B13"/>
    <w:rsid w:val="005D5C2E"/>
    <w:rsid w:val="005D7129"/>
    <w:rsid w:val="005D7298"/>
    <w:rsid w:val="005D7C7B"/>
    <w:rsid w:val="005D7E89"/>
    <w:rsid w:val="005E0666"/>
    <w:rsid w:val="005E0706"/>
    <w:rsid w:val="005E1C92"/>
    <w:rsid w:val="005E5023"/>
    <w:rsid w:val="005E5DCF"/>
    <w:rsid w:val="005E6044"/>
    <w:rsid w:val="005E605C"/>
    <w:rsid w:val="005F7E85"/>
    <w:rsid w:val="00600219"/>
    <w:rsid w:val="00601A3F"/>
    <w:rsid w:val="00603664"/>
    <w:rsid w:val="00604310"/>
    <w:rsid w:val="0060583B"/>
    <w:rsid w:val="00607924"/>
    <w:rsid w:val="006117F4"/>
    <w:rsid w:val="00611A7C"/>
    <w:rsid w:val="00611B0E"/>
    <w:rsid w:val="00611FC6"/>
    <w:rsid w:val="006159FA"/>
    <w:rsid w:val="006207A3"/>
    <w:rsid w:val="00620BDA"/>
    <w:rsid w:val="0062109F"/>
    <w:rsid w:val="0062232B"/>
    <w:rsid w:val="00623107"/>
    <w:rsid w:val="006236EC"/>
    <w:rsid w:val="006247B7"/>
    <w:rsid w:val="00626067"/>
    <w:rsid w:val="0062645C"/>
    <w:rsid w:val="006265C4"/>
    <w:rsid w:val="00627019"/>
    <w:rsid w:val="00627543"/>
    <w:rsid w:val="006279B8"/>
    <w:rsid w:val="00630A6B"/>
    <w:rsid w:val="00630BD0"/>
    <w:rsid w:val="00630C54"/>
    <w:rsid w:val="00630F0E"/>
    <w:rsid w:val="006315AB"/>
    <w:rsid w:val="00634072"/>
    <w:rsid w:val="006343F1"/>
    <w:rsid w:val="00635252"/>
    <w:rsid w:val="006400E7"/>
    <w:rsid w:val="006421E6"/>
    <w:rsid w:val="00643E71"/>
    <w:rsid w:val="00647EC2"/>
    <w:rsid w:val="0065282B"/>
    <w:rsid w:val="00652D52"/>
    <w:rsid w:val="00654832"/>
    <w:rsid w:val="00656CA6"/>
    <w:rsid w:val="00656E1C"/>
    <w:rsid w:val="00661582"/>
    <w:rsid w:val="00662CD3"/>
    <w:rsid w:val="00664BEF"/>
    <w:rsid w:val="006660D5"/>
    <w:rsid w:val="006708B0"/>
    <w:rsid w:val="00674B14"/>
    <w:rsid w:val="006764B3"/>
    <w:rsid w:val="00677CC2"/>
    <w:rsid w:val="00680F77"/>
    <w:rsid w:val="00683DDA"/>
    <w:rsid w:val="00686E61"/>
    <w:rsid w:val="00686FFF"/>
    <w:rsid w:val="0069207B"/>
    <w:rsid w:val="0069218E"/>
    <w:rsid w:val="006949F9"/>
    <w:rsid w:val="00694AB5"/>
    <w:rsid w:val="006A111F"/>
    <w:rsid w:val="006A18BE"/>
    <w:rsid w:val="006A1D5D"/>
    <w:rsid w:val="006A3033"/>
    <w:rsid w:val="006A37A8"/>
    <w:rsid w:val="006B0C8C"/>
    <w:rsid w:val="006B0DEC"/>
    <w:rsid w:val="006B148C"/>
    <w:rsid w:val="006B1934"/>
    <w:rsid w:val="006B1EBE"/>
    <w:rsid w:val="006B3790"/>
    <w:rsid w:val="006B5436"/>
    <w:rsid w:val="006B58FB"/>
    <w:rsid w:val="006B6720"/>
    <w:rsid w:val="006C0958"/>
    <w:rsid w:val="006C09EB"/>
    <w:rsid w:val="006C7117"/>
    <w:rsid w:val="006C7C81"/>
    <w:rsid w:val="006C7F8C"/>
    <w:rsid w:val="006D4A2B"/>
    <w:rsid w:val="006D5BCD"/>
    <w:rsid w:val="006D77BA"/>
    <w:rsid w:val="006E2BF6"/>
    <w:rsid w:val="006E2CA4"/>
    <w:rsid w:val="006E2E9F"/>
    <w:rsid w:val="006E338F"/>
    <w:rsid w:val="006E3937"/>
    <w:rsid w:val="006E4D9E"/>
    <w:rsid w:val="006E541B"/>
    <w:rsid w:val="006E6343"/>
    <w:rsid w:val="006E7CFB"/>
    <w:rsid w:val="006F1A7B"/>
    <w:rsid w:val="006F267A"/>
    <w:rsid w:val="006F2778"/>
    <w:rsid w:val="006F4346"/>
    <w:rsid w:val="006F7C34"/>
    <w:rsid w:val="00700190"/>
    <w:rsid w:val="0070114E"/>
    <w:rsid w:val="0070165C"/>
    <w:rsid w:val="00703EB2"/>
    <w:rsid w:val="00703F48"/>
    <w:rsid w:val="00704318"/>
    <w:rsid w:val="007048EE"/>
    <w:rsid w:val="00704A73"/>
    <w:rsid w:val="0070541A"/>
    <w:rsid w:val="00705A48"/>
    <w:rsid w:val="00706A6B"/>
    <w:rsid w:val="0070717A"/>
    <w:rsid w:val="0070729C"/>
    <w:rsid w:val="00710689"/>
    <w:rsid w:val="0071346F"/>
    <w:rsid w:val="00716235"/>
    <w:rsid w:val="00717F40"/>
    <w:rsid w:val="00721CEA"/>
    <w:rsid w:val="00722CB2"/>
    <w:rsid w:val="00722D8A"/>
    <w:rsid w:val="00727633"/>
    <w:rsid w:val="007276BC"/>
    <w:rsid w:val="00730A1B"/>
    <w:rsid w:val="00731085"/>
    <w:rsid w:val="00731E00"/>
    <w:rsid w:val="00732892"/>
    <w:rsid w:val="00733990"/>
    <w:rsid w:val="00734FF6"/>
    <w:rsid w:val="00735C08"/>
    <w:rsid w:val="0073779E"/>
    <w:rsid w:val="007426A8"/>
    <w:rsid w:val="00743324"/>
    <w:rsid w:val="00745286"/>
    <w:rsid w:val="007504D6"/>
    <w:rsid w:val="00750FA1"/>
    <w:rsid w:val="00754E97"/>
    <w:rsid w:val="007556E0"/>
    <w:rsid w:val="007564C8"/>
    <w:rsid w:val="00760D5B"/>
    <w:rsid w:val="0076407E"/>
    <w:rsid w:val="007642FB"/>
    <w:rsid w:val="00764C27"/>
    <w:rsid w:val="00766153"/>
    <w:rsid w:val="00766393"/>
    <w:rsid w:val="00766779"/>
    <w:rsid w:val="007715C9"/>
    <w:rsid w:val="00771DF4"/>
    <w:rsid w:val="00774EDD"/>
    <w:rsid w:val="00775577"/>
    <w:rsid w:val="007757EC"/>
    <w:rsid w:val="00775B89"/>
    <w:rsid w:val="00775CC1"/>
    <w:rsid w:val="00781CF2"/>
    <w:rsid w:val="00784C24"/>
    <w:rsid w:val="00786DEF"/>
    <w:rsid w:val="00791EC9"/>
    <w:rsid w:val="00793C2C"/>
    <w:rsid w:val="00797BF5"/>
    <w:rsid w:val="007A05B5"/>
    <w:rsid w:val="007A11F3"/>
    <w:rsid w:val="007A48D9"/>
    <w:rsid w:val="007A5869"/>
    <w:rsid w:val="007A7E1E"/>
    <w:rsid w:val="007B221B"/>
    <w:rsid w:val="007B57A5"/>
    <w:rsid w:val="007B62D8"/>
    <w:rsid w:val="007C034A"/>
    <w:rsid w:val="007C6064"/>
    <w:rsid w:val="007D066A"/>
    <w:rsid w:val="007D2346"/>
    <w:rsid w:val="007D446B"/>
    <w:rsid w:val="007D51EF"/>
    <w:rsid w:val="007E0638"/>
    <w:rsid w:val="007E3966"/>
    <w:rsid w:val="007E6D25"/>
    <w:rsid w:val="007F0BE6"/>
    <w:rsid w:val="007F4210"/>
    <w:rsid w:val="007F451B"/>
    <w:rsid w:val="007F6FF0"/>
    <w:rsid w:val="008006B2"/>
    <w:rsid w:val="008008E7"/>
    <w:rsid w:val="00802A87"/>
    <w:rsid w:val="00803B3D"/>
    <w:rsid w:val="00805167"/>
    <w:rsid w:val="008061D5"/>
    <w:rsid w:val="00806976"/>
    <w:rsid w:val="00811471"/>
    <w:rsid w:val="0081191C"/>
    <w:rsid w:val="00815AF0"/>
    <w:rsid w:val="00817959"/>
    <w:rsid w:val="0082004A"/>
    <w:rsid w:val="00820F01"/>
    <w:rsid w:val="00823916"/>
    <w:rsid w:val="00823E68"/>
    <w:rsid w:val="00825347"/>
    <w:rsid w:val="00827369"/>
    <w:rsid w:val="00830E2D"/>
    <w:rsid w:val="008311CB"/>
    <w:rsid w:val="008316EF"/>
    <w:rsid w:val="00841BA0"/>
    <w:rsid w:val="00852CE6"/>
    <w:rsid w:val="00856A31"/>
    <w:rsid w:val="0086077B"/>
    <w:rsid w:val="008612B1"/>
    <w:rsid w:val="008616A4"/>
    <w:rsid w:val="00864D53"/>
    <w:rsid w:val="00867CBF"/>
    <w:rsid w:val="00871611"/>
    <w:rsid w:val="00871DE0"/>
    <w:rsid w:val="00872ED7"/>
    <w:rsid w:val="008754D0"/>
    <w:rsid w:val="0087640A"/>
    <w:rsid w:val="0087696C"/>
    <w:rsid w:val="00880BCB"/>
    <w:rsid w:val="008826A4"/>
    <w:rsid w:val="00885C6A"/>
    <w:rsid w:val="008918E6"/>
    <w:rsid w:val="0089274C"/>
    <w:rsid w:val="0089332F"/>
    <w:rsid w:val="008959B3"/>
    <w:rsid w:val="00896AF6"/>
    <w:rsid w:val="00896D0E"/>
    <w:rsid w:val="008970DD"/>
    <w:rsid w:val="008A25D4"/>
    <w:rsid w:val="008A4AD8"/>
    <w:rsid w:val="008A5BA0"/>
    <w:rsid w:val="008B2614"/>
    <w:rsid w:val="008B30BA"/>
    <w:rsid w:val="008B3868"/>
    <w:rsid w:val="008B4E45"/>
    <w:rsid w:val="008C1B29"/>
    <w:rsid w:val="008C288F"/>
    <w:rsid w:val="008C572E"/>
    <w:rsid w:val="008C6526"/>
    <w:rsid w:val="008C6715"/>
    <w:rsid w:val="008C7A18"/>
    <w:rsid w:val="008C7A66"/>
    <w:rsid w:val="008C7E23"/>
    <w:rsid w:val="008C7EA5"/>
    <w:rsid w:val="008D65E6"/>
    <w:rsid w:val="008E140B"/>
    <w:rsid w:val="008E17F3"/>
    <w:rsid w:val="008E29D9"/>
    <w:rsid w:val="008E3B8C"/>
    <w:rsid w:val="008E3EF9"/>
    <w:rsid w:val="008E50B8"/>
    <w:rsid w:val="008F0B81"/>
    <w:rsid w:val="008F3B30"/>
    <w:rsid w:val="008F3BBC"/>
    <w:rsid w:val="008F489C"/>
    <w:rsid w:val="008F4C3C"/>
    <w:rsid w:val="008F79EA"/>
    <w:rsid w:val="009019C9"/>
    <w:rsid w:val="00903CCE"/>
    <w:rsid w:val="00905402"/>
    <w:rsid w:val="00906170"/>
    <w:rsid w:val="009141F2"/>
    <w:rsid w:val="00915D04"/>
    <w:rsid w:val="0091739A"/>
    <w:rsid w:val="00920B28"/>
    <w:rsid w:val="009219E7"/>
    <w:rsid w:val="00922D1B"/>
    <w:rsid w:val="0092774D"/>
    <w:rsid w:val="00931230"/>
    <w:rsid w:val="00931772"/>
    <w:rsid w:val="0093250C"/>
    <w:rsid w:val="009331E3"/>
    <w:rsid w:val="0093325E"/>
    <w:rsid w:val="00933A1E"/>
    <w:rsid w:val="00933B8A"/>
    <w:rsid w:val="00934B56"/>
    <w:rsid w:val="00935556"/>
    <w:rsid w:val="009371BC"/>
    <w:rsid w:val="0094066C"/>
    <w:rsid w:val="00942773"/>
    <w:rsid w:val="0094390A"/>
    <w:rsid w:val="00943E38"/>
    <w:rsid w:val="00943E46"/>
    <w:rsid w:val="00944624"/>
    <w:rsid w:val="0094622F"/>
    <w:rsid w:val="00947590"/>
    <w:rsid w:val="009528C8"/>
    <w:rsid w:val="00953786"/>
    <w:rsid w:val="00953831"/>
    <w:rsid w:val="00953A96"/>
    <w:rsid w:val="00955916"/>
    <w:rsid w:val="00961D22"/>
    <w:rsid w:val="00962076"/>
    <w:rsid w:val="009747C5"/>
    <w:rsid w:val="009749BC"/>
    <w:rsid w:val="00974D2D"/>
    <w:rsid w:val="0097634C"/>
    <w:rsid w:val="00977462"/>
    <w:rsid w:val="00984CB9"/>
    <w:rsid w:val="0098638B"/>
    <w:rsid w:val="009871A5"/>
    <w:rsid w:val="009901C9"/>
    <w:rsid w:val="009903A7"/>
    <w:rsid w:val="00991C36"/>
    <w:rsid w:val="009925A2"/>
    <w:rsid w:val="00992B1B"/>
    <w:rsid w:val="00994D2A"/>
    <w:rsid w:val="00995316"/>
    <w:rsid w:val="009A0DA7"/>
    <w:rsid w:val="009A0E25"/>
    <w:rsid w:val="009A17E2"/>
    <w:rsid w:val="009A19BB"/>
    <w:rsid w:val="009A2439"/>
    <w:rsid w:val="009A3939"/>
    <w:rsid w:val="009A5CD2"/>
    <w:rsid w:val="009B18D6"/>
    <w:rsid w:val="009B2000"/>
    <w:rsid w:val="009B247A"/>
    <w:rsid w:val="009B261A"/>
    <w:rsid w:val="009B334F"/>
    <w:rsid w:val="009B4671"/>
    <w:rsid w:val="009B6116"/>
    <w:rsid w:val="009B6F38"/>
    <w:rsid w:val="009C2D6E"/>
    <w:rsid w:val="009C54E2"/>
    <w:rsid w:val="009C5B7E"/>
    <w:rsid w:val="009D0319"/>
    <w:rsid w:val="009D0433"/>
    <w:rsid w:val="009D4183"/>
    <w:rsid w:val="009D56E3"/>
    <w:rsid w:val="009D7619"/>
    <w:rsid w:val="009E1699"/>
    <w:rsid w:val="009E1D76"/>
    <w:rsid w:val="009E2831"/>
    <w:rsid w:val="009E3987"/>
    <w:rsid w:val="009E3EDC"/>
    <w:rsid w:val="009E7322"/>
    <w:rsid w:val="009F082F"/>
    <w:rsid w:val="009F2A18"/>
    <w:rsid w:val="009F46FB"/>
    <w:rsid w:val="009F4A10"/>
    <w:rsid w:val="00A0254D"/>
    <w:rsid w:val="00A0343C"/>
    <w:rsid w:val="00A03D2B"/>
    <w:rsid w:val="00A0429E"/>
    <w:rsid w:val="00A11E81"/>
    <w:rsid w:val="00A1399E"/>
    <w:rsid w:val="00A146BF"/>
    <w:rsid w:val="00A15835"/>
    <w:rsid w:val="00A20D8F"/>
    <w:rsid w:val="00A213FE"/>
    <w:rsid w:val="00A21675"/>
    <w:rsid w:val="00A231E2"/>
    <w:rsid w:val="00A23895"/>
    <w:rsid w:val="00A32D1F"/>
    <w:rsid w:val="00A36292"/>
    <w:rsid w:val="00A42532"/>
    <w:rsid w:val="00A442C1"/>
    <w:rsid w:val="00A5154B"/>
    <w:rsid w:val="00A52586"/>
    <w:rsid w:val="00A54B55"/>
    <w:rsid w:val="00A57EE5"/>
    <w:rsid w:val="00A6027D"/>
    <w:rsid w:val="00A609DB"/>
    <w:rsid w:val="00A61598"/>
    <w:rsid w:val="00A61B55"/>
    <w:rsid w:val="00A622D9"/>
    <w:rsid w:val="00A64912"/>
    <w:rsid w:val="00A65B56"/>
    <w:rsid w:val="00A70A74"/>
    <w:rsid w:val="00A76DAE"/>
    <w:rsid w:val="00A800D8"/>
    <w:rsid w:val="00A80E4A"/>
    <w:rsid w:val="00A82AE5"/>
    <w:rsid w:val="00A83856"/>
    <w:rsid w:val="00A83A89"/>
    <w:rsid w:val="00A91176"/>
    <w:rsid w:val="00A91B5C"/>
    <w:rsid w:val="00A9586F"/>
    <w:rsid w:val="00A95C14"/>
    <w:rsid w:val="00A9645C"/>
    <w:rsid w:val="00A97AAD"/>
    <w:rsid w:val="00AA0F43"/>
    <w:rsid w:val="00AA1F52"/>
    <w:rsid w:val="00AA28C0"/>
    <w:rsid w:val="00AB2410"/>
    <w:rsid w:val="00AB3BE9"/>
    <w:rsid w:val="00AB76E3"/>
    <w:rsid w:val="00AB7F08"/>
    <w:rsid w:val="00AC3221"/>
    <w:rsid w:val="00AC390E"/>
    <w:rsid w:val="00AC412B"/>
    <w:rsid w:val="00AC4F3A"/>
    <w:rsid w:val="00AC4F74"/>
    <w:rsid w:val="00AC63C6"/>
    <w:rsid w:val="00AC63F5"/>
    <w:rsid w:val="00AC670B"/>
    <w:rsid w:val="00AD12F6"/>
    <w:rsid w:val="00AD5641"/>
    <w:rsid w:val="00AD5DCC"/>
    <w:rsid w:val="00AD6BED"/>
    <w:rsid w:val="00AD7662"/>
    <w:rsid w:val="00AE3305"/>
    <w:rsid w:val="00AE49E6"/>
    <w:rsid w:val="00AE538D"/>
    <w:rsid w:val="00AE76C4"/>
    <w:rsid w:val="00AF001F"/>
    <w:rsid w:val="00AF1A8F"/>
    <w:rsid w:val="00AF3536"/>
    <w:rsid w:val="00AF46DE"/>
    <w:rsid w:val="00B05051"/>
    <w:rsid w:val="00B06ACA"/>
    <w:rsid w:val="00B120CC"/>
    <w:rsid w:val="00B12D9B"/>
    <w:rsid w:val="00B158CD"/>
    <w:rsid w:val="00B16A03"/>
    <w:rsid w:val="00B20524"/>
    <w:rsid w:val="00B206CA"/>
    <w:rsid w:val="00B20B3A"/>
    <w:rsid w:val="00B3184B"/>
    <w:rsid w:val="00B33B3C"/>
    <w:rsid w:val="00B36405"/>
    <w:rsid w:val="00B37DA5"/>
    <w:rsid w:val="00B41128"/>
    <w:rsid w:val="00B42F45"/>
    <w:rsid w:val="00B43408"/>
    <w:rsid w:val="00B54CF9"/>
    <w:rsid w:val="00B54D32"/>
    <w:rsid w:val="00B564E9"/>
    <w:rsid w:val="00B57953"/>
    <w:rsid w:val="00B64871"/>
    <w:rsid w:val="00B65916"/>
    <w:rsid w:val="00B70D5D"/>
    <w:rsid w:val="00B71150"/>
    <w:rsid w:val="00B72BE7"/>
    <w:rsid w:val="00B73314"/>
    <w:rsid w:val="00B74132"/>
    <w:rsid w:val="00B752D6"/>
    <w:rsid w:val="00B805B9"/>
    <w:rsid w:val="00B8461E"/>
    <w:rsid w:val="00B849D5"/>
    <w:rsid w:val="00B86B84"/>
    <w:rsid w:val="00B904F5"/>
    <w:rsid w:val="00B918BB"/>
    <w:rsid w:val="00B939A3"/>
    <w:rsid w:val="00B93E5D"/>
    <w:rsid w:val="00B96314"/>
    <w:rsid w:val="00BA26C8"/>
    <w:rsid w:val="00BA2BEA"/>
    <w:rsid w:val="00BA4731"/>
    <w:rsid w:val="00BA4DC6"/>
    <w:rsid w:val="00BB03A4"/>
    <w:rsid w:val="00BB0B89"/>
    <w:rsid w:val="00BB0CCD"/>
    <w:rsid w:val="00BC0D07"/>
    <w:rsid w:val="00BC4543"/>
    <w:rsid w:val="00BC5AD3"/>
    <w:rsid w:val="00BC6641"/>
    <w:rsid w:val="00BC68F6"/>
    <w:rsid w:val="00BC77B0"/>
    <w:rsid w:val="00BD0166"/>
    <w:rsid w:val="00BD1165"/>
    <w:rsid w:val="00BD2D30"/>
    <w:rsid w:val="00BD3BD0"/>
    <w:rsid w:val="00BD4742"/>
    <w:rsid w:val="00BE11F9"/>
    <w:rsid w:val="00BE29FA"/>
    <w:rsid w:val="00BE62AB"/>
    <w:rsid w:val="00BE719A"/>
    <w:rsid w:val="00BE720A"/>
    <w:rsid w:val="00BF154E"/>
    <w:rsid w:val="00BF1D82"/>
    <w:rsid w:val="00BF4C5F"/>
    <w:rsid w:val="00BF5109"/>
    <w:rsid w:val="00BF56EA"/>
    <w:rsid w:val="00BF6B21"/>
    <w:rsid w:val="00C029C0"/>
    <w:rsid w:val="00C041BF"/>
    <w:rsid w:val="00C060A6"/>
    <w:rsid w:val="00C07B02"/>
    <w:rsid w:val="00C11A1A"/>
    <w:rsid w:val="00C12043"/>
    <w:rsid w:val="00C1453D"/>
    <w:rsid w:val="00C177F8"/>
    <w:rsid w:val="00C21A19"/>
    <w:rsid w:val="00C2374B"/>
    <w:rsid w:val="00C252CC"/>
    <w:rsid w:val="00C255C7"/>
    <w:rsid w:val="00C25793"/>
    <w:rsid w:val="00C27E09"/>
    <w:rsid w:val="00C30E52"/>
    <w:rsid w:val="00C32CBD"/>
    <w:rsid w:val="00C340FF"/>
    <w:rsid w:val="00C343C9"/>
    <w:rsid w:val="00C35CED"/>
    <w:rsid w:val="00C42BF8"/>
    <w:rsid w:val="00C43103"/>
    <w:rsid w:val="00C4516D"/>
    <w:rsid w:val="00C452A4"/>
    <w:rsid w:val="00C47146"/>
    <w:rsid w:val="00C47252"/>
    <w:rsid w:val="00C50043"/>
    <w:rsid w:val="00C52AA5"/>
    <w:rsid w:val="00C549DF"/>
    <w:rsid w:val="00C54FB1"/>
    <w:rsid w:val="00C55885"/>
    <w:rsid w:val="00C571FB"/>
    <w:rsid w:val="00C578C8"/>
    <w:rsid w:val="00C60503"/>
    <w:rsid w:val="00C60ECD"/>
    <w:rsid w:val="00C61CDD"/>
    <w:rsid w:val="00C630A2"/>
    <w:rsid w:val="00C636FA"/>
    <w:rsid w:val="00C64C6F"/>
    <w:rsid w:val="00C7149F"/>
    <w:rsid w:val="00C71C70"/>
    <w:rsid w:val="00C7573B"/>
    <w:rsid w:val="00C75C52"/>
    <w:rsid w:val="00C76803"/>
    <w:rsid w:val="00C77806"/>
    <w:rsid w:val="00C77EC7"/>
    <w:rsid w:val="00C8062D"/>
    <w:rsid w:val="00C8127B"/>
    <w:rsid w:val="00C83868"/>
    <w:rsid w:val="00C83878"/>
    <w:rsid w:val="00C873C2"/>
    <w:rsid w:val="00C87F98"/>
    <w:rsid w:val="00C9153E"/>
    <w:rsid w:val="00C91A80"/>
    <w:rsid w:val="00C91C96"/>
    <w:rsid w:val="00C93DFC"/>
    <w:rsid w:val="00C95976"/>
    <w:rsid w:val="00CA0A4E"/>
    <w:rsid w:val="00CA101A"/>
    <w:rsid w:val="00CB0996"/>
    <w:rsid w:val="00CB3D6B"/>
    <w:rsid w:val="00CB3FEE"/>
    <w:rsid w:val="00CB480A"/>
    <w:rsid w:val="00CB48D8"/>
    <w:rsid w:val="00CB7DBA"/>
    <w:rsid w:val="00CC0365"/>
    <w:rsid w:val="00CC0D05"/>
    <w:rsid w:val="00CC2064"/>
    <w:rsid w:val="00CC22BA"/>
    <w:rsid w:val="00CC6D78"/>
    <w:rsid w:val="00CD1D53"/>
    <w:rsid w:val="00CD2F32"/>
    <w:rsid w:val="00CD68AD"/>
    <w:rsid w:val="00CD6AF6"/>
    <w:rsid w:val="00CD730E"/>
    <w:rsid w:val="00CE345A"/>
    <w:rsid w:val="00CE3639"/>
    <w:rsid w:val="00CE380B"/>
    <w:rsid w:val="00CE3CB4"/>
    <w:rsid w:val="00CE3EB9"/>
    <w:rsid w:val="00CE50E3"/>
    <w:rsid w:val="00CE5D78"/>
    <w:rsid w:val="00CE6884"/>
    <w:rsid w:val="00CE70A7"/>
    <w:rsid w:val="00CE7A1E"/>
    <w:rsid w:val="00CF0BB2"/>
    <w:rsid w:val="00CF1989"/>
    <w:rsid w:val="00CF4CB4"/>
    <w:rsid w:val="00CF4E7E"/>
    <w:rsid w:val="00CF7724"/>
    <w:rsid w:val="00D00E5A"/>
    <w:rsid w:val="00D0141A"/>
    <w:rsid w:val="00D01E9C"/>
    <w:rsid w:val="00D02370"/>
    <w:rsid w:val="00D03CEB"/>
    <w:rsid w:val="00D043FD"/>
    <w:rsid w:val="00D048A8"/>
    <w:rsid w:val="00D04C6F"/>
    <w:rsid w:val="00D05774"/>
    <w:rsid w:val="00D0684B"/>
    <w:rsid w:val="00D06D5F"/>
    <w:rsid w:val="00D07C2C"/>
    <w:rsid w:val="00D13441"/>
    <w:rsid w:val="00D14436"/>
    <w:rsid w:val="00D148B8"/>
    <w:rsid w:val="00D17176"/>
    <w:rsid w:val="00D22D45"/>
    <w:rsid w:val="00D23583"/>
    <w:rsid w:val="00D24D9C"/>
    <w:rsid w:val="00D25AD7"/>
    <w:rsid w:val="00D25BA2"/>
    <w:rsid w:val="00D26B74"/>
    <w:rsid w:val="00D27DDD"/>
    <w:rsid w:val="00D303F1"/>
    <w:rsid w:val="00D30784"/>
    <w:rsid w:val="00D30AB1"/>
    <w:rsid w:val="00D30B71"/>
    <w:rsid w:val="00D326E2"/>
    <w:rsid w:val="00D34808"/>
    <w:rsid w:val="00D35857"/>
    <w:rsid w:val="00D35C33"/>
    <w:rsid w:val="00D41FF9"/>
    <w:rsid w:val="00D45BD9"/>
    <w:rsid w:val="00D46A46"/>
    <w:rsid w:val="00D472C0"/>
    <w:rsid w:val="00D47708"/>
    <w:rsid w:val="00D50FC1"/>
    <w:rsid w:val="00D515D6"/>
    <w:rsid w:val="00D5253C"/>
    <w:rsid w:val="00D5528C"/>
    <w:rsid w:val="00D63FF6"/>
    <w:rsid w:val="00D66C57"/>
    <w:rsid w:val="00D70DFB"/>
    <w:rsid w:val="00D73F45"/>
    <w:rsid w:val="00D766DF"/>
    <w:rsid w:val="00D7679E"/>
    <w:rsid w:val="00D77775"/>
    <w:rsid w:val="00D82BA1"/>
    <w:rsid w:val="00D84264"/>
    <w:rsid w:val="00D85C15"/>
    <w:rsid w:val="00D87099"/>
    <w:rsid w:val="00D92538"/>
    <w:rsid w:val="00D92D85"/>
    <w:rsid w:val="00D957D9"/>
    <w:rsid w:val="00D95D7F"/>
    <w:rsid w:val="00D97DC2"/>
    <w:rsid w:val="00DA26AF"/>
    <w:rsid w:val="00DA3C32"/>
    <w:rsid w:val="00DA75B0"/>
    <w:rsid w:val="00DB0301"/>
    <w:rsid w:val="00DB14D1"/>
    <w:rsid w:val="00DB3CFE"/>
    <w:rsid w:val="00DB4333"/>
    <w:rsid w:val="00DB6FFA"/>
    <w:rsid w:val="00DC18D3"/>
    <w:rsid w:val="00DC498E"/>
    <w:rsid w:val="00DC49D4"/>
    <w:rsid w:val="00DC6593"/>
    <w:rsid w:val="00DC7BD0"/>
    <w:rsid w:val="00DD16B9"/>
    <w:rsid w:val="00DD1BD6"/>
    <w:rsid w:val="00DD2D30"/>
    <w:rsid w:val="00DD3224"/>
    <w:rsid w:val="00DD73D4"/>
    <w:rsid w:val="00DE0481"/>
    <w:rsid w:val="00DE0E80"/>
    <w:rsid w:val="00DE221E"/>
    <w:rsid w:val="00DE2241"/>
    <w:rsid w:val="00DE24C6"/>
    <w:rsid w:val="00DE2A5C"/>
    <w:rsid w:val="00DE4197"/>
    <w:rsid w:val="00DE5EE5"/>
    <w:rsid w:val="00DE7073"/>
    <w:rsid w:val="00DF28E2"/>
    <w:rsid w:val="00DF3834"/>
    <w:rsid w:val="00DF3E8E"/>
    <w:rsid w:val="00DF6F58"/>
    <w:rsid w:val="00DF7C4D"/>
    <w:rsid w:val="00E076F2"/>
    <w:rsid w:val="00E104E2"/>
    <w:rsid w:val="00E1134D"/>
    <w:rsid w:val="00E1199A"/>
    <w:rsid w:val="00E12A89"/>
    <w:rsid w:val="00E14141"/>
    <w:rsid w:val="00E241C9"/>
    <w:rsid w:val="00E24203"/>
    <w:rsid w:val="00E2480C"/>
    <w:rsid w:val="00E25418"/>
    <w:rsid w:val="00E26AA7"/>
    <w:rsid w:val="00E27E99"/>
    <w:rsid w:val="00E305CA"/>
    <w:rsid w:val="00E30667"/>
    <w:rsid w:val="00E30FDE"/>
    <w:rsid w:val="00E31D06"/>
    <w:rsid w:val="00E325C2"/>
    <w:rsid w:val="00E32A67"/>
    <w:rsid w:val="00E3456C"/>
    <w:rsid w:val="00E40E63"/>
    <w:rsid w:val="00E41B72"/>
    <w:rsid w:val="00E42366"/>
    <w:rsid w:val="00E428A5"/>
    <w:rsid w:val="00E42DF5"/>
    <w:rsid w:val="00E446EB"/>
    <w:rsid w:val="00E46981"/>
    <w:rsid w:val="00E469FD"/>
    <w:rsid w:val="00E50037"/>
    <w:rsid w:val="00E5029C"/>
    <w:rsid w:val="00E504F1"/>
    <w:rsid w:val="00E50659"/>
    <w:rsid w:val="00E50E72"/>
    <w:rsid w:val="00E520FB"/>
    <w:rsid w:val="00E54F68"/>
    <w:rsid w:val="00E553B4"/>
    <w:rsid w:val="00E55E7D"/>
    <w:rsid w:val="00E55F2E"/>
    <w:rsid w:val="00E57EAF"/>
    <w:rsid w:val="00E644D4"/>
    <w:rsid w:val="00E64B44"/>
    <w:rsid w:val="00E64F6C"/>
    <w:rsid w:val="00E654FF"/>
    <w:rsid w:val="00E65965"/>
    <w:rsid w:val="00E65A7E"/>
    <w:rsid w:val="00E6703A"/>
    <w:rsid w:val="00E73B1E"/>
    <w:rsid w:val="00E73FEE"/>
    <w:rsid w:val="00E74DC7"/>
    <w:rsid w:val="00E768BE"/>
    <w:rsid w:val="00E76CEC"/>
    <w:rsid w:val="00E83BA9"/>
    <w:rsid w:val="00E843F7"/>
    <w:rsid w:val="00E85B64"/>
    <w:rsid w:val="00E86BF0"/>
    <w:rsid w:val="00E87DBE"/>
    <w:rsid w:val="00E9349F"/>
    <w:rsid w:val="00E94477"/>
    <w:rsid w:val="00E96AF3"/>
    <w:rsid w:val="00EA0FC2"/>
    <w:rsid w:val="00EA14B3"/>
    <w:rsid w:val="00EA5232"/>
    <w:rsid w:val="00EA647F"/>
    <w:rsid w:val="00EB1864"/>
    <w:rsid w:val="00EB21C2"/>
    <w:rsid w:val="00EB3592"/>
    <w:rsid w:val="00EC1E82"/>
    <w:rsid w:val="00EC6560"/>
    <w:rsid w:val="00EC7C8B"/>
    <w:rsid w:val="00EC7F47"/>
    <w:rsid w:val="00ED0999"/>
    <w:rsid w:val="00ED0C49"/>
    <w:rsid w:val="00ED4542"/>
    <w:rsid w:val="00ED5697"/>
    <w:rsid w:val="00ED59C1"/>
    <w:rsid w:val="00ED7A47"/>
    <w:rsid w:val="00EE2499"/>
    <w:rsid w:val="00EE309C"/>
    <w:rsid w:val="00EE63B0"/>
    <w:rsid w:val="00EE6426"/>
    <w:rsid w:val="00EE7B6D"/>
    <w:rsid w:val="00EF2236"/>
    <w:rsid w:val="00EF2E3A"/>
    <w:rsid w:val="00EF55EB"/>
    <w:rsid w:val="00EF5773"/>
    <w:rsid w:val="00F030AB"/>
    <w:rsid w:val="00F04811"/>
    <w:rsid w:val="00F04D6D"/>
    <w:rsid w:val="00F078DC"/>
    <w:rsid w:val="00F12B4E"/>
    <w:rsid w:val="00F16256"/>
    <w:rsid w:val="00F1692C"/>
    <w:rsid w:val="00F2000D"/>
    <w:rsid w:val="00F20390"/>
    <w:rsid w:val="00F206AF"/>
    <w:rsid w:val="00F23E5F"/>
    <w:rsid w:val="00F26A91"/>
    <w:rsid w:val="00F30D3E"/>
    <w:rsid w:val="00F31EB1"/>
    <w:rsid w:val="00F32030"/>
    <w:rsid w:val="00F33232"/>
    <w:rsid w:val="00F364F2"/>
    <w:rsid w:val="00F376FE"/>
    <w:rsid w:val="00F45149"/>
    <w:rsid w:val="00F51269"/>
    <w:rsid w:val="00F51A1E"/>
    <w:rsid w:val="00F5338B"/>
    <w:rsid w:val="00F54B76"/>
    <w:rsid w:val="00F54C92"/>
    <w:rsid w:val="00F56007"/>
    <w:rsid w:val="00F56C40"/>
    <w:rsid w:val="00F6099A"/>
    <w:rsid w:val="00F62811"/>
    <w:rsid w:val="00F728D4"/>
    <w:rsid w:val="00F73DDE"/>
    <w:rsid w:val="00F749E4"/>
    <w:rsid w:val="00F74AAF"/>
    <w:rsid w:val="00F83D02"/>
    <w:rsid w:val="00F85687"/>
    <w:rsid w:val="00F87C53"/>
    <w:rsid w:val="00F93B75"/>
    <w:rsid w:val="00F966F7"/>
    <w:rsid w:val="00FA12B6"/>
    <w:rsid w:val="00FA4B7E"/>
    <w:rsid w:val="00FA4B8C"/>
    <w:rsid w:val="00FA685A"/>
    <w:rsid w:val="00FB3853"/>
    <w:rsid w:val="00FB3B41"/>
    <w:rsid w:val="00FB4235"/>
    <w:rsid w:val="00FC011E"/>
    <w:rsid w:val="00FC01E6"/>
    <w:rsid w:val="00FC18B0"/>
    <w:rsid w:val="00FC3F42"/>
    <w:rsid w:val="00FC5BA7"/>
    <w:rsid w:val="00FC6815"/>
    <w:rsid w:val="00FC6F35"/>
    <w:rsid w:val="00FC7264"/>
    <w:rsid w:val="00FD0415"/>
    <w:rsid w:val="00FD0F4A"/>
    <w:rsid w:val="00FD1A01"/>
    <w:rsid w:val="00FD25E9"/>
    <w:rsid w:val="00FD456C"/>
    <w:rsid w:val="00FD7685"/>
    <w:rsid w:val="00FE3BB8"/>
    <w:rsid w:val="00FE495E"/>
    <w:rsid w:val="00FE4B92"/>
    <w:rsid w:val="00FE6712"/>
    <w:rsid w:val="00FE6DD9"/>
    <w:rsid w:val="00FF1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tabs>
        <w:tab w:val="clear" w:pos="-3"/>
        <w:tab w:val="num" w:pos="720"/>
      </w:tabs>
      <w:spacing w:before="120" w:line="240" w:lineRule="auto"/>
      <w:ind w:left="720" w:hanging="360"/>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 w:type="paragraph" w:customStyle="1" w:styleId="LDClause">
    <w:name w:val="LDClause"/>
    <w:basedOn w:val="Normal"/>
    <w:link w:val="LDClauseChar"/>
    <w:rsid w:val="00E30FDE"/>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30FDE"/>
    <w:rPr>
      <w:rFonts w:eastAsia="Times New Roman" w:cs="Times New Roman"/>
      <w:sz w:val="24"/>
      <w:szCs w:val="24"/>
    </w:rPr>
  </w:style>
  <w:style w:type="paragraph" w:customStyle="1" w:styleId="LDP1a">
    <w:name w:val="LDP1 (a)"/>
    <w:basedOn w:val="LDClause"/>
    <w:link w:val="LDP1aChar"/>
    <w:rsid w:val="00E30FDE"/>
    <w:pPr>
      <w:tabs>
        <w:tab w:val="clear" w:pos="737"/>
        <w:tab w:val="left" w:pos="1191"/>
      </w:tabs>
      <w:ind w:left="1191" w:hanging="454"/>
    </w:pPr>
  </w:style>
  <w:style w:type="character" w:customStyle="1" w:styleId="LDP1aChar">
    <w:name w:val="LDP1 (a) Char"/>
    <w:link w:val="LDP1a"/>
    <w:locked/>
    <w:rsid w:val="00E30FDE"/>
    <w:rPr>
      <w:rFonts w:eastAsia="Times New Roman" w:cs="Times New Roman"/>
      <w:sz w:val="24"/>
      <w:szCs w:val="24"/>
    </w:rPr>
  </w:style>
  <w:style w:type="paragraph" w:customStyle="1" w:styleId="LDAmendInstruction">
    <w:name w:val="LDAmendInstruction"/>
    <w:basedOn w:val="Normal"/>
    <w:next w:val="Normal"/>
    <w:rsid w:val="00E30FDE"/>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Heading">
    <w:name w:val="LDAmendHeading"/>
    <w:basedOn w:val="Normal"/>
    <w:next w:val="LDAmendInstruction"/>
    <w:link w:val="LDAmendHeadingChar"/>
    <w:rsid w:val="00E30FDE"/>
    <w:pPr>
      <w:keepNext/>
      <w:spacing w:before="180" w:after="60" w:line="240" w:lineRule="auto"/>
      <w:ind w:left="720" w:hanging="720"/>
    </w:pPr>
    <w:rPr>
      <w:rFonts w:ascii="Arial" w:eastAsia="Times New Roman" w:hAnsi="Arial" w:cs="Times New Roman"/>
      <w:b/>
      <w:sz w:val="24"/>
      <w:szCs w:val="24"/>
    </w:rPr>
  </w:style>
  <w:style w:type="character" w:customStyle="1" w:styleId="LDAmendTextChar">
    <w:name w:val="LDAmendText Char"/>
    <w:link w:val="LDAmendText"/>
    <w:locked/>
    <w:rsid w:val="00E30FDE"/>
    <w:rPr>
      <w:sz w:val="24"/>
      <w:szCs w:val="24"/>
    </w:rPr>
  </w:style>
  <w:style w:type="paragraph" w:customStyle="1" w:styleId="LDAmendText">
    <w:name w:val="LDAmendText"/>
    <w:basedOn w:val="Normal"/>
    <w:next w:val="LDAmendInstruction"/>
    <w:link w:val="LDAmendTextChar"/>
    <w:rsid w:val="00E30FDE"/>
    <w:pPr>
      <w:spacing w:before="60" w:after="60" w:line="240" w:lineRule="auto"/>
      <w:ind w:left="964"/>
    </w:pPr>
    <w:rPr>
      <w:sz w:val="24"/>
      <w:szCs w:val="24"/>
    </w:rPr>
  </w:style>
  <w:style w:type="character" w:customStyle="1" w:styleId="LDAmendHeadingChar">
    <w:name w:val="LDAmendHeading Char"/>
    <w:link w:val="LDAmendHeading"/>
    <w:rsid w:val="00E30FDE"/>
    <w:rPr>
      <w:rFonts w:ascii="Arial" w:eastAsia="Times New Roman" w:hAnsi="Arial" w:cs="Times New Roman"/>
      <w:b/>
      <w:sz w:val="24"/>
      <w:szCs w:val="24"/>
    </w:rPr>
  </w:style>
  <w:style w:type="paragraph" w:customStyle="1" w:styleId="Specialc">
    <w:name w:val="Special c"/>
    <w:basedOn w:val="Normal"/>
    <w:link w:val="SpecialcChar"/>
    <w:rsid w:val="00AA1F52"/>
    <w:pPr>
      <w:keepNext/>
      <w:keepLines/>
      <w:spacing w:line="240" w:lineRule="auto"/>
      <w:ind w:left="1134" w:hanging="1134"/>
    </w:pPr>
    <w:rPr>
      <w:rFonts w:eastAsia="Times New Roman" w:cs="Times New Roman"/>
      <w:b/>
      <w:kern w:val="28"/>
      <w:sz w:val="36"/>
      <w:lang w:eastAsia="en-AU"/>
    </w:rPr>
  </w:style>
  <w:style w:type="character" w:customStyle="1" w:styleId="SpecialcChar">
    <w:name w:val="Special c Char"/>
    <w:basedOn w:val="DefaultParagraphFont"/>
    <w:link w:val="Specialc"/>
    <w:rsid w:val="00AA1F52"/>
    <w:rPr>
      <w:rFonts w:eastAsia="Times New Roman" w:cs="Times New Roman"/>
      <w:b/>
      <w:kern w:val="28"/>
      <w:sz w:val="36"/>
      <w:lang w:eastAsia="en-AU"/>
    </w:rPr>
  </w:style>
  <w:style w:type="paragraph" w:customStyle="1" w:styleId="Specialas">
    <w:name w:val="Special as"/>
    <w:basedOn w:val="ActHead6"/>
    <w:link w:val="SpecialasChar"/>
    <w:rsid w:val="00E30667"/>
    <w:pPr>
      <w:outlineLvl w:val="9"/>
    </w:pPr>
  </w:style>
  <w:style w:type="character" w:customStyle="1" w:styleId="SpecialasChar">
    <w:name w:val="Special as Char"/>
    <w:basedOn w:val="DefaultParagraphFont"/>
    <w:link w:val="Specialas"/>
    <w:rsid w:val="00E30667"/>
    <w:rPr>
      <w:rFonts w:ascii="Arial" w:eastAsia="Times New Roman" w:hAnsi="Arial" w:cs="Times New Roman"/>
      <w:b/>
      <w:kern w:val="28"/>
      <w:sz w:val="32"/>
      <w:lang w:eastAsia="en-AU"/>
    </w:rPr>
  </w:style>
  <w:style w:type="paragraph" w:customStyle="1" w:styleId="schedule">
    <w:name w:val="schedule"/>
    <w:basedOn w:val="Normal"/>
    <w:rsid w:val="00DF28E2"/>
    <w:pPr>
      <w:spacing w:before="100" w:beforeAutospacing="1" w:after="100" w:afterAutospacing="1" w:line="240" w:lineRule="auto"/>
    </w:pPr>
    <w:rPr>
      <w:rFonts w:eastAsia="Times New Roman" w:cs="Times New Roman"/>
      <w:sz w:val="24"/>
      <w:szCs w:val="24"/>
      <w:lang w:eastAsia="en-AU"/>
    </w:rPr>
  </w:style>
  <w:style w:type="table" w:customStyle="1" w:styleId="TableGrid1">
    <w:name w:val="Table Grid1"/>
    <w:basedOn w:val="TableNormal"/>
    <w:next w:val="TableGrid"/>
    <w:uiPriority w:val="59"/>
    <w:rsid w:val="00B3184B"/>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2">
    <w:name w:val="Table Grid2"/>
    <w:basedOn w:val="TableNormal"/>
    <w:next w:val="TableGrid"/>
    <w:uiPriority w:val="59"/>
    <w:rsid w:val="00B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F0BE6"/>
    <w:rPr>
      <w:sz w:val="16"/>
      <w:szCs w:val="16"/>
    </w:rPr>
  </w:style>
  <w:style w:type="character" w:customStyle="1" w:styleId="DefinitionChar">
    <w:name w:val="Definition Char"/>
    <w:aliases w:val="dd Char"/>
    <w:link w:val="Definition"/>
    <w:rsid w:val="006421E6"/>
    <w:rPr>
      <w:rFonts w:eastAsia="Times New Roman" w:cs="Times New Roman"/>
      <w:sz w:val="22"/>
      <w:lang w:eastAsia="en-AU"/>
    </w:rPr>
  </w:style>
  <w:style w:type="paragraph" w:customStyle="1" w:styleId="NumberList">
    <w:name w:val="Number List"/>
    <w:basedOn w:val="Normal"/>
    <w:rsid w:val="00994D2A"/>
    <w:pPr>
      <w:tabs>
        <w:tab w:val="left" w:pos="1571"/>
        <w:tab w:val="left" w:pos="2291"/>
        <w:tab w:val="left" w:pos="3011"/>
        <w:tab w:val="left" w:pos="3731"/>
        <w:tab w:val="left" w:pos="4451"/>
        <w:tab w:val="left" w:pos="5171"/>
        <w:tab w:val="left" w:pos="5891"/>
        <w:tab w:val="left" w:pos="6611"/>
      </w:tabs>
      <w:spacing w:before="120" w:after="120" w:line="240" w:lineRule="auto"/>
    </w:pPr>
    <w:rPr>
      <w:rFonts w:eastAsia="Times New Roman" w:cs="Times New Roman"/>
      <w:sz w:val="24"/>
    </w:rPr>
  </w:style>
  <w:style w:type="character" w:customStyle="1" w:styleId="subsection2Char">
    <w:name w:val="subsection2 Char"/>
    <w:aliases w:val="ss2 Char"/>
    <w:basedOn w:val="DefaultParagraphFont"/>
    <w:link w:val="subsection2"/>
    <w:rsid w:val="006764B3"/>
    <w:rPr>
      <w:rFonts w:eastAsia="Times New Roman" w:cs="Times New Roman"/>
      <w:sz w:val="22"/>
      <w:lang w:eastAsia="en-AU"/>
    </w:rPr>
  </w:style>
  <w:style w:type="paragraph" w:customStyle="1" w:styleId="LDSec1">
    <w:name w:val="LDSec(1)"/>
    <w:link w:val="LDSec1Char"/>
    <w:rsid w:val="009331E3"/>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9331E3"/>
    <w:rPr>
      <w:rFonts w:eastAsia="Times New Roman" w:cs="Times New Roman"/>
      <w:sz w:val="24"/>
      <w:szCs w:val="24"/>
    </w:rPr>
  </w:style>
  <w:style w:type="paragraph" w:customStyle="1" w:styleId="LDSecHead">
    <w:name w:val="LDSecHead"/>
    <w:next w:val="LDSec1"/>
    <w:link w:val="LDSecHeadChar"/>
    <w:rsid w:val="009331E3"/>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9331E3"/>
    <w:rPr>
      <w:rFonts w:ascii="Arial" w:eastAsia="Calibri" w:hAnsi="Arial" w:cs="Arial"/>
      <w:b/>
      <w:sz w:val="22"/>
      <w:szCs w:val="22"/>
    </w:rPr>
  </w:style>
  <w:style w:type="table" w:customStyle="1" w:styleId="TableGrid3">
    <w:name w:val="Table Grid3"/>
    <w:basedOn w:val="TableNormal"/>
    <w:next w:val="TableGrid"/>
    <w:uiPriority w:val="59"/>
    <w:rsid w:val="003F005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0">
    <w:name w:val="item"/>
    <w:basedOn w:val="Normal"/>
    <w:rsid w:val="00563AFC"/>
    <w:pPr>
      <w:spacing w:before="100" w:beforeAutospacing="1" w:after="100" w:afterAutospacing="1" w:line="240" w:lineRule="auto"/>
    </w:pPr>
    <w:rPr>
      <w:rFonts w:eastAsia="Times New Roman" w:cs="Times New Roman"/>
      <w:sz w:val="24"/>
      <w:szCs w:val="24"/>
      <w:lang w:eastAsia="en-AU"/>
    </w:rPr>
  </w:style>
  <w:style w:type="paragraph" w:customStyle="1" w:styleId="family">
    <w:name w:val="family"/>
    <w:basedOn w:val="Normal"/>
    <w:rsid w:val="00083613"/>
    <w:pPr>
      <w:spacing w:line="240" w:lineRule="auto"/>
      <w:ind w:left="176"/>
    </w:pPr>
    <w:rPr>
      <w:rFonts w:eastAsia="Times New Roman" w:cs="Times New Roman"/>
      <w:sz w:val="20"/>
    </w:rPr>
  </w:style>
  <w:style w:type="paragraph" w:styleId="NoSpacing">
    <w:name w:val="No Spacing"/>
    <w:uiPriority w:val="1"/>
    <w:qFormat/>
    <w:rsid w:val="00DD3224"/>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772">
      <w:bodyDiv w:val="1"/>
      <w:marLeft w:val="0"/>
      <w:marRight w:val="0"/>
      <w:marTop w:val="0"/>
      <w:marBottom w:val="0"/>
      <w:divBdr>
        <w:top w:val="none" w:sz="0" w:space="0" w:color="auto"/>
        <w:left w:val="none" w:sz="0" w:space="0" w:color="auto"/>
        <w:bottom w:val="none" w:sz="0" w:space="0" w:color="auto"/>
        <w:right w:val="none" w:sz="0" w:space="0" w:color="auto"/>
      </w:divBdr>
    </w:div>
    <w:div w:id="199098672">
      <w:bodyDiv w:val="1"/>
      <w:marLeft w:val="0"/>
      <w:marRight w:val="0"/>
      <w:marTop w:val="0"/>
      <w:marBottom w:val="0"/>
      <w:divBdr>
        <w:top w:val="none" w:sz="0" w:space="0" w:color="auto"/>
        <w:left w:val="none" w:sz="0" w:space="0" w:color="auto"/>
        <w:bottom w:val="none" w:sz="0" w:space="0" w:color="auto"/>
        <w:right w:val="none" w:sz="0" w:space="0" w:color="auto"/>
      </w:divBdr>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898857455">
      <w:bodyDiv w:val="1"/>
      <w:marLeft w:val="0"/>
      <w:marRight w:val="0"/>
      <w:marTop w:val="0"/>
      <w:marBottom w:val="0"/>
      <w:divBdr>
        <w:top w:val="none" w:sz="0" w:space="0" w:color="auto"/>
        <w:left w:val="none" w:sz="0" w:space="0" w:color="auto"/>
        <w:bottom w:val="none" w:sz="0" w:space="0" w:color="auto"/>
        <w:right w:val="none" w:sz="0" w:space="0" w:color="auto"/>
      </w:divBdr>
    </w:div>
    <w:div w:id="1131052780">
      <w:bodyDiv w:val="1"/>
      <w:marLeft w:val="0"/>
      <w:marRight w:val="0"/>
      <w:marTop w:val="0"/>
      <w:marBottom w:val="0"/>
      <w:divBdr>
        <w:top w:val="none" w:sz="0" w:space="0" w:color="auto"/>
        <w:left w:val="none" w:sz="0" w:space="0" w:color="auto"/>
        <w:bottom w:val="none" w:sz="0" w:space="0" w:color="auto"/>
        <w:right w:val="none" w:sz="0" w:space="0" w:color="auto"/>
      </w:divBdr>
    </w:div>
    <w:div w:id="1221552457">
      <w:bodyDiv w:val="1"/>
      <w:marLeft w:val="0"/>
      <w:marRight w:val="0"/>
      <w:marTop w:val="0"/>
      <w:marBottom w:val="0"/>
      <w:divBdr>
        <w:top w:val="none" w:sz="0" w:space="0" w:color="auto"/>
        <w:left w:val="none" w:sz="0" w:space="0" w:color="auto"/>
        <w:bottom w:val="none" w:sz="0" w:space="0" w:color="auto"/>
        <w:right w:val="none" w:sz="0" w:space="0" w:color="auto"/>
      </w:divBdr>
    </w:div>
    <w:div w:id="1279095314">
      <w:bodyDiv w:val="1"/>
      <w:marLeft w:val="0"/>
      <w:marRight w:val="0"/>
      <w:marTop w:val="0"/>
      <w:marBottom w:val="0"/>
      <w:divBdr>
        <w:top w:val="none" w:sz="0" w:space="0" w:color="auto"/>
        <w:left w:val="none" w:sz="0" w:space="0" w:color="auto"/>
        <w:bottom w:val="none" w:sz="0" w:space="0" w:color="auto"/>
        <w:right w:val="none" w:sz="0" w:space="0" w:color="auto"/>
      </w:divBdr>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2093307082">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3750</Words>
  <Characters>21115</Characters>
  <Application>Microsoft Office Word</Application>
  <DocSecurity>12</DocSecurity>
  <PresentationFormat/>
  <Lines>515</Lines>
  <Paragraphs>407</Paragraphs>
  <ScaleCrop>false</ScaleCrop>
  <HeadingPairs>
    <vt:vector size="2" baseType="variant">
      <vt:variant>
        <vt:lpstr>Title</vt:lpstr>
      </vt:variant>
      <vt:variant>
        <vt:i4>1</vt:i4>
      </vt:variant>
    </vt:vector>
  </HeadingPairs>
  <TitlesOfParts>
    <vt:vector size="1" baseType="lpstr">
      <vt:lpstr>Editorial Changes—Report No. 14</vt:lpstr>
    </vt:vector>
  </TitlesOfParts>
  <Manager/>
  <Company/>
  <LinksUpToDate>false</LinksUpToDate>
  <CharactersWithSpaces>24458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14</dc:title>
  <dc:subject/>
  <dc:creator/>
  <cp:keywords/>
  <dc:description/>
  <cp:lastModifiedBy/>
  <cp:revision>1</cp:revision>
  <dcterms:created xsi:type="dcterms:W3CDTF">2022-09-09T00:51:00Z</dcterms:created>
  <dcterms:modified xsi:type="dcterms:W3CDTF">2022-09-09T00:51:00Z</dcterms:modified>
  <cp:category>Other - To publish on the Register</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TrimID">
    <vt:lpwstr>PC:D22/10844</vt:lpwstr>
  </property>
</Properties>
</file>