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0B" w:rsidRPr="00C234AD" w:rsidRDefault="00BC310B" w:rsidP="00BC310B">
      <w:pPr>
        <w:pStyle w:val="Head1"/>
        <w:tabs>
          <w:tab w:val="left" w:pos="426"/>
        </w:tabs>
        <w:spacing w:before="180" w:after="0"/>
      </w:pPr>
      <w:r w:rsidRPr="00C234AD">
        <w:t>Giving Unique Names to Instruments</w:t>
      </w:r>
      <w:r>
        <w:t xml:space="preserve"> or Documents</w:t>
      </w:r>
      <w:r w:rsidRPr="00C234AD">
        <w:t xml:space="preserve">—Report No. </w:t>
      </w:r>
      <w:r>
        <w:t>12</w:t>
      </w:r>
    </w:p>
    <w:p w:rsidR="00BC310B" w:rsidRPr="00C234AD" w:rsidRDefault="00BC310B" w:rsidP="00BC310B">
      <w:pPr>
        <w:pStyle w:val="Head2"/>
        <w:spacing w:after="0"/>
      </w:pPr>
      <w:r w:rsidRPr="00C234AD">
        <w:t>1 J</w:t>
      </w:r>
      <w:r>
        <w:t>anuary</w:t>
      </w:r>
      <w:r w:rsidRPr="00C234AD">
        <w:t xml:space="preserve"> 202</w:t>
      </w:r>
      <w:r>
        <w:t>3</w:t>
      </w:r>
      <w:r w:rsidRPr="00C234AD">
        <w:t>–3</w:t>
      </w:r>
      <w:r>
        <w:t>0 June</w:t>
      </w:r>
      <w:r w:rsidRPr="00C234AD">
        <w:t xml:space="preserve"> 202</w:t>
      </w:r>
      <w:r>
        <w:t>3</w:t>
      </w:r>
    </w:p>
    <w:p w:rsidR="00BC310B" w:rsidRPr="00C234AD" w:rsidRDefault="00BC310B" w:rsidP="00BC310B">
      <w:pPr>
        <w:pStyle w:val="BodyNum"/>
      </w:pPr>
      <w:r w:rsidRPr="00C234AD">
        <w:t>In assessing leg</w:t>
      </w:r>
      <w:bookmarkStart w:id="0" w:name="_GoBack"/>
      <w:bookmarkEnd w:id="0"/>
      <w:r w:rsidRPr="00C234AD">
        <w:t>islative instruments</w:t>
      </w:r>
      <w:r>
        <w:t>,</w:t>
      </w:r>
      <w:r w:rsidRPr="00C234AD">
        <w:t xml:space="preserve"> notifiable instruments</w:t>
      </w:r>
      <w:r>
        <w:t xml:space="preserve"> and documents</w:t>
      </w:r>
      <w:r w:rsidRPr="00C234AD">
        <w:t xml:space="preserve"> lodged for registration on the Federal Register of Legislation during the above period, First Parliamentary Counsel added a name to, or amended the name of, the following instrument</w:t>
      </w:r>
      <w:r>
        <w:t>s</w:t>
      </w:r>
      <w:r w:rsidRPr="00C234AD">
        <w:t xml:space="preserve"> </w:t>
      </w:r>
      <w:r>
        <w:t xml:space="preserve">or documents </w:t>
      </w:r>
      <w:r w:rsidRPr="00C234AD">
        <w:t xml:space="preserve">to give </w:t>
      </w:r>
      <w:r>
        <w:t>them</w:t>
      </w:r>
      <w:r w:rsidRPr="00C234AD">
        <w:t xml:space="preserve"> a unique name under section 10 of the </w:t>
      </w:r>
      <w:r w:rsidRPr="00C234AD">
        <w:rPr>
          <w:i/>
        </w:rPr>
        <w:t>Legislation Rule 2016</w:t>
      </w:r>
      <w:r w:rsidRPr="00C234AD">
        <w:t>.</w:t>
      </w:r>
    </w:p>
    <w:p w:rsidR="00BC310B" w:rsidRPr="00C234AD" w:rsidRDefault="00BC310B" w:rsidP="00BC310B">
      <w:pPr>
        <w:pStyle w:val="BodyNum"/>
      </w:pPr>
      <w:r w:rsidRPr="00C234AD">
        <w:t xml:space="preserve">The summary of changes for the </w:t>
      </w:r>
      <w:r w:rsidR="00974A19">
        <w:t>8</w:t>
      </w:r>
      <w:r>
        <w:t xml:space="preserve"> </w:t>
      </w:r>
      <w:r w:rsidRPr="00C234AD">
        <w:t>instrument</w:t>
      </w:r>
      <w:r w:rsidR="006F6033">
        <w:t>s</w:t>
      </w:r>
      <w:r>
        <w:t xml:space="preserve"> or document</w:t>
      </w:r>
      <w:r w:rsidR="006F6033">
        <w:t>s</w:t>
      </w:r>
      <w:r w:rsidRPr="00C234AD">
        <w:t xml:space="preserve"> affected is as follows:</w:t>
      </w:r>
    </w:p>
    <w:p w:rsidR="00BC310B" w:rsidRPr="00C234AD" w:rsidRDefault="00BC310B" w:rsidP="00BC310B">
      <w:pPr>
        <w:pStyle w:val="Tabletext"/>
        <w:spacing w:before="0" w:line="240" w:lineRule="auto"/>
      </w:pPr>
    </w:p>
    <w:tbl>
      <w:tblPr>
        <w:tblW w:w="9208" w:type="dxa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76"/>
        <w:gridCol w:w="2776"/>
        <w:gridCol w:w="1559"/>
        <w:gridCol w:w="1415"/>
      </w:tblGrid>
      <w:tr w:rsidR="00BC310B" w:rsidRPr="00C234AD" w:rsidTr="006F6033">
        <w:trPr>
          <w:tblHeader/>
        </w:trPr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Heading"/>
              <w:spacing w:after="60"/>
            </w:pPr>
            <w:r w:rsidRPr="00C234AD">
              <w:t>Item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Heading"/>
              <w:spacing w:after="60"/>
            </w:pPr>
            <w:r w:rsidRPr="00C234AD">
              <w:t xml:space="preserve">Name of instrument </w:t>
            </w:r>
            <w:r>
              <w:t xml:space="preserve">or document </w:t>
            </w:r>
            <w:r w:rsidRPr="00C234AD">
              <w:t>lodged for registration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Heading"/>
              <w:spacing w:after="60"/>
            </w:pPr>
            <w:r w:rsidRPr="00C234AD">
              <w:t xml:space="preserve">Unique name given to instrument </w:t>
            </w:r>
            <w:r>
              <w:t xml:space="preserve">or document </w:t>
            </w:r>
            <w:r w:rsidRPr="00C234AD">
              <w:t>on registration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Heading"/>
              <w:spacing w:after="60"/>
            </w:pPr>
            <w:r w:rsidRPr="00C234AD">
              <w:t>Date registered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Heading"/>
              <w:spacing w:after="60"/>
            </w:pPr>
            <w:r w:rsidRPr="00C234AD">
              <w:t>Register Id</w:t>
            </w:r>
          </w:p>
        </w:tc>
      </w:tr>
      <w:tr w:rsidR="00BC310B" w:rsidRPr="00C234AD" w:rsidTr="006F6033"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310B" w:rsidRPr="00C234AD" w:rsidRDefault="00BC310B" w:rsidP="00C577FF">
            <w:pPr>
              <w:pStyle w:val="Tabletext"/>
              <w:spacing w:after="60"/>
            </w:pPr>
            <w:r>
              <w:t>1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310B" w:rsidRPr="002A4F1A" w:rsidRDefault="005E3358" w:rsidP="00C577FF">
            <w:pPr>
              <w:pStyle w:val="Tabletext"/>
              <w:spacing w:after="60"/>
              <w:rPr>
                <w:szCs w:val="22"/>
              </w:rPr>
            </w:pPr>
            <w:r w:rsidRPr="005E3358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310B" w:rsidRPr="002A4F1A" w:rsidRDefault="005E3358" w:rsidP="00C577FF">
            <w:pPr>
              <w:pStyle w:val="Tabletext"/>
              <w:spacing w:after="60"/>
              <w:rPr>
                <w:szCs w:val="22"/>
              </w:rPr>
            </w:pPr>
            <w:r w:rsidRPr="005E3358">
              <w:rPr>
                <w:szCs w:val="22"/>
              </w:rPr>
              <w:t>Acts Interpretation (Minister for Resources and Minister for Northern Australia) Authorisation 2022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310B" w:rsidRPr="00C234AD" w:rsidRDefault="005E3358" w:rsidP="00C577FF">
            <w:pPr>
              <w:pStyle w:val="Tabletext"/>
              <w:spacing w:after="60"/>
            </w:pPr>
            <w:r>
              <w:t>2</w:t>
            </w:r>
            <w:r w:rsidR="00BC310B">
              <w:t>1 A</w:t>
            </w:r>
            <w:r>
              <w:t>pril</w:t>
            </w:r>
            <w:r w:rsidR="00BC310B" w:rsidRPr="00C234AD">
              <w:t xml:space="preserve"> 202</w:t>
            </w:r>
            <w:r>
              <w:t>3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C310B" w:rsidRPr="00C234AD" w:rsidRDefault="005E3358" w:rsidP="00C577FF">
            <w:pPr>
              <w:pStyle w:val="Tabletext"/>
              <w:spacing w:after="60"/>
            </w:pPr>
            <w:r w:rsidRPr="005E3358">
              <w:t>F2023N00085</w:t>
            </w:r>
          </w:p>
        </w:tc>
      </w:tr>
      <w:tr w:rsidR="006F6033" w:rsidRPr="00C234AD" w:rsidTr="006F603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Default="006F6033" w:rsidP="00C577FF">
            <w:pPr>
              <w:pStyle w:val="Tabletext"/>
              <w:spacing w:after="60"/>
            </w:pPr>
            <w:r>
              <w:t>2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40649E" w:rsidP="00C577FF">
            <w:pPr>
              <w:pStyle w:val="Tabletext"/>
              <w:spacing w:after="60"/>
              <w:rPr>
                <w:bCs/>
              </w:rPr>
            </w:pPr>
            <w:r w:rsidRPr="0040649E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40649E" w:rsidP="00C577FF">
            <w:pPr>
              <w:pStyle w:val="Tabletext"/>
              <w:spacing w:after="60"/>
              <w:rPr>
                <w:szCs w:val="22"/>
              </w:rPr>
            </w:pPr>
            <w:r w:rsidRPr="0040649E">
              <w:rPr>
                <w:szCs w:val="22"/>
              </w:rPr>
              <w:t>Acts Interpretation (Minister for Resources and Minister for Northern Australia) Authorisation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Default="0040649E" w:rsidP="00C577FF">
            <w:pPr>
              <w:pStyle w:val="Tabletext"/>
              <w:spacing w:after="60"/>
            </w:pPr>
            <w:r>
              <w:t>4 May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40649E" w:rsidP="00C577FF">
            <w:pPr>
              <w:pStyle w:val="Tabletext"/>
              <w:spacing w:after="60"/>
            </w:pPr>
            <w:r w:rsidRPr="0040649E">
              <w:t>F2023N00098</w:t>
            </w:r>
          </w:p>
        </w:tc>
      </w:tr>
      <w:tr w:rsidR="006F6033" w:rsidRPr="00C234AD" w:rsidTr="0050334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Default="006F6033" w:rsidP="00C577FF">
            <w:pPr>
              <w:pStyle w:val="Tabletext"/>
              <w:spacing w:after="60"/>
            </w:pPr>
            <w:r>
              <w:t>3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6F6033" w:rsidP="00C577FF">
            <w:pPr>
              <w:pStyle w:val="Tabletext"/>
              <w:spacing w:after="60"/>
              <w:rPr>
                <w:bCs/>
              </w:rPr>
            </w:pPr>
            <w:r w:rsidRPr="006F6033">
              <w:rPr>
                <w:bCs/>
              </w:rPr>
              <w:t>BIODIVERSITY CONSERVATION – NOTICE OF TEMPORARY PROHIBITION ON ENTERING OR REMAINING ON PHILLIP ISLAND, NORFOLK ISLAND NATIONAL PARK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40649E" w:rsidP="00C577FF">
            <w:pPr>
              <w:pStyle w:val="Tabletext"/>
              <w:spacing w:after="60"/>
              <w:rPr>
                <w:szCs w:val="22"/>
              </w:rPr>
            </w:pPr>
            <w:r w:rsidRPr="0040649E">
              <w:rPr>
                <w:szCs w:val="22"/>
              </w:rPr>
              <w:t>Environment Protection and Biodiversity Conservation (Prohibition from Entering or Remaining on Phillip Island) Notice (No. 1) 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Default="0040649E" w:rsidP="00C577FF">
            <w:pPr>
              <w:pStyle w:val="Tabletext"/>
              <w:spacing w:after="60"/>
            </w:pPr>
            <w:r>
              <w:t>19 May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033" w:rsidRPr="005E3358" w:rsidRDefault="0040649E" w:rsidP="00C577FF">
            <w:pPr>
              <w:pStyle w:val="Tabletext"/>
              <w:spacing w:after="60"/>
            </w:pPr>
            <w:r w:rsidRPr="0040649E">
              <w:t>C2023G00559</w:t>
            </w:r>
          </w:p>
        </w:tc>
      </w:tr>
      <w:tr w:rsidR="00503344" w:rsidRPr="00C234AD" w:rsidTr="0050334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4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6F6033" w:rsidRDefault="00503344" w:rsidP="00C577FF">
            <w:pPr>
              <w:pStyle w:val="Tabletext"/>
              <w:spacing w:after="60"/>
              <w:rPr>
                <w:bCs/>
              </w:rPr>
            </w:pPr>
            <w:r w:rsidRPr="00503344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  <w:rPr>
                <w:szCs w:val="22"/>
              </w:rPr>
            </w:pPr>
            <w:r w:rsidRPr="00503344">
              <w:rPr>
                <w:szCs w:val="22"/>
              </w:rPr>
              <w:t>Acts Interpretation (Ministerial Acting Arrangements for the Communications Portfolio) Authorisation (No. 1)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1 June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</w:pPr>
            <w:r w:rsidRPr="00503344">
              <w:t>F2023N00146</w:t>
            </w:r>
          </w:p>
        </w:tc>
      </w:tr>
      <w:tr w:rsidR="00503344" w:rsidRPr="00C234AD" w:rsidTr="0050334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5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6F6033" w:rsidRDefault="00503344" w:rsidP="00C577FF">
            <w:pPr>
              <w:pStyle w:val="Tabletext"/>
              <w:spacing w:after="60"/>
              <w:rPr>
                <w:bCs/>
              </w:rPr>
            </w:pPr>
            <w:r w:rsidRPr="00503344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  <w:rPr>
                <w:szCs w:val="22"/>
              </w:rPr>
            </w:pPr>
            <w:r w:rsidRPr="00503344">
              <w:rPr>
                <w:szCs w:val="22"/>
              </w:rPr>
              <w:t>Acts Interpretation (Ministerial Acting Arrangements for the Foreign Affairs and Trade, and Defence Portfolios) Authorisation (No. 1)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5 June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</w:pPr>
            <w:r w:rsidRPr="00503344">
              <w:t>F2023N00153</w:t>
            </w:r>
          </w:p>
        </w:tc>
      </w:tr>
      <w:tr w:rsidR="00503344" w:rsidRPr="00C234AD" w:rsidTr="00503344">
        <w:trPr>
          <w:cantSplit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lastRenderedPageBreak/>
              <w:t>6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6F6033" w:rsidRDefault="00503344" w:rsidP="00C577FF">
            <w:pPr>
              <w:pStyle w:val="Tabletext"/>
              <w:spacing w:after="60"/>
              <w:rPr>
                <w:bCs/>
              </w:rPr>
            </w:pPr>
            <w:r w:rsidRPr="00503344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  <w:rPr>
                <w:szCs w:val="22"/>
              </w:rPr>
            </w:pPr>
            <w:r w:rsidRPr="00503344">
              <w:rPr>
                <w:szCs w:val="22"/>
              </w:rPr>
              <w:t>Acts Interpretation (Ministerial Acting Arrangements for the Foreign Affairs and Trade Portfolio) Authorisation (No. 1)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5 June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</w:pPr>
            <w:r w:rsidRPr="00503344">
              <w:t>F2023N00154</w:t>
            </w:r>
          </w:p>
        </w:tc>
      </w:tr>
      <w:tr w:rsidR="00503344" w:rsidRPr="00C234AD" w:rsidTr="00503344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7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6F6033" w:rsidRDefault="00503344" w:rsidP="00C577FF">
            <w:pPr>
              <w:pStyle w:val="Tabletext"/>
              <w:spacing w:after="60"/>
              <w:rPr>
                <w:bCs/>
              </w:rPr>
            </w:pPr>
            <w:r w:rsidRPr="00503344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974A19" w:rsidP="00C577FF">
            <w:pPr>
              <w:pStyle w:val="Tabletext"/>
              <w:spacing w:after="60"/>
              <w:rPr>
                <w:szCs w:val="22"/>
              </w:rPr>
            </w:pPr>
            <w:r w:rsidRPr="00974A19">
              <w:rPr>
                <w:szCs w:val="22"/>
              </w:rPr>
              <w:t>Acts Interpretation (Ministerial Acting Arrangements for the Prime Minister and Cabinet and Finance Portfolios) Authorisation (No. 1)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Default="00974A19" w:rsidP="00C577FF">
            <w:pPr>
              <w:pStyle w:val="Tabletext"/>
              <w:spacing w:after="60"/>
            </w:pPr>
            <w:r>
              <w:t>15 June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</w:pPr>
            <w:r w:rsidRPr="00503344">
              <w:t>F2023N00164</w:t>
            </w:r>
          </w:p>
        </w:tc>
      </w:tr>
      <w:tr w:rsidR="00503344" w:rsidRPr="00C234AD" w:rsidTr="006F6033"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03344" w:rsidRDefault="00503344" w:rsidP="00C577FF">
            <w:pPr>
              <w:pStyle w:val="Tabletext"/>
              <w:spacing w:after="60"/>
            </w:pPr>
            <w:r>
              <w:t>8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03344" w:rsidRPr="006F6033" w:rsidRDefault="00503344" w:rsidP="00C577FF">
            <w:pPr>
              <w:pStyle w:val="Tabletext"/>
              <w:spacing w:after="60"/>
              <w:rPr>
                <w:bCs/>
              </w:rPr>
            </w:pPr>
            <w:r w:rsidRPr="00503344">
              <w:rPr>
                <w:bCs/>
              </w:rPr>
              <w:t>Instrument of Authorisation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03344" w:rsidRPr="0040649E" w:rsidRDefault="00974A19" w:rsidP="00C577FF">
            <w:pPr>
              <w:pStyle w:val="Tabletext"/>
              <w:spacing w:after="60"/>
              <w:rPr>
                <w:szCs w:val="22"/>
              </w:rPr>
            </w:pPr>
            <w:r w:rsidRPr="00974A19">
              <w:rPr>
                <w:szCs w:val="22"/>
              </w:rPr>
              <w:t>Acts Interpretation (Ministerial Acting Arrangements for the Prime Minister and Cabinet Portfolio) Authorisation (No. 1)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03344" w:rsidRDefault="00974A19" w:rsidP="00C577FF">
            <w:pPr>
              <w:pStyle w:val="Tabletext"/>
              <w:spacing w:after="60"/>
            </w:pPr>
            <w:r>
              <w:t>15 June 2023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03344" w:rsidRPr="0040649E" w:rsidRDefault="00503344" w:rsidP="00C577FF">
            <w:pPr>
              <w:pStyle w:val="Tabletext"/>
              <w:spacing w:after="60"/>
            </w:pPr>
            <w:r w:rsidRPr="00503344">
              <w:t>F2023N00165</w:t>
            </w:r>
          </w:p>
        </w:tc>
      </w:tr>
    </w:tbl>
    <w:p w:rsidR="00BC310B" w:rsidRPr="006B1AD7" w:rsidRDefault="00BC310B" w:rsidP="00BC310B">
      <w:pPr>
        <w:spacing w:line="240" w:lineRule="auto"/>
        <w:rPr>
          <w:sz w:val="16"/>
          <w:szCs w:val="16"/>
        </w:rPr>
      </w:pPr>
    </w:p>
    <w:p w:rsidR="008E17F3" w:rsidRPr="00174846" w:rsidRDefault="008E17F3" w:rsidP="00174846">
      <w:pPr>
        <w:pStyle w:val="Head1"/>
      </w:pPr>
    </w:p>
    <w:sectPr w:rsidR="008E17F3" w:rsidRPr="00174846" w:rsidSect="008E17F3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B" w:rsidRDefault="00BC310B" w:rsidP="008E17F3">
      <w:pPr>
        <w:spacing w:line="240" w:lineRule="auto"/>
      </w:pPr>
      <w:r>
        <w:separator/>
      </w:r>
    </w:p>
  </w:endnote>
  <w:endnote w:type="continuationSeparator" w:id="0">
    <w:p w:rsidR="00BC310B" w:rsidRDefault="00BC310B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B" w:rsidRDefault="00BC310B" w:rsidP="00BC310B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BC310B" w:rsidRDefault="00BC310B" w:rsidP="00BC310B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BC310B" w:rsidRDefault="00BC310B" w:rsidP="00BC310B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BC310B" w:rsidRPr="006265CB" w:rsidRDefault="00BC310B" w:rsidP="00BC310B">
    <w:pPr>
      <w:ind w:right="27"/>
      <w:jc w:val="center"/>
      <w:rPr>
        <w:sz w:val="20"/>
      </w:rPr>
    </w:pPr>
    <w:r>
      <w:rPr>
        <w:sz w:val="20"/>
      </w:rPr>
      <w:t>www.opc.gov.au</w:t>
    </w:r>
  </w:p>
  <w:p w:rsidR="008E17F3" w:rsidRPr="00BC310B" w:rsidRDefault="00F5504C" w:rsidP="00BC310B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" name="Text Box 2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04C" w:rsidRPr="00324EB0" w:rsidRDefault="00F5504C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WHBQMAAJwGAAAOAAAAZHJzL2Uyb0RvYy54bWysVd1v2jAQf5+0/8HyO00C4SOooaKtMk2q&#10;1mp06rNxHLDq2JltIGza/76z81Fo97BO48E53/f97nxcXtWlQHumDVcyxdFFiBGTVOVcblL87TEb&#10;zDAylsicCCVZio/M4KvFxw+Xh2rOhmqrRM40AifSzA9VirfWVvMgMHTLSmIuVMUkCAulS2LhqjdB&#10;rskBvJciGIbhJDgonVdaUWYMcG8bIV54/0XBqL0vCsMsEimG3Kw/tT/X7gwWl2S+0aTactqmQf4h&#10;i5JwCUF7V7fEErTT/I2rklOtjCrsBVVloIqCU+ZrgGqi8FU1qy2pmK8FwDFVD5P5f27pl/2DRjxP&#10;8RAjSUpo0SOrLbpWNQJOzgwFtFaMDjKlLNOV5iXRR4fboTJzMF9V4MDWYAD97/gGmA6OutCl+0Kh&#10;COTQgWOPugtDgTmeTkdhOMKIgmyUjKezsXMTvFhX2thPTJXIESnW0FUPNtnfGduodioumFGC5xkX&#10;wl/0Zn0jNNoTmIDM/1rvZ2pCokOKJ6Nx6D1L5ewb10I6P8wPUxMPbrUF0vOhCt/on0k0jMPrYTLI&#10;JrPpIM7i8SCZhrNBGCXXySSMk/g2++W8R/F8y/OcyTsuWTd0Ufx3TW3HvxkXP3ZniZ8V5UDpa18L&#10;Qp/flh6cp+Nxh+q6r68ycK1uWuopexTM1S7kV1bA8PjOOoZ/tqwPSShl0vqhgG56badVALTvMWz1&#10;nWnThfcY9xY+spK2Ny65VNp3+1Xa+XOXctHoAxgndTvS1uvav5p+4tcqP8JD0AoGFMbcVDTjAP8d&#10;MfaBaNgpwIQ9ae/hKISCYVMthdFW6R9/4jt9mAqQYnSAHZVi831HNMNIfJawBJIojt1S85d4PB3C&#10;RZ9K1qcSuStvFDyCyGfnSadvRUcWWpVPsE6XLiqIiKQQO8W2I29sszlhHVO2XHolWGMVsXdyVVHn&#10;2qHsxu6xfiK6ah+shYH6orptRuav3m2j6yylWu6sKrh/1A7nBtUWf1iBfizbde127Onda738qSx+&#10;AwAA//8DAFBLAwQUAAYACAAAACEATjFmLdkAAAAEAQAADwAAAGRycy9kb3ducmV2LnhtbEyPQWsC&#10;MRCF74X+hzCF3mp2tUjdblZKoVehaj3HzXSzNJksSdTVX99pL3oZeLzHe9/Uy9E7ccSY+kAKykkB&#10;AqkNpqdOwXbz8fQCImVNRrtAqOCMCZbN/V2tKxNO9InHde4El1CqtAKb81BJmVqLXqdJGJDY+w7R&#10;68wydtJEfeJy7+S0KObS6554weoB3y22P+uDV7Dr/GX3VQ7RGu+eaXU5b7ahV+rxYXx7BZFxzNcw&#10;/OEzOjTMtA8HMkk4BfxI/r/sLYpFCWKvYD6dgWxqeQvf/AIAAP//AwBQSwECLQAUAAYACAAAACEA&#10;toM4kv4AAADhAQAAEwAAAAAAAAAAAAAAAAAAAAAAW0NvbnRlbnRfVHlwZXNdLnhtbFBLAQItABQA&#10;BgAIAAAAIQA4/SH/1gAAAJQBAAALAAAAAAAAAAAAAAAAAC8BAABfcmVscy8ucmVsc1BLAQItABQA&#10;BgAIAAAAIQCEFLWHBQMAAJwGAAAOAAAAAAAAAAAAAAAAAC4CAABkcnMvZTJvRG9jLnhtbFBLAQIt&#10;ABQABgAIAAAAIQBOMWYt2QAAAAQBAAAPAAAAAAAAAAAAAAAAAF8FAABkcnMvZG93bnJldi54bWxQ&#10;SwUGAAAAAAQABADzAAAAZQYAAAAA&#10;" stroked="f" strokeweight=".5pt">
              <v:textbox>
                <w:txbxContent>
                  <w:p w:rsidR="00F5504C" w:rsidRPr="00324EB0" w:rsidRDefault="00F5504C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B" w:rsidRDefault="00BC310B" w:rsidP="008E17F3">
      <w:pPr>
        <w:spacing w:line="240" w:lineRule="auto"/>
      </w:pPr>
      <w:r>
        <w:separator/>
      </w:r>
    </w:p>
  </w:footnote>
  <w:footnote w:type="continuationSeparator" w:id="0">
    <w:p w:rsidR="00BC310B" w:rsidRDefault="00BC310B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B" w:rsidRDefault="00F5504C" w:rsidP="00BC310B">
    <w:pPr>
      <w:ind w:right="27"/>
      <w:rPr>
        <w:sz w:val="18"/>
        <w:szCs w:val="18"/>
      </w:rPr>
    </w:pPr>
    <w:r w:rsidRPr="00F5504C"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04C" w:rsidRPr="00324EB0" w:rsidRDefault="00F5504C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7598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748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SaBAMAAJkGAAAOAAAAZHJzL2Uyb0RvYy54bWysVd1v2jAQf5+0/8HyO02A8BHUUNFWbJNQ&#10;W41OfTaOA1Yd27MNhE3733d2EgrtHtZpPDjn+77fnY/Lq6oUaMeM5UpmuHsRY8QkVTmX6wx/e5x3&#10;xhhZR2ROhJIswwdm8dX044fLvZ6wntookTODwIm0k73O8MY5PYkiSzesJPZCaSZBWChTEgdXs45y&#10;Q/bgvRRRL46H0V6ZXBtFmbXAva2FeBr8FwWj7r4oLHNIZBhyc+E04Vz5M5peksnaEL3htEmD/EMW&#10;JeESgh5d3RJH0NbwN65KTo2yqnAXVJWRKgpOWagBqunGr6pZbohmoRYAx+ojTPb/uaV3uweDeA69&#10;i0cYSVJCkx5Z5dC1qlDg5cxSQGzJaOczI9AubXhJzMFjt9d2Ai6WGpy4CkzAT8u3wPSQVIUp/ReK&#10;RSCHLhyOyPtAFJiD0agfx32MKMj66WA0Hng30Yu1NtZ9YqpEnsiwgc4GwMluYV2t2qr4YFYJns+5&#10;EOFi1qsbYdCOwBTMw6/xfqYmJNpneNgfxMGzVN6+di2k98PCQNXx4FY5IAMfqgjN/pl2e0l83Us7&#10;8+F41EnmyaCTjuJxJ+6m1+kwTtLkdv7Le+8mkw3PcyYXXLJ28LrJ3zW2eQL1yITRO0v8rCgPyrH2&#10;lSD0+W3p0Xk6AXeorv2GKiPf6rqlgXIHwXztQn5lBQxQ6KxnhKfLjiEJpUy6MBTQzaDttQqA9j2G&#10;jb43rbvwHuOjRYispDsal1wqE7r9Ku38uU25qPUBjJO6PemqVdU8gZXKD/ACjILJhPm2ms454L4g&#10;1j0QAwsFmLAk3T0chVAwZaqhMNoo8+NPfK8P4wBSjPawoDJsv2+JYRiJLxI2QNpNEr/RwiUZjHpw&#10;MaeS1alEbssbBdPfDdkF0us70ZKFUeUT7NKZjwoiIinEzrBryRtXr03YxZTNZkEJdpgmbiGXmnrX&#10;Hl4/b4/VEzG6eakOJulOtauMTF492FrXW0o12zpV8PCaPcA1qg3wsP/CPDa72i/Y03vQevlHmf4G&#10;AAD//wMAUEsDBBQABgAIAAAAIQBGQcmG2wAAAAcBAAAPAAAAZHJzL2Rvd25yZXYueG1sTI/NTsMw&#10;EITvSLyDtUjcWjvlRzTEqRASVyTa0rMbL3GEvY5st0379CwnuM1qRjPfNqspeHHElIdIGqq5AoHU&#10;RTtQr2G7eZs9gcjFkDU+Emo4Y4ZVe33VmNrGE33gcV16wSWUa6PBlTLWUubOYTB5Hkck9r5iCqbw&#10;mXppkzlxefByodSjDGYgXnBmxFeH3ff6EDTs+nDZfVZjcjb4e3q/nDfbOGh9ezO9PIMoOJW/MPzi&#10;Mzq0zLSPB7JZeA38SNEwe1As2F6qZQViz7nFHci2kf/52x8AAAD//wMAUEsBAi0AFAAGAAgAAAAh&#10;ALaDOJL+AAAA4QEAABMAAAAAAAAAAAAAAAAAAAAAAFtDb250ZW50X1R5cGVzXS54bWxQSwECLQAU&#10;AAYACAAAACEAOP0h/9YAAACUAQAACwAAAAAAAAAAAAAAAAAvAQAAX3JlbHMvLnJlbHNQSwECLQAU&#10;AAYACAAAACEACDYEmgQDAACZBgAADgAAAAAAAAAAAAAAAAAuAgAAZHJzL2Uyb0RvYy54bWxQSwEC&#10;LQAUAAYACAAAACEARkHJhtsAAAAHAQAADwAAAAAAAAAAAAAAAABeBQAAZHJzL2Rvd25yZXYueG1s&#10;UEsFBgAAAAAEAAQA8wAAAGYGAAAAAA==&#10;" stroked="f" strokeweight=".5pt">
              <v:textbox>
                <w:txbxContent>
                  <w:p w:rsidR="00F5504C" w:rsidRPr="00324EB0" w:rsidRDefault="00F5504C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7598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D748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BC310B">
      <w:rPr>
        <w:noProof/>
        <w:sz w:val="20"/>
        <w:lang w:eastAsia="en-AU"/>
      </w:rPr>
      <w:drawing>
        <wp:inline distT="0" distB="0" distL="0" distR="0" wp14:anchorId="0377F8D2" wp14:editId="2C91330F">
          <wp:extent cx="3962400" cy="1000125"/>
          <wp:effectExtent l="19050" t="0" r="0" b="0"/>
          <wp:docPr id="1" name="Picture 1" descr="Australian Government Office of Parliamentary Couns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310B" w:rsidRDefault="00BC3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0B"/>
    <w:rsid w:val="000136AF"/>
    <w:rsid w:val="00022B7E"/>
    <w:rsid w:val="00036B0B"/>
    <w:rsid w:val="00056743"/>
    <w:rsid w:val="000614BF"/>
    <w:rsid w:val="00062A14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60FB0"/>
    <w:rsid w:val="003B5735"/>
    <w:rsid w:val="003D0BFE"/>
    <w:rsid w:val="003D5700"/>
    <w:rsid w:val="003D6F8A"/>
    <w:rsid w:val="003E4160"/>
    <w:rsid w:val="0040649E"/>
    <w:rsid w:val="004116CD"/>
    <w:rsid w:val="00424CA9"/>
    <w:rsid w:val="004253E5"/>
    <w:rsid w:val="0043445B"/>
    <w:rsid w:val="0044291A"/>
    <w:rsid w:val="00450A86"/>
    <w:rsid w:val="004560FB"/>
    <w:rsid w:val="004653F8"/>
    <w:rsid w:val="00496F97"/>
    <w:rsid w:val="00503344"/>
    <w:rsid w:val="00516B8D"/>
    <w:rsid w:val="005327A0"/>
    <w:rsid w:val="00537FBC"/>
    <w:rsid w:val="00550B59"/>
    <w:rsid w:val="00584811"/>
    <w:rsid w:val="00594161"/>
    <w:rsid w:val="00594749"/>
    <w:rsid w:val="005E3358"/>
    <w:rsid w:val="00600219"/>
    <w:rsid w:val="006207A3"/>
    <w:rsid w:val="006279B8"/>
    <w:rsid w:val="00677CC2"/>
    <w:rsid w:val="00680F77"/>
    <w:rsid w:val="0069207B"/>
    <w:rsid w:val="006B1850"/>
    <w:rsid w:val="006C7F8C"/>
    <w:rsid w:val="006D7484"/>
    <w:rsid w:val="006D77BA"/>
    <w:rsid w:val="006E2E9F"/>
    <w:rsid w:val="006F0A67"/>
    <w:rsid w:val="006F6033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775983"/>
    <w:rsid w:val="007D5F14"/>
    <w:rsid w:val="008006B2"/>
    <w:rsid w:val="0083669B"/>
    <w:rsid w:val="00856A31"/>
    <w:rsid w:val="008754D0"/>
    <w:rsid w:val="008E17F3"/>
    <w:rsid w:val="008E3B8C"/>
    <w:rsid w:val="0094622F"/>
    <w:rsid w:val="00974A19"/>
    <w:rsid w:val="0098638B"/>
    <w:rsid w:val="00A231E2"/>
    <w:rsid w:val="00A64912"/>
    <w:rsid w:val="00A70A74"/>
    <w:rsid w:val="00A91B5C"/>
    <w:rsid w:val="00AD5641"/>
    <w:rsid w:val="00B33B3C"/>
    <w:rsid w:val="00BC310B"/>
    <w:rsid w:val="00BE719A"/>
    <w:rsid w:val="00BE720A"/>
    <w:rsid w:val="00C40D62"/>
    <w:rsid w:val="00C42BF8"/>
    <w:rsid w:val="00C50043"/>
    <w:rsid w:val="00C61CDD"/>
    <w:rsid w:val="00C6456E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15EDE"/>
    <w:rsid w:val="00F23E5F"/>
    <w:rsid w:val="00F51269"/>
    <w:rsid w:val="00F5504C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2010\Templates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2</Pages>
  <Words>307</Words>
  <Characters>1885</Characters>
  <Application>Microsoft Office Word</Application>
  <DocSecurity>12</DocSecurity>
  <PresentationFormat/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Giving Unique Names to Instruments or Documents—Report No. 12</vt:lpstr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Giving Unique Names to Instruments or Documents—Report No. 12</dc:title>
  <dc:subject/>
  <dc:creator/>
  <cp:keywords/>
  <dc:description/>
  <cp:lastModifiedBy/>
  <cp:revision>1</cp:revision>
  <dcterms:created xsi:type="dcterms:W3CDTF">2023-06-19T07:46:00Z</dcterms:created>
  <dcterms:modified xsi:type="dcterms:W3CDTF">2023-06-19T07:46:00Z</dcterms:modified>
  <cp:category>Other - To publish on the Register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</vt:lpwstr>
  </property>
</Properties>
</file>