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53D" w:rsidRPr="005A55CD" w:rsidRDefault="00C1453D" w:rsidP="00C1453D">
      <w:pPr>
        <w:pStyle w:val="Head1"/>
        <w:tabs>
          <w:tab w:val="left" w:pos="426"/>
        </w:tabs>
      </w:pPr>
      <w:bookmarkStart w:id="0" w:name="_GoBack"/>
      <w:bookmarkEnd w:id="0"/>
      <w:r w:rsidRPr="005A55CD">
        <w:t>Editorial Changes—Report No.</w:t>
      </w:r>
      <w:r w:rsidR="0033109F" w:rsidRPr="005A55CD">
        <w:t> 1</w:t>
      </w:r>
      <w:r w:rsidR="005252ED">
        <w:t>7</w:t>
      </w:r>
    </w:p>
    <w:p w:rsidR="00AC23E7" w:rsidRPr="005A55CD" w:rsidRDefault="00AC23E7" w:rsidP="00AC23E7">
      <w:pPr>
        <w:pStyle w:val="Head2"/>
      </w:pPr>
      <w:r w:rsidRPr="005A55CD">
        <w:t>1 January 202</w:t>
      </w:r>
      <w:r>
        <w:t>4</w:t>
      </w:r>
      <w:r w:rsidRPr="005A55CD">
        <w:t>–30 June 202</w:t>
      </w:r>
      <w:r>
        <w:t>4</w:t>
      </w:r>
    </w:p>
    <w:p w:rsidR="00C1453D" w:rsidRPr="005A55CD" w:rsidRDefault="00C1453D" w:rsidP="00C1453D">
      <w:pPr>
        <w:pStyle w:val="BodyNum"/>
      </w:pPr>
      <w:r w:rsidRPr="005A55CD">
        <w:t xml:space="preserve">In preparing compilations for registration during the above period, First Parliamentary Counsel made the following editorial changes under the </w:t>
      </w:r>
      <w:r w:rsidRPr="005A55CD">
        <w:rPr>
          <w:i/>
        </w:rPr>
        <w:t>Legislation Act 2003</w:t>
      </w:r>
      <w:r w:rsidRPr="005A55CD">
        <w:t>.</w:t>
      </w:r>
    </w:p>
    <w:p w:rsidR="00C1453D" w:rsidRPr="00DC12F2" w:rsidRDefault="00C1453D" w:rsidP="00C1453D">
      <w:pPr>
        <w:pStyle w:val="BodyNum"/>
      </w:pPr>
      <w:r w:rsidRPr="00DC12F2">
        <w:t xml:space="preserve">The summary of editorial changes for the </w:t>
      </w:r>
      <w:r w:rsidR="001B4400">
        <w:t>5</w:t>
      </w:r>
      <w:r w:rsidR="000C49C1">
        <w:t>4</w:t>
      </w:r>
      <w:r w:rsidR="00732892" w:rsidRPr="00DC12F2">
        <w:t xml:space="preserve"> </w:t>
      </w:r>
      <w:r w:rsidRPr="00DC12F2">
        <w:t>compilation</w:t>
      </w:r>
      <w:r w:rsidR="002A2B49">
        <w:t>s</w:t>
      </w:r>
      <w:r w:rsidRPr="00DC12F2">
        <w:t xml:space="preserve"> affected is as follows:</w:t>
      </w:r>
    </w:p>
    <w:p w:rsidR="00C1453D" w:rsidRPr="005A55CD" w:rsidRDefault="00C1453D" w:rsidP="00C1453D">
      <w:pPr>
        <w:pStyle w:val="Tabletext"/>
      </w:pPr>
    </w:p>
    <w:tbl>
      <w:tblPr>
        <w:tblW w:w="902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C1453D" w:rsidRPr="005A55CD" w:rsidTr="00287088">
        <w:trPr>
          <w:tblHeader/>
        </w:trPr>
        <w:tc>
          <w:tcPr>
            <w:tcW w:w="714" w:type="dxa"/>
            <w:tcBorders>
              <w:top w:val="single" w:sz="12" w:space="0" w:color="auto"/>
              <w:bottom w:val="single" w:sz="12" w:space="0" w:color="auto"/>
            </w:tcBorders>
            <w:shd w:val="clear" w:color="auto" w:fill="auto"/>
          </w:tcPr>
          <w:p w:rsidR="00C1453D" w:rsidRPr="005A55CD" w:rsidRDefault="00C1453D" w:rsidP="00DD16B9">
            <w:pPr>
              <w:pStyle w:val="TableHeading"/>
            </w:pPr>
            <w:r w:rsidRPr="005A55CD">
              <w:t>Item</w:t>
            </w:r>
          </w:p>
        </w:tc>
        <w:tc>
          <w:tcPr>
            <w:tcW w:w="6652" w:type="dxa"/>
            <w:tcBorders>
              <w:top w:val="single" w:sz="12" w:space="0" w:color="auto"/>
              <w:bottom w:val="single" w:sz="12" w:space="0" w:color="auto"/>
            </w:tcBorders>
            <w:shd w:val="clear" w:color="auto" w:fill="auto"/>
          </w:tcPr>
          <w:p w:rsidR="00C1453D" w:rsidRPr="005A55CD" w:rsidRDefault="00C1453D" w:rsidP="00DD16B9">
            <w:pPr>
              <w:pStyle w:val="TableHeading"/>
            </w:pPr>
            <w:r w:rsidRPr="005A55CD">
              <w:t>Kind of editorial change</w:t>
            </w:r>
          </w:p>
        </w:tc>
        <w:tc>
          <w:tcPr>
            <w:tcW w:w="1660" w:type="dxa"/>
            <w:tcBorders>
              <w:top w:val="single" w:sz="12" w:space="0" w:color="auto"/>
              <w:bottom w:val="single" w:sz="12" w:space="0" w:color="auto"/>
            </w:tcBorders>
            <w:shd w:val="clear" w:color="auto" w:fill="auto"/>
          </w:tcPr>
          <w:p w:rsidR="00C1453D" w:rsidRPr="005A55CD" w:rsidRDefault="00C1453D" w:rsidP="00DD16B9">
            <w:pPr>
              <w:pStyle w:val="TableHeading"/>
            </w:pPr>
            <w:r w:rsidRPr="005A55CD">
              <w:t>Number</w:t>
            </w:r>
          </w:p>
        </w:tc>
      </w:tr>
      <w:tr w:rsidR="00B9016A" w:rsidRPr="005A55CD" w:rsidTr="002F075C">
        <w:tc>
          <w:tcPr>
            <w:tcW w:w="714" w:type="dxa"/>
            <w:tcBorders>
              <w:top w:val="single" w:sz="12" w:space="0" w:color="auto"/>
              <w:bottom w:val="single" w:sz="2" w:space="0" w:color="auto"/>
            </w:tcBorders>
            <w:shd w:val="clear" w:color="auto" w:fill="auto"/>
          </w:tcPr>
          <w:p w:rsidR="00B9016A" w:rsidRDefault="00666F97" w:rsidP="00B9016A">
            <w:pPr>
              <w:pStyle w:val="Tabletext"/>
            </w:pPr>
            <w:r>
              <w:t>1</w:t>
            </w:r>
          </w:p>
        </w:tc>
        <w:tc>
          <w:tcPr>
            <w:tcW w:w="6652" w:type="dxa"/>
            <w:tcBorders>
              <w:top w:val="single" w:sz="12" w:space="0" w:color="auto"/>
              <w:bottom w:val="single" w:sz="2" w:space="0" w:color="auto"/>
            </w:tcBorders>
            <w:shd w:val="clear" w:color="auto" w:fill="auto"/>
          </w:tcPr>
          <w:p w:rsidR="00B9016A" w:rsidRDefault="002F075C" w:rsidP="00B9016A">
            <w:pPr>
              <w:pStyle w:val="Tabletext"/>
            </w:pPr>
            <w:r w:rsidRPr="009219E7">
              <w:t>Change</w:t>
            </w:r>
            <w:r>
              <w:t>s</w:t>
            </w:r>
            <w:r w:rsidRPr="009219E7">
              <w:t xml:space="preserve"> to capitalisation</w:t>
            </w:r>
          </w:p>
        </w:tc>
        <w:tc>
          <w:tcPr>
            <w:tcW w:w="1660" w:type="dxa"/>
            <w:tcBorders>
              <w:top w:val="single" w:sz="12" w:space="0" w:color="auto"/>
              <w:bottom w:val="single" w:sz="2" w:space="0" w:color="auto"/>
            </w:tcBorders>
            <w:shd w:val="clear" w:color="auto" w:fill="auto"/>
          </w:tcPr>
          <w:p w:rsidR="00B9016A" w:rsidRDefault="00DD466E" w:rsidP="00B9016A">
            <w:pPr>
              <w:pStyle w:val="Tabletext"/>
            </w:pPr>
            <w:r>
              <w:t>3</w:t>
            </w:r>
          </w:p>
        </w:tc>
      </w:tr>
      <w:tr w:rsidR="002F075C" w:rsidRPr="005A55CD" w:rsidTr="002F075C">
        <w:tc>
          <w:tcPr>
            <w:tcW w:w="714" w:type="dxa"/>
            <w:tcBorders>
              <w:top w:val="single" w:sz="2" w:space="0" w:color="auto"/>
              <w:bottom w:val="single" w:sz="2" w:space="0" w:color="auto"/>
            </w:tcBorders>
            <w:shd w:val="clear" w:color="auto" w:fill="auto"/>
          </w:tcPr>
          <w:p w:rsidR="002F075C" w:rsidRDefault="002F075C" w:rsidP="00B9016A">
            <w:pPr>
              <w:pStyle w:val="Tabletext"/>
            </w:pPr>
            <w:r>
              <w:t>2</w:t>
            </w:r>
          </w:p>
        </w:tc>
        <w:tc>
          <w:tcPr>
            <w:tcW w:w="6652" w:type="dxa"/>
            <w:tcBorders>
              <w:top w:val="single" w:sz="2" w:space="0" w:color="auto"/>
              <w:bottom w:val="single" w:sz="2" w:space="0" w:color="auto"/>
            </w:tcBorders>
            <w:shd w:val="clear" w:color="auto" w:fill="auto"/>
          </w:tcPr>
          <w:p w:rsidR="002F075C" w:rsidRPr="00287088" w:rsidRDefault="002F075C" w:rsidP="00B9016A">
            <w:pPr>
              <w:pStyle w:val="Tabletext"/>
            </w:pPr>
            <w:r w:rsidRPr="00287088">
              <w:t>Changes to grammar, syntax or the use of conjunctives or disjunctives</w:t>
            </w:r>
          </w:p>
        </w:tc>
        <w:tc>
          <w:tcPr>
            <w:tcW w:w="1660" w:type="dxa"/>
            <w:tcBorders>
              <w:top w:val="single" w:sz="2" w:space="0" w:color="auto"/>
              <w:bottom w:val="single" w:sz="2" w:space="0" w:color="auto"/>
            </w:tcBorders>
            <w:shd w:val="clear" w:color="auto" w:fill="auto"/>
          </w:tcPr>
          <w:p w:rsidR="002F075C" w:rsidRDefault="002F075C" w:rsidP="00B9016A">
            <w:pPr>
              <w:pStyle w:val="Tabletext"/>
            </w:pPr>
            <w:r>
              <w:t>2</w:t>
            </w:r>
          </w:p>
        </w:tc>
      </w:tr>
      <w:tr w:rsidR="00287088" w:rsidRPr="005A55CD" w:rsidTr="002C685B">
        <w:tc>
          <w:tcPr>
            <w:tcW w:w="714" w:type="dxa"/>
            <w:tcBorders>
              <w:top w:val="single" w:sz="2" w:space="0" w:color="auto"/>
              <w:bottom w:val="single" w:sz="2" w:space="0" w:color="auto"/>
            </w:tcBorders>
            <w:shd w:val="clear" w:color="auto" w:fill="auto"/>
          </w:tcPr>
          <w:p w:rsidR="00287088" w:rsidRDefault="002F075C" w:rsidP="00287088">
            <w:pPr>
              <w:pStyle w:val="Tabletext"/>
            </w:pPr>
            <w:r>
              <w:t>3</w:t>
            </w:r>
          </w:p>
        </w:tc>
        <w:tc>
          <w:tcPr>
            <w:tcW w:w="6652" w:type="dxa"/>
            <w:tcBorders>
              <w:top w:val="single" w:sz="2" w:space="0" w:color="auto"/>
              <w:bottom w:val="single" w:sz="2" w:space="0" w:color="auto"/>
            </w:tcBorders>
            <w:shd w:val="clear" w:color="auto" w:fill="auto"/>
          </w:tcPr>
          <w:p w:rsidR="00287088" w:rsidRDefault="00287088" w:rsidP="00287088">
            <w:pPr>
              <w:pStyle w:val="Tabletext"/>
            </w:pPr>
            <w:r w:rsidRPr="00634B11">
              <w:t>Changes to punctuation</w:t>
            </w:r>
          </w:p>
        </w:tc>
        <w:tc>
          <w:tcPr>
            <w:tcW w:w="1660" w:type="dxa"/>
            <w:tcBorders>
              <w:top w:val="single" w:sz="2" w:space="0" w:color="auto"/>
              <w:bottom w:val="single" w:sz="2" w:space="0" w:color="auto"/>
            </w:tcBorders>
            <w:shd w:val="clear" w:color="auto" w:fill="auto"/>
          </w:tcPr>
          <w:p w:rsidR="00287088" w:rsidRDefault="00593AD7" w:rsidP="00287088">
            <w:pPr>
              <w:pStyle w:val="Tabletext"/>
            </w:pPr>
            <w:r>
              <w:t>9</w:t>
            </w:r>
          </w:p>
        </w:tc>
      </w:tr>
      <w:tr w:rsidR="00287088" w:rsidRPr="005A55CD" w:rsidTr="002C685B">
        <w:tc>
          <w:tcPr>
            <w:tcW w:w="714" w:type="dxa"/>
            <w:tcBorders>
              <w:top w:val="single" w:sz="2" w:space="0" w:color="auto"/>
              <w:bottom w:val="single" w:sz="2" w:space="0" w:color="auto"/>
            </w:tcBorders>
            <w:shd w:val="clear" w:color="auto" w:fill="auto"/>
          </w:tcPr>
          <w:p w:rsidR="00287088" w:rsidRDefault="002F075C" w:rsidP="00287088">
            <w:pPr>
              <w:pStyle w:val="Tabletext"/>
            </w:pPr>
            <w:r>
              <w:t>4</w:t>
            </w:r>
          </w:p>
        </w:tc>
        <w:tc>
          <w:tcPr>
            <w:tcW w:w="6652" w:type="dxa"/>
            <w:tcBorders>
              <w:top w:val="single" w:sz="2" w:space="0" w:color="auto"/>
              <w:bottom w:val="single" w:sz="2" w:space="0" w:color="auto"/>
            </w:tcBorders>
            <w:shd w:val="clear" w:color="auto" w:fill="auto"/>
          </w:tcPr>
          <w:p w:rsidR="00287088" w:rsidRDefault="00287088" w:rsidP="00287088">
            <w:pPr>
              <w:pStyle w:val="Tabletext"/>
            </w:pPr>
            <w:r>
              <w:t>Changes to spelling</w:t>
            </w:r>
          </w:p>
        </w:tc>
        <w:tc>
          <w:tcPr>
            <w:tcW w:w="1660" w:type="dxa"/>
            <w:tcBorders>
              <w:top w:val="single" w:sz="2" w:space="0" w:color="auto"/>
              <w:bottom w:val="single" w:sz="2" w:space="0" w:color="auto"/>
            </w:tcBorders>
            <w:shd w:val="clear" w:color="auto" w:fill="auto"/>
          </w:tcPr>
          <w:p w:rsidR="00287088" w:rsidRDefault="00DF0D79" w:rsidP="00287088">
            <w:pPr>
              <w:pStyle w:val="Tabletext"/>
            </w:pPr>
            <w:r>
              <w:t>2</w:t>
            </w:r>
          </w:p>
        </w:tc>
      </w:tr>
      <w:tr w:rsidR="00C60566" w:rsidRPr="005A55CD" w:rsidTr="002C685B">
        <w:tc>
          <w:tcPr>
            <w:tcW w:w="714" w:type="dxa"/>
            <w:tcBorders>
              <w:top w:val="single" w:sz="2" w:space="0" w:color="auto"/>
              <w:bottom w:val="single" w:sz="2" w:space="0" w:color="auto"/>
            </w:tcBorders>
            <w:shd w:val="clear" w:color="auto" w:fill="auto"/>
          </w:tcPr>
          <w:p w:rsidR="00C60566" w:rsidRDefault="00365E16" w:rsidP="00287088">
            <w:pPr>
              <w:pStyle w:val="Tabletext"/>
            </w:pPr>
            <w:r>
              <w:t>5</w:t>
            </w:r>
          </w:p>
        </w:tc>
        <w:tc>
          <w:tcPr>
            <w:tcW w:w="6652" w:type="dxa"/>
            <w:tcBorders>
              <w:top w:val="single" w:sz="2" w:space="0" w:color="auto"/>
              <w:bottom w:val="single" w:sz="2" w:space="0" w:color="auto"/>
            </w:tcBorders>
            <w:shd w:val="clear" w:color="auto" w:fill="auto"/>
          </w:tcPr>
          <w:p w:rsidR="00C60566" w:rsidRDefault="00C60566" w:rsidP="00287088">
            <w:pPr>
              <w:pStyle w:val="Tabletext"/>
            </w:pPr>
            <w:r>
              <w:t>Changes to typeface</w:t>
            </w:r>
          </w:p>
        </w:tc>
        <w:tc>
          <w:tcPr>
            <w:tcW w:w="1660" w:type="dxa"/>
            <w:tcBorders>
              <w:top w:val="single" w:sz="2" w:space="0" w:color="auto"/>
              <w:bottom w:val="single" w:sz="2" w:space="0" w:color="auto"/>
            </w:tcBorders>
            <w:shd w:val="clear" w:color="auto" w:fill="auto"/>
          </w:tcPr>
          <w:p w:rsidR="00C60566" w:rsidRDefault="003E0754" w:rsidP="00287088">
            <w:pPr>
              <w:pStyle w:val="Tabletext"/>
            </w:pPr>
            <w:r>
              <w:t>3</w:t>
            </w:r>
          </w:p>
        </w:tc>
      </w:tr>
      <w:tr w:rsidR="00CA710C" w:rsidRPr="005A55CD" w:rsidTr="002C685B">
        <w:tc>
          <w:tcPr>
            <w:tcW w:w="714" w:type="dxa"/>
            <w:tcBorders>
              <w:top w:val="single" w:sz="2" w:space="0" w:color="auto"/>
              <w:bottom w:val="single" w:sz="2" w:space="0" w:color="auto"/>
            </w:tcBorders>
            <w:shd w:val="clear" w:color="auto" w:fill="auto"/>
          </w:tcPr>
          <w:p w:rsidR="00CA710C" w:rsidRDefault="00365E16" w:rsidP="00287088">
            <w:pPr>
              <w:pStyle w:val="Tabletext"/>
            </w:pPr>
            <w:r>
              <w:t>6</w:t>
            </w:r>
          </w:p>
        </w:tc>
        <w:tc>
          <w:tcPr>
            <w:tcW w:w="6652" w:type="dxa"/>
            <w:tcBorders>
              <w:top w:val="single" w:sz="2" w:space="0" w:color="auto"/>
              <w:bottom w:val="single" w:sz="2" w:space="0" w:color="auto"/>
            </w:tcBorders>
            <w:shd w:val="clear" w:color="auto" w:fill="auto"/>
          </w:tcPr>
          <w:p w:rsidR="00CA710C" w:rsidRDefault="00F9365E" w:rsidP="00287088">
            <w:pPr>
              <w:pStyle w:val="Tabletext"/>
            </w:pPr>
            <w:r w:rsidRPr="00DB7959">
              <w:t>Correct error</w:t>
            </w:r>
            <w:r w:rsidR="0041575F">
              <w:t>s</w:t>
            </w:r>
            <w:r w:rsidRPr="00DB7959">
              <w:t xml:space="preserve"> arising out of an amendment of an instrument</w:t>
            </w:r>
          </w:p>
        </w:tc>
        <w:tc>
          <w:tcPr>
            <w:tcW w:w="1660" w:type="dxa"/>
            <w:tcBorders>
              <w:top w:val="single" w:sz="2" w:space="0" w:color="auto"/>
              <w:bottom w:val="single" w:sz="2" w:space="0" w:color="auto"/>
            </w:tcBorders>
            <w:shd w:val="clear" w:color="auto" w:fill="auto"/>
          </w:tcPr>
          <w:p w:rsidR="00CA710C" w:rsidRDefault="00F9365E" w:rsidP="00287088">
            <w:pPr>
              <w:pStyle w:val="Tabletext"/>
            </w:pPr>
            <w:r>
              <w:t>1</w:t>
            </w:r>
          </w:p>
        </w:tc>
      </w:tr>
      <w:tr w:rsidR="008A4DD7" w:rsidRPr="005A55CD" w:rsidTr="002C685B">
        <w:tc>
          <w:tcPr>
            <w:tcW w:w="714" w:type="dxa"/>
            <w:tcBorders>
              <w:top w:val="single" w:sz="2" w:space="0" w:color="auto"/>
              <w:bottom w:val="single" w:sz="2" w:space="0" w:color="auto"/>
            </w:tcBorders>
            <w:shd w:val="clear" w:color="auto" w:fill="auto"/>
          </w:tcPr>
          <w:p w:rsidR="008A4DD7" w:rsidRDefault="00365E16" w:rsidP="00287088">
            <w:pPr>
              <w:pStyle w:val="Tabletext"/>
            </w:pPr>
            <w:r>
              <w:t>7</w:t>
            </w:r>
          </w:p>
        </w:tc>
        <w:tc>
          <w:tcPr>
            <w:tcW w:w="6652" w:type="dxa"/>
            <w:tcBorders>
              <w:top w:val="single" w:sz="2" w:space="0" w:color="auto"/>
              <w:bottom w:val="single" w:sz="2" w:space="0" w:color="auto"/>
            </w:tcBorders>
            <w:shd w:val="clear" w:color="auto" w:fill="auto"/>
          </w:tcPr>
          <w:p w:rsidR="008A4DD7" w:rsidRPr="00DB7959" w:rsidRDefault="008A4DD7" w:rsidP="00287088">
            <w:pPr>
              <w:pStyle w:val="Tabletext"/>
            </w:pPr>
            <w:r w:rsidRPr="005A55CD">
              <w:t>Correct typographical errors</w:t>
            </w:r>
          </w:p>
        </w:tc>
        <w:tc>
          <w:tcPr>
            <w:tcW w:w="1660" w:type="dxa"/>
            <w:tcBorders>
              <w:top w:val="single" w:sz="2" w:space="0" w:color="auto"/>
              <w:bottom w:val="single" w:sz="2" w:space="0" w:color="auto"/>
            </w:tcBorders>
            <w:shd w:val="clear" w:color="auto" w:fill="auto"/>
          </w:tcPr>
          <w:p w:rsidR="008A4DD7" w:rsidRDefault="00C0795B" w:rsidP="00287088">
            <w:pPr>
              <w:pStyle w:val="Tabletext"/>
            </w:pPr>
            <w:r>
              <w:t>3</w:t>
            </w:r>
          </w:p>
        </w:tc>
      </w:tr>
      <w:tr w:rsidR="00287088" w:rsidRPr="005A55CD" w:rsidTr="002C685B">
        <w:tc>
          <w:tcPr>
            <w:tcW w:w="714" w:type="dxa"/>
            <w:tcBorders>
              <w:top w:val="single" w:sz="2" w:space="0" w:color="auto"/>
              <w:bottom w:val="single" w:sz="2" w:space="0" w:color="auto"/>
            </w:tcBorders>
            <w:shd w:val="clear" w:color="auto" w:fill="auto"/>
          </w:tcPr>
          <w:p w:rsidR="00287088" w:rsidRDefault="00365E16" w:rsidP="00287088">
            <w:pPr>
              <w:pStyle w:val="Tabletext"/>
            </w:pPr>
            <w:r>
              <w:t>8</w:t>
            </w:r>
          </w:p>
        </w:tc>
        <w:tc>
          <w:tcPr>
            <w:tcW w:w="6652" w:type="dxa"/>
            <w:tcBorders>
              <w:top w:val="single" w:sz="2" w:space="0" w:color="auto"/>
              <w:bottom w:val="single" w:sz="2" w:space="0" w:color="auto"/>
            </w:tcBorders>
            <w:shd w:val="clear" w:color="auto" w:fill="auto"/>
          </w:tcPr>
          <w:p w:rsidR="00287088" w:rsidRDefault="00287088" w:rsidP="00287088">
            <w:pPr>
              <w:pStyle w:val="Tabletext"/>
            </w:pPr>
            <w:r w:rsidRPr="00024EE9">
              <w:t>Give effect to the misdescribed amendment</w:t>
            </w:r>
            <w:r>
              <w:t>s</w:t>
            </w:r>
            <w:r w:rsidRPr="00024EE9">
              <w:t xml:space="preserve"> as intended</w:t>
            </w:r>
          </w:p>
        </w:tc>
        <w:tc>
          <w:tcPr>
            <w:tcW w:w="1660" w:type="dxa"/>
            <w:tcBorders>
              <w:top w:val="single" w:sz="2" w:space="0" w:color="auto"/>
              <w:bottom w:val="single" w:sz="2" w:space="0" w:color="auto"/>
            </w:tcBorders>
            <w:shd w:val="clear" w:color="auto" w:fill="auto"/>
          </w:tcPr>
          <w:p w:rsidR="00287088" w:rsidRDefault="00316656" w:rsidP="00287088">
            <w:pPr>
              <w:pStyle w:val="Tabletext"/>
            </w:pPr>
            <w:r>
              <w:t>4</w:t>
            </w:r>
            <w:r w:rsidR="005F2252">
              <w:t>4</w:t>
            </w:r>
          </w:p>
        </w:tc>
      </w:tr>
      <w:tr w:rsidR="00287088" w:rsidRPr="005A55CD" w:rsidTr="002C685B">
        <w:tc>
          <w:tcPr>
            <w:tcW w:w="714" w:type="dxa"/>
            <w:tcBorders>
              <w:top w:val="single" w:sz="2" w:space="0" w:color="auto"/>
              <w:bottom w:val="single" w:sz="2" w:space="0" w:color="auto"/>
            </w:tcBorders>
            <w:shd w:val="clear" w:color="auto" w:fill="auto"/>
          </w:tcPr>
          <w:p w:rsidR="00287088" w:rsidRDefault="00365E16" w:rsidP="00287088">
            <w:pPr>
              <w:pStyle w:val="Tabletext"/>
            </w:pPr>
            <w:r>
              <w:t>9</w:t>
            </w:r>
          </w:p>
        </w:tc>
        <w:tc>
          <w:tcPr>
            <w:tcW w:w="6652" w:type="dxa"/>
            <w:tcBorders>
              <w:top w:val="single" w:sz="2" w:space="0" w:color="auto"/>
              <w:bottom w:val="single" w:sz="2" w:space="0" w:color="auto"/>
            </w:tcBorders>
            <w:shd w:val="clear" w:color="auto" w:fill="auto"/>
          </w:tcPr>
          <w:p w:rsidR="00287088" w:rsidRDefault="00287088" w:rsidP="00287088">
            <w:pPr>
              <w:pStyle w:val="Tabletext"/>
            </w:pPr>
            <w:r w:rsidRPr="00C0272E">
              <w:t>Numbering or renumbering of provisions</w:t>
            </w:r>
          </w:p>
        </w:tc>
        <w:tc>
          <w:tcPr>
            <w:tcW w:w="1660" w:type="dxa"/>
            <w:tcBorders>
              <w:top w:val="single" w:sz="2" w:space="0" w:color="auto"/>
              <w:bottom w:val="single" w:sz="2" w:space="0" w:color="auto"/>
            </w:tcBorders>
            <w:shd w:val="clear" w:color="auto" w:fill="auto"/>
          </w:tcPr>
          <w:p w:rsidR="00287088" w:rsidRDefault="00D04AEC" w:rsidP="00287088">
            <w:pPr>
              <w:pStyle w:val="Tabletext"/>
            </w:pPr>
            <w:r>
              <w:t>5</w:t>
            </w:r>
          </w:p>
        </w:tc>
      </w:tr>
      <w:tr w:rsidR="00E159CD" w:rsidRPr="005A55CD" w:rsidTr="002C685B">
        <w:tc>
          <w:tcPr>
            <w:tcW w:w="714" w:type="dxa"/>
            <w:tcBorders>
              <w:top w:val="single" w:sz="2" w:space="0" w:color="auto"/>
              <w:bottom w:val="single" w:sz="2" w:space="0" w:color="auto"/>
            </w:tcBorders>
            <w:shd w:val="clear" w:color="auto" w:fill="auto"/>
          </w:tcPr>
          <w:p w:rsidR="00E159CD" w:rsidRDefault="00365E16" w:rsidP="00287088">
            <w:pPr>
              <w:pStyle w:val="Tabletext"/>
            </w:pPr>
            <w:r>
              <w:t>10</w:t>
            </w:r>
          </w:p>
        </w:tc>
        <w:tc>
          <w:tcPr>
            <w:tcW w:w="6652" w:type="dxa"/>
            <w:tcBorders>
              <w:top w:val="single" w:sz="2" w:space="0" w:color="auto"/>
              <w:bottom w:val="single" w:sz="2" w:space="0" w:color="auto"/>
            </w:tcBorders>
            <w:shd w:val="clear" w:color="auto" w:fill="auto"/>
          </w:tcPr>
          <w:p w:rsidR="00E159CD" w:rsidRPr="00C0272E" w:rsidRDefault="00E159CD" w:rsidP="00287088">
            <w:pPr>
              <w:pStyle w:val="Tabletext"/>
            </w:pPr>
            <w:r>
              <w:t>Removal of redundant text</w:t>
            </w:r>
          </w:p>
        </w:tc>
        <w:tc>
          <w:tcPr>
            <w:tcW w:w="1660" w:type="dxa"/>
            <w:tcBorders>
              <w:top w:val="single" w:sz="2" w:space="0" w:color="auto"/>
              <w:bottom w:val="single" w:sz="2" w:space="0" w:color="auto"/>
            </w:tcBorders>
            <w:shd w:val="clear" w:color="auto" w:fill="auto"/>
          </w:tcPr>
          <w:p w:rsidR="00E159CD" w:rsidRDefault="00353E8F" w:rsidP="00287088">
            <w:pPr>
              <w:pStyle w:val="Tabletext"/>
            </w:pPr>
            <w:r>
              <w:t>3</w:t>
            </w:r>
          </w:p>
        </w:tc>
      </w:tr>
      <w:tr w:rsidR="00287088" w:rsidRPr="005A55CD" w:rsidTr="002C685B">
        <w:tc>
          <w:tcPr>
            <w:tcW w:w="714" w:type="dxa"/>
            <w:tcBorders>
              <w:top w:val="single" w:sz="2" w:space="0" w:color="auto"/>
              <w:bottom w:val="single" w:sz="2" w:space="0" w:color="auto"/>
            </w:tcBorders>
            <w:shd w:val="clear" w:color="auto" w:fill="auto"/>
          </w:tcPr>
          <w:p w:rsidR="00287088" w:rsidRDefault="002F075C" w:rsidP="00287088">
            <w:pPr>
              <w:pStyle w:val="Tabletext"/>
            </w:pPr>
            <w:r>
              <w:t>1</w:t>
            </w:r>
            <w:r w:rsidR="00365E16">
              <w:t>1</w:t>
            </w:r>
          </w:p>
        </w:tc>
        <w:tc>
          <w:tcPr>
            <w:tcW w:w="6652" w:type="dxa"/>
            <w:tcBorders>
              <w:top w:val="single" w:sz="2" w:space="0" w:color="auto"/>
              <w:bottom w:val="single" w:sz="2" w:space="0" w:color="auto"/>
            </w:tcBorders>
            <w:shd w:val="clear" w:color="auto" w:fill="auto"/>
          </w:tcPr>
          <w:p w:rsidR="00287088" w:rsidRPr="00C0272E" w:rsidRDefault="00287088" w:rsidP="00287088">
            <w:pPr>
              <w:pStyle w:val="Tabletext"/>
            </w:pPr>
            <w:r w:rsidRPr="009B6249">
              <w:t>Reordering of definitions</w:t>
            </w:r>
          </w:p>
        </w:tc>
        <w:tc>
          <w:tcPr>
            <w:tcW w:w="1660" w:type="dxa"/>
            <w:tcBorders>
              <w:top w:val="single" w:sz="2" w:space="0" w:color="auto"/>
              <w:bottom w:val="single" w:sz="2" w:space="0" w:color="auto"/>
            </w:tcBorders>
            <w:shd w:val="clear" w:color="auto" w:fill="auto"/>
          </w:tcPr>
          <w:p w:rsidR="00287088" w:rsidRDefault="00B1257F" w:rsidP="00287088">
            <w:pPr>
              <w:pStyle w:val="Tabletext"/>
            </w:pPr>
            <w:r>
              <w:t>8</w:t>
            </w:r>
          </w:p>
        </w:tc>
      </w:tr>
      <w:tr w:rsidR="00287088" w:rsidRPr="005A55CD" w:rsidTr="00D04AEC">
        <w:tc>
          <w:tcPr>
            <w:tcW w:w="714" w:type="dxa"/>
            <w:tcBorders>
              <w:top w:val="single" w:sz="2" w:space="0" w:color="auto"/>
              <w:bottom w:val="single" w:sz="2" w:space="0" w:color="auto"/>
            </w:tcBorders>
            <w:shd w:val="clear" w:color="auto" w:fill="auto"/>
          </w:tcPr>
          <w:p w:rsidR="00287088" w:rsidRDefault="00E41C01" w:rsidP="00287088">
            <w:pPr>
              <w:pStyle w:val="Tabletext"/>
            </w:pPr>
            <w:r>
              <w:t>1</w:t>
            </w:r>
            <w:r w:rsidR="00365E16">
              <w:t>2</w:t>
            </w:r>
          </w:p>
        </w:tc>
        <w:tc>
          <w:tcPr>
            <w:tcW w:w="6652" w:type="dxa"/>
            <w:tcBorders>
              <w:top w:val="single" w:sz="2" w:space="0" w:color="auto"/>
              <w:bottom w:val="single" w:sz="2" w:space="0" w:color="auto"/>
            </w:tcBorders>
            <w:shd w:val="clear" w:color="auto" w:fill="auto"/>
          </w:tcPr>
          <w:p w:rsidR="00287088" w:rsidRPr="00C0272E" w:rsidRDefault="00287088" w:rsidP="00287088">
            <w:pPr>
              <w:pStyle w:val="Tabletext"/>
            </w:pPr>
            <w:r w:rsidRPr="00371E4F">
              <w:t>Reordering of provisions</w:t>
            </w:r>
          </w:p>
        </w:tc>
        <w:tc>
          <w:tcPr>
            <w:tcW w:w="1660" w:type="dxa"/>
            <w:tcBorders>
              <w:top w:val="single" w:sz="2" w:space="0" w:color="auto"/>
              <w:bottom w:val="single" w:sz="2" w:space="0" w:color="auto"/>
            </w:tcBorders>
            <w:shd w:val="clear" w:color="auto" w:fill="auto"/>
          </w:tcPr>
          <w:p w:rsidR="00287088" w:rsidRDefault="005F2252" w:rsidP="00287088">
            <w:pPr>
              <w:pStyle w:val="Tabletext"/>
            </w:pPr>
            <w:r>
              <w:t>3</w:t>
            </w:r>
          </w:p>
        </w:tc>
      </w:tr>
      <w:tr w:rsidR="00D04AEC" w:rsidRPr="005A55CD" w:rsidTr="000C49C1">
        <w:tc>
          <w:tcPr>
            <w:tcW w:w="714" w:type="dxa"/>
            <w:tcBorders>
              <w:top w:val="single" w:sz="2" w:space="0" w:color="auto"/>
              <w:bottom w:val="single" w:sz="2" w:space="0" w:color="auto"/>
            </w:tcBorders>
            <w:shd w:val="clear" w:color="auto" w:fill="auto"/>
          </w:tcPr>
          <w:p w:rsidR="00D04AEC" w:rsidRDefault="00D04AEC" w:rsidP="00287088">
            <w:pPr>
              <w:pStyle w:val="Tabletext"/>
            </w:pPr>
            <w:r>
              <w:t>1</w:t>
            </w:r>
            <w:r w:rsidR="00365E16">
              <w:t>3</w:t>
            </w:r>
          </w:p>
        </w:tc>
        <w:tc>
          <w:tcPr>
            <w:tcW w:w="6652" w:type="dxa"/>
            <w:tcBorders>
              <w:top w:val="single" w:sz="2" w:space="0" w:color="auto"/>
              <w:bottom w:val="single" w:sz="2" w:space="0" w:color="auto"/>
            </w:tcBorders>
            <w:shd w:val="clear" w:color="auto" w:fill="auto"/>
          </w:tcPr>
          <w:p w:rsidR="00D04AEC" w:rsidRPr="00371E4F" w:rsidRDefault="00D04AEC" w:rsidP="00287088">
            <w:pPr>
              <w:pStyle w:val="Tabletext"/>
            </w:pPr>
            <w:r>
              <w:t>Updates to cross</w:t>
            </w:r>
            <w:r>
              <w:noBreakHyphen/>
              <w:t>references</w:t>
            </w:r>
          </w:p>
        </w:tc>
        <w:tc>
          <w:tcPr>
            <w:tcW w:w="1660" w:type="dxa"/>
            <w:tcBorders>
              <w:top w:val="single" w:sz="2" w:space="0" w:color="auto"/>
              <w:bottom w:val="single" w:sz="2" w:space="0" w:color="auto"/>
            </w:tcBorders>
            <w:shd w:val="clear" w:color="auto" w:fill="auto"/>
          </w:tcPr>
          <w:p w:rsidR="00D04AEC" w:rsidRDefault="00D04AEC" w:rsidP="00287088">
            <w:pPr>
              <w:pStyle w:val="Tabletext"/>
            </w:pPr>
            <w:r>
              <w:t>1</w:t>
            </w:r>
          </w:p>
        </w:tc>
      </w:tr>
      <w:tr w:rsidR="000C49C1" w:rsidRPr="005A55CD" w:rsidTr="002C685B">
        <w:tc>
          <w:tcPr>
            <w:tcW w:w="714" w:type="dxa"/>
            <w:tcBorders>
              <w:top w:val="single" w:sz="2" w:space="0" w:color="auto"/>
              <w:bottom w:val="single" w:sz="12" w:space="0" w:color="auto"/>
            </w:tcBorders>
            <w:shd w:val="clear" w:color="auto" w:fill="auto"/>
          </w:tcPr>
          <w:p w:rsidR="000C49C1" w:rsidRDefault="000C49C1" w:rsidP="00287088">
            <w:pPr>
              <w:pStyle w:val="Tabletext"/>
            </w:pPr>
            <w:r>
              <w:t>14</w:t>
            </w:r>
          </w:p>
        </w:tc>
        <w:tc>
          <w:tcPr>
            <w:tcW w:w="6652" w:type="dxa"/>
            <w:tcBorders>
              <w:top w:val="single" w:sz="2" w:space="0" w:color="auto"/>
              <w:bottom w:val="single" w:sz="12" w:space="0" w:color="auto"/>
            </w:tcBorders>
            <w:shd w:val="clear" w:color="auto" w:fill="auto"/>
          </w:tcPr>
          <w:p w:rsidR="000C49C1" w:rsidRDefault="000C49C1" w:rsidP="00287088">
            <w:pPr>
              <w:pStyle w:val="Tabletext"/>
            </w:pPr>
            <w:r w:rsidRPr="005A55CD">
              <w:t>Updates to references of a law or a provision</w:t>
            </w:r>
          </w:p>
        </w:tc>
        <w:tc>
          <w:tcPr>
            <w:tcW w:w="1660" w:type="dxa"/>
            <w:tcBorders>
              <w:top w:val="single" w:sz="2" w:space="0" w:color="auto"/>
              <w:bottom w:val="single" w:sz="12" w:space="0" w:color="auto"/>
            </w:tcBorders>
            <w:shd w:val="clear" w:color="auto" w:fill="auto"/>
          </w:tcPr>
          <w:p w:rsidR="000C49C1" w:rsidRDefault="00934348" w:rsidP="00287088">
            <w:pPr>
              <w:pStyle w:val="Tabletext"/>
            </w:pPr>
            <w:r>
              <w:t>3</w:t>
            </w:r>
          </w:p>
        </w:tc>
      </w:tr>
    </w:tbl>
    <w:p w:rsidR="00C1453D" w:rsidRPr="005A55CD" w:rsidRDefault="00C1453D" w:rsidP="00C1453D">
      <w:pPr>
        <w:pStyle w:val="Tabletext"/>
      </w:pPr>
    </w:p>
    <w:p w:rsidR="00C1453D" w:rsidRPr="005A55CD" w:rsidRDefault="00C1453D" w:rsidP="00C1453D">
      <w:pPr>
        <w:pStyle w:val="BodyNum"/>
      </w:pPr>
      <w:r w:rsidRPr="005A55CD">
        <w:t>Please note that each instance of the power being used in a compilation is counted. This means that for a number of compilations the power has been used multiple times (for example, to correct typographical errors in different sections of the same compilation).</w:t>
      </w:r>
    </w:p>
    <w:p w:rsidR="00C1453D" w:rsidRPr="005A55CD" w:rsidRDefault="00C1453D" w:rsidP="00C1453D">
      <w:pPr>
        <w:pStyle w:val="BodyNum"/>
      </w:pPr>
      <w:r w:rsidRPr="005A55CD">
        <w:t>Complete details of each use of the power within a compilation appears below:</w:t>
      </w:r>
    </w:p>
    <w:p w:rsidR="00E328A1" w:rsidRPr="00BE5F99" w:rsidRDefault="00E328A1" w:rsidP="00E328A1">
      <w:pPr>
        <w:pStyle w:val="Head2"/>
        <w:keepLines/>
        <w:spacing w:after="240"/>
      </w:pPr>
      <w:bookmarkStart w:id="1" w:name="_Hlk142572994"/>
      <w:bookmarkStart w:id="2" w:name="_Hlk112413228"/>
      <w:bookmarkStart w:id="3" w:name="_Hlk77771523"/>
      <w:bookmarkStart w:id="4" w:name="_Hlk117851081"/>
      <w:bookmarkStart w:id="5" w:name="_Hlk115097349"/>
      <w:bookmarkStart w:id="6" w:name="_Hlk115164529"/>
      <w:bookmarkStart w:id="7" w:name="_Hlk87971872"/>
      <w:bookmarkStart w:id="8" w:name="_Hlk111628764"/>
      <w:bookmarkStart w:id="9" w:name="_Hlk109895787"/>
      <w:bookmarkStart w:id="10" w:name="_Hlk100752153"/>
      <w:bookmarkStart w:id="11" w:name="_Hlk98834175"/>
      <w:bookmarkStart w:id="12" w:name="_Hlk95228066"/>
      <w:bookmarkStart w:id="13" w:name="_Hlk88214706"/>
      <w:bookmarkStart w:id="14" w:name="_Hlk88059733"/>
      <w:bookmarkStart w:id="15" w:name="_Hlk87973336"/>
      <w:bookmarkStart w:id="16" w:name="_Hlk86239383"/>
      <w:bookmarkStart w:id="17" w:name="_Hlk85202742"/>
      <w:bookmarkStart w:id="18" w:name="_Hlk83806415"/>
      <w:bookmarkStart w:id="19" w:name="_Hlk78211436"/>
      <w:bookmarkStart w:id="20" w:name="_Hlk78982182"/>
      <w:bookmarkStart w:id="21" w:name="_Toc159817352"/>
      <w:bookmarkStart w:id="22" w:name="_Toc151439511"/>
      <w:bookmarkStart w:id="23" w:name="_Toc151265172"/>
      <w:bookmarkStart w:id="24" w:name="_Toc101876442"/>
      <w:bookmarkStart w:id="25" w:name="_Toc101844710"/>
      <w:bookmarkStart w:id="26" w:name="_Toc101772215"/>
      <w:bookmarkStart w:id="27" w:name="_Toc101684071"/>
      <w:bookmarkStart w:id="28" w:name="_Toc101683873"/>
      <w:bookmarkStart w:id="29" w:name="_Toc101683529"/>
      <w:bookmarkStart w:id="30" w:name="_Toc101349090"/>
      <w:bookmarkStart w:id="31" w:name="_Toc206912603"/>
      <w:bookmarkStart w:id="32" w:name="_Toc206912689"/>
      <w:bookmarkStart w:id="33" w:name="CITATION"/>
      <w:r w:rsidRPr="004238E0">
        <w:t xml:space="preserve">Legislation </w:t>
      </w:r>
      <w:r>
        <w:t>Rule 2</w:t>
      </w:r>
      <w:r w:rsidRPr="004238E0">
        <w:t>016</w:t>
      </w:r>
      <w:r>
        <w:t>, Compilation No. 1, Registration Date: 29 June 202</w:t>
      </w:r>
      <w:r w:rsidRPr="00BE5F99">
        <w:t>4 [</w:t>
      </w:r>
      <w:r w:rsidR="000C49C1" w:rsidRPr="000C49C1">
        <w:t>F2024C00522</w:t>
      </w:r>
      <w:r w:rsidRPr="00BE5F99">
        <w:t>]</w:t>
      </w:r>
    </w:p>
    <w:p w:rsidR="000C49C1" w:rsidRPr="004238E0" w:rsidRDefault="000C49C1" w:rsidP="000C49C1">
      <w:pPr>
        <w:tabs>
          <w:tab w:val="left" w:pos="3402"/>
        </w:tabs>
        <w:spacing w:after="240"/>
        <w:rPr>
          <w:b/>
          <w:sz w:val="24"/>
          <w:szCs w:val="24"/>
        </w:rPr>
      </w:pPr>
      <w:r>
        <w:rPr>
          <w:b/>
          <w:sz w:val="24"/>
          <w:szCs w:val="24"/>
        </w:rPr>
        <w:t>Subsection 5</w:t>
      </w:r>
      <w:r w:rsidRPr="004238E0">
        <w:rPr>
          <w:b/>
          <w:sz w:val="24"/>
          <w:szCs w:val="24"/>
        </w:rPr>
        <w:t>(1)</w:t>
      </w:r>
    </w:p>
    <w:p w:rsidR="000C49C1" w:rsidRPr="004238E0" w:rsidRDefault="000C49C1" w:rsidP="000C49C1">
      <w:pPr>
        <w:tabs>
          <w:tab w:val="left" w:pos="3402"/>
        </w:tabs>
        <w:spacing w:after="240"/>
        <w:rPr>
          <w:b/>
        </w:rPr>
      </w:pPr>
      <w:r w:rsidRPr="004238E0">
        <w:rPr>
          <w:b/>
        </w:rPr>
        <w:t>Kind of editorial change</w:t>
      </w:r>
    </w:p>
    <w:p w:rsidR="000C49C1" w:rsidRPr="004238E0" w:rsidRDefault="000C49C1" w:rsidP="000C49C1">
      <w:pPr>
        <w:tabs>
          <w:tab w:val="left" w:pos="3402"/>
        </w:tabs>
        <w:spacing w:after="240"/>
      </w:pPr>
      <w:r w:rsidRPr="004238E0">
        <w:t>Update to a reference of a law or a provision</w:t>
      </w:r>
    </w:p>
    <w:p w:rsidR="000C49C1" w:rsidRPr="004238E0" w:rsidRDefault="000C49C1" w:rsidP="000C49C1">
      <w:pPr>
        <w:tabs>
          <w:tab w:val="left" w:pos="3402"/>
        </w:tabs>
        <w:spacing w:after="240"/>
        <w:rPr>
          <w:b/>
        </w:rPr>
      </w:pPr>
      <w:r w:rsidRPr="004238E0">
        <w:rPr>
          <w:b/>
        </w:rPr>
        <w:t>Details of editorial change</w:t>
      </w:r>
    </w:p>
    <w:p w:rsidR="000C49C1" w:rsidRPr="004238E0" w:rsidRDefault="000C49C1" w:rsidP="000C49C1">
      <w:pPr>
        <w:tabs>
          <w:tab w:val="left" w:pos="3402"/>
        </w:tabs>
        <w:spacing w:after="240"/>
      </w:pPr>
      <w:r>
        <w:lastRenderedPageBreak/>
        <w:t>Subsection 5</w:t>
      </w:r>
      <w:r w:rsidRPr="004238E0">
        <w:t>(1) refers to “15U(1)(d)” instead of “15U(d)”.</w:t>
      </w:r>
    </w:p>
    <w:p w:rsidR="000C49C1" w:rsidRPr="004238E0" w:rsidRDefault="000C49C1" w:rsidP="000C49C1">
      <w:pPr>
        <w:tabs>
          <w:tab w:val="left" w:pos="3402"/>
        </w:tabs>
        <w:spacing w:after="240"/>
      </w:pPr>
      <w:r w:rsidRPr="004238E0">
        <w:t xml:space="preserve">This compilation was editorially changed to update a reference from “15U(1)(d)” to “15U(d)” in </w:t>
      </w:r>
      <w:r>
        <w:t>subsection 5</w:t>
      </w:r>
      <w:r w:rsidRPr="004238E0">
        <w:t>(1).</w:t>
      </w:r>
    </w:p>
    <w:p w:rsidR="000C49C1" w:rsidRPr="004238E0" w:rsidRDefault="000C49C1" w:rsidP="000C49C1">
      <w:pPr>
        <w:tabs>
          <w:tab w:val="left" w:pos="3402"/>
        </w:tabs>
        <w:spacing w:after="240"/>
        <w:rPr>
          <w:b/>
          <w:sz w:val="24"/>
          <w:szCs w:val="24"/>
        </w:rPr>
      </w:pPr>
      <w:r>
        <w:rPr>
          <w:b/>
          <w:sz w:val="24"/>
          <w:szCs w:val="24"/>
        </w:rPr>
        <w:t>Subsection 6</w:t>
      </w:r>
      <w:r w:rsidRPr="004238E0">
        <w:rPr>
          <w:b/>
          <w:sz w:val="24"/>
          <w:szCs w:val="24"/>
        </w:rPr>
        <w:t>(1)</w:t>
      </w:r>
    </w:p>
    <w:p w:rsidR="000C49C1" w:rsidRPr="004238E0" w:rsidRDefault="000C49C1" w:rsidP="000C49C1">
      <w:pPr>
        <w:tabs>
          <w:tab w:val="left" w:pos="3402"/>
        </w:tabs>
        <w:spacing w:after="240"/>
        <w:rPr>
          <w:b/>
        </w:rPr>
      </w:pPr>
      <w:r w:rsidRPr="004238E0">
        <w:rPr>
          <w:b/>
        </w:rPr>
        <w:t>Kind of editorial change</w:t>
      </w:r>
    </w:p>
    <w:p w:rsidR="000C49C1" w:rsidRPr="004238E0" w:rsidRDefault="000C49C1" w:rsidP="000C49C1">
      <w:pPr>
        <w:tabs>
          <w:tab w:val="left" w:pos="3402"/>
        </w:tabs>
        <w:spacing w:after="240"/>
      </w:pPr>
      <w:r w:rsidRPr="004238E0">
        <w:t>Update to a reference of a law or a provision</w:t>
      </w:r>
    </w:p>
    <w:p w:rsidR="000C49C1" w:rsidRPr="004238E0" w:rsidRDefault="000C49C1" w:rsidP="000C49C1">
      <w:pPr>
        <w:tabs>
          <w:tab w:val="left" w:pos="3402"/>
        </w:tabs>
        <w:spacing w:after="240"/>
        <w:rPr>
          <w:b/>
        </w:rPr>
      </w:pPr>
      <w:r w:rsidRPr="004238E0">
        <w:rPr>
          <w:b/>
        </w:rPr>
        <w:t>Details of editorial change</w:t>
      </w:r>
    </w:p>
    <w:p w:rsidR="000C49C1" w:rsidRPr="004238E0" w:rsidRDefault="000C49C1" w:rsidP="000C49C1">
      <w:pPr>
        <w:tabs>
          <w:tab w:val="left" w:pos="3402"/>
        </w:tabs>
        <w:spacing w:after="240"/>
      </w:pPr>
      <w:r>
        <w:t>Subsection 6</w:t>
      </w:r>
      <w:r w:rsidRPr="004238E0">
        <w:t>(1) refers to “15U(1)(e)” instead of “15U(e)”.</w:t>
      </w:r>
    </w:p>
    <w:p w:rsidR="000C49C1" w:rsidRPr="004238E0" w:rsidRDefault="000C49C1" w:rsidP="000C49C1">
      <w:pPr>
        <w:tabs>
          <w:tab w:val="left" w:pos="3402"/>
        </w:tabs>
        <w:spacing w:after="240"/>
      </w:pPr>
      <w:r w:rsidRPr="004238E0">
        <w:t xml:space="preserve">This compilation was editorially changed to update a reference from “15U(1)(e)” to “15U(e)” in </w:t>
      </w:r>
      <w:r>
        <w:t>subsection 6</w:t>
      </w:r>
      <w:r w:rsidRPr="004238E0">
        <w:t>(1).</w:t>
      </w:r>
    </w:p>
    <w:p w:rsidR="000C49C1" w:rsidRPr="004238E0" w:rsidRDefault="000C49C1" w:rsidP="000C49C1">
      <w:pPr>
        <w:tabs>
          <w:tab w:val="left" w:pos="3402"/>
        </w:tabs>
        <w:spacing w:after="240"/>
        <w:rPr>
          <w:b/>
          <w:sz w:val="24"/>
          <w:szCs w:val="24"/>
        </w:rPr>
      </w:pPr>
      <w:r>
        <w:rPr>
          <w:b/>
          <w:sz w:val="24"/>
          <w:szCs w:val="24"/>
        </w:rPr>
        <w:t>Section 7</w:t>
      </w:r>
    </w:p>
    <w:p w:rsidR="000C49C1" w:rsidRPr="004238E0" w:rsidRDefault="000C49C1" w:rsidP="000C49C1">
      <w:pPr>
        <w:tabs>
          <w:tab w:val="left" w:pos="3402"/>
        </w:tabs>
        <w:spacing w:after="240"/>
        <w:rPr>
          <w:b/>
        </w:rPr>
      </w:pPr>
      <w:r w:rsidRPr="004238E0">
        <w:rPr>
          <w:b/>
        </w:rPr>
        <w:t>Kind of editorial change</w:t>
      </w:r>
    </w:p>
    <w:p w:rsidR="000C49C1" w:rsidRPr="004238E0" w:rsidRDefault="000C49C1" w:rsidP="000C49C1">
      <w:pPr>
        <w:tabs>
          <w:tab w:val="left" w:pos="3402"/>
        </w:tabs>
        <w:spacing w:after="240"/>
      </w:pPr>
      <w:r w:rsidRPr="004238E0">
        <w:t>Update to a reference of a law or a provision</w:t>
      </w:r>
    </w:p>
    <w:p w:rsidR="000C49C1" w:rsidRPr="004238E0" w:rsidRDefault="000C49C1" w:rsidP="000C49C1">
      <w:pPr>
        <w:tabs>
          <w:tab w:val="left" w:pos="3402"/>
        </w:tabs>
        <w:spacing w:after="240"/>
        <w:rPr>
          <w:b/>
        </w:rPr>
      </w:pPr>
      <w:r w:rsidRPr="004238E0">
        <w:rPr>
          <w:b/>
        </w:rPr>
        <w:t>Details of editorial change</w:t>
      </w:r>
    </w:p>
    <w:p w:rsidR="000C49C1" w:rsidRPr="004238E0" w:rsidRDefault="000C49C1" w:rsidP="000C49C1">
      <w:pPr>
        <w:tabs>
          <w:tab w:val="left" w:pos="3402"/>
        </w:tabs>
        <w:spacing w:after="240"/>
      </w:pPr>
      <w:r>
        <w:t>Section 7</w:t>
      </w:r>
      <w:r w:rsidRPr="004238E0">
        <w:t xml:space="preserve"> refers to “15U(1)(d)(iii)” instead of “15U(d)(iii)”.</w:t>
      </w:r>
    </w:p>
    <w:p w:rsidR="000C49C1" w:rsidRPr="004238E0" w:rsidRDefault="000C49C1" w:rsidP="000C49C1">
      <w:pPr>
        <w:tabs>
          <w:tab w:val="left" w:pos="3402"/>
        </w:tabs>
      </w:pPr>
      <w:r w:rsidRPr="004238E0">
        <w:t xml:space="preserve">This compilation was editorially changed to update a reference from “15U(1)(d)(iii)” to “15U(d)(iii)” in </w:t>
      </w:r>
      <w:r>
        <w:t>section 7</w:t>
      </w:r>
      <w:r w:rsidRPr="004238E0">
        <w:t>.</w:t>
      </w:r>
    </w:p>
    <w:p w:rsidR="00515186" w:rsidRPr="00BE5F99" w:rsidRDefault="005F2252" w:rsidP="00515186">
      <w:pPr>
        <w:pStyle w:val="Head2"/>
        <w:keepLines/>
        <w:spacing w:after="240"/>
      </w:pPr>
      <w:r w:rsidRPr="000107CE">
        <w:t>National Health (Listing of Pharmaceutical Benefits) Instrument 2024</w:t>
      </w:r>
      <w:r>
        <w:t xml:space="preserve"> (</w:t>
      </w:r>
      <w:r w:rsidRPr="000107CE">
        <w:t>PB 26 of 2024</w:t>
      </w:r>
      <w:r>
        <w:t>)</w:t>
      </w:r>
      <w:r w:rsidR="00515186">
        <w:t>, Compilation No. </w:t>
      </w:r>
      <w:r>
        <w:t>1</w:t>
      </w:r>
      <w:r w:rsidR="00515186">
        <w:t>, Registration Date: 2</w:t>
      </w:r>
      <w:r>
        <w:t>9</w:t>
      </w:r>
      <w:r w:rsidR="00515186">
        <w:t> June 202</w:t>
      </w:r>
      <w:r w:rsidR="00515186" w:rsidRPr="00BE5F99">
        <w:t>4 [</w:t>
      </w:r>
      <w:r w:rsidRPr="005F2252">
        <w:t>F2024C00520</w:t>
      </w:r>
      <w:r w:rsidR="00515186" w:rsidRPr="00BE5F99">
        <w:t>]</w:t>
      </w:r>
    </w:p>
    <w:p w:rsidR="005F2252" w:rsidRPr="004549F1" w:rsidRDefault="005F2252" w:rsidP="005F2252">
      <w:pPr>
        <w:spacing w:after="240"/>
        <w:rPr>
          <w:b/>
          <w:sz w:val="24"/>
          <w:szCs w:val="24"/>
        </w:rPr>
      </w:pPr>
      <w:r>
        <w:rPr>
          <w:b/>
          <w:sz w:val="24"/>
          <w:szCs w:val="24"/>
        </w:rPr>
        <w:t>Schedule 4, Part 1, entry for Circumstances code “C5571”</w:t>
      </w:r>
    </w:p>
    <w:p w:rsidR="005F2252" w:rsidRPr="004549F1" w:rsidRDefault="005F2252" w:rsidP="005F2252">
      <w:pPr>
        <w:spacing w:after="240"/>
        <w:rPr>
          <w:b/>
        </w:rPr>
      </w:pPr>
      <w:r w:rsidRPr="004549F1">
        <w:rPr>
          <w:b/>
        </w:rPr>
        <w:t>Kind of editorial change</w:t>
      </w:r>
    </w:p>
    <w:p w:rsidR="005F2252" w:rsidRPr="0018341F" w:rsidRDefault="005F2252" w:rsidP="005F2252">
      <w:pPr>
        <w:spacing w:after="240"/>
      </w:pPr>
      <w:r w:rsidRPr="00E2562F">
        <w:t>Give effect to the misdescribed amendment as intended</w:t>
      </w:r>
      <w:r>
        <w:t xml:space="preserve"> and reordering of provisions</w:t>
      </w:r>
    </w:p>
    <w:p w:rsidR="005F2252" w:rsidRPr="004549F1" w:rsidRDefault="005F2252" w:rsidP="005F2252">
      <w:pPr>
        <w:spacing w:after="240"/>
        <w:rPr>
          <w:b/>
        </w:rPr>
      </w:pPr>
      <w:r w:rsidRPr="004549F1">
        <w:rPr>
          <w:b/>
        </w:rPr>
        <w:t>Details of editorial change</w:t>
      </w:r>
    </w:p>
    <w:p w:rsidR="005F2252" w:rsidRPr="00E6448A" w:rsidRDefault="005F2252" w:rsidP="005F2252">
      <w:pPr>
        <w:spacing w:after="240"/>
        <w:rPr>
          <w:rFonts w:cs="Times New Roman"/>
          <w:szCs w:val="22"/>
        </w:rPr>
      </w:pPr>
      <w:r>
        <w:t>Schedule 1 item 116 of the</w:t>
      </w:r>
      <w:r w:rsidRPr="00E6448A">
        <w:rPr>
          <w:szCs w:val="22"/>
        </w:rPr>
        <w:t xml:space="preserve"> </w:t>
      </w:r>
      <w:r w:rsidRPr="00E6448A">
        <w:rPr>
          <w:i/>
          <w:szCs w:val="22"/>
        </w:rPr>
        <w:t>National Health (Listing of Pharmaceutical Benefits) Amendment (May Update) Instrument 2024</w:t>
      </w:r>
      <w:r w:rsidRPr="00025FC3">
        <w:rPr>
          <w:szCs w:val="22"/>
        </w:rPr>
        <w:t xml:space="preserve"> (</w:t>
      </w:r>
      <w:r w:rsidRPr="002C6FE9">
        <w:rPr>
          <w:szCs w:val="22"/>
        </w:rPr>
        <w:t>PB 39 of 2024)</w:t>
      </w:r>
      <w:r w:rsidRPr="007573A3">
        <w:rPr>
          <w:szCs w:val="22"/>
        </w:rPr>
        <w:t xml:space="preserve"> </w:t>
      </w:r>
      <w:r>
        <w:rPr>
          <w:szCs w:val="22"/>
        </w:rPr>
        <w:t>provides as follows:</w:t>
      </w:r>
    </w:p>
    <w:p w:rsidR="005F2252" w:rsidRPr="000D7E3B" w:rsidRDefault="005F2252" w:rsidP="005F2252">
      <w:pPr>
        <w:spacing w:after="200"/>
        <w:rPr>
          <w:b/>
        </w:rPr>
      </w:pPr>
      <w:r w:rsidRPr="000D7E3B">
        <w:rPr>
          <w:b/>
        </w:rPr>
        <w:t>[116]</w:t>
      </w:r>
      <w:r w:rsidRPr="000D7E3B">
        <w:rPr>
          <w:b/>
        </w:rPr>
        <w:tab/>
        <w:t>Schedule 4, Part 1, entry for Circumstances Code “C5571”</w:t>
      </w:r>
    </w:p>
    <w:p w:rsidR="005F2252" w:rsidRPr="002E6A76" w:rsidRDefault="005F2252" w:rsidP="005F2252">
      <w:pPr>
        <w:ind w:left="720" w:hanging="720"/>
      </w:pPr>
      <w:r w:rsidRPr="002E6A76">
        <w:tab/>
      </w:r>
      <w:r w:rsidRPr="002E6A76">
        <w:rPr>
          <w:i/>
        </w:rPr>
        <w:t>insert in alphabetical order in the column headed “Listed Drug”:</w:t>
      </w:r>
      <w:r w:rsidRPr="002E6A76">
        <w:rPr>
          <w:b/>
          <w:bCs/>
          <w:i/>
        </w:rPr>
        <w:t xml:space="preserve"> </w:t>
      </w:r>
      <w:r w:rsidRPr="002E6A76">
        <w:rPr>
          <w:rFonts w:ascii="Arial" w:hAnsi="Arial" w:cs="Arial"/>
          <w:b/>
          <w:bCs/>
          <w:iCs/>
        </w:rPr>
        <w:t>Amino acid formula with vitamins and minerals without valine, leucine, isoleucine and supplemented with arachidonic acid and docosahexaenoic acid</w:t>
      </w:r>
    </w:p>
    <w:p w:rsidR="005F2252" w:rsidRDefault="005F2252" w:rsidP="005F2252">
      <w:pPr>
        <w:spacing w:before="240" w:after="240"/>
        <w:rPr>
          <w:szCs w:val="22"/>
        </w:rPr>
      </w:pPr>
      <w:r>
        <w:rPr>
          <w:szCs w:val="22"/>
        </w:rPr>
        <w:t>However, the existing entries in the column headed “</w:t>
      </w:r>
      <w:r w:rsidRPr="00211115">
        <w:rPr>
          <w:b/>
          <w:szCs w:val="22"/>
        </w:rPr>
        <w:t>Listed Drug</w:t>
      </w:r>
      <w:r>
        <w:rPr>
          <w:szCs w:val="22"/>
        </w:rPr>
        <w:t xml:space="preserve">” in the entry for </w:t>
      </w:r>
      <w:r w:rsidRPr="00781087">
        <w:t>Circumstances Code “C5571</w:t>
      </w:r>
      <w:r>
        <w:t xml:space="preserve">” in Part 1 of Schedule 4 </w:t>
      </w:r>
      <w:r>
        <w:rPr>
          <w:szCs w:val="22"/>
        </w:rPr>
        <w:t>are not in alphabetical order.</w:t>
      </w:r>
    </w:p>
    <w:p w:rsidR="005F2252" w:rsidRPr="002C6FE9" w:rsidRDefault="005F2252" w:rsidP="005F2252">
      <w:pPr>
        <w:spacing w:after="240" w:line="240" w:lineRule="auto"/>
      </w:pPr>
      <w:r>
        <w:lastRenderedPageBreak/>
        <w:t xml:space="preserve">This compilation was editorially changed to move the entry for </w:t>
      </w:r>
      <w:r w:rsidRPr="002C6FE9">
        <w:t xml:space="preserve">Amino acid formula without valine, leucine and isoleucine </w:t>
      </w:r>
      <w:r>
        <w:t xml:space="preserve">to </w:t>
      </w:r>
      <w:r w:rsidRPr="002C6FE9">
        <w:t xml:space="preserve">after the entry for Amino acid formula with fat, carbohydrate without valine, leucine and isoleucine and to insert </w:t>
      </w:r>
      <w:r>
        <w:t xml:space="preserve">the entry for </w:t>
      </w:r>
      <w:r w:rsidRPr="002C6FE9">
        <w:t xml:space="preserve">Amino acid formula with vitamins and minerals without valine, leucine, isoleucine and supplemented with arachidonic acid and docosahexaenoic acid after </w:t>
      </w:r>
      <w:r>
        <w:t xml:space="preserve">the entry for </w:t>
      </w:r>
      <w:r w:rsidRPr="002C6FE9">
        <w:t xml:space="preserve">Amino acid formula with vitamins and minerals without valine, leucine and isoleucine with fat, carbohydrate and trace elements and supplemented with docosahexanoic acid </w:t>
      </w:r>
      <w:r>
        <w:rPr>
          <w:szCs w:val="22"/>
        </w:rPr>
        <w:t>in the column headed “</w:t>
      </w:r>
      <w:r w:rsidRPr="00211115">
        <w:rPr>
          <w:b/>
          <w:szCs w:val="22"/>
        </w:rPr>
        <w:t>Listed Drug</w:t>
      </w:r>
      <w:r>
        <w:rPr>
          <w:szCs w:val="22"/>
        </w:rPr>
        <w:t xml:space="preserve">” in the entry for </w:t>
      </w:r>
      <w:r w:rsidRPr="00781087">
        <w:t>Circumstances Code “C5571</w:t>
      </w:r>
      <w:r>
        <w:t xml:space="preserve">” in Part 1 of Schedule 4 </w:t>
      </w:r>
      <w:r w:rsidRPr="002C6FE9">
        <w:t xml:space="preserve">to correct the alphabetical order and </w:t>
      </w:r>
      <w:r>
        <w:t xml:space="preserve">to </w:t>
      </w:r>
      <w:r w:rsidRPr="002C6FE9">
        <w:t>give effect to the misdescribed amendment as intended.</w:t>
      </w:r>
    </w:p>
    <w:p w:rsidR="005F2252" w:rsidRPr="004549F1" w:rsidRDefault="005F2252" w:rsidP="005F2252">
      <w:pPr>
        <w:spacing w:after="240"/>
        <w:rPr>
          <w:b/>
          <w:sz w:val="24"/>
          <w:szCs w:val="24"/>
        </w:rPr>
      </w:pPr>
      <w:r>
        <w:rPr>
          <w:b/>
          <w:sz w:val="24"/>
          <w:szCs w:val="24"/>
        </w:rPr>
        <w:t>Schedule 5, entries for Glucagon and Minoxidil</w:t>
      </w:r>
    </w:p>
    <w:p w:rsidR="005F2252" w:rsidRPr="004549F1" w:rsidRDefault="005F2252" w:rsidP="005F2252">
      <w:pPr>
        <w:spacing w:after="240"/>
        <w:rPr>
          <w:b/>
        </w:rPr>
      </w:pPr>
      <w:r w:rsidRPr="004549F1">
        <w:rPr>
          <w:b/>
        </w:rPr>
        <w:t>Kind of editorial change</w:t>
      </w:r>
    </w:p>
    <w:p w:rsidR="005F2252" w:rsidRPr="0018341F" w:rsidRDefault="005F2252" w:rsidP="005F2252">
      <w:pPr>
        <w:spacing w:after="240"/>
      </w:pPr>
      <w:r w:rsidRPr="00E2562F">
        <w:t>Give effect to the misdescribed amendments as intended</w:t>
      </w:r>
    </w:p>
    <w:p w:rsidR="005F2252" w:rsidRPr="004549F1" w:rsidRDefault="005F2252" w:rsidP="005F2252">
      <w:pPr>
        <w:spacing w:after="240"/>
        <w:rPr>
          <w:b/>
        </w:rPr>
      </w:pPr>
      <w:r w:rsidRPr="004549F1">
        <w:rPr>
          <w:b/>
        </w:rPr>
        <w:t>Details of editorial change</w:t>
      </w:r>
    </w:p>
    <w:p w:rsidR="005F2252" w:rsidRDefault="005F2252" w:rsidP="005F2252">
      <w:pPr>
        <w:spacing w:after="240"/>
        <w:rPr>
          <w:szCs w:val="22"/>
        </w:rPr>
      </w:pPr>
      <w:r>
        <w:t>Schedule 1 items 179 and 186 of the</w:t>
      </w:r>
      <w:r w:rsidRPr="002C6FE9">
        <w:rPr>
          <w:szCs w:val="22"/>
        </w:rPr>
        <w:t xml:space="preserve"> </w:t>
      </w:r>
      <w:r w:rsidRPr="002C6FE9">
        <w:rPr>
          <w:i/>
          <w:szCs w:val="22"/>
        </w:rPr>
        <w:t>National Health (Listing of Pharmaceutical Benefits) Amendment (May Update) Instrument 2024</w:t>
      </w:r>
      <w:r w:rsidRPr="000E1DF4">
        <w:rPr>
          <w:szCs w:val="22"/>
        </w:rPr>
        <w:t xml:space="preserve"> (PB 39 of 2024) </w:t>
      </w:r>
      <w:r>
        <w:rPr>
          <w:szCs w:val="22"/>
        </w:rPr>
        <w:t>instruct to omit the entry for Glucagon and Minoxidil respectively in Schedule 5.</w:t>
      </w:r>
    </w:p>
    <w:p w:rsidR="005F2252" w:rsidRDefault="005F2252" w:rsidP="005F2252">
      <w:pPr>
        <w:spacing w:after="240"/>
        <w:rPr>
          <w:szCs w:val="22"/>
        </w:rPr>
      </w:pPr>
      <w:r>
        <w:rPr>
          <w:szCs w:val="22"/>
        </w:rPr>
        <w:t>There are 2 entries each for Glucagon and Minoxidil in Schedule 5.</w:t>
      </w:r>
    </w:p>
    <w:p w:rsidR="005F2252" w:rsidRDefault="005F2252" w:rsidP="005F2252">
      <w:pPr>
        <w:spacing w:line="240" w:lineRule="auto"/>
        <w:rPr>
          <w:rFonts w:eastAsia="Times New Roman" w:cs="Times New Roman"/>
          <w:color w:val="000000"/>
          <w:szCs w:val="22"/>
          <w:lang w:eastAsia="en-AU"/>
        </w:rPr>
      </w:pPr>
      <w:r>
        <w:rPr>
          <w:rFonts w:eastAsia="Times New Roman" w:cs="Times New Roman"/>
          <w:color w:val="000000"/>
          <w:szCs w:val="22"/>
          <w:lang w:eastAsia="en-AU"/>
        </w:rPr>
        <w:t xml:space="preserve">This compilation was editorially changed to omit both entries for </w:t>
      </w:r>
      <w:r>
        <w:rPr>
          <w:szCs w:val="22"/>
        </w:rPr>
        <w:t>Glucagon and Minoxidil</w:t>
      </w:r>
      <w:r>
        <w:rPr>
          <w:rFonts w:eastAsia="Times New Roman" w:cs="Times New Roman"/>
          <w:color w:val="000000"/>
          <w:szCs w:val="22"/>
          <w:lang w:eastAsia="en-AU"/>
        </w:rPr>
        <w:t xml:space="preserve"> in Schedule 5 to give effect to the misdescribed amendments as intended.</w:t>
      </w:r>
    </w:p>
    <w:p w:rsidR="00B52420" w:rsidRPr="00BE5F99" w:rsidRDefault="00B52420" w:rsidP="00B52420">
      <w:pPr>
        <w:pStyle w:val="Head2"/>
        <w:keepLines/>
        <w:spacing w:after="240"/>
      </w:pPr>
      <w:r w:rsidRPr="00173C36">
        <w:t xml:space="preserve">Federal Court </w:t>
      </w:r>
      <w:r>
        <w:t>Rules 2</w:t>
      </w:r>
      <w:r w:rsidRPr="00173C36">
        <w:t>011</w:t>
      </w:r>
      <w:r>
        <w:t>, Compilation No. 9, Registration Date: 2</w:t>
      </w:r>
      <w:r w:rsidR="003E0754">
        <w:t>8</w:t>
      </w:r>
      <w:r>
        <w:t> June 202</w:t>
      </w:r>
      <w:r w:rsidRPr="00BE5F99">
        <w:t>4 [</w:t>
      </w:r>
      <w:r w:rsidR="003E0754" w:rsidRPr="003E0754">
        <w:t>F2024C00519</w:t>
      </w:r>
      <w:r w:rsidRPr="00BE5F99">
        <w:t>]</w:t>
      </w:r>
    </w:p>
    <w:p w:rsidR="003E0754" w:rsidRPr="004549F1" w:rsidRDefault="003E0754" w:rsidP="003E0754">
      <w:pPr>
        <w:spacing w:after="240"/>
        <w:rPr>
          <w:b/>
          <w:sz w:val="24"/>
          <w:szCs w:val="24"/>
        </w:rPr>
      </w:pPr>
      <w:r>
        <w:rPr>
          <w:b/>
          <w:sz w:val="24"/>
          <w:szCs w:val="24"/>
        </w:rPr>
        <w:t>Rule 43.11</w:t>
      </w:r>
    </w:p>
    <w:p w:rsidR="003E0754" w:rsidRPr="004549F1" w:rsidRDefault="003E0754" w:rsidP="003E0754">
      <w:pPr>
        <w:spacing w:after="240"/>
        <w:rPr>
          <w:b/>
        </w:rPr>
      </w:pPr>
      <w:r w:rsidRPr="004549F1">
        <w:rPr>
          <w:b/>
        </w:rPr>
        <w:t>Kind of editorial change</w:t>
      </w:r>
    </w:p>
    <w:p w:rsidR="003E0754" w:rsidRPr="0018341F" w:rsidRDefault="003E0754" w:rsidP="003E0754">
      <w:pPr>
        <w:spacing w:after="240"/>
      </w:pPr>
      <w:r>
        <w:t>Change to typeface</w:t>
      </w:r>
    </w:p>
    <w:p w:rsidR="003E0754" w:rsidRPr="004549F1" w:rsidRDefault="003E0754" w:rsidP="003E0754">
      <w:pPr>
        <w:spacing w:after="240"/>
        <w:rPr>
          <w:b/>
        </w:rPr>
      </w:pPr>
      <w:r w:rsidRPr="004549F1">
        <w:rPr>
          <w:b/>
        </w:rPr>
        <w:t>Details of editorial change</w:t>
      </w:r>
    </w:p>
    <w:p w:rsidR="003E0754" w:rsidRDefault="003E0754" w:rsidP="003E0754">
      <w:pPr>
        <w:spacing w:after="240"/>
      </w:pPr>
      <w:r>
        <w:t xml:space="preserve">Schedule 1 item 17 of the </w:t>
      </w:r>
      <w:r w:rsidRPr="00B02C3B">
        <w:rPr>
          <w:i/>
        </w:rPr>
        <w:t xml:space="preserve">Federal Court Legislation Amendment </w:t>
      </w:r>
      <w:r>
        <w:rPr>
          <w:i/>
        </w:rPr>
        <w:t>Rules 2</w:t>
      </w:r>
      <w:r w:rsidRPr="00B02C3B">
        <w:rPr>
          <w:i/>
        </w:rPr>
        <w:t>024</w:t>
      </w:r>
      <w:r>
        <w:t xml:space="preserve"> instructs to insert Division 43.2 i</w:t>
      </w:r>
      <w:r w:rsidRPr="00715210">
        <w:t>n the appropriate position in Part 43</w:t>
      </w:r>
      <w:r>
        <w:t>.</w:t>
      </w:r>
    </w:p>
    <w:p w:rsidR="003E0754" w:rsidRDefault="003E0754" w:rsidP="003E0754">
      <w:pPr>
        <w:spacing w:after="240"/>
      </w:pPr>
      <w:r>
        <w:t>Rule 43.11 of the newly inserted Division 43.2 contains the definition of “amending Rules” which is missing bold italics on the defined term.</w:t>
      </w:r>
    </w:p>
    <w:p w:rsidR="003E0754" w:rsidRPr="00173C36" w:rsidRDefault="003E0754" w:rsidP="003E0754">
      <w:r>
        <w:t>This compilation was editorially changed to insert bold italics on the words “amending Rules” in rule 43.11 to bring it into line with legislative drafting practice.</w:t>
      </w:r>
    </w:p>
    <w:p w:rsidR="00D7439F" w:rsidRPr="00BE5F99" w:rsidRDefault="00D7439F" w:rsidP="004A39CD">
      <w:pPr>
        <w:pStyle w:val="Head2"/>
        <w:keepLines/>
        <w:spacing w:after="240"/>
      </w:pPr>
      <w:r w:rsidRPr="00425E3A">
        <w:lastRenderedPageBreak/>
        <w:t>Online Safety (Basic Online Safety Expectations) Determination 2022</w:t>
      </w:r>
      <w:r>
        <w:t>, Compilation No. 1, Registration Date: 2</w:t>
      </w:r>
      <w:r w:rsidR="00777B38">
        <w:t>7</w:t>
      </w:r>
      <w:r>
        <w:t> June 202</w:t>
      </w:r>
      <w:r w:rsidRPr="00BE5F99">
        <w:t>4 [</w:t>
      </w:r>
      <w:r w:rsidR="00777B38" w:rsidRPr="00777B38">
        <w:t>F2024C00516</w:t>
      </w:r>
      <w:r w:rsidRPr="00BE5F99">
        <w:t>]</w:t>
      </w:r>
    </w:p>
    <w:p w:rsidR="001B4400" w:rsidRPr="00425E3A" w:rsidRDefault="001B4400" w:rsidP="004A39CD">
      <w:pPr>
        <w:keepNext/>
        <w:keepLines/>
        <w:spacing w:after="240"/>
        <w:rPr>
          <w:b/>
          <w:sz w:val="24"/>
          <w:szCs w:val="24"/>
        </w:rPr>
      </w:pPr>
      <w:r w:rsidRPr="00425E3A">
        <w:rPr>
          <w:b/>
          <w:sz w:val="24"/>
          <w:szCs w:val="24"/>
        </w:rPr>
        <w:t>Subsection 6(3)</w:t>
      </w:r>
    </w:p>
    <w:p w:rsidR="001B4400" w:rsidRPr="00425E3A" w:rsidRDefault="001B4400" w:rsidP="004A39CD">
      <w:pPr>
        <w:keepNext/>
        <w:keepLines/>
        <w:spacing w:after="240"/>
        <w:rPr>
          <w:b/>
        </w:rPr>
      </w:pPr>
      <w:r w:rsidRPr="00425E3A">
        <w:rPr>
          <w:b/>
        </w:rPr>
        <w:t>Kind of editorial change</w:t>
      </w:r>
    </w:p>
    <w:p w:rsidR="001B4400" w:rsidRPr="00425E3A" w:rsidRDefault="001B4400" w:rsidP="001B4400">
      <w:pPr>
        <w:spacing w:after="240"/>
      </w:pPr>
      <w:r w:rsidRPr="00425E3A">
        <w:t>Give effect to the misdescribed amendment as intended and change to capitalisation</w:t>
      </w:r>
    </w:p>
    <w:p w:rsidR="001B4400" w:rsidRPr="00425E3A" w:rsidRDefault="001B4400" w:rsidP="001B4400">
      <w:pPr>
        <w:spacing w:after="240"/>
        <w:rPr>
          <w:b/>
        </w:rPr>
      </w:pPr>
      <w:r w:rsidRPr="00425E3A">
        <w:rPr>
          <w:b/>
        </w:rPr>
        <w:t>Details of editorial change</w:t>
      </w:r>
    </w:p>
    <w:p w:rsidR="001B4400" w:rsidRPr="00425E3A" w:rsidRDefault="001B4400" w:rsidP="001B4400">
      <w:pPr>
        <w:spacing w:after="240"/>
      </w:pPr>
      <w:r w:rsidRPr="00425E3A">
        <w:t xml:space="preserve">Schedule 1 item 2 of the </w:t>
      </w:r>
      <w:bookmarkStart w:id="34" w:name="_Hlk168584563"/>
      <w:r w:rsidRPr="00425E3A">
        <w:rPr>
          <w:i/>
        </w:rPr>
        <w:t>Online Safety (Basic Online Safety Expectations) Amendment Determination 2024</w:t>
      </w:r>
      <w:bookmarkEnd w:id="34"/>
      <w:r w:rsidRPr="00425E3A">
        <w:t xml:space="preserve"> instructs to omit “without limiting subsection (1) or (2), reasonable steps for the purposes of this section” and substitute “</w:t>
      </w:r>
      <w:bookmarkStart w:id="35" w:name="_Hlk168494973"/>
      <w:r w:rsidRPr="00425E3A">
        <w:t>without limiting subsection (1), (2) or (2A), reasonable steps for the purposes of those subsections</w:t>
      </w:r>
      <w:bookmarkEnd w:id="35"/>
      <w:r w:rsidRPr="00425E3A">
        <w:t>” in subsection 6(3).</w:t>
      </w:r>
    </w:p>
    <w:p w:rsidR="001B4400" w:rsidRPr="00425E3A" w:rsidRDefault="001B4400" w:rsidP="001B4400">
      <w:pPr>
        <w:spacing w:after="240"/>
      </w:pPr>
      <w:r w:rsidRPr="00425E3A">
        <w:t>The text “without limiting subsection (1) or (2), reasonable steps for the purposes of this section” does not appear in subsection 6(3). However, the text “Without limiting subsection (1) or (2), reasonable steps for the purposes of this section” does appear.</w:t>
      </w:r>
    </w:p>
    <w:p w:rsidR="001B4400" w:rsidRPr="00425E3A" w:rsidRDefault="001B4400" w:rsidP="001B4400">
      <w:pPr>
        <w:spacing w:after="240"/>
      </w:pPr>
      <w:r w:rsidRPr="00425E3A">
        <w:t>The substituted text appears at the start of a sentence and should begin with a capital letter.</w:t>
      </w:r>
    </w:p>
    <w:p w:rsidR="001B4400" w:rsidRPr="00425E3A" w:rsidRDefault="001B4400" w:rsidP="001B4400">
      <w:pPr>
        <w:spacing w:after="240"/>
      </w:pPr>
      <w:r w:rsidRPr="00425E3A">
        <w:t>This compilation was editorially changed to omit “Without limiting subsection (1) or (2), reasonable steps for the purposes of this section” and substitute “Without limiting subsection (1), (2) or (2A), reasonable steps for the purposes of those subsections” in subsection 6(3) to give effect to the misdescribed amendment as intended and to correct the capitalisation.</w:t>
      </w:r>
    </w:p>
    <w:p w:rsidR="001B4400" w:rsidRPr="00425E3A" w:rsidRDefault="001B4400" w:rsidP="001B4400">
      <w:pPr>
        <w:spacing w:after="240"/>
        <w:rPr>
          <w:b/>
          <w:sz w:val="24"/>
          <w:szCs w:val="24"/>
        </w:rPr>
      </w:pPr>
      <w:r w:rsidRPr="00425E3A">
        <w:rPr>
          <w:b/>
          <w:sz w:val="24"/>
          <w:szCs w:val="24"/>
        </w:rPr>
        <w:t>Subsection 20(5)</w:t>
      </w:r>
    </w:p>
    <w:p w:rsidR="001B4400" w:rsidRPr="00425E3A" w:rsidRDefault="001B4400" w:rsidP="001B4400">
      <w:pPr>
        <w:spacing w:after="240"/>
        <w:rPr>
          <w:b/>
        </w:rPr>
      </w:pPr>
      <w:r w:rsidRPr="00425E3A">
        <w:rPr>
          <w:b/>
        </w:rPr>
        <w:t>Kind of editorial change</w:t>
      </w:r>
    </w:p>
    <w:p w:rsidR="001B4400" w:rsidRPr="00425E3A" w:rsidRDefault="001B4400" w:rsidP="001B4400">
      <w:pPr>
        <w:spacing w:after="240"/>
      </w:pPr>
      <w:r w:rsidRPr="00425E3A">
        <w:t>Give effect to the misdescribed amendment as intended</w:t>
      </w:r>
    </w:p>
    <w:p w:rsidR="001B4400" w:rsidRPr="00425E3A" w:rsidRDefault="001B4400" w:rsidP="001B4400">
      <w:pPr>
        <w:spacing w:after="240"/>
        <w:rPr>
          <w:b/>
        </w:rPr>
      </w:pPr>
      <w:r w:rsidRPr="00425E3A">
        <w:rPr>
          <w:b/>
        </w:rPr>
        <w:t>Details of editorial change</w:t>
      </w:r>
    </w:p>
    <w:p w:rsidR="001B4400" w:rsidRPr="00425E3A" w:rsidRDefault="001B4400" w:rsidP="001B4400">
      <w:pPr>
        <w:spacing w:after="240"/>
      </w:pPr>
      <w:r w:rsidRPr="00425E3A">
        <w:t xml:space="preserve">Schedule 1 item 17 of the </w:t>
      </w:r>
      <w:r w:rsidRPr="00425E3A">
        <w:rPr>
          <w:i/>
        </w:rPr>
        <w:t>Online Safety (Basic Online Safety Expectations) Amendment Determination 2024</w:t>
      </w:r>
      <w:r w:rsidRPr="00425E3A">
        <w:t xml:space="preserve"> provides as follows:</w:t>
      </w:r>
    </w:p>
    <w:p w:rsidR="001B4400" w:rsidRPr="00425E3A" w:rsidRDefault="001B4400" w:rsidP="001B4400">
      <w:pPr>
        <w:pStyle w:val="ItemHead"/>
      </w:pPr>
      <w:bookmarkStart w:id="36" w:name="_Hlk169858081"/>
      <w:r w:rsidRPr="00425E3A">
        <w:t>17  After subsection 20(4)</w:t>
      </w:r>
    </w:p>
    <w:p w:rsidR="001B4400" w:rsidRPr="00425E3A" w:rsidRDefault="001B4400" w:rsidP="001B4400">
      <w:pPr>
        <w:pStyle w:val="SubsectionHead"/>
      </w:pPr>
      <w:r w:rsidRPr="00425E3A">
        <w:t>Additional expectation</w:t>
      </w:r>
    </w:p>
    <w:p w:rsidR="001B4400" w:rsidRPr="00425E3A" w:rsidRDefault="001B4400" w:rsidP="001B4400">
      <w:pPr>
        <w:pStyle w:val="Item"/>
        <w:ind w:left="1069" w:hanging="360"/>
      </w:pPr>
      <w:r w:rsidRPr="00425E3A">
        <w:rPr>
          <w:szCs w:val="22"/>
        </w:rPr>
        <w:t>(5)</w:t>
      </w:r>
      <w:r w:rsidRPr="00425E3A">
        <w:rPr>
          <w:szCs w:val="22"/>
        </w:rPr>
        <w:tab/>
      </w:r>
      <w:r w:rsidRPr="00425E3A">
        <w:t>If the Commissioner, by written notice given to a provider of the service, requests the provider to give the Commissioner a report on the number of active end</w:t>
      </w:r>
      <w:r>
        <w:noBreakHyphen/>
      </w:r>
      <w:r w:rsidRPr="00425E3A">
        <w:t>users of the service in Australia (disaggregated into active end</w:t>
      </w:r>
      <w:r>
        <w:noBreakHyphen/>
      </w:r>
      <w:r w:rsidRPr="00425E3A">
        <w:t>users who are children and those who are adult end</w:t>
      </w:r>
      <w:r>
        <w:noBreakHyphen/>
      </w:r>
      <w:r w:rsidRPr="00425E3A">
        <w:t>users) during a specified period, the provider will comply with the request within 30 days after the notice of request is given.</w:t>
      </w:r>
    </w:p>
    <w:bookmarkEnd w:id="36"/>
    <w:p w:rsidR="001B4400" w:rsidRPr="00425E3A" w:rsidRDefault="001B4400" w:rsidP="001B4400">
      <w:pPr>
        <w:spacing w:before="240" w:after="240"/>
      </w:pPr>
      <w:r w:rsidRPr="00425E3A">
        <w:t>The instruction to insert the subsection is missing.</w:t>
      </w:r>
    </w:p>
    <w:p w:rsidR="001B4400" w:rsidRDefault="001B4400" w:rsidP="001B4400">
      <w:r w:rsidRPr="00425E3A">
        <w:t>This compilation was editorially changed to insert subsection 20(5) after subsection 20(4) to give effect to the misdescribed amendment as intended.</w:t>
      </w:r>
    </w:p>
    <w:p w:rsidR="003758C7" w:rsidRPr="00BE5F99" w:rsidRDefault="005F5466" w:rsidP="003758C7">
      <w:pPr>
        <w:pStyle w:val="Head2"/>
        <w:keepLines/>
        <w:spacing w:after="240"/>
      </w:pPr>
      <w:r w:rsidRPr="00063C4F">
        <w:lastRenderedPageBreak/>
        <w:t>List of Exempt Native Specimens Instrument 2001</w:t>
      </w:r>
      <w:r w:rsidR="003758C7">
        <w:t>, Compilation No. </w:t>
      </w:r>
      <w:r>
        <w:t>420</w:t>
      </w:r>
      <w:r w:rsidR="003758C7">
        <w:t>, Registration Date: 2</w:t>
      </w:r>
      <w:r w:rsidR="004841CF">
        <w:t>6</w:t>
      </w:r>
      <w:r w:rsidR="003758C7">
        <w:t> June 202</w:t>
      </w:r>
      <w:r w:rsidR="003758C7" w:rsidRPr="00BE5F99">
        <w:t>4 [</w:t>
      </w:r>
      <w:r w:rsidR="004841CF" w:rsidRPr="004841CF">
        <w:t>F2024C00511</w:t>
      </w:r>
      <w:r w:rsidR="003758C7" w:rsidRPr="00BE5F99">
        <w:t>]</w:t>
      </w:r>
    </w:p>
    <w:p w:rsidR="004841CF" w:rsidRPr="00063C4F" w:rsidRDefault="004841CF" w:rsidP="004841CF">
      <w:pPr>
        <w:spacing w:after="240"/>
        <w:rPr>
          <w:b/>
          <w:sz w:val="24"/>
          <w:szCs w:val="24"/>
        </w:rPr>
      </w:pPr>
      <w:r w:rsidRPr="00063C4F">
        <w:rPr>
          <w:b/>
          <w:sz w:val="24"/>
          <w:szCs w:val="24"/>
        </w:rPr>
        <w:t>Schedule 1, entry for Western Australian Octopus Fisheries</w:t>
      </w:r>
    </w:p>
    <w:p w:rsidR="004841CF" w:rsidRPr="00063C4F" w:rsidRDefault="004841CF" w:rsidP="004841CF">
      <w:pPr>
        <w:spacing w:after="240"/>
        <w:rPr>
          <w:b/>
        </w:rPr>
      </w:pPr>
      <w:r w:rsidRPr="00063C4F">
        <w:rPr>
          <w:b/>
        </w:rPr>
        <w:t>Kind of editorial change</w:t>
      </w:r>
    </w:p>
    <w:p w:rsidR="004841CF" w:rsidRPr="00063C4F" w:rsidRDefault="004841CF" w:rsidP="004841CF">
      <w:pPr>
        <w:spacing w:after="240"/>
      </w:pPr>
      <w:r w:rsidRPr="00063C4F">
        <w:t>Give effect to the misdescribed amendment as intended</w:t>
      </w:r>
    </w:p>
    <w:p w:rsidR="004841CF" w:rsidRPr="00063C4F" w:rsidRDefault="004841CF" w:rsidP="004841CF">
      <w:pPr>
        <w:spacing w:after="240"/>
        <w:rPr>
          <w:b/>
        </w:rPr>
      </w:pPr>
      <w:r w:rsidRPr="00063C4F">
        <w:rPr>
          <w:b/>
        </w:rPr>
        <w:t>Details of editorial change</w:t>
      </w:r>
    </w:p>
    <w:p w:rsidR="004841CF" w:rsidRPr="00063C4F" w:rsidRDefault="004841CF" w:rsidP="004841CF">
      <w:pPr>
        <w:spacing w:after="240"/>
      </w:pPr>
      <w:r w:rsidRPr="00063C4F">
        <w:t xml:space="preserve">Schedule 1 of the </w:t>
      </w:r>
      <w:r w:rsidRPr="00063C4F">
        <w:rPr>
          <w:i/>
        </w:rPr>
        <w:t>Amendment of List of Exempt Native Specimens – Western Australian Octopus Fisheries, May 2024</w:t>
      </w:r>
      <w:r w:rsidRPr="00063C4F">
        <w:t xml:space="preserve"> provides as follows:</w:t>
      </w:r>
    </w:p>
    <w:p w:rsidR="004841CF" w:rsidRPr="00063C4F" w:rsidRDefault="004841CF" w:rsidP="004841CF">
      <w:pPr>
        <w:rPr>
          <w:szCs w:val="22"/>
        </w:rPr>
      </w:pPr>
      <w:r w:rsidRPr="00063C4F">
        <w:rPr>
          <w:szCs w:val="22"/>
        </w:rPr>
        <w:t>Under the heading Fisheries include in the list the following items and associated notations:</w:t>
      </w:r>
    </w:p>
    <w:tbl>
      <w:tblPr>
        <w:tblStyle w:val="TableGrid"/>
        <w:tblW w:w="0" w:type="auto"/>
        <w:tblLook w:val="04A0" w:firstRow="1" w:lastRow="0" w:firstColumn="1" w:lastColumn="0" w:noHBand="0" w:noVBand="1"/>
      </w:tblPr>
      <w:tblGrid>
        <w:gridCol w:w="3014"/>
        <w:gridCol w:w="7"/>
        <w:gridCol w:w="2993"/>
        <w:gridCol w:w="3002"/>
      </w:tblGrid>
      <w:tr w:rsidR="004841CF" w:rsidRPr="00063C4F" w:rsidTr="000D7E3B">
        <w:trPr>
          <w:cantSplit/>
          <w:tblHeader/>
        </w:trPr>
        <w:tc>
          <w:tcPr>
            <w:tcW w:w="3021" w:type="dxa"/>
            <w:gridSpan w:val="2"/>
          </w:tcPr>
          <w:p w:rsidR="004841CF" w:rsidRPr="00063C4F" w:rsidRDefault="004841CF" w:rsidP="000D7E3B">
            <w:pPr>
              <w:keepNext/>
              <w:rPr>
                <w:b/>
                <w:szCs w:val="22"/>
              </w:rPr>
            </w:pPr>
            <w:r w:rsidRPr="00063C4F">
              <w:rPr>
                <w:b/>
                <w:szCs w:val="22"/>
              </w:rPr>
              <w:t>Taxon/Item</w:t>
            </w:r>
          </w:p>
        </w:tc>
        <w:tc>
          <w:tcPr>
            <w:tcW w:w="2993" w:type="dxa"/>
          </w:tcPr>
          <w:p w:rsidR="004841CF" w:rsidRPr="00063C4F" w:rsidRDefault="004841CF" w:rsidP="000D7E3B">
            <w:pPr>
              <w:rPr>
                <w:b/>
                <w:szCs w:val="22"/>
              </w:rPr>
            </w:pPr>
            <w:r w:rsidRPr="00063C4F">
              <w:rPr>
                <w:b/>
                <w:szCs w:val="22"/>
              </w:rPr>
              <w:t>Common Name</w:t>
            </w:r>
          </w:p>
        </w:tc>
        <w:tc>
          <w:tcPr>
            <w:tcW w:w="3002" w:type="dxa"/>
          </w:tcPr>
          <w:p w:rsidR="004841CF" w:rsidRPr="00063C4F" w:rsidRDefault="004841CF" w:rsidP="000D7E3B">
            <w:pPr>
              <w:rPr>
                <w:b/>
                <w:szCs w:val="22"/>
              </w:rPr>
            </w:pPr>
            <w:r w:rsidRPr="00063C4F">
              <w:rPr>
                <w:b/>
                <w:szCs w:val="22"/>
              </w:rPr>
              <w:t>Notation</w:t>
            </w:r>
          </w:p>
        </w:tc>
      </w:tr>
      <w:tr w:rsidR="004841CF" w:rsidRPr="00063C4F" w:rsidTr="000D7E3B">
        <w:trPr>
          <w:cantSplit/>
        </w:trPr>
        <w:tc>
          <w:tcPr>
            <w:tcW w:w="3014" w:type="dxa"/>
          </w:tcPr>
          <w:p w:rsidR="004841CF" w:rsidRPr="00063C4F" w:rsidRDefault="004841CF" w:rsidP="000D7E3B">
            <w:pPr>
              <w:rPr>
                <w:rFonts w:asciiTheme="majorBidi" w:hAnsiTheme="majorBidi" w:cstheme="majorBidi"/>
                <w:szCs w:val="22"/>
              </w:rPr>
            </w:pPr>
            <w:r w:rsidRPr="00063C4F">
              <w:rPr>
                <w:rFonts w:asciiTheme="majorBidi" w:hAnsiTheme="majorBidi" w:cstheme="majorBidi"/>
                <w:szCs w:val="22"/>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Western Australian Octopus Fisheries,</w:t>
            </w:r>
          </w:p>
        </w:tc>
        <w:tc>
          <w:tcPr>
            <w:tcW w:w="3000" w:type="dxa"/>
            <w:gridSpan w:val="2"/>
          </w:tcPr>
          <w:p w:rsidR="004841CF" w:rsidRPr="00063C4F" w:rsidRDefault="004841CF" w:rsidP="000D7E3B">
            <w:pPr>
              <w:rPr>
                <w:rFonts w:asciiTheme="majorBidi" w:hAnsiTheme="majorBidi" w:cstheme="majorBidi"/>
                <w:szCs w:val="22"/>
              </w:rPr>
            </w:pPr>
            <w:r w:rsidRPr="00063C4F">
              <w:rPr>
                <w:rFonts w:asciiTheme="majorBidi" w:hAnsiTheme="majorBidi" w:cstheme="majorBidi"/>
                <w:szCs w:val="22"/>
              </w:rPr>
              <w:t>Western Australian Octopus Fisheries</w:t>
            </w:r>
          </w:p>
        </w:tc>
        <w:tc>
          <w:tcPr>
            <w:tcW w:w="3002" w:type="dxa"/>
          </w:tcPr>
          <w:p w:rsidR="004841CF" w:rsidRPr="00063C4F" w:rsidRDefault="004841CF" w:rsidP="004841CF">
            <w:pPr>
              <w:pStyle w:val="ListParagraph"/>
              <w:numPr>
                <w:ilvl w:val="0"/>
                <w:numId w:val="49"/>
              </w:numPr>
              <w:tabs>
                <w:tab w:val="left" w:pos="1096"/>
              </w:tabs>
              <w:spacing w:line="240" w:lineRule="auto"/>
              <w:contextualSpacing w:val="0"/>
              <w:rPr>
                <w:rFonts w:asciiTheme="majorBidi" w:hAnsiTheme="majorBidi" w:cstheme="majorBidi"/>
                <w:szCs w:val="22"/>
              </w:rPr>
            </w:pPr>
            <w:r w:rsidRPr="00063C4F">
              <w:rPr>
                <w:rFonts w:asciiTheme="majorBidi" w:hAnsiTheme="majorBidi" w:cstheme="majorBidi"/>
                <w:szCs w:val="22"/>
              </w:rPr>
              <w:t>The specimen, or the fish or invertebrate from which it is derived, was taken lawfully; and,</w:t>
            </w:r>
          </w:p>
          <w:p w:rsidR="004841CF" w:rsidRPr="00063C4F" w:rsidRDefault="004841CF" w:rsidP="004841CF">
            <w:pPr>
              <w:pStyle w:val="ListParagraph"/>
              <w:numPr>
                <w:ilvl w:val="0"/>
                <w:numId w:val="49"/>
              </w:numPr>
              <w:tabs>
                <w:tab w:val="left" w:pos="1096"/>
              </w:tabs>
              <w:spacing w:line="240" w:lineRule="auto"/>
              <w:contextualSpacing w:val="0"/>
              <w:rPr>
                <w:rFonts w:asciiTheme="majorBidi" w:hAnsiTheme="majorBidi" w:cstheme="majorBidi"/>
                <w:szCs w:val="22"/>
              </w:rPr>
            </w:pPr>
            <w:r w:rsidRPr="00063C4F">
              <w:rPr>
                <w:rFonts w:asciiTheme="majorBidi" w:hAnsiTheme="majorBidi" w:cstheme="majorBidi"/>
                <w:szCs w:val="22"/>
              </w:rPr>
              <w:t>The specimens are included in the list until 30 May 2025.</w:t>
            </w:r>
          </w:p>
        </w:tc>
      </w:tr>
    </w:tbl>
    <w:p w:rsidR="004841CF" w:rsidRPr="00063C4F" w:rsidRDefault="004841CF" w:rsidP="004841CF">
      <w:pPr>
        <w:spacing w:before="240" w:after="240"/>
      </w:pPr>
      <w:r w:rsidRPr="00063C4F">
        <w:t xml:space="preserve">The introductory text of the </w:t>
      </w:r>
      <w:r w:rsidRPr="00063C4F">
        <w:rPr>
          <w:i/>
        </w:rPr>
        <w:t>Amendment of List of Exempt Native Specimens – Western Australian Octopus Fisheries, May 2024</w:t>
      </w:r>
      <w:r w:rsidRPr="00063C4F">
        <w:t xml:space="preserve"> and the explanatory statement make it clear that the amendment is intended to delete the Schedule 1 entry for the Western Australian Octopus Fisheries.</w:t>
      </w:r>
    </w:p>
    <w:p w:rsidR="004841CF" w:rsidRPr="00063C4F" w:rsidRDefault="004841CF" w:rsidP="004841CF">
      <w:pPr>
        <w:spacing w:after="240"/>
        <w:rPr>
          <w:rFonts w:cs="Times New Roman"/>
        </w:rPr>
      </w:pPr>
      <w:r w:rsidRPr="00063C4F">
        <w:rPr>
          <w:rFonts w:cs="Times New Roman"/>
        </w:rPr>
        <w:t xml:space="preserve">The text contained in the Notation column of the Schedule 1 entry for the Western Australian Octopus Fisheries does not exactly match the text to be omitted as outlined in Schedule 1 of the </w:t>
      </w:r>
      <w:r w:rsidRPr="00063C4F">
        <w:rPr>
          <w:rFonts w:cs="Times New Roman"/>
          <w:i/>
        </w:rPr>
        <w:t>Amendment of List of Exempt Native Specimens – Western Australian Octopus Fisheries, May 2024</w:t>
      </w:r>
      <w:r w:rsidRPr="00063C4F">
        <w:rPr>
          <w:rFonts w:cs="Times New Roman"/>
        </w:rPr>
        <w:t>.</w:t>
      </w:r>
    </w:p>
    <w:p w:rsidR="004841CF" w:rsidRPr="00063C4F" w:rsidRDefault="004841CF" w:rsidP="004841CF">
      <w:pPr>
        <w:spacing w:after="240"/>
        <w:rPr>
          <w:rFonts w:cs="Times New Roman"/>
        </w:rPr>
      </w:pPr>
      <w:r w:rsidRPr="00063C4F">
        <w:rPr>
          <w:rFonts w:cs="Times New Roman"/>
        </w:rPr>
        <w:t>This compilation was editorially changed to omit the Schedule 1 entry for the Western Australian Octopus Fisheries and give effect to the misdescribed amendment as intended.</w:t>
      </w:r>
    </w:p>
    <w:p w:rsidR="004841CF" w:rsidRPr="00063C4F" w:rsidRDefault="004841CF" w:rsidP="004841CF">
      <w:pPr>
        <w:keepNext/>
        <w:spacing w:after="240"/>
        <w:rPr>
          <w:b/>
          <w:sz w:val="24"/>
          <w:szCs w:val="24"/>
        </w:rPr>
      </w:pPr>
      <w:r w:rsidRPr="00063C4F">
        <w:rPr>
          <w:b/>
          <w:sz w:val="24"/>
          <w:szCs w:val="24"/>
        </w:rPr>
        <w:t>Schedule 1, entry for Western Australian West Coast Rock Lobster Managed Fishery</w:t>
      </w:r>
    </w:p>
    <w:p w:rsidR="004841CF" w:rsidRPr="00063C4F" w:rsidRDefault="004841CF" w:rsidP="004841CF">
      <w:pPr>
        <w:spacing w:after="240"/>
        <w:rPr>
          <w:b/>
        </w:rPr>
      </w:pPr>
      <w:r w:rsidRPr="00063C4F">
        <w:rPr>
          <w:b/>
        </w:rPr>
        <w:t>Kind of editorial change</w:t>
      </w:r>
    </w:p>
    <w:p w:rsidR="004841CF" w:rsidRPr="00063C4F" w:rsidRDefault="004841CF" w:rsidP="004841CF">
      <w:pPr>
        <w:spacing w:after="240"/>
      </w:pPr>
      <w:r w:rsidRPr="00063C4F">
        <w:t>Give effect to the misdescribed amendment as intended</w:t>
      </w:r>
    </w:p>
    <w:p w:rsidR="004841CF" w:rsidRPr="00063C4F" w:rsidRDefault="004841CF" w:rsidP="004841CF">
      <w:pPr>
        <w:spacing w:after="240"/>
        <w:rPr>
          <w:b/>
        </w:rPr>
      </w:pPr>
      <w:r w:rsidRPr="00063C4F">
        <w:rPr>
          <w:b/>
        </w:rPr>
        <w:t>Details of editorial change</w:t>
      </w:r>
    </w:p>
    <w:p w:rsidR="004841CF" w:rsidRPr="00063C4F" w:rsidRDefault="004841CF" w:rsidP="004841CF">
      <w:pPr>
        <w:spacing w:after="240"/>
      </w:pPr>
      <w:r w:rsidRPr="00063C4F">
        <w:t xml:space="preserve">Schedule 1 of the </w:t>
      </w:r>
      <w:r w:rsidRPr="00063C4F">
        <w:rPr>
          <w:i/>
        </w:rPr>
        <w:t>Amendment of List of Exempt Native Specimens – Western Australian West Coast Rock Lobster Managed Fishery, May 2024</w:t>
      </w:r>
      <w:r w:rsidRPr="00063C4F">
        <w:t xml:space="preserve"> provides as follows:</w:t>
      </w:r>
    </w:p>
    <w:p w:rsidR="004841CF" w:rsidRPr="00063C4F" w:rsidRDefault="004841CF" w:rsidP="004841CF">
      <w:pPr>
        <w:rPr>
          <w:szCs w:val="22"/>
        </w:rPr>
      </w:pPr>
      <w:r w:rsidRPr="00063C4F">
        <w:rPr>
          <w:szCs w:val="22"/>
        </w:rPr>
        <w:t>Under the heading Fisheries include in the list the following items and associated notations:</w:t>
      </w:r>
    </w:p>
    <w:tbl>
      <w:tblPr>
        <w:tblStyle w:val="TableGrid"/>
        <w:tblW w:w="0" w:type="auto"/>
        <w:tblLook w:val="04A0" w:firstRow="1" w:lastRow="0" w:firstColumn="1" w:lastColumn="0" w:noHBand="0" w:noVBand="1"/>
      </w:tblPr>
      <w:tblGrid>
        <w:gridCol w:w="3014"/>
        <w:gridCol w:w="7"/>
        <w:gridCol w:w="2993"/>
        <w:gridCol w:w="3002"/>
      </w:tblGrid>
      <w:tr w:rsidR="004841CF" w:rsidRPr="00063C4F" w:rsidTr="000D7E3B">
        <w:trPr>
          <w:tblHeader/>
        </w:trPr>
        <w:tc>
          <w:tcPr>
            <w:tcW w:w="3021" w:type="dxa"/>
            <w:gridSpan w:val="2"/>
          </w:tcPr>
          <w:p w:rsidR="004841CF" w:rsidRPr="00063C4F" w:rsidRDefault="004841CF" w:rsidP="000D7E3B">
            <w:pPr>
              <w:keepNext/>
              <w:rPr>
                <w:b/>
                <w:szCs w:val="22"/>
              </w:rPr>
            </w:pPr>
            <w:r w:rsidRPr="00063C4F">
              <w:rPr>
                <w:b/>
                <w:szCs w:val="22"/>
              </w:rPr>
              <w:lastRenderedPageBreak/>
              <w:t>Taxon/Item</w:t>
            </w:r>
          </w:p>
        </w:tc>
        <w:tc>
          <w:tcPr>
            <w:tcW w:w="2993" w:type="dxa"/>
          </w:tcPr>
          <w:p w:rsidR="004841CF" w:rsidRPr="00063C4F" w:rsidRDefault="004841CF" w:rsidP="000D7E3B">
            <w:pPr>
              <w:rPr>
                <w:b/>
                <w:szCs w:val="22"/>
              </w:rPr>
            </w:pPr>
            <w:r w:rsidRPr="00063C4F">
              <w:rPr>
                <w:b/>
                <w:szCs w:val="22"/>
              </w:rPr>
              <w:t>Common Name</w:t>
            </w:r>
          </w:p>
        </w:tc>
        <w:tc>
          <w:tcPr>
            <w:tcW w:w="3002" w:type="dxa"/>
          </w:tcPr>
          <w:p w:rsidR="004841CF" w:rsidRPr="00063C4F" w:rsidRDefault="004841CF" w:rsidP="000D7E3B">
            <w:pPr>
              <w:rPr>
                <w:b/>
                <w:szCs w:val="22"/>
              </w:rPr>
            </w:pPr>
            <w:r w:rsidRPr="00063C4F">
              <w:rPr>
                <w:b/>
                <w:szCs w:val="22"/>
              </w:rPr>
              <w:t>Notation</w:t>
            </w:r>
          </w:p>
        </w:tc>
      </w:tr>
      <w:tr w:rsidR="004841CF" w:rsidRPr="00063C4F" w:rsidTr="000D7E3B">
        <w:tc>
          <w:tcPr>
            <w:tcW w:w="3014" w:type="dxa"/>
          </w:tcPr>
          <w:p w:rsidR="004841CF" w:rsidRPr="00063C4F" w:rsidRDefault="004841CF" w:rsidP="000D7E3B">
            <w:pPr>
              <w:rPr>
                <w:rFonts w:asciiTheme="majorBidi" w:hAnsiTheme="majorBidi" w:cstheme="majorBidi"/>
                <w:szCs w:val="22"/>
              </w:rPr>
            </w:pPr>
            <w:r w:rsidRPr="00063C4F">
              <w:rPr>
                <w:rFonts w:asciiTheme="majorBidi" w:hAnsiTheme="majorBidi" w:cstheme="majorBidi"/>
                <w:szCs w:val="22"/>
              </w:rPr>
              <w:t>Specimens that are or are derived from fish or invertebrates taken in the Western Australian West Coast Rock Lobster Managed Fishery as defined in the management regime in force under the Fish Resources Management Act 1994 (WA) and Fish Resources Management Regulations 1995 (WA), but not including:</w:t>
            </w:r>
          </w:p>
          <w:p w:rsidR="004841CF" w:rsidRPr="00063C4F" w:rsidRDefault="004841CF" w:rsidP="004841CF">
            <w:pPr>
              <w:numPr>
                <w:ilvl w:val="0"/>
                <w:numId w:val="50"/>
              </w:numPr>
              <w:tabs>
                <w:tab w:val="left" w:pos="1096"/>
              </w:tabs>
              <w:spacing w:line="240" w:lineRule="auto"/>
              <w:rPr>
                <w:rFonts w:asciiTheme="majorBidi" w:hAnsiTheme="majorBidi" w:cstheme="majorBidi"/>
                <w:szCs w:val="22"/>
              </w:rPr>
            </w:pPr>
            <w:r w:rsidRPr="00063C4F">
              <w:rPr>
                <w:rFonts w:asciiTheme="majorBidi" w:hAnsiTheme="majorBidi" w:cstheme="majorBidi"/>
                <w:szCs w:val="22"/>
              </w:rPr>
              <w:t>specimens that belong to eligible listed threatened species, as defined under section 303BC of the EPBC Act, or</w:t>
            </w:r>
          </w:p>
          <w:p w:rsidR="004841CF" w:rsidRPr="00063C4F" w:rsidRDefault="004841CF" w:rsidP="004841CF">
            <w:pPr>
              <w:pStyle w:val="ListParagraph"/>
              <w:numPr>
                <w:ilvl w:val="0"/>
                <w:numId w:val="50"/>
              </w:numPr>
              <w:tabs>
                <w:tab w:val="left" w:pos="1096"/>
              </w:tabs>
              <w:spacing w:line="240" w:lineRule="auto"/>
              <w:contextualSpacing w:val="0"/>
              <w:rPr>
                <w:rFonts w:asciiTheme="majorBidi" w:hAnsiTheme="majorBidi" w:cstheme="majorBidi"/>
                <w:szCs w:val="22"/>
              </w:rPr>
            </w:pPr>
            <w:r w:rsidRPr="00063C4F">
              <w:rPr>
                <w:rFonts w:asciiTheme="majorBidi" w:hAnsiTheme="majorBidi" w:cstheme="majorBidi"/>
                <w:szCs w:val="22"/>
              </w:rPr>
              <w:t>specimens that belong to taxa listed under section 303CA of the EPBC Act (Australia’s CITES List).</w:t>
            </w:r>
          </w:p>
        </w:tc>
        <w:tc>
          <w:tcPr>
            <w:tcW w:w="3000" w:type="dxa"/>
            <w:gridSpan w:val="2"/>
          </w:tcPr>
          <w:p w:rsidR="004841CF" w:rsidRPr="00063C4F" w:rsidRDefault="004841CF" w:rsidP="000D7E3B">
            <w:pPr>
              <w:rPr>
                <w:rFonts w:asciiTheme="majorBidi" w:hAnsiTheme="majorBidi" w:cstheme="majorBidi"/>
                <w:szCs w:val="22"/>
              </w:rPr>
            </w:pPr>
            <w:r w:rsidRPr="00063C4F">
              <w:rPr>
                <w:rFonts w:asciiTheme="majorBidi" w:hAnsiTheme="majorBidi" w:cstheme="majorBidi"/>
                <w:szCs w:val="22"/>
              </w:rPr>
              <w:t>Western Australian West Coast Rock Lobster Managed Fishery</w:t>
            </w:r>
          </w:p>
        </w:tc>
        <w:tc>
          <w:tcPr>
            <w:tcW w:w="3002" w:type="dxa"/>
          </w:tcPr>
          <w:p w:rsidR="004841CF" w:rsidRPr="00063C4F" w:rsidRDefault="004841CF" w:rsidP="004841CF">
            <w:pPr>
              <w:pStyle w:val="ListParagraph"/>
              <w:numPr>
                <w:ilvl w:val="0"/>
                <w:numId w:val="50"/>
              </w:numPr>
              <w:tabs>
                <w:tab w:val="left" w:pos="1096"/>
              </w:tabs>
              <w:spacing w:line="240" w:lineRule="auto"/>
              <w:contextualSpacing w:val="0"/>
              <w:rPr>
                <w:rFonts w:asciiTheme="majorBidi" w:hAnsiTheme="majorBidi" w:cstheme="majorBidi"/>
                <w:szCs w:val="22"/>
              </w:rPr>
            </w:pPr>
            <w:r w:rsidRPr="00063C4F">
              <w:rPr>
                <w:rFonts w:asciiTheme="majorBidi" w:hAnsiTheme="majorBidi" w:cstheme="majorBidi"/>
                <w:szCs w:val="22"/>
              </w:rPr>
              <w:t>The specimen, or the fish or invertebrate from which it is derived, was taken lawfully; and</w:t>
            </w:r>
          </w:p>
          <w:p w:rsidR="004841CF" w:rsidRPr="00063C4F" w:rsidRDefault="004841CF" w:rsidP="004841CF">
            <w:pPr>
              <w:pStyle w:val="ListParagraph"/>
              <w:numPr>
                <w:ilvl w:val="0"/>
                <w:numId w:val="50"/>
              </w:numPr>
              <w:tabs>
                <w:tab w:val="left" w:pos="1096"/>
              </w:tabs>
              <w:spacing w:line="240" w:lineRule="auto"/>
              <w:contextualSpacing w:val="0"/>
              <w:rPr>
                <w:rFonts w:asciiTheme="majorBidi" w:hAnsiTheme="majorBidi" w:cstheme="majorBidi"/>
                <w:szCs w:val="22"/>
              </w:rPr>
            </w:pPr>
            <w:r w:rsidRPr="00063C4F">
              <w:rPr>
                <w:rFonts w:asciiTheme="majorBidi" w:hAnsiTheme="majorBidi" w:cstheme="majorBidi"/>
                <w:szCs w:val="22"/>
              </w:rPr>
              <w:t>The specimens are included in the list until 30 May 2025.</w:t>
            </w:r>
          </w:p>
        </w:tc>
      </w:tr>
    </w:tbl>
    <w:p w:rsidR="004841CF" w:rsidRPr="00063C4F" w:rsidRDefault="004841CF" w:rsidP="004841CF">
      <w:pPr>
        <w:spacing w:before="240" w:after="240"/>
      </w:pPr>
      <w:r w:rsidRPr="00063C4F">
        <w:t xml:space="preserve">The introductory text of the </w:t>
      </w:r>
      <w:r w:rsidRPr="00063C4F">
        <w:rPr>
          <w:i/>
        </w:rPr>
        <w:t>Amendment of List of Exempt Native Specimens – Western Australian West Coast Rock Lobster Managed Fishery, May 2024</w:t>
      </w:r>
      <w:r w:rsidRPr="00063C4F">
        <w:t xml:space="preserve"> and the explanatory statement make it clear that the amendment is intended to delete the Schedule 1 entry for the Western Australian West Coast Rock Lobster Managed Fishery.</w:t>
      </w:r>
    </w:p>
    <w:p w:rsidR="004841CF" w:rsidRPr="00063C4F" w:rsidRDefault="004841CF" w:rsidP="004841CF">
      <w:pPr>
        <w:spacing w:after="240"/>
        <w:rPr>
          <w:rFonts w:cs="Times New Roman"/>
        </w:rPr>
      </w:pPr>
      <w:r w:rsidRPr="00063C4F">
        <w:rPr>
          <w:rFonts w:cs="Times New Roman"/>
        </w:rPr>
        <w:t xml:space="preserve">The text contained in the Notation column of the Schedule 1 entry for the Western Australian West Coast Rock Lobster Managed Fishery does not exactly match the text to be omitted as outlined in Schedule 1 of the </w:t>
      </w:r>
      <w:r w:rsidRPr="00063C4F">
        <w:rPr>
          <w:rFonts w:cs="Times New Roman"/>
          <w:i/>
        </w:rPr>
        <w:t>Amendment of List of Exempt Native Specimens – Western Australian West Coast Rock Lobster Managed Fishery, May 2024</w:t>
      </w:r>
      <w:r w:rsidRPr="00063C4F">
        <w:rPr>
          <w:rFonts w:cs="Times New Roman"/>
        </w:rPr>
        <w:t>.</w:t>
      </w:r>
    </w:p>
    <w:p w:rsidR="004841CF" w:rsidRPr="00063C4F" w:rsidRDefault="004841CF" w:rsidP="004841CF">
      <w:r w:rsidRPr="00063C4F">
        <w:rPr>
          <w:rFonts w:cs="Times New Roman"/>
        </w:rPr>
        <w:t>This compilation was editorially changed to omit the Schedule 1 entry for the Western Australian West Coast Rock Lobster Managed Fishery and give effect to the misdescribed amendment as intended.</w:t>
      </w:r>
    </w:p>
    <w:p w:rsidR="00DE3832" w:rsidRPr="00BE5F99" w:rsidRDefault="00DE3832" w:rsidP="00DE3832">
      <w:pPr>
        <w:pStyle w:val="Head2"/>
        <w:keepLines/>
        <w:spacing w:after="240"/>
      </w:pPr>
      <w:r w:rsidRPr="007A4E51">
        <w:t>Federal Court of Australia Act 1976</w:t>
      </w:r>
      <w:r>
        <w:t>, Compilation No. 57, Registration Date: 2</w:t>
      </w:r>
      <w:r w:rsidR="00593AD7">
        <w:t>5</w:t>
      </w:r>
      <w:r>
        <w:t> June 202</w:t>
      </w:r>
      <w:r w:rsidRPr="00BE5F99">
        <w:t>4 [</w:t>
      </w:r>
      <w:r w:rsidR="00593AD7" w:rsidRPr="00593AD7">
        <w:t>C2024C00234</w:t>
      </w:r>
      <w:r w:rsidRPr="00BE5F99">
        <w:t>]</w:t>
      </w:r>
    </w:p>
    <w:p w:rsidR="00593AD7" w:rsidRPr="004549F1" w:rsidRDefault="00593AD7" w:rsidP="00593AD7">
      <w:pPr>
        <w:spacing w:after="240"/>
        <w:rPr>
          <w:b/>
          <w:sz w:val="24"/>
          <w:szCs w:val="24"/>
        </w:rPr>
      </w:pPr>
      <w:r>
        <w:rPr>
          <w:b/>
          <w:sz w:val="24"/>
          <w:szCs w:val="24"/>
        </w:rPr>
        <w:t>Subparagraph 58AA(1)(a)(i)</w:t>
      </w:r>
    </w:p>
    <w:p w:rsidR="00593AD7" w:rsidRPr="004549F1" w:rsidRDefault="00593AD7" w:rsidP="00593AD7">
      <w:pPr>
        <w:spacing w:after="240"/>
        <w:rPr>
          <w:b/>
        </w:rPr>
      </w:pPr>
      <w:r w:rsidRPr="004549F1">
        <w:rPr>
          <w:b/>
        </w:rPr>
        <w:t>Kind of editorial change</w:t>
      </w:r>
    </w:p>
    <w:p w:rsidR="00593AD7" w:rsidRDefault="00593AD7" w:rsidP="00593AD7">
      <w:pPr>
        <w:spacing w:after="240"/>
        <w:rPr>
          <w:szCs w:val="22"/>
        </w:rPr>
      </w:pPr>
      <w:r>
        <w:rPr>
          <w:szCs w:val="22"/>
        </w:rPr>
        <w:t>Change to punctuation</w:t>
      </w:r>
    </w:p>
    <w:p w:rsidR="00593AD7" w:rsidRPr="004549F1" w:rsidRDefault="00593AD7" w:rsidP="00593AD7">
      <w:pPr>
        <w:spacing w:after="240"/>
        <w:rPr>
          <w:b/>
        </w:rPr>
      </w:pPr>
      <w:r w:rsidRPr="004549F1">
        <w:rPr>
          <w:b/>
        </w:rPr>
        <w:t>Details of editorial change</w:t>
      </w:r>
    </w:p>
    <w:p w:rsidR="00593AD7" w:rsidRDefault="00593AD7" w:rsidP="00593AD7">
      <w:pPr>
        <w:spacing w:after="240"/>
      </w:pPr>
      <w:r>
        <w:t xml:space="preserve">Schedule 2 item 20 of the </w:t>
      </w:r>
      <w:r w:rsidRPr="00CD00CA">
        <w:rPr>
          <w:i/>
        </w:rPr>
        <w:t>Attorney</w:t>
      </w:r>
      <w:r>
        <w:rPr>
          <w:i/>
        </w:rPr>
        <w:noBreakHyphen/>
      </w:r>
      <w:r w:rsidRPr="00CD00CA">
        <w:rPr>
          <w:i/>
        </w:rPr>
        <w:t>General’s Portfolio Miscellaneous Measures Act 2024</w:t>
      </w:r>
      <w:r>
        <w:t xml:space="preserve"> provides as follows:</w:t>
      </w:r>
    </w:p>
    <w:p w:rsidR="00593AD7" w:rsidRPr="00726873" w:rsidRDefault="00593AD7" w:rsidP="004A39CD">
      <w:pPr>
        <w:pStyle w:val="ItemHead"/>
        <w:keepNext/>
      </w:pPr>
      <w:bookmarkStart w:id="37" w:name="_Hlk169875135"/>
      <w:r w:rsidRPr="00726873">
        <w:lastRenderedPageBreak/>
        <w:t xml:space="preserve">20  </w:t>
      </w:r>
      <w:r>
        <w:t>Subparagraph 5</w:t>
      </w:r>
      <w:r w:rsidRPr="00726873">
        <w:t>8AA(1)(a)(i)</w:t>
      </w:r>
    </w:p>
    <w:p w:rsidR="00593AD7" w:rsidRPr="00726873" w:rsidRDefault="00593AD7" w:rsidP="00593AD7">
      <w:pPr>
        <w:pStyle w:val="Item"/>
      </w:pPr>
      <w:r w:rsidRPr="00726873">
        <w:t>Repeal the subparagraph, substitute:</w:t>
      </w:r>
    </w:p>
    <w:p w:rsidR="00593AD7" w:rsidRPr="00726873" w:rsidRDefault="00593AD7" w:rsidP="00593AD7">
      <w:pPr>
        <w:pStyle w:val="paragraphsub"/>
      </w:pPr>
      <w:r w:rsidRPr="00726873">
        <w:tab/>
        <w:t>(i)</w:t>
      </w:r>
      <w:r w:rsidRPr="00726873">
        <w:tab/>
        <w:t>subsection 23DQ(1), 23DU(3) or 23DZL(4); or.</w:t>
      </w:r>
    </w:p>
    <w:bookmarkEnd w:id="37"/>
    <w:p w:rsidR="00593AD7" w:rsidRDefault="00593AD7" w:rsidP="00593AD7">
      <w:pPr>
        <w:spacing w:before="240" w:after="240"/>
      </w:pPr>
      <w:r>
        <w:t>Subparagraph 58AA(1)(a)(i) ends in a full stop despite being followed by subparagraph (ii).</w:t>
      </w:r>
    </w:p>
    <w:p w:rsidR="00593AD7" w:rsidRPr="00F41C15" w:rsidRDefault="00593AD7" w:rsidP="00593AD7">
      <w:r>
        <w:t>This compilation was editorially changed to omit the full stop at the end of subparagraph 58AA(1)(a)(i) to bring it into line with legislative drafting practice.</w:t>
      </w:r>
    </w:p>
    <w:p w:rsidR="0000213C" w:rsidRPr="00BE5F99" w:rsidRDefault="0000213C" w:rsidP="0000213C">
      <w:pPr>
        <w:pStyle w:val="Head2"/>
        <w:keepLines/>
        <w:spacing w:after="240"/>
      </w:pPr>
      <w:r w:rsidRPr="007420E6">
        <w:t>Offshore Petroleum and Greenhouse Gas Storage Act 2006</w:t>
      </w:r>
      <w:r>
        <w:t>, Compilation No. 55, Registration Date: 24 June 202</w:t>
      </w:r>
      <w:r w:rsidRPr="00BE5F99">
        <w:t>4 [</w:t>
      </w:r>
      <w:r w:rsidRPr="0000213C">
        <w:t>C2024C00233</w:t>
      </w:r>
      <w:r w:rsidRPr="00BE5F99">
        <w:t>]</w:t>
      </w:r>
    </w:p>
    <w:p w:rsidR="002F6D92" w:rsidRPr="004549F1" w:rsidRDefault="002F6D92" w:rsidP="002F6D92">
      <w:pPr>
        <w:spacing w:after="240"/>
        <w:rPr>
          <w:b/>
          <w:sz w:val="24"/>
          <w:szCs w:val="24"/>
        </w:rPr>
      </w:pPr>
      <w:r>
        <w:rPr>
          <w:b/>
          <w:sz w:val="24"/>
          <w:szCs w:val="24"/>
        </w:rPr>
        <w:t>Subsection 586(6) (table)</w:t>
      </w:r>
    </w:p>
    <w:p w:rsidR="002F6D92" w:rsidRPr="004549F1" w:rsidRDefault="002F6D92" w:rsidP="002F6D92">
      <w:pPr>
        <w:spacing w:after="240"/>
        <w:rPr>
          <w:b/>
        </w:rPr>
      </w:pPr>
      <w:r w:rsidRPr="004549F1">
        <w:rPr>
          <w:b/>
        </w:rPr>
        <w:t>Kind of editorial change</w:t>
      </w:r>
    </w:p>
    <w:p w:rsidR="002F6D92" w:rsidRPr="0018341F" w:rsidRDefault="002F6D92" w:rsidP="002F6D92">
      <w:pPr>
        <w:spacing w:after="240"/>
      </w:pPr>
      <w:r>
        <w:t>Change to typeface</w:t>
      </w:r>
    </w:p>
    <w:p w:rsidR="002F6D92" w:rsidRPr="004549F1" w:rsidRDefault="002F6D92" w:rsidP="002F6D92">
      <w:pPr>
        <w:spacing w:after="240"/>
        <w:rPr>
          <w:b/>
        </w:rPr>
      </w:pPr>
      <w:r w:rsidRPr="004549F1">
        <w:rPr>
          <w:b/>
        </w:rPr>
        <w:t>Details of editorial change</w:t>
      </w:r>
    </w:p>
    <w:p w:rsidR="002F6D92" w:rsidRDefault="002F6D92" w:rsidP="002F6D92">
      <w:pPr>
        <w:spacing w:after="240"/>
      </w:pPr>
      <w:r>
        <w:t xml:space="preserve">Schedule 2 item 12 of the </w:t>
      </w:r>
      <w:r w:rsidRPr="007B19F9">
        <w:rPr>
          <w:i/>
        </w:rPr>
        <w:t>Offshore Petroleum and Greenhouse Gas Storage Legislation Amendment (Safety and Other Measures) Act 2024</w:t>
      </w:r>
      <w:r w:rsidRPr="00F245E4">
        <w:t xml:space="preserve"> </w:t>
      </w:r>
      <w:r>
        <w:t>provides as follows:</w:t>
      </w:r>
    </w:p>
    <w:p w:rsidR="002F6D92" w:rsidRPr="00A62990" w:rsidRDefault="002F6D92" w:rsidP="002F6D92">
      <w:pPr>
        <w:pStyle w:val="ItemHead"/>
      </w:pPr>
      <w:bookmarkStart w:id="38" w:name="_Hlk169864466"/>
      <w:r w:rsidRPr="00A62990">
        <w:t>12  Subsection 586(6) (table)</w:t>
      </w:r>
    </w:p>
    <w:p w:rsidR="002F6D92" w:rsidRPr="00A62990" w:rsidRDefault="002F6D92" w:rsidP="002F6D92">
      <w:pPr>
        <w:pStyle w:val="Item"/>
      </w:pPr>
      <w:r w:rsidRPr="00A62990">
        <w:t>Repeal the table, substitute:</w:t>
      </w:r>
    </w:p>
    <w:p w:rsidR="002F6D92" w:rsidRPr="00A62990" w:rsidRDefault="002F6D92" w:rsidP="002F6D9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F6D92" w:rsidRPr="00A62990" w:rsidTr="000D7E3B">
        <w:trPr>
          <w:tblHeader/>
        </w:trPr>
        <w:tc>
          <w:tcPr>
            <w:tcW w:w="7086" w:type="dxa"/>
            <w:gridSpan w:val="3"/>
            <w:tcBorders>
              <w:top w:val="single" w:sz="12" w:space="0" w:color="auto"/>
              <w:bottom w:val="single" w:sz="6" w:space="0" w:color="auto"/>
            </w:tcBorders>
            <w:shd w:val="clear" w:color="auto" w:fill="auto"/>
          </w:tcPr>
          <w:p w:rsidR="002F6D92" w:rsidRPr="00A62990" w:rsidRDefault="002F6D92" w:rsidP="000D7E3B">
            <w:pPr>
              <w:pStyle w:val="TableHeading"/>
            </w:pPr>
            <w:r w:rsidRPr="00A62990">
              <w:t>Title area</w:t>
            </w:r>
          </w:p>
        </w:tc>
      </w:tr>
      <w:tr w:rsidR="002F6D92" w:rsidRPr="00A62990" w:rsidTr="000D7E3B">
        <w:trPr>
          <w:tblHeader/>
        </w:trPr>
        <w:tc>
          <w:tcPr>
            <w:tcW w:w="714" w:type="dxa"/>
            <w:tcBorders>
              <w:top w:val="single" w:sz="6" w:space="0" w:color="auto"/>
              <w:bottom w:val="single" w:sz="12" w:space="0" w:color="auto"/>
            </w:tcBorders>
            <w:shd w:val="clear" w:color="auto" w:fill="auto"/>
          </w:tcPr>
          <w:p w:rsidR="002F6D92" w:rsidRPr="00A62990" w:rsidRDefault="002F6D92" w:rsidP="000D7E3B">
            <w:pPr>
              <w:pStyle w:val="TableHeading"/>
            </w:pPr>
            <w:r w:rsidRPr="00A62990">
              <w:t>Item</w:t>
            </w:r>
          </w:p>
        </w:tc>
        <w:tc>
          <w:tcPr>
            <w:tcW w:w="3186" w:type="dxa"/>
            <w:tcBorders>
              <w:top w:val="single" w:sz="6" w:space="0" w:color="auto"/>
              <w:bottom w:val="single" w:sz="12" w:space="0" w:color="auto"/>
            </w:tcBorders>
            <w:shd w:val="clear" w:color="auto" w:fill="auto"/>
          </w:tcPr>
          <w:p w:rsidR="002F6D92" w:rsidRPr="00A62990" w:rsidRDefault="002F6D92" w:rsidP="000D7E3B">
            <w:pPr>
              <w:pStyle w:val="TableHeading"/>
            </w:pPr>
            <w:r w:rsidRPr="00A62990">
              <w:t>In the case of ...</w:t>
            </w:r>
          </w:p>
        </w:tc>
        <w:tc>
          <w:tcPr>
            <w:tcW w:w="3186" w:type="dxa"/>
            <w:tcBorders>
              <w:top w:val="single" w:sz="6" w:space="0" w:color="auto"/>
              <w:bottom w:val="single" w:sz="12" w:space="0" w:color="auto"/>
            </w:tcBorders>
            <w:shd w:val="clear" w:color="auto" w:fill="auto"/>
          </w:tcPr>
          <w:p w:rsidR="002F6D92" w:rsidRPr="00A62990" w:rsidRDefault="002F6D92" w:rsidP="000D7E3B">
            <w:pPr>
              <w:pStyle w:val="TableHeading"/>
              <w:ind w:left="720" w:hanging="720"/>
            </w:pPr>
            <w:r w:rsidRPr="00A62990">
              <w:t>the title area is ...</w:t>
            </w:r>
          </w:p>
        </w:tc>
      </w:tr>
      <w:tr w:rsidR="002F6D92" w:rsidRPr="00A62990" w:rsidTr="000D7E3B">
        <w:tc>
          <w:tcPr>
            <w:tcW w:w="714" w:type="dxa"/>
            <w:tcBorders>
              <w:top w:val="single" w:sz="12" w:space="0" w:color="auto"/>
            </w:tcBorders>
            <w:shd w:val="clear" w:color="auto" w:fill="auto"/>
          </w:tcPr>
          <w:p w:rsidR="002F6D92" w:rsidRPr="00A62990" w:rsidRDefault="002F6D92" w:rsidP="000D7E3B">
            <w:pPr>
              <w:pStyle w:val="Tabletext"/>
            </w:pPr>
            <w:r w:rsidRPr="00A62990">
              <w:t>1</w:t>
            </w:r>
          </w:p>
        </w:tc>
        <w:tc>
          <w:tcPr>
            <w:tcW w:w="3186" w:type="dxa"/>
            <w:tcBorders>
              <w:top w:val="single" w:sz="12" w:space="0" w:color="auto"/>
            </w:tcBorders>
            <w:shd w:val="clear" w:color="auto" w:fill="auto"/>
          </w:tcPr>
          <w:p w:rsidR="002F6D92" w:rsidRPr="00A62990" w:rsidRDefault="002F6D92" w:rsidP="000D7E3B">
            <w:pPr>
              <w:pStyle w:val="Tabletext"/>
            </w:pPr>
            <w:r w:rsidRPr="00A62990">
              <w:t>a petroleum exploration permit</w:t>
            </w:r>
          </w:p>
        </w:tc>
        <w:tc>
          <w:tcPr>
            <w:tcW w:w="3186" w:type="dxa"/>
            <w:tcBorders>
              <w:top w:val="single" w:sz="12" w:space="0" w:color="auto"/>
            </w:tcBorders>
            <w:shd w:val="clear" w:color="auto" w:fill="auto"/>
          </w:tcPr>
          <w:p w:rsidR="002F6D92" w:rsidRPr="00A62990" w:rsidRDefault="002F6D92" w:rsidP="000D7E3B">
            <w:pPr>
              <w:pStyle w:val="Tabletext"/>
            </w:pPr>
            <w:r w:rsidRPr="00A62990">
              <w:t>the permit area.</w:t>
            </w:r>
          </w:p>
        </w:tc>
      </w:tr>
      <w:tr w:rsidR="002F6D92" w:rsidRPr="00A62990" w:rsidTr="000D7E3B">
        <w:tc>
          <w:tcPr>
            <w:tcW w:w="714" w:type="dxa"/>
            <w:shd w:val="clear" w:color="auto" w:fill="auto"/>
          </w:tcPr>
          <w:p w:rsidR="002F6D92" w:rsidRPr="00A62990" w:rsidRDefault="002F6D92" w:rsidP="000D7E3B">
            <w:pPr>
              <w:pStyle w:val="Tabletext"/>
            </w:pPr>
            <w:r w:rsidRPr="00A62990">
              <w:t>2</w:t>
            </w:r>
          </w:p>
        </w:tc>
        <w:tc>
          <w:tcPr>
            <w:tcW w:w="3186" w:type="dxa"/>
            <w:shd w:val="clear" w:color="auto" w:fill="auto"/>
          </w:tcPr>
          <w:p w:rsidR="002F6D92" w:rsidRPr="00A62990" w:rsidRDefault="002F6D92" w:rsidP="000D7E3B">
            <w:pPr>
              <w:pStyle w:val="Tabletext"/>
            </w:pPr>
            <w:r w:rsidRPr="00A62990">
              <w:t>a petroleum retention lease</w:t>
            </w:r>
          </w:p>
        </w:tc>
        <w:tc>
          <w:tcPr>
            <w:tcW w:w="3186" w:type="dxa"/>
            <w:shd w:val="clear" w:color="auto" w:fill="auto"/>
          </w:tcPr>
          <w:p w:rsidR="002F6D92" w:rsidRPr="00A62990" w:rsidRDefault="002F6D92" w:rsidP="000D7E3B">
            <w:pPr>
              <w:pStyle w:val="Tabletext"/>
            </w:pPr>
            <w:r w:rsidRPr="00A62990">
              <w:t>the lease area.</w:t>
            </w:r>
          </w:p>
        </w:tc>
      </w:tr>
      <w:tr w:rsidR="002F6D92" w:rsidRPr="00A62990" w:rsidTr="000D7E3B">
        <w:tc>
          <w:tcPr>
            <w:tcW w:w="714" w:type="dxa"/>
            <w:shd w:val="clear" w:color="auto" w:fill="auto"/>
          </w:tcPr>
          <w:p w:rsidR="002F6D92" w:rsidRPr="00A62990" w:rsidRDefault="002F6D92" w:rsidP="000D7E3B">
            <w:pPr>
              <w:pStyle w:val="Tabletext"/>
            </w:pPr>
            <w:r w:rsidRPr="00A62990">
              <w:t>3</w:t>
            </w:r>
          </w:p>
        </w:tc>
        <w:tc>
          <w:tcPr>
            <w:tcW w:w="3186" w:type="dxa"/>
            <w:shd w:val="clear" w:color="auto" w:fill="auto"/>
          </w:tcPr>
          <w:p w:rsidR="002F6D92" w:rsidRPr="00A62990" w:rsidRDefault="002F6D92" w:rsidP="000D7E3B">
            <w:pPr>
              <w:pStyle w:val="Tabletext"/>
            </w:pPr>
            <w:r w:rsidRPr="00A62990">
              <w:t>a petroleum production licence</w:t>
            </w:r>
          </w:p>
        </w:tc>
        <w:tc>
          <w:tcPr>
            <w:tcW w:w="3186" w:type="dxa"/>
            <w:shd w:val="clear" w:color="auto" w:fill="auto"/>
          </w:tcPr>
          <w:p w:rsidR="002F6D92" w:rsidRPr="00A62990" w:rsidRDefault="002F6D92" w:rsidP="000D7E3B">
            <w:pPr>
              <w:pStyle w:val="Tabletext"/>
            </w:pPr>
            <w:r w:rsidRPr="00A62990">
              <w:t>the licence area.</w:t>
            </w:r>
          </w:p>
        </w:tc>
      </w:tr>
      <w:tr w:rsidR="002F6D92" w:rsidRPr="00A62990" w:rsidTr="000D7E3B">
        <w:tc>
          <w:tcPr>
            <w:tcW w:w="714" w:type="dxa"/>
            <w:tcBorders>
              <w:bottom w:val="single" w:sz="2" w:space="0" w:color="auto"/>
            </w:tcBorders>
            <w:shd w:val="clear" w:color="auto" w:fill="auto"/>
          </w:tcPr>
          <w:p w:rsidR="002F6D92" w:rsidRPr="00A62990" w:rsidRDefault="002F6D92" w:rsidP="000D7E3B">
            <w:pPr>
              <w:pStyle w:val="Tabletext"/>
            </w:pPr>
            <w:r w:rsidRPr="00A62990">
              <w:t>4</w:t>
            </w:r>
          </w:p>
        </w:tc>
        <w:tc>
          <w:tcPr>
            <w:tcW w:w="3186" w:type="dxa"/>
            <w:tcBorders>
              <w:bottom w:val="single" w:sz="2" w:space="0" w:color="auto"/>
            </w:tcBorders>
            <w:shd w:val="clear" w:color="auto" w:fill="auto"/>
          </w:tcPr>
          <w:p w:rsidR="002F6D92" w:rsidRPr="00A62990" w:rsidRDefault="002F6D92" w:rsidP="000D7E3B">
            <w:pPr>
              <w:pStyle w:val="Tabletext"/>
            </w:pPr>
            <w:r w:rsidRPr="00A62990">
              <w:t>an infrastructure licence</w:t>
            </w:r>
          </w:p>
        </w:tc>
        <w:tc>
          <w:tcPr>
            <w:tcW w:w="3186" w:type="dxa"/>
            <w:tcBorders>
              <w:bottom w:val="single" w:sz="2" w:space="0" w:color="auto"/>
            </w:tcBorders>
            <w:shd w:val="clear" w:color="auto" w:fill="auto"/>
          </w:tcPr>
          <w:p w:rsidR="002F6D92" w:rsidRPr="00A62990" w:rsidRDefault="002F6D92" w:rsidP="000D7E3B">
            <w:pPr>
              <w:pStyle w:val="Tabletext"/>
            </w:pPr>
            <w:r w:rsidRPr="00A62990">
              <w:t>the licence area.</w:t>
            </w:r>
          </w:p>
        </w:tc>
      </w:tr>
      <w:tr w:rsidR="002F6D92" w:rsidRPr="00A62990" w:rsidTr="000D7E3B">
        <w:tc>
          <w:tcPr>
            <w:tcW w:w="714" w:type="dxa"/>
            <w:tcBorders>
              <w:top w:val="single" w:sz="2" w:space="0" w:color="auto"/>
              <w:bottom w:val="single" w:sz="12" w:space="0" w:color="auto"/>
            </w:tcBorders>
            <w:shd w:val="clear" w:color="auto" w:fill="auto"/>
          </w:tcPr>
          <w:p w:rsidR="002F6D92" w:rsidRPr="00A62990" w:rsidRDefault="002F6D92" w:rsidP="000D7E3B">
            <w:pPr>
              <w:pStyle w:val="Tabletext"/>
            </w:pPr>
            <w:r w:rsidRPr="00A62990">
              <w:t>5</w:t>
            </w:r>
          </w:p>
        </w:tc>
        <w:tc>
          <w:tcPr>
            <w:tcW w:w="3186" w:type="dxa"/>
            <w:tcBorders>
              <w:top w:val="single" w:sz="2" w:space="0" w:color="auto"/>
              <w:bottom w:val="single" w:sz="12" w:space="0" w:color="auto"/>
            </w:tcBorders>
            <w:shd w:val="clear" w:color="auto" w:fill="auto"/>
          </w:tcPr>
          <w:p w:rsidR="002F6D92" w:rsidRPr="00A62990" w:rsidRDefault="002F6D92" w:rsidP="000D7E3B">
            <w:pPr>
              <w:pStyle w:val="Tabletext"/>
            </w:pPr>
            <w:r w:rsidRPr="00A62990">
              <w:t>a pipeline licence</w:t>
            </w:r>
          </w:p>
        </w:tc>
        <w:tc>
          <w:tcPr>
            <w:tcW w:w="3186" w:type="dxa"/>
            <w:tcBorders>
              <w:top w:val="single" w:sz="2" w:space="0" w:color="auto"/>
              <w:bottom w:val="single" w:sz="12" w:space="0" w:color="auto"/>
            </w:tcBorders>
            <w:shd w:val="clear" w:color="auto" w:fill="auto"/>
          </w:tcPr>
          <w:p w:rsidR="002F6D92" w:rsidRPr="00A62990" w:rsidRDefault="002F6D92" w:rsidP="000D7E3B">
            <w:pPr>
              <w:pStyle w:val="Tabletext"/>
            </w:pPr>
            <w:r w:rsidRPr="00A62990">
              <w:t>the part of the offshore area in which the pipeline is constructed.</w:t>
            </w:r>
          </w:p>
        </w:tc>
      </w:tr>
    </w:tbl>
    <w:bookmarkEnd w:id="38"/>
    <w:p w:rsidR="002F6D92" w:rsidRDefault="002F6D92" w:rsidP="002F6D92">
      <w:pPr>
        <w:spacing w:before="240" w:after="240"/>
      </w:pPr>
      <w:r>
        <w:t xml:space="preserve">Section 7 contains the definition of </w:t>
      </w:r>
      <w:r w:rsidRPr="009B4C2D">
        <w:rPr>
          <w:b/>
          <w:i/>
        </w:rPr>
        <w:t>title area</w:t>
      </w:r>
      <w:r>
        <w:t>.</w:t>
      </w:r>
    </w:p>
    <w:p w:rsidR="002F6D92" w:rsidRPr="006B6A66" w:rsidRDefault="002F6D92" w:rsidP="002F6D92">
      <w:pPr>
        <w:spacing w:after="240"/>
      </w:pPr>
      <w:r>
        <w:t>The reference to “</w:t>
      </w:r>
      <w:r w:rsidRPr="006B6A66">
        <w:rPr>
          <w:b/>
        </w:rPr>
        <w:t>title area</w:t>
      </w:r>
      <w:r>
        <w:t>” in the table column headed “</w:t>
      </w:r>
      <w:r w:rsidRPr="006B6A66">
        <w:rPr>
          <w:b/>
        </w:rPr>
        <w:t>the title area is ...</w:t>
      </w:r>
      <w:r>
        <w:t>” in subsection 586(6) is a defined term and should be italicised.</w:t>
      </w:r>
    </w:p>
    <w:p w:rsidR="002F6D92" w:rsidRDefault="002F6D92" w:rsidP="002F6D92">
      <w:r>
        <w:t>This compilation was editorially changed to italicise “</w:t>
      </w:r>
      <w:r>
        <w:rPr>
          <w:b/>
        </w:rPr>
        <w:t>title area</w:t>
      </w:r>
      <w:r w:rsidRPr="00740C63">
        <w:t xml:space="preserve">” </w:t>
      </w:r>
      <w:r>
        <w:t>in the table column headed “</w:t>
      </w:r>
      <w:r w:rsidRPr="006B6A66">
        <w:rPr>
          <w:b/>
        </w:rPr>
        <w:t>the title area is ...</w:t>
      </w:r>
      <w:r>
        <w:t>” in subsection 586(6) to bring it into line with legislative drafting practice.</w:t>
      </w:r>
    </w:p>
    <w:p w:rsidR="00DF0D79" w:rsidRPr="00BE5F99" w:rsidRDefault="00DF0D79" w:rsidP="004A39CD">
      <w:pPr>
        <w:pStyle w:val="Head2"/>
        <w:keepLines/>
        <w:spacing w:after="240"/>
      </w:pPr>
      <w:r w:rsidRPr="00D56626">
        <w:lastRenderedPageBreak/>
        <w:t>Safety, Rehabilitation and Compensation Act 1988</w:t>
      </w:r>
      <w:r>
        <w:t>, Compilation No. 79, Registration Date: 17 June 202</w:t>
      </w:r>
      <w:r w:rsidRPr="00BE5F99">
        <w:t>4 [</w:t>
      </w:r>
      <w:r w:rsidRPr="00DF0D79">
        <w:t>C2024C00218</w:t>
      </w:r>
      <w:r w:rsidRPr="00BE5F99">
        <w:t>]</w:t>
      </w:r>
    </w:p>
    <w:p w:rsidR="00DF0D79" w:rsidRPr="00D56626" w:rsidRDefault="00DF0D79" w:rsidP="004A39CD">
      <w:pPr>
        <w:keepNext/>
        <w:keepLines/>
        <w:spacing w:after="240"/>
        <w:rPr>
          <w:b/>
          <w:sz w:val="24"/>
          <w:szCs w:val="24"/>
        </w:rPr>
      </w:pPr>
      <w:r w:rsidRPr="00D56626">
        <w:rPr>
          <w:b/>
          <w:sz w:val="24"/>
          <w:szCs w:val="24"/>
        </w:rPr>
        <w:t>Paragraphs 97D(2)(c) and (d), 97DA(3)(c) and (d) and (5)(a) and (b) and 104A(2)(a) and (b)</w:t>
      </w:r>
    </w:p>
    <w:p w:rsidR="00DF0D79" w:rsidRPr="00D56626" w:rsidRDefault="00DF0D79" w:rsidP="004A39CD">
      <w:pPr>
        <w:keepNext/>
        <w:keepLines/>
        <w:spacing w:after="240"/>
        <w:rPr>
          <w:b/>
        </w:rPr>
      </w:pPr>
      <w:r w:rsidRPr="00D56626">
        <w:rPr>
          <w:b/>
        </w:rPr>
        <w:t>Kind of editorial change</w:t>
      </w:r>
    </w:p>
    <w:p w:rsidR="00DF0D79" w:rsidRPr="00D56626" w:rsidRDefault="00DF0D79" w:rsidP="00DF0D79">
      <w:pPr>
        <w:spacing w:after="240"/>
      </w:pPr>
      <w:r w:rsidRPr="00D56626">
        <w:t>Changes to spelling</w:t>
      </w:r>
    </w:p>
    <w:p w:rsidR="00DF0D79" w:rsidRPr="00D56626" w:rsidRDefault="00DF0D79" w:rsidP="00DF0D79">
      <w:pPr>
        <w:spacing w:after="240"/>
        <w:rPr>
          <w:b/>
        </w:rPr>
      </w:pPr>
      <w:r w:rsidRPr="00D56626">
        <w:rPr>
          <w:b/>
        </w:rPr>
        <w:t>Details of editorial change</w:t>
      </w:r>
    </w:p>
    <w:p w:rsidR="00DF0D79" w:rsidRPr="00D56626" w:rsidRDefault="00DF0D79" w:rsidP="00DF0D79">
      <w:pPr>
        <w:spacing w:after="240"/>
      </w:pPr>
      <w:r w:rsidRPr="00D56626">
        <w:t>Paragraphs 97D(2)(c) and (d), 97DA(3)(c) and (d) and (5)(a) and (b) and 104A(2)(a) and (b) refer to “referrable” rather than “referable”.</w:t>
      </w:r>
    </w:p>
    <w:p w:rsidR="00DF0D79" w:rsidRPr="00D56626" w:rsidRDefault="00DF0D79" w:rsidP="00DF0D79">
      <w:r w:rsidRPr="00D56626">
        <w:t>This compilation was editorially changed to omit the word “referrable” and substitute the word “referable” in these paragraphs to correct the spelling.</w:t>
      </w:r>
    </w:p>
    <w:p w:rsidR="003302C1" w:rsidRPr="00BE5F99" w:rsidRDefault="00094718" w:rsidP="003302C1">
      <w:pPr>
        <w:pStyle w:val="Head2"/>
        <w:keepLines/>
        <w:spacing w:after="240"/>
      </w:pPr>
      <w:r w:rsidRPr="00094718">
        <w:t>Treatment Principles (No. R52/2013)</w:t>
      </w:r>
      <w:r w:rsidR="003302C1">
        <w:t>, Compilation No. 3</w:t>
      </w:r>
      <w:r w:rsidR="00774AC8">
        <w:t>0</w:t>
      </w:r>
      <w:r w:rsidR="003302C1">
        <w:t>, Registration Date: 1</w:t>
      </w:r>
      <w:r w:rsidR="00774AC8">
        <w:t>7</w:t>
      </w:r>
      <w:r w:rsidR="003302C1">
        <w:t> June 202</w:t>
      </w:r>
      <w:r w:rsidR="003302C1" w:rsidRPr="00BE5F99">
        <w:t>4 [</w:t>
      </w:r>
      <w:r w:rsidR="00774AC8" w:rsidRPr="00774AC8">
        <w:t>F2024C00491</w:t>
      </w:r>
      <w:r w:rsidR="003302C1" w:rsidRPr="00BE5F99">
        <w:t>]</w:t>
      </w:r>
    </w:p>
    <w:p w:rsidR="00B55BAB" w:rsidRPr="00783B41" w:rsidRDefault="00B55BAB" w:rsidP="00B55BAB">
      <w:pPr>
        <w:spacing w:after="240"/>
        <w:rPr>
          <w:b/>
          <w:sz w:val="24"/>
          <w:szCs w:val="24"/>
        </w:rPr>
      </w:pPr>
      <w:r w:rsidRPr="00716422">
        <w:rPr>
          <w:b/>
          <w:sz w:val="24"/>
          <w:szCs w:val="24"/>
        </w:rPr>
        <w:t>Paragraph 1.4.1 (</w:t>
      </w:r>
      <w:r w:rsidRPr="00783B41">
        <w:rPr>
          <w:b/>
          <w:sz w:val="24"/>
          <w:szCs w:val="24"/>
        </w:rPr>
        <w:t>definition of “</w:t>
      </w:r>
      <w:r w:rsidRPr="00716422">
        <w:rPr>
          <w:b/>
          <w:sz w:val="24"/>
          <w:szCs w:val="24"/>
        </w:rPr>
        <w:t>outreach program counselling</w:t>
      </w:r>
      <w:r w:rsidRPr="00783B41">
        <w:rPr>
          <w:b/>
          <w:sz w:val="24"/>
          <w:szCs w:val="24"/>
        </w:rPr>
        <w:t>”)</w:t>
      </w:r>
    </w:p>
    <w:p w:rsidR="00B55BAB" w:rsidRPr="00716422" w:rsidRDefault="00B55BAB" w:rsidP="00B55BAB">
      <w:pPr>
        <w:spacing w:after="240"/>
        <w:rPr>
          <w:b/>
          <w:szCs w:val="22"/>
        </w:rPr>
      </w:pPr>
      <w:r w:rsidRPr="00716422">
        <w:rPr>
          <w:b/>
          <w:szCs w:val="22"/>
        </w:rPr>
        <w:t>Kind of editorial change</w:t>
      </w:r>
    </w:p>
    <w:p w:rsidR="00B55BAB" w:rsidRPr="00716422" w:rsidRDefault="00B55BAB" w:rsidP="00B55BAB">
      <w:pPr>
        <w:spacing w:after="240"/>
        <w:rPr>
          <w:szCs w:val="22"/>
        </w:rPr>
      </w:pPr>
      <w:r w:rsidRPr="00716422">
        <w:rPr>
          <w:szCs w:val="22"/>
        </w:rPr>
        <w:t>Give effect to the misdescribed amendment as intended</w:t>
      </w:r>
    </w:p>
    <w:p w:rsidR="00B55BAB" w:rsidRPr="00716422" w:rsidRDefault="00B55BAB" w:rsidP="00B55BAB">
      <w:pPr>
        <w:spacing w:after="240"/>
        <w:rPr>
          <w:b/>
          <w:szCs w:val="22"/>
        </w:rPr>
      </w:pPr>
      <w:r w:rsidRPr="00716422">
        <w:rPr>
          <w:b/>
          <w:szCs w:val="22"/>
        </w:rPr>
        <w:t>Details of editorial change</w:t>
      </w:r>
    </w:p>
    <w:p w:rsidR="00B55BAB" w:rsidRPr="00716422" w:rsidRDefault="00B55BAB" w:rsidP="00B55BAB">
      <w:pPr>
        <w:spacing w:after="240"/>
        <w:rPr>
          <w:szCs w:val="22"/>
        </w:rPr>
      </w:pPr>
      <w:r w:rsidRPr="00716422">
        <w:rPr>
          <w:szCs w:val="22"/>
        </w:rPr>
        <w:t xml:space="preserve">Schedule 1 item 2 of the </w:t>
      </w:r>
      <w:r w:rsidRPr="00783B41">
        <w:rPr>
          <w:i/>
          <w:szCs w:val="22"/>
        </w:rPr>
        <w:t>Veterans’ Entitlements Treatment Principles Amendment (Outreach Program Counselling) Determination 2024</w:t>
      </w:r>
      <w:r w:rsidRPr="00716422">
        <w:rPr>
          <w:szCs w:val="22"/>
        </w:rPr>
        <w:t xml:space="preserve"> provides as follows:</w:t>
      </w:r>
    </w:p>
    <w:p w:rsidR="00B55BAB" w:rsidRPr="00F9149D" w:rsidRDefault="00B55BAB" w:rsidP="00B55BAB">
      <w:pPr>
        <w:pStyle w:val="ItemHead"/>
        <w:ind w:left="360" w:hanging="360"/>
      </w:pPr>
      <w:bookmarkStart w:id="39" w:name="_Hlk169179002"/>
      <w:r w:rsidRPr="00F9149D">
        <w:t>2</w:t>
      </w:r>
      <w:r w:rsidRPr="00F9149D">
        <w:tab/>
        <w:t>Paragraph 1.4.1</w:t>
      </w:r>
      <w:r>
        <w:t>,</w:t>
      </w:r>
      <w:r w:rsidRPr="00103B95">
        <w:t xml:space="preserve"> </w:t>
      </w:r>
      <w:r w:rsidRPr="00F9149D">
        <w:t>definition of “outreach program counselling</w:t>
      </w:r>
      <w:r>
        <w:t>”</w:t>
      </w:r>
    </w:p>
    <w:p w:rsidR="00B55BAB" w:rsidRPr="00143A23" w:rsidRDefault="00B55BAB" w:rsidP="00B55BAB">
      <w:pPr>
        <w:pStyle w:val="Item"/>
        <w:spacing w:after="120"/>
        <w:rPr>
          <w:i/>
        </w:rPr>
      </w:pPr>
      <w:r>
        <w:rPr>
          <w:i/>
        </w:rPr>
        <w:t>o</w:t>
      </w:r>
      <w:r w:rsidRPr="00143A23">
        <w:rPr>
          <w:i/>
        </w:rPr>
        <w:t>mit</w:t>
      </w:r>
    </w:p>
    <w:p w:rsidR="00B55BAB" w:rsidRDefault="00B55BAB" w:rsidP="00B55BAB">
      <w:pPr>
        <w:pStyle w:val="Item"/>
        <w:ind w:left="1440"/>
      </w:pPr>
      <w:r>
        <w:t xml:space="preserve">an </w:t>
      </w:r>
      <w:r w:rsidRPr="00F9149D">
        <w:t>entitled</w:t>
      </w:r>
      <w:r>
        <w:t xml:space="preserve"> person</w:t>
      </w:r>
    </w:p>
    <w:p w:rsidR="00B55BAB" w:rsidRPr="00143A23" w:rsidRDefault="00B55BAB" w:rsidP="00B55BAB">
      <w:pPr>
        <w:pStyle w:val="Item"/>
        <w:spacing w:after="120"/>
        <w:rPr>
          <w:i/>
        </w:rPr>
      </w:pPr>
      <w:r w:rsidRPr="00143A23">
        <w:rPr>
          <w:i/>
        </w:rPr>
        <w:t>insert</w:t>
      </w:r>
    </w:p>
    <w:p w:rsidR="00B55BAB" w:rsidRPr="00F9149D" w:rsidRDefault="00B55BAB" w:rsidP="00B55BAB">
      <w:pPr>
        <w:pStyle w:val="Item"/>
        <w:ind w:left="1440"/>
      </w:pPr>
      <w:r>
        <w:t>a person</w:t>
      </w:r>
    </w:p>
    <w:bookmarkEnd w:id="39"/>
    <w:p w:rsidR="00B55BAB" w:rsidRPr="00716422" w:rsidRDefault="00B55BAB" w:rsidP="00B55BAB">
      <w:pPr>
        <w:spacing w:before="240" w:after="240"/>
        <w:rPr>
          <w:szCs w:val="22"/>
        </w:rPr>
      </w:pPr>
      <w:r w:rsidRPr="00716422">
        <w:rPr>
          <w:szCs w:val="22"/>
        </w:rPr>
        <w:t xml:space="preserve">The words “an entitled person” do not appear in the definition of </w:t>
      </w:r>
      <w:r w:rsidRPr="00716422">
        <w:rPr>
          <w:b/>
          <w:szCs w:val="22"/>
        </w:rPr>
        <w:t>“outreach program counselling”</w:t>
      </w:r>
      <w:r w:rsidRPr="00716422">
        <w:rPr>
          <w:szCs w:val="22"/>
        </w:rPr>
        <w:t xml:space="preserve"> in paragraph 1.4.1. However, the words “an</w:t>
      </w:r>
      <w:r w:rsidRPr="00783B41">
        <w:rPr>
          <w:szCs w:val="22"/>
        </w:rPr>
        <w:t xml:space="preserve"> </w:t>
      </w:r>
      <w:r w:rsidRPr="00783B41">
        <w:rPr>
          <w:i/>
          <w:szCs w:val="22"/>
        </w:rPr>
        <w:t>entitled person</w:t>
      </w:r>
      <w:r w:rsidRPr="00716422">
        <w:rPr>
          <w:szCs w:val="22"/>
        </w:rPr>
        <w:t>” do appear.</w:t>
      </w:r>
    </w:p>
    <w:p w:rsidR="00B55BAB" w:rsidRPr="00716422" w:rsidRDefault="00B55BAB" w:rsidP="00B55BAB">
      <w:pPr>
        <w:rPr>
          <w:szCs w:val="22"/>
        </w:rPr>
      </w:pPr>
      <w:r w:rsidRPr="00716422">
        <w:rPr>
          <w:szCs w:val="22"/>
        </w:rPr>
        <w:t xml:space="preserve">This compilation was editorially changed to omit “an </w:t>
      </w:r>
      <w:r w:rsidRPr="00716422">
        <w:rPr>
          <w:i/>
          <w:szCs w:val="22"/>
        </w:rPr>
        <w:t>entitled person</w:t>
      </w:r>
      <w:r w:rsidRPr="00716422">
        <w:rPr>
          <w:szCs w:val="22"/>
        </w:rPr>
        <w:t xml:space="preserve">” and insert “a person” in the definition of </w:t>
      </w:r>
      <w:r w:rsidRPr="003E3C63">
        <w:rPr>
          <w:b/>
          <w:szCs w:val="22"/>
        </w:rPr>
        <w:t>“</w:t>
      </w:r>
      <w:r w:rsidRPr="00716422">
        <w:rPr>
          <w:b/>
          <w:szCs w:val="22"/>
        </w:rPr>
        <w:t>outreach program counselling</w:t>
      </w:r>
      <w:r w:rsidRPr="003E3C63">
        <w:rPr>
          <w:b/>
          <w:szCs w:val="22"/>
        </w:rPr>
        <w:t>”</w:t>
      </w:r>
      <w:r w:rsidRPr="00716422">
        <w:rPr>
          <w:szCs w:val="22"/>
        </w:rPr>
        <w:t xml:space="preserve"> in paragraph 1.4.1 to give effect to the misdescribed amendment as intended.</w:t>
      </w:r>
    </w:p>
    <w:p w:rsidR="005926F0" w:rsidRPr="00BE5F99" w:rsidRDefault="005926F0" w:rsidP="004A39CD">
      <w:pPr>
        <w:pStyle w:val="Head2"/>
        <w:keepLines/>
        <w:spacing w:after="240"/>
      </w:pPr>
      <w:r w:rsidRPr="00C83121">
        <w:lastRenderedPageBreak/>
        <w:t>Interactive Gambling Act 2001</w:t>
      </w:r>
      <w:r>
        <w:t>, Compilation No. 23, Registration Date: 14 June 202</w:t>
      </w:r>
      <w:r w:rsidRPr="00BE5F99">
        <w:t>4 [</w:t>
      </w:r>
      <w:r w:rsidRPr="005926F0">
        <w:t>C2024C00210</w:t>
      </w:r>
      <w:r w:rsidRPr="00BE5F99">
        <w:t>]</w:t>
      </w:r>
    </w:p>
    <w:p w:rsidR="00FA0110" w:rsidRPr="00C83121" w:rsidRDefault="00FA0110" w:rsidP="004A39CD">
      <w:pPr>
        <w:keepNext/>
        <w:keepLines/>
        <w:spacing w:after="240"/>
        <w:rPr>
          <w:b/>
          <w:sz w:val="24"/>
          <w:szCs w:val="24"/>
        </w:rPr>
      </w:pPr>
      <w:r>
        <w:rPr>
          <w:b/>
          <w:sz w:val="24"/>
          <w:szCs w:val="24"/>
        </w:rPr>
        <w:t>Section 1</w:t>
      </w:r>
      <w:r w:rsidRPr="00C83121">
        <w:rPr>
          <w:b/>
          <w:sz w:val="24"/>
          <w:szCs w:val="24"/>
        </w:rPr>
        <w:t>5B</w:t>
      </w:r>
    </w:p>
    <w:p w:rsidR="00FA0110" w:rsidRPr="00C83121" w:rsidRDefault="00FA0110" w:rsidP="004A39CD">
      <w:pPr>
        <w:keepNext/>
        <w:keepLines/>
        <w:spacing w:after="240"/>
        <w:rPr>
          <w:b/>
        </w:rPr>
      </w:pPr>
      <w:r w:rsidRPr="00C83121">
        <w:rPr>
          <w:b/>
        </w:rPr>
        <w:t>Kind of editorial change</w:t>
      </w:r>
    </w:p>
    <w:p w:rsidR="00FA0110" w:rsidRPr="00C83121" w:rsidRDefault="00FA0110" w:rsidP="00FA0110">
      <w:pPr>
        <w:spacing w:after="240"/>
      </w:pPr>
      <w:r w:rsidRPr="00C83121">
        <w:t>Give effect to the misdescribed amendment as intended</w:t>
      </w:r>
    </w:p>
    <w:p w:rsidR="00FA0110" w:rsidRPr="00C83121" w:rsidRDefault="00FA0110" w:rsidP="00FA0110">
      <w:pPr>
        <w:spacing w:after="240"/>
        <w:rPr>
          <w:b/>
        </w:rPr>
      </w:pPr>
      <w:r w:rsidRPr="00C83121">
        <w:rPr>
          <w:b/>
        </w:rPr>
        <w:t>Details of editorial change</w:t>
      </w:r>
    </w:p>
    <w:p w:rsidR="00FA0110" w:rsidRPr="00C83121" w:rsidRDefault="00FA0110" w:rsidP="00FA0110">
      <w:pPr>
        <w:spacing w:after="240"/>
        <w:outlineLvl w:val="2"/>
      </w:pPr>
      <w:r>
        <w:t>Schedule 1</w:t>
      </w:r>
      <w:r w:rsidRPr="00C83121">
        <w:t xml:space="preserve"> </w:t>
      </w:r>
      <w:r>
        <w:t>item 5</w:t>
      </w:r>
      <w:r w:rsidRPr="00C83121">
        <w:t xml:space="preserve"> of the </w:t>
      </w:r>
      <w:r w:rsidRPr="00C83121">
        <w:rPr>
          <w:i/>
        </w:rPr>
        <w:t>Interactive Gambling Amendment (Credit and Other Measures) Act 2023</w:t>
      </w:r>
      <w:r w:rsidRPr="00C83121">
        <w:t xml:space="preserve"> instructs to repeal and substitute </w:t>
      </w:r>
      <w:r>
        <w:t>section 1</w:t>
      </w:r>
      <w:r w:rsidRPr="00C83121">
        <w:t>5B.</w:t>
      </w:r>
    </w:p>
    <w:p w:rsidR="00FA0110" w:rsidRPr="00C83121" w:rsidRDefault="00FA0110" w:rsidP="00FA0110">
      <w:pPr>
        <w:spacing w:after="240"/>
        <w:outlineLvl w:val="2"/>
      </w:pPr>
      <w:r w:rsidRPr="00C83121">
        <w:t xml:space="preserve">This amendment repeals the heading to </w:t>
      </w:r>
      <w:r>
        <w:t>section 1</w:t>
      </w:r>
      <w:r w:rsidRPr="00C83121">
        <w:t>5B but does not replace it.</w:t>
      </w:r>
    </w:p>
    <w:p w:rsidR="00FA0110" w:rsidRPr="00C83121" w:rsidRDefault="00FA0110" w:rsidP="00FA0110">
      <w:pPr>
        <w:outlineLvl w:val="2"/>
      </w:pPr>
      <w:r w:rsidRPr="00C83121">
        <w:t xml:space="preserve">This compilation was editorially changed to reinsert the heading to </w:t>
      </w:r>
      <w:r>
        <w:t>section 1</w:t>
      </w:r>
      <w:r w:rsidRPr="00C83121">
        <w:t>5B and give effect to the misdescribed amendment as intended.</w:t>
      </w:r>
    </w:p>
    <w:p w:rsidR="007D60D3" w:rsidRPr="00BE5F99" w:rsidRDefault="007D60D3" w:rsidP="007D60D3">
      <w:pPr>
        <w:pStyle w:val="Head2"/>
        <w:keepLines/>
        <w:spacing w:after="240"/>
      </w:pPr>
      <w:r w:rsidRPr="006B4AE5">
        <w:t>List of Exempt Native Specimens Instrument 2001</w:t>
      </w:r>
      <w:r>
        <w:t>, Compilation No. 419, Registration Date: 14 June 202</w:t>
      </w:r>
      <w:r w:rsidRPr="00BE5F99">
        <w:t>4 [</w:t>
      </w:r>
      <w:r w:rsidR="00072F7C" w:rsidRPr="00072F7C">
        <w:t>F2024C00484</w:t>
      </w:r>
      <w:r w:rsidRPr="00BE5F99">
        <w:t>]</w:t>
      </w:r>
    </w:p>
    <w:p w:rsidR="0066561E" w:rsidRPr="006B4AE5" w:rsidRDefault="0066561E" w:rsidP="0066561E">
      <w:pPr>
        <w:spacing w:after="240"/>
        <w:rPr>
          <w:b/>
          <w:sz w:val="24"/>
          <w:szCs w:val="24"/>
        </w:rPr>
      </w:pPr>
      <w:r w:rsidRPr="006B4AE5">
        <w:rPr>
          <w:b/>
          <w:sz w:val="24"/>
          <w:szCs w:val="24"/>
        </w:rPr>
        <w:t>Schedule 1, entry for Western Australian Sea Cucumber (formerly Bech</w:t>
      </w:r>
      <w:r>
        <w:rPr>
          <w:b/>
          <w:sz w:val="24"/>
          <w:szCs w:val="24"/>
        </w:rPr>
        <w:noBreakHyphen/>
      </w:r>
      <w:r w:rsidRPr="006B4AE5">
        <w:rPr>
          <w:b/>
          <w:sz w:val="24"/>
          <w:szCs w:val="24"/>
        </w:rPr>
        <w:t>de</w:t>
      </w:r>
      <w:r>
        <w:rPr>
          <w:b/>
          <w:sz w:val="24"/>
          <w:szCs w:val="24"/>
        </w:rPr>
        <w:noBreakHyphen/>
      </w:r>
      <w:r w:rsidRPr="006B4AE5">
        <w:rPr>
          <w:b/>
          <w:sz w:val="24"/>
          <w:szCs w:val="24"/>
        </w:rPr>
        <w:t>mer) Fishery</w:t>
      </w:r>
    </w:p>
    <w:p w:rsidR="0066561E" w:rsidRPr="006B4AE5" w:rsidRDefault="0066561E" w:rsidP="0066561E">
      <w:pPr>
        <w:spacing w:after="240"/>
        <w:rPr>
          <w:b/>
        </w:rPr>
      </w:pPr>
      <w:r w:rsidRPr="006B4AE5">
        <w:rPr>
          <w:b/>
        </w:rPr>
        <w:t>Kind of editorial change</w:t>
      </w:r>
    </w:p>
    <w:p w:rsidR="0066561E" w:rsidRPr="006B4AE5" w:rsidRDefault="0066561E" w:rsidP="0066561E">
      <w:pPr>
        <w:spacing w:after="240"/>
      </w:pPr>
      <w:r w:rsidRPr="006B4AE5">
        <w:t>Give effect to the misdescribed amendment as intended</w:t>
      </w:r>
    </w:p>
    <w:p w:rsidR="0066561E" w:rsidRPr="006B4AE5" w:rsidRDefault="0066561E" w:rsidP="0066561E">
      <w:pPr>
        <w:spacing w:after="240"/>
        <w:rPr>
          <w:b/>
        </w:rPr>
      </w:pPr>
      <w:r w:rsidRPr="006B4AE5">
        <w:rPr>
          <w:b/>
        </w:rPr>
        <w:t>Details of editorial change</w:t>
      </w:r>
    </w:p>
    <w:p w:rsidR="0066561E" w:rsidRPr="006B4AE5" w:rsidRDefault="0066561E" w:rsidP="0066561E">
      <w:pPr>
        <w:spacing w:after="240"/>
        <w:rPr>
          <w:szCs w:val="22"/>
        </w:rPr>
      </w:pPr>
      <w:r w:rsidRPr="006B4AE5">
        <w:rPr>
          <w:szCs w:val="22"/>
        </w:rPr>
        <w:t xml:space="preserve">Schedule 1 of the </w:t>
      </w:r>
      <w:r w:rsidRPr="006B4AE5">
        <w:rPr>
          <w:i/>
          <w:szCs w:val="22"/>
        </w:rPr>
        <w:t>Amendment of List of Exempt Native Specimens – Western Australian Sea Cucumber Fishery, May 2024</w:t>
      </w:r>
      <w:r w:rsidRPr="006B4AE5">
        <w:rPr>
          <w:szCs w:val="22"/>
        </w:rPr>
        <w:t xml:space="preserve"> provides as follows:</w:t>
      </w:r>
    </w:p>
    <w:p w:rsidR="0066561E" w:rsidRPr="006B4AE5" w:rsidRDefault="0066561E" w:rsidP="0066561E">
      <w:pPr>
        <w:rPr>
          <w:szCs w:val="22"/>
        </w:rPr>
      </w:pPr>
      <w:r w:rsidRPr="006B4AE5">
        <w:rPr>
          <w:szCs w:val="22"/>
        </w:rPr>
        <w:t>Under the heading Fisheries include in the list the following items and associated notations:</w:t>
      </w:r>
    </w:p>
    <w:tbl>
      <w:tblPr>
        <w:tblStyle w:val="TableGrid"/>
        <w:tblW w:w="0" w:type="auto"/>
        <w:tblLook w:val="04A0" w:firstRow="1" w:lastRow="0" w:firstColumn="1" w:lastColumn="0" w:noHBand="0" w:noVBand="1"/>
      </w:tblPr>
      <w:tblGrid>
        <w:gridCol w:w="3014"/>
        <w:gridCol w:w="7"/>
        <w:gridCol w:w="2993"/>
        <w:gridCol w:w="3002"/>
      </w:tblGrid>
      <w:tr w:rsidR="0066561E" w:rsidRPr="006B4AE5" w:rsidTr="005926F0">
        <w:trPr>
          <w:cantSplit/>
          <w:tblHeader/>
        </w:trPr>
        <w:tc>
          <w:tcPr>
            <w:tcW w:w="3021" w:type="dxa"/>
            <w:gridSpan w:val="2"/>
          </w:tcPr>
          <w:p w:rsidR="0066561E" w:rsidRPr="006B4AE5" w:rsidRDefault="0066561E" w:rsidP="005926F0">
            <w:pPr>
              <w:rPr>
                <w:b/>
                <w:szCs w:val="22"/>
              </w:rPr>
            </w:pPr>
            <w:r w:rsidRPr="006B4AE5">
              <w:rPr>
                <w:b/>
                <w:szCs w:val="22"/>
              </w:rPr>
              <w:t>Taxon/Item</w:t>
            </w:r>
          </w:p>
        </w:tc>
        <w:tc>
          <w:tcPr>
            <w:tcW w:w="2993" w:type="dxa"/>
          </w:tcPr>
          <w:p w:rsidR="0066561E" w:rsidRPr="006B4AE5" w:rsidRDefault="0066561E" w:rsidP="005926F0">
            <w:pPr>
              <w:rPr>
                <w:b/>
                <w:szCs w:val="22"/>
              </w:rPr>
            </w:pPr>
            <w:r w:rsidRPr="006B4AE5">
              <w:rPr>
                <w:b/>
                <w:szCs w:val="22"/>
              </w:rPr>
              <w:t>Common Name</w:t>
            </w:r>
          </w:p>
        </w:tc>
        <w:tc>
          <w:tcPr>
            <w:tcW w:w="3002" w:type="dxa"/>
          </w:tcPr>
          <w:p w:rsidR="0066561E" w:rsidRPr="006B4AE5" w:rsidRDefault="0066561E" w:rsidP="005926F0">
            <w:pPr>
              <w:rPr>
                <w:b/>
                <w:szCs w:val="22"/>
              </w:rPr>
            </w:pPr>
            <w:r w:rsidRPr="006B4AE5">
              <w:rPr>
                <w:b/>
                <w:szCs w:val="22"/>
              </w:rPr>
              <w:t>Notation</w:t>
            </w:r>
          </w:p>
        </w:tc>
      </w:tr>
      <w:tr w:rsidR="0066561E" w:rsidRPr="006B4AE5" w:rsidTr="005926F0">
        <w:trPr>
          <w:cantSplit/>
        </w:trPr>
        <w:tc>
          <w:tcPr>
            <w:tcW w:w="3014" w:type="dxa"/>
          </w:tcPr>
          <w:p w:rsidR="0066561E" w:rsidRPr="006B4AE5" w:rsidRDefault="0066561E" w:rsidP="005926F0">
            <w:pPr>
              <w:rPr>
                <w:rFonts w:asciiTheme="majorBidi" w:hAnsiTheme="majorBidi" w:cstheme="majorBidi"/>
                <w:szCs w:val="22"/>
              </w:rPr>
            </w:pPr>
            <w:r w:rsidRPr="006B4AE5">
              <w:rPr>
                <w:rFonts w:asciiTheme="majorBidi" w:hAnsiTheme="majorBidi" w:cstheme="majorBidi"/>
                <w:szCs w:val="22"/>
              </w:rPr>
              <w:t>Specimens that are or are derived from fish or invertebrates, other than specimens that belong to species listed under Part 13 of the EPBC Act (other than a species listed in the conservation dependent category) and specimens that belong to taxa listed under section 303CA of the EPBC Act (Australia’s CITES list), taken in the Western Australian Sea Cucumber Fishery,</w:t>
            </w:r>
          </w:p>
        </w:tc>
        <w:tc>
          <w:tcPr>
            <w:tcW w:w="3000" w:type="dxa"/>
            <w:gridSpan w:val="2"/>
          </w:tcPr>
          <w:p w:rsidR="0066561E" w:rsidRPr="006B4AE5" w:rsidRDefault="0066561E" w:rsidP="005926F0">
            <w:pPr>
              <w:rPr>
                <w:rFonts w:asciiTheme="majorBidi" w:hAnsiTheme="majorBidi" w:cstheme="majorBidi"/>
                <w:szCs w:val="22"/>
              </w:rPr>
            </w:pPr>
            <w:r w:rsidRPr="006B4AE5">
              <w:rPr>
                <w:rFonts w:asciiTheme="majorBidi" w:hAnsiTheme="majorBidi" w:cstheme="majorBidi"/>
                <w:szCs w:val="22"/>
              </w:rPr>
              <w:t>Western Australian Sea Cucumber (formerly Bech</w:t>
            </w:r>
            <w:r>
              <w:rPr>
                <w:rFonts w:asciiTheme="majorBidi" w:hAnsiTheme="majorBidi" w:cstheme="majorBidi"/>
                <w:szCs w:val="22"/>
              </w:rPr>
              <w:noBreakHyphen/>
            </w:r>
            <w:r w:rsidRPr="006B4AE5">
              <w:rPr>
                <w:rFonts w:asciiTheme="majorBidi" w:hAnsiTheme="majorBidi" w:cstheme="majorBidi"/>
                <w:szCs w:val="22"/>
              </w:rPr>
              <w:t>de</w:t>
            </w:r>
            <w:r>
              <w:rPr>
                <w:rFonts w:asciiTheme="majorBidi" w:hAnsiTheme="majorBidi" w:cstheme="majorBidi"/>
                <w:szCs w:val="22"/>
              </w:rPr>
              <w:noBreakHyphen/>
            </w:r>
            <w:r w:rsidRPr="006B4AE5">
              <w:rPr>
                <w:rFonts w:asciiTheme="majorBidi" w:hAnsiTheme="majorBidi" w:cstheme="majorBidi"/>
                <w:szCs w:val="22"/>
              </w:rPr>
              <w:t>mer) Fishery</w:t>
            </w:r>
          </w:p>
        </w:tc>
        <w:tc>
          <w:tcPr>
            <w:tcW w:w="3002" w:type="dxa"/>
          </w:tcPr>
          <w:p w:rsidR="0066561E" w:rsidRPr="006B4AE5" w:rsidRDefault="0066561E" w:rsidP="005926F0">
            <w:pPr>
              <w:tabs>
                <w:tab w:val="left" w:pos="1096"/>
              </w:tabs>
              <w:spacing w:line="240" w:lineRule="auto"/>
              <w:ind w:left="720" w:hanging="360"/>
              <w:rPr>
                <w:rFonts w:asciiTheme="majorBidi" w:hAnsiTheme="majorBidi" w:cstheme="majorBidi"/>
                <w:szCs w:val="22"/>
              </w:rPr>
            </w:pPr>
            <w:r w:rsidRPr="006B4AE5">
              <w:rPr>
                <w:rFonts w:ascii="Symbol" w:hAnsi="Symbol" w:cstheme="majorBidi"/>
                <w:szCs w:val="22"/>
              </w:rPr>
              <w:t></w:t>
            </w:r>
            <w:r w:rsidRPr="006B4AE5">
              <w:rPr>
                <w:rFonts w:ascii="Symbol" w:hAnsi="Symbol" w:cstheme="majorBidi"/>
                <w:szCs w:val="22"/>
              </w:rPr>
              <w:tab/>
            </w:r>
            <w:r w:rsidRPr="006B4AE5">
              <w:rPr>
                <w:rFonts w:asciiTheme="majorBidi" w:hAnsiTheme="majorBidi" w:cstheme="majorBidi"/>
                <w:szCs w:val="22"/>
              </w:rPr>
              <w:t>The specimen, or the fish or invertebrate from which it is derived, was taken lawfully; and,</w:t>
            </w:r>
          </w:p>
          <w:p w:rsidR="0066561E" w:rsidRPr="006B4AE5" w:rsidRDefault="0066561E" w:rsidP="005926F0">
            <w:pPr>
              <w:tabs>
                <w:tab w:val="left" w:pos="1096"/>
              </w:tabs>
              <w:spacing w:line="240" w:lineRule="auto"/>
              <w:ind w:left="720" w:hanging="360"/>
              <w:rPr>
                <w:rFonts w:asciiTheme="majorBidi" w:hAnsiTheme="majorBidi" w:cstheme="majorBidi"/>
                <w:szCs w:val="22"/>
              </w:rPr>
            </w:pPr>
            <w:r w:rsidRPr="006B4AE5">
              <w:rPr>
                <w:rFonts w:ascii="Symbol" w:hAnsi="Symbol" w:cstheme="majorBidi"/>
                <w:szCs w:val="22"/>
              </w:rPr>
              <w:t></w:t>
            </w:r>
            <w:r w:rsidRPr="006B4AE5">
              <w:rPr>
                <w:rFonts w:ascii="Symbol" w:hAnsi="Symbol" w:cstheme="majorBidi"/>
                <w:szCs w:val="22"/>
              </w:rPr>
              <w:tab/>
            </w:r>
            <w:r w:rsidRPr="006B4AE5">
              <w:rPr>
                <w:rFonts w:asciiTheme="majorBidi" w:hAnsiTheme="majorBidi" w:cstheme="majorBidi"/>
                <w:szCs w:val="22"/>
              </w:rPr>
              <w:t>The specimens are included in the list until 30 May 2025.</w:t>
            </w:r>
          </w:p>
        </w:tc>
      </w:tr>
    </w:tbl>
    <w:p w:rsidR="0066561E" w:rsidRPr="006B4AE5" w:rsidRDefault="0066561E" w:rsidP="0066561E">
      <w:pPr>
        <w:spacing w:before="240" w:after="240"/>
        <w:rPr>
          <w:rFonts w:cs="Times New Roman"/>
        </w:rPr>
      </w:pPr>
      <w:r w:rsidRPr="006B4AE5">
        <w:rPr>
          <w:rFonts w:cs="Times New Roman"/>
        </w:rPr>
        <w:t xml:space="preserve">The introductory text of the </w:t>
      </w:r>
      <w:r w:rsidRPr="006B4AE5">
        <w:rPr>
          <w:rFonts w:cs="Times New Roman"/>
          <w:i/>
        </w:rPr>
        <w:t>Amendment of List of Exempt Native Specimens – Western Australian Sea Cucumber Fishery, May 2024</w:t>
      </w:r>
      <w:r w:rsidRPr="006B4AE5">
        <w:rPr>
          <w:rFonts w:cs="Times New Roman"/>
        </w:rPr>
        <w:t xml:space="preserve"> and the explanatory statement make it clear that the amendment is </w:t>
      </w:r>
      <w:r w:rsidRPr="006B4AE5">
        <w:rPr>
          <w:rFonts w:cs="Times New Roman"/>
        </w:rPr>
        <w:lastRenderedPageBreak/>
        <w:t>intended to delete the Schedule 1 entry for the Western Australian Sea Cucumber (formerly Bech</w:t>
      </w:r>
      <w:r>
        <w:rPr>
          <w:szCs w:val="22"/>
        </w:rPr>
        <w:noBreakHyphen/>
      </w:r>
      <w:r w:rsidRPr="006B4AE5">
        <w:rPr>
          <w:rFonts w:cs="Times New Roman"/>
        </w:rPr>
        <w:t>de</w:t>
      </w:r>
      <w:r>
        <w:rPr>
          <w:szCs w:val="22"/>
        </w:rPr>
        <w:noBreakHyphen/>
      </w:r>
      <w:r w:rsidRPr="006B4AE5">
        <w:rPr>
          <w:rFonts w:cs="Times New Roman"/>
        </w:rPr>
        <w:t>mer) Fishery.</w:t>
      </w:r>
    </w:p>
    <w:p w:rsidR="0066561E" w:rsidRPr="006B4AE5" w:rsidRDefault="0066561E" w:rsidP="0066561E">
      <w:pPr>
        <w:spacing w:after="240"/>
        <w:rPr>
          <w:rFonts w:cs="Times New Roman"/>
        </w:rPr>
      </w:pPr>
      <w:r w:rsidRPr="006B4AE5">
        <w:rPr>
          <w:rFonts w:cs="Times New Roman"/>
        </w:rPr>
        <w:t>The text contained in the Notation column of the Schedule 1 entry for the Western Australian Sea Cucumber (formerly Bech</w:t>
      </w:r>
      <w:r>
        <w:rPr>
          <w:szCs w:val="22"/>
        </w:rPr>
        <w:noBreakHyphen/>
      </w:r>
      <w:r w:rsidRPr="006B4AE5">
        <w:rPr>
          <w:rFonts w:cs="Times New Roman"/>
        </w:rPr>
        <w:t>de</w:t>
      </w:r>
      <w:r>
        <w:rPr>
          <w:szCs w:val="22"/>
        </w:rPr>
        <w:noBreakHyphen/>
      </w:r>
      <w:r w:rsidRPr="006B4AE5">
        <w:rPr>
          <w:rFonts w:cs="Times New Roman"/>
        </w:rPr>
        <w:t xml:space="preserve">mer) Fishery does not exactly match the text to be omitted as outlined in Schedule 1 of the </w:t>
      </w:r>
      <w:r w:rsidRPr="006B4AE5">
        <w:rPr>
          <w:rFonts w:cs="Times New Roman"/>
          <w:i/>
        </w:rPr>
        <w:t>Amendment of List of Exempt Native Specimens – Western Australian Sea Cucumber Fishery, May 2024</w:t>
      </w:r>
      <w:r w:rsidRPr="006B4AE5">
        <w:rPr>
          <w:rFonts w:cs="Times New Roman"/>
        </w:rPr>
        <w:t>.</w:t>
      </w:r>
    </w:p>
    <w:p w:rsidR="0066561E" w:rsidRPr="006B4AE5" w:rsidRDefault="0066561E" w:rsidP="0066561E">
      <w:pPr>
        <w:rPr>
          <w:rFonts w:cs="Times New Roman"/>
        </w:rPr>
      </w:pPr>
      <w:r w:rsidRPr="006B4AE5">
        <w:rPr>
          <w:rFonts w:cs="Times New Roman"/>
        </w:rPr>
        <w:t>This compilation was editorially changed to omit the Schedule 1 entry for the Western Australian Sea Cucumber (formerly Bech</w:t>
      </w:r>
      <w:r>
        <w:rPr>
          <w:szCs w:val="22"/>
        </w:rPr>
        <w:noBreakHyphen/>
      </w:r>
      <w:r w:rsidRPr="006B4AE5">
        <w:rPr>
          <w:rFonts w:cs="Times New Roman"/>
        </w:rPr>
        <w:t>de</w:t>
      </w:r>
      <w:r>
        <w:rPr>
          <w:szCs w:val="22"/>
        </w:rPr>
        <w:noBreakHyphen/>
      </w:r>
      <w:r w:rsidRPr="006B4AE5">
        <w:rPr>
          <w:rFonts w:cs="Times New Roman"/>
        </w:rPr>
        <w:t>mer) Fishery and give effect to the misdescribed amendment as intended.</w:t>
      </w:r>
    </w:p>
    <w:p w:rsidR="000B720D" w:rsidRPr="00BE5F99" w:rsidRDefault="000B720D" w:rsidP="0037794C">
      <w:pPr>
        <w:pStyle w:val="Head2"/>
        <w:keepLines/>
        <w:spacing w:after="240"/>
      </w:pPr>
      <w:r w:rsidRPr="007B7EF1">
        <w:t>Telecommunications Act 1997</w:t>
      </w:r>
      <w:r>
        <w:t>, Compilation No. 110, Registration Date: 1</w:t>
      </w:r>
      <w:r w:rsidR="00E75327">
        <w:t>4</w:t>
      </w:r>
      <w:r>
        <w:t> June 202</w:t>
      </w:r>
      <w:r w:rsidRPr="00BE5F99">
        <w:t>4 [</w:t>
      </w:r>
      <w:r w:rsidR="00E75327" w:rsidRPr="00E75327">
        <w:t>C2024C00209</w:t>
      </w:r>
      <w:r w:rsidRPr="00BE5F99">
        <w:t>]</w:t>
      </w:r>
    </w:p>
    <w:p w:rsidR="00E75327" w:rsidRPr="007B7EF1" w:rsidRDefault="00E75327" w:rsidP="0037794C">
      <w:pPr>
        <w:keepNext/>
        <w:keepLines/>
        <w:spacing w:after="240"/>
        <w:rPr>
          <w:b/>
          <w:sz w:val="24"/>
          <w:szCs w:val="24"/>
        </w:rPr>
      </w:pPr>
      <w:r w:rsidRPr="007B7EF1">
        <w:rPr>
          <w:b/>
          <w:sz w:val="24"/>
          <w:szCs w:val="24"/>
        </w:rPr>
        <w:t>Paragraph 360U(1)(a)</w:t>
      </w:r>
    </w:p>
    <w:p w:rsidR="00E75327" w:rsidRPr="007B7EF1" w:rsidRDefault="00E75327" w:rsidP="0037794C">
      <w:pPr>
        <w:keepNext/>
        <w:keepLines/>
        <w:spacing w:after="240"/>
        <w:rPr>
          <w:b/>
        </w:rPr>
      </w:pPr>
      <w:r w:rsidRPr="007B7EF1">
        <w:rPr>
          <w:b/>
        </w:rPr>
        <w:t>Kind of editorial change</w:t>
      </w:r>
    </w:p>
    <w:p w:rsidR="00E75327" w:rsidRPr="007B7EF1" w:rsidRDefault="00E75327" w:rsidP="00E75327">
      <w:pPr>
        <w:spacing w:after="240"/>
      </w:pPr>
      <w:r w:rsidRPr="007B7EF1">
        <w:t>Give effect to the misdescribed amendment as intended</w:t>
      </w:r>
    </w:p>
    <w:p w:rsidR="00E75327" w:rsidRPr="007B7EF1" w:rsidRDefault="00E75327" w:rsidP="00E75327">
      <w:pPr>
        <w:spacing w:after="240"/>
        <w:rPr>
          <w:b/>
        </w:rPr>
      </w:pPr>
      <w:r w:rsidRPr="007B7EF1">
        <w:rPr>
          <w:b/>
        </w:rPr>
        <w:t>Details of editorial change</w:t>
      </w:r>
    </w:p>
    <w:p w:rsidR="00E75327" w:rsidRPr="007B7EF1" w:rsidRDefault="00E75327" w:rsidP="00E75327">
      <w:pPr>
        <w:spacing w:after="240"/>
      </w:pPr>
      <w:r>
        <w:t>Schedule 1</w:t>
      </w:r>
      <w:r w:rsidRPr="007B7EF1">
        <w:t xml:space="preserve"> </w:t>
      </w:r>
      <w:r>
        <w:t>item 1</w:t>
      </w:r>
      <w:r w:rsidRPr="007B7EF1">
        <w:t xml:space="preserve">37 of the </w:t>
      </w:r>
      <w:r w:rsidRPr="007B7EF1">
        <w:rPr>
          <w:i/>
        </w:rPr>
        <w:t>Telecommunications Legislation Amendment (Enhancing Consumer Safeguards and Other Measures) Act 2024</w:t>
      </w:r>
      <w:r w:rsidRPr="007B7EF1">
        <w:t xml:space="preserve"> instructs to insert “(whether or not relating to price or a method of ascertaining price)” after “terms or conditions” in paragraph 360U(1)(a).</w:t>
      </w:r>
    </w:p>
    <w:p w:rsidR="00E75327" w:rsidRPr="007B7EF1" w:rsidRDefault="00E75327" w:rsidP="00E75327">
      <w:pPr>
        <w:spacing w:after="240"/>
      </w:pPr>
      <w:r w:rsidRPr="007B7EF1">
        <w:t>The words “terms or conditions” do not appear in paragraph 360U(1)(a). However, the words “terms and conditions” do appear.</w:t>
      </w:r>
    </w:p>
    <w:p w:rsidR="00E75327" w:rsidRPr="007B7EF1" w:rsidRDefault="00E75327" w:rsidP="00E75327">
      <w:r w:rsidRPr="007B7EF1">
        <w:t>This compilation was editorially changed to insert “(whether or not relating to price or a method of ascertaining price)” after “terms and conditions” in paragraph 360U(1)(a) to give effect to the misdescribed amendment as intended.</w:t>
      </w:r>
    </w:p>
    <w:p w:rsidR="00F43977" w:rsidRPr="00BE5F99" w:rsidRDefault="00F43977" w:rsidP="00F43977">
      <w:pPr>
        <w:pStyle w:val="Head2"/>
        <w:keepLines/>
        <w:spacing w:after="240"/>
      </w:pPr>
      <w:r w:rsidRPr="001870A7">
        <w:t>Industry Research and Development Act 1986</w:t>
      </w:r>
      <w:r>
        <w:t xml:space="preserve">, Compilation No. 32, Registration Date: </w:t>
      </w:r>
      <w:r w:rsidR="00287352">
        <w:t>11</w:t>
      </w:r>
      <w:r>
        <w:t> June 202</w:t>
      </w:r>
      <w:r w:rsidRPr="00BE5F99">
        <w:t>4 [</w:t>
      </w:r>
      <w:r w:rsidR="00287352" w:rsidRPr="00287352">
        <w:t>C2024C00201</w:t>
      </w:r>
      <w:r w:rsidRPr="00BE5F99">
        <w:t>]</w:t>
      </w:r>
    </w:p>
    <w:p w:rsidR="00287352" w:rsidRPr="001870A7" w:rsidRDefault="00287352" w:rsidP="00287352">
      <w:pPr>
        <w:spacing w:after="240"/>
        <w:rPr>
          <w:b/>
          <w:sz w:val="24"/>
          <w:szCs w:val="24"/>
        </w:rPr>
      </w:pPr>
      <w:r>
        <w:rPr>
          <w:b/>
          <w:sz w:val="24"/>
          <w:szCs w:val="24"/>
        </w:rPr>
        <w:t>Section 3</w:t>
      </w:r>
      <w:r w:rsidRPr="001870A7">
        <w:rPr>
          <w:b/>
          <w:sz w:val="24"/>
          <w:szCs w:val="24"/>
        </w:rPr>
        <w:t>7 (heading)</w:t>
      </w:r>
    </w:p>
    <w:p w:rsidR="00287352" w:rsidRPr="001870A7" w:rsidRDefault="00287352" w:rsidP="00287352">
      <w:pPr>
        <w:spacing w:after="240"/>
        <w:rPr>
          <w:b/>
        </w:rPr>
      </w:pPr>
      <w:r w:rsidRPr="001870A7">
        <w:rPr>
          <w:b/>
        </w:rPr>
        <w:t>Kind of editorial change</w:t>
      </w:r>
    </w:p>
    <w:p w:rsidR="00287352" w:rsidRPr="001870A7" w:rsidRDefault="00287352" w:rsidP="00287352">
      <w:pPr>
        <w:spacing w:after="240"/>
      </w:pPr>
      <w:r w:rsidRPr="001870A7">
        <w:t>Give effect to the misdescribed amendment as intended and change to typeface</w:t>
      </w:r>
    </w:p>
    <w:p w:rsidR="00287352" w:rsidRPr="001870A7" w:rsidRDefault="00287352" w:rsidP="00287352">
      <w:pPr>
        <w:spacing w:after="240"/>
        <w:rPr>
          <w:b/>
        </w:rPr>
      </w:pPr>
      <w:r w:rsidRPr="001870A7">
        <w:rPr>
          <w:b/>
        </w:rPr>
        <w:t>Details of editorial change</w:t>
      </w:r>
    </w:p>
    <w:p w:rsidR="00287352" w:rsidRPr="001870A7" w:rsidRDefault="00287352" w:rsidP="00287352">
      <w:pPr>
        <w:spacing w:after="240"/>
      </w:pPr>
      <w:r>
        <w:t>Schedule 1</w:t>
      </w:r>
      <w:r w:rsidRPr="001870A7">
        <w:t xml:space="preserve"> </w:t>
      </w:r>
      <w:r>
        <w:t>item 9</w:t>
      </w:r>
      <w:r w:rsidRPr="001870A7">
        <w:t xml:space="preserve"> of the </w:t>
      </w:r>
      <w:r w:rsidRPr="001870A7">
        <w:rPr>
          <w:i/>
        </w:rPr>
        <w:t>Financial Framework (Supplementary Powers) Amendment Act 2024</w:t>
      </w:r>
      <w:r w:rsidRPr="001870A7">
        <w:t xml:space="preserve"> provides as follows:</w:t>
      </w:r>
    </w:p>
    <w:p w:rsidR="00287352" w:rsidRPr="001870A7" w:rsidRDefault="00287352" w:rsidP="00287352">
      <w:pPr>
        <w:pStyle w:val="ItemHead"/>
      </w:pPr>
      <w:r w:rsidRPr="001870A7">
        <w:t xml:space="preserve">9  </w:t>
      </w:r>
      <w:r>
        <w:t>Section 3</w:t>
      </w:r>
      <w:r w:rsidRPr="001870A7">
        <w:t>7 (heading)</w:t>
      </w:r>
    </w:p>
    <w:p w:rsidR="00287352" w:rsidRPr="001870A7" w:rsidRDefault="00287352" w:rsidP="00287352">
      <w:pPr>
        <w:pStyle w:val="Item"/>
      </w:pPr>
      <w:r w:rsidRPr="001870A7">
        <w:t>Omit “</w:t>
      </w:r>
      <w:r w:rsidRPr="001870A7">
        <w:rPr>
          <w:b/>
          <w:i/>
        </w:rPr>
        <w:t>certain other Acts</w:t>
      </w:r>
      <w:r w:rsidRPr="001870A7">
        <w:t>”, substitute “</w:t>
      </w:r>
      <w:r w:rsidRPr="001870A7">
        <w:rPr>
          <w:b/>
          <w:i/>
        </w:rPr>
        <w:t>the Public Governance, Performance and Accountability Act 2013</w:t>
      </w:r>
      <w:r w:rsidRPr="001870A7">
        <w:t>”.</w:t>
      </w:r>
    </w:p>
    <w:p w:rsidR="00287352" w:rsidRPr="001870A7" w:rsidRDefault="00287352" w:rsidP="00287352">
      <w:pPr>
        <w:spacing w:before="240" w:after="240"/>
      </w:pPr>
      <w:r w:rsidRPr="001870A7">
        <w:lastRenderedPageBreak/>
        <w:t>The words “</w:t>
      </w:r>
      <w:r w:rsidRPr="001870A7">
        <w:rPr>
          <w:b/>
          <w:i/>
        </w:rPr>
        <w:t>certain other Acts</w:t>
      </w:r>
      <w:r w:rsidRPr="001870A7">
        <w:t xml:space="preserve">” do not appear in the heading to </w:t>
      </w:r>
      <w:r>
        <w:t>section 3</w:t>
      </w:r>
      <w:r w:rsidRPr="001870A7">
        <w:t>7. However, the words “</w:t>
      </w:r>
      <w:r w:rsidRPr="001870A7">
        <w:rPr>
          <w:b/>
        </w:rPr>
        <w:t>certain other Acts</w:t>
      </w:r>
      <w:r w:rsidRPr="001870A7">
        <w:t>” do appear.</w:t>
      </w:r>
    </w:p>
    <w:p w:rsidR="00287352" w:rsidRPr="001870A7" w:rsidRDefault="00287352" w:rsidP="00287352">
      <w:pPr>
        <w:spacing w:after="240"/>
      </w:pPr>
      <w:r w:rsidRPr="001870A7">
        <w:t>Italics has been incorrectly applied to the word “</w:t>
      </w:r>
      <w:r w:rsidRPr="001870A7">
        <w:rPr>
          <w:b/>
          <w:i/>
        </w:rPr>
        <w:t>the</w:t>
      </w:r>
      <w:r w:rsidRPr="001870A7">
        <w:t>” in the substituted text.</w:t>
      </w:r>
    </w:p>
    <w:p w:rsidR="00287352" w:rsidRPr="001870A7" w:rsidRDefault="00287352" w:rsidP="00287352">
      <w:pPr>
        <w:rPr>
          <w:color w:val="000000"/>
        </w:rPr>
      </w:pPr>
      <w:r w:rsidRPr="001870A7">
        <w:t xml:space="preserve">This compilation was editorially changed to omit </w:t>
      </w:r>
      <w:r w:rsidRPr="001870A7">
        <w:rPr>
          <w:color w:val="000000"/>
        </w:rPr>
        <w:t>“</w:t>
      </w:r>
      <w:r w:rsidRPr="001870A7">
        <w:rPr>
          <w:b/>
          <w:bCs/>
          <w:iCs/>
          <w:color w:val="000000"/>
        </w:rPr>
        <w:t>certain other Acts</w:t>
      </w:r>
      <w:r w:rsidRPr="001870A7">
        <w:rPr>
          <w:color w:val="000000"/>
        </w:rPr>
        <w:t>” and substitute “</w:t>
      </w:r>
      <w:r w:rsidRPr="001870A7">
        <w:rPr>
          <w:b/>
          <w:bCs/>
          <w:iCs/>
          <w:color w:val="000000"/>
        </w:rPr>
        <w:t xml:space="preserve">the </w:t>
      </w:r>
      <w:r w:rsidRPr="001870A7">
        <w:rPr>
          <w:b/>
          <w:bCs/>
          <w:i/>
          <w:iCs/>
          <w:color w:val="000000"/>
        </w:rPr>
        <w:t>Public Governance, Performance and Accountability Act 2013</w:t>
      </w:r>
      <w:r w:rsidRPr="001870A7">
        <w:rPr>
          <w:color w:val="000000"/>
        </w:rPr>
        <w:t xml:space="preserve">” </w:t>
      </w:r>
      <w:r w:rsidRPr="001870A7">
        <w:t xml:space="preserve">in the heading to </w:t>
      </w:r>
      <w:r>
        <w:t>section 3</w:t>
      </w:r>
      <w:r w:rsidRPr="001870A7">
        <w:t xml:space="preserve">7 </w:t>
      </w:r>
      <w:r w:rsidRPr="001870A7">
        <w:rPr>
          <w:color w:val="000000"/>
        </w:rPr>
        <w:t>to give effect to the misdescribed amendment as intended and change the typeface to bring it into line with legislative drafting practice.</w:t>
      </w:r>
    </w:p>
    <w:p w:rsidR="00343325" w:rsidRPr="00BE5F99" w:rsidRDefault="00343325" w:rsidP="00343325">
      <w:pPr>
        <w:pStyle w:val="Head2"/>
        <w:keepLines/>
        <w:spacing w:after="240"/>
      </w:pPr>
      <w:r w:rsidRPr="007F6AC6">
        <w:t>Research Involving Human Embryos Act 2002</w:t>
      </w:r>
      <w:r>
        <w:t xml:space="preserve">, Compilation No. 8, Registration Date: </w:t>
      </w:r>
      <w:r w:rsidR="00026EE3">
        <w:t>7</w:t>
      </w:r>
      <w:r>
        <w:t> June 202</w:t>
      </w:r>
      <w:r w:rsidRPr="00BE5F99">
        <w:t>4 [</w:t>
      </w:r>
      <w:r w:rsidR="00026EE3" w:rsidRPr="00026EE3">
        <w:t>C2024C00200</w:t>
      </w:r>
      <w:r w:rsidRPr="00BE5F99">
        <w:t>]</w:t>
      </w:r>
    </w:p>
    <w:p w:rsidR="00026EE3" w:rsidRPr="007F6AC6" w:rsidRDefault="00026EE3" w:rsidP="00026EE3">
      <w:pPr>
        <w:spacing w:after="240"/>
        <w:rPr>
          <w:b/>
          <w:sz w:val="24"/>
          <w:szCs w:val="24"/>
        </w:rPr>
      </w:pPr>
      <w:r>
        <w:rPr>
          <w:b/>
          <w:sz w:val="24"/>
          <w:szCs w:val="24"/>
        </w:rPr>
        <w:t>Section 4</w:t>
      </w:r>
      <w:r w:rsidRPr="007F6AC6">
        <w:rPr>
          <w:b/>
          <w:sz w:val="24"/>
          <w:szCs w:val="24"/>
        </w:rPr>
        <w:t>6C (heading)</w:t>
      </w:r>
    </w:p>
    <w:p w:rsidR="00026EE3" w:rsidRPr="007F6AC6" w:rsidRDefault="00026EE3" w:rsidP="00026EE3">
      <w:pPr>
        <w:spacing w:after="240"/>
        <w:rPr>
          <w:b/>
        </w:rPr>
      </w:pPr>
      <w:r w:rsidRPr="007F6AC6">
        <w:rPr>
          <w:b/>
        </w:rPr>
        <w:t>Kind of editorial change</w:t>
      </w:r>
    </w:p>
    <w:p w:rsidR="00026EE3" w:rsidRPr="007F6AC6" w:rsidRDefault="00026EE3" w:rsidP="00026EE3">
      <w:pPr>
        <w:spacing w:after="240"/>
      </w:pPr>
      <w:r w:rsidRPr="007F6AC6">
        <w:t>Give effect to the misdescribed amendment as intended</w:t>
      </w:r>
    </w:p>
    <w:p w:rsidR="00026EE3" w:rsidRPr="007F6AC6" w:rsidRDefault="00026EE3" w:rsidP="00026EE3">
      <w:pPr>
        <w:spacing w:after="240"/>
        <w:rPr>
          <w:b/>
        </w:rPr>
      </w:pPr>
      <w:r w:rsidRPr="007F6AC6">
        <w:rPr>
          <w:b/>
        </w:rPr>
        <w:t>Details of editorial change</w:t>
      </w:r>
    </w:p>
    <w:p w:rsidR="00026EE3" w:rsidRPr="007F6AC6" w:rsidRDefault="00026EE3" w:rsidP="00026EE3">
      <w:pPr>
        <w:spacing w:after="240"/>
      </w:pPr>
      <w:r>
        <w:t>Schedule 1</w:t>
      </w:r>
      <w:r w:rsidRPr="007F6AC6">
        <w:t xml:space="preserve"> </w:t>
      </w:r>
      <w:r>
        <w:t>item 1</w:t>
      </w:r>
      <w:r w:rsidRPr="007F6AC6">
        <w:t xml:space="preserve">2 of the </w:t>
      </w:r>
      <w:r w:rsidRPr="007F6AC6">
        <w:rPr>
          <w:i/>
        </w:rPr>
        <w:t>Financial Framework (Supplementary Powers) Amendment Act 2024</w:t>
      </w:r>
      <w:r w:rsidRPr="007F6AC6">
        <w:t xml:space="preserve"> provides as follows:</w:t>
      </w:r>
    </w:p>
    <w:p w:rsidR="00026EE3" w:rsidRPr="007F6AC6" w:rsidRDefault="00026EE3" w:rsidP="00026EE3">
      <w:pPr>
        <w:pStyle w:val="ItemHead"/>
      </w:pPr>
      <w:r w:rsidRPr="007F6AC6">
        <w:t xml:space="preserve">12  </w:t>
      </w:r>
      <w:r>
        <w:t>Section 4</w:t>
      </w:r>
      <w:r w:rsidRPr="007F6AC6">
        <w:t>6C (heading)</w:t>
      </w:r>
    </w:p>
    <w:p w:rsidR="00026EE3" w:rsidRPr="007F6AC6" w:rsidRDefault="00026EE3" w:rsidP="00026EE3">
      <w:pPr>
        <w:pStyle w:val="Item"/>
      </w:pPr>
      <w:r w:rsidRPr="007F6AC6">
        <w:t>Omit “</w:t>
      </w:r>
      <w:r w:rsidRPr="007F6AC6">
        <w:rPr>
          <w:b/>
          <w:i/>
        </w:rPr>
        <w:t>certain other Acts</w:t>
      </w:r>
      <w:r w:rsidRPr="007F6AC6">
        <w:t>”, substitute “</w:t>
      </w:r>
      <w:r w:rsidRPr="007F6AC6">
        <w:rPr>
          <w:b/>
          <w:i/>
        </w:rPr>
        <w:t>the Public Governance, Performance and Accountability Act 2013</w:t>
      </w:r>
      <w:r w:rsidRPr="007F6AC6">
        <w:t>”.</w:t>
      </w:r>
    </w:p>
    <w:p w:rsidR="00026EE3" w:rsidRPr="007F6AC6" w:rsidRDefault="00026EE3" w:rsidP="00026EE3">
      <w:pPr>
        <w:spacing w:before="240" w:after="240"/>
      </w:pPr>
      <w:r w:rsidRPr="007F6AC6">
        <w:t>The words “</w:t>
      </w:r>
      <w:r w:rsidRPr="007F6AC6">
        <w:rPr>
          <w:b/>
          <w:i/>
        </w:rPr>
        <w:t>certain other Acts</w:t>
      </w:r>
      <w:r w:rsidRPr="007F6AC6">
        <w:t xml:space="preserve">” do not appear in the heading to </w:t>
      </w:r>
      <w:r>
        <w:t>section 4</w:t>
      </w:r>
      <w:r w:rsidRPr="007F6AC6">
        <w:t>6C. However, the words “</w:t>
      </w:r>
      <w:r w:rsidRPr="007F6AC6">
        <w:rPr>
          <w:b/>
        </w:rPr>
        <w:t>certain other Acts</w:t>
      </w:r>
      <w:r w:rsidRPr="007F6AC6">
        <w:t>” do appear.</w:t>
      </w:r>
    </w:p>
    <w:p w:rsidR="00026EE3" w:rsidRPr="007F6AC6" w:rsidRDefault="00026EE3" w:rsidP="00026EE3">
      <w:r w:rsidRPr="007F6AC6">
        <w:t>This compilation was editorially changed to omit “</w:t>
      </w:r>
      <w:r w:rsidRPr="007F6AC6">
        <w:rPr>
          <w:b/>
        </w:rPr>
        <w:t>certain other Acts</w:t>
      </w:r>
      <w:r w:rsidRPr="007F6AC6">
        <w:t>” and substitute “</w:t>
      </w:r>
      <w:r w:rsidRPr="007F6AC6">
        <w:rPr>
          <w:b/>
          <w:i/>
        </w:rPr>
        <w:t>the Public Governance, Performance and Accountability Act 2013</w:t>
      </w:r>
      <w:r w:rsidRPr="007F6AC6">
        <w:t xml:space="preserve">” in the heading to </w:t>
      </w:r>
      <w:r>
        <w:t>section 4</w:t>
      </w:r>
      <w:r w:rsidRPr="007F6AC6">
        <w:t>6C to give effect to the misdescribed amendment as intended.</w:t>
      </w:r>
    </w:p>
    <w:p w:rsidR="00F530F0" w:rsidRPr="00BE5F99" w:rsidRDefault="00F530F0" w:rsidP="00F530F0">
      <w:pPr>
        <w:pStyle w:val="Head2"/>
        <w:keepLines/>
        <w:spacing w:after="240"/>
      </w:pPr>
      <w:r w:rsidRPr="00251987">
        <w:t>National Capital Plan 1990 (December 1990)</w:t>
      </w:r>
      <w:r>
        <w:t>, Compilation No. 31, Registration Date: 5 June 202</w:t>
      </w:r>
      <w:r w:rsidRPr="00BE5F99">
        <w:t>4 [</w:t>
      </w:r>
      <w:r w:rsidRPr="00F530F0">
        <w:t>F2024C00463</w:t>
      </w:r>
      <w:r w:rsidRPr="00BE5F99">
        <w:t>]</w:t>
      </w:r>
    </w:p>
    <w:p w:rsidR="00E2036D" w:rsidRPr="00B925E9" w:rsidRDefault="00E2036D" w:rsidP="00E2036D">
      <w:pPr>
        <w:spacing w:after="240"/>
        <w:rPr>
          <w:b/>
          <w:sz w:val="24"/>
          <w:szCs w:val="22"/>
        </w:rPr>
      </w:pPr>
      <w:r w:rsidRPr="00B925E9">
        <w:rPr>
          <w:b/>
          <w:sz w:val="24"/>
          <w:szCs w:val="22"/>
        </w:rPr>
        <w:t>Section 4.15.1 (Figure 129) and Part Four(b) (Figure 145)</w:t>
      </w:r>
    </w:p>
    <w:p w:rsidR="00E2036D" w:rsidRPr="00B925E9" w:rsidRDefault="00E2036D" w:rsidP="00E2036D">
      <w:pPr>
        <w:spacing w:after="240"/>
        <w:rPr>
          <w:b/>
          <w:szCs w:val="22"/>
        </w:rPr>
      </w:pPr>
      <w:r w:rsidRPr="00B925E9">
        <w:rPr>
          <w:b/>
          <w:szCs w:val="22"/>
        </w:rPr>
        <w:t>Kind of editorial change</w:t>
      </w:r>
    </w:p>
    <w:p w:rsidR="00E2036D" w:rsidRPr="00B925E9" w:rsidRDefault="00E2036D" w:rsidP="00E2036D">
      <w:pPr>
        <w:spacing w:after="240"/>
        <w:rPr>
          <w:szCs w:val="22"/>
        </w:rPr>
      </w:pPr>
      <w:r w:rsidRPr="00B925E9">
        <w:rPr>
          <w:szCs w:val="22"/>
        </w:rPr>
        <w:t>Give effect to the misdescribed amendments as intended</w:t>
      </w:r>
    </w:p>
    <w:p w:rsidR="00E2036D" w:rsidRPr="00B925E9" w:rsidRDefault="00E2036D" w:rsidP="00E2036D">
      <w:pPr>
        <w:spacing w:after="240"/>
        <w:rPr>
          <w:b/>
          <w:szCs w:val="22"/>
        </w:rPr>
      </w:pPr>
      <w:r w:rsidRPr="00B925E9">
        <w:rPr>
          <w:b/>
          <w:szCs w:val="22"/>
        </w:rPr>
        <w:t>Details of editorial change</w:t>
      </w:r>
    </w:p>
    <w:p w:rsidR="00E2036D" w:rsidRDefault="00E2036D" w:rsidP="00E2036D">
      <w:pPr>
        <w:spacing w:after="240"/>
      </w:pPr>
      <w:r>
        <w:t xml:space="preserve">Schedule 1 items 3 and 4 of the </w:t>
      </w:r>
      <w:r>
        <w:rPr>
          <w:i/>
          <w:iCs/>
        </w:rPr>
        <w:t>National Capital Plan Amendment (No. 96 – Monaro Highway and Hume Industrial Estate) Amending Instrument 2024</w:t>
      </w:r>
      <w:r>
        <w:t xml:space="preserve"> instruct to repeal and substitute Figure 127 in section 4.15.1 and Figure 143 in Part Four(b).</w:t>
      </w:r>
    </w:p>
    <w:p w:rsidR="00E2036D" w:rsidRDefault="00E2036D" w:rsidP="00E2036D">
      <w:pPr>
        <w:spacing w:after="240"/>
      </w:pPr>
      <w:r>
        <w:t>However, in the previous compilation Figures 127 and 143 were renumbered as Figures 129 and 145.</w:t>
      </w:r>
    </w:p>
    <w:p w:rsidR="00E2036D" w:rsidRDefault="00E2036D" w:rsidP="00E2036D">
      <w:pPr>
        <w:spacing w:line="240" w:lineRule="auto"/>
      </w:pPr>
      <w:r>
        <w:lastRenderedPageBreak/>
        <w:t>This compilation was editorially changed to repeal and substitute Figure 129 in section 4.15.1 and Figure 145 in Part Four(b) to give effect to the misdescribed amendments as intended.</w:t>
      </w:r>
    </w:p>
    <w:p w:rsidR="005A3704" w:rsidRPr="00BE5F99" w:rsidRDefault="005A3704" w:rsidP="0037794C">
      <w:pPr>
        <w:pStyle w:val="Head2"/>
        <w:keepLines/>
        <w:spacing w:after="240"/>
      </w:pPr>
      <w:r w:rsidRPr="002F5832">
        <w:t>National Greenhouse and Energy Reporting (Safeguard Mechanism) Rule 2015</w:t>
      </w:r>
      <w:r>
        <w:t>, Compilation No. 12, Registration Date: 13 May 202</w:t>
      </w:r>
      <w:r w:rsidRPr="00BE5F99">
        <w:t>4 [</w:t>
      </w:r>
      <w:r w:rsidRPr="005A3704">
        <w:t>F2024C00433</w:t>
      </w:r>
      <w:r w:rsidRPr="00BE5F99">
        <w:t>]</w:t>
      </w:r>
    </w:p>
    <w:p w:rsidR="001A7B4E" w:rsidRPr="002F5832" w:rsidRDefault="001A7B4E" w:rsidP="0037794C">
      <w:pPr>
        <w:keepNext/>
        <w:keepLines/>
        <w:spacing w:after="240"/>
        <w:rPr>
          <w:b/>
          <w:sz w:val="24"/>
          <w:szCs w:val="24"/>
        </w:rPr>
      </w:pPr>
      <w:r w:rsidRPr="002F5832">
        <w:rPr>
          <w:b/>
          <w:sz w:val="24"/>
          <w:szCs w:val="24"/>
        </w:rPr>
        <w:t>Paragraph 24(1)(e) of Schedule 1</w:t>
      </w:r>
    </w:p>
    <w:p w:rsidR="001A7B4E" w:rsidRPr="002F5832" w:rsidRDefault="001A7B4E" w:rsidP="0037794C">
      <w:pPr>
        <w:keepNext/>
        <w:keepLines/>
        <w:spacing w:after="240"/>
        <w:rPr>
          <w:b/>
        </w:rPr>
      </w:pPr>
      <w:r w:rsidRPr="002F5832">
        <w:rPr>
          <w:b/>
        </w:rPr>
        <w:t>Kind of editorial change</w:t>
      </w:r>
    </w:p>
    <w:p w:rsidR="001A7B4E" w:rsidRPr="002F5832" w:rsidRDefault="001A7B4E" w:rsidP="001A7B4E">
      <w:pPr>
        <w:spacing w:after="240"/>
      </w:pPr>
      <w:r w:rsidRPr="002F5832">
        <w:rPr>
          <w:color w:val="000000"/>
          <w:szCs w:val="22"/>
        </w:rPr>
        <w:t>Give effect to the misdescribed amendment as intended</w:t>
      </w:r>
    </w:p>
    <w:p w:rsidR="001A7B4E" w:rsidRPr="002F5832" w:rsidRDefault="001A7B4E" w:rsidP="001A7B4E">
      <w:pPr>
        <w:spacing w:after="240"/>
        <w:rPr>
          <w:b/>
        </w:rPr>
      </w:pPr>
      <w:r w:rsidRPr="002F5832">
        <w:rPr>
          <w:b/>
        </w:rPr>
        <w:t>Details of editorial change</w:t>
      </w:r>
    </w:p>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t xml:space="preserve">Schedule 1 item 26 of the </w:t>
      </w:r>
      <w:r w:rsidRPr="002F5832">
        <w:rPr>
          <w:i/>
          <w:iCs/>
        </w:rPr>
        <w:t>National Greenhouse and Energy Reporting (Safeguard Mechanism) Amendment (Production Variables Update) Rules</w:t>
      </w:r>
      <w:r w:rsidRPr="002F5832">
        <w:rPr>
          <w:rFonts w:eastAsia="Times New Roman" w:cs="Times New Roman"/>
          <w:i/>
          <w:color w:val="000000"/>
          <w:szCs w:val="22"/>
          <w:lang w:eastAsia="en-AU"/>
        </w:rPr>
        <w:t> </w:t>
      </w:r>
      <w:r w:rsidRPr="002F5832">
        <w:rPr>
          <w:i/>
          <w:iCs/>
        </w:rPr>
        <w:t>2024</w:t>
      </w:r>
      <w:r w:rsidRPr="002F5832">
        <w:rPr>
          <w:rFonts w:eastAsia="Times New Roman" w:cs="Times New Roman"/>
          <w:color w:val="000000"/>
          <w:szCs w:val="22"/>
          <w:lang w:eastAsia="en-AU"/>
        </w:rPr>
        <w:t xml:space="preserve"> instructs to repeal and substitute paragraph 24(1)(e).</w:t>
      </w:r>
    </w:p>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t>Paragraph 24(1)(e) does not appear. However, paragraph 24(1)(e) of Schedule 1 does appear.</w:t>
      </w:r>
    </w:p>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t xml:space="preserve">This compilation was editorially changed to repeal and substitute paragraph 24(1)(e) of Schedule 1 </w:t>
      </w:r>
      <w:r>
        <w:rPr>
          <w:rFonts w:eastAsia="Times New Roman" w:cs="Times New Roman"/>
          <w:color w:val="000000"/>
          <w:szCs w:val="22"/>
          <w:lang w:eastAsia="en-AU"/>
        </w:rPr>
        <w:t xml:space="preserve">to </w:t>
      </w:r>
      <w:r w:rsidRPr="002F5832">
        <w:rPr>
          <w:rFonts w:eastAsia="Times New Roman" w:cs="Times New Roman"/>
          <w:color w:val="000000"/>
          <w:szCs w:val="22"/>
          <w:lang w:eastAsia="en-AU"/>
        </w:rPr>
        <w:t>give effect to the misdescribed amendment as intended.</w:t>
      </w:r>
    </w:p>
    <w:p w:rsidR="001A7B4E" w:rsidRPr="002F5832" w:rsidRDefault="001A7B4E" w:rsidP="00403F16">
      <w:pPr>
        <w:keepNext/>
        <w:keepLines/>
        <w:spacing w:after="240" w:line="240" w:lineRule="auto"/>
        <w:rPr>
          <w:b/>
          <w:sz w:val="24"/>
          <w:szCs w:val="24"/>
        </w:rPr>
      </w:pPr>
      <w:r w:rsidRPr="002F5832">
        <w:rPr>
          <w:b/>
          <w:sz w:val="24"/>
          <w:szCs w:val="24"/>
        </w:rPr>
        <w:t>Section 33 of Schedule 1</w:t>
      </w:r>
    </w:p>
    <w:p w:rsidR="001A7B4E" w:rsidRPr="002F5832" w:rsidRDefault="001A7B4E" w:rsidP="00403F16">
      <w:pPr>
        <w:keepNext/>
        <w:keepLines/>
        <w:spacing w:after="240"/>
        <w:rPr>
          <w:b/>
        </w:rPr>
      </w:pPr>
      <w:r w:rsidRPr="002F5832">
        <w:rPr>
          <w:b/>
        </w:rPr>
        <w:t>Kind of editorial change</w:t>
      </w:r>
    </w:p>
    <w:p w:rsidR="001A7B4E" w:rsidRPr="002F5832" w:rsidRDefault="001A7B4E" w:rsidP="00403F16">
      <w:pPr>
        <w:keepNext/>
        <w:keepLines/>
        <w:spacing w:after="240"/>
      </w:pPr>
      <w:r w:rsidRPr="002F5832">
        <w:rPr>
          <w:color w:val="000000"/>
          <w:szCs w:val="22"/>
        </w:rPr>
        <w:t>Give effect to the misdescribed amendment as intended</w:t>
      </w:r>
    </w:p>
    <w:p w:rsidR="001A7B4E" w:rsidRPr="002F5832" w:rsidRDefault="001A7B4E" w:rsidP="00403F16">
      <w:pPr>
        <w:keepNext/>
        <w:keepLines/>
        <w:spacing w:after="240"/>
        <w:rPr>
          <w:b/>
        </w:rPr>
      </w:pPr>
      <w:r w:rsidRPr="002F5832">
        <w:rPr>
          <w:b/>
        </w:rPr>
        <w:t>Details of editorial change</w:t>
      </w:r>
    </w:p>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t xml:space="preserve">Schedule 1 item 32 of the </w:t>
      </w:r>
      <w:bookmarkStart w:id="40" w:name="_Hlk150930789"/>
      <w:r w:rsidRPr="002F5832">
        <w:rPr>
          <w:i/>
          <w:iCs/>
        </w:rPr>
        <w:t>National Greenhouse and Energy Reporting (Safeguard Mechanism) Amendment (Production Variables Update) Rules</w:t>
      </w:r>
      <w:r w:rsidRPr="002F5832">
        <w:rPr>
          <w:rFonts w:eastAsia="Times New Roman" w:cs="Times New Roman"/>
          <w:i/>
          <w:color w:val="000000"/>
          <w:szCs w:val="22"/>
          <w:lang w:eastAsia="en-AU"/>
        </w:rPr>
        <w:t> </w:t>
      </w:r>
      <w:r w:rsidRPr="002F5832">
        <w:rPr>
          <w:i/>
          <w:iCs/>
        </w:rPr>
        <w:t>2024</w:t>
      </w:r>
      <w:bookmarkEnd w:id="40"/>
      <w:r w:rsidRPr="002F5832">
        <w:rPr>
          <w:rFonts w:eastAsia="Times New Roman" w:cs="Times New Roman"/>
          <w:color w:val="000000"/>
          <w:szCs w:val="22"/>
          <w:lang w:eastAsia="en-AU"/>
        </w:rPr>
        <w:t xml:space="preserve"> instructs to repeal and substitute section 33 of Schedule 1.</w:t>
      </w:r>
    </w:p>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t>This amendment repeals the section heading but does not replace it.</w:t>
      </w:r>
    </w:p>
    <w:p w:rsidR="001A7B4E" w:rsidRPr="002F5832" w:rsidRDefault="001A7B4E" w:rsidP="001A7B4E">
      <w:pPr>
        <w:spacing w:after="240" w:line="240" w:lineRule="auto"/>
      </w:pPr>
      <w:r w:rsidRPr="002F5832">
        <w:rPr>
          <w:rFonts w:eastAsia="Times New Roman" w:cs="Times New Roman"/>
          <w:color w:val="000000"/>
          <w:szCs w:val="22"/>
          <w:lang w:eastAsia="en-AU"/>
        </w:rPr>
        <w:t>This compilation was editorially changed to reinsert the heading to section 33 of Schedule 1 and give effect to the misdescribed amendment as intended.</w:t>
      </w:r>
    </w:p>
    <w:p w:rsidR="001A7B4E" w:rsidRPr="002F5832" w:rsidRDefault="001A7B4E" w:rsidP="001A7B4E">
      <w:pPr>
        <w:spacing w:after="240"/>
        <w:rPr>
          <w:b/>
          <w:sz w:val="24"/>
          <w:szCs w:val="24"/>
        </w:rPr>
      </w:pPr>
      <w:r w:rsidRPr="002F5832">
        <w:rPr>
          <w:b/>
          <w:sz w:val="24"/>
          <w:szCs w:val="24"/>
        </w:rPr>
        <w:t>Division 9 of Part 20 of Schedule 1 (heading)</w:t>
      </w:r>
    </w:p>
    <w:p w:rsidR="001A7B4E" w:rsidRPr="002F5832" w:rsidRDefault="001A7B4E" w:rsidP="001A7B4E">
      <w:pPr>
        <w:spacing w:after="240"/>
        <w:rPr>
          <w:b/>
        </w:rPr>
      </w:pPr>
      <w:r w:rsidRPr="002F5832">
        <w:rPr>
          <w:b/>
        </w:rPr>
        <w:t>Kind of editorial change</w:t>
      </w:r>
    </w:p>
    <w:p w:rsidR="001A7B4E" w:rsidRPr="002F5832" w:rsidRDefault="001A7B4E" w:rsidP="001A7B4E">
      <w:pPr>
        <w:spacing w:after="240"/>
      </w:pPr>
      <w:r w:rsidRPr="002F5832">
        <w:rPr>
          <w:color w:val="000000"/>
          <w:szCs w:val="22"/>
        </w:rPr>
        <w:t>Give effect to the misdescribed amendment as intended</w:t>
      </w:r>
    </w:p>
    <w:p w:rsidR="001A7B4E" w:rsidRPr="002F5832" w:rsidRDefault="001A7B4E" w:rsidP="001A7B4E">
      <w:pPr>
        <w:spacing w:after="240"/>
        <w:rPr>
          <w:b/>
        </w:rPr>
      </w:pPr>
      <w:r w:rsidRPr="002F5832">
        <w:rPr>
          <w:b/>
        </w:rPr>
        <w:t>Details of editorial change</w:t>
      </w:r>
    </w:p>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t xml:space="preserve">Schedule 1 item 46 of the </w:t>
      </w:r>
      <w:r w:rsidRPr="002F5832">
        <w:rPr>
          <w:i/>
          <w:iCs/>
        </w:rPr>
        <w:t>National Greenhouse and Energy Reporting (Safeguard Mechanism) Amendment (Production Variables Update) Rules</w:t>
      </w:r>
      <w:r w:rsidRPr="002F5832">
        <w:rPr>
          <w:rFonts w:eastAsia="Times New Roman" w:cs="Times New Roman"/>
          <w:i/>
          <w:color w:val="000000"/>
          <w:szCs w:val="22"/>
          <w:lang w:eastAsia="en-AU"/>
        </w:rPr>
        <w:t> </w:t>
      </w:r>
      <w:r w:rsidRPr="002F5832">
        <w:rPr>
          <w:i/>
          <w:iCs/>
        </w:rPr>
        <w:t>2024</w:t>
      </w:r>
      <w:r w:rsidRPr="002F5832">
        <w:rPr>
          <w:rFonts w:eastAsia="Times New Roman" w:cs="Times New Roman"/>
          <w:color w:val="000000"/>
          <w:szCs w:val="22"/>
          <w:lang w:eastAsia="en-AU"/>
        </w:rPr>
        <w:t xml:space="preserve"> provides as follows:</w:t>
      </w:r>
    </w:p>
    <w:p w:rsidR="001A7B4E" w:rsidRPr="002F5832" w:rsidRDefault="001A7B4E" w:rsidP="001A7B4E">
      <w:pPr>
        <w:pStyle w:val="ItemHead"/>
      </w:pPr>
      <w:bookmarkStart w:id="41" w:name="_Hlk166060342"/>
      <w:r w:rsidRPr="002F5832">
        <w:t>46  Division 9 of Part 20 of Schedule 1 (heading)</w:t>
      </w:r>
    </w:p>
    <w:p w:rsidR="001A7B4E" w:rsidRPr="002F5832" w:rsidRDefault="001A7B4E" w:rsidP="001A7B4E">
      <w:pPr>
        <w:keepLines/>
        <w:spacing w:before="80" w:after="240"/>
        <w:ind w:left="709"/>
      </w:pPr>
      <w:r w:rsidRPr="002F5832">
        <w:t>Omit “products”.</w:t>
      </w:r>
    </w:p>
    <w:bookmarkEnd w:id="41"/>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lastRenderedPageBreak/>
        <w:t>The word “products” appears twice in the heading to Division 9 of Part 20 of Schedule 1.</w:t>
      </w:r>
    </w:p>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t>This compilation was editorially changed to omit “products” (second occurring) from the heading to Division 9 of Part 20 of Schedule 1 to give effect to the misdescribed amendment as intended.</w:t>
      </w:r>
    </w:p>
    <w:p w:rsidR="001A7B4E" w:rsidRPr="002F5832" w:rsidRDefault="001A7B4E" w:rsidP="001A7B4E">
      <w:pPr>
        <w:spacing w:after="240"/>
        <w:rPr>
          <w:b/>
          <w:sz w:val="24"/>
          <w:szCs w:val="24"/>
        </w:rPr>
      </w:pPr>
      <w:r w:rsidRPr="002F5832">
        <w:rPr>
          <w:b/>
          <w:sz w:val="24"/>
          <w:szCs w:val="24"/>
        </w:rPr>
        <w:t>Paragraph 97(4)(b) of Schedule 1</w:t>
      </w:r>
    </w:p>
    <w:p w:rsidR="001A7B4E" w:rsidRPr="002F5832" w:rsidRDefault="001A7B4E" w:rsidP="001A7B4E">
      <w:pPr>
        <w:spacing w:after="240"/>
        <w:rPr>
          <w:b/>
        </w:rPr>
      </w:pPr>
      <w:r w:rsidRPr="002F5832">
        <w:rPr>
          <w:b/>
        </w:rPr>
        <w:t>Kind of editorial change</w:t>
      </w:r>
    </w:p>
    <w:p w:rsidR="001A7B4E" w:rsidRPr="002F5832" w:rsidRDefault="001A7B4E" w:rsidP="001A7B4E">
      <w:pPr>
        <w:spacing w:after="240"/>
      </w:pPr>
      <w:r w:rsidRPr="002F5832">
        <w:rPr>
          <w:color w:val="000000"/>
          <w:szCs w:val="22"/>
        </w:rPr>
        <w:t>Give effect to the misdescribed amendment as intended</w:t>
      </w:r>
    </w:p>
    <w:p w:rsidR="001A7B4E" w:rsidRPr="002F5832" w:rsidRDefault="001A7B4E" w:rsidP="001A7B4E">
      <w:pPr>
        <w:spacing w:after="240"/>
        <w:rPr>
          <w:b/>
        </w:rPr>
      </w:pPr>
      <w:r w:rsidRPr="002F5832">
        <w:rPr>
          <w:b/>
        </w:rPr>
        <w:t>Details of editorial change</w:t>
      </w:r>
    </w:p>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t xml:space="preserve">Schedule 1 item 68 of the </w:t>
      </w:r>
      <w:r w:rsidRPr="002F5832">
        <w:rPr>
          <w:i/>
          <w:iCs/>
        </w:rPr>
        <w:t>National Greenhouse and Energy Reporting (Safeguard Mechanism) Amendment (Production Variables Update) Rules</w:t>
      </w:r>
      <w:r w:rsidRPr="002F5832">
        <w:rPr>
          <w:rFonts w:eastAsia="Times New Roman" w:cs="Times New Roman"/>
          <w:i/>
          <w:color w:val="000000"/>
          <w:szCs w:val="22"/>
          <w:lang w:eastAsia="en-AU"/>
        </w:rPr>
        <w:t> </w:t>
      </w:r>
      <w:r w:rsidRPr="002F5832">
        <w:rPr>
          <w:i/>
          <w:iCs/>
        </w:rPr>
        <w:t>2024</w:t>
      </w:r>
      <w:r w:rsidRPr="002F5832">
        <w:rPr>
          <w:rFonts w:eastAsia="Times New Roman" w:cs="Times New Roman"/>
          <w:color w:val="000000"/>
          <w:szCs w:val="22"/>
          <w:lang w:eastAsia="en-AU"/>
        </w:rPr>
        <w:t xml:space="preserve"> instructs to omit “</w:t>
      </w:r>
      <w:r w:rsidRPr="002F5832">
        <w:rPr>
          <w:szCs w:val="22"/>
          <w:shd w:val="clear" w:color="auto" w:fill="FFFFFF"/>
        </w:rPr>
        <w:t>stabilised crude petroleum oil, condensate, tallow, vegetable oil and eligible feedstocks</w:t>
      </w:r>
      <w:r w:rsidRPr="002F5832">
        <w:rPr>
          <w:rFonts w:eastAsia="Times New Roman" w:cs="Times New Roman"/>
          <w:color w:val="000000"/>
          <w:szCs w:val="22"/>
          <w:lang w:eastAsia="en-AU"/>
        </w:rPr>
        <w:t>” and substitute “</w:t>
      </w:r>
      <w:r w:rsidRPr="002F5832">
        <w:rPr>
          <w:rFonts w:eastAsia="Times New Roman"/>
          <w:szCs w:val="22"/>
          <w:lang w:eastAsia="en-AU"/>
        </w:rPr>
        <w:t xml:space="preserve">stabilised crude petroleum, condensate, </w:t>
      </w:r>
      <w:r w:rsidRPr="002F5832">
        <w:rPr>
          <w:szCs w:val="22"/>
          <w:shd w:val="clear" w:color="auto" w:fill="FFFFFF"/>
        </w:rPr>
        <w:t>biogenic oils, liquid synthetic hydrocarbons, alcohol feedstocks, waste or recycled material that has undergone pyrolysis, eligible petroleum feedstocks and bio</w:t>
      </w:r>
      <w:r>
        <w:rPr>
          <w:szCs w:val="22"/>
          <w:shd w:val="clear" w:color="auto" w:fill="FFFFFF"/>
        </w:rPr>
        <w:noBreakHyphen/>
      </w:r>
      <w:r w:rsidRPr="002F5832">
        <w:rPr>
          <w:szCs w:val="22"/>
          <w:shd w:val="clear" w:color="auto" w:fill="FFFFFF"/>
        </w:rPr>
        <w:t>crude or bio</w:t>
      </w:r>
      <w:r>
        <w:rPr>
          <w:szCs w:val="22"/>
          <w:shd w:val="clear" w:color="auto" w:fill="FFFFFF"/>
        </w:rPr>
        <w:noBreakHyphen/>
      </w:r>
      <w:r w:rsidRPr="002F5832">
        <w:rPr>
          <w:szCs w:val="22"/>
          <w:shd w:val="clear" w:color="auto" w:fill="FFFFFF"/>
        </w:rPr>
        <w:t>intermediates produced from thermochemical processes</w:t>
      </w:r>
      <w:r w:rsidRPr="002F5832">
        <w:rPr>
          <w:rFonts w:eastAsia="Times New Roman" w:cs="Times New Roman"/>
          <w:color w:val="000000"/>
          <w:szCs w:val="22"/>
          <w:lang w:eastAsia="en-AU"/>
        </w:rPr>
        <w:t>” in paragraph 97(4)(b) of Schedule 1.</w:t>
      </w:r>
    </w:p>
    <w:p w:rsidR="001A7B4E" w:rsidRPr="002F5832" w:rsidRDefault="001A7B4E" w:rsidP="001A7B4E">
      <w:pPr>
        <w:spacing w:after="240" w:line="240" w:lineRule="auto"/>
        <w:rPr>
          <w:rFonts w:eastAsia="Times New Roman" w:cs="Times New Roman"/>
          <w:color w:val="000000"/>
          <w:szCs w:val="22"/>
          <w:lang w:eastAsia="en-AU"/>
        </w:rPr>
      </w:pPr>
      <w:r w:rsidRPr="002F5832">
        <w:rPr>
          <w:rFonts w:eastAsia="Times New Roman" w:cs="Times New Roman"/>
          <w:color w:val="000000"/>
          <w:szCs w:val="22"/>
          <w:lang w:eastAsia="en-AU"/>
        </w:rPr>
        <w:t>The text “</w:t>
      </w:r>
      <w:r w:rsidRPr="002F5832">
        <w:rPr>
          <w:szCs w:val="22"/>
          <w:shd w:val="clear" w:color="auto" w:fill="FFFFFF"/>
        </w:rPr>
        <w:t>stabilised crude petroleum oil, condensate, tallow, vegetable oil and eligible feedstocks</w:t>
      </w:r>
      <w:r w:rsidRPr="002F5832">
        <w:rPr>
          <w:rFonts w:eastAsia="Times New Roman" w:cs="Times New Roman"/>
          <w:color w:val="000000"/>
          <w:szCs w:val="22"/>
          <w:lang w:eastAsia="en-AU"/>
        </w:rPr>
        <w:t>” does not appear in paragraph 97(4)(b) of Schedule 1. However, the text “</w:t>
      </w:r>
      <w:r w:rsidRPr="002F5832">
        <w:rPr>
          <w:szCs w:val="22"/>
          <w:shd w:val="clear" w:color="auto" w:fill="FFFFFF"/>
        </w:rPr>
        <w:t>stabilised crude petroleum oil, condensate, tallow, vegetable oil and eligible petroleum feedstocks</w:t>
      </w:r>
      <w:r w:rsidRPr="002F5832">
        <w:rPr>
          <w:rFonts w:eastAsia="Times New Roman" w:cs="Times New Roman"/>
          <w:color w:val="000000"/>
          <w:szCs w:val="22"/>
          <w:lang w:eastAsia="en-AU"/>
        </w:rPr>
        <w:t>” appears twice.</w:t>
      </w:r>
    </w:p>
    <w:p w:rsidR="001A7B4E" w:rsidRPr="002F5832" w:rsidRDefault="001A7B4E" w:rsidP="001A7B4E">
      <w:pPr>
        <w:spacing w:line="240" w:lineRule="auto"/>
        <w:rPr>
          <w:rFonts w:eastAsia="Times New Roman" w:cs="Times New Roman"/>
          <w:color w:val="000000"/>
          <w:szCs w:val="22"/>
          <w:lang w:eastAsia="en-AU"/>
        </w:rPr>
      </w:pPr>
      <w:r w:rsidRPr="002F5832">
        <w:rPr>
          <w:rFonts w:eastAsia="Times New Roman" w:cs="Times New Roman"/>
          <w:color w:val="000000"/>
          <w:szCs w:val="22"/>
          <w:lang w:eastAsia="en-AU"/>
        </w:rPr>
        <w:t>This compilation was editorially changed to omit “</w:t>
      </w:r>
      <w:r w:rsidRPr="002F5832">
        <w:rPr>
          <w:szCs w:val="22"/>
          <w:shd w:val="clear" w:color="auto" w:fill="FFFFFF"/>
        </w:rPr>
        <w:t>stabilised crude petroleum oil, condensate, tallow, vegetable oil and eligible petroleum feedstocks</w:t>
      </w:r>
      <w:r w:rsidRPr="002F5832">
        <w:rPr>
          <w:rFonts w:eastAsia="Times New Roman" w:cs="Times New Roman"/>
          <w:color w:val="000000"/>
          <w:szCs w:val="22"/>
          <w:lang w:eastAsia="en-AU"/>
        </w:rPr>
        <w:t>” (wherever occurring) and substitute “</w:t>
      </w:r>
      <w:r w:rsidRPr="002F5832">
        <w:rPr>
          <w:rFonts w:eastAsia="Times New Roman"/>
          <w:szCs w:val="22"/>
          <w:lang w:eastAsia="en-AU"/>
        </w:rPr>
        <w:t xml:space="preserve">stabilised crude petroleum, condensate, </w:t>
      </w:r>
      <w:r w:rsidRPr="002F5832">
        <w:rPr>
          <w:szCs w:val="22"/>
          <w:shd w:val="clear" w:color="auto" w:fill="FFFFFF"/>
        </w:rPr>
        <w:t>biogenic oils, liquid synthetic hydrocarbons, alcohol feedstocks, waste or recycled material that has undergone pyrolysis, eligible petroleum feedstocks and bio</w:t>
      </w:r>
      <w:r>
        <w:rPr>
          <w:szCs w:val="22"/>
          <w:shd w:val="clear" w:color="auto" w:fill="FFFFFF"/>
        </w:rPr>
        <w:noBreakHyphen/>
      </w:r>
      <w:r w:rsidRPr="002F5832">
        <w:rPr>
          <w:szCs w:val="22"/>
          <w:shd w:val="clear" w:color="auto" w:fill="FFFFFF"/>
        </w:rPr>
        <w:t>crude or bio</w:t>
      </w:r>
      <w:r>
        <w:rPr>
          <w:szCs w:val="22"/>
          <w:shd w:val="clear" w:color="auto" w:fill="FFFFFF"/>
        </w:rPr>
        <w:noBreakHyphen/>
      </w:r>
      <w:r w:rsidRPr="002F5832">
        <w:rPr>
          <w:szCs w:val="22"/>
          <w:shd w:val="clear" w:color="auto" w:fill="FFFFFF"/>
        </w:rPr>
        <w:t>intermediates produced from thermochemical processes</w:t>
      </w:r>
      <w:r w:rsidRPr="002F5832">
        <w:rPr>
          <w:rFonts w:eastAsia="Times New Roman" w:cs="Times New Roman"/>
          <w:color w:val="000000"/>
          <w:szCs w:val="22"/>
          <w:lang w:eastAsia="en-AU"/>
        </w:rPr>
        <w:t>” in paragraph 97(4)(b) of Schedule 1 to give effect to the misdescribed amendment as intended.</w:t>
      </w:r>
    </w:p>
    <w:p w:rsidR="002C372A" w:rsidRPr="00BE5F99" w:rsidRDefault="002C372A" w:rsidP="002C372A">
      <w:pPr>
        <w:pStyle w:val="Head2"/>
        <w:keepLines/>
        <w:spacing w:after="240"/>
      </w:pPr>
      <w:r w:rsidRPr="002D7D4A">
        <w:t>List of Exempt Native Specimens Instrument 2001</w:t>
      </w:r>
      <w:r>
        <w:t xml:space="preserve">, Compilation No. 416, Registration Date: </w:t>
      </w:r>
      <w:r w:rsidR="006471ED">
        <w:t>10</w:t>
      </w:r>
      <w:r>
        <w:t> May 202</w:t>
      </w:r>
      <w:r w:rsidRPr="00BE5F99">
        <w:t>4 [</w:t>
      </w:r>
      <w:r w:rsidR="006471ED" w:rsidRPr="006471ED">
        <w:t>F2024C00427</w:t>
      </w:r>
      <w:r w:rsidRPr="00BE5F99">
        <w:t>]</w:t>
      </w:r>
    </w:p>
    <w:p w:rsidR="006471ED" w:rsidRDefault="006471ED" w:rsidP="006471ED">
      <w:pPr>
        <w:spacing w:after="240"/>
        <w:rPr>
          <w:b/>
          <w:sz w:val="24"/>
          <w:szCs w:val="24"/>
        </w:rPr>
      </w:pPr>
      <w:r w:rsidRPr="00AD34D9">
        <w:rPr>
          <w:b/>
          <w:sz w:val="24"/>
          <w:szCs w:val="24"/>
        </w:rPr>
        <w:t>Schedule 1, entry for New South Wales Southern Cross Botanicals Beach-cast Sea Kelp Fishery</w:t>
      </w:r>
    </w:p>
    <w:p w:rsidR="006471ED" w:rsidRPr="004549F1" w:rsidRDefault="006471ED" w:rsidP="006471ED">
      <w:pPr>
        <w:spacing w:after="240"/>
        <w:rPr>
          <w:b/>
        </w:rPr>
      </w:pPr>
      <w:r w:rsidRPr="004549F1">
        <w:rPr>
          <w:b/>
        </w:rPr>
        <w:t>Kind of editorial change</w:t>
      </w:r>
    </w:p>
    <w:p w:rsidR="006471ED" w:rsidRPr="0018341F" w:rsidRDefault="006471ED" w:rsidP="006471ED">
      <w:pPr>
        <w:spacing w:after="240"/>
      </w:pPr>
      <w:r w:rsidRPr="00AD34D9">
        <w:t>Give effect to the misdescribed amendment as intended</w:t>
      </w:r>
    </w:p>
    <w:p w:rsidR="006471ED" w:rsidRPr="004549F1" w:rsidRDefault="006471ED" w:rsidP="006471ED">
      <w:pPr>
        <w:spacing w:after="240"/>
        <w:rPr>
          <w:b/>
        </w:rPr>
      </w:pPr>
      <w:r w:rsidRPr="004549F1">
        <w:rPr>
          <w:b/>
        </w:rPr>
        <w:t>Details of editorial change</w:t>
      </w:r>
    </w:p>
    <w:p w:rsidR="006471ED" w:rsidRPr="00384D36" w:rsidRDefault="006471ED" w:rsidP="006471ED">
      <w:pPr>
        <w:spacing w:after="240"/>
        <w:rPr>
          <w:szCs w:val="22"/>
        </w:rPr>
      </w:pPr>
      <w:r w:rsidRPr="00384D36">
        <w:rPr>
          <w:szCs w:val="22"/>
        </w:rPr>
        <w:t xml:space="preserve">Schedule 1 of the </w:t>
      </w:r>
      <w:r w:rsidRPr="00C825BD">
        <w:rPr>
          <w:i/>
          <w:szCs w:val="22"/>
        </w:rPr>
        <w:t>Amendment of List of Exempt Native Specimens – New South Wales Marine Vegetation Fishery, April 2024</w:t>
      </w:r>
      <w:r w:rsidRPr="00384D36">
        <w:rPr>
          <w:szCs w:val="22"/>
        </w:rPr>
        <w:t xml:space="preserve"> provides as follows:</w:t>
      </w:r>
    </w:p>
    <w:p w:rsidR="006471ED" w:rsidRPr="00384D36" w:rsidRDefault="006471ED" w:rsidP="006471ED">
      <w:pPr>
        <w:rPr>
          <w:szCs w:val="22"/>
        </w:rPr>
      </w:pPr>
      <w:r w:rsidRPr="00384D36">
        <w:rPr>
          <w:szCs w:val="22"/>
        </w:rPr>
        <w:t>Under the heading Freshwater and Marine Animals delete from the list the following items and any associated notations:</w:t>
      </w:r>
    </w:p>
    <w:tbl>
      <w:tblPr>
        <w:tblStyle w:val="TableGrid"/>
        <w:tblW w:w="5000" w:type="pct"/>
        <w:tblLook w:val="04A0" w:firstRow="1" w:lastRow="0" w:firstColumn="1" w:lastColumn="0" w:noHBand="0" w:noVBand="1"/>
      </w:tblPr>
      <w:tblGrid>
        <w:gridCol w:w="3697"/>
        <w:gridCol w:w="2773"/>
        <w:gridCol w:w="2773"/>
      </w:tblGrid>
      <w:tr w:rsidR="006471ED" w:rsidRPr="00BC1A6F" w:rsidTr="005A3704">
        <w:trPr>
          <w:tblHeader/>
        </w:trPr>
        <w:tc>
          <w:tcPr>
            <w:tcW w:w="2000" w:type="pct"/>
          </w:tcPr>
          <w:p w:rsidR="006471ED" w:rsidRPr="0000289C" w:rsidRDefault="006471ED" w:rsidP="005A3704">
            <w:pPr>
              <w:widowControl w:val="0"/>
              <w:rPr>
                <w:b/>
                <w:szCs w:val="22"/>
              </w:rPr>
            </w:pPr>
            <w:r w:rsidRPr="0000289C">
              <w:rPr>
                <w:b/>
                <w:szCs w:val="22"/>
              </w:rPr>
              <w:t>Taxon/Item</w:t>
            </w:r>
          </w:p>
        </w:tc>
        <w:tc>
          <w:tcPr>
            <w:tcW w:w="1500" w:type="pct"/>
          </w:tcPr>
          <w:p w:rsidR="006471ED" w:rsidRPr="0000289C" w:rsidRDefault="006471ED" w:rsidP="005A3704">
            <w:pPr>
              <w:widowControl w:val="0"/>
              <w:rPr>
                <w:b/>
                <w:szCs w:val="22"/>
              </w:rPr>
            </w:pPr>
            <w:r w:rsidRPr="0000289C">
              <w:rPr>
                <w:b/>
                <w:szCs w:val="22"/>
              </w:rPr>
              <w:t>Common Name</w:t>
            </w:r>
          </w:p>
        </w:tc>
        <w:tc>
          <w:tcPr>
            <w:tcW w:w="1500" w:type="pct"/>
          </w:tcPr>
          <w:p w:rsidR="006471ED" w:rsidRPr="0000289C" w:rsidRDefault="006471ED" w:rsidP="005A3704">
            <w:pPr>
              <w:widowControl w:val="0"/>
              <w:rPr>
                <w:b/>
                <w:szCs w:val="22"/>
              </w:rPr>
            </w:pPr>
            <w:r w:rsidRPr="0000289C">
              <w:rPr>
                <w:b/>
                <w:szCs w:val="22"/>
              </w:rPr>
              <w:t>Notation</w:t>
            </w:r>
          </w:p>
        </w:tc>
      </w:tr>
      <w:tr w:rsidR="006471ED" w:rsidRPr="00BC1A6F" w:rsidTr="005A3704">
        <w:tc>
          <w:tcPr>
            <w:tcW w:w="2000" w:type="pct"/>
          </w:tcPr>
          <w:p w:rsidR="006471ED" w:rsidRPr="0000289C" w:rsidRDefault="006471ED" w:rsidP="005A3704">
            <w:pPr>
              <w:widowControl w:val="0"/>
              <w:rPr>
                <w:rFonts w:eastAsia="Times New Roman"/>
                <w:color w:val="000000"/>
                <w:szCs w:val="22"/>
                <w:lang w:eastAsia="en-AU"/>
              </w:rPr>
            </w:pPr>
            <w:r w:rsidRPr="0000289C">
              <w:rPr>
                <w:rFonts w:eastAsia="Times New Roman"/>
                <w:color w:val="000000"/>
                <w:szCs w:val="22"/>
                <w:lang w:eastAsia="en-AU"/>
              </w:rPr>
              <w:t>Specimens that are or are derived from marine vegetation taken under permits issued by the NSW Department of Primary Industries in accordance with the</w:t>
            </w:r>
            <w:r w:rsidRPr="0000289C">
              <w:rPr>
                <w:rFonts w:eastAsia="Times New Roman"/>
                <w:szCs w:val="22"/>
                <w:lang w:eastAsia="en-AU"/>
              </w:rPr>
              <w:t> </w:t>
            </w:r>
            <w:r w:rsidRPr="0000289C">
              <w:rPr>
                <w:rFonts w:eastAsia="Times New Roman"/>
                <w:i/>
                <w:iCs/>
                <w:color w:val="000000"/>
                <w:szCs w:val="22"/>
                <w:lang w:eastAsia="en-AU"/>
              </w:rPr>
              <w:t xml:space="preserve">Fisheries Management </w:t>
            </w:r>
            <w:r w:rsidRPr="0000289C">
              <w:rPr>
                <w:rFonts w:eastAsia="Times New Roman"/>
                <w:i/>
                <w:iCs/>
                <w:color w:val="000000"/>
                <w:szCs w:val="22"/>
                <w:lang w:eastAsia="en-AU"/>
              </w:rPr>
              <w:lastRenderedPageBreak/>
              <w:t>Act 1994</w:t>
            </w:r>
            <w:r w:rsidRPr="0000289C">
              <w:rPr>
                <w:rFonts w:eastAsia="Times New Roman"/>
                <w:color w:val="000000"/>
                <w:szCs w:val="22"/>
                <w:lang w:eastAsia="en-AU"/>
              </w:rPr>
              <w:t> (NSW), </w:t>
            </w:r>
            <w:r w:rsidRPr="0000289C">
              <w:rPr>
                <w:rFonts w:eastAsia="Times New Roman"/>
                <w:i/>
                <w:iCs/>
                <w:color w:val="000000"/>
                <w:szCs w:val="22"/>
                <w:lang w:eastAsia="en-AU"/>
              </w:rPr>
              <w:t>Marine Estate Management Act </w:t>
            </w:r>
            <w:r w:rsidRPr="0000289C">
              <w:rPr>
                <w:rFonts w:eastAsia="Times New Roman"/>
                <w:color w:val="000000"/>
                <w:szCs w:val="22"/>
                <w:lang w:eastAsia="en-AU"/>
              </w:rPr>
              <w:t>2014 (NSW), Fisheries Management (General) Regulation 2019</w:t>
            </w:r>
            <w:r w:rsidRPr="0000289C">
              <w:rPr>
                <w:rFonts w:eastAsia="Times New Roman"/>
                <w:i/>
                <w:iCs/>
                <w:color w:val="000000"/>
                <w:szCs w:val="22"/>
                <w:lang w:eastAsia="en-AU"/>
              </w:rPr>
              <w:t> </w:t>
            </w:r>
            <w:r w:rsidRPr="0000289C">
              <w:rPr>
                <w:rFonts w:eastAsia="Times New Roman"/>
                <w:color w:val="000000"/>
                <w:szCs w:val="22"/>
                <w:lang w:eastAsia="en-AU"/>
              </w:rPr>
              <w:t>(NSW)</w:t>
            </w:r>
            <w:r w:rsidRPr="0000289C">
              <w:rPr>
                <w:rFonts w:eastAsia="Times New Roman"/>
                <w:i/>
                <w:iCs/>
                <w:color w:val="000000"/>
                <w:szCs w:val="22"/>
                <w:lang w:eastAsia="en-AU"/>
              </w:rPr>
              <w:t>,</w:t>
            </w:r>
            <w:r w:rsidRPr="0000289C">
              <w:rPr>
                <w:rFonts w:eastAsia="Times New Roman"/>
                <w:color w:val="000000"/>
                <w:szCs w:val="22"/>
                <w:lang w:eastAsia="en-AU"/>
              </w:rPr>
              <w:t> the</w:t>
            </w:r>
            <w:r w:rsidRPr="0000289C">
              <w:rPr>
                <w:rFonts w:eastAsia="Times New Roman"/>
                <w:i/>
                <w:iCs/>
                <w:color w:val="000000"/>
                <w:szCs w:val="22"/>
                <w:lang w:eastAsia="en-AU"/>
              </w:rPr>
              <w:t> </w:t>
            </w:r>
            <w:r w:rsidRPr="0000289C">
              <w:rPr>
                <w:rFonts w:eastAsia="Times New Roman"/>
                <w:color w:val="000000"/>
                <w:szCs w:val="22"/>
                <w:lang w:eastAsia="en-AU"/>
              </w:rPr>
              <w:t>Fisheries Management (Aquaculture) Regulation 2017</w:t>
            </w:r>
            <w:r w:rsidRPr="0000289C">
              <w:rPr>
                <w:rFonts w:eastAsia="Times New Roman"/>
                <w:i/>
                <w:iCs/>
                <w:color w:val="000000"/>
                <w:szCs w:val="22"/>
                <w:lang w:eastAsia="en-AU"/>
              </w:rPr>
              <w:t> </w:t>
            </w:r>
            <w:r w:rsidRPr="0000289C">
              <w:rPr>
                <w:rFonts w:eastAsia="Times New Roman"/>
                <w:color w:val="000000"/>
                <w:szCs w:val="22"/>
                <w:lang w:eastAsia="en-AU"/>
              </w:rPr>
              <w:t>(NSW) and the Marine Estate Management Regulation 2017 (NSW), but not including:</w:t>
            </w:r>
          </w:p>
          <w:p w:rsidR="006471ED" w:rsidRPr="0000289C" w:rsidRDefault="006471ED" w:rsidP="005A3704">
            <w:pPr>
              <w:widowControl w:val="0"/>
              <w:ind w:left="357" w:hanging="357"/>
              <w:rPr>
                <w:rFonts w:eastAsia="Times New Roman"/>
                <w:color w:val="000000"/>
                <w:szCs w:val="22"/>
                <w:lang w:eastAsia="en-AU"/>
              </w:rPr>
            </w:pPr>
            <w:r w:rsidRPr="0000289C">
              <w:rPr>
                <w:rFonts w:eastAsia="Times New Roman"/>
                <w:color w:val="000000"/>
                <w:szCs w:val="22"/>
                <w:lang w:eastAsia="en-AU"/>
              </w:rPr>
              <w:t>(a)  specimens that belong to taxa listed under section 209 of the EPBC Act (Australia’s List of Migratory Species), or</w:t>
            </w:r>
          </w:p>
          <w:p w:rsidR="006471ED" w:rsidRPr="0000289C" w:rsidRDefault="006471ED" w:rsidP="005A3704">
            <w:pPr>
              <w:widowControl w:val="0"/>
              <w:ind w:left="357" w:hanging="357"/>
              <w:rPr>
                <w:rFonts w:eastAsia="Times New Roman"/>
                <w:color w:val="000000"/>
                <w:szCs w:val="22"/>
                <w:lang w:eastAsia="en-AU"/>
              </w:rPr>
            </w:pPr>
            <w:r w:rsidRPr="0000289C">
              <w:rPr>
                <w:rFonts w:eastAsia="Times New Roman"/>
                <w:color w:val="000000"/>
                <w:szCs w:val="22"/>
                <w:lang w:eastAsia="en-AU"/>
              </w:rPr>
              <w:t>(b)  specimens that belong to taxa listed under section 248 of the EPBC Act (Australia’s List of Marine Species), or</w:t>
            </w:r>
          </w:p>
          <w:p w:rsidR="006471ED" w:rsidRPr="0000289C" w:rsidRDefault="006471ED" w:rsidP="005A3704">
            <w:pPr>
              <w:widowControl w:val="0"/>
              <w:ind w:left="357" w:hanging="357"/>
              <w:rPr>
                <w:rFonts w:eastAsia="Times New Roman"/>
                <w:color w:val="000000"/>
                <w:szCs w:val="22"/>
                <w:lang w:eastAsia="en-AU"/>
              </w:rPr>
            </w:pPr>
            <w:r w:rsidRPr="0000289C">
              <w:rPr>
                <w:rFonts w:eastAsia="Times New Roman"/>
                <w:color w:val="000000"/>
                <w:szCs w:val="22"/>
                <w:lang w:eastAsia="en-AU"/>
              </w:rPr>
              <w:t>(c)  specimens that belong to eligible listed threatened species, as defined under section 303BC of the EPBC Act, or</w:t>
            </w:r>
          </w:p>
          <w:p w:rsidR="006471ED" w:rsidRPr="0000289C" w:rsidRDefault="006471ED" w:rsidP="005A3704">
            <w:pPr>
              <w:widowControl w:val="0"/>
              <w:ind w:left="357" w:hanging="357"/>
              <w:rPr>
                <w:rFonts w:eastAsia="Times New Roman"/>
                <w:color w:val="000000"/>
                <w:szCs w:val="22"/>
                <w:lang w:eastAsia="en-AU"/>
              </w:rPr>
            </w:pPr>
            <w:r w:rsidRPr="0000289C">
              <w:rPr>
                <w:rFonts w:eastAsia="Times New Roman"/>
                <w:color w:val="000000"/>
                <w:szCs w:val="22"/>
                <w:lang w:eastAsia="en-AU"/>
              </w:rPr>
              <w:t>(d)  specimens that belong to taxa listed under section 303CA of the EPBC Act (Australia’s CITES List).</w:t>
            </w:r>
          </w:p>
        </w:tc>
        <w:tc>
          <w:tcPr>
            <w:tcW w:w="1500" w:type="pct"/>
          </w:tcPr>
          <w:p w:rsidR="006471ED" w:rsidRPr="0000289C" w:rsidRDefault="006471ED" w:rsidP="005A3704">
            <w:pPr>
              <w:widowControl w:val="0"/>
              <w:rPr>
                <w:szCs w:val="22"/>
              </w:rPr>
            </w:pPr>
            <w:r w:rsidRPr="0000289C">
              <w:rPr>
                <w:color w:val="000000"/>
                <w:szCs w:val="22"/>
              </w:rPr>
              <w:lastRenderedPageBreak/>
              <w:t>New South Wales Southern Cross Botanicals Beach-cast Sea Kelp Fishery</w:t>
            </w:r>
          </w:p>
        </w:tc>
        <w:tc>
          <w:tcPr>
            <w:tcW w:w="1500" w:type="pct"/>
          </w:tcPr>
          <w:p w:rsidR="006471ED" w:rsidRPr="0000289C" w:rsidRDefault="006471ED" w:rsidP="006471ED">
            <w:pPr>
              <w:pStyle w:val="listbullet0"/>
              <w:widowControl w:val="0"/>
              <w:numPr>
                <w:ilvl w:val="0"/>
                <w:numId w:val="48"/>
              </w:numPr>
              <w:spacing w:before="0" w:beforeAutospacing="0" w:after="0" w:afterAutospacing="0"/>
              <w:rPr>
                <w:color w:val="000000"/>
                <w:sz w:val="22"/>
                <w:szCs w:val="22"/>
              </w:rPr>
            </w:pPr>
            <w:r w:rsidRPr="0000289C">
              <w:rPr>
                <w:color w:val="000000"/>
                <w:sz w:val="22"/>
                <w:szCs w:val="22"/>
              </w:rPr>
              <w:t xml:space="preserve">The specimen, or the marine vegetation from which it is derived, was taken lawfully; </w:t>
            </w:r>
            <w:r w:rsidRPr="0000289C">
              <w:rPr>
                <w:color w:val="000000"/>
                <w:sz w:val="22"/>
                <w:szCs w:val="22"/>
              </w:rPr>
              <w:lastRenderedPageBreak/>
              <w:t>and</w:t>
            </w:r>
          </w:p>
          <w:p w:rsidR="006471ED" w:rsidRPr="0000289C" w:rsidRDefault="006471ED" w:rsidP="006471ED">
            <w:pPr>
              <w:pStyle w:val="listbullet0"/>
              <w:widowControl w:val="0"/>
              <w:numPr>
                <w:ilvl w:val="0"/>
                <w:numId w:val="48"/>
              </w:numPr>
              <w:spacing w:before="0" w:beforeAutospacing="0" w:after="0" w:afterAutospacing="0"/>
              <w:rPr>
                <w:color w:val="000000"/>
                <w:sz w:val="22"/>
                <w:szCs w:val="22"/>
              </w:rPr>
            </w:pPr>
            <w:r w:rsidRPr="0000289C">
              <w:rPr>
                <w:color w:val="000000"/>
                <w:sz w:val="22"/>
                <w:szCs w:val="22"/>
              </w:rPr>
              <w:t>The specimens are included in the list until 7 April 2024.</w:t>
            </w:r>
          </w:p>
        </w:tc>
      </w:tr>
    </w:tbl>
    <w:p w:rsidR="006471ED" w:rsidRPr="00384D36" w:rsidRDefault="006471ED" w:rsidP="006471ED">
      <w:pPr>
        <w:spacing w:before="240" w:after="240"/>
        <w:rPr>
          <w:szCs w:val="22"/>
        </w:rPr>
      </w:pPr>
      <w:r w:rsidRPr="001F3758">
        <w:rPr>
          <w:szCs w:val="22"/>
        </w:rPr>
        <w:lastRenderedPageBreak/>
        <w:t>The text contained in the Taxon/Item and Notation columns</w:t>
      </w:r>
      <w:r w:rsidRPr="00384D36">
        <w:rPr>
          <w:szCs w:val="22"/>
        </w:rPr>
        <w:t xml:space="preserve"> of the Schedule 1 entry for the New South Wales Southern Cross Botanicals Beach-cast Sea Kelp Fishery does not exactly match the text to be omitted as outlined in Schedule 1 of the </w:t>
      </w:r>
      <w:r w:rsidRPr="00666B3C">
        <w:rPr>
          <w:i/>
          <w:szCs w:val="22"/>
        </w:rPr>
        <w:t>Amendment of List of Exempt Native Specimens – New South Wales Marine Vegetation Fishery, April 2024</w:t>
      </w:r>
      <w:r w:rsidRPr="00384D36">
        <w:rPr>
          <w:szCs w:val="22"/>
        </w:rPr>
        <w:t>.</w:t>
      </w:r>
    </w:p>
    <w:p w:rsidR="006471ED" w:rsidRPr="004549F1" w:rsidRDefault="006471ED" w:rsidP="006471ED">
      <w:pPr>
        <w:spacing w:after="240"/>
      </w:pPr>
      <w:r w:rsidRPr="00384D36">
        <w:rPr>
          <w:szCs w:val="22"/>
        </w:rPr>
        <w:t>This compilation was editorially changed to omit the Schedule 1 entry for the New South Wales Southern Cross Botanicals Beach-cast Sea Kelp Fishery and give effect to the misdescribed amendment as intended.</w:t>
      </w:r>
    </w:p>
    <w:p w:rsidR="006471ED" w:rsidRDefault="006471ED" w:rsidP="00C01D6A">
      <w:pPr>
        <w:keepNext/>
        <w:keepLines/>
        <w:spacing w:after="240"/>
        <w:rPr>
          <w:b/>
          <w:sz w:val="24"/>
          <w:szCs w:val="24"/>
        </w:rPr>
      </w:pPr>
      <w:r w:rsidRPr="00AD34D9">
        <w:rPr>
          <w:b/>
          <w:sz w:val="24"/>
          <w:szCs w:val="24"/>
        </w:rPr>
        <w:t>Schedule</w:t>
      </w:r>
      <w:r>
        <w:rPr>
          <w:b/>
          <w:sz w:val="24"/>
          <w:szCs w:val="24"/>
        </w:rPr>
        <w:t xml:space="preserve"> 1</w:t>
      </w:r>
      <w:r w:rsidRPr="00AD34D9">
        <w:rPr>
          <w:b/>
          <w:sz w:val="24"/>
          <w:szCs w:val="24"/>
        </w:rPr>
        <w:t xml:space="preserve">, entry for New South Wales </w:t>
      </w:r>
      <w:r>
        <w:rPr>
          <w:b/>
          <w:sz w:val="24"/>
          <w:szCs w:val="24"/>
        </w:rPr>
        <w:t>Marine Vegetation</w:t>
      </w:r>
      <w:r w:rsidRPr="00AD34D9">
        <w:rPr>
          <w:b/>
          <w:sz w:val="24"/>
          <w:szCs w:val="24"/>
        </w:rPr>
        <w:t xml:space="preserve"> Fishery</w:t>
      </w:r>
    </w:p>
    <w:p w:rsidR="006471ED" w:rsidRPr="004549F1" w:rsidRDefault="006471ED" w:rsidP="00C01D6A">
      <w:pPr>
        <w:keepNext/>
        <w:keepLines/>
        <w:spacing w:after="240"/>
        <w:rPr>
          <w:b/>
        </w:rPr>
      </w:pPr>
      <w:r w:rsidRPr="004549F1">
        <w:rPr>
          <w:b/>
        </w:rPr>
        <w:t>Kind of editorial change</w:t>
      </w:r>
    </w:p>
    <w:p w:rsidR="006471ED" w:rsidRPr="0018341F" w:rsidRDefault="006471ED" w:rsidP="00C01D6A">
      <w:pPr>
        <w:keepNext/>
        <w:keepLines/>
        <w:spacing w:after="240"/>
      </w:pPr>
      <w:r>
        <w:t>Correct a typographical error</w:t>
      </w:r>
    </w:p>
    <w:p w:rsidR="006471ED" w:rsidRPr="004549F1" w:rsidRDefault="006471ED" w:rsidP="00C01D6A">
      <w:pPr>
        <w:keepNext/>
        <w:keepLines/>
        <w:spacing w:after="240"/>
        <w:rPr>
          <w:b/>
        </w:rPr>
      </w:pPr>
      <w:r w:rsidRPr="004549F1">
        <w:rPr>
          <w:b/>
        </w:rPr>
        <w:t>Details of editorial change</w:t>
      </w:r>
    </w:p>
    <w:p w:rsidR="006471ED" w:rsidRPr="00384D36" w:rsidRDefault="006471ED" w:rsidP="006471ED">
      <w:pPr>
        <w:spacing w:after="240"/>
        <w:rPr>
          <w:szCs w:val="22"/>
        </w:rPr>
      </w:pPr>
      <w:r w:rsidRPr="00384D36">
        <w:rPr>
          <w:szCs w:val="22"/>
        </w:rPr>
        <w:t xml:space="preserve">Schedule </w:t>
      </w:r>
      <w:r>
        <w:rPr>
          <w:szCs w:val="22"/>
        </w:rPr>
        <w:t>2</w:t>
      </w:r>
      <w:r w:rsidRPr="00384D36">
        <w:rPr>
          <w:szCs w:val="22"/>
        </w:rPr>
        <w:t xml:space="preserve"> of the </w:t>
      </w:r>
      <w:r w:rsidRPr="005A1153">
        <w:rPr>
          <w:i/>
          <w:szCs w:val="22"/>
        </w:rPr>
        <w:t>Amendment of List of Exempt Native Specimens – New South Wales Marine Vegetation Fishery, April 2024</w:t>
      </w:r>
      <w:r w:rsidRPr="00384D36">
        <w:rPr>
          <w:szCs w:val="22"/>
        </w:rPr>
        <w:t xml:space="preserve"> provides as follows:</w:t>
      </w:r>
    </w:p>
    <w:p w:rsidR="006471ED" w:rsidRDefault="006471ED" w:rsidP="006471ED">
      <w:pPr>
        <w:rPr>
          <w:szCs w:val="22"/>
        </w:rPr>
      </w:pPr>
      <w:bookmarkStart w:id="42" w:name="_Hlk165042507"/>
      <w:r w:rsidRPr="00384D36">
        <w:rPr>
          <w:szCs w:val="22"/>
        </w:rPr>
        <w:t xml:space="preserve">Under the heading Freshwater and Marine Animals </w:t>
      </w:r>
      <w:r>
        <w:rPr>
          <w:szCs w:val="22"/>
        </w:rPr>
        <w:t>include in</w:t>
      </w:r>
      <w:r w:rsidRPr="00384D36">
        <w:rPr>
          <w:szCs w:val="22"/>
        </w:rPr>
        <w:t xml:space="preserve"> the list the following items and associated notations:</w:t>
      </w:r>
    </w:p>
    <w:tbl>
      <w:tblPr>
        <w:tblStyle w:val="TableGrid"/>
        <w:tblW w:w="0" w:type="auto"/>
        <w:tblLook w:val="04A0" w:firstRow="1" w:lastRow="0" w:firstColumn="1" w:lastColumn="0" w:noHBand="0" w:noVBand="1"/>
      </w:tblPr>
      <w:tblGrid>
        <w:gridCol w:w="2969"/>
        <w:gridCol w:w="2779"/>
        <w:gridCol w:w="2781"/>
      </w:tblGrid>
      <w:tr w:rsidR="006471ED" w:rsidRPr="00CC4437" w:rsidTr="005A3704">
        <w:trPr>
          <w:cantSplit/>
          <w:tblHeader/>
        </w:trPr>
        <w:tc>
          <w:tcPr>
            <w:tcW w:w="2969" w:type="dxa"/>
          </w:tcPr>
          <w:p w:rsidR="006471ED" w:rsidRPr="0000289C" w:rsidRDefault="006471ED" w:rsidP="005A3704">
            <w:pPr>
              <w:rPr>
                <w:b/>
                <w:szCs w:val="22"/>
              </w:rPr>
            </w:pPr>
            <w:r w:rsidRPr="0000289C">
              <w:rPr>
                <w:b/>
                <w:szCs w:val="22"/>
              </w:rPr>
              <w:t>Taxon/Item</w:t>
            </w:r>
          </w:p>
        </w:tc>
        <w:tc>
          <w:tcPr>
            <w:tcW w:w="2779" w:type="dxa"/>
          </w:tcPr>
          <w:p w:rsidR="006471ED" w:rsidRPr="0000289C" w:rsidRDefault="006471ED" w:rsidP="005A3704">
            <w:pPr>
              <w:rPr>
                <w:b/>
                <w:szCs w:val="22"/>
              </w:rPr>
            </w:pPr>
            <w:r w:rsidRPr="0000289C">
              <w:rPr>
                <w:b/>
                <w:szCs w:val="22"/>
              </w:rPr>
              <w:t>Common Name</w:t>
            </w:r>
          </w:p>
        </w:tc>
        <w:tc>
          <w:tcPr>
            <w:tcW w:w="2781" w:type="dxa"/>
          </w:tcPr>
          <w:p w:rsidR="006471ED" w:rsidRPr="0000289C" w:rsidRDefault="006471ED" w:rsidP="005A3704">
            <w:pPr>
              <w:rPr>
                <w:b/>
                <w:szCs w:val="22"/>
              </w:rPr>
            </w:pPr>
            <w:r w:rsidRPr="0000289C">
              <w:rPr>
                <w:b/>
                <w:szCs w:val="22"/>
              </w:rPr>
              <w:t>Notation</w:t>
            </w:r>
          </w:p>
        </w:tc>
      </w:tr>
      <w:tr w:rsidR="006471ED" w:rsidRPr="00C67B31" w:rsidTr="005A3704">
        <w:tc>
          <w:tcPr>
            <w:tcW w:w="2969" w:type="dxa"/>
          </w:tcPr>
          <w:p w:rsidR="006471ED" w:rsidRPr="0000289C" w:rsidRDefault="006471ED" w:rsidP="005A3704">
            <w:pPr>
              <w:rPr>
                <w:rFonts w:eastAsia="Times New Roman"/>
                <w:color w:val="000000"/>
                <w:szCs w:val="22"/>
                <w:lang w:eastAsia="en-AU"/>
              </w:rPr>
            </w:pPr>
            <w:r w:rsidRPr="0000289C">
              <w:rPr>
                <w:rFonts w:eastAsia="Times New Roman"/>
                <w:color w:val="000000"/>
                <w:szCs w:val="22"/>
                <w:lang w:eastAsia="en-AU"/>
              </w:rPr>
              <w:t xml:space="preserve">Specimens that are or are derived from marine vegetation taken under permits issued by the NSW Department of Primary </w:t>
            </w:r>
            <w:r w:rsidRPr="0000289C">
              <w:rPr>
                <w:rFonts w:eastAsia="Times New Roman"/>
                <w:color w:val="000000"/>
                <w:szCs w:val="22"/>
                <w:lang w:eastAsia="en-AU"/>
              </w:rPr>
              <w:lastRenderedPageBreak/>
              <w:t>Industries in accordance with the</w:t>
            </w:r>
            <w:r w:rsidRPr="0000289C">
              <w:rPr>
                <w:rFonts w:eastAsia="Times New Roman"/>
                <w:szCs w:val="22"/>
                <w:lang w:eastAsia="en-AU"/>
              </w:rPr>
              <w:t> </w:t>
            </w:r>
            <w:r w:rsidRPr="0000289C">
              <w:rPr>
                <w:rFonts w:eastAsia="Times New Roman"/>
                <w:i/>
                <w:iCs/>
                <w:color w:val="000000"/>
                <w:szCs w:val="22"/>
                <w:lang w:eastAsia="en-AU"/>
              </w:rPr>
              <w:t>Fisheries Management Act 1994</w:t>
            </w:r>
            <w:r w:rsidRPr="0000289C">
              <w:rPr>
                <w:rFonts w:eastAsia="Times New Roman"/>
                <w:color w:val="000000"/>
                <w:szCs w:val="22"/>
                <w:lang w:eastAsia="en-AU"/>
              </w:rPr>
              <w:t> (NSW), </w:t>
            </w:r>
            <w:r w:rsidRPr="0000289C">
              <w:rPr>
                <w:rFonts w:eastAsia="Times New Roman"/>
                <w:i/>
                <w:iCs/>
                <w:color w:val="000000"/>
                <w:szCs w:val="22"/>
                <w:lang w:eastAsia="en-AU"/>
              </w:rPr>
              <w:t>Marine Estate Management Act </w:t>
            </w:r>
            <w:r w:rsidRPr="0000289C">
              <w:rPr>
                <w:rFonts w:eastAsia="Times New Roman"/>
                <w:color w:val="000000"/>
                <w:szCs w:val="22"/>
                <w:lang w:eastAsia="en-AU"/>
              </w:rPr>
              <w:t>2014 (NSW), Fisheries Management (General) Regulation 2019</w:t>
            </w:r>
            <w:r w:rsidRPr="0000289C">
              <w:rPr>
                <w:rFonts w:eastAsia="Times New Roman"/>
                <w:i/>
                <w:iCs/>
                <w:color w:val="000000"/>
                <w:szCs w:val="22"/>
                <w:lang w:eastAsia="en-AU"/>
              </w:rPr>
              <w:t> </w:t>
            </w:r>
            <w:r w:rsidRPr="0000289C">
              <w:rPr>
                <w:rFonts w:eastAsia="Times New Roman"/>
                <w:color w:val="000000"/>
                <w:szCs w:val="22"/>
                <w:lang w:eastAsia="en-AU"/>
              </w:rPr>
              <w:t>(NSW)</w:t>
            </w:r>
            <w:r w:rsidRPr="0000289C">
              <w:rPr>
                <w:rFonts w:eastAsia="Times New Roman"/>
                <w:i/>
                <w:iCs/>
                <w:color w:val="000000"/>
                <w:szCs w:val="22"/>
                <w:lang w:eastAsia="en-AU"/>
              </w:rPr>
              <w:t>,</w:t>
            </w:r>
            <w:r w:rsidRPr="0000289C">
              <w:rPr>
                <w:rFonts w:eastAsia="Times New Roman"/>
                <w:color w:val="000000"/>
                <w:szCs w:val="22"/>
                <w:lang w:eastAsia="en-AU"/>
              </w:rPr>
              <w:t> the</w:t>
            </w:r>
            <w:r w:rsidRPr="0000289C">
              <w:rPr>
                <w:rFonts w:eastAsia="Times New Roman"/>
                <w:i/>
                <w:iCs/>
                <w:color w:val="000000"/>
                <w:szCs w:val="22"/>
                <w:lang w:eastAsia="en-AU"/>
              </w:rPr>
              <w:t> </w:t>
            </w:r>
            <w:r w:rsidRPr="0000289C">
              <w:rPr>
                <w:rFonts w:eastAsia="Times New Roman"/>
                <w:color w:val="000000"/>
                <w:szCs w:val="22"/>
                <w:lang w:eastAsia="en-AU"/>
              </w:rPr>
              <w:t>Fisheries Management (Aquaculture) Regulation 2017</w:t>
            </w:r>
            <w:r w:rsidRPr="0000289C">
              <w:rPr>
                <w:rFonts w:eastAsia="Times New Roman"/>
                <w:i/>
                <w:iCs/>
                <w:color w:val="000000"/>
                <w:szCs w:val="22"/>
                <w:lang w:eastAsia="en-AU"/>
              </w:rPr>
              <w:t> </w:t>
            </w:r>
            <w:r w:rsidRPr="0000289C">
              <w:rPr>
                <w:rFonts w:eastAsia="Times New Roman"/>
                <w:color w:val="000000"/>
                <w:szCs w:val="22"/>
                <w:lang w:eastAsia="en-AU"/>
              </w:rPr>
              <w:t>(NSW) and the Marine Estate Management Regulation 2017 (NSW), but not including:</w:t>
            </w:r>
          </w:p>
          <w:p w:rsidR="006471ED" w:rsidRPr="0000289C" w:rsidRDefault="006471ED" w:rsidP="005A3704">
            <w:pPr>
              <w:ind w:left="357" w:hanging="357"/>
              <w:rPr>
                <w:rFonts w:eastAsia="Times New Roman"/>
                <w:color w:val="000000"/>
                <w:szCs w:val="22"/>
                <w:lang w:eastAsia="en-AU"/>
              </w:rPr>
            </w:pPr>
            <w:r w:rsidRPr="0000289C">
              <w:rPr>
                <w:rFonts w:eastAsia="Times New Roman"/>
                <w:color w:val="000000"/>
                <w:szCs w:val="22"/>
                <w:lang w:eastAsia="en-AU"/>
              </w:rPr>
              <w:t>(a)  specimens that belong to taxa listed under section 209 of the EPBC Act (Australia’s List of Migratory Species), or</w:t>
            </w:r>
          </w:p>
          <w:p w:rsidR="006471ED" w:rsidRPr="0000289C" w:rsidRDefault="006471ED" w:rsidP="005A3704">
            <w:pPr>
              <w:ind w:left="357" w:hanging="357"/>
              <w:rPr>
                <w:rFonts w:eastAsia="Times New Roman"/>
                <w:color w:val="000000"/>
                <w:szCs w:val="22"/>
                <w:lang w:eastAsia="en-AU"/>
              </w:rPr>
            </w:pPr>
            <w:r w:rsidRPr="0000289C">
              <w:rPr>
                <w:rFonts w:eastAsia="Times New Roman"/>
                <w:color w:val="000000"/>
                <w:szCs w:val="22"/>
                <w:lang w:eastAsia="en-AU"/>
              </w:rPr>
              <w:t>(b)  specimens that belong to taxa listed under section 248 of the EPBC Act (Australia’s List of Marine Species), or</w:t>
            </w:r>
          </w:p>
          <w:p w:rsidR="006471ED" w:rsidRDefault="006471ED" w:rsidP="005A3704">
            <w:pPr>
              <w:ind w:left="357" w:hanging="357"/>
              <w:rPr>
                <w:rFonts w:eastAsia="Times New Roman"/>
                <w:color w:val="000000"/>
                <w:szCs w:val="22"/>
                <w:lang w:eastAsia="en-AU"/>
              </w:rPr>
            </w:pPr>
            <w:r w:rsidRPr="0000289C">
              <w:rPr>
                <w:rFonts w:eastAsia="Times New Roman"/>
                <w:color w:val="000000"/>
                <w:szCs w:val="22"/>
                <w:lang w:eastAsia="en-AU"/>
              </w:rPr>
              <w:t>(c)  specimens that belong to eligible listed threatened species, as defined under section 303BC of the EPBC Act, or</w:t>
            </w:r>
          </w:p>
          <w:p w:rsidR="006471ED" w:rsidRPr="0000289C" w:rsidRDefault="006471ED" w:rsidP="005A3704">
            <w:pPr>
              <w:ind w:left="357" w:hanging="357"/>
              <w:rPr>
                <w:szCs w:val="22"/>
              </w:rPr>
            </w:pPr>
            <w:r w:rsidRPr="003E3C5F">
              <w:rPr>
                <w:szCs w:val="22"/>
              </w:rPr>
              <w:t>(a)</w:t>
            </w:r>
            <w:r w:rsidRPr="003E3C5F">
              <w:rPr>
                <w:szCs w:val="22"/>
              </w:rPr>
              <w:tab/>
            </w:r>
            <w:r w:rsidRPr="003E3C5F">
              <w:rPr>
                <w:rFonts w:eastAsia="Times New Roman"/>
                <w:color w:val="000000"/>
                <w:szCs w:val="22"/>
                <w:lang w:eastAsia="en-AU"/>
              </w:rPr>
              <w:t>(d)  specimens that belong to taxa listed under section 303CA of the EPBC Act (Australia’s CITES List).</w:t>
            </w:r>
          </w:p>
        </w:tc>
        <w:tc>
          <w:tcPr>
            <w:tcW w:w="2779" w:type="dxa"/>
          </w:tcPr>
          <w:p w:rsidR="006471ED" w:rsidRPr="0000289C" w:rsidRDefault="006471ED" w:rsidP="005A3704">
            <w:pPr>
              <w:rPr>
                <w:szCs w:val="22"/>
              </w:rPr>
            </w:pPr>
            <w:r w:rsidRPr="0000289C">
              <w:rPr>
                <w:bCs/>
                <w:szCs w:val="22"/>
              </w:rPr>
              <w:lastRenderedPageBreak/>
              <w:t>New South Wales Marine Vegetation Fishery</w:t>
            </w:r>
          </w:p>
        </w:tc>
        <w:tc>
          <w:tcPr>
            <w:tcW w:w="2781" w:type="dxa"/>
          </w:tcPr>
          <w:p w:rsidR="006471ED" w:rsidRPr="0000289C" w:rsidRDefault="006471ED" w:rsidP="006471ED">
            <w:pPr>
              <w:pStyle w:val="listbullet0"/>
              <w:numPr>
                <w:ilvl w:val="0"/>
                <w:numId w:val="47"/>
              </w:numPr>
              <w:spacing w:before="0" w:beforeAutospacing="0" w:after="0" w:afterAutospacing="0"/>
              <w:rPr>
                <w:color w:val="000000"/>
                <w:sz w:val="22"/>
                <w:szCs w:val="22"/>
              </w:rPr>
            </w:pPr>
            <w:r w:rsidRPr="0000289C">
              <w:rPr>
                <w:color w:val="000000"/>
                <w:sz w:val="22"/>
                <w:szCs w:val="22"/>
              </w:rPr>
              <w:t>The specimen, or the marine vegetation from which it is derived, was taken lawfully; and</w:t>
            </w:r>
          </w:p>
          <w:p w:rsidR="006471ED" w:rsidRPr="0000289C" w:rsidRDefault="006471ED" w:rsidP="006471ED">
            <w:pPr>
              <w:pStyle w:val="listbullet0"/>
              <w:numPr>
                <w:ilvl w:val="0"/>
                <w:numId w:val="47"/>
              </w:numPr>
              <w:spacing w:before="0" w:beforeAutospacing="0" w:after="0" w:afterAutospacing="0"/>
              <w:rPr>
                <w:szCs w:val="22"/>
              </w:rPr>
            </w:pPr>
            <w:r w:rsidRPr="0000289C">
              <w:rPr>
                <w:color w:val="000000"/>
                <w:sz w:val="22"/>
                <w:szCs w:val="22"/>
              </w:rPr>
              <w:lastRenderedPageBreak/>
              <w:t>The specimens are included in the list until 7 April 2027.</w:t>
            </w:r>
          </w:p>
        </w:tc>
      </w:tr>
    </w:tbl>
    <w:bookmarkEnd w:id="42"/>
    <w:p w:rsidR="006471ED" w:rsidRDefault="006471ED" w:rsidP="006471ED">
      <w:pPr>
        <w:spacing w:before="240" w:after="240"/>
        <w:rPr>
          <w:szCs w:val="22"/>
        </w:rPr>
      </w:pPr>
      <w:r>
        <w:rPr>
          <w:szCs w:val="22"/>
        </w:rPr>
        <w:lastRenderedPageBreak/>
        <w:t>Automatic numbering has resulted in the last paragraph of the Taxon/Item column reading “(a) (d)”.</w:t>
      </w:r>
    </w:p>
    <w:p w:rsidR="006471ED" w:rsidRPr="00384D36" w:rsidRDefault="006471ED" w:rsidP="006471ED">
      <w:pPr>
        <w:rPr>
          <w:szCs w:val="22"/>
        </w:rPr>
      </w:pPr>
      <w:r w:rsidRPr="008C2972">
        <w:rPr>
          <w:szCs w:val="22"/>
        </w:rPr>
        <w:t xml:space="preserve">This compilation was editorially changed to omit </w:t>
      </w:r>
      <w:r>
        <w:rPr>
          <w:szCs w:val="22"/>
        </w:rPr>
        <w:t xml:space="preserve">the </w:t>
      </w:r>
      <w:r w:rsidRPr="008C2972">
        <w:rPr>
          <w:szCs w:val="22"/>
        </w:rPr>
        <w:t>“</w:t>
      </w:r>
      <w:r>
        <w:rPr>
          <w:szCs w:val="22"/>
        </w:rPr>
        <w:t>(a)</w:t>
      </w:r>
      <w:r w:rsidRPr="008C2972">
        <w:rPr>
          <w:szCs w:val="22"/>
        </w:rPr>
        <w:t xml:space="preserve">” </w:t>
      </w:r>
      <w:r>
        <w:rPr>
          <w:szCs w:val="22"/>
        </w:rPr>
        <w:t xml:space="preserve">before “(d)” in the Schedule 1 entry for </w:t>
      </w:r>
      <w:r w:rsidRPr="0000289C">
        <w:rPr>
          <w:bCs/>
          <w:szCs w:val="22"/>
        </w:rPr>
        <w:t>New South Wales Marine Vegetation Fishery</w:t>
      </w:r>
      <w:r>
        <w:rPr>
          <w:szCs w:val="22"/>
        </w:rPr>
        <w:t xml:space="preserve"> to</w:t>
      </w:r>
      <w:r w:rsidRPr="008C2972">
        <w:rPr>
          <w:szCs w:val="22"/>
        </w:rPr>
        <w:t xml:space="preserve"> correct the typographical error.</w:t>
      </w:r>
    </w:p>
    <w:p w:rsidR="007900FE" w:rsidRPr="00BE5F99" w:rsidRDefault="00094B3D" w:rsidP="00102242">
      <w:pPr>
        <w:pStyle w:val="Head2"/>
        <w:keepLines/>
        <w:spacing w:after="240"/>
      </w:pPr>
      <w:r w:rsidRPr="00094B3D">
        <w:lastRenderedPageBreak/>
        <w:t>Australia New Zealand Food Standards Code – Schedule 20 – Maximum residue limits</w:t>
      </w:r>
      <w:r w:rsidR="007900FE">
        <w:t>, Compilation No. </w:t>
      </w:r>
      <w:r>
        <w:t>76</w:t>
      </w:r>
      <w:r w:rsidR="007900FE">
        <w:t xml:space="preserve">, Registration Date: </w:t>
      </w:r>
      <w:r>
        <w:t>7</w:t>
      </w:r>
      <w:r w:rsidR="007900FE">
        <w:t> May 202</w:t>
      </w:r>
      <w:r w:rsidR="007900FE" w:rsidRPr="00BE5F99">
        <w:t>4 [</w:t>
      </w:r>
      <w:r w:rsidRPr="00094B3D">
        <w:t>F2024C00412</w:t>
      </w:r>
      <w:r w:rsidR="007900FE" w:rsidRPr="00BE5F99">
        <w:t>]</w:t>
      </w:r>
    </w:p>
    <w:p w:rsidR="002B60B3" w:rsidRPr="002B60B3" w:rsidRDefault="002B60B3" w:rsidP="00102242">
      <w:pPr>
        <w:keepNext/>
        <w:keepLines/>
        <w:spacing w:after="240"/>
        <w:rPr>
          <w:b/>
          <w:sz w:val="24"/>
          <w:szCs w:val="24"/>
        </w:rPr>
      </w:pPr>
      <w:r w:rsidRPr="002B60B3">
        <w:rPr>
          <w:b/>
          <w:sz w:val="24"/>
          <w:szCs w:val="24"/>
        </w:rPr>
        <w:t>Section S20—3 (table entry for Agvet chemical: Maldison)</w:t>
      </w:r>
    </w:p>
    <w:p w:rsidR="002B60B3" w:rsidRPr="004549F1" w:rsidRDefault="002B60B3" w:rsidP="00102242">
      <w:pPr>
        <w:keepNext/>
        <w:keepLines/>
        <w:spacing w:after="240"/>
        <w:rPr>
          <w:b/>
        </w:rPr>
      </w:pPr>
      <w:r w:rsidRPr="004549F1">
        <w:rPr>
          <w:b/>
        </w:rPr>
        <w:t>Kind of editorial change</w:t>
      </w:r>
    </w:p>
    <w:p w:rsidR="002B60B3" w:rsidRPr="0018341F" w:rsidRDefault="002B60B3" w:rsidP="00102242">
      <w:pPr>
        <w:keepNext/>
        <w:keepLines/>
        <w:spacing w:after="240"/>
      </w:pPr>
      <w:r w:rsidRPr="00C65320">
        <w:t>Give effect to the misdescribed amendment as intended and change to capitalisation</w:t>
      </w:r>
    </w:p>
    <w:p w:rsidR="002B60B3" w:rsidRPr="004549F1" w:rsidRDefault="002B60B3" w:rsidP="00102242">
      <w:pPr>
        <w:keepNext/>
        <w:keepLines/>
        <w:spacing w:after="240"/>
        <w:rPr>
          <w:b/>
        </w:rPr>
      </w:pPr>
      <w:r w:rsidRPr="004549F1">
        <w:rPr>
          <w:b/>
        </w:rPr>
        <w:t>Details of editorial change</w:t>
      </w:r>
    </w:p>
    <w:p w:rsidR="002B60B3" w:rsidRDefault="002B60B3" w:rsidP="002B60B3">
      <w:pPr>
        <w:spacing w:after="240"/>
      </w:pPr>
      <w:r>
        <w:t xml:space="preserve">Paragraph 230(z) of the Schedule to the </w:t>
      </w:r>
      <w:r w:rsidRPr="00AE067D">
        <w:rPr>
          <w:i/>
        </w:rPr>
        <w:t>Food Standards (Proposal M1021 – Maximum Residue Limits (2022) – Schedule 20) Variation</w:t>
      </w:r>
      <w:r>
        <w:t xml:space="preserve"> instructs to omit “Citrus fruits [except kumquats]” and substitute “Citrus fruits” in the entry for Agvet chemical: Maldison in section S20—3.</w:t>
      </w:r>
    </w:p>
    <w:p w:rsidR="002B60B3" w:rsidRDefault="002B60B3" w:rsidP="002B60B3">
      <w:pPr>
        <w:spacing w:after="240"/>
      </w:pPr>
      <w:r>
        <w:t>The text “citrus fruits [except kumquats]” also appears in the entry for Agvet chemical: Maldison in section S20—3.</w:t>
      </w:r>
    </w:p>
    <w:p w:rsidR="002B60B3" w:rsidRPr="004549F1" w:rsidRDefault="002B60B3" w:rsidP="002B60B3">
      <w:pPr>
        <w:spacing w:after="240"/>
      </w:pPr>
      <w:r>
        <w:t>This compilation was editorially changed to omit “citrus fruits [except kumquats]” and substitute “citrus fruits” in the entry for Agvet chemical: Maldison in section S20—3 to give effect to the misdescribed amendment as intended and to correct the capitalisation.</w:t>
      </w:r>
    </w:p>
    <w:p w:rsidR="002B60B3" w:rsidRPr="002B60B3" w:rsidRDefault="002B60B3" w:rsidP="00144B39">
      <w:pPr>
        <w:keepNext/>
        <w:keepLines/>
        <w:spacing w:after="240"/>
        <w:rPr>
          <w:b/>
          <w:sz w:val="24"/>
          <w:szCs w:val="24"/>
        </w:rPr>
      </w:pPr>
      <w:r w:rsidRPr="002B60B3">
        <w:rPr>
          <w:b/>
          <w:sz w:val="24"/>
          <w:szCs w:val="24"/>
        </w:rPr>
        <w:t>Section S20—3 (table entry for Agvet chemical: Metolachlor)</w:t>
      </w:r>
    </w:p>
    <w:p w:rsidR="002B60B3" w:rsidRPr="004549F1" w:rsidRDefault="002B60B3" w:rsidP="00144B39">
      <w:pPr>
        <w:keepNext/>
        <w:keepLines/>
        <w:spacing w:after="240"/>
        <w:rPr>
          <w:b/>
        </w:rPr>
      </w:pPr>
      <w:r w:rsidRPr="004549F1">
        <w:rPr>
          <w:b/>
        </w:rPr>
        <w:t>Kind of editorial change</w:t>
      </w:r>
    </w:p>
    <w:p w:rsidR="002B60B3" w:rsidRPr="0018341F" w:rsidRDefault="002B60B3" w:rsidP="00144B39">
      <w:pPr>
        <w:keepNext/>
        <w:keepLines/>
        <w:spacing w:after="240"/>
      </w:pPr>
      <w:r w:rsidRPr="00C65320">
        <w:t>Give effect to the misdescribed amendment as intended</w:t>
      </w:r>
    </w:p>
    <w:p w:rsidR="002B60B3" w:rsidRPr="004549F1" w:rsidRDefault="002B60B3" w:rsidP="002B60B3">
      <w:pPr>
        <w:spacing w:after="240"/>
        <w:rPr>
          <w:b/>
        </w:rPr>
      </w:pPr>
      <w:r w:rsidRPr="004549F1">
        <w:rPr>
          <w:b/>
        </w:rPr>
        <w:t>Details of editorial change</w:t>
      </w:r>
    </w:p>
    <w:p w:rsidR="002B60B3" w:rsidRDefault="002B60B3" w:rsidP="002B60B3">
      <w:pPr>
        <w:spacing w:after="240"/>
      </w:pPr>
      <w:r>
        <w:t xml:space="preserve">Table item 7 of item 143 of the Schedule to the </w:t>
      </w:r>
      <w:r w:rsidRPr="005A03AC">
        <w:rPr>
          <w:i/>
        </w:rPr>
        <w:t>Food Standards (Proposal M1021 – Maximum Residue Limits (2022) – Schedule 20) Variation</w:t>
      </w:r>
      <w:r>
        <w:t xml:space="preserve"> instructs to omit “</w:t>
      </w:r>
      <w:r w:rsidRPr="00221E94">
        <w:t>T*0.05</w:t>
      </w:r>
      <w:r>
        <w:t>” and substitute “</w:t>
      </w:r>
      <w:r w:rsidRPr="00221E94">
        <w:t>*0.05</w:t>
      </w:r>
      <w:r>
        <w:t xml:space="preserve">” in the </w:t>
      </w:r>
      <w:r w:rsidRPr="007D3528">
        <w:rPr>
          <w:rFonts w:cs="Arial"/>
        </w:rPr>
        <w:t>food commodity</w:t>
      </w:r>
      <w:r>
        <w:t xml:space="preserve"> for Dill seed in the entry for Agvet chemical: Metolachlor in section S20—3.</w:t>
      </w:r>
    </w:p>
    <w:p w:rsidR="002B60B3" w:rsidRDefault="002B60B3" w:rsidP="002B60B3">
      <w:pPr>
        <w:spacing w:after="240"/>
      </w:pPr>
      <w:r>
        <w:t>The text “Dill seed” does not appear in the entry for Agvet chemical: Metolachlor in section S20—3. However, “Dill, seed” does appear.</w:t>
      </w:r>
    </w:p>
    <w:p w:rsidR="002B60B3" w:rsidRDefault="002B60B3" w:rsidP="002B60B3">
      <w:pPr>
        <w:spacing w:after="240"/>
      </w:pPr>
      <w:r>
        <w:t>This compilation was editorially changed to omit “</w:t>
      </w:r>
      <w:r w:rsidRPr="00E6290F">
        <w:t>T*0.05</w:t>
      </w:r>
      <w:r>
        <w:t>” and substitute “</w:t>
      </w:r>
      <w:r w:rsidRPr="00E6290F">
        <w:t>*0.05</w:t>
      </w:r>
      <w:r>
        <w:t xml:space="preserve">” in the </w:t>
      </w:r>
      <w:r w:rsidRPr="007D3528">
        <w:rPr>
          <w:rFonts w:cs="Arial"/>
        </w:rPr>
        <w:t>food commodity</w:t>
      </w:r>
      <w:r>
        <w:t xml:space="preserve"> for Dill, seed in the entry for Agvet chemical: Metolachlor in section S20—3 to give effect to the misdescribed amendment as intended.</w:t>
      </w:r>
    </w:p>
    <w:p w:rsidR="002B60B3" w:rsidRPr="002B60B3" w:rsidRDefault="002B60B3" w:rsidP="00AE4841">
      <w:pPr>
        <w:keepNext/>
        <w:keepLines/>
        <w:spacing w:after="240"/>
        <w:rPr>
          <w:b/>
          <w:sz w:val="24"/>
          <w:szCs w:val="24"/>
        </w:rPr>
      </w:pPr>
      <w:r w:rsidRPr="002B60B3">
        <w:rPr>
          <w:b/>
          <w:sz w:val="24"/>
          <w:szCs w:val="24"/>
        </w:rPr>
        <w:t>Section S20—3 (table entry for Agvet chemical: Propiconazole)</w:t>
      </w:r>
    </w:p>
    <w:p w:rsidR="002B60B3" w:rsidRPr="004549F1" w:rsidRDefault="002B60B3" w:rsidP="00AE4841">
      <w:pPr>
        <w:keepNext/>
        <w:keepLines/>
        <w:spacing w:after="240"/>
        <w:rPr>
          <w:b/>
        </w:rPr>
      </w:pPr>
      <w:r w:rsidRPr="004549F1">
        <w:rPr>
          <w:b/>
        </w:rPr>
        <w:t>Kind of editorial change</w:t>
      </w:r>
    </w:p>
    <w:p w:rsidR="002B60B3" w:rsidRPr="0018341F" w:rsidRDefault="002B60B3" w:rsidP="00AE4841">
      <w:pPr>
        <w:keepNext/>
        <w:keepLines/>
        <w:spacing w:after="240"/>
      </w:pPr>
      <w:r w:rsidRPr="0013391D">
        <w:t>Give effect to the misdescribed amendment as intended and reordering of provisions</w:t>
      </w:r>
    </w:p>
    <w:p w:rsidR="002B60B3" w:rsidRPr="004549F1" w:rsidRDefault="002B60B3" w:rsidP="00AE4841">
      <w:pPr>
        <w:keepNext/>
        <w:keepLines/>
        <w:spacing w:after="240"/>
        <w:rPr>
          <w:b/>
        </w:rPr>
      </w:pPr>
      <w:r w:rsidRPr="004549F1">
        <w:rPr>
          <w:b/>
        </w:rPr>
        <w:t>Details of editorial change</w:t>
      </w:r>
    </w:p>
    <w:p w:rsidR="002B60B3" w:rsidRDefault="002B60B3" w:rsidP="002B60B3">
      <w:pPr>
        <w:spacing w:after="240"/>
      </w:pPr>
      <w:r>
        <w:t xml:space="preserve">Item 166 of the Schedule to the </w:t>
      </w:r>
      <w:r w:rsidRPr="002B2862">
        <w:rPr>
          <w:i/>
        </w:rPr>
        <w:t>Food Standards (Proposal M1021 – Maximum Residue Limits (2022) – Schedule 20) Variation</w:t>
      </w:r>
      <w:r>
        <w:t xml:space="preserve"> provides as follows:</w:t>
      </w:r>
    </w:p>
    <w:p w:rsidR="002B60B3" w:rsidRPr="007D3528" w:rsidRDefault="002B60B3" w:rsidP="00102242">
      <w:pPr>
        <w:keepNext/>
        <w:keepLines/>
        <w:widowControl w:val="0"/>
        <w:spacing w:before="240" w:after="120"/>
        <w:ind w:left="851" w:hanging="851"/>
        <w:rPr>
          <w:rFonts w:cs="Arial"/>
          <w:b/>
        </w:rPr>
      </w:pPr>
      <w:r w:rsidRPr="007D3528">
        <w:rPr>
          <w:rFonts w:ascii="Arial Bold" w:hAnsi="Arial Bold" w:cs="Arial"/>
          <w:b/>
        </w:rPr>
        <w:lastRenderedPageBreak/>
        <w:t>[166]</w:t>
      </w:r>
      <w:r w:rsidRPr="007D3528">
        <w:rPr>
          <w:rFonts w:ascii="Arial Bold" w:hAnsi="Arial Bold" w:cs="Arial"/>
          <w:b/>
        </w:rPr>
        <w:tab/>
      </w:r>
      <w:r w:rsidRPr="007D3528">
        <w:rPr>
          <w:rFonts w:cs="Arial"/>
          <w:b/>
        </w:rPr>
        <w:t>Section S20—3 (table entry for Agvet chemical: Propiconazole)</w:t>
      </w:r>
    </w:p>
    <w:p w:rsidR="002B60B3" w:rsidRPr="007D3528" w:rsidRDefault="002B60B3" w:rsidP="002B60B3">
      <w:pPr>
        <w:tabs>
          <w:tab w:val="left" w:pos="851"/>
        </w:tabs>
        <w:spacing w:before="120" w:after="120"/>
        <w:rPr>
          <w:rFonts w:cs="Arial"/>
        </w:rPr>
      </w:pPr>
      <w:r w:rsidRPr="007D3528">
        <w:rPr>
          <w:rFonts w:cs="Arial"/>
        </w:rPr>
        <w:tab/>
        <w:t>Insert</w:t>
      </w:r>
      <w:r w:rsidRPr="007D3528" w:rsidDel="006563C2">
        <w:rPr>
          <w:rFonts w:cs="Arial"/>
        </w:rPr>
        <w:t xml:space="preserve"> in alphabetical order</w:t>
      </w:r>
      <w:r w:rsidRPr="007D3528">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2B60B3" w:rsidRPr="007D3528" w:rsidTr="005A3704">
        <w:tc>
          <w:tcPr>
            <w:tcW w:w="3539" w:type="dxa"/>
          </w:tcPr>
          <w:p w:rsidR="002B60B3" w:rsidRPr="007D3528" w:rsidRDefault="002B60B3" w:rsidP="005A3704">
            <w:pPr>
              <w:keepLines/>
              <w:spacing w:before="20" w:after="20"/>
              <w:rPr>
                <w:sz w:val="18"/>
                <w:lang w:eastAsia="en-AU"/>
              </w:rPr>
            </w:pPr>
            <w:r w:rsidRPr="007D3528">
              <w:rPr>
                <w:sz w:val="18"/>
                <w:lang w:eastAsia="en-AU"/>
              </w:rPr>
              <w:t>Broccoli, Chinese</w:t>
            </w:r>
          </w:p>
        </w:tc>
        <w:tc>
          <w:tcPr>
            <w:tcW w:w="1134" w:type="dxa"/>
          </w:tcPr>
          <w:p w:rsidR="002B60B3" w:rsidRPr="007D3528" w:rsidRDefault="002B60B3" w:rsidP="005A3704">
            <w:pPr>
              <w:keepLines/>
              <w:spacing w:before="20" w:after="20"/>
              <w:jc w:val="right"/>
              <w:rPr>
                <w:rFonts w:eastAsia="Calibri"/>
                <w:sz w:val="18"/>
              </w:rPr>
            </w:pPr>
            <w:r w:rsidRPr="007D3528">
              <w:rPr>
                <w:rFonts w:eastAsia="Calibri"/>
                <w:sz w:val="18"/>
              </w:rPr>
              <w:t>T1</w:t>
            </w:r>
          </w:p>
        </w:tc>
      </w:tr>
    </w:tbl>
    <w:p w:rsidR="002B60B3" w:rsidRDefault="002B60B3" w:rsidP="002B60B3">
      <w:pPr>
        <w:spacing w:before="240" w:after="240"/>
      </w:pPr>
      <w:r>
        <w:t>However, the existing entries for Boysenberry and Blueberries in the entry for Agvet chemical: Propiconazole in section S20—3 are not in alphabetical order.</w:t>
      </w:r>
    </w:p>
    <w:p w:rsidR="002B60B3" w:rsidRDefault="002B60B3" w:rsidP="002B60B3">
      <w:pPr>
        <w:spacing w:after="240"/>
      </w:pPr>
      <w:r>
        <w:t>This compilation was editorially changed to move the entry for Boysenberry to after the entry for Blueberries and to insert the entry for Broccoli, Chinese after the entry for Boysenberry in the entry for Agvet chemical: Propiconazole in section S20—3 to correct the alphabetical order and to give effect to the misdescribed amendment as intended.</w:t>
      </w:r>
    </w:p>
    <w:p w:rsidR="002B60B3" w:rsidRPr="002B60B3" w:rsidRDefault="002B60B3" w:rsidP="0037794C">
      <w:pPr>
        <w:keepNext/>
        <w:keepLines/>
        <w:spacing w:after="240"/>
        <w:rPr>
          <w:b/>
          <w:sz w:val="24"/>
          <w:szCs w:val="24"/>
        </w:rPr>
      </w:pPr>
      <w:r w:rsidRPr="002B60B3">
        <w:rPr>
          <w:b/>
          <w:sz w:val="24"/>
          <w:szCs w:val="24"/>
        </w:rPr>
        <w:t>Section S20—3 (table entry for Agvet chemical: Trichlorfon)</w:t>
      </w:r>
    </w:p>
    <w:p w:rsidR="002B60B3" w:rsidRPr="004549F1" w:rsidRDefault="002B60B3" w:rsidP="0037794C">
      <w:pPr>
        <w:keepNext/>
        <w:keepLines/>
        <w:spacing w:after="240"/>
        <w:rPr>
          <w:b/>
        </w:rPr>
      </w:pPr>
      <w:r w:rsidRPr="004549F1">
        <w:rPr>
          <w:b/>
        </w:rPr>
        <w:t>Kind of editorial change</w:t>
      </w:r>
    </w:p>
    <w:p w:rsidR="002B60B3" w:rsidRPr="0018341F" w:rsidRDefault="002B60B3" w:rsidP="002B60B3">
      <w:pPr>
        <w:spacing w:after="240"/>
      </w:pPr>
      <w:r w:rsidRPr="002C4603">
        <w:t>Give effect to the misdescribed amendment as intended</w:t>
      </w:r>
    </w:p>
    <w:p w:rsidR="002B60B3" w:rsidRPr="004549F1" w:rsidRDefault="002B60B3" w:rsidP="002B60B3">
      <w:pPr>
        <w:spacing w:after="240"/>
        <w:rPr>
          <w:b/>
        </w:rPr>
      </w:pPr>
      <w:r w:rsidRPr="004549F1">
        <w:rPr>
          <w:b/>
        </w:rPr>
        <w:t>Details of editorial change</w:t>
      </w:r>
    </w:p>
    <w:p w:rsidR="002B60B3" w:rsidRDefault="002B60B3" w:rsidP="002B60B3">
      <w:pPr>
        <w:spacing w:after="240"/>
      </w:pPr>
      <w:r>
        <w:t xml:space="preserve">Table item 2 of item 218 of the Schedule to the </w:t>
      </w:r>
      <w:r w:rsidRPr="00635BE6">
        <w:rPr>
          <w:i/>
        </w:rPr>
        <w:t>Food Standards (Proposal M1021 – Maximum Residue Limits (2022) – Schedule 20) Variation</w:t>
      </w:r>
      <w:r>
        <w:t xml:space="preserve"> instructs to omit “Fruit [except achachairu; assorted tropical and sub-tropical fruits – edible peel; assorted tropical and sub-tropical fruits – inedible peel [except tamarillo (tree tomato)]; babaco; berries and other small fruits; dried fruits; loquat; medlar; miracle fruit; quince; rollinia; pomelo; stone fruits (except jujube, Chinese)]” and substitute “Fruit [except as otherwise listed under this chemical]” in the entry for Agvet chemical: Trichlorfon in section S20—3.</w:t>
      </w:r>
    </w:p>
    <w:p w:rsidR="002B60B3" w:rsidRDefault="002B60B3" w:rsidP="002B60B3">
      <w:pPr>
        <w:spacing w:after="240"/>
      </w:pPr>
      <w:r>
        <w:t xml:space="preserve">The text contained in the entry for Agvet chemical: Trichlorfon in section S20—3 does not exactly match the text to be omitted as outlined in table item 2 of item 218 of the Schedule to the </w:t>
      </w:r>
      <w:r w:rsidRPr="00635BE6">
        <w:rPr>
          <w:i/>
        </w:rPr>
        <w:t>Food Standards (Proposal M1021 – Maximum Residue Limits (2022) – Schedule 20) Variation</w:t>
      </w:r>
      <w:r>
        <w:t>.</w:t>
      </w:r>
    </w:p>
    <w:p w:rsidR="002B60B3" w:rsidRPr="004549F1" w:rsidRDefault="002B60B3" w:rsidP="002B60B3">
      <w:pPr>
        <w:spacing w:after="240"/>
      </w:pPr>
      <w:r>
        <w:t>This compilation was editorially changed to omit and substitute the text in the entry for Agvet chemical: Trichlorfon in section S20—3 to give effect to the misdescribed amendment as intended.</w:t>
      </w:r>
    </w:p>
    <w:p w:rsidR="002B60B3" w:rsidRPr="002B60B3" w:rsidRDefault="002B60B3" w:rsidP="00AE4841">
      <w:pPr>
        <w:keepNext/>
        <w:keepLines/>
        <w:spacing w:after="240"/>
        <w:rPr>
          <w:b/>
          <w:sz w:val="24"/>
          <w:szCs w:val="24"/>
        </w:rPr>
      </w:pPr>
      <w:r w:rsidRPr="002B60B3">
        <w:rPr>
          <w:b/>
          <w:sz w:val="24"/>
          <w:szCs w:val="24"/>
        </w:rPr>
        <w:t>Section S20—3 (table entry for Agvet chemical: Trichlorfon)</w:t>
      </w:r>
    </w:p>
    <w:p w:rsidR="002B60B3" w:rsidRPr="004549F1" w:rsidRDefault="002B60B3" w:rsidP="00AE4841">
      <w:pPr>
        <w:keepNext/>
        <w:keepLines/>
        <w:spacing w:after="240"/>
        <w:rPr>
          <w:b/>
        </w:rPr>
      </w:pPr>
      <w:r w:rsidRPr="004549F1">
        <w:rPr>
          <w:b/>
        </w:rPr>
        <w:t>Kind of editorial change</w:t>
      </w:r>
    </w:p>
    <w:p w:rsidR="002B60B3" w:rsidRPr="0018341F" w:rsidRDefault="002B60B3" w:rsidP="00AE4841">
      <w:pPr>
        <w:keepNext/>
        <w:keepLines/>
        <w:spacing w:after="240"/>
      </w:pPr>
      <w:r w:rsidRPr="00870CB6">
        <w:t>Give effect to the misdescribed amendment as intended and change to capitalisation</w:t>
      </w:r>
    </w:p>
    <w:p w:rsidR="002B60B3" w:rsidRPr="004549F1" w:rsidRDefault="002B60B3" w:rsidP="00AE4841">
      <w:pPr>
        <w:keepNext/>
        <w:keepLines/>
        <w:spacing w:after="240"/>
        <w:rPr>
          <w:b/>
        </w:rPr>
      </w:pPr>
      <w:r w:rsidRPr="004549F1">
        <w:rPr>
          <w:b/>
        </w:rPr>
        <w:t>Details of editorial change</w:t>
      </w:r>
    </w:p>
    <w:p w:rsidR="002B60B3" w:rsidRDefault="002B60B3" w:rsidP="002B60B3">
      <w:pPr>
        <w:spacing w:after="240"/>
      </w:pPr>
      <w:r>
        <w:t xml:space="preserve">Item 228 of the Schedule to the </w:t>
      </w:r>
      <w:r w:rsidRPr="00B64497">
        <w:rPr>
          <w:i/>
        </w:rPr>
        <w:t>Food Standards (Proposal M1021 – Maximum Residue Limits (2022) – Schedule 20) Variation</w:t>
      </w:r>
      <w:r>
        <w:t xml:space="preserve"> instructs to omit “perisimmon” (wherever occurring) and substitute “persimmon” in section S20—3.</w:t>
      </w:r>
    </w:p>
    <w:p w:rsidR="002B60B3" w:rsidRDefault="002B60B3" w:rsidP="002B60B3">
      <w:pPr>
        <w:spacing w:after="240"/>
      </w:pPr>
      <w:r>
        <w:t>The word “perisimmon” does not appear in the entry for Agvet chemical: Trichlorfon in section S20—3. However, the word “Perisimmon” does appear.</w:t>
      </w:r>
    </w:p>
    <w:p w:rsidR="002B60B3" w:rsidRDefault="002B60B3" w:rsidP="002B60B3">
      <w:pPr>
        <w:spacing w:after="240"/>
      </w:pPr>
      <w:r>
        <w:t>This compilation was editorially changed to omit “Perisimmon” and substitute “Persimmon” in the entry for Agvet chemical: Trichlorfon in section S20—3 to give effect to the misdescribed amendment as intended and to correct the capitalisation.</w:t>
      </w:r>
    </w:p>
    <w:p w:rsidR="002B60B3" w:rsidRPr="002B60B3" w:rsidRDefault="002B60B3" w:rsidP="002B60B3">
      <w:pPr>
        <w:spacing w:after="240"/>
        <w:rPr>
          <w:b/>
          <w:sz w:val="24"/>
          <w:szCs w:val="24"/>
        </w:rPr>
      </w:pPr>
      <w:r w:rsidRPr="002B60B3">
        <w:rPr>
          <w:b/>
          <w:sz w:val="24"/>
          <w:szCs w:val="24"/>
        </w:rPr>
        <w:lastRenderedPageBreak/>
        <w:t>Section S20—3 (table entry for Agvet chemical: Trifluralin)</w:t>
      </w:r>
    </w:p>
    <w:p w:rsidR="002B60B3" w:rsidRPr="004549F1" w:rsidRDefault="002B60B3" w:rsidP="002B60B3">
      <w:pPr>
        <w:spacing w:after="240"/>
        <w:rPr>
          <w:b/>
        </w:rPr>
      </w:pPr>
      <w:r w:rsidRPr="004549F1">
        <w:rPr>
          <w:b/>
        </w:rPr>
        <w:t>Kind of editorial change</w:t>
      </w:r>
    </w:p>
    <w:p w:rsidR="002B60B3" w:rsidRPr="0018341F" w:rsidRDefault="002B60B3" w:rsidP="002B60B3">
      <w:pPr>
        <w:spacing w:after="240"/>
      </w:pPr>
      <w:r w:rsidRPr="00C65320">
        <w:t>Give effect to the misdescribed amendment as intended</w:t>
      </w:r>
    </w:p>
    <w:p w:rsidR="002B60B3" w:rsidRPr="004549F1" w:rsidRDefault="002B60B3" w:rsidP="002B60B3">
      <w:pPr>
        <w:spacing w:after="240"/>
        <w:rPr>
          <w:b/>
        </w:rPr>
      </w:pPr>
      <w:r w:rsidRPr="004549F1">
        <w:rPr>
          <w:b/>
        </w:rPr>
        <w:t>Details of editorial change</w:t>
      </w:r>
    </w:p>
    <w:p w:rsidR="002B60B3" w:rsidRDefault="002B60B3" w:rsidP="002B60B3">
      <w:pPr>
        <w:spacing w:after="240"/>
      </w:pPr>
      <w:r>
        <w:t xml:space="preserve">Item 223 of the Schedule to the </w:t>
      </w:r>
      <w:r w:rsidRPr="005A03AC">
        <w:rPr>
          <w:i/>
        </w:rPr>
        <w:t>Food Standards (Proposal M1021 – Maximum Residue Limits (2022) – Schedule 20) Variation</w:t>
      </w:r>
      <w:r>
        <w:t xml:space="preserve"> instructs to omit the entry for </w:t>
      </w:r>
      <w:r w:rsidRPr="006E3658">
        <w:t>Burnet, Salad</w:t>
      </w:r>
      <w:r>
        <w:t xml:space="preserve"> from the entry for Agvet chemical: </w:t>
      </w:r>
      <w:r w:rsidRPr="00D0370D">
        <w:t>Trifluralin</w:t>
      </w:r>
      <w:r>
        <w:t xml:space="preserve"> in section S20—3.</w:t>
      </w:r>
    </w:p>
    <w:p w:rsidR="002B60B3" w:rsidRDefault="002B60B3" w:rsidP="002B60B3">
      <w:pPr>
        <w:spacing w:after="240"/>
      </w:pPr>
      <w:r>
        <w:t>The text “</w:t>
      </w:r>
      <w:r w:rsidRPr="006E3658">
        <w:t>Burnet, Salad</w:t>
      </w:r>
      <w:r>
        <w:t xml:space="preserve">” does not appear in the entry for Agvet chemical: </w:t>
      </w:r>
      <w:r w:rsidRPr="00171208">
        <w:t>Trifluralin</w:t>
      </w:r>
      <w:r>
        <w:t xml:space="preserve"> in section S20—3. However, “</w:t>
      </w:r>
      <w:r w:rsidRPr="006E3658">
        <w:t xml:space="preserve">Burnet, </w:t>
      </w:r>
      <w:r>
        <w:t>s</w:t>
      </w:r>
      <w:r w:rsidRPr="006E3658">
        <w:t>alad</w:t>
      </w:r>
      <w:r>
        <w:t>” does appear.</w:t>
      </w:r>
    </w:p>
    <w:p w:rsidR="002B60B3" w:rsidRDefault="002B60B3" w:rsidP="002B60B3">
      <w:pPr>
        <w:spacing w:after="240"/>
      </w:pPr>
      <w:r>
        <w:t xml:space="preserve">This compilation was editorially changed to omit the entry for </w:t>
      </w:r>
      <w:r w:rsidRPr="006E3658">
        <w:t xml:space="preserve">Burnet, </w:t>
      </w:r>
      <w:r>
        <w:t>s</w:t>
      </w:r>
      <w:r w:rsidRPr="006E3658">
        <w:t>alad</w:t>
      </w:r>
      <w:r>
        <w:t xml:space="preserve"> from the entry for Agvet chemical: </w:t>
      </w:r>
      <w:r w:rsidRPr="00171208">
        <w:t>Trifluralin</w:t>
      </w:r>
      <w:r>
        <w:t xml:space="preserve"> in section S20—3 to give effect to the misdescribed amendment as intended.</w:t>
      </w:r>
    </w:p>
    <w:p w:rsidR="002B60B3" w:rsidRPr="002B60B3" w:rsidRDefault="002B60B3" w:rsidP="00144B39">
      <w:pPr>
        <w:keepNext/>
        <w:keepLines/>
        <w:spacing w:after="240"/>
        <w:rPr>
          <w:b/>
          <w:sz w:val="24"/>
          <w:szCs w:val="24"/>
        </w:rPr>
      </w:pPr>
      <w:r w:rsidRPr="002B60B3">
        <w:rPr>
          <w:b/>
          <w:sz w:val="24"/>
          <w:szCs w:val="24"/>
        </w:rPr>
        <w:t>Section S20—3 (table entry for Agvet chemical: Trifluralin)</w:t>
      </w:r>
    </w:p>
    <w:p w:rsidR="002B60B3" w:rsidRPr="004549F1" w:rsidRDefault="002B60B3" w:rsidP="00144B39">
      <w:pPr>
        <w:keepNext/>
        <w:keepLines/>
        <w:spacing w:after="240"/>
        <w:rPr>
          <w:b/>
        </w:rPr>
      </w:pPr>
      <w:r w:rsidRPr="004549F1">
        <w:rPr>
          <w:b/>
        </w:rPr>
        <w:t>Kind of editorial change</w:t>
      </w:r>
    </w:p>
    <w:p w:rsidR="002B60B3" w:rsidRPr="0018341F" w:rsidRDefault="002B60B3" w:rsidP="00144B39">
      <w:pPr>
        <w:keepNext/>
        <w:keepLines/>
        <w:spacing w:after="240"/>
      </w:pPr>
      <w:r w:rsidRPr="00C65320">
        <w:t>Give effect to the misdescribed amendment as intended</w:t>
      </w:r>
    </w:p>
    <w:p w:rsidR="002B60B3" w:rsidRPr="004549F1" w:rsidRDefault="002B60B3" w:rsidP="002B60B3">
      <w:pPr>
        <w:spacing w:after="240"/>
        <w:rPr>
          <w:b/>
        </w:rPr>
      </w:pPr>
      <w:r w:rsidRPr="004549F1">
        <w:rPr>
          <w:b/>
        </w:rPr>
        <w:t>Details of editorial change</w:t>
      </w:r>
    </w:p>
    <w:p w:rsidR="002B60B3" w:rsidRDefault="002B60B3" w:rsidP="002B60B3">
      <w:pPr>
        <w:spacing w:after="240"/>
      </w:pPr>
      <w:r>
        <w:t xml:space="preserve">Table item 3 of item 224 of the Schedule to the </w:t>
      </w:r>
      <w:r w:rsidRPr="005A03AC">
        <w:rPr>
          <w:i/>
        </w:rPr>
        <w:t>Food Standards (Proposal M1021 – Maximum Residue Limits (2022) – Schedule 20) Variation</w:t>
      </w:r>
      <w:r>
        <w:t xml:space="preserve"> instructs to omit “</w:t>
      </w:r>
      <w:r w:rsidRPr="001E1784">
        <w:t xml:space="preserve">T*0.05” </w:t>
      </w:r>
      <w:r>
        <w:t>and substitute “</w:t>
      </w:r>
      <w:r w:rsidRPr="001E1784">
        <w:t>*0.05</w:t>
      </w:r>
      <w:r>
        <w:t xml:space="preserve">” in the </w:t>
      </w:r>
      <w:r w:rsidRPr="007D3528">
        <w:rPr>
          <w:rFonts w:cs="Arial"/>
        </w:rPr>
        <w:t>food commodity</w:t>
      </w:r>
      <w:r>
        <w:t xml:space="preserve"> for Dill seed in the entry for Agvet chemical: </w:t>
      </w:r>
      <w:r w:rsidRPr="00D0370D">
        <w:t>Trifluralin</w:t>
      </w:r>
      <w:r>
        <w:t xml:space="preserve"> in section S20—3.</w:t>
      </w:r>
    </w:p>
    <w:p w:rsidR="002B60B3" w:rsidRDefault="002B60B3" w:rsidP="002B60B3">
      <w:pPr>
        <w:spacing w:after="240"/>
      </w:pPr>
      <w:r>
        <w:t xml:space="preserve">The text “Dill seed” does not appear in the entry for Agvet chemical: </w:t>
      </w:r>
      <w:r w:rsidRPr="00171208">
        <w:t>Trifluralin</w:t>
      </w:r>
      <w:r>
        <w:t xml:space="preserve"> in section S20—3. However, “Dill, seed” does appear.</w:t>
      </w:r>
    </w:p>
    <w:p w:rsidR="002B60B3" w:rsidRPr="00CD783D" w:rsidRDefault="002B60B3" w:rsidP="002B60B3">
      <w:r>
        <w:t>This compilation was editorially changed to omit “</w:t>
      </w:r>
      <w:r w:rsidRPr="001E1784">
        <w:t xml:space="preserve">T*0.05” </w:t>
      </w:r>
      <w:r>
        <w:t>and substitute “</w:t>
      </w:r>
      <w:r w:rsidRPr="001E1784">
        <w:t>*0.05</w:t>
      </w:r>
      <w:r>
        <w:t xml:space="preserve">” in the </w:t>
      </w:r>
      <w:r w:rsidRPr="007D3528">
        <w:rPr>
          <w:rFonts w:cs="Arial"/>
        </w:rPr>
        <w:t>food commodity</w:t>
      </w:r>
      <w:r>
        <w:t xml:space="preserve"> for Dill, seed in the entry for Agvet chemical: </w:t>
      </w:r>
      <w:r w:rsidRPr="00171208">
        <w:t>Trifluralin</w:t>
      </w:r>
      <w:r>
        <w:t xml:space="preserve"> in section S20—3 to give effect to the misdescribed amendment as intended.</w:t>
      </w:r>
    </w:p>
    <w:p w:rsidR="006D44BB" w:rsidRPr="00BE5F99" w:rsidRDefault="006D44BB" w:rsidP="006D44BB">
      <w:pPr>
        <w:pStyle w:val="Head2"/>
        <w:keepLines/>
        <w:spacing w:after="240"/>
      </w:pPr>
      <w:r w:rsidRPr="00251987">
        <w:t>National Capital Plan 1990 (December 1990)</w:t>
      </w:r>
      <w:r>
        <w:t>, Compilation No. 30, Registration Date: 1 May 202</w:t>
      </w:r>
      <w:r w:rsidRPr="00BE5F99">
        <w:t>4 [</w:t>
      </w:r>
      <w:r w:rsidRPr="006D44BB">
        <w:t>F2024C00402</w:t>
      </w:r>
      <w:r w:rsidRPr="00BE5F99">
        <w:t>]</w:t>
      </w:r>
    </w:p>
    <w:p w:rsidR="006D44BB" w:rsidRPr="00251987" w:rsidRDefault="006D44BB" w:rsidP="006D44BB">
      <w:pPr>
        <w:spacing w:after="240"/>
        <w:rPr>
          <w:b/>
          <w:sz w:val="24"/>
          <w:szCs w:val="22"/>
        </w:rPr>
      </w:pPr>
      <w:r w:rsidRPr="00251987">
        <w:rPr>
          <w:b/>
          <w:sz w:val="24"/>
          <w:szCs w:val="22"/>
        </w:rPr>
        <w:t>Section 4.12.5</w:t>
      </w:r>
    </w:p>
    <w:p w:rsidR="006D44BB" w:rsidRPr="00251987" w:rsidRDefault="006D44BB" w:rsidP="006D44BB">
      <w:pPr>
        <w:spacing w:after="240"/>
        <w:rPr>
          <w:b/>
          <w:szCs w:val="22"/>
        </w:rPr>
      </w:pPr>
      <w:r w:rsidRPr="00251987">
        <w:rPr>
          <w:b/>
          <w:szCs w:val="22"/>
        </w:rPr>
        <w:t>Kind of editorial change</w:t>
      </w:r>
    </w:p>
    <w:p w:rsidR="006D44BB" w:rsidRPr="00251987" w:rsidRDefault="006D44BB" w:rsidP="006D44BB">
      <w:pPr>
        <w:spacing w:after="240"/>
        <w:rPr>
          <w:szCs w:val="22"/>
        </w:rPr>
      </w:pPr>
      <w:r w:rsidRPr="00251987">
        <w:rPr>
          <w:szCs w:val="22"/>
        </w:rPr>
        <w:t>Give effect to the misdescribed amendment as intended</w:t>
      </w:r>
    </w:p>
    <w:p w:rsidR="006D44BB" w:rsidRPr="00251987" w:rsidRDefault="006D44BB" w:rsidP="006D44BB">
      <w:pPr>
        <w:spacing w:after="240"/>
        <w:rPr>
          <w:b/>
          <w:szCs w:val="22"/>
        </w:rPr>
      </w:pPr>
      <w:r w:rsidRPr="00251987">
        <w:rPr>
          <w:b/>
          <w:szCs w:val="22"/>
        </w:rPr>
        <w:t>Details of editorial change</w:t>
      </w:r>
    </w:p>
    <w:p w:rsidR="006D44BB" w:rsidRPr="00251987" w:rsidRDefault="006D44BB" w:rsidP="006D44BB">
      <w:pPr>
        <w:spacing w:after="240"/>
        <w:rPr>
          <w:szCs w:val="22"/>
        </w:rPr>
      </w:pPr>
      <w:r w:rsidRPr="00251987">
        <w:rPr>
          <w:szCs w:val="22"/>
        </w:rPr>
        <w:t xml:space="preserve">Schedule 1 item 2 of the </w:t>
      </w:r>
      <w:r w:rsidRPr="00EE5C18">
        <w:rPr>
          <w:i/>
          <w:szCs w:val="22"/>
        </w:rPr>
        <w:t>National Capital Plan Amendment (No.97 – Block 7 Section 4 Yarralumla (former Australian Forestry School)) Amending Instrument</w:t>
      </w:r>
      <w:r w:rsidRPr="00251987">
        <w:rPr>
          <w:szCs w:val="22"/>
        </w:rPr>
        <w:t xml:space="preserve"> provides, in part, as follows:</w:t>
      </w:r>
    </w:p>
    <w:p w:rsidR="006D44BB" w:rsidRPr="00251987" w:rsidRDefault="006D44BB" w:rsidP="006D44BB">
      <w:pPr>
        <w:pStyle w:val="ItemHead"/>
        <w:spacing w:before="0" w:after="240"/>
      </w:pPr>
      <w:r w:rsidRPr="00251987">
        <w:t xml:space="preserve">2  Section 4.12.5 – Detailed conditions of planning, design and development </w:t>
      </w:r>
    </w:p>
    <w:p w:rsidR="006D44BB" w:rsidRPr="00D16E3E" w:rsidRDefault="006D44BB" w:rsidP="006D44BB">
      <w:pPr>
        <w:pStyle w:val="Item"/>
        <w:spacing w:before="0" w:after="240"/>
      </w:pPr>
      <w:r w:rsidRPr="00251987">
        <w:t>Under ‘location specific, insert:</w:t>
      </w:r>
    </w:p>
    <w:p w:rsidR="006D44BB" w:rsidRPr="00251987" w:rsidRDefault="006D44BB" w:rsidP="006D44BB">
      <w:pPr>
        <w:spacing w:after="240"/>
        <w:rPr>
          <w:szCs w:val="22"/>
        </w:rPr>
      </w:pPr>
      <w:r w:rsidRPr="00251987">
        <w:rPr>
          <w:szCs w:val="22"/>
        </w:rPr>
        <w:lastRenderedPageBreak/>
        <w:t>The text “location specific” does not appear in section 4.12.5. However, the text “</w:t>
      </w:r>
      <w:r w:rsidRPr="00EE5C18">
        <w:rPr>
          <w:b/>
          <w:szCs w:val="22"/>
        </w:rPr>
        <w:t>Location specific</w:t>
      </w:r>
      <w:r w:rsidRPr="00251987">
        <w:rPr>
          <w:szCs w:val="22"/>
        </w:rPr>
        <w:t>” does appear.</w:t>
      </w:r>
    </w:p>
    <w:p w:rsidR="006D44BB" w:rsidRPr="00251987" w:rsidRDefault="006D44BB" w:rsidP="006D44BB">
      <w:pPr>
        <w:spacing w:after="240"/>
        <w:rPr>
          <w:szCs w:val="22"/>
        </w:rPr>
      </w:pPr>
      <w:r w:rsidRPr="00251987">
        <w:rPr>
          <w:szCs w:val="22"/>
        </w:rPr>
        <w:t>This compilation was editorially changed to apply the amendment under “</w:t>
      </w:r>
      <w:r w:rsidRPr="00EE5C18">
        <w:rPr>
          <w:b/>
          <w:szCs w:val="22"/>
        </w:rPr>
        <w:t>Location specific</w:t>
      </w:r>
      <w:r w:rsidRPr="00251987">
        <w:rPr>
          <w:szCs w:val="22"/>
        </w:rPr>
        <w:t>” in section 4.12.5 to give effect to the misdescribed amendment as intended.</w:t>
      </w:r>
    </w:p>
    <w:p w:rsidR="006D44BB" w:rsidRPr="00EE5C18" w:rsidRDefault="006D44BB" w:rsidP="0037794C">
      <w:pPr>
        <w:keepNext/>
        <w:keepLines/>
        <w:spacing w:after="240"/>
        <w:rPr>
          <w:b/>
        </w:rPr>
      </w:pPr>
      <w:r w:rsidRPr="00EE5C18">
        <w:rPr>
          <w:b/>
        </w:rPr>
        <w:t>Kind of editorial change</w:t>
      </w:r>
    </w:p>
    <w:p w:rsidR="006D44BB" w:rsidRPr="00EE5C18" w:rsidRDefault="006D44BB" w:rsidP="0037794C">
      <w:pPr>
        <w:keepNext/>
        <w:keepLines/>
        <w:spacing w:after="240"/>
      </w:pPr>
      <w:r w:rsidRPr="00EE5C18">
        <w:t>Renumbering of provisions and updates to cross</w:t>
      </w:r>
      <w:r>
        <w:noBreakHyphen/>
      </w:r>
      <w:r w:rsidRPr="00EE5C18">
        <w:t>references</w:t>
      </w:r>
    </w:p>
    <w:p w:rsidR="006D44BB" w:rsidRPr="00EE5C18" w:rsidRDefault="006D44BB" w:rsidP="0037794C">
      <w:pPr>
        <w:keepNext/>
        <w:keepLines/>
        <w:spacing w:after="240"/>
        <w:rPr>
          <w:b/>
        </w:rPr>
      </w:pPr>
      <w:r w:rsidRPr="00EE5C18">
        <w:rPr>
          <w:b/>
        </w:rPr>
        <w:t>Details of editorial change</w:t>
      </w:r>
    </w:p>
    <w:p w:rsidR="006D44BB" w:rsidRPr="00251987" w:rsidRDefault="006D44BB" w:rsidP="006D44BB">
      <w:pPr>
        <w:spacing w:after="240"/>
      </w:pPr>
      <w:r w:rsidRPr="00EE5C18">
        <w:t xml:space="preserve">Schedule 1 item 2 of the </w:t>
      </w:r>
      <w:r w:rsidRPr="00EE5C18">
        <w:rPr>
          <w:i/>
        </w:rPr>
        <w:t>National Capital Plan Amendment (No.97 – Block 7 Section 4 Yarralumla (former Australian Forestry School)) Amending Instrument</w:t>
      </w:r>
      <w:r w:rsidRPr="00EE5C18">
        <w:t xml:space="preserve"> instructs</w:t>
      </w:r>
      <w:r w:rsidRPr="00251987">
        <w:t>, in part,</w:t>
      </w:r>
      <w:r w:rsidRPr="00EE5C18">
        <w:t xml:space="preserve"> to insert Figure</w:t>
      </w:r>
      <w:r w:rsidRPr="00251987">
        <w:t>s</w:t>
      </w:r>
      <w:r w:rsidRPr="00EE5C18">
        <w:t xml:space="preserve"> 115 and 116 in section 4.12.5. However</w:t>
      </w:r>
      <w:r w:rsidRPr="00251987">
        <w:t>,</w:t>
      </w:r>
      <w:r w:rsidRPr="00EE5C18">
        <w:t xml:space="preserve"> there is already a Figure 115 in section 4.13.1 and a Figure 116 in section 4.13.4.</w:t>
      </w:r>
    </w:p>
    <w:p w:rsidR="006D44BB" w:rsidRPr="00EE5C18" w:rsidRDefault="006D44BB" w:rsidP="006D44BB">
      <w:pPr>
        <w:spacing w:after="240"/>
      </w:pPr>
      <w:r w:rsidRPr="00EE5C18">
        <w:t>This compilation was editorially changed to renumber the Figures as shown in the table below and to update the cross</w:t>
      </w:r>
      <w:r>
        <w:noBreakHyphen/>
      </w:r>
      <w:r w:rsidRPr="00EE5C18">
        <w:t>references to those Figures.</w:t>
      </w:r>
    </w:p>
    <w:tbl>
      <w:tblPr>
        <w:tblW w:w="5670"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835"/>
        <w:gridCol w:w="2835"/>
      </w:tblGrid>
      <w:tr w:rsidR="006D44BB" w:rsidRPr="00251987" w:rsidTr="006D44BB">
        <w:trPr>
          <w:tblHeader/>
        </w:trPr>
        <w:tc>
          <w:tcPr>
            <w:tcW w:w="5669" w:type="dxa"/>
            <w:gridSpan w:val="2"/>
            <w:tcBorders>
              <w:top w:val="single" w:sz="12" w:space="0" w:color="auto"/>
              <w:bottom w:val="single" w:sz="6" w:space="0" w:color="auto"/>
            </w:tcBorders>
            <w:shd w:val="clear" w:color="auto" w:fill="auto"/>
          </w:tcPr>
          <w:p w:rsidR="006D44BB" w:rsidRPr="00251987" w:rsidRDefault="006D44BB" w:rsidP="006D44BB">
            <w:pPr>
              <w:pStyle w:val="TableHeading"/>
            </w:pPr>
            <w:bookmarkStart w:id="43" w:name="_Hlk164153918"/>
            <w:r w:rsidRPr="00251987">
              <w:t>Renumbering</w:t>
            </w:r>
          </w:p>
        </w:tc>
      </w:tr>
      <w:tr w:rsidR="006D44BB" w:rsidRPr="00251987" w:rsidTr="006D44BB">
        <w:trPr>
          <w:tblHeader/>
        </w:trPr>
        <w:tc>
          <w:tcPr>
            <w:tcW w:w="2835" w:type="dxa"/>
            <w:tcBorders>
              <w:top w:val="single" w:sz="6" w:space="0" w:color="auto"/>
              <w:bottom w:val="single" w:sz="12" w:space="0" w:color="auto"/>
            </w:tcBorders>
            <w:shd w:val="clear" w:color="auto" w:fill="auto"/>
          </w:tcPr>
          <w:p w:rsidR="006D44BB" w:rsidRPr="00251987" w:rsidRDefault="006D44BB" w:rsidP="006D44BB">
            <w:pPr>
              <w:pStyle w:val="TableHeading"/>
            </w:pPr>
            <w:r w:rsidRPr="00251987">
              <w:t>Provision</w:t>
            </w:r>
          </w:p>
        </w:tc>
        <w:tc>
          <w:tcPr>
            <w:tcW w:w="2835" w:type="dxa"/>
            <w:tcBorders>
              <w:top w:val="single" w:sz="6" w:space="0" w:color="auto"/>
              <w:bottom w:val="single" w:sz="12" w:space="0" w:color="auto"/>
            </w:tcBorders>
            <w:shd w:val="clear" w:color="auto" w:fill="auto"/>
          </w:tcPr>
          <w:p w:rsidR="006D44BB" w:rsidRPr="00251987" w:rsidRDefault="006D44BB" w:rsidP="006D44BB">
            <w:pPr>
              <w:pStyle w:val="TableHeading"/>
              <w:rPr>
                <w:sz w:val="24"/>
              </w:rPr>
            </w:pPr>
            <w:r w:rsidRPr="00251987">
              <w:t>Renumbered as:</w:t>
            </w:r>
          </w:p>
        </w:tc>
      </w:tr>
      <w:tr w:rsidR="006D44BB" w:rsidRPr="00251987" w:rsidTr="006D44BB">
        <w:tc>
          <w:tcPr>
            <w:tcW w:w="2835" w:type="dxa"/>
            <w:tcBorders>
              <w:top w:val="single" w:sz="12" w:space="0" w:color="auto"/>
            </w:tcBorders>
            <w:shd w:val="clear" w:color="auto" w:fill="auto"/>
          </w:tcPr>
          <w:p w:rsidR="006D44BB" w:rsidRPr="00251987" w:rsidRDefault="006D44BB" w:rsidP="006D44BB">
            <w:pPr>
              <w:pStyle w:val="Tabletext"/>
            </w:pPr>
            <w:r w:rsidRPr="00251987">
              <w:t>Figure 115 (second occurring)</w:t>
            </w:r>
          </w:p>
        </w:tc>
        <w:tc>
          <w:tcPr>
            <w:tcW w:w="2835" w:type="dxa"/>
            <w:tcBorders>
              <w:top w:val="single" w:sz="12" w:space="0" w:color="auto"/>
            </w:tcBorders>
            <w:shd w:val="clear" w:color="auto" w:fill="auto"/>
          </w:tcPr>
          <w:p w:rsidR="006D44BB" w:rsidRPr="00251987" w:rsidRDefault="006D44BB" w:rsidP="006D44BB">
            <w:pPr>
              <w:pStyle w:val="Tabletext"/>
            </w:pPr>
            <w:r w:rsidRPr="00251987">
              <w:t>Figure 117</w:t>
            </w:r>
          </w:p>
        </w:tc>
      </w:tr>
      <w:tr w:rsidR="006D44BB" w:rsidRPr="00251987" w:rsidTr="006D44BB">
        <w:tc>
          <w:tcPr>
            <w:tcW w:w="2835" w:type="dxa"/>
            <w:shd w:val="clear" w:color="auto" w:fill="auto"/>
          </w:tcPr>
          <w:p w:rsidR="006D44BB" w:rsidRPr="00251987" w:rsidRDefault="006D44BB" w:rsidP="006D44BB">
            <w:pPr>
              <w:pStyle w:val="Tabletext"/>
            </w:pPr>
            <w:r w:rsidRPr="00251987">
              <w:t>Figure 116 (second occurring)</w:t>
            </w:r>
          </w:p>
        </w:tc>
        <w:tc>
          <w:tcPr>
            <w:tcW w:w="2835" w:type="dxa"/>
            <w:shd w:val="clear" w:color="auto" w:fill="auto"/>
          </w:tcPr>
          <w:p w:rsidR="006D44BB" w:rsidRPr="00251987" w:rsidRDefault="006D44BB" w:rsidP="006D44BB">
            <w:pPr>
              <w:pStyle w:val="Tabletext"/>
            </w:pPr>
            <w:r w:rsidRPr="00251987">
              <w:t>Figure 118</w:t>
            </w:r>
          </w:p>
        </w:tc>
      </w:tr>
      <w:tr w:rsidR="006D44BB" w:rsidRPr="00251987" w:rsidTr="006D44BB">
        <w:tc>
          <w:tcPr>
            <w:tcW w:w="2835" w:type="dxa"/>
            <w:tcBorders>
              <w:bottom w:val="single" w:sz="2" w:space="0" w:color="auto"/>
            </w:tcBorders>
            <w:shd w:val="clear" w:color="auto" w:fill="auto"/>
          </w:tcPr>
          <w:p w:rsidR="006D44BB" w:rsidRPr="00251987" w:rsidRDefault="006D44BB" w:rsidP="006D44BB">
            <w:pPr>
              <w:pStyle w:val="Tabletext"/>
            </w:pPr>
            <w:r w:rsidRPr="00251987">
              <w:t>Figure 117</w:t>
            </w:r>
          </w:p>
        </w:tc>
        <w:tc>
          <w:tcPr>
            <w:tcW w:w="2835" w:type="dxa"/>
            <w:tcBorders>
              <w:bottom w:val="single" w:sz="2" w:space="0" w:color="auto"/>
            </w:tcBorders>
            <w:shd w:val="clear" w:color="auto" w:fill="auto"/>
          </w:tcPr>
          <w:p w:rsidR="006D44BB" w:rsidRPr="00251987" w:rsidRDefault="006D44BB" w:rsidP="006D44BB">
            <w:pPr>
              <w:pStyle w:val="Tabletext"/>
            </w:pPr>
            <w:r w:rsidRPr="00251987">
              <w:t>Figure 119</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118</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120</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119</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121</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120</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122</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121</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123</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122</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124</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123</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125</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124</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126</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125</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127</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126</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128</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127</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129</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128</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130</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129</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131</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130</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132</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131</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133</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132</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134</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133</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135</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134</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136</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135</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137</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136</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138</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137</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139</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138</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140</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139</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141</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140</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142</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lastRenderedPageBreak/>
              <w:t>Figure 141</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143</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142</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144</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143</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145</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144</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146</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145</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147</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146</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148</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147</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149</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148</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150</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149</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151</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150</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152</w:t>
            </w:r>
          </w:p>
        </w:tc>
      </w:tr>
      <w:tr w:rsidR="006D44BB" w:rsidRPr="00251987" w:rsidTr="006D44BB">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151</w:t>
            </w:r>
          </w:p>
        </w:tc>
        <w:tc>
          <w:tcPr>
            <w:tcW w:w="2835" w:type="dxa"/>
            <w:tcBorders>
              <w:top w:val="single" w:sz="2" w:space="0" w:color="auto"/>
              <w:bottom w:val="single" w:sz="2" w:space="0" w:color="auto"/>
            </w:tcBorders>
            <w:shd w:val="clear" w:color="auto" w:fill="auto"/>
          </w:tcPr>
          <w:p w:rsidR="006D44BB" w:rsidRPr="00251987" w:rsidRDefault="006D44BB" w:rsidP="006D44BB">
            <w:pPr>
              <w:pStyle w:val="Tabletext"/>
            </w:pPr>
            <w:r w:rsidRPr="00251987">
              <w:t>Figure 153</w:t>
            </w:r>
          </w:p>
        </w:tc>
      </w:tr>
      <w:tr w:rsidR="006D44BB" w:rsidRPr="00251987" w:rsidTr="006D44BB">
        <w:tc>
          <w:tcPr>
            <w:tcW w:w="2835" w:type="dxa"/>
            <w:tcBorders>
              <w:top w:val="single" w:sz="2" w:space="0" w:color="auto"/>
              <w:bottom w:val="single" w:sz="12" w:space="0" w:color="auto"/>
            </w:tcBorders>
            <w:shd w:val="clear" w:color="auto" w:fill="auto"/>
          </w:tcPr>
          <w:p w:rsidR="006D44BB" w:rsidRPr="00251987" w:rsidRDefault="006D44BB" w:rsidP="006D44BB">
            <w:pPr>
              <w:pStyle w:val="Tabletext"/>
            </w:pPr>
            <w:r w:rsidRPr="00251987">
              <w:t>Figure 152</w:t>
            </w:r>
          </w:p>
        </w:tc>
        <w:tc>
          <w:tcPr>
            <w:tcW w:w="2835" w:type="dxa"/>
            <w:tcBorders>
              <w:top w:val="single" w:sz="2" w:space="0" w:color="auto"/>
              <w:bottom w:val="single" w:sz="12" w:space="0" w:color="auto"/>
            </w:tcBorders>
            <w:shd w:val="clear" w:color="auto" w:fill="auto"/>
          </w:tcPr>
          <w:p w:rsidR="006D44BB" w:rsidRPr="00251987" w:rsidRDefault="006D44BB" w:rsidP="006D44BB">
            <w:pPr>
              <w:pStyle w:val="Tabletext"/>
            </w:pPr>
            <w:r w:rsidRPr="00251987">
              <w:t>Figure 154</w:t>
            </w:r>
          </w:p>
        </w:tc>
      </w:tr>
    </w:tbl>
    <w:bookmarkEnd w:id="43"/>
    <w:p w:rsidR="00FC1495" w:rsidRPr="00BE5F99" w:rsidRDefault="00FC1495" w:rsidP="00FC1495">
      <w:pPr>
        <w:pStyle w:val="Head2"/>
        <w:keepLines/>
        <w:spacing w:after="240"/>
      </w:pPr>
      <w:r w:rsidRPr="0036697F">
        <w:t>National Redress Scheme for Institutional Child Sexual Abuse Declaration 2018</w:t>
      </w:r>
      <w:r>
        <w:t>, Compilation No. 69, Registration Date: 18 April 202</w:t>
      </w:r>
      <w:r w:rsidRPr="00BE5F99">
        <w:t>4 [</w:t>
      </w:r>
      <w:r w:rsidRPr="00FC1495">
        <w:t>F2024C00379</w:t>
      </w:r>
      <w:r w:rsidRPr="00BE5F99">
        <w:t>]</w:t>
      </w:r>
    </w:p>
    <w:p w:rsidR="00FC1495" w:rsidRPr="004549F1" w:rsidRDefault="00FC1495" w:rsidP="00FC1495">
      <w:pPr>
        <w:spacing w:after="240"/>
        <w:rPr>
          <w:b/>
          <w:sz w:val="24"/>
          <w:szCs w:val="24"/>
        </w:rPr>
      </w:pPr>
      <w:r>
        <w:rPr>
          <w:b/>
          <w:sz w:val="24"/>
          <w:szCs w:val="24"/>
        </w:rPr>
        <w:t>Subparagraphs 8C(1)(a)(i) and (ii)</w:t>
      </w:r>
    </w:p>
    <w:p w:rsidR="00FC1495" w:rsidRPr="004549F1" w:rsidRDefault="00FC1495" w:rsidP="00FC1495">
      <w:pPr>
        <w:spacing w:after="240"/>
        <w:rPr>
          <w:b/>
        </w:rPr>
      </w:pPr>
      <w:r w:rsidRPr="004549F1">
        <w:rPr>
          <w:b/>
        </w:rPr>
        <w:t>Kind of editorial change</w:t>
      </w:r>
    </w:p>
    <w:p w:rsidR="00FC1495" w:rsidRPr="0018341F" w:rsidRDefault="00FC1495" w:rsidP="00FC1495">
      <w:pPr>
        <w:spacing w:after="240"/>
      </w:pPr>
      <w:r w:rsidRPr="006C7DBF">
        <w:t>Numbering or renumbering of provisions</w:t>
      </w:r>
    </w:p>
    <w:p w:rsidR="00FC1495" w:rsidRPr="004549F1" w:rsidRDefault="00FC1495" w:rsidP="00FC1495">
      <w:pPr>
        <w:spacing w:after="240"/>
        <w:rPr>
          <w:b/>
        </w:rPr>
      </w:pPr>
      <w:r w:rsidRPr="004549F1">
        <w:rPr>
          <w:b/>
        </w:rPr>
        <w:t>Details of editorial change</w:t>
      </w:r>
    </w:p>
    <w:p w:rsidR="00FC1495" w:rsidRDefault="00FC1495" w:rsidP="00FC1495">
      <w:pPr>
        <w:spacing w:after="240"/>
      </w:pPr>
      <w:r>
        <w:t xml:space="preserve">Schedule 1 item 1 of the </w:t>
      </w:r>
      <w:r w:rsidRPr="00AC3808">
        <w:rPr>
          <w:i/>
        </w:rPr>
        <w:t>National Redress Scheme for Institutional Child Sexual Abuse Amendment (2024 Measures No. 1) Declaration 2024</w:t>
      </w:r>
      <w:r>
        <w:t xml:space="preserve"> provides as follows:</w:t>
      </w:r>
    </w:p>
    <w:p w:rsidR="00FC1495" w:rsidRPr="00022181" w:rsidRDefault="00FC1495" w:rsidP="00FC1495">
      <w:pPr>
        <w:pStyle w:val="ItemHead"/>
        <w:ind w:left="426" w:hanging="426"/>
      </w:pPr>
      <w:r w:rsidRPr="00022181">
        <w:t>1</w:t>
      </w:r>
      <w:r w:rsidRPr="00022181">
        <w:tab/>
        <w:t>Paragraph 8C(1)(a)</w:t>
      </w:r>
    </w:p>
    <w:p w:rsidR="00FC1495" w:rsidRPr="00022181" w:rsidRDefault="00FC1495" w:rsidP="00FC1495">
      <w:pPr>
        <w:pStyle w:val="Item"/>
        <w:ind w:hanging="223"/>
      </w:pPr>
      <w:r w:rsidRPr="00022181">
        <w:t>Omit the paragraph, and substitute:</w:t>
      </w:r>
    </w:p>
    <w:p w:rsidR="00FC1495" w:rsidRPr="00022181" w:rsidRDefault="00FC1495" w:rsidP="00FC1495">
      <w:pPr>
        <w:pStyle w:val="Item"/>
        <w:ind w:left="1571" w:hanging="360"/>
      </w:pPr>
      <w:r w:rsidRPr="00022181">
        <w:t>(a)</w:t>
      </w:r>
      <w:r w:rsidRPr="00022181">
        <w:tab/>
        <w:t xml:space="preserve">A government entity within the meaning of section 276 of the </w:t>
      </w:r>
      <w:r w:rsidRPr="00022181">
        <w:rPr>
          <w:i/>
        </w:rPr>
        <w:t>Public Sector Act 2022</w:t>
      </w:r>
      <w:r w:rsidRPr="001705E6">
        <w:t xml:space="preserve"> </w:t>
      </w:r>
      <w:r w:rsidRPr="00022181">
        <w:t>(Qld), other than an entity that:</w:t>
      </w:r>
    </w:p>
    <w:p w:rsidR="00FC1495" w:rsidRPr="00022181" w:rsidRDefault="00FC1495" w:rsidP="00FC1495">
      <w:pPr>
        <w:pStyle w:val="Item"/>
        <w:ind w:left="2127" w:hanging="196"/>
      </w:pPr>
      <w:r w:rsidRPr="00022181">
        <w:t>i.</w:t>
      </w:r>
      <w:r w:rsidRPr="00022181">
        <w:tab/>
        <w:t xml:space="preserve">is mentioned in paragraphs 276(1)(b) or (c) of the </w:t>
      </w:r>
      <w:r w:rsidRPr="00022181">
        <w:rPr>
          <w:i/>
        </w:rPr>
        <w:t>Public Sector Act 2022</w:t>
      </w:r>
      <w:r w:rsidRPr="001705E6">
        <w:t xml:space="preserve"> </w:t>
      </w:r>
      <w:r w:rsidRPr="00022181">
        <w:t xml:space="preserve">(Qld); and </w:t>
      </w:r>
    </w:p>
    <w:p w:rsidR="00FC1495" w:rsidRPr="00022181" w:rsidRDefault="00FC1495" w:rsidP="00FC1495">
      <w:pPr>
        <w:pStyle w:val="Item"/>
        <w:ind w:left="2127" w:hanging="196"/>
      </w:pPr>
      <w:r w:rsidRPr="00022181">
        <w:t>ii.</w:t>
      </w:r>
      <w:r w:rsidRPr="00022181">
        <w:tab/>
        <w:t>under a Queensland Act, does not represent the State of Queensland;</w:t>
      </w:r>
    </w:p>
    <w:p w:rsidR="00FC1495" w:rsidRDefault="00FC1495" w:rsidP="00FC1495">
      <w:pPr>
        <w:spacing w:before="240" w:after="240"/>
      </w:pPr>
      <w:r>
        <w:t>The newly substituted paragraph contains subparagraphs 8C(1)(a)i. and ii.</w:t>
      </w:r>
    </w:p>
    <w:p w:rsidR="00FC1495" w:rsidRPr="004549F1" w:rsidRDefault="00FC1495" w:rsidP="00FC1495">
      <w:r>
        <w:t>This compilation was editorially changed by renumbering subparagraphs 8C(1)(a)i. and ii. as subparagraphs 8C(1)(a)(i) and (ii) to maintain numbering consistency within this declaration.</w:t>
      </w:r>
    </w:p>
    <w:p w:rsidR="00CD32B7" w:rsidRPr="00BE5F99" w:rsidRDefault="00CD32B7" w:rsidP="0037794C">
      <w:pPr>
        <w:pStyle w:val="Head2"/>
        <w:keepLines/>
        <w:spacing w:after="240"/>
      </w:pPr>
      <w:r w:rsidRPr="003159FB">
        <w:lastRenderedPageBreak/>
        <w:t xml:space="preserve">Environment Protection and Biodiversity Conservation </w:t>
      </w:r>
      <w:r>
        <w:t>Regulations 2</w:t>
      </w:r>
      <w:r w:rsidRPr="003159FB">
        <w:t>000</w:t>
      </w:r>
      <w:r>
        <w:t>, Compilation No. 25, Registration Date: 16 April 202</w:t>
      </w:r>
      <w:r w:rsidRPr="00BE5F99">
        <w:t>4 [</w:t>
      </w:r>
      <w:r w:rsidR="00B1257F" w:rsidRPr="00B1257F">
        <w:t>F2024C00361</w:t>
      </w:r>
      <w:r w:rsidRPr="00BE5F99">
        <w:t>]</w:t>
      </w:r>
    </w:p>
    <w:p w:rsidR="00B1257F" w:rsidRPr="004549F1" w:rsidRDefault="00B1257F" w:rsidP="0037794C">
      <w:pPr>
        <w:keepNext/>
        <w:keepLines/>
        <w:spacing w:after="240"/>
        <w:rPr>
          <w:b/>
          <w:sz w:val="24"/>
          <w:szCs w:val="24"/>
        </w:rPr>
      </w:pPr>
      <w:r>
        <w:rPr>
          <w:b/>
          <w:sz w:val="24"/>
          <w:szCs w:val="24"/>
        </w:rPr>
        <w:t>Subregulation 4</w:t>
      </w:r>
      <w:r w:rsidRPr="00170F0E">
        <w:rPr>
          <w:b/>
          <w:sz w:val="24"/>
          <w:szCs w:val="24"/>
        </w:rPr>
        <w:t>AA.01(4)</w:t>
      </w:r>
    </w:p>
    <w:p w:rsidR="00B1257F" w:rsidRPr="004549F1" w:rsidRDefault="00B1257F" w:rsidP="0037794C">
      <w:pPr>
        <w:keepNext/>
        <w:keepLines/>
        <w:spacing w:after="240"/>
        <w:rPr>
          <w:b/>
        </w:rPr>
      </w:pPr>
      <w:r w:rsidRPr="004549F1">
        <w:rPr>
          <w:b/>
        </w:rPr>
        <w:t>Kind of editorial change</w:t>
      </w:r>
    </w:p>
    <w:p w:rsidR="00B1257F" w:rsidRPr="0018341F" w:rsidRDefault="00B1257F" w:rsidP="0037794C">
      <w:pPr>
        <w:keepNext/>
        <w:keepLines/>
        <w:spacing w:after="240"/>
      </w:pPr>
      <w:r w:rsidRPr="00170F0E">
        <w:t>Correct a typographical error</w:t>
      </w:r>
    </w:p>
    <w:p w:rsidR="00B1257F" w:rsidRPr="004549F1" w:rsidRDefault="00B1257F" w:rsidP="0037794C">
      <w:pPr>
        <w:keepNext/>
        <w:keepLines/>
        <w:spacing w:after="240"/>
        <w:rPr>
          <w:b/>
        </w:rPr>
      </w:pPr>
      <w:r w:rsidRPr="004549F1">
        <w:rPr>
          <w:b/>
        </w:rPr>
        <w:t>Details of editorial change</w:t>
      </w:r>
    </w:p>
    <w:p w:rsidR="00B1257F" w:rsidRDefault="00B1257F" w:rsidP="00B1257F">
      <w:pPr>
        <w:spacing w:after="240"/>
      </w:pPr>
      <w:r>
        <w:t>Subregulation 4AA.01(4) includes the text “For a matter protected under Part 3 of the Act, ar request in relation to paragraph 78(1)(aa) of the Act”.</w:t>
      </w:r>
    </w:p>
    <w:p w:rsidR="00B1257F" w:rsidRPr="004549F1" w:rsidRDefault="00B1257F" w:rsidP="00B1257F">
      <w:pPr>
        <w:spacing w:after="240"/>
      </w:pPr>
      <w:r>
        <w:t>This compilation was editorially changed to omit “ar” and substitute “a” in subregulation 4AA.01(4) to correct the typographical error.</w:t>
      </w:r>
    </w:p>
    <w:p w:rsidR="00B1257F" w:rsidRPr="004549F1" w:rsidRDefault="00B1257F" w:rsidP="00144B39">
      <w:pPr>
        <w:keepNext/>
        <w:keepLines/>
        <w:spacing w:after="240"/>
        <w:rPr>
          <w:b/>
          <w:sz w:val="24"/>
          <w:szCs w:val="24"/>
        </w:rPr>
      </w:pPr>
      <w:r>
        <w:rPr>
          <w:b/>
          <w:sz w:val="24"/>
          <w:szCs w:val="24"/>
        </w:rPr>
        <w:t>Dictionary</w:t>
      </w:r>
    </w:p>
    <w:p w:rsidR="00B1257F" w:rsidRPr="004549F1" w:rsidRDefault="00B1257F" w:rsidP="00144B39">
      <w:pPr>
        <w:keepNext/>
        <w:keepLines/>
        <w:spacing w:after="240"/>
        <w:rPr>
          <w:b/>
        </w:rPr>
      </w:pPr>
      <w:r w:rsidRPr="004549F1">
        <w:rPr>
          <w:b/>
        </w:rPr>
        <w:t>Kind of editorial change</w:t>
      </w:r>
    </w:p>
    <w:p w:rsidR="00B1257F" w:rsidRPr="0018341F" w:rsidRDefault="00B1257F" w:rsidP="00144B39">
      <w:pPr>
        <w:keepNext/>
        <w:keepLines/>
        <w:spacing w:after="240"/>
      </w:pPr>
      <w:r w:rsidRPr="00AD2480">
        <w:t>Reordering of definitions</w:t>
      </w:r>
    </w:p>
    <w:p w:rsidR="00B1257F" w:rsidRPr="004549F1" w:rsidRDefault="00B1257F" w:rsidP="00B1257F">
      <w:pPr>
        <w:spacing w:after="240"/>
        <w:rPr>
          <w:b/>
        </w:rPr>
      </w:pPr>
      <w:r w:rsidRPr="004549F1">
        <w:rPr>
          <w:b/>
        </w:rPr>
        <w:t>Details of editorial change</w:t>
      </w:r>
    </w:p>
    <w:p w:rsidR="00B1257F" w:rsidRDefault="00B1257F" w:rsidP="00B1257F">
      <w:r>
        <w:t xml:space="preserve">This compilation was editorially changed to move the definition of </w:t>
      </w:r>
      <w:r w:rsidRPr="00B57FF2">
        <w:rPr>
          <w:b/>
          <w:i/>
        </w:rPr>
        <w:t>inspector</w:t>
      </w:r>
      <w:r>
        <w:t xml:space="preserve"> in the Dictionary to the correct alphabetical position.</w:t>
      </w:r>
    </w:p>
    <w:p w:rsidR="00F57881" w:rsidRPr="00BE5F99" w:rsidRDefault="00F57881" w:rsidP="000B5B2C">
      <w:pPr>
        <w:pStyle w:val="Head2"/>
        <w:keepLines/>
        <w:spacing w:after="240"/>
      </w:pPr>
      <w:r w:rsidRPr="00BD2E0B">
        <w:t xml:space="preserve">Migration </w:t>
      </w:r>
      <w:r>
        <w:t>Regulations 1</w:t>
      </w:r>
      <w:r w:rsidRPr="00BD2E0B">
        <w:t>994</w:t>
      </w:r>
      <w:r>
        <w:t>, Compilation No. 254, Registration Date: 15 April 202</w:t>
      </w:r>
      <w:r w:rsidRPr="00BE5F99">
        <w:t>4 [</w:t>
      </w:r>
      <w:r w:rsidRPr="00F57881">
        <w:t>F2024C00357</w:t>
      </w:r>
      <w:r w:rsidRPr="00BE5F99">
        <w:t>]</w:t>
      </w:r>
    </w:p>
    <w:p w:rsidR="00F57881" w:rsidRPr="004549F1" w:rsidRDefault="00F57881" w:rsidP="000B5B2C">
      <w:pPr>
        <w:keepNext/>
        <w:keepLines/>
        <w:spacing w:after="240"/>
        <w:rPr>
          <w:b/>
          <w:sz w:val="24"/>
          <w:szCs w:val="24"/>
        </w:rPr>
      </w:pPr>
      <w:bookmarkStart w:id="44" w:name="_Hlk163640934"/>
      <w:bookmarkStart w:id="45" w:name="_Hlk163649682"/>
      <w:r w:rsidRPr="00C2622D">
        <w:rPr>
          <w:b/>
          <w:sz w:val="24"/>
          <w:szCs w:val="24"/>
        </w:rPr>
        <w:t>Subparagraph 8611(a)(ii)</w:t>
      </w:r>
      <w:bookmarkEnd w:id="44"/>
      <w:r w:rsidRPr="00C2622D">
        <w:rPr>
          <w:b/>
          <w:sz w:val="24"/>
          <w:szCs w:val="24"/>
        </w:rPr>
        <w:t xml:space="preserve"> of Schedule 8</w:t>
      </w:r>
    </w:p>
    <w:bookmarkEnd w:id="45"/>
    <w:p w:rsidR="00F57881" w:rsidRPr="004549F1" w:rsidRDefault="00F57881" w:rsidP="000B5B2C">
      <w:pPr>
        <w:keepNext/>
        <w:keepLines/>
        <w:spacing w:after="240"/>
        <w:rPr>
          <w:b/>
        </w:rPr>
      </w:pPr>
      <w:r w:rsidRPr="004549F1">
        <w:rPr>
          <w:b/>
        </w:rPr>
        <w:t>Kind of editorial change</w:t>
      </w:r>
    </w:p>
    <w:p w:rsidR="00F57881" w:rsidRPr="0018341F" w:rsidRDefault="00F57881" w:rsidP="000B5B2C">
      <w:pPr>
        <w:keepNext/>
        <w:keepLines/>
        <w:spacing w:after="240"/>
      </w:pPr>
      <w:r w:rsidRPr="00383173">
        <w:rPr>
          <w:szCs w:val="22"/>
        </w:rPr>
        <w:t>Give effect to the misdescribed amendment as intended</w:t>
      </w:r>
    </w:p>
    <w:p w:rsidR="00F57881" w:rsidRPr="004549F1" w:rsidRDefault="00F57881" w:rsidP="000B5B2C">
      <w:pPr>
        <w:keepNext/>
        <w:keepLines/>
        <w:spacing w:after="240"/>
        <w:rPr>
          <w:b/>
        </w:rPr>
      </w:pPr>
      <w:r w:rsidRPr="004549F1">
        <w:rPr>
          <w:b/>
        </w:rPr>
        <w:t>Details of editorial change</w:t>
      </w:r>
    </w:p>
    <w:p w:rsidR="00F57881" w:rsidRDefault="00F57881" w:rsidP="00F57881">
      <w:pPr>
        <w:spacing w:after="240"/>
        <w:rPr>
          <w:szCs w:val="22"/>
        </w:rPr>
      </w:pPr>
      <w:r>
        <w:t xml:space="preserve">Schedule 1 item 12 of the </w:t>
      </w:r>
      <w:r w:rsidRPr="00481E37">
        <w:rPr>
          <w:i/>
          <w:szCs w:val="22"/>
        </w:rPr>
        <w:t>Migration Amendment (Pacific Australia Labour Mobility Scheme) Regulations 2024</w:t>
      </w:r>
      <w:r>
        <w:rPr>
          <w:szCs w:val="22"/>
        </w:rPr>
        <w:t xml:space="preserve"> provides as follows:</w:t>
      </w:r>
    </w:p>
    <w:p w:rsidR="00F57881" w:rsidRPr="00751CC7" w:rsidRDefault="00F57881" w:rsidP="00F57881">
      <w:pPr>
        <w:pStyle w:val="ItemHead"/>
      </w:pPr>
      <w:bookmarkStart w:id="46" w:name="_Hlk163659792"/>
      <w:r w:rsidRPr="00751CC7">
        <w:t>12  Subparagraph 8611(</w:t>
      </w:r>
      <w:r w:rsidRPr="00644DB7">
        <w:t>1)</w:t>
      </w:r>
      <w:r w:rsidRPr="00751CC7">
        <w:t>(a)(ii) of Schedule 8</w:t>
      </w:r>
    </w:p>
    <w:p w:rsidR="00F57881" w:rsidRPr="00751CC7" w:rsidRDefault="00F57881" w:rsidP="00F57881">
      <w:pPr>
        <w:pStyle w:val="Item"/>
      </w:pPr>
      <w:r w:rsidRPr="00751CC7">
        <w:t>Omit “Foreign Affairs”, substitute “a Department responsible for administering the scheme known as the Pacific Austr</w:t>
      </w:r>
      <w:r w:rsidRPr="001C2B4C">
        <w:t>alia Labour Mobility</w:t>
      </w:r>
      <w:r w:rsidRPr="00751CC7">
        <w:t xml:space="preserve"> scheme”.</w:t>
      </w:r>
    </w:p>
    <w:bookmarkEnd w:id="46"/>
    <w:p w:rsidR="00F57881" w:rsidRDefault="00F57881" w:rsidP="00F57881">
      <w:pPr>
        <w:spacing w:before="240" w:after="240"/>
      </w:pPr>
      <w:r>
        <w:t>S</w:t>
      </w:r>
      <w:r w:rsidRPr="00E20605">
        <w:t>ubparagraph 8611</w:t>
      </w:r>
      <w:r>
        <w:t>(1)</w:t>
      </w:r>
      <w:r w:rsidRPr="00E20605">
        <w:t xml:space="preserve">(a)(ii) </w:t>
      </w:r>
      <w:r>
        <w:t xml:space="preserve">of Schedule 8 </w:t>
      </w:r>
      <w:r w:rsidRPr="00E20605">
        <w:t xml:space="preserve">does not appear. However, subparagraph 8611(a)(ii) </w:t>
      </w:r>
      <w:r>
        <w:t>of Schedule 8</w:t>
      </w:r>
      <w:r w:rsidRPr="00E20605">
        <w:t xml:space="preserve"> does appear.</w:t>
      </w:r>
    </w:p>
    <w:p w:rsidR="00F57881" w:rsidRPr="00CD2A2C" w:rsidRDefault="00F57881" w:rsidP="00F57881">
      <w:r>
        <w:t xml:space="preserve">This compilation was editorially changed to omit </w:t>
      </w:r>
      <w:r w:rsidRPr="00751CC7">
        <w:t xml:space="preserve">“Foreign Affairs” </w:t>
      </w:r>
      <w:r>
        <w:t xml:space="preserve">and </w:t>
      </w:r>
      <w:r w:rsidRPr="00751CC7">
        <w:t>substitute “a Department responsible for administering the scheme known as the Pacific Austr</w:t>
      </w:r>
      <w:r w:rsidRPr="001C2B4C">
        <w:t>alia Labour Mobility</w:t>
      </w:r>
      <w:r w:rsidRPr="00751CC7">
        <w:t xml:space="preserve"> scheme”</w:t>
      </w:r>
      <w:r>
        <w:t xml:space="preserve"> in </w:t>
      </w:r>
      <w:r w:rsidRPr="00E20605">
        <w:t xml:space="preserve">subparagraph 8611(a)(ii) </w:t>
      </w:r>
      <w:r>
        <w:t xml:space="preserve">of Schedule 8 to </w:t>
      </w:r>
      <w:r w:rsidRPr="003F52D5">
        <w:t>give effect to the misdescribed amendment as intended.</w:t>
      </w:r>
    </w:p>
    <w:p w:rsidR="00B613F2" w:rsidRPr="00BE5F99" w:rsidRDefault="00B613F2" w:rsidP="00B613F2">
      <w:pPr>
        <w:pStyle w:val="Head2"/>
        <w:keepLines/>
        <w:spacing w:after="240"/>
      </w:pPr>
      <w:r w:rsidRPr="008A14E4">
        <w:lastRenderedPageBreak/>
        <w:t>National Health (Listing of Pharmaceutical Benefits) Instrument 2012</w:t>
      </w:r>
      <w:r>
        <w:t xml:space="preserve"> (</w:t>
      </w:r>
      <w:r w:rsidRPr="008A14E4">
        <w:t>PB 71 of 2012</w:t>
      </w:r>
      <w:r>
        <w:t>), Compilation No. 140, Registration Date: 8 April 202</w:t>
      </w:r>
      <w:r w:rsidRPr="00BE5F99">
        <w:t>4 [</w:t>
      </w:r>
      <w:r w:rsidRPr="00B613F2">
        <w:t>F2024C00312</w:t>
      </w:r>
      <w:r w:rsidRPr="00BE5F99">
        <w:t>]</w:t>
      </w:r>
    </w:p>
    <w:p w:rsidR="006F5F1A" w:rsidRPr="00E835DB" w:rsidRDefault="006F5F1A" w:rsidP="006F5F1A">
      <w:pPr>
        <w:spacing w:after="240"/>
        <w:rPr>
          <w:rFonts w:cs="Times New Roman"/>
          <w:b/>
          <w:sz w:val="24"/>
          <w:szCs w:val="24"/>
        </w:rPr>
      </w:pPr>
      <w:r w:rsidRPr="00E835DB">
        <w:rPr>
          <w:rFonts w:eastAsia="SimSun" w:cs="Times New Roman"/>
          <w:b/>
          <w:bCs/>
          <w:sz w:val="24"/>
          <w:szCs w:val="24"/>
          <w:lang w:eastAsia="en-AU"/>
        </w:rPr>
        <w:t>Schedule 1, Part 1, entry for Gliclazide in the form Tablet 80 mg</w:t>
      </w:r>
    </w:p>
    <w:p w:rsidR="006F5F1A" w:rsidRPr="004549F1" w:rsidRDefault="006F5F1A" w:rsidP="006F5F1A">
      <w:pPr>
        <w:spacing w:after="240"/>
        <w:rPr>
          <w:b/>
        </w:rPr>
      </w:pPr>
      <w:r w:rsidRPr="004549F1">
        <w:rPr>
          <w:b/>
        </w:rPr>
        <w:t>Kind of editorial change</w:t>
      </w:r>
    </w:p>
    <w:p w:rsidR="006F5F1A" w:rsidRDefault="006F5F1A" w:rsidP="006F5F1A">
      <w:pPr>
        <w:spacing w:after="240"/>
      </w:pPr>
      <w:r w:rsidRPr="00024EE9">
        <w:t>Give effect to the misdescribed amendment as intended</w:t>
      </w:r>
    </w:p>
    <w:p w:rsidR="006F5F1A" w:rsidRPr="004549F1" w:rsidRDefault="006F5F1A" w:rsidP="006F5F1A">
      <w:pPr>
        <w:spacing w:after="240"/>
        <w:rPr>
          <w:b/>
        </w:rPr>
      </w:pPr>
      <w:r w:rsidRPr="004549F1">
        <w:rPr>
          <w:b/>
        </w:rPr>
        <w:t>Details of editorial change</w:t>
      </w:r>
    </w:p>
    <w:p w:rsidR="006F5F1A" w:rsidRDefault="006F5F1A" w:rsidP="006F5F1A">
      <w:pPr>
        <w:spacing w:after="240"/>
      </w:pPr>
      <w:r>
        <w:t xml:space="preserve">Schedule 1 item 47 of the </w:t>
      </w:r>
      <w:r>
        <w:rPr>
          <w:i/>
          <w:iCs/>
          <w:szCs w:val="22"/>
        </w:rPr>
        <w:t>National Health Legislation Amendment (Maximum Dispensed Quantities) Instrument 2024</w:t>
      </w:r>
      <w:r>
        <w:rPr>
          <w:szCs w:val="22"/>
        </w:rPr>
        <w:t xml:space="preserve"> (PB 14 of 2024) instructs to substitute the e</w:t>
      </w:r>
      <w:r w:rsidRPr="00EC70F0">
        <w:rPr>
          <w:szCs w:val="22"/>
        </w:rPr>
        <w:t xml:space="preserve">ntry for Gliclazide in the form Tablet 80 mg (modified release) </w:t>
      </w:r>
      <w:r>
        <w:rPr>
          <w:szCs w:val="22"/>
        </w:rPr>
        <w:t>in Part 1 of Schedule 1.</w:t>
      </w:r>
    </w:p>
    <w:p w:rsidR="006F5F1A" w:rsidRDefault="006F5F1A" w:rsidP="006F5F1A">
      <w:pPr>
        <w:spacing w:after="240"/>
      </w:pPr>
      <w:r>
        <w:t>The form “</w:t>
      </w:r>
      <w:r w:rsidRPr="00EC70F0">
        <w:rPr>
          <w:szCs w:val="22"/>
        </w:rPr>
        <w:t>Tablet 80 mg (modified release)</w:t>
      </w:r>
      <w:r>
        <w:t>” does not appear. However, the form “</w:t>
      </w:r>
      <w:r w:rsidRPr="00EC70F0">
        <w:rPr>
          <w:szCs w:val="22"/>
        </w:rPr>
        <w:t>Tablet</w:t>
      </w:r>
      <w:r>
        <w:rPr>
          <w:szCs w:val="22"/>
        </w:rPr>
        <w:t> </w:t>
      </w:r>
      <w:r w:rsidRPr="00EC70F0">
        <w:rPr>
          <w:szCs w:val="22"/>
        </w:rPr>
        <w:t>80</w:t>
      </w:r>
      <w:r>
        <w:rPr>
          <w:szCs w:val="22"/>
        </w:rPr>
        <w:t> </w:t>
      </w:r>
      <w:r w:rsidRPr="00EC70F0">
        <w:rPr>
          <w:szCs w:val="22"/>
        </w:rPr>
        <w:t>mg</w:t>
      </w:r>
      <w:r>
        <w:t>” does appear.</w:t>
      </w:r>
    </w:p>
    <w:p w:rsidR="006F5F1A" w:rsidRPr="008A14E4" w:rsidRDefault="006F5F1A" w:rsidP="006F5F1A">
      <w:r>
        <w:t xml:space="preserve">This compilation was editorially changed to substitute </w:t>
      </w:r>
      <w:r>
        <w:rPr>
          <w:szCs w:val="22"/>
        </w:rPr>
        <w:t>the e</w:t>
      </w:r>
      <w:r w:rsidRPr="00EC70F0">
        <w:rPr>
          <w:szCs w:val="22"/>
        </w:rPr>
        <w:t xml:space="preserve">ntry for Gliclazide in the form Tablet 80 mg </w:t>
      </w:r>
      <w:r>
        <w:rPr>
          <w:szCs w:val="22"/>
        </w:rPr>
        <w:t>in Part 1 of Schedule 1</w:t>
      </w:r>
      <w:r>
        <w:t xml:space="preserve"> to give effect to the misdescribed amendment as intended.</w:t>
      </w:r>
    </w:p>
    <w:p w:rsidR="00747E84" w:rsidRPr="00BE5F99" w:rsidRDefault="00747E84" w:rsidP="000B5B2C">
      <w:pPr>
        <w:pStyle w:val="Head2"/>
        <w:keepLines/>
        <w:spacing w:after="240"/>
      </w:pPr>
      <w:r w:rsidRPr="0019245E">
        <w:t>Private Health Insurance (Benefit Requirements) Rules 2011</w:t>
      </w:r>
      <w:r>
        <w:t>, Compilation No. </w:t>
      </w:r>
      <w:r w:rsidR="00891B77">
        <w:t>92</w:t>
      </w:r>
      <w:r>
        <w:t>, Registration Date: 5 April 202</w:t>
      </w:r>
      <w:r w:rsidRPr="00BE5F99">
        <w:t>4 [</w:t>
      </w:r>
      <w:r w:rsidR="00891B77" w:rsidRPr="00891B77">
        <w:t>F2024C00305</w:t>
      </w:r>
      <w:r w:rsidRPr="00BE5F99">
        <w:t>]</w:t>
      </w:r>
    </w:p>
    <w:p w:rsidR="00891B77" w:rsidRPr="004549F1" w:rsidRDefault="00891B77" w:rsidP="000B5B2C">
      <w:pPr>
        <w:keepNext/>
        <w:keepLines/>
        <w:spacing w:after="240"/>
        <w:rPr>
          <w:b/>
          <w:sz w:val="24"/>
          <w:szCs w:val="24"/>
        </w:rPr>
      </w:pPr>
      <w:r>
        <w:rPr>
          <w:b/>
          <w:sz w:val="24"/>
          <w:szCs w:val="24"/>
        </w:rPr>
        <w:t>Clause 6 of Schedule 4 (Table 2)</w:t>
      </w:r>
    </w:p>
    <w:p w:rsidR="00891B77" w:rsidRPr="004549F1" w:rsidRDefault="00891B77" w:rsidP="00891B77">
      <w:pPr>
        <w:spacing w:after="240"/>
        <w:rPr>
          <w:b/>
        </w:rPr>
      </w:pPr>
      <w:r w:rsidRPr="004549F1">
        <w:rPr>
          <w:b/>
        </w:rPr>
        <w:t>Kind of editorial change</w:t>
      </w:r>
    </w:p>
    <w:p w:rsidR="00891B77" w:rsidRPr="00681DD0" w:rsidRDefault="00891B77" w:rsidP="00891B77">
      <w:pPr>
        <w:spacing w:after="240"/>
      </w:pPr>
      <w:r>
        <w:t>Give effect to the misdescribed amendment as intended</w:t>
      </w:r>
    </w:p>
    <w:p w:rsidR="00891B77" w:rsidRPr="004549F1" w:rsidRDefault="00891B77" w:rsidP="00891B77">
      <w:pPr>
        <w:spacing w:after="240"/>
        <w:rPr>
          <w:b/>
        </w:rPr>
      </w:pPr>
      <w:r w:rsidRPr="004549F1">
        <w:rPr>
          <w:b/>
        </w:rPr>
        <w:t>Details of editorial change</w:t>
      </w:r>
    </w:p>
    <w:p w:rsidR="00891B77" w:rsidRDefault="00891B77" w:rsidP="00891B77">
      <w:pPr>
        <w:spacing w:after="240"/>
      </w:pPr>
      <w:r>
        <w:t xml:space="preserve">Schedule 2 item 4 of the </w:t>
      </w:r>
      <w:r w:rsidRPr="007F7E45">
        <w:rPr>
          <w:i/>
        </w:rPr>
        <w:t>Private Health Insurance Legislation Amendment Rules (No. 2) 2024</w:t>
      </w:r>
      <w:r>
        <w:t xml:space="preserve"> provides as follows:</w:t>
      </w:r>
    </w:p>
    <w:p w:rsidR="00891B77" w:rsidRPr="0076576A" w:rsidRDefault="00891B77" w:rsidP="00891B77">
      <w:pPr>
        <w:pStyle w:val="ItemHead"/>
      </w:pPr>
      <w:r w:rsidRPr="0076576A">
        <w:t>4  Clause 6 of Schedule 4 (Table 2, table item dealing with Private hospitals, column headed “Minimum benefit per night”)</w:t>
      </w:r>
    </w:p>
    <w:p w:rsidR="00891B77" w:rsidRPr="000724F5" w:rsidRDefault="00891B77" w:rsidP="00891B77">
      <w:pPr>
        <w:pStyle w:val="Item"/>
        <w:spacing w:after="240"/>
      </w:pPr>
      <w:r w:rsidRPr="0076576A">
        <w:t>Omit “$36.90”, substitute “$35.55”.</w:t>
      </w:r>
    </w:p>
    <w:p w:rsidR="00891B77" w:rsidRDefault="00891B77" w:rsidP="00891B77">
      <w:pPr>
        <w:spacing w:after="240"/>
      </w:pPr>
      <w:r>
        <w:t>A column headed “</w:t>
      </w:r>
      <w:r w:rsidRPr="003570EE">
        <w:t>Minimum benefit per night</w:t>
      </w:r>
      <w:r>
        <w:t>” does not appear in Table 2 in clause 6 of Schedule 4, as the table does not contain table column headings. However, a table entry for Private hospitals does appear.</w:t>
      </w:r>
    </w:p>
    <w:p w:rsidR="00891B77" w:rsidRDefault="00891B77" w:rsidP="00891B77">
      <w:r>
        <w:t>This compilation was editorially changed to omit “$36.90” and substitute “$35.55” in the Table 2 entry for Private hospitals in clause 6 of Schedule 4 to give effect to the misdescribed amendment as intended.</w:t>
      </w:r>
    </w:p>
    <w:p w:rsidR="001F6AEB" w:rsidRPr="00BE5F99" w:rsidRDefault="001F6AEB" w:rsidP="0037794C">
      <w:pPr>
        <w:pStyle w:val="Head2"/>
        <w:keepLines/>
        <w:spacing w:after="240"/>
      </w:pPr>
      <w:r w:rsidRPr="0064266A">
        <w:lastRenderedPageBreak/>
        <w:t>Safety, Rehabilitation and Compensation Act 1988</w:t>
      </w:r>
      <w:r>
        <w:t xml:space="preserve">, Compilation No. 78, Registration Date: </w:t>
      </w:r>
      <w:r w:rsidR="00505ABF">
        <w:t>5</w:t>
      </w:r>
      <w:r>
        <w:t> April 202</w:t>
      </w:r>
      <w:r w:rsidRPr="00BE5F99">
        <w:t>4 [</w:t>
      </w:r>
      <w:r w:rsidR="00505ABF" w:rsidRPr="00505ABF">
        <w:t>C2024C00121</w:t>
      </w:r>
      <w:r w:rsidRPr="00BE5F99">
        <w:t>]</w:t>
      </w:r>
    </w:p>
    <w:p w:rsidR="00505ABF" w:rsidRPr="0064266A" w:rsidRDefault="00505ABF" w:rsidP="0037794C">
      <w:pPr>
        <w:keepNext/>
        <w:keepLines/>
        <w:spacing w:after="240"/>
        <w:rPr>
          <w:b/>
          <w:sz w:val="24"/>
          <w:szCs w:val="24"/>
        </w:rPr>
      </w:pPr>
      <w:r>
        <w:rPr>
          <w:b/>
          <w:sz w:val="24"/>
          <w:szCs w:val="24"/>
        </w:rPr>
        <w:t>Section 9</w:t>
      </w:r>
      <w:r w:rsidRPr="0064266A">
        <w:rPr>
          <w:b/>
          <w:sz w:val="24"/>
          <w:szCs w:val="24"/>
        </w:rPr>
        <w:t>9</w:t>
      </w:r>
    </w:p>
    <w:p w:rsidR="00505ABF" w:rsidRPr="0064266A" w:rsidRDefault="00505ABF" w:rsidP="00505ABF">
      <w:pPr>
        <w:spacing w:after="240"/>
        <w:rPr>
          <w:b/>
        </w:rPr>
      </w:pPr>
      <w:r w:rsidRPr="0064266A">
        <w:rPr>
          <w:b/>
        </w:rPr>
        <w:t>Kind of editorial change</w:t>
      </w:r>
    </w:p>
    <w:p w:rsidR="00505ABF" w:rsidRPr="0064266A" w:rsidRDefault="00505ABF" w:rsidP="00505ABF">
      <w:pPr>
        <w:spacing w:after="240"/>
      </w:pPr>
      <w:r w:rsidRPr="0064266A">
        <w:t>Reordering of definitions</w:t>
      </w:r>
    </w:p>
    <w:p w:rsidR="00505ABF" w:rsidRPr="0064266A" w:rsidRDefault="00505ABF" w:rsidP="00505ABF">
      <w:pPr>
        <w:spacing w:after="240"/>
        <w:rPr>
          <w:b/>
        </w:rPr>
      </w:pPr>
      <w:r w:rsidRPr="0064266A">
        <w:rPr>
          <w:b/>
        </w:rPr>
        <w:t>Details of editorial change</w:t>
      </w:r>
    </w:p>
    <w:p w:rsidR="00505ABF" w:rsidRPr="0064266A" w:rsidRDefault="00505ABF" w:rsidP="00505ABF">
      <w:r w:rsidRPr="0064266A">
        <w:t xml:space="preserve">This compilation was editorially changed to move the definition of </w:t>
      </w:r>
      <w:r w:rsidRPr="0064266A">
        <w:rPr>
          <w:b/>
          <w:i/>
        </w:rPr>
        <w:t>eligible applicant</w:t>
      </w:r>
      <w:r w:rsidRPr="0064266A">
        <w:t xml:space="preserve"> to the correct alphabetical position.</w:t>
      </w:r>
    </w:p>
    <w:p w:rsidR="00BB3CF6" w:rsidRPr="00BE5F99" w:rsidRDefault="00BB3CF6" w:rsidP="000B5B2C">
      <w:pPr>
        <w:pStyle w:val="Head2"/>
        <w:keepLines/>
        <w:spacing w:after="240"/>
      </w:pPr>
      <w:r w:rsidRPr="001D4F80">
        <w:t>Classification (Publications, Films and Computer Games) (Modifications of Computer Games) Instrument 2015</w:t>
      </w:r>
      <w:r>
        <w:t>, Compilation No. 1, Registration Date: 4 April 202</w:t>
      </w:r>
      <w:r w:rsidRPr="00BE5F99">
        <w:t>4 [</w:t>
      </w:r>
      <w:r w:rsidR="00686300" w:rsidRPr="00686300">
        <w:t>F2024C00300</w:t>
      </w:r>
      <w:r w:rsidRPr="00BE5F99">
        <w:t>]</w:t>
      </w:r>
    </w:p>
    <w:p w:rsidR="00686300" w:rsidRPr="004549F1" w:rsidRDefault="00686300" w:rsidP="000B5B2C">
      <w:pPr>
        <w:keepNext/>
        <w:keepLines/>
        <w:spacing w:after="240"/>
        <w:rPr>
          <w:b/>
          <w:sz w:val="24"/>
          <w:szCs w:val="24"/>
        </w:rPr>
      </w:pPr>
      <w:r>
        <w:rPr>
          <w:b/>
          <w:sz w:val="24"/>
          <w:szCs w:val="24"/>
        </w:rPr>
        <w:t>Paragraph 8(1)(b)</w:t>
      </w:r>
    </w:p>
    <w:p w:rsidR="00686300" w:rsidRPr="004549F1" w:rsidRDefault="00686300" w:rsidP="000B5B2C">
      <w:pPr>
        <w:keepNext/>
        <w:keepLines/>
        <w:spacing w:after="240"/>
        <w:rPr>
          <w:b/>
        </w:rPr>
      </w:pPr>
      <w:r w:rsidRPr="004549F1">
        <w:rPr>
          <w:b/>
        </w:rPr>
        <w:t>Kind of editorial change</w:t>
      </w:r>
    </w:p>
    <w:p w:rsidR="00686300" w:rsidRPr="0018341F" w:rsidRDefault="00686300" w:rsidP="000B5B2C">
      <w:pPr>
        <w:keepNext/>
        <w:keepLines/>
        <w:spacing w:after="240"/>
      </w:pPr>
      <w:r w:rsidRPr="006A103D">
        <w:t>Change to punctuation</w:t>
      </w:r>
    </w:p>
    <w:p w:rsidR="00686300" w:rsidRPr="004549F1" w:rsidRDefault="00686300" w:rsidP="000B5B2C">
      <w:pPr>
        <w:keepNext/>
        <w:keepLines/>
        <w:spacing w:after="240"/>
        <w:rPr>
          <w:b/>
        </w:rPr>
      </w:pPr>
      <w:r w:rsidRPr="004549F1">
        <w:rPr>
          <w:b/>
        </w:rPr>
        <w:t>Details of editorial change</w:t>
      </w:r>
    </w:p>
    <w:p w:rsidR="00686300" w:rsidRDefault="00686300" w:rsidP="00686300">
      <w:pPr>
        <w:spacing w:after="240"/>
      </w:pPr>
      <w:r>
        <w:t xml:space="preserve">Schedule 3 item 1 of the </w:t>
      </w:r>
      <w:r w:rsidRPr="009B74B4">
        <w:rPr>
          <w:i/>
        </w:rPr>
        <w:t>Classification (Publications, Films and Computer Games) Legislation Amendment Instrument 2024</w:t>
      </w:r>
      <w:r>
        <w:t xml:space="preserve"> provides as follows:</w:t>
      </w:r>
    </w:p>
    <w:p w:rsidR="00686300" w:rsidRDefault="00686300" w:rsidP="00686300">
      <w:pPr>
        <w:pStyle w:val="ItemHead"/>
      </w:pPr>
      <w:r>
        <w:t>1  Paragraph 8(1)(b)</w:t>
      </w:r>
    </w:p>
    <w:p w:rsidR="00686300" w:rsidRDefault="00686300" w:rsidP="00686300">
      <w:pPr>
        <w:pStyle w:val="Item"/>
        <w:spacing w:after="240"/>
      </w:pPr>
      <w:r>
        <w:t xml:space="preserve">After “section 6”, insert “; or”. </w:t>
      </w:r>
    </w:p>
    <w:p w:rsidR="00686300" w:rsidRDefault="00686300" w:rsidP="00686300">
      <w:pPr>
        <w:spacing w:after="240"/>
      </w:pPr>
      <w:r>
        <w:t>This amendment results in the text “; or.” at the end of paragraph 8(1)(b).</w:t>
      </w:r>
    </w:p>
    <w:p w:rsidR="00686300" w:rsidRPr="001D4F80" w:rsidRDefault="00686300" w:rsidP="00686300">
      <w:r>
        <w:t xml:space="preserve">This compilation was editorially changed to omit the full stop in paragraph 8(1)(b) </w:t>
      </w:r>
      <w:r w:rsidRPr="006A103D">
        <w:t>to correct the punctuation</w:t>
      </w:r>
      <w:r>
        <w:t>.</w:t>
      </w:r>
    </w:p>
    <w:p w:rsidR="00375720" w:rsidRPr="00BE5F99" w:rsidRDefault="00434F97" w:rsidP="00AE4841">
      <w:pPr>
        <w:pStyle w:val="Head2"/>
        <w:keepLines/>
        <w:spacing w:after="240"/>
      </w:pPr>
      <w:r w:rsidRPr="00DE0B98">
        <w:t>Classification (Publications, Films and Computer Games) (Modifications of Films) Instrument 2015</w:t>
      </w:r>
      <w:r w:rsidR="00375720">
        <w:t>, Compilation No. </w:t>
      </w:r>
      <w:r>
        <w:t>2</w:t>
      </w:r>
      <w:r w:rsidR="00375720">
        <w:t>, Registration Date: 4 April 202</w:t>
      </w:r>
      <w:r w:rsidR="00375720" w:rsidRPr="00BE5F99">
        <w:t>4 [</w:t>
      </w:r>
      <w:r w:rsidRPr="00434F97">
        <w:t>F2024C00302</w:t>
      </w:r>
      <w:r w:rsidR="00375720" w:rsidRPr="00BE5F99">
        <w:t>]</w:t>
      </w:r>
    </w:p>
    <w:p w:rsidR="00434F97" w:rsidRPr="004549F1" w:rsidRDefault="00434F97" w:rsidP="00AE4841">
      <w:pPr>
        <w:keepNext/>
        <w:keepLines/>
        <w:spacing w:after="240"/>
        <w:rPr>
          <w:b/>
          <w:sz w:val="24"/>
          <w:szCs w:val="24"/>
        </w:rPr>
      </w:pPr>
      <w:r>
        <w:rPr>
          <w:b/>
          <w:sz w:val="24"/>
          <w:szCs w:val="24"/>
        </w:rPr>
        <w:t>Paragraph 6(1)(b)</w:t>
      </w:r>
    </w:p>
    <w:p w:rsidR="00434F97" w:rsidRPr="004549F1" w:rsidRDefault="00434F97" w:rsidP="00AE4841">
      <w:pPr>
        <w:keepNext/>
        <w:keepLines/>
        <w:spacing w:after="240"/>
        <w:rPr>
          <w:b/>
        </w:rPr>
      </w:pPr>
      <w:r w:rsidRPr="004549F1">
        <w:rPr>
          <w:b/>
        </w:rPr>
        <w:t>Kind of editorial change</w:t>
      </w:r>
    </w:p>
    <w:p w:rsidR="00434F97" w:rsidRPr="0018341F" w:rsidRDefault="00434F97" w:rsidP="00434F97">
      <w:pPr>
        <w:spacing w:after="240"/>
      </w:pPr>
      <w:r w:rsidRPr="004C77F4">
        <w:t>Change to punctuation</w:t>
      </w:r>
    </w:p>
    <w:p w:rsidR="00434F97" w:rsidRPr="004549F1" w:rsidRDefault="00434F97" w:rsidP="00434F97">
      <w:pPr>
        <w:spacing w:after="240"/>
        <w:rPr>
          <w:b/>
        </w:rPr>
      </w:pPr>
      <w:r w:rsidRPr="004549F1">
        <w:rPr>
          <w:b/>
        </w:rPr>
        <w:t>Details of editorial change</w:t>
      </w:r>
    </w:p>
    <w:p w:rsidR="00434F97" w:rsidRDefault="00434F97" w:rsidP="00434F97">
      <w:r>
        <w:t xml:space="preserve">Schedule 2 item 1 of the </w:t>
      </w:r>
      <w:r>
        <w:rPr>
          <w:i/>
          <w:iCs/>
        </w:rPr>
        <w:t>Classification (Publications, Films and Computer Games) Legislation Amendment Instrument 2024</w:t>
      </w:r>
      <w:r>
        <w:t xml:space="preserve"> provides as follows:</w:t>
      </w:r>
    </w:p>
    <w:p w:rsidR="00434F97" w:rsidRDefault="00434F97" w:rsidP="00434F97">
      <w:pPr>
        <w:pStyle w:val="ItemHead"/>
      </w:pPr>
      <w:r>
        <w:lastRenderedPageBreak/>
        <w:t>1  Paragraph 6(1)(b)</w:t>
      </w:r>
    </w:p>
    <w:p w:rsidR="00434F97" w:rsidRDefault="00434F97" w:rsidP="00434F97">
      <w:pPr>
        <w:pStyle w:val="Item"/>
      </w:pPr>
      <w:r>
        <w:t>After “section 5”, insert “; or”.</w:t>
      </w:r>
    </w:p>
    <w:p w:rsidR="00434F97" w:rsidRDefault="00434F97" w:rsidP="00434F97">
      <w:pPr>
        <w:spacing w:before="240"/>
      </w:pPr>
      <w:r>
        <w:t>This amendment results in the text “; or.” at the end of paragraph 6(1)(b).</w:t>
      </w:r>
    </w:p>
    <w:p w:rsidR="00434F97" w:rsidRDefault="00434F97" w:rsidP="00434F97">
      <w:pPr>
        <w:spacing w:before="240"/>
      </w:pPr>
      <w:r>
        <w:t>This compilation was editorially changed to omit the full stop in paragraph 6(1)(b) to correct the punctuation.</w:t>
      </w:r>
    </w:p>
    <w:p w:rsidR="008A129B" w:rsidRPr="00BE5F99" w:rsidRDefault="008A129B" w:rsidP="00676326">
      <w:pPr>
        <w:pStyle w:val="Head2"/>
        <w:keepLines/>
        <w:spacing w:after="240"/>
      </w:pPr>
      <w:r w:rsidRPr="00BF3509">
        <w:t>National Environment Protection Measures (Implementation) Act 1998</w:t>
      </w:r>
      <w:r>
        <w:t>, Compilation No. 8, Registration Date: 4 April 202</w:t>
      </w:r>
      <w:r w:rsidRPr="00BE5F99">
        <w:t>4 [</w:t>
      </w:r>
      <w:r w:rsidR="007C3C45" w:rsidRPr="007C3C45">
        <w:t>C2024C00115</w:t>
      </w:r>
      <w:r w:rsidRPr="00BE5F99">
        <w:t>]</w:t>
      </w:r>
    </w:p>
    <w:p w:rsidR="007C3C45" w:rsidRPr="004549F1" w:rsidRDefault="007C3C45" w:rsidP="00676326">
      <w:pPr>
        <w:keepNext/>
        <w:keepLines/>
        <w:spacing w:after="240"/>
        <w:rPr>
          <w:b/>
          <w:sz w:val="24"/>
          <w:szCs w:val="24"/>
        </w:rPr>
      </w:pPr>
      <w:r>
        <w:rPr>
          <w:b/>
          <w:sz w:val="24"/>
          <w:szCs w:val="24"/>
        </w:rPr>
        <w:t>Section 5</w:t>
      </w:r>
    </w:p>
    <w:p w:rsidR="007C3C45" w:rsidRPr="004549F1" w:rsidRDefault="007C3C45" w:rsidP="007C3C45">
      <w:pPr>
        <w:spacing w:after="240"/>
        <w:rPr>
          <w:b/>
        </w:rPr>
      </w:pPr>
      <w:r w:rsidRPr="004549F1">
        <w:rPr>
          <w:b/>
        </w:rPr>
        <w:t>Kind of editorial change</w:t>
      </w:r>
    </w:p>
    <w:p w:rsidR="007C3C45" w:rsidRPr="0018341F" w:rsidRDefault="007C3C45" w:rsidP="007C3C45">
      <w:pPr>
        <w:spacing w:after="240"/>
      </w:pPr>
      <w:r w:rsidRPr="00403066">
        <w:t>Reordering of definitions</w:t>
      </w:r>
    </w:p>
    <w:p w:rsidR="007C3C45" w:rsidRPr="004549F1" w:rsidRDefault="007C3C45" w:rsidP="007C3C45">
      <w:pPr>
        <w:spacing w:after="240"/>
        <w:rPr>
          <w:b/>
        </w:rPr>
      </w:pPr>
      <w:r w:rsidRPr="004549F1">
        <w:rPr>
          <w:b/>
        </w:rPr>
        <w:t>Details of editorial change</w:t>
      </w:r>
    </w:p>
    <w:p w:rsidR="007C3C45" w:rsidRPr="004549F1" w:rsidRDefault="007C3C45" w:rsidP="007C3C45">
      <w:r w:rsidRPr="00027C4C">
        <w:t xml:space="preserve">This compilation was editorially changed to move the definition of </w:t>
      </w:r>
      <w:r w:rsidRPr="00BF3509">
        <w:rPr>
          <w:b/>
          <w:i/>
        </w:rPr>
        <w:t>environmental impact statement</w:t>
      </w:r>
      <w:r>
        <w:rPr>
          <w:b/>
          <w:i/>
        </w:rPr>
        <w:t xml:space="preserve"> </w:t>
      </w:r>
      <w:r w:rsidRPr="00027C4C">
        <w:t>in section</w:t>
      </w:r>
      <w:r>
        <w:t> 5</w:t>
      </w:r>
      <w:r w:rsidRPr="00027C4C">
        <w:t xml:space="preserve"> to the correct alphabetical position.</w:t>
      </w:r>
    </w:p>
    <w:p w:rsidR="00D3141E" w:rsidRPr="00BE5F99" w:rsidRDefault="00D3141E" w:rsidP="00D3141E">
      <w:pPr>
        <w:pStyle w:val="Head2"/>
        <w:keepLines/>
        <w:spacing w:after="240"/>
      </w:pPr>
      <w:r w:rsidRPr="00614CAF">
        <w:t>Protection of the Sea (Civil Liability) Act 1981</w:t>
      </w:r>
      <w:r>
        <w:t xml:space="preserve">, Compilation No. 20, Registration Date: </w:t>
      </w:r>
      <w:r w:rsidR="00274C39">
        <w:t>4</w:t>
      </w:r>
      <w:r>
        <w:t> April 202</w:t>
      </w:r>
      <w:r w:rsidRPr="00BE5F99">
        <w:t>4 [</w:t>
      </w:r>
      <w:r w:rsidR="00274C39" w:rsidRPr="00274C39">
        <w:t>C2024C00116</w:t>
      </w:r>
      <w:r w:rsidRPr="00BE5F99">
        <w:t>]</w:t>
      </w:r>
    </w:p>
    <w:p w:rsidR="00274C39" w:rsidRPr="004549F1" w:rsidRDefault="00274C39" w:rsidP="00274C39">
      <w:pPr>
        <w:spacing w:after="240"/>
        <w:rPr>
          <w:b/>
          <w:sz w:val="24"/>
          <w:szCs w:val="24"/>
        </w:rPr>
      </w:pPr>
      <w:r>
        <w:rPr>
          <w:b/>
          <w:sz w:val="24"/>
          <w:szCs w:val="24"/>
        </w:rPr>
        <w:t>Subsection 3(1)</w:t>
      </w:r>
    </w:p>
    <w:p w:rsidR="00274C39" w:rsidRPr="004549F1" w:rsidRDefault="00274C39" w:rsidP="00274C39">
      <w:pPr>
        <w:spacing w:after="240"/>
        <w:rPr>
          <w:b/>
        </w:rPr>
      </w:pPr>
      <w:r w:rsidRPr="004549F1">
        <w:rPr>
          <w:b/>
        </w:rPr>
        <w:t>Kind of editorial change</w:t>
      </w:r>
    </w:p>
    <w:p w:rsidR="00274C39" w:rsidRPr="0018341F" w:rsidRDefault="00274C39" w:rsidP="00274C39">
      <w:pPr>
        <w:spacing w:after="240"/>
      </w:pPr>
      <w:r w:rsidRPr="0051693B">
        <w:rPr>
          <w:szCs w:val="22"/>
        </w:rPr>
        <w:t>Reordering of definitions</w:t>
      </w:r>
    </w:p>
    <w:p w:rsidR="00274C39" w:rsidRPr="004549F1" w:rsidRDefault="00274C39" w:rsidP="00274C39">
      <w:pPr>
        <w:spacing w:after="240"/>
        <w:rPr>
          <w:b/>
        </w:rPr>
      </w:pPr>
      <w:r w:rsidRPr="004549F1">
        <w:rPr>
          <w:b/>
        </w:rPr>
        <w:t>Details of editorial change</w:t>
      </w:r>
    </w:p>
    <w:p w:rsidR="00274C39" w:rsidRDefault="00274C39" w:rsidP="00274C39">
      <w:r w:rsidRPr="005C4B04">
        <w:t xml:space="preserve">This compilation was editorially changed to move the definition of </w:t>
      </w:r>
      <w:r w:rsidRPr="00614CAF">
        <w:rPr>
          <w:b/>
          <w:i/>
        </w:rPr>
        <w:t>the 1992 Protocol</w:t>
      </w:r>
      <w:r w:rsidRPr="005C4B04">
        <w:t xml:space="preserve"> in </w:t>
      </w:r>
      <w:r>
        <w:t>subsection 3</w:t>
      </w:r>
      <w:r w:rsidRPr="005C4B04">
        <w:t>(1) to the correct alphabetical position.</w:t>
      </w:r>
    </w:p>
    <w:p w:rsidR="00F56E3E" w:rsidRPr="00BE5F99" w:rsidRDefault="009C02A9" w:rsidP="00F56E3E">
      <w:pPr>
        <w:pStyle w:val="Head2"/>
        <w:keepLines/>
        <w:spacing w:after="240"/>
      </w:pPr>
      <w:r w:rsidRPr="008A170C">
        <w:t>National Health and Medical Research Council Act 1992</w:t>
      </w:r>
      <w:r w:rsidR="00F56E3E">
        <w:t>, Compilation No. 1</w:t>
      </w:r>
      <w:r>
        <w:t>6</w:t>
      </w:r>
      <w:r w:rsidR="00F56E3E">
        <w:t xml:space="preserve">, Registration Date: </w:t>
      </w:r>
      <w:r>
        <w:t>3</w:t>
      </w:r>
      <w:r w:rsidR="00F56E3E">
        <w:t> </w:t>
      </w:r>
      <w:r>
        <w:t>April</w:t>
      </w:r>
      <w:r w:rsidR="00F56E3E">
        <w:t xml:space="preserve"> 202</w:t>
      </w:r>
      <w:r w:rsidR="00F56E3E" w:rsidRPr="00BE5F99">
        <w:t>4 [</w:t>
      </w:r>
      <w:r w:rsidRPr="009C02A9">
        <w:t>C2024C00108</w:t>
      </w:r>
      <w:r w:rsidR="00F56E3E" w:rsidRPr="00BE5F99">
        <w:t>]</w:t>
      </w:r>
    </w:p>
    <w:p w:rsidR="009C02A9" w:rsidRPr="004549F1" w:rsidRDefault="009C02A9" w:rsidP="009C02A9">
      <w:pPr>
        <w:spacing w:after="240"/>
        <w:rPr>
          <w:b/>
          <w:sz w:val="24"/>
          <w:szCs w:val="24"/>
        </w:rPr>
      </w:pPr>
      <w:r>
        <w:rPr>
          <w:b/>
          <w:sz w:val="24"/>
          <w:szCs w:val="24"/>
        </w:rPr>
        <w:t>Section 4</w:t>
      </w:r>
    </w:p>
    <w:p w:rsidR="009C02A9" w:rsidRPr="004549F1" w:rsidRDefault="009C02A9" w:rsidP="009C02A9">
      <w:pPr>
        <w:spacing w:after="240"/>
        <w:rPr>
          <w:b/>
        </w:rPr>
      </w:pPr>
      <w:r w:rsidRPr="004549F1">
        <w:rPr>
          <w:b/>
        </w:rPr>
        <w:t>Kind of editorial change</w:t>
      </w:r>
    </w:p>
    <w:p w:rsidR="009C02A9" w:rsidRPr="0018341F" w:rsidRDefault="009C02A9" w:rsidP="009C02A9">
      <w:pPr>
        <w:spacing w:after="240"/>
      </w:pPr>
      <w:r>
        <w:t>Reordering of definitions</w:t>
      </w:r>
    </w:p>
    <w:p w:rsidR="009C02A9" w:rsidRPr="004549F1" w:rsidRDefault="009C02A9" w:rsidP="009C02A9">
      <w:pPr>
        <w:spacing w:after="240"/>
        <w:rPr>
          <w:b/>
        </w:rPr>
      </w:pPr>
      <w:r w:rsidRPr="004549F1">
        <w:rPr>
          <w:b/>
        </w:rPr>
        <w:t>Details of editorial change</w:t>
      </w:r>
    </w:p>
    <w:p w:rsidR="009C02A9" w:rsidRPr="008A170C" w:rsidRDefault="009C02A9" w:rsidP="009C02A9">
      <w:r w:rsidRPr="00F75404">
        <w:t xml:space="preserve">This compilation was editorially changed to move the definition of </w:t>
      </w:r>
      <w:r w:rsidRPr="00B82334">
        <w:rPr>
          <w:b/>
          <w:i/>
        </w:rPr>
        <w:t>interim human research guidelines</w:t>
      </w:r>
      <w:r w:rsidRPr="00F75404">
        <w:t xml:space="preserve"> in s</w:t>
      </w:r>
      <w:r>
        <w:t>ection 4</w:t>
      </w:r>
      <w:r w:rsidRPr="00F75404">
        <w:t xml:space="preserve"> to the correct alphabetical position.</w:t>
      </w:r>
    </w:p>
    <w:p w:rsidR="00B81EEC" w:rsidRPr="00BE5F99" w:rsidRDefault="00B81EEC" w:rsidP="00676326">
      <w:pPr>
        <w:pStyle w:val="Head2"/>
        <w:keepLines/>
        <w:spacing w:after="240"/>
      </w:pPr>
      <w:r w:rsidRPr="00E33F59">
        <w:lastRenderedPageBreak/>
        <w:t>Industrial Chemicals Environmental Management (Register) Instrument 2022</w:t>
      </w:r>
      <w:r>
        <w:t>, Compilation No. 1, Registration Date: 2</w:t>
      </w:r>
      <w:r w:rsidR="008A4DD7">
        <w:t>8</w:t>
      </w:r>
      <w:r>
        <w:t> March 202</w:t>
      </w:r>
      <w:r w:rsidRPr="00BE5F99">
        <w:t>4 [</w:t>
      </w:r>
      <w:r w:rsidR="008A4DD7" w:rsidRPr="008A4DD7">
        <w:t>F2024C00280</w:t>
      </w:r>
      <w:r w:rsidRPr="00BE5F99">
        <w:t>]</w:t>
      </w:r>
    </w:p>
    <w:p w:rsidR="008A4DD7" w:rsidRPr="004549F1" w:rsidRDefault="008A4DD7" w:rsidP="00676326">
      <w:pPr>
        <w:keepNext/>
        <w:keepLines/>
        <w:spacing w:after="240"/>
        <w:rPr>
          <w:b/>
          <w:sz w:val="24"/>
          <w:szCs w:val="24"/>
        </w:rPr>
      </w:pPr>
      <w:r>
        <w:rPr>
          <w:b/>
          <w:sz w:val="24"/>
          <w:szCs w:val="24"/>
        </w:rPr>
        <w:t>Schedule 7 (table)</w:t>
      </w:r>
    </w:p>
    <w:p w:rsidR="008A4DD7" w:rsidRPr="004549F1" w:rsidRDefault="008A4DD7" w:rsidP="00676326">
      <w:pPr>
        <w:keepNext/>
        <w:keepLines/>
        <w:spacing w:after="240"/>
        <w:rPr>
          <w:b/>
        </w:rPr>
      </w:pPr>
      <w:r w:rsidRPr="004549F1">
        <w:rPr>
          <w:b/>
        </w:rPr>
        <w:t>Kind of editorial change</w:t>
      </w:r>
    </w:p>
    <w:p w:rsidR="008A4DD7" w:rsidRPr="0018341F" w:rsidRDefault="008A4DD7" w:rsidP="00676326">
      <w:pPr>
        <w:keepNext/>
        <w:keepLines/>
        <w:spacing w:after="240"/>
      </w:pPr>
      <w:r w:rsidRPr="00CC6FF4">
        <w:t>Correct</w:t>
      </w:r>
      <w:r>
        <w:t xml:space="preserve"> a</w:t>
      </w:r>
      <w:r w:rsidRPr="00CC6FF4">
        <w:t xml:space="preserve"> typographical error</w:t>
      </w:r>
    </w:p>
    <w:p w:rsidR="008A4DD7" w:rsidRPr="004549F1" w:rsidRDefault="008A4DD7" w:rsidP="008A4DD7">
      <w:pPr>
        <w:spacing w:after="240"/>
        <w:rPr>
          <w:b/>
        </w:rPr>
      </w:pPr>
      <w:r w:rsidRPr="004549F1">
        <w:rPr>
          <w:b/>
        </w:rPr>
        <w:t>Details of editorial change</w:t>
      </w:r>
    </w:p>
    <w:p w:rsidR="008A4DD7" w:rsidRDefault="008A4DD7" w:rsidP="008A4DD7">
      <w:pPr>
        <w:spacing w:after="240"/>
      </w:pPr>
      <w:r>
        <w:t xml:space="preserve">Schedule 1 item 3 of the </w:t>
      </w:r>
      <w:r w:rsidRPr="00742609">
        <w:rPr>
          <w:i/>
        </w:rPr>
        <w:t>Industrial Chemicals Environmental Management (Register) Amendment (2023 Measures No. 1) Instrument 2023</w:t>
      </w:r>
      <w:r>
        <w:t xml:space="preserve"> instructs to repeal and substitute the table in Schedule 7.</w:t>
      </w:r>
    </w:p>
    <w:p w:rsidR="008A4DD7" w:rsidRDefault="008A4DD7" w:rsidP="008A4DD7">
      <w:pPr>
        <w:spacing w:after="240"/>
      </w:pPr>
      <w:r>
        <w:t>The newly substituted table in Schedule 7 includes an entry for “Perfluorohexanesulfonic acid (PFHxS), including its linear and branched isomers, their salts and any substance containing a linear or branched perfluorohexylsulfonyl moiety that can degrade to PFHxS” that contains a paragraph (j) which is missing the closing parenthesis.</w:t>
      </w:r>
    </w:p>
    <w:p w:rsidR="008A4DD7" w:rsidRDefault="008A4DD7" w:rsidP="008A4DD7">
      <w:r>
        <w:t xml:space="preserve">This compilation was editorially changed to insert a closing parenthesis after “(j” in the entry for </w:t>
      </w:r>
      <w:r w:rsidRPr="00BC25B6">
        <w:t>“Perfluorohexanesulfonic acid (PFHxS), including its linear and branched isomers, their salts and any substance containing a linear or branched perfluorohexylsulfonyl moiety that can degrade to PFHxS” in the</w:t>
      </w:r>
      <w:r>
        <w:t xml:space="preserve"> table in</w:t>
      </w:r>
      <w:r w:rsidRPr="00BC25B6">
        <w:t xml:space="preserve"> Schedule 7 </w:t>
      </w:r>
      <w:r>
        <w:t>to c</w:t>
      </w:r>
      <w:r w:rsidRPr="00CC6FF4">
        <w:t>orrect</w:t>
      </w:r>
      <w:r>
        <w:t xml:space="preserve"> the</w:t>
      </w:r>
      <w:r w:rsidRPr="00CC6FF4">
        <w:t xml:space="preserve"> typographical error</w:t>
      </w:r>
      <w:r>
        <w:t>.</w:t>
      </w:r>
    </w:p>
    <w:p w:rsidR="00CE0800" w:rsidRPr="00BE5F99" w:rsidRDefault="00CE0800" w:rsidP="00CE0800">
      <w:pPr>
        <w:pStyle w:val="Head2"/>
        <w:keepLines/>
        <w:spacing w:after="240"/>
      </w:pPr>
      <w:r w:rsidRPr="00825C28">
        <w:t xml:space="preserve">Australian Immunisation Register </w:t>
      </w:r>
      <w:r>
        <w:t>Rule 2</w:t>
      </w:r>
      <w:r w:rsidRPr="00825C28">
        <w:t>015</w:t>
      </w:r>
      <w:r>
        <w:t>, Compilation No. 4, Registration Date: 27 March 202</w:t>
      </w:r>
      <w:r w:rsidRPr="00BE5F99">
        <w:t>4 [</w:t>
      </w:r>
      <w:r w:rsidR="00863768" w:rsidRPr="00863768">
        <w:t>F2024C00274</w:t>
      </w:r>
      <w:r w:rsidRPr="00BE5F99">
        <w:t>]</w:t>
      </w:r>
    </w:p>
    <w:p w:rsidR="00863768" w:rsidRPr="00825C28" w:rsidRDefault="00863768" w:rsidP="00863768">
      <w:pPr>
        <w:spacing w:after="240"/>
        <w:rPr>
          <w:b/>
          <w:sz w:val="24"/>
          <w:szCs w:val="24"/>
        </w:rPr>
      </w:pPr>
      <w:r>
        <w:rPr>
          <w:b/>
          <w:sz w:val="24"/>
          <w:szCs w:val="24"/>
        </w:rPr>
        <w:t>Subparagraph 9</w:t>
      </w:r>
      <w:r w:rsidRPr="00825C28">
        <w:rPr>
          <w:b/>
          <w:sz w:val="24"/>
          <w:szCs w:val="24"/>
        </w:rPr>
        <w:t>(e)(vii)</w:t>
      </w:r>
    </w:p>
    <w:p w:rsidR="00863768" w:rsidRPr="00825C28" w:rsidRDefault="00863768" w:rsidP="00863768">
      <w:pPr>
        <w:spacing w:after="240"/>
        <w:rPr>
          <w:b/>
        </w:rPr>
      </w:pPr>
      <w:r w:rsidRPr="00825C28">
        <w:rPr>
          <w:b/>
        </w:rPr>
        <w:t>Kind of editorial change</w:t>
      </w:r>
    </w:p>
    <w:p w:rsidR="00863768" w:rsidRPr="00825C28" w:rsidRDefault="00863768" w:rsidP="00863768">
      <w:pPr>
        <w:spacing w:after="240"/>
      </w:pPr>
      <w:r w:rsidRPr="00825C28">
        <w:rPr>
          <w:szCs w:val="22"/>
        </w:rPr>
        <w:t>Numbering or renumbering of provisions</w:t>
      </w:r>
    </w:p>
    <w:p w:rsidR="00863768" w:rsidRPr="00825C28" w:rsidRDefault="00863768" w:rsidP="00863768">
      <w:pPr>
        <w:spacing w:after="240"/>
        <w:rPr>
          <w:b/>
        </w:rPr>
      </w:pPr>
      <w:r w:rsidRPr="00825C28">
        <w:rPr>
          <w:b/>
        </w:rPr>
        <w:t>Details of editorial change</w:t>
      </w:r>
    </w:p>
    <w:p w:rsidR="00863768" w:rsidRPr="00825C28" w:rsidRDefault="00863768" w:rsidP="00863768">
      <w:pPr>
        <w:spacing w:after="240"/>
      </w:pPr>
      <w:r>
        <w:t>Schedule 1</w:t>
      </w:r>
      <w:r w:rsidRPr="00825C28">
        <w:t xml:space="preserve"> </w:t>
      </w:r>
      <w:r>
        <w:t>item 1</w:t>
      </w:r>
      <w:r w:rsidRPr="00825C28">
        <w:t xml:space="preserve"> of the </w:t>
      </w:r>
      <w:r w:rsidRPr="00825C28">
        <w:rPr>
          <w:i/>
        </w:rPr>
        <w:t xml:space="preserve">Australian Immunisation Register Amendment (Reporting) </w:t>
      </w:r>
      <w:r>
        <w:rPr>
          <w:i/>
        </w:rPr>
        <w:t>Rules 2</w:t>
      </w:r>
      <w:r w:rsidRPr="00825C28">
        <w:rPr>
          <w:i/>
        </w:rPr>
        <w:t>024</w:t>
      </w:r>
      <w:r w:rsidRPr="00825C28">
        <w:t xml:space="preserve"> provides as follows:</w:t>
      </w:r>
    </w:p>
    <w:p w:rsidR="00863768" w:rsidRPr="00825C28" w:rsidRDefault="00863768" w:rsidP="00863768">
      <w:pPr>
        <w:pStyle w:val="ItemHead"/>
      </w:pPr>
      <w:r w:rsidRPr="00825C28">
        <w:t xml:space="preserve">1  </w:t>
      </w:r>
      <w:r>
        <w:t>Paragraph 9</w:t>
      </w:r>
      <w:r w:rsidRPr="00825C28">
        <w:t>(e)(vii)</w:t>
      </w:r>
    </w:p>
    <w:p w:rsidR="00863768" w:rsidRPr="00825C28" w:rsidRDefault="00863768" w:rsidP="00863768">
      <w:pPr>
        <w:pStyle w:val="Item"/>
      </w:pPr>
      <w:r w:rsidRPr="00825C28">
        <w:t>Repeal the paragraph, substitute:</w:t>
      </w:r>
    </w:p>
    <w:p w:rsidR="00863768" w:rsidRPr="00825C28" w:rsidRDefault="00863768" w:rsidP="00863768">
      <w:pPr>
        <w:pStyle w:val="Item"/>
      </w:pPr>
      <w:r w:rsidRPr="00825C28">
        <w:tab/>
        <w:t xml:space="preserve">for vaccines prescribed under </w:t>
      </w:r>
      <w:r>
        <w:t>paragraph 9</w:t>
      </w:r>
      <w:r w:rsidRPr="00825C28">
        <w:t>(a)(iv) – information about the route of administration;</w:t>
      </w:r>
    </w:p>
    <w:p w:rsidR="00863768" w:rsidRPr="00825C28" w:rsidRDefault="00863768" w:rsidP="00863768">
      <w:pPr>
        <w:spacing w:before="240" w:after="240"/>
      </w:pPr>
      <w:r w:rsidRPr="00825C28">
        <w:t>The substituted subparagraph does not contain a reference to the subparagraph lettering.</w:t>
      </w:r>
    </w:p>
    <w:p w:rsidR="00863768" w:rsidRPr="00825C28" w:rsidRDefault="00863768" w:rsidP="00863768">
      <w:pPr>
        <w:spacing w:after="240"/>
      </w:pPr>
      <w:r w:rsidRPr="00825C28">
        <w:t xml:space="preserve">This compilation was editorially changed to insert “(vii)” at the beginning of </w:t>
      </w:r>
      <w:r>
        <w:t>subparagraph 9</w:t>
      </w:r>
      <w:r w:rsidRPr="00825C28">
        <w:t>(e)(vii).</w:t>
      </w:r>
    </w:p>
    <w:p w:rsidR="00863768" w:rsidRPr="00825C28" w:rsidRDefault="00863768" w:rsidP="00913203">
      <w:pPr>
        <w:keepNext/>
        <w:keepLines/>
        <w:spacing w:after="240"/>
        <w:rPr>
          <w:b/>
          <w:sz w:val="24"/>
          <w:szCs w:val="24"/>
        </w:rPr>
      </w:pPr>
      <w:r>
        <w:rPr>
          <w:b/>
          <w:sz w:val="24"/>
          <w:szCs w:val="24"/>
        </w:rPr>
        <w:lastRenderedPageBreak/>
        <w:t>Subparagraph 9</w:t>
      </w:r>
      <w:r w:rsidRPr="00825C28">
        <w:rPr>
          <w:b/>
          <w:sz w:val="24"/>
          <w:szCs w:val="24"/>
        </w:rPr>
        <w:t>(e)(vii)</w:t>
      </w:r>
    </w:p>
    <w:p w:rsidR="00863768" w:rsidRPr="00825C28" w:rsidRDefault="00863768" w:rsidP="00913203">
      <w:pPr>
        <w:keepNext/>
        <w:keepLines/>
        <w:spacing w:after="240"/>
        <w:rPr>
          <w:b/>
        </w:rPr>
      </w:pPr>
      <w:r w:rsidRPr="00825C28">
        <w:rPr>
          <w:b/>
        </w:rPr>
        <w:t>Kind of editorial change</w:t>
      </w:r>
    </w:p>
    <w:p w:rsidR="00863768" w:rsidRPr="00825C28" w:rsidRDefault="00863768" w:rsidP="00913203">
      <w:pPr>
        <w:keepNext/>
        <w:keepLines/>
        <w:spacing w:after="240"/>
      </w:pPr>
      <w:r w:rsidRPr="00825C28">
        <w:t>Change to punctuation</w:t>
      </w:r>
    </w:p>
    <w:p w:rsidR="00863768" w:rsidRPr="00825C28" w:rsidRDefault="00863768" w:rsidP="00863768">
      <w:pPr>
        <w:spacing w:after="240"/>
        <w:rPr>
          <w:b/>
        </w:rPr>
      </w:pPr>
      <w:r w:rsidRPr="00825C28">
        <w:rPr>
          <w:b/>
        </w:rPr>
        <w:t>Details of editorial change</w:t>
      </w:r>
    </w:p>
    <w:p w:rsidR="00863768" w:rsidRPr="00825C28" w:rsidRDefault="00863768" w:rsidP="00863768">
      <w:pPr>
        <w:spacing w:after="240"/>
      </w:pPr>
      <w:r>
        <w:t>Schedule 1</w:t>
      </w:r>
      <w:r w:rsidRPr="00825C28">
        <w:t xml:space="preserve"> </w:t>
      </w:r>
      <w:r>
        <w:t>item 2</w:t>
      </w:r>
      <w:r w:rsidRPr="00825C28">
        <w:t xml:space="preserve"> of the </w:t>
      </w:r>
      <w:r w:rsidRPr="00825C28">
        <w:rPr>
          <w:i/>
        </w:rPr>
        <w:t xml:space="preserve">Australian Immunisation Register Amendment (Reporting) </w:t>
      </w:r>
      <w:r>
        <w:rPr>
          <w:i/>
        </w:rPr>
        <w:t>Rules 2</w:t>
      </w:r>
      <w:r w:rsidRPr="00825C28">
        <w:rPr>
          <w:i/>
        </w:rPr>
        <w:t>024</w:t>
      </w:r>
      <w:r w:rsidRPr="00825C28">
        <w:t xml:space="preserve"> provides as follows:</w:t>
      </w:r>
    </w:p>
    <w:p w:rsidR="00863768" w:rsidRPr="00825C28" w:rsidRDefault="00863768" w:rsidP="00863768">
      <w:pPr>
        <w:pStyle w:val="ItemHead"/>
      </w:pPr>
      <w:r w:rsidRPr="00825C28">
        <w:t xml:space="preserve">2  At the end of </w:t>
      </w:r>
      <w:r>
        <w:t>paragraph 9</w:t>
      </w:r>
      <w:r w:rsidRPr="00825C28">
        <w:t>(e)(vii)</w:t>
      </w:r>
    </w:p>
    <w:p w:rsidR="00863768" w:rsidRPr="00825C28" w:rsidRDefault="00863768" w:rsidP="00863768">
      <w:pPr>
        <w:pStyle w:val="Item"/>
      </w:pPr>
      <w:r w:rsidRPr="00825C28">
        <w:t xml:space="preserve">Add: </w:t>
      </w:r>
    </w:p>
    <w:p w:rsidR="00863768" w:rsidRPr="00825C28" w:rsidRDefault="00863768" w:rsidP="00863768">
      <w:pPr>
        <w:pStyle w:val="Item"/>
      </w:pPr>
      <w:r w:rsidRPr="00825C28">
        <w:tab/>
        <w:t>; (viii) the vaccine type information.</w:t>
      </w:r>
    </w:p>
    <w:p w:rsidR="00863768" w:rsidRPr="00825C28" w:rsidRDefault="00863768" w:rsidP="00863768">
      <w:pPr>
        <w:spacing w:before="240" w:after="240"/>
      </w:pPr>
      <w:r w:rsidRPr="00825C28">
        <w:t xml:space="preserve">This amendment results in two semicolons at the end of </w:t>
      </w:r>
      <w:r>
        <w:t>subparagraph 9</w:t>
      </w:r>
      <w:r w:rsidRPr="00825C28">
        <w:t>(e)(vii).</w:t>
      </w:r>
    </w:p>
    <w:p w:rsidR="00863768" w:rsidRPr="00825C28" w:rsidRDefault="00863768" w:rsidP="00863768">
      <w:r w:rsidRPr="00825C28">
        <w:t xml:space="preserve">This compilation was editorially changed to remove the extra semicolon at the end of </w:t>
      </w:r>
      <w:r>
        <w:t>subparagraph 9</w:t>
      </w:r>
      <w:r w:rsidRPr="00825C28">
        <w:t>(e)(vii) to bring it into line with legislative drafting practice.</w:t>
      </w:r>
    </w:p>
    <w:p w:rsidR="000526F6" w:rsidRPr="00BE5F99" w:rsidRDefault="000526F6" w:rsidP="000526F6">
      <w:pPr>
        <w:pStyle w:val="Head2"/>
        <w:keepLines/>
        <w:spacing w:after="240"/>
      </w:pPr>
      <w:r w:rsidRPr="000526F6">
        <w:t xml:space="preserve">Autonomous Sanctions (Designated Persons and Entities and Declared Persons </w:t>
      </w:r>
      <w:r w:rsidRPr="000526F6">
        <w:noBreakHyphen/>
        <w:t xml:space="preserve"> Zimbabwe) List 2012</w:t>
      </w:r>
      <w:r>
        <w:t>, Compilation No. 9, Registration Date: 2</w:t>
      </w:r>
      <w:r w:rsidR="00353E8F">
        <w:t>7</w:t>
      </w:r>
      <w:r>
        <w:t> March 202</w:t>
      </w:r>
      <w:r w:rsidRPr="00BE5F99">
        <w:t>4 [</w:t>
      </w:r>
      <w:r w:rsidR="00353E8F" w:rsidRPr="00353E8F">
        <w:t>F2024C00271</w:t>
      </w:r>
      <w:r w:rsidRPr="00BE5F99">
        <w:t>]</w:t>
      </w:r>
    </w:p>
    <w:p w:rsidR="00353E8F" w:rsidRPr="002341F7" w:rsidRDefault="00353E8F" w:rsidP="00353E8F">
      <w:pPr>
        <w:spacing w:after="240"/>
        <w:rPr>
          <w:b/>
          <w:sz w:val="24"/>
          <w:szCs w:val="24"/>
        </w:rPr>
      </w:pPr>
      <w:r>
        <w:rPr>
          <w:b/>
          <w:sz w:val="24"/>
          <w:szCs w:val="24"/>
        </w:rPr>
        <w:t>Part 2</w:t>
      </w:r>
      <w:r w:rsidRPr="002341F7">
        <w:rPr>
          <w:b/>
          <w:sz w:val="24"/>
          <w:szCs w:val="24"/>
        </w:rPr>
        <w:t xml:space="preserve"> of </w:t>
      </w:r>
      <w:r>
        <w:rPr>
          <w:b/>
          <w:sz w:val="24"/>
          <w:szCs w:val="24"/>
        </w:rPr>
        <w:t>Schedule 1</w:t>
      </w:r>
    </w:p>
    <w:p w:rsidR="00353E8F" w:rsidRPr="002341F7" w:rsidRDefault="00353E8F" w:rsidP="00353E8F">
      <w:pPr>
        <w:spacing w:after="240"/>
        <w:rPr>
          <w:b/>
        </w:rPr>
      </w:pPr>
      <w:r w:rsidRPr="002341F7">
        <w:rPr>
          <w:b/>
        </w:rPr>
        <w:t>Kind of editorial change</w:t>
      </w:r>
    </w:p>
    <w:p w:rsidR="00353E8F" w:rsidRPr="002341F7" w:rsidRDefault="00353E8F" w:rsidP="00353E8F">
      <w:pPr>
        <w:spacing w:after="240"/>
      </w:pPr>
      <w:r w:rsidRPr="002341F7">
        <w:t>Removal of redundant text</w:t>
      </w:r>
    </w:p>
    <w:p w:rsidR="00353E8F" w:rsidRPr="002341F7" w:rsidRDefault="00353E8F" w:rsidP="00353E8F">
      <w:pPr>
        <w:spacing w:after="240"/>
        <w:rPr>
          <w:b/>
        </w:rPr>
      </w:pPr>
      <w:r w:rsidRPr="002341F7">
        <w:rPr>
          <w:b/>
        </w:rPr>
        <w:t>Details of editorial change</w:t>
      </w:r>
    </w:p>
    <w:p w:rsidR="00353E8F" w:rsidRPr="002341F7" w:rsidRDefault="00353E8F" w:rsidP="00353E8F">
      <w:pPr>
        <w:spacing w:after="240"/>
      </w:pPr>
      <w:r>
        <w:t>Schedule 1</w:t>
      </w:r>
      <w:r w:rsidRPr="002341F7">
        <w:t xml:space="preserve"> </w:t>
      </w:r>
      <w:r>
        <w:t>item 7</w:t>
      </w:r>
      <w:r w:rsidRPr="002341F7">
        <w:t xml:space="preserve"> of the </w:t>
      </w:r>
      <w:r w:rsidRPr="002341F7">
        <w:rPr>
          <w:i/>
        </w:rPr>
        <w:t>Autonomous Sanctions (Designated Persons and Entities and Declared Persons – Zimbabwe) Amendment (No. 1) Instrument 2023</w:t>
      </w:r>
      <w:r w:rsidRPr="002341F7">
        <w:t xml:space="preserve"> instructs to repeal table </w:t>
      </w:r>
      <w:r>
        <w:t>item 1</w:t>
      </w:r>
      <w:r w:rsidRPr="002341F7">
        <w:t xml:space="preserve"> from </w:t>
      </w:r>
      <w:r>
        <w:t>Part 2</w:t>
      </w:r>
      <w:r w:rsidRPr="002341F7">
        <w:t xml:space="preserve"> of </w:t>
      </w:r>
      <w:r>
        <w:t>Schedule 1</w:t>
      </w:r>
      <w:r w:rsidRPr="002341F7">
        <w:t>.</w:t>
      </w:r>
    </w:p>
    <w:p w:rsidR="00353E8F" w:rsidRPr="002341F7" w:rsidRDefault="00353E8F" w:rsidP="00353E8F">
      <w:pPr>
        <w:spacing w:after="240"/>
      </w:pPr>
      <w:r w:rsidRPr="002341F7">
        <w:t xml:space="preserve">This amendment results in the table in </w:t>
      </w:r>
      <w:r>
        <w:t>Part 2</w:t>
      </w:r>
      <w:r w:rsidRPr="002341F7">
        <w:t xml:space="preserve"> of </w:t>
      </w:r>
      <w:r>
        <w:t>Schedule 1</w:t>
      </w:r>
      <w:r w:rsidRPr="002341F7">
        <w:t xml:space="preserve"> containing no table items.</w:t>
      </w:r>
    </w:p>
    <w:p w:rsidR="00353E8F" w:rsidRPr="002341F7" w:rsidRDefault="00353E8F" w:rsidP="00353E8F">
      <w:r w:rsidRPr="002341F7">
        <w:t xml:space="preserve">This compilation was editorially changed to omit the redundant </w:t>
      </w:r>
      <w:r>
        <w:t>Part 2</w:t>
      </w:r>
      <w:r w:rsidRPr="002341F7">
        <w:t xml:space="preserve"> of </w:t>
      </w:r>
      <w:r>
        <w:t>Schedule 1</w:t>
      </w:r>
      <w:r w:rsidRPr="002341F7">
        <w:t xml:space="preserve"> heading and the table column headings.</w:t>
      </w:r>
    </w:p>
    <w:p w:rsidR="00F713C6" w:rsidRPr="00BE5F99" w:rsidRDefault="00F713C6" w:rsidP="00913203">
      <w:pPr>
        <w:pStyle w:val="Head2"/>
        <w:keepLines/>
        <w:spacing w:after="240"/>
      </w:pPr>
      <w:r w:rsidRPr="00B138DF">
        <w:lastRenderedPageBreak/>
        <w:t>Classification (Publications, Films and Computer Games) Act 1995</w:t>
      </w:r>
      <w:r>
        <w:t>, Compilation No. 41, Registration Date: 26 March 202</w:t>
      </w:r>
      <w:r w:rsidRPr="00BE5F99">
        <w:t>4 [</w:t>
      </w:r>
      <w:r w:rsidRPr="00F713C6">
        <w:t>C2024C00094</w:t>
      </w:r>
      <w:r w:rsidRPr="00BE5F99">
        <w:t>]</w:t>
      </w:r>
    </w:p>
    <w:p w:rsidR="007146B8" w:rsidRPr="004549F1" w:rsidRDefault="007146B8" w:rsidP="00913203">
      <w:pPr>
        <w:keepNext/>
        <w:keepLines/>
        <w:spacing w:after="240"/>
        <w:rPr>
          <w:b/>
          <w:sz w:val="24"/>
          <w:szCs w:val="24"/>
        </w:rPr>
      </w:pPr>
      <w:r>
        <w:rPr>
          <w:b/>
          <w:sz w:val="24"/>
          <w:szCs w:val="24"/>
        </w:rPr>
        <w:t>Section 5</w:t>
      </w:r>
    </w:p>
    <w:p w:rsidR="007146B8" w:rsidRPr="004549F1" w:rsidRDefault="007146B8" w:rsidP="00913203">
      <w:pPr>
        <w:keepNext/>
        <w:keepLines/>
        <w:spacing w:after="240"/>
        <w:rPr>
          <w:b/>
        </w:rPr>
      </w:pPr>
      <w:r w:rsidRPr="004549F1">
        <w:rPr>
          <w:b/>
        </w:rPr>
        <w:t>Kind of editorial change</w:t>
      </w:r>
    </w:p>
    <w:p w:rsidR="007146B8" w:rsidRPr="00AD0805" w:rsidRDefault="007146B8" w:rsidP="00913203">
      <w:pPr>
        <w:keepNext/>
        <w:keepLines/>
        <w:spacing w:after="240"/>
      </w:pPr>
      <w:r>
        <w:rPr>
          <w:color w:val="000000"/>
          <w:szCs w:val="22"/>
          <w:shd w:val="clear" w:color="auto" w:fill="FFFFFF"/>
        </w:rPr>
        <w:t>Reordering of definitions</w:t>
      </w:r>
    </w:p>
    <w:p w:rsidR="007146B8" w:rsidRPr="004549F1" w:rsidRDefault="007146B8" w:rsidP="00913203">
      <w:pPr>
        <w:keepNext/>
        <w:keepLines/>
        <w:spacing w:after="240"/>
        <w:rPr>
          <w:b/>
        </w:rPr>
      </w:pPr>
      <w:r w:rsidRPr="004549F1">
        <w:rPr>
          <w:b/>
        </w:rPr>
        <w:t>Details of editorial change</w:t>
      </w:r>
    </w:p>
    <w:p w:rsidR="007146B8" w:rsidRDefault="007146B8" w:rsidP="007146B8">
      <w:r>
        <w:rPr>
          <w:color w:val="000000"/>
          <w:szCs w:val="22"/>
          <w:shd w:val="clear" w:color="auto" w:fill="FFFFFF"/>
        </w:rPr>
        <w:t xml:space="preserve">This compilation was editorially changed to move the definition of </w:t>
      </w:r>
      <w:r>
        <w:rPr>
          <w:b/>
          <w:i/>
        </w:rPr>
        <w:t>adult</w:t>
      </w:r>
      <w:r w:rsidRPr="0031719C">
        <w:t xml:space="preserve"> </w:t>
      </w:r>
      <w:r>
        <w:rPr>
          <w:color w:val="000000"/>
          <w:szCs w:val="22"/>
          <w:shd w:val="clear" w:color="auto" w:fill="FFFFFF"/>
        </w:rPr>
        <w:t>in section 5 to the correct alphabetical position.</w:t>
      </w:r>
    </w:p>
    <w:p w:rsidR="00FB6DB0" w:rsidRPr="00BE5F99" w:rsidRDefault="00FB6DB0" w:rsidP="00FB6DB0">
      <w:pPr>
        <w:pStyle w:val="Head2"/>
        <w:keepLines/>
        <w:spacing w:after="240"/>
      </w:pPr>
      <w:r w:rsidRPr="00331AB1">
        <w:t>Copyright Act 1968</w:t>
      </w:r>
      <w:r>
        <w:t>, Compilation No. 62, Registration Date: 2</w:t>
      </w:r>
      <w:r w:rsidR="00F30BD4">
        <w:t>6</w:t>
      </w:r>
      <w:r>
        <w:t> March 202</w:t>
      </w:r>
      <w:r w:rsidRPr="00BE5F99">
        <w:t>4 [</w:t>
      </w:r>
      <w:r w:rsidR="00F30BD4" w:rsidRPr="00F30BD4">
        <w:t>C2024C00092</w:t>
      </w:r>
      <w:r w:rsidRPr="00BE5F99">
        <w:t>]</w:t>
      </w:r>
    </w:p>
    <w:p w:rsidR="00F30BD4" w:rsidRPr="004549F1" w:rsidRDefault="00F30BD4" w:rsidP="00F30BD4">
      <w:pPr>
        <w:spacing w:after="240"/>
        <w:rPr>
          <w:b/>
          <w:sz w:val="24"/>
          <w:szCs w:val="24"/>
        </w:rPr>
      </w:pPr>
      <w:r>
        <w:rPr>
          <w:b/>
          <w:sz w:val="24"/>
          <w:szCs w:val="24"/>
        </w:rPr>
        <w:t>Section 189</w:t>
      </w:r>
    </w:p>
    <w:p w:rsidR="00F30BD4" w:rsidRPr="004549F1" w:rsidRDefault="00F30BD4" w:rsidP="00F30BD4">
      <w:pPr>
        <w:spacing w:after="240"/>
        <w:rPr>
          <w:b/>
        </w:rPr>
      </w:pPr>
      <w:r w:rsidRPr="004549F1">
        <w:rPr>
          <w:b/>
        </w:rPr>
        <w:t>Kind of editorial change</w:t>
      </w:r>
    </w:p>
    <w:p w:rsidR="00F30BD4" w:rsidRPr="0018341F" w:rsidRDefault="00F30BD4" w:rsidP="00F30BD4">
      <w:pPr>
        <w:spacing w:after="240"/>
      </w:pPr>
      <w:r>
        <w:t>Reordering of definitions</w:t>
      </w:r>
    </w:p>
    <w:p w:rsidR="00F30BD4" w:rsidRPr="004549F1" w:rsidRDefault="00F30BD4" w:rsidP="00F30BD4">
      <w:pPr>
        <w:spacing w:after="240"/>
        <w:rPr>
          <w:b/>
        </w:rPr>
      </w:pPr>
      <w:r w:rsidRPr="004549F1">
        <w:rPr>
          <w:b/>
        </w:rPr>
        <w:t>Details of editorial change</w:t>
      </w:r>
    </w:p>
    <w:p w:rsidR="00F30BD4" w:rsidRPr="004549F1" w:rsidRDefault="00F30BD4" w:rsidP="00F30BD4">
      <w:r>
        <w:t xml:space="preserve">This compilation was editorially changed to move the definition of </w:t>
      </w:r>
      <w:r w:rsidRPr="00331AB1">
        <w:rPr>
          <w:b/>
          <w:i/>
        </w:rPr>
        <w:t>right not to have authorship falsely attributed</w:t>
      </w:r>
      <w:r>
        <w:t xml:space="preserve"> in section 189 to the correct alphabetical position.</w:t>
      </w:r>
    </w:p>
    <w:p w:rsidR="00E42A3B" w:rsidRPr="00BE5F99" w:rsidRDefault="00E42A3B" w:rsidP="00E42A3B">
      <w:pPr>
        <w:pStyle w:val="Head2"/>
        <w:keepLines/>
        <w:spacing w:after="240"/>
      </w:pPr>
      <w:r w:rsidRPr="00EB3729">
        <w:t>Health Insurance (Section 3C General Medical Services – Telehealth and Telephone Attendances) Determination 2021</w:t>
      </w:r>
      <w:r>
        <w:t>, Compilation No. 19, Registration Date: 25 March 202</w:t>
      </w:r>
      <w:r w:rsidRPr="00BE5F99">
        <w:t>4 [</w:t>
      </w:r>
      <w:r w:rsidRPr="00E42A3B">
        <w:t>F2024C00258</w:t>
      </w:r>
      <w:r w:rsidRPr="00BE5F99">
        <w:t>]</w:t>
      </w:r>
    </w:p>
    <w:p w:rsidR="007D3290" w:rsidRPr="004549F1" w:rsidRDefault="007D3290" w:rsidP="007D3290">
      <w:pPr>
        <w:spacing w:after="240"/>
        <w:rPr>
          <w:b/>
          <w:sz w:val="24"/>
          <w:szCs w:val="24"/>
        </w:rPr>
      </w:pPr>
      <w:r>
        <w:rPr>
          <w:b/>
          <w:sz w:val="24"/>
          <w:szCs w:val="24"/>
        </w:rPr>
        <w:t>Schedule 1 (Group A40 table)</w:t>
      </w:r>
    </w:p>
    <w:p w:rsidR="007D3290" w:rsidRPr="004549F1" w:rsidRDefault="007D3290" w:rsidP="007D3290">
      <w:pPr>
        <w:spacing w:after="240"/>
        <w:rPr>
          <w:b/>
        </w:rPr>
      </w:pPr>
      <w:r w:rsidRPr="004549F1">
        <w:rPr>
          <w:b/>
        </w:rPr>
        <w:t>Kind of editorial change</w:t>
      </w:r>
    </w:p>
    <w:p w:rsidR="007D3290" w:rsidRPr="00EB3729" w:rsidRDefault="007D3290" w:rsidP="007D3290">
      <w:pPr>
        <w:spacing w:after="240" w:line="240" w:lineRule="auto"/>
        <w:rPr>
          <w:rFonts w:eastAsia="Times New Roman" w:cs="Times New Roman"/>
          <w:color w:val="000000"/>
          <w:szCs w:val="22"/>
          <w:lang w:eastAsia="en-AU"/>
        </w:rPr>
      </w:pPr>
      <w:r w:rsidRPr="00EB3729">
        <w:rPr>
          <w:rFonts w:eastAsia="Times New Roman" w:cs="Times New Roman"/>
          <w:color w:val="000000"/>
          <w:szCs w:val="22"/>
          <w:lang w:eastAsia="en-AU"/>
        </w:rPr>
        <w:t>Give effect to the misdescribed amendment as intended</w:t>
      </w:r>
    </w:p>
    <w:p w:rsidR="007D3290" w:rsidRPr="004549F1" w:rsidRDefault="007D3290" w:rsidP="007D3290">
      <w:pPr>
        <w:spacing w:after="240"/>
        <w:rPr>
          <w:b/>
        </w:rPr>
      </w:pPr>
      <w:r w:rsidRPr="004549F1">
        <w:rPr>
          <w:b/>
        </w:rPr>
        <w:t>Details of editorial change</w:t>
      </w:r>
    </w:p>
    <w:p w:rsidR="007D3290" w:rsidRDefault="007D3290" w:rsidP="007D3290">
      <w:pPr>
        <w:spacing w:after="240"/>
        <w:rPr>
          <w:iCs/>
          <w:color w:val="000000"/>
          <w:szCs w:val="22"/>
        </w:rPr>
      </w:pPr>
      <w:r>
        <w:t xml:space="preserve">Schedule 1 item 2 of the </w:t>
      </w:r>
      <w:r>
        <w:rPr>
          <w:i/>
          <w:iCs/>
          <w:color w:val="000000"/>
          <w:szCs w:val="22"/>
        </w:rPr>
        <w:t>Health Insurance (Section 3C General Medical Services – Telehealth and Telephone Attendances) Amendment (No. 1) Determination 2024</w:t>
      </w:r>
      <w:r>
        <w:rPr>
          <w:iCs/>
          <w:color w:val="000000"/>
          <w:szCs w:val="22"/>
        </w:rPr>
        <w:t xml:space="preserve"> provides as follows:</w:t>
      </w:r>
    </w:p>
    <w:p w:rsidR="007D3290" w:rsidRPr="00A863C2" w:rsidRDefault="007D3290" w:rsidP="007D3290">
      <w:pPr>
        <w:pStyle w:val="ItemHead"/>
      </w:pPr>
      <w:r w:rsidRPr="00A863C2">
        <w:t>2  Schedule 1 (cell at item 92024, column 2)</w:t>
      </w:r>
    </w:p>
    <w:p w:rsidR="007D3290" w:rsidRPr="00DF0C44" w:rsidRDefault="007D3290" w:rsidP="007D3290">
      <w:pPr>
        <w:pStyle w:val="Item"/>
      </w:pPr>
      <w:r w:rsidRPr="00A863C2">
        <w:t>Omit “340”, substitute “240”.</w:t>
      </w:r>
    </w:p>
    <w:p w:rsidR="007D3290" w:rsidRDefault="007D3290" w:rsidP="007D3290">
      <w:pPr>
        <w:spacing w:before="240" w:after="240"/>
      </w:pPr>
      <w:r>
        <w:t>Item 92024 appears twice in Schedule 1.</w:t>
      </w:r>
    </w:p>
    <w:p w:rsidR="007D3290" w:rsidRPr="00EB3729" w:rsidRDefault="007D3290" w:rsidP="007D3290">
      <w:pPr>
        <w:rPr>
          <w:rFonts w:eastAsia="Times New Roman" w:cs="Times New Roman"/>
          <w:color w:val="000000"/>
          <w:szCs w:val="22"/>
          <w:lang w:eastAsia="en-AU"/>
        </w:rPr>
      </w:pPr>
      <w:r>
        <w:t>This compilation was editorially changed to omit “340” and substitute “240” in column 2 of item 92024 in the Group A40 table of Schedule 1 to give effect to the misdescribed amendment as intended.</w:t>
      </w:r>
    </w:p>
    <w:p w:rsidR="00BE5F99" w:rsidRPr="00BE5F99" w:rsidRDefault="00BE5F99" w:rsidP="00BE5F99">
      <w:pPr>
        <w:pStyle w:val="Head2"/>
        <w:keepLines/>
        <w:spacing w:after="240"/>
      </w:pPr>
      <w:r w:rsidRPr="00CB3F63">
        <w:lastRenderedPageBreak/>
        <w:t xml:space="preserve">Health Insurance (General Medical Services Table) </w:t>
      </w:r>
      <w:r>
        <w:t>Regulations 2</w:t>
      </w:r>
      <w:r w:rsidRPr="00CB3F63">
        <w:t>021</w:t>
      </w:r>
      <w:r>
        <w:t>, Compilation No. 15, Registration Date: 19 March 202</w:t>
      </w:r>
      <w:r w:rsidRPr="00BE5F99">
        <w:t>4 [F2024C00240]</w:t>
      </w:r>
    </w:p>
    <w:p w:rsidR="00BE5F99" w:rsidRPr="00CB3F63" w:rsidRDefault="00BE5F99" w:rsidP="00BE5F99">
      <w:pPr>
        <w:spacing w:after="240"/>
        <w:rPr>
          <w:b/>
          <w:sz w:val="24"/>
          <w:szCs w:val="24"/>
        </w:rPr>
      </w:pPr>
      <w:r>
        <w:rPr>
          <w:b/>
          <w:sz w:val="24"/>
          <w:szCs w:val="24"/>
        </w:rPr>
        <w:t>Subclause 1</w:t>
      </w:r>
      <w:r w:rsidRPr="00CB3F63">
        <w:rPr>
          <w:b/>
          <w:sz w:val="24"/>
          <w:szCs w:val="24"/>
        </w:rPr>
        <w:t xml:space="preserve">.2.4(1) of </w:t>
      </w:r>
      <w:r>
        <w:rPr>
          <w:b/>
          <w:sz w:val="24"/>
          <w:szCs w:val="24"/>
        </w:rPr>
        <w:t>Schedule 1</w:t>
      </w:r>
    </w:p>
    <w:p w:rsidR="00BE5F99" w:rsidRPr="00CB3F63" w:rsidRDefault="00BE5F99" w:rsidP="00BE5F99">
      <w:pPr>
        <w:spacing w:after="240"/>
        <w:rPr>
          <w:b/>
        </w:rPr>
      </w:pPr>
      <w:r w:rsidRPr="00CB3F63">
        <w:rPr>
          <w:b/>
        </w:rPr>
        <w:t>Kind of editorial change</w:t>
      </w:r>
    </w:p>
    <w:p w:rsidR="00BE5F99" w:rsidRPr="00CB3F63" w:rsidRDefault="00BE5F99" w:rsidP="00BE5F99">
      <w:pPr>
        <w:spacing w:after="240"/>
      </w:pPr>
      <w:r w:rsidRPr="00CB3F63">
        <w:t>Change to punctuation</w:t>
      </w:r>
    </w:p>
    <w:p w:rsidR="00BE5F99" w:rsidRPr="00CB3F63" w:rsidRDefault="00BE5F99" w:rsidP="00BE5F99">
      <w:pPr>
        <w:spacing w:after="240"/>
        <w:rPr>
          <w:b/>
        </w:rPr>
      </w:pPr>
      <w:r w:rsidRPr="00CB3F63">
        <w:rPr>
          <w:b/>
        </w:rPr>
        <w:t>Details of editorial change</w:t>
      </w:r>
    </w:p>
    <w:p w:rsidR="00BE5F99" w:rsidRPr="00CB3F63" w:rsidRDefault="00BE5F99" w:rsidP="00BE5F99">
      <w:pPr>
        <w:spacing w:after="240"/>
      </w:pPr>
      <w:r>
        <w:t>Schedule 1</w:t>
      </w:r>
      <w:r w:rsidRPr="00CB3F63">
        <w:t xml:space="preserve"> </w:t>
      </w:r>
      <w:r>
        <w:t>item 1</w:t>
      </w:r>
      <w:r w:rsidRPr="00CB3F63">
        <w:t xml:space="preserve">5 of the </w:t>
      </w:r>
      <w:r w:rsidRPr="00CB3F63">
        <w:rPr>
          <w:i/>
          <w:szCs w:val="22"/>
        </w:rPr>
        <w:t xml:space="preserve">Health Insurance Legislation Amendment (2024 Measures No. 1) </w:t>
      </w:r>
      <w:r>
        <w:rPr>
          <w:i/>
          <w:szCs w:val="22"/>
        </w:rPr>
        <w:t>Regulations 2</w:t>
      </w:r>
      <w:r w:rsidRPr="00CB3F63">
        <w:rPr>
          <w:i/>
          <w:szCs w:val="22"/>
        </w:rPr>
        <w:t>024</w:t>
      </w:r>
      <w:r w:rsidRPr="00CB3F63">
        <w:t xml:space="preserve"> instructs to omit “and 16404” and substitute “</w:t>
      </w:r>
      <w:bookmarkStart w:id="47" w:name="_Hlk159422973"/>
      <w:r w:rsidRPr="00CB3F63">
        <w:t>16404, 91823, 91825, 91826, 91833, 91836, 92611, 92612, 92613 and 92618</w:t>
      </w:r>
      <w:bookmarkEnd w:id="47"/>
      <w:r w:rsidRPr="00CB3F63">
        <w:t xml:space="preserve">” in </w:t>
      </w:r>
      <w:r>
        <w:t>subclause 1</w:t>
      </w:r>
      <w:r w:rsidRPr="00CB3F63">
        <w:t xml:space="preserve">.2.4(1) of </w:t>
      </w:r>
      <w:r>
        <w:t>Schedule 1</w:t>
      </w:r>
      <w:r w:rsidRPr="00CB3F63">
        <w:t>.</w:t>
      </w:r>
    </w:p>
    <w:p w:rsidR="00BE5F99" w:rsidRPr="00CB3F63" w:rsidRDefault="00BE5F99" w:rsidP="00BE5F99">
      <w:pPr>
        <w:spacing w:after="240"/>
      </w:pPr>
      <w:r>
        <w:t>Subclause 1</w:t>
      </w:r>
      <w:r w:rsidRPr="00CB3F63">
        <w:t xml:space="preserve">.2.4(1) of </w:t>
      </w:r>
      <w:r>
        <w:t>Schedule 1</w:t>
      </w:r>
      <w:r w:rsidRPr="00CB3F63">
        <w:t xml:space="preserve"> reads as follows:</w:t>
      </w:r>
    </w:p>
    <w:p w:rsidR="00BE5F99" w:rsidRPr="00CB3F63" w:rsidRDefault="00BE5F99" w:rsidP="00BE5F99">
      <w:pPr>
        <w:pStyle w:val="subsection"/>
      </w:pPr>
      <w:r w:rsidRPr="00CB3F63">
        <w:tab/>
        <w:t>(1)</w:t>
      </w:r>
      <w:r w:rsidRPr="00CB3F63">
        <w:tab/>
        <w:t xml:space="preserve">Use this clause for </w:t>
      </w:r>
      <w:r>
        <w:t>items 1</w:t>
      </w:r>
      <w:r w:rsidRPr="00CB3F63">
        <w:t>05, 116, 119, 386, 2806, 2814, 3010, 3014, 6009 to 6015, 6019, 605</w:t>
      </w:r>
      <w:r>
        <w:t>2 1</w:t>
      </w:r>
      <w:r w:rsidRPr="00CB3F63">
        <w:t>6404, 91823, 91825, 91826, 91833, 91836, 92611, 92612, 92613 and 92618.</w:t>
      </w:r>
    </w:p>
    <w:p w:rsidR="00BE5F99" w:rsidRPr="00CB3F63" w:rsidRDefault="00BE5F99" w:rsidP="00BE5F99">
      <w:pPr>
        <w:spacing w:before="240" w:after="240"/>
      </w:pPr>
      <w:r w:rsidRPr="00CB3F63">
        <w:t>There is no comma after “6052”.</w:t>
      </w:r>
    </w:p>
    <w:p w:rsidR="00BE5F99" w:rsidRPr="00CB3F63" w:rsidRDefault="00BE5F99" w:rsidP="00BE5F99">
      <w:pPr>
        <w:spacing w:after="240"/>
      </w:pPr>
      <w:r w:rsidRPr="00CB3F63">
        <w:t xml:space="preserve">This compilation was editorially changed to insert a comma after “6052” in </w:t>
      </w:r>
      <w:r>
        <w:t>subclause 1</w:t>
      </w:r>
      <w:r w:rsidRPr="00CB3F63">
        <w:t xml:space="preserve">.2.4(1) of </w:t>
      </w:r>
      <w:r>
        <w:t>Schedule 1</w:t>
      </w:r>
      <w:r w:rsidRPr="00CB3F63">
        <w:t xml:space="preserve"> to correct the punctuation.</w:t>
      </w:r>
    </w:p>
    <w:p w:rsidR="00BE5F99" w:rsidRPr="00CB3F63" w:rsidRDefault="00BE5F99" w:rsidP="00BE5F99">
      <w:pPr>
        <w:spacing w:after="240"/>
        <w:rPr>
          <w:b/>
          <w:sz w:val="24"/>
          <w:szCs w:val="24"/>
        </w:rPr>
      </w:pPr>
      <w:r>
        <w:rPr>
          <w:b/>
          <w:sz w:val="24"/>
          <w:szCs w:val="24"/>
        </w:rPr>
        <w:t>Schedule 1</w:t>
      </w:r>
      <w:r w:rsidRPr="00CB3F63">
        <w:rPr>
          <w:b/>
          <w:sz w:val="24"/>
          <w:szCs w:val="24"/>
        </w:rPr>
        <w:t xml:space="preserve"> (</w:t>
      </w:r>
      <w:r>
        <w:rPr>
          <w:b/>
          <w:sz w:val="24"/>
          <w:szCs w:val="24"/>
        </w:rPr>
        <w:t>item 2</w:t>
      </w:r>
      <w:r w:rsidRPr="00CB3F63">
        <w:rPr>
          <w:b/>
          <w:sz w:val="24"/>
          <w:szCs w:val="24"/>
        </w:rPr>
        <w:t xml:space="preserve">94, column 2, </w:t>
      </w:r>
      <w:r>
        <w:rPr>
          <w:b/>
          <w:sz w:val="24"/>
          <w:szCs w:val="24"/>
        </w:rPr>
        <w:t>paragraph (</w:t>
      </w:r>
      <w:r w:rsidRPr="00CB3F63">
        <w:rPr>
          <w:b/>
          <w:sz w:val="24"/>
          <w:szCs w:val="24"/>
        </w:rPr>
        <w:t>b))</w:t>
      </w:r>
    </w:p>
    <w:p w:rsidR="00BE5F99" w:rsidRPr="00CB3F63" w:rsidRDefault="00BE5F99" w:rsidP="00BE5F99">
      <w:pPr>
        <w:spacing w:after="240"/>
        <w:rPr>
          <w:b/>
        </w:rPr>
      </w:pPr>
      <w:r w:rsidRPr="00CB3F63">
        <w:rPr>
          <w:b/>
        </w:rPr>
        <w:t>Kind of editorial change</w:t>
      </w:r>
    </w:p>
    <w:p w:rsidR="00BE5F99" w:rsidRPr="00CB3F63" w:rsidRDefault="00BE5F99" w:rsidP="00BE5F99">
      <w:pPr>
        <w:spacing w:after="240"/>
      </w:pPr>
      <w:r w:rsidRPr="00CB3F63">
        <w:t>Changes to punctuation and change to grammar, syntax or the use of conjunctives or disjunctives</w:t>
      </w:r>
    </w:p>
    <w:p w:rsidR="00BE5F99" w:rsidRPr="00CB3F63" w:rsidRDefault="00BE5F99" w:rsidP="00BE5F99">
      <w:pPr>
        <w:spacing w:after="240"/>
        <w:rPr>
          <w:b/>
        </w:rPr>
      </w:pPr>
      <w:r w:rsidRPr="00CB3F63">
        <w:rPr>
          <w:b/>
        </w:rPr>
        <w:t>Details of editorial change</w:t>
      </w:r>
    </w:p>
    <w:p w:rsidR="00BE5F99" w:rsidRPr="00CB3F63" w:rsidRDefault="00BE5F99" w:rsidP="00BE5F99">
      <w:pPr>
        <w:spacing w:after="240"/>
      </w:pPr>
      <w:r>
        <w:t>Schedule 1</w:t>
      </w:r>
      <w:r w:rsidRPr="00CB3F63">
        <w:t xml:space="preserve"> </w:t>
      </w:r>
      <w:r>
        <w:t>item 3</w:t>
      </w:r>
      <w:r w:rsidRPr="00CB3F63">
        <w:t xml:space="preserve">7 of the </w:t>
      </w:r>
      <w:r w:rsidRPr="00CB3F63">
        <w:rPr>
          <w:i/>
          <w:szCs w:val="22"/>
        </w:rPr>
        <w:t xml:space="preserve">Health Insurance Legislation Amendment (2024 Measures No. 1) </w:t>
      </w:r>
      <w:r>
        <w:rPr>
          <w:i/>
          <w:szCs w:val="22"/>
        </w:rPr>
        <w:t>Regulations 2</w:t>
      </w:r>
      <w:r w:rsidRPr="00CB3F63">
        <w:rPr>
          <w:i/>
          <w:szCs w:val="22"/>
        </w:rPr>
        <w:t>024</w:t>
      </w:r>
      <w:r w:rsidRPr="00CB3F63">
        <w:t xml:space="preserve"> instructs to omit “348, 350 or 352” from </w:t>
      </w:r>
      <w:r>
        <w:t>paragraph (</w:t>
      </w:r>
      <w:r w:rsidRPr="00CB3F63">
        <w:t xml:space="preserve">b) in column 2 of </w:t>
      </w:r>
      <w:r>
        <w:t>item 2</w:t>
      </w:r>
      <w:r w:rsidRPr="00CB3F63">
        <w:t xml:space="preserve">94 of </w:t>
      </w:r>
      <w:r>
        <w:t>Schedule 1</w:t>
      </w:r>
      <w:r w:rsidRPr="00CB3F63">
        <w:t>.</w:t>
      </w:r>
    </w:p>
    <w:p w:rsidR="00BE5F99" w:rsidRPr="00CB3F63" w:rsidRDefault="00BE5F99" w:rsidP="00BE5F99">
      <w:pPr>
        <w:spacing w:after="240"/>
      </w:pPr>
      <w:r>
        <w:t>Paragraph (</w:t>
      </w:r>
      <w:r w:rsidRPr="00CB3F63">
        <w:t xml:space="preserve">b) of </w:t>
      </w:r>
      <w:r>
        <w:t>item 2</w:t>
      </w:r>
      <w:r w:rsidRPr="00CB3F63">
        <w:t xml:space="preserve">94 of </w:t>
      </w:r>
      <w:r>
        <w:t>Schedule 1</w:t>
      </w:r>
      <w:r w:rsidRPr="00CB3F63">
        <w:t xml:space="preserve"> reads as follows:</w:t>
      </w:r>
    </w:p>
    <w:p w:rsidR="00BE5F99" w:rsidRPr="00CB3F63" w:rsidRDefault="00BE5F99" w:rsidP="00BE5F99">
      <w:pPr>
        <w:pStyle w:val="Tablea"/>
        <w:spacing w:after="240"/>
        <w:rPr>
          <w:lang w:eastAsia="en-US"/>
        </w:rPr>
      </w:pPr>
      <w:r w:rsidRPr="00CB3F63">
        <w:rPr>
          <w:lang w:eastAsia="en-US"/>
        </w:rPr>
        <w:t xml:space="preserve">(b) </w:t>
      </w:r>
      <w:r w:rsidRPr="00CB3F63">
        <w:t>except for the requirement for the attendance to be at consulting rooms—</w:t>
      </w:r>
      <w:r>
        <w:rPr>
          <w:lang w:eastAsia="en-US"/>
        </w:rPr>
        <w:t>item 2</w:t>
      </w:r>
      <w:r w:rsidRPr="00CB3F63">
        <w:rPr>
          <w:lang w:eastAsia="en-US"/>
        </w:rPr>
        <w:t>91, 293, 296, 300, 302, 304, 306, 308, 310, 312, 314, 316, 318, 319, would otherwise apply to the attendance; and</w:t>
      </w:r>
    </w:p>
    <w:p w:rsidR="00BE5F99" w:rsidRPr="00CB3F63" w:rsidRDefault="00BE5F99" w:rsidP="00BE5F99">
      <w:pPr>
        <w:spacing w:before="240" w:after="240"/>
      </w:pPr>
      <w:r w:rsidRPr="00CB3F63">
        <w:t>A comma appears between “318” and “319” and a comma appears after “319”.</w:t>
      </w:r>
    </w:p>
    <w:p w:rsidR="00BE5F99" w:rsidRPr="00CB3F63" w:rsidRDefault="00BE5F99" w:rsidP="00BE5F99">
      <w:pPr>
        <w:spacing w:after="240"/>
      </w:pPr>
      <w:r w:rsidRPr="00CB3F63">
        <w:t xml:space="preserve">This compilation was editorially changed to omit the comma after “318” and substitute “or” and to omit the comma after “319” in </w:t>
      </w:r>
      <w:r>
        <w:t>paragraph (</w:t>
      </w:r>
      <w:r w:rsidRPr="00CB3F63">
        <w:t xml:space="preserve">b) of column 2 of </w:t>
      </w:r>
      <w:r>
        <w:t>item 2</w:t>
      </w:r>
      <w:r w:rsidRPr="00CB3F63">
        <w:t xml:space="preserve">94 of </w:t>
      </w:r>
      <w:r>
        <w:t>Schedule 1</w:t>
      </w:r>
      <w:r w:rsidRPr="00CB3F63">
        <w:t xml:space="preserve"> to correct the punctuation and grammatical error.</w:t>
      </w:r>
    </w:p>
    <w:p w:rsidR="00BE5F99" w:rsidRPr="00CB3F63" w:rsidRDefault="00BE5F99" w:rsidP="00913203">
      <w:pPr>
        <w:keepNext/>
        <w:keepLines/>
        <w:spacing w:after="240"/>
        <w:rPr>
          <w:b/>
          <w:sz w:val="24"/>
          <w:szCs w:val="24"/>
        </w:rPr>
      </w:pPr>
      <w:r>
        <w:rPr>
          <w:b/>
          <w:sz w:val="24"/>
          <w:szCs w:val="24"/>
        </w:rPr>
        <w:lastRenderedPageBreak/>
        <w:t>Schedule 1</w:t>
      </w:r>
      <w:r w:rsidRPr="00CB3F63">
        <w:rPr>
          <w:b/>
          <w:sz w:val="24"/>
          <w:szCs w:val="24"/>
        </w:rPr>
        <w:t xml:space="preserve"> (</w:t>
      </w:r>
      <w:r>
        <w:rPr>
          <w:b/>
          <w:sz w:val="24"/>
          <w:szCs w:val="24"/>
        </w:rPr>
        <w:t>item 2</w:t>
      </w:r>
      <w:r w:rsidRPr="00CB3F63">
        <w:rPr>
          <w:b/>
          <w:sz w:val="24"/>
          <w:szCs w:val="24"/>
        </w:rPr>
        <w:t>96, column 2)</w:t>
      </w:r>
    </w:p>
    <w:p w:rsidR="00BE5F99" w:rsidRPr="00CB3F63" w:rsidRDefault="00BE5F99" w:rsidP="00913203">
      <w:pPr>
        <w:keepNext/>
        <w:keepLines/>
        <w:spacing w:after="240"/>
        <w:rPr>
          <w:b/>
        </w:rPr>
      </w:pPr>
      <w:r w:rsidRPr="00CB3F63">
        <w:rPr>
          <w:b/>
        </w:rPr>
        <w:t>Kind of editorial change</w:t>
      </w:r>
    </w:p>
    <w:p w:rsidR="00BE5F99" w:rsidRPr="00CB3F63" w:rsidRDefault="00BE5F99" w:rsidP="00BE5F99">
      <w:pPr>
        <w:spacing w:after="240"/>
      </w:pPr>
      <w:r w:rsidRPr="00CB3F63">
        <w:t>Give effect to the misdescribed amendment as intended</w:t>
      </w:r>
    </w:p>
    <w:p w:rsidR="00BE5F99" w:rsidRPr="00CB3F63" w:rsidRDefault="00BE5F99" w:rsidP="00BE5F99">
      <w:pPr>
        <w:spacing w:after="240"/>
        <w:rPr>
          <w:b/>
        </w:rPr>
      </w:pPr>
      <w:r w:rsidRPr="00CB3F63">
        <w:rPr>
          <w:b/>
        </w:rPr>
        <w:t>Details of editorial change</w:t>
      </w:r>
    </w:p>
    <w:p w:rsidR="00BE5F99" w:rsidRPr="00CB3F63" w:rsidRDefault="00BE5F99" w:rsidP="00BE5F99">
      <w:pPr>
        <w:spacing w:after="240"/>
      </w:pPr>
      <w:r>
        <w:t>Schedule 1</w:t>
      </w:r>
      <w:r w:rsidRPr="00CB3F63">
        <w:t xml:space="preserve"> </w:t>
      </w:r>
      <w:r>
        <w:t>item 3</w:t>
      </w:r>
      <w:r w:rsidRPr="00CB3F63">
        <w:t xml:space="preserve">8 of the </w:t>
      </w:r>
      <w:r w:rsidRPr="00CB3F63">
        <w:rPr>
          <w:i/>
          <w:szCs w:val="22"/>
        </w:rPr>
        <w:t xml:space="preserve">Health Insurance Legislation Amendment (2024 Measures No. 1) </w:t>
      </w:r>
      <w:r>
        <w:rPr>
          <w:i/>
          <w:szCs w:val="22"/>
        </w:rPr>
        <w:t>Regulations 2</w:t>
      </w:r>
      <w:r w:rsidRPr="00CB3F63">
        <w:rPr>
          <w:i/>
          <w:szCs w:val="22"/>
        </w:rPr>
        <w:t>024</w:t>
      </w:r>
      <w:r w:rsidRPr="00CB3F63">
        <w:t xml:space="preserve"> instructs to omit “</w:t>
      </w:r>
      <w:bookmarkStart w:id="48" w:name="_Hlk159425843"/>
      <w:r w:rsidRPr="00CB3F63">
        <w:t xml:space="preserve">, or </w:t>
      </w:r>
      <w:r>
        <w:t>item 2</w:t>
      </w:r>
      <w:r w:rsidRPr="00CB3F63">
        <w:t>97 or 299 or any of items of 300 to 308</w:t>
      </w:r>
      <w:bookmarkEnd w:id="48"/>
      <w:r w:rsidRPr="00CB3F63">
        <w:t xml:space="preserve">” and substitute “or any of items 297, 299, 300, 302, 304, 306, 308, </w:t>
      </w:r>
      <w:r w:rsidRPr="00CB3F63">
        <w:rPr>
          <w:shd w:val="clear" w:color="auto" w:fill="FFFFFF"/>
        </w:rPr>
        <w:t>91827 to 91831, 91837 to 91839 and 92437</w:t>
      </w:r>
      <w:r w:rsidRPr="00CB3F63">
        <w:t xml:space="preserve">” from column 2 of </w:t>
      </w:r>
      <w:r>
        <w:t>item 2</w:t>
      </w:r>
      <w:r w:rsidRPr="00CB3F63">
        <w:t xml:space="preserve">96 of </w:t>
      </w:r>
      <w:r>
        <w:t>Schedule 1</w:t>
      </w:r>
      <w:r w:rsidRPr="00CB3F63">
        <w:t>.</w:t>
      </w:r>
    </w:p>
    <w:p w:rsidR="00BE5F99" w:rsidRPr="00CB3F63" w:rsidRDefault="00BE5F99" w:rsidP="00BE5F99">
      <w:pPr>
        <w:spacing w:after="240"/>
      </w:pPr>
      <w:r w:rsidRPr="00CB3F63">
        <w:t xml:space="preserve">The text “, or </w:t>
      </w:r>
      <w:r>
        <w:t>item 2</w:t>
      </w:r>
      <w:r w:rsidRPr="00CB3F63">
        <w:t xml:space="preserve">97 or 299 or any of items of 300 to 308” does not appear in column 2 of </w:t>
      </w:r>
      <w:r>
        <w:t>item 2</w:t>
      </w:r>
      <w:r w:rsidRPr="00CB3F63">
        <w:t xml:space="preserve">96 of </w:t>
      </w:r>
      <w:r>
        <w:t>Schedule 1</w:t>
      </w:r>
      <w:r w:rsidRPr="00CB3F63">
        <w:t xml:space="preserve">. However, the text “, or </w:t>
      </w:r>
      <w:r>
        <w:t>item 2</w:t>
      </w:r>
      <w:r w:rsidRPr="00CB3F63">
        <w:t>97 or 299 or any of items 300 to 308” does appear.</w:t>
      </w:r>
    </w:p>
    <w:p w:rsidR="00BE5F99" w:rsidRPr="00CB3F63" w:rsidRDefault="00BE5F99" w:rsidP="00BE5F99">
      <w:pPr>
        <w:spacing w:after="240"/>
      </w:pPr>
      <w:r w:rsidRPr="00CB3F63">
        <w:t xml:space="preserve">This compilation was editorially changed to omit “, or </w:t>
      </w:r>
      <w:r>
        <w:t>item 2</w:t>
      </w:r>
      <w:r w:rsidRPr="00CB3F63">
        <w:t xml:space="preserve">97 or 299 or any of items 300 to 308” and substitute “or any of items 297, 299, 300, 302, 304, 306, 308, </w:t>
      </w:r>
      <w:r w:rsidRPr="00CB3F63">
        <w:rPr>
          <w:shd w:val="clear" w:color="auto" w:fill="FFFFFF"/>
        </w:rPr>
        <w:t>91827 to 91831, 91837 to 91839 and 92437</w:t>
      </w:r>
      <w:r w:rsidRPr="00CB3F63">
        <w:t xml:space="preserve">” from column 2 of </w:t>
      </w:r>
      <w:r>
        <w:t>item 2</w:t>
      </w:r>
      <w:r w:rsidRPr="00CB3F63">
        <w:t xml:space="preserve">96 of </w:t>
      </w:r>
      <w:r>
        <w:t>Schedule 1</w:t>
      </w:r>
      <w:r w:rsidRPr="00CB3F63">
        <w:t xml:space="preserve"> to give effect to the misdescribed amendment as intended.</w:t>
      </w:r>
    </w:p>
    <w:p w:rsidR="00BE5F99" w:rsidRPr="00CB3F63" w:rsidRDefault="00BE5F99" w:rsidP="00BE5F99">
      <w:pPr>
        <w:spacing w:after="240"/>
        <w:rPr>
          <w:b/>
          <w:sz w:val="24"/>
          <w:szCs w:val="24"/>
        </w:rPr>
      </w:pPr>
      <w:bookmarkStart w:id="49" w:name="_Hlk160099386"/>
      <w:r>
        <w:rPr>
          <w:b/>
          <w:sz w:val="24"/>
          <w:szCs w:val="24"/>
        </w:rPr>
        <w:t>Schedule 1</w:t>
      </w:r>
      <w:r w:rsidRPr="00CB3F63">
        <w:rPr>
          <w:b/>
          <w:sz w:val="24"/>
          <w:szCs w:val="24"/>
        </w:rPr>
        <w:t xml:space="preserve"> (</w:t>
      </w:r>
      <w:r>
        <w:rPr>
          <w:b/>
          <w:sz w:val="24"/>
          <w:szCs w:val="24"/>
        </w:rPr>
        <w:t>item 3</w:t>
      </w:r>
      <w:r w:rsidRPr="00CB3F63">
        <w:rPr>
          <w:b/>
          <w:sz w:val="24"/>
          <w:szCs w:val="24"/>
        </w:rPr>
        <w:t>8557, column 2)</w:t>
      </w:r>
    </w:p>
    <w:p w:rsidR="00BE5F99" w:rsidRPr="00CB3F63" w:rsidRDefault="00BE5F99" w:rsidP="00BE5F99">
      <w:pPr>
        <w:spacing w:after="240"/>
        <w:rPr>
          <w:b/>
        </w:rPr>
      </w:pPr>
      <w:r w:rsidRPr="00CB3F63">
        <w:rPr>
          <w:b/>
        </w:rPr>
        <w:t>Kind of editorial change</w:t>
      </w:r>
    </w:p>
    <w:p w:rsidR="00BE5F99" w:rsidRPr="00CB3F63" w:rsidRDefault="00BE5F99" w:rsidP="00BE5F99">
      <w:pPr>
        <w:spacing w:after="240"/>
      </w:pPr>
      <w:r w:rsidRPr="00CB3F63">
        <w:t>Give effect to the misdescribed amendment as intended</w:t>
      </w:r>
    </w:p>
    <w:p w:rsidR="00BE5F99" w:rsidRPr="00CB3F63" w:rsidRDefault="00BE5F99" w:rsidP="00BE5F99">
      <w:pPr>
        <w:spacing w:after="240"/>
        <w:rPr>
          <w:b/>
        </w:rPr>
      </w:pPr>
      <w:r w:rsidRPr="00CB3F63">
        <w:rPr>
          <w:b/>
        </w:rPr>
        <w:t>Details of editorial change</w:t>
      </w:r>
    </w:p>
    <w:p w:rsidR="00BE5F99" w:rsidRPr="00CB3F63" w:rsidRDefault="00BE5F99" w:rsidP="00BE5F99">
      <w:pPr>
        <w:spacing w:after="240"/>
      </w:pPr>
      <w:r>
        <w:t>Schedule 1</w:t>
      </w:r>
      <w:r w:rsidRPr="00CB3F63">
        <w:t xml:space="preserve"> </w:t>
      </w:r>
      <w:r>
        <w:t>item 6</w:t>
      </w:r>
      <w:r w:rsidRPr="00CB3F63">
        <w:t xml:space="preserve">8 of the </w:t>
      </w:r>
      <w:r w:rsidRPr="00CB3F63">
        <w:rPr>
          <w:i/>
          <w:noProof/>
        </w:rPr>
        <w:t xml:space="preserve">Health Insurance Legislation Amendment (2024 Measures No. 1) </w:t>
      </w:r>
      <w:r>
        <w:rPr>
          <w:i/>
          <w:noProof/>
        </w:rPr>
        <w:t>Regulations 2</w:t>
      </w:r>
      <w:r w:rsidRPr="00CB3F63">
        <w:rPr>
          <w:i/>
          <w:noProof/>
        </w:rPr>
        <w:t>024</w:t>
      </w:r>
      <w:r w:rsidRPr="00CB3F63">
        <w:t xml:space="preserve"> instructs to insert “, performed by any medical practitioner,” after “with a service” from column 2 of </w:t>
      </w:r>
      <w:r>
        <w:t>item 3</w:t>
      </w:r>
      <w:r w:rsidRPr="00CB3F63">
        <w:t xml:space="preserve">8557 of </w:t>
      </w:r>
      <w:r>
        <w:t>Schedule 1</w:t>
      </w:r>
      <w:r w:rsidRPr="00CB3F63">
        <w:t>.</w:t>
      </w:r>
    </w:p>
    <w:p w:rsidR="00BE5F99" w:rsidRPr="00CB3F63" w:rsidRDefault="00BE5F99" w:rsidP="00BE5F99">
      <w:pPr>
        <w:spacing w:after="240"/>
      </w:pPr>
      <w:r w:rsidRPr="00CB3F63">
        <w:t xml:space="preserve">The words “with a service” appear twice in column 2 of </w:t>
      </w:r>
      <w:r>
        <w:t>item 3</w:t>
      </w:r>
      <w:r w:rsidRPr="00CB3F63">
        <w:t xml:space="preserve">8557 of </w:t>
      </w:r>
      <w:r>
        <w:t>Schedule 1</w:t>
      </w:r>
      <w:r w:rsidRPr="00CB3F63">
        <w:t>.</w:t>
      </w:r>
    </w:p>
    <w:p w:rsidR="00BE5F99" w:rsidRPr="00CB3F63" w:rsidRDefault="00BE5F99" w:rsidP="00BE5F99">
      <w:pPr>
        <w:spacing w:after="240"/>
      </w:pPr>
      <w:r w:rsidRPr="00CB3F63">
        <w:t xml:space="preserve">This compilation was editorially changed to insert “, performed by any medical practitioner,” after “with a service” (first occurring) from column 2 of </w:t>
      </w:r>
      <w:r>
        <w:t>item 3</w:t>
      </w:r>
      <w:r w:rsidRPr="00CB3F63">
        <w:t xml:space="preserve">8557 of </w:t>
      </w:r>
      <w:r>
        <w:t>Schedule 1</w:t>
      </w:r>
      <w:r w:rsidRPr="00CB3F63">
        <w:t xml:space="preserve"> to give effect to the misdescribed amendment as intended.</w:t>
      </w:r>
    </w:p>
    <w:bookmarkEnd w:id="49"/>
    <w:p w:rsidR="00BE5F99" w:rsidRPr="00CB3F63" w:rsidRDefault="00BE5F99" w:rsidP="00BE5F99">
      <w:pPr>
        <w:keepNext/>
        <w:keepLines/>
        <w:spacing w:after="240"/>
        <w:rPr>
          <w:b/>
          <w:sz w:val="24"/>
          <w:szCs w:val="24"/>
        </w:rPr>
      </w:pPr>
      <w:r>
        <w:rPr>
          <w:b/>
          <w:sz w:val="24"/>
          <w:szCs w:val="24"/>
        </w:rPr>
        <w:t>Schedule 1</w:t>
      </w:r>
      <w:r w:rsidRPr="00CB3F63">
        <w:rPr>
          <w:b/>
          <w:sz w:val="24"/>
          <w:szCs w:val="24"/>
        </w:rPr>
        <w:t xml:space="preserve"> (</w:t>
      </w:r>
      <w:r>
        <w:rPr>
          <w:b/>
          <w:sz w:val="24"/>
          <w:szCs w:val="24"/>
        </w:rPr>
        <w:t>item 4</w:t>
      </w:r>
      <w:r w:rsidRPr="00CB3F63">
        <w:rPr>
          <w:b/>
          <w:sz w:val="24"/>
          <w:szCs w:val="24"/>
        </w:rPr>
        <w:t>9518, column 2)</w:t>
      </w:r>
    </w:p>
    <w:p w:rsidR="00BE5F99" w:rsidRPr="00CB3F63" w:rsidRDefault="00BE5F99" w:rsidP="00BE5F99">
      <w:pPr>
        <w:keepNext/>
        <w:keepLines/>
        <w:spacing w:after="240"/>
        <w:rPr>
          <w:b/>
        </w:rPr>
      </w:pPr>
      <w:r w:rsidRPr="00CB3F63">
        <w:rPr>
          <w:b/>
        </w:rPr>
        <w:t>Kind of editorial change</w:t>
      </w:r>
    </w:p>
    <w:p w:rsidR="00BE5F99" w:rsidRPr="00CB3F63" w:rsidRDefault="00BE5F99" w:rsidP="00BE5F99">
      <w:pPr>
        <w:spacing w:after="240"/>
      </w:pPr>
      <w:r w:rsidRPr="00CB3F63">
        <w:t>Give effect to the misdescribed amendment as intended</w:t>
      </w:r>
    </w:p>
    <w:p w:rsidR="00BE5F99" w:rsidRPr="00CB3F63" w:rsidRDefault="00BE5F99" w:rsidP="00BE5F99">
      <w:pPr>
        <w:spacing w:after="240"/>
        <w:rPr>
          <w:b/>
        </w:rPr>
      </w:pPr>
      <w:r w:rsidRPr="00CB3F63">
        <w:rPr>
          <w:b/>
        </w:rPr>
        <w:t>Details of editorial change</w:t>
      </w:r>
    </w:p>
    <w:p w:rsidR="00BE5F99" w:rsidRPr="00CB3F63" w:rsidRDefault="00BE5F99" w:rsidP="00BE5F99">
      <w:pPr>
        <w:spacing w:after="240"/>
      </w:pPr>
      <w:r>
        <w:t>Schedule 1</w:t>
      </w:r>
      <w:r w:rsidRPr="00CB3F63">
        <w:t xml:space="preserve"> </w:t>
      </w:r>
      <w:r>
        <w:t>item 1</w:t>
      </w:r>
      <w:r w:rsidRPr="00CB3F63">
        <w:t xml:space="preserve">32 of the </w:t>
      </w:r>
      <w:r w:rsidRPr="00CB3F63">
        <w:rPr>
          <w:i/>
          <w:noProof/>
        </w:rPr>
        <w:t xml:space="preserve">Health Insurance Legislation Amendment (2024 Measures No. 1) </w:t>
      </w:r>
      <w:r>
        <w:rPr>
          <w:i/>
          <w:noProof/>
        </w:rPr>
        <w:t>Regulations 2</w:t>
      </w:r>
      <w:r w:rsidRPr="00CB3F63">
        <w:rPr>
          <w:i/>
          <w:noProof/>
        </w:rPr>
        <w:t>024</w:t>
      </w:r>
      <w:r w:rsidRPr="00CB3F63">
        <w:t xml:space="preserve"> instructs to omit “replacement” from column 2 of </w:t>
      </w:r>
      <w:r>
        <w:t>items 4</w:t>
      </w:r>
      <w:r w:rsidRPr="00CB3F63">
        <w:t xml:space="preserve">9518 and 49519 of </w:t>
      </w:r>
      <w:r>
        <w:t>Schedule 1</w:t>
      </w:r>
      <w:r w:rsidRPr="00CB3F63">
        <w:t>.</w:t>
      </w:r>
    </w:p>
    <w:p w:rsidR="00BE5F99" w:rsidRPr="00CB3F63" w:rsidRDefault="00BE5F99" w:rsidP="00BE5F99">
      <w:pPr>
        <w:spacing w:after="240"/>
      </w:pPr>
      <w:r w:rsidRPr="00CB3F63">
        <w:t xml:space="preserve">The word “replacement” appears three times in column 2 of </w:t>
      </w:r>
      <w:r>
        <w:t>item 4</w:t>
      </w:r>
      <w:r w:rsidRPr="00CB3F63">
        <w:t xml:space="preserve">9518 of </w:t>
      </w:r>
      <w:r>
        <w:t>Schedule 1</w:t>
      </w:r>
      <w:r w:rsidRPr="00CB3F63">
        <w:t>.</w:t>
      </w:r>
    </w:p>
    <w:p w:rsidR="00BE5F99" w:rsidRPr="00CB3F63" w:rsidRDefault="00BE5F99" w:rsidP="00BE5F99">
      <w:r w:rsidRPr="00CB3F63">
        <w:t xml:space="preserve">This compilation was editorially changed to omit “replacement” (first occurring) from column 2 of </w:t>
      </w:r>
      <w:r>
        <w:t>item 4</w:t>
      </w:r>
      <w:r w:rsidRPr="00CB3F63">
        <w:t xml:space="preserve">9518 of </w:t>
      </w:r>
      <w:r>
        <w:t>Schedule 1</w:t>
      </w:r>
      <w:r w:rsidRPr="00CB3F63">
        <w:t xml:space="preserve"> to give effect to the misdescribed amendment as intended.</w:t>
      </w:r>
    </w:p>
    <w:p w:rsidR="00150CD2" w:rsidRPr="00150CD2" w:rsidRDefault="00150CD2" w:rsidP="00150CD2">
      <w:pPr>
        <w:pStyle w:val="Head2"/>
        <w:keepLines/>
        <w:spacing w:after="240"/>
        <w:rPr>
          <w:lang w:val="es-CL"/>
        </w:rPr>
      </w:pPr>
      <w:r>
        <w:rPr>
          <w:lang w:val="es-CL"/>
        </w:rPr>
        <w:lastRenderedPageBreak/>
        <w:t>Private Health Insurance (Medical Devices and Human Tissue Products) Rules (No. 2) 2023</w:t>
      </w:r>
      <w:r>
        <w:t>, Compilation No. 1, Registration Date: 4 March 202</w:t>
      </w:r>
      <w:r w:rsidRPr="00150CD2">
        <w:rPr>
          <w:lang w:val="es-CL"/>
        </w:rPr>
        <w:t>4 [F2024C00188]</w:t>
      </w:r>
    </w:p>
    <w:p w:rsidR="00150CD2" w:rsidRDefault="00150CD2" w:rsidP="00150CD2">
      <w:pPr>
        <w:spacing w:after="240"/>
        <w:rPr>
          <w:b/>
          <w:sz w:val="24"/>
          <w:szCs w:val="24"/>
        </w:rPr>
      </w:pPr>
      <w:r>
        <w:rPr>
          <w:b/>
          <w:sz w:val="24"/>
          <w:szCs w:val="24"/>
        </w:rPr>
        <w:t>S</w:t>
      </w:r>
      <w:r w:rsidRPr="00A53C1E">
        <w:rPr>
          <w:b/>
          <w:sz w:val="24"/>
          <w:szCs w:val="24"/>
        </w:rPr>
        <w:t>ubsection 24(2)</w:t>
      </w:r>
      <w:r>
        <w:rPr>
          <w:b/>
          <w:sz w:val="24"/>
          <w:szCs w:val="24"/>
        </w:rPr>
        <w:t xml:space="preserve"> (note 2)</w:t>
      </w:r>
    </w:p>
    <w:p w:rsidR="00150CD2" w:rsidRPr="004549F1" w:rsidRDefault="00150CD2" w:rsidP="00150CD2">
      <w:pPr>
        <w:spacing w:after="240"/>
        <w:rPr>
          <w:b/>
        </w:rPr>
      </w:pPr>
      <w:r w:rsidRPr="004549F1">
        <w:rPr>
          <w:b/>
        </w:rPr>
        <w:t>Kind of editorial change</w:t>
      </w:r>
    </w:p>
    <w:p w:rsidR="00150CD2" w:rsidRPr="0018341F" w:rsidRDefault="00150CD2" w:rsidP="00150CD2">
      <w:pPr>
        <w:spacing w:after="240"/>
      </w:pPr>
      <w:r w:rsidRPr="00A53C1E">
        <w:t>Give effect to the misdescribed amendment as intended</w:t>
      </w:r>
    </w:p>
    <w:p w:rsidR="00150CD2" w:rsidRPr="004549F1" w:rsidRDefault="00150CD2" w:rsidP="00150CD2">
      <w:pPr>
        <w:spacing w:after="240"/>
        <w:rPr>
          <w:b/>
        </w:rPr>
      </w:pPr>
      <w:r w:rsidRPr="004549F1">
        <w:rPr>
          <w:b/>
        </w:rPr>
        <w:t>Details of editorial change</w:t>
      </w:r>
    </w:p>
    <w:p w:rsidR="00150CD2" w:rsidRDefault="00150CD2" w:rsidP="00150CD2">
      <w:pPr>
        <w:spacing w:after="240"/>
      </w:pPr>
      <w:r>
        <w:t xml:space="preserve">Schedule 1 item 13 of the </w:t>
      </w:r>
      <w:r w:rsidRPr="00864FD8">
        <w:rPr>
          <w:i/>
        </w:rPr>
        <w:t>Private Health Insurance (Medical Devices and Human Tissue Products) Amendment Rules (No. 2) 2023</w:t>
      </w:r>
      <w:r>
        <w:t xml:space="preserve"> instructs to omit “4” and substitute “5” in </w:t>
      </w:r>
      <w:r w:rsidRPr="00FE2CAC">
        <w:t>note 2 to subsection 23(5)</w:t>
      </w:r>
      <w:r>
        <w:t>.</w:t>
      </w:r>
    </w:p>
    <w:p w:rsidR="00150CD2" w:rsidRDefault="00150CD2" w:rsidP="00150CD2">
      <w:pPr>
        <w:spacing w:after="240"/>
      </w:pPr>
      <w:r>
        <w:t xml:space="preserve">The number “4” does not appear in </w:t>
      </w:r>
      <w:r w:rsidRPr="001C2BC3">
        <w:t>note 2 to subsection 23(5)</w:t>
      </w:r>
      <w:r>
        <w:t>. However, “4” does appear in note 2 to subsection 24(2).</w:t>
      </w:r>
    </w:p>
    <w:p w:rsidR="00150CD2" w:rsidRDefault="00150CD2" w:rsidP="00150CD2">
      <w:pPr>
        <w:spacing w:after="240"/>
      </w:pPr>
      <w:r>
        <w:t>This compilation was editorially changed to omit “4” and substitute “5” in note 2 to subsection 24(2) to give effect to the misdescribed amendment as intended.</w:t>
      </w:r>
    </w:p>
    <w:p w:rsidR="00150CD2" w:rsidRDefault="00150CD2" w:rsidP="00150CD2">
      <w:pPr>
        <w:spacing w:after="240"/>
        <w:rPr>
          <w:b/>
          <w:sz w:val="24"/>
          <w:szCs w:val="24"/>
        </w:rPr>
      </w:pPr>
      <w:r>
        <w:rPr>
          <w:b/>
          <w:sz w:val="24"/>
          <w:szCs w:val="24"/>
        </w:rPr>
        <w:t>S</w:t>
      </w:r>
      <w:r w:rsidRPr="00A53C1E">
        <w:rPr>
          <w:b/>
          <w:sz w:val="24"/>
          <w:szCs w:val="24"/>
        </w:rPr>
        <w:t>ubsection 24(2)</w:t>
      </w:r>
      <w:r>
        <w:rPr>
          <w:b/>
          <w:sz w:val="24"/>
          <w:szCs w:val="24"/>
        </w:rPr>
        <w:t xml:space="preserve"> (note 3)</w:t>
      </w:r>
    </w:p>
    <w:p w:rsidR="00150CD2" w:rsidRPr="004549F1" w:rsidRDefault="00150CD2" w:rsidP="00150CD2">
      <w:pPr>
        <w:spacing w:after="240"/>
        <w:rPr>
          <w:b/>
        </w:rPr>
      </w:pPr>
      <w:r w:rsidRPr="004549F1">
        <w:rPr>
          <w:b/>
        </w:rPr>
        <w:t>Kind of editorial change</w:t>
      </w:r>
    </w:p>
    <w:p w:rsidR="00150CD2" w:rsidRPr="0018341F" w:rsidRDefault="00150CD2" w:rsidP="00150CD2">
      <w:pPr>
        <w:spacing w:after="240"/>
      </w:pPr>
      <w:r w:rsidRPr="00A53C1E">
        <w:t>Give effect to the misdescribed amendment as intended</w:t>
      </w:r>
    </w:p>
    <w:p w:rsidR="00150CD2" w:rsidRPr="004549F1" w:rsidRDefault="00150CD2" w:rsidP="00150CD2">
      <w:pPr>
        <w:spacing w:after="240"/>
        <w:rPr>
          <w:b/>
        </w:rPr>
      </w:pPr>
      <w:r w:rsidRPr="004549F1">
        <w:rPr>
          <w:b/>
        </w:rPr>
        <w:t>Details of editorial change</w:t>
      </w:r>
    </w:p>
    <w:p w:rsidR="00150CD2" w:rsidRDefault="00150CD2" w:rsidP="00150CD2">
      <w:pPr>
        <w:spacing w:after="240"/>
      </w:pPr>
      <w:r>
        <w:t xml:space="preserve">Schedule 1 item 14 of the </w:t>
      </w:r>
      <w:r w:rsidRPr="00864FD8">
        <w:rPr>
          <w:i/>
        </w:rPr>
        <w:t>Private Health Insurance (Medical Devices and Human Tissue Products) Amendment Rules (No. 2) 2023</w:t>
      </w:r>
      <w:r>
        <w:t xml:space="preserve"> instructs to repeal and substitute note 3 to subsection 23(5).</w:t>
      </w:r>
    </w:p>
    <w:p w:rsidR="00150CD2" w:rsidRDefault="00150CD2" w:rsidP="00150CD2">
      <w:pPr>
        <w:spacing w:after="240"/>
      </w:pPr>
      <w:r>
        <w:t>Note 3 does not appear in subsection 23(5). However, note 3 does appear in subsection 24(2).</w:t>
      </w:r>
    </w:p>
    <w:p w:rsidR="00150CD2" w:rsidRPr="004549F1" w:rsidRDefault="00150CD2" w:rsidP="00150CD2">
      <w:r>
        <w:t>This compilation was editorially changed to repeal and substitute note 3 to subsection 24(2) to give effect to the misdescribed amendment as intended.</w:t>
      </w:r>
    </w:p>
    <w:p w:rsidR="003E0031" w:rsidRDefault="003E0031" w:rsidP="003E0031">
      <w:pPr>
        <w:pStyle w:val="Head2"/>
        <w:keepLines/>
        <w:spacing w:after="240"/>
      </w:pPr>
      <w:r w:rsidRPr="00A22F22">
        <w:t xml:space="preserve">Customs (Prohibited Exports) </w:t>
      </w:r>
      <w:r>
        <w:t>Regulations 1</w:t>
      </w:r>
      <w:r w:rsidRPr="00A22F22">
        <w:t>958</w:t>
      </w:r>
      <w:r>
        <w:t>, Compilation No. 108, Registration Date: 1 March 2024 [</w:t>
      </w:r>
      <w:r w:rsidRPr="003E0031">
        <w:t>F2024C00185</w:t>
      </w:r>
      <w:r>
        <w:t>]</w:t>
      </w:r>
    </w:p>
    <w:p w:rsidR="00B8078C" w:rsidRPr="00A22F22" w:rsidRDefault="00B8078C" w:rsidP="00B8078C">
      <w:pPr>
        <w:spacing w:after="240"/>
        <w:rPr>
          <w:b/>
          <w:sz w:val="24"/>
          <w:szCs w:val="24"/>
        </w:rPr>
      </w:pPr>
      <w:r>
        <w:rPr>
          <w:b/>
          <w:sz w:val="24"/>
          <w:szCs w:val="24"/>
        </w:rPr>
        <w:t>Part 2</w:t>
      </w:r>
      <w:r w:rsidRPr="00A22F22">
        <w:rPr>
          <w:b/>
          <w:sz w:val="24"/>
          <w:szCs w:val="24"/>
        </w:rPr>
        <w:t xml:space="preserve"> of </w:t>
      </w:r>
      <w:r>
        <w:rPr>
          <w:b/>
          <w:sz w:val="24"/>
          <w:szCs w:val="24"/>
        </w:rPr>
        <w:t>Schedule 8</w:t>
      </w:r>
      <w:r w:rsidRPr="00A22F22">
        <w:rPr>
          <w:b/>
          <w:sz w:val="24"/>
          <w:szCs w:val="24"/>
        </w:rPr>
        <w:t xml:space="preserve"> (table </w:t>
      </w:r>
      <w:r>
        <w:rPr>
          <w:b/>
          <w:sz w:val="24"/>
          <w:szCs w:val="24"/>
        </w:rPr>
        <w:t>item 1</w:t>
      </w:r>
      <w:r w:rsidRPr="00A22F22">
        <w:rPr>
          <w:b/>
          <w:sz w:val="24"/>
          <w:szCs w:val="24"/>
        </w:rPr>
        <w:t>AAA) (first occurring)</w:t>
      </w:r>
    </w:p>
    <w:p w:rsidR="00B8078C" w:rsidRPr="00A22F22" w:rsidRDefault="00B8078C" w:rsidP="00B8078C">
      <w:pPr>
        <w:spacing w:after="240"/>
        <w:rPr>
          <w:b/>
        </w:rPr>
      </w:pPr>
      <w:r w:rsidRPr="00A22F22">
        <w:rPr>
          <w:b/>
        </w:rPr>
        <w:t>Kind of editorial change</w:t>
      </w:r>
    </w:p>
    <w:p w:rsidR="00B8078C" w:rsidRPr="00A22F22" w:rsidRDefault="00B8078C" w:rsidP="00B8078C">
      <w:pPr>
        <w:spacing w:after="240"/>
      </w:pPr>
      <w:r w:rsidRPr="00A22F22">
        <w:t>Numbering or renumbering of provisions</w:t>
      </w:r>
    </w:p>
    <w:p w:rsidR="00B8078C" w:rsidRPr="00A22F22" w:rsidRDefault="00B8078C" w:rsidP="00B8078C">
      <w:pPr>
        <w:spacing w:after="240"/>
        <w:rPr>
          <w:b/>
        </w:rPr>
      </w:pPr>
      <w:r w:rsidRPr="00A22F22">
        <w:rPr>
          <w:b/>
        </w:rPr>
        <w:t>Details of editorial change</w:t>
      </w:r>
    </w:p>
    <w:p w:rsidR="00B8078C" w:rsidRPr="00A22F22" w:rsidRDefault="00B8078C" w:rsidP="00B8078C">
      <w:pPr>
        <w:spacing w:after="240"/>
        <w:rPr>
          <w:szCs w:val="22"/>
        </w:rPr>
      </w:pPr>
      <w:r w:rsidRPr="00A22F22">
        <w:rPr>
          <w:szCs w:val="22"/>
        </w:rPr>
        <w:t xml:space="preserve">Table </w:t>
      </w:r>
      <w:r>
        <w:rPr>
          <w:szCs w:val="22"/>
        </w:rPr>
        <w:t>item 1</w:t>
      </w:r>
      <w:r w:rsidRPr="00A22F22">
        <w:t>AAA</w:t>
      </w:r>
      <w:r w:rsidRPr="00A22F22">
        <w:rPr>
          <w:szCs w:val="22"/>
        </w:rPr>
        <w:t xml:space="preserve"> appears twice in </w:t>
      </w:r>
      <w:r>
        <w:rPr>
          <w:szCs w:val="22"/>
        </w:rPr>
        <w:t>Part 2</w:t>
      </w:r>
      <w:r w:rsidRPr="00A22F22">
        <w:rPr>
          <w:szCs w:val="22"/>
        </w:rPr>
        <w:t xml:space="preserve"> of </w:t>
      </w:r>
      <w:r>
        <w:rPr>
          <w:szCs w:val="22"/>
        </w:rPr>
        <w:t>Schedule 8</w:t>
      </w:r>
      <w:r w:rsidRPr="00A22F22">
        <w:rPr>
          <w:szCs w:val="22"/>
        </w:rPr>
        <w:t>.</w:t>
      </w:r>
    </w:p>
    <w:p w:rsidR="00B8078C" w:rsidRPr="00A22F22" w:rsidRDefault="00B8078C" w:rsidP="00B8078C">
      <w:r w:rsidRPr="00A22F22">
        <w:t xml:space="preserve">This compilation was editorially changed by renumbering the first occurring table </w:t>
      </w:r>
      <w:r>
        <w:t>item 1</w:t>
      </w:r>
      <w:r w:rsidRPr="00A22F22">
        <w:t xml:space="preserve">AAA as table </w:t>
      </w:r>
      <w:r>
        <w:t>item 1</w:t>
      </w:r>
      <w:r w:rsidRPr="00A22F22">
        <w:t>AAAA.</w:t>
      </w:r>
    </w:p>
    <w:p w:rsidR="005D7297" w:rsidRDefault="00F96673" w:rsidP="005D7297">
      <w:pPr>
        <w:pStyle w:val="Head2"/>
        <w:keepLines/>
        <w:spacing w:after="240"/>
      </w:pPr>
      <w:r w:rsidRPr="001A52A8">
        <w:lastRenderedPageBreak/>
        <w:t>National Health (Price and Special Patient Contribution) Determination 2022</w:t>
      </w:r>
      <w:r>
        <w:t xml:space="preserve"> (</w:t>
      </w:r>
      <w:r w:rsidRPr="001A52A8">
        <w:t>PB 98 of 2022</w:t>
      </w:r>
      <w:r>
        <w:t>)</w:t>
      </w:r>
      <w:r w:rsidR="005D7297">
        <w:t>, Compilation No. </w:t>
      </w:r>
      <w:r>
        <w:t>14</w:t>
      </w:r>
      <w:r w:rsidR="005D7297">
        <w:t xml:space="preserve">, Registration Date: </w:t>
      </w:r>
      <w:r>
        <w:t>2</w:t>
      </w:r>
      <w:r w:rsidR="005D7297">
        <w:t>1 February 2024 [</w:t>
      </w:r>
      <w:r w:rsidRPr="00F96673">
        <w:t>F2024C00170</w:t>
      </w:r>
      <w:r w:rsidR="005D7297">
        <w:t>]</w:t>
      </w:r>
    </w:p>
    <w:p w:rsidR="00F96673" w:rsidRPr="004549F1" w:rsidRDefault="00F96673" w:rsidP="00F96673">
      <w:pPr>
        <w:spacing w:after="240"/>
        <w:rPr>
          <w:b/>
          <w:sz w:val="24"/>
          <w:szCs w:val="24"/>
        </w:rPr>
      </w:pPr>
      <w:r w:rsidRPr="003D6043">
        <w:rPr>
          <w:b/>
          <w:sz w:val="24"/>
          <w:szCs w:val="24"/>
        </w:rPr>
        <w:t>Schedule 1, entry for Fluconazole</w:t>
      </w:r>
    </w:p>
    <w:p w:rsidR="00F96673" w:rsidRPr="004549F1" w:rsidRDefault="00F96673" w:rsidP="00F96673">
      <w:pPr>
        <w:spacing w:after="240"/>
        <w:rPr>
          <w:b/>
        </w:rPr>
      </w:pPr>
      <w:r w:rsidRPr="004549F1">
        <w:rPr>
          <w:b/>
        </w:rPr>
        <w:t>Kind of editorial change</w:t>
      </w:r>
    </w:p>
    <w:p w:rsidR="00F96673" w:rsidRPr="0018341F" w:rsidRDefault="00F96673" w:rsidP="00F96673">
      <w:pPr>
        <w:spacing w:after="240"/>
      </w:pPr>
      <w:r w:rsidRPr="003D6043">
        <w:t>Removal of redundant text</w:t>
      </w:r>
    </w:p>
    <w:p w:rsidR="00F96673" w:rsidRPr="004549F1" w:rsidRDefault="00F96673" w:rsidP="00F96673">
      <w:pPr>
        <w:spacing w:after="240"/>
        <w:rPr>
          <w:b/>
        </w:rPr>
      </w:pPr>
      <w:r w:rsidRPr="004549F1">
        <w:rPr>
          <w:b/>
        </w:rPr>
        <w:t>Details of editorial change</w:t>
      </w:r>
    </w:p>
    <w:p w:rsidR="00F96673" w:rsidRDefault="00F96673" w:rsidP="00F96673">
      <w:pPr>
        <w:spacing w:after="240"/>
      </w:pPr>
      <w:r>
        <w:t xml:space="preserve">Schedule 1 item 2 of the </w:t>
      </w:r>
      <w:r w:rsidRPr="00634FEB">
        <w:rPr>
          <w:i/>
        </w:rPr>
        <w:t>National Health (Price and Special Patient Contribution) Amendment Determination 2024 (No. 1)</w:t>
      </w:r>
      <w:r>
        <w:t xml:space="preserve"> (PB 9 of 2024) instructs to omit and substitute the entry for Fluconazole in Schedule 1.</w:t>
      </w:r>
    </w:p>
    <w:p w:rsidR="00F96673" w:rsidRDefault="00F96673" w:rsidP="00F96673">
      <w:pPr>
        <w:spacing w:after="240"/>
      </w:pPr>
      <w:r w:rsidRPr="00AE5D3C">
        <w:t xml:space="preserve">In the Schedule 1 entry for </w:t>
      </w:r>
      <w:r>
        <w:t>Fluconazole</w:t>
      </w:r>
      <w:r w:rsidRPr="00AE5D3C">
        <w:t xml:space="preserve">, text appears in </w:t>
      </w:r>
      <w:r>
        <w:t>the second</w:t>
      </w:r>
      <w:r w:rsidRPr="00AE5D3C">
        <w:t xml:space="preserve"> row rather than just the first row in the column headed “</w:t>
      </w:r>
      <w:r w:rsidRPr="007009B5">
        <w:rPr>
          <w:b/>
        </w:rPr>
        <w:t>Listed drug</w:t>
      </w:r>
      <w:r w:rsidRPr="00AE5D3C">
        <w:t>”</w:t>
      </w:r>
      <w:r>
        <w:t>.</w:t>
      </w:r>
    </w:p>
    <w:p w:rsidR="00F96673" w:rsidRDefault="00F96673" w:rsidP="00F96673">
      <w:pPr>
        <w:spacing w:after="240"/>
      </w:pPr>
      <w:r w:rsidRPr="002B43CA">
        <w:t>This compilation was editorial</w:t>
      </w:r>
      <w:r>
        <w:t>ly</w:t>
      </w:r>
      <w:r w:rsidRPr="002B43CA">
        <w:t xml:space="preserve"> changed to remove the second occurrence of “</w:t>
      </w:r>
      <w:r>
        <w:t>Fluconazole</w:t>
      </w:r>
      <w:r w:rsidRPr="002B43CA">
        <w:t>” from the column headed “</w:t>
      </w:r>
      <w:r w:rsidRPr="007009B5">
        <w:rPr>
          <w:b/>
        </w:rPr>
        <w:t>Listed drug</w:t>
      </w:r>
      <w:r w:rsidRPr="002B43CA">
        <w:t xml:space="preserve">” in the Schedule 1 entry for </w:t>
      </w:r>
      <w:r>
        <w:t>Fluconazole</w:t>
      </w:r>
      <w:r w:rsidRPr="002B43CA">
        <w:t xml:space="preserve"> to remove the redundant text.</w:t>
      </w:r>
    </w:p>
    <w:p w:rsidR="00F96673" w:rsidRPr="004549F1" w:rsidRDefault="00F96673" w:rsidP="00F96673">
      <w:pPr>
        <w:spacing w:after="240"/>
        <w:rPr>
          <w:b/>
          <w:sz w:val="24"/>
          <w:szCs w:val="24"/>
        </w:rPr>
      </w:pPr>
      <w:r>
        <w:rPr>
          <w:b/>
          <w:sz w:val="24"/>
          <w:szCs w:val="24"/>
        </w:rPr>
        <w:t>Schedule 2, entry for Eprosartan</w:t>
      </w:r>
    </w:p>
    <w:p w:rsidR="00F96673" w:rsidRPr="004549F1" w:rsidRDefault="00F96673" w:rsidP="00F96673">
      <w:pPr>
        <w:spacing w:after="240"/>
        <w:rPr>
          <w:b/>
        </w:rPr>
      </w:pPr>
      <w:r w:rsidRPr="004549F1">
        <w:rPr>
          <w:b/>
        </w:rPr>
        <w:t>Kind of editorial change</w:t>
      </w:r>
    </w:p>
    <w:p w:rsidR="00F96673" w:rsidRPr="0018341F" w:rsidRDefault="00F96673" w:rsidP="00F96673">
      <w:pPr>
        <w:spacing w:after="240"/>
      </w:pPr>
      <w:r w:rsidRPr="0013295D">
        <w:t>Give effect to the misdescribed amendment as intended</w:t>
      </w:r>
    </w:p>
    <w:p w:rsidR="00F96673" w:rsidRPr="004549F1" w:rsidRDefault="00F96673" w:rsidP="00F96673">
      <w:pPr>
        <w:spacing w:after="240"/>
        <w:rPr>
          <w:b/>
        </w:rPr>
      </w:pPr>
      <w:r w:rsidRPr="004549F1">
        <w:rPr>
          <w:b/>
        </w:rPr>
        <w:t>Details of editorial change</w:t>
      </w:r>
    </w:p>
    <w:p w:rsidR="00F96673" w:rsidRDefault="00F96673" w:rsidP="00F96673">
      <w:pPr>
        <w:spacing w:after="240"/>
      </w:pPr>
      <w:r>
        <w:t xml:space="preserve">Schedule 1 item 7 of the </w:t>
      </w:r>
      <w:r w:rsidRPr="00634FEB">
        <w:rPr>
          <w:i/>
        </w:rPr>
        <w:t>National Health (Price and Special Patient Contribution) Amendment Determination 2024 (No. 1)</w:t>
      </w:r>
      <w:r>
        <w:t xml:space="preserve"> (PB 9 of 2024) instructs to omit and substitute the entry for Eprosartan in Schedule 2.</w:t>
      </w:r>
    </w:p>
    <w:p w:rsidR="00F96673" w:rsidRDefault="00F96673" w:rsidP="00F96673">
      <w:pPr>
        <w:spacing w:after="240"/>
      </w:pPr>
      <w:r>
        <w:t>The text contained in the column headed “</w:t>
      </w:r>
      <w:r w:rsidRPr="00C127F3">
        <w:rPr>
          <w:b/>
        </w:rPr>
        <w:t>Listed Drug</w:t>
      </w:r>
      <w:r>
        <w:t xml:space="preserve">” does not exactly match the text to be omitted as outlined in Schedule 1 item 7 of the </w:t>
      </w:r>
      <w:r w:rsidRPr="00C01C83">
        <w:rPr>
          <w:i/>
        </w:rPr>
        <w:t>National Health (Price and Special Patient Contribution) Amendment Determination 2024 (No. 1)</w:t>
      </w:r>
      <w:r>
        <w:t xml:space="preserve"> (PB 9 of 2024).</w:t>
      </w:r>
    </w:p>
    <w:p w:rsidR="00F96673" w:rsidRDefault="00F96673" w:rsidP="00F96673">
      <w:r>
        <w:t>This compilation was editorially changed to omit and substitute the entry for Eprosartan in Schedule 2 to give effect to the misdescribed amendment as intended.</w:t>
      </w:r>
    </w:p>
    <w:p w:rsidR="006E0453" w:rsidRDefault="006E0453" w:rsidP="0059289E">
      <w:pPr>
        <w:pStyle w:val="Head2"/>
        <w:keepLines/>
        <w:spacing w:after="240"/>
      </w:pPr>
      <w:r w:rsidRPr="00884D29">
        <w:lastRenderedPageBreak/>
        <w:t xml:space="preserve">National Health (Minimum Stockholding) </w:t>
      </w:r>
      <w:r>
        <w:t>Determination 2</w:t>
      </w:r>
      <w:r w:rsidRPr="00884D29">
        <w:t>023</w:t>
      </w:r>
      <w:r>
        <w:t xml:space="preserve"> (</w:t>
      </w:r>
      <w:r w:rsidRPr="00884D29">
        <w:t>PB 65 of 2023</w:t>
      </w:r>
      <w:r>
        <w:t>), Compilation No. 5, Registration Date: 19 February 2024 [</w:t>
      </w:r>
      <w:r w:rsidRPr="006E0453">
        <w:t>F2024C00164</w:t>
      </w:r>
      <w:r>
        <w:t>]</w:t>
      </w:r>
    </w:p>
    <w:p w:rsidR="00585E2B" w:rsidRPr="004549F1" w:rsidRDefault="00585E2B" w:rsidP="0059289E">
      <w:pPr>
        <w:keepNext/>
        <w:keepLines/>
        <w:spacing w:after="240"/>
        <w:rPr>
          <w:b/>
          <w:sz w:val="24"/>
          <w:szCs w:val="24"/>
        </w:rPr>
      </w:pPr>
      <w:r>
        <w:rPr>
          <w:b/>
          <w:sz w:val="24"/>
          <w:szCs w:val="24"/>
        </w:rPr>
        <w:t>Schedule 1</w:t>
      </w:r>
    </w:p>
    <w:p w:rsidR="00585E2B" w:rsidRPr="004549F1" w:rsidRDefault="00585E2B" w:rsidP="0059289E">
      <w:pPr>
        <w:keepNext/>
        <w:keepLines/>
        <w:spacing w:after="240"/>
        <w:rPr>
          <w:b/>
        </w:rPr>
      </w:pPr>
      <w:r w:rsidRPr="004549F1">
        <w:rPr>
          <w:b/>
        </w:rPr>
        <w:t>Kind of editorial change</w:t>
      </w:r>
    </w:p>
    <w:p w:rsidR="00585E2B" w:rsidRPr="0018341F" w:rsidRDefault="00585E2B" w:rsidP="0059289E">
      <w:pPr>
        <w:keepNext/>
        <w:keepLines/>
        <w:spacing w:after="240"/>
      </w:pPr>
      <w:r w:rsidRPr="00C8731F">
        <w:t>Give effect to the misdescribed amendment as intended</w:t>
      </w:r>
    </w:p>
    <w:p w:rsidR="00585E2B" w:rsidRPr="004549F1" w:rsidRDefault="00585E2B" w:rsidP="0059289E">
      <w:pPr>
        <w:keepNext/>
        <w:keepLines/>
        <w:spacing w:after="240"/>
        <w:rPr>
          <w:b/>
        </w:rPr>
      </w:pPr>
      <w:r w:rsidRPr="004549F1">
        <w:rPr>
          <w:b/>
        </w:rPr>
        <w:t>Details of editorial change</w:t>
      </w:r>
    </w:p>
    <w:p w:rsidR="00585E2B" w:rsidRDefault="00585E2B" w:rsidP="00585E2B">
      <w:pPr>
        <w:spacing w:after="240"/>
      </w:pPr>
      <w:r>
        <w:t xml:space="preserve">Schedule 1 item 62 of the </w:t>
      </w:r>
      <w:r w:rsidRPr="00125EA7">
        <w:rPr>
          <w:i/>
        </w:rPr>
        <w:t>National Health (Minimum Stockholding) Amendment Determination (No. 1) 2024</w:t>
      </w:r>
      <w:r>
        <w:t xml:space="preserve"> (PB 10 of 2024) instructs to omit the entries for Paroxetine and </w:t>
      </w:r>
      <w:r w:rsidRPr="00F613CC">
        <w:t>Pegfilgrastim</w:t>
      </w:r>
      <w:r>
        <w:t xml:space="preserve"> from Schedule 1.</w:t>
      </w:r>
    </w:p>
    <w:p w:rsidR="00585E2B" w:rsidRDefault="00585E2B" w:rsidP="00585E2B">
      <w:pPr>
        <w:spacing w:after="240"/>
      </w:pPr>
      <w:r w:rsidRPr="00416FFE">
        <w:t>The text contained in the column headed “</w:t>
      </w:r>
      <w:r w:rsidRPr="00137877">
        <w:rPr>
          <w:b/>
        </w:rPr>
        <w:t>Column 5 Applicable quantity</w:t>
      </w:r>
      <w:r w:rsidRPr="00416FFE">
        <w:t xml:space="preserve">” </w:t>
      </w:r>
      <w:r>
        <w:t xml:space="preserve">for the entry of </w:t>
      </w:r>
      <w:r w:rsidRPr="00F613CC">
        <w:t>Paroxetine</w:t>
      </w:r>
      <w:r>
        <w:t xml:space="preserve"> </w:t>
      </w:r>
      <w:r w:rsidRPr="00416FFE">
        <w:t xml:space="preserve">does not exactly match the text to be omitted as outlined in </w:t>
      </w:r>
      <w:r>
        <w:t xml:space="preserve">Schedule 1 item 62 of the </w:t>
      </w:r>
      <w:r w:rsidRPr="00125EA7">
        <w:rPr>
          <w:i/>
        </w:rPr>
        <w:t>National Health (Minimum Stockholding) Amendment Determination (No. 1) 2024</w:t>
      </w:r>
      <w:r>
        <w:t xml:space="preserve"> (PB 10 of 2024).</w:t>
      </w:r>
    </w:p>
    <w:p w:rsidR="00585E2B" w:rsidRPr="00884D29" w:rsidRDefault="00585E2B" w:rsidP="00585E2B">
      <w:r w:rsidRPr="008D090A">
        <w:t>This compilation was editorially changed to omit the e</w:t>
      </w:r>
      <w:r>
        <w:t xml:space="preserve">ntry for Paroxetine from Schedule 1 </w:t>
      </w:r>
      <w:r w:rsidRPr="008D090A">
        <w:t>to give effect to the misdescribed amendment as intended.</w:t>
      </w:r>
    </w:p>
    <w:p w:rsidR="00851759" w:rsidRDefault="00851759" w:rsidP="007442F8">
      <w:pPr>
        <w:pStyle w:val="Head2"/>
        <w:keepLines/>
        <w:spacing w:after="240"/>
      </w:pPr>
      <w:r w:rsidRPr="00735A43">
        <w:t>National Redress Scheme for Institutional Child Sexual Abuse (Partly</w:t>
      </w:r>
      <w:r>
        <w:noBreakHyphen/>
      </w:r>
      <w:r w:rsidRPr="00735A43">
        <w:t xml:space="preserve">participating Institutions) </w:t>
      </w:r>
      <w:r>
        <w:t>Declaration 2</w:t>
      </w:r>
      <w:r w:rsidRPr="00735A43">
        <w:t>023</w:t>
      </w:r>
      <w:r>
        <w:t xml:space="preserve">, Compilation No. 2, Registration Date: </w:t>
      </w:r>
      <w:r w:rsidR="00B95D0F">
        <w:t>13</w:t>
      </w:r>
      <w:r>
        <w:t> February 2024 [</w:t>
      </w:r>
      <w:r w:rsidR="00B95D0F" w:rsidRPr="00B95D0F">
        <w:t>F2024C00149</w:t>
      </w:r>
      <w:r>
        <w:t>]</w:t>
      </w:r>
    </w:p>
    <w:p w:rsidR="00E404F5" w:rsidRPr="004549F1" w:rsidRDefault="00E404F5" w:rsidP="007442F8">
      <w:pPr>
        <w:keepNext/>
        <w:keepLines/>
        <w:spacing w:after="240"/>
        <w:rPr>
          <w:b/>
          <w:sz w:val="24"/>
          <w:szCs w:val="24"/>
        </w:rPr>
      </w:pPr>
      <w:r>
        <w:rPr>
          <w:b/>
          <w:sz w:val="24"/>
          <w:szCs w:val="24"/>
        </w:rPr>
        <w:t>Schedule 1</w:t>
      </w:r>
    </w:p>
    <w:p w:rsidR="00E404F5" w:rsidRPr="004549F1" w:rsidRDefault="00E404F5" w:rsidP="007442F8">
      <w:pPr>
        <w:keepNext/>
        <w:keepLines/>
        <w:spacing w:after="240"/>
        <w:rPr>
          <w:b/>
        </w:rPr>
      </w:pPr>
      <w:r w:rsidRPr="004549F1">
        <w:rPr>
          <w:b/>
        </w:rPr>
        <w:t>Kind of editorial change</w:t>
      </w:r>
    </w:p>
    <w:p w:rsidR="00E404F5" w:rsidRPr="00FE732A" w:rsidRDefault="00E404F5" w:rsidP="00E404F5">
      <w:pPr>
        <w:spacing w:after="240"/>
      </w:pPr>
      <w:r w:rsidRPr="00FC182B">
        <w:t>Removal of redundant text</w:t>
      </w:r>
    </w:p>
    <w:p w:rsidR="00E404F5" w:rsidRPr="004549F1" w:rsidRDefault="00E404F5" w:rsidP="00E404F5">
      <w:pPr>
        <w:spacing w:after="240"/>
        <w:rPr>
          <w:b/>
        </w:rPr>
      </w:pPr>
      <w:r w:rsidRPr="004549F1">
        <w:rPr>
          <w:b/>
        </w:rPr>
        <w:t>Details of editorial change</w:t>
      </w:r>
    </w:p>
    <w:p w:rsidR="00E404F5" w:rsidRDefault="00E404F5" w:rsidP="00E404F5">
      <w:pPr>
        <w:spacing w:after="240"/>
      </w:pPr>
      <w:r>
        <w:t xml:space="preserve">Schedule 2 item 2 of the </w:t>
      </w:r>
      <w:r w:rsidRPr="00211D05">
        <w:rPr>
          <w:i/>
        </w:rPr>
        <w:t>National Redress Scheme for Institutional Child Sexual Abuse Amendment (Partly</w:t>
      </w:r>
      <w:r>
        <w:rPr>
          <w:i/>
        </w:rPr>
        <w:noBreakHyphen/>
      </w:r>
      <w:r w:rsidRPr="00211D05">
        <w:rPr>
          <w:i/>
        </w:rPr>
        <w:t xml:space="preserve">participating Institutions) </w:t>
      </w:r>
      <w:r>
        <w:rPr>
          <w:i/>
        </w:rPr>
        <w:t>Declaration 2</w:t>
      </w:r>
      <w:r w:rsidRPr="00211D05">
        <w:rPr>
          <w:i/>
        </w:rPr>
        <w:t>023 (No. 3)</w:t>
      </w:r>
      <w:r>
        <w:t xml:space="preserve"> provides as follows:</w:t>
      </w:r>
    </w:p>
    <w:p w:rsidR="00E404F5" w:rsidRPr="00211D05" w:rsidRDefault="00E404F5" w:rsidP="00E404F5">
      <w:pPr>
        <w:pStyle w:val="ItemHead"/>
        <w:ind w:left="720" w:hanging="360"/>
      </w:pPr>
      <w:r w:rsidRPr="00211D05">
        <w:t>2</w:t>
      </w:r>
      <w:r w:rsidRPr="00211D05">
        <w:tab/>
      </w:r>
      <w:r>
        <w:t>Schedule 1</w:t>
      </w:r>
      <w:r w:rsidRPr="00211D05">
        <w:t>—Listed partly</w:t>
      </w:r>
      <w:r>
        <w:noBreakHyphen/>
      </w:r>
      <w:r w:rsidRPr="00211D05">
        <w:t>participating institutions (at the end of the table)</w:t>
      </w:r>
    </w:p>
    <w:p w:rsidR="00E404F5" w:rsidRPr="00211D05" w:rsidRDefault="00E404F5" w:rsidP="00E404F5">
      <w:pPr>
        <w:pStyle w:val="Item"/>
        <w:rPr>
          <w:sz w:val="20"/>
        </w:rPr>
      </w:pPr>
      <w:r w:rsidRPr="00211D05">
        <w:t>Add:</w:t>
      </w:r>
    </w:p>
    <w:p w:rsidR="00E404F5" w:rsidRPr="001620F3" w:rsidRDefault="00E404F5" w:rsidP="00E404F5">
      <w:pPr>
        <w:rPr>
          <w:bCs/>
          <w:lang w:eastAsia="en-AU"/>
        </w:rPr>
      </w:pPr>
    </w:p>
    <w:tbl>
      <w:tblPr>
        <w:tblW w:w="8222" w:type="dxa"/>
        <w:tblCellMar>
          <w:left w:w="0" w:type="dxa"/>
          <w:right w:w="0" w:type="dxa"/>
        </w:tblCellMar>
        <w:tblLook w:val="04A0" w:firstRow="1" w:lastRow="0" w:firstColumn="1" w:lastColumn="0" w:noHBand="0" w:noVBand="1"/>
      </w:tblPr>
      <w:tblGrid>
        <w:gridCol w:w="709"/>
        <w:gridCol w:w="4678"/>
        <w:gridCol w:w="2835"/>
      </w:tblGrid>
      <w:tr w:rsidR="00E404F5" w:rsidRPr="00211D05" w:rsidTr="00D3141E">
        <w:trPr>
          <w:trHeight w:val="319"/>
        </w:trPr>
        <w:tc>
          <w:tcPr>
            <w:tcW w:w="709" w:type="dxa"/>
            <w:tcBorders>
              <w:top w:val="single" w:sz="8" w:space="0" w:color="auto"/>
              <w:left w:val="nil"/>
              <w:bottom w:val="single" w:sz="8" w:space="0" w:color="auto"/>
              <w:right w:val="nil"/>
            </w:tcBorders>
            <w:hideMark/>
          </w:tcPr>
          <w:p w:rsidR="00E404F5" w:rsidRPr="00211D05" w:rsidRDefault="00E404F5" w:rsidP="00D3141E">
            <w:pPr>
              <w:tabs>
                <w:tab w:val="left" w:pos="5700"/>
              </w:tabs>
              <w:spacing w:line="240" w:lineRule="auto"/>
              <w:rPr>
                <w:rFonts w:cs="Times New Roman"/>
                <w:b/>
                <w:sz w:val="20"/>
                <w:szCs w:val="22"/>
              </w:rPr>
            </w:pPr>
            <w:r w:rsidRPr="00211D05">
              <w:rPr>
                <w:rFonts w:cs="Times New Roman"/>
                <w:b/>
                <w:sz w:val="20"/>
                <w:szCs w:val="22"/>
              </w:rPr>
              <w:t>Item</w:t>
            </w:r>
          </w:p>
        </w:tc>
        <w:tc>
          <w:tcPr>
            <w:tcW w:w="4678" w:type="dxa"/>
            <w:tcBorders>
              <w:top w:val="single" w:sz="8" w:space="0" w:color="auto"/>
              <w:left w:val="nil"/>
              <w:bottom w:val="single" w:sz="8" w:space="0" w:color="auto"/>
              <w:right w:val="nil"/>
            </w:tcBorders>
            <w:tcMar>
              <w:top w:w="0" w:type="dxa"/>
              <w:left w:w="108" w:type="dxa"/>
              <w:bottom w:w="0" w:type="dxa"/>
              <w:right w:w="108" w:type="dxa"/>
            </w:tcMar>
            <w:hideMark/>
          </w:tcPr>
          <w:p w:rsidR="00E404F5" w:rsidRPr="00211D05" w:rsidRDefault="00E404F5" w:rsidP="00D3141E">
            <w:pPr>
              <w:tabs>
                <w:tab w:val="left" w:pos="5700"/>
              </w:tabs>
              <w:spacing w:line="240" w:lineRule="auto"/>
              <w:rPr>
                <w:rFonts w:cs="Times New Roman"/>
                <w:b/>
                <w:sz w:val="20"/>
                <w:szCs w:val="22"/>
              </w:rPr>
            </w:pPr>
            <w:r w:rsidRPr="00211D05">
              <w:rPr>
                <w:rFonts w:cs="Times New Roman"/>
                <w:b/>
                <w:sz w:val="20"/>
                <w:szCs w:val="22"/>
              </w:rPr>
              <w:t>Column 1</w:t>
            </w:r>
          </w:p>
          <w:p w:rsidR="00E404F5" w:rsidRPr="00211D05" w:rsidRDefault="00E404F5" w:rsidP="00D3141E">
            <w:pPr>
              <w:tabs>
                <w:tab w:val="left" w:pos="5700"/>
              </w:tabs>
              <w:spacing w:after="20" w:line="240" w:lineRule="auto"/>
              <w:rPr>
                <w:rFonts w:cs="Times New Roman"/>
                <w:b/>
                <w:sz w:val="20"/>
                <w:szCs w:val="22"/>
              </w:rPr>
            </w:pPr>
            <w:r w:rsidRPr="00211D05">
              <w:rPr>
                <w:rFonts w:cs="Times New Roman"/>
                <w:b/>
                <w:sz w:val="20"/>
                <w:szCs w:val="22"/>
              </w:rPr>
              <w:t>Partly</w:t>
            </w:r>
            <w:r>
              <w:rPr>
                <w:rFonts w:cs="Times New Roman"/>
                <w:b/>
                <w:sz w:val="20"/>
                <w:szCs w:val="22"/>
              </w:rPr>
              <w:noBreakHyphen/>
            </w:r>
            <w:r w:rsidRPr="00211D05">
              <w:rPr>
                <w:rFonts w:cs="Times New Roman"/>
                <w:b/>
                <w:sz w:val="20"/>
                <w:szCs w:val="22"/>
              </w:rPr>
              <w:t>participating institution</w:t>
            </w:r>
          </w:p>
        </w:tc>
        <w:tc>
          <w:tcPr>
            <w:tcW w:w="2835" w:type="dxa"/>
            <w:tcBorders>
              <w:top w:val="single" w:sz="8" w:space="0" w:color="auto"/>
              <w:left w:val="nil"/>
              <w:bottom w:val="single" w:sz="8" w:space="0" w:color="auto"/>
              <w:right w:val="nil"/>
            </w:tcBorders>
            <w:hideMark/>
          </w:tcPr>
          <w:p w:rsidR="00E404F5" w:rsidRPr="00211D05" w:rsidRDefault="00E404F5" w:rsidP="00D3141E">
            <w:pPr>
              <w:tabs>
                <w:tab w:val="left" w:pos="5700"/>
              </w:tabs>
              <w:spacing w:line="240" w:lineRule="auto"/>
              <w:rPr>
                <w:rFonts w:cs="Times New Roman"/>
                <w:b/>
                <w:sz w:val="20"/>
                <w:szCs w:val="22"/>
              </w:rPr>
            </w:pPr>
            <w:r w:rsidRPr="00211D05">
              <w:rPr>
                <w:rFonts w:cs="Times New Roman"/>
                <w:b/>
                <w:sz w:val="20"/>
                <w:szCs w:val="22"/>
              </w:rPr>
              <w:t>Column 2</w:t>
            </w:r>
          </w:p>
          <w:p w:rsidR="00E404F5" w:rsidRPr="00211D05" w:rsidRDefault="00E404F5" w:rsidP="00D3141E">
            <w:pPr>
              <w:tabs>
                <w:tab w:val="left" w:pos="5700"/>
              </w:tabs>
              <w:spacing w:line="240" w:lineRule="auto"/>
              <w:rPr>
                <w:rFonts w:cs="Times New Roman"/>
                <w:b/>
                <w:sz w:val="20"/>
                <w:szCs w:val="22"/>
              </w:rPr>
            </w:pPr>
            <w:r w:rsidRPr="00211D05">
              <w:rPr>
                <w:rFonts w:cs="Times New Roman"/>
                <w:b/>
                <w:sz w:val="20"/>
                <w:szCs w:val="22"/>
              </w:rPr>
              <w:t>Participating jurisdiction</w:t>
            </w:r>
          </w:p>
        </w:tc>
      </w:tr>
      <w:tr w:rsidR="00E404F5" w:rsidTr="00D3141E">
        <w:trPr>
          <w:trHeight w:val="319"/>
        </w:trPr>
        <w:tc>
          <w:tcPr>
            <w:tcW w:w="709" w:type="dxa"/>
            <w:tcBorders>
              <w:top w:val="single" w:sz="8" w:space="0" w:color="auto"/>
              <w:left w:val="nil"/>
              <w:bottom w:val="single" w:sz="8" w:space="0" w:color="auto"/>
              <w:right w:val="nil"/>
            </w:tcBorders>
          </w:tcPr>
          <w:p w:rsidR="00E404F5" w:rsidRPr="00211D05" w:rsidRDefault="00E404F5" w:rsidP="00D3141E">
            <w:pPr>
              <w:tabs>
                <w:tab w:val="left" w:pos="5700"/>
              </w:tabs>
              <w:spacing w:line="240" w:lineRule="auto"/>
              <w:rPr>
                <w:rFonts w:cs="Times New Roman"/>
                <w:sz w:val="20"/>
                <w:szCs w:val="22"/>
              </w:rPr>
            </w:pPr>
            <w:r w:rsidRPr="00211D05">
              <w:rPr>
                <w:rFonts w:cs="Times New Roman"/>
                <w:sz w:val="20"/>
                <w:szCs w:val="22"/>
              </w:rPr>
              <w:t>4</w:t>
            </w:r>
          </w:p>
        </w:tc>
        <w:tc>
          <w:tcPr>
            <w:tcW w:w="4678" w:type="dxa"/>
            <w:tcBorders>
              <w:top w:val="single" w:sz="8" w:space="0" w:color="auto"/>
              <w:left w:val="nil"/>
              <w:bottom w:val="single" w:sz="8" w:space="0" w:color="auto"/>
              <w:right w:val="nil"/>
            </w:tcBorders>
            <w:tcMar>
              <w:top w:w="0" w:type="dxa"/>
              <w:left w:w="108" w:type="dxa"/>
              <w:bottom w:w="0" w:type="dxa"/>
              <w:right w:w="108" w:type="dxa"/>
            </w:tcMar>
          </w:tcPr>
          <w:p w:rsidR="00E404F5" w:rsidRPr="00211D05" w:rsidRDefault="00E404F5" w:rsidP="00D3141E">
            <w:pPr>
              <w:tabs>
                <w:tab w:val="left" w:pos="5700"/>
              </w:tabs>
              <w:spacing w:line="240" w:lineRule="auto"/>
              <w:rPr>
                <w:rFonts w:cs="Times New Roman"/>
                <w:sz w:val="20"/>
                <w:szCs w:val="22"/>
              </w:rPr>
            </w:pPr>
            <w:r w:rsidRPr="00211D05">
              <w:rPr>
                <w:rFonts w:cs="Times New Roman"/>
                <w:sz w:val="20"/>
                <w:szCs w:val="22"/>
              </w:rPr>
              <w:t>The Portsea Camp</w:t>
            </w:r>
          </w:p>
        </w:tc>
        <w:tc>
          <w:tcPr>
            <w:tcW w:w="2835" w:type="dxa"/>
            <w:tcBorders>
              <w:top w:val="single" w:sz="8" w:space="0" w:color="auto"/>
              <w:left w:val="nil"/>
              <w:bottom w:val="single" w:sz="8" w:space="0" w:color="auto"/>
              <w:right w:val="nil"/>
            </w:tcBorders>
          </w:tcPr>
          <w:p w:rsidR="00E404F5" w:rsidRPr="00B25127" w:rsidRDefault="00E404F5" w:rsidP="00D3141E">
            <w:pPr>
              <w:tabs>
                <w:tab w:val="left" w:pos="5700"/>
              </w:tabs>
              <w:spacing w:line="240" w:lineRule="auto"/>
              <w:rPr>
                <w:rFonts w:cs="Times New Roman"/>
                <w:sz w:val="20"/>
                <w:szCs w:val="22"/>
              </w:rPr>
            </w:pPr>
            <w:r w:rsidRPr="00211D05">
              <w:rPr>
                <w:rFonts w:cs="Times New Roman"/>
                <w:sz w:val="20"/>
                <w:szCs w:val="22"/>
              </w:rPr>
              <w:t>Victoria</w:t>
            </w:r>
          </w:p>
        </w:tc>
      </w:tr>
    </w:tbl>
    <w:p w:rsidR="00E404F5" w:rsidRDefault="00E404F5" w:rsidP="00E404F5">
      <w:pPr>
        <w:spacing w:before="240" w:after="240"/>
      </w:pPr>
      <w:r>
        <w:t>This amendment results in two occurrences of the table column headings in the table.</w:t>
      </w:r>
    </w:p>
    <w:p w:rsidR="00E404F5" w:rsidRDefault="00E404F5" w:rsidP="00E404F5">
      <w:r>
        <w:t>This compilation was editorially changed to omit the second occurrence of the table column headings from Schedule 1 to remove the redundant text.</w:t>
      </w:r>
    </w:p>
    <w:p w:rsidR="00602129" w:rsidRDefault="00602129" w:rsidP="00602129">
      <w:pPr>
        <w:pStyle w:val="Head2"/>
        <w:keepLines/>
        <w:spacing w:after="240"/>
      </w:pPr>
      <w:r w:rsidRPr="00EB3729">
        <w:lastRenderedPageBreak/>
        <w:t>Health Insurance (Section 3C General Medical Services – Telehealth and Telephone Attendances) Determination 2021</w:t>
      </w:r>
      <w:r>
        <w:t>, Compilation No. 1</w:t>
      </w:r>
      <w:r w:rsidR="0079338A">
        <w:t>8</w:t>
      </w:r>
      <w:r>
        <w:t xml:space="preserve">, Registration Date: </w:t>
      </w:r>
      <w:r w:rsidR="0079338A">
        <w:t>7</w:t>
      </w:r>
      <w:r>
        <w:t> February 2024 [</w:t>
      </w:r>
      <w:r w:rsidR="0079338A" w:rsidRPr="0079338A">
        <w:t>F2024C00131</w:t>
      </w:r>
      <w:r>
        <w:t>]</w:t>
      </w:r>
    </w:p>
    <w:p w:rsidR="0079338A" w:rsidRPr="00EB3729" w:rsidRDefault="0079338A" w:rsidP="0079338A">
      <w:pPr>
        <w:spacing w:after="240"/>
        <w:rPr>
          <w:b/>
          <w:sz w:val="24"/>
          <w:szCs w:val="24"/>
        </w:rPr>
      </w:pPr>
      <w:r w:rsidRPr="00EB3729">
        <w:rPr>
          <w:b/>
          <w:sz w:val="24"/>
          <w:szCs w:val="24"/>
        </w:rPr>
        <w:t>Subsection 5(1) and Schedule 3</w:t>
      </w:r>
    </w:p>
    <w:p w:rsidR="0079338A" w:rsidRPr="00EB3729" w:rsidRDefault="0079338A" w:rsidP="0079338A">
      <w:pPr>
        <w:spacing w:after="240"/>
        <w:rPr>
          <w:b/>
        </w:rPr>
      </w:pPr>
      <w:r w:rsidRPr="00EB3729">
        <w:rPr>
          <w:b/>
        </w:rPr>
        <w:t>Kind of editorial change</w:t>
      </w:r>
    </w:p>
    <w:p w:rsidR="0079338A" w:rsidRPr="00EB3729" w:rsidRDefault="0079338A" w:rsidP="0079338A">
      <w:pPr>
        <w:spacing w:after="240" w:line="240" w:lineRule="auto"/>
        <w:rPr>
          <w:rFonts w:eastAsia="Times New Roman" w:cs="Times New Roman"/>
          <w:color w:val="000000"/>
          <w:szCs w:val="22"/>
          <w:lang w:eastAsia="en-AU"/>
        </w:rPr>
      </w:pPr>
      <w:r w:rsidRPr="00EB3729">
        <w:rPr>
          <w:rFonts w:eastAsia="Times New Roman" w:cs="Times New Roman"/>
          <w:color w:val="000000"/>
          <w:szCs w:val="22"/>
          <w:lang w:eastAsia="en-AU"/>
        </w:rPr>
        <w:t>Give effect to the misdescribed amendments as intended</w:t>
      </w:r>
    </w:p>
    <w:p w:rsidR="0079338A" w:rsidRPr="00EB3729" w:rsidRDefault="0079338A" w:rsidP="0079338A">
      <w:pPr>
        <w:spacing w:after="240"/>
        <w:rPr>
          <w:b/>
        </w:rPr>
      </w:pPr>
      <w:r w:rsidRPr="00EB3729">
        <w:rPr>
          <w:b/>
        </w:rPr>
        <w:t>Details of editorial change</w:t>
      </w:r>
    </w:p>
    <w:p w:rsidR="0079338A" w:rsidRPr="00EB3729" w:rsidRDefault="0079338A" w:rsidP="0079338A">
      <w:pPr>
        <w:spacing w:after="240" w:line="240" w:lineRule="auto"/>
        <w:rPr>
          <w:rFonts w:eastAsia="Times New Roman" w:cs="Times New Roman"/>
          <w:color w:val="000000"/>
          <w:szCs w:val="22"/>
          <w:lang w:eastAsia="en-AU"/>
        </w:rPr>
      </w:pPr>
      <w:r w:rsidRPr="00EB3729">
        <w:rPr>
          <w:rFonts w:eastAsia="Times New Roman" w:cs="Times New Roman"/>
          <w:color w:val="000000"/>
          <w:szCs w:val="22"/>
          <w:lang w:eastAsia="en-AU"/>
        </w:rPr>
        <w:t xml:space="preserve">Schedule 3 of the </w:t>
      </w:r>
      <w:r w:rsidRPr="00EB3729">
        <w:rPr>
          <w:i/>
        </w:rPr>
        <w:t>Health Insurance (Section 3C General Medical Services – Telehealth and Telephone Attendances) Amendment (No. 1) Determination 2024</w:t>
      </w:r>
      <w:r w:rsidRPr="00EB3729">
        <w:rPr>
          <w:rFonts w:eastAsia="Times New Roman" w:cs="Times New Roman"/>
          <w:color w:val="000000"/>
          <w:szCs w:val="22"/>
          <w:lang w:eastAsia="en-AU"/>
        </w:rPr>
        <w:t xml:space="preserve"> provides as follows:</w:t>
      </w:r>
    </w:p>
    <w:p w:rsidR="0079338A" w:rsidRPr="00EB3729" w:rsidRDefault="0079338A" w:rsidP="0079338A">
      <w:pPr>
        <w:pStyle w:val="Specialas"/>
      </w:pPr>
      <w:r w:rsidRPr="00EB3729">
        <w:rPr>
          <w:rStyle w:val="CharAmSchNo"/>
        </w:rPr>
        <w:t>Schedule 3</w:t>
      </w:r>
      <w:r w:rsidRPr="00EB3729">
        <w:t>—Consequential amendments</w:t>
      </w:r>
    </w:p>
    <w:p w:rsidR="0079338A" w:rsidRPr="00EB3729" w:rsidRDefault="0079338A" w:rsidP="0079338A">
      <w:pPr>
        <w:pStyle w:val="ItemHead"/>
      </w:pPr>
      <w:r w:rsidRPr="00EB3729">
        <w:t xml:space="preserve">1  Subsection 5(1) (definition of </w:t>
      </w:r>
      <w:r w:rsidRPr="00EB3729">
        <w:rPr>
          <w:i/>
          <w:iCs/>
        </w:rPr>
        <w:t>Allied Health Determination</w:t>
      </w:r>
      <w:r w:rsidRPr="00EB3729">
        <w:t>)</w:t>
      </w:r>
    </w:p>
    <w:p w:rsidR="0079338A" w:rsidRPr="00EB3729" w:rsidRDefault="0079338A" w:rsidP="0079338A">
      <w:pPr>
        <w:pStyle w:val="Item"/>
      </w:pPr>
      <w:r w:rsidRPr="00EB3729">
        <w:t>Omit “</w:t>
      </w:r>
      <w:r w:rsidRPr="00EB3729">
        <w:rPr>
          <w:i/>
          <w:iCs/>
        </w:rPr>
        <w:t>Health Insurance (Allied Health Services) Determination 2014</w:t>
      </w:r>
      <w:r w:rsidRPr="00EB3729">
        <w:t>”, substitute “</w:t>
      </w:r>
      <w:r w:rsidRPr="00EB3729">
        <w:rPr>
          <w:i/>
          <w:iCs/>
        </w:rPr>
        <w:t>Health Insurance (Section 3C General Medical Services – Allied Health Services) Determination 2024</w:t>
      </w:r>
      <w:r w:rsidRPr="00EB3729">
        <w:t>”.</w:t>
      </w:r>
    </w:p>
    <w:p w:rsidR="0079338A" w:rsidRPr="00EB3729" w:rsidRDefault="0079338A" w:rsidP="006C2018">
      <w:pPr>
        <w:pStyle w:val="ItemHead"/>
        <w:keepNext/>
      </w:pPr>
      <w:r w:rsidRPr="00EB3729">
        <w:t>2  Schedule 3 (cell at item 93000, column 2)</w:t>
      </w:r>
    </w:p>
    <w:p w:rsidR="0079338A" w:rsidRPr="00EB3729" w:rsidRDefault="0079338A" w:rsidP="0079338A">
      <w:pPr>
        <w:pStyle w:val="Item"/>
      </w:pPr>
      <w:r w:rsidRPr="00EB3729">
        <w:t>Omit “Part 1 of the Schedule to”, substitute “Subgroup 1 of Group M3 of”.</w:t>
      </w:r>
    </w:p>
    <w:p w:rsidR="0079338A" w:rsidRPr="00EB3729" w:rsidRDefault="0079338A" w:rsidP="0079338A">
      <w:pPr>
        <w:pStyle w:val="ItemHead"/>
      </w:pPr>
      <w:r w:rsidRPr="00EB3729">
        <w:t>3  Schedule 3 (cell at item 93013, column 2)</w:t>
      </w:r>
    </w:p>
    <w:p w:rsidR="0079338A" w:rsidRPr="00DB323B" w:rsidRDefault="0079338A" w:rsidP="0079338A">
      <w:pPr>
        <w:pStyle w:val="Item"/>
      </w:pPr>
      <w:r w:rsidRPr="00EB3729">
        <w:t>Omit “Part 1 of the Schedule to”, substitute “Subgroup 1 of Group M3 of”.</w:t>
      </w:r>
    </w:p>
    <w:p w:rsidR="0079338A" w:rsidRPr="00EB3729" w:rsidRDefault="0079338A" w:rsidP="0079338A">
      <w:pPr>
        <w:spacing w:before="240" w:after="240" w:line="240" w:lineRule="auto"/>
        <w:rPr>
          <w:rFonts w:eastAsia="Times New Roman" w:cs="Times New Roman"/>
          <w:color w:val="000000"/>
          <w:szCs w:val="22"/>
          <w:lang w:eastAsia="en-AU"/>
        </w:rPr>
      </w:pPr>
      <w:r w:rsidRPr="00EB3729">
        <w:rPr>
          <w:rFonts w:eastAsia="Times New Roman" w:cs="Times New Roman"/>
          <w:color w:val="000000"/>
          <w:szCs w:val="22"/>
          <w:lang w:eastAsia="en-AU"/>
        </w:rPr>
        <w:t>Schedule 3 does not specify which instrument is to be amended.</w:t>
      </w:r>
    </w:p>
    <w:p w:rsidR="0079338A" w:rsidRPr="00EB3729" w:rsidRDefault="0079338A" w:rsidP="0079338A">
      <w:pPr>
        <w:spacing w:line="240" w:lineRule="auto"/>
        <w:rPr>
          <w:rFonts w:eastAsia="Times New Roman" w:cs="Times New Roman"/>
          <w:color w:val="000000"/>
          <w:szCs w:val="22"/>
          <w:lang w:eastAsia="en-AU"/>
        </w:rPr>
      </w:pPr>
      <w:r w:rsidRPr="00EB3729">
        <w:rPr>
          <w:rFonts w:eastAsia="Times New Roman" w:cs="Times New Roman"/>
          <w:color w:val="000000"/>
          <w:szCs w:val="22"/>
          <w:lang w:eastAsia="en-AU"/>
        </w:rPr>
        <w:t xml:space="preserve">This compilation was editorially changed by applying the amendments from Schedule 3 of the </w:t>
      </w:r>
      <w:r w:rsidRPr="00EB3729">
        <w:rPr>
          <w:i/>
        </w:rPr>
        <w:t>Health Insurance (Section 3C General Medical Services – Telehealth and Telephone Attendances) Amendment (No. 1) Determination 2024</w:t>
      </w:r>
      <w:r w:rsidRPr="00EB3729">
        <w:rPr>
          <w:rFonts w:eastAsia="Times New Roman" w:cs="Times New Roman"/>
          <w:color w:val="000000"/>
          <w:szCs w:val="22"/>
          <w:lang w:eastAsia="en-AU"/>
        </w:rPr>
        <w:t xml:space="preserve"> to the </w:t>
      </w:r>
      <w:r w:rsidRPr="00EB3729">
        <w:rPr>
          <w:i/>
          <w:szCs w:val="22"/>
        </w:rPr>
        <w:t>Health Insurance (Section 3C General Medical Services – Telehealth and Telephone Attendances) Determination 2021</w:t>
      </w:r>
      <w:r w:rsidRPr="00EB3729">
        <w:rPr>
          <w:rFonts w:eastAsia="Times New Roman" w:cs="Times New Roman"/>
          <w:color w:val="000000"/>
          <w:szCs w:val="22"/>
          <w:lang w:eastAsia="en-AU"/>
        </w:rPr>
        <w:t xml:space="preserve"> to give effect to the misdescribed amendments as intended.</w:t>
      </w:r>
    </w:p>
    <w:p w:rsidR="00545927" w:rsidRDefault="00545927" w:rsidP="00545927">
      <w:pPr>
        <w:pStyle w:val="Head2"/>
        <w:keepLines/>
        <w:spacing w:after="240"/>
      </w:pPr>
      <w:r w:rsidRPr="00746638">
        <w:t>List of Exempt Native Specimens Inst</w:t>
      </w:r>
      <w:bookmarkStart w:id="50" w:name="opcStartOfTOC"/>
      <w:bookmarkEnd w:id="50"/>
      <w:r w:rsidRPr="00746638">
        <w:t>rument 2001</w:t>
      </w:r>
      <w:r>
        <w:t>, Compilation No. 411, Registration Date: 6 February 2024 [</w:t>
      </w:r>
      <w:r w:rsidRPr="00545927">
        <w:t>F2024C00129</w:t>
      </w:r>
      <w:r>
        <w:t>]</w:t>
      </w:r>
    </w:p>
    <w:p w:rsidR="00AB186F" w:rsidRPr="004549F1" w:rsidRDefault="00AB186F" w:rsidP="00AB186F">
      <w:pPr>
        <w:spacing w:after="240"/>
        <w:rPr>
          <w:b/>
          <w:sz w:val="24"/>
          <w:szCs w:val="24"/>
        </w:rPr>
      </w:pPr>
      <w:r>
        <w:rPr>
          <w:b/>
          <w:sz w:val="24"/>
          <w:szCs w:val="24"/>
        </w:rPr>
        <w:t xml:space="preserve">Schedule 1, entry for </w:t>
      </w:r>
      <w:r w:rsidRPr="005E323C">
        <w:rPr>
          <w:b/>
          <w:sz w:val="24"/>
          <w:szCs w:val="24"/>
        </w:rPr>
        <w:t>Western Australian Pilbara Trap Managed Fishery</w:t>
      </w:r>
    </w:p>
    <w:p w:rsidR="00AB186F" w:rsidRPr="004549F1" w:rsidRDefault="00AB186F" w:rsidP="00AB186F">
      <w:pPr>
        <w:spacing w:after="240"/>
        <w:rPr>
          <w:b/>
        </w:rPr>
      </w:pPr>
      <w:r w:rsidRPr="004549F1">
        <w:rPr>
          <w:b/>
        </w:rPr>
        <w:t>Kind of editorial change</w:t>
      </w:r>
    </w:p>
    <w:p w:rsidR="00AB186F" w:rsidRPr="0018341F" w:rsidRDefault="00AB186F" w:rsidP="00AB186F">
      <w:pPr>
        <w:spacing w:after="240"/>
      </w:pPr>
      <w:r w:rsidRPr="00E2562F">
        <w:t>Give effect to the misdescribed amendment as intended</w:t>
      </w:r>
    </w:p>
    <w:p w:rsidR="00AB186F" w:rsidRPr="004549F1" w:rsidRDefault="00AB186F" w:rsidP="00AB186F">
      <w:pPr>
        <w:spacing w:after="240"/>
        <w:rPr>
          <w:b/>
        </w:rPr>
      </w:pPr>
      <w:r w:rsidRPr="004549F1">
        <w:rPr>
          <w:b/>
        </w:rPr>
        <w:t>Details of editorial change</w:t>
      </w:r>
    </w:p>
    <w:p w:rsidR="00AB186F" w:rsidRPr="00204662" w:rsidRDefault="00AB186F" w:rsidP="00AB186F">
      <w:pPr>
        <w:spacing w:after="240"/>
        <w:rPr>
          <w:szCs w:val="22"/>
        </w:rPr>
      </w:pPr>
      <w:r w:rsidRPr="00204662">
        <w:rPr>
          <w:szCs w:val="22"/>
        </w:rPr>
        <w:t xml:space="preserve">Schedule 1 of the </w:t>
      </w:r>
      <w:r w:rsidRPr="0000157D">
        <w:rPr>
          <w:i/>
          <w:szCs w:val="22"/>
        </w:rPr>
        <w:t>Amendment of List of Exempt Native Specimens – Western Australian Pilbara Trap Managed Fishery, January 2024</w:t>
      </w:r>
      <w:r w:rsidRPr="00204662">
        <w:rPr>
          <w:szCs w:val="22"/>
        </w:rPr>
        <w:t xml:space="preserve"> provides as follows:</w:t>
      </w:r>
    </w:p>
    <w:p w:rsidR="00AB186F" w:rsidRPr="00204662" w:rsidRDefault="00AB186F" w:rsidP="00AB186F">
      <w:pPr>
        <w:rPr>
          <w:szCs w:val="22"/>
        </w:rPr>
      </w:pPr>
      <w:r w:rsidRPr="00204662">
        <w:rPr>
          <w:szCs w:val="22"/>
        </w:rPr>
        <w:t>Under the heading Freshwater and Marine Animals delete from the list the following items and any associated notations:</w:t>
      </w:r>
    </w:p>
    <w:tbl>
      <w:tblPr>
        <w:tblStyle w:val="TableGrid"/>
        <w:tblW w:w="5000" w:type="pct"/>
        <w:tblLook w:val="04A0" w:firstRow="1" w:lastRow="0" w:firstColumn="1" w:lastColumn="0" w:noHBand="0" w:noVBand="1"/>
      </w:tblPr>
      <w:tblGrid>
        <w:gridCol w:w="3697"/>
        <w:gridCol w:w="2773"/>
        <w:gridCol w:w="2773"/>
      </w:tblGrid>
      <w:tr w:rsidR="00AB186F" w:rsidRPr="00CC4437" w:rsidTr="00D3141E">
        <w:trPr>
          <w:cantSplit/>
          <w:tblHeader/>
        </w:trPr>
        <w:tc>
          <w:tcPr>
            <w:tcW w:w="2000" w:type="pct"/>
          </w:tcPr>
          <w:p w:rsidR="00AB186F" w:rsidRPr="00204662" w:rsidRDefault="00AB186F" w:rsidP="00AB186F">
            <w:pPr>
              <w:keepNext/>
              <w:rPr>
                <w:b/>
                <w:szCs w:val="22"/>
              </w:rPr>
            </w:pPr>
            <w:r w:rsidRPr="00204662">
              <w:rPr>
                <w:b/>
                <w:szCs w:val="22"/>
              </w:rPr>
              <w:lastRenderedPageBreak/>
              <w:t>Taxon/Item</w:t>
            </w:r>
          </w:p>
        </w:tc>
        <w:tc>
          <w:tcPr>
            <w:tcW w:w="1500" w:type="pct"/>
          </w:tcPr>
          <w:p w:rsidR="00AB186F" w:rsidRPr="00204662" w:rsidRDefault="00AB186F" w:rsidP="00D3141E">
            <w:pPr>
              <w:rPr>
                <w:b/>
                <w:szCs w:val="22"/>
              </w:rPr>
            </w:pPr>
            <w:r w:rsidRPr="00204662">
              <w:rPr>
                <w:b/>
                <w:szCs w:val="22"/>
              </w:rPr>
              <w:t>Common Name</w:t>
            </w:r>
          </w:p>
        </w:tc>
        <w:tc>
          <w:tcPr>
            <w:tcW w:w="1500" w:type="pct"/>
          </w:tcPr>
          <w:p w:rsidR="00AB186F" w:rsidRPr="00204662" w:rsidRDefault="00AB186F" w:rsidP="00D3141E">
            <w:pPr>
              <w:rPr>
                <w:b/>
                <w:szCs w:val="22"/>
              </w:rPr>
            </w:pPr>
            <w:r w:rsidRPr="00204662">
              <w:rPr>
                <w:b/>
                <w:szCs w:val="22"/>
              </w:rPr>
              <w:t>Notation</w:t>
            </w:r>
          </w:p>
        </w:tc>
      </w:tr>
      <w:tr w:rsidR="00AB186F" w:rsidRPr="00CC4437" w:rsidTr="00D3141E">
        <w:tc>
          <w:tcPr>
            <w:tcW w:w="2000" w:type="pct"/>
          </w:tcPr>
          <w:p w:rsidR="00AB186F" w:rsidRPr="00204662" w:rsidRDefault="00AB186F" w:rsidP="00D3141E">
            <w:pPr>
              <w:shd w:val="clear" w:color="auto" w:fill="FFFFFF"/>
              <w:rPr>
                <w:rFonts w:eastAsia="Times New Roman"/>
                <w:color w:val="000000"/>
                <w:szCs w:val="22"/>
                <w:lang w:eastAsia="en-AU"/>
              </w:rPr>
            </w:pPr>
            <w:r w:rsidRPr="00204662">
              <w:rPr>
                <w:rFonts w:eastAsia="Times New Roman"/>
                <w:color w:val="000000"/>
                <w:szCs w:val="22"/>
                <w:lang w:eastAsia="en-AU"/>
              </w:rPr>
              <w:t xml:space="preserve">Specimens that are or are derived from fish or invertebrates taken in the Western Australian Pilbara Trap Managed Fishery, as defined in the management regime in force under the </w:t>
            </w:r>
            <w:r w:rsidRPr="00204662">
              <w:rPr>
                <w:rFonts w:eastAsia="Times New Roman"/>
                <w:i/>
                <w:iCs/>
                <w:color w:val="000000"/>
                <w:szCs w:val="22"/>
                <w:lang w:eastAsia="en-AU"/>
              </w:rPr>
              <w:t>Fish Resources Management Act 1994</w:t>
            </w:r>
            <w:r w:rsidRPr="00204662">
              <w:rPr>
                <w:rFonts w:eastAsia="Times New Roman"/>
                <w:color w:val="000000"/>
                <w:szCs w:val="22"/>
                <w:lang w:eastAsia="en-AU"/>
              </w:rPr>
              <w:t xml:space="preserve"> (FRMA, will be replaced by the Aquatic Resources Management Act once enacted); Fish Resources Management Regulations 1995 (FRMR); FRMA Section 43 Order — </w:t>
            </w:r>
            <w:r w:rsidRPr="00204662">
              <w:rPr>
                <w:rFonts w:eastAsia="Times New Roman"/>
                <w:i/>
                <w:iCs/>
                <w:color w:val="000000"/>
                <w:szCs w:val="22"/>
                <w:lang w:eastAsia="en-AU"/>
              </w:rPr>
              <w:t>Prohibition on Commercial Fishing for Demersal Scalefish (Pilbara Area) Order 1997</w:t>
            </w:r>
            <w:r w:rsidRPr="00204662">
              <w:rPr>
                <w:rFonts w:eastAsia="Times New Roman"/>
                <w:color w:val="000000"/>
                <w:szCs w:val="22"/>
                <w:lang w:eastAsia="en-AU"/>
              </w:rPr>
              <w:t xml:space="preserve"> and </w:t>
            </w:r>
            <w:r w:rsidRPr="00204662">
              <w:rPr>
                <w:rFonts w:eastAsia="Times New Roman"/>
                <w:i/>
                <w:iCs/>
                <w:color w:val="000000"/>
                <w:szCs w:val="22"/>
                <w:lang w:eastAsia="en-AU"/>
              </w:rPr>
              <w:t>Prohibition on Fishing by Line from Fishing Boats (Pilbara Waters) Order 2006</w:t>
            </w:r>
            <w:r w:rsidRPr="00204662">
              <w:rPr>
                <w:rFonts w:eastAsia="Times New Roman"/>
                <w:color w:val="000000"/>
                <w:szCs w:val="22"/>
                <w:lang w:eastAsia="en-AU"/>
              </w:rPr>
              <w:t xml:space="preserve"> , but not including:</w:t>
            </w:r>
          </w:p>
          <w:p w:rsidR="00AB186F" w:rsidRPr="00204662" w:rsidRDefault="00AB186F" w:rsidP="00D3141E">
            <w:pPr>
              <w:shd w:val="clear" w:color="auto" w:fill="FFFFFF"/>
              <w:rPr>
                <w:rFonts w:eastAsia="Times New Roman"/>
                <w:color w:val="000000"/>
                <w:szCs w:val="22"/>
                <w:lang w:eastAsia="en-AU"/>
              </w:rPr>
            </w:pPr>
          </w:p>
          <w:p w:rsidR="00AB186F" w:rsidRPr="00204662" w:rsidRDefault="00AB186F" w:rsidP="00D3141E">
            <w:pPr>
              <w:shd w:val="clear" w:color="auto" w:fill="FFFFFF"/>
              <w:rPr>
                <w:rFonts w:eastAsia="Times New Roman"/>
                <w:color w:val="000000"/>
                <w:szCs w:val="22"/>
                <w:lang w:eastAsia="en-AU"/>
              </w:rPr>
            </w:pPr>
            <w:r w:rsidRPr="00204662">
              <w:rPr>
                <w:rFonts w:eastAsia="Times New Roman"/>
                <w:color w:val="000000"/>
                <w:szCs w:val="22"/>
                <w:lang w:eastAsia="en-AU"/>
              </w:rPr>
              <w:t>(a)    specimens that belong to taxa listed under section 209 of the EPBC Act (Australia’s List of Migratory Species), or</w:t>
            </w:r>
          </w:p>
          <w:p w:rsidR="00AB186F" w:rsidRPr="00204662" w:rsidRDefault="00AB186F" w:rsidP="00D3141E">
            <w:pPr>
              <w:shd w:val="clear" w:color="auto" w:fill="FFFFFF"/>
              <w:rPr>
                <w:rFonts w:eastAsia="Times New Roman"/>
                <w:color w:val="000000"/>
                <w:szCs w:val="22"/>
                <w:lang w:eastAsia="en-AU"/>
              </w:rPr>
            </w:pPr>
          </w:p>
          <w:p w:rsidR="00AB186F" w:rsidRPr="00204662" w:rsidRDefault="00AB186F" w:rsidP="00D3141E">
            <w:pPr>
              <w:shd w:val="clear" w:color="auto" w:fill="FFFFFF"/>
              <w:rPr>
                <w:rFonts w:eastAsia="Times New Roman"/>
                <w:color w:val="000000"/>
                <w:szCs w:val="22"/>
                <w:lang w:eastAsia="en-AU"/>
              </w:rPr>
            </w:pPr>
            <w:r w:rsidRPr="00204662">
              <w:rPr>
                <w:rFonts w:eastAsia="Times New Roman"/>
                <w:color w:val="000000"/>
                <w:szCs w:val="22"/>
                <w:lang w:eastAsia="en-AU"/>
              </w:rPr>
              <w:t>(b)   specimens that belong to taxa listed under section 248 of the EPBC Act (Australia’s List of Marine Species), or</w:t>
            </w:r>
          </w:p>
          <w:p w:rsidR="00AB186F" w:rsidRPr="00204662" w:rsidRDefault="00AB186F" w:rsidP="00D3141E">
            <w:pPr>
              <w:shd w:val="clear" w:color="auto" w:fill="FFFFFF"/>
              <w:rPr>
                <w:rFonts w:eastAsia="Times New Roman"/>
                <w:color w:val="000000"/>
                <w:szCs w:val="22"/>
                <w:lang w:eastAsia="en-AU"/>
              </w:rPr>
            </w:pPr>
          </w:p>
          <w:p w:rsidR="00AB186F" w:rsidRPr="00204662" w:rsidRDefault="00AB186F" w:rsidP="00D3141E">
            <w:pPr>
              <w:shd w:val="clear" w:color="auto" w:fill="FFFFFF"/>
              <w:rPr>
                <w:rFonts w:eastAsia="Times New Roman"/>
                <w:color w:val="000000"/>
                <w:szCs w:val="22"/>
                <w:lang w:eastAsia="en-AU"/>
              </w:rPr>
            </w:pPr>
            <w:r w:rsidRPr="00204662">
              <w:rPr>
                <w:rFonts w:eastAsia="Times New Roman"/>
                <w:color w:val="000000"/>
                <w:szCs w:val="22"/>
                <w:lang w:eastAsia="en-AU"/>
              </w:rPr>
              <w:t>(c)    specimens that belong to eligible listed threatened species, as defined under section 303BC of the EPBC Act, or</w:t>
            </w:r>
          </w:p>
          <w:p w:rsidR="00AB186F" w:rsidRPr="00204662" w:rsidRDefault="00AB186F" w:rsidP="00D3141E">
            <w:pPr>
              <w:shd w:val="clear" w:color="auto" w:fill="FFFFFF"/>
              <w:rPr>
                <w:rFonts w:eastAsia="Times New Roman"/>
                <w:color w:val="000000"/>
                <w:szCs w:val="22"/>
                <w:lang w:eastAsia="en-AU"/>
              </w:rPr>
            </w:pPr>
          </w:p>
          <w:p w:rsidR="00AB186F" w:rsidRPr="00204662" w:rsidRDefault="00AB186F" w:rsidP="00D3141E">
            <w:pPr>
              <w:rPr>
                <w:bCs/>
                <w:szCs w:val="22"/>
              </w:rPr>
            </w:pPr>
            <w:r w:rsidRPr="00204662">
              <w:rPr>
                <w:rFonts w:eastAsia="Times New Roman"/>
                <w:color w:val="000000"/>
                <w:szCs w:val="22"/>
                <w:lang w:eastAsia="en-AU"/>
              </w:rPr>
              <w:t>(d)   specimens that belong to taxa listed under section 303CA of the EPBC Act (Australia’s CITES List).</w:t>
            </w:r>
          </w:p>
        </w:tc>
        <w:tc>
          <w:tcPr>
            <w:tcW w:w="1500" w:type="pct"/>
          </w:tcPr>
          <w:p w:rsidR="00AB186F" w:rsidRPr="00204662" w:rsidRDefault="00AB186F" w:rsidP="00D3141E">
            <w:pPr>
              <w:rPr>
                <w:szCs w:val="22"/>
              </w:rPr>
            </w:pPr>
            <w:r w:rsidRPr="00204662">
              <w:rPr>
                <w:rFonts w:eastAsia="Times New Roman"/>
                <w:color w:val="000000"/>
                <w:szCs w:val="22"/>
                <w:lang w:eastAsia="en-AU"/>
              </w:rPr>
              <w:t>Western Australian Pilbara Trap Managed Fishery</w:t>
            </w:r>
          </w:p>
        </w:tc>
        <w:tc>
          <w:tcPr>
            <w:tcW w:w="1500" w:type="pct"/>
          </w:tcPr>
          <w:p w:rsidR="00AB186F" w:rsidRPr="00204662" w:rsidRDefault="00AB186F" w:rsidP="00AB186F">
            <w:pPr>
              <w:pStyle w:val="ListParagraph"/>
              <w:numPr>
                <w:ilvl w:val="0"/>
                <w:numId w:val="46"/>
              </w:numPr>
              <w:shd w:val="clear" w:color="auto" w:fill="FFFFFF"/>
              <w:spacing w:line="253" w:lineRule="atLeast"/>
              <w:contextualSpacing w:val="0"/>
              <w:rPr>
                <w:rFonts w:eastAsia="Arial Unicode MS"/>
                <w:color w:val="000000"/>
                <w:szCs w:val="22"/>
                <w:lang w:eastAsia="en-AU"/>
              </w:rPr>
            </w:pPr>
            <w:r w:rsidRPr="00204662">
              <w:rPr>
                <w:rFonts w:eastAsia="Arial Unicode MS"/>
                <w:szCs w:val="22"/>
                <w:lang w:eastAsia="en-AU"/>
              </w:rPr>
              <w:t>the specimen, or the fish or invertebrate from which it is derived, was taken lawfully;</w:t>
            </w:r>
          </w:p>
          <w:p w:rsidR="00AB186F" w:rsidRPr="00204662" w:rsidRDefault="00AB186F" w:rsidP="00AB186F">
            <w:pPr>
              <w:pStyle w:val="ListParagraph"/>
              <w:numPr>
                <w:ilvl w:val="0"/>
                <w:numId w:val="46"/>
              </w:numPr>
              <w:shd w:val="clear" w:color="auto" w:fill="FFFFFF"/>
              <w:spacing w:line="253" w:lineRule="atLeast"/>
              <w:contextualSpacing w:val="0"/>
              <w:rPr>
                <w:rFonts w:eastAsia="Times New Roman"/>
                <w:color w:val="000000"/>
                <w:szCs w:val="22"/>
                <w:lang w:eastAsia="en-AU"/>
              </w:rPr>
            </w:pPr>
            <w:r w:rsidRPr="00204662">
              <w:rPr>
                <w:rFonts w:eastAsia="Arial Unicode MS"/>
                <w:szCs w:val="22"/>
                <w:lang w:eastAsia="en-AU"/>
              </w:rPr>
              <w:t>the specimens are covered by the declaration of an approved wildlife trade operation under section 303FN of the EPBC Act in relation to the fishery.</w:t>
            </w:r>
          </w:p>
        </w:tc>
      </w:tr>
    </w:tbl>
    <w:p w:rsidR="00AB186F" w:rsidRPr="0000157D" w:rsidRDefault="00AB186F" w:rsidP="00AB186F">
      <w:pPr>
        <w:spacing w:before="240" w:after="240"/>
        <w:rPr>
          <w:szCs w:val="22"/>
        </w:rPr>
      </w:pPr>
      <w:r w:rsidRPr="0000157D">
        <w:rPr>
          <w:szCs w:val="22"/>
        </w:rPr>
        <w:t xml:space="preserve">The text contained in the </w:t>
      </w:r>
      <w:r>
        <w:rPr>
          <w:szCs w:val="22"/>
        </w:rPr>
        <w:t>Notation</w:t>
      </w:r>
      <w:r w:rsidRPr="0000157D">
        <w:rPr>
          <w:szCs w:val="22"/>
        </w:rPr>
        <w:t xml:space="preserve"> column of the Schedule 1 entry for the </w:t>
      </w:r>
      <w:r w:rsidRPr="0000157D">
        <w:rPr>
          <w:rFonts w:eastAsia="Times New Roman"/>
          <w:color w:val="000000"/>
          <w:szCs w:val="22"/>
          <w:lang w:eastAsia="en-AU"/>
        </w:rPr>
        <w:t>Western Australian Pilbara Trap Managed Fishery</w:t>
      </w:r>
      <w:r w:rsidRPr="0000157D">
        <w:rPr>
          <w:szCs w:val="22"/>
        </w:rPr>
        <w:t xml:space="preserve"> does not exactly match the text to be omitted as outlined in Schedule 1 of the </w:t>
      </w:r>
      <w:r w:rsidRPr="0000157D">
        <w:rPr>
          <w:i/>
          <w:szCs w:val="22"/>
        </w:rPr>
        <w:t>Amendment of List of Exempt Native Specimens – Western Australian Pilbara Trap Managed Fishery, January 2024</w:t>
      </w:r>
      <w:r w:rsidRPr="0000157D">
        <w:rPr>
          <w:szCs w:val="22"/>
        </w:rPr>
        <w:t>.</w:t>
      </w:r>
    </w:p>
    <w:p w:rsidR="00AB186F" w:rsidRPr="0000157D" w:rsidRDefault="00AB186F" w:rsidP="00AB186F">
      <w:pPr>
        <w:rPr>
          <w:szCs w:val="22"/>
        </w:rPr>
      </w:pPr>
      <w:r w:rsidRPr="0000157D">
        <w:rPr>
          <w:szCs w:val="22"/>
        </w:rPr>
        <w:t xml:space="preserve">This compilation was editorially changed to omit the Schedule 1 entry for the </w:t>
      </w:r>
      <w:r w:rsidRPr="0000157D">
        <w:rPr>
          <w:rFonts w:eastAsia="Times New Roman"/>
          <w:color w:val="000000"/>
          <w:szCs w:val="22"/>
          <w:lang w:eastAsia="en-AU"/>
        </w:rPr>
        <w:t>Western Australian Pilbara Trap Managed Fishery</w:t>
      </w:r>
      <w:r w:rsidRPr="0000157D">
        <w:rPr>
          <w:szCs w:val="22"/>
        </w:rPr>
        <w:t xml:space="preserve"> and give effect to the misdescribed amendment as intended.</w:t>
      </w:r>
    </w:p>
    <w:p w:rsidR="009763AD" w:rsidRDefault="009763AD" w:rsidP="001A5DA5">
      <w:pPr>
        <w:pStyle w:val="Head2"/>
        <w:keepLines/>
        <w:spacing w:after="240"/>
      </w:pPr>
      <w:r w:rsidRPr="00B16BE4">
        <w:lastRenderedPageBreak/>
        <w:t>Basin Plan 2012</w:t>
      </w:r>
      <w:r>
        <w:t xml:space="preserve">, Compilation No. 9, Registration Date: </w:t>
      </w:r>
      <w:r w:rsidR="00CB5911">
        <w:t>2</w:t>
      </w:r>
      <w:r>
        <w:t> </w:t>
      </w:r>
      <w:r w:rsidR="00CB5911">
        <w:t>February</w:t>
      </w:r>
      <w:r>
        <w:t xml:space="preserve"> 2024 [</w:t>
      </w:r>
      <w:r w:rsidR="00CB5911" w:rsidRPr="00CB5911">
        <w:t>F2024C00124</w:t>
      </w:r>
      <w:r>
        <w:t>]</w:t>
      </w:r>
    </w:p>
    <w:p w:rsidR="00CB5911" w:rsidRPr="00B16BE4" w:rsidRDefault="00CB5911" w:rsidP="001A5DA5">
      <w:pPr>
        <w:keepNext/>
        <w:keepLines/>
        <w:spacing w:after="240"/>
        <w:rPr>
          <w:b/>
          <w:sz w:val="24"/>
          <w:szCs w:val="24"/>
        </w:rPr>
      </w:pPr>
      <w:r w:rsidRPr="00B16BE4">
        <w:rPr>
          <w:b/>
          <w:sz w:val="24"/>
          <w:szCs w:val="24"/>
        </w:rPr>
        <w:t>Paragraph 7.01(2)(a)</w:t>
      </w:r>
    </w:p>
    <w:p w:rsidR="00CB5911" w:rsidRPr="00B16BE4" w:rsidRDefault="00CB5911" w:rsidP="001A5DA5">
      <w:pPr>
        <w:keepNext/>
        <w:keepLines/>
        <w:spacing w:after="240"/>
        <w:rPr>
          <w:b/>
        </w:rPr>
      </w:pPr>
      <w:r w:rsidRPr="00B16BE4">
        <w:rPr>
          <w:b/>
        </w:rPr>
        <w:t>Kind of editorial change</w:t>
      </w:r>
    </w:p>
    <w:p w:rsidR="00CB5911" w:rsidRPr="00B16BE4" w:rsidRDefault="00CB5911" w:rsidP="00CB5911">
      <w:pPr>
        <w:spacing w:after="240"/>
      </w:pPr>
      <w:r w:rsidRPr="00B16BE4">
        <w:t>Change to punctuation</w:t>
      </w:r>
    </w:p>
    <w:p w:rsidR="00CB5911" w:rsidRPr="00B16BE4" w:rsidRDefault="00CB5911" w:rsidP="00CB5911">
      <w:pPr>
        <w:spacing w:after="240"/>
        <w:rPr>
          <w:b/>
        </w:rPr>
      </w:pPr>
      <w:r w:rsidRPr="00B16BE4">
        <w:rPr>
          <w:b/>
        </w:rPr>
        <w:t>Details of editorial change</w:t>
      </w:r>
    </w:p>
    <w:p w:rsidR="00CB5911" w:rsidRPr="00B16BE4" w:rsidRDefault="00CB5911" w:rsidP="00CB5911">
      <w:pPr>
        <w:spacing w:after="240"/>
      </w:pPr>
      <w:r w:rsidRPr="00B16BE4">
        <w:t xml:space="preserve">Schedule 2 item 13 of the </w:t>
      </w:r>
      <w:r w:rsidRPr="00B16BE4">
        <w:rPr>
          <w:i/>
        </w:rPr>
        <w:t>Water Amendment (Restoring Our Rivers) Act 2023</w:t>
      </w:r>
      <w:r w:rsidRPr="00B16BE4">
        <w:t xml:space="preserve"> provides as follows:</w:t>
      </w:r>
    </w:p>
    <w:p w:rsidR="00CB5911" w:rsidRPr="00B16BE4" w:rsidRDefault="00CB5911" w:rsidP="00CB5911">
      <w:pPr>
        <w:pStyle w:val="ItemHead"/>
      </w:pPr>
      <w:bookmarkStart w:id="51" w:name="_Hlk157675285"/>
      <w:r w:rsidRPr="00B16BE4">
        <w:t>13  After paragraph 7.01(2)(a)</w:t>
      </w:r>
    </w:p>
    <w:p w:rsidR="00CB5911" w:rsidRPr="00B16BE4" w:rsidRDefault="00CB5911" w:rsidP="00CB5911">
      <w:pPr>
        <w:pStyle w:val="Item"/>
      </w:pPr>
      <w:r w:rsidRPr="00B16BE4">
        <w:t>Insert:</w:t>
      </w:r>
    </w:p>
    <w:p w:rsidR="00CB5911" w:rsidRPr="00B16BE4" w:rsidRDefault="00CB5911" w:rsidP="00CB5911">
      <w:pPr>
        <w:pStyle w:val="paragraph"/>
      </w:pPr>
      <w:r w:rsidRPr="00B16BE4">
        <w:tab/>
        <w:t>; (b)</w:t>
      </w:r>
      <w:r w:rsidRPr="00B16BE4">
        <w:tab/>
        <w:t>new acquisitions of held environmental water that was previously used for consumptive purposes (Part 2); or</w:t>
      </w:r>
    </w:p>
    <w:bookmarkEnd w:id="51"/>
    <w:p w:rsidR="00CB5911" w:rsidRPr="00B16BE4" w:rsidRDefault="00CB5911" w:rsidP="00CB5911">
      <w:pPr>
        <w:spacing w:before="240" w:after="240"/>
      </w:pPr>
      <w:r w:rsidRPr="00B16BE4">
        <w:t>This amendment results in a redundant semicolon at the end of paragraph 7.01(2)(a).</w:t>
      </w:r>
    </w:p>
    <w:p w:rsidR="00CB5911" w:rsidRPr="00B16BE4" w:rsidRDefault="00CB5911" w:rsidP="00CB5911">
      <w:pPr>
        <w:spacing w:after="240"/>
      </w:pPr>
      <w:r w:rsidRPr="00B16BE4">
        <w:t>This compilation was editorially changed to omit the redundant semicolon at the end of paragraph 7.01(2)(a) to correct the punctuation.</w:t>
      </w:r>
    </w:p>
    <w:p w:rsidR="00CB5911" w:rsidRPr="00B16BE4" w:rsidRDefault="00CB5911" w:rsidP="006C2018">
      <w:pPr>
        <w:keepNext/>
        <w:spacing w:after="240"/>
        <w:rPr>
          <w:b/>
          <w:sz w:val="24"/>
          <w:szCs w:val="24"/>
        </w:rPr>
      </w:pPr>
      <w:r w:rsidRPr="00B16BE4">
        <w:rPr>
          <w:b/>
          <w:sz w:val="24"/>
          <w:szCs w:val="24"/>
        </w:rPr>
        <w:t>Subsection 7.15(1) (note)</w:t>
      </w:r>
    </w:p>
    <w:p w:rsidR="00CB5911" w:rsidRPr="00B16BE4" w:rsidRDefault="00CB5911" w:rsidP="006C2018">
      <w:pPr>
        <w:keepNext/>
        <w:spacing w:after="240"/>
        <w:rPr>
          <w:b/>
        </w:rPr>
      </w:pPr>
      <w:r w:rsidRPr="00B16BE4">
        <w:rPr>
          <w:b/>
        </w:rPr>
        <w:t>Kind of editorial change</w:t>
      </w:r>
    </w:p>
    <w:p w:rsidR="00CB5911" w:rsidRPr="00B16BE4" w:rsidRDefault="00CB5911" w:rsidP="006C2018">
      <w:pPr>
        <w:keepNext/>
        <w:spacing w:after="240"/>
      </w:pPr>
      <w:r w:rsidRPr="00B16BE4">
        <w:t>Changes to punctuation</w:t>
      </w:r>
    </w:p>
    <w:p w:rsidR="00CB5911" w:rsidRPr="00B16BE4" w:rsidRDefault="00CB5911" w:rsidP="00CB5911">
      <w:pPr>
        <w:spacing w:after="240"/>
        <w:rPr>
          <w:b/>
        </w:rPr>
      </w:pPr>
      <w:r w:rsidRPr="00B16BE4">
        <w:rPr>
          <w:b/>
        </w:rPr>
        <w:t>Details of editorial change</w:t>
      </w:r>
    </w:p>
    <w:p w:rsidR="00CB5911" w:rsidRPr="00B16BE4" w:rsidRDefault="00CB5911" w:rsidP="00CB5911">
      <w:pPr>
        <w:spacing w:after="240"/>
      </w:pPr>
      <w:r w:rsidRPr="00B16BE4">
        <w:t xml:space="preserve">Schedule 2 item 36 of the </w:t>
      </w:r>
      <w:r w:rsidRPr="00B16BE4">
        <w:rPr>
          <w:i/>
        </w:rPr>
        <w:t>Water Amendment (Restoring Our Rivers) Act 2023</w:t>
      </w:r>
      <w:r w:rsidRPr="00B16BE4">
        <w:t xml:space="preserve"> provides as follows:</w:t>
      </w:r>
    </w:p>
    <w:p w:rsidR="00CB5911" w:rsidRPr="00B16BE4" w:rsidRDefault="00CB5911" w:rsidP="00CB5911">
      <w:pPr>
        <w:pStyle w:val="ItemHead"/>
      </w:pPr>
      <w:r w:rsidRPr="00B16BE4">
        <w:t>36  Subsection 7.15(1) (note)</w:t>
      </w:r>
    </w:p>
    <w:p w:rsidR="00CB5911" w:rsidRPr="00B16BE4" w:rsidRDefault="00CB5911" w:rsidP="00CB5911">
      <w:pPr>
        <w:pStyle w:val="Item"/>
      </w:pPr>
      <w:r w:rsidRPr="00B16BE4">
        <w:t>After “section 7.12”, insert “</w:t>
      </w:r>
      <w:bookmarkStart w:id="52" w:name="_Hlk157506377"/>
      <w:r w:rsidRPr="00B16BE4">
        <w:t>The additional supply measures were not included in this provision at the time adjustments were proposed under section 7.10.</w:t>
      </w:r>
      <w:bookmarkEnd w:id="52"/>
      <w:r w:rsidRPr="00B16BE4">
        <w:t>”.</w:t>
      </w:r>
    </w:p>
    <w:p w:rsidR="00CB5911" w:rsidRPr="00B16BE4" w:rsidRDefault="00CB5911" w:rsidP="00CB5911">
      <w:pPr>
        <w:spacing w:before="240"/>
      </w:pPr>
      <w:r w:rsidRPr="00B16BE4">
        <w:t>This amendment results in no full stop after “</w:t>
      </w:r>
      <w:r w:rsidRPr="00B16BE4">
        <w:rPr>
          <w:rFonts w:cs="Times New Roman"/>
          <w:color w:val="000000"/>
        </w:rPr>
        <w:t>section 7.12” in the note to subsection 7.15(1) and two full stops at the end of the note to subsection 7.15(1).</w:t>
      </w:r>
    </w:p>
    <w:p w:rsidR="00CB5911" w:rsidRPr="00B16BE4" w:rsidRDefault="00CB5911" w:rsidP="00CB5911">
      <w:pPr>
        <w:spacing w:before="240" w:after="240"/>
      </w:pPr>
      <w:r w:rsidRPr="00B16BE4">
        <w:t>This compilation was editorially changed to insert a full stop after “</w:t>
      </w:r>
      <w:r w:rsidRPr="00B16BE4">
        <w:rPr>
          <w:rFonts w:cs="Times New Roman"/>
          <w:color w:val="000000"/>
        </w:rPr>
        <w:t>section 7.12” in the note to subsection 7.15(1) and to</w:t>
      </w:r>
      <w:r w:rsidRPr="00B16BE4">
        <w:t xml:space="preserve"> omit the redundant full stop at the end of the note </w:t>
      </w:r>
      <w:r w:rsidRPr="00B16BE4">
        <w:rPr>
          <w:rFonts w:cs="Times New Roman"/>
          <w:color w:val="000000"/>
        </w:rPr>
        <w:t>to subsection 7.15(1)</w:t>
      </w:r>
      <w:r w:rsidRPr="00B16BE4">
        <w:t xml:space="preserve"> to correct the punctuation.</w:t>
      </w:r>
    </w:p>
    <w:p w:rsidR="00CB5911" w:rsidRPr="00B16BE4" w:rsidRDefault="00CB5911" w:rsidP="00EE5570">
      <w:pPr>
        <w:keepNext/>
        <w:spacing w:after="240"/>
        <w:rPr>
          <w:b/>
          <w:sz w:val="24"/>
          <w:szCs w:val="24"/>
        </w:rPr>
      </w:pPr>
      <w:r w:rsidRPr="00B16BE4">
        <w:rPr>
          <w:b/>
          <w:sz w:val="24"/>
          <w:szCs w:val="24"/>
        </w:rPr>
        <w:t xml:space="preserve">Subsection 7.15(2) (paragraph (b) of the definition of </w:t>
      </w:r>
      <w:r w:rsidRPr="00B16BE4">
        <w:rPr>
          <w:b/>
          <w:i/>
          <w:sz w:val="24"/>
          <w:szCs w:val="24"/>
        </w:rPr>
        <w:t>applicable method</w:t>
      </w:r>
      <w:r w:rsidRPr="00B16BE4">
        <w:rPr>
          <w:b/>
          <w:sz w:val="24"/>
          <w:szCs w:val="24"/>
        </w:rPr>
        <w:t>)</w:t>
      </w:r>
    </w:p>
    <w:p w:rsidR="00CB5911" w:rsidRPr="00B16BE4" w:rsidRDefault="00CB5911" w:rsidP="00CB5911">
      <w:pPr>
        <w:spacing w:after="240"/>
        <w:rPr>
          <w:b/>
        </w:rPr>
      </w:pPr>
      <w:r w:rsidRPr="00B16BE4">
        <w:rPr>
          <w:b/>
        </w:rPr>
        <w:t>Kind of editorial change</w:t>
      </w:r>
    </w:p>
    <w:p w:rsidR="00CB5911" w:rsidRPr="00B16BE4" w:rsidRDefault="00CB5911" w:rsidP="00CB5911">
      <w:pPr>
        <w:spacing w:after="240"/>
      </w:pPr>
      <w:r w:rsidRPr="00B16BE4">
        <w:rPr>
          <w:rFonts w:cs="Times New Roman"/>
          <w:szCs w:val="22"/>
        </w:rPr>
        <w:t>Give effect to the misdescribed amendment as intended</w:t>
      </w:r>
    </w:p>
    <w:p w:rsidR="00CB5911" w:rsidRPr="00B16BE4" w:rsidRDefault="00CB5911" w:rsidP="00CB5911">
      <w:pPr>
        <w:spacing w:after="240"/>
        <w:rPr>
          <w:b/>
        </w:rPr>
      </w:pPr>
      <w:r w:rsidRPr="00B16BE4">
        <w:rPr>
          <w:b/>
        </w:rPr>
        <w:t>Details of editorial change</w:t>
      </w:r>
    </w:p>
    <w:p w:rsidR="00CB5911" w:rsidRPr="00B16BE4" w:rsidRDefault="00CB5911" w:rsidP="00CB5911">
      <w:pPr>
        <w:spacing w:after="240"/>
      </w:pPr>
      <w:r w:rsidRPr="00B16BE4">
        <w:t xml:space="preserve">Schedule 2 item 37 of the </w:t>
      </w:r>
      <w:r w:rsidRPr="00B16BE4">
        <w:rPr>
          <w:i/>
        </w:rPr>
        <w:t>Water Amendment (Restoring Our Rivers) Act 2023</w:t>
      </w:r>
      <w:r w:rsidRPr="00B16BE4">
        <w:t xml:space="preserve"> provides as follows:</w:t>
      </w:r>
    </w:p>
    <w:p w:rsidR="00CB5911" w:rsidRPr="00B16BE4" w:rsidRDefault="00CB5911" w:rsidP="00CB5911">
      <w:pPr>
        <w:pStyle w:val="ItemHead"/>
      </w:pPr>
      <w:bookmarkStart w:id="53" w:name="_Hlk157678159"/>
      <w:r w:rsidRPr="00B16BE4">
        <w:lastRenderedPageBreak/>
        <w:t>37  Paragraph 7.15(2)(b)</w:t>
      </w:r>
    </w:p>
    <w:p w:rsidR="00CB5911" w:rsidRPr="00B16BE4" w:rsidRDefault="00CB5911" w:rsidP="00CB5911">
      <w:pPr>
        <w:pStyle w:val="Item"/>
      </w:pPr>
      <w:r w:rsidRPr="00B16BE4">
        <w:t>Repeal the paragraph, substitute:</w:t>
      </w:r>
    </w:p>
    <w:p w:rsidR="00CB5911" w:rsidRPr="00B16BE4" w:rsidRDefault="00CB5911" w:rsidP="00CB5911">
      <w:pPr>
        <w:pStyle w:val="paragraph"/>
      </w:pPr>
      <w:r w:rsidRPr="00B16BE4">
        <w:tab/>
        <w:t>(b)</w:t>
      </w:r>
      <w:r w:rsidRPr="00B16BE4">
        <w:tab/>
        <w:t>if the Authority, having consulted the Basin Officials Committee, decides that another method is preferable—that method.</w:t>
      </w:r>
    </w:p>
    <w:bookmarkEnd w:id="53"/>
    <w:p w:rsidR="00CB5911" w:rsidRPr="00B16BE4" w:rsidRDefault="00CB5911" w:rsidP="00CB5911">
      <w:pPr>
        <w:spacing w:before="240" w:after="240"/>
      </w:pPr>
      <w:r w:rsidRPr="00B16BE4">
        <w:t>Paragraph 7.15(2)(b) appears three times in subsection 7.15(2).</w:t>
      </w:r>
    </w:p>
    <w:p w:rsidR="00CB5911" w:rsidRPr="00B16BE4" w:rsidRDefault="00CB5911" w:rsidP="00CB5911">
      <w:r w:rsidRPr="00B16BE4">
        <w:t xml:space="preserve">This compilation was editorially changed to repeal and substitute paragraph (b) of the definition of </w:t>
      </w:r>
      <w:r w:rsidRPr="00B16BE4">
        <w:rPr>
          <w:rFonts w:cs="Times New Roman"/>
          <w:b/>
          <w:i/>
        </w:rPr>
        <w:t>applicable method</w:t>
      </w:r>
      <w:r w:rsidRPr="00B16BE4">
        <w:rPr>
          <w:rFonts w:cs="Times New Roman"/>
        </w:rPr>
        <w:t xml:space="preserve"> </w:t>
      </w:r>
      <w:r w:rsidRPr="00B16BE4">
        <w:t>in subsection 7.15(2) to give effect to the misdescribed amendment as intended.</w:t>
      </w:r>
    </w:p>
    <w:p w:rsidR="00744644" w:rsidRDefault="00744644" w:rsidP="006C2018">
      <w:pPr>
        <w:pStyle w:val="Head2"/>
        <w:keepLines/>
        <w:spacing w:after="240"/>
      </w:pPr>
      <w:r w:rsidRPr="00DB7959">
        <w:t>Telecommunications (Designated Service Area and Statutory Infrastructure Provider) Declaration (No.</w:t>
      </w:r>
      <w:r w:rsidR="00CA710C">
        <w:t> </w:t>
      </w:r>
      <w:r w:rsidRPr="00DB7959">
        <w:t>1) 2020</w:t>
      </w:r>
      <w:r>
        <w:t>, Compilation No. 8, Registration Date: 30 January 2024 [</w:t>
      </w:r>
      <w:r w:rsidRPr="00744644">
        <w:t>F2024C00113</w:t>
      </w:r>
      <w:r>
        <w:t>]</w:t>
      </w:r>
    </w:p>
    <w:p w:rsidR="00CA710C" w:rsidRPr="00DB7959" w:rsidRDefault="00CA710C" w:rsidP="006C2018">
      <w:pPr>
        <w:keepNext/>
        <w:keepLines/>
        <w:spacing w:after="240"/>
        <w:rPr>
          <w:b/>
          <w:sz w:val="24"/>
          <w:szCs w:val="24"/>
        </w:rPr>
      </w:pPr>
      <w:r w:rsidRPr="00DB7959">
        <w:rPr>
          <w:b/>
          <w:sz w:val="24"/>
          <w:szCs w:val="24"/>
        </w:rPr>
        <w:t>Schedule 6A</w:t>
      </w:r>
    </w:p>
    <w:p w:rsidR="00CA710C" w:rsidRPr="00DB7959" w:rsidRDefault="00CA710C" w:rsidP="006C2018">
      <w:pPr>
        <w:keepNext/>
        <w:keepLines/>
        <w:spacing w:after="240"/>
        <w:rPr>
          <w:b/>
        </w:rPr>
      </w:pPr>
      <w:r w:rsidRPr="00DB7959">
        <w:rPr>
          <w:b/>
        </w:rPr>
        <w:t>Kind of editorial change</w:t>
      </w:r>
    </w:p>
    <w:p w:rsidR="00CA710C" w:rsidRPr="00DB7959" w:rsidRDefault="00CA710C" w:rsidP="006C2018">
      <w:pPr>
        <w:keepNext/>
        <w:keepLines/>
        <w:spacing w:after="240"/>
      </w:pPr>
      <w:r w:rsidRPr="00DB7959">
        <w:t>Correct an error arising out of an amendment of an instrument</w:t>
      </w:r>
    </w:p>
    <w:p w:rsidR="00CA710C" w:rsidRPr="00DB7959" w:rsidRDefault="00CA710C" w:rsidP="006C2018">
      <w:pPr>
        <w:keepNext/>
        <w:keepLines/>
        <w:spacing w:after="240"/>
        <w:rPr>
          <w:b/>
        </w:rPr>
      </w:pPr>
      <w:r w:rsidRPr="00DB7959">
        <w:rPr>
          <w:b/>
        </w:rPr>
        <w:t>Details of editorial change</w:t>
      </w:r>
    </w:p>
    <w:p w:rsidR="00CA710C" w:rsidRPr="00DB7959" w:rsidRDefault="00CA710C" w:rsidP="00CA710C">
      <w:pPr>
        <w:spacing w:after="240"/>
      </w:pPr>
      <w:r w:rsidRPr="00DB7959">
        <w:t xml:space="preserve">Schedule 1 item 3 of the </w:t>
      </w:r>
      <w:r w:rsidRPr="00DB7959">
        <w:rPr>
          <w:i/>
        </w:rPr>
        <w:t>Telecommunications (Designated Service Area and Statutory Infrastructure Provider) Amendment Declaration (No. 1) 2023</w:t>
      </w:r>
      <w:r w:rsidRPr="00DB7959">
        <w:t xml:space="preserve"> provides as follows:</w:t>
      </w:r>
    </w:p>
    <w:p w:rsidR="00CA710C" w:rsidRPr="00DB7959" w:rsidRDefault="00CA710C" w:rsidP="00CA710C">
      <w:pPr>
        <w:pStyle w:val="ItemHead"/>
      </w:pPr>
      <w:r w:rsidRPr="00DB7959">
        <w:t>3  After Schedule 6</w:t>
      </w:r>
    </w:p>
    <w:p w:rsidR="00CA710C" w:rsidRPr="00DB7959" w:rsidRDefault="00CA710C" w:rsidP="00CA710C">
      <w:pPr>
        <w:pStyle w:val="Item"/>
      </w:pPr>
      <w:r w:rsidRPr="00DB7959">
        <w:t>Insert:</w:t>
      </w:r>
    </w:p>
    <w:p w:rsidR="00CA710C" w:rsidRPr="00DB7959" w:rsidRDefault="00CA710C" w:rsidP="00CA710C">
      <w:pPr>
        <w:pStyle w:val="Item"/>
        <w:ind w:left="0"/>
      </w:pPr>
    </w:p>
    <w:p w:rsidR="00CA710C" w:rsidRPr="00DB7959" w:rsidRDefault="00CA710C" w:rsidP="00CA710C">
      <w:pPr>
        <w:shd w:val="clear" w:color="auto" w:fill="FFFFFF"/>
        <w:spacing w:before="80" w:line="240" w:lineRule="auto"/>
        <w:rPr>
          <w:rFonts w:eastAsia="Times New Roman" w:cs="Times New Roman"/>
          <w:color w:val="000000"/>
          <w:szCs w:val="22"/>
          <w:lang w:eastAsia="en-AU"/>
        </w:rPr>
      </w:pPr>
      <w:r w:rsidRPr="00DB7959">
        <w:rPr>
          <w:rFonts w:ascii="Arial" w:eastAsia="Times New Roman" w:hAnsi="Arial" w:cs="Arial"/>
          <w:b/>
          <w:bCs/>
          <w:color w:val="000000"/>
          <w:sz w:val="32"/>
          <w:szCs w:val="32"/>
          <w:lang w:eastAsia="en-AU"/>
        </w:rPr>
        <w:t>Schedule 6A— Gtelecom Pty Ltd</w:t>
      </w:r>
    </w:p>
    <w:p w:rsidR="00CA710C" w:rsidRPr="00DB7959" w:rsidRDefault="00CA710C" w:rsidP="00CA710C">
      <w:pPr>
        <w:shd w:val="clear" w:color="auto" w:fill="FFFFFF"/>
        <w:spacing w:before="60" w:line="240" w:lineRule="auto"/>
        <w:rPr>
          <w:rFonts w:eastAsia="Times New Roman" w:cs="Times New Roman"/>
          <w:color w:val="000000"/>
          <w:szCs w:val="22"/>
          <w:lang w:eastAsia="en-AU"/>
        </w:rPr>
      </w:pPr>
      <w:r w:rsidRPr="00DB7959">
        <w:rPr>
          <w:rFonts w:eastAsia="Times New Roman" w:cs="Times New Roman"/>
          <w:b/>
          <w:bCs/>
          <w:color w:val="000000"/>
          <w:sz w:val="20"/>
          <w:lang w:eastAsia="en-AU"/>
        </w:rPr>
        <w:t>Specified areas for which Gtelecom Pty Ltd is the specified carrier and to which this declaration applies</w:t>
      </w:r>
    </w:p>
    <w:p w:rsidR="00CA710C" w:rsidRPr="00DB7959" w:rsidRDefault="00CA710C" w:rsidP="00CA710C">
      <w:pPr>
        <w:pStyle w:val="Item"/>
      </w:pPr>
      <w:r w:rsidRPr="00DB7959">
        <w:t>Insert:</w:t>
      </w:r>
    </w:p>
    <w:tbl>
      <w:tblPr>
        <w:tblW w:w="8336" w:type="dxa"/>
        <w:shd w:val="clear" w:color="auto" w:fill="FFFFFF"/>
        <w:tblLayout w:type="fixed"/>
        <w:tblCellMar>
          <w:left w:w="0" w:type="dxa"/>
          <w:right w:w="0" w:type="dxa"/>
        </w:tblCellMar>
        <w:tblLook w:val="04A0" w:firstRow="1" w:lastRow="0" w:firstColumn="1" w:lastColumn="0" w:noHBand="0" w:noVBand="1"/>
      </w:tblPr>
      <w:tblGrid>
        <w:gridCol w:w="495"/>
        <w:gridCol w:w="1625"/>
        <w:gridCol w:w="6216"/>
      </w:tblGrid>
      <w:tr w:rsidR="00CA710C" w:rsidRPr="00DB7959" w:rsidTr="00FF501F">
        <w:trPr>
          <w:trHeight w:val="21"/>
        </w:trPr>
        <w:tc>
          <w:tcPr>
            <w:tcW w:w="495"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rsidR="00CA710C" w:rsidRPr="00DB7959" w:rsidRDefault="00CA710C" w:rsidP="00D3141E">
            <w:pPr>
              <w:spacing w:before="60" w:line="240" w:lineRule="atLeast"/>
              <w:rPr>
                <w:rFonts w:eastAsia="Times New Roman" w:cs="Times New Roman"/>
                <w:color w:val="000000"/>
                <w:lang w:eastAsia="en-AU"/>
              </w:rPr>
            </w:pPr>
            <w:r w:rsidRPr="00DB7959">
              <w:rPr>
                <w:rFonts w:eastAsia="Times New Roman" w:cs="Times New Roman"/>
                <w:color w:val="000000"/>
                <w:sz w:val="20"/>
                <w:lang w:eastAsia="en-AU"/>
              </w:rPr>
              <w:t>1</w:t>
            </w:r>
          </w:p>
        </w:tc>
        <w:tc>
          <w:tcPr>
            <w:tcW w:w="1625"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rsidR="00CA710C" w:rsidRPr="00DB7959" w:rsidRDefault="00CA710C" w:rsidP="00D3141E">
            <w:pPr>
              <w:spacing w:before="60" w:line="240" w:lineRule="atLeast"/>
              <w:rPr>
                <w:rFonts w:eastAsia="Times New Roman" w:cs="Times New Roman"/>
                <w:color w:val="000000"/>
                <w:lang w:eastAsia="en-AU"/>
              </w:rPr>
            </w:pPr>
            <w:r w:rsidRPr="00DB7959">
              <w:rPr>
                <w:rFonts w:eastAsia="Times New Roman" w:cs="Times New Roman"/>
                <w:color w:val="000000"/>
                <w:sz w:val="20"/>
                <w:lang w:eastAsia="en-AU"/>
              </w:rPr>
              <w:t>416 Smith Street, Collingwood, VIC 3066)</w:t>
            </w:r>
          </w:p>
        </w:tc>
        <w:tc>
          <w:tcPr>
            <w:tcW w:w="6216"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rsidR="00CA710C" w:rsidRPr="00DB7959" w:rsidRDefault="00CA710C" w:rsidP="00D3141E">
            <w:pPr>
              <w:rPr>
                <w:rFonts w:cs="Times New Roman"/>
                <w:color w:val="000000"/>
                <w:sz w:val="20"/>
              </w:rPr>
            </w:pPr>
            <w:r w:rsidRPr="00DB7959">
              <w:rPr>
                <w:rFonts w:cs="Times New Roman"/>
                <w:color w:val="000000"/>
                <w:sz w:val="20"/>
              </w:rPr>
              <w:t xml:space="preserve">POLYGON ((144.9849508702755 </w:t>
            </w:r>
            <w:r>
              <w:rPr>
                <w:rFonts w:cs="Times New Roman"/>
                <w:color w:val="000000"/>
                <w:sz w:val="20"/>
              </w:rPr>
              <w:noBreakHyphen/>
            </w:r>
            <w:r w:rsidRPr="00DB7959">
              <w:rPr>
                <w:rFonts w:cs="Times New Roman"/>
                <w:color w:val="000000"/>
                <w:sz w:val="20"/>
              </w:rPr>
              <w:t xml:space="preserve">37.795895570016256,144.9853800237179 </w:t>
            </w:r>
            <w:r>
              <w:rPr>
                <w:rFonts w:cs="Times New Roman"/>
                <w:color w:val="000000"/>
                <w:sz w:val="20"/>
              </w:rPr>
              <w:noBreakHyphen/>
            </w:r>
            <w:r w:rsidRPr="00DB7959">
              <w:rPr>
                <w:rFonts w:cs="Times New Roman"/>
                <w:color w:val="000000"/>
                <w:sz w:val="20"/>
              </w:rPr>
              <w:t xml:space="preserve">37.79594113879333,144.98540684580803 </w:t>
            </w:r>
            <w:r>
              <w:rPr>
                <w:rFonts w:cs="Times New Roman"/>
                <w:color w:val="000000"/>
                <w:sz w:val="20"/>
              </w:rPr>
              <w:noBreakHyphen/>
            </w:r>
            <w:r w:rsidRPr="00DB7959">
              <w:rPr>
                <w:rFonts w:cs="Times New Roman"/>
                <w:color w:val="000000"/>
                <w:sz w:val="20"/>
              </w:rPr>
              <w:t xml:space="preserve">37.795815029783384,144.9856348335743 </w:t>
            </w:r>
            <w:r>
              <w:rPr>
                <w:rFonts w:cs="Times New Roman"/>
                <w:color w:val="000000"/>
                <w:sz w:val="20"/>
              </w:rPr>
              <w:noBreakHyphen/>
            </w:r>
            <w:r w:rsidRPr="00DB7959">
              <w:rPr>
                <w:rFonts w:cs="Times New Roman"/>
                <w:color w:val="000000"/>
                <w:sz w:val="20"/>
              </w:rPr>
              <w:t xml:space="preserve">37.795841523290726,144.98557180166245 </w:t>
            </w:r>
            <w:r>
              <w:rPr>
                <w:rFonts w:cs="Times New Roman"/>
                <w:color w:val="000000"/>
                <w:sz w:val="20"/>
              </w:rPr>
              <w:noBreakHyphen/>
            </w:r>
            <w:r w:rsidRPr="00DB7959">
              <w:rPr>
                <w:rFonts w:cs="Times New Roman"/>
                <w:color w:val="000000"/>
                <w:sz w:val="20"/>
              </w:rPr>
              <w:t xml:space="preserve">37.79619335616743,144.98490527272224 </w:t>
            </w:r>
            <w:r>
              <w:rPr>
                <w:rFonts w:cs="Times New Roman"/>
                <w:color w:val="000000"/>
                <w:sz w:val="20"/>
              </w:rPr>
              <w:noBreakHyphen/>
            </w:r>
            <w:r w:rsidRPr="00DB7959">
              <w:rPr>
                <w:rFonts w:cs="Times New Roman"/>
                <w:color w:val="000000"/>
                <w:sz w:val="20"/>
              </w:rPr>
              <w:t xml:space="preserve">37.79611811494007,144.9849508702755 </w:t>
            </w:r>
            <w:r>
              <w:rPr>
                <w:rFonts w:cs="Times New Roman"/>
                <w:color w:val="000000"/>
                <w:sz w:val="20"/>
              </w:rPr>
              <w:noBreakHyphen/>
            </w:r>
            <w:r w:rsidRPr="00DB7959">
              <w:rPr>
                <w:rFonts w:cs="Times New Roman"/>
                <w:color w:val="000000"/>
                <w:sz w:val="20"/>
              </w:rPr>
              <w:t>37.795895570016256))</w:t>
            </w:r>
          </w:p>
        </w:tc>
      </w:tr>
      <w:tr w:rsidR="00CA710C" w:rsidRPr="00DB7959" w:rsidTr="00EE5570">
        <w:trPr>
          <w:cantSplit/>
          <w:trHeight w:val="21"/>
        </w:trPr>
        <w:tc>
          <w:tcPr>
            <w:tcW w:w="495" w:type="dxa"/>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rsidR="00CA710C" w:rsidRPr="00DB7959" w:rsidRDefault="00CA710C" w:rsidP="00D3141E">
            <w:pPr>
              <w:spacing w:before="60" w:line="240" w:lineRule="atLeast"/>
              <w:rPr>
                <w:rFonts w:eastAsia="Times New Roman" w:cs="Times New Roman"/>
                <w:color w:val="000000"/>
                <w:sz w:val="20"/>
                <w:lang w:eastAsia="en-AU"/>
              </w:rPr>
            </w:pPr>
            <w:r w:rsidRPr="00DB7959">
              <w:rPr>
                <w:rFonts w:eastAsia="Times New Roman" w:cs="Times New Roman"/>
                <w:color w:val="000000"/>
                <w:sz w:val="20"/>
                <w:lang w:eastAsia="en-AU"/>
              </w:rPr>
              <w:t>2</w:t>
            </w:r>
          </w:p>
        </w:tc>
        <w:tc>
          <w:tcPr>
            <w:tcW w:w="1625" w:type="dxa"/>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rsidR="00CA710C" w:rsidRPr="00DB7959" w:rsidRDefault="00CA710C" w:rsidP="00D3141E">
            <w:pPr>
              <w:spacing w:before="60" w:line="240" w:lineRule="atLeast"/>
              <w:rPr>
                <w:rFonts w:eastAsia="Times New Roman" w:cs="Times New Roman"/>
                <w:color w:val="000000"/>
                <w:sz w:val="20"/>
                <w:lang w:eastAsia="en-AU"/>
              </w:rPr>
            </w:pPr>
            <w:r w:rsidRPr="00DB7959">
              <w:rPr>
                <w:rFonts w:eastAsia="Times New Roman" w:cs="Times New Roman"/>
                <w:color w:val="000000"/>
                <w:sz w:val="20"/>
                <w:lang w:eastAsia="en-AU"/>
              </w:rPr>
              <w:t>41</w:t>
            </w:r>
            <w:r>
              <w:rPr>
                <w:rFonts w:eastAsia="Times New Roman" w:cs="Times New Roman"/>
                <w:color w:val="000000"/>
                <w:sz w:val="20"/>
                <w:lang w:eastAsia="en-AU"/>
              </w:rPr>
              <w:noBreakHyphen/>
            </w:r>
            <w:r w:rsidRPr="00DB7959">
              <w:rPr>
                <w:rFonts w:eastAsia="Times New Roman" w:cs="Times New Roman"/>
                <w:color w:val="000000"/>
                <w:sz w:val="20"/>
                <w:lang w:eastAsia="en-AU"/>
              </w:rPr>
              <w:t>55 Leakes Road, Laverton North, VIC 3026</w:t>
            </w:r>
          </w:p>
        </w:tc>
        <w:tc>
          <w:tcPr>
            <w:tcW w:w="6216" w:type="dxa"/>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rsidR="00CA710C" w:rsidRPr="00DB7959" w:rsidRDefault="00CA710C" w:rsidP="00D3141E">
            <w:pPr>
              <w:spacing w:before="100" w:beforeAutospacing="1" w:after="100" w:afterAutospacing="1"/>
              <w:rPr>
                <w:rFonts w:cs="Times New Roman"/>
                <w:sz w:val="20"/>
              </w:rPr>
            </w:pPr>
            <w:r w:rsidRPr="00DB7959">
              <w:rPr>
                <w:rFonts w:cs="Times New Roman"/>
                <w:sz w:val="20"/>
              </w:rPr>
              <w:t xml:space="preserve">POLYGON ((144.76926505565643 </w:t>
            </w:r>
            <w:r>
              <w:rPr>
                <w:rFonts w:cs="Times New Roman"/>
                <w:sz w:val="20"/>
              </w:rPr>
              <w:noBreakHyphen/>
            </w:r>
            <w:r w:rsidRPr="00DB7959">
              <w:rPr>
                <w:rFonts w:cs="Times New Roman"/>
                <w:sz w:val="20"/>
              </w:rPr>
              <w:t xml:space="preserve">37.84244552447756,144.76935088634488 </w:t>
            </w:r>
            <w:r>
              <w:rPr>
                <w:rFonts w:cs="Times New Roman"/>
                <w:sz w:val="20"/>
              </w:rPr>
              <w:noBreakHyphen/>
            </w:r>
            <w:r w:rsidRPr="00DB7959">
              <w:rPr>
                <w:rFonts w:cs="Times New Roman"/>
                <w:sz w:val="20"/>
              </w:rPr>
              <w:t xml:space="preserve">37.84215322023907,144.77069735527039 </w:t>
            </w:r>
            <w:r>
              <w:rPr>
                <w:rFonts w:cs="Times New Roman"/>
                <w:sz w:val="20"/>
              </w:rPr>
              <w:noBreakHyphen/>
            </w:r>
            <w:r w:rsidRPr="00DB7959">
              <w:rPr>
                <w:rFonts w:cs="Times New Roman"/>
                <w:sz w:val="20"/>
              </w:rPr>
              <w:t xml:space="preserve">37.84241163419044,144.77060079574582 </w:t>
            </w:r>
            <w:r>
              <w:rPr>
                <w:rFonts w:cs="Times New Roman"/>
                <w:sz w:val="20"/>
              </w:rPr>
              <w:noBreakHyphen/>
            </w:r>
            <w:r w:rsidRPr="00DB7959">
              <w:rPr>
                <w:rFonts w:cs="Times New Roman"/>
                <w:sz w:val="20"/>
              </w:rPr>
              <w:t xml:space="preserve">37.84270605553977,144.76926505565643 </w:t>
            </w:r>
            <w:r>
              <w:rPr>
                <w:rFonts w:cs="Times New Roman"/>
                <w:sz w:val="20"/>
              </w:rPr>
              <w:noBreakHyphen/>
            </w:r>
            <w:r w:rsidRPr="00DB7959">
              <w:rPr>
                <w:rFonts w:cs="Times New Roman"/>
                <w:sz w:val="20"/>
              </w:rPr>
              <w:t>37.84244552447756))</w:t>
            </w:r>
          </w:p>
        </w:tc>
      </w:tr>
    </w:tbl>
    <w:p w:rsidR="00CA710C" w:rsidRPr="00DB7959" w:rsidRDefault="00CA710C" w:rsidP="00CA710C">
      <w:pPr>
        <w:spacing w:before="240" w:after="240"/>
      </w:pPr>
      <w:r w:rsidRPr="00DB7959">
        <w:t>This amendment results in the text “Insert:” appearing before table item 1 of Schedule 6A.</w:t>
      </w:r>
    </w:p>
    <w:p w:rsidR="00CA710C" w:rsidRPr="00DB7959" w:rsidRDefault="00CA710C" w:rsidP="00CA710C">
      <w:r w:rsidRPr="00DB7959">
        <w:t>This compilation was editorially changed to omit “Insert:” from Schedule 6A to correct the error arising out of the amendment of the instrument.</w:t>
      </w:r>
    </w:p>
    <w:p w:rsidR="007709D9" w:rsidRDefault="000A70ED" w:rsidP="00D159F3">
      <w:pPr>
        <w:pStyle w:val="Head2"/>
        <w:keepLines/>
        <w:spacing w:after="240"/>
      </w:pPr>
      <w:r w:rsidRPr="00AB759A">
        <w:lastRenderedPageBreak/>
        <w:t>Health Insurance (</w:t>
      </w:r>
      <w:r>
        <w:t>Section 3</w:t>
      </w:r>
      <w:r w:rsidRPr="00AB759A">
        <w:t>C Co</w:t>
      </w:r>
      <w:r>
        <w:noBreakHyphen/>
      </w:r>
      <w:r w:rsidRPr="00AB759A">
        <w:t xml:space="preserve">Dependent Pathology Services) </w:t>
      </w:r>
      <w:r>
        <w:t>Determination 2</w:t>
      </w:r>
      <w:r w:rsidRPr="00AB759A">
        <w:t>018</w:t>
      </w:r>
      <w:r w:rsidR="007709D9">
        <w:t>, Compilation No. </w:t>
      </w:r>
      <w:r>
        <w:t>2</w:t>
      </w:r>
      <w:r w:rsidR="007709D9">
        <w:t>1, Registration Date: 2</w:t>
      </w:r>
      <w:r>
        <w:t>9</w:t>
      </w:r>
      <w:r w:rsidR="007709D9">
        <w:t> January 2024 [</w:t>
      </w:r>
      <w:r w:rsidRPr="000A70ED">
        <w:t>F2024C00110</w:t>
      </w:r>
      <w:r w:rsidR="007709D9">
        <w:t>]</w:t>
      </w:r>
    </w:p>
    <w:p w:rsidR="000A70ED" w:rsidRPr="004549F1" w:rsidRDefault="000A70ED" w:rsidP="00D159F3">
      <w:pPr>
        <w:keepNext/>
        <w:keepLines/>
        <w:spacing w:after="240"/>
        <w:rPr>
          <w:b/>
          <w:sz w:val="24"/>
          <w:szCs w:val="24"/>
        </w:rPr>
      </w:pPr>
      <w:r>
        <w:rPr>
          <w:b/>
          <w:sz w:val="24"/>
          <w:szCs w:val="24"/>
        </w:rPr>
        <w:t>Schedule 1</w:t>
      </w:r>
    </w:p>
    <w:p w:rsidR="000A70ED" w:rsidRPr="004549F1" w:rsidRDefault="000A70ED" w:rsidP="00D159F3">
      <w:pPr>
        <w:keepNext/>
        <w:keepLines/>
        <w:spacing w:after="240"/>
        <w:rPr>
          <w:b/>
        </w:rPr>
      </w:pPr>
      <w:r w:rsidRPr="004549F1">
        <w:rPr>
          <w:b/>
        </w:rPr>
        <w:t>Kind of editorial change</w:t>
      </w:r>
    </w:p>
    <w:p w:rsidR="000A70ED" w:rsidRPr="0018341F" w:rsidRDefault="000A70ED" w:rsidP="00D159F3">
      <w:pPr>
        <w:keepNext/>
        <w:keepLines/>
        <w:spacing w:after="240"/>
      </w:pPr>
      <w:r w:rsidRPr="00E2562F">
        <w:t>Give effect to the misdescribed amendment as intended</w:t>
      </w:r>
    </w:p>
    <w:p w:rsidR="000A70ED" w:rsidRPr="004549F1" w:rsidRDefault="000A70ED" w:rsidP="00D159F3">
      <w:pPr>
        <w:keepNext/>
        <w:keepLines/>
        <w:spacing w:after="240"/>
        <w:rPr>
          <w:b/>
        </w:rPr>
      </w:pPr>
      <w:r w:rsidRPr="004549F1">
        <w:rPr>
          <w:b/>
        </w:rPr>
        <w:t>Details of editorial change</w:t>
      </w:r>
    </w:p>
    <w:p w:rsidR="000A70ED" w:rsidRDefault="000A70ED" w:rsidP="000A70ED">
      <w:pPr>
        <w:spacing w:after="240"/>
      </w:pPr>
      <w:r>
        <w:t xml:space="preserve">Schedule 1 item 1 of the </w:t>
      </w:r>
      <w:r w:rsidRPr="000B2334">
        <w:rPr>
          <w:i/>
        </w:rPr>
        <w:t>Health Insurance (Section 3C Co-Dependent Pathology) Amendment (No. 3) Determination 2023</w:t>
      </w:r>
      <w:r>
        <w:t xml:space="preserve"> instructs to insert table item 73307 after table item 73306 of Schedule 1.</w:t>
      </w:r>
    </w:p>
    <w:p w:rsidR="000A70ED" w:rsidRDefault="000A70ED" w:rsidP="000A70ED">
      <w:pPr>
        <w:spacing w:after="240"/>
      </w:pPr>
      <w:r>
        <w:t>Table item 73306 does not appear in Schedule 1.</w:t>
      </w:r>
    </w:p>
    <w:p w:rsidR="000A70ED" w:rsidRDefault="000A70ED" w:rsidP="000A70ED">
      <w:r>
        <w:t>This compilation was editorially changed to insert table item 73307 in the correct numerical order in Schedule 1 to give effect to the misdescribed amendment as intended.</w:t>
      </w:r>
    </w:p>
    <w:p w:rsidR="00C172C9" w:rsidRDefault="00C172C9" w:rsidP="00C172C9">
      <w:pPr>
        <w:pStyle w:val="Head2"/>
        <w:keepLines/>
        <w:spacing w:after="240"/>
      </w:pPr>
      <w:r w:rsidRPr="00357753">
        <w:t>Corporations Act 2001</w:t>
      </w:r>
      <w:r>
        <w:t>, Compilation No.</w:t>
      </w:r>
      <w:r w:rsidR="005B528C">
        <w:t> </w:t>
      </w:r>
      <w:r>
        <w:t xml:space="preserve">128, Registration Date: </w:t>
      </w:r>
      <w:r w:rsidR="005B528C">
        <w:t>24 </w:t>
      </w:r>
      <w:r>
        <w:t>January 2024 [</w:t>
      </w:r>
      <w:r w:rsidR="00803C82" w:rsidRPr="00803C82">
        <w:t>C2024C00044</w:t>
      </w:r>
      <w:r>
        <w:t>]</w:t>
      </w:r>
    </w:p>
    <w:p w:rsidR="00BF5812" w:rsidRPr="004549F1" w:rsidRDefault="00BF5812" w:rsidP="00BF5812">
      <w:pPr>
        <w:spacing w:after="240"/>
        <w:rPr>
          <w:b/>
          <w:sz w:val="24"/>
          <w:szCs w:val="24"/>
        </w:rPr>
      </w:pPr>
      <w:r>
        <w:rPr>
          <w:b/>
          <w:sz w:val="24"/>
          <w:szCs w:val="24"/>
        </w:rPr>
        <w:t>Paragraph 1071D(6)(b)</w:t>
      </w:r>
    </w:p>
    <w:p w:rsidR="00BF5812" w:rsidRPr="004549F1" w:rsidRDefault="00BF5812" w:rsidP="00BF5812">
      <w:pPr>
        <w:spacing w:after="240"/>
        <w:rPr>
          <w:b/>
        </w:rPr>
      </w:pPr>
      <w:r w:rsidRPr="004549F1">
        <w:rPr>
          <w:b/>
        </w:rPr>
        <w:t>Kind of editorial change</w:t>
      </w:r>
    </w:p>
    <w:p w:rsidR="00BF5812" w:rsidRPr="0018341F" w:rsidRDefault="00BF5812" w:rsidP="00BF5812">
      <w:pPr>
        <w:spacing w:after="240"/>
      </w:pPr>
      <w:r w:rsidRPr="00943BCF">
        <w:t>Give effect to the misdescribed amendment as intended</w:t>
      </w:r>
    </w:p>
    <w:p w:rsidR="00BF5812" w:rsidRPr="004549F1" w:rsidRDefault="00BF5812" w:rsidP="00BF5812">
      <w:pPr>
        <w:spacing w:after="240"/>
        <w:rPr>
          <w:b/>
        </w:rPr>
      </w:pPr>
      <w:r w:rsidRPr="004549F1">
        <w:rPr>
          <w:b/>
        </w:rPr>
        <w:t>Details of editorial change</w:t>
      </w:r>
    </w:p>
    <w:p w:rsidR="00BF5812" w:rsidRDefault="00BF5812" w:rsidP="00BF5812">
      <w:pPr>
        <w:spacing w:after="240"/>
      </w:pPr>
      <w:r>
        <w:t xml:space="preserve">Schedule 1 item 103 of the </w:t>
      </w:r>
      <w:r w:rsidRPr="00737915">
        <w:rPr>
          <w:i/>
        </w:rPr>
        <w:t>Treasury Laws Amendment (Modernising Business Communications and Other Measures) Act 2023</w:t>
      </w:r>
      <w:r>
        <w:t xml:space="preserve"> instructs to o</w:t>
      </w:r>
      <w:r w:rsidRPr="00204867">
        <w:t>mit all the words after “and”</w:t>
      </w:r>
      <w:r>
        <w:t xml:space="preserve"> and</w:t>
      </w:r>
      <w:r w:rsidRPr="00204867">
        <w:t xml:space="preserve"> substitute “by publishing a notice in any other manner the company thinks fit”</w:t>
      </w:r>
      <w:r>
        <w:t xml:space="preserve"> in paragraph 1071D(6)(b).</w:t>
      </w:r>
    </w:p>
    <w:p w:rsidR="00BF5812" w:rsidRDefault="00BF5812" w:rsidP="00BF5812">
      <w:pPr>
        <w:spacing w:after="240"/>
      </w:pPr>
      <w:r>
        <w:t>The word “and” appears twice in paragraph 1071D(6)(b).</w:t>
      </w:r>
    </w:p>
    <w:p w:rsidR="00BF5812" w:rsidRPr="004549F1" w:rsidRDefault="00BF5812" w:rsidP="00BF5812">
      <w:r>
        <w:t xml:space="preserve">This compilation was editorially changed to omit </w:t>
      </w:r>
      <w:r w:rsidRPr="00204867">
        <w:t>all the words after</w:t>
      </w:r>
      <w:r>
        <w:t xml:space="preserve"> “and” (first occurring) and</w:t>
      </w:r>
      <w:r w:rsidRPr="00204867">
        <w:t xml:space="preserve"> substitute “by publishing a notice in any other manner the company thinks fit”</w:t>
      </w:r>
      <w:r>
        <w:t xml:space="preserve"> in paragraph 1071D(6)(b) to give effect to the misdescribed amendment as intended.</w:t>
      </w:r>
    </w:p>
    <w:p w:rsidR="009B6969" w:rsidRDefault="009B6969" w:rsidP="00D159F3">
      <w:pPr>
        <w:pStyle w:val="Head2"/>
        <w:keepLines/>
        <w:spacing w:after="240"/>
      </w:pPr>
      <w:r w:rsidRPr="009B6969">
        <w:lastRenderedPageBreak/>
        <w:t>National Redress Scheme for Institutional Child Sexual Abuse Declaration 2018</w:t>
      </w:r>
      <w:r>
        <w:t>, Compilation No.</w:t>
      </w:r>
      <w:r w:rsidR="005B528C">
        <w:t> </w:t>
      </w:r>
      <w:r>
        <w:t>68, Registration Date: 18</w:t>
      </w:r>
      <w:r w:rsidR="005B528C">
        <w:t> </w:t>
      </w:r>
      <w:r>
        <w:t>January 2024 [</w:t>
      </w:r>
      <w:r w:rsidRPr="009B6969">
        <w:t>F2024C00077</w:t>
      </w:r>
      <w:r>
        <w:t>]</w:t>
      </w:r>
    </w:p>
    <w:p w:rsidR="006D62AB" w:rsidRDefault="006D62AB" w:rsidP="00D159F3">
      <w:pPr>
        <w:keepNext/>
        <w:keepLines/>
        <w:spacing w:after="240"/>
        <w:rPr>
          <w:b/>
          <w:sz w:val="24"/>
          <w:szCs w:val="24"/>
        </w:rPr>
      </w:pPr>
      <w:r>
        <w:rPr>
          <w:b/>
          <w:sz w:val="24"/>
          <w:szCs w:val="24"/>
        </w:rPr>
        <w:t>Subsection 15(1) (table item 17, column 1)</w:t>
      </w:r>
    </w:p>
    <w:p w:rsidR="006D62AB" w:rsidRDefault="006D62AB" w:rsidP="00D159F3">
      <w:pPr>
        <w:keepNext/>
        <w:keepLines/>
        <w:spacing w:after="240"/>
        <w:rPr>
          <w:b/>
        </w:rPr>
      </w:pPr>
      <w:r>
        <w:rPr>
          <w:b/>
        </w:rPr>
        <w:t>Kind of editorial change</w:t>
      </w:r>
    </w:p>
    <w:p w:rsidR="006D62AB" w:rsidRDefault="006D62AB" w:rsidP="00D159F3">
      <w:pPr>
        <w:keepNext/>
        <w:keepLines/>
        <w:spacing w:after="240"/>
      </w:pPr>
      <w:r>
        <w:t>Change to grammar, syntax or the use of conjunctives or disjunctives</w:t>
      </w:r>
    </w:p>
    <w:p w:rsidR="006D62AB" w:rsidRDefault="006D62AB" w:rsidP="00D159F3">
      <w:pPr>
        <w:keepNext/>
        <w:keepLines/>
        <w:spacing w:after="240"/>
        <w:rPr>
          <w:b/>
        </w:rPr>
      </w:pPr>
      <w:r>
        <w:rPr>
          <w:b/>
        </w:rPr>
        <w:t>Details of editorial change</w:t>
      </w:r>
    </w:p>
    <w:p w:rsidR="006D62AB" w:rsidRDefault="006D62AB" w:rsidP="006D62AB">
      <w:pPr>
        <w:spacing w:after="240"/>
      </w:pPr>
      <w:r>
        <w:t xml:space="preserve">Schedule 1 item 6 of the </w:t>
      </w:r>
      <w:r>
        <w:rPr>
          <w:i/>
        </w:rPr>
        <w:t>National Redress Scheme for Institutional Child Sexual Abuse Amendment (2023 Measures No. 7) Declaration 2023</w:t>
      </w:r>
      <w:r>
        <w:t xml:space="preserve"> provides as follows:</w:t>
      </w:r>
    </w:p>
    <w:p w:rsidR="006D62AB" w:rsidRDefault="006D62AB" w:rsidP="006D62AB">
      <w:pPr>
        <w:pStyle w:val="ItemHead"/>
        <w:ind w:left="426" w:hanging="426"/>
      </w:pPr>
      <w:r>
        <w:t>6</w:t>
      </w:r>
      <w:r>
        <w:tab/>
        <w:t>Subsection 15(1) (table item 17, column 1)</w:t>
      </w:r>
    </w:p>
    <w:p w:rsidR="006D62AB" w:rsidRDefault="006D62AB" w:rsidP="006D62AB">
      <w:pPr>
        <w:pStyle w:val="Item"/>
        <w:spacing w:after="240"/>
        <w:ind w:left="425"/>
      </w:pPr>
      <w:r>
        <w:t>After the words “All Baptist Churches of Victoria institutions as at” insert the words “paragraphs (a) to (al), (an) to (ba), (bc) to (dm) and (do) to (ik)”.</w:t>
      </w:r>
    </w:p>
    <w:p w:rsidR="006D62AB" w:rsidRDefault="006D62AB" w:rsidP="006D62AB">
      <w:pPr>
        <w:spacing w:after="240"/>
      </w:pPr>
      <w:r>
        <w:t>This amendment results in the phrase “paragraphs (a) to (al), (an) to (ba), (bc) to (dm) and (do) to (ik) Item 30”.</w:t>
      </w:r>
    </w:p>
    <w:p w:rsidR="006D62AB" w:rsidRDefault="006D62AB" w:rsidP="006D62AB">
      <w:pPr>
        <w:spacing w:after="240"/>
      </w:pPr>
      <w:r>
        <w:t>This compilation was editorially changed to insert the word “of” before “Item 30” to correct the grammatical error.</w:t>
      </w:r>
    </w:p>
    <w:p w:rsidR="006D62AB" w:rsidRDefault="006D62AB" w:rsidP="006D62AB">
      <w:pPr>
        <w:spacing w:after="240"/>
        <w:rPr>
          <w:b/>
          <w:sz w:val="24"/>
          <w:szCs w:val="24"/>
        </w:rPr>
      </w:pPr>
      <w:r>
        <w:rPr>
          <w:b/>
          <w:sz w:val="24"/>
          <w:szCs w:val="24"/>
        </w:rPr>
        <w:t>Schedule 1 (table item 306)</w:t>
      </w:r>
    </w:p>
    <w:p w:rsidR="006D62AB" w:rsidRDefault="006D62AB" w:rsidP="006D62AB">
      <w:pPr>
        <w:spacing w:after="240"/>
        <w:rPr>
          <w:b/>
        </w:rPr>
      </w:pPr>
      <w:r>
        <w:rPr>
          <w:b/>
        </w:rPr>
        <w:t>Kind of editorial change</w:t>
      </w:r>
    </w:p>
    <w:p w:rsidR="006D62AB" w:rsidRDefault="006D62AB" w:rsidP="006D62AB">
      <w:pPr>
        <w:spacing w:after="240"/>
      </w:pPr>
      <w:r>
        <w:t>Give effect to the misdescribed amendment as intended</w:t>
      </w:r>
    </w:p>
    <w:p w:rsidR="006D62AB" w:rsidRDefault="006D62AB" w:rsidP="006D62AB">
      <w:pPr>
        <w:spacing w:after="240"/>
        <w:rPr>
          <w:b/>
        </w:rPr>
      </w:pPr>
      <w:r>
        <w:rPr>
          <w:b/>
        </w:rPr>
        <w:t>Details of editorial change</w:t>
      </w:r>
    </w:p>
    <w:p w:rsidR="006D62AB" w:rsidRDefault="006D62AB" w:rsidP="006D62AB">
      <w:pPr>
        <w:spacing w:after="240"/>
      </w:pPr>
      <w:r>
        <w:t xml:space="preserve">Schedule 1 item 14 of the </w:t>
      </w:r>
      <w:r>
        <w:rPr>
          <w:i/>
        </w:rPr>
        <w:t>National Redress Scheme for Institutional Child Sexual Abuse Amendment (2023 Measures No. 7) Declaration 2023</w:t>
      </w:r>
      <w:r>
        <w:t xml:space="preserve"> instructs to omit column 1 of table item 306 in Schedule 1.</w:t>
      </w:r>
    </w:p>
    <w:p w:rsidR="006D62AB" w:rsidRDefault="006D62AB" w:rsidP="006D62AB">
      <w:pPr>
        <w:spacing w:after="240"/>
      </w:pPr>
      <w:r>
        <w:t>The instruction refers to “table item 306, column 1” rather than “table item 306”.</w:t>
      </w:r>
    </w:p>
    <w:p w:rsidR="006D62AB" w:rsidRDefault="006D62AB" w:rsidP="006D62AB">
      <w:r>
        <w:t>This compilation was editorially changed to omit the whole of table item 306 in Schedule 1 to give effect to the misdescribed amendment as intended.</w:t>
      </w:r>
    </w:p>
    <w:p w:rsidR="00024EE9" w:rsidRDefault="00AC35F6" w:rsidP="005F3A2E">
      <w:pPr>
        <w:pStyle w:val="Head2"/>
        <w:keepLines/>
        <w:spacing w:after="240"/>
      </w:pPr>
      <w:r w:rsidRPr="00AC35F6">
        <w:lastRenderedPageBreak/>
        <w:t>VET Student Loans (Courses and Loan Caps) Determination 2016</w:t>
      </w:r>
      <w:r>
        <w:t>, Compilation No.</w:t>
      </w:r>
      <w:r w:rsidR="005B528C">
        <w:t> </w:t>
      </w:r>
      <w:r>
        <w:t>14, Registration Date: 16</w:t>
      </w:r>
      <w:r w:rsidR="005B528C">
        <w:t> </w:t>
      </w:r>
      <w:r>
        <w:t>January 2024 [</w:t>
      </w:r>
      <w:r w:rsidR="00024EE9" w:rsidRPr="00024EE9">
        <w:t>F2024C00056</w:t>
      </w:r>
      <w:r w:rsidR="00024EE9">
        <w:t>]</w:t>
      </w:r>
    </w:p>
    <w:p w:rsidR="00024EE9" w:rsidRPr="00097DE2" w:rsidRDefault="00024EE9" w:rsidP="005F3A2E">
      <w:pPr>
        <w:keepNext/>
        <w:keepLines/>
        <w:spacing w:after="240"/>
        <w:rPr>
          <w:b/>
          <w:sz w:val="24"/>
          <w:szCs w:val="24"/>
        </w:rPr>
      </w:pPr>
      <w:r w:rsidRPr="00097DE2">
        <w:rPr>
          <w:b/>
          <w:sz w:val="24"/>
          <w:szCs w:val="24"/>
        </w:rPr>
        <w:t>S</w:t>
      </w:r>
      <w:r>
        <w:rPr>
          <w:b/>
          <w:sz w:val="24"/>
          <w:szCs w:val="24"/>
        </w:rPr>
        <w:t>chedule 3 (table item 1)</w:t>
      </w:r>
    </w:p>
    <w:p w:rsidR="00024EE9" w:rsidRPr="00097DE2" w:rsidRDefault="00024EE9" w:rsidP="005F3A2E">
      <w:pPr>
        <w:keepNext/>
        <w:keepLines/>
        <w:spacing w:after="240"/>
        <w:rPr>
          <w:b/>
        </w:rPr>
      </w:pPr>
      <w:r w:rsidRPr="00097DE2">
        <w:rPr>
          <w:b/>
        </w:rPr>
        <w:t>Kind of editorial change</w:t>
      </w:r>
    </w:p>
    <w:p w:rsidR="00024EE9" w:rsidRPr="00097DE2" w:rsidRDefault="00024EE9" w:rsidP="005F3A2E">
      <w:pPr>
        <w:keepNext/>
        <w:keepLines/>
        <w:spacing w:after="240"/>
      </w:pPr>
      <w:r w:rsidRPr="00097DE2">
        <w:t>Give effect to the misdescribed amendment as intended</w:t>
      </w:r>
    </w:p>
    <w:p w:rsidR="00024EE9" w:rsidRPr="00097DE2" w:rsidRDefault="00024EE9" w:rsidP="005F3A2E">
      <w:pPr>
        <w:keepNext/>
        <w:keepLines/>
        <w:spacing w:after="240"/>
        <w:rPr>
          <w:b/>
        </w:rPr>
      </w:pPr>
      <w:r w:rsidRPr="00097DE2">
        <w:rPr>
          <w:b/>
        </w:rPr>
        <w:t>Details of editorial change</w:t>
      </w:r>
    </w:p>
    <w:p w:rsidR="00024EE9" w:rsidRPr="00097DE2" w:rsidRDefault="00024EE9" w:rsidP="00024EE9">
      <w:pPr>
        <w:spacing w:after="240"/>
      </w:pPr>
      <w:r w:rsidRPr="00097DE2">
        <w:rPr>
          <w:rStyle w:val="CharAmSchNo"/>
        </w:rPr>
        <w:t>Schedule 1 item 1</w:t>
      </w:r>
      <w:r>
        <w:rPr>
          <w:rStyle w:val="CharAmSchNo"/>
        </w:rPr>
        <w:t>4</w:t>
      </w:r>
      <w:r w:rsidRPr="00097DE2">
        <w:rPr>
          <w:rStyle w:val="CharAmSchNo"/>
        </w:rPr>
        <w:t xml:space="preserve"> of t</w:t>
      </w:r>
      <w:r w:rsidRPr="00097DE2">
        <w:t xml:space="preserve">he </w:t>
      </w:r>
      <w:r>
        <w:rPr>
          <w:i/>
          <w:iCs/>
        </w:rPr>
        <w:t>VET Student Loans (Courses and Loan Caps) Amendment Determination (No. 2) 2023</w:t>
      </w:r>
      <w:r w:rsidRPr="00097DE2">
        <w:t xml:space="preserve"> instructs</w:t>
      </w:r>
      <w:r>
        <w:t xml:space="preserve">, in part, </w:t>
      </w:r>
      <w:r w:rsidRPr="00097DE2">
        <w:t xml:space="preserve">to omit </w:t>
      </w:r>
      <w:r>
        <w:t>table item 1 of Schedule 3</w:t>
      </w:r>
      <w:r w:rsidRPr="00097DE2">
        <w:t>.</w:t>
      </w:r>
    </w:p>
    <w:p w:rsidR="00024EE9" w:rsidRPr="00097DE2" w:rsidRDefault="00024EE9" w:rsidP="00024EE9">
      <w:pPr>
        <w:spacing w:after="240"/>
      </w:pPr>
      <w:r w:rsidRPr="00097DE2">
        <w:t xml:space="preserve">The text </w:t>
      </w:r>
      <w:r>
        <w:t>contained in the column headed “</w:t>
      </w:r>
      <w:r w:rsidRPr="00140AB4">
        <w:rPr>
          <w:b/>
        </w:rPr>
        <w:t>Course or qualification name</w:t>
      </w:r>
      <w:r w:rsidRPr="002D4DE9">
        <w:t>”</w:t>
      </w:r>
      <w:r>
        <w:t xml:space="preserve"> </w:t>
      </w:r>
      <w:r w:rsidRPr="00097DE2">
        <w:t xml:space="preserve">in </w:t>
      </w:r>
      <w:r>
        <w:t>table item 1 of Schedule 3</w:t>
      </w:r>
      <w:r w:rsidRPr="00097DE2">
        <w:t xml:space="preserve"> does not exactly match the text to be omitted as outlined in Schedule 1 item 1</w:t>
      </w:r>
      <w:r>
        <w:t>4</w:t>
      </w:r>
      <w:r w:rsidRPr="00097DE2">
        <w:t xml:space="preserve"> of the </w:t>
      </w:r>
      <w:r>
        <w:rPr>
          <w:i/>
          <w:iCs/>
        </w:rPr>
        <w:t>VET Student Loans (Courses and Loan Caps) Amendment Determination (No. 2) 2023</w:t>
      </w:r>
      <w:r w:rsidRPr="00097DE2">
        <w:t>.</w:t>
      </w:r>
    </w:p>
    <w:p w:rsidR="00024EE9" w:rsidRDefault="00024EE9" w:rsidP="00024EE9">
      <w:r w:rsidRPr="00097DE2">
        <w:t xml:space="preserve">This compilation was editorially changed to omit </w:t>
      </w:r>
      <w:r>
        <w:t>table item 1 of Schedule 3</w:t>
      </w:r>
      <w:r w:rsidRPr="00097DE2">
        <w:t xml:space="preserve"> to give effect to the misdescribed amendment as intended</w:t>
      </w:r>
      <w:r>
        <w:t>.</w:t>
      </w:r>
    </w:p>
    <w:p w:rsidR="00122A5D" w:rsidRDefault="008B7E8B" w:rsidP="004D1D3B">
      <w:pPr>
        <w:pStyle w:val="Head2"/>
        <w:keepLines/>
        <w:spacing w:after="240"/>
      </w:pPr>
      <w:r w:rsidRPr="008B7E8B">
        <w:t>Safety, Rehabilitation and Compensation Act 1988</w:t>
      </w:r>
      <w:r>
        <w:t xml:space="preserve">, Compilation </w:t>
      </w:r>
      <w:r w:rsidR="00122A5D">
        <w:t>No.</w:t>
      </w:r>
      <w:r w:rsidR="005B528C">
        <w:t> </w:t>
      </w:r>
      <w:r w:rsidR="00122A5D">
        <w:t>77, Registration Date: 9</w:t>
      </w:r>
      <w:r w:rsidR="005B528C">
        <w:t> </w:t>
      </w:r>
      <w:r w:rsidR="00122A5D">
        <w:t>January 2024</w:t>
      </w:r>
      <w:r w:rsidR="002C4F12">
        <w:t xml:space="preserve"> [</w:t>
      </w:r>
      <w:r w:rsidR="002C4F12" w:rsidRPr="002C4F12">
        <w:t>C2024C00027</w:t>
      </w:r>
      <w:r w:rsidR="002C4F12">
        <w:t>]</w:t>
      </w:r>
    </w:p>
    <w:p w:rsidR="009B6249" w:rsidRPr="004549F1" w:rsidRDefault="009B6249" w:rsidP="009B6249">
      <w:pPr>
        <w:spacing w:after="240"/>
        <w:rPr>
          <w:b/>
          <w:sz w:val="24"/>
          <w:szCs w:val="24"/>
        </w:rPr>
      </w:pPr>
      <w:r>
        <w:rPr>
          <w:b/>
          <w:sz w:val="24"/>
          <w:szCs w:val="24"/>
        </w:rPr>
        <w:t>Section 123</w:t>
      </w:r>
    </w:p>
    <w:p w:rsidR="009B6249" w:rsidRPr="004549F1" w:rsidRDefault="009B6249" w:rsidP="009B6249">
      <w:pPr>
        <w:spacing w:after="240"/>
        <w:rPr>
          <w:b/>
        </w:rPr>
      </w:pPr>
      <w:r w:rsidRPr="004549F1">
        <w:rPr>
          <w:b/>
        </w:rPr>
        <w:t>Kind of editorial change</w:t>
      </w:r>
    </w:p>
    <w:p w:rsidR="009B6249" w:rsidRPr="00AD0805" w:rsidRDefault="009B6249" w:rsidP="009B6249">
      <w:pPr>
        <w:spacing w:after="240"/>
      </w:pPr>
      <w:r>
        <w:rPr>
          <w:color w:val="000000"/>
          <w:szCs w:val="22"/>
          <w:shd w:val="clear" w:color="auto" w:fill="FFFFFF"/>
        </w:rPr>
        <w:t>Reordering of definitions</w:t>
      </w:r>
    </w:p>
    <w:p w:rsidR="009B6249" w:rsidRPr="004549F1" w:rsidRDefault="009B6249" w:rsidP="009B6249">
      <w:pPr>
        <w:spacing w:after="240"/>
        <w:rPr>
          <w:b/>
        </w:rPr>
      </w:pPr>
      <w:r w:rsidRPr="004549F1">
        <w:rPr>
          <w:b/>
        </w:rPr>
        <w:t>Details of editorial change</w:t>
      </w:r>
    </w:p>
    <w:p w:rsidR="009B6249" w:rsidRDefault="009B6249" w:rsidP="009B6249">
      <w:r>
        <w:rPr>
          <w:color w:val="000000"/>
          <w:szCs w:val="22"/>
          <w:shd w:val="clear" w:color="auto" w:fill="FFFFFF"/>
        </w:rPr>
        <w:t xml:space="preserve">This compilation was editorially changed to move the definition of </w:t>
      </w:r>
      <w:r>
        <w:rPr>
          <w:b/>
          <w:i/>
        </w:rPr>
        <w:t>1971 amount</w:t>
      </w:r>
      <w:r w:rsidRPr="0031719C">
        <w:t xml:space="preserve"> </w:t>
      </w:r>
      <w:r>
        <w:rPr>
          <w:color w:val="000000"/>
          <w:szCs w:val="22"/>
          <w:shd w:val="clear" w:color="auto" w:fill="FFFFFF"/>
        </w:rPr>
        <w:t>in section 123 to the correct alphabetical position.</w:t>
      </w:r>
    </w:p>
    <w:p w:rsidR="00AD5793" w:rsidRDefault="000033B7" w:rsidP="004D1D3B">
      <w:pPr>
        <w:pStyle w:val="Head2"/>
        <w:keepLines/>
        <w:spacing w:after="240"/>
      </w:pPr>
      <w:r w:rsidRPr="000033B7">
        <w:t>Australian Apprenticeship Support Loans Act 2014</w:t>
      </w:r>
      <w:r w:rsidR="00AD5793">
        <w:t>, Compilation No.</w:t>
      </w:r>
      <w:r w:rsidR="005B528C">
        <w:t> </w:t>
      </w:r>
      <w:r w:rsidR="00AD5793">
        <w:t>5, Registration Date: 5</w:t>
      </w:r>
      <w:r w:rsidR="005B528C">
        <w:t> </w:t>
      </w:r>
      <w:r w:rsidR="00AD5793">
        <w:t>January 2024 [</w:t>
      </w:r>
      <w:r w:rsidR="00AD5793" w:rsidRPr="00AD5793">
        <w:t>C2024C00020</w:t>
      </w:r>
      <w:r w:rsidR="00AD5793">
        <w:t>]</w:t>
      </w:r>
    </w:p>
    <w:p w:rsidR="00B26667" w:rsidRPr="004549F1" w:rsidRDefault="00B26667" w:rsidP="00B26667">
      <w:pPr>
        <w:spacing w:after="240"/>
        <w:rPr>
          <w:b/>
          <w:sz w:val="24"/>
          <w:szCs w:val="24"/>
        </w:rPr>
      </w:pPr>
      <w:r>
        <w:rPr>
          <w:b/>
          <w:sz w:val="24"/>
          <w:szCs w:val="24"/>
        </w:rPr>
        <w:t>Section 3</w:t>
      </w:r>
    </w:p>
    <w:p w:rsidR="00B26667" w:rsidRPr="004549F1" w:rsidRDefault="00B26667" w:rsidP="00B26667">
      <w:pPr>
        <w:spacing w:after="240"/>
        <w:rPr>
          <w:b/>
        </w:rPr>
      </w:pPr>
      <w:r>
        <w:rPr>
          <w:b/>
        </w:rPr>
        <w:t>Kind of editorial change</w:t>
      </w:r>
    </w:p>
    <w:p w:rsidR="00B26667" w:rsidRDefault="00B26667" w:rsidP="00B26667">
      <w:pPr>
        <w:spacing w:after="240"/>
      </w:pPr>
      <w:r>
        <w:t>Change to punctuation</w:t>
      </w:r>
    </w:p>
    <w:p w:rsidR="00B26667" w:rsidRPr="004549F1" w:rsidRDefault="00B26667" w:rsidP="00B26667">
      <w:pPr>
        <w:spacing w:after="240"/>
        <w:rPr>
          <w:b/>
        </w:rPr>
      </w:pPr>
      <w:r w:rsidRPr="004549F1">
        <w:rPr>
          <w:b/>
        </w:rPr>
        <w:t>Details of editorial change</w:t>
      </w:r>
    </w:p>
    <w:p w:rsidR="00B26667" w:rsidRDefault="00B26667" w:rsidP="00B26667">
      <w:pPr>
        <w:spacing w:after="240"/>
      </w:pPr>
      <w:r>
        <w:t xml:space="preserve">The amendment made by Schedule 1 item 6 of the </w:t>
      </w:r>
      <w:r w:rsidRPr="00E826DC">
        <w:rPr>
          <w:i/>
        </w:rPr>
        <w:t>Trade Support Loans Amendment Act 2023</w:t>
      </w:r>
      <w:r>
        <w:t xml:space="preserve"> results in two full stops at the end of section 3.</w:t>
      </w:r>
    </w:p>
    <w:p w:rsidR="00B26667" w:rsidRPr="004D1346" w:rsidRDefault="00B26667" w:rsidP="00B26667">
      <w:pPr>
        <w:spacing w:after="240"/>
      </w:pPr>
      <w:r>
        <w:t>This compilation was editorially changed to omit the redundant full stop to correct the punctuation.</w:t>
      </w:r>
    </w:p>
    <w:p w:rsidR="001C369C" w:rsidRDefault="001C369C" w:rsidP="004D1D3B">
      <w:pPr>
        <w:pStyle w:val="Head2"/>
        <w:keepLines/>
        <w:spacing w:after="240"/>
      </w:pPr>
      <w:r w:rsidRPr="001C369C">
        <w:lastRenderedPageBreak/>
        <w:t>Migration (LIN 19/049: Specification of Occupations and Assessing Authorities—Subclass 186 Visa) Instrument 2019</w:t>
      </w:r>
      <w:r w:rsidR="0004199D">
        <w:t>, Compilation No.</w:t>
      </w:r>
      <w:r w:rsidR="005B528C">
        <w:t> </w:t>
      </w:r>
      <w:r w:rsidR="0004199D">
        <w:t xml:space="preserve">4, Registration Date: </w:t>
      </w:r>
      <w:r w:rsidR="006F76AE">
        <w:t>5</w:t>
      </w:r>
      <w:r w:rsidR="005B528C">
        <w:t> </w:t>
      </w:r>
      <w:r w:rsidR="006F76AE">
        <w:t>January 2024 [</w:t>
      </w:r>
      <w:r w:rsidR="006F76AE" w:rsidRPr="006F76AE">
        <w:t>F2024C00024</w:t>
      </w:r>
      <w:r w:rsidR="006F76AE">
        <w:t>]</w:t>
      </w:r>
    </w:p>
    <w:p w:rsidR="006F76AE" w:rsidRPr="00A718D0" w:rsidRDefault="006F76AE" w:rsidP="006F76AE">
      <w:pPr>
        <w:spacing w:after="240"/>
        <w:rPr>
          <w:b/>
          <w:sz w:val="24"/>
          <w:szCs w:val="24"/>
        </w:rPr>
      </w:pPr>
      <w:r w:rsidRPr="00A718D0">
        <w:rPr>
          <w:b/>
          <w:sz w:val="24"/>
          <w:szCs w:val="24"/>
        </w:rPr>
        <w:t>Section 14 (first occurring)</w:t>
      </w:r>
    </w:p>
    <w:p w:rsidR="006F76AE" w:rsidRPr="001E1B48" w:rsidRDefault="006F76AE" w:rsidP="006F76AE">
      <w:pPr>
        <w:spacing w:after="240"/>
        <w:rPr>
          <w:b/>
        </w:rPr>
      </w:pPr>
      <w:r w:rsidRPr="001E1B48">
        <w:rPr>
          <w:b/>
        </w:rPr>
        <w:t>Kind of editorial change</w:t>
      </w:r>
    </w:p>
    <w:p w:rsidR="006F76AE" w:rsidRPr="001E1B48" w:rsidRDefault="006F76AE" w:rsidP="006F76AE">
      <w:pPr>
        <w:spacing w:after="240"/>
      </w:pPr>
      <w:r w:rsidRPr="001E1B48">
        <w:t>Numbering or renumbering of provisions and reordering of provisions</w:t>
      </w:r>
    </w:p>
    <w:p w:rsidR="006F76AE" w:rsidRPr="001E1B48" w:rsidRDefault="006F76AE" w:rsidP="006F76AE">
      <w:pPr>
        <w:spacing w:after="240"/>
        <w:rPr>
          <w:b/>
        </w:rPr>
      </w:pPr>
      <w:r w:rsidRPr="001E1B48">
        <w:rPr>
          <w:b/>
        </w:rPr>
        <w:t>Details of editorial change</w:t>
      </w:r>
    </w:p>
    <w:p w:rsidR="006F76AE" w:rsidRPr="001E1B48" w:rsidRDefault="006F76AE" w:rsidP="006F76AE">
      <w:pPr>
        <w:spacing w:after="240"/>
      </w:pPr>
      <w:r w:rsidRPr="001E1B48">
        <w:t xml:space="preserve">Schedule 1 item 17 of the </w:t>
      </w:r>
      <w:r w:rsidRPr="001E1B48">
        <w:rPr>
          <w:i/>
        </w:rPr>
        <w:t>Migration Legislation Amendment (Expanding Access to Temporary Residence Transition Stream) Instrument (LIN 23/078) 2023</w:t>
      </w:r>
      <w:r w:rsidRPr="001E1B48">
        <w:t xml:space="preserve"> instructs to insert section 14 after section 13. However, a section 14 already appears.</w:t>
      </w:r>
    </w:p>
    <w:p w:rsidR="006F76AE" w:rsidRPr="001E1B48" w:rsidRDefault="006F76AE" w:rsidP="006F76AE">
      <w:pPr>
        <w:spacing w:after="240"/>
      </w:pPr>
      <w:r w:rsidRPr="001E1B48">
        <w:t>This compilation was editorially changed by renumbering the newly inserted, first occurring section 14 as section 15 and to move section 15 into the correct numerical order.</w:t>
      </w:r>
    </w:p>
    <w:p w:rsidR="004D1D3B" w:rsidRPr="008F1AF5" w:rsidRDefault="002573BF" w:rsidP="004D1D3B">
      <w:pPr>
        <w:pStyle w:val="Head2"/>
        <w:keepLines/>
        <w:spacing w:after="240"/>
        <w:rPr>
          <w:highlight w:val="yellow"/>
        </w:rPr>
      </w:pPr>
      <w:r w:rsidRPr="002573BF">
        <w:t>List of Specimens Taken to be Suitable for Live Import (29/11/2001)</w:t>
      </w:r>
      <w:r>
        <w:t>, Compilation No.</w:t>
      </w:r>
      <w:r w:rsidR="005B528C">
        <w:t> </w:t>
      </w:r>
      <w:r>
        <w:t xml:space="preserve">100, Registration Date: </w:t>
      </w:r>
      <w:r w:rsidR="00942623">
        <w:t>2</w:t>
      </w:r>
      <w:r w:rsidR="005B528C">
        <w:t> </w:t>
      </w:r>
      <w:r w:rsidR="00942623">
        <w:t>January 2024 [</w:t>
      </w:r>
      <w:r w:rsidR="00942623" w:rsidRPr="00942623">
        <w:t>F2024C00005</w:t>
      </w:r>
      <w:r w:rsidR="00942623">
        <w:t>]</w:t>
      </w:r>
    </w:p>
    <w:p w:rsidR="00180168" w:rsidRPr="00271E25" w:rsidRDefault="00180168" w:rsidP="00180168">
      <w:pPr>
        <w:spacing w:after="240"/>
        <w:rPr>
          <w:b/>
          <w:sz w:val="24"/>
          <w:szCs w:val="24"/>
        </w:rPr>
      </w:pPr>
      <w:r w:rsidRPr="00271E25">
        <w:rPr>
          <w:b/>
          <w:sz w:val="24"/>
          <w:szCs w:val="24"/>
        </w:rPr>
        <w:t>Part 2</w:t>
      </w:r>
    </w:p>
    <w:p w:rsidR="00180168" w:rsidRPr="00516CA4" w:rsidRDefault="00180168" w:rsidP="00180168">
      <w:pPr>
        <w:spacing w:after="240"/>
        <w:rPr>
          <w:b/>
          <w:szCs w:val="22"/>
        </w:rPr>
      </w:pPr>
      <w:r w:rsidRPr="00516CA4">
        <w:rPr>
          <w:b/>
          <w:szCs w:val="22"/>
        </w:rPr>
        <w:t>Kind of editorial change</w:t>
      </w:r>
    </w:p>
    <w:p w:rsidR="00180168" w:rsidRPr="00516CA4" w:rsidRDefault="00180168" w:rsidP="00180168">
      <w:pPr>
        <w:spacing w:after="240"/>
        <w:rPr>
          <w:szCs w:val="22"/>
        </w:rPr>
      </w:pPr>
      <w:r w:rsidRPr="00516CA4">
        <w:rPr>
          <w:szCs w:val="22"/>
        </w:rPr>
        <w:t>Change to spelling</w:t>
      </w:r>
    </w:p>
    <w:p w:rsidR="00180168" w:rsidRPr="00516CA4" w:rsidRDefault="00180168" w:rsidP="00180168">
      <w:pPr>
        <w:spacing w:after="240"/>
        <w:rPr>
          <w:b/>
          <w:szCs w:val="22"/>
        </w:rPr>
      </w:pPr>
      <w:r w:rsidRPr="00516CA4">
        <w:rPr>
          <w:b/>
          <w:szCs w:val="22"/>
        </w:rPr>
        <w:t>Details of editorial change</w:t>
      </w:r>
    </w:p>
    <w:p w:rsidR="00180168" w:rsidRPr="00516CA4" w:rsidRDefault="00180168" w:rsidP="00180168">
      <w:pPr>
        <w:spacing w:after="240"/>
        <w:rPr>
          <w:szCs w:val="22"/>
        </w:rPr>
      </w:pPr>
      <w:r w:rsidRPr="00516CA4">
        <w:rPr>
          <w:szCs w:val="22"/>
        </w:rPr>
        <w:t xml:space="preserve">The amendment made by the </w:t>
      </w:r>
      <w:r w:rsidRPr="00936F62">
        <w:rPr>
          <w:i/>
          <w:szCs w:val="22"/>
        </w:rPr>
        <w:t>List of Specimens Taken to be Suitable for Live Import Amendment (Sixteen species of rainbowfish) Instrument 2023</w:t>
      </w:r>
      <w:r w:rsidRPr="00516CA4">
        <w:rPr>
          <w:szCs w:val="22"/>
        </w:rPr>
        <w:t xml:space="preserve"> instructs to include the following entries in the appropriate alphabetic positions in Part 2 under the heading ‘Vertebrate Animals’, ‘Bony fishes (Osteichthyes)’:</w:t>
      </w:r>
    </w:p>
    <w:tbl>
      <w:tblPr>
        <w:tblStyle w:val="TableGrid"/>
        <w:tblW w:w="0" w:type="auto"/>
        <w:tblLook w:val="04A0" w:firstRow="1" w:lastRow="0" w:firstColumn="1" w:lastColumn="0" w:noHBand="0" w:noVBand="1"/>
      </w:tblPr>
      <w:tblGrid>
        <w:gridCol w:w="2335"/>
        <w:gridCol w:w="2275"/>
        <w:gridCol w:w="4633"/>
      </w:tblGrid>
      <w:tr w:rsidR="00180168" w:rsidRPr="00E42033" w:rsidTr="00271E25">
        <w:trPr>
          <w:tblHeader/>
        </w:trPr>
        <w:tc>
          <w:tcPr>
            <w:tcW w:w="0" w:type="auto"/>
          </w:tcPr>
          <w:p w:rsidR="00180168" w:rsidRPr="00B65D6D" w:rsidRDefault="00180168" w:rsidP="00D3141E">
            <w:pPr>
              <w:pStyle w:val="BodyText3"/>
              <w:rPr>
                <w:b/>
                <w:bCs/>
                <w:sz w:val="22"/>
                <w:szCs w:val="22"/>
              </w:rPr>
            </w:pPr>
            <w:bookmarkStart w:id="54" w:name="_Hlk153959828"/>
            <w:r w:rsidRPr="00B65D6D">
              <w:rPr>
                <w:b/>
                <w:bCs/>
                <w:sz w:val="22"/>
                <w:szCs w:val="22"/>
              </w:rPr>
              <w:t>Taxon</w:t>
            </w:r>
            <w:r w:rsidRPr="00B65D6D">
              <w:rPr>
                <w:b/>
                <w:bCs/>
                <w:sz w:val="22"/>
                <w:szCs w:val="22"/>
              </w:rPr>
              <w:br/>
            </w:r>
          </w:p>
        </w:tc>
        <w:tc>
          <w:tcPr>
            <w:tcW w:w="0" w:type="auto"/>
          </w:tcPr>
          <w:p w:rsidR="00180168" w:rsidRPr="00B65D6D" w:rsidRDefault="00180168" w:rsidP="00D3141E">
            <w:pPr>
              <w:pStyle w:val="BodyText3"/>
              <w:rPr>
                <w:b/>
                <w:bCs/>
                <w:sz w:val="22"/>
                <w:szCs w:val="22"/>
              </w:rPr>
            </w:pPr>
            <w:r w:rsidRPr="00B65D6D">
              <w:rPr>
                <w:b/>
                <w:bCs/>
                <w:sz w:val="22"/>
                <w:szCs w:val="22"/>
              </w:rPr>
              <w:t>Common Name</w:t>
            </w:r>
          </w:p>
        </w:tc>
        <w:tc>
          <w:tcPr>
            <w:tcW w:w="0" w:type="auto"/>
          </w:tcPr>
          <w:p w:rsidR="00180168" w:rsidRPr="00B65D6D" w:rsidRDefault="00180168" w:rsidP="00D3141E">
            <w:pPr>
              <w:pStyle w:val="BodyText3"/>
              <w:rPr>
                <w:b/>
                <w:bCs/>
                <w:sz w:val="22"/>
                <w:szCs w:val="22"/>
              </w:rPr>
            </w:pPr>
            <w:r w:rsidRPr="00B65D6D">
              <w:rPr>
                <w:b/>
                <w:bCs/>
                <w:sz w:val="22"/>
                <w:szCs w:val="22"/>
              </w:rPr>
              <w:t>Conditions for import</w:t>
            </w:r>
          </w:p>
        </w:tc>
      </w:tr>
      <w:tr w:rsidR="00180168" w:rsidRPr="00E42033" w:rsidTr="00D3141E">
        <w:tc>
          <w:tcPr>
            <w:tcW w:w="0" w:type="auto"/>
          </w:tcPr>
          <w:p w:rsidR="00180168" w:rsidRPr="00B65D6D" w:rsidRDefault="00180168" w:rsidP="00D3141E">
            <w:pPr>
              <w:pStyle w:val="BodyText3"/>
              <w:rPr>
                <w:sz w:val="22"/>
                <w:szCs w:val="22"/>
              </w:rPr>
            </w:pPr>
            <w:r w:rsidRPr="00B65D6D">
              <w:rPr>
                <w:i/>
                <w:iCs/>
                <w:sz w:val="22"/>
                <w:szCs w:val="22"/>
              </w:rPr>
              <w:t xml:space="preserve">Chilatherina alleni </w:t>
            </w:r>
          </w:p>
        </w:tc>
        <w:tc>
          <w:tcPr>
            <w:tcW w:w="0" w:type="auto"/>
          </w:tcPr>
          <w:p w:rsidR="00180168" w:rsidRPr="00B65D6D" w:rsidRDefault="00180168" w:rsidP="00D3141E">
            <w:pPr>
              <w:pStyle w:val="BodyText3"/>
              <w:rPr>
                <w:sz w:val="22"/>
                <w:szCs w:val="22"/>
              </w:rPr>
            </w:pPr>
            <w:r w:rsidRPr="00B65D6D">
              <w:rPr>
                <w:sz w:val="22"/>
                <w:szCs w:val="22"/>
              </w:rPr>
              <w:t>Allen’s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D3141E">
        <w:tc>
          <w:tcPr>
            <w:tcW w:w="0" w:type="auto"/>
          </w:tcPr>
          <w:p w:rsidR="00180168" w:rsidRPr="00B65D6D" w:rsidRDefault="00180168" w:rsidP="00D3141E">
            <w:pPr>
              <w:pStyle w:val="BodyText3"/>
              <w:rPr>
                <w:sz w:val="22"/>
                <w:szCs w:val="22"/>
              </w:rPr>
            </w:pPr>
            <w:r w:rsidRPr="00B65D6D">
              <w:rPr>
                <w:i/>
                <w:iCs/>
                <w:sz w:val="22"/>
                <w:szCs w:val="22"/>
              </w:rPr>
              <w:t>Chilatherina axelrodi</w:t>
            </w:r>
          </w:p>
        </w:tc>
        <w:tc>
          <w:tcPr>
            <w:tcW w:w="0" w:type="auto"/>
          </w:tcPr>
          <w:p w:rsidR="00180168" w:rsidRPr="00B65D6D" w:rsidRDefault="00180168" w:rsidP="00D3141E">
            <w:pPr>
              <w:pStyle w:val="BodyText3"/>
              <w:rPr>
                <w:sz w:val="22"/>
                <w:szCs w:val="22"/>
              </w:rPr>
            </w:pPr>
            <w:r w:rsidRPr="00B65D6D">
              <w:rPr>
                <w:sz w:val="22"/>
                <w:szCs w:val="22"/>
              </w:rPr>
              <w:t>Axelrod’s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D3141E">
        <w:tc>
          <w:tcPr>
            <w:tcW w:w="0" w:type="auto"/>
          </w:tcPr>
          <w:p w:rsidR="00180168" w:rsidRPr="00B65D6D" w:rsidRDefault="00180168" w:rsidP="00D3141E">
            <w:pPr>
              <w:pStyle w:val="BodyText3"/>
              <w:rPr>
                <w:sz w:val="22"/>
                <w:szCs w:val="22"/>
              </w:rPr>
            </w:pPr>
            <w:r w:rsidRPr="00B65D6D">
              <w:rPr>
                <w:i/>
                <w:iCs/>
                <w:sz w:val="22"/>
                <w:szCs w:val="22"/>
              </w:rPr>
              <w:t>Chilatherina bleheri</w:t>
            </w:r>
          </w:p>
        </w:tc>
        <w:tc>
          <w:tcPr>
            <w:tcW w:w="0" w:type="auto"/>
          </w:tcPr>
          <w:p w:rsidR="00180168" w:rsidRPr="00B65D6D" w:rsidRDefault="00180168" w:rsidP="00D3141E">
            <w:pPr>
              <w:pStyle w:val="BodyText3"/>
              <w:rPr>
                <w:sz w:val="22"/>
                <w:szCs w:val="22"/>
              </w:rPr>
            </w:pPr>
            <w:r w:rsidRPr="00B65D6D">
              <w:rPr>
                <w:sz w:val="22"/>
                <w:szCs w:val="22"/>
              </w:rPr>
              <w:t>Bleher’s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D3141E">
        <w:tc>
          <w:tcPr>
            <w:tcW w:w="0" w:type="auto"/>
          </w:tcPr>
          <w:p w:rsidR="00180168" w:rsidRPr="00B65D6D" w:rsidRDefault="00180168" w:rsidP="00D3141E">
            <w:pPr>
              <w:pStyle w:val="BodyText3"/>
              <w:rPr>
                <w:sz w:val="22"/>
                <w:szCs w:val="22"/>
              </w:rPr>
            </w:pPr>
            <w:r w:rsidRPr="00B65D6D">
              <w:rPr>
                <w:i/>
                <w:iCs/>
                <w:sz w:val="22"/>
                <w:szCs w:val="22"/>
              </w:rPr>
              <w:t>Chilatherina pagweinsis</w:t>
            </w:r>
          </w:p>
        </w:tc>
        <w:tc>
          <w:tcPr>
            <w:tcW w:w="0" w:type="auto"/>
          </w:tcPr>
          <w:p w:rsidR="00180168" w:rsidRPr="00B65D6D" w:rsidRDefault="00180168" w:rsidP="00D3141E">
            <w:pPr>
              <w:pStyle w:val="BodyText3"/>
              <w:rPr>
                <w:sz w:val="22"/>
                <w:szCs w:val="22"/>
              </w:rPr>
            </w:pPr>
            <w:r w:rsidRPr="00B65D6D">
              <w:rPr>
                <w:color w:val="000000" w:themeColor="text1"/>
                <w:sz w:val="22"/>
                <w:szCs w:val="22"/>
              </w:rPr>
              <w:t>Pagwi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D3141E">
        <w:tc>
          <w:tcPr>
            <w:tcW w:w="0" w:type="auto"/>
          </w:tcPr>
          <w:p w:rsidR="00180168" w:rsidRPr="00B65D6D" w:rsidRDefault="00180168" w:rsidP="00D3141E">
            <w:pPr>
              <w:pStyle w:val="BodyText3"/>
              <w:rPr>
                <w:i/>
                <w:iCs/>
                <w:sz w:val="22"/>
                <w:szCs w:val="22"/>
              </w:rPr>
            </w:pPr>
            <w:r w:rsidRPr="00B65D6D">
              <w:rPr>
                <w:i/>
                <w:iCs/>
                <w:sz w:val="22"/>
                <w:szCs w:val="22"/>
              </w:rPr>
              <w:t xml:space="preserve">Chilatherina pricei </w:t>
            </w:r>
          </w:p>
        </w:tc>
        <w:tc>
          <w:tcPr>
            <w:tcW w:w="0" w:type="auto"/>
          </w:tcPr>
          <w:p w:rsidR="00180168" w:rsidRPr="00B65D6D" w:rsidRDefault="00180168" w:rsidP="00D3141E">
            <w:pPr>
              <w:pStyle w:val="BodyText3"/>
              <w:rPr>
                <w:sz w:val="22"/>
                <w:szCs w:val="22"/>
              </w:rPr>
            </w:pPr>
            <w:r w:rsidRPr="00B65D6D">
              <w:rPr>
                <w:sz w:val="22"/>
                <w:szCs w:val="22"/>
              </w:rPr>
              <w:t>Price’s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D3141E">
        <w:tc>
          <w:tcPr>
            <w:tcW w:w="0" w:type="auto"/>
          </w:tcPr>
          <w:p w:rsidR="00180168" w:rsidRPr="00B65D6D" w:rsidRDefault="00180168" w:rsidP="00D3141E">
            <w:pPr>
              <w:pStyle w:val="BodyText3"/>
              <w:rPr>
                <w:sz w:val="22"/>
                <w:szCs w:val="22"/>
              </w:rPr>
            </w:pPr>
            <w:r w:rsidRPr="00B65D6D">
              <w:rPr>
                <w:i/>
                <w:iCs/>
                <w:sz w:val="22"/>
                <w:szCs w:val="22"/>
              </w:rPr>
              <w:t>Chilatherina sentaniensis</w:t>
            </w:r>
          </w:p>
        </w:tc>
        <w:tc>
          <w:tcPr>
            <w:tcW w:w="0" w:type="auto"/>
          </w:tcPr>
          <w:p w:rsidR="00180168" w:rsidRPr="00B65D6D" w:rsidRDefault="00180168" w:rsidP="00D3141E">
            <w:pPr>
              <w:pStyle w:val="BodyText3"/>
              <w:rPr>
                <w:sz w:val="22"/>
                <w:szCs w:val="22"/>
              </w:rPr>
            </w:pPr>
            <w:r w:rsidRPr="00B65D6D">
              <w:rPr>
                <w:sz w:val="22"/>
                <w:szCs w:val="22"/>
              </w:rPr>
              <w:t>Sentani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D3141E">
        <w:tc>
          <w:tcPr>
            <w:tcW w:w="0" w:type="auto"/>
          </w:tcPr>
          <w:p w:rsidR="00180168" w:rsidRPr="00B65D6D" w:rsidRDefault="00180168" w:rsidP="00D3141E">
            <w:pPr>
              <w:pStyle w:val="BodyText3"/>
              <w:rPr>
                <w:i/>
                <w:iCs/>
                <w:sz w:val="22"/>
                <w:szCs w:val="22"/>
              </w:rPr>
            </w:pPr>
            <w:r w:rsidRPr="00B65D6D">
              <w:rPr>
                <w:i/>
                <w:iCs/>
                <w:sz w:val="22"/>
                <w:szCs w:val="22"/>
              </w:rPr>
              <w:t>Glossolepis dorityi</w:t>
            </w:r>
          </w:p>
        </w:tc>
        <w:tc>
          <w:tcPr>
            <w:tcW w:w="0" w:type="auto"/>
          </w:tcPr>
          <w:p w:rsidR="00180168" w:rsidRPr="00B65D6D" w:rsidRDefault="00180168" w:rsidP="00D3141E">
            <w:pPr>
              <w:pStyle w:val="BodyText3"/>
              <w:rPr>
                <w:sz w:val="22"/>
                <w:szCs w:val="22"/>
              </w:rPr>
            </w:pPr>
            <w:r w:rsidRPr="00B65D6D">
              <w:rPr>
                <w:sz w:val="22"/>
                <w:szCs w:val="22"/>
              </w:rPr>
              <w:t>Grime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470679">
        <w:trPr>
          <w:cantSplit/>
        </w:trPr>
        <w:tc>
          <w:tcPr>
            <w:tcW w:w="0" w:type="auto"/>
          </w:tcPr>
          <w:p w:rsidR="00180168" w:rsidRPr="00B65D6D" w:rsidRDefault="00180168" w:rsidP="00D3141E">
            <w:pPr>
              <w:pStyle w:val="BodyText3"/>
              <w:rPr>
                <w:i/>
                <w:iCs/>
                <w:sz w:val="22"/>
                <w:szCs w:val="22"/>
              </w:rPr>
            </w:pPr>
            <w:r w:rsidRPr="00B65D6D">
              <w:rPr>
                <w:i/>
                <w:iCs/>
                <w:sz w:val="22"/>
                <w:szCs w:val="22"/>
              </w:rPr>
              <w:lastRenderedPageBreak/>
              <w:t>Glossolepis maculosa</w:t>
            </w:r>
          </w:p>
        </w:tc>
        <w:tc>
          <w:tcPr>
            <w:tcW w:w="0" w:type="auto"/>
          </w:tcPr>
          <w:p w:rsidR="00180168" w:rsidRPr="00B65D6D" w:rsidRDefault="00180168" w:rsidP="00D3141E">
            <w:pPr>
              <w:pStyle w:val="BodyText3"/>
              <w:rPr>
                <w:sz w:val="22"/>
                <w:szCs w:val="22"/>
              </w:rPr>
            </w:pPr>
            <w:r w:rsidRPr="00B65D6D">
              <w:rPr>
                <w:sz w:val="22"/>
                <w:szCs w:val="22"/>
              </w:rPr>
              <w:t>spotted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D3141E">
        <w:tc>
          <w:tcPr>
            <w:tcW w:w="0" w:type="auto"/>
            <w:vAlign w:val="center"/>
          </w:tcPr>
          <w:p w:rsidR="00180168" w:rsidRPr="00B65D6D" w:rsidRDefault="00180168" w:rsidP="00D3141E">
            <w:pPr>
              <w:pStyle w:val="BodyText3"/>
              <w:rPr>
                <w:i/>
                <w:iCs/>
                <w:sz w:val="22"/>
                <w:szCs w:val="22"/>
              </w:rPr>
            </w:pPr>
            <w:r w:rsidRPr="00B65D6D">
              <w:rPr>
                <w:i/>
                <w:iCs/>
                <w:sz w:val="22"/>
                <w:szCs w:val="22"/>
              </w:rPr>
              <w:t xml:space="preserve">Glossolepis pseudoincisus </w:t>
            </w:r>
          </w:p>
        </w:tc>
        <w:tc>
          <w:tcPr>
            <w:tcW w:w="0" w:type="auto"/>
            <w:vAlign w:val="center"/>
          </w:tcPr>
          <w:p w:rsidR="00180168" w:rsidRPr="00B65D6D" w:rsidRDefault="00180168" w:rsidP="00D3141E">
            <w:pPr>
              <w:pStyle w:val="BodyText3"/>
              <w:rPr>
                <w:sz w:val="22"/>
                <w:szCs w:val="22"/>
              </w:rPr>
            </w:pPr>
            <w:r w:rsidRPr="00B65D6D">
              <w:rPr>
                <w:rFonts w:cs="Arial"/>
                <w:sz w:val="22"/>
                <w:szCs w:val="22"/>
              </w:rPr>
              <w:t>Tami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D3141E">
        <w:tc>
          <w:tcPr>
            <w:tcW w:w="0" w:type="auto"/>
            <w:vAlign w:val="center"/>
          </w:tcPr>
          <w:p w:rsidR="00180168" w:rsidRPr="00B65D6D" w:rsidRDefault="00180168" w:rsidP="00D3141E">
            <w:pPr>
              <w:pStyle w:val="BodyText3"/>
              <w:rPr>
                <w:i/>
                <w:iCs/>
                <w:sz w:val="22"/>
                <w:szCs w:val="22"/>
              </w:rPr>
            </w:pPr>
            <w:r w:rsidRPr="00B65D6D">
              <w:rPr>
                <w:i/>
                <w:iCs/>
                <w:sz w:val="22"/>
                <w:szCs w:val="22"/>
              </w:rPr>
              <w:t xml:space="preserve">Glossolepis ramuensis </w:t>
            </w:r>
          </w:p>
        </w:tc>
        <w:tc>
          <w:tcPr>
            <w:tcW w:w="0" w:type="auto"/>
            <w:vAlign w:val="center"/>
          </w:tcPr>
          <w:p w:rsidR="00180168" w:rsidRPr="00B65D6D" w:rsidRDefault="00180168" w:rsidP="00D3141E">
            <w:pPr>
              <w:pStyle w:val="BodyText3"/>
              <w:rPr>
                <w:sz w:val="22"/>
                <w:szCs w:val="22"/>
              </w:rPr>
            </w:pPr>
            <w:r w:rsidRPr="00B65D6D">
              <w:rPr>
                <w:rFonts w:cs="Arial"/>
                <w:sz w:val="22"/>
                <w:szCs w:val="22"/>
              </w:rPr>
              <w:t>Ramu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r w:rsidR="00180168" w:rsidRPr="00E42033" w:rsidTr="00D3141E">
        <w:tc>
          <w:tcPr>
            <w:tcW w:w="0" w:type="auto"/>
            <w:vAlign w:val="center"/>
          </w:tcPr>
          <w:p w:rsidR="00180168" w:rsidRPr="00B65D6D" w:rsidRDefault="00180168" w:rsidP="00D3141E">
            <w:pPr>
              <w:pStyle w:val="BodyText3"/>
              <w:rPr>
                <w:sz w:val="22"/>
                <w:szCs w:val="22"/>
              </w:rPr>
            </w:pPr>
            <w:r w:rsidRPr="00B65D6D">
              <w:rPr>
                <w:i/>
                <w:iCs/>
                <w:sz w:val="22"/>
                <w:szCs w:val="22"/>
              </w:rPr>
              <w:t>Glossolepis wanamensis</w:t>
            </w:r>
            <w:r w:rsidRPr="00B65D6D">
              <w:rPr>
                <w:sz w:val="22"/>
                <w:szCs w:val="22"/>
              </w:rPr>
              <w:t xml:space="preserve"> </w:t>
            </w:r>
          </w:p>
        </w:tc>
        <w:tc>
          <w:tcPr>
            <w:tcW w:w="0" w:type="auto"/>
            <w:vAlign w:val="center"/>
          </w:tcPr>
          <w:p w:rsidR="00180168" w:rsidRPr="00B65D6D" w:rsidRDefault="00180168" w:rsidP="00D3141E">
            <w:pPr>
              <w:pStyle w:val="BodyText3"/>
              <w:rPr>
                <w:sz w:val="22"/>
                <w:szCs w:val="22"/>
              </w:rPr>
            </w:pPr>
            <w:r w:rsidRPr="00B65D6D">
              <w:rPr>
                <w:sz w:val="22"/>
                <w:szCs w:val="22"/>
              </w:rPr>
              <w:t>Lake Wanam rainbowfish</w:t>
            </w:r>
          </w:p>
        </w:tc>
        <w:tc>
          <w:tcPr>
            <w:tcW w:w="0" w:type="auto"/>
          </w:tcPr>
          <w:p w:rsidR="00180168" w:rsidRPr="00B65D6D" w:rsidRDefault="00180168" w:rsidP="00D3141E">
            <w:pPr>
              <w:pStyle w:val="BodyText3"/>
              <w:rPr>
                <w:sz w:val="22"/>
                <w:szCs w:val="22"/>
              </w:rPr>
            </w:pPr>
            <w:r w:rsidRPr="00B65D6D">
              <w:rPr>
                <w:sz w:val="22"/>
                <w:szCs w:val="22"/>
              </w:rPr>
              <w:t>Captive-bred specimens only, of minimum length 4 cm SL</w:t>
            </w:r>
          </w:p>
        </w:tc>
      </w:tr>
    </w:tbl>
    <w:bookmarkEnd w:id="54"/>
    <w:p w:rsidR="00180168" w:rsidRPr="00B65D6D" w:rsidRDefault="00180168" w:rsidP="00180168">
      <w:pPr>
        <w:spacing w:before="240" w:after="240"/>
        <w:rPr>
          <w:szCs w:val="22"/>
        </w:rPr>
      </w:pPr>
      <w:r w:rsidRPr="00B65D6D">
        <w:rPr>
          <w:szCs w:val="22"/>
        </w:rPr>
        <w:t>The text contained in the column headed “</w:t>
      </w:r>
      <w:r w:rsidRPr="00B65D6D">
        <w:rPr>
          <w:b/>
          <w:szCs w:val="22"/>
        </w:rPr>
        <w:t>Taxon</w:t>
      </w:r>
      <w:r w:rsidRPr="00B65D6D">
        <w:rPr>
          <w:szCs w:val="22"/>
        </w:rPr>
        <w:t>” refers to “</w:t>
      </w:r>
      <w:r w:rsidRPr="00516CA4">
        <w:rPr>
          <w:i/>
          <w:iCs/>
          <w:szCs w:val="22"/>
        </w:rPr>
        <w:t>Chilatherina pagweinsis</w:t>
      </w:r>
      <w:r w:rsidRPr="00B65D6D">
        <w:rPr>
          <w:szCs w:val="22"/>
        </w:rPr>
        <w:t>” rather than “</w:t>
      </w:r>
      <w:r w:rsidRPr="00516CA4">
        <w:rPr>
          <w:i/>
          <w:iCs/>
          <w:szCs w:val="22"/>
        </w:rPr>
        <w:t>Chilatherina pagwiensis</w:t>
      </w:r>
      <w:r w:rsidRPr="00B65D6D">
        <w:rPr>
          <w:szCs w:val="22"/>
        </w:rPr>
        <w:t>”.</w:t>
      </w:r>
    </w:p>
    <w:p w:rsidR="00632DDD" w:rsidRPr="00180168" w:rsidRDefault="00180168" w:rsidP="00180168">
      <w:pPr>
        <w:rPr>
          <w:szCs w:val="22"/>
        </w:rPr>
      </w:pPr>
      <w:r w:rsidRPr="00516CA4">
        <w:rPr>
          <w:szCs w:val="22"/>
        </w:rPr>
        <w:t>This compilation was editorially changed to omit “</w:t>
      </w:r>
      <w:r w:rsidRPr="00516CA4">
        <w:rPr>
          <w:i/>
          <w:iCs/>
          <w:szCs w:val="22"/>
        </w:rPr>
        <w:t>Chilatherina pagweinsis</w:t>
      </w:r>
      <w:r w:rsidRPr="00516CA4">
        <w:rPr>
          <w:szCs w:val="22"/>
        </w:rPr>
        <w:t>” and substitute “</w:t>
      </w:r>
      <w:r w:rsidRPr="00516CA4">
        <w:rPr>
          <w:i/>
          <w:iCs/>
          <w:szCs w:val="22"/>
        </w:rPr>
        <w:t>Chilatherina pagwiensis</w:t>
      </w:r>
      <w:r w:rsidRPr="00516CA4">
        <w:rPr>
          <w:szCs w:val="22"/>
        </w:rPr>
        <w:t>” in the column headed “</w:t>
      </w:r>
      <w:r w:rsidRPr="00516CA4">
        <w:rPr>
          <w:b/>
          <w:szCs w:val="22"/>
        </w:rPr>
        <w:t>Taxon</w:t>
      </w:r>
      <w:r w:rsidRPr="00516CA4">
        <w:rPr>
          <w:szCs w:val="22"/>
        </w:rPr>
        <w:t>” in Part 2 under the heading ‘Vertebrate Animals’, ‘Bony fishes (Osteichthyes)’ to correct the spelling error.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rsidR="00632DDD" w:rsidRPr="00180168" w:rsidSect="00E94477">
      <w:footerReference w:type="default" r:id="rId8"/>
      <w:headerReference w:type="first" r:id="rId9"/>
      <w:footerReference w:type="first" r:id="rId10"/>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3B" w:rsidRDefault="000D7E3B" w:rsidP="008E17F3">
      <w:pPr>
        <w:spacing w:line="240" w:lineRule="auto"/>
      </w:pPr>
      <w:r>
        <w:separator/>
      </w:r>
    </w:p>
  </w:endnote>
  <w:endnote w:type="continuationSeparator" w:id="0">
    <w:p w:rsidR="000D7E3B" w:rsidRDefault="000D7E3B"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3B" w:rsidRDefault="000D7E3B" w:rsidP="00871611">
    <w:pPr>
      <w:pStyle w:val="Footer"/>
      <w:tabs>
        <w:tab w:val="clear" w:pos="4153"/>
        <w:tab w:val="clear" w:pos="8306"/>
        <w:tab w:val="left" w:pos="7680"/>
      </w:tabs>
      <w:ind w:right="27"/>
      <w:rPr>
        <w:sz w:val="16"/>
      </w:rPr>
    </w:pPr>
    <w:r>
      <w:rPr>
        <w:sz w:val="16"/>
      </w:rPr>
      <w:t>[</w:t>
    </w:r>
    <w:r w:rsidR="00251A34">
      <w:rPr>
        <w:noProof/>
        <w:sz w:val="16"/>
        <w:szCs w:val="16"/>
      </w:rPr>
      <w:t>S23ZC1812.v19.docx</w:t>
    </w:r>
    <w:r w:rsidRPr="00766393">
      <w:rPr>
        <w:sz w:val="16"/>
        <w:szCs w:val="16"/>
      </w:rPr>
      <w:t>] [</w:t>
    </w:r>
    <w:r w:rsidR="00251A34">
      <w:rPr>
        <w:noProof/>
        <w:sz w:val="16"/>
        <w:szCs w:val="16"/>
      </w:rPr>
      <w:t>5-Jul-24</w:t>
    </w:r>
    <w:r>
      <w:rPr>
        <w:sz w:val="16"/>
      </w:rPr>
      <w:t>] [</w:t>
    </w:r>
    <w:r w:rsidR="00251A34">
      <w:rPr>
        <w:noProof/>
        <w:sz w:val="16"/>
      </w:rPr>
      <w:t>9:16 AM</w:t>
    </w:r>
    <w:r>
      <w:rPr>
        <w:sz w:val="16"/>
      </w:rPr>
      <w:t>]</w:t>
    </w:r>
    <w:r>
      <w:rPr>
        <w:sz w:val="16"/>
      </w:rPr>
      <w:tab/>
    </w:r>
    <w:r>
      <w:rPr>
        <w:sz w:val="16"/>
      </w:rPr>
      <w:tab/>
    </w: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3B" w:rsidRDefault="000D7E3B" w:rsidP="00871611">
    <w:pPr>
      <w:rPr>
        <w:sz w:val="16"/>
        <w:szCs w:val="16"/>
      </w:rPr>
    </w:pPr>
    <w:r>
      <w:rPr>
        <w:sz w:val="16"/>
        <w:szCs w:val="16"/>
      </w:rPr>
      <w:t>________________________________________________________________________________________________________________</w:t>
    </w:r>
  </w:p>
  <w:p w:rsidR="000D7E3B" w:rsidRDefault="000D7E3B" w:rsidP="00871611">
    <w:pPr>
      <w:ind w:right="27"/>
      <w:jc w:val="center"/>
      <w:rPr>
        <w:sz w:val="20"/>
      </w:rPr>
    </w:pPr>
    <w:r>
      <w:rPr>
        <w:sz w:val="20"/>
      </w:rPr>
      <w:t>28 Sydney Avenue  Forrest  ACT  2603</w:t>
    </w:r>
  </w:p>
  <w:p w:rsidR="000D7E3B" w:rsidRDefault="000D7E3B" w:rsidP="00871611">
    <w:pPr>
      <w:ind w:right="27"/>
      <w:jc w:val="center"/>
      <w:rPr>
        <w:sz w:val="20"/>
      </w:rPr>
    </w:pPr>
    <w:r>
      <w:rPr>
        <w:sz w:val="20"/>
      </w:rPr>
      <w:t>Locked Bag 30 Kingston ACT 2604 • Telephone (02) 6120 1400 • Fax (02) 6120 1403 • ABN 41 425 630 817</w:t>
    </w:r>
  </w:p>
  <w:p w:rsidR="000D7E3B" w:rsidRDefault="000D7E3B" w:rsidP="00871611">
    <w:pPr>
      <w:ind w:right="27"/>
      <w:jc w:val="center"/>
      <w:rPr>
        <w:sz w:val="20"/>
      </w:rPr>
    </w:pPr>
    <w:r>
      <w:rPr>
        <w:sz w:val="20"/>
      </w:rPr>
      <w:t>www.opc.gov.au</w:t>
    </w:r>
  </w:p>
  <w:p w:rsidR="000D7E3B" w:rsidRDefault="00251A34" w:rsidP="00871611">
    <w:pPr>
      <w:ind w:right="27"/>
      <w:rPr>
        <w:sz w:val="16"/>
        <w:szCs w:val="16"/>
      </w:rPr>
    </w:pPr>
    <w:r>
      <w:rPr>
        <w:noProof/>
        <w:sz w:val="16"/>
        <w:szCs w:val="16"/>
      </w:rPr>
      <w:t>S23ZC1812.v19.docx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3B" w:rsidRDefault="000D7E3B" w:rsidP="008E17F3">
      <w:pPr>
        <w:spacing w:line="240" w:lineRule="auto"/>
      </w:pPr>
      <w:r>
        <w:separator/>
      </w:r>
    </w:p>
  </w:footnote>
  <w:footnote w:type="continuationSeparator" w:id="0">
    <w:p w:rsidR="000D7E3B" w:rsidRDefault="000D7E3B"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3B" w:rsidRDefault="000D7E3B" w:rsidP="00871611">
    <w:pPr>
      <w:ind w:right="27"/>
      <w:rPr>
        <w:sz w:val="18"/>
        <w:szCs w:val="18"/>
      </w:rPr>
    </w:pPr>
    <w:r>
      <w:rPr>
        <w:noProof/>
        <w:sz w:val="20"/>
        <w:lang w:eastAsia="en-AU"/>
      </w:rPr>
      <w:drawing>
        <wp:inline distT="0" distB="0" distL="0" distR="0" wp14:anchorId="7C613880" wp14:editId="38C18CB3">
          <wp:extent cx="3962400" cy="1000125"/>
          <wp:effectExtent l="19050" t="0" r="0" b="0"/>
          <wp:docPr id="1" name="Picture 1" descr="Australian Government Office of Parliamentary Couns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0D7E3B" w:rsidRPr="00C1453D" w:rsidRDefault="000D7E3B" w:rsidP="0087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D27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EA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621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2487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6C96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E6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C4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81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A40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CC48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60E3A"/>
    <w:multiLevelType w:val="multilevel"/>
    <w:tmpl w:val="FB6863C6"/>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1" w15:restartNumberingAfterBreak="0">
    <w:nsid w:val="02D42A6A"/>
    <w:multiLevelType w:val="hybridMultilevel"/>
    <w:tmpl w:val="B4166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55725F"/>
    <w:multiLevelType w:val="hybridMultilevel"/>
    <w:tmpl w:val="F7CE2AA2"/>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077E1EC0"/>
    <w:multiLevelType w:val="hybridMultilevel"/>
    <w:tmpl w:val="6A48B222"/>
    <w:lvl w:ilvl="0" w:tplc="52E6ABBC">
      <w:start w:val="1"/>
      <w:numFmt w:val="lowerLetter"/>
      <w:lvlText w:val="(%1)"/>
      <w:lvlJc w:val="left"/>
      <w:pPr>
        <w:ind w:left="1287" w:hanging="360"/>
      </w:pPr>
      <w:rPr>
        <w:rFonts w:ascii="Arial" w:hAnsi="Arial" w:cs="Arial" w:hint="default"/>
        <w:b/>
        <w:i w:val="0"/>
        <w:sz w:val="20"/>
        <w:szCs w:val="2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09B87853"/>
    <w:multiLevelType w:val="hybridMultilevel"/>
    <w:tmpl w:val="B3289428"/>
    <w:lvl w:ilvl="0" w:tplc="F81CD576">
      <w:start w:val="9"/>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B149F7"/>
    <w:multiLevelType w:val="hybridMultilevel"/>
    <w:tmpl w:val="B8B22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4A4196B"/>
    <w:multiLevelType w:val="multilevel"/>
    <w:tmpl w:val="AEF8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84C57CB"/>
    <w:multiLevelType w:val="hybridMultilevel"/>
    <w:tmpl w:val="98740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4" w15:restartNumberingAfterBreak="0">
    <w:nsid w:val="22071F67"/>
    <w:multiLevelType w:val="hybridMultilevel"/>
    <w:tmpl w:val="073A8B46"/>
    <w:lvl w:ilvl="0" w:tplc="DDE63986">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6"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8881934"/>
    <w:multiLevelType w:val="hybridMultilevel"/>
    <w:tmpl w:val="8BCC80EE"/>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97E10D9"/>
    <w:multiLevelType w:val="hybridMultilevel"/>
    <w:tmpl w:val="B9B2717C"/>
    <w:lvl w:ilvl="0" w:tplc="0C090001">
      <w:start w:val="1"/>
      <w:numFmt w:val="bullet"/>
      <w:lvlText w:val=""/>
      <w:lvlJc w:val="left"/>
      <w:pPr>
        <w:ind w:left="360" w:hanging="360"/>
      </w:pPr>
      <w:rPr>
        <w:rFonts w:ascii="Symbol" w:hAnsi="Symbol" w:hint="default"/>
      </w:rPr>
    </w:lvl>
    <w:lvl w:ilvl="1" w:tplc="1A4ACC00">
      <w:numFmt w:val="bullet"/>
      <w:lvlText w:val="·"/>
      <w:lvlJc w:val="left"/>
      <w:pPr>
        <w:ind w:left="1080" w:hanging="360"/>
      </w:pPr>
      <w:rPr>
        <w:rFonts w:ascii="Times New Roman" w:eastAsia="Arial Unicode MS" w:hAnsi="Times New Roman" w:cs="Times New Roman"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3F506AB"/>
    <w:multiLevelType w:val="hybridMultilevel"/>
    <w:tmpl w:val="BD029DE8"/>
    <w:lvl w:ilvl="0" w:tplc="BF721BF4">
      <w:start w:val="2"/>
      <w:numFmt w:val="decimal"/>
      <w:lvlText w:val="[%1]"/>
      <w:lvlJc w:val="left"/>
      <w:pPr>
        <w:ind w:left="567" w:hanging="567"/>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991418"/>
    <w:multiLevelType w:val="hybridMultilevel"/>
    <w:tmpl w:val="0666B4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506528F"/>
    <w:multiLevelType w:val="hybridMultilevel"/>
    <w:tmpl w:val="06B46928"/>
    <w:lvl w:ilvl="0" w:tplc="F6FE30E0">
      <w:start w:val="1"/>
      <w:numFmt w:val="lowerLetter"/>
      <w:lvlText w:val="(%1)"/>
      <w:lvlJc w:val="left"/>
      <w:pPr>
        <w:ind w:left="1287" w:hanging="360"/>
      </w:pPr>
      <w:rPr>
        <w:rFonts w:ascii="Arial Bold" w:hAnsi="Arial Bold" w:hint="default"/>
        <w:b/>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366A38B5"/>
    <w:multiLevelType w:val="hybridMultilevel"/>
    <w:tmpl w:val="AAAC2662"/>
    <w:lvl w:ilvl="0" w:tplc="4C0E12BA">
      <w:start w:val="27"/>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36F92BC3"/>
    <w:multiLevelType w:val="hybridMultilevel"/>
    <w:tmpl w:val="40AA24D4"/>
    <w:lvl w:ilvl="0" w:tplc="D300200A">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5" w15:restartNumberingAfterBreak="0">
    <w:nsid w:val="40466C79"/>
    <w:multiLevelType w:val="hybridMultilevel"/>
    <w:tmpl w:val="62EC8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4827B37"/>
    <w:multiLevelType w:val="hybridMultilevel"/>
    <w:tmpl w:val="2C04F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40" w15:restartNumberingAfterBreak="0">
    <w:nsid w:val="5C2E219C"/>
    <w:multiLevelType w:val="hybridMultilevel"/>
    <w:tmpl w:val="1FE63B40"/>
    <w:lvl w:ilvl="0" w:tplc="A6DE20D4">
      <w:start w:val="1"/>
      <w:numFmt w:val="decimal"/>
      <w:lvlText w:val="[%1]"/>
      <w:lvlJc w:val="left"/>
      <w:pPr>
        <w:ind w:left="720" w:hanging="360"/>
      </w:pPr>
      <w:rPr>
        <w:rFonts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D777841"/>
    <w:multiLevelType w:val="hybridMultilevel"/>
    <w:tmpl w:val="C34CBE48"/>
    <w:lvl w:ilvl="0" w:tplc="C2249424">
      <w:start w:val="1"/>
      <w:numFmt w:val="decimal"/>
      <w:pStyle w:val="Amendment10"/>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2" w15:restartNumberingAfterBreak="0">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4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3C29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5456429"/>
    <w:multiLevelType w:val="multilevel"/>
    <w:tmpl w:val="15C225C8"/>
    <w:lvl w:ilvl="0">
      <w:start w:val="1"/>
      <w:numFmt w:val="decimal"/>
      <w:lvlText w:val="%1."/>
      <w:lvlJc w:val="left"/>
      <w:pPr>
        <w:ind w:left="369" w:hanging="369"/>
      </w:pPr>
      <w:rPr>
        <w:rFonts w:ascii="Arial" w:hAnsi="Arial" w:hint="default"/>
        <w:b w:val="0"/>
        <w:i w:val="0"/>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6" w15:restartNumberingAfterBreak="0">
    <w:nsid w:val="66940965"/>
    <w:multiLevelType w:val="hybridMultilevel"/>
    <w:tmpl w:val="28F24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764227"/>
    <w:multiLevelType w:val="hybridMultilevel"/>
    <w:tmpl w:val="91FC127A"/>
    <w:lvl w:ilvl="0" w:tplc="BCE8A806">
      <w:start w:val="9"/>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6E0E6111"/>
    <w:multiLevelType w:val="hybridMultilevel"/>
    <w:tmpl w:val="B08A1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43"/>
  </w:num>
  <w:num w:numId="13">
    <w:abstractNumId w:val="22"/>
  </w:num>
  <w:num w:numId="14">
    <w:abstractNumId w:val="38"/>
  </w:num>
  <w:num w:numId="15">
    <w:abstractNumId w:val="39"/>
  </w:num>
  <w:num w:numId="16">
    <w:abstractNumId w:val="41"/>
  </w:num>
  <w:num w:numId="17">
    <w:abstractNumId w:val="13"/>
  </w:num>
  <w:num w:numId="18">
    <w:abstractNumId w:val="24"/>
  </w:num>
  <w:num w:numId="19">
    <w:abstractNumId w:val="14"/>
  </w:num>
  <w:num w:numId="20">
    <w:abstractNumId w:val="16"/>
  </w:num>
  <w:num w:numId="21">
    <w:abstractNumId w:val="29"/>
  </w:num>
  <w:num w:numId="22">
    <w:abstractNumId w:val="12"/>
  </w:num>
  <w:num w:numId="23">
    <w:abstractNumId w:val="18"/>
  </w:num>
  <w:num w:numId="24">
    <w:abstractNumId w:val="27"/>
  </w:num>
  <w:num w:numId="25">
    <w:abstractNumId w:val="3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624"/>
          </w:tabs>
          <w:ind w:left="624" w:hanging="340"/>
        </w:pPr>
        <w:rPr>
          <w:rFonts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40"/>
  </w:num>
  <w:num w:numId="30">
    <w:abstractNumId w:val="26"/>
  </w:num>
  <w:num w:numId="31">
    <w:abstractNumId w:val="20"/>
  </w:num>
  <w:num w:numId="32">
    <w:abstractNumId w:val="46"/>
  </w:num>
  <w:num w:numId="33">
    <w:abstractNumId w:val="10"/>
  </w:num>
  <w:num w:numId="34">
    <w:abstractNumId w:val="45"/>
  </w:num>
  <w:num w:numId="35">
    <w:abstractNumId w:val="47"/>
  </w:num>
  <w:num w:numId="3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6"/>
  </w:num>
  <w:num w:numId="39">
    <w:abstractNumId w:val="33"/>
  </w:num>
  <w:num w:numId="40">
    <w:abstractNumId w:val="44"/>
  </w:num>
  <w:num w:numId="41">
    <w:abstractNumId w:val="42"/>
  </w:num>
  <w:num w:numId="42">
    <w:abstractNumId w:val="37"/>
  </w:num>
  <w:num w:numId="43">
    <w:abstractNumId w:val="21"/>
  </w:num>
  <w:num w:numId="44">
    <w:abstractNumId w:val="35"/>
  </w:num>
  <w:num w:numId="45">
    <w:abstractNumId w:val="30"/>
  </w:num>
  <w:num w:numId="46">
    <w:abstractNumId w:val="28"/>
  </w:num>
  <w:num w:numId="47">
    <w:abstractNumId w:val="11"/>
  </w:num>
  <w:num w:numId="48">
    <w:abstractNumId w:val="19"/>
  </w:num>
  <w:num w:numId="49">
    <w:abstractNumId w:val="1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589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C2"/>
    <w:rsid w:val="00001387"/>
    <w:rsid w:val="0000213C"/>
    <w:rsid w:val="000033B7"/>
    <w:rsid w:val="00003FE3"/>
    <w:rsid w:val="00010212"/>
    <w:rsid w:val="000107A7"/>
    <w:rsid w:val="000121C7"/>
    <w:rsid w:val="000136AF"/>
    <w:rsid w:val="00013FB1"/>
    <w:rsid w:val="00015432"/>
    <w:rsid w:val="00015D1E"/>
    <w:rsid w:val="00016BDE"/>
    <w:rsid w:val="000170C2"/>
    <w:rsid w:val="00017851"/>
    <w:rsid w:val="00017F77"/>
    <w:rsid w:val="0002238E"/>
    <w:rsid w:val="00022B7E"/>
    <w:rsid w:val="00022D46"/>
    <w:rsid w:val="00024EE9"/>
    <w:rsid w:val="000267E5"/>
    <w:rsid w:val="000268A8"/>
    <w:rsid w:val="00026BA7"/>
    <w:rsid w:val="00026C02"/>
    <w:rsid w:val="00026EE3"/>
    <w:rsid w:val="00031729"/>
    <w:rsid w:val="0003260A"/>
    <w:rsid w:val="000335C7"/>
    <w:rsid w:val="0003449F"/>
    <w:rsid w:val="00036246"/>
    <w:rsid w:val="00036B0B"/>
    <w:rsid w:val="00037784"/>
    <w:rsid w:val="0004199D"/>
    <w:rsid w:val="0004296A"/>
    <w:rsid w:val="00046C71"/>
    <w:rsid w:val="000526F6"/>
    <w:rsid w:val="00052915"/>
    <w:rsid w:val="000537C7"/>
    <w:rsid w:val="000544FC"/>
    <w:rsid w:val="000562AE"/>
    <w:rsid w:val="00056743"/>
    <w:rsid w:val="00060152"/>
    <w:rsid w:val="000614BF"/>
    <w:rsid w:val="00061B7F"/>
    <w:rsid w:val="000626FA"/>
    <w:rsid w:val="00062F75"/>
    <w:rsid w:val="000642D2"/>
    <w:rsid w:val="00066300"/>
    <w:rsid w:val="00066A77"/>
    <w:rsid w:val="00067596"/>
    <w:rsid w:val="000706C5"/>
    <w:rsid w:val="000720DB"/>
    <w:rsid w:val="00072F7C"/>
    <w:rsid w:val="0007350A"/>
    <w:rsid w:val="0007681C"/>
    <w:rsid w:val="000807CC"/>
    <w:rsid w:val="00083613"/>
    <w:rsid w:val="00086F12"/>
    <w:rsid w:val="0009194F"/>
    <w:rsid w:val="0009402D"/>
    <w:rsid w:val="00094718"/>
    <w:rsid w:val="00094B3D"/>
    <w:rsid w:val="0009737E"/>
    <w:rsid w:val="00097E3D"/>
    <w:rsid w:val="000A3045"/>
    <w:rsid w:val="000A317F"/>
    <w:rsid w:val="000A3966"/>
    <w:rsid w:val="000A70ED"/>
    <w:rsid w:val="000A76EB"/>
    <w:rsid w:val="000B0223"/>
    <w:rsid w:val="000B1FC3"/>
    <w:rsid w:val="000B2EFC"/>
    <w:rsid w:val="000B4688"/>
    <w:rsid w:val="000B4C96"/>
    <w:rsid w:val="000B5B2C"/>
    <w:rsid w:val="000B720D"/>
    <w:rsid w:val="000C3E7B"/>
    <w:rsid w:val="000C484E"/>
    <w:rsid w:val="000C49C1"/>
    <w:rsid w:val="000C4B87"/>
    <w:rsid w:val="000C597E"/>
    <w:rsid w:val="000C604C"/>
    <w:rsid w:val="000C6FC2"/>
    <w:rsid w:val="000C71D4"/>
    <w:rsid w:val="000C7384"/>
    <w:rsid w:val="000C79D6"/>
    <w:rsid w:val="000D0266"/>
    <w:rsid w:val="000D05EF"/>
    <w:rsid w:val="000D1F55"/>
    <w:rsid w:val="000D2FD3"/>
    <w:rsid w:val="000D3FDA"/>
    <w:rsid w:val="000D4BEF"/>
    <w:rsid w:val="000D737B"/>
    <w:rsid w:val="000D770A"/>
    <w:rsid w:val="000D7E3B"/>
    <w:rsid w:val="000E017D"/>
    <w:rsid w:val="000E08B8"/>
    <w:rsid w:val="000E3AB4"/>
    <w:rsid w:val="000F06B0"/>
    <w:rsid w:val="000F1746"/>
    <w:rsid w:val="000F1A0F"/>
    <w:rsid w:val="000F4AF4"/>
    <w:rsid w:val="0010060D"/>
    <w:rsid w:val="00101520"/>
    <w:rsid w:val="00102227"/>
    <w:rsid w:val="00102242"/>
    <w:rsid w:val="00102C26"/>
    <w:rsid w:val="00103C32"/>
    <w:rsid w:val="00104A38"/>
    <w:rsid w:val="00105F49"/>
    <w:rsid w:val="001068D9"/>
    <w:rsid w:val="00106F6F"/>
    <w:rsid w:val="0010745C"/>
    <w:rsid w:val="00107845"/>
    <w:rsid w:val="001107BA"/>
    <w:rsid w:val="001108DB"/>
    <w:rsid w:val="00111C4A"/>
    <w:rsid w:val="00114616"/>
    <w:rsid w:val="001163E6"/>
    <w:rsid w:val="00117D55"/>
    <w:rsid w:val="00122300"/>
    <w:rsid w:val="00122A5D"/>
    <w:rsid w:val="00122C00"/>
    <w:rsid w:val="00124BF3"/>
    <w:rsid w:val="00125C60"/>
    <w:rsid w:val="00126DA3"/>
    <w:rsid w:val="00127AA8"/>
    <w:rsid w:val="001330B9"/>
    <w:rsid w:val="001355DF"/>
    <w:rsid w:val="001369E5"/>
    <w:rsid w:val="001403CC"/>
    <w:rsid w:val="00140D8E"/>
    <w:rsid w:val="00140FBD"/>
    <w:rsid w:val="0014125E"/>
    <w:rsid w:val="00142547"/>
    <w:rsid w:val="00142F17"/>
    <w:rsid w:val="00143E6E"/>
    <w:rsid w:val="00143F59"/>
    <w:rsid w:val="00144B39"/>
    <w:rsid w:val="00144E5B"/>
    <w:rsid w:val="00145202"/>
    <w:rsid w:val="0014571A"/>
    <w:rsid w:val="0015061A"/>
    <w:rsid w:val="00150CD2"/>
    <w:rsid w:val="00151DD8"/>
    <w:rsid w:val="001520D7"/>
    <w:rsid w:val="001541AD"/>
    <w:rsid w:val="001543DF"/>
    <w:rsid w:val="00154509"/>
    <w:rsid w:val="00156A78"/>
    <w:rsid w:val="00160A50"/>
    <w:rsid w:val="001644E1"/>
    <w:rsid w:val="00165B53"/>
    <w:rsid w:val="00166241"/>
    <w:rsid w:val="00166C2F"/>
    <w:rsid w:val="001705D7"/>
    <w:rsid w:val="00173FAA"/>
    <w:rsid w:val="0017427E"/>
    <w:rsid w:val="00174394"/>
    <w:rsid w:val="00174846"/>
    <w:rsid w:val="00175115"/>
    <w:rsid w:val="00176306"/>
    <w:rsid w:val="001768CD"/>
    <w:rsid w:val="00176DEE"/>
    <w:rsid w:val="00180168"/>
    <w:rsid w:val="0018102C"/>
    <w:rsid w:val="00181A37"/>
    <w:rsid w:val="001823C9"/>
    <w:rsid w:val="00191453"/>
    <w:rsid w:val="001939E1"/>
    <w:rsid w:val="00193F49"/>
    <w:rsid w:val="00195382"/>
    <w:rsid w:val="00195426"/>
    <w:rsid w:val="0019633B"/>
    <w:rsid w:val="00196713"/>
    <w:rsid w:val="00196FD5"/>
    <w:rsid w:val="00197DB7"/>
    <w:rsid w:val="001A0905"/>
    <w:rsid w:val="001A0B36"/>
    <w:rsid w:val="001A306D"/>
    <w:rsid w:val="001A3BEF"/>
    <w:rsid w:val="001A4931"/>
    <w:rsid w:val="001A4DEA"/>
    <w:rsid w:val="001A5DA5"/>
    <w:rsid w:val="001A6224"/>
    <w:rsid w:val="001A7B4E"/>
    <w:rsid w:val="001B1382"/>
    <w:rsid w:val="001B3BD4"/>
    <w:rsid w:val="001B4400"/>
    <w:rsid w:val="001B4529"/>
    <w:rsid w:val="001B47A4"/>
    <w:rsid w:val="001B5241"/>
    <w:rsid w:val="001B65E6"/>
    <w:rsid w:val="001B6D22"/>
    <w:rsid w:val="001B6F9D"/>
    <w:rsid w:val="001C0003"/>
    <w:rsid w:val="001C08DD"/>
    <w:rsid w:val="001C1C8D"/>
    <w:rsid w:val="001C20B2"/>
    <w:rsid w:val="001C369C"/>
    <w:rsid w:val="001C380E"/>
    <w:rsid w:val="001C4C5F"/>
    <w:rsid w:val="001C69C4"/>
    <w:rsid w:val="001D04C9"/>
    <w:rsid w:val="001D09F7"/>
    <w:rsid w:val="001D5121"/>
    <w:rsid w:val="001D7E06"/>
    <w:rsid w:val="001E14A3"/>
    <w:rsid w:val="001E14DF"/>
    <w:rsid w:val="001E1F17"/>
    <w:rsid w:val="001E2C0D"/>
    <w:rsid w:val="001E3590"/>
    <w:rsid w:val="001E62A2"/>
    <w:rsid w:val="001E63F5"/>
    <w:rsid w:val="001E7407"/>
    <w:rsid w:val="001F166E"/>
    <w:rsid w:val="001F1EB6"/>
    <w:rsid w:val="001F3310"/>
    <w:rsid w:val="001F624D"/>
    <w:rsid w:val="001F62E2"/>
    <w:rsid w:val="001F6AEB"/>
    <w:rsid w:val="00200920"/>
    <w:rsid w:val="002010D4"/>
    <w:rsid w:val="00201976"/>
    <w:rsid w:val="002033ED"/>
    <w:rsid w:val="00203E46"/>
    <w:rsid w:val="002101C5"/>
    <w:rsid w:val="00212C7E"/>
    <w:rsid w:val="00212FE9"/>
    <w:rsid w:val="002131D8"/>
    <w:rsid w:val="0021387F"/>
    <w:rsid w:val="002142EF"/>
    <w:rsid w:val="00214AA9"/>
    <w:rsid w:val="00214FEF"/>
    <w:rsid w:val="00216477"/>
    <w:rsid w:val="00216978"/>
    <w:rsid w:val="002169C7"/>
    <w:rsid w:val="002171CA"/>
    <w:rsid w:val="0022380B"/>
    <w:rsid w:val="00223886"/>
    <w:rsid w:val="00223DDB"/>
    <w:rsid w:val="002258C4"/>
    <w:rsid w:val="00226069"/>
    <w:rsid w:val="0022799F"/>
    <w:rsid w:val="00230496"/>
    <w:rsid w:val="00231DBE"/>
    <w:rsid w:val="00233ACF"/>
    <w:rsid w:val="00234F19"/>
    <w:rsid w:val="00235232"/>
    <w:rsid w:val="00235575"/>
    <w:rsid w:val="0023697B"/>
    <w:rsid w:val="00236E7F"/>
    <w:rsid w:val="002418B5"/>
    <w:rsid w:val="0024252A"/>
    <w:rsid w:val="002459F9"/>
    <w:rsid w:val="0024772F"/>
    <w:rsid w:val="00250004"/>
    <w:rsid w:val="0025131C"/>
    <w:rsid w:val="0025157B"/>
    <w:rsid w:val="00251A0A"/>
    <w:rsid w:val="00251A34"/>
    <w:rsid w:val="00251B81"/>
    <w:rsid w:val="002527C1"/>
    <w:rsid w:val="00252F8C"/>
    <w:rsid w:val="00253A2D"/>
    <w:rsid w:val="00253D1B"/>
    <w:rsid w:val="0025499F"/>
    <w:rsid w:val="00255380"/>
    <w:rsid w:val="00255C58"/>
    <w:rsid w:val="00255E17"/>
    <w:rsid w:val="00256EFB"/>
    <w:rsid w:val="00256F14"/>
    <w:rsid w:val="002573BF"/>
    <w:rsid w:val="002614FC"/>
    <w:rsid w:val="00263C51"/>
    <w:rsid w:val="00264D4C"/>
    <w:rsid w:val="002667C0"/>
    <w:rsid w:val="00267598"/>
    <w:rsid w:val="00270D95"/>
    <w:rsid w:val="00271E25"/>
    <w:rsid w:val="00273C85"/>
    <w:rsid w:val="002743E8"/>
    <w:rsid w:val="00274C39"/>
    <w:rsid w:val="0027560F"/>
    <w:rsid w:val="00276D2D"/>
    <w:rsid w:val="002810D0"/>
    <w:rsid w:val="00281937"/>
    <w:rsid w:val="00284976"/>
    <w:rsid w:val="00286E26"/>
    <w:rsid w:val="00287088"/>
    <w:rsid w:val="00287352"/>
    <w:rsid w:val="002878F7"/>
    <w:rsid w:val="00287E4B"/>
    <w:rsid w:val="00292F93"/>
    <w:rsid w:val="00295047"/>
    <w:rsid w:val="00295FBA"/>
    <w:rsid w:val="002970D7"/>
    <w:rsid w:val="00297ECB"/>
    <w:rsid w:val="002A2296"/>
    <w:rsid w:val="002A2B49"/>
    <w:rsid w:val="002A374B"/>
    <w:rsid w:val="002A5C27"/>
    <w:rsid w:val="002A66C3"/>
    <w:rsid w:val="002A7753"/>
    <w:rsid w:val="002B0E1F"/>
    <w:rsid w:val="002B259A"/>
    <w:rsid w:val="002B2857"/>
    <w:rsid w:val="002B44A7"/>
    <w:rsid w:val="002B4D69"/>
    <w:rsid w:val="002B576D"/>
    <w:rsid w:val="002B5E08"/>
    <w:rsid w:val="002B60B3"/>
    <w:rsid w:val="002B6400"/>
    <w:rsid w:val="002B72F6"/>
    <w:rsid w:val="002C0E99"/>
    <w:rsid w:val="002C103B"/>
    <w:rsid w:val="002C14FE"/>
    <w:rsid w:val="002C28A1"/>
    <w:rsid w:val="002C32D7"/>
    <w:rsid w:val="002C372A"/>
    <w:rsid w:val="002C4F12"/>
    <w:rsid w:val="002C5D80"/>
    <w:rsid w:val="002C685B"/>
    <w:rsid w:val="002C6A5C"/>
    <w:rsid w:val="002D043A"/>
    <w:rsid w:val="002D1CA5"/>
    <w:rsid w:val="002D20D2"/>
    <w:rsid w:val="002D6A8E"/>
    <w:rsid w:val="002E2C8D"/>
    <w:rsid w:val="002E3FE4"/>
    <w:rsid w:val="002E469C"/>
    <w:rsid w:val="002E5222"/>
    <w:rsid w:val="002E66BA"/>
    <w:rsid w:val="002E6FE9"/>
    <w:rsid w:val="002E7AD9"/>
    <w:rsid w:val="002F075C"/>
    <w:rsid w:val="002F1CB1"/>
    <w:rsid w:val="002F3EF1"/>
    <w:rsid w:val="002F4543"/>
    <w:rsid w:val="002F4FE3"/>
    <w:rsid w:val="002F6130"/>
    <w:rsid w:val="002F6D92"/>
    <w:rsid w:val="002F7687"/>
    <w:rsid w:val="00301D98"/>
    <w:rsid w:val="003026FC"/>
    <w:rsid w:val="00302F2E"/>
    <w:rsid w:val="00303142"/>
    <w:rsid w:val="0030342D"/>
    <w:rsid w:val="00304D2F"/>
    <w:rsid w:val="003060DB"/>
    <w:rsid w:val="00306BEA"/>
    <w:rsid w:val="003076C2"/>
    <w:rsid w:val="00307C0A"/>
    <w:rsid w:val="003105E8"/>
    <w:rsid w:val="00311448"/>
    <w:rsid w:val="00311509"/>
    <w:rsid w:val="00311558"/>
    <w:rsid w:val="00314BAB"/>
    <w:rsid w:val="00314E15"/>
    <w:rsid w:val="00315101"/>
    <w:rsid w:val="00315275"/>
    <w:rsid w:val="00316656"/>
    <w:rsid w:val="00320180"/>
    <w:rsid w:val="0032048A"/>
    <w:rsid w:val="00320A79"/>
    <w:rsid w:val="003220FC"/>
    <w:rsid w:val="0032435A"/>
    <w:rsid w:val="003274E0"/>
    <w:rsid w:val="003301B9"/>
    <w:rsid w:val="003302C1"/>
    <w:rsid w:val="0033109F"/>
    <w:rsid w:val="00331E81"/>
    <w:rsid w:val="0033315D"/>
    <w:rsid w:val="003342C4"/>
    <w:rsid w:val="00334C96"/>
    <w:rsid w:val="00334E31"/>
    <w:rsid w:val="00335959"/>
    <w:rsid w:val="00336663"/>
    <w:rsid w:val="00336894"/>
    <w:rsid w:val="00342EB0"/>
    <w:rsid w:val="00343325"/>
    <w:rsid w:val="00344210"/>
    <w:rsid w:val="00351722"/>
    <w:rsid w:val="003519EF"/>
    <w:rsid w:val="00351BD6"/>
    <w:rsid w:val="00352B0F"/>
    <w:rsid w:val="00352B8B"/>
    <w:rsid w:val="00353E8F"/>
    <w:rsid w:val="00354C97"/>
    <w:rsid w:val="00355C5E"/>
    <w:rsid w:val="00356E86"/>
    <w:rsid w:val="003607D6"/>
    <w:rsid w:val="00360853"/>
    <w:rsid w:val="00360FB0"/>
    <w:rsid w:val="003616F0"/>
    <w:rsid w:val="00362FEC"/>
    <w:rsid w:val="00363D67"/>
    <w:rsid w:val="00365D3C"/>
    <w:rsid w:val="00365E16"/>
    <w:rsid w:val="00366056"/>
    <w:rsid w:val="00366694"/>
    <w:rsid w:val="00366B9C"/>
    <w:rsid w:val="00371E4F"/>
    <w:rsid w:val="00372119"/>
    <w:rsid w:val="0037451B"/>
    <w:rsid w:val="00375720"/>
    <w:rsid w:val="003758C7"/>
    <w:rsid w:val="00375D65"/>
    <w:rsid w:val="00375F22"/>
    <w:rsid w:val="00376199"/>
    <w:rsid w:val="0037794C"/>
    <w:rsid w:val="0038197F"/>
    <w:rsid w:val="00381DED"/>
    <w:rsid w:val="0038215E"/>
    <w:rsid w:val="0038250D"/>
    <w:rsid w:val="00382DA9"/>
    <w:rsid w:val="00383F54"/>
    <w:rsid w:val="0038521B"/>
    <w:rsid w:val="00387B38"/>
    <w:rsid w:val="00390346"/>
    <w:rsid w:val="00391865"/>
    <w:rsid w:val="00392707"/>
    <w:rsid w:val="00393436"/>
    <w:rsid w:val="00395DE8"/>
    <w:rsid w:val="003A0D8C"/>
    <w:rsid w:val="003A0EB9"/>
    <w:rsid w:val="003A11D3"/>
    <w:rsid w:val="003A187D"/>
    <w:rsid w:val="003A1E9A"/>
    <w:rsid w:val="003A31D2"/>
    <w:rsid w:val="003A3A0D"/>
    <w:rsid w:val="003A49EA"/>
    <w:rsid w:val="003A4CFE"/>
    <w:rsid w:val="003B2C98"/>
    <w:rsid w:val="003B35D2"/>
    <w:rsid w:val="003B364C"/>
    <w:rsid w:val="003B5348"/>
    <w:rsid w:val="003B5735"/>
    <w:rsid w:val="003B6015"/>
    <w:rsid w:val="003B689A"/>
    <w:rsid w:val="003B6BFC"/>
    <w:rsid w:val="003C132D"/>
    <w:rsid w:val="003C14C6"/>
    <w:rsid w:val="003C1845"/>
    <w:rsid w:val="003C7084"/>
    <w:rsid w:val="003C7E6F"/>
    <w:rsid w:val="003D0BFE"/>
    <w:rsid w:val="003D2362"/>
    <w:rsid w:val="003D2D68"/>
    <w:rsid w:val="003D3100"/>
    <w:rsid w:val="003D5700"/>
    <w:rsid w:val="003D651B"/>
    <w:rsid w:val="003D6F8A"/>
    <w:rsid w:val="003E0031"/>
    <w:rsid w:val="003E05EF"/>
    <w:rsid w:val="003E0754"/>
    <w:rsid w:val="003E0FC7"/>
    <w:rsid w:val="003E1ECD"/>
    <w:rsid w:val="003E208E"/>
    <w:rsid w:val="003E32DB"/>
    <w:rsid w:val="003E34F5"/>
    <w:rsid w:val="003E3D42"/>
    <w:rsid w:val="003E4160"/>
    <w:rsid w:val="003E4357"/>
    <w:rsid w:val="003E5990"/>
    <w:rsid w:val="003E5E25"/>
    <w:rsid w:val="003E720B"/>
    <w:rsid w:val="003E7D86"/>
    <w:rsid w:val="003F0059"/>
    <w:rsid w:val="003F0DEB"/>
    <w:rsid w:val="003F36B2"/>
    <w:rsid w:val="00400514"/>
    <w:rsid w:val="00401311"/>
    <w:rsid w:val="00401E53"/>
    <w:rsid w:val="00403F16"/>
    <w:rsid w:val="00406CE3"/>
    <w:rsid w:val="004101A7"/>
    <w:rsid w:val="004116CD"/>
    <w:rsid w:val="004126FC"/>
    <w:rsid w:val="00412C41"/>
    <w:rsid w:val="00412D35"/>
    <w:rsid w:val="0041321F"/>
    <w:rsid w:val="004135AE"/>
    <w:rsid w:val="0041575F"/>
    <w:rsid w:val="004175A1"/>
    <w:rsid w:val="00417A4D"/>
    <w:rsid w:val="00417BC4"/>
    <w:rsid w:val="00422087"/>
    <w:rsid w:val="00422EF1"/>
    <w:rsid w:val="004241AC"/>
    <w:rsid w:val="00424CA9"/>
    <w:rsid w:val="00426B8E"/>
    <w:rsid w:val="00427A3E"/>
    <w:rsid w:val="00430768"/>
    <w:rsid w:val="004331F6"/>
    <w:rsid w:val="00434508"/>
    <w:rsid w:val="0043491A"/>
    <w:rsid w:val="00434F97"/>
    <w:rsid w:val="004362F1"/>
    <w:rsid w:val="004366F5"/>
    <w:rsid w:val="004374B1"/>
    <w:rsid w:val="004375FE"/>
    <w:rsid w:val="004379AA"/>
    <w:rsid w:val="004379B4"/>
    <w:rsid w:val="0044291A"/>
    <w:rsid w:val="004432FB"/>
    <w:rsid w:val="00443803"/>
    <w:rsid w:val="00450A86"/>
    <w:rsid w:val="00450F7F"/>
    <w:rsid w:val="00451B12"/>
    <w:rsid w:val="00454A25"/>
    <w:rsid w:val="004560FB"/>
    <w:rsid w:val="00460DED"/>
    <w:rsid w:val="004647DF"/>
    <w:rsid w:val="004653F8"/>
    <w:rsid w:val="00465CCE"/>
    <w:rsid w:val="00466DE8"/>
    <w:rsid w:val="004670A4"/>
    <w:rsid w:val="004705BC"/>
    <w:rsid w:val="00470679"/>
    <w:rsid w:val="0047201A"/>
    <w:rsid w:val="00480F24"/>
    <w:rsid w:val="004830A2"/>
    <w:rsid w:val="004841CF"/>
    <w:rsid w:val="0048468B"/>
    <w:rsid w:val="00487536"/>
    <w:rsid w:val="0049148B"/>
    <w:rsid w:val="00491EA3"/>
    <w:rsid w:val="00492EA5"/>
    <w:rsid w:val="00495423"/>
    <w:rsid w:val="00495832"/>
    <w:rsid w:val="00496F97"/>
    <w:rsid w:val="004971E8"/>
    <w:rsid w:val="004974FE"/>
    <w:rsid w:val="004A01AC"/>
    <w:rsid w:val="004A2CE3"/>
    <w:rsid w:val="004A374C"/>
    <w:rsid w:val="004A39CD"/>
    <w:rsid w:val="004A5E5B"/>
    <w:rsid w:val="004B2ED9"/>
    <w:rsid w:val="004B553B"/>
    <w:rsid w:val="004B5902"/>
    <w:rsid w:val="004B5C6B"/>
    <w:rsid w:val="004C30A4"/>
    <w:rsid w:val="004C4A7C"/>
    <w:rsid w:val="004C4E59"/>
    <w:rsid w:val="004C5B3B"/>
    <w:rsid w:val="004C6CAB"/>
    <w:rsid w:val="004C7098"/>
    <w:rsid w:val="004C7422"/>
    <w:rsid w:val="004C77E4"/>
    <w:rsid w:val="004D1B07"/>
    <w:rsid w:val="004D1D3B"/>
    <w:rsid w:val="004D244A"/>
    <w:rsid w:val="004D25BE"/>
    <w:rsid w:val="004D305E"/>
    <w:rsid w:val="004D3E21"/>
    <w:rsid w:val="004D4374"/>
    <w:rsid w:val="004D596D"/>
    <w:rsid w:val="004D5AED"/>
    <w:rsid w:val="004D656F"/>
    <w:rsid w:val="004D746B"/>
    <w:rsid w:val="004E0571"/>
    <w:rsid w:val="004E264D"/>
    <w:rsid w:val="004E4B57"/>
    <w:rsid w:val="004E4C0D"/>
    <w:rsid w:val="004E5468"/>
    <w:rsid w:val="004E7489"/>
    <w:rsid w:val="004F2D3B"/>
    <w:rsid w:val="004F311A"/>
    <w:rsid w:val="004F3AB2"/>
    <w:rsid w:val="004F3E81"/>
    <w:rsid w:val="004F544D"/>
    <w:rsid w:val="004F5B95"/>
    <w:rsid w:val="004F792E"/>
    <w:rsid w:val="00502140"/>
    <w:rsid w:val="00503867"/>
    <w:rsid w:val="00505007"/>
    <w:rsid w:val="00505ABF"/>
    <w:rsid w:val="005061E8"/>
    <w:rsid w:val="0050707B"/>
    <w:rsid w:val="00511219"/>
    <w:rsid w:val="00512BEE"/>
    <w:rsid w:val="00512F55"/>
    <w:rsid w:val="00515186"/>
    <w:rsid w:val="00516B8D"/>
    <w:rsid w:val="00521266"/>
    <w:rsid w:val="005219F1"/>
    <w:rsid w:val="005252ED"/>
    <w:rsid w:val="00526C86"/>
    <w:rsid w:val="0053083B"/>
    <w:rsid w:val="00531EED"/>
    <w:rsid w:val="00532261"/>
    <w:rsid w:val="00532705"/>
    <w:rsid w:val="005327A0"/>
    <w:rsid w:val="00532BC1"/>
    <w:rsid w:val="00535BB8"/>
    <w:rsid w:val="00536645"/>
    <w:rsid w:val="00536B4B"/>
    <w:rsid w:val="00537FBC"/>
    <w:rsid w:val="00542971"/>
    <w:rsid w:val="00543894"/>
    <w:rsid w:val="0054467E"/>
    <w:rsid w:val="00544D18"/>
    <w:rsid w:val="00545927"/>
    <w:rsid w:val="00545F52"/>
    <w:rsid w:val="00546351"/>
    <w:rsid w:val="00547412"/>
    <w:rsid w:val="00547A08"/>
    <w:rsid w:val="005523D4"/>
    <w:rsid w:val="0055389F"/>
    <w:rsid w:val="00555D63"/>
    <w:rsid w:val="00557CB7"/>
    <w:rsid w:val="0056004C"/>
    <w:rsid w:val="00560808"/>
    <w:rsid w:val="005624DD"/>
    <w:rsid w:val="00562AA8"/>
    <w:rsid w:val="00563AFC"/>
    <w:rsid w:val="00564C16"/>
    <w:rsid w:val="00565DD9"/>
    <w:rsid w:val="005663AF"/>
    <w:rsid w:val="005731A8"/>
    <w:rsid w:val="00574669"/>
    <w:rsid w:val="0057491B"/>
    <w:rsid w:val="005769FD"/>
    <w:rsid w:val="00577140"/>
    <w:rsid w:val="00580619"/>
    <w:rsid w:val="00580A1A"/>
    <w:rsid w:val="00584008"/>
    <w:rsid w:val="00584094"/>
    <w:rsid w:val="00584811"/>
    <w:rsid w:val="00585E2B"/>
    <w:rsid w:val="00586CB0"/>
    <w:rsid w:val="00587D24"/>
    <w:rsid w:val="005926F0"/>
    <w:rsid w:val="00592789"/>
    <w:rsid w:val="0059289E"/>
    <w:rsid w:val="00592E1D"/>
    <w:rsid w:val="005931E4"/>
    <w:rsid w:val="00593AD7"/>
    <w:rsid w:val="00594161"/>
    <w:rsid w:val="00594749"/>
    <w:rsid w:val="00595683"/>
    <w:rsid w:val="005971F4"/>
    <w:rsid w:val="0059795A"/>
    <w:rsid w:val="005A0642"/>
    <w:rsid w:val="005A11CB"/>
    <w:rsid w:val="005A1F2E"/>
    <w:rsid w:val="005A21F3"/>
    <w:rsid w:val="005A2F41"/>
    <w:rsid w:val="005A3704"/>
    <w:rsid w:val="005A3E13"/>
    <w:rsid w:val="005A40DA"/>
    <w:rsid w:val="005A4626"/>
    <w:rsid w:val="005A500B"/>
    <w:rsid w:val="005A522F"/>
    <w:rsid w:val="005A55CD"/>
    <w:rsid w:val="005A575B"/>
    <w:rsid w:val="005A5D92"/>
    <w:rsid w:val="005A5E8D"/>
    <w:rsid w:val="005A7984"/>
    <w:rsid w:val="005B13DA"/>
    <w:rsid w:val="005B1817"/>
    <w:rsid w:val="005B1B97"/>
    <w:rsid w:val="005B23AE"/>
    <w:rsid w:val="005B3892"/>
    <w:rsid w:val="005B428A"/>
    <w:rsid w:val="005B528C"/>
    <w:rsid w:val="005B5633"/>
    <w:rsid w:val="005B57A5"/>
    <w:rsid w:val="005B5E61"/>
    <w:rsid w:val="005B6F6E"/>
    <w:rsid w:val="005B730A"/>
    <w:rsid w:val="005B7B0A"/>
    <w:rsid w:val="005C0E49"/>
    <w:rsid w:val="005C51D3"/>
    <w:rsid w:val="005C68EC"/>
    <w:rsid w:val="005C7673"/>
    <w:rsid w:val="005D06A2"/>
    <w:rsid w:val="005D2278"/>
    <w:rsid w:val="005D2CD0"/>
    <w:rsid w:val="005D30B4"/>
    <w:rsid w:val="005D3386"/>
    <w:rsid w:val="005D3C0D"/>
    <w:rsid w:val="005D57CC"/>
    <w:rsid w:val="005D5B13"/>
    <w:rsid w:val="005D5C2E"/>
    <w:rsid w:val="005D7129"/>
    <w:rsid w:val="005D7297"/>
    <w:rsid w:val="005D7298"/>
    <w:rsid w:val="005D7C7B"/>
    <w:rsid w:val="005D7E89"/>
    <w:rsid w:val="005E0666"/>
    <w:rsid w:val="005E0706"/>
    <w:rsid w:val="005E1C92"/>
    <w:rsid w:val="005E5023"/>
    <w:rsid w:val="005E5DCF"/>
    <w:rsid w:val="005E6044"/>
    <w:rsid w:val="005E605C"/>
    <w:rsid w:val="005F2252"/>
    <w:rsid w:val="005F3A2E"/>
    <w:rsid w:val="005F5466"/>
    <w:rsid w:val="005F7E85"/>
    <w:rsid w:val="00600219"/>
    <w:rsid w:val="006011BC"/>
    <w:rsid w:val="00601A3F"/>
    <w:rsid w:val="00602129"/>
    <w:rsid w:val="00603664"/>
    <w:rsid w:val="00604310"/>
    <w:rsid w:val="00605787"/>
    <w:rsid w:val="0060583B"/>
    <w:rsid w:val="00607924"/>
    <w:rsid w:val="006117F4"/>
    <w:rsid w:val="00611A7C"/>
    <w:rsid w:val="00611B0E"/>
    <w:rsid w:val="00611FC6"/>
    <w:rsid w:val="006131D3"/>
    <w:rsid w:val="006159FA"/>
    <w:rsid w:val="0061780A"/>
    <w:rsid w:val="006207A3"/>
    <w:rsid w:val="00620BDA"/>
    <w:rsid w:val="0062109F"/>
    <w:rsid w:val="0062232B"/>
    <w:rsid w:val="00623107"/>
    <w:rsid w:val="00623370"/>
    <w:rsid w:val="006236EC"/>
    <w:rsid w:val="006247B7"/>
    <w:rsid w:val="00626067"/>
    <w:rsid w:val="0062645C"/>
    <w:rsid w:val="00627019"/>
    <w:rsid w:val="00627543"/>
    <w:rsid w:val="006279B8"/>
    <w:rsid w:val="00630A6B"/>
    <w:rsid w:val="00630BD0"/>
    <w:rsid w:val="00630C54"/>
    <w:rsid w:val="00630F0E"/>
    <w:rsid w:val="006315AB"/>
    <w:rsid w:val="00632DDD"/>
    <w:rsid w:val="00632EAE"/>
    <w:rsid w:val="00633D63"/>
    <w:rsid w:val="00634072"/>
    <w:rsid w:val="006343F1"/>
    <w:rsid w:val="00634B11"/>
    <w:rsid w:val="00635252"/>
    <w:rsid w:val="0063582C"/>
    <w:rsid w:val="00636904"/>
    <w:rsid w:val="006400E7"/>
    <w:rsid w:val="006402D1"/>
    <w:rsid w:val="006421E6"/>
    <w:rsid w:val="00643E71"/>
    <w:rsid w:val="006471ED"/>
    <w:rsid w:val="00647EC2"/>
    <w:rsid w:val="006527B2"/>
    <w:rsid w:val="0065282B"/>
    <w:rsid w:val="00652D52"/>
    <w:rsid w:val="006541FD"/>
    <w:rsid w:val="006545E6"/>
    <w:rsid w:val="00654832"/>
    <w:rsid w:val="00655C8A"/>
    <w:rsid w:val="0065600C"/>
    <w:rsid w:val="00656CA6"/>
    <w:rsid w:val="00656E1C"/>
    <w:rsid w:val="00661582"/>
    <w:rsid w:val="00662CD3"/>
    <w:rsid w:val="00663327"/>
    <w:rsid w:val="00664BEF"/>
    <w:rsid w:val="0066561E"/>
    <w:rsid w:val="006660D5"/>
    <w:rsid w:val="006660EF"/>
    <w:rsid w:val="00666F97"/>
    <w:rsid w:val="006708B0"/>
    <w:rsid w:val="00674B14"/>
    <w:rsid w:val="00675CDF"/>
    <w:rsid w:val="00676326"/>
    <w:rsid w:val="006764B3"/>
    <w:rsid w:val="006767AC"/>
    <w:rsid w:val="00677CC2"/>
    <w:rsid w:val="00680F77"/>
    <w:rsid w:val="00683DDA"/>
    <w:rsid w:val="00683DFD"/>
    <w:rsid w:val="00685E5D"/>
    <w:rsid w:val="00686300"/>
    <w:rsid w:val="00686E61"/>
    <w:rsid w:val="00686FFF"/>
    <w:rsid w:val="00687372"/>
    <w:rsid w:val="0069207B"/>
    <w:rsid w:val="0069218E"/>
    <w:rsid w:val="006949F9"/>
    <w:rsid w:val="00694AB5"/>
    <w:rsid w:val="00695779"/>
    <w:rsid w:val="006A111F"/>
    <w:rsid w:val="006A18BE"/>
    <w:rsid w:val="006A1D5D"/>
    <w:rsid w:val="006A3033"/>
    <w:rsid w:val="006A37A8"/>
    <w:rsid w:val="006A562C"/>
    <w:rsid w:val="006B0C8C"/>
    <w:rsid w:val="006B0DEC"/>
    <w:rsid w:val="006B148C"/>
    <w:rsid w:val="006B1934"/>
    <w:rsid w:val="006B1EBE"/>
    <w:rsid w:val="006B2C60"/>
    <w:rsid w:val="006B3790"/>
    <w:rsid w:val="006B3952"/>
    <w:rsid w:val="006B5436"/>
    <w:rsid w:val="006B58FB"/>
    <w:rsid w:val="006B6720"/>
    <w:rsid w:val="006C0958"/>
    <w:rsid w:val="006C09EB"/>
    <w:rsid w:val="006C0D07"/>
    <w:rsid w:val="006C2018"/>
    <w:rsid w:val="006C3798"/>
    <w:rsid w:val="006C7117"/>
    <w:rsid w:val="006C7C81"/>
    <w:rsid w:val="006C7F8C"/>
    <w:rsid w:val="006D1B2E"/>
    <w:rsid w:val="006D1FBB"/>
    <w:rsid w:val="006D3720"/>
    <w:rsid w:val="006D44BB"/>
    <w:rsid w:val="006D5BCD"/>
    <w:rsid w:val="006D62AB"/>
    <w:rsid w:val="006D77BA"/>
    <w:rsid w:val="006E0453"/>
    <w:rsid w:val="006E2BF6"/>
    <w:rsid w:val="006E2CA4"/>
    <w:rsid w:val="006E2E9F"/>
    <w:rsid w:val="006E338F"/>
    <w:rsid w:val="006E3937"/>
    <w:rsid w:val="006E4D9E"/>
    <w:rsid w:val="006E541B"/>
    <w:rsid w:val="006E6343"/>
    <w:rsid w:val="006E7CFB"/>
    <w:rsid w:val="006F1A7B"/>
    <w:rsid w:val="006F267A"/>
    <w:rsid w:val="006F2778"/>
    <w:rsid w:val="006F4346"/>
    <w:rsid w:val="006F5F1A"/>
    <w:rsid w:val="006F6425"/>
    <w:rsid w:val="006F76AE"/>
    <w:rsid w:val="006F7C34"/>
    <w:rsid w:val="00700190"/>
    <w:rsid w:val="0070114E"/>
    <w:rsid w:val="0070165C"/>
    <w:rsid w:val="00703EB2"/>
    <w:rsid w:val="00703F48"/>
    <w:rsid w:val="00704318"/>
    <w:rsid w:val="007048EE"/>
    <w:rsid w:val="00704A73"/>
    <w:rsid w:val="0070541A"/>
    <w:rsid w:val="00705A48"/>
    <w:rsid w:val="00706A6B"/>
    <w:rsid w:val="0070717A"/>
    <w:rsid w:val="0070729C"/>
    <w:rsid w:val="00710689"/>
    <w:rsid w:val="007109B6"/>
    <w:rsid w:val="0071346F"/>
    <w:rsid w:val="007146B8"/>
    <w:rsid w:val="007159F0"/>
    <w:rsid w:val="00716235"/>
    <w:rsid w:val="00717F40"/>
    <w:rsid w:val="00721CEA"/>
    <w:rsid w:val="00722CB2"/>
    <w:rsid w:val="00722D8A"/>
    <w:rsid w:val="00724298"/>
    <w:rsid w:val="007275EC"/>
    <w:rsid w:val="00727633"/>
    <w:rsid w:val="007276BC"/>
    <w:rsid w:val="00730A1B"/>
    <w:rsid w:val="00730F1B"/>
    <w:rsid w:val="00731085"/>
    <w:rsid w:val="00731E00"/>
    <w:rsid w:val="00732892"/>
    <w:rsid w:val="0073336B"/>
    <w:rsid w:val="0073384D"/>
    <w:rsid w:val="00733990"/>
    <w:rsid w:val="00734FF6"/>
    <w:rsid w:val="00735C08"/>
    <w:rsid w:val="0073779E"/>
    <w:rsid w:val="00741663"/>
    <w:rsid w:val="00741D46"/>
    <w:rsid w:val="007426A8"/>
    <w:rsid w:val="00743324"/>
    <w:rsid w:val="007442F8"/>
    <w:rsid w:val="00744644"/>
    <w:rsid w:val="00745286"/>
    <w:rsid w:val="00746F5A"/>
    <w:rsid w:val="00747E84"/>
    <w:rsid w:val="007504D6"/>
    <w:rsid w:val="00750FA1"/>
    <w:rsid w:val="00754E97"/>
    <w:rsid w:val="007556E0"/>
    <w:rsid w:val="007564C8"/>
    <w:rsid w:val="00757690"/>
    <w:rsid w:val="00760D5B"/>
    <w:rsid w:val="0076407E"/>
    <w:rsid w:val="007642FB"/>
    <w:rsid w:val="00764C27"/>
    <w:rsid w:val="00766153"/>
    <w:rsid w:val="00766393"/>
    <w:rsid w:val="0076675F"/>
    <w:rsid w:val="00766779"/>
    <w:rsid w:val="0077096E"/>
    <w:rsid w:val="007709D9"/>
    <w:rsid w:val="007712C3"/>
    <w:rsid w:val="007715C9"/>
    <w:rsid w:val="00771CDA"/>
    <w:rsid w:val="00771DF4"/>
    <w:rsid w:val="00774AC8"/>
    <w:rsid w:val="00774EDD"/>
    <w:rsid w:val="00775577"/>
    <w:rsid w:val="007757EC"/>
    <w:rsid w:val="00775B89"/>
    <w:rsid w:val="00775CC1"/>
    <w:rsid w:val="00777B38"/>
    <w:rsid w:val="0078008D"/>
    <w:rsid w:val="00781CF2"/>
    <w:rsid w:val="0078294C"/>
    <w:rsid w:val="007846D5"/>
    <w:rsid w:val="00784C24"/>
    <w:rsid w:val="00786DEF"/>
    <w:rsid w:val="007900FE"/>
    <w:rsid w:val="00791EC9"/>
    <w:rsid w:val="0079338A"/>
    <w:rsid w:val="00793C2C"/>
    <w:rsid w:val="0079429A"/>
    <w:rsid w:val="00797BF5"/>
    <w:rsid w:val="007A05B5"/>
    <w:rsid w:val="007A11F3"/>
    <w:rsid w:val="007A4423"/>
    <w:rsid w:val="007A44EF"/>
    <w:rsid w:val="007A48D9"/>
    <w:rsid w:val="007A5172"/>
    <w:rsid w:val="007A5869"/>
    <w:rsid w:val="007A772D"/>
    <w:rsid w:val="007A7E1E"/>
    <w:rsid w:val="007B20BF"/>
    <w:rsid w:val="007B221B"/>
    <w:rsid w:val="007B4644"/>
    <w:rsid w:val="007B4DDA"/>
    <w:rsid w:val="007B57A5"/>
    <w:rsid w:val="007B62D8"/>
    <w:rsid w:val="007B636B"/>
    <w:rsid w:val="007C034A"/>
    <w:rsid w:val="007C3C45"/>
    <w:rsid w:val="007C6064"/>
    <w:rsid w:val="007C7501"/>
    <w:rsid w:val="007D066A"/>
    <w:rsid w:val="007D2346"/>
    <w:rsid w:val="007D3290"/>
    <w:rsid w:val="007D446B"/>
    <w:rsid w:val="007D46D7"/>
    <w:rsid w:val="007D51EF"/>
    <w:rsid w:val="007D60D3"/>
    <w:rsid w:val="007D6D60"/>
    <w:rsid w:val="007E0638"/>
    <w:rsid w:val="007E3966"/>
    <w:rsid w:val="007E6189"/>
    <w:rsid w:val="007E6D25"/>
    <w:rsid w:val="007F0BE6"/>
    <w:rsid w:val="007F0DD6"/>
    <w:rsid w:val="007F4210"/>
    <w:rsid w:val="007F451B"/>
    <w:rsid w:val="007F6FF0"/>
    <w:rsid w:val="008006B2"/>
    <w:rsid w:val="008008E7"/>
    <w:rsid w:val="00802A87"/>
    <w:rsid w:val="00803646"/>
    <w:rsid w:val="00803AAA"/>
    <w:rsid w:val="00803B3D"/>
    <w:rsid w:val="00803C82"/>
    <w:rsid w:val="00804A88"/>
    <w:rsid w:val="00805167"/>
    <w:rsid w:val="008061D5"/>
    <w:rsid w:val="00806976"/>
    <w:rsid w:val="00811471"/>
    <w:rsid w:val="0081191C"/>
    <w:rsid w:val="00815AF0"/>
    <w:rsid w:val="008170FD"/>
    <w:rsid w:val="00817959"/>
    <w:rsid w:val="0082004A"/>
    <w:rsid w:val="00820F01"/>
    <w:rsid w:val="00823916"/>
    <w:rsid w:val="00823E68"/>
    <w:rsid w:val="00825347"/>
    <w:rsid w:val="00827369"/>
    <w:rsid w:val="00830E2D"/>
    <w:rsid w:val="008311CB"/>
    <w:rsid w:val="008316EF"/>
    <w:rsid w:val="0083456A"/>
    <w:rsid w:val="0083668C"/>
    <w:rsid w:val="00841BA0"/>
    <w:rsid w:val="00847C06"/>
    <w:rsid w:val="00851759"/>
    <w:rsid w:val="00852CE6"/>
    <w:rsid w:val="00856A31"/>
    <w:rsid w:val="0086077B"/>
    <w:rsid w:val="008612B1"/>
    <w:rsid w:val="008616A4"/>
    <w:rsid w:val="00863768"/>
    <w:rsid w:val="008641D7"/>
    <w:rsid w:val="00864D53"/>
    <w:rsid w:val="00864F72"/>
    <w:rsid w:val="00867CBF"/>
    <w:rsid w:val="00871611"/>
    <w:rsid w:val="00871DE0"/>
    <w:rsid w:val="00872955"/>
    <w:rsid w:val="00872ED7"/>
    <w:rsid w:val="0087542D"/>
    <w:rsid w:val="008754D0"/>
    <w:rsid w:val="0087640A"/>
    <w:rsid w:val="0087696C"/>
    <w:rsid w:val="00880BCB"/>
    <w:rsid w:val="0088111C"/>
    <w:rsid w:val="008826A4"/>
    <w:rsid w:val="00885C6A"/>
    <w:rsid w:val="008918E6"/>
    <w:rsid w:val="00891B77"/>
    <w:rsid w:val="0089274C"/>
    <w:rsid w:val="0089332F"/>
    <w:rsid w:val="0089567D"/>
    <w:rsid w:val="00896AF6"/>
    <w:rsid w:val="00896D0E"/>
    <w:rsid w:val="008970DD"/>
    <w:rsid w:val="008A129B"/>
    <w:rsid w:val="008A20B6"/>
    <w:rsid w:val="008A25D4"/>
    <w:rsid w:val="008A4AD8"/>
    <w:rsid w:val="008A4BA3"/>
    <w:rsid w:val="008A4DD7"/>
    <w:rsid w:val="008A5BA0"/>
    <w:rsid w:val="008B0CA8"/>
    <w:rsid w:val="008B1DDB"/>
    <w:rsid w:val="008B2614"/>
    <w:rsid w:val="008B30BA"/>
    <w:rsid w:val="008B3868"/>
    <w:rsid w:val="008B3A59"/>
    <w:rsid w:val="008B4E45"/>
    <w:rsid w:val="008B7E8B"/>
    <w:rsid w:val="008C1B29"/>
    <w:rsid w:val="008C288F"/>
    <w:rsid w:val="008C2C68"/>
    <w:rsid w:val="008C572E"/>
    <w:rsid w:val="008C6526"/>
    <w:rsid w:val="008C6715"/>
    <w:rsid w:val="008C7A18"/>
    <w:rsid w:val="008C7A66"/>
    <w:rsid w:val="008C7C06"/>
    <w:rsid w:val="008C7E23"/>
    <w:rsid w:val="008C7EA5"/>
    <w:rsid w:val="008D65E6"/>
    <w:rsid w:val="008E140B"/>
    <w:rsid w:val="008E17F3"/>
    <w:rsid w:val="008E29D9"/>
    <w:rsid w:val="008E3B8C"/>
    <w:rsid w:val="008E3EF9"/>
    <w:rsid w:val="008E50B8"/>
    <w:rsid w:val="008E570F"/>
    <w:rsid w:val="008F0256"/>
    <w:rsid w:val="008F0B81"/>
    <w:rsid w:val="008F1AF5"/>
    <w:rsid w:val="008F3509"/>
    <w:rsid w:val="008F3B30"/>
    <w:rsid w:val="008F3BBC"/>
    <w:rsid w:val="008F489C"/>
    <w:rsid w:val="008F4C3C"/>
    <w:rsid w:val="008F79EA"/>
    <w:rsid w:val="009019C9"/>
    <w:rsid w:val="009028DA"/>
    <w:rsid w:val="00903CCE"/>
    <w:rsid w:val="00905146"/>
    <w:rsid w:val="00905402"/>
    <w:rsid w:val="00906170"/>
    <w:rsid w:val="00912F89"/>
    <w:rsid w:val="00913203"/>
    <w:rsid w:val="009141F2"/>
    <w:rsid w:val="00915D04"/>
    <w:rsid w:val="0091739A"/>
    <w:rsid w:val="009175DB"/>
    <w:rsid w:val="00920B28"/>
    <w:rsid w:val="009219E7"/>
    <w:rsid w:val="00922D1B"/>
    <w:rsid w:val="00926466"/>
    <w:rsid w:val="0092774D"/>
    <w:rsid w:val="00930DBC"/>
    <w:rsid w:val="00931230"/>
    <w:rsid w:val="00931772"/>
    <w:rsid w:val="0093250C"/>
    <w:rsid w:val="009331E3"/>
    <w:rsid w:val="0093325E"/>
    <w:rsid w:val="00933A1E"/>
    <w:rsid w:val="00933B8A"/>
    <w:rsid w:val="00934348"/>
    <w:rsid w:val="00934B56"/>
    <w:rsid w:val="00935556"/>
    <w:rsid w:val="009371BC"/>
    <w:rsid w:val="0094066C"/>
    <w:rsid w:val="00940941"/>
    <w:rsid w:val="00941E01"/>
    <w:rsid w:val="00942623"/>
    <w:rsid w:val="00942773"/>
    <w:rsid w:val="0094390A"/>
    <w:rsid w:val="00943E38"/>
    <w:rsid w:val="00943E46"/>
    <w:rsid w:val="00944624"/>
    <w:rsid w:val="0094622F"/>
    <w:rsid w:val="00947590"/>
    <w:rsid w:val="009528C8"/>
    <w:rsid w:val="00953786"/>
    <w:rsid w:val="00953831"/>
    <w:rsid w:val="00953A96"/>
    <w:rsid w:val="00954786"/>
    <w:rsid w:val="0095573C"/>
    <w:rsid w:val="00955916"/>
    <w:rsid w:val="00956D55"/>
    <w:rsid w:val="00961D22"/>
    <w:rsid w:val="00962076"/>
    <w:rsid w:val="00962812"/>
    <w:rsid w:val="009747C5"/>
    <w:rsid w:val="009749BC"/>
    <w:rsid w:val="00974D2D"/>
    <w:rsid w:val="0097634C"/>
    <w:rsid w:val="009763AD"/>
    <w:rsid w:val="0097660C"/>
    <w:rsid w:val="00976C66"/>
    <w:rsid w:val="00977462"/>
    <w:rsid w:val="00977E78"/>
    <w:rsid w:val="00984522"/>
    <w:rsid w:val="00984CB9"/>
    <w:rsid w:val="0098638B"/>
    <w:rsid w:val="009871A5"/>
    <w:rsid w:val="009901C9"/>
    <w:rsid w:val="009903A7"/>
    <w:rsid w:val="00991C36"/>
    <w:rsid w:val="009925A2"/>
    <w:rsid w:val="00992B1B"/>
    <w:rsid w:val="0099458A"/>
    <w:rsid w:val="00994D2A"/>
    <w:rsid w:val="00995316"/>
    <w:rsid w:val="009A03A5"/>
    <w:rsid w:val="009A0DA7"/>
    <w:rsid w:val="009A0E25"/>
    <w:rsid w:val="009A17E2"/>
    <w:rsid w:val="009A19BB"/>
    <w:rsid w:val="009A2439"/>
    <w:rsid w:val="009A3939"/>
    <w:rsid w:val="009A3B4C"/>
    <w:rsid w:val="009A4701"/>
    <w:rsid w:val="009A52A5"/>
    <w:rsid w:val="009A57D2"/>
    <w:rsid w:val="009A5CD2"/>
    <w:rsid w:val="009B18D6"/>
    <w:rsid w:val="009B2000"/>
    <w:rsid w:val="009B239A"/>
    <w:rsid w:val="009B247A"/>
    <w:rsid w:val="009B261A"/>
    <w:rsid w:val="009B334F"/>
    <w:rsid w:val="009B4671"/>
    <w:rsid w:val="009B6116"/>
    <w:rsid w:val="009B6249"/>
    <w:rsid w:val="009B6969"/>
    <w:rsid w:val="009B6F38"/>
    <w:rsid w:val="009C02A9"/>
    <w:rsid w:val="009C2D6E"/>
    <w:rsid w:val="009C54E2"/>
    <w:rsid w:val="009C5B7E"/>
    <w:rsid w:val="009D0319"/>
    <w:rsid w:val="009D0433"/>
    <w:rsid w:val="009D4183"/>
    <w:rsid w:val="009D56E3"/>
    <w:rsid w:val="009D6B25"/>
    <w:rsid w:val="009D7619"/>
    <w:rsid w:val="009E1699"/>
    <w:rsid w:val="009E1D76"/>
    <w:rsid w:val="009E2831"/>
    <w:rsid w:val="009E3987"/>
    <w:rsid w:val="009E3EDC"/>
    <w:rsid w:val="009E7322"/>
    <w:rsid w:val="009F082F"/>
    <w:rsid w:val="009F2A18"/>
    <w:rsid w:val="009F46FB"/>
    <w:rsid w:val="009F4A10"/>
    <w:rsid w:val="009F5E75"/>
    <w:rsid w:val="00A0254D"/>
    <w:rsid w:val="00A0343C"/>
    <w:rsid w:val="00A03D2B"/>
    <w:rsid w:val="00A0429E"/>
    <w:rsid w:val="00A05D1C"/>
    <w:rsid w:val="00A11E81"/>
    <w:rsid w:val="00A1399E"/>
    <w:rsid w:val="00A146BF"/>
    <w:rsid w:val="00A15835"/>
    <w:rsid w:val="00A17FE5"/>
    <w:rsid w:val="00A20D8F"/>
    <w:rsid w:val="00A213FE"/>
    <w:rsid w:val="00A21675"/>
    <w:rsid w:val="00A231E2"/>
    <w:rsid w:val="00A23895"/>
    <w:rsid w:val="00A32D1F"/>
    <w:rsid w:val="00A36292"/>
    <w:rsid w:val="00A36EB1"/>
    <w:rsid w:val="00A4131B"/>
    <w:rsid w:val="00A41ACE"/>
    <w:rsid w:val="00A42532"/>
    <w:rsid w:val="00A43988"/>
    <w:rsid w:val="00A43BFA"/>
    <w:rsid w:val="00A442C1"/>
    <w:rsid w:val="00A47465"/>
    <w:rsid w:val="00A47724"/>
    <w:rsid w:val="00A5091C"/>
    <w:rsid w:val="00A5154B"/>
    <w:rsid w:val="00A52586"/>
    <w:rsid w:val="00A54B55"/>
    <w:rsid w:val="00A57EE5"/>
    <w:rsid w:val="00A6027D"/>
    <w:rsid w:val="00A609DB"/>
    <w:rsid w:val="00A61598"/>
    <w:rsid w:val="00A61B55"/>
    <w:rsid w:val="00A622D9"/>
    <w:rsid w:val="00A62672"/>
    <w:rsid w:val="00A64831"/>
    <w:rsid w:val="00A64912"/>
    <w:rsid w:val="00A6508F"/>
    <w:rsid w:val="00A65B56"/>
    <w:rsid w:val="00A70A74"/>
    <w:rsid w:val="00A718D0"/>
    <w:rsid w:val="00A71E5D"/>
    <w:rsid w:val="00A76DAE"/>
    <w:rsid w:val="00A77466"/>
    <w:rsid w:val="00A8000C"/>
    <w:rsid w:val="00A800D8"/>
    <w:rsid w:val="00A80619"/>
    <w:rsid w:val="00A80E4A"/>
    <w:rsid w:val="00A82AE5"/>
    <w:rsid w:val="00A83856"/>
    <w:rsid w:val="00A83A89"/>
    <w:rsid w:val="00A91176"/>
    <w:rsid w:val="00A91B5C"/>
    <w:rsid w:val="00A94ACA"/>
    <w:rsid w:val="00A9586F"/>
    <w:rsid w:val="00A95C14"/>
    <w:rsid w:val="00A9645C"/>
    <w:rsid w:val="00A97AAD"/>
    <w:rsid w:val="00AA0F43"/>
    <w:rsid w:val="00AA1F52"/>
    <w:rsid w:val="00AA28C0"/>
    <w:rsid w:val="00AA3455"/>
    <w:rsid w:val="00AB186F"/>
    <w:rsid w:val="00AB2410"/>
    <w:rsid w:val="00AB3BE9"/>
    <w:rsid w:val="00AB46EB"/>
    <w:rsid w:val="00AB5D52"/>
    <w:rsid w:val="00AB718D"/>
    <w:rsid w:val="00AB76E3"/>
    <w:rsid w:val="00AB7F08"/>
    <w:rsid w:val="00AC0CD7"/>
    <w:rsid w:val="00AC23E7"/>
    <w:rsid w:val="00AC3221"/>
    <w:rsid w:val="00AC35F6"/>
    <w:rsid w:val="00AC390E"/>
    <w:rsid w:val="00AC412B"/>
    <w:rsid w:val="00AC4F3A"/>
    <w:rsid w:val="00AC4F74"/>
    <w:rsid w:val="00AC5B0B"/>
    <w:rsid w:val="00AC63C6"/>
    <w:rsid w:val="00AC63F5"/>
    <w:rsid w:val="00AC670B"/>
    <w:rsid w:val="00AD12F6"/>
    <w:rsid w:val="00AD5641"/>
    <w:rsid w:val="00AD5793"/>
    <w:rsid w:val="00AD5DCC"/>
    <w:rsid w:val="00AD6736"/>
    <w:rsid w:val="00AD6BED"/>
    <w:rsid w:val="00AD7662"/>
    <w:rsid w:val="00AE3305"/>
    <w:rsid w:val="00AE4841"/>
    <w:rsid w:val="00AE49E6"/>
    <w:rsid w:val="00AE538D"/>
    <w:rsid w:val="00AE76C4"/>
    <w:rsid w:val="00AF001F"/>
    <w:rsid w:val="00AF188E"/>
    <w:rsid w:val="00AF1A8F"/>
    <w:rsid w:val="00AF3536"/>
    <w:rsid w:val="00AF46DE"/>
    <w:rsid w:val="00AF640C"/>
    <w:rsid w:val="00B0143F"/>
    <w:rsid w:val="00B05051"/>
    <w:rsid w:val="00B06ACA"/>
    <w:rsid w:val="00B07A03"/>
    <w:rsid w:val="00B120CC"/>
    <w:rsid w:val="00B1257F"/>
    <w:rsid w:val="00B12D9B"/>
    <w:rsid w:val="00B158CD"/>
    <w:rsid w:val="00B160B6"/>
    <w:rsid w:val="00B16A03"/>
    <w:rsid w:val="00B16EB1"/>
    <w:rsid w:val="00B1710F"/>
    <w:rsid w:val="00B20524"/>
    <w:rsid w:val="00B206CA"/>
    <w:rsid w:val="00B20B3A"/>
    <w:rsid w:val="00B26667"/>
    <w:rsid w:val="00B3184B"/>
    <w:rsid w:val="00B338C1"/>
    <w:rsid w:val="00B33B3C"/>
    <w:rsid w:val="00B343F2"/>
    <w:rsid w:val="00B36405"/>
    <w:rsid w:val="00B37326"/>
    <w:rsid w:val="00B37DA5"/>
    <w:rsid w:val="00B41128"/>
    <w:rsid w:val="00B42F45"/>
    <w:rsid w:val="00B43408"/>
    <w:rsid w:val="00B4594C"/>
    <w:rsid w:val="00B50340"/>
    <w:rsid w:val="00B51DE7"/>
    <w:rsid w:val="00B51F73"/>
    <w:rsid w:val="00B52420"/>
    <w:rsid w:val="00B54877"/>
    <w:rsid w:val="00B54CF9"/>
    <w:rsid w:val="00B54D32"/>
    <w:rsid w:val="00B55BAB"/>
    <w:rsid w:val="00B564E9"/>
    <w:rsid w:val="00B57953"/>
    <w:rsid w:val="00B613F2"/>
    <w:rsid w:val="00B64871"/>
    <w:rsid w:val="00B65916"/>
    <w:rsid w:val="00B70D5D"/>
    <w:rsid w:val="00B71150"/>
    <w:rsid w:val="00B72BE7"/>
    <w:rsid w:val="00B73314"/>
    <w:rsid w:val="00B74132"/>
    <w:rsid w:val="00B74713"/>
    <w:rsid w:val="00B752D6"/>
    <w:rsid w:val="00B77108"/>
    <w:rsid w:val="00B805B9"/>
    <w:rsid w:val="00B8078C"/>
    <w:rsid w:val="00B81EEC"/>
    <w:rsid w:val="00B8461E"/>
    <w:rsid w:val="00B849D5"/>
    <w:rsid w:val="00B85B88"/>
    <w:rsid w:val="00B86B84"/>
    <w:rsid w:val="00B9016A"/>
    <w:rsid w:val="00B904F5"/>
    <w:rsid w:val="00B918BB"/>
    <w:rsid w:val="00B939A3"/>
    <w:rsid w:val="00B93E5D"/>
    <w:rsid w:val="00B95D0F"/>
    <w:rsid w:val="00B96314"/>
    <w:rsid w:val="00B97E2D"/>
    <w:rsid w:val="00BA0E78"/>
    <w:rsid w:val="00BA26C8"/>
    <w:rsid w:val="00BA2BEA"/>
    <w:rsid w:val="00BA2F9C"/>
    <w:rsid w:val="00BA33C5"/>
    <w:rsid w:val="00BA40D3"/>
    <w:rsid w:val="00BA4731"/>
    <w:rsid w:val="00BA4DC6"/>
    <w:rsid w:val="00BB03A4"/>
    <w:rsid w:val="00BB0B89"/>
    <w:rsid w:val="00BB0CCD"/>
    <w:rsid w:val="00BB3CF6"/>
    <w:rsid w:val="00BC0D07"/>
    <w:rsid w:val="00BC4543"/>
    <w:rsid w:val="00BC5722"/>
    <w:rsid w:val="00BC5AD3"/>
    <w:rsid w:val="00BC6281"/>
    <w:rsid w:val="00BC6641"/>
    <w:rsid w:val="00BC68F6"/>
    <w:rsid w:val="00BC77B0"/>
    <w:rsid w:val="00BC7BD0"/>
    <w:rsid w:val="00BD0166"/>
    <w:rsid w:val="00BD0BE0"/>
    <w:rsid w:val="00BD1165"/>
    <w:rsid w:val="00BD19ED"/>
    <w:rsid w:val="00BD2D30"/>
    <w:rsid w:val="00BD3BD0"/>
    <w:rsid w:val="00BD4742"/>
    <w:rsid w:val="00BE11F9"/>
    <w:rsid w:val="00BE1C8C"/>
    <w:rsid w:val="00BE29FA"/>
    <w:rsid w:val="00BE2A92"/>
    <w:rsid w:val="00BE5F99"/>
    <w:rsid w:val="00BE6158"/>
    <w:rsid w:val="00BE62AB"/>
    <w:rsid w:val="00BE719A"/>
    <w:rsid w:val="00BE720A"/>
    <w:rsid w:val="00BF087A"/>
    <w:rsid w:val="00BF154E"/>
    <w:rsid w:val="00BF1D82"/>
    <w:rsid w:val="00BF22DE"/>
    <w:rsid w:val="00BF4C5F"/>
    <w:rsid w:val="00BF5109"/>
    <w:rsid w:val="00BF56EA"/>
    <w:rsid w:val="00BF5812"/>
    <w:rsid w:val="00BF5935"/>
    <w:rsid w:val="00BF6B21"/>
    <w:rsid w:val="00BF7CC2"/>
    <w:rsid w:val="00C01D6A"/>
    <w:rsid w:val="00C0272E"/>
    <w:rsid w:val="00C029C0"/>
    <w:rsid w:val="00C0363B"/>
    <w:rsid w:val="00C041BF"/>
    <w:rsid w:val="00C060A6"/>
    <w:rsid w:val="00C07690"/>
    <w:rsid w:val="00C0795B"/>
    <w:rsid w:val="00C07B02"/>
    <w:rsid w:val="00C11A1A"/>
    <w:rsid w:val="00C12043"/>
    <w:rsid w:val="00C1453D"/>
    <w:rsid w:val="00C145EE"/>
    <w:rsid w:val="00C146F2"/>
    <w:rsid w:val="00C15966"/>
    <w:rsid w:val="00C172C9"/>
    <w:rsid w:val="00C177F8"/>
    <w:rsid w:val="00C21A19"/>
    <w:rsid w:val="00C2276A"/>
    <w:rsid w:val="00C2374B"/>
    <w:rsid w:val="00C252CC"/>
    <w:rsid w:val="00C255C7"/>
    <w:rsid w:val="00C25793"/>
    <w:rsid w:val="00C27E09"/>
    <w:rsid w:val="00C30E52"/>
    <w:rsid w:val="00C32CBD"/>
    <w:rsid w:val="00C340FF"/>
    <w:rsid w:val="00C343C9"/>
    <w:rsid w:val="00C35CED"/>
    <w:rsid w:val="00C35D52"/>
    <w:rsid w:val="00C37FC1"/>
    <w:rsid w:val="00C426A5"/>
    <w:rsid w:val="00C4298E"/>
    <w:rsid w:val="00C42BF8"/>
    <w:rsid w:val="00C43103"/>
    <w:rsid w:val="00C4516D"/>
    <w:rsid w:val="00C452A4"/>
    <w:rsid w:val="00C46877"/>
    <w:rsid w:val="00C47146"/>
    <w:rsid w:val="00C47252"/>
    <w:rsid w:val="00C50043"/>
    <w:rsid w:val="00C52AA5"/>
    <w:rsid w:val="00C53630"/>
    <w:rsid w:val="00C549DF"/>
    <w:rsid w:val="00C54FB1"/>
    <w:rsid w:val="00C55885"/>
    <w:rsid w:val="00C571FB"/>
    <w:rsid w:val="00C578C8"/>
    <w:rsid w:val="00C60503"/>
    <w:rsid w:val="00C60566"/>
    <w:rsid w:val="00C60ECD"/>
    <w:rsid w:val="00C61CDD"/>
    <w:rsid w:val="00C630A2"/>
    <w:rsid w:val="00C636FA"/>
    <w:rsid w:val="00C647AE"/>
    <w:rsid w:val="00C64C6F"/>
    <w:rsid w:val="00C7149F"/>
    <w:rsid w:val="00C71C70"/>
    <w:rsid w:val="00C745F2"/>
    <w:rsid w:val="00C7573B"/>
    <w:rsid w:val="00C75C52"/>
    <w:rsid w:val="00C76803"/>
    <w:rsid w:val="00C77806"/>
    <w:rsid w:val="00C77EC7"/>
    <w:rsid w:val="00C8062D"/>
    <w:rsid w:val="00C8127B"/>
    <w:rsid w:val="00C828A0"/>
    <w:rsid w:val="00C83868"/>
    <w:rsid w:val="00C83878"/>
    <w:rsid w:val="00C873C2"/>
    <w:rsid w:val="00C87F98"/>
    <w:rsid w:val="00C9153E"/>
    <w:rsid w:val="00C91A80"/>
    <w:rsid w:val="00C91C96"/>
    <w:rsid w:val="00C92201"/>
    <w:rsid w:val="00C92F04"/>
    <w:rsid w:val="00C93DFC"/>
    <w:rsid w:val="00C95976"/>
    <w:rsid w:val="00CA074B"/>
    <w:rsid w:val="00CA0A4E"/>
    <w:rsid w:val="00CA101A"/>
    <w:rsid w:val="00CA710C"/>
    <w:rsid w:val="00CB0996"/>
    <w:rsid w:val="00CB3D6B"/>
    <w:rsid w:val="00CB3FEE"/>
    <w:rsid w:val="00CB480A"/>
    <w:rsid w:val="00CB48D8"/>
    <w:rsid w:val="00CB5911"/>
    <w:rsid w:val="00CB5960"/>
    <w:rsid w:val="00CB788B"/>
    <w:rsid w:val="00CB7DBA"/>
    <w:rsid w:val="00CC0365"/>
    <w:rsid w:val="00CC0D05"/>
    <w:rsid w:val="00CC2064"/>
    <w:rsid w:val="00CC22BA"/>
    <w:rsid w:val="00CC4A51"/>
    <w:rsid w:val="00CC5796"/>
    <w:rsid w:val="00CC6D78"/>
    <w:rsid w:val="00CD1D53"/>
    <w:rsid w:val="00CD2F32"/>
    <w:rsid w:val="00CD32B7"/>
    <w:rsid w:val="00CD68AD"/>
    <w:rsid w:val="00CD6AF6"/>
    <w:rsid w:val="00CD730E"/>
    <w:rsid w:val="00CE0800"/>
    <w:rsid w:val="00CE345A"/>
    <w:rsid w:val="00CE3639"/>
    <w:rsid w:val="00CE380B"/>
    <w:rsid w:val="00CE38EA"/>
    <w:rsid w:val="00CE3CB4"/>
    <w:rsid w:val="00CE3EB9"/>
    <w:rsid w:val="00CE50E3"/>
    <w:rsid w:val="00CE5D78"/>
    <w:rsid w:val="00CE6023"/>
    <w:rsid w:val="00CE6884"/>
    <w:rsid w:val="00CE70A7"/>
    <w:rsid w:val="00CE7A1E"/>
    <w:rsid w:val="00CF0BB2"/>
    <w:rsid w:val="00CF1989"/>
    <w:rsid w:val="00CF4CB4"/>
    <w:rsid w:val="00CF4E7E"/>
    <w:rsid w:val="00CF7724"/>
    <w:rsid w:val="00D00E5A"/>
    <w:rsid w:val="00D0141A"/>
    <w:rsid w:val="00D01E9C"/>
    <w:rsid w:val="00D02370"/>
    <w:rsid w:val="00D03CEB"/>
    <w:rsid w:val="00D043FD"/>
    <w:rsid w:val="00D048A8"/>
    <w:rsid w:val="00D04AEC"/>
    <w:rsid w:val="00D04C6F"/>
    <w:rsid w:val="00D05774"/>
    <w:rsid w:val="00D0684B"/>
    <w:rsid w:val="00D06D5F"/>
    <w:rsid w:val="00D07C2C"/>
    <w:rsid w:val="00D13441"/>
    <w:rsid w:val="00D14436"/>
    <w:rsid w:val="00D148B8"/>
    <w:rsid w:val="00D159F3"/>
    <w:rsid w:val="00D17176"/>
    <w:rsid w:val="00D21CEB"/>
    <w:rsid w:val="00D22D45"/>
    <w:rsid w:val="00D23583"/>
    <w:rsid w:val="00D24D9C"/>
    <w:rsid w:val="00D25AD7"/>
    <w:rsid w:val="00D25BA2"/>
    <w:rsid w:val="00D26B74"/>
    <w:rsid w:val="00D27DDD"/>
    <w:rsid w:val="00D303F1"/>
    <w:rsid w:val="00D30784"/>
    <w:rsid w:val="00D30AB1"/>
    <w:rsid w:val="00D30B71"/>
    <w:rsid w:val="00D3141E"/>
    <w:rsid w:val="00D326E2"/>
    <w:rsid w:val="00D34808"/>
    <w:rsid w:val="00D34BB2"/>
    <w:rsid w:val="00D35365"/>
    <w:rsid w:val="00D35857"/>
    <w:rsid w:val="00D35C33"/>
    <w:rsid w:val="00D41FF9"/>
    <w:rsid w:val="00D44A69"/>
    <w:rsid w:val="00D45BD9"/>
    <w:rsid w:val="00D46A46"/>
    <w:rsid w:val="00D472C0"/>
    <w:rsid w:val="00D47708"/>
    <w:rsid w:val="00D50FC1"/>
    <w:rsid w:val="00D515D6"/>
    <w:rsid w:val="00D5253C"/>
    <w:rsid w:val="00D531DF"/>
    <w:rsid w:val="00D5528C"/>
    <w:rsid w:val="00D63FF6"/>
    <w:rsid w:val="00D6618C"/>
    <w:rsid w:val="00D66C57"/>
    <w:rsid w:val="00D674BA"/>
    <w:rsid w:val="00D700F6"/>
    <w:rsid w:val="00D70DFB"/>
    <w:rsid w:val="00D73F45"/>
    <w:rsid w:val="00D7439F"/>
    <w:rsid w:val="00D75BB2"/>
    <w:rsid w:val="00D76511"/>
    <w:rsid w:val="00D766DF"/>
    <w:rsid w:val="00D7679E"/>
    <w:rsid w:val="00D77775"/>
    <w:rsid w:val="00D82BA1"/>
    <w:rsid w:val="00D84264"/>
    <w:rsid w:val="00D85C15"/>
    <w:rsid w:val="00D87099"/>
    <w:rsid w:val="00D92538"/>
    <w:rsid w:val="00D92D85"/>
    <w:rsid w:val="00D957D9"/>
    <w:rsid w:val="00D95D7F"/>
    <w:rsid w:val="00D97DC2"/>
    <w:rsid w:val="00DA0AE6"/>
    <w:rsid w:val="00DA26AF"/>
    <w:rsid w:val="00DA3C32"/>
    <w:rsid w:val="00DA6C93"/>
    <w:rsid w:val="00DA75B0"/>
    <w:rsid w:val="00DB0301"/>
    <w:rsid w:val="00DB0838"/>
    <w:rsid w:val="00DB14D1"/>
    <w:rsid w:val="00DB3CFE"/>
    <w:rsid w:val="00DB4333"/>
    <w:rsid w:val="00DB67A5"/>
    <w:rsid w:val="00DB6B21"/>
    <w:rsid w:val="00DB6FFA"/>
    <w:rsid w:val="00DB703E"/>
    <w:rsid w:val="00DC12F2"/>
    <w:rsid w:val="00DC18D3"/>
    <w:rsid w:val="00DC1FF7"/>
    <w:rsid w:val="00DC498E"/>
    <w:rsid w:val="00DC49D4"/>
    <w:rsid w:val="00DC6593"/>
    <w:rsid w:val="00DC7BD0"/>
    <w:rsid w:val="00DD16B9"/>
    <w:rsid w:val="00DD17B0"/>
    <w:rsid w:val="00DD1BD6"/>
    <w:rsid w:val="00DD2D30"/>
    <w:rsid w:val="00DD3224"/>
    <w:rsid w:val="00DD466E"/>
    <w:rsid w:val="00DD73D4"/>
    <w:rsid w:val="00DE0481"/>
    <w:rsid w:val="00DE0E80"/>
    <w:rsid w:val="00DE221E"/>
    <w:rsid w:val="00DE2241"/>
    <w:rsid w:val="00DE24C6"/>
    <w:rsid w:val="00DE2A5C"/>
    <w:rsid w:val="00DE3034"/>
    <w:rsid w:val="00DE3832"/>
    <w:rsid w:val="00DE4197"/>
    <w:rsid w:val="00DE5EE5"/>
    <w:rsid w:val="00DE7073"/>
    <w:rsid w:val="00DF0D79"/>
    <w:rsid w:val="00DF1CC7"/>
    <w:rsid w:val="00DF28E2"/>
    <w:rsid w:val="00DF3834"/>
    <w:rsid w:val="00DF3E8E"/>
    <w:rsid w:val="00DF6F58"/>
    <w:rsid w:val="00DF7C4D"/>
    <w:rsid w:val="00E019EF"/>
    <w:rsid w:val="00E076F2"/>
    <w:rsid w:val="00E104E2"/>
    <w:rsid w:val="00E10EF2"/>
    <w:rsid w:val="00E1134D"/>
    <w:rsid w:val="00E1199A"/>
    <w:rsid w:val="00E12A89"/>
    <w:rsid w:val="00E14141"/>
    <w:rsid w:val="00E159CD"/>
    <w:rsid w:val="00E2036D"/>
    <w:rsid w:val="00E241C9"/>
    <w:rsid w:val="00E24203"/>
    <w:rsid w:val="00E2480C"/>
    <w:rsid w:val="00E25418"/>
    <w:rsid w:val="00E26AA7"/>
    <w:rsid w:val="00E27E99"/>
    <w:rsid w:val="00E305CA"/>
    <w:rsid w:val="00E30667"/>
    <w:rsid w:val="00E30FDE"/>
    <w:rsid w:val="00E31D06"/>
    <w:rsid w:val="00E325C2"/>
    <w:rsid w:val="00E328A1"/>
    <w:rsid w:val="00E32A67"/>
    <w:rsid w:val="00E3456C"/>
    <w:rsid w:val="00E404F5"/>
    <w:rsid w:val="00E40E63"/>
    <w:rsid w:val="00E41B72"/>
    <w:rsid w:val="00E41C01"/>
    <w:rsid w:val="00E42366"/>
    <w:rsid w:val="00E428A5"/>
    <w:rsid w:val="00E42A3B"/>
    <w:rsid w:val="00E42DF5"/>
    <w:rsid w:val="00E446EB"/>
    <w:rsid w:val="00E46981"/>
    <w:rsid w:val="00E469FD"/>
    <w:rsid w:val="00E50037"/>
    <w:rsid w:val="00E5029C"/>
    <w:rsid w:val="00E504F1"/>
    <w:rsid w:val="00E50659"/>
    <w:rsid w:val="00E50DA4"/>
    <w:rsid w:val="00E50E72"/>
    <w:rsid w:val="00E520FB"/>
    <w:rsid w:val="00E54F68"/>
    <w:rsid w:val="00E553B4"/>
    <w:rsid w:val="00E55E7D"/>
    <w:rsid w:val="00E55F2E"/>
    <w:rsid w:val="00E57178"/>
    <w:rsid w:val="00E57EAF"/>
    <w:rsid w:val="00E606F1"/>
    <w:rsid w:val="00E6180A"/>
    <w:rsid w:val="00E644D4"/>
    <w:rsid w:val="00E64B44"/>
    <w:rsid w:val="00E64F6C"/>
    <w:rsid w:val="00E654FF"/>
    <w:rsid w:val="00E65965"/>
    <w:rsid w:val="00E65A7E"/>
    <w:rsid w:val="00E6703A"/>
    <w:rsid w:val="00E705C3"/>
    <w:rsid w:val="00E71670"/>
    <w:rsid w:val="00E72F75"/>
    <w:rsid w:val="00E73047"/>
    <w:rsid w:val="00E73B1E"/>
    <w:rsid w:val="00E73FEE"/>
    <w:rsid w:val="00E745F2"/>
    <w:rsid w:val="00E74D41"/>
    <w:rsid w:val="00E74DC7"/>
    <w:rsid w:val="00E75327"/>
    <w:rsid w:val="00E768BE"/>
    <w:rsid w:val="00E76CEC"/>
    <w:rsid w:val="00E807D1"/>
    <w:rsid w:val="00E81889"/>
    <w:rsid w:val="00E83BA9"/>
    <w:rsid w:val="00E843F7"/>
    <w:rsid w:val="00E85B64"/>
    <w:rsid w:val="00E86BF0"/>
    <w:rsid w:val="00E87DBE"/>
    <w:rsid w:val="00E909B0"/>
    <w:rsid w:val="00E9349F"/>
    <w:rsid w:val="00E94477"/>
    <w:rsid w:val="00E96AF3"/>
    <w:rsid w:val="00EA00DA"/>
    <w:rsid w:val="00EA0FC2"/>
    <w:rsid w:val="00EA14B3"/>
    <w:rsid w:val="00EA2FC6"/>
    <w:rsid w:val="00EA35C3"/>
    <w:rsid w:val="00EA5232"/>
    <w:rsid w:val="00EA647F"/>
    <w:rsid w:val="00EA7BA2"/>
    <w:rsid w:val="00EB1864"/>
    <w:rsid w:val="00EB21C2"/>
    <w:rsid w:val="00EB3592"/>
    <w:rsid w:val="00EC0C2B"/>
    <w:rsid w:val="00EC0F4A"/>
    <w:rsid w:val="00EC1E82"/>
    <w:rsid w:val="00EC2D13"/>
    <w:rsid w:val="00EC3108"/>
    <w:rsid w:val="00EC3286"/>
    <w:rsid w:val="00EC5522"/>
    <w:rsid w:val="00EC600C"/>
    <w:rsid w:val="00EC6560"/>
    <w:rsid w:val="00EC66BF"/>
    <w:rsid w:val="00EC7C8B"/>
    <w:rsid w:val="00EC7F47"/>
    <w:rsid w:val="00ED0999"/>
    <w:rsid w:val="00ED0C49"/>
    <w:rsid w:val="00ED447D"/>
    <w:rsid w:val="00ED4542"/>
    <w:rsid w:val="00ED5697"/>
    <w:rsid w:val="00ED59C1"/>
    <w:rsid w:val="00ED6CC1"/>
    <w:rsid w:val="00ED7A47"/>
    <w:rsid w:val="00EE2499"/>
    <w:rsid w:val="00EE309C"/>
    <w:rsid w:val="00EE5570"/>
    <w:rsid w:val="00EE5CA3"/>
    <w:rsid w:val="00EE63B0"/>
    <w:rsid w:val="00EE6426"/>
    <w:rsid w:val="00EE7B6D"/>
    <w:rsid w:val="00EF2236"/>
    <w:rsid w:val="00EF2E3A"/>
    <w:rsid w:val="00EF43BF"/>
    <w:rsid w:val="00EF55EB"/>
    <w:rsid w:val="00EF5773"/>
    <w:rsid w:val="00EF6036"/>
    <w:rsid w:val="00EF6E03"/>
    <w:rsid w:val="00F030AB"/>
    <w:rsid w:val="00F04811"/>
    <w:rsid w:val="00F04D6D"/>
    <w:rsid w:val="00F05111"/>
    <w:rsid w:val="00F078DC"/>
    <w:rsid w:val="00F12B4E"/>
    <w:rsid w:val="00F16256"/>
    <w:rsid w:val="00F1692C"/>
    <w:rsid w:val="00F2000D"/>
    <w:rsid w:val="00F20390"/>
    <w:rsid w:val="00F206AF"/>
    <w:rsid w:val="00F23E5F"/>
    <w:rsid w:val="00F26A91"/>
    <w:rsid w:val="00F30BD4"/>
    <w:rsid w:val="00F30D3E"/>
    <w:rsid w:val="00F31B4C"/>
    <w:rsid w:val="00F31EB1"/>
    <w:rsid w:val="00F32030"/>
    <w:rsid w:val="00F33232"/>
    <w:rsid w:val="00F364F2"/>
    <w:rsid w:val="00F376FE"/>
    <w:rsid w:val="00F43977"/>
    <w:rsid w:val="00F45149"/>
    <w:rsid w:val="00F51269"/>
    <w:rsid w:val="00F51A1E"/>
    <w:rsid w:val="00F530F0"/>
    <w:rsid w:val="00F5338B"/>
    <w:rsid w:val="00F53652"/>
    <w:rsid w:val="00F54B76"/>
    <w:rsid w:val="00F54C92"/>
    <w:rsid w:val="00F55BEE"/>
    <w:rsid w:val="00F56007"/>
    <w:rsid w:val="00F569FC"/>
    <w:rsid w:val="00F56C40"/>
    <w:rsid w:val="00F56E3E"/>
    <w:rsid w:val="00F57881"/>
    <w:rsid w:val="00F6099A"/>
    <w:rsid w:val="00F62811"/>
    <w:rsid w:val="00F63BE9"/>
    <w:rsid w:val="00F713C6"/>
    <w:rsid w:val="00F728D4"/>
    <w:rsid w:val="00F73DDE"/>
    <w:rsid w:val="00F749E4"/>
    <w:rsid w:val="00F74AAF"/>
    <w:rsid w:val="00F83D02"/>
    <w:rsid w:val="00F83E6B"/>
    <w:rsid w:val="00F850B5"/>
    <w:rsid w:val="00F85687"/>
    <w:rsid w:val="00F86F8B"/>
    <w:rsid w:val="00F87C53"/>
    <w:rsid w:val="00F9365E"/>
    <w:rsid w:val="00F93B75"/>
    <w:rsid w:val="00F96673"/>
    <w:rsid w:val="00F966C5"/>
    <w:rsid w:val="00F966F7"/>
    <w:rsid w:val="00FA0110"/>
    <w:rsid w:val="00FA12B6"/>
    <w:rsid w:val="00FA4B7E"/>
    <w:rsid w:val="00FA4B8C"/>
    <w:rsid w:val="00FA6643"/>
    <w:rsid w:val="00FA685A"/>
    <w:rsid w:val="00FA7B49"/>
    <w:rsid w:val="00FB3853"/>
    <w:rsid w:val="00FB3B41"/>
    <w:rsid w:val="00FB4235"/>
    <w:rsid w:val="00FB6DB0"/>
    <w:rsid w:val="00FC011E"/>
    <w:rsid w:val="00FC01E6"/>
    <w:rsid w:val="00FC1495"/>
    <w:rsid w:val="00FC18B0"/>
    <w:rsid w:val="00FC3F42"/>
    <w:rsid w:val="00FC5BA7"/>
    <w:rsid w:val="00FC65A0"/>
    <w:rsid w:val="00FC6815"/>
    <w:rsid w:val="00FC6F35"/>
    <w:rsid w:val="00FC7264"/>
    <w:rsid w:val="00FD0415"/>
    <w:rsid w:val="00FD0F4A"/>
    <w:rsid w:val="00FD1A01"/>
    <w:rsid w:val="00FD25E9"/>
    <w:rsid w:val="00FD4198"/>
    <w:rsid w:val="00FD456C"/>
    <w:rsid w:val="00FD7440"/>
    <w:rsid w:val="00FD7685"/>
    <w:rsid w:val="00FD7DA1"/>
    <w:rsid w:val="00FE08CC"/>
    <w:rsid w:val="00FE26A0"/>
    <w:rsid w:val="00FE3BB8"/>
    <w:rsid w:val="00FE495E"/>
    <w:rsid w:val="00FE4B92"/>
    <w:rsid w:val="00FE6712"/>
    <w:rsid w:val="00FE6B84"/>
    <w:rsid w:val="00FE6DD9"/>
    <w:rsid w:val="00FF0DE8"/>
    <w:rsid w:val="00FF10A8"/>
    <w:rsid w:val="00FF5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9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0947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uiPriority w:val="59"/>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uiPriority w:val="99"/>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tabs>
        <w:tab w:val="clear" w:pos="-3"/>
        <w:tab w:val="num" w:pos="720"/>
      </w:tabs>
      <w:spacing w:before="120" w:line="240" w:lineRule="auto"/>
      <w:ind w:left="720" w:hanging="360"/>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 w:type="paragraph" w:customStyle="1" w:styleId="ScheduleItem">
    <w:name w:val="Schedule Item"/>
    <w:basedOn w:val="ItemHead"/>
    <w:link w:val="ScheduleItemChar"/>
    <w:qFormat/>
    <w:rsid w:val="00526C86"/>
    <w:pPr>
      <w:keepLines w:val="0"/>
      <w:numPr>
        <w:numId w:val="31"/>
      </w:numPr>
      <w:spacing w:before="360"/>
    </w:pPr>
  </w:style>
  <w:style w:type="character" w:customStyle="1" w:styleId="ScheduleItemChar">
    <w:name w:val="Schedule Item Char"/>
    <w:basedOn w:val="DefaultParagraphFont"/>
    <w:link w:val="ScheduleItem"/>
    <w:rsid w:val="00526C86"/>
    <w:rPr>
      <w:rFonts w:ascii="Arial" w:eastAsia="Times New Roman" w:hAnsi="Arial" w:cs="Times New Roman"/>
      <w:b/>
      <w:kern w:val="28"/>
      <w:sz w:val="24"/>
      <w:lang w:eastAsia="en-AU"/>
    </w:rPr>
  </w:style>
  <w:style w:type="paragraph" w:customStyle="1" w:styleId="Speciald">
    <w:name w:val="Special d"/>
    <w:basedOn w:val="ActHead3"/>
    <w:link w:val="SpecialdChar"/>
    <w:rsid w:val="00F33232"/>
    <w:pPr>
      <w:spacing w:before="0"/>
      <w:outlineLvl w:val="9"/>
    </w:pPr>
  </w:style>
  <w:style w:type="character" w:customStyle="1" w:styleId="SpecialdChar">
    <w:name w:val="Special d Char"/>
    <w:basedOn w:val="DefaultParagraphFont"/>
    <w:link w:val="Speciald"/>
    <w:rsid w:val="00F33232"/>
    <w:rPr>
      <w:rFonts w:eastAsia="Times New Roman" w:cs="Times New Roman"/>
      <w:b/>
      <w:kern w:val="28"/>
      <w:sz w:val="28"/>
      <w:lang w:eastAsia="en-AU"/>
    </w:rPr>
  </w:style>
  <w:style w:type="paragraph" w:customStyle="1" w:styleId="Specialsd">
    <w:name w:val="Special sd"/>
    <w:basedOn w:val="ActHead4"/>
    <w:link w:val="SpecialsdChar"/>
    <w:rsid w:val="00791EC9"/>
    <w:pPr>
      <w:spacing w:before="0"/>
      <w:outlineLvl w:val="9"/>
    </w:pPr>
  </w:style>
  <w:style w:type="character" w:customStyle="1" w:styleId="SpecialsdChar">
    <w:name w:val="Special sd Char"/>
    <w:basedOn w:val="DefaultParagraphFont"/>
    <w:link w:val="Specialsd"/>
    <w:rsid w:val="00791EC9"/>
    <w:rPr>
      <w:rFonts w:eastAsia="Times New Roman" w:cs="Times New Roman"/>
      <w:b/>
      <w:kern w:val="28"/>
      <w:sz w:val="26"/>
      <w:lang w:eastAsia="en-AU"/>
    </w:rPr>
  </w:style>
  <w:style w:type="paragraph" w:customStyle="1" w:styleId="R1">
    <w:name w:val="R1"/>
    <w:aliases w:val="1. or 1.(1)"/>
    <w:basedOn w:val="Normal"/>
    <w:next w:val="Normal"/>
    <w:uiPriority w:val="99"/>
    <w:rsid w:val="006B148C"/>
    <w:pPr>
      <w:tabs>
        <w:tab w:val="right" w:pos="794"/>
      </w:tabs>
      <w:spacing w:before="120" w:line="260" w:lineRule="exact"/>
      <w:ind w:left="964" w:hanging="964"/>
      <w:jc w:val="both"/>
    </w:pPr>
  </w:style>
  <w:style w:type="paragraph" w:customStyle="1" w:styleId="P1">
    <w:name w:val="P1"/>
    <w:aliases w:val="(a)"/>
    <w:basedOn w:val="Normal"/>
    <w:rsid w:val="006B148C"/>
    <w:pPr>
      <w:tabs>
        <w:tab w:val="right" w:pos="1191"/>
      </w:tabs>
      <w:spacing w:before="60" w:line="260" w:lineRule="exact"/>
      <w:ind w:left="1418" w:hanging="1418"/>
      <w:jc w:val="both"/>
    </w:pPr>
  </w:style>
  <w:style w:type="paragraph" w:styleId="ListNumber">
    <w:name w:val="List Number"/>
    <w:basedOn w:val="Normal"/>
    <w:uiPriority w:val="99"/>
    <w:unhideWhenUsed/>
    <w:qFormat/>
    <w:rsid w:val="00B54CF9"/>
    <w:pPr>
      <w:numPr>
        <w:numId w:val="6"/>
      </w:numPr>
      <w:contextualSpacing/>
    </w:pPr>
  </w:style>
  <w:style w:type="paragraph" w:styleId="ListNumber2">
    <w:name w:val="List Number 2"/>
    <w:basedOn w:val="Normal"/>
    <w:uiPriority w:val="99"/>
    <w:unhideWhenUsed/>
    <w:rsid w:val="00B54CF9"/>
    <w:pPr>
      <w:numPr>
        <w:numId w:val="7"/>
      </w:numPr>
      <w:contextualSpacing/>
    </w:pPr>
  </w:style>
  <w:style w:type="paragraph" w:styleId="ListNumber3">
    <w:name w:val="List Number 3"/>
    <w:basedOn w:val="Normal"/>
    <w:uiPriority w:val="99"/>
    <w:unhideWhenUsed/>
    <w:rsid w:val="00B54CF9"/>
    <w:pPr>
      <w:numPr>
        <w:numId w:val="8"/>
      </w:numPr>
      <w:contextualSpacing/>
    </w:pPr>
  </w:style>
  <w:style w:type="paragraph" w:styleId="ListNumber4">
    <w:name w:val="List Number 4"/>
    <w:basedOn w:val="Normal"/>
    <w:uiPriority w:val="99"/>
    <w:rsid w:val="00B54CF9"/>
    <w:pPr>
      <w:spacing w:after="200" w:line="276" w:lineRule="auto"/>
      <w:ind w:left="1476" w:hanging="369"/>
    </w:pPr>
    <w:rPr>
      <w:rFonts w:ascii="Arial" w:eastAsia="Calibri" w:hAnsi="Arial" w:cs="Times New Roman"/>
      <w:szCs w:val="22"/>
    </w:rPr>
  </w:style>
  <w:style w:type="paragraph" w:customStyle="1" w:styleId="LDClause">
    <w:name w:val="LDClause"/>
    <w:basedOn w:val="Normal"/>
    <w:link w:val="LDClauseChar"/>
    <w:rsid w:val="00E30FDE"/>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E30FDE"/>
    <w:rPr>
      <w:rFonts w:eastAsia="Times New Roman" w:cs="Times New Roman"/>
      <w:sz w:val="24"/>
      <w:szCs w:val="24"/>
    </w:rPr>
  </w:style>
  <w:style w:type="paragraph" w:customStyle="1" w:styleId="LDP1a">
    <w:name w:val="LDP1 (a)"/>
    <w:basedOn w:val="LDClause"/>
    <w:link w:val="LDP1aChar"/>
    <w:rsid w:val="00E30FDE"/>
    <w:pPr>
      <w:tabs>
        <w:tab w:val="clear" w:pos="737"/>
        <w:tab w:val="left" w:pos="1191"/>
      </w:tabs>
      <w:ind w:left="1191" w:hanging="454"/>
    </w:pPr>
  </w:style>
  <w:style w:type="character" w:customStyle="1" w:styleId="LDP1aChar">
    <w:name w:val="LDP1 (a) Char"/>
    <w:link w:val="LDP1a"/>
    <w:locked/>
    <w:rsid w:val="00E30FDE"/>
    <w:rPr>
      <w:rFonts w:eastAsia="Times New Roman" w:cs="Times New Roman"/>
      <w:sz w:val="24"/>
      <w:szCs w:val="24"/>
    </w:rPr>
  </w:style>
  <w:style w:type="paragraph" w:customStyle="1" w:styleId="LDAmendInstruction">
    <w:name w:val="LDAmendInstruction"/>
    <w:basedOn w:val="Normal"/>
    <w:next w:val="Normal"/>
    <w:rsid w:val="00E30FDE"/>
    <w:pPr>
      <w:keepNext/>
      <w:tabs>
        <w:tab w:val="right" w:pos="454"/>
        <w:tab w:val="left" w:pos="737"/>
      </w:tabs>
      <w:spacing w:before="120" w:after="60" w:line="240" w:lineRule="auto"/>
      <w:ind w:left="737"/>
    </w:pPr>
    <w:rPr>
      <w:rFonts w:eastAsia="Times New Roman" w:cs="Times New Roman"/>
      <w:i/>
      <w:sz w:val="24"/>
      <w:szCs w:val="24"/>
    </w:rPr>
  </w:style>
  <w:style w:type="paragraph" w:customStyle="1" w:styleId="LDAmendHeading">
    <w:name w:val="LDAmendHeading"/>
    <w:basedOn w:val="Normal"/>
    <w:next w:val="LDAmendInstruction"/>
    <w:link w:val="LDAmendHeadingChar"/>
    <w:rsid w:val="00E30FDE"/>
    <w:pPr>
      <w:keepNext/>
      <w:spacing w:before="180" w:after="60" w:line="240" w:lineRule="auto"/>
      <w:ind w:left="720" w:hanging="720"/>
    </w:pPr>
    <w:rPr>
      <w:rFonts w:ascii="Arial" w:eastAsia="Times New Roman" w:hAnsi="Arial" w:cs="Times New Roman"/>
      <w:b/>
      <w:sz w:val="24"/>
      <w:szCs w:val="24"/>
    </w:rPr>
  </w:style>
  <w:style w:type="character" w:customStyle="1" w:styleId="LDAmendTextChar">
    <w:name w:val="LDAmendText Char"/>
    <w:link w:val="LDAmendText"/>
    <w:locked/>
    <w:rsid w:val="00E30FDE"/>
    <w:rPr>
      <w:sz w:val="24"/>
      <w:szCs w:val="24"/>
    </w:rPr>
  </w:style>
  <w:style w:type="paragraph" w:customStyle="1" w:styleId="LDAmendText">
    <w:name w:val="LDAmendText"/>
    <w:basedOn w:val="Normal"/>
    <w:next w:val="LDAmendInstruction"/>
    <w:link w:val="LDAmendTextChar"/>
    <w:rsid w:val="00E30FDE"/>
    <w:pPr>
      <w:spacing w:before="60" w:after="60" w:line="240" w:lineRule="auto"/>
      <w:ind w:left="964"/>
    </w:pPr>
    <w:rPr>
      <w:sz w:val="24"/>
      <w:szCs w:val="24"/>
    </w:rPr>
  </w:style>
  <w:style w:type="character" w:customStyle="1" w:styleId="LDAmendHeadingChar">
    <w:name w:val="LDAmendHeading Char"/>
    <w:link w:val="LDAmendHeading"/>
    <w:rsid w:val="00E30FDE"/>
    <w:rPr>
      <w:rFonts w:ascii="Arial" w:eastAsia="Times New Roman" w:hAnsi="Arial" w:cs="Times New Roman"/>
      <w:b/>
      <w:sz w:val="24"/>
      <w:szCs w:val="24"/>
    </w:rPr>
  </w:style>
  <w:style w:type="paragraph" w:customStyle="1" w:styleId="Specialc">
    <w:name w:val="Special c"/>
    <w:basedOn w:val="Normal"/>
    <w:link w:val="SpecialcChar"/>
    <w:rsid w:val="00AA1F52"/>
    <w:pPr>
      <w:keepNext/>
      <w:keepLines/>
      <w:spacing w:line="240" w:lineRule="auto"/>
      <w:ind w:left="1134" w:hanging="1134"/>
    </w:pPr>
    <w:rPr>
      <w:rFonts w:eastAsia="Times New Roman" w:cs="Times New Roman"/>
      <w:b/>
      <w:kern w:val="28"/>
      <w:sz w:val="36"/>
      <w:lang w:eastAsia="en-AU"/>
    </w:rPr>
  </w:style>
  <w:style w:type="character" w:customStyle="1" w:styleId="SpecialcChar">
    <w:name w:val="Special c Char"/>
    <w:basedOn w:val="DefaultParagraphFont"/>
    <w:link w:val="Specialc"/>
    <w:rsid w:val="00AA1F52"/>
    <w:rPr>
      <w:rFonts w:eastAsia="Times New Roman" w:cs="Times New Roman"/>
      <w:b/>
      <w:kern w:val="28"/>
      <w:sz w:val="36"/>
      <w:lang w:eastAsia="en-AU"/>
    </w:rPr>
  </w:style>
  <w:style w:type="paragraph" w:customStyle="1" w:styleId="Specialas">
    <w:name w:val="Special as"/>
    <w:basedOn w:val="ActHead6"/>
    <w:link w:val="SpecialasChar"/>
    <w:rsid w:val="00E30667"/>
    <w:pPr>
      <w:outlineLvl w:val="9"/>
    </w:pPr>
  </w:style>
  <w:style w:type="character" w:customStyle="1" w:styleId="SpecialasChar">
    <w:name w:val="Special as Char"/>
    <w:basedOn w:val="DefaultParagraphFont"/>
    <w:link w:val="Specialas"/>
    <w:rsid w:val="00E30667"/>
    <w:rPr>
      <w:rFonts w:ascii="Arial" w:eastAsia="Times New Roman" w:hAnsi="Arial" w:cs="Times New Roman"/>
      <w:b/>
      <w:kern w:val="28"/>
      <w:sz w:val="32"/>
      <w:lang w:eastAsia="en-AU"/>
    </w:rPr>
  </w:style>
  <w:style w:type="paragraph" w:customStyle="1" w:styleId="schedule">
    <w:name w:val="schedule"/>
    <w:basedOn w:val="Normal"/>
    <w:rsid w:val="00DF28E2"/>
    <w:pPr>
      <w:spacing w:before="100" w:beforeAutospacing="1" w:after="100" w:afterAutospacing="1" w:line="240" w:lineRule="auto"/>
    </w:pPr>
    <w:rPr>
      <w:rFonts w:eastAsia="Times New Roman" w:cs="Times New Roman"/>
      <w:sz w:val="24"/>
      <w:szCs w:val="24"/>
      <w:lang w:eastAsia="en-AU"/>
    </w:rPr>
  </w:style>
  <w:style w:type="table" w:customStyle="1" w:styleId="TableGrid1">
    <w:name w:val="Table Grid1"/>
    <w:basedOn w:val="TableNormal"/>
    <w:next w:val="TableGrid"/>
    <w:uiPriority w:val="59"/>
    <w:rsid w:val="00B3184B"/>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2">
    <w:name w:val="Table Grid2"/>
    <w:basedOn w:val="TableNormal"/>
    <w:next w:val="TableGrid"/>
    <w:uiPriority w:val="59"/>
    <w:rsid w:val="00B3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F0BE6"/>
    <w:rPr>
      <w:sz w:val="16"/>
      <w:szCs w:val="16"/>
    </w:rPr>
  </w:style>
  <w:style w:type="character" w:customStyle="1" w:styleId="DefinitionChar">
    <w:name w:val="Definition Char"/>
    <w:aliases w:val="dd Char"/>
    <w:link w:val="Definition"/>
    <w:rsid w:val="006421E6"/>
    <w:rPr>
      <w:rFonts w:eastAsia="Times New Roman" w:cs="Times New Roman"/>
      <w:sz w:val="22"/>
      <w:lang w:eastAsia="en-AU"/>
    </w:rPr>
  </w:style>
  <w:style w:type="paragraph" w:customStyle="1" w:styleId="NumberList">
    <w:name w:val="Number List"/>
    <w:basedOn w:val="Normal"/>
    <w:rsid w:val="00994D2A"/>
    <w:pPr>
      <w:tabs>
        <w:tab w:val="left" w:pos="1571"/>
        <w:tab w:val="left" w:pos="2291"/>
        <w:tab w:val="left" w:pos="3011"/>
        <w:tab w:val="left" w:pos="3731"/>
        <w:tab w:val="left" w:pos="4451"/>
        <w:tab w:val="left" w:pos="5171"/>
        <w:tab w:val="left" w:pos="5891"/>
        <w:tab w:val="left" w:pos="6611"/>
      </w:tabs>
      <w:spacing w:before="120" w:after="120" w:line="240" w:lineRule="auto"/>
    </w:pPr>
    <w:rPr>
      <w:rFonts w:eastAsia="Times New Roman" w:cs="Times New Roman"/>
      <w:sz w:val="24"/>
    </w:rPr>
  </w:style>
  <w:style w:type="character" w:customStyle="1" w:styleId="subsection2Char">
    <w:name w:val="subsection2 Char"/>
    <w:aliases w:val="ss2 Char"/>
    <w:basedOn w:val="DefaultParagraphFont"/>
    <w:link w:val="subsection2"/>
    <w:rsid w:val="006764B3"/>
    <w:rPr>
      <w:rFonts w:eastAsia="Times New Roman" w:cs="Times New Roman"/>
      <w:sz w:val="22"/>
      <w:lang w:eastAsia="en-AU"/>
    </w:rPr>
  </w:style>
  <w:style w:type="paragraph" w:customStyle="1" w:styleId="LDSec1">
    <w:name w:val="LDSec(1)"/>
    <w:link w:val="LDSec1Char"/>
    <w:rsid w:val="009331E3"/>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9331E3"/>
    <w:rPr>
      <w:rFonts w:eastAsia="Times New Roman" w:cs="Times New Roman"/>
      <w:sz w:val="24"/>
      <w:szCs w:val="24"/>
    </w:rPr>
  </w:style>
  <w:style w:type="paragraph" w:customStyle="1" w:styleId="LDSecHead">
    <w:name w:val="LDSecHead"/>
    <w:next w:val="LDSec1"/>
    <w:link w:val="LDSecHeadChar"/>
    <w:rsid w:val="009331E3"/>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9331E3"/>
    <w:rPr>
      <w:rFonts w:ascii="Arial" w:eastAsia="Calibri" w:hAnsi="Arial" w:cs="Arial"/>
      <w:b/>
      <w:sz w:val="22"/>
      <w:szCs w:val="22"/>
    </w:rPr>
  </w:style>
  <w:style w:type="table" w:customStyle="1" w:styleId="TableGrid3">
    <w:name w:val="Table Grid3"/>
    <w:basedOn w:val="TableNormal"/>
    <w:next w:val="TableGrid"/>
    <w:uiPriority w:val="59"/>
    <w:rsid w:val="003F0059"/>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0">
    <w:name w:val="item"/>
    <w:basedOn w:val="Normal"/>
    <w:rsid w:val="00563AFC"/>
    <w:pPr>
      <w:spacing w:before="100" w:beforeAutospacing="1" w:after="100" w:afterAutospacing="1" w:line="240" w:lineRule="auto"/>
    </w:pPr>
    <w:rPr>
      <w:rFonts w:eastAsia="Times New Roman" w:cs="Times New Roman"/>
      <w:sz w:val="24"/>
      <w:szCs w:val="24"/>
      <w:lang w:eastAsia="en-AU"/>
    </w:rPr>
  </w:style>
  <w:style w:type="paragraph" w:customStyle="1" w:styleId="family">
    <w:name w:val="family"/>
    <w:basedOn w:val="Normal"/>
    <w:rsid w:val="00083613"/>
    <w:pPr>
      <w:spacing w:line="240" w:lineRule="auto"/>
      <w:ind w:left="176"/>
    </w:pPr>
    <w:rPr>
      <w:rFonts w:eastAsia="Times New Roman" w:cs="Times New Roman"/>
      <w:sz w:val="20"/>
    </w:rPr>
  </w:style>
  <w:style w:type="paragraph" w:styleId="NoSpacing">
    <w:name w:val="No Spacing"/>
    <w:uiPriority w:val="1"/>
    <w:qFormat/>
    <w:rsid w:val="00DD3224"/>
    <w:rPr>
      <w:rFonts w:asciiTheme="minorHAnsi" w:hAnsiTheme="minorHAnsi"/>
      <w:sz w:val="22"/>
      <w:szCs w:val="22"/>
    </w:rPr>
  </w:style>
  <w:style w:type="table" w:customStyle="1" w:styleId="TableGrid4">
    <w:name w:val="Table Grid4"/>
    <w:basedOn w:val="TableNormal"/>
    <w:next w:val="TableGrid"/>
    <w:uiPriority w:val="59"/>
    <w:rsid w:val="00532705"/>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chedulepara">
    <w:name w:val="Schedule para"/>
    <w:basedOn w:val="Normal"/>
    <w:rsid w:val="002E5222"/>
    <w:pPr>
      <w:tabs>
        <w:tab w:val="right" w:pos="567"/>
      </w:tabs>
      <w:spacing w:before="180" w:line="260" w:lineRule="exact"/>
      <w:ind w:left="964" w:hanging="964"/>
      <w:jc w:val="both"/>
    </w:pPr>
    <w:rPr>
      <w:rFonts w:eastAsia="Times New Roman" w:cs="Times New Roman"/>
      <w:sz w:val="24"/>
      <w:szCs w:val="24"/>
    </w:rPr>
  </w:style>
  <w:style w:type="paragraph" w:customStyle="1" w:styleId="Species">
    <w:name w:val="Species"/>
    <w:basedOn w:val="Normal"/>
    <w:rsid w:val="00E50DA4"/>
    <w:pPr>
      <w:spacing w:line="240" w:lineRule="auto"/>
      <w:ind w:left="460"/>
    </w:pPr>
    <w:rPr>
      <w:rFonts w:eastAsia="Times New Roman" w:cs="Times New Roman"/>
      <w:i/>
      <w:sz w:val="20"/>
    </w:rPr>
  </w:style>
  <w:style w:type="paragraph" w:customStyle="1" w:styleId="Specialap">
    <w:name w:val="Special ap"/>
    <w:basedOn w:val="ActHead7"/>
    <w:link w:val="SpecialapChar"/>
    <w:rsid w:val="00A62672"/>
    <w:pPr>
      <w:outlineLvl w:val="9"/>
    </w:pPr>
  </w:style>
  <w:style w:type="character" w:customStyle="1" w:styleId="SpecialapChar">
    <w:name w:val="Special ap Char"/>
    <w:basedOn w:val="DefaultParagraphFont"/>
    <w:link w:val="Specialap"/>
    <w:rsid w:val="00A62672"/>
    <w:rPr>
      <w:rFonts w:ascii="Arial" w:eastAsia="Times New Roman" w:hAnsi="Arial" w:cs="Times New Roman"/>
      <w:b/>
      <w:kern w:val="28"/>
      <w:sz w:val="28"/>
      <w:lang w:eastAsia="en-AU"/>
    </w:rPr>
  </w:style>
  <w:style w:type="paragraph" w:customStyle="1" w:styleId="Scheduletitle">
    <w:name w:val="Schedule title"/>
    <w:basedOn w:val="Normal"/>
    <w:next w:val="Normal"/>
    <w:rsid w:val="00B16EB1"/>
    <w:pPr>
      <w:keepNext/>
      <w:keepLines/>
      <w:spacing w:before="480" w:line="240" w:lineRule="auto"/>
      <w:ind w:left="2410" w:hanging="2410"/>
    </w:pPr>
    <w:rPr>
      <w:rFonts w:ascii="Arial" w:eastAsia="Times New Roman" w:hAnsi="Arial" w:cs="Times New Roman"/>
      <w:b/>
      <w:sz w:val="32"/>
      <w:szCs w:val="24"/>
      <w:lang w:eastAsia="en-AU"/>
    </w:rPr>
  </w:style>
  <w:style w:type="paragraph" w:styleId="BodyText3">
    <w:name w:val="Body Text 3"/>
    <w:basedOn w:val="Normal"/>
    <w:link w:val="BodyText3Char"/>
    <w:rsid w:val="00180168"/>
    <w:pPr>
      <w:widowControl w:val="0"/>
      <w:spacing w:line="240" w:lineRule="auto"/>
    </w:pPr>
    <w:rPr>
      <w:rFonts w:eastAsia="Times New Roman" w:cs="Times New Roman"/>
      <w:snapToGrid w:val="0"/>
      <w:color w:val="000000"/>
      <w:sz w:val="18"/>
      <w:lang w:val="en-US"/>
    </w:rPr>
  </w:style>
  <w:style w:type="character" w:customStyle="1" w:styleId="BodyText3Char">
    <w:name w:val="Body Text 3 Char"/>
    <w:basedOn w:val="DefaultParagraphFont"/>
    <w:link w:val="BodyText3"/>
    <w:rsid w:val="00180168"/>
    <w:rPr>
      <w:rFonts w:eastAsia="Times New Roman" w:cs="Times New Roman"/>
      <w:snapToGrid w:val="0"/>
      <w:color w:val="000000"/>
      <w:sz w:val="18"/>
      <w:lang w:val="en-US"/>
    </w:rPr>
  </w:style>
  <w:style w:type="paragraph" w:customStyle="1" w:styleId="listbullet0">
    <w:name w:val="listbullet"/>
    <w:basedOn w:val="Normal"/>
    <w:rsid w:val="006471ED"/>
    <w:pPr>
      <w:spacing w:before="100" w:beforeAutospacing="1" w:after="100" w:afterAutospacing="1" w:line="240" w:lineRule="auto"/>
    </w:pPr>
    <w:rPr>
      <w:rFonts w:eastAsia="Times New Roman" w:cs="Times New Roman"/>
      <w:sz w:val="24"/>
      <w:szCs w:val="24"/>
      <w:lang w:eastAsia="en-AU"/>
    </w:rPr>
  </w:style>
  <w:style w:type="character" w:customStyle="1" w:styleId="Heading1Char">
    <w:name w:val="Heading 1 Char"/>
    <w:basedOn w:val="DefaultParagraphFont"/>
    <w:link w:val="Heading1"/>
    <w:uiPriority w:val="9"/>
    <w:rsid w:val="00094718"/>
    <w:rPr>
      <w:rFonts w:asciiTheme="majorHAnsi" w:eastAsiaTheme="majorEastAsia" w:hAnsiTheme="majorHAnsi" w:cstheme="majorBidi"/>
      <w:color w:val="365F91" w:themeColor="accent1" w:themeShade="BF"/>
      <w:sz w:val="32"/>
      <w:szCs w:val="32"/>
    </w:rPr>
  </w:style>
  <w:style w:type="character" w:customStyle="1" w:styleId="version-name">
    <w:name w:val="version-name"/>
    <w:basedOn w:val="DefaultParagraphFont"/>
    <w:rsid w:val="0009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772">
      <w:bodyDiv w:val="1"/>
      <w:marLeft w:val="0"/>
      <w:marRight w:val="0"/>
      <w:marTop w:val="0"/>
      <w:marBottom w:val="0"/>
      <w:divBdr>
        <w:top w:val="none" w:sz="0" w:space="0" w:color="auto"/>
        <w:left w:val="none" w:sz="0" w:space="0" w:color="auto"/>
        <w:bottom w:val="none" w:sz="0" w:space="0" w:color="auto"/>
        <w:right w:val="none" w:sz="0" w:space="0" w:color="auto"/>
      </w:divBdr>
    </w:div>
    <w:div w:id="199098672">
      <w:bodyDiv w:val="1"/>
      <w:marLeft w:val="0"/>
      <w:marRight w:val="0"/>
      <w:marTop w:val="0"/>
      <w:marBottom w:val="0"/>
      <w:divBdr>
        <w:top w:val="none" w:sz="0" w:space="0" w:color="auto"/>
        <w:left w:val="none" w:sz="0" w:space="0" w:color="auto"/>
        <w:bottom w:val="none" w:sz="0" w:space="0" w:color="auto"/>
        <w:right w:val="none" w:sz="0" w:space="0" w:color="auto"/>
      </w:divBdr>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792553086">
      <w:bodyDiv w:val="1"/>
      <w:marLeft w:val="0"/>
      <w:marRight w:val="0"/>
      <w:marTop w:val="0"/>
      <w:marBottom w:val="0"/>
      <w:divBdr>
        <w:top w:val="none" w:sz="0" w:space="0" w:color="auto"/>
        <w:left w:val="none" w:sz="0" w:space="0" w:color="auto"/>
        <w:bottom w:val="none" w:sz="0" w:space="0" w:color="auto"/>
        <w:right w:val="none" w:sz="0" w:space="0" w:color="auto"/>
      </w:divBdr>
    </w:div>
    <w:div w:id="898857455">
      <w:bodyDiv w:val="1"/>
      <w:marLeft w:val="0"/>
      <w:marRight w:val="0"/>
      <w:marTop w:val="0"/>
      <w:marBottom w:val="0"/>
      <w:divBdr>
        <w:top w:val="none" w:sz="0" w:space="0" w:color="auto"/>
        <w:left w:val="none" w:sz="0" w:space="0" w:color="auto"/>
        <w:bottom w:val="none" w:sz="0" w:space="0" w:color="auto"/>
        <w:right w:val="none" w:sz="0" w:space="0" w:color="auto"/>
      </w:divBdr>
    </w:div>
    <w:div w:id="1131052780">
      <w:bodyDiv w:val="1"/>
      <w:marLeft w:val="0"/>
      <w:marRight w:val="0"/>
      <w:marTop w:val="0"/>
      <w:marBottom w:val="0"/>
      <w:divBdr>
        <w:top w:val="none" w:sz="0" w:space="0" w:color="auto"/>
        <w:left w:val="none" w:sz="0" w:space="0" w:color="auto"/>
        <w:bottom w:val="none" w:sz="0" w:space="0" w:color="auto"/>
        <w:right w:val="none" w:sz="0" w:space="0" w:color="auto"/>
      </w:divBdr>
    </w:div>
    <w:div w:id="1221552457">
      <w:bodyDiv w:val="1"/>
      <w:marLeft w:val="0"/>
      <w:marRight w:val="0"/>
      <w:marTop w:val="0"/>
      <w:marBottom w:val="0"/>
      <w:divBdr>
        <w:top w:val="none" w:sz="0" w:space="0" w:color="auto"/>
        <w:left w:val="none" w:sz="0" w:space="0" w:color="auto"/>
        <w:bottom w:val="none" w:sz="0" w:space="0" w:color="auto"/>
        <w:right w:val="none" w:sz="0" w:space="0" w:color="auto"/>
      </w:divBdr>
    </w:div>
    <w:div w:id="1279095314">
      <w:bodyDiv w:val="1"/>
      <w:marLeft w:val="0"/>
      <w:marRight w:val="0"/>
      <w:marTop w:val="0"/>
      <w:marBottom w:val="0"/>
      <w:divBdr>
        <w:top w:val="none" w:sz="0" w:space="0" w:color="auto"/>
        <w:left w:val="none" w:sz="0" w:space="0" w:color="auto"/>
        <w:bottom w:val="none" w:sz="0" w:space="0" w:color="auto"/>
        <w:right w:val="none" w:sz="0" w:space="0" w:color="auto"/>
      </w:divBdr>
    </w:div>
    <w:div w:id="1285847292">
      <w:bodyDiv w:val="1"/>
      <w:marLeft w:val="0"/>
      <w:marRight w:val="0"/>
      <w:marTop w:val="0"/>
      <w:marBottom w:val="0"/>
      <w:divBdr>
        <w:top w:val="none" w:sz="0" w:space="0" w:color="auto"/>
        <w:left w:val="none" w:sz="0" w:space="0" w:color="auto"/>
        <w:bottom w:val="none" w:sz="0" w:space="0" w:color="auto"/>
        <w:right w:val="none" w:sz="0" w:space="0" w:color="auto"/>
      </w:divBdr>
      <w:divsChild>
        <w:div w:id="165677440">
          <w:marLeft w:val="0"/>
          <w:marRight w:val="0"/>
          <w:marTop w:val="0"/>
          <w:marBottom w:val="0"/>
          <w:divBdr>
            <w:top w:val="none" w:sz="0" w:space="0" w:color="auto"/>
            <w:left w:val="none" w:sz="0" w:space="0" w:color="auto"/>
            <w:bottom w:val="none" w:sz="0" w:space="0" w:color="auto"/>
            <w:right w:val="none" w:sz="0" w:space="0" w:color="auto"/>
          </w:divBdr>
          <w:divsChild>
            <w:div w:id="12221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1615554413">
      <w:bodyDiv w:val="1"/>
      <w:marLeft w:val="0"/>
      <w:marRight w:val="0"/>
      <w:marTop w:val="0"/>
      <w:marBottom w:val="0"/>
      <w:divBdr>
        <w:top w:val="none" w:sz="0" w:space="0" w:color="auto"/>
        <w:left w:val="none" w:sz="0" w:space="0" w:color="auto"/>
        <w:bottom w:val="none" w:sz="0" w:space="0" w:color="auto"/>
        <w:right w:val="none" w:sz="0" w:space="0" w:color="auto"/>
      </w:divBdr>
    </w:div>
    <w:div w:id="1743286257">
      <w:bodyDiv w:val="1"/>
      <w:marLeft w:val="0"/>
      <w:marRight w:val="0"/>
      <w:marTop w:val="0"/>
      <w:marBottom w:val="0"/>
      <w:divBdr>
        <w:top w:val="none" w:sz="0" w:space="0" w:color="auto"/>
        <w:left w:val="none" w:sz="0" w:space="0" w:color="auto"/>
        <w:bottom w:val="none" w:sz="0" w:space="0" w:color="auto"/>
        <w:right w:val="none" w:sz="0" w:space="0" w:color="auto"/>
      </w:divBdr>
    </w:div>
    <w:div w:id="2074229684">
      <w:bodyDiv w:val="1"/>
      <w:marLeft w:val="0"/>
      <w:marRight w:val="0"/>
      <w:marTop w:val="0"/>
      <w:marBottom w:val="0"/>
      <w:divBdr>
        <w:top w:val="none" w:sz="0" w:space="0" w:color="auto"/>
        <w:left w:val="none" w:sz="0" w:space="0" w:color="auto"/>
        <w:bottom w:val="none" w:sz="0" w:space="0" w:color="auto"/>
        <w:right w:val="none" w:sz="0" w:space="0" w:color="auto"/>
      </w:divBdr>
    </w:div>
    <w:div w:id="2093307082">
      <w:bodyDiv w:val="1"/>
      <w:marLeft w:val="0"/>
      <w:marRight w:val="0"/>
      <w:marTop w:val="0"/>
      <w:marBottom w:val="0"/>
      <w:divBdr>
        <w:top w:val="none" w:sz="0" w:space="0" w:color="auto"/>
        <w:left w:val="none" w:sz="0" w:space="0" w:color="auto"/>
        <w:bottom w:val="none" w:sz="0" w:space="0" w:color="auto"/>
        <w:right w:val="none" w:sz="0" w:space="0" w:color="auto"/>
      </w:divBdr>
    </w:div>
    <w:div w:id="2106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845A8-CED3-4E9A-A3B7-67DB195D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11040</Words>
  <Characters>61717</Characters>
  <Application>Microsoft Office Word</Application>
  <DocSecurity>12</DocSecurity>
  <PresentationFormat/>
  <Lines>1582</Lines>
  <Paragraphs>1102</Paragraphs>
  <ScaleCrop>false</ScaleCrop>
  <HeadingPairs>
    <vt:vector size="2" baseType="variant">
      <vt:variant>
        <vt:lpstr>Title</vt:lpstr>
      </vt:variant>
      <vt:variant>
        <vt:i4>1</vt:i4>
      </vt:variant>
    </vt:vector>
  </HeadingPairs>
  <TitlesOfParts>
    <vt:vector size="1" baseType="lpstr">
      <vt:lpstr>Editorial Changes—Report No. 17</vt:lpstr>
    </vt:vector>
  </TitlesOfParts>
  <Manager/>
  <Company/>
  <LinksUpToDate>false</LinksUpToDate>
  <CharactersWithSpaces>71655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17</dc:title>
  <dc:subject/>
  <dc:creator/>
  <cp:keywords/>
  <dc:description/>
  <cp:lastModifiedBy/>
  <cp:revision>1</cp:revision>
  <dcterms:created xsi:type="dcterms:W3CDTF">2024-07-04T23:16:00Z</dcterms:created>
  <dcterms:modified xsi:type="dcterms:W3CDTF">2024-07-04T23:16:00Z</dcterms:modified>
  <cp:category>Other - To publish on the Register</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TrimID">
    <vt:lpwstr>PC:D24/12239</vt:lpwstr>
  </property>
</Properties>
</file>