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D5E7" w14:textId="61BF5E1E" w:rsidR="00104960" w:rsidRPr="005365CC" w:rsidRDefault="003C7E76" w:rsidP="00C97C4D">
      <w:pPr>
        <w:pStyle w:val="Cover"/>
      </w:pPr>
      <w:bookmarkStart w:id="0" w:name="_GoBack"/>
      <w:bookmarkEnd w:id="0"/>
      <w:r w:rsidRPr="005365CC">
        <w:t>2019</w:t>
      </w:r>
      <w:r w:rsidR="0070279D" w:rsidRPr="005365CC">
        <w:noBreakHyphen/>
        <w:t>2020</w:t>
      </w:r>
    </w:p>
    <w:p w14:paraId="2AB7E845" w14:textId="77777777" w:rsidR="00104960" w:rsidRPr="005365CC" w:rsidRDefault="00104960">
      <w:pPr>
        <w:pStyle w:val="Cover"/>
      </w:pPr>
    </w:p>
    <w:p w14:paraId="6C566160" w14:textId="77777777" w:rsidR="00104960" w:rsidRPr="005365CC" w:rsidRDefault="00104960">
      <w:pPr>
        <w:pStyle w:val="Cover"/>
      </w:pPr>
    </w:p>
    <w:p w14:paraId="48E29690" w14:textId="77777777" w:rsidR="00104960" w:rsidRPr="005365CC" w:rsidRDefault="00104960">
      <w:pPr>
        <w:pStyle w:val="Cover"/>
      </w:pPr>
    </w:p>
    <w:p w14:paraId="37B6E15D" w14:textId="77777777" w:rsidR="00104960" w:rsidRPr="005365CC" w:rsidRDefault="00433AD6">
      <w:pPr>
        <w:pStyle w:val="Cover"/>
      </w:pPr>
      <w:r w:rsidRPr="005365CC">
        <w:t>THE PARLIAMENT OF THE COMMONWEALTH OF AUSTRALIA</w:t>
      </w:r>
    </w:p>
    <w:p w14:paraId="7DF07876" w14:textId="77777777" w:rsidR="00104960" w:rsidRPr="005365CC" w:rsidRDefault="00104960">
      <w:pPr>
        <w:pStyle w:val="Cover"/>
      </w:pPr>
    </w:p>
    <w:p w14:paraId="0D4A323E" w14:textId="77777777" w:rsidR="00104960" w:rsidRPr="005365CC" w:rsidRDefault="00104960">
      <w:pPr>
        <w:pStyle w:val="Cover"/>
      </w:pPr>
    </w:p>
    <w:p w14:paraId="7276333C" w14:textId="77777777" w:rsidR="00104960" w:rsidRPr="005365CC" w:rsidRDefault="00104960">
      <w:pPr>
        <w:pStyle w:val="Cover"/>
      </w:pPr>
    </w:p>
    <w:p w14:paraId="3B988646" w14:textId="77777777" w:rsidR="00104960" w:rsidRPr="005365CC" w:rsidRDefault="00104960">
      <w:pPr>
        <w:pStyle w:val="Cover"/>
      </w:pPr>
    </w:p>
    <w:p w14:paraId="65640079" w14:textId="77777777" w:rsidR="00104960" w:rsidRPr="005365CC" w:rsidRDefault="00433AD6">
      <w:pPr>
        <w:pStyle w:val="Cover"/>
      </w:pPr>
      <w:r w:rsidRPr="005365CC">
        <w:t>HOUSE OF REPRESENTATIVES</w:t>
      </w:r>
    </w:p>
    <w:p w14:paraId="48730204" w14:textId="77777777" w:rsidR="00104960" w:rsidRPr="005365CC" w:rsidRDefault="00104960">
      <w:pPr>
        <w:pStyle w:val="Cover"/>
      </w:pPr>
    </w:p>
    <w:p w14:paraId="7F21280B" w14:textId="77777777" w:rsidR="00104960" w:rsidRPr="005365CC" w:rsidRDefault="00104960">
      <w:pPr>
        <w:pStyle w:val="Cover"/>
      </w:pPr>
    </w:p>
    <w:p w14:paraId="360A30F9" w14:textId="77777777" w:rsidR="00104960" w:rsidRPr="005365CC" w:rsidRDefault="00104960">
      <w:pPr>
        <w:pStyle w:val="Cover"/>
      </w:pPr>
    </w:p>
    <w:p w14:paraId="4005876A" w14:textId="77777777" w:rsidR="00104960" w:rsidRPr="005365CC" w:rsidRDefault="00104960">
      <w:pPr>
        <w:pStyle w:val="Cover"/>
      </w:pPr>
    </w:p>
    <w:p w14:paraId="2F28C7DF" w14:textId="77777777" w:rsidR="00104960" w:rsidRPr="005365CC" w:rsidRDefault="00104960">
      <w:pPr>
        <w:pStyle w:val="Cover"/>
      </w:pPr>
    </w:p>
    <w:p w14:paraId="4A889219" w14:textId="77777777" w:rsidR="00104960" w:rsidRPr="005365CC" w:rsidRDefault="00104960">
      <w:pPr>
        <w:pStyle w:val="Cover"/>
      </w:pPr>
    </w:p>
    <w:p w14:paraId="7459ABFC" w14:textId="77777777" w:rsidR="00104960" w:rsidRPr="005365CC" w:rsidRDefault="00104960">
      <w:pPr>
        <w:pStyle w:val="Cover"/>
      </w:pPr>
    </w:p>
    <w:p w14:paraId="2F27D9C2" w14:textId="77777777" w:rsidR="00104960" w:rsidRPr="005365CC" w:rsidRDefault="00104960">
      <w:pPr>
        <w:pStyle w:val="Cover"/>
      </w:pPr>
    </w:p>
    <w:p w14:paraId="26D9C105" w14:textId="77777777" w:rsidR="00104960" w:rsidRPr="005365CC" w:rsidRDefault="00104960">
      <w:pPr>
        <w:pStyle w:val="Cover"/>
      </w:pPr>
    </w:p>
    <w:p w14:paraId="0ACE929E" w14:textId="77777777" w:rsidR="00104960" w:rsidRPr="005365CC" w:rsidRDefault="00104960">
      <w:pPr>
        <w:pStyle w:val="Cover"/>
      </w:pPr>
    </w:p>
    <w:p w14:paraId="31DB7AE9" w14:textId="77777777" w:rsidR="00104960" w:rsidRPr="005365CC" w:rsidRDefault="00104960">
      <w:pPr>
        <w:pStyle w:val="Cover"/>
      </w:pPr>
    </w:p>
    <w:p w14:paraId="4C07095F" w14:textId="77777777" w:rsidR="00104960" w:rsidRPr="005365CC" w:rsidRDefault="00104960">
      <w:pPr>
        <w:pStyle w:val="Cover"/>
      </w:pPr>
    </w:p>
    <w:p w14:paraId="44FF5B5A" w14:textId="058A9C90" w:rsidR="00104960" w:rsidRPr="005365CC" w:rsidRDefault="001C3622">
      <w:pPr>
        <w:pStyle w:val="Cover"/>
        <w:rPr>
          <w:b/>
          <w:caps/>
        </w:rPr>
      </w:pPr>
      <w:r w:rsidRPr="005365CC">
        <w:rPr>
          <w:b/>
          <w:caps/>
        </w:rPr>
        <w:t xml:space="preserve">SUPPLY </w:t>
      </w:r>
      <w:r w:rsidR="00433AD6" w:rsidRPr="005365CC">
        <w:rPr>
          <w:b/>
          <w:caps/>
        </w:rPr>
        <w:t>Bill (</w:t>
      </w:r>
      <w:r w:rsidR="00851FB1" w:rsidRPr="005365CC">
        <w:rPr>
          <w:b/>
          <w:caps/>
        </w:rPr>
        <w:t>No.</w:t>
      </w:r>
      <w:r w:rsidR="00C4150C" w:rsidRPr="005365CC">
        <w:rPr>
          <w:b/>
          <w:caps/>
        </w:rPr>
        <w:t> 2</w:t>
      </w:r>
      <w:r w:rsidR="00433AD6" w:rsidRPr="005365CC">
        <w:rPr>
          <w:b/>
          <w:caps/>
        </w:rPr>
        <w:t xml:space="preserve">) </w:t>
      </w:r>
      <w:r w:rsidR="003C7E76" w:rsidRPr="005365CC">
        <w:rPr>
          <w:b/>
          <w:caps/>
        </w:rPr>
        <w:t>2020</w:t>
      </w:r>
      <w:r w:rsidR="0070279D" w:rsidRPr="005365CC">
        <w:rPr>
          <w:b/>
          <w:caps/>
        </w:rPr>
        <w:noBreakHyphen/>
        <w:t>2021</w:t>
      </w:r>
    </w:p>
    <w:p w14:paraId="13605D5F" w14:textId="77777777" w:rsidR="00104960" w:rsidRPr="005365CC" w:rsidRDefault="00104960">
      <w:pPr>
        <w:pStyle w:val="Cover"/>
      </w:pPr>
    </w:p>
    <w:p w14:paraId="72EAB889" w14:textId="77777777" w:rsidR="00104960" w:rsidRPr="005365CC" w:rsidRDefault="00104960">
      <w:pPr>
        <w:pStyle w:val="Cover"/>
      </w:pPr>
    </w:p>
    <w:p w14:paraId="31B6545C" w14:textId="77777777" w:rsidR="00104960" w:rsidRPr="005365CC" w:rsidRDefault="00433AD6">
      <w:pPr>
        <w:pStyle w:val="Cover"/>
      </w:pPr>
      <w:r w:rsidRPr="005365CC">
        <w:t>EXPLANATORY MEMORANDUM</w:t>
      </w:r>
    </w:p>
    <w:p w14:paraId="3ACF192D" w14:textId="77777777" w:rsidR="00B41D82" w:rsidRPr="005365CC" w:rsidRDefault="00B41D82" w:rsidP="00B41D82">
      <w:pPr>
        <w:pStyle w:val="Cover"/>
      </w:pPr>
    </w:p>
    <w:p w14:paraId="36059F53" w14:textId="77777777" w:rsidR="00B41D82" w:rsidRPr="005365CC" w:rsidRDefault="00B41D82" w:rsidP="00B41D82">
      <w:pPr>
        <w:pStyle w:val="Cover"/>
      </w:pPr>
    </w:p>
    <w:p w14:paraId="10BE140A" w14:textId="77777777" w:rsidR="00B41D82" w:rsidRPr="005365CC" w:rsidRDefault="00B41D82" w:rsidP="00B41D82">
      <w:pPr>
        <w:pStyle w:val="Cover"/>
      </w:pPr>
    </w:p>
    <w:p w14:paraId="671371C9" w14:textId="77777777" w:rsidR="00B41D82" w:rsidRPr="005365CC" w:rsidRDefault="00B41D82" w:rsidP="00B41D82">
      <w:pPr>
        <w:pStyle w:val="Cover"/>
      </w:pPr>
    </w:p>
    <w:p w14:paraId="70012806" w14:textId="77777777" w:rsidR="00B41D82" w:rsidRPr="005365CC" w:rsidRDefault="00B41D82" w:rsidP="00B41D82">
      <w:pPr>
        <w:pStyle w:val="Cover"/>
      </w:pPr>
    </w:p>
    <w:p w14:paraId="77695F9E" w14:textId="77777777" w:rsidR="00B41D82" w:rsidRPr="005365CC" w:rsidRDefault="00B41D82" w:rsidP="00B41D82">
      <w:pPr>
        <w:pStyle w:val="Cover"/>
      </w:pPr>
    </w:p>
    <w:p w14:paraId="208630E7" w14:textId="77777777" w:rsidR="00B41D82" w:rsidRPr="005365CC" w:rsidRDefault="00B41D82" w:rsidP="00B41D82">
      <w:pPr>
        <w:pStyle w:val="Cover"/>
      </w:pPr>
    </w:p>
    <w:p w14:paraId="570ED52C" w14:textId="77777777" w:rsidR="00B41D82" w:rsidRPr="005365CC" w:rsidRDefault="00B41D82" w:rsidP="00B41D82">
      <w:pPr>
        <w:pStyle w:val="Cover"/>
      </w:pPr>
    </w:p>
    <w:p w14:paraId="6F14EF38" w14:textId="77777777" w:rsidR="00B41D82" w:rsidRPr="005365CC" w:rsidRDefault="00B41D82" w:rsidP="00B41D82">
      <w:pPr>
        <w:pStyle w:val="Cover"/>
      </w:pPr>
    </w:p>
    <w:p w14:paraId="112A2950" w14:textId="77777777" w:rsidR="00B41D82" w:rsidRPr="005365CC" w:rsidRDefault="00B41D82" w:rsidP="00B41D82">
      <w:pPr>
        <w:pStyle w:val="Cover"/>
      </w:pPr>
    </w:p>
    <w:p w14:paraId="197FA02E" w14:textId="77777777" w:rsidR="00B41D82" w:rsidRPr="005365CC" w:rsidRDefault="00B41D82" w:rsidP="00B41D82">
      <w:pPr>
        <w:pStyle w:val="Cover"/>
      </w:pPr>
    </w:p>
    <w:p w14:paraId="5030CE71" w14:textId="31A4F6DD" w:rsidR="00104960" w:rsidRPr="005365CC" w:rsidRDefault="00433AD6" w:rsidP="00B41D82">
      <w:pPr>
        <w:pStyle w:val="Cover"/>
      </w:pPr>
      <w:r w:rsidRPr="005365CC">
        <w:t xml:space="preserve">(Circulated by the authority of the </w:t>
      </w:r>
      <w:r w:rsidR="00CC1F1F" w:rsidRPr="005365CC">
        <w:t>Minister for Finance</w:t>
      </w:r>
      <w:r w:rsidRPr="005365CC">
        <w:t>,</w:t>
      </w:r>
      <w:bookmarkStart w:id="1" w:name="BK_S1P1L23C1"/>
      <w:bookmarkEnd w:id="1"/>
    </w:p>
    <w:p w14:paraId="7B6C94B2" w14:textId="6E11E184" w:rsidR="00425C78" w:rsidRPr="005365CC" w:rsidRDefault="00433AD6" w:rsidP="00425C78">
      <w:pPr>
        <w:pStyle w:val="Cover"/>
      </w:pPr>
      <w:r w:rsidRPr="005365CC">
        <w:t>Senator the Honourable Mathias Cormann)</w:t>
      </w:r>
      <w:bookmarkStart w:id="2" w:name="BK_S1P1L24C1"/>
      <w:bookmarkStart w:id="3" w:name="BK_S1P2L8C1"/>
      <w:bookmarkEnd w:id="2"/>
      <w:bookmarkEnd w:id="3"/>
    </w:p>
    <w:p w14:paraId="0F917417" w14:textId="77777777" w:rsidR="00425C78" w:rsidRPr="005365CC" w:rsidRDefault="00425C78" w:rsidP="00425C78">
      <w:pPr>
        <w:pStyle w:val="Cover"/>
      </w:pPr>
    </w:p>
    <w:p w14:paraId="5A1F60E8" w14:textId="77777777" w:rsidR="00425C78" w:rsidRPr="005365CC" w:rsidRDefault="00425C78" w:rsidP="00425C78">
      <w:pPr>
        <w:pStyle w:val="Cover"/>
      </w:pPr>
    </w:p>
    <w:p w14:paraId="00D59A39" w14:textId="77777777" w:rsidR="00425C78" w:rsidRPr="005365CC" w:rsidRDefault="00425C78" w:rsidP="00425C78">
      <w:pPr>
        <w:pStyle w:val="Cover"/>
        <w:sectPr w:rsidR="00425C78" w:rsidRPr="005365CC" w:rsidSect="00A35C0E">
          <w:headerReference w:type="default" r:id="rId9"/>
          <w:type w:val="continuous"/>
          <w:pgSz w:w="11907" w:h="16840" w:code="9"/>
          <w:pgMar w:top="1701" w:right="1985" w:bottom="1701" w:left="1985" w:header="1418" w:footer="1134" w:gutter="0"/>
          <w:cols w:space="708"/>
          <w:titlePg/>
          <w:docGrid w:linePitch="360"/>
        </w:sectPr>
      </w:pPr>
    </w:p>
    <w:p w14:paraId="58D79336" w14:textId="77777777" w:rsidR="00F43F42" w:rsidRPr="005365CC" w:rsidRDefault="00433AD6" w:rsidP="00105704">
      <w:pPr>
        <w:pStyle w:val="Heading1"/>
      </w:pPr>
      <w:r w:rsidRPr="005365CC">
        <w:lastRenderedPageBreak/>
        <w:t>Table of Acronyms and Defined Terms</w:t>
      </w:r>
    </w:p>
    <w:p w14:paraId="613771BE" w14:textId="77777777" w:rsidR="00F43F42" w:rsidRPr="005365CC" w:rsidRDefault="00F43F42" w:rsidP="00A76924">
      <w:pPr>
        <w:pStyle w:val="Cover"/>
      </w:pPr>
    </w:p>
    <w:p w14:paraId="27137691" w14:textId="77777777" w:rsidR="00F43F42" w:rsidRPr="005365CC" w:rsidRDefault="00F43F42" w:rsidP="00A76924">
      <w:pPr>
        <w:pStyle w:val="Cov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5550"/>
      </w:tblGrid>
      <w:tr w:rsidR="0021129C" w:rsidRPr="005365CC" w14:paraId="3A6A26E0" w14:textId="77777777" w:rsidTr="00B76A9F">
        <w:trPr>
          <w:trHeight w:val="255"/>
          <w:jc w:val="center"/>
        </w:trPr>
        <w:tc>
          <w:tcPr>
            <w:tcW w:w="1977" w:type="dxa"/>
          </w:tcPr>
          <w:p w14:paraId="714A4210" w14:textId="77777777" w:rsidR="0021129C" w:rsidRPr="005365CC" w:rsidRDefault="00CD5E4A" w:rsidP="00F73F33">
            <w:pPr>
              <w:spacing w:before="120" w:after="120"/>
              <w:rPr>
                <w:szCs w:val="24"/>
              </w:rPr>
            </w:pPr>
            <w:r w:rsidRPr="005365CC">
              <w:rPr>
                <w:szCs w:val="24"/>
              </w:rPr>
              <w:t>AAA</w:t>
            </w:r>
          </w:p>
        </w:tc>
        <w:tc>
          <w:tcPr>
            <w:tcW w:w="5550" w:type="dxa"/>
          </w:tcPr>
          <w:p w14:paraId="48D54FFB" w14:textId="77777777" w:rsidR="0021129C" w:rsidRPr="005365CC" w:rsidRDefault="00CD5E4A" w:rsidP="00F73F33">
            <w:pPr>
              <w:spacing w:before="120" w:after="120"/>
              <w:rPr>
                <w:iCs/>
                <w:szCs w:val="24"/>
              </w:rPr>
            </w:pPr>
            <w:r w:rsidRPr="005365CC">
              <w:rPr>
                <w:iCs/>
                <w:szCs w:val="24"/>
              </w:rPr>
              <w:t>Actual Available Appropriation</w:t>
            </w:r>
          </w:p>
        </w:tc>
      </w:tr>
      <w:tr w:rsidR="00DA056F" w:rsidRPr="005365CC" w14:paraId="02ECB05C" w14:textId="77777777" w:rsidTr="00B76A9F">
        <w:trPr>
          <w:trHeight w:val="255"/>
          <w:jc w:val="center"/>
        </w:trPr>
        <w:tc>
          <w:tcPr>
            <w:tcW w:w="1977" w:type="dxa"/>
          </w:tcPr>
          <w:p w14:paraId="30B86BC6" w14:textId="77777777" w:rsidR="00DA056F" w:rsidRPr="005365CC" w:rsidRDefault="00DA056F" w:rsidP="00DA056F">
            <w:pPr>
              <w:spacing w:before="120" w:after="120"/>
              <w:rPr>
                <w:szCs w:val="24"/>
              </w:rPr>
            </w:pPr>
            <w:r w:rsidRPr="005365CC">
              <w:rPr>
                <w:szCs w:val="24"/>
              </w:rPr>
              <w:t>AFM</w:t>
            </w:r>
          </w:p>
        </w:tc>
        <w:tc>
          <w:tcPr>
            <w:tcW w:w="5550" w:type="dxa"/>
          </w:tcPr>
          <w:p w14:paraId="2E0B4F44" w14:textId="77777777" w:rsidR="00DA056F" w:rsidRPr="005365CC" w:rsidRDefault="00DA056F" w:rsidP="00DA056F">
            <w:pPr>
              <w:spacing w:before="120" w:after="120"/>
              <w:rPr>
                <w:iCs/>
                <w:szCs w:val="24"/>
              </w:rPr>
            </w:pPr>
            <w:r w:rsidRPr="005365CC">
              <w:rPr>
                <w:iCs/>
                <w:szCs w:val="24"/>
              </w:rPr>
              <w:t>Advance to the Finance Minister</w:t>
            </w:r>
          </w:p>
        </w:tc>
      </w:tr>
      <w:tr w:rsidR="00DA056F" w:rsidRPr="005365CC" w14:paraId="51FB7AA1" w14:textId="77777777" w:rsidTr="00B76A9F">
        <w:trPr>
          <w:trHeight w:val="255"/>
          <w:jc w:val="center"/>
        </w:trPr>
        <w:tc>
          <w:tcPr>
            <w:tcW w:w="1977" w:type="dxa"/>
          </w:tcPr>
          <w:p w14:paraId="4D3665EE" w14:textId="77777777" w:rsidR="00DA056F" w:rsidRPr="005365CC" w:rsidRDefault="00DA056F" w:rsidP="00DA056F">
            <w:pPr>
              <w:spacing w:before="120" w:after="120"/>
              <w:rPr>
                <w:szCs w:val="24"/>
              </w:rPr>
            </w:pPr>
            <w:r w:rsidRPr="005365CC">
              <w:rPr>
                <w:szCs w:val="24"/>
              </w:rPr>
              <w:t>AI Act</w:t>
            </w:r>
          </w:p>
        </w:tc>
        <w:tc>
          <w:tcPr>
            <w:tcW w:w="5550" w:type="dxa"/>
          </w:tcPr>
          <w:p w14:paraId="3AF13142" w14:textId="263616A3" w:rsidR="00DA056F" w:rsidRPr="005365CC" w:rsidRDefault="005214C9" w:rsidP="00DA056F">
            <w:pPr>
              <w:spacing w:before="120" w:after="120"/>
              <w:rPr>
                <w:i/>
                <w:iCs/>
                <w:szCs w:val="24"/>
              </w:rPr>
            </w:pPr>
            <w:r w:rsidRPr="005365CC">
              <w:rPr>
                <w:i/>
                <w:color w:val="000000"/>
                <w:szCs w:val="24"/>
              </w:rPr>
              <w:t>Acts Interpretation Act </w:t>
            </w:r>
            <w:r w:rsidR="00DA056F" w:rsidRPr="005365CC">
              <w:rPr>
                <w:i/>
                <w:color w:val="000000"/>
                <w:szCs w:val="24"/>
              </w:rPr>
              <w:t>1901</w:t>
            </w:r>
          </w:p>
        </w:tc>
      </w:tr>
      <w:tr w:rsidR="00D35985" w:rsidRPr="005365CC" w14:paraId="71B6BEEE" w14:textId="77777777" w:rsidTr="00E60C79">
        <w:trPr>
          <w:trHeight w:val="255"/>
          <w:jc w:val="center"/>
        </w:trPr>
        <w:tc>
          <w:tcPr>
            <w:tcW w:w="1977" w:type="dxa"/>
          </w:tcPr>
          <w:p w14:paraId="12DBECEF" w14:textId="77777777" w:rsidR="00D35985" w:rsidRPr="005365CC" w:rsidRDefault="00D35985" w:rsidP="00DA056F">
            <w:pPr>
              <w:spacing w:before="120" w:after="120"/>
              <w:rPr>
                <w:szCs w:val="24"/>
              </w:rPr>
            </w:pPr>
            <w:r w:rsidRPr="005365CC">
              <w:rPr>
                <w:szCs w:val="24"/>
              </w:rPr>
              <w:t>COAG</w:t>
            </w:r>
          </w:p>
        </w:tc>
        <w:tc>
          <w:tcPr>
            <w:tcW w:w="5550" w:type="dxa"/>
          </w:tcPr>
          <w:p w14:paraId="1A1D50F0" w14:textId="77777777" w:rsidR="00D35985" w:rsidRPr="005365CC" w:rsidRDefault="00D35985" w:rsidP="00DA056F">
            <w:pPr>
              <w:spacing w:before="120" w:after="120"/>
              <w:rPr>
                <w:color w:val="000000"/>
                <w:szCs w:val="24"/>
              </w:rPr>
            </w:pPr>
            <w:r w:rsidRPr="005365CC">
              <w:rPr>
                <w:color w:val="000000"/>
                <w:szCs w:val="24"/>
              </w:rPr>
              <w:t>Council of Australian Governments</w:t>
            </w:r>
          </w:p>
        </w:tc>
      </w:tr>
      <w:tr w:rsidR="002D504E" w:rsidRPr="005365CC" w14:paraId="5F40454B" w14:textId="77777777" w:rsidTr="00B76A9F">
        <w:trPr>
          <w:jc w:val="center"/>
        </w:trPr>
        <w:tc>
          <w:tcPr>
            <w:tcW w:w="1977" w:type="dxa"/>
          </w:tcPr>
          <w:p w14:paraId="067502A1" w14:textId="5929AFF9" w:rsidR="002D504E" w:rsidRPr="005365CC" w:rsidRDefault="002D504E" w:rsidP="00F85A9C">
            <w:pPr>
              <w:spacing w:before="120" w:after="120"/>
              <w:rPr>
                <w:szCs w:val="24"/>
              </w:rPr>
            </w:pPr>
            <w:r w:rsidRPr="005365CC">
              <w:rPr>
                <w:szCs w:val="24"/>
              </w:rPr>
              <w:t>Commonwealth entity</w:t>
            </w:r>
          </w:p>
        </w:tc>
        <w:tc>
          <w:tcPr>
            <w:tcW w:w="5550" w:type="dxa"/>
          </w:tcPr>
          <w:p w14:paraId="51F280B3" w14:textId="22B06E04" w:rsidR="002D504E" w:rsidRPr="005365CC" w:rsidRDefault="005214C9" w:rsidP="00F85A9C">
            <w:pPr>
              <w:spacing w:before="120" w:after="120"/>
              <w:rPr>
                <w:iCs/>
                <w:szCs w:val="24"/>
              </w:rPr>
            </w:pPr>
            <w:r w:rsidRPr="005365CC">
              <w:rPr>
                <w:iCs/>
                <w:szCs w:val="24"/>
              </w:rPr>
              <w:t>An entity as defined in section </w:t>
            </w:r>
            <w:r w:rsidR="002D504E" w:rsidRPr="005365CC">
              <w:rPr>
                <w:iCs/>
                <w:szCs w:val="24"/>
              </w:rPr>
              <w:t xml:space="preserve">10 of the </w:t>
            </w:r>
            <w:r w:rsidR="002D504E" w:rsidRPr="005365CC">
              <w:t>PGPA Act</w:t>
            </w:r>
          </w:p>
        </w:tc>
      </w:tr>
      <w:tr w:rsidR="00AD012A" w:rsidRPr="005365CC" w14:paraId="6BA3AE09" w14:textId="77777777" w:rsidTr="00B76A9F">
        <w:trPr>
          <w:jc w:val="center"/>
        </w:trPr>
        <w:tc>
          <w:tcPr>
            <w:tcW w:w="1977" w:type="dxa"/>
          </w:tcPr>
          <w:p w14:paraId="3FAF2829" w14:textId="4FB8F70E" w:rsidR="00AD012A" w:rsidRPr="005365CC" w:rsidRDefault="00AD012A" w:rsidP="00AD012A">
            <w:pPr>
              <w:spacing w:before="120" w:after="120"/>
              <w:rPr>
                <w:szCs w:val="24"/>
              </w:rPr>
            </w:pPr>
            <w:r w:rsidRPr="005365CC">
              <w:rPr>
                <w:szCs w:val="24"/>
              </w:rPr>
              <w:t>corporate entity</w:t>
            </w:r>
          </w:p>
        </w:tc>
        <w:tc>
          <w:tcPr>
            <w:tcW w:w="5550" w:type="dxa"/>
          </w:tcPr>
          <w:p w14:paraId="3DA48589" w14:textId="1CC7764F" w:rsidR="00AD012A" w:rsidRPr="005365CC" w:rsidRDefault="00AD012A" w:rsidP="00AD012A">
            <w:pPr>
              <w:spacing w:before="120" w:after="120"/>
              <w:rPr>
                <w:iCs/>
                <w:szCs w:val="24"/>
              </w:rPr>
            </w:pPr>
            <w:r w:rsidRPr="005365CC">
              <w:rPr>
                <w:iCs/>
                <w:szCs w:val="24"/>
              </w:rPr>
              <w:t>A corporate Commonwealth entity or a Commonwealth company within the meaning of the PGPA Act</w:t>
            </w:r>
          </w:p>
        </w:tc>
      </w:tr>
      <w:tr w:rsidR="00AD012A" w:rsidRPr="005365CC" w14:paraId="11515C27" w14:textId="77777777" w:rsidTr="00B76A9F">
        <w:trPr>
          <w:jc w:val="center"/>
        </w:trPr>
        <w:tc>
          <w:tcPr>
            <w:tcW w:w="1977" w:type="dxa"/>
          </w:tcPr>
          <w:p w14:paraId="0158843D" w14:textId="77777777" w:rsidR="00AD012A" w:rsidRPr="005365CC" w:rsidRDefault="00AD012A" w:rsidP="00AD012A">
            <w:pPr>
              <w:spacing w:before="120" w:after="120"/>
              <w:rPr>
                <w:szCs w:val="24"/>
              </w:rPr>
            </w:pPr>
            <w:r w:rsidRPr="005365CC">
              <w:rPr>
                <w:szCs w:val="24"/>
              </w:rPr>
              <w:t xml:space="preserve">CRF </w:t>
            </w:r>
          </w:p>
        </w:tc>
        <w:tc>
          <w:tcPr>
            <w:tcW w:w="5550" w:type="dxa"/>
          </w:tcPr>
          <w:p w14:paraId="3BD5BA1A" w14:textId="77777777" w:rsidR="00AD012A" w:rsidRPr="005365CC" w:rsidRDefault="00AD012A" w:rsidP="00AD012A">
            <w:pPr>
              <w:spacing w:before="120" w:after="120"/>
              <w:rPr>
                <w:szCs w:val="24"/>
              </w:rPr>
            </w:pPr>
            <w:r w:rsidRPr="005365CC">
              <w:rPr>
                <w:iCs/>
                <w:szCs w:val="24"/>
              </w:rPr>
              <w:t>Consolidated Revenue Fund</w:t>
            </w:r>
            <w:r w:rsidRPr="005365CC">
              <w:rPr>
                <w:szCs w:val="24"/>
              </w:rPr>
              <w:t xml:space="preserve"> </w:t>
            </w:r>
          </w:p>
        </w:tc>
      </w:tr>
      <w:tr w:rsidR="00AD012A" w:rsidRPr="005365CC" w14:paraId="5859E3F4" w14:textId="77777777" w:rsidTr="00B76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77" w:type="dxa"/>
            <w:tcBorders>
              <w:top w:val="single" w:sz="4" w:space="0" w:color="auto"/>
              <w:left w:val="single" w:sz="4" w:space="0" w:color="auto"/>
              <w:bottom w:val="single" w:sz="4" w:space="0" w:color="auto"/>
              <w:right w:val="single" w:sz="4" w:space="0" w:color="auto"/>
            </w:tcBorders>
          </w:tcPr>
          <w:p w14:paraId="5AC4D5B2" w14:textId="77777777" w:rsidR="00AD012A" w:rsidRPr="005365CC" w:rsidRDefault="00AD012A" w:rsidP="00AD012A">
            <w:pPr>
              <w:spacing w:before="120" w:after="120"/>
              <w:rPr>
                <w:szCs w:val="24"/>
              </w:rPr>
            </w:pPr>
            <w:r w:rsidRPr="005365CC">
              <w:rPr>
                <w:szCs w:val="24"/>
              </w:rPr>
              <w:t>Finance Minister</w:t>
            </w:r>
          </w:p>
        </w:tc>
        <w:tc>
          <w:tcPr>
            <w:tcW w:w="5550" w:type="dxa"/>
            <w:tcBorders>
              <w:top w:val="single" w:sz="4" w:space="0" w:color="auto"/>
              <w:left w:val="single" w:sz="4" w:space="0" w:color="auto"/>
              <w:bottom w:val="single" w:sz="4" w:space="0" w:color="auto"/>
              <w:right w:val="single" w:sz="4" w:space="0" w:color="auto"/>
            </w:tcBorders>
          </w:tcPr>
          <w:p w14:paraId="4C46EF5F" w14:textId="191EBC5F" w:rsidR="00AD012A" w:rsidRPr="005365CC" w:rsidRDefault="00AD012A" w:rsidP="00AD012A">
            <w:pPr>
              <w:tabs>
                <w:tab w:val="left" w:pos="1150"/>
              </w:tabs>
              <w:spacing w:before="120" w:after="120"/>
              <w:rPr>
                <w:iCs/>
                <w:szCs w:val="24"/>
              </w:rPr>
            </w:pPr>
            <w:r w:rsidRPr="005365CC">
              <w:rPr>
                <w:iCs/>
                <w:szCs w:val="24"/>
              </w:rPr>
              <w:t xml:space="preserve">Minister for Finance </w:t>
            </w:r>
            <w:r w:rsidR="00B7674A" w:rsidRPr="005365CC">
              <w:t>and the Public Service</w:t>
            </w:r>
          </w:p>
        </w:tc>
      </w:tr>
      <w:tr w:rsidR="00AD012A" w:rsidRPr="005365CC" w14:paraId="6DF48BC2" w14:textId="77777777" w:rsidTr="00B76A9F">
        <w:trPr>
          <w:trHeight w:val="255"/>
          <w:jc w:val="center"/>
        </w:trPr>
        <w:tc>
          <w:tcPr>
            <w:tcW w:w="1977" w:type="dxa"/>
          </w:tcPr>
          <w:p w14:paraId="0B8AFCAF" w14:textId="26052EBB" w:rsidR="00AD012A" w:rsidRPr="005365CC" w:rsidRDefault="00AD012A" w:rsidP="00AD012A">
            <w:pPr>
              <w:spacing w:before="120" w:after="120"/>
              <w:rPr>
                <w:szCs w:val="24"/>
              </w:rPr>
            </w:pPr>
            <w:r w:rsidRPr="005365CC">
              <w:rPr>
                <w:szCs w:val="24"/>
              </w:rPr>
              <w:t>GST</w:t>
            </w:r>
          </w:p>
        </w:tc>
        <w:tc>
          <w:tcPr>
            <w:tcW w:w="5550" w:type="dxa"/>
          </w:tcPr>
          <w:p w14:paraId="6E0C6E68" w14:textId="77777777" w:rsidR="00AD012A" w:rsidRPr="005365CC" w:rsidRDefault="00AD012A" w:rsidP="00AD012A">
            <w:pPr>
              <w:spacing w:before="120" w:after="120"/>
              <w:rPr>
                <w:iCs/>
                <w:szCs w:val="24"/>
              </w:rPr>
            </w:pPr>
            <w:r w:rsidRPr="005365CC">
              <w:rPr>
                <w:iCs/>
                <w:szCs w:val="24"/>
              </w:rPr>
              <w:t>Goods and Services Tax</w:t>
            </w:r>
          </w:p>
        </w:tc>
      </w:tr>
      <w:tr w:rsidR="00AD012A" w:rsidRPr="005365CC" w14:paraId="3022C6C9" w14:textId="77777777" w:rsidTr="00B76A9F">
        <w:trPr>
          <w:trHeight w:val="255"/>
          <w:jc w:val="center"/>
        </w:trPr>
        <w:tc>
          <w:tcPr>
            <w:tcW w:w="1977" w:type="dxa"/>
          </w:tcPr>
          <w:p w14:paraId="59A2749B" w14:textId="77777777" w:rsidR="00AD012A" w:rsidRPr="005365CC" w:rsidRDefault="00AD012A" w:rsidP="00EB2678">
            <w:pPr>
              <w:spacing w:before="120" w:after="120"/>
              <w:rPr>
                <w:szCs w:val="24"/>
              </w:rPr>
            </w:pPr>
            <w:r w:rsidRPr="005365CC">
              <w:rPr>
                <w:szCs w:val="24"/>
              </w:rPr>
              <w:t>non-corporate entit</w:t>
            </w:r>
            <w:r w:rsidR="00EB2678" w:rsidRPr="005365CC">
              <w:rPr>
                <w:szCs w:val="24"/>
              </w:rPr>
              <w:t>ies</w:t>
            </w:r>
          </w:p>
        </w:tc>
        <w:tc>
          <w:tcPr>
            <w:tcW w:w="5550" w:type="dxa"/>
          </w:tcPr>
          <w:p w14:paraId="48604423" w14:textId="6E0D51A9" w:rsidR="00AD012A" w:rsidRPr="005365CC" w:rsidRDefault="00EB2678" w:rsidP="00AD012A">
            <w:pPr>
              <w:spacing w:before="120" w:after="120"/>
              <w:rPr>
                <w:i/>
              </w:rPr>
            </w:pPr>
            <w:r w:rsidRPr="005365CC">
              <w:rPr>
                <w:iCs/>
                <w:szCs w:val="24"/>
              </w:rPr>
              <w:t>N</w:t>
            </w:r>
            <w:r w:rsidR="00AD012A" w:rsidRPr="005365CC">
              <w:rPr>
                <w:iCs/>
                <w:szCs w:val="24"/>
              </w:rPr>
              <w:t>on</w:t>
            </w:r>
            <w:r w:rsidRPr="005365CC">
              <w:rPr>
                <w:iCs/>
                <w:szCs w:val="24"/>
              </w:rPr>
              <w:t>-corporate Commonwealth entities</w:t>
            </w:r>
            <w:r w:rsidR="00AD012A" w:rsidRPr="005365CC">
              <w:rPr>
                <w:iCs/>
                <w:szCs w:val="24"/>
              </w:rPr>
              <w:t xml:space="preserve"> as defined in the PGPA Act, or the High Court</w:t>
            </w:r>
          </w:p>
        </w:tc>
      </w:tr>
      <w:tr w:rsidR="00AD012A" w:rsidRPr="005365CC" w14:paraId="39C00AC3" w14:textId="77777777" w:rsidTr="00B76A9F">
        <w:trPr>
          <w:trHeight w:val="255"/>
          <w:jc w:val="center"/>
        </w:trPr>
        <w:tc>
          <w:tcPr>
            <w:tcW w:w="1977" w:type="dxa"/>
          </w:tcPr>
          <w:p w14:paraId="4130DF37" w14:textId="2CE18094" w:rsidR="00AD012A" w:rsidRPr="005365CC" w:rsidRDefault="00AD012A" w:rsidP="00AD012A">
            <w:pPr>
              <w:spacing w:before="120" w:after="120"/>
              <w:rPr>
                <w:szCs w:val="24"/>
              </w:rPr>
            </w:pPr>
            <w:r w:rsidRPr="005365CC">
              <w:rPr>
                <w:szCs w:val="24"/>
              </w:rPr>
              <w:t>PGPA Act</w:t>
            </w:r>
          </w:p>
        </w:tc>
        <w:tc>
          <w:tcPr>
            <w:tcW w:w="5550" w:type="dxa"/>
          </w:tcPr>
          <w:p w14:paraId="0AF024CA" w14:textId="77777777" w:rsidR="00AD012A" w:rsidRPr="005365CC" w:rsidRDefault="00AD012A" w:rsidP="00AD012A">
            <w:pPr>
              <w:spacing w:before="120" w:after="120"/>
              <w:rPr>
                <w:iCs/>
                <w:szCs w:val="24"/>
              </w:rPr>
            </w:pPr>
            <w:r w:rsidRPr="005365CC">
              <w:rPr>
                <w:i/>
              </w:rPr>
              <w:t>Public Governance, Performance and Accountability Act 2013</w:t>
            </w:r>
          </w:p>
        </w:tc>
      </w:tr>
      <w:tr w:rsidR="00AD012A" w:rsidRPr="005365CC" w14:paraId="0DF49639" w14:textId="77777777" w:rsidTr="00B76A9F">
        <w:trPr>
          <w:jc w:val="center"/>
        </w:trPr>
        <w:tc>
          <w:tcPr>
            <w:tcW w:w="1977" w:type="dxa"/>
          </w:tcPr>
          <w:p w14:paraId="1769A938" w14:textId="6260A6FD" w:rsidR="00AD012A" w:rsidRPr="005365CC" w:rsidRDefault="00AD012A" w:rsidP="00AD012A">
            <w:pPr>
              <w:spacing w:before="120" w:after="120"/>
              <w:rPr>
                <w:szCs w:val="24"/>
              </w:rPr>
            </w:pPr>
            <w:r w:rsidRPr="005365CC">
              <w:rPr>
                <w:szCs w:val="24"/>
              </w:rPr>
              <w:t>portfolio statements</w:t>
            </w:r>
          </w:p>
        </w:tc>
        <w:tc>
          <w:tcPr>
            <w:tcW w:w="5550" w:type="dxa"/>
          </w:tcPr>
          <w:p w14:paraId="4B8D7CAB" w14:textId="1A0FBDB1" w:rsidR="00AD012A" w:rsidRPr="005365CC" w:rsidRDefault="00206949" w:rsidP="00DE6C44">
            <w:pPr>
              <w:tabs>
                <w:tab w:val="left" w:pos="1150"/>
              </w:tabs>
              <w:spacing w:before="120" w:after="120"/>
            </w:pPr>
            <w:r w:rsidRPr="00426098">
              <w:rPr>
                <w:iCs/>
                <w:szCs w:val="24"/>
              </w:rPr>
              <w:t>Portfolio Budget Statements</w:t>
            </w:r>
            <w:r>
              <w:rPr>
                <w:iCs/>
                <w:szCs w:val="24"/>
              </w:rPr>
              <w:t xml:space="preserve"> and Portfolio Additional Estimates Statements</w:t>
            </w:r>
          </w:p>
        </w:tc>
      </w:tr>
    </w:tbl>
    <w:p w14:paraId="7B33C3F9" w14:textId="77777777" w:rsidR="00F43F42" w:rsidRPr="005365CC" w:rsidRDefault="00F43F42" w:rsidP="00F43F42"/>
    <w:p w14:paraId="0BF21B4D" w14:textId="77777777" w:rsidR="00D004A3" w:rsidRPr="005365CC" w:rsidRDefault="00D004A3" w:rsidP="00F43F42">
      <w:pPr>
        <w:sectPr w:rsidR="00D004A3" w:rsidRPr="005365CC" w:rsidSect="00A35C0E">
          <w:headerReference w:type="default" r:id="rId10"/>
          <w:footerReference w:type="default" r:id="rId11"/>
          <w:pgSz w:w="11907" w:h="16840" w:code="9"/>
          <w:pgMar w:top="1701" w:right="1985" w:bottom="1701" w:left="1985" w:header="1134" w:footer="1134" w:gutter="0"/>
          <w:pgNumType w:start="1"/>
          <w:cols w:space="708"/>
          <w:docGrid w:linePitch="360"/>
        </w:sectPr>
      </w:pPr>
    </w:p>
    <w:p w14:paraId="620E058E" w14:textId="77777777" w:rsidR="00307671" w:rsidRPr="005365CC" w:rsidRDefault="00307671">
      <w:pPr>
        <w:spacing w:before="0"/>
      </w:pPr>
    </w:p>
    <w:p w14:paraId="4EF7F559" w14:textId="7295542C" w:rsidR="00104960" w:rsidRPr="005365CC" w:rsidRDefault="00C33EDB">
      <w:pPr>
        <w:pStyle w:val="Heading1"/>
      </w:pPr>
      <w:r w:rsidRPr="005365CC">
        <w:br w:type="page"/>
      </w:r>
      <w:r w:rsidR="001C3622" w:rsidRPr="005365CC">
        <w:lastRenderedPageBreak/>
        <w:t xml:space="preserve">Supply </w:t>
      </w:r>
      <w:r w:rsidR="00433AD6" w:rsidRPr="005365CC">
        <w:t>Bill (</w:t>
      </w:r>
      <w:r w:rsidR="00851FB1" w:rsidRPr="005365CC">
        <w:t>No.</w:t>
      </w:r>
      <w:r w:rsidR="00FE4ACC" w:rsidRPr="005365CC">
        <w:t> 2</w:t>
      </w:r>
      <w:r w:rsidR="00433AD6" w:rsidRPr="005365CC">
        <w:t xml:space="preserve">) </w:t>
      </w:r>
      <w:r w:rsidR="003C7E76" w:rsidRPr="005365CC">
        <w:t>2020</w:t>
      </w:r>
      <w:r w:rsidR="0070279D" w:rsidRPr="005365CC">
        <w:noBreakHyphen/>
        <w:t>2021</w:t>
      </w:r>
    </w:p>
    <w:p w14:paraId="198C2C3A" w14:textId="77777777" w:rsidR="00104960" w:rsidRPr="005365CC" w:rsidRDefault="00433AD6" w:rsidP="00425C78">
      <w:pPr>
        <w:pStyle w:val="Heading2"/>
        <w:tabs>
          <w:tab w:val="center" w:pos="3855"/>
        </w:tabs>
      </w:pPr>
      <w:bookmarkStart w:id="4" w:name="_Toc97017889"/>
      <w:r w:rsidRPr="005365CC">
        <w:t>General Outline</w:t>
      </w:r>
      <w:bookmarkEnd w:id="4"/>
      <w:r w:rsidRPr="005365CC">
        <w:tab/>
      </w:r>
    </w:p>
    <w:p w14:paraId="31897F31" w14:textId="6F9F37F1" w:rsidR="00104960" w:rsidRPr="005365CC" w:rsidRDefault="00433AD6" w:rsidP="00103A8A">
      <w:pPr>
        <w:pStyle w:val="NumberList"/>
        <w:tabs>
          <w:tab w:val="clear" w:pos="720"/>
          <w:tab w:val="num" w:pos="567"/>
        </w:tabs>
      </w:pPr>
      <w:r w:rsidRPr="005365CC">
        <w:t xml:space="preserve">This Explanatory Memorandum accompanies </w:t>
      </w:r>
      <w:r w:rsidR="00DB4E9F" w:rsidRPr="005365CC">
        <w:t xml:space="preserve">the </w:t>
      </w:r>
      <w:r w:rsidR="001C3622" w:rsidRPr="005365CC">
        <w:rPr>
          <w:i/>
        </w:rPr>
        <w:t xml:space="preserve">Supply </w:t>
      </w:r>
      <w:r w:rsidRPr="005365CC">
        <w:rPr>
          <w:i/>
        </w:rPr>
        <w:t>Bill (</w:t>
      </w:r>
      <w:r w:rsidR="00851FB1" w:rsidRPr="005365CC">
        <w:rPr>
          <w:i/>
        </w:rPr>
        <w:t>No.</w:t>
      </w:r>
      <w:r w:rsidR="00FE4ACC" w:rsidRPr="005365CC">
        <w:rPr>
          <w:i/>
        </w:rPr>
        <w:t> 2</w:t>
      </w:r>
      <w:r w:rsidRPr="005365CC">
        <w:rPr>
          <w:i/>
        </w:rPr>
        <w:t xml:space="preserve">) </w:t>
      </w:r>
      <w:r w:rsidR="003C7E76" w:rsidRPr="005365CC">
        <w:rPr>
          <w:i/>
        </w:rPr>
        <w:t>2020</w:t>
      </w:r>
      <w:r w:rsidR="0070279D" w:rsidRPr="005365CC">
        <w:rPr>
          <w:i/>
        </w:rPr>
        <w:noBreakHyphen/>
        <w:t>2021</w:t>
      </w:r>
      <w:r w:rsidRPr="005365CC">
        <w:t xml:space="preserve"> (the Bill).</w:t>
      </w:r>
    </w:p>
    <w:p w14:paraId="02E157A4" w14:textId="7E7E77ED" w:rsidR="00104960" w:rsidRPr="005365CC" w:rsidRDefault="00433AD6" w:rsidP="00103A8A">
      <w:pPr>
        <w:pStyle w:val="NumberList"/>
        <w:tabs>
          <w:tab w:val="clear" w:pos="720"/>
          <w:tab w:val="num" w:pos="567"/>
        </w:tabs>
      </w:pPr>
      <w:r w:rsidRPr="005365CC">
        <w:t>The main purpose of the Bill is to propose appropriations from the Consolidated Revenue Fund (CRF) for services that are not the ordinary annual services of the Government</w:t>
      </w:r>
      <w:r w:rsidR="00307671" w:rsidRPr="005365CC">
        <w:t>.</w:t>
      </w:r>
    </w:p>
    <w:p w14:paraId="54CBBC4D" w14:textId="33802177" w:rsidR="003C7E76" w:rsidRPr="005365CC" w:rsidRDefault="003C7E76" w:rsidP="003C7E76">
      <w:pPr>
        <w:pStyle w:val="NumberList"/>
      </w:pPr>
      <w:r w:rsidRPr="005365CC">
        <w:t xml:space="preserve">The Bill proposes appropriations broadly equivalent to </w:t>
      </w:r>
      <w:r w:rsidR="0070279D" w:rsidRPr="005365CC">
        <w:t>7</w:t>
      </w:r>
      <w:r w:rsidRPr="005365CC">
        <w:t>/12</w:t>
      </w:r>
      <w:r w:rsidRPr="005365CC">
        <w:rPr>
          <w:vertAlign w:val="superscript"/>
        </w:rPr>
        <w:t>ths</w:t>
      </w:r>
      <w:r w:rsidRPr="005365CC">
        <w:t xml:space="preserve"> of the estimated 2020</w:t>
      </w:r>
      <w:r w:rsidR="0070279D" w:rsidRPr="005365CC">
        <w:noBreakHyphen/>
        <w:t>21</w:t>
      </w:r>
      <w:r w:rsidRPr="005365CC">
        <w:t xml:space="preserve"> annual appropriations that are not for the ordinary annual services of the Government.</w:t>
      </w:r>
      <w:r w:rsidR="009F3231" w:rsidRPr="005365CC">
        <w:t xml:space="preserve"> The Bill proposes greater appropriations for certain entities which may have disproportionately high expenditure early in the financial year to support the COVID</w:t>
      </w:r>
      <w:r w:rsidR="009F3231" w:rsidRPr="005365CC">
        <w:noBreakHyphen/>
        <w:t xml:space="preserve">19 response, such as the Department of Health and Services Australia. Further details of the amounts proposed in the Bill are outlined in the </w:t>
      </w:r>
      <w:r w:rsidR="009F3231" w:rsidRPr="005365CC">
        <w:rPr>
          <w:i/>
        </w:rPr>
        <w:t>Notes on clauses</w:t>
      </w:r>
      <w:r w:rsidR="009F3231" w:rsidRPr="005365CC">
        <w:t xml:space="preserve"> section to this Explanatory Memorandum, under Schedule 2—Services for which money is appropriated.</w:t>
      </w:r>
    </w:p>
    <w:p w14:paraId="19EBE414" w14:textId="0ED959AA" w:rsidR="000A036B" w:rsidRPr="005365CC" w:rsidRDefault="00433AD6" w:rsidP="00103A8A">
      <w:pPr>
        <w:pStyle w:val="NumberList"/>
        <w:tabs>
          <w:tab w:val="clear" w:pos="720"/>
          <w:tab w:val="num" w:pos="567"/>
        </w:tabs>
      </w:pPr>
      <w:r w:rsidRPr="005365CC">
        <w:t xml:space="preserve">Appropriations for the ordinary annual services of the Government must be contained in a separate Bill from other appropriations in </w:t>
      </w:r>
      <w:r w:rsidR="005214C9" w:rsidRPr="005365CC">
        <w:t>accordance with sections 53 and </w:t>
      </w:r>
      <w:r w:rsidRPr="005365CC">
        <w:t xml:space="preserve">54 of the </w:t>
      </w:r>
      <w:r w:rsidRPr="005365CC">
        <w:rPr>
          <w:i/>
        </w:rPr>
        <w:t>Australian Constitution</w:t>
      </w:r>
      <w:r w:rsidRPr="005365CC">
        <w:t xml:space="preserve"> (the Constitution). Consequently, the Bill proposes appropriations that are not for the ordinary annual services of the Government. Annual appropriations that are for the ordinary annual services of the Government are proposed in </w:t>
      </w:r>
      <w:r w:rsidR="00F72572" w:rsidRPr="005365CC">
        <w:t xml:space="preserve">the </w:t>
      </w:r>
      <w:r w:rsidR="003C7E76" w:rsidRPr="005365CC">
        <w:rPr>
          <w:i/>
        </w:rPr>
        <w:t xml:space="preserve">Supply </w:t>
      </w:r>
      <w:r w:rsidRPr="005365CC">
        <w:rPr>
          <w:i/>
        </w:rPr>
        <w:t>Bill (No.</w:t>
      </w:r>
      <w:r w:rsidR="00D9620E" w:rsidRPr="005365CC">
        <w:rPr>
          <w:i/>
        </w:rPr>
        <w:t> 1</w:t>
      </w:r>
      <w:r w:rsidRPr="005365CC">
        <w:rPr>
          <w:i/>
        </w:rPr>
        <w:t xml:space="preserve">) </w:t>
      </w:r>
      <w:r w:rsidR="003C7E76" w:rsidRPr="005365CC">
        <w:rPr>
          <w:i/>
        </w:rPr>
        <w:t>2020</w:t>
      </w:r>
      <w:r w:rsidR="0070279D" w:rsidRPr="005365CC">
        <w:rPr>
          <w:i/>
        </w:rPr>
        <w:noBreakHyphen/>
        <w:t>2021</w:t>
      </w:r>
      <w:r w:rsidR="00FA4104" w:rsidRPr="005365CC">
        <w:t xml:space="preserve">, on </w:t>
      </w:r>
      <w:r w:rsidR="0070279D" w:rsidRPr="005365CC">
        <w:t xml:space="preserve">broadly </w:t>
      </w:r>
      <w:r w:rsidR="00FA4104" w:rsidRPr="005365CC">
        <w:t>the same proportional basis as this Bill</w:t>
      </w:r>
      <w:r w:rsidR="00D35985" w:rsidRPr="005365CC">
        <w:rPr>
          <w:i/>
        </w:rPr>
        <w:t>.</w:t>
      </w:r>
      <w:r w:rsidR="00D35985" w:rsidRPr="005365CC">
        <w:t xml:space="preserve"> Other annual appropriations that are not for the ordinary annual services of the Government are proposed in </w:t>
      </w:r>
      <w:r w:rsidR="003C7E76" w:rsidRPr="005365CC">
        <w:rPr>
          <w:i/>
        </w:rPr>
        <w:t xml:space="preserve">Supply </w:t>
      </w:r>
      <w:r w:rsidR="00DA7089" w:rsidRPr="005365CC">
        <w:rPr>
          <w:i/>
        </w:rPr>
        <w:t xml:space="preserve">(Parliamentary Departments) Bill (No. 1) </w:t>
      </w:r>
      <w:r w:rsidR="003C7E76" w:rsidRPr="005365CC">
        <w:rPr>
          <w:i/>
        </w:rPr>
        <w:t>2020</w:t>
      </w:r>
      <w:r w:rsidR="0070279D" w:rsidRPr="005365CC">
        <w:rPr>
          <w:i/>
        </w:rPr>
        <w:noBreakHyphen/>
        <w:t>2021</w:t>
      </w:r>
      <w:r w:rsidR="00FA4104" w:rsidRPr="005365CC">
        <w:t>,</w:t>
      </w:r>
      <w:r w:rsidR="003C7E76" w:rsidRPr="005365CC">
        <w:t xml:space="preserve"> on </w:t>
      </w:r>
      <w:r w:rsidR="0070279D" w:rsidRPr="005365CC">
        <w:t xml:space="preserve">broadly </w:t>
      </w:r>
      <w:r w:rsidR="003C7E76" w:rsidRPr="005365CC">
        <w:t>the same proportional basis as this Bill</w:t>
      </w:r>
      <w:r w:rsidRPr="005365CC">
        <w:t xml:space="preserve">. Together these </w:t>
      </w:r>
      <w:r w:rsidR="00D9620E" w:rsidRPr="005365CC">
        <w:t xml:space="preserve">three </w:t>
      </w:r>
      <w:r w:rsidRPr="005365CC">
        <w:t>Bills are termed the</w:t>
      </w:r>
      <w:r w:rsidR="003C7E76" w:rsidRPr="005365CC">
        <w:t xml:space="preserve"> Supply </w:t>
      </w:r>
      <w:r w:rsidRPr="005365CC">
        <w:t>Bills.</w:t>
      </w:r>
      <w:r w:rsidR="0047330A" w:rsidRPr="005365CC">
        <w:t xml:space="preserve"> </w:t>
      </w:r>
    </w:p>
    <w:p w14:paraId="0999A146" w14:textId="3B3402AF" w:rsidR="00937729" w:rsidRPr="005365CC" w:rsidRDefault="00937729" w:rsidP="00997784">
      <w:pPr>
        <w:pStyle w:val="NumberList"/>
        <w:tabs>
          <w:tab w:val="clear" w:pos="720"/>
        </w:tabs>
      </w:pPr>
      <w:r w:rsidRPr="005365CC">
        <w:t xml:space="preserve">This Explanatory Memorandum should be read in conjunction with the various </w:t>
      </w:r>
      <w:r w:rsidR="003C7E76" w:rsidRPr="005365CC">
        <w:t>2019</w:t>
      </w:r>
      <w:r w:rsidR="00106D62" w:rsidRPr="005365CC">
        <w:noBreakHyphen/>
      </w:r>
      <w:r w:rsidR="003C7E76" w:rsidRPr="005365CC">
        <w:t>20</w:t>
      </w:r>
      <w:r w:rsidRPr="005365CC">
        <w:t xml:space="preserve"> </w:t>
      </w:r>
      <w:r w:rsidR="00A320E7" w:rsidRPr="005365CC">
        <w:t>p</w:t>
      </w:r>
      <w:r w:rsidRPr="005365CC">
        <w:t xml:space="preserve">ortfolio </w:t>
      </w:r>
      <w:r w:rsidR="00A320E7" w:rsidRPr="005365CC">
        <w:t>s</w:t>
      </w:r>
      <w:r w:rsidRPr="005365CC">
        <w:t>tatements</w:t>
      </w:r>
      <w:r w:rsidR="00106D62" w:rsidRPr="005365CC">
        <w:t xml:space="preserve"> (being the Portfolio Budget Statements 2019</w:t>
      </w:r>
      <w:r w:rsidR="00106D62" w:rsidRPr="005365CC">
        <w:noBreakHyphen/>
        <w:t>20 and the Portfolio Additional Estimates Statements)</w:t>
      </w:r>
      <w:r w:rsidRPr="005365CC">
        <w:t xml:space="preserve"> which contain details on the appropriations set out in the Schedules of the Bill.</w:t>
      </w:r>
      <w:r w:rsidR="00423811" w:rsidRPr="005365CC">
        <w:t xml:space="preserve"> </w:t>
      </w:r>
    </w:p>
    <w:p w14:paraId="65CCA1EA" w14:textId="7A8D3E49" w:rsidR="00104960" w:rsidRPr="005365CC" w:rsidRDefault="00433AD6">
      <w:pPr>
        <w:pStyle w:val="Heading2"/>
        <w:rPr>
          <w:b w:val="0"/>
        </w:rPr>
      </w:pPr>
      <w:r w:rsidRPr="005365CC">
        <w:t>Structure of the Bill</w:t>
      </w:r>
    </w:p>
    <w:p w14:paraId="766C83A4" w14:textId="30D5E5CB" w:rsidR="00E95166" w:rsidRPr="005365CC" w:rsidRDefault="00E95166" w:rsidP="00B42651">
      <w:pPr>
        <w:pStyle w:val="NumberList"/>
      </w:pPr>
      <w:r w:rsidRPr="005365CC">
        <w:t>The Bill provides for the appropriation of specified amounts for expenditure by</w:t>
      </w:r>
      <w:r w:rsidR="00E46A7D" w:rsidRPr="005365CC">
        <w:t xml:space="preserve"> Australian Government entities, primarily being non-corporate Commonwealth entities </w:t>
      </w:r>
      <w:r w:rsidR="004B5F99" w:rsidRPr="005365CC">
        <w:t xml:space="preserve">(non-corporate entities) </w:t>
      </w:r>
      <w:r w:rsidR="00E46A7D" w:rsidRPr="005365CC">
        <w:t xml:space="preserve">under the </w:t>
      </w:r>
      <w:r w:rsidR="00E46A7D" w:rsidRPr="005365CC">
        <w:rPr>
          <w:i/>
        </w:rPr>
        <w:t>Public Governance, Performance and Accountability Act 2013</w:t>
      </w:r>
      <w:r w:rsidR="00E46A7D" w:rsidRPr="005365CC">
        <w:t xml:space="preserve"> (PGPA Act)</w:t>
      </w:r>
      <w:r w:rsidR="00E46A7D" w:rsidRPr="005365CC">
        <w:rPr>
          <w:color w:val="000000"/>
        </w:rPr>
        <w:t>.</w:t>
      </w:r>
    </w:p>
    <w:p w14:paraId="3C033186" w14:textId="46041F7A" w:rsidR="008F7A79" w:rsidRPr="005365CC" w:rsidRDefault="00433AD6" w:rsidP="00FA4104">
      <w:pPr>
        <w:pStyle w:val="NumberList"/>
        <w:keepLines/>
        <w:tabs>
          <w:tab w:val="clear" w:pos="720"/>
          <w:tab w:val="num" w:pos="567"/>
        </w:tabs>
      </w:pPr>
      <w:r w:rsidRPr="005365CC">
        <w:t>Part</w:t>
      </w:r>
      <w:r w:rsidR="00497F03" w:rsidRPr="005365CC">
        <w:t> </w:t>
      </w:r>
      <w:r w:rsidRPr="005365CC">
        <w:t>1 of the Bill deals with definitions,</w:t>
      </w:r>
      <w:r w:rsidR="00F0548B" w:rsidRPr="005365CC">
        <w:t xml:space="preserve"> </w:t>
      </w:r>
      <w:r w:rsidR="004B27CC" w:rsidRPr="005365CC">
        <w:t xml:space="preserve">the </w:t>
      </w:r>
      <w:r w:rsidRPr="005365CC">
        <w:t xml:space="preserve">interpretative role of the </w:t>
      </w:r>
      <w:r w:rsidR="00A320E7" w:rsidRPr="005365CC">
        <w:t>p</w:t>
      </w:r>
      <w:r w:rsidRPr="005365CC">
        <w:t xml:space="preserve">ortfolio </w:t>
      </w:r>
      <w:r w:rsidR="00A320E7" w:rsidRPr="005365CC">
        <w:t>s</w:t>
      </w:r>
      <w:r w:rsidRPr="005365CC">
        <w:t>tatements</w:t>
      </w:r>
      <w:r w:rsidR="004B27CC" w:rsidRPr="005365CC">
        <w:t xml:space="preserve">, and </w:t>
      </w:r>
      <w:r w:rsidRPr="005365CC">
        <w:t xml:space="preserve">the concept of notional </w:t>
      </w:r>
      <w:r w:rsidR="00A320E7" w:rsidRPr="005365CC">
        <w:t>transactions</w:t>
      </w:r>
      <w:r w:rsidRPr="005365CC">
        <w:t>.</w:t>
      </w:r>
      <w:r w:rsidR="0064524A" w:rsidRPr="005365CC">
        <w:t xml:space="preserve"> </w:t>
      </w:r>
      <w:r w:rsidRPr="005365CC">
        <w:t>Part</w:t>
      </w:r>
      <w:r w:rsidR="00497F03" w:rsidRPr="005365CC">
        <w:t> </w:t>
      </w:r>
      <w:r w:rsidRPr="005365CC">
        <w:t xml:space="preserve">2 of the Bill proposes appropriations to make payments of the amounts in Schedule 2 for </w:t>
      </w:r>
      <w:r w:rsidRPr="005365CC">
        <w:rPr>
          <w:color w:val="000000"/>
        </w:rPr>
        <w:t>State, ACT, NT and local government</w:t>
      </w:r>
      <w:r w:rsidR="004B27CC" w:rsidRPr="005365CC">
        <w:t xml:space="preserve"> items (clause </w:t>
      </w:r>
      <w:r w:rsidRPr="005365CC">
        <w:t>7), administered items (clause </w:t>
      </w:r>
      <w:r w:rsidR="004B27CC" w:rsidRPr="005365CC">
        <w:t>8</w:t>
      </w:r>
      <w:r w:rsidRPr="005365CC">
        <w:rPr>
          <w:color w:val="000000"/>
        </w:rPr>
        <w:t>), administered assets</w:t>
      </w:r>
      <w:r w:rsidR="004B27CC" w:rsidRPr="005365CC">
        <w:rPr>
          <w:color w:val="000000"/>
        </w:rPr>
        <w:t xml:space="preserve"> and liabilities items (clause </w:t>
      </w:r>
      <w:r w:rsidRPr="005365CC">
        <w:rPr>
          <w:color w:val="000000"/>
        </w:rPr>
        <w:t>9)</w:t>
      </w:r>
      <w:r w:rsidR="004A1CDD" w:rsidRPr="005365CC">
        <w:rPr>
          <w:color w:val="000000"/>
        </w:rPr>
        <w:t>,</w:t>
      </w:r>
      <w:r w:rsidRPr="005365CC">
        <w:rPr>
          <w:color w:val="000000"/>
        </w:rPr>
        <w:t xml:space="preserve"> </w:t>
      </w:r>
      <w:r w:rsidR="00662ED6" w:rsidRPr="005365CC">
        <w:rPr>
          <w:color w:val="000000"/>
        </w:rPr>
        <w:t>other departmental items (clause 10</w:t>
      </w:r>
      <w:r w:rsidRPr="005365CC">
        <w:t xml:space="preserve">) and </w:t>
      </w:r>
      <w:r w:rsidR="00A320E7" w:rsidRPr="005365CC">
        <w:t>corporate entity</w:t>
      </w:r>
      <w:r w:rsidR="004B27CC" w:rsidRPr="005365CC">
        <w:t xml:space="preserve"> items (clause </w:t>
      </w:r>
      <w:r w:rsidRPr="005365CC">
        <w:t>11).</w:t>
      </w:r>
      <w:r w:rsidR="0064524A" w:rsidRPr="005365CC">
        <w:t xml:space="preserve"> </w:t>
      </w:r>
      <w:r w:rsidRPr="005365CC">
        <w:t>Part</w:t>
      </w:r>
      <w:r w:rsidR="00497F03" w:rsidRPr="005365CC">
        <w:t> </w:t>
      </w:r>
      <w:r w:rsidR="001A3548" w:rsidRPr="005365CC">
        <w:t>3 of the</w:t>
      </w:r>
      <w:r w:rsidR="00B77268" w:rsidRPr="005365CC">
        <w:t xml:space="preserve"> Bill</w:t>
      </w:r>
      <w:r w:rsidR="001A3548" w:rsidRPr="005365CC">
        <w:t xml:space="preserve"> </w:t>
      </w:r>
      <w:r w:rsidR="00582EB1" w:rsidRPr="005365CC">
        <w:t>specifies the</w:t>
      </w:r>
      <w:r w:rsidR="00B77268" w:rsidRPr="005365CC">
        <w:t xml:space="preserve"> Advance to the Finance Minister</w:t>
      </w:r>
      <w:r w:rsidR="007A2C1C" w:rsidRPr="005365CC">
        <w:t xml:space="preserve"> (AFM)</w:t>
      </w:r>
      <w:r w:rsidR="00582EB1" w:rsidRPr="005365CC">
        <w:t xml:space="preserve"> provision </w:t>
      </w:r>
      <w:r w:rsidR="005D6068" w:rsidRPr="005365CC">
        <w:t>(clause</w:t>
      </w:r>
      <w:r w:rsidR="00497F03" w:rsidRPr="005365CC">
        <w:t> </w:t>
      </w:r>
      <w:r w:rsidR="00B42651" w:rsidRPr="005365CC">
        <w:t>12</w:t>
      </w:r>
      <w:r w:rsidR="005D6068" w:rsidRPr="005365CC">
        <w:t>)</w:t>
      </w:r>
      <w:r w:rsidRPr="005365CC">
        <w:t>.</w:t>
      </w:r>
    </w:p>
    <w:p w14:paraId="2C6137B4" w14:textId="5F4656D0" w:rsidR="00B6528E" w:rsidRPr="005365CC" w:rsidRDefault="00497F03" w:rsidP="007A6323">
      <w:pPr>
        <w:pStyle w:val="NumberList"/>
        <w:numPr>
          <w:ilvl w:val="0"/>
          <w:numId w:val="3"/>
        </w:numPr>
      </w:pPr>
      <w:r w:rsidRPr="005365CC">
        <w:t>Part 4</w:t>
      </w:r>
      <w:r w:rsidR="00176053" w:rsidRPr="005365CC">
        <w:t xml:space="preserve"> of the Bill</w:t>
      </w:r>
      <w:r w:rsidRPr="005365CC">
        <w:t xml:space="preserve"> deals with </w:t>
      </w:r>
      <w:bookmarkStart w:id="5" w:name="_Toc97017890"/>
      <w:r w:rsidRPr="005365CC">
        <w:t xml:space="preserve">the debit limits applicable for </w:t>
      </w:r>
      <w:r w:rsidR="003C7E76" w:rsidRPr="005365CC">
        <w:t>2019-20</w:t>
      </w:r>
      <w:r w:rsidRPr="005365CC">
        <w:t xml:space="preserve"> </w:t>
      </w:r>
      <w:r w:rsidR="00B77268" w:rsidRPr="005365CC">
        <w:t>(</w:t>
      </w:r>
      <w:r w:rsidR="00176053" w:rsidRPr="005365CC">
        <w:t>clause </w:t>
      </w:r>
      <w:r w:rsidR="00B77268" w:rsidRPr="005365CC">
        <w:t xml:space="preserve">13) </w:t>
      </w:r>
      <w:r w:rsidR="00582EB1" w:rsidRPr="005365CC">
        <w:t xml:space="preserve">for </w:t>
      </w:r>
      <w:r w:rsidRPr="005365CC">
        <w:t xml:space="preserve">the </w:t>
      </w:r>
      <w:r w:rsidR="00582EB1" w:rsidRPr="005365CC">
        <w:t>general purpose financial assistance</w:t>
      </w:r>
      <w:r w:rsidR="00B6528E" w:rsidRPr="005365CC">
        <w:t xml:space="preserve"> and </w:t>
      </w:r>
      <w:r w:rsidR="00582EB1" w:rsidRPr="005365CC">
        <w:t>national partnership payments, as specified in the</w:t>
      </w:r>
      <w:r w:rsidR="00B6528E" w:rsidRPr="005365CC">
        <w:t xml:space="preserve"> </w:t>
      </w:r>
      <w:r w:rsidR="00B6528E" w:rsidRPr="005365CC">
        <w:rPr>
          <w:i/>
        </w:rPr>
        <w:t>Federal Financial Relations Act 2009</w:t>
      </w:r>
      <w:r w:rsidR="00582EB1" w:rsidRPr="005365CC">
        <w:t xml:space="preserve">. </w:t>
      </w:r>
      <w:r w:rsidR="00B6528E" w:rsidRPr="005365CC">
        <w:t xml:space="preserve">Part 4 also deals with </w:t>
      </w:r>
      <w:r w:rsidR="00582EB1" w:rsidRPr="005365CC">
        <w:t>increases</w:t>
      </w:r>
      <w:r w:rsidR="00B6528E" w:rsidRPr="005365CC">
        <w:t xml:space="preserve"> to the debit limit</w:t>
      </w:r>
      <w:r w:rsidR="00582EB1" w:rsidRPr="005365CC">
        <w:t>s</w:t>
      </w:r>
      <w:r w:rsidR="00B6528E" w:rsidRPr="005365CC">
        <w:t xml:space="preserve"> </w:t>
      </w:r>
      <w:r w:rsidR="00582EB1" w:rsidRPr="005365CC">
        <w:t>to provide for</w:t>
      </w:r>
      <w:r w:rsidR="00B6528E" w:rsidRPr="005365CC">
        <w:t xml:space="preserve"> the Goods and Services Tax (GST)</w:t>
      </w:r>
      <w:r w:rsidR="00B77268" w:rsidRPr="005365CC">
        <w:t xml:space="preserve"> (clause 14)</w:t>
      </w:r>
      <w:r w:rsidR="00B6528E" w:rsidRPr="005365CC">
        <w:t>.</w:t>
      </w:r>
    </w:p>
    <w:p w14:paraId="62E2E5EF" w14:textId="2D3A02AD" w:rsidR="006C32D7" w:rsidRPr="005365CC" w:rsidRDefault="00433AD6" w:rsidP="00B42651">
      <w:pPr>
        <w:pStyle w:val="NumberList"/>
        <w:keepLines/>
        <w:tabs>
          <w:tab w:val="clear" w:pos="720"/>
          <w:tab w:val="num" w:pos="567"/>
        </w:tabs>
      </w:pPr>
      <w:r w:rsidRPr="005365CC">
        <w:t>Part</w:t>
      </w:r>
      <w:r w:rsidR="00BA068D" w:rsidRPr="005365CC">
        <w:t> </w:t>
      </w:r>
      <w:r w:rsidR="0048306B" w:rsidRPr="005365CC">
        <w:t>5</w:t>
      </w:r>
      <w:r w:rsidR="00BA068D" w:rsidRPr="005365CC">
        <w:t xml:space="preserve"> </w:t>
      </w:r>
      <w:r w:rsidRPr="005365CC">
        <w:t xml:space="preserve">deals </w:t>
      </w:r>
      <w:r w:rsidR="00D56412" w:rsidRPr="005365CC">
        <w:t>wi</w:t>
      </w:r>
      <w:r w:rsidRPr="005365CC">
        <w:t xml:space="preserve">th credits to </w:t>
      </w:r>
      <w:r w:rsidR="00D56412" w:rsidRPr="005365CC">
        <w:t>s</w:t>
      </w:r>
      <w:r w:rsidRPr="005365CC">
        <w:t xml:space="preserve">pecial </w:t>
      </w:r>
      <w:r w:rsidR="00D56412" w:rsidRPr="005365CC">
        <w:t>a</w:t>
      </w:r>
      <w:r w:rsidRPr="005365CC">
        <w:t>ccounts (clause 1</w:t>
      </w:r>
      <w:r w:rsidR="0048306B" w:rsidRPr="005365CC">
        <w:t>5</w:t>
      </w:r>
      <w:r w:rsidRPr="005365CC">
        <w:t>), the conditions that apply to payments of State, ACT, NT and local government items (clause </w:t>
      </w:r>
      <w:r w:rsidR="00AF057B" w:rsidRPr="005365CC">
        <w:t>1</w:t>
      </w:r>
      <w:r w:rsidR="0048306B" w:rsidRPr="005365CC">
        <w:t>6</w:t>
      </w:r>
      <w:r w:rsidR="00AF057B" w:rsidRPr="005365CC">
        <w:t xml:space="preserve"> </w:t>
      </w:r>
      <w:r w:rsidRPr="005365CC">
        <w:t>and Schedule</w:t>
      </w:r>
      <w:r w:rsidR="0048306B" w:rsidRPr="005365CC">
        <w:t> </w:t>
      </w:r>
      <w:r w:rsidRPr="005365CC">
        <w:t>1), provides for amounts to be appropriated as necessary (clause </w:t>
      </w:r>
      <w:r w:rsidR="00AF057B" w:rsidRPr="005365CC">
        <w:t>1</w:t>
      </w:r>
      <w:r w:rsidR="0048306B" w:rsidRPr="005365CC">
        <w:t>7</w:t>
      </w:r>
      <w:r w:rsidRPr="005365CC">
        <w:t xml:space="preserve">) and specifies </w:t>
      </w:r>
      <w:r w:rsidR="00C345B7" w:rsidRPr="005365CC">
        <w:t>when</w:t>
      </w:r>
      <w:r w:rsidRPr="005365CC">
        <w:t xml:space="preserve"> the Bill</w:t>
      </w:r>
      <w:r w:rsidR="00C345B7" w:rsidRPr="005365CC">
        <w:t xml:space="preserve"> is repealed</w:t>
      </w:r>
      <w:r w:rsidRPr="005365CC">
        <w:t xml:space="preserve"> (</w:t>
      </w:r>
      <w:r w:rsidR="00CF609E" w:rsidRPr="005365CC">
        <w:t>clause</w:t>
      </w:r>
      <w:r w:rsidR="0048306B" w:rsidRPr="005365CC">
        <w:t> </w:t>
      </w:r>
      <w:r w:rsidR="00AF057B" w:rsidRPr="005365CC">
        <w:t>1</w:t>
      </w:r>
      <w:r w:rsidR="0048306B" w:rsidRPr="005365CC">
        <w:t>8</w:t>
      </w:r>
      <w:r w:rsidRPr="005365CC">
        <w:t xml:space="preserve">). </w:t>
      </w:r>
      <w:r w:rsidR="00023DC3" w:rsidRPr="005365CC">
        <w:t xml:space="preserve">In addition to the </w:t>
      </w:r>
      <w:r w:rsidR="00582EB1" w:rsidRPr="005365CC">
        <w:t>AFM</w:t>
      </w:r>
      <w:r w:rsidR="00023DC3" w:rsidRPr="005365CC">
        <w:t xml:space="preserve"> provision in Part</w:t>
      </w:r>
      <w:r w:rsidR="0048306B" w:rsidRPr="005365CC">
        <w:t> </w:t>
      </w:r>
      <w:r w:rsidR="004B27CC" w:rsidRPr="005365CC">
        <w:t>3,</w:t>
      </w:r>
      <w:r w:rsidR="00023DC3" w:rsidRPr="005365CC">
        <w:t xml:space="preserve"> c</w:t>
      </w:r>
      <w:r w:rsidRPr="005365CC">
        <w:t>lause</w:t>
      </w:r>
      <w:r w:rsidR="0048306B" w:rsidRPr="005365CC">
        <w:t> </w:t>
      </w:r>
      <w:r w:rsidR="00AF057B" w:rsidRPr="005365CC">
        <w:t>1</w:t>
      </w:r>
      <w:r w:rsidR="0048306B" w:rsidRPr="005365CC">
        <w:t>7</w:t>
      </w:r>
      <w:r w:rsidR="00AF057B" w:rsidRPr="005365CC">
        <w:t xml:space="preserve"> of the Bill </w:t>
      </w:r>
      <w:r w:rsidRPr="005365CC">
        <w:t xml:space="preserve">recognises that the appropriations proposed in the Bill may </w:t>
      </w:r>
      <w:r w:rsidR="00AF057B" w:rsidRPr="005365CC">
        <w:t xml:space="preserve">also </w:t>
      </w:r>
      <w:r w:rsidRPr="005365CC">
        <w:t xml:space="preserve">be varied </w:t>
      </w:r>
      <w:r w:rsidR="00582EB1" w:rsidRPr="005365CC">
        <w:t>by the PGPA Act</w:t>
      </w:r>
      <w:r w:rsidR="00582EB1" w:rsidRPr="005365CC">
        <w:rPr>
          <w:color w:val="000000"/>
        </w:rPr>
        <w:t>.</w:t>
      </w:r>
    </w:p>
    <w:p w14:paraId="359BEDA6" w14:textId="77777777" w:rsidR="00104960" w:rsidRPr="005365CC" w:rsidRDefault="00433AD6">
      <w:pPr>
        <w:pStyle w:val="Heading2"/>
      </w:pPr>
      <w:r w:rsidRPr="005365CC">
        <w:t>Financial Impact</w:t>
      </w:r>
      <w:bookmarkEnd w:id="5"/>
    </w:p>
    <w:p w14:paraId="51C25ADD" w14:textId="02CA529A" w:rsidR="00F41BC6" w:rsidRPr="005365CC" w:rsidRDefault="00433AD6" w:rsidP="00F41BC6">
      <w:pPr>
        <w:pStyle w:val="NumberList"/>
        <w:tabs>
          <w:tab w:val="clear" w:pos="720"/>
          <w:tab w:val="num" w:pos="567"/>
        </w:tabs>
      </w:pPr>
      <w:r w:rsidRPr="005365CC">
        <w:t>The Bill, if enacted, would appropriate the amounts specified in Schedule 2</w:t>
      </w:r>
      <w:r w:rsidR="00044F76" w:rsidRPr="005365CC">
        <w:t xml:space="preserve"> </w:t>
      </w:r>
      <w:r w:rsidR="00F56B91" w:rsidRPr="005365CC">
        <w:t xml:space="preserve">as set out in section </w:t>
      </w:r>
      <w:r w:rsidR="00B76A9F" w:rsidRPr="005365CC">
        <w:t>6</w:t>
      </w:r>
      <w:r w:rsidRPr="005365CC">
        <w:t>.</w:t>
      </w:r>
      <w:bookmarkStart w:id="6" w:name="_Toc97017891"/>
    </w:p>
    <w:p w14:paraId="39F8BB64" w14:textId="675C897E" w:rsidR="00CD24DE" w:rsidRPr="005365CC" w:rsidRDefault="003C5F8E" w:rsidP="00B76A9F">
      <w:pPr>
        <w:pStyle w:val="NumberList"/>
        <w:numPr>
          <w:ilvl w:val="0"/>
          <w:numId w:val="0"/>
        </w:numPr>
        <w:tabs>
          <w:tab w:val="clear" w:pos="567"/>
        </w:tabs>
      </w:pPr>
      <w:r w:rsidRPr="005365CC">
        <w:t xml:space="preserve"> </w:t>
      </w:r>
      <w:r w:rsidR="00433AD6" w:rsidRPr="005365CC">
        <w:t xml:space="preserve"> </w:t>
      </w:r>
    </w:p>
    <w:p w14:paraId="1639CD1D" w14:textId="77777777" w:rsidR="00A40BD2" w:rsidRPr="005365CC" w:rsidRDefault="00A40BD2" w:rsidP="00425C78">
      <w:pPr>
        <w:spacing w:before="0"/>
        <w:sectPr w:rsidR="00A40BD2" w:rsidRPr="005365CC" w:rsidSect="00A35C0E">
          <w:headerReference w:type="default" r:id="rId12"/>
          <w:type w:val="continuous"/>
          <w:pgSz w:w="11907" w:h="16840" w:code="9"/>
          <w:pgMar w:top="1701" w:right="1985" w:bottom="1701" w:left="1985" w:header="1134" w:footer="1134" w:gutter="0"/>
          <w:pgNumType w:start="1"/>
          <w:cols w:space="708"/>
          <w:docGrid w:linePitch="360"/>
        </w:sectPr>
      </w:pPr>
    </w:p>
    <w:p w14:paraId="427E8696" w14:textId="77777777" w:rsidR="00CA201D" w:rsidRPr="005365CC" w:rsidRDefault="00433AD6" w:rsidP="00C33EDB">
      <w:pPr>
        <w:pStyle w:val="Heading2"/>
        <w:spacing w:before="0"/>
      </w:pPr>
      <w:r w:rsidRPr="005365CC">
        <w:br w:type="page"/>
        <w:t>Statement of compatibility with human rights</w:t>
      </w:r>
    </w:p>
    <w:p w14:paraId="0AFDF30D" w14:textId="77777777" w:rsidR="006863E4" w:rsidRPr="005365CC" w:rsidRDefault="00433AD6" w:rsidP="007A2C1C">
      <w:pPr>
        <w:pStyle w:val="NumberList"/>
        <w:numPr>
          <w:ilvl w:val="0"/>
          <w:numId w:val="6"/>
        </w:numPr>
        <w:tabs>
          <w:tab w:val="clear" w:pos="720"/>
          <w:tab w:val="num" w:pos="567"/>
        </w:tabs>
      </w:pPr>
      <w:r w:rsidRPr="005365CC">
        <w:t>The Bill seeks to appropriate money for services that are not considered to be the ordinary annual services of the Government.</w:t>
      </w:r>
    </w:p>
    <w:p w14:paraId="4B61E2EF" w14:textId="283700CE" w:rsidR="002E76B5" w:rsidRPr="005365CC" w:rsidRDefault="00433AD6" w:rsidP="007A2C1C">
      <w:pPr>
        <w:pStyle w:val="NumberList"/>
        <w:numPr>
          <w:ilvl w:val="0"/>
          <w:numId w:val="6"/>
        </w:numPr>
        <w:tabs>
          <w:tab w:val="clear" w:pos="720"/>
          <w:tab w:val="num" w:pos="567"/>
        </w:tabs>
      </w:pPr>
      <w:r w:rsidRPr="005365CC">
        <w:t xml:space="preserve">Accordingly, </w:t>
      </w:r>
      <w:r w:rsidR="0067296B" w:rsidRPr="005365CC">
        <w:t xml:space="preserve">the </w:t>
      </w:r>
      <w:r w:rsidRPr="005365CC">
        <w:t xml:space="preserve">Bill performs an important constitutional function, by authorising the withdrawal of money from the </w:t>
      </w:r>
      <w:r w:rsidR="008D1008" w:rsidRPr="005365CC">
        <w:t>CRF</w:t>
      </w:r>
      <w:r w:rsidRPr="005365CC">
        <w:t xml:space="preserve"> for the broad purposes identified in the Bill.</w:t>
      </w:r>
    </w:p>
    <w:p w14:paraId="054BC0EC" w14:textId="6E17E018" w:rsidR="006863E4" w:rsidRPr="005365CC" w:rsidRDefault="00433AD6" w:rsidP="007A2C1C">
      <w:pPr>
        <w:pStyle w:val="NumberList"/>
        <w:numPr>
          <w:ilvl w:val="0"/>
          <w:numId w:val="6"/>
        </w:numPr>
        <w:tabs>
          <w:tab w:val="clear" w:pos="720"/>
          <w:tab w:val="num" w:pos="567"/>
        </w:tabs>
      </w:pPr>
      <w:r w:rsidRPr="005365CC">
        <w:t>However, as the High Court has emphasised, beyond this, Appropriation Acts do not create rights and nor do they, importantly, impose any duties.</w:t>
      </w:r>
    </w:p>
    <w:p w14:paraId="4634C5E5" w14:textId="11D3A83F" w:rsidR="006863E4" w:rsidRPr="005365CC" w:rsidRDefault="00433AD6" w:rsidP="007A2C1C">
      <w:pPr>
        <w:pStyle w:val="NumberList"/>
        <w:numPr>
          <w:ilvl w:val="0"/>
          <w:numId w:val="6"/>
        </w:numPr>
        <w:tabs>
          <w:tab w:val="clear" w:pos="720"/>
          <w:tab w:val="num" w:pos="567"/>
        </w:tabs>
      </w:pPr>
      <w:r w:rsidRPr="005365CC">
        <w:t xml:space="preserve">Given that the legal effect of Appropriation Bills is limited in this way, the Bill is not seen as engaging, or otherwise affecting, the rights or freedoms relevant to the </w:t>
      </w:r>
      <w:r w:rsidRPr="005365CC">
        <w:rPr>
          <w:i/>
        </w:rPr>
        <w:t>Human Righ</w:t>
      </w:r>
      <w:r w:rsidR="00011E85" w:rsidRPr="005365CC">
        <w:rPr>
          <w:i/>
        </w:rPr>
        <w:t>ts (Parliamentary Scrutiny) Act </w:t>
      </w:r>
      <w:r w:rsidRPr="005365CC">
        <w:rPr>
          <w:i/>
        </w:rPr>
        <w:t>2011</w:t>
      </w:r>
      <w:r w:rsidRPr="005365CC">
        <w:t>.</w:t>
      </w:r>
    </w:p>
    <w:p w14:paraId="7198C9D1" w14:textId="77777777" w:rsidR="006863E4" w:rsidRPr="005365CC" w:rsidRDefault="00433AD6" w:rsidP="007A2C1C">
      <w:pPr>
        <w:pStyle w:val="NumberList"/>
        <w:numPr>
          <w:ilvl w:val="0"/>
          <w:numId w:val="6"/>
        </w:numPr>
        <w:tabs>
          <w:tab w:val="clear" w:pos="720"/>
          <w:tab w:val="num" w:pos="567"/>
        </w:tabs>
      </w:pPr>
      <w:r w:rsidRPr="005365CC">
        <w:t xml:space="preserve">Detailed information on the relevant appropriations, however, is contained in the </w:t>
      </w:r>
      <w:r w:rsidR="00243592" w:rsidRPr="005365CC">
        <w:t>p</w:t>
      </w:r>
      <w:r w:rsidRPr="005365CC">
        <w:t xml:space="preserve">ortfolio </w:t>
      </w:r>
      <w:r w:rsidR="00243592" w:rsidRPr="005365CC">
        <w:t>s</w:t>
      </w:r>
      <w:r w:rsidRPr="005365CC">
        <w:t>tatements.</w:t>
      </w:r>
    </w:p>
    <w:p w14:paraId="0D8338C9" w14:textId="77777777" w:rsidR="00425C78" w:rsidRPr="005365CC" w:rsidRDefault="00425C78" w:rsidP="00425C78">
      <w:pPr>
        <w:pStyle w:val="NumberList"/>
        <w:numPr>
          <w:ilvl w:val="0"/>
          <w:numId w:val="0"/>
        </w:numPr>
      </w:pPr>
    </w:p>
    <w:p w14:paraId="7E26332F" w14:textId="77777777" w:rsidR="00A40BD2" w:rsidRPr="005365CC" w:rsidRDefault="00A40BD2" w:rsidP="00425C78">
      <w:pPr>
        <w:spacing w:before="0"/>
        <w:sectPr w:rsidR="00A40BD2" w:rsidRPr="005365CC" w:rsidSect="00A35C0E">
          <w:headerReference w:type="default" r:id="rId13"/>
          <w:type w:val="continuous"/>
          <w:pgSz w:w="11907" w:h="16840" w:code="9"/>
          <w:pgMar w:top="1701" w:right="1985" w:bottom="1701" w:left="1985" w:header="1134" w:footer="1134" w:gutter="0"/>
          <w:pgNumType w:start="3"/>
          <w:cols w:space="708"/>
          <w:docGrid w:linePitch="360"/>
        </w:sectPr>
      </w:pPr>
    </w:p>
    <w:p w14:paraId="1A868CCF" w14:textId="77777777" w:rsidR="00425C78" w:rsidRPr="005365CC" w:rsidRDefault="00425C78" w:rsidP="00425C78">
      <w:pPr>
        <w:spacing w:before="0"/>
        <w:rPr>
          <w:szCs w:val="24"/>
        </w:rPr>
      </w:pPr>
    </w:p>
    <w:p w14:paraId="36D4A90E" w14:textId="77777777" w:rsidR="00104960" w:rsidRPr="005365CC" w:rsidRDefault="00AC6534" w:rsidP="00C33EDB">
      <w:pPr>
        <w:pStyle w:val="Heading2"/>
        <w:spacing w:before="0"/>
      </w:pPr>
      <w:r w:rsidRPr="005365CC">
        <w:br w:type="page"/>
      </w:r>
      <w:r w:rsidR="00433AD6" w:rsidRPr="005365CC">
        <w:t>Notes on clauses</w:t>
      </w:r>
      <w:bookmarkEnd w:id="6"/>
    </w:p>
    <w:p w14:paraId="17665F58" w14:textId="77777777" w:rsidR="00104960" w:rsidRPr="005365CC" w:rsidRDefault="00433AD6">
      <w:pPr>
        <w:pStyle w:val="Heading2"/>
      </w:pPr>
      <w:bookmarkStart w:id="7" w:name="_Toc97017892"/>
      <w:r w:rsidRPr="005365CC">
        <w:t>Part 1—Preliminary</w:t>
      </w:r>
    </w:p>
    <w:p w14:paraId="4D6483F7" w14:textId="77777777" w:rsidR="00104960" w:rsidRPr="005365CC" w:rsidRDefault="00433AD6">
      <w:pPr>
        <w:pStyle w:val="Heading3"/>
      </w:pPr>
      <w:r w:rsidRPr="005365CC">
        <w:t>Clause 1—Short title</w:t>
      </w:r>
      <w:bookmarkEnd w:id="7"/>
    </w:p>
    <w:p w14:paraId="24278222" w14:textId="12D4C51C" w:rsidR="00104960" w:rsidRPr="005365CC" w:rsidRDefault="00CD5E4A" w:rsidP="007A2C1C">
      <w:pPr>
        <w:pStyle w:val="NumberList"/>
        <w:numPr>
          <w:ilvl w:val="0"/>
          <w:numId w:val="4"/>
        </w:numPr>
        <w:tabs>
          <w:tab w:val="clear" w:pos="720"/>
          <w:tab w:val="num" w:pos="567"/>
        </w:tabs>
      </w:pPr>
      <w:r w:rsidRPr="005365CC">
        <w:t>C</w:t>
      </w:r>
      <w:r w:rsidR="00433AD6" w:rsidRPr="005365CC">
        <w:t xml:space="preserve">lause </w:t>
      </w:r>
      <w:r w:rsidRPr="005365CC">
        <w:t>1</w:t>
      </w:r>
      <w:r w:rsidR="00433AD6" w:rsidRPr="005365CC">
        <w:t xml:space="preserve"> specifies that the short title of the Bill, once enacted, will be </w:t>
      </w:r>
      <w:r w:rsidR="00F72572" w:rsidRPr="005365CC">
        <w:t xml:space="preserve">the </w:t>
      </w:r>
      <w:r w:rsidR="0030242B" w:rsidRPr="005365CC">
        <w:rPr>
          <w:i/>
        </w:rPr>
        <w:t xml:space="preserve">Supply </w:t>
      </w:r>
      <w:r w:rsidR="00433AD6" w:rsidRPr="005365CC">
        <w:rPr>
          <w:i/>
        </w:rPr>
        <w:t>Act (</w:t>
      </w:r>
      <w:r w:rsidR="00851FB1" w:rsidRPr="005365CC">
        <w:rPr>
          <w:i/>
        </w:rPr>
        <w:t>No.</w:t>
      </w:r>
      <w:r w:rsidR="00342475" w:rsidRPr="005365CC">
        <w:rPr>
          <w:i/>
        </w:rPr>
        <w:t> 2</w:t>
      </w:r>
      <w:r w:rsidR="00433AD6" w:rsidRPr="005365CC">
        <w:rPr>
          <w:i/>
        </w:rPr>
        <w:t xml:space="preserve">) </w:t>
      </w:r>
      <w:r w:rsidR="003C7E76" w:rsidRPr="005365CC">
        <w:rPr>
          <w:i/>
        </w:rPr>
        <w:t>2020</w:t>
      </w:r>
      <w:r w:rsidR="00E736B8" w:rsidRPr="005365CC">
        <w:rPr>
          <w:i/>
        </w:rPr>
        <w:noBreakHyphen/>
        <w:t>2021</w:t>
      </w:r>
      <w:r w:rsidR="00433AD6" w:rsidRPr="005365CC">
        <w:t>.</w:t>
      </w:r>
    </w:p>
    <w:p w14:paraId="1AB81F4E" w14:textId="77777777" w:rsidR="00104960" w:rsidRPr="005365CC" w:rsidRDefault="00433AD6">
      <w:pPr>
        <w:pStyle w:val="Heading3"/>
      </w:pPr>
      <w:bookmarkStart w:id="8" w:name="_Toc97017893"/>
      <w:r w:rsidRPr="005365CC">
        <w:t>Clause 2—Commencement</w:t>
      </w:r>
      <w:bookmarkEnd w:id="8"/>
    </w:p>
    <w:p w14:paraId="2495BBB8" w14:textId="00832C9F" w:rsidR="008F7A79" w:rsidRPr="005365CC" w:rsidRDefault="00D45BD9">
      <w:pPr>
        <w:pStyle w:val="NumberList"/>
      </w:pPr>
      <w:r w:rsidRPr="005365CC">
        <w:t>Clause 2 provides for the Bill to commence as an Act on the later of either 1 July </w:t>
      </w:r>
      <w:r w:rsidR="003C7E76" w:rsidRPr="005365CC">
        <w:t>20</w:t>
      </w:r>
      <w:r w:rsidR="00E736B8" w:rsidRPr="005365CC">
        <w:t>20</w:t>
      </w:r>
      <w:r w:rsidR="003C7E76" w:rsidRPr="005365CC">
        <w:t xml:space="preserve"> </w:t>
      </w:r>
      <w:r w:rsidRPr="005365CC">
        <w:t>or the day of the Royal Assent.</w:t>
      </w:r>
    </w:p>
    <w:p w14:paraId="6DF67E52" w14:textId="0C4DA529" w:rsidR="0089316F" w:rsidRPr="005365CC" w:rsidRDefault="0089316F" w:rsidP="0089316F">
      <w:pPr>
        <w:pStyle w:val="Heading3"/>
      </w:pPr>
      <w:bookmarkStart w:id="9" w:name="_Toc97017894"/>
      <w:r w:rsidRPr="005365CC">
        <w:t>Clause 3</w:t>
      </w:r>
      <w:r w:rsidR="00E5238E" w:rsidRPr="005365CC">
        <w:t>—</w:t>
      </w:r>
      <w:bookmarkEnd w:id="9"/>
      <w:r w:rsidRPr="005365CC">
        <w:t>Definitions</w:t>
      </w:r>
    </w:p>
    <w:p w14:paraId="2B988C14" w14:textId="2C244622" w:rsidR="0089316F" w:rsidRPr="005365CC" w:rsidRDefault="0089316F" w:rsidP="0089316F">
      <w:pPr>
        <w:pStyle w:val="NumberList"/>
      </w:pPr>
      <w:r w:rsidRPr="005365CC">
        <w:t>Clause</w:t>
      </w:r>
      <w:r w:rsidR="00433AD6" w:rsidRPr="005365CC">
        <w:t xml:space="preserve"> 3</w:t>
      </w:r>
      <w:r w:rsidRPr="005365CC">
        <w:t xml:space="preserve"> defines the key terms used in the Bill, such as “administered item”, “non-corporate entity”, and “State, ACT, NT and local government item”.</w:t>
      </w:r>
      <w:r w:rsidR="003C7E76" w:rsidRPr="005365CC">
        <w:t xml:space="preserve"> Clause</w:t>
      </w:r>
      <w:r w:rsidR="00CD1B21" w:rsidRPr="005365CC">
        <w:t> </w:t>
      </w:r>
      <w:r w:rsidR="003C7E76" w:rsidRPr="005365CC">
        <w:t>3 also confirms that, for the purposes of other laws, the Bill when enacted it to be regarded as an Appropriation Act.</w:t>
      </w:r>
    </w:p>
    <w:p w14:paraId="4D07663C" w14:textId="757FCF2F" w:rsidR="00104960" w:rsidRPr="005365CC" w:rsidRDefault="005E1BCA">
      <w:pPr>
        <w:pStyle w:val="Heading3"/>
      </w:pPr>
      <w:bookmarkStart w:id="10" w:name="_Toc97017895"/>
      <w:r w:rsidRPr="005365CC">
        <w:t xml:space="preserve">Clause </w:t>
      </w:r>
      <w:r w:rsidR="00433AD6" w:rsidRPr="005365CC">
        <w:t xml:space="preserve">4—Portfolio </w:t>
      </w:r>
      <w:r w:rsidR="0032791D" w:rsidRPr="005365CC">
        <w:t>s</w:t>
      </w:r>
      <w:r w:rsidR="00433AD6" w:rsidRPr="005365CC">
        <w:t>tatements</w:t>
      </w:r>
    </w:p>
    <w:p w14:paraId="2FE9E676" w14:textId="5B69E5CA" w:rsidR="006D7C5B" w:rsidRPr="005365CC" w:rsidRDefault="00C94CB2" w:rsidP="000A036B">
      <w:pPr>
        <w:pStyle w:val="NumberList"/>
      </w:pPr>
      <w:r w:rsidRPr="005365CC">
        <w:t xml:space="preserve">Clause </w:t>
      </w:r>
      <w:r w:rsidR="00433AD6" w:rsidRPr="005365CC">
        <w:t xml:space="preserve">4 declares that the </w:t>
      </w:r>
      <w:r w:rsidR="0032791D" w:rsidRPr="005365CC">
        <w:t>p</w:t>
      </w:r>
      <w:r w:rsidR="00433AD6" w:rsidRPr="005365CC">
        <w:t xml:space="preserve">ortfolio </w:t>
      </w:r>
      <w:r w:rsidR="0032791D" w:rsidRPr="005365CC">
        <w:t>s</w:t>
      </w:r>
      <w:r w:rsidR="00433AD6" w:rsidRPr="005365CC">
        <w:t xml:space="preserve">tatements are </w:t>
      </w:r>
      <w:r w:rsidR="006C5AF9" w:rsidRPr="005365CC">
        <w:t>relevant documents</w:t>
      </w:r>
      <w:r w:rsidR="00433AD6" w:rsidRPr="005365CC">
        <w:t xml:space="preserve"> under paragraph 15AB(2)(g) of the </w:t>
      </w:r>
      <w:r w:rsidR="00011E85" w:rsidRPr="005365CC">
        <w:rPr>
          <w:i/>
        </w:rPr>
        <w:t>Acts Interpretation Act </w:t>
      </w:r>
      <w:r w:rsidR="00433AD6" w:rsidRPr="005365CC">
        <w:rPr>
          <w:i/>
        </w:rPr>
        <w:t>1901</w:t>
      </w:r>
      <w:r w:rsidR="00433AD6" w:rsidRPr="005365CC">
        <w:t xml:space="preserve"> (AI</w:t>
      </w:r>
      <w:r w:rsidR="00286844" w:rsidRPr="005365CC">
        <w:t> </w:t>
      </w:r>
      <w:r w:rsidR="00433AD6" w:rsidRPr="005365CC">
        <w:t>Act)</w:t>
      </w:r>
      <w:r w:rsidR="00232B9D" w:rsidRPr="005365CC">
        <w:t xml:space="preserve"> which</w:t>
      </w:r>
      <w:r w:rsidR="00F114E1" w:rsidRPr="005365CC">
        <w:t xml:space="preserve"> provides</w:t>
      </w:r>
      <w:r w:rsidR="00433AD6" w:rsidRPr="005365CC">
        <w:t xml:space="preserve"> </w:t>
      </w:r>
      <w:r w:rsidR="00F114E1" w:rsidRPr="005365CC">
        <w:t xml:space="preserve">for </w:t>
      </w:r>
      <w:r w:rsidR="00433AD6" w:rsidRPr="005365CC">
        <w:t xml:space="preserve">material </w:t>
      </w:r>
      <w:r w:rsidR="00F114E1" w:rsidRPr="005365CC">
        <w:t>to</w:t>
      </w:r>
      <w:r w:rsidR="00433AD6" w:rsidRPr="005365CC">
        <w:t xml:space="preserve"> be considered in the interpretation of an Act</w:t>
      </w:r>
      <w:r w:rsidR="00F114E1" w:rsidRPr="005365CC">
        <w:t xml:space="preserve"> if the material</w:t>
      </w:r>
      <w:r w:rsidR="00433AD6" w:rsidRPr="005365CC">
        <w:t xml:space="preserve"> is declared by the Act to be relevant </w:t>
      </w:r>
      <w:r w:rsidR="00F114E1" w:rsidRPr="005365CC">
        <w:t>mater</w:t>
      </w:r>
      <w:r w:rsidR="00011E85" w:rsidRPr="005365CC">
        <w:t>ial for the purposes of section </w:t>
      </w:r>
      <w:r w:rsidR="00F114E1" w:rsidRPr="005365CC">
        <w:t>15AB of the AI Act</w:t>
      </w:r>
      <w:r w:rsidR="00433AD6" w:rsidRPr="005365CC">
        <w:t>.</w:t>
      </w:r>
    </w:p>
    <w:p w14:paraId="28AD4C05" w14:textId="77777777" w:rsidR="009F3231" w:rsidRPr="005365CC" w:rsidRDefault="00433AD6" w:rsidP="000D31BC">
      <w:pPr>
        <w:pStyle w:val="NumberList"/>
      </w:pPr>
      <w:r w:rsidRPr="005365CC">
        <w:t xml:space="preserve">The purpose of the </w:t>
      </w:r>
      <w:r w:rsidR="0032791D" w:rsidRPr="005365CC">
        <w:rPr>
          <w:color w:val="000000"/>
        </w:rPr>
        <w:t>p</w:t>
      </w:r>
      <w:r w:rsidRPr="005365CC">
        <w:rPr>
          <w:color w:val="000000"/>
        </w:rPr>
        <w:t xml:space="preserve">ortfolio </w:t>
      </w:r>
      <w:r w:rsidR="0032791D" w:rsidRPr="005365CC">
        <w:rPr>
          <w:color w:val="000000"/>
        </w:rPr>
        <w:t>s</w:t>
      </w:r>
      <w:r w:rsidRPr="005365CC">
        <w:rPr>
          <w:color w:val="000000"/>
        </w:rPr>
        <w:t xml:space="preserve">tatements </w:t>
      </w:r>
      <w:r w:rsidRPr="005365CC">
        <w:t xml:space="preserve">is to provide information on the proposed allocation of resources to Government outcomes by </w:t>
      </w:r>
      <w:r w:rsidR="001121C2" w:rsidRPr="005365CC">
        <w:t>Commonwealth entities</w:t>
      </w:r>
      <w:r w:rsidRPr="005365CC">
        <w:t xml:space="preserve"> within each portfolio. The term “</w:t>
      </w:r>
      <w:r w:rsidR="0032791D" w:rsidRPr="005365CC">
        <w:t>p</w:t>
      </w:r>
      <w:r w:rsidRPr="005365CC">
        <w:t xml:space="preserve">ortfolio </w:t>
      </w:r>
      <w:r w:rsidR="0032791D" w:rsidRPr="005365CC">
        <w:t>s</w:t>
      </w:r>
      <w:r w:rsidRPr="005365CC">
        <w:t>tatements” is</w:t>
      </w:r>
      <w:r w:rsidR="00011E85" w:rsidRPr="005365CC">
        <w:t xml:space="preserve"> defined in the Bill, at clause </w:t>
      </w:r>
      <w:r w:rsidRPr="005365CC">
        <w:t xml:space="preserve">3, </w:t>
      </w:r>
      <w:r w:rsidR="009F3231" w:rsidRPr="005365CC">
        <w:t>to mean the Portfolio Budget Statements 2019</w:t>
      </w:r>
      <w:r w:rsidR="009F3231" w:rsidRPr="005365CC">
        <w:noBreakHyphen/>
        <w:t xml:space="preserve">20, tabled in relation to the </w:t>
      </w:r>
      <w:r w:rsidR="009F3231" w:rsidRPr="005365CC">
        <w:rPr>
          <w:i/>
        </w:rPr>
        <w:t>Appropriation Bill (No. 1) 2019</w:t>
      </w:r>
      <w:r w:rsidR="009F3231" w:rsidRPr="005365CC">
        <w:rPr>
          <w:i/>
        </w:rPr>
        <w:noBreakHyphen/>
        <w:t>2020</w:t>
      </w:r>
      <w:r w:rsidR="009F3231" w:rsidRPr="005365CC">
        <w:t xml:space="preserve"> and the </w:t>
      </w:r>
      <w:r w:rsidR="009F3231" w:rsidRPr="005365CC">
        <w:rPr>
          <w:i/>
        </w:rPr>
        <w:t>Appropriation Bill (No. 2) 2019</w:t>
      </w:r>
      <w:r w:rsidR="009F3231" w:rsidRPr="005365CC">
        <w:rPr>
          <w:i/>
        </w:rPr>
        <w:noBreakHyphen/>
        <w:t>2020,</w:t>
      </w:r>
      <w:r w:rsidR="009F3231" w:rsidRPr="005365CC">
        <w:t xml:space="preserve"> and the Portfolio Additional Estimates Statements 2019-20, tabled in relation to the </w:t>
      </w:r>
      <w:r w:rsidR="009F3231" w:rsidRPr="005365CC">
        <w:rPr>
          <w:i/>
        </w:rPr>
        <w:t>Appropriation Bill (No. 3) 2019</w:t>
      </w:r>
      <w:r w:rsidR="009F3231" w:rsidRPr="005365CC">
        <w:rPr>
          <w:i/>
        </w:rPr>
        <w:noBreakHyphen/>
        <w:t>2020</w:t>
      </w:r>
      <w:r w:rsidR="009F3231" w:rsidRPr="005365CC">
        <w:t xml:space="preserve"> and the </w:t>
      </w:r>
      <w:r w:rsidR="009F3231" w:rsidRPr="005365CC">
        <w:rPr>
          <w:i/>
        </w:rPr>
        <w:t>Appropriation Bill (No. 4) 2019</w:t>
      </w:r>
      <w:r w:rsidR="009F3231" w:rsidRPr="005365CC">
        <w:rPr>
          <w:i/>
        </w:rPr>
        <w:noBreakHyphen/>
        <w:t>2020</w:t>
      </w:r>
      <w:r w:rsidR="009F3231" w:rsidRPr="005365CC">
        <w:t>.</w:t>
      </w:r>
    </w:p>
    <w:p w14:paraId="63A6BDA6" w14:textId="60791E8C" w:rsidR="00104960" w:rsidRPr="005365CC" w:rsidRDefault="005E1BCA" w:rsidP="005365CC">
      <w:pPr>
        <w:pStyle w:val="Heading3"/>
        <w:keepLines/>
      </w:pPr>
      <w:r w:rsidRPr="005365CC">
        <w:t xml:space="preserve">Clause </w:t>
      </w:r>
      <w:r w:rsidR="00433AD6" w:rsidRPr="005365CC">
        <w:t>5—Notional</w:t>
      </w:r>
      <w:r w:rsidR="0032791D" w:rsidRPr="005365CC">
        <w:t xml:space="preserve"> transactions</w:t>
      </w:r>
      <w:r w:rsidR="00E31A3D" w:rsidRPr="005365CC">
        <w:t xml:space="preserve"> between entities that are part of the Commonwealth</w:t>
      </w:r>
    </w:p>
    <w:p w14:paraId="0EC68204" w14:textId="7DB01461" w:rsidR="004A4306" w:rsidRPr="005365CC" w:rsidRDefault="00C94CB2" w:rsidP="005365CC">
      <w:pPr>
        <w:pStyle w:val="NumberList"/>
        <w:keepLines/>
        <w:numPr>
          <w:ilvl w:val="0"/>
          <w:numId w:val="3"/>
        </w:numPr>
      </w:pPr>
      <w:bookmarkStart w:id="11" w:name="param8"/>
      <w:bookmarkEnd w:id="11"/>
      <w:r w:rsidRPr="005365CC">
        <w:t>Clause </w:t>
      </w:r>
      <w:r w:rsidR="00B42651" w:rsidRPr="005365CC">
        <w:t>5</w:t>
      </w:r>
      <w:r w:rsidR="004A4306" w:rsidRPr="005365CC">
        <w:t xml:space="preserve"> provides that notional transactions between </w:t>
      </w:r>
      <w:r w:rsidR="00EB2678" w:rsidRPr="005365CC">
        <w:t xml:space="preserve">non-corporate entities </w:t>
      </w:r>
      <w:r w:rsidR="004A4306" w:rsidRPr="005365CC">
        <w:t>are to be treated as if they are real transactions. Notional transactions, therefore, require the debiting of an appropriation made by Parliament. The payments of the amounts in Schedule 2 from one non-corporate entity to another do not require, in a constitutional sense, an appropriation, because both non</w:t>
      </w:r>
      <w:r w:rsidR="004A4306" w:rsidRPr="005365CC">
        <w:noBreakHyphen/>
        <w:t>corporate entities operate within the CRF. For reasons of financial discipline and transparency, the practice has arisen for these payments between non-corporate entities to be treated as though they required an appropriation, and to debit an appropriation when such notional payments are made. This is consistent with section 76 of the PGPA Act.</w:t>
      </w:r>
    </w:p>
    <w:p w14:paraId="70769ED4" w14:textId="0348D83A" w:rsidR="004A4306" w:rsidRPr="005365CC" w:rsidRDefault="004A4306" w:rsidP="00196FF1">
      <w:pPr>
        <w:pStyle w:val="NumberList"/>
        <w:keepLines/>
        <w:numPr>
          <w:ilvl w:val="0"/>
          <w:numId w:val="3"/>
        </w:numPr>
      </w:pPr>
      <w:r w:rsidRPr="005365CC">
        <w:t>When a non-corporate entity makes a payment, whether to another non</w:t>
      </w:r>
      <w:r w:rsidR="00EB2678" w:rsidRPr="005365CC">
        <w:noBreakHyphen/>
      </w:r>
      <w:r w:rsidRPr="005365CC">
        <w:t>corporate entity or another part of the same non-corporate entity (such as a different “business unit” within the entity), it is to be treated as a “real” payment. This means that the appropriation made by Parliament is extinguished by the amount of the notional payment, even though no payment is actually made from the CRF. Similarly, a notional receipt in such a situation is to be treated by the receiving non-corporate entity (where relevant) as if it were a real receipt. This does not mean every internal transfer of public money involves a notional payment and receipt.</w:t>
      </w:r>
    </w:p>
    <w:p w14:paraId="11B820E2" w14:textId="77777777" w:rsidR="00104960" w:rsidRPr="005365CC" w:rsidRDefault="00433AD6">
      <w:pPr>
        <w:pStyle w:val="Heading2"/>
      </w:pPr>
      <w:r w:rsidRPr="005365CC">
        <w:t>Part 2—Appropriation items</w:t>
      </w:r>
    </w:p>
    <w:p w14:paraId="5FD226F0" w14:textId="070EA050" w:rsidR="00104960" w:rsidRPr="005365CC" w:rsidRDefault="005E1BCA">
      <w:pPr>
        <w:pStyle w:val="Heading3"/>
      </w:pPr>
      <w:r w:rsidRPr="005365CC">
        <w:t xml:space="preserve">Clause </w:t>
      </w:r>
      <w:r w:rsidR="00433AD6" w:rsidRPr="005365CC">
        <w:t>6—Summary of appropriations</w:t>
      </w:r>
    </w:p>
    <w:p w14:paraId="1C2C9ECE" w14:textId="10A7D91F" w:rsidR="008F7A79" w:rsidRPr="005365CC" w:rsidRDefault="00433AD6" w:rsidP="00B42651">
      <w:pPr>
        <w:pStyle w:val="NumberList"/>
      </w:pPr>
      <w:r w:rsidRPr="005365CC">
        <w:t xml:space="preserve">Clause 6 sets out the total of the appropriations in Schedule 2 of the Bill. </w:t>
      </w:r>
      <w:r w:rsidR="00166902" w:rsidRPr="005365CC">
        <w:t>T</w:t>
      </w:r>
      <w:r w:rsidRPr="005365CC">
        <w:t xml:space="preserve">he amounts in Schedule 2 </w:t>
      </w:r>
      <w:r w:rsidR="009F3ADF" w:rsidRPr="005365CC">
        <w:t>may be increased by a determination under clause</w:t>
      </w:r>
      <w:r w:rsidR="00C54B51" w:rsidRPr="005365CC">
        <w:t> </w:t>
      </w:r>
      <w:r w:rsidR="00C94CB2" w:rsidRPr="005365CC">
        <w:t>1</w:t>
      </w:r>
      <w:r w:rsidR="0010057E" w:rsidRPr="005365CC">
        <w:t>2</w:t>
      </w:r>
      <w:r w:rsidR="009F3ADF" w:rsidRPr="005365CC">
        <w:t xml:space="preserve"> (Advance to the Finance Minister).</w:t>
      </w:r>
    </w:p>
    <w:p w14:paraId="76D5019A" w14:textId="757E9048" w:rsidR="008F7A79" w:rsidRPr="005365CC" w:rsidRDefault="00433AD6">
      <w:pPr>
        <w:pStyle w:val="NumberList"/>
      </w:pPr>
      <w:r w:rsidRPr="005365CC">
        <w:t>The amounts in Schedule</w:t>
      </w:r>
      <w:r w:rsidR="00C54B51" w:rsidRPr="005365CC">
        <w:t> </w:t>
      </w:r>
      <w:r w:rsidRPr="005365CC">
        <w:t xml:space="preserve">2 of the Bill may be adjusted further in accordance with </w:t>
      </w:r>
      <w:r w:rsidR="00E31A3D" w:rsidRPr="005365CC">
        <w:t>sections</w:t>
      </w:r>
      <w:r w:rsidR="00C54B51" w:rsidRPr="005365CC">
        <w:t> </w:t>
      </w:r>
      <w:r w:rsidR="00E31A3D" w:rsidRPr="005365CC">
        <w:t xml:space="preserve">74 </w:t>
      </w:r>
      <w:r w:rsidR="00B40D26" w:rsidRPr="005365CC">
        <w:t>to</w:t>
      </w:r>
      <w:r w:rsidR="00C54B51" w:rsidRPr="005365CC">
        <w:t> </w:t>
      </w:r>
      <w:r w:rsidR="00E31A3D" w:rsidRPr="005365CC">
        <w:t>75 of the PGPA Act</w:t>
      </w:r>
      <w:r w:rsidRPr="005365CC">
        <w:t xml:space="preserve">. Specifically: </w:t>
      </w:r>
    </w:p>
    <w:p w14:paraId="64AB56B2" w14:textId="26F8DD4E" w:rsidR="002D310E" w:rsidRPr="005365CC" w:rsidRDefault="002D310E" w:rsidP="0010057E">
      <w:pPr>
        <w:pStyle w:val="Bullet"/>
        <w:spacing w:before="120"/>
      </w:pPr>
      <w:r w:rsidRPr="005365CC">
        <w:t>Section</w:t>
      </w:r>
      <w:r w:rsidR="001539D7" w:rsidRPr="005365CC">
        <w:t> </w:t>
      </w:r>
      <w:r w:rsidRPr="005365CC">
        <w:t>74 of the PGPA Act</w:t>
      </w:r>
      <w:r w:rsidR="00B76834" w:rsidRPr="005365CC">
        <w:t>, when read with Rule</w:t>
      </w:r>
      <w:r w:rsidR="001539D7" w:rsidRPr="005365CC">
        <w:t> </w:t>
      </w:r>
      <w:r w:rsidR="00B76834" w:rsidRPr="005365CC">
        <w:t xml:space="preserve">27 of the </w:t>
      </w:r>
      <w:r w:rsidR="00B76834" w:rsidRPr="005365CC">
        <w:rPr>
          <w:i/>
        </w:rPr>
        <w:t>Public Governance, Performance and Accountability Rule</w:t>
      </w:r>
      <w:r w:rsidR="001539D7" w:rsidRPr="005365CC">
        <w:rPr>
          <w:i/>
        </w:rPr>
        <w:t> </w:t>
      </w:r>
      <w:r w:rsidR="00B76834" w:rsidRPr="005365CC">
        <w:rPr>
          <w:i/>
        </w:rPr>
        <w:t>2014</w:t>
      </w:r>
      <w:r w:rsidR="007A2C1C" w:rsidRPr="005365CC">
        <w:t xml:space="preserve">, </w:t>
      </w:r>
      <w:r w:rsidRPr="005365CC">
        <w:t>permits non</w:t>
      </w:r>
      <w:r w:rsidR="007A2C1C" w:rsidRPr="005365CC">
        <w:noBreakHyphen/>
      </w:r>
      <w:r w:rsidRPr="005365CC">
        <w:t>corporate entities to retain certain types of receipts by adding them to their most recent departmental item or other type of appropriation</w:t>
      </w:r>
      <w:r w:rsidR="00646ADC" w:rsidRPr="005365CC">
        <w:t xml:space="preserve"> in an Appropriation Act</w:t>
      </w:r>
      <w:r w:rsidRPr="005365CC">
        <w:t xml:space="preserve"> when prescribed.</w:t>
      </w:r>
    </w:p>
    <w:p w14:paraId="1C29DE48" w14:textId="1FBF8821" w:rsidR="00B40D26" w:rsidRPr="005365CC" w:rsidRDefault="00B40D26" w:rsidP="00B40D26">
      <w:pPr>
        <w:pStyle w:val="Bullet"/>
        <w:spacing w:before="120"/>
      </w:pPr>
      <w:r w:rsidRPr="005365CC">
        <w:t>Appropriations may be adjusted by amounts recoverable by a non</w:t>
      </w:r>
      <w:r w:rsidR="00DD4A42" w:rsidRPr="005365CC">
        <w:noBreakHyphen/>
      </w:r>
      <w:r w:rsidRPr="005365CC">
        <w:t xml:space="preserve">corporate entity from the Australian Taxation Office </w:t>
      </w:r>
      <w:r w:rsidR="007A2C1C" w:rsidRPr="005365CC">
        <w:t xml:space="preserve">for </w:t>
      </w:r>
      <w:r w:rsidR="00DD4A42" w:rsidRPr="005365CC">
        <w:t>Goods and Services Tax (GST)</w:t>
      </w:r>
      <w:r w:rsidRPr="005365CC">
        <w:t>, in accordance with section 74A of the PGPA Act</w:t>
      </w:r>
      <w:r w:rsidRPr="005365CC">
        <w:rPr>
          <w:i/>
        </w:rPr>
        <w:t>.</w:t>
      </w:r>
      <w:r w:rsidRPr="005365CC">
        <w:t xml:space="preserve"> The amounts specified in Schedule </w:t>
      </w:r>
      <w:r w:rsidR="00CF609E" w:rsidRPr="005365CC">
        <w:t>2</w:t>
      </w:r>
      <w:r w:rsidRPr="005365CC">
        <w:t xml:space="preserve"> exclude recoverable GST. The appropriations shown represent the net amount that Parliament is asked to allocate to particular purposes. </w:t>
      </w:r>
    </w:p>
    <w:p w14:paraId="0D412E0D" w14:textId="2D8BFF2B" w:rsidR="00B40D26" w:rsidRPr="005365CC" w:rsidRDefault="00B40D26" w:rsidP="005365CC">
      <w:pPr>
        <w:pStyle w:val="Bullet"/>
        <w:keepLines/>
        <w:numPr>
          <w:ilvl w:val="0"/>
          <w:numId w:val="0"/>
        </w:numPr>
        <w:spacing w:before="120"/>
        <w:ind w:left="567"/>
      </w:pPr>
      <w:r w:rsidRPr="005365CC">
        <w:t>Section 74A has the effect of increasing an appropriation by the amount of the GST qualifying amount arising from payments in respect of the appropriation. As a result, there is sufficient appropriation for payments under an appropriation item, provided that the amount of those payments, less the amount of recoverable GST, can be met from the initial amount shown against the item in Schedule </w:t>
      </w:r>
      <w:r w:rsidR="00CF609E" w:rsidRPr="005365CC">
        <w:t>2</w:t>
      </w:r>
      <w:r w:rsidRPr="005365CC">
        <w:t>. Section 74A also applies to notional transactions between and within non-corporate entities.</w:t>
      </w:r>
    </w:p>
    <w:p w14:paraId="18905D8D" w14:textId="0123871C" w:rsidR="00104960" w:rsidRPr="005365CC" w:rsidRDefault="00433AD6" w:rsidP="00B136D4">
      <w:pPr>
        <w:pStyle w:val="Bullet"/>
        <w:spacing w:before="120"/>
      </w:pPr>
      <w:r w:rsidRPr="005365CC">
        <w:t xml:space="preserve">Items may be adjusted to take into account the transfer of functions between </w:t>
      </w:r>
      <w:r w:rsidR="001E7009" w:rsidRPr="005365CC">
        <w:t>non-corporate entities</w:t>
      </w:r>
      <w:r w:rsidRPr="005365CC">
        <w:t>, in accordance with section </w:t>
      </w:r>
      <w:r w:rsidR="001E7009" w:rsidRPr="005365CC">
        <w:t>75</w:t>
      </w:r>
      <w:r w:rsidRPr="005365CC">
        <w:t xml:space="preserve"> of the </w:t>
      </w:r>
      <w:r w:rsidR="001E7009" w:rsidRPr="005365CC">
        <w:t>PGPA</w:t>
      </w:r>
      <w:r w:rsidRPr="005365CC">
        <w:t xml:space="preserve"> Act. It is possible that adjustments under section </w:t>
      </w:r>
      <w:r w:rsidR="001E7009" w:rsidRPr="005365CC">
        <w:t>75</w:t>
      </w:r>
      <w:r w:rsidRPr="005365CC">
        <w:t xml:space="preserve"> may result in new items and/or outcomes being created in an Appropriation Act.</w:t>
      </w:r>
    </w:p>
    <w:p w14:paraId="75619FDE" w14:textId="77777777" w:rsidR="003F1928" w:rsidRPr="005365CC" w:rsidRDefault="00162850" w:rsidP="00664F24">
      <w:pPr>
        <w:pStyle w:val="NumberList"/>
        <w:keepLines/>
      </w:pPr>
      <w:r w:rsidRPr="005365CC">
        <w:t>Additionally</w:t>
      </w:r>
      <w:r w:rsidR="003F1928" w:rsidRPr="005365CC">
        <w:t>, the Finance Minister manages the payment from items in the Bill by non-corporate entities using a discretionary power under section 51 of the PGPA Act. Section 51 allows the Finance Minister to manage the timing and the amount of appropriated money to be made available to a Commonwealth entity (an entity as defined in section 10 of the PGPA Act), except as required by law.</w:t>
      </w:r>
    </w:p>
    <w:p w14:paraId="3D3F09F3" w14:textId="1CFC2088" w:rsidR="00104960" w:rsidRPr="005365CC" w:rsidRDefault="00433AD6">
      <w:pPr>
        <w:pStyle w:val="Heading3"/>
      </w:pPr>
      <w:r w:rsidRPr="005365CC">
        <w:t>Clause 7—State, ACT, NT and local government items</w:t>
      </w:r>
    </w:p>
    <w:p w14:paraId="366D8452" w14:textId="5C0827D0" w:rsidR="00B06C6A" w:rsidRPr="005365CC" w:rsidRDefault="00433AD6" w:rsidP="00B87BD6">
      <w:pPr>
        <w:pStyle w:val="NumberList"/>
        <w:tabs>
          <w:tab w:val="clear" w:pos="720"/>
          <w:tab w:val="num" w:pos="567"/>
        </w:tabs>
      </w:pPr>
      <w:r w:rsidRPr="005365CC">
        <w:t>Clause</w:t>
      </w:r>
      <w:r w:rsidR="00CE26C8" w:rsidRPr="005365CC">
        <w:t> </w:t>
      </w:r>
      <w:r w:rsidRPr="005365CC">
        <w:t xml:space="preserve">7 provides administered appropriations for financial assistance to the States, ACT, NT and local governments. State, ACT, NT and local government items are appropriated separately for </w:t>
      </w:r>
      <w:r w:rsidR="00F31F4C" w:rsidRPr="005365CC">
        <w:t>each outcome</w:t>
      </w:r>
      <w:r w:rsidRPr="005365CC">
        <w:t>, making it clear what the funding is intended to achieve. The amount specified in Schedule</w:t>
      </w:r>
      <w:r w:rsidR="0010633D" w:rsidRPr="005365CC">
        <w:t> </w:t>
      </w:r>
      <w:r w:rsidRPr="005365CC">
        <w:t xml:space="preserve">2 for </w:t>
      </w:r>
      <w:r w:rsidR="00A72192" w:rsidRPr="005365CC">
        <w:t xml:space="preserve">an outcome may be applied by a non-corporate entity </w:t>
      </w:r>
      <w:r w:rsidRPr="005365CC">
        <w:t xml:space="preserve">for the purpose of making payments to any of the States, ACT, NT or local government authorities for the purpose of achieving that outcome. </w:t>
      </w:r>
    </w:p>
    <w:p w14:paraId="227A1DD9" w14:textId="781CEC4B" w:rsidR="00092B24" w:rsidRPr="005365CC" w:rsidRDefault="00433AD6" w:rsidP="00092B24">
      <w:pPr>
        <w:pStyle w:val="NumberList"/>
        <w:tabs>
          <w:tab w:val="clear" w:pos="720"/>
          <w:tab w:val="num" w:pos="567"/>
        </w:tabs>
      </w:pPr>
      <w:r w:rsidRPr="005365CC">
        <w:t>C</w:t>
      </w:r>
      <w:r w:rsidR="00A72192" w:rsidRPr="005365CC">
        <w:t>lauses</w:t>
      </w:r>
      <w:r w:rsidR="0010633D" w:rsidRPr="005365CC">
        <w:t> </w:t>
      </w:r>
      <w:r w:rsidR="00196FF1" w:rsidRPr="005365CC">
        <w:t>7</w:t>
      </w:r>
      <w:r w:rsidR="00A72192" w:rsidRPr="005365CC">
        <w:t xml:space="preserve"> and</w:t>
      </w:r>
      <w:r w:rsidR="0010633D" w:rsidRPr="005365CC">
        <w:t> </w:t>
      </w:r>
      <w:r w:rsidR="000C045C" w:rsidRPr="005365CC">
        <w:t>1</w:t>
      </w:r>
      <w:r w:rsidR="004048A6" w:rsidRPr="005365CC">
        <w:t>6</w:t>
      </w:r>
      <w:r w:rsidR="009F3ADF" w:rsidRPr="005365CC">
        <w:t xml:space="preserve"> </w:t>
      </w:r>
      <w:r w:rsidRPr="005365CC">
        <w:t>delegate Parliament’s power under section</w:t>
      </w:r>
      <w:r w:rsidR="0010633D" w:rsidRPr="005365CC">
        <w:t> </w:t>
      </w:r>
      <w:r w:rsidRPr="005365CC">
        <w:t>96 of the Constitution to impose terms and conditions on payments of financial assistance to the States to the responsible Ministers listed in Schedule 1 of the Bill. Schedule 1 also lists the Ministers who may determine the amounts and timing of those payments. These payments are usually made pursuant to eligibility rules and conditions established by the Government or Parliament.</w:t>
      </w:r>
      <w:bookmarkStart w:id="12" w:name="_Ref197400073"/>
      <w:bookmarkStart w:id="13" w:name="_Ref197400625"/>
      <w:r w:rsidRPr="005365CC">
        <w:t xml:space="preserve"> </w:t>
      </w:r>
    </w:p>
    <w:p w14:paraId="41D7E26D" w14:textId="09EE4541" w:rsidR="0037272B" w:rsidRPr="005365CC" w:rsidRDefault="0037272B" w:rsidP="00092B24">
      <w:pPr>
        <w:pStyle w:val="NumberList"/>
        <w:tabs>
          <w:tab w:val="clear" w:pos="720"/>
          <w:tab w:val="num" w:pos="567"/>
        </w:tabs>
      </w:pPr>
      <w:r w:rsidRPr="005365CC">
        <w:t xml:space="preserve">Additional information on payments to the States, Territories and local government can be found in </w:t>
      </w:r>
      <w:r w:rsidR="00CE26C8" w:rsidRPr="005365CC">
        <w:t>the portfolio statements of the relevant entities.</w:t>
      </w:r>
      <w:r w:rsidR="00EB6B67" w:rsidRPr="005365CC">
        <w:t xml:space="preserve"> These documents can be found at </w:t>
      </w:r>
      <w:hyperlink r:id="rId14" w:history="1">
        <w:r w:rsidR="00EB6B67" w:rsidRPr="005365CC">
          <w:rPr>
            <w:rStyle w:val="Hyperlink"/>
          </w:rPr>
          <w:t>www.budget.gov.au</w:t>
        </w:r>
      </w:hyperlink>
      <w:r w:rsidR="00EB6B67" w:rsidRPr="005365CC">
        <w:t xml:space="preserve">. </w:t>
      </w:r>
    </w:p>
    <w:bookmarkEnd w:id="12"/>
    <w:bookmarkEnd w:id="13"/>
    <w:p w14:paraId="12164C36" w14:textId="220777C7" w:rsidR="00104960" w:rsidRPr="005365CC" w:rsidRDefault="005E1BCA" w:rsidP="005365CC">
      <w:pPr>
        <w:pStyle w:val="Heading3"/>
        <w:keepLines/>
      </w:pPr>
      <w:r w:rsidRPr="005365CC">
        <w:t xml:space="preserve">Clause </w:t>
      </w:r>
      <w:r w:rsidR="00196FF1" w:rsidRPr="005365CC">
        <w:t>8</w:t>
      </w:r>
      <w:r w:rsidR="00433AD6" w:rsidRPr="005365CC">
        <w:t>—Administered items</w:t>
      </w:r>
    </w:p>
    <w:p w14:paraId="7C767A92" w14:textId="14E37E0C" w:rsidR="00E35CAE" w:rsidRPr="005365CC" w:rsidRDefault="00433AD6" w:rsidP="005365CC">
      <w:pPr>
        <w:pStyle w:val="NumberList"/>
        <w:keepLines/>
      </w:pPr>
      <w:r w:rsidRPr="005365CC">
        <w:t>Subclause 8(1) provides for the appropriation of new administered outc</w:t>
      </w:r>
      <w:r w:rsidR="004B0290" w:rsidRPr="005365CC">
        <w:t xml:space="preserve">ome amounts to be applied by a non-corporate entity </w:t>
      </w:r>
      <w:r w:rsidRPr="005365CC">
        <w:t>for the purpose of co</w:t>
      </w:r>
      <w:r w:rsidR="004B0290" w:rsidRPr="005365CC">
        <w:t>ntributing to the outcome for a non-corporate entity</w:t>
      </w:r>
      <w:r w:rsidRPr="005365CC">
        <w:t>. An “administered item” is defined in clause 3 to be an amount set out in Schedu</w:t>
      </w:r>
      <w:r w:rsidR="004B0290" w:rsidRPr="005365CC">
        <w:t>le</w:t>
      </w:r>
      <w:r w:rsidR="00071373" w:rsidRPr="005365CC">
        <w:t> </w:t>
      </w:r>
      <w:r w:rsidR="004B0290" w:rsidRPr="005365CC">
        <w:t>2 opposite an outcome for a non</w:t>
      </w:r>
      <w:r w:rsidR="001A3548" w:rsidRPr="005365CC">
        <w:noBreakHyphen/>
      </w:r>
      <w:r w:rsidR="004B0290" w:rsidRPr="005365CC">
        <w:t xml:space="preserve">corporate entity </w:t>
      </w:r>
      <w:r w:rsidRPr="005365CC">
        <w:t xml:space="preserve">under the heading </w:t>
      </w:r>
      <w:r w:rsidRPr="005365CC">
        <w:rPr>
          <w:color w:val="000000"/>
        </w:rPr>
        <w:t xml:space="preserve">“New </w:t>
      </w:r>
      <w:r w:rsidRPr="005365CC">
        <w:t xml:space="preserve">Administered </w:t>
      </w:r>
      <w:r w:rsidRPr="005365CC">
        <w:rPr>
          <w:color w:val="000000"/>
        </w:rPr>
        <w:t>Outcomes”.</w:t>
      </w:r>
      <w:r w:rsidR="008C7C8E" w:rsidRPr="005365CC">
        <w:rPr>
          <w:color w:val="000000"/>
        </w:rPr>
        <w:t xml:space="preserve"> As with administered items in the </w:t>
      </w:r>
      <w:r w:rsidR="003C7E76" w:rsidRPr="005365CC">
        <w:rPr>
          <w:i/>
          <w:color w:val="000000"/>
        </w:rPr>
        <w:t xml:space="preserve">Supply </w:t>
      </w:r>
      <w:r w:rsidR="008C7C8E" w:rsidRPr="005365CC">
        <w:rPr>
          <w:i/>
          <w:color w:val="000000"/>
        </w:rPr>
        <w:t>Bill (No.</w:t>
      </w:r>
      <w:r w:rsidR="009013E5" w:rsidRPr="005365CC">
        <w:rPr>
          <w:i/>
          <w:iCs/>
          <w:color w:val="000000"/>
        </w:rPr>
        <w:t xml:space="preserve"> 1) </w:t>
      </w:r>
      <w:r w:rsidR="003C7E76" w:rsidRPr="005365CC">
        <w:rPr>
          <w:i/>
          <w:color w:val="000000"/>
        </w:rPr>
        <w:t>2020</w:t>
      </w:r>
      <w:r w:rsidR="001835E5" w:rsidRPr="005365CC">
        <w:rPr>
          <w:i/>
          <w:color w:val="000000"/>
        </w:rPr>
        <w:noBreakHyphen/>
        <w:t>2021</w:t>
      </w:r>
      <w:r w:rsidR="008C7C8E" w:rsidRPr="005365CC">
        <w:rPr>
          <w:color w:val="000000"/>
        </w:rPr>
        <w:t>,</w:t>
      </w:r>
      <w:r w:rsidRPr="005365CC">
        <w:rPr>
          <w:color w:val="000000"/>
        </w:rPr>
        <w:t xml:space="preserve"> </w:t>
      </w:r>
      <w:r w:rsidR="009013E5" w:rsidRPr="005365CC">
        <w:rPr>
          <w:color w:val="000000"/>
        </w:rPr>
        <w:t xml:space="preserve">New Administered </w:t>
      </w:r>
      <w:r w:rsidR="009013E5" w:rsidRPr="005365CC">
        <w:t>Outcomes are</w:t>
      </w:r>
      <w:r w:rsidR="008C7C8E" w:rsidRPr="005365CC">
        <w:t xml:space="preserve"> appropriated separately for </w:t>
      </w:r>
      <w:r w:rsidR="00B82F2F" w:rsidRPr="005365CC">
        <w:t xml:space="preserve">each </w:t>
      </w:r>
      <w:r w:rsidR="008C7C8E" w:rsidRPr="005365CC">
        <w:t>outcome, making it clear what the funding is intended to achieve.</w:t>
      </w:r>
    </w:p>
    <w:p w14:paraId="684933C4" w14:textId="1E309F6D" w:rsidR="0037272B" w:rsidRPr="005365CC" w:rsidRDefault="0037272B" w:rsidP="0037272B">
      <w:pPr>
        <w:pStyle w:val="NumberList"/>
      </w:pPr>
      <w:r w:rsidRPr="005365CC">
        <w:t>The purposes for which each administered item can be spent ar</w:t>
      </w:r>
      <w:r w:rsidR="00C94CB2" w:rsidRPr="005365CC">
        <w:t>e further set out in subclause </w:t>
      </w:r>
      <w:r w:rsidR="00433AD6" w:rsidRPr="005365CC">
        <w:t>8</w:t>
      </w:r>
      <w:r w:rsidRPr="005365CC">
        <w:t>(2). Subclause</w:t>
      </w:r>
      <w:r w:rsidR="00433AD6" w:rsidRPr="005365CC">
        <w:t xml:space="preserve"> 8</w:t>
      </w:r>
      <w:r w:rsidRPr="005365CC">
        <w:t xml:space="preserve">(2) provides that where the portfolio statements indicate a particular activity is in respect of a particular outcome, then expenditure on that activity is taken to be expenditure for the purpose of contributing to achieving that outcome. </w:t>
      </w:r>
    </w:p>
    <w:p w14:paraId="5B53C270" w14:textId="74D5524A" w:rsidR="0037272B" w:rsidRPr="005365CC" w:rsidRDefault="0037272B" w:rsidP="00664F24">
      <w:pPr>
        <w:pStyle w:val="NumberList"/>
        <w:keepLines/>
      </w:pPr>
      <w:r w:rsidRPr="005365CC">
        <w:t xml:space="preserve">New Administered Outcomes are those administered by a non-corporate entity on behalf of the Government (e.g. certain grants, benefits and transfer payments). These payments are usually made pursuant to eligibility rules and conditions established by the Government or the Parliament. </w:t>
      </w:r>
      <w:r w:rsidR="00E46A7D" w:rsidRPr="005365CC">
        <w:t>Specifically, administered items are tied to outcomes (departmental items are not).</w:t>
      </w:r>
    </w:p>
    <w:p w14:paraId="37573388" w14:textId="4A726030" w:rsidR="008F7A79" w:rsidRPr="005365CC" w:rsidRDefault="00433AD6" w:rsidP="004A4306">
      <w:pPr>
        <w:pStyle w:val="NumberList"/>
        <w:keepNext/>
        <w:keepLines/>
      </w:pPr>
      <w:r w:rsidRPr="005365CC">
        <w:rPr>
          <w:color w:val="000000"/>
        </w:rPr>
        <w:t xml:space="preserve">New Administered Outcomes are </w:t>
      </w:r>
      <w:r w:rsidR="006C5AF9" w:rsidRPr="005365CC">
        <w:rPr>
          <w:color w:val="000000"/>
        </w:rPr>
        <w:t xml:space="preserve">typically </w:t>
      </w:r>
      <w:r w:rsidRPr="005365CC">
        <w:rPr>
          <w:color w:val="000000"/>
        </w:rPr>
        <w:t>proposed when</w:t>
      </w:r>
      <w:r w:rsidR="0037272B" w:rsidRPr="005365CC">
        <w:rPr>
          <w:color w:val="000000"/>
        </w:rPr>
        <w:t xml:space="preserve"> </w:t>
      </w:r>
      <w:r w:rsidR="0037272B" w:rsidRPr="005365CC">
        <w:t>a non-corporate entity’s outcomes are changed to reflect new program objectives, strategies and/or activities</w:t>
      </w:r>
      <w:r w:rsidR="00825AA4" w:rsidRPr="005365CC">
        <w:t>;</w:t>
      </w:r>
      <w:r w:rsidR="0037272B" w:rsidRPr="005365CC">
        <w:t xml:space="preserve"> and</w:t>
      </w:r>
      <w:r w:rsidR="00825AA4" w:rsidRPr="005365CC">
        <w:t>/or</w:t>
      </w:r>
    </w:p>
    <w:p w14:paraId="2760B103" w14:textId="76AF979B" w:rsidR="008F7A79" w:rsidRPr="005365CC" w:rsidRDefault="004B0290" w:rsidP="004A4306">
      <w:pPr>
        <w:pStyle w:val="Bullet"/>
        <w:keepNext/>
        <w:keepLines/>
        <w:spacing w:before="120"/>
      </w:pPr>
      <w:r w:rsidRPr="005365CC">
        <w:t xml:space="preserve">a non-corporate entity </w:t>
      </w:r>
      <w:r w:rsidR="00433AD6" w:rsidRPr="005365CC">
        <w:t xml:space="preserve">seeks administered operating appropriations for the first time (including existing </w:t>
      </w:r>
      <w:r w:rsidR="005F24EC" w:rsidRPr="005365CC">
        <w:t>non-corporate entities</w:t>
      </w:r>
      <w:r w:rsidR="00433AD6" w:rsidRPr="005365CC">
        <w:t xml:space="preserve"> that have received departmental operating appropriations in the past);</w:t>
      </w:r>
      <w:r w:rsidR="0037272B" w:rsidRPr="005365CC">
        <w:t xml:space="preserve"> </w:t>
      </w:r>
      <w:r w:rsidR="00825AA4" w:rsidRPr="005365CC">
        <w:t>and/</w:t>
      </w:r>
      <w:r w:rsidR="0037272B" w:rsidRPr="005365CC">
        <w:t>or</w:t>
      </w:r>
    </w:p>
    <w:p w14:paraId="43739A4E" w14:textId="77777777" w:rsidR="00C117DB" w:rsidRPr="005365CC" w:rsidRDefault="00433AD6" w:rsidP="004A4306">
      <w:pPr>
        <w:pStyle w:val="Bullet"/>
        <w:keepNext/>
        <w:keepLines/>
        <w:spacing w:before="120"/>
      </w:pPr>
      <w:r w:rsidRPr="005365CC">
        <w:t>annual administered operating appropriations are proposed for the first time, for programs previously funded by special appropriations</w:t>
      </w:r>
      <w:r w:rsidR="0037272B" w:rsidRPr="005365CC">
        <w:t>.</w:t>
      </w:r>
    </w:p>
    <w:p w14:paraId="44F3707C" w14:textId="7C747A63" w:rsidR="00104960" w:rsidRPr="005365CC" w:rsidRDefault="005E1BCA" w:rsidP="004A4306">
      <w:pPr>
        <w:pStyle w:val="Heading3"/>
      </w:pPr>
      <w:r w:rsidRPr="005365CC">
        <w:t xml:space="preserve">Clause </w:t>
      </w:r>
      <w:r w:rsidR="00433AD6" w:rsidRPr="005365CC">
        <w:t>9—Administered assets and liabilities items</w:t>
      </w:r>
    </w:p>
    <w:p w14:paraId="1DDFEB5A" w14:textId="72CF55D5" w:rsidR="005A1528" w:rsidRPr="005365CC" w:rsidRDefault="00433AD6" w:rsidP="00410207">
      <w:pPr>
        <w:pStyle w:val="NumberList"/>
      </w:pPr>
      <w:r w:rsidRPr="005365CC">
        <w:t xml:space="preserve">Clause 9 provides amounts in Schedule 2 to acquire administered assets, enhance existing administered assets and/or discharge administered liabilities relating to activities administered by </w:t>
      </w:r>
      <w:r w:rsidR="00846F5A" w:rsidRPr="005365CC">
        <w:t>non-corporate entities</w:t>
      </w:r>
      <w:r w:rsidRPr="005365CC">
        <w:t xml:space="preserve"> on behalf of the </w:t>
      </w:r>
      <w:r w:rsidRPr="005365CC">
        <w:rPr>
          <w:color w:val="000000"/>
        </w:rPr>
        <w:t>Government. Administered assets and liabilities appropriations are provi</w:t>
      </w:r>
      <w:r w:rsidR="00846F5A" w:rsidRPr="005365CC">
        <w:rPr>
          <w:color w:val="000000"/>
        </w:rPr>
        <w:t>ded for functions managed by a non</w:t>
      </w:r>
      <w:r w:rsidR="00B82F2F" w:rsidRPr="005365CC">
        <w:rPr>
          <w:color w:val="000000"/>
        </w:rPr>
        <w:noBreakHyphen/>
      </w:r>
      <w:r w:rsidR="00846F5A" w:rsidRPr="005365CC">
        <w:rPr>
          <w:color w:val="000000"/>
        </w:rPr>
        <w:t xml:space="preserve">corporate entity </w:t>
      </w:r>
      <w:r w:rsidRPr="005365CC">
        <w:rPr>
          <w:color w:val="000000"/>
        </w:rPr>
        <w:t xml:space="preserve">on behalf of the Government. </w:t>
      </w:r>
      <w:r w:rsidR="00410207" w:rsidRPr="005365CC">
        <w:t>Administered assets and liabilities items</w:t>
      </w:r>
      <w:r w:rsidR="00410207" w:rsidRPr="005365CC">
        <w:rPr>
          <w:color w:val="000000"/>
        </w:rPr>
        <w:t xml:space="preserve"> can be applied for any outcomes of the non-corporate entity in </w:t>
      </w:r>
      <w:r w:rsidR="00196FF1" w:rsidRPr="005365CC">
        <w:rPr>
          <w:color w:val="000000"/>
        </w:rPr>
        <w:t>Schedule</w:t>
      </w:r>
      <w:r w:rsidR="00E66B0F" w:rsidRPr="005365CC">
        <w:rPr>
          <w:color w:val="000000"/>
        </w:rPr>
        <w:t> </w:t>
      </w:r>
      <w:r w:rsidRPr="005365CC">
        <w:rPr>
          <w:color w:val="000000"/>
        </w:rPr>
        <w:t xml:space="preserve">2 of </w:t>
      </w:r>
      <w:r w:rsidR="00B82F2F" w:rsidRPr="005365CC">
        <w:rPr>
          <w:color w:val="000000"/>
        </w:rPr>
        <w:t xml:space="preserve">the </w:t>
      </w:r>
      <w:r w:rsidRPr="005365CC">
        <w:rPr>
          <w:color w:val="000000"/>
        </w:rPr>
        <w:t>Bill, or Schedule</w:t>
      </w:r>
      <w:r w:rsidR="00E66B0F" w:rsidRPr="005365CC">
        <w:rPr>
          <w:color w:val="000000"/>
        </w:rPr>
        <w:t> </w:t>
      </w:r>
      <w:r w:rsidRPr="005365CC">
        <w:rPr>
          <w:color w:val="000000"/>
        </w:rPr>
        <w:t>1 to</w:t>
      </w:r>
      <w:r w:rsidR="00B82F2F" w:rsidRPr="005365CC">
        <w:rPr>
          <w:color w:val="000000"/>
        </w:rPr>
        <w:t xml:space="preserve"> the</w:t>
      </w:r>
      <w:r w:rsidRPr="005365CC">
        <w:rPr>
          <w:color w:val="000000"/>
        </w:rPr>
        <w:t xml:space="preserve"> </w:t>
      </w:r>
      <w:r w:rsidR="003C7E76" w:rsidRPr="005365CC">
        <w:rPr>
          <w:i/>
          <w:color w:val="000000"/>
        </w:rPr>
        <w:t xml:space="preserve">Supply </w:t>
      </w:r>
      <w:r w:rsidRPr="005365CC">
        <w:rPr>
          <w:i/>
          <w:color w:val="000000"/>
        </w:rPr>
        <w:t>Bill (No</w:t>
      </w:r>
      <w:r w:rsidR="00E61FE6" w:rsidRPr="005365CC">
        <w:rPr>
          <w:i/>
          <w:color w:val="000000"/>
        </w:rPr>
        <w:t>.</w:t>
      </w:r>
      <w:r w:rsidR="004048A6" w:rsidRPr="005365CC">
        <w:rPr>
          <w:i/>
          <w:color w:val="000000"/>
        </w:rPr>
        <w:t> 1</w:t>
      </w:r>
      <w:r w:rsidRPr="005365CC">
        <w:rPr>
          <w:i/>
          <w:color w:val="000000"/>
        </w:rPr>
        <w:t xml:space="preserve">) </w:t>
      </w:r>
      <w:r w:rsidR="003C7E76" w:rsidRPr="005365CC">
        <w:rPr>
          <w:i/>
          <w:color w:val="000000"/>
        </w:rPr>
        <w:t>2020</w:t>
      </w:r>
      <w:r w:rsidR="001835E5" w:rsidRPr="005365CC">
        <w:rPr>
          <w:i/>
          <w:color w:val="000000"/>
        </w:rPr>
        <w:noBreakHyphen/>
        <w:t>2021</w:t>
      </w:r>
      <w:r w:rsidRPr="005365CC">
        <w:rPr>
          <w:i/>
          <w:color w:val="000000"/>
        </w:rPr>
        <w:t>.</w:t>
      </w:r>
    </w:p>
    <w:p w14:paraId="0F58BE44" w14:textId="4F953B75" w:rsidR="000A036B" w:rsidRPr="005365CC" w:rsidRDefault="005E1BCA" w:rsidP="005365CC">
      <w:pPr>
        <w:pStyle w:val="Heading3"/>
        <w:keepLines/>
        <w:rPr>
          <w:szCs w:val="26"/>
        </w:rPr>
      </w:pPr>
      <w:r w:rsidRPr="005365CC">
        <w:t xml:space="preserve">Clause </w:t>
      </w:r>
      <w:r w:rsidR="00433AD6" w:rsidRPr="005365CC">
        <w:t>10—</w:t>
      </w:r>
      <w:r w:rsidR="00415CB4" w:rsidRPr="005365CC">
        <w:t>Other d</w:t>
      </w:r>
      <w:r w:rsidR="00433AD6" w:rsidRPr="005365CC">
        <w:t>epartmental items</w:t>
      </w:r>
    </w:p>
    <w:p w14:paraId="4403F870" w14:textId="77777777" w:rsidR="00415CB4" w:rsidRPr="005365CC" w:rsidRDefault="00415CB4" w:rsidP="005365CC">
      <w:pPr>
        <w:pStyle w:val="NumberList"/>
        <w:keepLines/>
        <w:numPr>
          <w:ilvl w:val="0"/>
          <w:numId w:val="3"/>
        </w:numPr>
        <w:rPr>
          <w:color w:val="000000"/>
        </w:rPr>
      </w:pPr>
      <w:r w:rsidRPr="005365CC">
        <w:t>Clause 10 appropriates departmental non-operating appropriations in the form of equity injections, over which the non-corporate entity also exercises control. This clause provides that the amount specified in other departmental items for a non-corporate entity may be applied for the departmental expenditure of the entity. For example, “equity injections” can be provided to non-corporate entities to enable investment in assets to facilitate departmental activities and for Designated Collecting Institutions to purchase heritage and cultural assets</w:t>
      </w:r>
      <w:r w:rsidRPr="005365CC">
        <w:rPr>
          <w:color w:val="000000"/>
        </w:rPr>
        <w:t>.</w:t>
      </w:r>
    </w:p>
    <w:p w14:paraId="675EBFC5" w14:textId="77777777" w:rsidR="00415CB4" w:rsidRPr="005365CC" w:rsidRDefault="00415CB4" w:rsidP="00415CB4">
      <w:pPr>
        <w:pStyle w:val="NumberList"/>
        <w:numPr>
          <w:ilvl w:val="0"/>
          <w:numId w:val="3"/>
        </w:numPr>
        <w:rPr>
          <w:color w:val="000000"/>
        </w:rPr>
      </w:pPr>
      <w:r w:rsidRPr="005365CC">
        <w:t xml:space="preserve">Other departmental items are not expressed in terms of a particular financial year. For example, equity injection appropriations provide funding to meet the cost expected to be incurred in the Budget year to acquire a new asset, however, for a number of reasons, some part of the appropriation might not be required until a later financial year. Other departmental items are available until they are spent, or the Act through which they were appropriated is repealed. Annual Appropriation Acts have a lifespan of up to three years after which they automatically repeal. </w:t>
      </w:r>
    </w:p>
    <w:p w14:paraId="373C3143" w14:textId="3025B421" w:rsidR="000A036B" w:rsidRPr="005365CC" w:rsidRDefault="00433AD6" w:rsidP="000C4174">
      <w:pPr>
        <w:pStyle w:val="Heading3"/>
        <w:rPr>
          <w:szCs w:val="26"/>
        </w:rPr>
      </w:pPr>
      <w:r w:rsidRPr="005365CC">
        <w:t>Clause 11—</w:t>
      </w:r>
      <w:r w:rsidR="00F85A9C" w:rsidRPr="005365CC">
        <w:t>Corporate entity</w:t>
      </w:r>
      <w:r w:rsidRPr="005365CC">
        <w:t xml:space="preserve"> items</w:t>
      </w:r>
    </w:p>
    <w:p w14:paraId="1B3AA08C" w14:textId="2611597E" w:rsidR="00104960" w:rsidRPr="005365CC" w:rsidRDefault="00433AD6" w:rsidP="000A036B">
      <w:pPr>
        <w:pStyle w:val="NumberList"/>
      </w:pPr>
      <w:r w:rsidRPr="005365CC">
        <w:t xml:space="preserve">Clause 11 provides for appropriations of money for </w:t>
      </w:r>
      <w:r w:rsidR="00F85A9C" w:rsidRPr="005365CC">
        <w:t>corporate entities</w:t>
      </w:r>
      <w:r w:rsidRPr="005365CC">
        <w:t xml:space="preserve"> to be paid from the CRF by the relevant Department. Clause 11 provides that payments for </w:t>
      </w:r>
      <w:r w:rsidR="00F85A9C" w:rsidRPr="005365CC">
        <w:t>corporate entities</w:t>
      </w:r>
      <w:r w:rsidRPr="005365CC">
        <w:t xml:space="preserve"> must be used for the purposes of those </w:t>
      </w:r>
      <w:r w:rsidR="00F85A9C" w:rsidRPr="005365CC">
        <w:t>entities</w:t>
      </w:r>
      <w:r w:rsidRPr="005365CC">
        <w:t>.</w:t>
      </w:r>
    </w:p>
    <w:p w14:paraId="332DE018" w14:textId="4D435D38" w:rsidR="00104960" w:rsidRPr="005365CC" w:rsidRDefault="00433AD6" w:rsidP="00196FF1">
      <w:pPr>
        <w:pStyle w:val="NumberList"/>
        <w:keepLines/>
      </w:pPr>
      <w:r w:rsidRPr="005365CC">
        <w:t xml:space="preserve">A </w:t>
      </w:r>
      <w:r w:rsidR="006B3753" w:rsidRPr="005365CC">
        <w:t>“</w:t>
      </w:r>
      <w:r w:rsidR="00F85A9C" w:rsidRPr="005365CC">
        <w:t>corporate entity</w:t>
      </w:r>
      <w:r w:rsidR="006B3753" w:rsidRPr="005365CC">
        <w:t>”</w:t>
      </w:r>
      <w:r w:rsidRPr="005365CC">
        <w:t xml:space="preserve"> is </w:t>
      </w:r>
      <w:r w:rsidR="00F85A9C" w:rsidRPr="005365CC">
        <w:t xml:space="preserve">defined in clause 3 to be a corporate Commonwealth entity or a Commonwealth company within the meaning of the PGPA Act. Many corporate entities receive funding from appropriations. </w:t>
      </w:r>
      <w:r w:rsidRPr="005365CC">
        <w:t xml:space="preserve">However, these </w:t>
      </w:r>
      <w:r w:rsidR="00F85A9C" w:rsidRPr="005365CC">
        <w:t>entities</w:t>
      </w:r>
      <w:r w:rsidRPr="005365CC">
        <w:t xml:space="preserve"> are legally separate from the Commonwealth, and as a result, do</w:t>
      </w:r>
      <w:r w:rsidR="00535940" w:rsidRPr="005365CC">
        <w:t xml:space="preserve"> </w:t>
      </w:r>
      <w:r w:rsidRPr="005365CC">
        <w:t>not debit appropriations or make payments from the CRF.</w:t>
      </w:r>
    </w:p>
    <w:p w14:paraId="7D0F5932" w14:textId="35DA1199" w:rsidR="005A1528" w:rsidRPr="005365CC" w:rsidRDefault="005A1528" w:rsidP="005A1528">
      <w:pPr>
        <w:pStyle w:val="NumberList"/>
      </w:pPr>
      <w:r w:rsidRPr="005365CC">
        <w:t xml:space="preserve">Corporate entity payments are initiated by requests to the relevant portfolio Departments from the corporate </w:t>
      </w:r>
      <w:r w:rsidR="00F85A9C" w:rsidRPr="005365CC">
        <w:t>entities</w:t>
      </w:r>
      <w:r w:rsidRPr="005365CC">
        <w:t>. The Finance Minister manages appropriations for corporate entities through a discretionary power to control the timing and amount made available under section 51 of the PGPA Act, except as required by law. Corporate entities hold the amounts paid to them on their own account.</w:t>
      </w:r>
    </w:p>
    <w:p w14:paraId="0D7B147D" w14:textId="534EB1F9" w:rsidR="0070633C" w:rsidRPr="005365CC" w:rsidRDefault="0070633C" w:rsidP="004028EE">
      <w:pPr>
        <w:pStyle w:val="NumberList"/>
        <w:keepLines/>
      </w:pPr>
      <w:r w:rsidRPr="005365CC">
        <w:t>Subclause </w:t>
      </w:r>
      <w:r w:rsidR="00433AD6" w:rsidRPr="005365CC">
        <w:t>11</w:t>
      </w:r>
      <w:r w:rsidRPr="005365CC">
        <w:t xml:space="preserve">(2) provides that if a corporate entity is subject to another Act that requires amounts appropriated by Parliament for the purposes of that entity to be paid to the entity, then the full amount of the corporate entity payment must be paid to the entity. </w:t>
      </w:r>
    </w:p>
    <w:p w14:paraId="45CDB356" w14:textId="0FAB52A0" w:rsidR="000A036B" w:rsidRPr="005365CC" w:rsidRDefault="00C94CB2" w:rsidP="00196FF1">
      <w:pPr>
        <w:pStyle w:val="NumberList"/>
        <w:keepLines/>
      </w:pPr>
      <w:r w:rsidRPr="005365CC">
        <w:t>The purpose of subclause </w:t>
      </w:r>
      <w:r w:rsidR="00433AD6" w:rsidRPr="005365CC">
        <w:t xml:space="preserve">11(2) is to clarify that subclause 11(1) is not intended to qualify any obligations in other legislation regulating a </w:t>
      </w:r>
      <w:r w:rsidR="00440533" w:rsidRPr="005365CC">
        <w:t>corporate entity</w:t>
      </w:r>
      <w:r w:rsidR="00433AD6" w:rsidRPr="005365CC">
        <w:t xml:space="preserve">, where that other legislation requires the Commonwealth to pay the full amount appropriated for the purposes of the </w:t>
      </w:r>
      <w:r w:rsidR="00440533" w:rsidRPr="005365CC">
        <w:t>entity</w:t>
      </w:r>
      <w:r w:rsidR="00433AD6" w:rsidRPr="005365CC">
        <w:t>.</w:t>
      </w:r>
    </w:p>
    <w:p w14:paraId="7F65D65C" w14:textId="77777777" w:rsidR="00C8791D" w:rsidRPr="005365CC" w:rsidRDefault="00C8791D" w:rsidP="00C8791D">
      <w:pPr>
        <w:pStyle w:val="NumberList"/>
      </w:pPr>
      <w:r w:rsidRPr="005365CC">
        <w:t>In addition to the annual appropriations, some corporate entities may also receive public money from related entities such as a portfolio Department and from special appropriations managed by those Departments. Many corporate entities also receive funds from external sources.</w:t>
      </w:r>
    </w:p>
    <w:p w14:paraId="00DD8BC0" w14:textId="0559CDBC" w:rsidR="00104960" w:rsidRPr="005365CC" w:rsidRDefault="00433AD6">
      <w:pPr>
        <w:pStyle w:val="Heading2"/>
      </w:pPr>
      <w:r w:rsidRPr="005365CC">
        <w:t>Part 3—</w:t>
      </w:r>
      <w:r w:rsidR="006C5AF9" w:rsidRPr="005365CC">
        <w:t xml:space="preserve">Advance to </w:t>
      </w:r>
      <w:r w:rsidR="00E255B6" w:rsidRPr="005365CC">
        <w:t xml:space="preserve">the </w:t>
      </w:r>
      <w:r w:rsidR="006C5AF9" w:rsidRPr="005365CC">
        <w:t>Finance Minister</w:t>
      </w:r>
    </w:p>
    <w:p w14:paraId="4E46EFD5" w14:textId="3194950C" w:rsidR="00104960" w:rsidRPr="005365CC" w:rsidRDefault="005E1BCA">
      <w:pPr>
        <w:pStyle w:val="Heading3"/>
      </w:pPr>
      <w:r w:rsidRPr="005365CC">
        <w:t xml:space="preserve">Clause </w:t>
      </w:r>
      <w:r w:rsidR="00433AD6" w:rsidRPr="005365CC">
        <w:t>12—Advance to the Finance Minister</w:t>
      </w:r>
    </w:p>
    <w:p w14:paraId="126BA93B" w14:textId="171CD32D" w:rsidR="00ED7684" w:rsidRPr="005365CC" w:rsidRDefault="00906D6D" w:rsidP="007A2C1C">
      <w:pPr>
        <w:pStyle w:val="NumberList"/>
        <w:numPr>
          <w:ilvl w:val="0"/>
          <w:numId w:val="3"/>
        </w:numPr>
        <w:tabs>
          <w:tab w:val="clear" w:pos="720"/>
        </w:tabs>
        <w:rPr>
          <w:color w:val="000000"/>
        </w:rPr>
      </w:pPr>
      <w:r w:rsidRPr="005365CC">
        <w:t>Clause </w:t>
      </w:r>
      <w:r w:rsidR="00225C59" w:rsidRPr="005365CC">
        <w:t>12</w:t>
      </w:r>
      <w:r w:rsidR="00ED7684" w:rsidRPr="005365CC">
        <w:t xml:space="preserve"> </w:t>
      </w:r>
      <w:r w:rsidR="00166902" w:rsidRPr="005365CC">
        <w:t xml:space="preserve">of the </w:t>
      </w:r>
      <w:bookmarkStart w:id="14" w:name="OLE_LINK1"/>
      <w:bookmarkStart w:id="15" w:name="OLE_LINK2"/>
      <w:r w:rsidR="00166902" w:rsidRPr="005365CC">
        <w:t xml:space="preserve">Bill </w:t>
      </w:r>
      <w:r w:rsidR="00ED7684" w:rsidRPr="005365CC">
        <w:t>enables</w:t>
      </w:r>
      <w:bookmarkEnd w:id="14"/>
      <w:bookmarkEnd w:id="15"/>
      <w:r w:rsidR="00ED7684" w:rsidRPr="005365CC">
        <w:t xml:space="preserve"> the Finance Minister to </w:t>
      </w:r>
      <w:r w:rsidR="00E97D1D" w:rsidRPr="005365CC">
        <w:t>allocate</w:t>
      </w:r>
      <w:r w:rsidR="00ED7684" w:rsidRPr="005365CC">
        <w:t xml:space="preserve"> additional </w:t>
      </w:r>
      <w:r w:rsidR="00F0548B" w:rsidRPr="005365CC">
        <w:t xml:space="preserve">amounts </w:t>
      </w:r>
      <w:r w:rsidR="00ED7684" w:rsidRPr="005365CC">
        <w:t xml:space="preserve">for items when satisfied </w:t>
      </w:r>
      <w:r w:rsidR="00B43F1A" w:rsidRPr="005365CC">
        <w:t xml:space="preserve">that </w:t>
      </w:r>
      <w:r w:rsidR="00ED7684" w:rsidRPr="005365CC">
        <w:t xml:space="preserve">there is an urgent need for expenditure, and the existing appropriation </w:t>
      </w:r>
      <w:r w:rsidR="006D28D8" w:rsidRPr="005365CC">
        <w:t>in the current year, is not provided for, or is insufficiently provided for.</w:t>
      </w:r>
      <w:r w:rsidR="00ED7684" w:rsidRPr="005365CC">
        <w:t xml:space="preserve"> </w:t>
      </w:r>
      <w:r w:rsidR="00E97D1D" w:rsidRPr="005365CC">
        <w:t>The allocated amount</w:t>
      </w:r>
      <w:r w:rsidR="00B2067C" w:rsidRPr="005365CC">
        <w:t xml:space="preserve"> </w:t>
      </w:r>
      <w:r w:rsidR="00ED7684" w:rsidRPr="005365CC">
        <w:t>is referred to as the Advance to the Fi</w:t>
      </w:r>
      <w:r w:rsidRPr="005365CC">
        <w:t>nance Minister</w:t>
      </w:r>
      <w:r w:rsidR="00F07CD8" w:rsidRPr="005365CC">
        <w:t xml:space="preserve"> (AFM)</w:t>
      </w:r>
      <w:r w:rsidRPr="005365CC">
        <w:t>.</w:t>
      </w:r>
    </w:p>
    <w:p w14:paraId="2178D39D" w14:textId="77777777" w:rsidR="00ED7684" w:rsidRPr="005365CC" w:rsidRDefault="00906D6D" w:rsidP="007A2C1C">
      <w:pPr>
        <w:pStyle w:val="NumberList"/>
        <w:numPr>
          <w:ilvl w:val="0"/>
          <w:numId w:val="3"/>
        </w:numPr>
        <w:tabs>
          <w:tab w:val="clear" w:pos="720"/>
        </w:tabs>
      </w:pPr>
      <w:r w:rsidRPr="005365CC">
        <w:t>Subclause </w:t>
      </w:r>
      <w:r w:rsidR="00ED7684" w:rsidRPr="005365CC">
        <w:rPr>
          <w:color w:val="000000"/>
        </w:rPr>
        <w:t>12</w:t>
      </w:r>
      <w:r w:rsidR="00ED7684" w:rsidRPr="005365CC">
        <w:t xml:space="preserve">(1) establishes the criteria about which the Finance Minister must be satisfied before determining to add an amount to an item of an entity. </w:t>
      </w:r>
    </w:p>
    <w:p w14:paraId="335AFE0F" w14:textId="77777777" w:rsidR="00ED7684" w:rsidRPr="005365CC" w:rsidRDefault="00ED7684" w:rsidP="00FA4104">
      <w:pPr>
        <w:pStyle w:val="NumberList"/>
        <w:keepLines/>
        <w:numPr>
          <w:ilvl w:val="0"/>
          <w:numId w:val="3"/>
        </w:numPr>
        <w:tabs>
          <w:tab w:val="clear" w:pos="720"/>
        </w:tabs>
      </w:pPr>
      <w:r w:rsidRPr="005365CC">
        <w:t>The Finance Minister will only consider issuing an amount under subclause </w:t>
      </w:r>
      <w:r w:rsidRPr="005365CC">
        <w:rPr>
          <w:color w:val="000000"/>
        </w:rPr>
        <w:t>12</w:t>
      </w:r>
      <w:r w:rsidRPr="005365CC">
        <w:t xml:space="preserve">(1) if satisfied there is an urgent need for expenditure that is </w:t>
      </w:r>
      <w:r w:rsidRPr="005365CC">
        <w:rPr>
          <w:color w:val="000000"/>
        </w:rPr>
        <w:t>no</w:t>
      </w:r>
      <w:r w:rsidRPr="005365CC">
        <w:t xml:space="preserve">t provided for, or is </w:t>
      </w:r>
      <w:r w:rsidR="00906D6D" w:rsidRPr="005365CC">
        <w:t xml:space="preserve">insufficiently provided for, in </w:t>
      </w:r>
      <w:r w:rsidRPr="005365CC">
        <w:t xml:space="preserve">Schedule 2, because of an omission or understatement, or because of unforeseen circumstances. </w:t>
      </w:r>
      <w:r w:rsidR="00D251A6" w:rsidRPr="005365CC">
        <w:t xml:space="preserve">Generally, options under sections 74 to 75 of the PGPA Act </w:t>
      </w:r>
      <w:r w:rsidR="00EE6CE6" w:rsidRPr="005365CC">
        <w:t xml:space="preserve">must be considered, where applicable, </w:t>
      </w:r>
      <w:r w:rsidRPr="005365CC">
        <w:t>before the Finance Minister will make a determination under subclause </w:t>
      </w:r>
      <w:r w:rsidRPr="005365CC">
        <w:rPr>
          <w:color w:val="000000"/>
        </w:rPr>
        <w:t>12(2)</w:t>
      </w:r>
      <w:r w:rsidRPr="005365CC">
        <w:t>.</w:t>
      </w:r>
    </w:p>
    <w:p w14:paraId="44D15EFD" w14:textId="3572B0AD" w:rsidR="00ED7684" w:rsidRPr="005365CC" w:rsidRDefault="00906D6D" w:rsidP="007A2C1C">
      <w:pPr>
        <w:pStyle w:val="NumberList"/>
        <w:numPr>
          <w:ilvl w:val="0"/>
          <w:numId w:val="3"/>
        </w:numPr>
      </w:pPr>
      <w:r w:rsidRPr="005365CC">
        <w:t>Subclause </w:t>
      </w:r>
      <w:r w:rsidR="00ED7684" w:rsidRPr="005365CC">
        <w:rPr>
          <w:color w:val="000000"/>
        </w:rPr>
        <w:t>12</w:t>
      </w:r>
      <w:r w:rsidR="00ED7684" w:rsidRPr="005365CC">
        <w:t>(2) enables the Finance Minister to make a determination to a</w:t>
      </w:r>
      <w:r w:rsidR="00DD2226" w:rsidRPr="005365CC">
        <w:t>llocate</w:t>
      </w:r>
      <w:r w:rsidR="00ED7684" w:rsidRPr="005365CC">
        <w:t xml:space="preserve"> an amount from the AFM to an item in Schedule </w:t>
      </w:r>
      <w:r w:rsidR="00ED7684" w:rsidRPr="005365CC">
        <w:rPr>
          <w:color w:val="000000"/>
        </w:rPr>
        <w:t>2</w:t>
      </w:r>
      <w:r w:rsidR="00C8791D" w:rsidRPr="005365CC">
        <w:t xml:space="preserve">, </w:t>
      </w:r>
      <w:r w:rsidR="00ED7684" w:rsidRPr="005365CC">
        <w:t>to a new item not already in Schedule 2</w:t>
      </w:r>
      <w:r w:rsidR="00C8791D" w:rsidRPr="005365CC">
        <w:t>, or to a new outcome.</w:t>
      </w:r>
    </w:p>
    <w:p w14:paraId="05D819AC" w14:textId="4BB40304" w:rsidR="00517124" w:rsidRPr="005365CC" w:rsidRDefault="00517124" w:rsidP="00517124">
      <w:pPr>
        <w:pStyle w:val="NumberList"/>
      </w:pPr>
      <w:r w:rsidRPr="005365CC">
        <w:t>Subclause 1</w:t>
      </w:r>
      <w:r w:rsidR="00C94C2D" w:rsidRPr="005365CC">
        <w:t>2</w:t>
      </w:r>
      <w:r w:rsidRPr="005365CC">
        <w:t>(3)</w:t>
      </w:r>
      <w:r w:rsidRPr="005365CC">
        <w:rPr>
          <w:i/>
        </w:rPr>
        <w:t xml:space="preserve"> </w:t>
      </w:r>
      <w:r w:rsidRPr="005365CC">
        <w:t>provides that the total amount that can be determined under the AFM provision</w:t>
      </w:r>
      <w:r w:rsidR="00A8527F" w:rsidRPr="005365CC">
        <w:t xml:space="preserve"> is $</w:t>
      </w:r>
      <w:r w:rsidR="001F7C54">
        <w:t>24</w:t>
      </w:r>
      <w:r w:rsidR="009F3231" w:rsidRPr="005365CC">
        <w:t xml:space="preserve"> b</w:t>
      </w:r>
      <w:r w:rsidR="00A8527F" w:rsidRPr="005365CC">
        <w:t>illion</w:t>
      </w:r>
      <w:r w:rsidR="00AA171A" w:rsidRPr="005365CC">
        <w:t>, to provide the Government with the capacity to allocate additional appropriations for COVID-19 related responses that are not contemplated in the current package</w:t>
      </w:r>
      <w:r w:rsidR="00A8527F" w:rsidRPr="005365CC">
        <w:t>.</w:t>
      </w:r>
    </w:p>
    <w:p w14:paraId="2F35EC13" w14:textId="5C683C00" w:rsidR="00FE08A9" w:rsidRPr="005365CC" w:rsidRDefault="00906D6D" w:rsidP="00D55D71">
      <w:pPr>
        <w:pStyle w:val="NumberList"/>
        <w:numPr>
          <w:ilvl w:val="0"/>
          <w:numId w:val="3"/>
        </w:numPr>
      </w:pPr>
      <w:r w:rsidRPr="005365CC">
        <w:t>Subclause </w:t>
      </w:r>
      <w:r w:rsidR="00ED7684" w:rsidRPr="005365CC">
        <w:rPr>
          <w:color w:val="000000"/>
        </w:rPr>
        <w:t>12</w:t>
      </w:r>
      <w:r w:rsidR="00ED7684" w:rsidRPr="005365CC">
        <w:t>(</w:t>
      </w:r>
      <w:r w:rsidR="00A8527F" w:rsidRPr="005365CC">
        <w:t>4</w:t>
      </w:r>
      <w:r w:rsidR="00ED7684" w:rsidRPr="005365CC">
        <w:t>) provides that a determination under subclause </w:t>
      </w:r>
      <w:r w:rsidR="00ED7684" w:rsidRPr="005365CC">
        <w:rPr>
          <w:color w:val="000000"/>
        </w:rPr>
        <w:t>12</w:t>
      </w:r>
      <w:r w:rsidR="00ED7684" w:rsidRPr="005365CC">
        <w:t>(2) is a legislative instrument, which must be tabled in Parliament</w:t>
      </w:r>
      <w:r w:rsidR="00175204" w:rsidRPr="005365CC">
        <w:t>. It</w:t>
      </w:r>
      <w:r w:rsidR="00D45BD9" w:rsidRPr="005365CC">
        <w:t xml:space="preserve"> is not subject to section 42 (disallowance) of the </w:t>
      </w:r>
      <w:r w:rsidR="002F4F5A" w:rsidRPr="005365CC">
        <w:rPr>
          <w:i/>
        </w:rPr>
        <w:t>Legislation Act </w:t>
      </w:r>
      <w:r w:rsidR="00D45BD9" w:rsidRPr="005365CC">
        <w:rPr>
          <w:i/>
        </w:rPr>
        <w:t>2003</w:t>
      </w:r>
      <w:r w:rsidR="00D45BD9" w:rsidRPr="005365CC">
        <w:t xml:space="preserve"> as this would frustrate the purpose of the provision, which is to provide additional appropriation for urgent expenditure. Further, an AFM is not subject to Part 4 of Chapter 3 (</w:t>
      </w:r>
      <w:proofErr w:type="spellStart"/>
      <w:r w:rsidR="00D45BD9" w:rsidRPr="005365CC">
        <w:t>sunsetting</w:t>
      </w:r>
      <w:proofErr w:type="spellEnd"/>
      <w:r w:rsidR="00D45BD9" w:rsidRPr="005365CC">
        <w:t xml:space="preserve">) of the </w:t>
      </w:r>
      <w:r w:rsidR="00D45BD9" w:rsidRPr="005365CC">
        <w:rPr>
          <w:i/>
        </w:rPr>
        <w:t>Legislation Act 2003</w:t>
      </w:r>
      <w:r w:rsidR="00EE6CE6" w:rsidRPr="005365CC">
        <w:t xml:space="preserve">; </w:t>
      </w:r>
      <w:r w:rsidR="00907336" w:rsidRPr="005365CC">
        <w:t xml:space="preserve">legislative instruments enabled by the Bill, once enacted, automatically repeal when the Act itself repeals </w:t>
      </w:r>
      <w:r w:rsidR="00EE6CE6" w:rsidRPr="005365CC">
        <w:t>(see clause 13).</w:t>
      </w:r>
    </w:p>
    <w:p w14:paraId="42AE586A" w14:textId="77777777" w:rsidR="001B36EE" w:rsidRPr="005365CC" w:rsidRDefault="001B36EE" w:rsidP="000E5FFB">
      <w:pPr>
        <w:pStyle w:val="Heading2"/>
      </w:pPr>
      <w:r w:rsidRPr="005365CC">
        <w:t>Part 4—Debit limits</w:t>
      </w:r>
    </w:p>
    <w:p w14:paraId="3582A73C" w14:textId="77777777" w:rsidR="001B36EE" w:rsidRPr="005365CC" w:rsidRDefault="001B36EE" w:rsidP="000E5FFB">
      <w:pPr>
        <w:pStyle w:val="Heading3"/>
      </w:pPr>
      <w:r w:rsidRPr="005365CC">
        <w:t>Clause 13—Debit limits</w:t>
      </w:r>
    </w:p>
    <w:p w14:paraId="0ED07602" w14:textId="2091EC1F" w:rsidR="001B36EE" w:rsidRPr="005365CC" w:rsidRDefault="001B36EE" w:rsidP="00F4362C">
      <w:pPr>
        <w:pStyle w:val="NumberList"/>
        <w:keepNext/>
        <w:numPr>
          <w:ilvl w:val="0"/>
          <w:numId w:val="3"/>
        </w:numPr>
      </w:pPr>
      <w:r w:rsidRPr="005365CC">
        <w:t xml:space="preserve">Parliament may approve annual debit limits for the amounts that may be spent for general purpose financial assistance or national partnership payments under the </w:t>
      </w:r>
      <w:r w:rsidRPr="005365CC">
        <w:rPr>
          <w:i/>
        </w:rPr>
        <w:t>Federal Financial Relations Act 2009</w:t>
      </w:r>
      <w:r w:rsidRPr="005365CC">
        <w:t xml:space="preserve">. </w:t>
      </w:r>
    </w:p>
    <w:p w14:paraId="6E4BE086" w14:textId="27BB9654" w:rsidR="001B36EE" w:rsidRPr="005365CC" w:rsidRDefault="001B36EE" w:rsidP="007A2C1C">
      <w:pPr>
        <w:pStyle w:val="NumberList"/>
        <w:numPr>
          <w:ilvl w:val="0"/>
          <w:numId w:val="3"/>
        </w:numPr>
      </w:pPr>
      <w:r w:rsidRPr="005365CC">
        <w:t xml:space="preserve">Specifying a debit limit in clause 13 is an effective mechanism to manage expenditure of public money as the official or Minister making a payment of public money cannot do so without this authority. The purpose of doing </w:t>
      </w:r>
      <w:r w:rsidR="00573679" w:rsidRPr="005365CC">
        <w:t xml:space="preserve">so </w:t>
      </w:r>
      <w:r w:rsidRPr="005365CC">
        <w:t>is to provide Parliament with a transparent mechanism by which it may review the rate at which amounts are committed for expenditure.</w:t>
      </w:r>
    </w:p>
    <w:p w14:paraId="6282E12A" w14:textId="79B70858" w:rsidR="00233812" w:rsidRPr="005365CC" w:rsidRDefault="00233812" w:rsidP="007A2C1C">
      <w:pPr>
        <w:pStyle w:val="NumberList"/>
        <w:numPr>
          <w:ilvl w:val="0"/>
          <w:numId w:val="3"/>
        </w:numPr>
      </w:pPr>
      <w:r w:rsidRPr="005365CC">
        <w:t xml:space="preserve">The debit limits in this Bill are equivalent to </w:t>
      </w:r>
      <w:r w:rsidR="00F06941" w:rsidRPr="005365CC">
        <w:t>the standard full years’ amount, instead of 7</w:t>
      </w:r>
      <w:r w:rsidRPr="005365CC">
        <w:t>/12</w:t>
      </w:r>
      <w:r w:rsidRPr="005365CC">
        <w:rPr>
          <w:vertAlign w:val="superscript"/>
        </w:rPr>
        <w:t>ths</w:t>
      </w:r>
      <w:r w:rsidR="00F06941" w:rsidRPr="005365CC">
        <w:rPr>
          <w:vertAlign w:val="superscript"/>
        </w:rPr>
        <w:t>,</w:t>
      </w:r>
      <w:r w:rsidRPr="005365CC">
        <w:t xml:space="preserve"> </w:t>
      </w:r>
      <w:r w:rsidR="00F06941" w:rsidRPr="005365CC">
        <w:t>to ensure the Government has the flexibility to make payments to the states as required.</w:t>
      </w:r>
    </w:p>
    <w:p w14:paraId="7A16E3E1" w14:textId="472144FB" w:rsidR="001B36EE" w:rsidRPr="005365CC" w:rsidRDefault="001B36EE" w:rsidP="007A2C1C">
      <w:pPr>
        <w:pStyle w:val="NumberList"/>
        <w:numPr>
          <w:ilvl w:val="0"/>
          <w:numId w:val="3"/>
        </w:numPr>
      </w:pPr>
      <w:r w:rsidRPr="005365CC">
        <w:t>For t</w:t>
      </w:r>
      <w:r w:rsidR="00CE5BE5" w:rsidRPr="005365CC">
        <w:t>he purposes of paragraph </w:t>
      </w:r>
      <w:r w:rsidRPr="005365CC">
        <w:t xml:space="preserve">9(3) of the </w:t>
      </w:r>
      <w:r w:rsidR="00CE5BE5" w:rsidRPr="005365CC">
        <w:rPr>
          <w:i/>
        </w:rPr>
        <w:t>Federal Financial Relations Act </w:t>
      </w:r>
      <w:r w:rsidRPr="005365CC">
        <w:rPr>
          <w:i/>
        </w:rPr>
        <w:t>2009</w:t>
      </w:r>
      <w:r w:rsidR="00CE5BE5" w:rsidRPr="005365CC">
        <w:t>, subclause </w:t>
      </w:r>
      <w:r w:rsidRPr="005365CC">
        <w:t>13</w:t>
      </w:r>
      <w:r w:rsidR="008F6079" w:rsidRPr="005365CC">
        <w:t>(</w:t>
      </w:r>
      <w:r w:rsidR="003C7E76" w:rsidRPr="005365CC">
        <w:t>1</w:t>
      </w:r>
      <w:r w:rsidRPr="005365CC">
        <w:t>) provides</w:t>
      </w:r>
      <w:r w:rsidR="00FA4104" w:rsidRPr="005365CC">
        <w:t xml:space="preserve"> </w:t>
      </w:r>
      <w:r w:rsidRPr="005365CC">
        <w:t xml:space="preserve">the debit limit for general purpose financial assistance for </w:t>
      </w:r>
      <w:r w:rsidR="00A11E40" w:rsidRPr="005365CC">
        <w:t xml:space="preserve">the </w:t>
      </w:r>
      <w:r w:rsidR="003C7E76" w:rsidRPr="005365CC">
        <w:t>2020</w:t>
      </w:r>
      <w:r w:rsidR="00F06941" w:rsidRPr="005365CC">
        <w:noBreakHyphen/>
        <w:t>21</w:t>
      </w:r>
      <w:r w:rsidR="00A11E40" w:rsidRPr="005365CC">
        <w:t xml:space="preserve"> financial year</w:t>
      </w:r>
      <w:r w:rsidRPr="005365CC">
        <w:t>.</w:t>
      </w:r>
    </w:p>
    <w:p w14:paraId="5B312413" w14:textId="626031B1" w:rsidR="001B36EE" w:rsidRPr="005365CC" w:rsidRDefault="001B36EE" w:rsidP="007A2C1C">
      <w:pPr>
        <w:pStyle w:val="NumberList"/>
        <w:numPr>
          <w:ilvl w:val="0"/>
          <w:numId w:val="3"/>
        </w:numPr>
      </w:pPr>
      <w:r w:rsidRPr="005365CC">
        <w:t xml:space="preserve">This debit limit applies for </w:t>
      </w:r>
      <w:r w:rsidR="003C7E76" w:rsidRPr="005365CC">
        <w:t>2020</w:t>
      </w:r>
      <w:r w:rsidR="00F06941" w:rsidRPr="005365CC">
        <w:noBreakHyphen/>
        <w:t>21</w:t>
      </w:r>
      <w:r w:rsidR="00E60C79" w:rsidRPr="005365CC">
        <w:t xml:space="preserve"> </w:t>
      </w:r>
      <w:r w:rsidRPr="005365CC">
        <w:t>to the amount that the Treasurer can credit to the COAG Reform Fund and the total amount that can be debited from that Fund for the purposes of making a grant of general purpose financial assistance to a State, the Australian Capital Territory or the Northern Territory.</w:t>
      </w:r>
    </w:p>
    <w:p w14:paraId="0741D821" w14:textId="77777777" w:rsidR="001B36EE" w:rsidRPr="005365CC" w:rsidRDefault="001B36EE" w:rsidP="007A2C1C">
      <w:pPr>
        <w:pStyle w:val="NumberList"/>
        <w:numPr>
          <w:ilvl w:val="0"/>
          <w:numId w:val="3"/>
        </w:numPr>
      </w:pPr>
      <w:r w:rsidRPr="005365CC">
        <w:t xml:space="preserve">The COAG Reform </w:t>
      </w:r>
      <w:r w:rsidR="00CE5BE5" w:rsidRPr="005365CC">
        <w:t>Fund was established by section </w:t>
      </w:r>
      <w:r w:rsidRPr="005365CC">
        <w:t xml:space="preserve">5 of the </w:t>
      </w:r>
      <w:r w:rsidR="00CE5BE5" w:rsidRPr="005365CC">
        <w:rPr>
          <w:i/>
        </w:rPr>
        <w:t>COAG Reform Fund Act </w:t>
      </w:r>
      <w:r w:rsidRPr="005365CC">
        <w:rPr>
          <w:i/>
        </w:rPr>
        <w:t>2008</w:t>
      </w:r>
      <w:r w:rsidRPr="005365CC">
        <w:t>, which is a special a</w:t>
      </w:r>
      <w:r w:rsidR="00CE5BE5" w:rsidRPr="005365CC">
        <w:t>ccount under section </w:t>
      </w:r>
      <w:r w:rsidRPr="005365CC">
        <w:t xml:space="preserve">80 of the PGPA Act. The purposes of the COAG Reform Fund Special </w:t>
      </w:r>
      <w:r w:rsidR="00CE5BE5" w:rsidRPr="005365CC">
        <w:t>Account are provided at section </w:t>
      </w:r>
      <w:r w:rsidRPr="005365CC">
        <w:t xml:space="preserve">6 of the </w:t>
      </w:r>
      <w:r w:rsidR="00CE5BE5" w:rsidRPr="005365CC">
        <w:rPr>
          <w:i/>
        </w:rPr>
        <w:t>COAG Reform Fund Act </w:t>
      </w:r>
      <w:r w:rsidRPr="005365CC">
        <w:rPr>
          <w:i/>
        </w:rPr>
        <w:t>2008</w:t>
      </w:r>
      <w:r w:rsidRPr="005365CC">
        <w:t>.</w:t>
      </w:r>
    </w:p>
    <w:p w14:paraId="040D1AB2" w14:textId="77777777" w:rsidR="001B36EE" w:rsidRPr="005365CC" w:rsidRDefault="001B36EE" w:rsidP="005365CC">
      <w:pPr>
        <w:pStyle w:val="NumberList"/>
        <w:keepLines/>
        <w:numPr>
          <w:ilvl w:val="0"/>
          <w:numId w:val="3"/>
        </w:numPr>
      </w:pPr>
      <w:r w:rsidRPr="005365CC">
        <w:t xml:space="preserve">If a debit limit is not indicated in an Appropriation Act for the purposes of paragraph 9(3) of the </w:t>
      </w:r>
      <w:r w:rsidRPr="005365CC">
        <w:rPr>
          <w:i/>
        </w:rPr>
        <w:t>Federal Financial Relations Act 2009</w:t>
      </w:r>
      <w:r w:rsidRPr="005365CC">
        <w:t xml:space="preserve"> for a financial year, amounts cannot be credited to the COAG Reform Fund under paragraph 9(2)(a) of the </w:t>
      </w:r>
      <w:r w:rsidRPr="005365CC">
        <w:rPr>
          <w:i/>
        </w:rPr>
        <w:t>Federal Financial Relations Act 2009</w:t>
      </w:r>
      <w:r w:rsidRPr="005365CC">
        <w:t>, and amounts must not be debited from the COAG Reform Fund for the purposes to which the limit applies.</w:t>
      </w:r>
    </w:p>
    <w:p w14:paraId="05C5D4B1" w14:textId="63D1B86F" w:rsidR="001B36EE" w:rsidRPr="005365CC" w:rsidRDefault="001B36EE" w:rsidP="007A2C1C">
      <w:pPr>
        <w:pStyle w:val="NumberList"/>
        <w:numPr>
          <w:ilvl w:val="0"/>
          <w:numId w:val="3"/>
        </w:numPr>
      </w:pPr>
      <w:r w:rsidRPr="005365CC">
        <w:t>For th</w:t>
      </w:r>
      <w:r w:rsidR="002978A7" w:rsidRPr="005365CC">
        <w:t>e purposes of paragraph </w:t>
      </w:r>
      <w:r w:rsidRPr="005365CC">
        <w:t xml:space="preserve">16(3) of the </w:t>
      </w:r>
      <w:r w:rsidRPr="005365CC">
        <w:rPr>
          <w:i/>
        </w:rPr>
        <w:t>Federal Financial Relations Act 2009</w:t>
      </w:r>
      <w:r w:rsidR="002978A7" w:rsidRPr="005365CC">
        <w:t>, subclause </w:t>
      </w:r>
      <w:r w:rsidRPr="005365CC">
        <w:t>13</w:t>
      </w:r>
      <w:r w:rsidR="000F313A" w:rsidRPr="005365CC">
        <w:t>(</w:t>
      </w:r>
      <w:r w:rsidR="003C7E76" w:rsidRPr="005365CC">
        <w:t>2</w:t>
      </w:r>
      <w:r w:rsidRPr="005365CC">
        <w:t xml:space="preserve">) provides the debit limit for national partnership payments for </w:t>
      </w:r>
      <w:r w:rsidR="00A11E40" w:rsidRPr="005365CC">
        <w:t xml:space="preserve">the </w:t>
      </w:r>
      <w:r w:rsidR="003C7E76" w:rsidRPr="005365CC">
        <w:t>2020</w:t>
      </w:r>
      <w:r w:rsidR="00F06941" w:rsidRPr="005365CC">
        <w:noBreakHyphen/>
        <w:t>21</w:t>
      </w:r>
      <w:r w:rsidR="00A11E40" w:rsidRPr="005365CC">
        <w:t xml:space="preserve"> financial year</w:t>
      </w:r>
      <w:r w:rsidRPr="005365CC">
        <w:t>.</w:t>
      </w:r>
    </w:p>
    <w:p w14:paraId="117D3C5B" w14:textId="7F9D743B" w:rsidR="001B36EE" w:rsidRPr="005365CC" w:rsidRDefault="001B36EE" w:rsidP="00664F24">
      <w:pPr>
        <w:pStyle w:val="NumberList"/>
        <w:keepLines/>
        <w:numPr>
          <w:ilvl w:val="0"/>
          <w:numId w:val="3"/>
        </w:numPr>
      </w:pPr>
      <w:r w:rsidRPr="005365CC">
        <w:t xml:space="preserve">This debit limit applies for </w:t>
      </w:r>
      <w:r w:rsidR="003C7E76" w:rsidRPr="005365CC">
        <w:t>2020</w:t>
      </w:r>
      <w:r w:rsidR="00F06941" w:rsidRPr="005365CC">
        <w:noBreakHyphen/>
        <w:t>21</w:t>
      </w:r>
      <w:r w:rsidR="00A11E40" w:rsidRPr="005365CC">
        <w:t xml:space="preserve"> </w:t>
      </w:r>
      <w:r w:rsidRPr="005365CC">
        <w:t>to the amount that the Treasurer can credit to the COAG Reform Fund and the total amount that can be debited from that Fund for the p</w:t>
      </w:r>
      <w:r w:rsidR="002978A7" w:rsidRPr="005365CC">
        <w:t>urposes contained in paragraphs </w:t>
      </w:r>
      <w:r w:rsidRPr="005365CC">
        <w:t xml:space="preserve">16(1)(a) to (c) inclusive of the </w:t>
      </w:r>
      <w:r w:rsidR="002978A7" w:rsidRPr="005365CC">
        <w:rPr>
          <w:i/>
        </w:rPr>
        <w:t>Federal Financial Relations Act </w:t>
      </w:r>
      <w:r w:rsidRPr="005365CC">
        <w:rPr>
          <w:i/>
        </w:rPr>
        <w:t>2009</w:t>
      </w:r>
      <w:r w:rsidRPr="005365CC">
        <w:t xml:space="preserve">. These purposes relate to making a grant of financial assistance to a State to support the delivery by the State of specified outputs or projects, facilitate reforms by the State, or reward the State for nationally significant reforms. </w:t>
      </w:r>
    </w:p>
    <w:p w14:paraId="0C812F6D" w14:textId="77777777" w:rsidR="001B36EE" w:rsidRPr="005365CC" w:rsidRDefault="001B36EE" w:rsidP="007A2C1C">
      <w:pPr>
        <w:pStyle w:val="NumberList"/>
        <w:numPr>
          <w:ilvl w:val="0"/>
          <w:numId w:val="3"/>
        </w:numPr>
      </w:pPr>
      <w:r w:rsidRPr="005365CC">
        <w:t>If a debit limit is not indicated in an Appropriation Act for th</w:t>
      </w:r>
      <w:r w:rsidR="002978A7" w:rsidRPr="005365CC">
        <w:t>e purposes of paragraph </w:t>
      </w:r>
      <w:r w:rsidRPr="005365CC">
        <w:t xml:space="preserve">16(3) of the </w:t>
      </w:r>
      <w:r w:rsidRPr="005365CC">
        <w:rPr>
          <w:i/>
        </w:rPr>
        <w:t>Federal Financial Relations Act 2009</w:t>
      </w:r>
      <w:r w:rsidRPr="005365CC">
        <w:t xml:space="preserve"> for a financial year, amounts cannot be credited to the COAG Reform Fund under paragraph</w:t>
      </w:r>
      <w:r w:rsidR="002978A7" w:rsidRPr="005365CC">
        <w:t> </w:t>
      </w:r>
      <w:r w:rsidRPr="005365CC">
        <w:t xml:space="preserve">16(2)(a) of the </w:t>
      </w:r>
      <w:r w:rsidR="002978A7" w:rsidRPr="005365CC">
        <w:rPr>
          <w:i/>
        </w:rPr>
        <w:t>Federal Financial Relations Act </w:t>
      </w:r>
      <w:r w:rsidRPr="005365CC">
        <w:rPr>
          <w:i/>
        </w:rPr>
        <w:t>2009</w:t>
      </w:r>
      <w:r w:rsidRPr="005365CC">
        <w:t xml:space="preserve"> and amounts must not be debited from the COAG Reform Fund for the purposes to which the limit applies.</w:t>
      </w:r>
    </w:p>
    <w:p w14:paraId="53051D32" w14:textId="5680E994" w:rsidR="001B36EE" w:rsidRPr="005365CC" w:rsidRDefault="001B36EE" w:rsidP="007A2C1C">
      <w:pPr>
        <w:pStyle w:val="NumberList"/>
        <w:numPr>
          <w:ilvl w:val="0"/>
          <w:numId w:val="3"/>
        </w:numPr>
      </w:pPr>
      <w:r w:rsidRPr="005365CC">
        <w:t>It is important to note that this Bill will not appropriate am</w:t>
      </w:r>
      <w:r w:rsidR="002978A7" w:rsidRPr="005365CC">
        <w:t>ounts to be paid under sections 9 and </w:t>
      </w:r>
      <w:r w:rsidRPr="005365CC">
        <w:t xml:space="preserve">16 of the </w:t>
      </w:r>
      <w:r w:rsidR="002978A7" w:rsidRPr="005365CC">
        <w:rPr>
          <w:i/>
        </w:rPr>
        <w:t>Federal Financial Relations Act </w:t>
      </w:r>
      <w:r w:rsidRPr="005365CC">
        <w:rPr>
          <w:i/>
        </w:rPr>
        <w:t>2009</w:t>
      </w:r>
      <w:r w:rsidR="002978A7" w:rsidRPr="005365CC">
        <w:t xml:space="preserve">. The </w:t>
      </w:r>
      <w:r w:rsidRPr="005365CC">
        <w:t>intention for specifying debit</w:t>
      </w:r>
      <w:r w:rsidR="002978A7" w:rsidRPr="005365CC">
        <w:t xml:space="preserve"> limits in subclauses </w:t>
      </w:r>
      <w:r w:rsidRPr="005365CC">
        <w:t>13</w:t>
      </w:r>
      <w:r w:rsidR="0063727E" w:rsidRPr="005365CC">
        <w:t>(</w:t>
      </w:r>
      <w:r w:rsidR="003C7E76" w:rsidRPr="005365CC">
        <w:t>1</w:t>
      </w:r>
      <w:r w:rsidR="002978A7" w:rsidRPr="005365CC">
        <w:t>) and </w:t>
      </w:r>
      <w:r w:rsidRPr="005365CC">
        <w:t>13</w:t>
      </w:r>
      <w:r w:rsidR="0063727E" w:rsidRPr="005365CC">
        <w:t>(</w:t>
      </w:r>
      <w:r w:rsidR="003C7E76" w:rsidRPr="005365CC">
        <w:t>2</w:t>
      </w:r>
      <w:r w:rsidRPr="005365CC">
        <w:t xml:space="preserve">) is to set maximum limits on the amounts that may be covered for the </w:t>
      </w:r>
      <w:r w:rsidR="003C7E76" w:rsidRPr="005365CC">
        <w:t>2020</w:t>
      </w:r>
      <w:r w:rsidR="00F06941" w:rsidRPr="005365CC">
        <w:noBreakHyphen/>
        <w:t>21</w:t>
      </w:r>
      <w:r w:rsidR="008940A6" w:rsidRPr="005365CC">
        <w:t xml:space="preserve"> financial year</w:t>
      </w:r>
      <w:r w:rsidRPr="005365CC">
        <w:t>, for the purposes to which those limits apply.</w:t>
      </w:r>
    </w:p>
    <w:p w14:paraId="063DF4A3" w14:textId="77777777" w:rsidR="001B36EE" w:rsidRPr="005365CC" w:rsidRDefault="001B36EE" w:rsidP="001B36EE">
      <w:pPr>
        <w:pStyle w:val="Heading3"/>
      </w:pPr>
      <w:r w:rsidRPr="005365CC">
        <w:t>Clause 14—Adjustments for GST</w:t>
      </w:r>
    </w:p>
    <w:p w14:paraId="11DED328" w14:textId="77777777" w:rsidR="001B36EE" w:rsidRPr="005365CC" w:rsidRDefault="001B36EE" w:rsidP="007A2C1C">
      <w:pPr>
        <w:pStyle w:val="NumberList"/>
        <w:numPr>
          <w:ilvl w:val="0"/>
          <w:numId w:val="3"/>
        </w:numPr>
      </w:pPr>
      <w:r w:rsidRPr="005365CC">
        <w:t>The effect of this clause will be to increase a debit limit by the amount of any GST qualifying amount in respect of an amount p</w:t>
      </w:r>
      <w:r w:rsidR="002C3984" w:rsidRPr="005365CC">
        <w:t>aid from a fund named in clause </w:t>
      </w:r>
      <w:r w:rsidRPr="005365CC">
        <w:t>13.</w:t>
      </w:r>
    </w:p>
    <w:p w14:paraId="2C575304" w14:textId="2A8DAD35" w:rsidR="001B36EE" w:rsidRPr="005365CC" w:rsidRDefault="001B36EE" w:rsidP="007A2C1C">
      <w:pPr>
        <w:pStyle w:val="NumberList"/>
        <w:numPr>
          <w:ilvl w:val="0"/>
          <w:numId w:val="3"/>
        </w:numPr>
        <w:tabs>
          <w:tab w:val="clear" w:pos="720"/>
        </w:tabs>
      </w:pPr>
      <w:r w:rsidRPr="005365CC">
        <w:t>Some paymen</w:t>
      </w:r>
      <w:r w:rsidR="002978A7" w:rsidRPr="005365CC">
        <w:t xml:space="preserve">ts from </w:t>
      </w:r>
      <w:r w:rsidRPr="005365CC">
        <w:t xml:space="preserve">the COAG Reform Fund may include a GST qualifying amount and the relevant debit limit is adjusted accordingly. The appropriation itself is not affected by clause 14, because it is increased by the operation of section 74A of the PGPA Act. Essentially, clause 14 clarifies that the amounts specified for the debit limits for </w:t>
      </w:r>
      <w:r w:rsidR="003C7E76" w:rsidRPr="005365CC">
        <w:t>2020</w:t>
      </w:r>
      <w:r w:rsidR="00F06941" w:rsidRPr="005365CC">
        <w:noBreakHyphen/>
        <w:t>21</w:t>
      </w:r>
      <w:r w:rsidRPr="005365CC">
        <w:t xml:space="preserve"> are exclusive of any GST qualifying amounts that may arise in respect of acquisitions made in </w:t>
      </w:r>
      <w:r w:rsidR="00F07CD8" w:rsidRPr="005365CC">
        <w:t>relation to</w:t>
      </w:r>
      <w:r w:rsidRPr="005365CC">
        <w:t xml:space="preserve"> that limit.</w:t>
      </w:r>
    </w:p>
    <w:p w14:paraId="66A5B4D0" w14:textId="17397C5A" w:rsidR="00104960" w:rsidRPr="005365CC" w:rsidRDefault="00662ED6" w:rsidP="00F1492B">
      <w:pPr>
        <w:pStyle w:val="Heading2"/>
      </w:pPr>
      <w:r w:rsidRPr="005365CC">
        <w:t xml:space="preserve">Part </w:t>
      </w:r>
      <w:r w:rsidR="001B36EE" w:rsidRPr="005365CC">
        <w:t>5</w:t>
      </w:r>
      <w:bookmarkStart w:id="16" w:name="tempbookmark"/>
      <w:bookmarkEnd w:id="16"/>
      <w:r w:rsidRPr="005365CC">
        <w:t>—Miscellaneous</w:t>
      </w:r>
    </w:p>
    <w:p w14:paraId="7E167995" w14:textId="05240FC1" w:rsidR="00104960" w:rsidRPr="005365CC" w:rsidRDefault="00662ED6">
      <w:pPr>
        <w:pStyle w:val="Heading3"/>
      </w:pPr>
      <w:r w:rsidRPr="005365CC">
        <w:t xml:space="preserve">Clause </w:t>
      </w:r>
      <w:r w:rsidR="004E6AC7" w:rsidRPr="005365CC">
        <w:t>1</w:t>
      </w:r>
      <w:r w:rsidR="00521CF5" w:rsidRPr="005365CC">
        <w:t>5</w:t>
      </w:r>
      <w:r w:rsidRPr="005365CC">
        <w:t xml:space="preserve">—Crediting amounts to </w:t>
      </w:r>
      <w:r w:rsidR="00993700" w:rsidRPr="005365CC">
        <w:t>special accounts</w:t>
      </w:r>
    </w:p>
    <w:p w14:paraId="3F434A28" w14:textId="549760E1" w:rsidR="00CD24DE" w:rsidRPr="005365CC" w:rsidRDefault="00662ED6">
      <w:pPr>
        <w:pStyle w:val="NumberList"/>
        <w:tabs>
          <w:tab w:val="clear" w:pos="720"/>
        </w:tabs>
      </w:pPr>
      <w:r w:rsidRPr="005365CC">
        <w:t>Clause </w:t>
      </w:r>
      <w:r w:rsidR="004E6AC7" w:rsidRPr="005365CC">
        <w:t>1</w:t>
      </w:r>
      <w:r w:rsidR="00521CF5" w:rsidRPr="005365CC">
        <w:t>5</w:t>
      </w:r>
      <w:r w:rsidR="004E6AC7" w:rsidRPr="005365CC">
        <w:t xml:space="preserve"> </w:t>
      </w:r>
      <w:r w:rsidRPr="005365CC">
        <w:t>provides that if the purpose of an item in Schedule</w:t>
      </w:r>
      <w:r w:rsidR="0029497E" w:rsidRPr="005365CC">
        <w:t> </w:t>
      </w:r>
      <w:r w:rsidRPr="005365CC">
        <w:t xml:space="preserve">2 is also the purpose of a </w:t>
      </w:r>
      <w:r w:rsidR="00712024" w:rsidRPr="005365CC">
        <w:t>s</w:t>
      </w:r>
      <w:r w:rsidRPr="005365CC">
        <w:t xml:space="preserve">pecial </w:t>
      </w:r>
      <w:r w:rsidR="00712024" w:rsidRPr="005365CC">
        <w:t>a</w:t>
      </w:r>
      <w:r w:rsidRPr="005365CC">
        <w:t xml:space="preserve">ccount (regardless of whether the item expressly refers to the </w:t>
      </w:r>
      <w:r w:rsidR="00712024" w:rsidRPr="005365CC">
        <w:t>s</w:t>
      </w:r>
      <w:r w:rsidRPr="005365CC">
        <w:t xml:space="preserve">pecial </w:t>
      </w:r>
      <w:r w:rsidR="00712024" w:rsidRPr="005365CC">
        <w:t>a</w:t>
      </w:r>
      <w:r w:rsidRPr="005365CC">
        <w:t xml:space="preserve">ccount), then amounts may be debited against the appropriation for that item and credited to the </w:t>
      </w:r>
      <w:r w:rsidR="00712024" w:rsidRPr="005365CC">
        <w:t>s</w:t>
      </w:r>
      <w:r w:rsidRPr="005365CC">
        <w:t xml:space="preserve">pecial </w:t>
      </w:r>
      <w:r w:rsidR="00712024" w:rsidRPr="005365CC">
        <w:t>a</w:t>
      </w:r>
      <w:r w:rsidRPr="005365CC">
        <w:t xml:space="preserve">ccount. Special </w:t>
      </w:r>
      <w:r w:rsidR="00712024" w:rsidRPr="005365CC">
        <w:t>a</w:t>
      </w:r>
      <w:r w:rsidRPr="005365CC">
        <w:t xml:space="preserve">ccounts may be established under the </w:t>
      </w:r>
      <w:r w:rsidR="00712024" w:rsidRPr="005365CC">
        <w:t>PGPA</w:t>
      </w:r>
      <w:r w:rsidR="001D4EEF" w:rsidRPr="005365CC">
        <w:t> </w:t>
      </w:r>
      <w:r w:rsidR="00712024" w:rsidRPr="005365CC">
        <w:t>Act</w:t>
      </w:r>
      <w:r w:rsidRPr="005365CC">
        <w:t xml:space="preserve"> by a determination of the Finance Minister (section </w:t>
      </w:r>
      <w:r w:rsidR="00712024" w:rsidRPr="005365CC">
        <w:t>78</w:t>
      </w:r>
      <w:r w:rsidRPr="005365CC">
        <w:t>) that is disallowable by Parlia</w:t>
      </w:r>
      <w:r w:rsidR="00712024" w:rsidRPr="005365CC">
        <w:t>m</w:t>
      </w:r>
      <w:r w:rsidR="002C3984" w:rsidRPr="005365CC">
        <w:t>ent or by another Act (sections 79 and </w:t>
      </w:r>
      <w:r w:rsidR="00712024" w:rsidRPr="005365CC">
        <w:t>80</w:t>
      </w:r>
      <w:r w:rsidRPr="005365CC">
        <w:t>). The determinati</w:t>
      </w:r>
      <w:r w:rsidR="00086645" w:rsidRPr="005365CC">
        <w:t>on or Act that establishes the s</w:t>
      </w:r>
      <w:r w:rsidRPr="005365CC">
        <w:t xml:space="preserve">pecial </w:t>
      </w:r>
      <w:r w:rsidR="00086645" w:rsidRPr="005365CC">
        <w:t>a</w:t>
      </w:r>
      <w:r w:rsidRPr="005365CC">
        <w:t xml:space="preserve">ccount will specify the purposes of the </w:t>
      </w:r>
      <w:r w:rsidR="00712024" w:rsidRPr="005365CC">
        <w:t>special a</w:t>
      </w:r>
      <w:r w:rsidRPr="005365CC">
        <w:t>ccount.</w:t>
      </w:r>
    </w:p>
    <w:p w14:paraId="4B442E26" w14:textId="3D5933CB" w:rsidR="00077210" w:rsidRPr="005365CC" w:rsidRDefault="00662ED6" w:rsidP="006266D1">
      <w:pPr>
        <w:pStyle w:val="Heading3"/>
      </w:pPr>
      <w:r w:rsidRPr="005365CC">
        <w:t xml:space="preserve">Clause </w:t>
      </w:r>
      <w:r w:rsidR="004E6AC7" w:rsidRPr="005365CC">
        <w:t>1</w:t>
      </w:r>
      <w:r w:rsidR="00521CF5" w:rsidRPr="005365CC">
        <w:t>6</w:t>
      </w:r>
      <w:r w:rsidRPr="005365CC">
        <w:t>—Conditions etc. applying to State, ACT, NT and local government items</w:t>
      </w:r>
    </w:p>
    <w:p w14:paraId="11AB5846" w14:textId="45E7D333" w:rsidR="00CD24DE" w:rsidRPr="005365CC" w:rsidRDefault="00662ED6">
      <w:pPr>
        <w:pStyle w:val="NumberList"/>
        <w:tabs>
          <w:tab w:val="clear" w:pos="720"/>
        </w:tabs>
      </w:pPr>
      <w:r w:rsidRPr="005365CC">
        <w:t>Clause </w:t>
      </w:r>
      <w:r w:rsidR="004E6AC7" w:rsidRPr="005365CC">
        <w:t>1</w:t>
      </w:r>
      <w:r w:rsidR="00F21B2E" w:rsidRPr="005365CC">
        <w:t>6</w:t>
      </w:r>
      <w:r w:rsidR="004E6AC7" w:rsidRPr="005365CC">
        <w:rPr>
          <w:color w:val="000000"/>
        </w:rPr>
        <w:t xml:space="preserve"> </w:t>
      </w:r>
      <w:r w:rsidRPr="005365CC">
        <w:t>deals with Parliament’s power under section</w:t>
      </w:r>
      <w:r w:rsidR="00F21B2E" w:rsidRPr="005365CC">
        <w:t> </w:t>
      </w:r>
      <w:r w:rsidRPr="005365CC">
        <w:t>96 of the Constitution to provide financial assistance to the States. Clause </w:t>
      </w:r>
      <w:r w:rsidR="004E6AC7" w:rsidRPr="005365CC">
        <w:t>1</w:t>
      </w:r>
      <w:r w:rsidR="00F21B2E" w:rsidRPr="005365CC">
        <w:t>6</w:t>
      </w:r>
      <w:r w:rsidR="004E6AC7" w:rsidRPr="005365CC">
        <w:t xml:space="preserve"> </w:t>
      </w:r>
      <w:r w:rsidRPr="005365CC">
        <w:t>delegates the power to the responsible Ministers listed in Schedule 1 of the Bill, by providing the Ministers named in Schedule 1 with the power to determine:</w:t>
      </w:r>
    </w:p>
    <w:p w14:paraId="7566418E" w14:textId="1BC351B0" w:rsidR="00792D0C" w:rsidRPr="005365CC" w:rsidRDefault="00662ED6" w:rsidP="009C3E8C">
      <w:pPr>
        <w:numPr>
          <w:ilvl w:val="1"/>
          <w:numId w:val="1"/>
        </w:numPr>
        <w:tabs>
          <w:tab w:val="clear" w:pos="1080"/>
        </w:tabs>
        <w:spacing w:before="120"/>
        <w:ind w:left="567" w:hanging="567"/>
      </w:pPr>
      <w:r w:rsidRPr="005365CC">
        <w:t xml:space="preserve">conditions under which payments to the States, ACT, NT and local government may be made: </w:t>
      </w:r>
      <w:r w:rsidR="0090067B" w:rsidRPr="005365CC">
        <w:t>clause</w:t>
      </w:r>
      <w:r w:rsidRPr="005365CC">
        <w:t> </w:t>
      </w:r>
      <w:r w:rsidR="004E6AC7" w:rsidRPr="005365CC">
        <w:rPr>
          <w:color w:val="000000"/>
        </w:rPr>
        <w:t>1</w:t>
      </w:r>
      <w:r w:rsidR="00F21B2E" w:rsidRPr="005365CC">
        <w:rPr>
          <w:color w:val="000000"/>
        </w:rPr>
        <w:t>6</w:t>
      </w:r>
      <w:r w:rsidRPr="005365CC">
        <w:t>(2)(a); and</w:t>
      </w:r>
    </w:p>
    <w:p w14:paraId="6EEDD367" w14:textId="353D64D3" w:rsidR="00792D0C" w:rsidRPr="005365CC" w:rsidRDefault="00662ED6" w:rsidP="009C3E8C">
      <w:pPr>
        <w:numPr>
          <w:ilvl w:val="1"/>
          <w:numId w:val="1"/>
        </w:numPr>
        <w:tabs>
          <w:tab w:val="clear" w:pos="1080"/>
        </w:tabs>
        <w:spacing w:before="120"/>
        <w:ind w:left="567" w:hanging="567"/>
      </w:pPr>
      <w:r w:rsidRPr="005365CC">
        <w:t xml:space="preserve">the amounts and timing of those payments: </w:t>
      </w:r>
      <w:r w:rsidR="0090067B" w:rsidRPr="005365CC">
        <w:t>clause</w:t>
      </w:r>
      <w:r w:rsidRPr="005365CC">
        <w:t> </w:t>
      </w:r>
      <w:r w:rsidR="004E6AC7" w:rsidRPr="005365CC">
        <w:rPr>
          <w:color w:val="000000"/>
        </w:rPr>
        <w:t>1</w:t>
      </w:r>
      <w:r w:rsidR="00F21B2E" w:rsidRPr="005365CC">
        <w:rPr>
          <w:color w:val="000000"/>
        </w:rPr>
        <w:t>6</w:t>
      </w:r>
      <w:r w:rsidRPr="005365CC">
        <w:t>(2)(b).</w:t>
      </w:r>
    </w:p>
    <w:p w14:paraId="34D40922" w14:textId="72EF3F7F" w:rsidR="008512E0" w:rsidRPr="005365CC" w:rsidRDefault="00662ED6" w:rsidP="009C3E8C">
      <w:pPr>
        <w:pStyle w:val="NumberList"/>
        <w:tabs>
          <w:tab w:val="clear" w:pos="720"/>
        </w:tabs>
      </w:pPr>
      <w:r w:rsidRPr="005365CC">
        <w:t xml:space="preserve">Subclause </w:t>
      </w:r>
      <w:r w:rsidR="004E6AC7" w:rsidRPr="005365CC">
        <w:rPr>
          <w:color w:val="000000"/>
        </w:rPr>
        <w:t>1</w:t>
      </w:r>
      <w:r w:rsidR="00F21B2E" w:rsidRPr="005365CC">
        <w:rPr>
          <w:color w:val="000000"/>
        </w:rPr>
        <w:t>6</w:t>
      </w:r>
      <w:r w:rsidRPr="005365CC">
        <w:t>(4) provides that determinations made under subclause </w:t>
      </w:r>
      <w:r w:rsidR="004E6AC7" w:rsidRPr="005365CC">
        <w:rPr>
          <w:color w:val="000000"/>
        </w:rPr>
        <w:t>1</w:t>
      </w:r>
      <w:r w:rsidR="00F21B2E" w:rsidRPr="005365CC">
        <w:rPr>
          <w:color w:val="000000"/>
        </w:rPr>
        <w:t>6</w:t>
      </w:r>
      <w:r w:rsidRPr="005365CC">
        <w:t>(2) are not legislative instruments, because these determinations are not altering the appropriations approved by Parliament. Determinations under subclause </w:t>
      </w:r>
      <w:r w:rsidR="004E6AC7" w:rsidRPr="005365CC">
        <w:rPr>
          <w:color w:val="000000"/>
        </w:rPr>
        <w:t>1</w:t>
      </w:r>
      <w:r w:rsidR="00F21B2E" w:rsidRPr="005365CC">
        <w:rPr>
          <w:color w:val="000000"/>
        </w:rPr>
        <w:t>6</w:t>
      </w:r>
      <w:r w:rsidRPr="005365CC">
        <w:t xml:space="preserve">(2) </w:t>
      </w:r>
      <w:r w:rsidR="00E4418C" w:rsidRPr="005365CC">
        <w:t xml:space="preserve">are administrative in nature </w:t>
      </w:r>
      <w:r w:rsidR="00323612" w:rsidRPr="005365CC">
        <w:t xml:space="preserve">and </w:t>
      </w:r>
      <w:r w:rsidRPr="005365CC">
        <w:t>will simply determine how appropriations for State, ACT, NT and local government items will be paid.</w:t>
      </w:r>
    </w:p>
    <w:p w14:paraId="456F3ACA" w14:textId="7CD04F22" w:rsidR="00531A02" w:rsidRPr="005365CC" w:rsidRDefault="00D83863" w:rsidP="00E4418C">
      <w:pPr>
        <w:pStyle w:val="NumberList"/>
        <w:tabs>
          <w:tab w:val="clear" w:pos="720"/>
        </w:tabs>
      </w:pPr>
      <w:r w:rsidRPr="005365CC">
        <w:t>Determinations under clause</w:t>
      </w:r>
      <w:r w:rsidR="00E72A27" w:rsidRPr="005365CC">
        <w:t> </w:t>
      </w:r>
      <w:r w:rsidRPr="005365CC">
        <w:t>1</w:t>
      </w:r>
      <w:r w:rsidR="00E72A27" w:rsidRPr="005365CC">
        <w:t>6</w:t>
      </w:r>
      <w:r w:rsidR="002B31E5" w:rsidRPr="005365CC">
        <w:t xml:space="preserve"> </w:t>
      </w:r>
      <w:r w:rsidR="00CF7D31" w:rsidRPr="005365CC">
        <w:t xml:space="preserve">or its equivalent </w:t>
      </w:r>
      <w:r w:rsidR="00E4418C" w:rsidRPr="005365CC">
        <w:t>are rare</w:t>
      </w:r>
      <w:r w:rsidR="001A45C6" w:rsidRPr="005365CC">
        <w:t xml:space="preserve">. Most payments to the States and Territories are governed by, and </w:t>
      </w:r>
      <w:r w:rsidR="00CF7D31" w:rsidRPr="005365CC">
        <w:t>appropriated</w:t>
      </w:r>
      <w:r w:rsidR="001A45C6" w:rsidRPr="005365CC">
        <w:t xml:space="preserve"> through, the </w:t>
      </w:r>
      <w:r w:rsidR="001A45C6" w:rsidRPr="005365CC">
        <w:rPr>
          <w:i/>
        </w:rPr>
        <w:t>Federal Financial Relations Act</w:t>
      </w:r>
      <w:r w:rsidR="00E72A27" w:rsidRPr="005365CC">
        <w:rPr>
          <w:i/>
        </w:rPr>
        <w:t> </w:t>
      </w:r>
      <w:r w:rsidR="001A45C6" w:rsidRPr="005365CC">
        <w:rPr>
          <w:i/>
        </w:rPr>
        <w:t>2009</w:t>
      </w:r>
      <w:r w:rsidR="00E4418C" w:rsidRPr="005365CC">
        <w:t xml:space="preserve">. </w:t>
      </w:r>
      <w:r w:rsidR="00B517C9" w:rsidRPr="005365CC">
        <w:t>F</w:t>
      </w:r>
      <w:r w:rsidR="008A01CC" w:rsidRPr="005365CC">
        <w:t xml:space="preserve">or </w:t>
      </w:r>
      <w:r w:rsidR="00B517C9" w:rsidRPr="005365CC">
        <w:t xml:space="preserve">the payments to </w:t>
      </w:r>
      <w:r w:rsidR="00107F52" w:rsidRPr="005365CC">
        <w:t xml:space="preserve">the </w:t>
      </w:r>
      <w:r w:rsidR="00B517C9" w:rsidRPr="005365CC">
        <w:t>S</w:t>
      </w:r>
      <w:r w:rsidR="00107F52" w:rsidRPr="005365CC">
        <w:t>tates, ACT, NT</w:t>
      </w:r>
      <w:r w:rsidR="00B517C9" w:rsidRPr="005365CC">
        <w:t xml:space="preserve"> and local government in an even-numbered Appropriation Act, </w:t>
      </w:r>
      <w:r w:rsidR="008A01CC" w:rsidRPr="005365CC">
        <w:t xml:space="preserve">generally other legislative or agreed frameworks determine how the payments are made and when, such as the </w:t>
      </w:r>
      <w:r w:rsidR="008A01CC" w:rsidRPr="005365CC">
        <w:rPr>
          <w:i/>
        </w:rPr>
        <w:t>Local Government (Financial Assistance) Act</w:t>
      </w:r>
      <w:r w:rsidR="00E72A27" w:rsidRPr="005365CC">
        <w:rPr>
          <w:i/>
        </w:rPr>
        <w:t> </w:t>
      </w:r>
      <w:r w:rsidR="008A01CC" w:rsidRPr="005365CC">
        <w:rPr>
          <w:i/>
        </w:rPr>
        <w:t>1995</w:t>
      </w:r>
      <w:r w:rsidR="008A01CC" w:rsidRPr="005365CC">
        <w:t xml:space="preserve"> or a National Agreement. </w:t>
      </w:r>
      <w:r w:rsidR="00921C94" w:rsidRPr="005365CC">
        <w:t xml:space="preserve">Many of these arrangements can be found on the Federal </w:t>
      </w:r>
      <w:r w:rsidR="00F1078F" w:rsidRPr="005365CC">
        <w:t>Financial Relations website (</w:t>
      </w:r>
      <w:hyperlink r:id="rId15" w:history="1">
        <w:r w:rsidR="00F1078F" w:rsidRPr="005365CC">
          <w:rPr>
            <w:rStyle w:val="Hyperlink"/>
          </w:rPr>
          <w:t>http://www.federalfinancialrelations.gov.au/</w:t>
        </w:r>
      </w:hyperlink>
      <w:r w:rsidR="00531A02" w:rsidRPr="005365CC">
        <w:t>).</w:t>
      </w:r>
    </w:p>
    <w:p w14:paraId="572F1E44" w14:textId="5E53AB0B" w:rsidR="00971973" w:rsidRPr="005365CC" w:rsidRDefault="00662ED6" w:rsidP="009C3E8C">
      <w:pPr>
        <w:pStyle w:val="NumberList"/>
        <w:tabs>
          <w:tab w:val="clear" w:pos="720"/>
        </w:tabs>
      </w:pPr>
      <w:r w:rsidRPr="005365CC">
        <w:t>Although financial assistance is provided to the ACT, NT and local governments without reference to section 96 of the Constitution, those payments are administered in the same way. Therefore</w:t>
      </w:r>
      <w:r w:rsidR="001F5224" w:rsidRPr="005365CC">
        <w:t>,</w:t>
      </w:r>
      <w:r w:rsidRPr="005365CC">
        <w:t xml:space="preserve"> the Ministers identified in Schedule 1 may set the amounts and timing and impose terms and conditions on those </w:t>
      </w:r>
      <w:r w:rsidR="00886879" w:rsidRPr="005365CC">
        <w:t>payments. Subclause </w:t>
      </w:r>
      <w:r w:rsidR="004E6AC7" w:rsidRPr="005365CC">
        <w:t>1</w:t>
      </w:r>
      <w:r w:rsidR="00E72A27" w:rsidRPr="005365CC">
        <w:t>6</w:t>
      </w:r>
      <w:r w:rsidRPr="005365CC">
        <w:t>(5) also notes that clause </w:t>
      </w:r>
      <w:r w:rsidR="004E6AC7" w:rsidRPr="005365CC">
        <w:t>1</w:t>
      </w:r>
      <w:r w:rsidR="00E72A27" w:rsidRPr="005365CC">
        <w:t>6</w:t>
      </w:r>
      <w:r w:rsidR="002B31E5" w:rsidRPr="005365CC">
        <w:t xml:space="preserve"> </w:t>
      </w:r>
      <w:r w:rsidRPr="005365CC">
        <w:t>will not limit the powers of the Commonwealth under section 96 of the Constitution to provide financial assistance to a State which is not appropriated by a State, ACT, NT and local government item.</w:t>
      </w:r>
    </w:p>
    <w:p w14:paraId="1EDBF515" w14:textId="7C575130" w:rsidR="00123CF7" w:rsidRPr="005365CC" w:rsidRDefault="00123CF7" w:rsidP="00123CF7">
      <w:pPr>
        <w:pStyle w:val="NumberList"/>
        <w:numPr>
          <w:ilvl w:val="0"/>
          <w:numId w:val="3"/>
        </w:numPr>
      </w:pPr>
      <w:r w:rsidRPr="005365CC">
        <w:t xml:space="preserve">In the Bill, appropriations to the States, ACT, NT and local government are sought for the Department of </w:t>
      </w:r>
      <w:r w:rsidR="002B31E5" w:rsidRPr="005365CC">
        <w:t>Education</w:t>
      </w:r>
      <w:r w:rsidR="00F06941" w:rsidRPr="005365CC">
        <w:t>, Skills and Employment</w:t>
      </w:r>
      <w:r w:rsidRPr="005365CC">
        <w:t xml:space="preserve"> against Outcome </w:t>
      </w:r>
      <w:r w:rsidR="00FD184D" w:rsidRPr="005365CC">
        <w:t>1</w:t>
      </w:r>
      <w:r w:rsidRPr="005365CC">
        <w:t>, the Department of Infrastructure</w:t>
      </w:r>
      <w:r w:rsidR="00A0596E" w:rsidRPr="005365CC">
        <w:t xml:space="preserve">, </w:t>
      </w:r>
      <w:r w:rsidR="00F06941" w:rsidRPr="005365CC">
        <w:t xml:space="preserve">Transport, </w:t>
      </w:r>
      <w:r w:rsidRPr="005365CC">
        <w:t xml:space="preserve">Regional Development </w:t>
      </w:r>
      <w:r w:rsidR="00A0596E" w:rsidRPr="005365CC">
        <w:t xml:space="preserve">and </w:t>
      </w:r>
      <w:r w:rsidR="00F06941" w:rsidRPr="005365CC">
        <w:t xml:space="preserve">Communications </w:t>
      </w:r>
      <w:r w:rsidRPr="005365CC">
        <w:t>against Outcome</w:t>
      </w:r>
      <w:r w:rsidR="00DE4C3E" w:rsidRPr="005365CC">
        <w:t> </w:t>
      </w:r>
      <w:r w:rsidRPr="005365CC">
        <w:t>1</w:t>
      </w:r>
      <w:r w:rsidR="00F06941" w:rsidRPr="005365CC">
        <w:t xml:space="preserve"> and Outcome 3</w:t>
      </w:r>
      <w:r w:rsidR="00E7302D" w:rsidRPr="005365CC">
        <w:t>,</w:t>
      </w:r>
      <w:r w:rsidR="00DE4C3E" w:rsidRPr="005365CC">
        <w:t xml:space="preserve"> </w:t>
      </w:r>
      <w:r w:rsidRPr="005365CC">
        <w:t xml:space="preserve">and the </w:t>
      </w:r>
      <w:r w:rsidR="00F06941" w:rsidRPr="005365CC">
        <w:t>National Indigenous Australians Agency</w:t>
      </w:r>
      <w:r w:rsidRPr="005365CC">
        <w:t xml:space="preserve"> against Outcome </w:t>
      </w:r>
      <w:r w:rsidR="00F06941" w:rsidRPr="005365CC">
        <w:t>1</w:t>
      </w:r>
      <w:r w:rsidRPr="005365CC">
        <w:t xml:space="preserve">. </w:t>
      </w:r>
    </w:p>
    <w:p w14:paraId="7C29A149" w14:textId="42643DCF" w:rsidR="00505A18" w:rsidRPr="005365CC" w:rsidRDefault="00E10894" w:rsidP="00505A18">
      <w:pPr>
        <w:pStyle w:val="NumberList"/>
      </w:pPr>
      <w:r w:rsidRPr="005365CC">
        <w:t xml:space="preserve">Further information may also be found in the portfolio statements for the respective portfolios </w:t>
      </w:r>
      <w:r w:rsidR="00AE31A1" w:rsidRPr="005365CC">
        <w:t xml:space="preserve">which </w:t>
      </w:r>
      <w:r w:rsidR="00A126C0" w:rsidRPr="005365CC">
        <w:t xml:space="preserve">are </w:t>
      </w:r>
      <w:r w:rsidR="00AE31A1" w:rsidRPr="005365CC">
        <w:t xml:space="preserve">available at </w:t>
      </w:r>
      <w:hyperlink r:id="rId16" w:history="1">
        <w:r w:rsidR="00B94221" w:rsidRPr="005365CC">
          <w:rPr>
            <w:rStyle w:val="Hyperlink"/>
          </w:rPr>
          <w:t>www.budget.gov.au</w:t>
        </w:r>
      </w:hyperlink>
      <w:r w:rsidR="00D45BD9" w:rsidRPr="005365CC">
        <w:t>.</w:t>
      </w:r>
      <w:r w:rsidR="00505A18" w:rsidRPr="005365CC">
        <w:t xml:space="preserve"> </w:t>
      </w:r>
    </w:p>
    <w:p w14:paraId="641D7669" w14:textId="10FEC345" w:rsidR="00104960" w:rsidRPr="005365CC" w:rsidRDefault="00662ED6">
      <w:pPr>
        <w:pStyle w:val="Heading3"/>
      </w:pPr>
      <w:r w:rsidRPr="005365CC">
        <w:t xml:space="preserve">Clause </w:t>
      </w:r>
      <w:r w:rsidR="004E6AC7" w:rsidRPr="005365CC">
        <w:t>1</w:t>
      </w:r>
      <w:r w:rsidR="00CE2517" w:rsidRPr="005365CC">
        <w:t>7</w:t>
      </w:r>
      <w:r w:rsidRPr="005365CC">
        <w:t>—Appropriation of the Consolidated Revenue Fund</w:t>
      </w:r>
    </w:p>
    <w:p w14:paraId="595494F3" w14:textId="7F606F01" w:rsidR="00CD24DE" w:rsidRPr="005365CC" w:rsidRDefault="00662ED6">
      <w:pPr>
        <w:pStyle w:val="NumberList"/>
        <w:tabs>
          <w:tab w:val="clear" w:pos="720"/>
        </w:tabs>
      </w:pPr>
      <w:r w:rsidRPr="005365CC">
        <w:t>Clause</w:t>
      </w:r>
      <w:r w:rsidR="00CE2517" w:rsidRPr="005365CC">
        <w:t> </w:t>
      </w:r>
      <w:r w:rsidR="004E6AC7" w:rsidRPr="005365CC">
        <w:t>1</w:t>
      </w:r>
      <w:r w:rsidR="00D45BD9" w:rsidRPr="005365CC">
        <w:t>7 provides that the CRF is appropriated as necessary for the purposes of the Bill. Significantly, this clause means that there is an appropriation in law when the Act commences. That is, the appropriations are not made or brought into existence just before they are paid, but when the Act commences. This clause indicates that the amounts appropriated may be affected by the PGPA</w:t>
      </w:r>
      <w:r w:rsidR="001D4EEF" w:rsidRPr="005365CC">
        <w:t> </w:t>
      </w:r>
      <w:r w:rsidR="00D45BD9" w:rsidRPr="005365CC">
        <w:t>Act, in particular</w:t>
      </w:r>
      <w:r w:rsidR="00D74C93" w:rsidRPr="005365CC">
        <w:t xml:space="preserve"> sections 74 to 75 (see clause </w:t>
      </w:r>
      <w:r w:rsidR="00D45BD9" w:rsidRPr="005365CC">
        <w:t>6), after the Act commences.</w:t>
      </w:r>
    </w:p>
    <w:p w14:paraId="1CE32351" w14:textId="1ED2DDCB" w:rsidR="004D109E" w:rsidRPr="005365CC" w:rsidRDefault="00662ED6" w:rsidP="004D109E">
      <w:pPr>
        <w:pStyle w:val="Heading3"/>
      </w:pPr>
      <w:r w:rsidRPr="005365CC">
        <w:t xml:space="preserve">Clause </w:t>
      </w:r>
      <w:r w:rsidR="004E6AC7" w:rsidRPr="005365CC">
        <w:t>1</w:t>
      </w:r>
      <w:r w:rsidR="00451A85" w:rsidRPr="005365CC">
        <w:t>8</w:t>
      </w:r>
      <w:r w:rsidR="004D109E" w:rsidRPr="005365CC">
        <w:t>—</w:t>
      </w:r>
      <w:r w:rsidR="004E6AC7" w:rsidRPr="005365CC">
        <w:t>Repeal of this Act</w:t>
      </w:r>
    </w:p>
    <w:p w14:paraId="50CEA9A0" w14:textId="1AA40CD6" w:rsidR="0050243D" w:rsidRPr="005365CC" w:rsidRDefault="004D109E" w:rsidP="00E60C79">
      <w:pPr>
        <w:pStyle w:val="NumberList"/>
      </w:pPr>
      <w:r w:rsidRPr="005365CC">
        <w:t xml:space="preserve">Clause </w:t>
      </w:r>
      <w:r w:rsidR="004E6AC7" w:rsidRPr="005365CC">
        <w:t>1</w:t>
      </w:r>
      <w:r w:rsidR="00451A85" w:rsidRPr="005365CC">
        <w:t>8</w:t>
      </w:r>
      <w:r w:rsidR="004E6AC7" w:rsidRPr="005365CC">
        <w:t xml:space="preserve"> </w:t>
      </w:r>
      <w:r w:rsidR="00662ED6" w:rsidRPr="005365CC">
        <w:t xml:space="preserve">specifies that the Bill, once enacted, will </w:t>
      </w:r>
      <w:r w:rsidR="004E6AC7" w:rsidRPr="005365CC">
        <w:t>repeal</w:t>
      </w:r>
      <w:r w:rsidR="00662ED6" w:rsidRPr="005365CC">
        <w:t xml:space="preserve"> at the start of 1</w:t>
      </w:r>
      <w:r w:rsidR="00993700" w:rsidRPr="005365CC">
        <w:t> </w:t>
      </w:r>
      <w:r w:rsidR="00662ED6" w:rsidRPr="005365CC">
        <w:t>July</w:t>
      </w:r>
      <w:r w:rsidR="00993700" w:rsidRPr="005365CC">
        <w:t> </w:t>
      </w:r>
      <w:r w:rsidR="007E38DD" w:rsidRPr="005365CC">
        <w:t>202</w:t>
      </w:r>
      <w:r w:rsidR="00D9510D" w:rsidRPr="005365CC">
        <w:t>3</w:t>
      </w:r>
      <w:r w:rsidR="00662ED6" w:rsidRPr="005365CC">
        <w:t>.</w:t>
      </w:r>
    </w:p>
    <w:p w14:paraId="234E38BE" w14:textId="77777777" w:rsidR="0050243D" w:rsidRPr="005365CC" w:rsidRDefault="00662ED6" w:rsidP="005A1528">
      <w:pPr>
        <w:keepNext/>
        <w:rPr>
          <w:rFonts w:ascii="Arial" w:hAnsi="Arial" w:cs="Arial"/>
          <w:b/>
          <w:color w:val="000000"/>
          <w:kern w:val="28"/>
          <w:sz w:val="28"/>
          <w:szCs w:val="24"/>
        </w:rPr>
      </w:pPr>
      <w:r w:rsidRPr="005365CC">
        <w:rPr>
          <w:rFonts w:ascii="Arial" w:hAnsi="Arial" w:cs="Arial"/>
          <w:b/>
          <w:color w:val="000000"/>
          <w:kern w:val="28"/>
          <w:sz w:val="28"/>
          <w:szCs w:val="24"/>
        </w:rPr>
        <w:t>Schedule 1—Payments to or for the States, ACT, NT and local government</w:t>
      </w:r>
    </w:p>
    <w:p w14:paraId="0AE38DCB" w14:textId="300FE7FA" w:rsidR="00CD24DE" w:rsidRPr="005365CC" w:rsidRDefault="00886879">
      <w:pPr>
        <w:pStyle w:val="NumberList"/>
        <w:tabs>
          <w:tab w:val="clear" w:pos="720"/>
        </w:tabs>
      </w:pPr>
      <w:r w:rsidRPr="005365CC">
        <w:t>In accordance with clause </w:t>
      </w:r>
      <w:r w:rsidR="004E6AC7" w:rsidRPr="005365CC">
        <w:rPr>
          <w:color w:val="000000"/>
        </w:rPr>
        <w:t>1</w:t>
      </w:r>
      <w:r w:rsidR="007550C0" w:rsidRPr="005365CC">
        <w:rPr>
          <w:color w:val="000000"/>
        </w:rPr>
        <w:t>6</w:t>
      </w:r>
      <w:r w:rsidR="00662ED6" w:rsidRPr="005365CC">
        <w:t>, Schedule</w:t>
      </w:r>
      <w:r w:rsidR="00AA7BE1" w:rsidRPr="005365CC">
        <w:t> </w:t>
      </w:r>
      <w:r w:rsidR="00662ED6" w:rsidRPr="005365CC">
        <w:t>1 lists the Ministers responsible for determinations on payments to or for the States, ACT, NT and local government.</w:t>
      </w:r>
    </w:p>
    <w:p w14:paraId="17981BA7" w14:textId="77777777" w:rsidR="00F4362C" w:rsidRPr="005365CC" w:rsidRDefault="00F4362C">
      <w:pPr>
        <w:spacing w:before="0"/>
        <w:rPr>
          <w:rFonts w:ascii="Arial" w:hAnsi="Arial" w:cs="Arial"/>
          <w:b/>
          <w:color w:val="000000"/>
          <w:kern w:val="28"/>
          <w:sz w:val="28"/>
          <w:szCs w:val="24"/>
        </w:rPr>
      </w:pPr>
      <w:r w:rsidRPr="005365CC">
        <w:rPr>
          <w:rFonts w:ascii="Arial" w:hAnsi="Arial" w:cs="Arial"/>
          <w:b/>
          <w:color w:val="000000"/>
          <w:kern w:val="28"/>
          <w:sz w:val="28"/>
          <w:szCs w:val="24"/>
        </w:rPr>
        <w:br w:type="page"/>
      </w:r>
    </w:p>
    <w:p w14:paraId="56C36422" w14:textId="4653CACE" w:rsidR="00104960" w:rsidRPr="005365CC" w:rsidRDefault="00662ED6" w:rsidP="00425C78">
      <w:pPr>
        <w:keepNext/>
        <w:rPr>
          <w:rFonts w:ascii="Arial" w:hAnsi="Arial" w:cs="Arial"/>
          <w:b/>
          <w:color w:val="000000"/>
          <w:kern w:val="28"/>
          <w:sz w:val="28"/>
          <w:szCs w:val="24"/>
        </w:rPr>
      </w:pPr>
      <w:r w:rsidRPr="005365CC">
        <w:rPr>
          <w:rFonts w:ascii="Arial" w:hAnsi="Arial" w:cs="Arial"/>
          <w:b/>
          <w:color w:val="000000"/>
          <w:kern w:val="28"/>
          <w:sz w:val="28"/>
          <w:szCs w:val="24"/>
        </w:rPr>
        <w:t>Schedule 2—Services for which money is appropriated</w:t>
      </w:r>
      <w:bookmarkEnd w:id="10"/>
    </w:p>
    <w:p w14:paraId="20E55FD1" w14:textId="57AEAE3F" w:rsidR="00104960" w:rsidRPr="005365CC" w:rsidRDefault="00662ED6" w:rsidP="00E60C79">
      <w:pPr>
        <w:pStyle w:val="NumberList"/>
      </w:pPr>
      <w:r w:rsidRPr="005365CC">
        <w:t>Schedule</w:t>
      </w:r>
      <w:r w:rsidR="001A1862" w:rsidRPr="005365CC">
        <w:t> </w:t>
      </w:r>
      <w:r w:rsidRPr="005365CC">
        <w:t xml:space="preserve">2 specifies the </w:t>
      </w:r>
      <w:r w:rsidR="00F73F33" w:rsidRPr="005365CC">
        <w:t xml:space="preserve">appropriations proposed for the </w:t>
      </w:r>
      <w:r w:rsidR="005A1528" w:rsidRPr="005365CC">
        <w:t xml:space="preserve">other than </w:t>
      </w:r>
      <w:r w:rsidR="00F73F33" w:rsidRPr="005365CC">
        <w:t>ordinary annual services of the Government.</w:t>
      </w:r>
      <w:r w:rsidRPr="005365CC">
        <w:t xml:space="preserve"> Schedule 2 contains a summary table which lists the total amounts for each portfolio. A separate summary table is included for each portfolio, with other tables detailing the appropriations for each </w:t>
      </w:r>
      <w:r w:rsidR="00240C67" w:rsidRPr="005365CC">
        <w:t>Commonwealth entity</w:t>
      </w:r>
      <w:r w:rsidRPr="005365CC">
        <w:t>.</w:t>
      </w:r>
      <w:r w:rsidR="008940A6" w:rsidRPr="005365CC">
        <w:t xml:space="preserve"> More details about the appropriations in Schedule </w:t>
      </w:r>
      <w:r w:rsidR="008940A6" w:rsidRPr="005365CC">
        <w:rPr>
          <w:color w:val="000000"/>
        </w:rPr>
        <w:t>2</w:t>
      </w:r>
      <w:r w:rsidR="008940A6" w:rsidRPr="005365CC">
        <w:t xml:space="preserve"> are contained in the </w:t>
      </w:r>
      <w:r w:rsidR="008940A6" w:rsidRPr="005365CC">
        <w:rPr>
          <w:color w:val="000000"/>
        </w:rPr>
        <w:t>portfolio statements</w:t>
      </w:r>
      <w:r w:rsidR="008940A6" w:rsidRPr="005365CC">
        <w:t xml:space="preserve"> and the second reading speech for the Bill.</w:t>
      </w:r>
    </w:p>
    <w:p w14:paraId="1A99AB3F" w14:textId="61E92342" w:rsidR="008940A6" w:rsidRPr="005365CC" w:rsidRDefault="008940A6" w:rsidP="00365812">
      <w:pPr>
        <w:pStyle w:val="NumberList"/>
      </w:pPr>
      <w:r w:rsidRPr="005365CC">
        <w:t>Schedule 2 includes, for information purposes, a figure for the previous financial year labelled “Actual Available Appropriation (italic figures) – 201</w:t>
      </w:r>
      <w:r w:rsidR="00D9510D" w:rsidRPr="005365CC">
        <w:t>9</w:t>
      </w:r>
      <w:r w:rsidRPr="005365CC">
        <w:t>20</w:t>
      </w:r>
      <w:r w:rsidR="00D9510D" w:rsidRPr="005365CC">
        <w:t>20</w:t>
      </w:r>
      <w:r w:rsidRPr="005365CC">
        <w:t>”. The Actual Available Appropriation (AAA)</w:t>
      </w:r>
      <w:r w:rsidR="00365812" w:rsidRPr="005365CC">
        <w:t xml:space="preserve"> </w:t>
      </w:r>
      <w:r w:rsidRPr="005365CC">
        <w:t>is an estimate that does not affect the amount available at law. That figure provides a comparison with the proposed appropriations</w:t>
      </w:r>
      <w:r w:rsidR="00F73F33" w:rsidRPr="005365CC">
        <w:t>.</w:t>
      </w:r>
      <w:r w:rsidRPr="005365CC">
        <w:t xml:space="preserve"> </w:t>
      </w:r>
    </w:p>
    <w:p w14:paraId="144B4CF5" w14:textId="561CE7FC" w:rsidR="008940A6" w:rsidRPr="005365CC" w:rsidRDefault="008940A6" w:rsidP="00365812">
      <w:pPr>
        <w:pStyle w:val="NumberList"/>
      </w:pPr>
      <w:r w:rsidRPr="005365CC">
        <w:t>The AAA</w:t>
      </w:r>
      <w:r w:rsidR="00365812" w:rsidRPr="005365CC">
        <w:t xml:space="preserve"> </w:t>
      </w:r>
      <w:r w:rsidRPr="005365CC">
        <w:t xml:space="preserve">is calculated for each item by adding the amounts appropriated in the previous </w:t>
      </w:r>
      <w:r w:rsidR="00E60C79" w:rsidRPr="005365CC">
        <w:t xml:space="preserve">financial </w:t>
      </w:r>
      <w:r w:rsidRPr="005365CC">
        <w:t>year’s annual Appropriation Acts,</w:t>
      </w:r>
      <w:r w:rsidRPr="005365CC">
        <w:rPr>
          <w:i/>
        </w:rPr>
        <w:t xml:space="preserve"> </w:t>
      </w:r>
      <w:r w:rsidRPr="005365CC">
        <w:t>plus any AFMs, and any adjustments under sections 51 and 75 of the PGPA Act. In some instances</w:t>
      </w:r>
      <w:r w:rsidR="00F73F33" w:rsidRPr="005365CC">
        <w:t>,</w:t>
      </w:r>
      <w:r w:rsidRPr="005365CC">
        <w:t xml:space="preserve"> the figure may also be affected by limits applied administratively by the Department of Finance. In addition, where an entity’s outcome structure has changed since the last Appropriation Act, only ongoing outcomes may be shown in the Bill.</w:t>
      </w:r>
    </w:p>
    <w:p w14:paraId="1159DE9A" w14:textId="2B04861B" w:rsidR="00866A30" w:rsidRPr="005365CC" w:rsidRDefault="00866A30" w:rsidP="00866A30">
      <w:pPr>
        <w:pStyle w:val="NumberList"/>
      </w:pPr>
      <w:r w:rsidRPr="005365CC">
        <w:t xml:space="preserve">The Bill proposes 7/12ths of the 2020-21 appropriation estimates, which are broadly equivalent to those </w:t>
      </w:r>
      <w:r w:rsidR="00E57C38">
        <w:t xml:space="preserve">presented </w:t>
      </w:r>
      <w:r w:rsidRPr="005365CC">
        <w:t>at the 2019-20 Budget</w:t>
      </w:r>
      <w:r w:rsidRPr="005365CC">
        <w:rPr>
          <w:color w:val="000000" w:themeColor="text1"/>
        </w:rPr>
        <w:t>, indexed for economic and program specific parameters, the effect of decisions announced as part of the 2019</w:t>
      </w:r>
      <w:r w:rsidRPr="005365CC">
        <w:rPr>
          <w:color w:val="000000" w:themeColor="text1"/>
        </w:rPr>
        <w:noBreakHyphen/>
        <w:t>20 Mid</w:t>
      </w:r>
      <w:r w:rsidRPr="005365CC">
        <w:rPr>
          <w:color w:val="000000" w:themeColor="text1"/>
        </w:rPr>
        <w:noBreakHyphen/>
        <w:t xml:space="preserve">Year Economic and Fiscal Outlook </w:t>
      </w:r>
      <w:r w:rsidR="00E57C38">
        <w:rPr>
          <w:color w:val="000000" w:themeColor="text1"/>
        </w:rPr>
        <w:t xml:space="preserve">or </w:t>
      </w:r>
      <w:r w:rsidRPr="005365CC">
        <w:rPr>
          <w:color w:val="000000" w:themeColor="text1"/>
        </w:rPr>
        <w:t xml:space="preserve">included in the 2019-20 Additional Estimates Appropriation Bills, and the amendments to the Administrative Arrangements Order which took effect from 1 February 2020.  </w:t>
      </w:r>
    </w:p>
    <w:p w14:paraId="4613697F" w14:textId="77777777" w:rsidR="000E2EDB" w:rsidRPr="00932745" w:rsidRDefault="000E2EDB" w:rsidP="000E2EDB">
      <w:pPr>
        <w:pStyle w:val="NumberList"/>
      </w:pPr>
      <w:r>
        <w:t>To support the Government’s economic response to the COVID-19 pandemic, the Supply Bills propose appropriations greater than 7/12ths</w:t>
      </w:r>
      <w:r w:rsidRPr="00E97401">
        <w:t xml:space="preserve"> </w:t>
      </w:r>
      <w:r>
        <w:t>of the 2020-21 estimates</w:t>
      </w:r>
      <w:r w:rsidDel="00E97401">
        <w:t xml:space="preserve"> </w:t>
      </w:r>
      <w:r>
        <w:t>for the following activities</w:t>
      </w:r>
      <w:r>
        <w:rPr>
          <w:color w:val="000000" w:themeColor="text1"/>
        </w:rPr>
        <w:t>:</w:t>
      </w:r>
    </w:p>
    <w:p w14:paraId="608DE666" w14:textId="20256156" w:rsidR="000E2EDB" w:rsidRDefault="000E2EDB" w:rsidP="00DF0D0A">
      <w:pPr>
        <w:pStyle w:val="NumberList"/>
        <w:numPr>
          <w:ilvl w:val="1"/>
          <w:numId w:val="5"/>
        </w:numPr>
        <w:tabs>
          <w:tab w:val="clear" w:pos="567"/>
          <w:tab w:val="clear" w:pos="720"/>
          <w:tab w:val="left" w:pos="709"/>
        </w:tabs>
      </w:pPr>
      <w:r>
        <w:t>F</w:t>
      </w:r>
      <w:r w:rsidRPr="00F237DE">
        <w:t xml:space="preserve">ull </w:t>
      </w:r>
      <w:r w:rsidR="00AE3479">
        <w:t>2020-21</w:t>
      </w:r>
      <w:r w:rsidR="00AE3479" w:rsidRPr="00F237DE">
        <w:t xml:space="preserve"> </w:t>
      </w:r>
      <w:r w:rsidRPr="00F237DE">
        <w:t>appropriation</w:t>
      </w:r>
      <w:r>
        <w:t>s</w:t>
      </w:r>
      <w:r w:rsidRPr="00F237DE">
        <w:t xml:space="preserve"> for</w:t>
      </w:r>
      <w:r>
        <w:t xml:space="preserve"> Services Australia, the Australian Taxation Office and the Department of Health, to provide flexibility to respond to service delivery requirements. </w:t>
      </w:r>
    </w:p>
    <w:p w14:paraId="3ECCB8B0" w14:textId="562EE10D" w:rsidR="000E2EDB" w:rsidRPr="00F237DE" w:rsidRDefault="000E2EDB" w:rsidP="00DF0D0A">
      <w:pPr>
        <w:pStyle w:val="NumberList"/>
        <w:numPr>
          <w:ilvl w:val="1"/>
          <w:numId w:val="5"/>
        </w:numPr>
        <w:tabs>
          <w:tab w:val="clear" w:pos="567"/>
          <w:tab w:val="clear" w:pos="720"/>
          <w:tab w:val="left" w:pos="709"/>
        </w:tabs>
      </w:pPr>
      <w:r>
        <w:t>F</w:t>
      </w:r>
      <w:r w:rsidRPr="00F237DE">
        <w:t xml:space="preserve">ull </w:t>
      </w:r>
      <w:r w:rsidR="00AE3479">
        <w:t>2020-21</w:t>
      </w:r>
      <w:r w:rsidRPr="00F237DE">
        <w:t xml:space="preserve"> appropriation</w:t>
      </w:r>
      <w:r>
        <w:t>s</w:t>
      </w:r>
      <w:r w:rsidRPr="00F237DE">
        <w:t xml:space="preserve"> for programs that act like demand driven programs however are funded through annual appropriations including</w:t>
      </w:r>
      <w:r>
        <w:t xml:space="preserve"> the</w:t>
      </w:r>
      <w:r w:rsidRPr="00F237DE">
        <w:t xml:space="preserve"> National Disability Insurance </w:t>
      </w:r>
      <w:r>
        <w:t>Agency</w:t>
      </w:r>
      <w:r w:rsidRPr="00F237DE">
        <w:t xml:space="preserve">, Operation Sovereign Borders, Disability Employment Services, Employment Services </w:t>
      </w:r>
      <w:r>
        <w:t>(</w:t>
      </w:r>
      <w:r w:rsidRPr="00F237DE">
        <w:t xml:space="preserve">including </w:t>
      </w:r>
      <w:proofErr w:type="spellStart"/>
      <w:r w:rsidRPr="00F237DE">
        <w:t>Jobactive</w:t>
      </w:r>
      <w:proofErr w:type="spellEnd"/>
      <w:r>
        <w:t>),</w:t>
      </w:r>
      <w:r w:rsidRPr="00F237DE">
        <w:t xml:space="preserve"> and Support for the Child Care System</w:t>
      </w:r>
      <w:r>
        <w:t>.</w:t>
      </w:r>
    </w:p>
    <w:p w14:paraId="4ED6056A" w14:textId="3292D3B4" w:rsidR="000E2EDB" w:rsidRDefault="000E2EDB" w:rsidP="00DF0D0A">
      <w:pPr>
        <w:pStyle w:val="NumberList"/>
        <w:numPr>
          <w:ilvl w:val="1"/>
          <w:numId w:val="5"/>
        </w:numPr>
        <w:tabs>
          <w:tab w:val="clear" w:pos="567"/>
          <w:tab w:val="clear" w:pos="720"/>
          <w:tab w:val="left" w:pos="709"/>
        </w:tabs>
      </w:pPr>
      <w:r>
        <w:t>F</w:t>
      </w:r>
      <w:r w:rsidRPr="00F237DE">
        <w:t xml:space="preserve">ull </w:t>
      </w:r>
      <w:r w:rsidR="00AE3479">
        <w:t>2020-21</w:t>
      </w:r>
      <w:r w:rsidRPr="00F237DE">
        <w:t xml:space="preserve"> appropriation</w:t>
      </w:r>
      <w:r>
        <w:t>s</w:t>
      </w:r>
      <w:r w:rsidRPr="00F237DE">
        <w:t xml:space="preserve"> for the Regional Investment Corporation to ensure capacity to meet the current high level of demand by farmers and primary production dependent small businesses for drought loans a</w:t>
      </w:r>
      <w:r>
        <w:t>t two</w:t>
      </w:r>
      <w:r w:rsidR="00AE3479">
        <w:noBreakHyphen/>
      </w:r>
      <w:r>
        <w:t xml:space="preserve">years interest free terms. </w:t>
      </w:r>
    </w:p>
    <w:p w14:paraId="039A864F" w14:textId="77777777" w:rsidR="000E2EDB" w:rsidRDefault="000E2EDB" w:rsidP="00DF0D0A">
      <w:pPr>
        <w:pStyle w:val="NumberList"/>
        <w:numPr>
          <w:ilvl w:val="1"/>
          <w:numId w:val="5"/>
        </w:numPr>
        <w:tabs>
          <w:tab w:val="clear" w:pos="567"/>
          <w:tab w:val="clear" w:pos="720"/>
          <w:tab w:val="left" w:pos="709"/>
        </w:tabs>
      </w:pPr>
      <w:r>
        <w:t>1</w:t>
      </w:r>
      <w:r w:rsidRPr="003E54D2">
        <w:t xml:space="preserve">0/12ths of </w:t>
      </w:r>
      <w:r>
        <w:t xml:space="preserve">the 2020-21 appropriations for the </w:t>
      </w:r>
      <w:r w:rsidRPr="003E54D2">
        <w:t>Attorney</w:t>
      </w:r>
      <w:r>
        <w:noBreakHyphen/>
      </w:r>
      <w:r w:rsidRPr="003E54D2">
        <w:t xml:space="preserve">General’s </w:t>
      </w:r>
      <w:r>
        <w:t>Department’s Program 1.7</w:t>
      </w:r>
      <w:r w:rsidRPr="000C6667">
        <w:t>: Royal Commissions</w:t>
      </w:r>
      <w:r>
        <w:t>,</w:t>
      </w:r>
      <w:r w:rsidRPr="003E54D2">
        <w:t xml:space="preserve"> to enable the Bushfire Royal Commission to proceed</w:t>
      </w:r>
      <w:r>
        <w:t>.</w:t>
      </w:r>
    </w:p>
    <w:p w14:paraId="5A1F2D29" w14:textId="2C1D8A05" w:rsidR="000E2EDB" w:rsidRDefault="000E2EDB" w:rsidP="00DF0D0A">
      <w:pPr>
        <w:pStyle w:val="NumberList"/>
        <w:numPr>
          <w:ilvl w:val="1"/>
          <w:numId w:val="5"/>
        </w:numPr>
        <w:tabs>
          <w:tab w:val="clear" w:pos="567"/>
          <w:tab w:val="clear" w:pos="720"/>
          <w:tab w:val="left" w:pos="709"/>
        </w:tabs>
      </w:pPr>
      <w:r w:rsidRPr="00F237DE">
        <w:t xml:space="preserve">9/12ths of </w:t>
      </w:r>
      <w:r>
        <w:t xml:space="preserve">the 2020-21 appropriations for the </w:t>
      </w:r>
      <w:r w:rsidRPr="00F237DE">
        <w:t>Department of Agriculture, Water and Environment</w:t>
      </w:r>
      <w:r>
        <w:t xml:space="preserve">’s </w:t>
      </w:r>
      <w:r w:rsidRPr="00F237DE">
        <w:t>Program 4.1</w:t>
      </w:r>
      <w:r>
        <w:t xml:space="preserve">: </w:t>
      </w:r>
      <w:r w:rsidRPr="00F237DE">
        <w:t>Biosecurity and Export Services and Program 4.2</w:t>
      </w:r>
      <w:r>
        <w:t xml:space="preserve">: </w:t>
      </w:r>
      <w:r w:rsidRPr="00F237DE">
        <w:t>Plant and Animal Health</w:t>
      </w:r>
      <w:r>
        <w:t>,</w:t>
      </w:r>
      <w:r w:rsidRPr="00F237DE">
        <w:t xml:space="preserve"> to ensure services can be maintained </w:t>
      </w:r>
      <w:r>
        <w:t>in the event revenue is impacted.</w:t>
      </w:r>
    </w:p>
    <w:p w14:paraId="1CD9693D" w14:textId="6AC2B1ED" w:rsidR="00AE3479" w:rsidRPr="00F237DE" w:rsidRDefault="00AE3479" w:rsidP="00AE3479">
      <w:pPr>
        <w:pStyle w:val="NumberList"/>
        <w:numPr>
          <w:ilvl w:val="1"/>
          <w:numId w:val="5"/>
        </w:numPr>
        <w:tabs>
          <w:tab w:val="clear" w:pos="567"/>
          <w:tab w:val="clear" w:pos="720"/>
          <w:tab w:val="left" w:pos="709"/>
        </w:tabs>
      </w:pPr>
      <w:r>
        <w:t xml:space="preserve">7/12ths of the 2019-20 appropriations for the </w:t>
      </w:r>
      <w:r w:rsidRPr="00AE3479">
        <w:t xml:space="preserve">Australian Digital Health Agency (ADHA), </w:t>
      </w:r>
      <w:r w:rsidRPr="00F237DE">
        <w:t>to ensure continued operation of the ADHA</w:t>
      </w:r>
      <w:r>
        <w:t xml:space="preserve">, which is currently funded by </w:t>
      </w:r>
      <w:r w:rsidR="0061363E">
        <w:t xml:space="preserve">a </w:t>
      </w:r>
      <w:r>
        <w:t>program which terminates on 30 June 2020.</w:t>
      </w:r>
    </w:p>
    <w:p w14:paraId="2377D62E" w14:textId="7ACA3E81" w:rsidR="00A4099F" w:rsidRPr="005365CC" w:rsidRDefault="00884421" w:rsidP="005365CC">
      <w:pPr>
        <w:pStyle w:val="NumberList"/>
      </w:pPr>
      <w:r w:rsidRPr="005365CC">
        <w:t xml:space="preserve">The </w:t>
      </w:r>
      <w:r w:rsidR="008731DA" w:rsidRPr="005365CC">
        <w:t xml:space="preserve">Supply </w:t>
      </w:r>
      <w:r w:rsidRPr="005365CC">
        <w:t xml:space="preserve">Bills also propose appropriations to provide for expenditure in </w:t>
      </w:r>
      <w:r w:rsidRPr="005365CC">
        <w:br/>
        <w:t>2020-</w:t>
      </w:r>
      <w:r w:rsidR="008731DA" w:rsidRPr="005365CC">
        <w:t xml:space="preserve">21 </w:t>
      </w:r>
      <w:r w:rsidRPr="005365CC">
        <w:t xml:space="preserve">for measures included in the </w:t>
      </w:r>
      <w:r w:rsidRPr="005365CC">
        <w:rPr>
          <w:i/>
          <w:color w:val="000000" w:themeColor="text1"/>
        </w:rPr>
        <w:t>Appropriation (Coronavirus Economic Response Package) Bill (No. </w:t>
      </w:r>
      <w:r w:rsidR="008731DA" w:rsidRPr="005365CC">
        <w:rPr>
          <w:i/>
          <w:color w:val="000000" w:themeColor="text1"/>
        </w:rPr>
        <w:t>2</w:t>
      </w:r>
      <w:r w:rsidRPr="005365CC">
        <w:rPr>
          <w:i/>
          <w:color w:val="000000" w:themeColor="text1"/>
        </w:rPr>
        <w:t>) 2019-</w:t>
      </w:r>
      <w:r w:rsidR="008731DA" w:rsidRPr="005365CC">
        <w:rPr>
          <w:i/>
          <w:color w:val="000000" w:themeColor="text1"/>
        </w:rPr>
        <w:t>20</w:t>
      </w:r>
      <w:r w:rsidRPr="005365CC">
        <w:rPr>
          <w:i/>
          <w:color w:val="000000" w:themeColor="text1"/>
        </w:rPr>
        <w:t>20</w:t>
      </w:r>
      <w:r w:rsidR="008731DA" w:rsidRPr="005365CC">
        <w:rPr>
          <w:color w:val="000000" w:themeColor="text1"/>
        </w:rPr>
        <w:t>,</w:t>
      </w:r>
      <w:r w:rsidRPr="005365CC">
        <w:rPr>
          <w:color w:val="000000" w:themeColor="text1"/>
        </w:rPr>
        <w:t xml:space="preserve"> where these items continue in </w:t>
      </w:r>
      <w:r w:rsidRPr="005365CC">
        <w:rPr>
          <w:color w:val="000000" w:themeColor="text1"/>
        </w:rPr>
        <w:br/>
        <w:t xml:space="preserve">2020-21. </w:t>
      </w:r>
    </w:p>
    <w:sectPr w:rsidR="00A4099F" w:rsidRPr="005365CC" w:rsidSect="00A35C0E">
      <w:headerReference w:type="default" r:id="rId17"/>
      <w:type w:val="continuous"/>
      <w:pgSz w:w="11907" w:h="16840" w:code="9"/>
      <w:pgMar w:top="1701" w:right="1985" w:bottom="1701"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833FF" w14:textId="77777777" w:rsidR="00B76A9F" w:rsidRDefault="00B76A9F">
      <w:r>
        <w:separator/>
      </w:r>
    </w:p>
  </w:endnote>
  <w:endnote w:type="continuationSeparator" w:id="0">
    <w:p w14:paraId="3E467881" w14:textId="77777777" w:rsidR="00B76A9F" w:rsidRDefault="00B76A9F">
      <w:r>
        <w:continuationSeparator/>
      </w:r>
    </w:p>
  </w:endnote>
  <w:endnote w:type="continuationNotice" w:id="1">
    <w:p w14:paraId="2EA76F70" w14:textId="77777777" w:rsidR="00B76A9F" w:rsidRDefault="00B76A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94018" w14:textId="334733D5" w:rsidR="00B42651" w:rsidRDefault="00B42651" w:rsidP="00425C78">
    <w:pPr>
      <w:pStyle w:val="Footer"/>
      <w:pBdr>
        <w:top w:val="single" w:sz="4" w:space="1" w:color="auto"/>
      </w:pBdr>
    </w:pPr>
    <w:r>
      <w:t xml:space="preserve">Explanatory Memorandum to </w:t>
    </w:r>
    <w:r w:rsidR="003C7E76">
      <w:t xml:space="preserve">Supply </w:t>
    </w:r>
    <w:r w:rsidRPr="00425C78">
      <w:t>Bill (</w:t>
    </w:r>
    <w:r>
      <w:t>No.</w:t>
    </w:r>
    <w:r w:rsidR="00C771EE">
      <w:t> 2</w:t>
    </w:r>
    <w:r w:rsidR="00C771EE" w:rsidRPr="00425C78">
      <w:t xml:space="preserve">) </w:t>
    </w:r>
    <w:r w:rsidR="003C7E76">
      <w:t>2020</w:t>
    </w:r>
    <w:r w:rsidR="0070279D">
      <w:noBreakHyphen/>
      <w:t>2021</w:t>
    </w:r>
  </w:p>
  <w:p w14:paraId="593CDD31" w14:textId="42727520" w:rsidR="00B42651" w:rsidRDefault="00B42651" w:rsidP="00E60C79">
    <w:pPr>
      <w:pStyle w:val="Footer"/>
    </w:pPr>
    <w:r>
      <w:t>House of Representatives</w:t>
    </w:r>
    <w:r>
      <w:tab/>
    </w:r>
    <w:r>
      <w:tab/>
    </w:r>
    <w:r>
      <w:fldChar w:fldCharType="begin"/>
    </w:r>
    <w:r>
      <w:instrText xml:space="preserve"> PAGE  \* Arabic  \* MERGEFORMAT </w:instrText>
    </w:r>
    <w:r>
      <w:fldChar w:fldCharType="separate"/>
    </w:r>
    <w:r w:rsidR="00A35C0E">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9F04A" w14:textId="77777777" w:rsidR="00B76A9F" w:rsidRDefault="00B76A9F">
      <w:r>
        <w:separator/>
      </w:r>
    </w:p>
  </w:footnote>
  <w:footnote w:type="continuationSeparator" w:id="0">
    <w:p w14:paraId="45B5409B" w14:textId="77777777" w:rsidR="00B76A9F" w:rsidRDefault="00B76A9F">
      <w:r>
        <w:continuationSeparator/>
      </w:r>
    </w:p>
  </w:footnote>
  <w:footnote w:type="continuationNotice" w:id="1">
    <w:p w14:paraId="1DE8C527" w14:textId="77777777" w:rsidR="00B76A9F" w:rsidRDefault="00B76A9F">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F8D6" w14:textId="77777777" w:rsidR="00B42651" w:rsidRDefault="00B42651" w:rsidP="00C97B41">
    <w:pPr>
      <w:pStyle w:val="Header"/>
    </w:pPr>
    <w:r>
      <w:t>Outline</w:t>
    </w:r>
  </w:p>
  <w:p w14:paraId="0C400BE7" w14:textId="77777777" w:rsidR="00B42651" w:rsidRPr="00425C78" w:rsidRDefault="00B42651" w:rsidP="00425C7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C67DC" w14:textId="77777777" w:rsidR="00B42651" w:rsidRDefault="00B42651" w:rsidP="00365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2ADF0" w14:textId="77777777" w:rsidR="00B42651" w:rsidRDefault="00B42651">
    <w:pPr>
      <w:pStyle w:val="Header"/>
    </w:pPr>
    <w:r>
      <w:t>Outline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4F68" w14:textId="77777777" w:rsidR="00B42651" w:rsidRDefault="00B42651">
    <w:pPr>
      <w:pStyle w:val="Header"/>
    </w:pPr>
    <w:r>
      <w:t>Statement of compatibility with human rights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EC018" w14:textId="77777777" w:rsidR="00B42651" w:rsidRDefault="00B42651">
    <w:pPr>
      <w:pStyle w:val="Header"/>
    </w:pPr>
    <w:r>
      <w:t>Notes on clauses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CEAAD4"/>
    <w:lvl w:ilvl="0">
      <w:start w:val="1"/>
      <w:numFmt w:val="decimal"/>
      <w:lvlText w:val="%1."/>
      <w:lvlJc w:val="left"/>
      <w:pPr>
        <w:tabs>
          <w:tab w:val="num" w:pos="1492"/>
        </w:tabs>
        <w:ind w:left="1492" w:hanging="360"/>
      </w:pPr>
    </w:lvl>
  </w:abstractNum>
  <w:abstractNum w:abstractNumId="1">
    <w:nsid w:val="FFFFFF7D"/>
    <w:multiLevelType w:val="singleLevel"/>
    <w:tmpl w:val="A4F49882"/>
    <w:lvl w:ilvl="0">
      <w:start w:val="1"/>
      <w:numFmt w:val="decimal"/>
      <w:lvlText w:val="%1."/>
      <w:lvlJc w:val="left"/>
      <w:pPr>
        <w:tabs>
          <w:tab w:val="num" w:pos="1209"/>
        </w:tabs>
        <w:ind w:left="1209" w:hanging="360"/>
      </w:pPr>
    </w:lvl>
  </w:abstractNum>
  <w:abstractNum w:abstractNumId="2">
    <w:nsid w:val="FFFFFF7E"/>
    <w:multiLevelType w:val="singleLevel"/>
    <w:tmpl w:val="83AE0DD2"/>
    <w:lvl w:ilvl="0">
      <w:start w:val="1"/>
      <w:numFmt w:val="decimal"/>
      <w:lvlText w:val="%1."/>
      <w:lvlJc w:val="left"/>
      <w:pPr>
        <w:tabs>
          <w:tab w:val="num" w:pos="926"/>
        </w:tabs>
        <w:ind w:left="926" w:hanging="360"/>
      </w:pPr>
    </w:lvl>
  </w:abstractNum>
  <w:abstractNum w:abstractNumId="3">
    <w:nsid w:val="FFFFFF7F"/>
    <w:multiLevelType w:val="singleLevel"/>
    <w:tmpl w:val="55F64780"/>
    <w:lvl w:ilvl="0">
      <w:start w:val="1"/>
      <w:numFmt w:val="decimal"/>
      <w:lvlText w:val="%1."/>
      <w:lvlJc w:val="left"/>
      <w:pPr>
        <w:tabs>
          <w:tab w:val="num" w:pos="643"/>
        </w:tabs>
        <w:ind w:left="643" w:hanging="360"/>
      </w:pPr>
    </w:lvl>
  </w:abstractNum>
  <w:abstractNum w:abstractNumId="4">
    <w:nsid w:val="FFFFFF80"/>
    <w:multiLevelType w:val="singleLevel"/>
    <w:tmpl w:val="7804B3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E803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BE81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DCB3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F87E80"/>
    <w:lvl w:ilvl="0">
      <w:start w:val="1"/>
      <w:numFmt w:val="decimal"/>
      <w:lvlText w:val="%1."/>
      <w:lvlJc w:val="left"/>
      <w:pPr>
        <w:tabs>
          <w:tab w:val="num" w:pos="360"/>
        </w:tabs>
        <w:ind w:left="360" w:hanging="360"/>
      </w:pPr>
    </w:lvl>
  </w:abstractNum>
  <w:abstractNum w:abstractNumId="9">
    <w:nsid w:val="FFFFFF89"/>
    <w:multiLevelType w:val="singleLevel"/>
    <w:tmpl w:val="86B2D7E2"/>
    <w:lvl w:ilvl="0">
      <w:start w:val="1"/>
      <w:numFmt w:val="bullet"/>
      <w:lvlText w:val=""/>
      <w:lvlJc w:val="left"/>
      <w:pPr>
        <w:tabs>
          <w:tab w:val="num" w:pos="360"/>
        </w:tabs>
        <w:ind w:left="360" w:hanging="360"/>
      </w:pPr>
      <w:rPr>
        <w:rFonts w:ascii="Symbol" w:hAnsi="Symbol" w:hint="default"/>
      </w:rPr>
    </w:lvl>
  </w:abstractNum>
  <w:abstractNum w:abstractNumId="10">
    <w:nsid w:val="117D11F2"/>
    <w:multiLevelType w:val="multilevel"/>
    <w:tmpl w:val="2B4C5A32"/>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40249D7"/>
    <w:multiLevelType w:val="multilevel"/>
    <w:tmpl w:val="02B656BA"/>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12">
    <w:nsid w:val="1ACB1AC3"/>
    <w:multiLevelType w:val="multilevel"/>
    <w:tmpl w:val="E11A2846"/>
    <w:lvl w:ilvl="0">
      <w:start w:val="1"/>
      <w:numFmt w:val="decimal"/>
      <w:lvlText w:val="%1"/>
      <w:lvlJc w:val="left"/>
      <w:pPr>
        <w:tabs>
          <w:tab w:val="num" w:pos="720"/>
        </w:tabs>
        <w:ind w:left="0" w:firstLine="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56424C9"/>
    <w:multiLevelType w:val="multilevel"/>
    <w:tmpl w:val="7E6EC124"/>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2D1F333F"/>
    <w:multiLevelType w:val="multilevel"/>
    <w:tmpl w:val="666255CE"/>
    <w:lvl w:ilvl="0">
      <w:start w:val="1"/>
      <w:numFmt w:val="decimal"/>
      <w:lvlText w:val="%1"/>
      <w:lvlJc w:val="left"/>
      <w:pPr>
        <w:tabs>
          <w:tab w:val="num" w:pos="720"/>
        </w:tabs>
        <w:ind w:left="0" w:firstLine="0"/>
      </w:pPr>
      <w:rPr>
        <w:rFonts w:hint="default"/>
        <w:i w:val="0"/>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5DC01C1"/>
    <w:multiLevelType w:val="hybridMultilevel"/>
    <w:tmpl w:val="D8E2E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2608A4"/>
    <w:multiLevelType w:val="hybridMultilevel"/>
    <w:tmpl w:val="69600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6B6AE6"/>
    <w:multiLevelType w:val="hybridMultilevel"/>
    <w:tmpl w:val="9D065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1B3EBF"/>
    <w:multiLevelType w:val="hybridMultilevel"/>
    <w:tmpl w:val="BD88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436F6E"/>
    <w:multiLevelType w:val="multilevel"/>
    <w:tmpl w:val="7E6EC124"/>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52DE61B5"/>
    <w:multiLevelType w:val="multilevel"/>
    <w:tmpl w:val="AD4249DC"/>
    <w:lvl w:ilvl="0">
      <w:start w:val="1"/>
      <w:numFmt w:val="decimal"/>
      <w:pStyle w:val="NumberList"/>
      <w:lvlText w:val="%1"/>
      <w:lvlJc w:val="left"/>
      <w:pPr>
        <w:tabs>
          <w:tab w:val="num" w:pos="720"/>
        </w:tabs>
        <w:ind w:left="0" w:firstLine="0"/>
      </w:pPr>
      <w:rPr>
        <w:rFonts w:hint="default"/>
        <w:i w:val="0"/>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3B45C8D"/>
    <w:multiLevelType w:val="hybridMultilevel"/>
    <w:tmpl w:val="AB102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C67A81"/>
    <w:multiLevelType w:val="multilevel"/>
    <w:tmpl w:val="DFA8D5C8"/>
    <w:lvl w:ilvl="0">
      <w:start w:val="1"/>
      <w:numFmt w:val="bullet"/>
      <w:lvlText w:val=""/>
      <w:lvlJc w:val="left"/>
      <w:pPr>
        <w:tabs>
          <w:tab w:val="num" w:pos="720"/>
        </w:tabs>
        <w:ind w:left="720" w:hanging="360"/>
      </w:pPr>
      <w:rPr>
        <w:rFonts w:ascii="Symbol" w:hAnsi="Symbol" w:cs="Symbol" w:hint="default"/>
        <w:i w:val="0"/>
        <w:iCs w:val="0"/>
      </w:rPr>
    </w:lvl>
    <w:lvl w:ilvl="1">
      <w:start w:val="1"/>
      <w:numFmt w:val="lowerLetter"/>
      <w:lvlText w:val="(%2)"/>
      <w:lvlJc w:val="left"/>
      <w:pPr>
        <w:tabs>
          <w:tab w:val="num" w:pos="1800"/>
        </w:tabs>
        <w:ind w:left="1800" w:hanging="720"/>
      </w:pPr>
      <w:rPr>
        <w:rFonts w:hint="default"/>
      </w:rPr>
    </w:lvl>
    <w:lvl w:ilvl="2">
      <w:start w:val="1"/>
      <w:numFmt w:val="bullet"/>
      <w:lvlText w:val=""/>
      <w:lvlJc w:val="left"/>
      <w:pPr>
        <w:tabs>
          <w:tab w:val="num" w:pos="1800"/>
        </w:tabs>
        <w:ind w:left="1800" w:hanging="720"/>
      </w:pPr>
      <w:rPr>
        <w:rFonts w:ascii="Symbol" w:hAnsi="Symbol" w:cs="Symbol" w:hint="default"/>
      </w:rPr>
    </w:lvl>
    <w:lvl w:ilvl="3">
      <w:start w:val="1"/>
      <w:numFmt w:val="lowerRoman"/>
      <w:lvlText w:val="(%4)"/>
      <w:lvlJc w:val="left"/>
      <w:pPr>
        <w:tabs>
          <w:tab w:val="num" w:pos="2520"/>
        </w:tabs>
        <w:ind w:left="252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5A56592E"/>
    <w:multiLevelType w:val="multilevel"/>
    <w:tmpl w:val="C778BCD0"/>
    <w:lvl w:ilvl="0">
      <w:start w:val="2"/>
      <w:numFmt w:val="decimal"/>
      <w:lvlText w:val="%1."/>
      <w:lvlJc w:val="left"/>
      <w:pPr>
        <w:tabs>
          <w:tab w:val="num" w:pos="1778"/>
        </w:tabs>
        <w:ind w:left="1418" w:firstLine="0"/>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4">
    <w:nsid w:val="66A049A4"/>
    <w:multiLevelType w:val="multilevel"/>
    <w:tmpl w:val="B5783DB0"/>
    <w:lvl w:ilvl="0">
      <w:start w:val="1"/>
      <w:numFmt w:val="bullet"/>
      <w:lvlText w:val=""/>
      <w:lvlJc w:val="left"/>
      <w:pPr>
        <w:tabs>
          <w:tab w:val="num" w:pos="1080"/>
        </w:tabs>
        <w:ind w:left="1080" w:hanging="360"/>
      </w:pPr>
      <w:rPr>
        <w:rFonts w:ascii="Symbol" w:hAnsi="Symbol" w:hint="default"/>
        <w:i w:val="0"/>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nsid w:val="684D24AE"/>
    <w:multiLevelType w:val="multilevel"/>
    <w:tmpl w:val="D430DBE2"/>
    <w:lvl w:ilvl="0">
      <w:start w:val="1"/>
      <w:numFmt w:val="bullet"/>
      <w:lvlText w:val=""/>
      <w:lvlJc w:val="left"/>
      <w:pPr>
        <w:tabs>
          <w:tab w:val="num" w:pos="720"/>
        </w:tabs>
        <w:ind w:left="720" w:hanging="360"/>
      </w:pPr>
      <w:rPr>
        <w:rFonts w:ascii="Symbol" w:hAnsi="Symbol" w:hint="default"/>
        <w:i w:val="0"/>
      </w:rPr>
    </w:lvl>
    <w:lvl w:ilvl="1">
      <w:start w:val="1"/>
      <w:numFmt w:val="lowerLetter"/>
      <w:lvlText w:val="(%2)"/>
      <w:lvlJc w:val="left"/>
      <w:pPr>
        <w:tabs>
          <w:tab w:val="num" w:pos="1800"/>
        </w:tabs>
        <w:ind w:left="1800" w:hanging="720"/>
      </w:pPr>
      <w:rPr>
        <w:rFonts w:hint="default"/>
      </w:rPr>
    </w:lvl>
    <w:lvl w:ilvl="2">
      <w:start w:val="1"/>
      <w:numFmt w:val="bullet"/>
      <w:lvlText w:val=""/>
      <w:lvlJc w:val="left"/>
      <w:pPr>
        <w:tabs>
          <w:tab w:val="num" w:pos="1800"/>
        </w:tabs>
        <w:ind w:left="1800" w:hanging="720"/>
      </w:pPr>
      <w:rPr>
        <w:rFonts w:ascii="Symbol" w:hAnsi="Symbol" w:hint="default"/>
      </w:rPr>
    </w:lvl>
    <w:lvl w:ilvl="3">
      <w:start w:val="1"/>
      <w:numFmt w:val="lowerRoman"/>
      <w:lvlText w:val="(%4)"/>
      <w:lvlJc w:val="left"/>
      <w:pPr>
        <w:tabs>
          <w:tab w:val="num" w:pos="2520"/>
        </w:tabs>
        <w:ind w:left="252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CB354D4"/>
    <w:multiLevelType w:val="hybridMultilevel"/>
    <w:tmpl w:val="20D8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66312D"/>
    <w:multiLevelType w:val="hybridMultilevel"/>
    <w:tmpl w:val="9B9C2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E331D7"/>
    <w:multiLevelType w:val="multilevel"/>
    <w:tmpl w:val="61CC6612"/>
    <w:lvl w:ilvl="0">
      <w:start w:val="1"/>
      <w:numFmt w:val="bullet"/>
      <w:lvlText w:val=""/>
      <w:lvlJc w:val="left"/>
      <w:pPr>
        <w:tabs>
          <w:tab w:val="num" w:pos="1080"/>
        </w:tabs>
        <w:ind w:left="1080" w:hanging="360"/>
      </w:pPr>
      <w:rPr>
        <w:rFonts w:ascii="Symbol" w:hAnsi="Symbol" w:hint="default"/>
        <w:i w:val="0"/>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F460351"/>
    <w:multiLevelType w:val="multilevel"/>
    <w:tmpl w:val="6F684162"/>
    <w:lvl w:ilvl="0">
      <w:start w:val="1"/>
      <w:numFmt w:val="decimal"/>
      <w:lvlText w:val="%1"/>
      <w:lvlJc w:val="left"/>
      <w:pPr>
        <w:tabs>
          <w:tab w:val="num" w:pos="720"/>
        </w:tabs>
        <w:ind w:left="0" w:firstLine="0"/>
      </w:pPr>
      <w:rPr>
        <w:rFonts w:hint="default"/>
        <w:i w:val="0"/>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1"/>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num>
  <w:num w:numId="8">
    <w:abstractNumId w:val="23"/>
  </w:num>
  <w:num w:numId="9">
    <w:abstractNumId w:val="26"/>
  </w:num>
  <w:num w:numId="10">
    <w:abstractNumId w:val="20"/>
  </w:num>
  <w:num w:numId="11">
    <w:abstractNumId w:val="20"/>
  </w:num>
  <w:num w:numId="12">
    <w:abstractNumId w:val="20"/>
  </w:num>
  <w:num w:numId="13">
    <w:abstractNumId w:val="20"/>
  </w:num>
  <w:num w:numId="14">
    <w:abstractNumId w:val="13"/>
  </w:num>
  <w:num w:numId="15">
    <w:abstractNumId w:val="22"/>
  </w:num>
  <w:num w:numId="16">
    <w:abstractNumId w:val="20"/>
    <w:lvlOverride w:ilvl="0">
      <w:startOverride w:val="25"/>
    </w:lvlOverride>
  </w:num>
  <w:num w:numId="17">
    <w:abstractNumId w:val="20"/>
    <w:lvlOverride w:ilvl="0">
      <w:startOverride w:val="27"/>
    </w:lvlOverride>
  </w:num>
  <w:num w:numId="18">
    <w:abstractNumId w:val="2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1"/>
    </w:lvlOverride>
  </w:num>
  <w:num w:numId="20">
    <w:abstractNumId w:val="30"/>
  </w:num>
  <w:num w:numId="21">
    <w:abstractNumId w:val="25"/>
  </w:num>
  <w:num w:numId="22">
    <w:abstractNumId w:val="29"/>
  </w:num>
  <w:num w:numId="23">
    <w:abstractNumId w:val="24"/>
  </w:num>
  <w:num w:numId="24">
    <w:abstractNumId w:val="10"/>
  </w:num>
  <w:num w:numId="25">
    <w:abstractNumId w:val="27"/>
  </w:num>
  <w:num w:numId="26">
    <w:abstractNumId w:val="16"/>
  </w:num>
  <w:num w:numId="27">
    <w:abstractNumId w:val="21"/>
  </w:num>
  <w:num w:numId="28">
    <w:abstractNumId w:val="1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69"/>
    </w:lvlOverride>
  </w:num>
  <w:num w:numId="41">
    <w:abstractNumId w:val="20"/>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58"/>
    </w:lvlOverride>
  </w:num>
  <w:num w:numId="43">
    <w:abstractNumId w:val="20"/>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31"/>
    </w:lvlOverride>
  </w:num>
  <w:num w:numId="4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7"/>
  </w:num>
  <w:num w:numId="48">
    <w:abstractNumId w:val="28"/>
  </w:num>
  <w:num w:numId="49">
    <w:abstractNumId w:val="19"/>
  </w:num>
  <w:num w:numId="50">
    <w:abstractNumId w:val="14"/>
  </w:num>
  <w:num w:numId="51">
    <w:abstractNumId w:val="20"/>
    <w:lvlOverride w:ilvl="0">
      <w:startOverride w:val="6"/>
    </w:lvlOverride>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1E"/>
    <w:rsid w:val="00000441"/>
    <w:rsid w:val="00000D57"/>
    <w:rsid w:val="0000140F"/>
    <w:rsid w:val="0000309F"/>
    <w:rsid w:val="00003B6D"/>
    <w:rsid w:val="00003F7F"/>
    <w:rsid w:val="00005A9D"/>
    <w:rsid w:val="00006B9A"/>
    <w:rsid w:val="00006CD4"/>
    <w:rsid w:val="00007279"/>
    <w:rsid w:val="00007FBF"/>
    <w:rsid w:val="000107C9"/>
    <w:rsid w:val="0001088D"/>
    <w:rsid w:val="00011E85"/>
    <w:rsid w:val="00011EBC"/>
    <w:rsid w:val="0001243B"/>
    <w:rsid w:val="000125ED"/>
    <w:rsid w:val="00013C82"/>
    <w:rsid w:val="000141AA"/>
    <w:rsid w:val="000145C9"/>
    <w:rsid w:val="00015223"/>
    <w:rsid w:val="000152D6"/>
    <w:rsid w:val="00016677"/>
    <w:rsid w:val="000176E1"/>
    <w:rsid w:val="00017A75"/>
    <w:rsid w:val="00017B22"/>
    <w:rsid w:val="00020B9F"/>
    <w:rsid w:val="00020FC0"/>
    <w:rsid w:val="00021218"/>
    <w:rsid w:val="000216B4"/>
    <w:rsid w:val="00021BD7"/>
    <w:rsid w:val="00021F3B"/>
    <w:rsid w:val="00022620"/>
    <w:rsid w:val="000231E7"/>
    <w:rsid w:val="00023DC3"/>
    <w:rsid w:val="00023DFB"/>
    <w:rsid w:val="00024C11"/>
    <w:rsid w:val="0002504D"/>
    <w:rsid w:val="00026097"/>
    <w:rsid w:val="00026BEB"/>
    <w:rsid w:val="00026FD2"/>
    <w:rsid w:val="00030296"/>
    <w:rsid w:val="00030664"/>
    <w:rsid w:val="000311C8"/>
    <w:rsid w:val="0003294D"/>
    <w:rsid w:val="0003341B"/>
    <w:rsid w:val="00033971"/>
    <w:rsid w:val="00033B03"/>
    <w:rsid w:val="00033D2F"/>
    <w:rsid w:val="00034229"/>
    <w:rsid w:val="0003582C"/>
    <w:rsid w:val="000363E9"/>
    <w:rsid w:val="00036550"/>
    <w:rsid w:val="00036874"/>
    <w:rsid w:val="00036877"/>
    <w:rsid w:val="00036D83"/>
    <w:rsid w:val="000373D1"/>
    <w:rsid w:val="000375BB"/>
    <w:rsid w:val="00040447"/>
    <w:rsid w:val="000412E6"/>
    <w:rsid w:val="00041A16"/>
    <w:rsid w:val="000433E4"/>
    <w:rsid w:val="00043CAB"/>
    <w:rsid w:val="0004469C"/>
    <w:rsid w:val="00044E8C"/>
    <w:rsid w:val="00044F76"/>
    <w:rsid w:val="000458D0"/>
    <w:rsid w:val="00050097"/>
    <w:rsid w:val="000507AF"/>
    <w:rsid w:val="00050A84"/>
    <w:rsid w:val="00051B02"/>
    <w:rsid w:val="00051F67"/>
    <w:rsid w:val="000521B5"/>
    <w:rsid w:val="00053909"/>
    <w:rsid w:val="00053ECE"/>
    <w:rsid w:val="00054767"/>
    <w:rsid w:val="000558E1"/>
    <w:rsid w:val="00055EC0"/>
    <w:rsid w:val="000566A7"/>
    <w:rsid w:val="00056A1E"/>
    <w:rsid w:val="000572A4"/>
    <w:rsid w:val="000579DF"/>
    <w:rsid w:val="00061C05"/>
    <w:rsid w:val="00063119"/>
    <w:rsid w:val="000633ED"/>
    <w:rsid w:val="0006357F"/>
    <w:rsid w:val="00063DE5"/>
    <w:rsid w:val="00063F91"/>
    <w:rsid w:val="0006451C"/>
    <w:rsid w:val="000648BA"/>
    <w:rsid w:val="00064A98"/>
    <w:rsid w:val="00064FC0"/>
    <w:rsid w:val="00066014"/>
    <w:rsid w:val="00066C83"/>
    <w:rsid w:val="000678D9"/>
    <w:rsid w:val="00071373"/>
    <w:rsid w:val="000715A0"/>
    <w:rsid w:val="000732FF"/>
    <w:rsid w:val="0007420E"/>
    <w:rsid w:val="000744BC"/>
    <w:rsid w:val="000767DF"/>
    <w:rsid w:val="00077210"/>
    <w:rsid w:val="0008021E"/>
    <w:rsid w:val="00080B7A"/>
    <w:rsid w:val="00082AA4"/>
    <w:rsid w:val="00083A2A"/>
    <w:rsid w:val="00084792"/>
    <w:rsid w:val="00085827"/>
    <w:rsid w:val="00085AC2"/>
    <w:rsid w:val="00086645"/>
    <w:rsid w:val="00086744"/>
    <w:rsid w:val="00086C46"/>
    <w:rsid w:val="00086FDD"/>
    <w:rsid w:val="00087227"/>
    <w:rsid w:val="0009021D"/>
    <w:rsid w:val="00091AEA"/>
    <w:rsid w:val="00091E03"/>
    <w:rsid w:val="000923E4"/>
    <w:rsid w:val="00092B24"/>
    <w:rsid w:val="00095F69"/>
    <w:rsid w:val="00096ADB"/>
    <w:rsid w:val="000972A2"/>
    <w:rsid w:val="000977A2"/>
    <w:rsid w:val="000A036B"/>
    <w:rsid w:val="000A094F"/>
    <w:rsid w:val="000A206A"/>
    <w:rsid w:val="000A268A"/>
    <w:rsid w:val="000A31C8"/>
    <w:rsid w:val="000A3C7B"/>
    <w:rsid w:val="000A3EB6"/>
    <w:rsid w:val="000A42F4"/>
    <w:rsid w:val="000A47C5"/>
    <w:rsid w:val="000A4901"/>
    <w:rsid w:val="000A4C4B"/>
    <w:rsid w:val="000A783C"/>
    <w:rsid w:val="000A7A73"/>
    <w:rsid w:val="000B0C83"/>
    <w:rsid w:val="000B146F"/>
    <w:rsid w:val="000B36FF"/>
    <w:rsid w:val="000B501E"/>
    <w:rsid w:val="000B50DE"/>
    <w:rsid w:val="000B514D"/>
    <w:rsid w:val="000B53EB"/>
    <w:rsid w:val="000B573F"/>
    <w:rsid w:val="000B60CE"/>
    <w:rsid w:val="000B7022"/>
    <w:rsid w:val="000B7ED2"/>
    <w:rsid w:val="000C019C"/>
    <w:rsid w:val="000C045C"/>
    <w:rsid w:val="000C198F"/>
    <w:rsid w:val="000C1FDA"/>
    <w:rsid w:val="000C20F5"/>
    <w:rsid w:val="000C211C"/>
    <w:rsid w:val="000C295F"/>
    <w:rsid w:val="000C299E"/>
    <w:rsid w:val="000C4174"/>
    <w:rsid w:val="000C4C83"/>
    <w:rsid w:val="000C4E7B"/>
    <w:rsid w:val="000C5604"/>
    <w:rsid w:val="000C59EA"/>
    <w:rsid w:val="000C5A3E"/>
    <w:rsid w:val="000C5B01"/>
    <w:rsid w:val="000C5D86"/>
    <w:rsid w:val="000C6BC1"/>
    <w:rsid w:val="000D1525"/>
    <w:rsid w:val="000D1CBB"/>
    <w:rsid w:val="000D2029"/>
    <w:rsid w:val="000D2F6A"/>
    <w:rsid w:val="000D6A4B"/>
    <w:rsid w:val="000D7C66"/>
    <w:rsid w:val="000E09D9"/>
    <w:rsid w:val="000E1752"/>
    <w:rsid w:val="000E1D19"/>
    <w:rsid w:val="000E21C5"/>
    <w:rsid w:val="000E251E"/>
    <w:rsid w:val="000E255F"/>
    <w:rsid w:val="000E2D8F"/>
    <w:rsid w:val="000E2EDB"/>
    <w:rsid w:val="000E4602"/>
    <w:rsid w:val="000E5FFB"/>
    <w:rsid w:val="000E7253"/>
    <w:rsid w:val="000F0A82"/>
    <w:rsid w:val="000F1A7D"/>
    <w:rsid w:val="000F1C19"/>
    <w:rsid w:val="000F313A"/>
    <w:rsid w:val="000F59C0"/>
    <w:rsid w:val="000F6AEB"/>
    <w:rsid w:val="0010057E"/>
    <w:rsid w:val="001023C8"/>
    <w:rsid w:val="001023FE"/>
    <w:rsid w:val="001035D0"/>
    <w:rsid w:val="00103A8A"/>
    <w:rsid w:val="00104529"/>
    <w:rsid w:val="00104738"/>
    <w:rsid w:val="00104960"/>
    <w:rsid w:val="00104EF2"/>
    <w:rsid w:val="00105704"/>
    <w:rsid w:val="0010633D"/>
    <w:rsid w:val="00106BB6"/>
    <w:rsid w:val="00106D62"/>
    <w:rsid w:val="00107F52"/>
    <w:rsid w:val="00110276"/>
    <w:rsid w:val="001110BD"/>
    <w:rsid w:val="0011118D"/>
    <w:rsid w:val="00111248"/>
    <w:rsid w:val="0011197C"/>
    <w:rsid w:val="001121C2"/>
    <w:rsid w:val="00112B0D"/>
    <w:rsid w:val="00113115"/>
    <w:rsid w:val="00113632"/>
    <w:rsid w:val="00113E37"/>
    <w:rsid w:val="0011418A"/>
    <w:rsid w:val="001147AF"/>
    <w:rsid w:val="0011593F"/>
    <w:rsid w:val="00115B25"/>
    <w:rsid w:val="0011604F"/>
    <w:rsid w:val="00116E33"/>
    <w:rsid w:val="00116F12"/>
    <w:rsid w:val="00117968"/>
    <w:rsid w:val="00117A4C"/>
    <w:rsid w:val="0012068E"/>
    <w:rsid w:val="00120BB8"/>
    <w:rsid w:val="00121FD4"/>
    <w:rsid w:val="0012268A"/>
    <w:rsid w:val="00122CEC"/>
    <w:rsid w:val="001236A7"/>
    <w:rsid w:val="00123CF7"/>
    <w:rsid w:val="00125174"/>
    <w:rsid w:val="00125249"/>
    <w:rsid w:val="00125CB9"/>
    <w:rsid w:val="00126F6E"/>
    <w:rsid w:val="00127147"/>
    <w:rsid w:val="0012725A"/>
    <w:rsid w:val="00130083"/>
    <w:rsid w:val="00130166"/>
    <w:rsid w:val="0013027A"/>
    <w:rsid w:val="00130BDE"/>
    <w:rsid w:val="001319B9"/>
    <w:rsid w:val="00132784"/>
    <w:rsid w:val="001341EB"/>
    <w:rsid w:val="00134560"/>
    <w:rsid w:val="001363D0"/>
    <w:rsid w:val="00136CE5"/>
    <w:rsid w:val="00136EB8"/>
    <w:rsid w:val="0013720E"/>
    <w:rsid w:val="0013729A"/>
    <w:rsid w:val="00137737"/>
    <w:rsid w:val="001408FE"/>
    <w:rsid w:val="00141020"/>
    <w:rsid w:val="001415C0"/>
    <w:rsid w:val="001417E0"/>
    <w:rsid w:val="00141845"/>
    <w:rsid w:val="00141C5D"/>
    <w:rsid w:val="00141D3E"/>
    <w:rsid w:val="00141FFD"/>
    <w:rsid w:val="00142F17"/>
    <w:rsid w:val="00143F66"/>
    <w:rsid w:val="00143FF1"/>
    <w:rsid w:val="00146666"/>
    <w:rsid w:val="001467FA"/>
    <w:rsid w:val="00146868"/>
    <w:rsid w:val="00146DD4"/>
    <w:rsid w:val="00146E65"/>
    <w:rsid w:val="001473C2"/>
    <w:rsid w:val="00147665"/>
    <w:rsid w:val="001503F4"/>
    <w:rsid w:val="0015190F"/>
    <w:rsid w:val="00152DEF"/>
    <w:rsid w:val="00152ED0"/>
    <w:rsid w:val="00153932"/>
    <w:rsid w:val="001539D7"/>
    <w:rsid w:val="00153DB5"/>
    <w:rsid w:val="00154222"/>
    <w:rsid w:val="001548A3"/>
    <w:rsid w:val="00155317"/>
    <w:rsid w:val="00155CF9"/>
    <w:rsid w:val="001577D5"/>
    <w:rsid w:val="00157F77"/>
    <w:rsid w:val="0016046A"/>
    <w:rsid w:val="001609CF"/>
    <w:rsid w:val="00162443"/>
    <w:rsid w:val="00162850"/>
    <w:rsid w:val="00163014"/>
    <w:rsid w:val="00163229"/>
    <w:rsid w:val="00164D1C"/>
    <w:rsid w:val="00165280"/>
    <w:rsid w:val="00166902"/>
    <w:rsid w:val="00166967"/>
    <w:rsid w:val="0017153F"/>
    <w:rsid w:val="00171C4C"/>
    <w:rsid w:val="00172EAE"/>
    <w:rsid w:val="0017489B"/>
    <w:rsid w:val="00175204"/>
    <w:rsid w:val="00176053"/>
    <w:rsid w:val="001765DB"/>
    <w:rsid w:val="00176F43"/>
    <w:rsid w:val="00177B6D"/>
    <w:rsid w:val="00180556"/>
    <w:rsid w:val="0018111F"/>
    <w:rsid w:val="001835E5"/>
    <w:rsid w:val="00183DD4"/>
    <w:rsid w:val="001841D4"/>
    <w:rsid w:val="00185298"/>
    <w:rsid w:val="00187567"/>
    <w:rsid w:val="0019068D"/>
    <w:rsid w:val="001918E3"/>
    <w:rsid w:val="00192E99"/>
    <w:rsid w:val="0019334C"/>
    <w:rsid w:val="00195359"/>
    <w:rsid w:val="00196C5F"/>
    <w:rsid w:val="00196FF1"/>
    <w:rsid w:val="00197264"/>
    <w:rsid w:val="001974AE"/>
    <w:rsid w:val="00197BC6"/>
    <w:rsid w:val="001A1862"/>
    <w:rsid w:val="001A1D49"/>
    <w:rsid w:val="001A2802"/>
    <w:rsid w:val="001A3548"/>
    <w:rsid w:val="001A35DA"/>
    <w:rsid w:val="001A36BC"/>
    <w:rsid w:val="001A3F28"/>
    <w:rsid w:val="001A45C6"/>
    <w:rsid w:val="001A50FA"/>
    <w:rsid w:val="001A585A"/>
    <w:rsid w:val="001A61E7"/>
    <w:rsid w:val="001A6B4E"/>
    <w:rsid w:val="001A7263"/>
    <w:rsid w:val="001A7405"/>
    <w:rsid w:val="001B0311"/>
    <w:rsid w:val="001B096B"/>
    <w:rsid w:val="001B1295"/>
    <w:rsid w:val="001B1559"/>
    <w:rsid w:val="001B1FC2"/>
    <w:rsid w:val="001B2499"/>
    <w:rsid w:val="001B2C29"/>
    <w:rsid w:val="001B30CC"/>
    <w:rsid w:val="001B36EE"/>
    <w:rsid w:val="001B37B5"/>
    <w:rsid w:val="001B380B"/>
    <w:rsid w:val="001B3B2C"/>
    <w:rsid w:val="001B6ED6"/>
    <w:rsid w:val="001C04AD"/>
    <w:rsid w:val="001C0718"/>
    <w:rsid w:val="001C0894"/>
    <w:rsid w:val="001C1945"/>
    <w:rsid w:val="001C2BC6"/>
    <w:rsid w:val="001C315A"/>
    <w:rsid w:val="001C3622"/>
    <w:rsid w:val="001C46A9"/>
    <w:rsid w:val="001C4CAA"/>
    <w:rsid w:val="001C4ECB"/>
    <w:rsid w:val="001C6052"/>
    <w:rsid w:val="001C6279"/>
    <w:rsid w:val="001C6954"/>
    <w:rsid w:val="001C7747"/>
    <w:rsid w:val="001D0328"/>
    <w:rsid w:val="001D19CA"/>
    <w:rsid w:val="001D2C84"/>
    <w:rsid w:val="001D31D1"/>
    <w:rsid w:val="001D35FF"/>
    <w:rsid w:val="001D3619"/>
    <w:rsid w:val="001D4B84"/>
    <w:rsid w:val="001D4EEF"/>
    <w:rsid w:val="001D51A1"/>
    <w:rsid w:val="001D5EAD"/>
    <w:rsid w:val="001D5F1A"/>
    <w:rsid w:val="001D5F84"/>
    <w:rsid w:val="001D60B2"/>
    <w:rsid w:val="001D7199"/>
    <w:rsid w:val="001D7920"/>
    <w:rsid w:val="001E002A"/>
    <w:rsid w:val="001E0C20"/>
    <w:rsid w:val="001E1FC9"/>
    <w:rsid w:val="001E2507"/>
    <w:rsid w:val="001E3CF0"/>
    <w:rsid w:val="001E3F34"/>
    <w:rsid w:val="001E4086"/>
    <w:rsid w:val="001E4215"/>
    <w:rsid w:val="001E5D8C"/>
    <w:rsid w:val="001E6C89"/>
    <w:rsid w:val="001E7009"/>
    <w:rsid w:val="001F089E"/>
    <w:rsid w:val="001F115E"/>
    <w:rsid w:val="001F275A"/>
    <w:rsid w:val="001F3A13"/>
    <w:rsid w:val="001F4DF6"/>
    <w:rsid w:val="001F5224"/>
    <w:rsid w:val="001F57B1"/>
    <w:rsid w:val="001F584F"/>
    <w:rsid w:val="001F5A6C"/>
    <w:rsid w:val="001F655F"/>
    <w:rsid w:val="001F7155"/>
    <w:rsid w:val="001F7588"/>
    <w:rsid w:val="001F7C54"/>
    <w:rsid w:val="001F7EB0"/>
    <w:rsid w:val="00200A87"/>
    <w:rsid w:val="00201523"/>
    <w:rsid w:val="002032F7"/>
    <w:rsid w:val="00203321"/>
    <w:rsid w:val="00203D01"/>
    <w:rsid w:val="0020485C"/>
    <w:rsid w:val="00206949"/>
    <w:rsid w:val="00207237"/>
    <w:rsid w:val="002073EE"/>
    <w:rsid w:val="00207785"/>
    <w:rsid w:val="0021129C"/>
    <w:rsid w:val="00211784"/>
    <w:rsid w:val="00211D3E"/>
    <w:rsid w:val="00211D72"/>
    <w:rsid w:val="00215B57"/>
    <w:rsid w:val="0021788B"/>
    <w:rsid w:val="00220A2C"/>
    <w:rsid w:val="00221719"/>
    <w:rsid w:val="00221789"/>
    <w:rsid w:val="002239BB"/>
    <w:rsid w:val="002246EC"/>
    <w:rsid w:val="00224E77"/>
    <w:rsid w:val="00224F6E"/>
    <w:rsid w:val="00225004"/>
    <w:rsid w:val="0022566D"/>
    <w:rsid w:val="00225C59"/>
    <w:rsid w:val="002279E3"/>
    <w:rsid w:val="00227F1E"/>
    <w:rsid w:val="0023009F"/>
    <w:rsid w:val="002300B9"/>
    <w:rsid w:val="002307F5"/>
    <w:rsid w:val="00231835"/>
    <w:rsid w:val="00232326"/>
    <w:rsid w:val="00232739"/>
    <w:rsid w:val="00232B76"/>
    <w:rsid w:val="00232B9D"/>
    <w:rsid w:val="00232E17"/>
    <w:rsid w:val="002330AF"/>
    <w:rsid w:val="00233812"/>
    <w:rsid w:val="00234535"/>
    <w:rsid w:val="00234FE3"/>
    <w:rsid w:val="0023605F"/>
    <w:rsid w:val="00236851"/>
    <w:rsid w:val="00237D5C"/>
    <w:rsid w:val="00240C67"/>
    <w:rsid w:val="00241754"/>
    <w:rsid w:val="00241B88"/>
    <w:rsid w:val="002423E6"/>
    <w:rsid w:val="00242EC2"/>
    <w:rsid w:val="00243592"/>
    <w:rsid w:val="00244958"/>
    <w:rsid w:val="00244B9C"/>
    <w:rsid w:val="00245430"/>
    <w:rsid w:val="0024565A"/>
    <w:rsid w:val="00246F90"/>
    <w:rsid w:val="00250534"/>
    <w:rsid w:val="002513B2"/>
    <w:rsid w:val="002518D0"/>
    <w:rsid w:val="00253E5D"/>
    <w:rsid w:val="00254495"/>
    <w:rsid w:val="002553A8"/>
    <w:rsid w:val="00255D8E"/>
    <w:rsid w:val="002569A7"/>
    <w:rsid w:val="00256BF4"/>
    <w:rsid w:val="00256F13"/>
    <w:rsid w:val="00256F6C"/>
    <w:rsid w:val="00257A59"/>
    <w:rsid w:val="00257C80"/>
    <w:rsid w:val="00257DD6"/>
    <w:rsid w:val="0026103D"/>
    <w:rsid w:val="0026104D"/>
    <w:rsid w:val="0026110D"/>
    <w:rsid w:val="00262754"/>
    <w:rsid w:val="00267D28"/>
    <w:rsid w:val="00267E4D"/>
    <w:rsid w:val="0027000E"/>
    <w:rsid w:val="00270790"/>
    <w:rsid w:val="002707BF"/>
    <w:rsid w:val="002720E8"/>
    <w:rsid w:val="00272532"/>
    <w:rsid w:val="002738BA"/>
    <w:rsid w:val="00273A78"/>
    <w:rsid w:val="002742B6"/>
    <w:rsid w:val="002748F9"/>
    <w:rsid w:val="00275084"/>
    <w:rsid w:val="00275B16"/>
    <w:rsid w:val="002760AB"/>
    <w:rsid w:val="0027657D"/>
    <w:rsid w:val="00276BB0"/>
    <w:rsid w:val="00277786"/>
    <w:rsid w:val="00280154"/>
    <w:rsid w:val="002803D3"/>
    <w:rsid w:val="00281449"/>
    <w:rsid w:val="00281FE5"/>
    <w:rsid w:val="00285F22"/>
    <w:rsid w:val="002866D3"/>
    <w:rsid w:val="00286844"/>
    <w:rsid w:val="002868B0"/>
    <w:rsid w:val="002868F6"/>
    <w:rsid w:val="00286942"/>
    <w:rsid w:val="00287FC6"/>
    <w:rsid w:val="00290FE9"/>
    <w:rsid w:val="00291218"/>
    <w:rsid w:val="00292C82"/>
    <w:rsid w:val="002930DD"/>
    <w:rsid w:val="0029497E"/>
    <w:rsid w:val="0029498B"/>
    <w:rsid w:val="00294E31"/>
    <w:rsid w:val="00296934"/>
    <w:rsid w:val="002969E1"/>
    <w:rsid w:val="002978A7"/>
    <w:rsid w:val="002A08B5"/>
    <w:rsid w:val="002A1AFE"/>
    <w:rsid w:val="002A1E4F"/>
    <w:rsid w:val="002A28A5"/>
    <w:rsid w:val="002A3194"/>
    <w:rsid w:val="002A4293"/>
    <w:rsid w:val="002A43EF"/>
    <w:rsid w:val="002A45D1"/>
    <w:rsid w:val="002A46A0"/>
    <w:rsid w:val="002A51EF"/>
    <w:rsid w:val="002A68F9"/>
    <w:rsid w:val="002B2E99"/>
    <w:rsid w:val="002B31E5"/>
    <w:rsid w:val="002B3818"/>
    <w:rsid w:val="002B3DB1"/>
    <w:rsid w:val="002B4ED9"/>
    <w:rsid w:val="002C22E3"/>
    <w:rsid w:val="002C2A4B"/>
    <w:rsid w:val="002C2BF8"/>
    <w:rsid w:val="002C2C8C"/>
    <w:rsid w:val="002C3984"/>
    <w:rsid w:val="002C3BDF"/>
    <w:rsid w:val="002C3E2B"/>
    <w:rsid w:val="002C3F9F"/>
    <w:rsid w:val="002C488D"/>
    <w:rsid w:val="002C5380"/>
    <w:rsid w:val="002C5428"/>
    <w:rsid w:val="002C5BEC"/>
    <w:rsid w:val="002C6328"/>
    <w:rsid w:val="002C687D"/>
    <w:rsid w:val="002C6968"/>
    <w:rsid w:val="002C7FD1"/>
    <w:rsid w:val="002D0AC2"/>
    <w:rsid w:val="002D1880"/>
    <w:rsid w:val="002D22C0"/>
    <w:rsid w:val="002D29BA"/>
    <w:rsid w:val="002D310E"/>
    <w:rsid w:val="002D37EB"/>
    <w:rsid w:val="002D504E"/>
    <w:rsid w:val="002D6403"/>
    <w:rsid w:val="002D79ED"/>
    <w:rsid w:val="002E0235"/>
    <w:rsid w:val="002E0927"/>
    <w:rsid w:val="002E1DE7"/>
    <w:rsid w:val="002E4094"/>
    <w:rsid w:val="002E5231"/>
    <w:rsid w:val="002E5510"/>
    <w:rsid w:val="002E55A7"/>
    <w:rsid w:val="002E61CE"/>
    <w:rsid w:val="002E6BD4"/>
    <w:rsid w:val="002E6DBE"/>
    <w:rsid w:val="002E7303"/>
    <w:rsid w:val="002E7631"/>
    <w:rsid w:val="002E76B5"/>
    <w:rsid w:val="002E7B17"/>
    <w:rsid w:val="002F08F0"/>
    <w:rsid w:val="002F0D16"/>
    <w:rsid w:val="002F3E8E"/>
    <w:rsid w:val="002F4F5A"/>
    <w:rsid w:val="002F5415"/>
    <w:rsid w:val="002F547B"/>
    <w:rsid w:val="002F5AB0"/>
    <w:rsid w:val="002F5C40"/>
    <w:rsid w:val="00301CF6"/>
    <w:rsid w:val="00301F33"/>
    <w:rsid w:val="0030242B"/>
    <w:rsid w:val="00302EF1"/>
    <w:rsid w:val="003047A8"/>
    <w:rsid w:val="003062A5"/>
    <w:rsid w:val="00306957"/>
    <w:rsid w:val="00306FD9"/>
    <w:rsid w:val="00307240"/>
    <w:rsid w:val="00307671"/>
    <w:rsid w:val="003110AA"/>
    <w:rsid w:val="003134E7"/>
    <w:rsid w:val="003142B9"/>
    <w:rsid w:val="0031498D"/>
    <w:rsid w:val="00314A7F"/>
    <w:rsid w:val="00314DC3"/>
    <w:rsid w:val="003155E8"/>
    <w:rsid w:val="00315BCB"/>
    <w:rsid w:val="003160F5"/>
    <w:rsid w:val="00316465"/>
    <w:rsid w:val="00316AF7"/>
    <w:rsid w:val="00316C66"/>
    <w:rsid w:val="0032014E"/>
    <w:rsid w:val="003207A9"/>
    <w:rsid w:val="0032101B"/>
    <w:rsid w:val="0032158E"/>
    <w:rsid w:val="003220CA"/>
    <w:rsid w:val="00323612"/>
    <w:rsid w:val="00323BA8"/>
    <w:rsid w:val="00323DF3"/>
    <w:rsid w:val="00324526"/>
    <w:rsid w:val="00324796"/>
    <w:rsid w:val="0032516D"/>
    <w:rsid w:val="0032791D"/>
    <w:rsid w:val="0032799A"/>
    <w:rsid w:val="003306B1"/>
    <w:rsid w:val="0033086B"/>
    <w:rsid w:val="003314C2"/>
    <w:rsid w:val="00331CF9"/>
    <w:rsid w:val="003326E4"/>
    <w:rsid w:val="00332F78"/>
    <w:rsid w:val="0033355E"/>
    <w:rsid w:val="0033493A"/>
    <w:rsid w:val="00335684"/>
    <w:rsid w:val="00335D98"/>
    <w:rsid w:val="003423ED"/>
    <w:rsid w:val="00342475"/>
    <w:rsid w:val="00342550"/>
    <w:rsid w:val="00342DD7"/>
    <w:rsid w:val="00342E34"/>
    <w:rsid w:val="00343892"/>
    <w:rsid w:val="00343898"/>
    <w:rsid w:val="0034399F"/>
    <w:rsid w:val="00344C89"/>
    <w:rsid w:val="00345628"/>
    <w:rsid w:val="00346318"/>
    <w:rsid w:val="00347436"/>
    <w:rsid w:val="00347532"/>
    <w:rsid w:val="00347B04"/>
    <w:rsid w:val="00350633"/>
    <w:rsid w:val="00350B66"/>
    <w:rsid w:val="003517D3"/>
    <w:rsid w:val="003526B8"/>
    <w:rsid w:val="003541B8"/>
    <w:rsid w:val="00354E82"/>
    <w:rsid w:val="00355299"/>
    <w:rsid w:val="003566FC"/>
    <w:rsid w:val="00357171"/>
    <w:rsid w:val="00357540"/>
    <w:rsid w:val="00357863"/>
    <w:rsid w:val="00357880"/>
    <w:rsid w:val="00357AF5"/>
    <w:rsid w:val="00357FB9"/>
    <w:rsid w:val="00360DD6"/>
    <w:rsid w:val="00361EDE"/>
    <w:rsid w:val="003621DB"/>
    <w:rsid w:val="00362766"/>
    <w:rsid w:val="00363C7C"/>
    <w:rsid w:val="00365812"/>
    <w:rsid w:val="00366666"/>
    <w:rsid w:val="003674CF"/>
    <w:rsid w:val="003676C5"/>
    <w:rsid w:val="00370ACF"/>
    <w:rsid w:val="00370CFD"/>
    <w:rsid w:val="0037272B"/>
    <w:rsid w:val="00374714"/>
    <w:rsid w:val="00374810"/>
    <w:rsid w:val="00374DF6"/>
    <w:rsid w:val="00375CB4"/>
    <w:rsid w:val="003761C7"/>
    <w:rsid w:val="00376686"/>
    <w:rsid w:val="003779CB"/>
    <w:rsid w:val="00377FAD"/>
    <w:rsid w:val="00380640"/>
    <w:rsid w:val="003810F4"/>
    <w:rsid w:val="003816FC"/>
    <w:rsid w:val="00383FFA"/>
    <w:rsid w:val="00384518"/>
    <w:rsid w:val="0038547B"/>
    <w:rsid w:val="00385FE9"/>
    <w:rsid w:val="00386784"/>
    <w:rsid w:val="00386BD1"/>
    <w:rsid w:val="003870D8"/>
    <w:rsid w:val="00390019"/>
    <w:rsid w:val="00390AEF"/>
    <w:rsid w:val="00392736"/>
    <w:rsid w:val="0039435A"/>
    <w:rsid w:val="00395404"/>
    <w:rsid w:val="00395A92"/>
    <w:rsid w:val="00395CE2"/>
    <w:rsid w:val="00395E96"/>
    <w:rsid w:val="00397D6B"/>
    <w:rsid w:val="003A0652"/>
    <w:rsid w:val="003A0801"/>
    <w:rsid w:val="003A0BDF"/>
    <w:rsid w:val="003A36ED"/>
    <w:rsid w:val="003A3B8E"/>
    <w:rsid w:val="003A5375"/>
    <w:rsid w:val="003A6BF6"/>
    <w:rsid w:val="003A6CB3"/>
    <w:rsid w:val="003A7533"/>
    <w:rsid w:val="003A768A"/>
    <w:rsid w:val="003A79CD"/>
    <w:rsid w:val="003A7AC3"/>
    <w:rsid w:val="003A7FF1"/>
    <w:rsid w:val="003B2A24"/>
    <w:rsid w:val="003B30B0"/>
    <w:rsid w:val="003B3122"/>
    <w:rsid w:val="003B32C0"/>
    <w:rsid w:val="003B45F7"/>
    <w:rsid w:val="003B4A7B"/>
    <w:rsid w:val="003B6389"/>
    <w:rsid w:val="003B6E00"/>
    <w:rsid w:val="003B7021"/>
    <w:rsid w:val="003B7471"/>
    <w:rsid w:val="003B7D84"/>
    <w:rsid w:val="003C02C4"/>
    <w:rsid w:val="003C2793"/>
    <w:rsid w:val="003C3F31"/>
    <w:rsid w:val="003C557B"/>
    <w:rsid w:val="003C56FF"/>
    <w:rsid w:val="003C5F8E"/>
    <w:rsid w:val="003C6BE2"/>
    <w:rsid w:val="003C6D16"/>
    <w:rsid w:val="003C6F10"/>
    <w:rsid w:val="003C72E2"/>
    <w:rsid w:val="003C7A37"/>
    <w:rsid w:val="003C7C43"/>
    <w:rsid w:val="003C7E76"/>
    <w:rsid w:val="003D0575"/>
    <w:rsid w:val="003D057C"/>
    <w:rsid w:val="003D0867"/>
    <w:rsid w:val="003D0B7E"/>
    <w:rsid w:val="003D0F1A"/>
    <w:rsid w:val="003D28E0"/>
    <w:rsid w:val="003D3526"/>
    <w:rsid w:val="003D43EF"/>
    <w:rsid w:val="003D480C"/>
    <w:rsid w:val="003D4AFA"/>
    <w:rsid w:val="003D50CA"/>
    <w:rsid w:val="003D566E"/>
    <w:rsid w:val="003D66EC"/>
    <w:rsid w:val="003D6C6C"/>
    <w:rsid w:val="003D77BC"/>
    <w:rsid w:val="003D797D"/>
    <w:rsid w:val="003D7DC4"/>
    <w:rsid w:val="003E074B"/>
    <w:rsid w:val="003E0967"/>
    <w:rsid w:val="003E1BFA"/>
    <w:rsid w:val="003E2A2A"/>
    <w:rsid w:val="003E4290"/>
    <w:rsid w:val="003E6235"/>
    <w:rsid w:val="003E68F3"/>
    <w:rsid w:val="003E6EE0"/>
    <w:rsid w:val="003F0C00"/>
    <w:rsid w:val="003F10D4"/>
    <w:rsid w:val="003F1928"/>
    <w:rsid w:val="003F1F6A"/>
    <w:rsid w:val="003F5C21"/>
    <w:rsid w:val="003F738F"/>
    <w:rsid w:val="003F7FD8"/>
    <w:rsid w:val="00400147"/>
    <w:rsid w:val="00401333"/>
    <w:rsid w:val="004016D3"/>
    <w:rsid w:val="00401712"/>
    <w:rsid w:val="004028EE"/>
    <w:rsid w:val="0040310B"/>
    <w:rsid w:val="004048A6"/>
    <w:rsid w:val="00404BED"/>
    <w:rsid w:val="00404C66"/>
    <w:rsid w:val="00406158"/>
    <w:rsid w:val="00406EAC"/>
    <w:rsid w:val="0040733E"/>
    <w:rsid w:val="00410207"/>
    <w:rsid w:val="00410A08"/>
    <w:rsid w:val="00410A41"/>
    <w:rsid w:val="00410C7C"/>
    <w:rsid w:val="00411663"/>
    <w:rsid w:val="00411CBF"/>
    <w:rsid w:val="00412162"/>
    <w:rsid w:val="0041311A"/>
    <w:rsid w:val="004134A6"/>
    <w:rsid w:val="004138CB"/>
    <w:rsid w:val="00413B60"/>
    <w:rsid w:val="0041408C"/>
    <w:rsid w:val="004146B5"/>
    <w:rsid w:val="004148A5"/>
    <w:rsid w:val="00414C79"/>
    <w:rsid w:val="00415199"/>
    <w:rsid w:val="00415774"/>
    <w:rsid w:val="00415CB4"/>
    <w:rsid w:val="0041632F"/>
    <w:rsid w:val="0041681D"/>
    <w:rsid w:val="00416915"/>
    <w:rsid w:val="00416B33"/>
    <w:rsid w:val="00417173"/>
    <w:rsid w:val="00417A6D"/>
    <w:rsid w:val="00417DE4"/>
    <w:rsid w:val="004207B2"/>
    <w:rsid w:val="00421087"/>
    <w:rsid w:val="00421814"/>
    <w:rsid w:val="00421A2D"/>
    <w:rsid w:val="00421B41"/>
    <w:rsid w:val="00422384"/>
    <w:rsid w:val="00422764"/>
    <w:rsid w:val="0042290E"/>
    <w:rsid w:val="00422CFC"/>
    <w:rsid w:val="00423811"/>
    <w:rsid w:val="00423CE4"/>
    <w:rsid w:val="004242B9"/>
    <w:rsid w:val="004253F9"/>
    <w:rsid w:val="00425450"/>
    <w:rsid w:val="00425C78"/>
    <w:rsid w:val="00426118"/>
    <w:rsid w:val="004275D8"/>
    <w:rsid w:val="00427FF6"/>
    <w:rsid w:val="00430806"/>
    <w:rsid w:val="00431EBF"/>
    <w:rsid w:val="0043387B"/>
    <w:rsid w:val="00433AD6"/>
    <w:rsid w:val="00435B88"/>
    <w:rsid w:val="004400DB"/>
    <w:rsid w:val="0044021E"/>
    <w:rsid w:val="00440533"/>
    <w:rsid w:val="00441F9D"/>
    <w:rsid w:val="0044200C"/>
    <w:rsid w:val="00442021"/>
    <w:rsid w:val="00442DFB"/>
    <w:rsid w:val="004434B6"/>
    <w:rsid w:val="00443B20"/>
    <w:rsid w:val="00443F03"/>
    <w:rsid w:val="00444B6C"/>
    <w:rsid w:val="00445415"/>
    <w:rsid w:val="00445BC9"/>
    <w:rsid w:val="00446CB5"/>
    <w:rsid w:val="0044710C"/>
    <w:rsid w:val="004505D3"/>
    <w:rsid w:val="00451A85"/>
    <w:rsid w:val="00452FD4"/>
    <w:rsid w:val="0045318A"/>
    <w:rsid w:val="0045362F"/>
    <w:rsid w:val="00454112"/>
    <w:rsid w:val="004547AE"/>
    <w:rsid w:val="00456307"/>
    <w:rsid w:val="004565DC"/>
    <w:rsid w:val="00456952"/>
    <w:rsid w:val="00456E69"/>
    <w:rsid w:val="004624F2"/>
    <w:rsid w:val="00462C91"/>
    <w:rsid w:val="00462EF6"/>
    <w:rsid w:val="00462F9E"/>
    <w:rsid w:val="00464B6F"/>
    <w:rsid w:val="0046642C"/>
    <w:rsid w:val="00467930"/>
    <w:rsid w:val="00467AFB"/>
    <w:rsid w:val="0047002C"/>
    <w:rsid w:val="00470649"/>
    <w:rsid w:val="0047068E"/>
    <w:rsid w:val="004712ED"/>
    <w:rsid w:val="004717C1"/>
    <w:rsid w:val="00471D26"/>
    <w:rsid w:val="00473039"/>
    <w:rsid w:val="0047330A"/>
    <w:rsid w:val="004738F1"/>
    <w:rsid w:val="00473980"/>
    <w:rsid w:val="00473E46"/>
    <w:rsid w:val="00473E55"/>
    <w:rsid w:val="00476AD3"/>
    <w:rsid w:val="00476F1C"/>
    <w:rsid w:val="00480597"/>
    <w:rsid w:val="00480A13"/>
    <w:rsid w:val="00480A2E"/>
    <w:rsid w:val="00480B40"/>
    <w:rsid w:val="00481A45"/>
    <w:rsid w:val="004828D3"/>
    <w:rsid w:val="00482DBE"/>
    <w:rsid w:val="0048306B"/>
    <w:rsid w:val="0048420D"/>
    <w:rsid w:val="0048541B"/>
    <w:rsid w:val="00485A9E"/>
    <w:rsid w:val="0048665A"/>
    <w:rsid w:val="0048731D"/>
    <w:rsid w:val="004914E7"/>
    <w:rsid w:val="00491DA4"/>
    <w:rsid w:val="00492E91"/>
    <w:rsid w:val="00493171"/>
    <w:rsid w:val="00493904"/>
    <w:rsid w:val="00494076"/>
    <w:rsid w:val="00494257"/>
    <w:rsid w:val="00494894"/>
    <w:rsid w:val="00494D9D"/>
    <w:rsid w:val="00495B13"/>
    <w:rsid w:val="004960A7"/>
    <w:rsid w:val="00497207"/>
    <w:rsid w:val="00497F03"/>
    <w:rsid w:val="004A0425"/>
    <w:rsid w:val="004A063A"/>
    <w:rsid w:val="004A07CF"/>
    <w:rsid w:val="004A1AAC"/>
    <w:rsid w:val="004A1C16"/>
    <w:rsid w:val="004A1CDD"/>
    <w:rsid w:val="004A24B7"/>
    <w:rsid w:val="004A275D"/>
    <w:rsid w:val="004A2B18"/>
    <w:rsid w:val="004A30FE"/>
    <w:rsid w:val="004A3B2D"/>
    <w:rsid w:val="004A3EAF"/>
    <w:rsid w:val="004A4306"/>
    <w:rsid w:val="004A6641"/>
    <w:rsid w:val="004A6694"/>
    <w:rsid w:val="004A6DA1"/>
    <w:rsid w:val="004A7388"/>
    <w:rsid w:val="004B016B"/>
    <w:rsid w:val="004B0290"/>
    <w:rsid w:val="004B131C"/>
    <w:rsid w:val="004B2271"/>
    <w:rsid w:val="004B27CC"/>
    <w:rsid w:val="004B2EBB"/>
    <w:rsid w:val="004B31E0"/>
    <w:rsid w:val="004B44ED"/>
    <w:rsid w:val="004B46B3"/>
    <w:rsid w:val="004B560C"/>
    <w:rsid w:val="004B5AC1"/>
    <w:rsid w:val="004B5F99"/>
    <w:rsid w:val="004B7583"/>
    <w:rsid w:val="004B7793"/>
    <w:rsid w:val="004B7F60"/>
    <w:rsid w:val="004C0CEC"/>
    <w:rsid w:val="004C476E"/>
    <w:rsid w:val="004C47C0"/>
    <w:rsid w:val="004C54C7"/>
    <w:rsid w:val="004C6643"/>
    <w:rsid w:val="004D0129"/>
    <w:rsid w:val="004D0B70"/>
    <w:rsid w:val="004D109E"/>
    <w:rsid w:val="004D13DF"/>
    <w:rsid w:val="004D261B"/>
    <w:rsid w:val="004D2B6D"/>
    <w:rsid w:val="004D6F0A"/>
    <w:rsid w:val="004D723B"/>
    <w:rsid w:val="004E259E"/>
    <w:rsid w:val="004E29D4"/>
    <w:rsid w:val="004E2B6A"/>
    <w:rsid w:val="004E2CB2"/>
    <w:rsid w:val="004E3091"/>
    <w:rsid w:val="004E40E3"/>
    <w:rsid w:val="004E4952"/>
    <w:rsid w:val="004E56D3"/>
    <w:rsid w:val="004E6365"/>
    <w:rsid w:val="004E6AC7"/>
    <w:rsid w:val="004E7443"/>
    <w:rsid w:val="004F08E0"/>
    <w:rsid w:val="004F189B"/>
    <w:rsid w:val="004F27CB"/>
    <w:rsid w:val="004F2C90"/>
    <w:rsid w:val="004F3262"/>
    <w:rsid w:val="004F3ADB"/>
    <w:rsid w:val="004F3CFA"/>
    <w:rsid w:val="004F417D"/>
    <w:rsid w:val="004F5B93"/>
    <w:rsid w:val="004F5E92"/>
    <w:rsid w:val="004F5F99"/>
    <w:rsid w:val="004F658A"/>
    <w:rsid w:val="00500E8F"/>
    <w:rsid w:val="005019E3"/>
    <w:rsid w:val="0050243D"/>
    <w:rsid w:val="0050270A"/>
    <w:rsid w:val="00503CA8"/>
    <w:rsid w:val="00505A18"/>
    <w:rsid w:val="00505B91"/>
    <w:rsid w:val="00505C60"/>
    <w:rsid w:val="0050668E"/>
    <w:rsid w:val="0050691C"/>
    <w:rsid w:val="00506BA0"/>
    <w:rsid w:val="00507477"/>
    <w:rsid w:val="005103D6"/>
    <w:rsid w:val="005104B1"/>
    <w:rsid w:val="005106DC"/>
    <w:rsid w:val="0051176D"/>
    <w:rsid w:val="00511B02"/>
    <w:rsid w:val="00513674"/>
    <w:rsid w:val="005138C4"/>
    <w:rsid w:val="005149CB"/>
    <w:rsid w:val="00514B4E"/>
    <w:rsid w:val="00515224"/>
    <w:rsid w:val="00517124"/>
    <w:rsid w:val="005175F1"/>
    <w:rsid w:val="00520750"/>
    <w:rsid w:val="005214C9"/>
    <w:rsid w:val="00521CF5"/>
    <w:rsid w:val="0052298A"/>
    <w:rsid w:val="00522BE9"/>
    <w:rsid w:val="00523196"/>
    <w:rsid w:val="005231EF"/>
    <w:rsid w:val="0052354A"/>
    <w:rsid w:val="0052492A"/>
    <w:rsid w:val="00525031"/>
    <w:rsid w:val="00526945"/>
    <w:rsid w:val="00527609"/>
    <w:rsid w:val="005279F1"/>
    <w:rsid w:val="00531A02"/>
    <w:rsid w:val="00532576"/>
    <w:rsid w:val="00533C49"/>
    <w:rsid w:val="00533F72"/>
    <w:rsid w:val="00535579"/>
    <w:rsid w:val="00535940"/>
    <w:rsid w:val="005359BA"/>
    <w:rsid w:val="005365CC"/>
    <w:rsid w:val="00537958"/>
    <w:rsid w:val="00537A48"/>
    <w:rsid w:val="00537E78"/>
    <w:rsid w:val="00537F6A"/>
    <w:rsid w:val="0054108A"/>
    <w:rsid w:val="00543252"/>
    <w:rsid w:val="005432E4"/>
    <w:rsid w:val="00543598"/>
    <w:rsid w:val="00543982"/>
    <w:rsid w:val="00543BE8"/>
    <w:rsid w:val="00543CF5"/>
    <w:rsid w:val="0054456B"/>
    <w:rsid w:val="00544BF9"/>
    <w:rsid w:val="00545506"/>
    <w:rsid w:val="00546BCF"/>
    <w:rsid w:val="00546C1B"/>
    <w:rsid w:val="00546C23"/>
    <w:rsid w:val="00551898"/>
    <w:rsid w:val="005525EF"/>
    <w:rsid w:val="0055329A"/>
    <w:rsid w:val="00554051"/>
    <w:rsid w:val="00554153"/>
    <w:rsid w:val="00554454"/>
    <w:rsid w:val="005547FD"/>
    <w:rsid w:val="00556B82"/>
    <w:rsid w:val="00557400"/>
    <w:rsid w:val="00557795"/>
    <w:rsid w:val="0056016B"/>
    <w:rsid w:val="00561415"/>
    <w:rsid w:val="005615A9"/>
    <w:rsid w:val="00562541"/>
    <w:rsid w:val="00562E8D"/>
    <w:rsid w:val="00565F2A"/>
    <w:rsid w:val="00566A72"/>
    <w:rsid w:val="00566D09"/>
    <w:rsid w:val="00571DFE"/>
    <w:rsid w:val="00571ED3"/>
    <w:rsid w:val="00573145"/>
    <w:rsid w:val="00573679"/>
    <w:rsid w:val="00573AAF"/>
    <w:rsid w:val="00574724"/>
    <w:rsid w:val="00574941"/>
    <w:rsid w:val="00575AD1"/>
    <w:rsid w:val="00575CA3"/>
    <w:rsid w:val="00576250"/>
    <w:rsid w:val="00576517"/>
    <w:rsid w:val="00576566"/>
    <w:rsid w:val="0057661F"/>
    <w:rsid w:val="0057729E"/>
    <w:rsid w:val="005775B8"/>
    <w:rsid w:val="00577729"/>
    <w:rsid w:val="005778B1"/>
    <w:rsid w:val="00577C54"/>
    <w:rsid w:val="005807C0"/>
    <w:rsid w:val="00580976"/>
    <w:rsid w:val="005827E0"/>
    <w:rsid w:val="00582EB1"/>
    <w:rsid w:val="0058353B"/>
    <w:rsid w:val="00585A10"/>
    <w:rsid w:val="00585E2C"/>
    <w:rsid w:val="00586EFD"/>
    <w:rsid w:val="00590423"/>
    <w:rsid w:val="00590DF3"/>
    <w:rsid w:val="00591379"/>
    <w:rsid w:val="00591695"/>
    <w:rsid w:val="00592094"/>
    <w:rsid w:val="00592188"/>
    <w:rsid w:val="00592CBE"/>
    <w:rsid w:val="005933A5"/>
    <w:rsid w:val="00594BEF"/>
    <w:rsid w:val="00596C8B"/>
    <w:rsid w:val="00597946"/>
    <w:rsid w:val="00597B9A"/>
    <w:rsid w:val="005A1444"/>
    <w:rsid w:val="005A1528"/>
    <w:rsid w:val="005A1F5C"/>
    <w:rsid w:val="005A2477"/>
    <w:rsid w:val="005A2705"/>
    <w:rsid w:val="005A2B5A"/>
    <w:rsid w:val="005A36F4"/>
    <w:rsid w:val="005A45AA"/>
    <w:rsid w:val="005A45D8"/>
    <w:rsid w:val="005A4E08"/>
    <w:rsid w:val="005A5072"/>
    <w:rsid w:val="005A5B93"/>
    <w:rsid w:val="005A7164"/>
    <w:rsid w:val="005B04A1"/>
    <w:rsid w:val="005B0CAD"/>
    <w:rsid w:val="005B1D70"/>
    <w:rsid w:val="005B35DE"/>
    <w:rsid w:val="005B4980"/>
    <w:rsid w:val="005B4A1A"/>
    <w:rsid w:val="005B6AD2"/>
    <w:rsid w:val="005B6D6A"/>
    <w:rsid w:val="005C0047"/>
    <w:rsid w:val="005C0AAD"/>
    <w:rsid w:val="005C0AAF"/>
    <w:rsid w:val="005C0AEE"/>
    <w:rsid w:val="005C1BE4"/>
    <w:rsid w:val="005C260D"/>
    <w:rsid w:val="005C268F"/>
    <w:rsid w:val="005C2B44"/>
    <w:rsid w:val="005C301C"/>
    <w:rsid w:val="005C4B1A"/>
    <w:rsid w:val="005C6960"/>
    <w:rsid w:val="005D20B1"/>
    <w:rsid w:val="005D282E"/>
    <w:rsid w:val="005D2995"/>
    <w:rsid w:val="005D4939"/>
    <w:rsid w:val="005D5A6B"/>
    <w:rsid w:val="005D5BE7"/>
    <w:rsid w:val="005D5D91"/>
    <w:rsid w:val="005D5E5E"/>
    <w:rsid w:val="005D6068"/>
    <w:rsid w:val="005D673A"/>
    <w:rsid w:val="005D7701"/>
    <w:rsid w:val="005D7CCF"/>
    <w:rsid w:val="005E10C1"/>
    <w:rsid w:val="005E1BCA"/>
    <w:rsid w:val="005E24E5"/>
    <w:rsid w:val="005E3493"/>
    <w:rsid w:val="005E3ACE"/>
    <w:rsid w:val="005E3FA2"/>
    <w:rsid w:val="005E4525"/>
    <w:rsid w:val="005E5C6A"/>
    <w:rsid w:val="005E60FD"/>
    <w:rsid w:val="005E6282"/>
    <w:rsid w:val="005E7473"/>
    <w:rsid w:val="005E768A"/>
    <w:rsid w:val="005F12B3"/>
    <w:rsid w:val="005F157F"/>
    <w:rsid w:val="005F20E2"/>
    <w:rsid w:val="005F24EC"/>
    <w:rsid w:val="005F3562"/>
    <w:rsid w:val="005F4448"/>
    <w:rsid w:val="005F4856"/>
    <w:rsid w:val="005F5D8D"/>
    <w:rsid w:val="005F62E3"/>
    <w:rsid w:val="005F63DF"/>
    <w:rsid w:val="005F6813"/>
    <w:rsid w:val="005F7429"/>
    <w:rsid w:val="005F7620"/>
    <w:rsid w:val="006001B1"/>
    <w:rsid w:val="0060179E"/>
    <w:rsid w:val="00602C94"/>
    <w:rsid w:val="00605B5D"/>
    <w:rsid w:val="0060616F"/>
    <w:rsid w:val="00606D98"/>
    <w:rsid w:val="006074EC"/>
    <w:rsid w:val="00610468"/>
    <w:rsid w:val="00611166"/>
    <w:rsid w:val="006111BE"/>
    <w:rsid w:val="0061127F"/>
    <w:rsid w:val="0061153C"/>
    <w:rsid w:val="00612823"/>
    <w:rsid w:val="0061363E"/>
    <w:rsid w:val="006136CC"/>
    <w:rsid w:val="00613EAC"/>
    <w:rsid w:val="00615B8E"/>
    <w:rsid w:val="00616101"/>
    <w:rsid w:val="006162B5"/>
    <w:rsid w:val="00617122"/>
    <w:rsid w:val="0061719A"/>
    <w:rsid w:val="00617521"/>
    <w:rsid w:val="00617E76"/>
    <w:rsid w:val="00620198"/>
    <w:rsid w:val="0062021A"/>
    <w:rsid w:val="00621FFF"/>
    <w:rsid w:val="00622E7E"/>
    <w:rsid w:val="00622E9E"/>
    <w:rsid w:val="00623611"/>
    <w:rsid w:val="00624619"/>
    <w:rsid w:val="00624E10"/>
    <w:rsid w:val="006257D4"/>
    <w:rsid w:val="00625ED6"/>
    <w:rsid w:val="006260BB"/>
    <w:rsid w:val="006260F4"/>
    <w:rsid w:val="006266D1"/>
    <w:rsid w:val="006276F9"/>
    <w:rsid w:val="00630B89"/>
    <w:rsid w:val="006317BF"/>
    <w:rsid w:val="00632311"/>
    <w:rsid w:val="00632AE6"/>
    <w:rsid w:val="00632D70"/>
    <w:rsid w:val="006339DF"/>
    <w:rsid w:val="00633DF7"/>
    <w:rsid w:val="00634440"/>
    <w:rsid w:val="006348EF"/>
    <w:rsid w:val="00634BA0"/>
    <w:rsid w:val="00634E73"/>
    <w:rsid w:val="0063727E"/>
    <w:rsid w:val="00640B38"/>
    <w:rsid w:val="006412B3"/>
    <w:rsid w:val="00641860"/>
    <w:rsid w:val="00642014"/>
    <w:rsid w:val="00642131"/>
    <w:rsid w:val="0064389D"/>
    <w:rsid w:val="0064394B"/>
    <w:rsid w:val="00643F85"/>
    <w:rsid w:val="006440B2"/>
    <w:rsid w:val="00644990"/>
    <w:rsid w:val="00644EBD"/>
    <w:rsid w:val="0064524A"/>
    <w:rsid w:val="00645540"/>
    <w:rsid w:val="00646ADC"/>
    <w:rsid w:val="00646D78"/>
    <w:rsid w:val="00647090"/>
    <w:rsid w:val="0064732F"/>
    <w:rsid w:val="00650FC6"/>
    <w:rsid w:val="0065114C"/>
    <w:rsid w:val="00651937"/>
    <w:rsid w:val="00651A7F"/>
    <w:rsid w:val="006523FA"/>
    <w:rsid w:val="00652A5A"/>
    <w:rsid w:val="006537FE"/>
    <w:rsid w:val="00653DE5"/>
    <w:rsid w:val="00654CB0"/>
    <w:rsid w:val="00656CEC"/>
    <w:rsid w:val="0065715D"/>
    <w:rsid w:val="00660AAD"/>
    <w:rsid w:val="00660C1E"/>
    <w:rsid w:val="00660DAC"/>
    <w:rsid w:val="006613F2"/>
    <w:rsid w:val="00661BF1"/>
    <w:rsid w:val="00662222"/>
    <w:rsid w:val="00662ED6"/>
    <w:rsid w:val="006648B9"/>
    <w:rsid w:val="00664D0D"/>
    <w:rsid w:val="00664F24"/>
    <w:rsid w:val="00666B0E"/>
    <w:rsid w:val="00671099"/>
    <w:rsid w:val="0067195E"/>
    <w:rsid w:val="00671DAE"/>
    <w:rsid w:val="0067296B"/>
    <w:rsid w:val="00674EFD"/>
    <w:rsid w:val="0067549E"/>
    <w:rsid w:val="00676DDA"/>
    <w:rsid w:val="006777B9"/>
    <w:rsid w:val="006803D4"/>
    <w:rsid w:val="00680B3C"/>
    <w:rsid w:val="00681D1F"/>
    <w:rsid w:val="006823AE"/>
    <w:rsid w:val="006845A5"/>
    <w:rsid w:val="00684B42"/>
    <w:rsid w:val="0068500E"/>
    <w:rsid w:val="0068512C"/>
    <w:rsid w:val="00685D6A"/>
    <w:rsid w:val="006863E4"/>
    <w:rsid w:val="00686A4F"/>
    <w:rsid w:val="00686E23"/>
    <w:rsid w:val="006878D4"/>
    <w:rsid w:val="00687B36"/>
    <w:rsid w:val="00690602"/>
    <w:rsid w:val="006924BE"/>
    <w:rsid w:val="0069283D"/>
    <w:rsid w:val="0069310A"/>
    <w:rsid w:val="00693D5C"/>
    <w:rsid w:val="00694428"/>
    <w:rsid w:val="00694DA5"/>
    <w:rsid w:val="006961FA"/>
    <w:rsid w:val="00697D1C"/>
    <w:rsid w:val="006A130A"/>
    <w:rsid w:val="006A25FD"/>
    <w:rsid w:val="006A527D"/>
    <w:rsid w:val="006A5C69"/>
    <w:rsid w:val="006A699F"/>
    <w:rsid w:val="006A6B0B"/>
    <w:rsid w:val="006A6C72"/>
    <w:rsid w:val="006A72C5"/>
    <w:rsid w:val="006A7574"/>
    <w:rsid w:val="006A7B56"/>
    <w:rsid w:val="006B3753"/>
    <w:rsid w:val="006B3E4D"/>
    <w:rsid w:val="006B49C0"/>
    <w:rsid w:val="006B5DA3"/>
    <w:rsid w:val="006B6FAB"/>
    <w:rsid w:val="006C16A1"/>
    <w:rsid w:val="006C1BD5"/>
    <w:rsid w:val="006C222A"/>
    <w:rsid w:val="006C288C"/>
    <w:rsid w:val="006C31C0"/>
    <w:rsid w:val="006C32D7"/>
    <w:rsid w:val="006C35D0"/>
    <w:rsid w:val="006C480F"/>
    <w:rsid w:val="006C4A7D"/>
    <w:rsid w:val="006C5AF9"/>
    <w:rsid w:val="006C6B2A"/>
    <w:rsid w:val="006C7545"/>
    <w:rsid w:val="006D0A25"/>
    <w:rsid w:val="006D0B33"/>
    <w:rsid w:val="006D1FB3"/>
    <w:rsid w:val="006D1FEF"/>
    <w:rsid w:val="006D23AD"/>
    <w:rsid w:val="006D2719"/>
    <w:rsid w:val="006D28D8"/>
    <w:rsid w:val="006D2D37"/>
    <w:rsid w:val="006D4290"/>
    <w:rsid w:val="006D48E8"/>
    <w:rsid w:val="006D65C2"/>
    <w:rsid w:val="006D7C5B"/>
    <w:rsid w:val="006E0BF9"/>
    <w:rsid w:val="006E1E9E"/>
    <w:rsid w:val="006E23F3"/>
    <w:rsid w:val="006E2584"/>
    <w:rsid w:val="006E369B"/>
    <w:rsid w:val="006E49A2"/>
    <w:rsid w:val="006E5402"/>
    <w:rsid w:val="006E59D3"/>
    <w:rsid w:val="006E5E2B"/>
    <w:rsid w:val="006F03C9"/>
    <w:rsid w:val="006F0BA6"/>
    <w:rsid w:val="006F1E4A"/>
    <w:rsid w:val="006F24C0"/>
    <w:rsid w:val="006F3024"/>
    <w:rsid w:val="006F3218"/>
    <w:rsid w:val="006F3F47"/>
    <w:rsid w:val="006F5303"/>
    <w:rsid w:val="006F5F15"/>
    <w:rsid w:val="006F7B25"/>
    <w:rsid w:val="00700110"/>
    <w:rsid w:val="007024ED"/>
    <w:rsid w:val="0070279D"/>
    <w:rsid w:val="00702B7D"/>
    <w:rsid w:val="00702E26"/>
    <w:rsid w:val="00703C11"/>
    <w:rsid w:val="0070420D"/>
    <w:rsid w:val="00704F5B"/>
    <w:rsid w:val="0070516A"/>
    <w:rsid w:val="0070633C"/>
    <w:rsid w:val="0071020E"/>
    <w:rsid w:val="00710729"/>
    <w:rsid w:val="007117B6"/>
    <w:rsid w:val="00711FE5"/>
    <w:rsid w:val="00712009"/>
    <w:rsid w:val="00712024"/>
    <w:rsid w:val="0071259A"/>
    <w:rsid w:val="0071323F"/>
    <w:rsid w:val="00713691"/>
    <w:rsid w:val="007137EB"/>
    <w:rsid w:val="007155FF"/>
    <w:rsid w:val="00715B71"/>
    <w:rsid w:val="00716E7A"/>
    <w:rsid w:val="007236C8"/>
    <w:rsid w:val="00724731"/>
    <w:rsid w:val="00724A74"/>
    <w:rsid w:val="00724E6F"/>
    <w:rsid w:val="00724FD3"/>
    <w:rsid w:val="007250F0"/>
    <w:rsid w:val="0072536D"/>
    <w:rsid w:val="00725850"/>
    <w:rsid w:val="00725BE7"/>
    <w:rsid w:val="00725F73"/>
    <w:rsid w:val="00726037"/>
    <w:rsid w:val="007272EB"/>
    <w:rsid w:val="00727E7F"/>
    <w:rsid w:val="0073033F"/>
    <w:rsid w:val="00730EE2"/>
    <w:rsid w:val="007322B8"/>
    <w:rsid w:val="00733F25"/>
    <w:rsid w:val="00735927"/>
    <w:rsid w:val="00735CBE"/>
    <w:rsid w:val="00735DA1"/>
    <w:rsid w:val="00736529"/>
    <w:rsid w:val="00740432"/>
    <w:rsid w:val="007410C7"/>
    <w:rsid w:val="00741545"/>
    <w:rsid w:val="0074170E"/>
    <w:rsid w:val="00742608"/>
    <w:rsid w:val="00743EAD"/>
    <w:rsid w:val="0074593E"/>
    <w:rsid w:val="00745B95"/>
    <w:rsid w:val="0074637B"/>
    <w:rsid w:val="00746FBB"/>
    <w:rsid w:val="00747BCE"/>
    <w:rsid w:val="00747C37"/>
    <w:rsid w:val="00752713"/>
    <w:rsid w:val="007545CB"/>
    <w:rsid w:val="007550C0"/>
    <w:rsid w:val="00755C35"/>
    <w:rsid w:val="007578C1"/>
    <w:rsid w:val="00757E1C"/>
    <w:rsid w:val="0076093B"/>
    <w:rsid w:val="00760A0D"/>
    <w:rsid w:val="007619FA"/>
    <w:rsid w:val="00762783"/>
    <w:rsid w:val="00762E8E"/>
    <w:rsid w:val="00762E9B"/>
    <w:rsid w:val="00763109"/>
    <w:rsid w:val="007636C3"/>
    <w:rsid w:val="00763997"/>
    <w:rsid w:val="00764480"/>
    <w:rsid w:val="0076596F"/>
    <w:rsid w:val="00766180"/>
    <w:rsid w:val="00767B50"/>
    <w:rsid w:val="00772887"/>
    <w:rsid w:val="00772B31"/>
    <w:rsid w:val="00772DA9"/>
    <w:rsid w:val="00773544"/>
    <w:rsid w:val="0077373A"/>
    <w:rsid w:val="0077385A"/>
    <w:rsid w:val="007738AC"/>
    <w:rsid w:val="007741AF"/>
    <w:rsid w:val="007744F4"/>
    <w:rsid w:val="00775EF4"/>
    <w:rsid w:val="007767F0"/>
    <w:rsid w:val="00776F7C"/>
    <w:rsid w:val="007803B4"/>
    <w:rsid w:val="00780FE6"/>
    <w:rsid w:val="0078275F"/>
    <w:rsid w:val="0078282F"/>
    <w:rsid w:val="00783B02"/>
    <w:rsid w:val="00784E5F"/>
    <w:rsid w:val="00785483"/>
    <w:rsid w:val="00785632"/>
    <w:rsid w:val="00785B05"/>
    <w:rsid w:val="00785C1A"/>
    <w:rsid w:val="00785CA9"/>
    <w:rsid w:val="00785E68"/>
    <w:rsid w:val="00786ACA"/>
    <w:rsid w:val="00790A95"/>
    <w:rsid w:val="00790DE6"/>
    <w:rsid w:val="007911DA"/>
    <w:rsid w:val="00791A01"/>
    <w:rsid w:val="00792D0C"/>
    <w:rsid w:val="00793D54"/>
    <w:rsid w:val="00793FEC"/>
    <w:rsid w:val="0079576B"/>
    <w:rsid w:val="00795D6D"/>
    <w:rsid w:val="007977BF"/>
    <w:rsid w:val="007977F5"/>
    <w:rsid w:val="007A023B"/>
    <w:rsid w:val="007A142D"/>
    <w:rsid w:val="007A1AB4"/>
    <w:rsid w:val="007A2C1C"/>
    <w:rsid w:val="007A41FC"/>
    <w:rsid w:val="007A58E5"/>
    <w:rsid w:val="007A5AC8"/>
    <w:rsid w:val="007A5CA5"/>
    <w:rsid w:val="007A62AC"/>
    <w:rsid w:val="007A6695"/>
    <w:rsid w:val="007A7DD6"/>
    <w:rsid w:val="007B0436"/>
    <w:rsid w:val="007B0723"/>
    <w:rsid w:val="007B1460"/>
    <w:rsid w:val="007B14BE"/>
    <w:rsid w:val="007B1C68"/>
    <w:rsid w:val="007B1E1C"/>
    <w:rsid w:val="007B23A7"/>
    <w:rsid w:val="007B304E"/>
    <w:rsid w:val="007B33CD"/>
    <w:rsid w:val="007B37F1"/>
    <w:rsid w:val="007B391C"/>
    <w:rsid w:val="007B482C"/>
    <w:rsid w:val="007B505D"/>
    <w:rsid w:val="007B67B0"/>
    <w:rsid w:val="007C03FB"/>
    <w:rsid w:val="007C10BC"/>
    <w:rsid w:val="007C19FB"/>
    <w:rsid w:val="007C4439"/>
    <w:rsid w:val="007C4456"/>
    <w:rsid w:val="007C48B1"/>
    <w:rsid w:val="007C5260"/>
    <w:rsid w:val="007C5597"/>
    <w:rsid w:val="007C710A"/>
    <w:rsid w:val="007D01C0"/>
    <w:rsid w:val="007D13CC"/>
    <w:rsid w:val="007D1D47"/>
    <w:rsid w:val="007D3D49"/>
    <w:rsid w:val="007D3FA4"/>
    <w:rsid w:val="007D4917"/>
    <w:rsid w:val="007D4BD4"/>
    <w:rsid w:val="007D5495"/>
    <w:rsid w:val="007D5AEC"/>
    <w:rsid w:val="007D5C08"/>
    <w:rsid w:val="007D5E58"/>
    <w:rsid w:val="007D62C2"/>
    <w:rsid w:val="007D62EF"/>
    <w:rsid w:val="007D6F54"/>
    <w:rsid w:val="007D6FBF"/>
    <w:rsid w:val="007E0033"/>
    <w:rsid w:val="007E014A"/>
    <w:rsid w:val="007E02A6"/>
    <w:rsid w:val="007E0B4A"/>
    <w:rsid w:val="007E2779"/>
    <w:rsid w:val="007E3315"/>
    <w:rsid w:val="007E379E"/>
    <w:rsid w:val="007E38DD"/>
    <w:rsid w:val="007E4151"/>
    <w:rsid w:val="007E4653"/>
    <w:rsid w:val="007E5574"/>
    <w:rsid w:val="007E5B9C"/>
    <w:rsid w:val="007E66D3"/>
    <w:rsid w:val="007F007F"/>
    <w:rsid w:val="007F0EE1"/>
    <w:rsid w:val="007F123A"/>
    <w:rsid w:val="007F4DD5"/>
    <w:rsid w:val="007F5B4B"/>
    <w:rsid w:val="007F5B73"/>
    <w:rsid w:val="007F5DD8"/>
    <w:rsid w:val="007F62F6"/>
    <w:rsid w:val="007F7460"/>
    <w:rsid w:val="007F7A8D"/>
    <w:rsid w:val="007F7D11"/>
    <w:rsid w:val="00801566"/>
    <w:rsid w:val="00801626"/>
    <w:rsid w:val="00802171"/>
    <w:rsid w:val="0080431D"/>
    <w:rsid w:val="0080444F"/>
    <w:rsid w:val="00804B1F"/>
    <w:rsid w:val="00804B4C"/>
    <w:rsid w:val="00804D96"/>
    <w:rsid w:val="00805A4D"/>
    <w:rsid w:val="00805F96"/>
    <w:rsid w:val="00806BE2"/>
    <w:rsid w:val="0080756A"/>
    <w:rsid w:val="00810DB3"/>
    <w:rsid w:val="00811BCA"/>
    <w:rsid w:val="0081292D"/>
    <w:rsid w:val="00812C2C"/>
    <w:rsid w:val="008151EF"/>
    <w:rsid w:val="0081539A"/>
    <w:rsid w:val="008154C2"/>
    <w:rsid w:val="00816777"/>
    <w:rsid w:val="00816E49"/>
    <w:rsid w:val="008170E4"/>
    <w:rsid w:val="00817380"/>
    <w:rsid w:val="0082101E"/>
    <w:rsid w:val="0082126F"/>
    <w:rsid w:val="00821467"/>
    <w:rsid w:val="00821D46"/>
    <w:rsid w:val="00822D95"/>
    <w:rsid w:val="00823025"/>
    <w:rsid w:val="0082359A"/>
    <w:rsid w:val="0082366C"/>
    <w:rsid w:val="008246E0"/>
    <w:rsid w:val="00824FF2"/>
    <w:rsid w:val="00825AA4"/>
    <w:rsid w:val="00826827"/>
    <w:rsid w:val="008272D4"/>
    <w:rsid w:val="00827D58"/>
    <w:rsid w:val="00833E1A"/>
    <w:rsid w:val="008344BB"/>
    <w:rsid w:val="008362D4"/>
    <w:rsid w:val="00836419"/>
    <w:rsid w:val="00836648"/>
    <w:rsid w:val="0083751A"/>
    <w:rsid w:val="00840E65"/>
    <w:rsid w:val="00841236"/>
    <w:rsid w:val="0084148F"/>
    <w:rsid w:val="00841DCC"/>
    <w:rsid w:val="00842365"/>
    <w:rsid w:val="00844BC3"/>
    <w:rsid w:val="00844F37"/>
    <w:rsid w:val="0084599F"/>
    <w:rsid w:val="00846551"/>
    <w:rsid w:val="008469E3"/>
    <w:rsid w:val="00846F5A"/>
    <w:rsid w:val="008470DD"/>
    <w:rsid w:val="00850284"/>
    <w:rsid w:val="00850F96"/>
    <w:rsid w:val="0085112C"/>
    <w:rsid w:val="008512E0"/>
    <w:rsid w:val="00851FB1"/>
    <w:rsid w:val="00852FD2"/>
    <w:rsid w:val="00854D8C"/>
    <w:rsid w:val="00855105"/>
    <w:rsid w:val="008560FD"/>
    <w:rsid w:val="0085627C"/>
    <w:rsid w:val="0085664E"/>
    <w:rsid w:val="008567EF"/>
    <w:rsid w:val="0085799F"/>
    <w:rsid w:val="00857A40"/>
    <w:rsid w:val="00860779"/>
    <w:rsid w:val="008608D2"/>
    <w:rsid w:val="00860ECF"/>
    <w:rsid w:val="008611BA"/>
    <w:rsid w:val="00861B73"/>
    <w:rsid w:val="008620C9"/>
    <w:rsid w:val="00862696"/>
    <w:rsid w:val="008668D0"/>
    <w:rsid w:val="00866A30"/>
    <w:rsid w:val="00867D93"/>
    <w:rsid w:val="00871014"/>
    <w:rsid w:val="008711BE"/>
    <w:rsid w:val="008730B1"/>
    <w:rsid w:val="008731DA"/>
    <w:rsid w:val="0087339E"/>
    <w:rsid w:val="00873769"/>
    <w:rsid w:val="00873E47"/>
    <w:rsid w:val="0087448C"/>
    <w:rsid w:val="00874902"/>
    <w:rsid w:val="00874E20"/>
    <w:rsid w:val="00877B6F"/>
    <w:rsid w:val="0088137C"/>
    <w:rsid w:val="00881700"/>
    <w:rsid w:val="0088306B"/>
    <w:rsid w:val="0088356D"/>
    <w:rsid w:val="00883850"/>
    <w:rsid w:val="00883B1C"/>
    <w:rsid w:val="00884421"/>
    <w:rsid w:val="008856BA"/>
    <w:rsid w:val="00886758"/>
    <w:rsid w:val="00886879"/>
    <w:rsid w:val="0089154F"/>
    <w:rsid w:val="00892E67"/>
    <w:rsid w:val="0089316F"/>
    <w:rsid w:val="008938C4"/>
    <w:rsid w:val="008940A6"/>
    <w:rsid w:val="0089525B"/>
    <w:rsid w:val="00895604"/>
    <w:rsid w:val="00895F78"/>
    <w:rsid w:val="00896244"/>
    <w:rsid w:val="008964E4"/>
    <w:rsid w:val="00896EF6"/>
    <w:rsid w:val="008971AA"/>
    <w:rsid w:val="00897E9B"/>
    <w:rsid w:val="008A01CC"/>
    <w:rsid w:val="008A0A4B"/>
    <w:rsid w:val="008A204B"/>
    <w:rsid w:val="008A4D3E"/>
    <w:rsid w:val="008A4E46"/>
    <w:rsid w:val="008A645A"/>
    <w:rsid w:val="008A656C"/>
    <w:rsid w:val="008A705E"/>
    <w:rsid w:val="008B081C"/>
    <w:rsid w:val="008B27DD"/>
    <w:rsid w:val="008B319F"/>
    <w:rsid w:val="008B4BBD"/>
    <w:rsid w:val="008B5285"/>
    <w:rsid w:val="008B6717"/>
    <w:rsid w:val="008B6C77"/>
    <w:rsid w:val="008B6F6A"/>
    <w:rsid w:val="008B70D9"/>
    <w:rsid w:val="008C09AE"/>
    <w:rsid w:val="008C0F28"/>
    <w:rsid w:val="008C3DEA"/>
    <w:rsid w:val="008C4FBD"/>
    <w:rsid w:val="008C526E"/>
    <w:rsid w:val="008C54BE"/>
    <w:rsid w:val="008C6602"/>
    <w:rsid w:val="008C708A"/>
    <w:rsid w:val="008C7C8E"/>
    <w:rsid w:val="008C7F67"/>
    <w:rsid w:val="008D0710"/>
    <w:rsid w:val="008D1008"/>
    <w:rsid w:val="008D1DDB"/>
    <w:rsid w:val="008D2322"/>
    <w:rsid w:val="008D36DF"/>
    <w:rsid w:val="008D4638"/>
    <w:rsid w:val="008D5D7D"/>
    <w:rsid w:val="008E089F"/>
    <w:rsid w:val="008E0D8A"/>
    <w:rsid w:val="008E1B5D"/>
    <w:rsid w:val="008E23F4"/>
    <w:rsid w:val="008E257A"/>
    <w:rsid w:val="008E4C9C"/>
    <w:rsid w:val="008E6493"/>
    <w:rsid w:val="008E6552"/>
    <w:rsid w:val="008E66A9"/>
    <w:rsid w:val="008E66EE"/>
    <w:rsid w:val="008E6C1A"/>
    <w:rsid w:val="008E7461"/>
    <w:rsid w:val="008F0754"/>
    <w:rsid w:val="008F0951"/>
    <w:rsid w:val="008F154D"/>
    <w:rsid w:val="008F1B9C"/>
    <w:rsid w:val="008F27E7"/>
    <w:rsid w:val="008F349B"/>
    <w:rsid w:val="008F40E9"/>
    <w:rsid w:val="008F4B5A"/>
    <w:rsid w:val="008F4DDA"/>
    <w:rsid w:val="008F5A78"/>
    <w:rsid w:val="008F5AF3"/>
    <w:rsid w:val="008F6079"/>
    <w:rsid w:val="008F6760"/>
    <w:rsid w:val="008F67E4"/>
    <w:rsid w:val="008F70A3"/>
    <w:rsid w:val="008F7A79"/>
    <w:rsid w:val="008F7C4C"/>
    <w:rsid w:val="008F7EE3"/>
    <w:rsid w:val="0090067B"/>
    <w:rsid w:val="009013E5"/>
    <w:rsid w:val="009023B1"/>
    <w:rsid w:val="0090279A"/>
    <w:rsid w:val="009039ED"/>
    <w:rsid w:val="00903EFE"/>
    <w:rsid w:val="00904454"/>
    <w:rsid w:val="009045AA"/>
    <w:rsid w:val="009047F4"/>
    <w:rsid w:val="009065A1"/>
    <w:rsid w:val="00906D6D"/>
    <w:rsid w:val="0090705A"/>
    <w:rsid w:val="00907336"/>
    <w:rsid w:val="009074A3"/>
    <w:rsid w:val="00907E21"/>
    <w:rsid w:val="00907E79"/>
    <w:rsid w:val="00907EC1"/>
    <w:rsid w:val="0091041D"/>
    <w:rsid w:val="00911754"/>
    <w:rsid w:val="00912266"/>
    <w:rsid w:val="00912E79"/>
    <w:rsid w:val="00915666"/>
    <w:rsid w:val="00916E29"/>
    <w:rsid w:val="00916ECC"/>
    <w:rsid w:val="00917E95"/>
    <w:rsid w:val="00920493"/>
    <w:rsid w:val="00921C94"/>
    <w:rsid w:val="00922486"/>
    <w:rsid w:val="00922C98"/>
    <w:rsid w:val="009234D3"/>
    <w:rsid w:val="0092351D"/>
    <w:rsid w:val="00923AB9"/>
    <w:rsid w:val="00925110"/>
    <w:rsid w:val="009256E0"/>
    <w:rsid w:val="00926E9C"/>
    <w:rsid w:val="00931270"/>
    <w:rsid w:val="009313E2"/>
    <w:rsid w:val="00931828"/>
    <w:rsid w:val="00931D27"/>
    <w:rsid w:val="00932095"/>
    <w:rsid w:val="00932DF2"/>
    <w:rsid w:val="00932FD9"/>
    <w:rsid w:val="00933C9B"/>
    <w:rsid w:val="00933E76"/>
    <w:rsid w:val="0093414E"/>
    <w:rsid w:val="00934174"/>
    <w:rsid w:val="00934907"/>
    <w:rsid w:val="00934A7D"/>
    <w:rsid w:val="00936930"/>
    <w:rsid w:val="0093693E"/>
    <w:rsid w:val="00937729"/>
    <w:rsid w:val="00937BB2"/>
    <w:rsid w:val="00940029"/>
    <w:rsid w:val="00940F5D"/>
    <w:rsid w:val="00942003"/>
    <w:rsid w:val="009437C7"/>
    <w:rsid w:val="0094391B"/>
    <w:rsid w:val="00943AD3"/>
    <w:rsid w:val="00944796"/>
    <w:rsid w:val="00944888"/>
    <w:rsid w:val="00944E58"/>
    <w:rsid w:val="009456EB"/>
    <w:rsid w:val="00945A3F"/>
    <w:rsid w:val="00947D8D"/>
    <w:rsid w:val="00950807"/>
    <w:rsid w:val="00950E7E"/>
    <w:rsid w:val="00951370"/>
    <w:rsid w:val="00951A7C"/>
    <w:rsid w:val="009521FC"/>
    <w:rsid w:val="0095249A"/>
    <w:rsid w:val="00953275"/>
    <w:rsid w:val="0095373F"/>
    <w:rsid w:val="00953BBE"/>
    <w:rsid w:val="009548FC"/>
    <w:rsid w:val="00954F74"/>
    <w:rsid w:val="00955365"/>
    <w:rsid w:val="009556D6"/>
    <w:rsid w:val="00955EC4"/>
    <w:rsid w:val="0095634C"/>
    <w:rsid w:val="00956884"/>
    <w:rsid w:val="00957866"/>
    <w:rsid w:val="0095790D"/>
    <w:rsid w:val="00957C45"/>
    <w:rsid w:val="0096061F"/>
    <w:rsid w:val="0096088C"/>
    <w:rsid w:val="00961A88"/>
    <w:rsid w:val="00961B6E"/>
    <w:rsid w:val="00963FC9"/>
    <w:rsid w:val="00965866"/>
    <w:rsid w:val="0096713B"/>
    <w:rsid w:val="009673C1"/>
    <w:rsid w:val="0096787B"/>
    <w:rsid w:val="00971973"/>
    <w:rsid w:val="00972288"/>
    <w:rsid w:val="00972A2A"/>
    <w:rsid w:val="0097469D"/>
    <w:rsid w:val="00974CF9"/>
    <w:rsid w:val="00975099"/>
    <w:rsid w:val="00975867"/>
    <w:rsid w:val="00975BA3"/>
    <w:rsid w:val="0097669D"/>
    <w:rsid w:val="0097783D"/>
    <w:rsid w:val="009778DF"/>
    <w:rsid w:val="009810F1"/>
    <w:rsid w:val="009814C0"/>
    <w:rsid w:val="00981837"/>
    <w:rsid w:val="009818C5"/>
    <w:rsid w:val="0098293F"/>
    <w:rsid w:val="00982D06"/>
    <w:rsid w:val="009854B6"/>
    <w:rsid w:val="0098550A"/>
    <w:rsid w:val="00985510"/>
    <w:rsid w:val="009871C9"/>
    <w:rsid w:val="00987CB5"/>
    <w:rsid w:val="00987F6B"/>
    <w:rsid w:val="00991133"/>
    <w:rsid w:val="00991C27"/>
    <w:rsid w:val="009920DE"/>
    <w:rsid w:val="00992181"/>
    <w:rsid w:val="00993700"/>
    <w:rsid w:val="00994EE3"/>
    <w:rsid w:val="00995114"/>
    <w:rsid w:val="00995335"/>
    <w:rsid w:val="00997783"/>
    <w:rsid w:val="00997784"/>
    <w:rsid w:val="009A09BA"/>
    <w:rsid w:val="009A0B4A"/>
    <w:rsid w:val="009A14FA"/>
    <w:rsid w:val="009A1954"/>
    <w:rsid w:val="009A1DA3"/>
    <w:rsid w:val="009A3749"/>
    <w:rsid w:val="009A44EA"/>
    <w:rsid w:val="009A58F2"/>
    <w:rsid w:val="009A6E64"/>
    <w:rsid w:val="009A71B1"/>
    <w:rsid w:val="009A7831"/>
    <w:rsid w:val="009A7EC0"/>
    <w:rsid w:val="009B0AF8"/>
    <w:rsid w:val="009B14F1"/>
    <w:rsid w:val="009B2455"/>
    <w:rsid w:val="009B2AED"/>
    <w:rsid w:val="009B34E5"/>
    <w:rsid w:val="009B4C56"/>
    <w:rsid w:val="009B59AE"/>
    <w:rsid w:val="009B5DC3"/>
    <w:rsid w:val="009B6FC5"/>
    <w:rsid w:val="009C1067"/>
    <w:rsid w:val="009C2ADC"/>
    <w:rsid w:val="009C310A"/>
    <w:rsid w:val="009C3BA8"/>
    <w:rsid w:val="009C3E8C"/>
    <w:rsid w:val="009C45F5"/>
    <w:rsid w:val="009C49C8"/>
    <w:rsid w:val="009C560F"/>
    <w:rsid w:val="009C65BB"/>
    <w:rsid w:val="009C6825"/>
    <w:rsid w:val="009C7357"/>
    <w:rsid w:val="009C789B"/>
    <w:rsid w:val="009C7B7E"/>
    <w:rsid w:val="009C7F4B"/>
    <w:rsid w:val="009D0327"/>
    <w:rsid w:val="009D1788"/>
    <w:rsid w:val="009D227D"/>
    <w:rsid w:val="009D2E56"/>
    <w:rsid w:val="009D3D62"/>
    <w:rsid w:val="009D4D09"/>
    <w:rsid w:val="009D6029"/>
    <w:rsid w:val="009D62D9"/>
    <w:rsid w:val="009D6B4D"/>
    <w:rsid w:val="009D7BD7"/>
    <w:rsid w:val="009D7BE8"/>
    <w:rsid w:val="009E088E"/>
    <w:rsid w:val="009E2A5C"/>
    <w:rsid w:val="009E5707"/>
    <w:rsid w:val="009E580B"/>
    <w:rsid w:val="009E5E5A"/>
    <w:rsid w:val="009E6214"/>
    <w:rsid w:val="009E698D"/>
    <w:rsid w:val="009E7EE2"/>
    <w:rsid w:val="009F07FF"/>
    <w:rsid w:val="009F120B"/>
    <w:rsid w:val="009F1434"/>
    <w:rsid w:val="009F17D8"/>
    <w:rsid w:val="009F1975"/>
    <w:rsid w:val="009F1B89"/>
    <w:rsid w:val="009F21D9"/>
    <w:rsid w:val="009F3231"/>
    <w:rsid w:val="009F3ADF"/>
    <w:rsid w:val="009F5E81"/>
    <w:rsid w:val="009F611C"/>
    <w:rsid w:val="009F6B53"/>
    <w:rsid w:val="009F73A7"/>
    <w:rsid w:val="009F7EAE"/>
    <w:rsid w:val="00A00AF7"/>
    <w:rsid w:val="00A00B06"/>
    <w:rsid w:val="00A00B0B"/>
    <w:rsid w:val="00A0162C"/>
    <w:rsid w:val="00A02B0B"/>
    <w:rsid w:val="00A02F44"/>
    <w:rsid w:val="00A0306D"/>
    <w:rsid w:val="00A0361C"/>
    <w:rsid w:val="00A03BEE"/>
    <w:rsid w:val="00A03F51"/>
    <w:rsid w:val="00A0596E"/>
    <w:rsid w:val="00A05CF6"/>
    <w:rsid w:val="00A07636"/>
    <w:rsid w:val="00A10217"/>
    <w:rsid w:val="00A111D5"/>
    <w:rsid w:val="00A11C62"/>
    <w:rsid w:val="00A11E40"/>
    <w:rsid w:val="00A12248"/>
    <w:rsid w:val="00A126C0"/>
    <w:rsid w:val="00A15C2E"/>
    <w:rsid w:val="00A15CA8"/>
    <w:rsid w:val="00A168DE"/>
    <w:rsid w:val="00A23CE2"/>
    <w:rsid w:val="00A24457"/>
    <w:rsid w:val="00A2470D"/>
    <w:rsid w:val="00A24ECC"/>
    <w:rsid w:val="00A2570F"/>
    <w:rsid w:val="00A26021"/>
    <w:rsid w:val="00A26061"/>
    <w:rsid w:val="00A26DDC"/>
    <w:rsid w:val="00A272A6"/>
    <w:rsid w:val="00A30A55"/>
    <w:rsid w:val="00A30A6D"/>
    <w:rsid w:val="00A30B4B"/>
    <w:rsid w:val="00A318A5"/>
    <w:rsid w:val="00A31A89"/>
    <w:rsid w:val="00A31C28"/>
    <w:rsid w:val="00A320E7"/>
    <w:rsid w:val="00A3291A"/>
    <w:rsid w:val="00A32D28"/>
    <w:rsid w:val="00A3344A"/>
    <w:rsid w:val="00A34AE2"/>
    <w:rsid w:val="00A34E3B"/>
    <w:rsid w:val="00A35154"/>
    <w:rsid w:val="00A35C0E"/>
    <w:rsid w:val="00A3659D"/>
    <w:rsid w:val="00A4099F"/>
    <w:rsid w:val="00A40BD2"/>
    <w:rsid w:val="00A40DF0"/>
    <w:rsid w:val="00A41745"/>
    <w:rsid w:val="00A42EA3"/>
    <w:rsid w:val="00A438A3"/>
    <w:rsid w:val="00A43A37"/>
    <w:rsid w:val="00A43C95"/>
    <w:rsid w:val="00A4500A"/>
    <w:rsid w:val="00A45B5D"/>
    <w:rsid w:val="00A466C3"/>
    <w:rsid w:val="00A46867"/>
    <w:rsid w:val="00A46891"/>
    <w:rsid w:val="00A51A1F"/>
    <w:rsid w:val="00A51BCC"/>
    <w:rsid w:val="00A53F84"/>
    <w:rsid w:val="00A54D78"/>
    <w:rsid w:val="00A54FEE"/>
    <w:rsid w:val="00A552CE"/>
    <w:rsid w:val="00A55534"/>
    <w:rsid w:val="00A565FA"/>
    <w:rsid w:val="00A56C0A"/>
    <w:rsid w:val="00A579D0"/>
    <w:rsid w:val="00A60C9A"/>
    <w:rsid w:val="00A6194C"/>
    <w:rsid w:val="00A61E48"/>
    <w:rsid w:val="00A63DCE"/>
    <w:rsid w:val="00A64002"/>
    <w:rsid w:val="00A6539D"/>
    <w:rsid w:val="00A6678B"/>
    <w:rsid w:val="00A6751F"/>
    <w:rsid w:val="00A67944"/>
    <w:rsid w:val="00A70D58"/>
    <w:rsid w:val="00A71162"/>
    <w:rsid w:val="00A711E9"/>
    <w:rsid w:val="00A71A52"/>
    <w:rsid w:val="00A72015"/>
    <w:rsid w:val="00A72192"/>
    <w:rsid w:val="00A72D42"/>
    <w:rsid w:val="00A73631"/>
    <w:rsid w:val="00A7363C"/>
    <w:rsid w:val="00A7366E"/>
    <w:rsid w:val="00A75404"/>
    <w:rsid w:val="00A75478"/>
    <w:rsid w:val="00A76924"/>
    <w:rsid w:val="00A77312"/>
    <w:rsid w:val="00A77C58"/>
    <w:rsid w:val="00A81E3C"/>
    <w:rsid w:val="00A82BA5"/>
    <w:rsid w:val="00A83341"/>
    <w:rsid w:val="00A836DC"/>
    <w:rsid w:val="00A8527F"/>
    <w:rsid w:val="00A85638"/>
    <w:rsid w:val="00A87073"/>
    <w:rsid w:val="00A90221"/>
    <w:rsid w:val="00A907E3"/>
    <w:rsid w:val="00A91128"/>
    <w:rsid w:val="00A91644"/>
    <w:rsid w:val="00A93CEB"/>
    <w:rsid w:val="00A942C0"/>
    <w:rsid w:val="00A94E9D"/>
    <w:rsid w:val="00A95110"/>
    <w:rsid w:val="00A95E17"/>
    <w:rsid w:val="00A95FC8"/>
    <w:rsid w:val="00A9635B"/>
    <w:rsid w:val="00A96458"/>
    <w:rsid w:val="00A9682C"/>
    <w:rsid w:val="00A969DF"/>
    <w:rsid w:val="00A978AA"/>
    <w:rsid w:val="00AA08A1"/>
    <w:rsid w:val="00AA127E"/>
    <w:rsid w:val="00AA1701"/>
    <w:rsid w:val="00AA171A"/>
    <w:rsid w:val="00AA2FCF"/>
    <w:rsid w:val="00AA3321"/>
    <w:rsid w:val="00AA401F"/>
    <w:rsid w:val="00AA4A40"/>
    <w:rsid w:val="00AA4B4D"/>
    <w:rsid w:val="00AA53EB"/>
    <w:rsid w:val="00AA5A06"/>
    <w:rsid w:val="00AA6979"/>
    <w:rsid w:val="00AA7BE1"/>
    <w:rsid w:val="00AA7C30"/>
    <w:rsid w:val="00AB02A8"/>
    <w:rsid w:val="00AB3136"/>
    <w:rsid w:val="00AB7D4E"/>
    <w:rsid w:val="00AC03F6"/>
    <w:rsid w:val="00AC0CFB"/>
    <w:rsid w:val="00AC1A31"/>
    <w:rsid w:val="00AC1B83"/>
    <w:rsid w:val="00AC23E6"/>
    <w:rsid w:val="00AC2E90"/>
    <w:rsid w:val="00AC36BD"/>
    <w:rsid w:val="00AC5BF7"/>
    <w:rsid w:val="00AC5E6F"/>
    <w:rsid w:val="00AC5F3D"/>
    <w:rsid w:val="00AC6534"/>
    <w:rsid w:val="00AC6E63"/>
    <w:rsid w:val="00AD012A"/>
    <w:rsid w:val="00AD0D3D"/>
    <w:rsid w:val="00AD26B6"/>
    <w:rsid w:val="00AD2DEB"/>
    <w:rsid w:val="00AD35FB"/>
    <w:rsid w:val="00AD535E"/>
    <w:rsid w:val="00AD7C1B"/>
    <w:rsid w:val="00AD7CAC"/>
    <w:rsid w:val="00AD7DF1"/>
    <w:rsid w:val="00AE0B1E"/>
    <w:rsid w:val="00AE1244"/>
    <w:rsid w:val="00AE1302"/>
    <w:rsid w:val="00AE2EC6"/>
    <w:rsid w:val="00AE310F"/>
    <w:rsid w:val="00AE31A1"/>
    <w:rsid w:val="00AE3479"/>
    <w:rsid w:val="00AE3821"/>
    <w:rsid w:val="00AE4557"/>
    <w:rsid w:val="00AE56C6"/>
    <w:rsid w:val="00AE6BAC"/>
    <w:rsid w:val="00AE7814"/>
    <w:rsid w:val="00AE78A2"/>
    <w:rsid w:val="00AF0056"/>
    <w:rsid w:val="00AF0289"/>
    <w:rsid w:val="00AF057B"/>
    <w:rsid w:val="00AF287F"/>
    <w:rsid w:val="00AF2C8B"/>
    <w:rsid w:val="00AF3335"/>
    <w:rsid w:val="00AF365C"/>
    <w:rsid w:val="00AF3FDD"/>
    <w:rsid w:val="00AF4534"/>
    <w:rsid w:val="00AF610C"/>
    <w:rsid w:val="00AF651C"/>
    <w:rsid w:val="00AF663B"/>
    <w:rsid w:val="00AF6868"/>
    <w:rsid w:val="00AF6C7E"/>
    <w:rsid w:val="00AF6FFA"/>
    <w:rsid w:val="00B00197"/>
    <w:rsid w:val="00B00244"/>
    <w:rsid w:val="00B00C82"/>
    <w:rsid w:val="00B00EAA"/>
    <w:rsid w:val="00B01042"/>
    <w:rsid w:val="00B01FE2"/>
    <w:rsid w:val="00B02D56"/>
    <w:rsid w:val="00B0340C"/>
    <w:rsid w:val="00B05333"/>
    <w:rsid w:val="00B05434"/>
    <w:rsid w:val="00B05755"/>
    <w:rsid w:val="00B05855"/>
    <w:rsid w:val="00B064FC"/>
    <w:rsid w:val="00B06C6A"/>
    <w:rsid w:val="00B079DF"/>
    <w:rsid w:val="00B07D62"/>
    <w:rsid w:val="00B10897"/>
    <w:rsid w:val="00B10D29"/>
    <w:rsid w:val="00B10F74"/>
    <w:rsid w:val="00B11502"/>
    <w:rsid w:val="00B120B6"/>
    <w:rsid w:val="00B125E6"/>
    <w:rsid w:val="00B132E9"/>
    <w:rsid w:val="00B136D4"/>
    <w:rsid w:val="00B13CB4"/>
    <w:rsid w:val="00B154AA"/>
    <w:rsid w:val="00B156E9"/>
    <w:rsid w:val="00B169E9"/>
    <w:rsid w:val="00B16DDC"/>
    <w:rsid w:val="00B17AC5"/>
    <w:rsid w:val="00B17E7F"/>
    <w:rsid w:val="00B2067C"/>
    <w:rsid w:val="00B211A3"/>
    <w:rsid w:val="00B21DFE"/>
    <w:rsid w:val="00B22680"/>
    <w:rsid w:val="00B2276C"/>
    <w:rsid w:val="00B22A37"/>
    <w:rsid w:val="00B22A82"/>
    <w:rsid w:val="00B2314D"/>
    <w:rsid w:val="00B23B53"/>
    <w:rsid w:val="00B24838"/>
    <w:rsid w:val="00B25A6D"/>
    <w:rsid w:val="00B264BD"/>
    <w:rsid w:val="00B265FD"/>
    <w:rsid w:val="00B279B7"/>
    <w:rsid w:val="00B27CA0"/>
    <w:rsid w:val="00B302FB"/>
    <w:rsid w:val="00B31009"/>
    <w:rsid w:val="00B31F91"/>
    <w:rsid w:val="00B3287C"/>
    <w:rsid w:val="00B33DCB"/>
    <w:rsid w:val="00B34019"/>
    <w:rsid w:val="00B3403A"/>
    <w:rsid w:val="00B34191"/>
    <w:rsid w:val="00B3520B"/>
    <w:rsid w:val="00B358BB"/>
    <w:rsid w:val="00B35F6B"/>
    <w:rsid w:val="00B376F2"/>
    <w:rsid w:val="00B37E57"/>
    <w:rsid w:val="00B40A32"/>
    <w:rsid w:val="00B40D26"/>
    <w:rsid w:val="00B41D82"/>
    <w:rsid w:val="00B42651"/>
    <w:rsid w:val="00B42DDC"/>
    <w:rsid w:val="00B43F1A"/>
    <w:rsid w:val="00B441F9"/>
    <w:rsid w:val="00B44564"/>
    <w:rsid w:val="00B448D3"/>
    <w:rsid w:val="00B44B73"/>
    <w:rsid w:val="00B450E9"/>
    <w:rsid w:val="00B45288"/>
    <w:rsid w:val="00B45588"/>
    <w:rsid w:val="00B47ED6"/>
    <w:rsid w:val="00B517C9"/>
    <w:rsid w:val="00B518F0"/>
    <w:rsid w:val="00B51D09"/>
    <w:rsid w:val="00B52D32"/>
    <w:rsid w:val="00B5416A"/>
    <w:rsid w:val="00B54F43"/>
    <w:rsid w:val="00B56BC1"/>
    <w:rsid w:val="00B5729B"/>
    <w:rsid w:val="00B578DC"/>
    <w:rsid w:val="00B57D9B"/>
    <w:rsid w:val="00B606D1"/>
    <w:rsid w:val="00B60D87"/>
    <w:rsid w:val="00B61127"/>
    <w:rsid w:val="00B61913"/>
    <w:rsid w:val="00B62409"/>
    <w:rsid w:val="00B62B1B"/>
    <w:rsid w:val="00B62C87"/>
    <w:rsid w:val="00B64645"/>
    <w:rsid w:val="00B648BF"/>
    <w:rsid w:val="00B64E8C"/>
    <w:rsid w:val="00B6528E"/>
    <w:rsid w:val="00B660FE"/>
    <w:rsid w:val="00B673A4"/>
    <w:rsid w:val="00B71AD8"/>
    <w:rsid w:val="00B72D71"/>
    <w:rsid w:val="00B72EBA"/>
    <w:rsid w:val="00B73B0E"/>
    <w:rsid w:val="00B7531B"/>
    <w:rsid w:val="00B75E4D"/>
    <w:rsid w:val="00B7674A"/>
    <w:rsid w:val="00B76834"/>
    <w:rsid w:val="00B76A9F"/>
    <w:rsid w:val="00B77268"/>
    <w:rsid w:val="00B77422"/>
    <w:rsid w:val="00B8163B"/>
    <w:rsid w:val="00B82F2F"/>
    <w:rsid w:val="00B84906"/>
    <w:rsid w:val="00B84A03"/>
    <w:rsid w:val="00B84A36"/>
    <w:rsid w:val="00B85730"/>
    <w:rsid w:val="00B8691E"/>
    <w:rsid w:val="00B86D99"/>
    <w:rsid w:val="00B87BD6"/>
    <w:rsid w:val="00B91384"/>
    <w:rsid w:val="00B936FC"/>
    <w:rsid w:val="00B93723"/>
    <w:rsid w:val="00B94221"/>
    <w:rsid w:val="00B943CA"/>
    <w:rsid w:val="00B943CE"/>
    <w:rsid w:val="00B9463F"/>
    <w:rsid w:val="00B94C3F"/>
    <w:rsid w:val="00B94C6B"/>
    <w:rsid w:val="00B95A6E"/>
    <w:rsid w:val="00B95D89"/>
    <w:rsid w:val="00B968C2"/>
    <w:rsid w:val="00B9720D"/>
    <w:rsid w:val="00B97FD5"/>
    <w:rsid w:val="00BA068D"/>
    <w:rsid w:val="00BA1296"/>
    <w:rsid w:val="00BA1B35"/>
    <w:rsid w:val="00BA1D8F"/>
    <w:rsid w:val="00BA5C8C"/>
    <w:rsid w:val="00BA680F"/>
    <w:rsid w:val="00BA72CD"/>
    <w:rsid w:val="00BA7A91"/>
    <w:rsid w:val="00BA7C06"/>
    <w:rsid w:val="00BB090C"/>
    <w:rsid w:val="00BB09B6"/>
    <w:rsid w:val="00BB0D2C"/>
    <w:rsid w:val="00BB11CC"/>
    <w:rsid w:val="00BB1400"/>
    <w:rsid w:val="00BB1603"/>
    <w:rsid w:val="00BB259F"/>
    <w:rsid w:val="00BB2FDA"/>
    <w:rsid w:val="00BB3427"/>
    <w:rsid w:val="00BB41AD"/>
    <w:rsid w:val="00BB4E7D"/>
    <w:rsid w:val="00BB4FDD"/>
    <w:rsid w:val="00BB524D"/>
    <w:rsid w:val="00BB56E9"/>
    <w:rsid w:val="00BB596B"/>
    <w:rsid w:val="00BB6676"/>
    <w:rsid w:val="00BB6C90"/>
    <w:rsid w:val="00BB70D2"/>
    <w:rsid w:val="00BB7C9C"/>
    <w:rsid w:val="00BC2217"/>
    <w:rsid w:val="00BC2C84"/>
    <w:rsid w:val="00BC2DAC"/>
    <w:rsid w:val="00BC3491"/>
    <w:rsid w:val="00BC4427"/>
    <w:rsid w:val="00BC4BB4"/>
    <w:rsid w:val="00BC53D4"/>
    <w:rsid w:val="00BC543F"/>
    <w:rsid w:val="00BC5D4B"/>
    <w:rsid w:val="00BC730A"/>
    <w:rsid w:val="00BC77B9"/>
    <w:rsid w:val="00BC7B49"/>
    <w:rsid w:val="00BC7DCA"/>
    <w:rsid w:val="00BD003E"/>
    <w:rsid w:val="00BD01BC"/>
    <w:rsid w:val="00BD06FA"/>
    <w:rsid w:val="00BD11F1"/>
    <w:rsid w:val="00BD1A06"/>
    <w:rsid w:val="00BD291C"/>
    <w:rsid w:val="00BD43AF"/>
    <w:rsid w:val="00BD5420"/>
    <w:rsid w:val="00BD5ECE"/>
    <w:rsid w:val="00BD62EC"/>
    <w:rsid w:val="00BD6365"/>
    <w:rsid w:val="00BD750B"/>
    <w:rsid w:val="00BD7C4C"/>
    <w:rsid w:val="00BE0827"/>
    <w:rsid w:val="00BE1408"/>
    <w:rsid w:val="00BE284A"/>
    <w:rsid w:val="00BE2C6E"/>
    <w:rsid w:val="00BE2CBB"/>
    <w:rsid w:val="00BE2D08"/>
    <w:rsid w:val="00BE3C48"/>
    <w:rsid w:val="00BE458D"/>
    <w:rsid w:val="00BE53DB"/>
    <w:rsid w:val="00BE65B0"/>
    <w:rsid w:val="00BE67BC"/>
    <w:rsid w:val="00BE73D1"/>
    <w:rsid w:val="00BE78EE"/>
    <w:rsid w:val="00BF065C"/>
    <w:rsid w:val="00BF092D"/>
    <w:rsid w:val="00BF0BC7"/>
    <w:rsid w:val="00BF0C91"/>
    <w:rsid w:val="00BF1865"/>
    <w:rsid w:val="00BF191A"/>
    <w:rsid w:val="00BF1BD7"/>
    <w:rsid w:val="00BF1D9D"/>
    <w:rsid w:val="00BF2FF9"/>
    <w:rsid w:val="00BF47B7"/>
    <w:rsid w:val="00BF52BC"/>
    <w:rsid w:val="00BF5BE1"/>
    <w:rsid w:val="00BF642D"/>
    <w:rsid w:val="00BF7F63"/>
    <w:rsid w:val="00C0000C"/>
    <w:rsid w:val="00C02DB9"/>
    <w:rsid w:val="00C04634"/>
    <w:rsid w:val="00C04E10"/>
    <w:rsid w:val="00C053F9"/>
    <w:rsid w:val="00C05C81"/>
    <w:rsid w:val="00C05DBA"/>
    <w:rsid w:val="00C070DD"/>
    <w:rsid w:val="00C1008C"/>
    <w:rsid w:val="00C110D0"/>
    <w:rsid w:val="00C11420"/>
    <w:rsid w:val="00C117DB"/>
    <w:rsid w:val="00C11AF8"/>
    <w:rsid w:val="00C11FE7"/>
    <w:rsid w:val="00C132BE"/>
    <w:rsid w:val="00C135C2"/>
    <w:rsid w:val="00C14548"/>
    <w:rsid w:val="00C1464B"/>
    <w:rsid w:val="00C148AF"/>
    <w:rsid w:val="00C149A6"/>
    <w:rsid w:val="00C14D5F"/>
    <w:rsid w:val="00C151F1"/>
    <w:rsid w:val="00C15664"/>
    <w:rsid w:val="00C16DE3"/>
    <w:rsid w:val="00C16F0E"/>
    <w:rsid w:val="00C173E9"/>
    <w:rsid w:val="00C17457"/>
    <w:rsid w:val="00C17DEC"/>
    <w:rsid w:val="00C213AF"/>
    <w:rsid w:val="00C21789"/>
    <w:rsid w:val="00C21C08"/>
    <w:rsid w:val="00C22644"/>
    <w:rsid w:val="00C22EA1"/>
    <w:rsid w:val="00C22EDE"/>
    <w:rsid w:val="00C22FEE"/>
    <w:rsid w:val="00C249CA"/>
    <w:rsid w:val="00C24CF9"/>
    <w:rsid w:val="00C257F6"/>
    <w:rsid w:val="00C27BD7"/>
    <w:rsid w:val="00C30C00"/>
    <w:rsid w:val="00C3129B"/>
    <w:rsid w:val="00C32115"/>
    <w:rsid w:val="00C32C7F"/>
    <w:rsid w:val="00C32D39"/>
    <w:rsid w:val="00C3335B"/>
    <w:rsid w:val="00C334DE"/>
    <w:rsid w:val="00C33EDB"/>
    <w:rsid w:val="00C33F34"/>
    <w:rsid w:val="00C34038"/>
    <w:rsid w:val="00C340AD"/>
    <w:rsid w:val="00C345B7"/>
    <w:rsid w:val="00C349D9"/>
    <w:rsid w:val="00C3553C"/>
    <w:rsid w:val="00C3651F"/>
    <w:rsid w:val="00C36927"/>
    <w:rsid w:val="00C404EA"/>
    <w:rsid w:val="00C413BF"/>
    <w:rsid w:val="00C4150C"/>
    <w:rsid w:val="00C41876"/>
    <w:rsid w:val="00C41B80"/>
    <w:rsid w:val="00C42251"/>
    <w:rsid w:val="00C4280C"/>
    <w:rsid w:val="00C43778"/>
    <w:rsid w:val="00C43B55"/>
    <w:rsid w:val="00C43BD1"/>
    <w:rsid w:val="00C44667"/>
    <w:rsid w:val="00C44CF3"/>
    <w:rsid w:val="00C4598C"/>
    <w:rsid w:val="00C45DA9"/>
    <w:rsid w:val="00C46731"/>
    <w:rsid w:val="00C4733D"/>
    <w:rsid w:val="00C4778C"/>
    <w:rsid w:val="00C51304"/>
    <w:rsid w:val="00C5228A"/>
    <w:rsid w:val="00C5257F"/>
    <w:rsid w:val="00C5326F"/>
    <w:rsid w:val="00C54B51"/>
    <w:rsid w:val="00C56602"/>
    <w:rsid w:val="00C578DA"/>
    <w:rsid w:val="00C57B68"/>
    <w:rsid w:val="00C614CC"/>
    <w:rsid w:val="00C61974"/>
    <w:rsid w:val="00C62D52"/>
    <w:rsid w:val="00C63310"/>
    <w:rsid w:val="00C63581"/>
    <w:rsid w:val="00C63A39"/>
    <w:rsid w:val="00C63FB5"/>
    <w:rsid w:val="00C63FD0"/>
    <w:rsid w:val="00C6432D"/>
    <w:rsid w:val="00C65B2B"/>
    <w:rsid w:val="00C65BE4"/>
    <w:rsid w:val="00C675DE"/>
    <w:rsid w:val="00C714F4"/>
    <w:rsid w:val="00C730E7"/>
    <w:rsid w:val="00C74083"/>
    <w:rsid w:val="00C74362"/>
    <w:rsid w:val="00C75274"/>
    <w:rsid w:val="00C771EE"/>
    <w:rsid w:val="00C81B8F"/>
    <w:rsid w:val="00C82C9A"/>
    <w:rsid w:val="00C8359C"/>
    <w:rsid w:val="00C83867"/>
    <w:rsid w:val="00C84E10"/>
    <w:rsid w:val="00C8656C"/>
    <w:rsid w:val="00C866C0"/>
    <w:rsid w:val="00C8791D"/>
    <w:rsid w:val="00C90A16"/>
    <w:rsid w:val="00C94C2D"/>
    <w:rsid w:val="00C94CB2"/>
    <w:rsid w:val="00C960E7"/>
    <w:rsid w:val="00C96238"/>
    <w:rsid w:val="00C97178"/>
    <w:rsid w:val="00C97B41"/>
    <w:rsid w:val="00C97BA8"/>
    <w:rsid w:val="00C97C4D"/>
    <w:rsid w:val="00CA0623"/>
    <w:rsid w:val="00CA102F"/>
    <w:rsid w:val="00CA1488"/>
    <w:rsid w:val="00CA201D"/>
    <w:rsid w:val="00CA2649"/>
    <w:rsid w:val="00CA30F7"/>
    <w:rsid w:val="00CA4428"/>
    <w:rsid w:val="00CA6F83"/>
    <w:rsid w:val="00CB11F9"/>
    <w:rsid w:val="00CB2D8A"/>
    <w:rsid w:val="00CB3173"/>
    <w:rsid w:val="00CB3C0B"/>
    <w:rsid w:val="00CB3FB6"/>
    <w:rsid w:val="00CB4D1E"/>
    <w:rsid w:val="00CB54B2"/>
    <w:rsid w:val="00CB60B2"/>
    <w:rsid w:val="00CB63BE"/>
    <w:rsid w:val="00CB6984"/>
    <w:rsid w:val="00CB72EF"/>
    <w:rsid w:val="00CC0D6D"/>
    <w:rsid w:val="00CC1AAC"/>
    <w:rsid w:val="00CC1D6B"/>
    <w:rsid w:val="00CC1F1F"/>
    <w:rsid w:val="00CC24FB"/>
    <w:rsid w:val="00CC3574"/>
    <w:rsid w:val="00CC4F6C"/>
    <w:rsid w:val="00CC5852"/>
    <w:rsid w:val="00CC5899"/>
    <w:rsid w:val="00CC6C5F"/>
    <w:rsid w:val="00CC700B"/>
    <w:rsid w:val="00CD1388"/>
    <w:rsid w:val="00CD1495"/>
    <w:rsid w:val="00CD1B21"/>
    <w:rsid w:val="00CD24DE"/>
    <w:rsid w:val="00CD2DAE"/>
    <w:rsid w:val="00CD352F"/>
    <w:rsid w:val="00CD45D1"/>
    <w:rsid w:val="00CD551D"/>
    <w:rsid w:val="00CD5E4A"/>
    <w:rsid w:val="00CD607F"/>
    <w:rsid w:val="00CD62BA"/>
    <w:rsid w:val="00CD64C1"/>
    <w:rsid w:val="00CD6756"/>
    <w:rsid w:val="00CD7D37"/>
    <w:rsid w:val="00CE07E5"/>
    <w:rsid w:val="00CE08A0"/>
    <w:rsid w:val="00CE097A"/>
    <w:rsid w:val="00CE09BA"/>
    <w:rsid w:val="00CE1016"/>
    <w:rsid w:val="00CE21C4"/>
    <w:rsid w:val="00CE21D3"/>
    <w:rsid w:val="00CE2517"/>
    <w:rsid w:val="00CE26C8"/>
    <w:rsid w:val="00CE2AA2"/>
    <w:rsid w:val="00CE3811"/>
    <w:rsid w:val="00CE42D5"/>
    <w:rsid w:val="00CE5148"/>
    <w:rsid w:val="00CE5BE5"/>
    <w:rsid w:val="00CE707D"/>
    <w:rsid w:val="00CE786E"/>
    <w:rsid w:val="00CE7E08"/>
    <w:rsid w:val="00CF00D5"/>
    <w:rsid w:val="00CF0771"/>
    <w:rsid w:val="00CF0E42"/>
    <w:rsid w:val="00CF1F04"/>
    <w:rsid w:val="00CF2649"/>
    <w:rsid w:val="00CF2A24"/>
    <w:rsid w:val="00CF31D2"/>
    <w:rsid w:val="00CF31EA"/>
    <w:rsid w:val="00CF3B78"/>
    <w:rsid w:val="00CF5898"/>
    <w:rsid w:val="00CF609E"/>
    <w:rsid w:val="00CF63C6"/>
    <w:rsid w:val="00CF6474"/>
    <w:rsid w:val="00CF74EB"/>
    <w:rsid w:val="00CF7D31"/>
    <w:rsid w:val="00D0012C"/>
    <w:rsid w:val="00D0016F"/>
    <w:rsid w:val="00D004A3"/>
    <w:rsid w:val="00D00E7F"/>
    <w:rsid w:val="00D01163"/>
    <w:rsid w:val="00D01F78"/>
    <w:rsid w:val="00D02826"/>
    <w:rsid w:val="00D033A7"/>
    <w:rsid w:val="00D03D4F"/>
    <w:rsid w:val="00D05110"/>
    <w:rsid w:val="00D071D7"/>
    <w:rsid w:val="00D1027D"/>
    <w:rsid w:val="00D10ADF"/>
    <w:rsid w:val="00D131C9"/>
    <w:rsid w:val="00D13AEE"/>
    <w:rsid w:val="00D14362"/>
    <w:rsid w:val="00D145C5"/>
    <w:rsid w:val="00D14A89"/>
    <w:rsid w:val="00D1529F"/>
    <w:rsid w:val="00D16D79"/>
    <w:rsid w:val="00D16EFE"/>
    <w:rsid w:val="00D1777C"/>
    <w:rsid w:val="00D17BB8"/>
    <w:rsid w:val="00D21A8A"/>
    <w:rsid w:val="00D21CAA"/>
    <w:rsid w:val="00D233FC"/>
    <w:rsid w:val="00D235C2"/>
    <w:rsid w:val="00D23BF0"/>
    <w:rsid w:val="00D24E98"/>
    <w:rsid w:val="00D24EA9"/>
    <w:rsid w:val="00D251A6"/>
    <w:rsid w:val="00D25C5D"/>
    <w:rsid w:val="00D2651C"/>
    <w:rsid w:val="00D26569"/>
    <w:rsid w:val="00D27340"/>
    <w:rsid w:val="00D27C9F"/>
    <w:rsid w:val="00D27CA4"/>
    <w:rsid w:val="00D31175"/>
    <w:rsid w:val="00D313ED"/>
    <w:rsid w:val="00D31A68"/>
    <w:rsid w:val="00D34342"/>
    <w:rsid w:val="00D34747"/>
    <w:rsid w:val="00D35408"/>
    <w:rsid w:val="00D35985"/>
    <w:rsid w:val="00D35C7D"/>
    <w:rsid w:val="00D369DF"/>
    <w:rsid w:val="00D4020D"/>
    <w:rsid w:val="00D40505"/>
    <w:rsid w:val="00D40D5E"/>
    <w:rsid w:val="00D43163"/>
    <w:rsid w:val="00D437AD"/>
    <w:rsid w:val="00D439C1"/>
    <w:rsid w:val="00D44E20"/>
    <w:rsid w:val="00D44EB1"/>
    <w:rsid w:val="00D458E4"/>
    <w:rsid w:val="00D45BD9"/>
    <w:rsid w:val="00D502CB"/>
    <w:rsid w:val="00D50588"/>
    <w:rsid w:val="00D50A8A"/>
    <w:rsid w:val="00D51129"/>
    <w:rsid w:val="00D5117C"/>
    <w:rsid w:val="00D52BEE"/>
    <w:rsid w:val="00D53551"/>
    <w:rsid w:val="00D538D8"/>
    <w:rsid w:val="00D53D79"/>
    <w:rsid w:val="00D543E0"/>
    <w:rsid w:val="00D54A50"/>
    <w:rsid w:val="00D54BBC"/>
    <w:rsid w:val="00D563B3"/>
    <w:rsid w:val="00D56412"/>
    <w:rsid w:val="00D56862"/>
    <w:rsid w:val="00D568C7"/>
    <w:rsid w:val="00D56B33"/>
    <w:rsid w:val="00D57832"/>
    <w:rsid w:val="00D578F2"/>
    <w:rsid w:val="00D57BDB"/>
    <w:rsid w:val="00D602FB"/>
    <w:rsid w:val="00D60CFC"/>
    <w:rsid w:val="00D61DBA"/>
    <w:rsid w:val="00D646F0"/>
    <w:rsid w:val="00D64A5A"/>
    <w:rsid w:val="00D70C1C"/>
    <w:rsid w:val="00D71570"/>
    <w:rsid w:val="00D719B2"/>
    <w:rsid w:val="00D74C93"/>
    <w:rsid w:val="00D74DB1"/>
    <w:rsid w:val="00D759AB"/>
    <w:rsid w:val="00D75EDA"/>
    <w:rsid w:val="00D7623E"/>
    <w:rsid w:val="00D76482"/>
    <w:rsid w:val="00D76D71"/>
    <w:rsid w:val="00D76F70"/>
    <w:rsid w:val="00D77237"/>
    <w:rsid w:val="00D773EE"/>
    <w:rsid w:val="00D77D92"/>
    <w:rsid w:val="00D81106"/>
    <w:rsid w:val="00D8116D"/>
    <w:rsid w:val="00D82916"/>
    <w:rsid w:val="00D82B52"/>
    <w:rsid w:val="00D83863"/>
    <w:rsid w:val="00D83D13"/>
    <w:rsid w:val="00D8458B"/>
    <w:rsid w:val="00D85E59"/>
    <w:rsid w:val="00D86FC6"/>
    <w:rsid w:val="00D90013"/>
    <w:rsid w:val="00D90CA1"/>
    <w:rsid w:val="00D91243"/>
    <w:rsid w:val="00D91C1D"/>
    <w:rsid w:val="00D933F3"/>
    <w:rsid w:val="00D937C4"/>
    <w:rsid w:val="00D938A7"/>
    <w:rsid w:val="00D93919"/>
    <w:rsid w:val="00D94C46"/>
    <w:rsid w:val="00D9510D"/>
    <w:rsid w:val="00D9575B"/>
    <w:rsid w:val="00D95996"/>
    <w:rsid w:val="00D95E81"/>
    <w:rsid w:val="00D9620E"/>
    <w:rsid w:val="00D96BC3"/>
    <w:rsid w:val="00D96FF8"/>
    <w:rsid w:val="00D976E9"/>
    <w:rsid w:val="00DA056F"/>
    <w:rsid w:val="00DA0765"/>
    <w:rsid w:val="00DA0B82"/>
    <w:rsid w:val="00DA0C09"/>
    <w:rsid w:val="00DA149F"/>
    <w:rsid w:val="00DA14DF"/>
    <w:rsid w:val="00DA218C"/>
    <w:rsid w:val="00DA2212"/>
    <w:rsid w:val="00DA2E65"/>
    <w:rsid w:val="00DA3225"/>
    <w:rsid w:val="00DA3638"/>
    <w:rsid w:val="00DA5366"/>
    <w:rsid w:val="00DA54D5"/>
    <w:rsid w:val="00DA6140"/>
    <w:rsid w:val="00DA7089"/>
    <w:rsid w:val="00DB0F50"/>
    <w:rsid w:val="00DB1322"/>
    <w:rsid w:val="00DB179C"/>
    <w:rsid w:val="00DB3041"/>
    <w:rsid w:val="00DB3EA5"/>
    <w:rsid w:val="00DB4ACD"/>
    <w:rsid w:val="00DB4AE4"/>
    <w:rsid w:val="00DB4E9F"/>
    <w:rsid w:val="00DB59B4"/>
    <w:rsid w:val="00DB7F52"/>
    <w:rsid w:val="00DC07A0"/>
    <w:rsid w:val="00DC0D25"/>
    <w:rsid w:val="00DC2B4A"/>
    <w:rsid w:val="00DC2C34"/>
    <w:rsid w:val="00DC3331"/>
    <w:rsid w:val="00DC3EC6"/>
    <w:rsid w:val="00DC4136"/>
    <w:rsid w:val="00DC44DC"/>
    <w:rsid w:val="00DC51D3"/>
    <w:rsid w:val="00DC5588"/>
    <w:rsid w:val="00DC6634"/>
    <w:rsid w:val="00DC6885"/>
    <w:rsid w:val="00DC694F"/>
    <w:rsid w:val="00DC75DE"/>
    <w:rsid w:val="00DD0082"/>
    <w:rsid w:val="00DD10F7"/>
    <w:rsid w:val="00DD11BA"/>
    <w:rsid w:val="00DD173F"/>
    <w:rsid w:val="00DD1F61"/>
    <w:rsid w:val="00DD2053"/>
    <w:rsid w:val="00DD2226"/>
    <w:rsid w:val="00DD30E9"/>
    <w:rsid w:val="00DD32B3"/>
    <w:rsid w:val="00DD343B"/>
    <w:rsid w:val="00DD3545"/>
    <w:rsid w:val="00DD495B"/>
    <w:rsid w:val="00DD4A42"/>
    <w:rsid w:val="00DD4C77"/>
    <w:rsid w:val="00DD4D7C"/>
    <w:rsid w:val="00DD4ED7"/>
    <w:rsid w:val="00DD5DAC"/>
    <w:rsid w:val="00DD6A0A"/>
    <w:rsid w:val="00DD6AC6"/>
    <w:rsid w:val="00DD731C"/>
    <w:rsid w:val="00DD7346"/>
    <w:rsid w:val="00DE0F06"/>
    <w:rsid w:val="00DE1744"/>
    <w:rsid w:val="00DE1C9D"/>
    <w:rsid w:val="00DE364E"/>
    <w:rsid w:val="00DE3E2C"/>
    <w:rsid w:val="00DE42DE"/>
    <w:rsid w:val="00DE47BD"/>
    <w:rsid w:val="00DE47E3"/>
    <w:rsid w:val="00DE4B09"/>
    <w:rsid w:val="00DE4C3E"/>
    <w:rsid w:val="00DE6C44"/>
    <w:rsid w:val="00DE77EC"/>
    <w:rsid w:val="00DE7CAA"/>
    <w:rsid w:val="00DF0D0A"/>
    <w:rsid w:val="00DF0DF1"/>
    <w:rsid w:val="00DF0E26"/>
    <w:rsid w:val="00DF27AD"/>
    <w:rsid w:val="00DF37AE"/>
    <w:rsid w:val="00DF3B61"/>
    <w:rsid w:val="00DF3CEE"/>
    <w:rsid w:val="00DF4A6E"/>
    <w:rsid w:val="00DF51B4"/>
    <w:rsid w:val="00DF676C"/>
    <w:rsid w:val="00DF7884"/>
    <w:rsid w:val="00E004EC"/>
    <w:rsid w:val="00E00DAD"/>
    <w:rsid w:val="00E01575"/>
    <w:rsid w:val="00E0183F"/>
    <w:rsid w:val="00E02C9D"/>
    <w:rsid w:val="00E02F60"/>
    <w:rsid w:val="00E040FD"/>
    <w:rsid w:val="00E05587"/>
    <w:rsid w:val="00E065C8"/>
    <w:rsid w:val="00E07825"/>
    <w:rsid w:val="00E07B1E"/>
    <w:rsid w:val="00E10068"/>
    <w:rsid w:val="00E1017D"/>
    <w:rsid w:val="00E10894"/>
    <w:rsid w:val="00E10DB5"/>
    <w:rsid w:val="00E1107B"/>
    <w:rsid w:val="00E12F9B"/>
    <w:rsid w:val="00E145D0"/>
    <w:rsid w:val="00E14AAC"/>
    <w:rsid w:val="00E15BFE"/>
    <w:rsid w:val="00E17437"/>
    <w:rsid w:val="00E20325"/>
    <w:rsid w:val="00E20AC9"/>
    <w:rsid w:val="00E2109F"/>
    <w:rsid w:val="00E216C6"/>
    <w:rsid w:val="00E21794"/>
    <w:rsid w:val="00E2265B"/>
    <w:rsid w:val="00E23058"/>
    <w:rsid w:val="00E2429B"/>
    <w:rsid w:val="00E2436D"/>
    <w:rsid w:val="00E253C1"/>
    <w:rsid w:val="00E255B6"/>
    <w:rsid w:val="00E25751"/>
    <w:rsid w:val="00E25F89"/>
    <w:rsid w:val="00E2777A"/>
    <w:rsid w:val="00E31A3D"/>
    <w:rsid w:val="00E32B01"/>
    <w:rsid w:val="00E33CE6"/>
    <w:rsid w:val="00E33F47"/>
    <w:rsid w:val="00E35CAE"/>
    <w:rsid w:val="00E36A2D"/>
    <w:rsid w:val="00E3757C"/>
    <w:rsid w:val="00E378F0"/>
    <w:rsid w:val="00E37B7C"/>
    <w:rsid w:val="00E405FC"/>
    <w:rsid w:val="00E41652"/>
    <w:rsid w:val="00E41CB5"/>
    <w:rsid w:val="00E41FD7"/>
    <w:rsid w:val="00E42242"/>
    <w:rsid w:val="00E422CE"/>
    <w:rsid w:val="00E4244F"/>
    <w:rsid w:val="00E42ED0"/>
    <w:rsid w:val="00E4366C"/>
    <w:rsid w:val="00E4418C"/>
    <w:rsid w:val="00E44F22"/>
    <w:rsid w:val="00E467B3"/>
    <w:rsid w:val="00E46A7D"/>
    <w:rsid w:val="00E46E57"/>
    <w:rsid w:val="00E47CA7"/>
    <w:rsid w:val="00E500E3"/>
    <w:rsid w:val="00E50759"/>
    <w:rsid w:val="00E5238E"/>
    <w:rsid w:val="00E5252B"/>
    <w:rsid w:val="00E53675"/>
    <w:rsid w:val="00E53BEF"/>
    <w:rsid w:val="00E54630"/>
    <w:rsid w:val="00E54D85"/>
    <w:rsid w:val="00E54F19"/>
    <w:rsid w:val="00E558D7"/>
    <w:rsid w:val="00E562DE"/>
    <w:rsid w:val="00E562EC"/>
    <w:rsid w:val="00E56EBA"/>
    <w:rsid w:val="00E57964"/>
    <w:rsid w:val="00E579BF"/>
    <w:rsid w:val="00E57C38"/>
    <w:rsid w:val="00E57E56"/>
    <w:rsid w:val="00E60BC5"/>
    <w:rsid w:val="00E60C79"/>
    <w:rsid w:val="00E60D65"/>
    <w:rsid w:val="00E61398"/>
    <w:rsid w:val="00E613A7"/>
    <w:rsid w:val="00E616A6"/>
    <w:rsid w:val="00E61FE6"/>
    <w:rsid w:val="00E62C67"/>
    <w:rsid w:val="00E62EFF"/>
    <w:rsid w:val="00E62F6B"/>
    <w:rsid w:val="00E630FA"/>
    <w:rsid w:val="00E633C7"/>
    <w:rsid w:val="00E638EB"/>
    <w:rsid w:val="00E63D14"/>
    <w:rsid w:val="00E63DBA"/>
    <w:rsid w:val="00E648AC"/>
    <w:rsid w:val="00E65F2E"/>
    <w:rsid w:val="00E66153"/>
    <w:rsid w:val="00E66386"/>
    <w:rsid w:val="00E66B0F"/>
    <w:rsid w:val="00E673E0"/>
    <w:rsid w:val="00E67EB2"/>
    <w:rsid w:val="00E67FFB"/>
    <w:rsid w:val="00E7259B"/>
    <w:rsid w:val="00E72A27"/>
    <w:rsid w:val="00E72F9D"/>
    <w:rsid w:val="00E7302D"/>
    <w:rsid w:val="00E7341A"/>
    <w:rsid w:val="00E736B8"/>
    <w:rsid w:val="00E73EE0"/>
    <w:rsid w:val="00E745FD"/>
    <w:rsid w:val="00E7462A"/>
    <w:rsid w:val="00E74C89"/>
    <w:rsid w:val="00E74D6E"/>
    <w:rsid w:val="00E75551"/>
    <w:rsid w:val="00E7664F"/>
    <w:rsid w:val="00E76BDF"/>
    <w:rsid w:val="00E7714F"/>
    <w:rsid w:val="00E776B9"/>
    <w:rsid w:val="00E80021"/>
    <w:rsid w:val="00E80932"/>
    <w:rsid w:val="00E80DA6"/>
    <w:rsid w:val="00E80DDE"/>
    <w:rsid w:val="00E80FAA"/>
    <w:rsid w:val="00E80FD6"/>
    <w:rsid w:val="00E83398"/>
    <w:rsid w:val="00E83DD1"/>
    <w:rsid w:val="00E83F91"/>
    <w:rsid w:val="00E84A95"/>
    <w:rsid w:val="00E84E32"/>
    <w:rsid w:val="00E85358"/>
    <w:rsid w:val="00E858BE"/>
    <w:rsid w:val="00E85A3D"/>
    <w:rsid w:val="00E868C0"/>
    <w:rsid w:val="00E91031"/>
    <w:rsid w:val="00E917B1"/>
    <w:rsid w:val="00E91AC0"/>
    <w:rsid w:val="00E91ACC"/>
    <w:rsid w:val="00E934E3"/>
    <w:rsid w:val="00E93F39"/>
    <w:rsid w:val="00E94047"/>
    <w:rsid w:val="00E95166"/>
    <w:rsid w:val="00E964C9"/>
    <w:rsid w:val="00E971CE"/>
    <w:rsid w:val="00E973CD"/>
    <w:rsid w:val="00E9751C"/>
    <w:rsid w:val="00E97D1D"/>
    <w:rsid w:val="00EA0B82"/>
    <w:rsid w:val="00EA35A5"/>
    <w:rsid w:val="00EA3A80"/>
    <w:rsid w:val="00EA3C03"/>
    <w:rsid w:val="00EA3F71"/>
    <w:rsid w:val="00EA4116"/>
    <w:rsid w:val="00EA43D4"/>
    <w:rsid w:val="00EA517A"/>
    <w:rsid w:val="00EA5223"/>
    <w:rsid w:val="00EA5522"/>
    <w:rsid w:val="00EA5589"/>
    <w:rsid w:val="00EA59BB"/>
    <w:rsid w:val="00EA5A70"/>
    <w:rsid w:val="00EA5C86"/>
    <w:rsid w:val="00EA7DE7"/>
    <w:rsid w:val="00EB010D"/>
    <w:rsid w:val="00EB25C5"/>
    <w:rsid w:val="00EB2678"/>
    <w:rsid w:val="00EB3CCB"/>
    <w:rsid w:val="00EB42A9"/>
    <w:rsid w:val="00EB47A1"/>
    <w:rsid w:val="00EB6199"/>
    <w:rsid w:val="00EB62BF"/>
    <w:rsid w:val="00EB6B67"/>
    <w:rsid w:val="00EB7145"/>
    <w:rsid w:val="00EB7940"/>
    <w:rsid w:val="00EC096E"/>
    <w:rsid w:val="00EC2226"/>
    <w:rsid w:val="00EC2D24"/>
    <w:rsid w:val="00EC3864"/>
    <w:rsid w:val="00EC4797"/>
    <w:rsid w:val="00EC5193"/>
    <w:rsid w:val="00EC5337"/>
    <w:rsid w:val="00EC543F"/>
    <w:rsid w:val="00EC578E"/>
    <w:rsid w:val="00EC5BB9"/>
    <w:rsid w:val="00EC5C1B"/>
    <w:rsid w:val="00EC65CC"/>
    <w:rsid w:val="00EC7361"/>
    <w:rsid w:val="00EC7382"/>
    <w:rsid w:val="00EC7541"/>
    <w:rsid w:val="00EC7630"/>
    <w:rsid w:val="00EC787F"/>
    <w:rsid w:val="00ED1512"/>
    <w:rsid w:val="00ED218C"/>
    <w:rsid w:val="00ED3B69"/>
    <w:rsid w:val="00ED3F0C"/>
    <w:rsid w:val="00ED5B22"/>
    <w:rsid w:val="00ED5C90"/>
    <w:rsid w:val="00ED6380"/>
    <w:rsid w:val="00ED68F2"/>
    <w:rsid w:val="00ED6B4E"/>
    <w:rsid w:val="00ED6C80"/>
    <w:rsid w:val="00ED7684"/>
    <w:rsid w:val="00ED78A6"/>
    <w:rsid w:val="00EE4598"/>
    <w:rsid w:val="00EE46BB"/>
    <w:rsid w:val="00EE49C7"/>
    <w:rsid w:val="00EE5915"/>
    <w:rsid w:val="00EE5EE8"/>
    <w:rsid w:val="00EE6AB0"/>
    <w:rsid w:val="00EE6BED"/>
    <w:rsid w:val="00EE6BFA"/>
    <w:rsid w:val="00EE6CE6"/>
    <w:rsid w:val="00EE6CFE"/>
    <w:rsid w:val="00EF1B5A"/>
    <w:rsid w:val="00EF1CFE"/>
    <w:rsid w:val="00EF280A"/>
    <w:rsid w:val="00EF2AFB"/>
    <w:rsid w:val="00EF2C3C"/>
    <w:rsid w:val="00EF343D"/>
    <w:rsid w:val="00EF4ECC"/>
    <w:rsid w:val="00EF6D48"/>
    <w:rsid w:val="00EF7F66"/>
    <w:rsid w:val="00F0041B"/>
    <w:rsid w:val="00F0114E"/>
    <w:rsid w:val="00F017FC"/>
    <w:rsid w:val="00F04103"/>
    <w:rsid w:val="00F0548B"/>
    <w:rsid w:val="00F0599B"/>
    <w:rsid w:val="00F06473"/>
    <w:rsid w:val="00F06941"/>
    <w:rsid w:val="00F07AB9"/>
    <w:rsid w:val="00F07CD8"/>
    <w:rsid w:val="00F07E0F"/>
    <w:rsid w:val="00F1078F"/>
    <w:rsid w:val="00F109CC"/>
    <w:rsid w:val="00F114E1"/>
    <w:rsid w:val="00F12544"/>
    <w:rsid w:val="00F13283"/>
    <w:rsid w:val="00F13845"/>
    <w:rsid w:val="00F13CDF"/>
    <w:rsid w:val="00F13F91"/>
    <w:rsid w:val="00F146C7"/>
    <w:rsid w:val="00F1492B"/>
    <w:rsid w:val="00F14D2F"/>
    <w:rsid w:val="00F14D30"/>
    <w:rsid w:val="00F150AC"/>
    <w:rsid w:val="00F1599C"/>
    <w:rsid w:val="00F16088"/>
    <w:rsid w:val="00F1641A"/>
    <w:rsid w:val="00F1761A"/>
    <w:rsid w:val="00F2199D"/>
    <w:rsid w:val="00F21B2E"/>
    <w:rsid w:val="00F22E66"/>
    <w:rsid w:val="00F2319E"/>
    <w:rsid w:val="00F23899"/>
    <w:rsid w:val="00F2475C"/>
    <w:rsid w:val="00F24B0C"/>
    <w:rsid w:val="00F24E82"/>
    <w:rsid w:val="00F25241"/>
    <w:rsid w:val="00F253FA"/>
    <w:rsid w:val="00F2662D"/>
    <w:rsid w:val="00F2727E"/>
    <w:rsid w:val="00F304B5"/>
    <w:rsid w:val="00F3060B"/>
    <w:rsid w:val="00F30808"/>
    <w:rsid w:val="00F309B5"/>
    <w:rsid w:val="00F31376"/>
    <w:rsid w:val="00F31F4C"/>
    <w:rsid w:val="00F327BF"/>
    <w:rsid w:val="00F33613"/>
    <w:rsid w:val="00F338C1"/>
    <w:rsid w:val="00F33D97"/>
    <w:rsid w:val="00F34D88"/>
    <w:rsid w:val="00F355F4"/>
    <w:rsid w:val="00F35AA9"/>
    <w:rsid w:val="00F377C4"/>
    <w:rsid w:val="00F379B0"/>
    <w:rsid w:val="00F41212"/>
    <w:rsid w:val="00F41BC6"/>
    <w:rsid w:val="00F42248"/>
    <w:rsid w:val="00F4346C"/>
    <w:rsid w:val="00F4362C"/>
    <w:rsid w:val="00F43A02"/>
    <w:rsid w:val="00F43F42"/>
    <w:rsid w:val="00F448E8"/>
    <w:rsid w:val="00F458D0"/>
    <w:rsid w:val="00F50666"/>
    <w:rsid w:val="00F506B4"/>
    <w:rsid w:val="00F51C73"/>
    <w:rsid w:val="00F51F0E"/>
    <w:rsid w:val="00F522E1"/>
    <w:rsid w:val="00F52409"/>
    <w:rsid w:val="00F52445"/>
    <w:rsid w:val="00F530AD"/>
    <w:rsid w:val="00F533D1"/>
    <w:rsid w:val="00F53B4F"/>
    <w:rsid w:val="00F53E64"/>
    <w:rsid w:val="00F542D4"/>
    <w:rsid w:val="00F54CC4"/>
    <w:rsid w:val="00F553E2"/>
    <w:rsid w:val="00F5601C"/>
    <w:rsid w:val="00F56839"/>
    <w:rsid w:val="00F56B91"/>
    <w:rsid w:val="00F60C73"/>
    <w:rsid w:val="00F638E7"/>
    <w:rsid w:val="00F63D87"/>
    <w:rsid w:val="00F64695"/>
    <w:rsid w:val="00F64CC7"/>
    <w:rsid w:val="00F65785"/>
    <w:rsid w:val="00F672F3"/>
    <w:rsid w:val="00F67334"/>
    <w:rsid w:val="00F70E8B"/>
    <w:rsid w:val="00F71229"/>
    <w:rsid w:val="00F7123F"/>
    <w:rsid w:val="00F71837"/>
    <w:rsid w:val="00F724FD"/>
    <w:rsid w:val="00F72572"/>
    <w:rsid w:val="00F72C41"/>
    <w:rsid w:val="00F73009"/>
    <w:rsid w:val="00F7372E"/>
    <w:rsid w:val="00F73E45"/>
    <w:rsid w:val="00F73F33"/>
    <w:rsid w:val="00F749E6"/>
    <w:rsid w:val="00F76AC4"/>
    <w:rsid w:val="00F77647"/>
    <w:rsid w:val="00F77C57"/>
    <w:rsid w:val="00F77DCD"/>
    <w:rsid w:val="00F807C3"/>
    <w:rsid w:val="00F80D19"/>
    <w:rsid w:val="00F80D69"/>
    <w:rsid w:val="00F81048"/>
    <w:rsid w:val="00F8172C"/>
    <w:rsid w:val="00F81967"/>
    <w:rsid w:val="00F81F79"/>
    <w:rsid w:val="00F820C0"/>
    <w:rsid w:val="00F83A69"/>
    <w:rsid w:val="00F8400C"/>
    <w:rsid w:val="00F85A9C"/>
    <w:rsid w:val="00F85C49"/>
    <w:rsid w:val="00F8744D"/>
    <w:rsid w:val="00F87879"/>
    <w:rsid w:val="00F9010D"/>
    <w:rsid w:val="00F90BDF"/>
    <w:rsid w:val="00F91A73"/>
    <w:rsid w:val="00F91C8D"/>
    <w:rsid w:val="00F925C0"/>
    <w:rsid w:val="00F92890"/>
    <w:rsid w:val="00F92F79"/>
    <w:rsid w:val="00F939B5"/>
    <w:rsid w:val="00F95310"/>
    <w:rsid w:val="00F95E49"/>
    <w:rsid w:val="00F976B6"/>
    <w:rsid w:val="00F97993"/>
    <w:rsid w:val="00F979C9"/>
    <w:rsid w:val="00FA0390"/>
    <w:rsid w:val="00FA1E89"/>
    <w:rsid w:val="00FA24D6"/>
    <w:rsid w:val="00FA25F8"/>
    <w:rsid w:val="00FA2826"/>
    <w:rsid w:val="00FA4104"/>
    <w:rsid w:val="00FA4ED5"/>
    <w:rsid w:val="00FA522B"/>
    <w:rsid w:val="00FA5C0B"/>
    <w:rsid w:val="00FA69F3"/>
    <w:rsid w:val="00FA6B8D"/>
    <w:rsid w:val="00FA6C8B"/>
    <w:rsid w:val="00FA7632"/>
    <w:rsid w:val="00FB0774"/>
    <w:rsid w:val="00FB1BC0"/>
    <w:rsid w:val="00FB33C6"/>
    <w:rsid w:val="00FB3584"/>
    <w:rsid w:val="00FB494F"/>
    <w:rsid w:val="00FB4974"/>
    <w:rsid w:val="00FB4AC8"/>
    <w:rsid w:val="00FB52E0"/>
    <w:rsid w:val="00FB6E49"/>
    <w:rsid w:val="00FB6F39"/>
    <w:rsid w:val="00FB6F87"/>
    <w:rsid w:val="00FB7029"/>
    <w:rsid w:val="00FC08F2"/>
    <w:rsid w:val="00FC0903"/>
    <w:rsid w:val="00FC0EF4"/>
    <w:rsid w:val="00FC11F1"/>
    <w:rsid w:val="00FC1708"/>
    <w:rsid w:val="00FC1E80"/>
    <w:rsid w:val="00FC2974"/>
    <w:rsid w:val="00FC3CBE"/>
    <w:rsid w:val="00FC460C"/>
    <w:rsid w:val="00FC501D"/>
    <w:rsid w:val="00FC6BA7"/>
    <w:rsid w:val="00FD1065"/>
    <w:rsid w:val="00FD184D"/>
    <w:rsid w:val="00FD25CF"/>
    <w:rsid w:val="00FD2CAE"/>
    <w:rsid w:val="00FD2D55"/>
    <w:rsid w:val="00FD2EA8"/>
    <w:rsid w:val="00FD3FAA"/>
    <w:rsid w:val="00FD4CE1"/>
    <w:rsid w:val="00FD4E28"/>
    <w:rsid w:val="00FD51BE"/>
    <w:rsid w:val="00FD5EB7"/>
    <w:rsid w:val="00FD6FAD"/>
    <w:rsid w:val="00FD721E"/>
    <w:rsid w:val="00FD7B45"/>
    <w:rsid w:val="00FD7B62"/>
    <w:rsid w:val="00FE08A9"/>
    <w:rsid w:val="00FE0DEC"/>
    <w:rsid w:val="00FE122F"/>
    <w:rsid w:val="00FE18BC"/>
    <w:rsid w:val="00FE1AED"/>
    <w:rsid w:val="00FE2979"/>
    <w:rsid w:val="00FE3C34"/>
    <w:rsid w:val="00FE3C5B"/>
    <w:rsid w:val="00FE3F3A"/>
    <w:rsid w:val="00FE41D2"/>
    <w:rsid w:val="00FE4ACC"/>
    <w:rsid w:val="00FE5171"/>
    <w:rsid w:val="00FE655F"/>
    <w:rsid w:val="00FE7454"/>
    <w:rsid w:val="00FE77D3"/>
    <w:rsid w:val="00FF034E"/>
    <w:rsid w:val="00FF0815"/>
    <w:rsid w:val="00FF08B2"/>
    <w:rsid w:val="00FF0A0D"/>
    <w:rsid w:val="00FF1E63"/>
    <w:rsid w:val="00FF2082"/>
    <w:rsid w:val="00FF3968"/>
    <w:rsid w:val="00FF399D"/>
    <w:rsid w:val="00FF3DA8"/>
    <w:rsid w:val="00FF4239"/>
    <w:rsid w:val="00FF4BC0"/>
    <w:rsid w:val="00FF4D46"/>
    <w:rsid w:val="00FF511E"/>
    <w:rsid w:val="00FF6667"/>
    <w:rsid w:val="00FF6E91"/>
    <w:rsid w:val="00FF74A4"/>
    <w:rsid w:val="00FF7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A85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35"/>
    <w:pPr>
      <w:spacing w:before="240"/>
    </w:pPr>
    <w:rPr>
      <w:sz w:val="24"/>
    </w:rPr>
  </w:style>
  <w:style w:type="paragraph" w:styleId="Heading1">
    <w:name w:val="heading 1"/>
    <w:basedOn w:val="Normal"/>
    <w:next w:val="Normal"/>
    <w:link w:val="Heading1Char"/>
    <w:qFormat/>
    <w:rsid w:val="002E0235"/>
    <w:pPr>
      <w:keepNext/>
      <w:spacing w:before="0" w:after="60"/>
      <w:outlineLvl w:val="0"/>
    </w:pPr>
    <w:rPr>
      <w:rFonts w:ascii="Arial" w:hAnsi="Arial" w:cs="Arial"/>
      <w:b/>
      <w:color w:val="000000"/>
      <w:kern w:val="28"/>
      <w:sz w:val="36"/>
      <w:szCs w:val="24"/>
    </w:rPr>
  </w:style>
  <w:style w:type="paragraph" w:styleId="Heading2">
    <w:name w:val="heading 2"/>
    <w:basedOn w:val="Normal"/>
    <w:next w:val="Normal"/>
    <w:link w:val="Heading2Char"/>
    <w:qFormat/>
    <w:rsid w:val="002E0235"/>
    <w:pPr>
      <w:keepNext/>
      <w:spacing w:after="60"/>
      <w:outlineLvl w:val="1"/>
    </w:pPr>
    <w:rPr>
      <w:rFonts w:ascii="Arial" w:hAnsi="Arial" w:cs="Arial"/>
      <w:b/>
      <w:color w:val="000000"/>
      <w:kern w:val="28"/>
      <w:sz w:val="28"/>
      <w:szCs w:val="24"/>
    </w:rPr>
  </w:style>
  <w:style w:type="paragraph" w:styleId="Heading3">
    <w:name w:val="heading 3"/>
    <w:basedOn w:val="Normal"/>
    <w:next w:val="Normal"/>
    <w:link w:val="Heading3Char"/>
    <w:unhideWhenUsed/>
    <w:qFormat/>
    <w:rsid w:val="002E0235"/>
    <w:pPr>
      <w:keepNext/>
      <w:outlineLvl w:val="2"/>
    </w:pPr>
    <w:rPr>
      <w:rFonts w:ascii="Arial" w:hAnsi="Arial" w:cs="Arial"/>
      <w:b/>
      <w:i/>
      <w:kern w:val="28"/>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36F4"/>
    <w:rPr>
      <w:rFonts w:ascii="Arial" w:hAnsi="Arial" w:cs="Arial"/>
      <w:b/>
      <w:i/>
      <w:kern w:val="28"/>
      <w:sz w:val="26"/>
      <w:szCs w:val="24"/>
    </w:rPr>
  </w:style>
  <w:style w:type="paragraph" w:customStyle="1" w:styleId="NumberList">
    <w:name w:val="Number List"/>
    <w:basedOn w:val="Normal"/>
    <w:rsid w:val="000433E4"/>
    <w:pPr>
      <w:numPr>
        <w:numId w:val="5"/>
      </w:numPr>
      <w:tabs>
        <w:tab w:val="left" w:pos="567"/>
      </w:tabs>
    </w:pPr>
    <w:rPr>
      <w:szCs w:val="24"/>
    </w:rPr>
  </w:style>
  <w:style w:type="paragraph" w:styleId="Footer">
    <w:name w:val="footer"/>
    <w:link w:val="FooterChar"/>
    <w:uiPriority w:val="99"/>
    <w:rsid w:val="002E0235"/>
    <w:pPr>
      <w:tabs>
        <w:tab w:val="left" w:pos="3402"/>
        <w:tab w:val="right" w:pos="7655"/>
      </w:tabs>
    </w:pPr>
    <w:rPr>
      <w:i/>
      <w:szCs w:val="24"/>
    </w:rPr>
  </w:style>
  <w:style w:type="character" w:styleId="PageNumber">
    <w:name w:val="page number"/>
    <w:basedOn w:val="DefaultParagraphFont"/>
    <w:rsid w:val="000412E6"/>
  </w:style>
  <w:style w:type="paragraph" w:styleId="Header">
    <w:name w:val="header"/>
    <w:basedOn w:val="Normal"/>
    <w:link w:val="HeaderChar"/>
    <w:rsid w:val="007A142D"/>
    <w:pPr>
      <w:pBdr>
        <w:bottom w:val="single" w:sz="4" w:space="1" w:color="auto"/>
      </w:pBdr>
      <w:tabs>
        <w:tab w:val="center" w:pos="4153"/>
        <w:tab w:val="right" w:pos="8306"/>
      </w:tabs>
      <w:spacing w:before="0"/>
    </w:pPr>
    <w:rPr>
      <w:i/>
    </w:rPr>
  </w:style>
  <w:style w:type="character" w:customStyle="1" w:styleId="Heading1Char">
    <w:name w:val="Heading 1 Char"/>
    <w:basedOn w:val="DefaultParagraphFont"/>
    <w:link w:val="Heading1"/>
    <w:rsid w:val="00105704"/>
    <w:rPr>
      <w:rFonts w:ascii="Arial" w:hAnsi="Arial" w:cs="Arial"/>
      <w:b/>
      <w:color w:val="000000"/>
      <w:kern w:val="28"/>
      <w:sz w:val="36"/>
      <w:szCs w:val="24"/>
    </w:rPr>
  </w:style>
  <w:style w:type="paragraph" w:customStyle="1" w:styleId="Bullet">
    <w:name w:val="Bullet"/>
    <w:basedOn w:val="Normal"/>
    <w:rsid w:val="002E0235"/>
    <w:pPr>
      <w:numPr>
        <w:numId w:val="2"/>
      </w:numPr>
    </w:pPr>
    <w:rPr>
      <w:lang w:eastAsia="en-US"/>
    </w:rPr>
  </w:style>
  <w:style w:type="paragraph" w:styleId="BalloonText">
    <w:name w:val="Balloon Text"/>
    <w:basedOn w:val="Normal"/>
    <w:semiHidden/>
    <w:rsid w:val="002E0235"/>
    <w:rPr>
      <w:rFonts w:ascii="Tahoma" w:hAnsi="Tahoma" w:cs="Tahoma"/>
      <w:sz w:val="16"/>
      <w:szCs w:val="16"/>
    </w:rPr>
  </w:style>
  <w:style w:type="character" w:styleId="CommentReference">
    <w:name w:val="annotation reference"/>
    <w:basedOn w:val="DefaultParagraphFont"/>
    <w:semiHidden/>
    <w:rsid w:val="000412E6"/>
    <w:rPr>
      <w:sz w:val="16"/>
      <w:szCs w:val="16"/>
    </w:rPr>
  </w:style>
  <w:style w:type="paragraph" w:styleId="CommentText">
    <w:name w:val="annotation text"/>
    <w:basedOn w:val="Normal"/>
    <w:semiHidden/>
    <w:rsid w:val="002E0235"/>
  </w:style>
  <w:style w:type="paragraph" w:styleId="CommentSubject">
    <w:name w:val="annotation subject"/>
    <w:basedOn w:val="CommentText"/>
    <w:next w:val="CommentText"/>
    <w:semiHidden/>
    <w:rsid w:val="002E0235"/>
    <w:rPr>
      <w:b/>
      <w:bCs/>
    </w:rPr>
  </w:style>
  <w:style w:type="table" w:styleId="TableGrid">
    <w:name w:val="Table Grid"/>
    <w:basedOn w:val="TableNormal"/>
    <w:uiPriority w:val="99"/>
    <w:rsid w:val="00F4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Normal"/>
    <w:rsid w:val="005138C4"/>
    <w:pPr>
      <w:spacing w:before="0"/>
      <w:jc w:val="center"/>
    </w:pPr>
    <w:rPr>
      <w:szCs w:val="24"/>
    </w:rPr>
  </w:style>
  <w:style w:type="character" w:styleId="Hyperlink">
    <w:name w:val="Hyperlink"/>
    <w:basedOn w:val="DefaultParagraphFont"/>
    <w:rsid w:val="00B660FE"/>
    <w:rPr>
      <w:color w:val="0000FF"/>
      <w:u w:val="single"/>
    </w:rPr>
  </w:style>
  <w:style w:type="paragraph" w:styleId="NormalWeb">
    <w:name w:val="Normal (Web)"/>
    <w:basedOn w:val="Normal"/>
    <w:rsid w:val="00B660FE"/>
    <w:pPr>
      <w:spacing w:before="100" w:beforeAutospacing="1" w:after="100" w:afterAutospacing="1"/>
    </w:pPr>
    <w:rPr>
      <w:color w:val="000000"/>
      <w:szCs w:val="24"/>
    </w:rPr>
  </w:style>
  <w:style w:type="paragraph" w:styleId="FootnoteText">
    <w:name w:val="footnote text"/>
    <w:basedOn w:val="Normal"/>
    <w:link w:val="FootnoteTextChar"/>
    <w:rsid w:val="00624619"/>
    <w:pPr>
      <w:spacing w:before="0"/>
    </w:pPr>
    <w:rPr>
      <w:sz w:val="20"/>
    </w:rPr>
  </w:style>
  <w:style w:type="character" w:customStyle="1" w:styleId="FootnoteTextChar">
    <w:name w:val="Footnote Text Char"/>
    <w:basedOn w:val="DefaultParagraphFont"/>
    <w:link w:val="FootnoteText"/>
    <w:rsid w:val="00624619"/>
  </w:style>
  <w:style w:type="character" w:styleId="FootnoteReference">
    <w:name w:val="footnote reference"/>
    <w:basedOn w:val="DefaultParagraphFont"/>
    <w:rsid w:val="00624619"/>
    <w:rPr>
      <w:vertAlign w:val="superscript"/>
    </w:rPr>
  </w:style>
  <w:style w:type="character" w:customStyle="1" w:styleId="CharPartText">
    <w:name w:val="CharPartText"/>
    <w:basedOn w:val="DefaultParagraphFont"/>
    <w:qFormat/>
    <w:rsid w:val="0011604F"/>
  </w:style>
  <w:style w:type="paragraph" w:styleId="ListParagraph">
    <w:name w:val="List Paragraph"/>
    <w:basedOn w:val="Normal"/>
    <w:uiPriority w:val="34"/>
    <w:qFormat/>
    <w:rsid w:val="004F2C90"/>
    <w:pPr>
      <w:ind w:left="720"/>
      <w:contextualSpacing/>
    </w:pPr>
  </w:style>
  <w:style w:type="character" w:customStyle="1" w:styleId="Heading2Char">
    <w:name w:val="Heading 2 Char"/>
    <w:basedOn w:val="DefaultParagraphFont"/>
    <w:link w:val="Heading2"/>
    <w:rsid w:val="00CA201D"/>
    <w:rPr>
      <w:rFonts w:ascii="Arial" w:hAnsi="Arial" w:cs="Arial"/>
      <w:b/>
      <w:color w:val="000000"/>
      <w:kern w:val="28"/>
      <w:sz w:val="28"/>
      <w:szCs w:val="24"/>
    </w:rPr>
  </w:style>
  <w:style w:type="paragraph" w:styleId="Revision">
    <w:name w:val="Revision"/>
    <w:hidden/>
    <w:uiPriority w:val="99"/>
    <w:semiHidden/>
    <w:rsid w:val="00B3520B"/>
    <w:rPr>
      <w:sz w:val="24"/>
    </w:rPr>
  </w:style>
  <w:style w:type="character" w:customStyle="1" w:styleId="FooterChar">
    <w:name w:val="Footer Char"/>
    <w:basedOn w:val="DefaultParagraphFont"/>
    <w:link w:val="Footer"/>
    <w:uiPriority w:val="99"/>
    <w:rsid w:val="00425C78"/>
    <w:rPr>
      <w:i/>
      <w:szCs w:val="24"/>
      <w:lang w:val="en-AU" w:eastAsia="en-AU" w:bidi="ar-SA"/>
    </w:rPr>
  </w:style>
  <w:style w:type="character" w:styleId="FollowedHyperlink">
    <w:name w:val="FollowedHyperlink"/>
    <w:basedOn w:val="DefaultParagraphFont"/>
    <w:rsid w:val="000C1FDA"/>
    <w:rPr>
      <w:color w:val="800080"/>
      <w:u w:val="single"/>
    </w:rPr>
  </w:style>
  <w:style w:type="character" w:customStyle="1" w:styleId="HelpText">
    <w:name w:val="Help Text"/>
    <w:basedOn w:val="DefaultParagraphFont"/>
    <w:semiHidden/>
    <w:rsid w:val="006C5AF9"/>
    <w:rPr>
      <w:color w:val="808080"/>
    </w:rPr>
  </w:style>
  <w:style w:type="paragraph" w:customStyle="1" w:styleId="Default">
    <w:name w:val="Default"/>
    <w:rsid w:val="004016D3"/>
    <w:pPr>
      <w:autoSpaceDE w:val="0"/>
      <w:autoSpaceDN w:val="0"/>
      <w:adjustRightInd w:val="0"/>
    </w:pPr>
    <w:rPr>
      <w:color w:val="000000"/>
      <w:sz w:val="24"/>
      <w:szCs w:val="24"/>
    </w:rPr>
  </w:style>
  <w:style w:type="character" w:customStyle="1" w:styleId="HeaderChar">
    <w:name w:val="Header Char"/>
    <w:basedOn w:val="DefaultParagraphFont"/>
    <w:link w:val="Header"/>
    <w:rsid w:val="00DD4A42"/>
    <w:rPr>
      <w:i/>
      <w:sz w:val="24"/>
    </w:rPr>
  </w:style>
  <w:style w:type="paragraph" w:customStyle="1" w:styleId="NumberListSub">
    <w:name w:val="Number List Sub"/>
    <w:basedOn w:val="NumberList"/>
    <w:rsid w:val="00842365"/>
    <w:pPr>
      <w:numPr>
        <w:numId w:val="0"/>
      </w:numPr>
      <w:tabs>
        <w:tab w:val="clear" w:pos="567"/>
        <w:tab w:val="num" w:pos="1985"/>
        <w:tab w:val="left" w:pos="2552"/>
      </w:tabs>
      <w:spacing w:line="240" w:lineRule="atLeast"/>
      <w:ind w:left="1985" w:hanging="567"/>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35"/>
    <w:pPr>
      <w:spacing w:before="240"/>
    </w:pPr>
    <w:rPr>
      <w:sz w:val="24"/>
    </w:rPr>
  </w:style>
  <w:style w:type="paragraph" w:styleId="Heading1">
    <w:name w:val="heading 1"/>
    <w:basedOn w:val="Normal"/>
    <w:next w:val="Normal"/>
    <w:link w:val="Heading1Char"/>
    <w:qFormat/>
    <w:rsid w:val="002E0235"/>
    <w:pPr>
      <w:keepNext/>
      <w:spacing w:before="0" w:after="60"/>
      <w:outlineLvl w:val="0"/>
    </w:pPr>
    <w:rPr>
      <w:rFonts w:ascii="Arial" w:hAnsi="Arial" w:cs="Arial"/>
      <w:b/>
      <w:color w:val="000000"/>
      <w:kern w:val="28"/>
      <w:sz w:val="36"/>
      <w:szCs w:val="24"/>
    </w:rPr>
  </w:style>
  <w:style w:type="paragraph" w:styleId="Heading2">
    <w:name w:val="heading 2"/>
    <w:basedOn w:val="Normal"/>
    <w:next w:val="Normal"/>
    <w:link w:val="Heading2Char"/>
    <w:qFormat/>
    <w:rsid w:val="002E0235"/>
    <w:pPr>
      <w:keepNext/>
      <w:spacing w:after="60"/>
      <w:outlineLvl w:val="1"/>
    </w:pPr>
    <w:rPr>
      <w:rFonts w:ascii="Arial" w:hAnsi="Arial" w:cs="Arial"/>
      <w:b/>
      <w:color w:val="000000"/>
      <w:kern w:val="28"/>
      <w:sz w:val="28"/>
      <w:szCs w:val="24"/>
    </w:rPr>
  </w:style>
  <w:style w:type="paragraph" w:styleId="Heading3">
    <w:name w:val="heading 3"/>
    <w:basedOn w:val="Normal"/>
    <w:next w:val="Normal"/>
    <w:link w:val="Heading3Char"/>
    <w:unhideWhenUsed/>
    <w:qFormat/>
    <w:rsid w:val="002E0235"/>
    <w:pPr>
      <w:keepNext/>
      <w:outlineLvl w:val="2"/>
    </w:pPr>
    <w:rPr>
      <w:rFonts w:ascii="Arial" w:hAnsi="Arial" w:cs="Arial"/>
      <w:b/>
      <w:i/>
      <w:kern w:val="28"/>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36F4"/>
    <w:rPr>
      <w:rFonts w:ascii="Arial" w:hAnsi="Arial" w:cs="Arial"/>
      <w:b/>
      <w:i/>
      <w:kern w:val="28"/>
      <w:sz w:val="26"/>
      <w:szCs w:val="24"/>
    </w:rPr>
  </w:style>
  <w:style w:type="paragraph" w:customStyle="1" w:styleId="NumberList">
    <w:name w:val="Number List"/>
    <w:basedOn w:val="Normal"/>
    <w:rsid w:val="000433E4"/>
    <w:pPr>
      <w:numPr>
        <w:numId w:val="5"/>
      </w:numPr>
      <w:tabs>
        <w:tab w:val="left" w:pos="567"/>
      </w:tabs>
    </w:pPr>
    <w:rPr>
      <w:szCs w:val="24"/>
    </w:rPr>
  </w:style>
  <w:style w:type="paragraph" w:styleId="Footer">
    <w:name w:val="footer"/>
    <w:link w:val="FooterChar"/>
    <w:uiPriority w:val="99"/>
    <w:rsid w:val="002E0235"/>
    <w:pPr>
      <w:tabs>
        <w:tab w:val="left" w:pos="3402"/>
        <w:tab w:val="right" w:pos="7655"/>
      </w:tabs>
    </w:pPr>
    <w:rPr>
      <w:i/>
      <w:szCs w:val="24"/>
    </w:rPr>
  </w:style>
  <w:style w:type="character" w:styleId="PageNumber">
    <w:name w:val="page number"/>
    <w:basedOn w:val="DefaultParagraphFont"/>
    <w:rsid w:val="000412E6"/>
  </w:style>
  <w:style w:type="paragraph" w:styleId="Header">
    <w:name w:val="header"/>
    <w:basedOn w:val="Normal"/>
    <w:link w:val="HeaderChar"/>
    <w:rsid w:val="007A142D"/>
    <w:pPr>
      <w:pBdr>
        <w:bottom w:val="single" w:sz="4" w:space="1" w:color="auto"/>
      </w:pBdr>
      <w:tabs>
        <w:tab w:val="center" w:pos="4153"/>
        <w:tab w:val="right" w:pos="8306"/>
      </w:tabs>
      <w:spacing w:before="0"/>
    </w:pPr>
    <w:rPr>
      <w:i/>
    </w:rPr>
  </w:style>
  <w:style w:type="character" w:customStyle="1" w:styleId="Heading1Char">
    <w:name w:val="Heading 1 Char"/>
    <w:basedOn w:val="DefaultParagraphFont"/>
    <w:link w:val="Heading1"/>
    <w:rsid w:val="00105704"/>
    <w:rPr>
      <w:rFonts w:ascii="Arial" w:hAnsi="Arial" w:cs="Arial"/>
      <w:b/>
      <w:color w:val="000000"/>
      <w:kern w:val="28"/>
      <w:sz w:val="36"/>
      <w:szCs w:val="24"/>
    </w:rPr>
  </w:style>
  <w:style w:type="paragraph" w:customStyle="1" w:styleId="Bullet">
    <w:name w:val="Bullet"/>
    <w:basedOn w:val="Normal"/>
    <w:rsid w:val="002E0235"/>
    <w:pPr>
      <w:numPr>
        <w:numId w:val="2"/>
      </w:numPr>
    </w:pPr>
    <w:rPr>
      <w:lang w:eastAsia="en-US"/>
    </w:rPr>
  </w:style>
  <w:style w:type="paragraph" w:styleId="BalloonText">
    <w:name w:val="Balloon Text"/>
    <w:basedOn w:val="Normal"/>
    <w:semiHidden/>
    <w:rsid w:val="002E0235"/>
    <w:rPr>
      <w:rFonts w:ascii="Tahoma" w:hAnsi="Tahoma" w:cs="Tahoma"/>
      <w:sz w:val="16"/>
      <w:szCs w:val="16"/>
    </w:rPr>
  </w:style>
  <w:style w:type="character" w:styleId="CommentReference">
    <w:name w:val="annotation reference"/>
    <w:basedOn w:val="DefaultParagraphFont"/>
    <w:semiHidden/>
    <w:rsid w:val="000412E6"/>
    <w:rPr>
      <w:sz w:val="16"/>
      <w:szCs w:val="16"/>
    </w:rPr>
  </w:style>
  <w:style w:type="paragraph" w:styleId="CommentText">
    <w:name w:val="annotation text"/>
    <w:basedOn w:val="Normal"/>
    <w:semiHidden/>
    <w:rsid w:val="002E0235"/>
  </w:style>
  <w:style w:type="paragraph" w:styleId="CommentSubject">
    <w:name w:val="annotation subject"/>
    <w:basedOn w:val="CommentText"/>
    <w:next w:val="CommentText"/>
    <w:semiHidden/>
    <w:rsid w:val="002E0235"/>
    <w:rPr>
      <w:b/>
      <w:bCs/>
    </w:rPr>
  </w:style>
  <w:style w:type="table" w:styleId="TableGrid">
    <w:name w:val="Table Grid"/>
    <w:basedOn w:val="TableNormal"/>
    <w:uiPriority w:val="99"/>
    <w:rsid w:val="00F4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Normal"/>
    <w:rsid w:val="005138C4"/>
    <w:pPr>
      <w:spacing w:before="0"/>
      <w:jc w:val="center"/>
    </w:pPr>
    <w:rPr>
      <w:szCs w:val="24"/>
    </w:rPr>
  </w:style>
  <w:style w:type="character" w:styleId="Hyperlink">
    <w:name w:val="Hyperlink"/>
    <w:basedOn w:val="DefaultParagraphFont"/>
    <w:rsid w:val="00B660FE"/>
    <w:rPr>
      <w:color w:val="0000FF"/>
      <w:u w:val="single"/>
    </w:rPr>
  </w:style>
  <w:style w:type="paragraph" w:styleId="NormalWeb">
    <w:name w:val="Normal (Web)"/>
    <w:basedOn w:val="Normal"/>
    <w:rsid w:val="00B660FE"/>
    <w:pPr>
      <w:spacing w:before="100" w:beforeAutospacing="1" w:after="100" w:afterAutospacing="1"/>
    </w:pPr>
    <w:rPr>
      <w:color w:val="000000"/>
      <w:szCs w:val="24"/>
    </w:rPr>
  </w:style>
  <w:style w:type="paragraph" w:styleId="FootnoteText">
    <w:name w:val="footnote text"/>
    <w:basedOn w:val="Normal"/>
    <w:link w:val="FootnoteTextChar"/>
    <w:rsid w:val="00624619"/>
    <w:pPr>
      <w:spacing w:before="0"/>
    </w:pPr>
    <w:rPr>
      <w:sz w:val="20"/>
    </w:rPr>
  </w:style>
  <w:style w:type="character" w:customStyle="1" w:styleId="FootnoteTextChar">
    <w:name w:val="Footnote Text Char"/>
    <w:basedOn w:val="DefaultParagraphFont"/>
    <w:link w:val="FootnoteText"/>
    <w:rsid w:val="00624619"/>
  </w:style>
  <w:style w:type="character" w:styleId="FootnoteReference">
    <w:name w:val="footnote reference"/>
    <w:basedOn w:val="DefaultParagraphFont"/>
    <w:rsid w:val="00624619"/>
    <w:rPr>
      <w:vertAlign w:val="superscript"/>
    </w:rPr>
  </w:style>
  <w:style w:type="character" w:customStyle="1" w:styleId="CharPartText">
    <w:name w:val="CharPartText"/>
    <w:basedOn w:val="DefaultParagraphFont"/>
    <w:qFormat/>
    <w:rsid w:val="0011604F"/>
  </w:style>
  <w:style w:type="paragraph" w:styleId="ListParagraph">
    <w:name w:val="List Paragraph"/>
    <w:basedOn w:val="Normal"/>
    <w:uiPriority w:val="34"/>
    <w:qFormat/>
    <w:rsid w:val="004F2C90"/>
    <w:pPr>
      <w:ind w:left="720"/>
      <w:contextualSpacing/>
    </w:pPr>
  </w:style>
  <w:style w:type="character" w:customStyle="1" w:styleId="Heading2Char">
    <w:name w:val="Heading 2 Char"/>
    <w:basedOn w:val="DefaultParagraphFont"/>
    <w:link w:val="Heading2"/>
    <w:rsid w:val="00CA201D"/>
    <w:rPr>
      <w:rFonts w:ascii="Arial" w:hAnsi="Arial" w:cs="Arial"/>
      <w:b/>
      <w:color w:val="000000"/>
      <w:kern w:val="28"/>
      <w:sz w:val="28"/>
      <w:szCs w:val="24"/>
    </w:rPr>
  </w:style>
  <w:style w:type="paragraph" w:styleId="Revision">
    <w:name w:val="Revision"/>
    <w:hidden/>
    <w:uiPriority w:val="99"/>
    <w:semiHidden/>
    <w:rsid w:val="00B3520B"/>
    <w:rPr>
      <w:sz w:val="24"/>
    </w:rPr>
  </w:style>
  <w:style w:type="character" w:customStyle="1" w:styleId="FooterChar">
    <w:name w:val="Footer Char"/>
    <w:basedOn w:val="DefaultParagraphFont"/>
    <w:link w:val="Footer"/>
    <w:uiPriority w:val="99"/>
    <w:rsid w:val="00425C78"/>
    <w:rPr>
      <w:i/>
      <w:szCs w:val="24"/>
      <w:lang w:val="en-AU" w:eastAsia="en-AU" w:bidi="ar-SA"/>
    </w:rPr>
  </w:style>
  <w:style w:type="character" w:styleId="FollowedHyperlink">
    <w:name w:val="FollowedHyperlink"/>
    <w:basedOn w:val="DefaultParagraphFont"/>
    <w:rsid w:val="000C1FDA"/>
    <w:rPr>
      <w:color w:val="800080"/>
      <w:u w:val="single"/>
    </w:rPr>
  </w:style>
  <w:style w:type="character" w:customStyle="1" w:styleId="HelpText">
    <w:name w:val="Help Text"/>
    <w:basedOn w:val="DefaultParagraphFont"/>
    <w:semiHidden/>
    <w:rsid w:val="006C5AF9"/>
    <w:rPr>
      <w:color w:val="808080"/>
    </w:rPr>
  </w:style>
  <w:style w:type="paragraph" w:customStyle="1" w:styleId="Default">
    <w:name w:val="Default"/>
    <w:rsid w:val="004016D3"/>
    <w:pPr>
      <w:autoSpaceDE w:val="0"/>
      <w:autoSpaceDN w:val="0"/>
      <w:adjustRightInd w:val="0"/>
    </w:pPr>
    <w:rPr>
      <w:color w:val="000000"/>
      <w:sz w:val="24"/>
      <w:szCs w:val="24"/>
    </w:rPr>
  </w:style>
  <w:style w:type="character" w:customStyle="1" w:styleId="HeaderChar">
    <w:name w:val="Header Char"/>
    <w:basedOn w:val="DefaultParagraphFont"/>
    <w:link w:val="Header"/>
    <w:rsid w:val="00DD4A42"/>
    <w:rPr>
      <w:i/>
      <w:sz w:val="24"/>
    </w:rPr>
  </w:style>
  <w:style w:type="paragraph" w:customStyle="1" w:styleId="NumberListSub">
    <w:name w:val="Number List Sub"/>
    <w:basedOn w:val="NumberList"/>
    <w:rsid w:val="00842365"/>
    <w:pPr>
      <w:numPr>
        <w:numId w:val="0"/>
      </w:numPr>
      <w:tabs>
        <w:tab w:val="clear" w:pos="567"/>
        <w:tab w:val="num" w:pos="1985"/>
        <w:tab w:val="left" w:pos="2552"/>
      </w:tabs>
      <w:spacing w:line="240" w:lineRule="atLeast"/>
      <w:ind w:left="1985" w:hanging="567"/>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082">
      <w:bodyDiv w:val="1"/>
      <w:marLeft w:val="0"/>
      <w:marRight w:val="0"/>
      <w:marTop w:val="0"/>
      <w:marBottom w:val="0"/>
      <w:divBdr>
        <w:top w:val="none" w:sz="0" w:space="0" w:color="auto"/>
        <w:left w:val="none" w:sz="0" w:space="0" w:color="auto"/>
        <w:bottom w:val="none" w:sz="0" w:space="0" w:color="auto"/>
        <w:right w:val="none" w:sz="0" w:space="0" w:color="auto"/>
      </w:divBdr>
    </w:div>
    <w:div w:id="288829497">
      <w:bodyDiv w:val="1"/>
      <w:marLeft w:val="0"/>
      <w:marRight w:val="0"/>
      <w:marTop w:val="0"/>
      <w:marBottom w:val="0"/>
      <w:divBdr>
        <w:top w:val="none" w:sz="0" w:space="0" w:color="auto"/>
        <w:left w:val="none" w:sz="0" w:space="0" w:color="auto"/>
        <w:bottom w:val="none" w:sz="0" w:space="0" w:color="auto"/>
        <w:right w:val="none" w:sz="0" w:space="0" w:color="auto"/>
      </w:divBdr>
    </w:div>
    <w:div w:id="1449817136">
      <w:bodyDiv w:val="1"/>
      <w:marLeft w:val="0"/>
      <w:marRight w:val="0"/>
      <w:marTop w:val="0"/>
      <w:marBottom w:val="0"/>
      <w:divBdr>
        <w:top w:val="none" w:sz="0" w:space="0" w:color="auto"/>
        <w:left w:val="none" w:sz="0" w:space="0" w:color="auto"/>
        <w:bottom w:val="none" w:sz="0" w:space="0" w:color="auto"/>
        <w:right w:val="none" w:sz="0" w:space="0" w:color="auto"/>
      </w:divBdr>
    </w:div>
    <w:div w:id="16942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budge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ederalfinancialrelations.gov.au/"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udge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1751-08D0-4919-A1C9-A39A6C6A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4668</Words>
  <Characters>26613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Explanatory Memorandum to Appropriation Bill (No. 2) 2018-2019</vt:lpstr>
    </vt:vector>
  </TitlesOfParts>
  <Manager>Sally.Kerr@finance.gov.au</Manager>
  <Company>Department of Finance</Company>
  <LinksUpToDate>false</LinksUpToDate>
  <CharactersWithSpaces>31219</CharactersWithSpaces>
  <SharedDoc>false</SharedDoc>
  <HLinks>
    <vt:vector size="6" baseType="variant">
      <vt:variant>
        <vt:i4>3539067</vt:i4>
      </vt:variant>
      <vt:variant>
        <vt:i4>0</vt:i4>
      </vt:variant>
      <vt:variant>
        <vt:i4>0</vt:i4>
      </vt:variant>
      <vt:variant>
        <vt:i4>5</vt:i4>
      </vt:variant>
      <vt:variant>
        <vt:lpwstr>http://www.dpmc.gov.au/pmc/publication/administrative-arrangements-order-made-23-december-2014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to Appropriation Bill (No. 2) 2018-2019</dc:title>
  <dc:creator>Sally.Kerr@finance.gov.au</dc:creator>
  <cp:lastModifiedBy>Ward, Courtney</cp:lastModifiedBy>
  <cp:revision>2</cp:revision>
  <cp:lastPrinted>2018-01-24T22:43:00Z</cp:lastPrinted>
  <dcterms:created xsi:type="dcterms:W3CDTF">2020-03-23T23:23:00Z</dcterms:created>
  <dcterms:modified xsi:type="dcterms:W3CDTF">2020-03-23T23:23:00Z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9ZL1Sa8kN+vSp6NqKJZh0BCtsRL60lui09jk6icJdKukjaRi2PasSMgPijeFVZS0D_x000d__x000d_pjXfvaGJ0z07DBe3WZl2SLIvIXH8Qcqt4nA5l/T5vslAUTYTyHLt9Z6Hc1xDYAmu+pou8BdQSWVC_x000d__x000d_4WAzf3PmMtVc/1vCeC5cHQhZ7VaBhQnxeUdGyQJA9Rf1TIGTslhrp7MOtHqxQoQn93oCaXG76VIt_x000d__x000d_JPReDlUj10CdpBwxV</vt:lpwstr>
  </property>
  <property fmtid="{D5CDD505-2E9C-101B-9397-08002B2CF9AE}" pid="3" name="MAIL_MSG_ID2">
    <vt:lpwstr>c2RnwbSe3Cs0E5XlBPsD2sKIYz71ovUyLRrDVLtp2azKz96ilL46whusl86_x000d__x000d_j2Q259eSlri02VMJN0QCBfsbCuiAZDZsSPEKErE8ly/xAGiQ</vt:lpwstr>
  </property>
  <property fmtid="{D5CDD505-2E9C-101B-9397-08002B2CF9AE}" pid="4" name="RESPONSE_SENDER_NAME">
    <vt:lpwstr>sAAA4E8dREqJqIosLTRQjmWVF05AqbVLd9QKtIjZlGz4OZs=</vt:lpwstr>
  </property>
  <property fmtid="{D5CDD505-2E9C-101B-9397-08002B2CF9AE}" pid="5" name="EMAIL_OWNER_ADDRESS">
    <vt:lpwstr>4AAAUmLmXdMZevTiEzY/TfJUObebiOQmEtDeyEsBCMNU/H8aMTWAaZBw1Q==</vt:lpwstr>
  </property>
  <property fmtid="{D5CDD505-2E9C-101B-9397-08002B2CF9AE}" pid="6" name="_NewReviewCycle">
    <vt:lpwstr/>
  </property>
</Properties>
</file>