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96" w:rsidRDefault="004E1296">
      <w:pPr>
        <w:autoSpaceDE w:val="0"/>
        <w:autoSpaceDN w:val="0"/>
        <w:adjustRightInd w:val="0"/>
        <w:jc w:val="center"/>
        <w:rPr>
          <w:sz w:val="20"/>
          <w:szCs w:val="20"/>
        </w:rPr>
      </w:pPr>
      <w:bookmarkStart w:id="0" w:name="_GoBack"/>
      <w:bookmarkEnd w:id="0"/>
    </w:p>
    <w:p w:rsidR="004E1296" w:rsidRDefault="004E1296">
      <w:pPr>
        <w:autoSpaceDE w:val="0"/>
        <w:autoSpaceDN w:val="0"/>
        <w:adjustRightInd w:val="0"/>
        <w:jc w:val="center"/>
        <w:rPr>
          <w:sz w:val="20"/>
          <w:szCs w:val="20"/>
        </w:rPr>
      </w:pPr>
    </w:p>
    <w:p w:rsidR="004E1296" w:rsidRDefault="004E1296">
      <w:pPr>
        <w:autoSpaceDE w:val="0"/>
        <w:autoSpaceDN w:val="0"/>
        <w:adjustRightInd w:val="0"/>
        <w:jc w:val="center"/>
        <w:rPr>
          <w:sz w:val="20"/>
          <w:szCs w:val="20"/>
        </w:rPr>
      </w:pPr>
    </w:p>
    <w:p w:rsidR="004E1296" w:rsidRDefault="004E1296">
      <w:pPr>
        <w:autoSpaceDE w:val="0"/>
        <w:autoSpaceDN w:val="0"/>
        <w:adjustRightInd w:val="0"/>
        <w:jc w:val="center"/>
      </w:pPr>
    </w:p>
    <w:p w:rsidR="004E1296" w:rsidRDefault="00085950">
      <w:pPr>
        <w:autoSpaceDE w:val="0"/>
        <w:autoSpaceDN w:val="0"/>
        <w:adjustRightInd w:val="0"/>
        <w:jc w:val="center"/>
      </w:pPr>
      <w:r>
        <w:t>201</w:t>
      </w:r>
      <w:r w:rsidR="00734964">
        <w:t>6</w:t>
      </w:r>
      <w:r>
        <w:t>-201</w:t>
      </w:r>
      <w:r w:rsidR="00734964">
        <w:t>7</w:t>
      </w:r>
    </w:p>
    <w:p w:rsidR="004E1296" w:rsidRDefault="004E1296">
      <w:pPr>
        <w:autoSpaceDE w:val="0"/>
        <w:autoSpaceDN w:val="0"/>
        <w:adjustRightInd w:val="0"/>
      </w:pPr>
    </w:p>
    <w:p w:rsidR="004E1296" w:rsidRDefault="004E1296">
      <w:pPr>
        <w:autoSpaceDE w:val="0"/>
        <w:autoSpaceDN w:val="0"/>
        <w:adjustRightInd w:val="0"/>
      </w:pPr>
    </w:p>
    <w:p w:rsidR="004E1296" w:rsidRDefault="004E1296">
      <w:pPr>
        <w:autoSpaceDE w:val="0"/>
        <w:autoSpaceDN w:val="0"/>
        <w:adjustRightInd w:val="0"/>
      </w:pPr>
    </w:p>
    <w:p w:rsidR="004E1296" w:rsidRDefault="00085950">
      <w:pPr>
        <w:autoSpaceDE w:val="0"/>
        <w:autoSpaceDN w:val="0"/>
        <w:adjustRightInd w:val="0"/>
        <w:jc w:val="center"/>
      </w:pPr>
      <w:r>
        <w:t>THE PARLIAMENT OF THE COMMONWEALTH OF AUSTRALIA</w:t>
      </w: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085950">
      <w:pPr>
        <w:autoSpaceDE w:val="0"/>
        <w:autoSpaceDN w:val="0"/>
        <w:adjustRightInd w:val="0"/>
        <w:jc w:val="center"/>
      </w:pPr>
      <w:r>
        <w:t>HOUSE OF REPRESENTATIVES</w:t>
      </w: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CD25F9" w:rsidRPr="00CD25F9" w:rsidRDefault="00CD25F9" w:rsidP="00CD25F9">
      <w:pPr>
        <w:autoSpaceDE w:val="0"/>
        <w:autoSpaceDN w:val="0"/>
        <w:adjustRightInd w:val="0"/>
        <w:jc w:val="center"/>
        <w:rPr>
          <w:b/>
          <w:bCs/>
        </w:rPr>
      </w:pPr>
    </w:p>
    <w:p w:rsidR="004E1296" w:rsidRDefault="00CD25F9" w:rsidP="00CD25F9">
      <w:pPr>
        <w:autoSpaceDE w:val="0"/>
        <w:autoSpaceDN w:val="0"/>
        <w:adjustRightInd w:val="0"/>
        <w:jc w:val="center"/>
        <w:rPr>
          <w:b/>
          <w:bCs/>
        </w:rPr>
      </w:pPr>
      <w:r w:rsidRPr="00CD25F9">
        <w:rPr>
          <w:b/>
          <w:bCs/>
        </w:rPr>
        <w:t xml:space="preserve">FARM HOUSEHOLD SUPPORT </w:t>
      </w:r>
      <w:r w:rsidR="00734964">
        <w:rPr>
          <w:b/>
          <w:bCs/>
        </w:rPr>
        <w:t xml:space="preserve">AMENDMENT </w:t>
      </w:r>
      <w:r w:rsidRPr="00CD25F9">
        <w:rPr>
          <w:b/>
          <w:bCs/>
        </w:rPr>
        <w:t>BILL 201</w:t>
      </w:r>
      <w:r w:rsidR="00734964">
        <w:rPr>
          <w:b/>
          <w:bCs/>
        </w:rPr>
        <w:t>7</w:t>
      </w:r>
      <w:r>
        <w:rPr>
          <w:b/>
          <w:bCs/>
        </w:rPr>
        <w:tab/>
      </w:r>
    </w:p>
    <w:p w:rsidR="004E1296" w:rsidRDefault="004E1296">
      <w:pPr>
        <w:autoSpaceDE w:val="0"/>
        <w:autoSpaceDN w:val="0"/>
        <w:adjustRightInd w:val="0"/>
        <w:jc w:val="center"/>
        <w:rPr>
          <w:b/>
          <w:bCs/>
        </w:rPr>
      </w:pPr>
    </w:p>
    <w:p w:rsidR="004E1296" w:rsidRDefault="004E1296">
      <w:pPr>
        <w:autoSpaceDE w:val="0"/>
        <w:autoSpaceDN w:val="0"/>
        <w:adjustRightInd w:val="0"/>
        <w:jc w:val="center"/>
        <w:rPr>
          <w:b/>
          <w:bCs/>
        </w:rPr>
      </w:pPr>
    </w:p>
    <w:p w:rsidR="004E1296" w:rsidRDefault="004E1296">
      <w:pPr>
        <w:autoSpaceDE w:val="0"/>
        <w:autoSpaceDN w:val="0"/>
        <w:adjustRightInd w:val="0"/>
        <w:jc w:val="center"/>
        <w:rPr>
          <w:b/>
          <w:bCs/>
        </w:rPr>
      </w:pPr>
    </w:p>
    <w:p w:rsidR="004E1296" w:rsidRDefault="004E1296">
      <w:pPr>
        <w:autoSpaceDE w:val="0"/>
        <w:autoSpaceDN w:val="0"/>
        <w:adjustRightInd w:val="0"/>
        <w:jc w:val="center"/>
        <w:rPr>
          <w:b/>
          <w:bCs/>
        </w:rPr>
      </w:pPr>
    </w:p>
    <w:p w:rsidR="004E1296" w:rsidRDefault="004E1296">
      <w:pPr>
        <w:autoSpaceDE w:val="0"/>
        <w:autoSpaceDN w:val="0"/>
        <w:adjustRightInd w:val="0"/>
        <w:jc w:val="center"/>
        <w:rPr>
          <w:b/>
          <w:bCs/>
        </w:rPr>
      </w:pPr>
    </w:p>
    <w:p w:rsidR="004E1296" w:rsidRDefault="004E1296">
      <w:pPr>
        <w:autoSpaceDE w:val="0"/>
        <w:autoSpaceDN w:val="0"/>
        <w:adjustRightInd w:val="0"/>
        <w:jc w:val="center"/>
        <w:rPr>
          <w:b/>
          <w:bCs/>
        </w:rPr>
      </w:pPr>
    </w:p>
    <w:p w:rsidR="004E1296" w:rsidRDefault="00085950">
      <w:pPr>
        <w:autoSpaceDE w:val="0"/>
        <w:autoSpaceDN w:val="0"/>
        <w:adjustRightInd w:val="0"/>
        <w:jc w:val="center"/>
      </w:pPr>
      <w:r>
        <w:t>EXPLANATORY MEMORANDUM</w:t>
      </w: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jc w:val="center"/>
      </w:pPr>
    </w:p>
    <w:p w:rsidR="004E1296" w:rsidRDefault="004E1296">
      <w:pPr>
        <w:autoSpaceDE w:val="0"/>
        <w:autoSpaceDN w:val="0"/>
        <w:adjustRightInd w:val="0"/>
      </w:pPr>
    </w:p>
    <w:p w:rsidR="00676896" w:rsidRDefault="00085950">
      <w:pPr>
        <w:autoSpaceDE w:val="0"/>
        <w:autoSpaceDN w:val="0"/>
        <w:adjustRightInd w:val="0"/>
        <w:jc w:val="center"/>
      </w:pPr>
      <w:r>
        <w:t xml:space="preserve">(Circulated by authority of the </w:t>
      </w:r>
      <w:r w:rsidR="00676896">
        <w:t xml:space="preserve">Deputy Prime Minister and </w:t>
      </w:r>
    </w:p>
    <w:p w:rsidR="004E1296" w:rsidRDefault="00085950">
      <w:pPr>
        <w:autoSpaceDE w:val="0"/>
        <w:autoSpaceDN w:val="0"/>
        <w:adjustRightInd w:val="0"/>
        <w:jc w:val="center"/>
      </w:pPr>
      <w:r>
        <w:t>Minister for Agriculture</w:t>
      </w:r>
      <w:r w:rsidR="006575F3">
        <w:t xml:space="preserve"> and Water Resources</w:t>
      </w:r>
      <w:r>
        <w:t xml:space="preserve">, </w:t>
      </w:r>
    </w:p>
    <w:p w:rsidR="004E1296" w:rsidRDefault="00085950">
      <w:pPr>
        <w:autoSpaceDE w:val="0"/>
        <w:autoSpaceDN w:val="0"/>
        <w:adjustRightInd w:val="0"/>
        <w:jc w:val="center"/>
        <w:rPr>
          <w:b/>
          <w:bCs/>
        </w:rPr>
      </w:pPr>
      <w:r>
        <w:t xml:space="preserve">the </w:t>
      </w:r>
      <w:r w:rsidR="00CD25F9" w:rsidRPr="00CD25F9">
        <w:t>Hon. Barnaby Joyce MP</w:t>
      </w:r>
      <w:r>
        <w:t>)</w:t>
      </w:r>
    </w:p>
    <w:p w:rsidR="00CD25F9" w:rsidRDefault="00CD25F9">
      <w:pPr>
        <w:spacing w:after="200" w:line="276" w:lineRule="auto"/>
      </w:pPr>
    </w:p>
    <w:p w:rsidR="00CD25F9" w:rsidRDefault="00CD25F9">
      <w:pPr>
        <w:spacing w:after="200" w:line="276" w:lineRule="auto"/>
        <w:sectPr w:rsidR="00CD25F9" w:rsidSect="004E1296">
          <w:headerReference w:type="even" r:id="rId9"/>
          <w:headerReference w:type="default"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pPr>
    </w:p>
    <w:p w:rsidR="00E17826" w:rsidRDefault="00E17826" w:rsidP="00A750B2">
      <w:pPr>
        <w:spacing w:line="276" w:lineRule="auto"/>
        <w:jc w:val="center"/>
        <w:rPr>
          <w:b/>
          <w:bCs/>
        </w:rPr>
      </w:pPr>
      <w:r w:rsidRPr="00A750B2">
        <w:rPr>
          <w:b/>
          <w:bCs/>
        </w:rPr>
        <w:lastRenderedPageBreak/>
        <w:t xml:space="preserve">FARM HOUSEHOLD SUPPORT </w:t>
      </w:r>
      <w:r w:rsidR="006575F3" w:rsidRPr="00A750B2">
        <w:rPr>
          <w:b/>
          <w:bCs/>
        </w:rPr>
        <w:t xml:space="preserve">AMENDMENT </w:t>
      </w:r>
      <w:r w:rsidRPr="00A750B2">
        <w:rPr>
          <w:b/>
          <w:bCs/>
        </w:rPr>
        <w:t>BILL 201</w:t>
      </w:r>
      <w:r w:rsidR="006575F3" w:rsidRPr="00A750B2">
        <w:rPr>
          <w:b/>
          <w:bCs/>
        </w:rPr>
        <w:t>7</w:t>
      </w:r>
    </w:p>
    <w:p w:rsidR="00E71C31" w:rsidRPr="00A750B2" w:rsidRDefault="00E71C31" w:rsidP="00A750B2">
      <w:pPr>
        <w:spacing w:line="276" w:lineRule="auto"/>
        <w:jc w:val="center"/>
        <w:rPr>
          <w:b/>
          <w:bCs/>
        </w:rPr>
      </w:pPr>
    </w:p>
    <w:p w:rsidR="00AE6392" w:rsidRDefault="00C45EB9" w:rsidP="00E71C31">
      <w:pPr>
        <w:rPr>
          <w:b/>
          <w:bCs/>
        </w:rPr>
      </w:pPr>
      <w:r w:rsidRPr="00A750B2">
        <w:rPr>
          <w:b/>
          <w:bCs/>
        </w:rPr>
        <w:t>GENERAL OUTLINE</w:t>
      </w:r>
    </w:p>
    <w:p w:rsidR="004319FA" w:rsidRDefault="004319FA" w:rsidP="00A750B2">
      <w:pPr>
        <w:rPr>
          <w:bCs/>
        </w:rPr>
      </w:pPr>
    </w:p>
    <w:p w:rsidR="00C45EB9" w:rsidRDefault="00C45EB9" w:rsidP="00F37AB2">
      <w:pPr>
        <w:rPr>
          <w:bCs/>
        </w:rPr>
      </w:pPr>
      <w:r w:rsidRPr="00C45EB9">
        <w:rPr>
          <w:bCs/>
        </w:rPr>
        <w:t xml:space="preserve">The Farm Household Support </w:t>
      </w:r>
      <w:r w:rsidR="006575F3">
        <w:rPr>
          <w:bCs/>
        </w:rPr>
        <w:t xml:space="preserve">Amendment </w:t>
      </w:r>
      <w:r w:rsidRPr="00C45EB9">
        <w:rPr>
          <w:bCs/>
        </w:rPr>
        <w:t>Bill 201</w:t>
      </w:r>
      <w:r w:rsidR="006575F3">
        <w:rPr>
          <w:bCs/>
        </w:rPr>
        <w:t>7</w:t>
      </w:r>
      <w:r w:rsidRPr="00C45EB9">
        <w:rPr>
          <w:bCs/>
        </w:rPr>
        <w:t xml:space="preserve"> (the Bill) </w:t>
      </w:r>
      <w:r w:rsidR="0057109C">
        <w:rPr>
          <w:bCs/>
        </w:rPr>
        <w:t xml:space="preserve">will </w:t>
      </w:r>
      <w:r w:rsidR="006575F3">
        <w:rPr>
          <w:bCs/>
        </w:rPr>
        <w:t>amend</w:t>
      </w:r>
      <w:r w:rsidRPr="00C45EB9">
        <w:rPr>
          <w:bCs/>
        </w:rPr>
        <w:t xml:space="preserve"> the </w:t>
      </w:r>
      <w:r w:rsidR="006575F3" w:rsidRPr="00E760D2">
        <w:rPr>
          <w:bCs/>
          <w:i/>
        </w:rPr>
        <w:t xml:space="preserve">Farm Household Support Act </w:t>
      </w:r>
      <w:r w:rsidR="006575F3">
        <w:rPr>
          <w:bCs/>
          <w:i/>
        </w:rPr>
        <w:t>2014</w:t>
      </w:r>
      <w:r w:rsidR="006575F3" w:rsidRPr="002B4330">
        <w:rPr>
          <w:bCs/>
        </w:rPr>
        <w:t xml:space="preserve"> </w:t>
      </w:r>
      <w:r w:rsidR="006575F3">
        <w:rPr>
          <w:bCs/>
        </w:rPr>
        <w:t xml:space="preserve">(the FHS Act) to </w:t>
      </w:r>
      <w:r w:rsidR="006575F3" w:rsidRPr="006575F3">
        <w:rPr>
          <w:bCs/>
        </w:rPr>
        <w:t xml:space="preserve">ensure that recipients </w:t>
      </w:r>
      <w:r w:rsidR="006575F3">
        <w:rPr>
          <w:bCs/>
        </w:rPr>
        <w:t xml:space="preserve">of Farm Household Allowance (FHA) </w:t>
      </w:r>
      <w:r w:rsidR="006575F3" w:rsidRPr="006575F3">
        <w:rPr>
          <w:bCs/>
        </w:rPr>
        <w:t>are not required to serve a</w:t>
      </w:r>
      <w:r w:rsidR="003B2FDB">
        <w:rPr>
          <w:bCs/>
        </w:rPr>
        <w:t>n</w:t>
      </w:r>
      <w:r w:rsidR="006575F3" w:rsidRPr="006575F3">
        <w:rPr>
          <w:bCs/>
        </w:rPr>
        <w:t xml:space="preserve"> </w:t>
      </w:r>
      <w:r w:rsidR="003B2FDB" w:rsidRPr="006575F3">
        <w:rPr>
          <w:bCs/>
        </w:rPr>
        <w:t>ordinary waiting period (OWP)</w:t>
      </w:r>
      <w:r w:rsidR="003B2FDB">
        <w:rPr>
          <w:bCs/>
        </w:rPr>
        <w:t xml:space="preserve"> or</w:t>
      </w:r>
      <w:r w:rsidR="003B2FDB" w:rsidRPr="006575F3">
        <w:rPr>
          <w:bCs/>
        </w:rPr>
        <w:t xml:space="preserve"> </w:t>
      </w:r>
      <w:r w:rsidR="006575F3" w:rsidRPr="006575F3">
        <w:rPr>
          <w:bCs/>
        </w:rPr>
        <w:t>liquid assets waiting period (LAWP) (if applicable) before they can commence receiving the FHA</w:t>
      </w:r>
      <w:r w:rsidR="006575F3">
        <w:rPr>
          <w:bCs/>
        </w:rPr>
        <w:t>.</w:t>
      </w:r>
      <w:r w:rsidR="006575F3" w:rsidRPr="006575F3">
        <w:rPr>
          <w:bCs/>
        </w:rPr>
        <w:t xml:space="preserve"> </w:t>
      </w:r>
      <w:r w:rsidR="006575F3">
        <w:rPr>
          <w:bCs/>
        </w:rPr>
        <w:t>It also</w:t>
      </w:r>
      <w:r w:rsidR="006575F3" w:rsidRPr="006575F3">
        <w:rPr>
          <w:rFonts w:eastAsia="Calibri"/>
          <w:szCs w:val="22"/>
          <w:lang w:eastAsia="en-US"/>
        </w:rPr>
        <w:t xml:space="preserve"> </w:t>
      </w:r>
      <w:r w:rsidR="006575F3" w:rsidRPr="006575F3">
        <w:rPr>
          <w:bCs/>
        </w:rPr>
        <w:t>clarif</w:t>
      </w:r>
      <w:r w:rsidR="006575F3">
        <w:rPr>
          <w:bCs/>
        </w:rPr>
        <w:t>ies</w:t>
      </w:r>
      <w:r w:rsidR="006575F3" w:rsidRPr="006575F3">
        <w:rPr>
          <w:bCs/>
        </w:rPr>
        <w:t xml:space="preserve"> the </w:t>
      </w:r>
      <w:r w:rsidR="0057109C">
        <w:rPr>
          <w:bCs/>
        </w:rPr>
        <w:t xml:space="preserve">asset test </w:t>
      </w:r>
      <w:r w:rsidR="006575F3" w:rsidRPr="006575F3">
        <w:rPr>
          <w:bCs/>
        </w:rPr>
        <w:t>treatment of certain assets necessary for</w:t>
      </w:r>
      <w:r w:rsidR="00EC6BCC">
        <w:rPr>
          <w:bCs/>
        </w:rPr>
        <w:t xml:space="preserve"> the</w:t>
      </w:r>
      <w:r w:rsidR="006575F3" w:rsidRPr="006575F3">
        <w:rPr>
          <w:bCs/>
        </w:rPr>
        <w:t xml:space="preserve"> operation of the farm enterprise.</w:t>
      </w:r>
      <w:r w:rsidR="006575F3">
        <w:rPr>
          <w:bCs/>
        </w:rPr>
        <w:t xml:space="preserve"> </w:t>
      </w:r>
      <w:r w:rsidR="006575F3" w:rsidRPr="006575F3">
        <w:rPr>
          <w:bCs/>
        </w:rPr>
        <w:t xml:space="preserve"> </w:t>
      </w:r>
    </w:p>
    <w:p w:rsidR="00E71C31" w:rsidRPr="00C45EB9" w:rsidRDefault="00E71C31" w:rsidP="00F37AB2">
      <w:pPr>
        <w:rPr>
          <w:bCs/>
        </w:rPr>
      </w:pPr>
    </w:p>
    <w:p w:rsidR="00183587" w:rsidRPr="00183587" w:rsidRDefault="00183587" w:rsidP="00F37AB2">
      <w:pPr>
        <w:rPr>
          <w:bCs/>
        </w:rPr>
      </w:pPr>
      <w:r w:rsidRPr="00183587">
        <w:rPr>
          <w:bCs/>
        </w:rPr>
        <w:t xml:space="preserve">The FHA programme gives farmers and their partners a maximum of three years income support to meet basic household needs while they make decisions about the future of their farm businesses and take action to improve their circumstances. It is paid at the same rate as </w:t>
      </w:r>
      <w:r w:rsidR="00672D10">
        <w:rPr>
          <w:bCs/>
        </w:rPr>
        <w:t>N</w:t>
      </w:r>
      <w:r w:rsidRPr="00183587">
        <w:rPr>
          <w:bCs/>
        </w:rPr>
        <w:t xml:space="preserve">ewstart </w:t>
      </w:r>
      <w:r w:rsidR="00672D10">
        <w:rPr>
          <w:bCs/>
        </w:rPr>
        <w:t>A</w:t>
      </w:r>
      <w:r w:rsidRPr="00183587">
        <w:rPr>
          <w:bCs/>
        </w:rPr>
        <w:t xml:space="preserve">llowance and is subject to an income test similar to </w:t>
      </w:r>
      <w:r w:rsidR="00672D10">
        <w:rPr>
          <w:bCs/>
        </w:rPr>
        <w:t>N</w:t>
      </w:r>
      <w:r w:rsidRPr="00183587">
        <w:rPr>
          <w:bCs/>
        </w:rPr>
        <w:t xml:space="preserve">ewstart as well as a two tier assets test. The tier 1 test relates to non-farm assets and is the same as for </w:t>
      </w:r>
      <w:r w:rsidR="00672D10">
        <w:rPr>
          <w:bCs/>
        </w:rPr>
        <w:t>N</w:t>
      </w:r>
      <w:r w:rsidRPr="00183587">
        <w:rPr>
          <w:bCs/>
        </w:rPr>
        <w:t>ewstart recipients. For applicants who satisfy the tier 1 test, there is a separate test that restricts FHA to those with net farm assets not exceeding $2.55 million.</w:t>
      </w:r>
    </w:p>
    <w:p w:rsidR="00183587" w:rsidRDefault="00183587" w:rsidP="00F37AB2">
      <w:pPr>
        <w:rPr>
          <w:bCs/>
        </w:rPr>
      </w:pPr>
    </w:p>
    <w:p w:rsidR="00EC6BCC" w:rsidRPr="003D2AD4" w:rsidRDefault="00E71C31" w:rsidP="00F37AB2">
      <w:pPr>
        <w:rPr>
          <w:b/>
          <w:bCs/>
        </w:rPr>
      </w:pPr>
      <w:r>
        <w:rPr>
          <w:b/>
          <w:bCs/>
        </w:rPr>
        <w:t>REMOVAL OF THE OWP AND LAWP</w:t>
      </w:r>
    </w:p>
    <w:p w:rsidR="00EC6BCC" w:rsidRDefault="00EC6BCC" w:rsidP="00F37AB2">
      <w:pPr>
        <w:rPr>
          <w:bCs/>
        </w:rPr>
      </w:pPr>
    </w:p>
    <w:p w:rsidR="003D2AD4" w:rsidRDefault="00066BC9" w:rsidP="00F37AB2">
      <w:pPr>
        <w:rPr>
          <w:bCs/>
        </w:rPr>
      </w:pPr>
      <w:r>
        <w:rPr>
          <w:bCs/>
        </w:rPr>
        <w:t xml:space="preserve">The general requirement in social security law for social welfare applicants to serve </w:t>
      </w:r>
      <w:r w:rsidR="00183587" w:rsidRPr="00183587">
        <w:rPr>
          <w:bCs/>
        </w:rPr>
        <w:t>a</w:t>
      </w:r>
      <w:r w:rsidR="003B2FDB">
        <w:rPr>
          <w:bCs/>
        </w:rPr>
        <w:t>n OWP and</w:t>
      </w:r>
      <w:r w:rsidR="00183587" w:rsidRPr="00183587">
        <w:rPr>
          <w:bCs/>
        </w:rPr>
        <w:t xml:space="preserve"> LAWP (if applicable) before they can commence receiving </w:t>
      </w:r>
      <w:r>
        <w:rPr>
          <w:bCs/>
        </w:rPr>
        <w:t xml:space="preserve">payment is mirrored in the FHS Act. </w:t>
      </w:r>
    </w:p>
    <w:p w:rsidR="003D2AD4" w:rsidRDefault="003D2AD4" w:rsidP="00F37AB2">
      <w:pPr>
        <w:rPr>
          <w:bCs/>
        </w:rPr>
      </w:pPr>
    </w:p>
    <w:p w:rsidR="003D2AD4" w:rsidRDefault="00183587" w:rsidP="00F37AB2">
      <w:pPr>
        <w:rPr>
          <w:bCs/>
        </w:rPr>
      </w:pPr>
      <w:r w:rsidRPr="00183587">
        <w:rPr>
          <w:bCs/>
        </w:rPr>
        <w:t xml:space="preserve">The OWP </w:t>
      </w:r>
      <w:r w:rsidR="00EC6BCC">
        <w:rPr>
          <w:bCs/>
        </w:rPr>
        <w:t xml:space="preserve">is a period of one week that </w:t>
      </w:r>
      <w:r w:rsidR="003D2AD4">
        <w:rPr>
          <w:bCs/>
        </w:rPr>
        <w:t xml:space="preserve">all </w:t>
      </w:r>
      <w:r w:rsidR="00EC6BCC">
        <w:rPr>
          <w:bCs/>
        </w:rPr>
        <w:t>recipients are required to serve unless exempted</w:t>
      </w:r>
      <w:r w:rsidR="003D2AD4">
        <w:rPr>
          <w:bCs/>
        </w:rPr>
        <w:t xml:space="preserve"> due to hardship. A</w:t>
      </w:r>
      <w:r w:rsidR="00EC6BCC">
        <w:rPr>
          <w:bCs/>
        </w:rPr>
        <w:t xml:space="preserve"> LAWP </w:t>
      </w:r>
      <w:r w:rsidR="003D2AD4">
        <w:rPr>
          <w:bCs/>
        </w:rPr>
        <w:t xml:space="preserve">of one week applies if a couple, or a single with dependants, has liquid assets of $11,000 to $11,999. An additional week, up to a maximum of 13 weeks, applies in respect of each $1,000 in liquid assets held. For singles, the asset thresholds are half those for couples or people with dependants. </w:t>
      </w:r>
    </w:p>
    <w:p w:rsidR="003D2AD4" w:rsidRDefault="003D2AD4" w:rsidP="00F37AB2">
      <w:pPr>
        <w:rPr>
          <w:bCs/>
        </w:rPr>
      </w:pPr>
    </w:p>
    <w:p w:rsidR="00183587" w:rsidRPr="00183587" w:rsidRDefault="003D2AD4" w:rsidP="00F37AB2">
      <w:pPr>
        <w:rPr>
          <w:bCs/>
        </w:rPr>
      </w:pPr>
      <w:r>
        <w:rPr>
          <w:bCs/>
        </w:rPr>
        <w:t>The OWP and LAWP (if applicable) are</w:t>
      </w:r>
      <w:r w:rsidR="003744DA">
        <w:rPr>
          <w:bCs/>
        </w:rPr>
        <w:t xml:space="preserve"> served consecutively</w:t>
      </w:r>
      <w:r w:rsidR="00251F2F">
        <w:rPr>
          <w:bCs/>
        </w:rPr>
        <w:t>.</w:t>
      </w:r>
      <w:r w:rsidR="00EC6BCC">
        <w:rPr>
          <w:bCs/>
        </w:rPr>
        <w:t xml:space="preserve"> Both</w:t>
      </w:r>
      <w:r w:rsidR="00183587" w:rsidRPr="00183587">
        <w:rPr>
          <w:bCs/>
        </w:rPr>
        <w:t xml:space="preserve"> are generally applied to ensure that social welfare applicants use their own readily available resources before drawing on public </w:t>
      </w:r>
      <w:r w:rsidR="00EC6BCC">
        <w:rPr>
          <w:bCs/>
        </w:rPr>
        <w:t>monies</w:t>
      </w:r>
      <w:r w:rsidR="00183587" w:rsidRPr="00183587">
        <w:rPr>
          <w:bCs/>
        </w:rPr>
        <w:t xml:space="preserve">, and have incentives to continue to seek work. </w:t>
      </w:r>
    </w:p>
    <w:p w:rsidR="00183587" w:rsidRDefault="00183587" w:rsidP="00F37AB2">
      <w:pPr>
        <w:rPr>
          <w:bCs/>
        </w:rPr>
      </w:pPr>
    </w:p>
    <w:p w:rsidR="00E70832" w:rsidRDefault="00E70832" w:rsidP="00F37AB2">
      <w:pPr>
        <w:rPr>
          <w:rFonts w:eastAsia="Calibri"/>
          <w:szCs w:val="22"/>
          <w:lang w:eastAsia="en-US"/>
        </w:rPr>
      </w:pPr>
      <w:r w:rsidRPr="00183587">
        <w:rPr>
          <w:rFonts w:eastAsia="Calibri"/>
          <w:szCs w:val="22"/>
          <w:lang w:eastAsia="en-US"/>
        </w:rPr>
        <w:t xml:space="preserve">The current requirement for FHA recipients to serve </w:t>
      </w:r>
      <w:r w:rsidR="0022105B" w:rsidRPr="00183587">
        <w:rPr>
          <w:rFonts w:eastAsia="Calibri"/>
          <w:szCs w:val="22"/>
          <w:lang w:eastAsia="en-US"/>
        </w:rPr>
        <w:t xml:space="preserve">an OWP and </w:t>
      </w:r>
      <w:r w:rsidRPr="00183587">
        <w:rPr>
          <w:rFonts w:eastAsia="Calibri"/>
          <w:szCs w:val="22"/>
          <w:lang w:eastAsia="en-US"/>
        </w:rPr>
        <w:t xml:space="preserve">LAWP (if applicable) is unnecessary. Farmers are already attached to the workforce and requiring them to use liquid assets for self-support risks diverting those assets from supporting the operation of the farm enterprise. The FHA </w:t>
      </w:r>
      <w:r w:rsidRPr="00183587">
        <w:rPr>
          <w:rFonts w:eastAsia="Calibri"/>
          <w:szCs w:val="22"/>
          <w:lang w:eastAsia="en-US"/>
        </w:rPr>
        <w:lastRenderedPageBreak/>
        <w:t>programme is also time limited so the OWP and LAWP generate no savings. Requiring an FHA recipient to wait additional time</w:t>
      </w:r>
      <w:r w:rsidR="0022105B">
        <w:rPr>
          <w:rFonts w:eastAsia="Calibri"/>
          <w:szCs w:val="22"/>
          <w:lang w:eastAsia="en-US"/>
        </w:rPr>
        <w:t xml:space="preserve"> to receive payment</w:t>
      </w:r>
      <w:r w:rsidRPr="00183587">
        <w:rPr>
          <w:rFonts w:eastAsia="Calibri"/>
          <w:szCs w:val="22"/>
          <w:lang w:eastAsia="en-US"/>
        </w:rPr>
        <w:t xml:space="preserve"> could lead to additional hardship which risks a reduction in their capacity to operate the farm enterprise.</w:t>
      </w:r>
    </w:p>
    <w:p w:rsidR="00E70832" w:rsidRDefault="00E70832" w:rsidP="00F37AB2">
      <w:pPr>
        <w:rPr>
          <w:rFonts w:eastAsia="Calibri"/>
          <w:szCs w:val="22"/>
          <w:lang w:eastAsia="en-US"/>
        </w:rPr>
      </w:pPr>
    </w:p>
    <w:p w:rsidR="00EC6BCC" w:rsidRPr="003744DA" w:rsidRDefault="00E71C31" w:rsidP="00F37AB2">
      <w:pPr>
        <w:rPr>
          <w:rFonts w:eastAsia="Calibri"/>
          <w:b/>
          <w:szCs w:val="22"/>
          <w:lang w:eastAsia="en-US"/>
        </w:rPr>
      </w:pPr>
      <w:r>
        <w:rPr>
          <w:rFonts w:eastAsia="Calibri"/>
          <w:b/>
          <w:szCs w:val="22"/>
          <w:lang w:eastAsia="en-US"/>
        </w:rPr>
        <w:t>TREATMENT OF ASSETS</w:t>
      </w:r>
    </w:p>
    <w:p w:rsidR="00EC6BCC" w:rsidRPr="00183587" w:rsidRDefault="00EC6BCC" w:rsidP="00F37AB2">
      <w:pPr>
        <w:rPr>
          <w:rFonts w:eastAsia="Calibri"/>
          <w:szCs w:val="22"/>
          <w:lang w:eastAsia="en-US"/>
        </w:rPr>
      </w:pPr>
    </w:p>
    <w:p w:rsidR="00183587" w:rsidRPr="00183587" w:rsidRDefault="00093F09" w:rsidP="00F37AB2">
      <w:pPr>
        <w:rPr>
          <w:rFonts w:eastAsia="Calibri"/>
          <w:szCs w:val="22"/>
          <w:lang w:eastAsia="en-US"/>
        </w:rPr>
      </w:pPr>
      <w:r>
        <w:rPr>
          <w:rFonts w:eastAsia="Calibri"/>
          <w:szCs w:val="22"/>
          <w:lang w:eastAsia="en-US"/>
        </w:rPr>
        <w:t>T</w:t>
      </w:r>
      <w:r w:rsidR="00183587" w:rsidRPr="00183587">
        <w:rPr>
          <w:rFonts w:eastAsia="Calibri"/>
          <w:szCs w:val="22"/>
          <w:lang w:eastAsia="en-US"/>
        </w:rPr>
        <w:t xml:space="preserve">he </w:t>
      </w:r>
      <w:r w:rsidR="00251F2F">
        <w:rPr>
          <w:rFonts w:eastAsia="Calibri"/>
          <w:szCs w:val="22"/>
          <w:lang w:eastAsia="en-US"/>
        </w:rPr>
        <w:t xml:space="preserve">Bill clarifies the </w:t>
      </w:r>
      <w:r w:rsidR="00183587" w:rsidRPr="00183587">
        <w:rPr>
          <w:rFonts w:eastAsia="Calibri"/>
          <w:szCs w:val="22"/>
          <w:lang w:eastAsia="en-US"/>
        </w:rPr>
        <w:t xml:space="preserve">treatment of certain assets necessary for operation of </w:t>
      </w:r>
      <w:r w:rsidR="006D2652">
        <w:rPr>
          <w:rFonts w:eastAsia="Calibri"/>
          <w:szCs w:val="22"/>
          <w:lang w:eastAsia="en-US"/>
        </w:rPr>
        <w:t>a</w:t>
      </w:r>
      <w:r w:rsidR="006D2652" w:rsidRPr="00183587">
        <w:rPr>
          <w:rFonts w:eastAsia="Calibri"/>
          <w:szCs w:val="22"/>
          <w:lang w:eastAsia="en-US"/>
        </w:rPr>
        <w:t xml:space="preserve"> </w:t>
      </w:r>
      <w:r w:rsidR="00183587" w:rsidRPr="00183587">
        <w:rPr>
          <w:rFonts w:eastAsia="Calibri"/>
          <w:szCs w:val="22"/>
          <w:lang w:eastAsia="en-US"/>
        </w:rPr>
        <w:t xml:space="preserve">farm enterprise. Under the FHS Act certain assets, which are </w:t>
      </w:r>
      <w:r w:rsidR="006D2652">
        <w:rPr>
          <w:rFonts w:eastAsia="Calibri"/>
          <w:szCs w:val="22"/>
          <w:lang w:eastAsia="en-US"/>
        </w:rPr>
        <w:t>used or held</w:t>
      </w:r>
      <w:r w:rsidR="006D2652" w:rsidRPr="00183587">
        <w:rPr>
          <w:rFonts w:eastAsia="Calibri"/>
          <w:szCs w:val="22"/>
          <w:lang w:eastAsia="en-US"/>
        </w:rPr>
        <w:t xml:space="preserve"> </w:t>
      </w:r>
      <w:r w:rsidR="00183587" w:rsidRPr="00183587">
        <w:rPr>
          <w:rFonts w:eastAsia="Calibri"/>
          <w:szCs w:val="22"/>
          <w:lang w:eastAsia="en-US"/>
        </w:rPr>
        <w:t xml:space="preserve">for the operation of </w:t>
      </w:r>
      <w:r w:rsidR="006D2652">
        <w:rPr>
          <w:rFonts w:eastAsia="Calibri"/>
          <w:szCs w:val="22"/>
          <w:lang w:eastAsia="en-US"/>
        </w:rPr>
        <w:t>a</w:t>
      </w:r>
      <w:r w:rsidR="006D2652" w:rsidRPr="00183587">
        <w:rPr>
          <w:rFonts w:eastAsia="Calibri"/>
          <w:szCs w:val="22"/>
          <w:lang w:eastAsia="en-US"/>
        </w:rPr>
        <w:t xml:space="preserve"> </w:t>
      </w:r>
      <w:r w:rsidR="00183587" w:rsidRPr="00183587">
        <w:rPr>
          <w:rFonts w:eastAsia="Calibri"/>
          <w:szCs w:val="22"/>
          <w:lang w:eastAsia="en-US"/>
        </w:rPr>
        <w:t xml:space="preserve">farm enterprise, </w:t>
      </w:r>
      <w:r w:rsidR="001062EF">
        <w:rPr>
          <w:rFonts w:eastAsia="Calibri"/>
          <w:szCs w:val="22"/>
          <w:lang w:eastAsia="en-US"/>
        </w:rPr>
        <w:t>are excluded from</w:t>
      </w:r>
      <w:r w:rsidR="00183587" w:rsidRPr="00183587">
        <w:rPr>
          <w:rFonts w:eastAsia="Calibri"/>
          <w:szCs w:val="22"/>
          <w:lang w:eastAsia="en-US"/>
        </w:rPr>
        <w:t xml:space="preserve"> the definition of </w:t>
      </w:r>
      <w:r w:rsidR="001062EF">
        <w:rPr>
          <w:rFonts w:eastAsia="Calibri"/>
          <w:szCs w:val="22"/>
          <w:lang w:eastAsia="en-US"/>
        </w:rPr>
        <w:t>farm assets</w:t>
      </w:r>
      <w:r w:rsidR="006D2652">
        <w:rPr>
          <w:rFonts w:eastAsia="Calibri"/>
          <w:szCs w:val="22"/>
          <w:lang w:eastAsia="en-US"/>
        </w:rPr>
        <w:t>. Therefore these assets</w:t>
      </w:r>
      <w:r w:rsidR="001062EF">
        <w:rPr>
          <w:rFonts w:eastAsia="Calibri"/>
          <w:szCs w:val="22"/>
          <w:lang w:eastAsia="en-US"/>
        </w:rPr>
        <w:t xml:space="preserve"> must be assessed as </w:t>
      </w:r>
      <w:r w:rsidR="00183587" w:rsidRPr="00183587">
        <w:rPr>
          <w:rFonts w:eastAsia="Calibri"/>
          <w:szCs w:val="22"/>
          <w:lang w:eastAsia="en-US"/>
        </w:rPr>
        <w:t xml:space="preserve">non-farm assets. Examples include </w:t>
      </w:r>
      <w:r w:rsidR="00185A61">
        <w:rPr>
          <w:rFonts w:eastAsia="Calibri"/>
          <w:szCs w:val="22"/>
          <w:lang w:eastAsia="en-US"/>
        </w:rPr>
        <w:t xml:space="preserve">certain </w:t>
      </w:r>
      <w:r w:rsidR="00183587" w:rsidRPr="00183587">
        <w:rPr>
          <w:rFonts w:eastAsia="Calibri"/>
          <w:szCs w:val="22"/>
          <w:lang w:eastAsia="en-US"/>
        </w:rPr>
        <w:t xml:space="preserve">water rights and shares in marketing cooperatives. This is contrary to the </w:t>
      </w:r>
      <w:r w:rsidR="006D2652">
        <w:rPr>
          <w:rFonts w:eastAsia="Calibri"/>
          <w:szCs w:val="22"/>
          <w:lang w:eastAsia="en-US"/>
        </w:rPr>
        <w:t xml:space="preserve">policy </w:t>
      </w:r>
      <w:r w:rsidR="00EC6BCC">
        <w:rPr>
          <w:rFonts w:eastAsia="Calibri"/>
          <w:szCs w:val="22"/>
          <w:lang w:eastAsia="en-US"/>
        </w:rPr>
        <w:t>intent of the FHA programme</w:t>
      </w:r>
      <w:r w:rsidR="006D2652">
        <w:rPr>
          <w:rFonts w:eastAsia="Calibri"/>
          <w:szCs w:val="22"/>
          <w:lang w:eastAsia="en-US"/>
        </w:rPr>
        <w:t xml:space="preserve">. </w:t>
      </w:r>
      <w:r w:rsidR="00183587" w:rsidRPr="00183587">
        <w:rPr>
          <w:rFonts w:eastAsia="Calibri"/>
          <w:szCs w:val="22"/>
          <w:lang w:eastAsia="en-US"/>
        </w:rPr>
        <w:t xml:space="preserve">This clarification will not change the maximum asset holding limits to be eligible for FHA and will also therefore have </w:t>
      </w:r>
      <w:r w:rsidR="001062EF">
        <w:rPr>
          <w:rFonts w:eastAsia="Calibri"/>
          <w:szCs w:val="22"/>
          <w:lang w:eastAsia="en-US"/>
        </w:rPr>
        <w:t>minimal</w:t>
      </w:r>
      <w:r w:rsidR="00183587" w:rsidRPr="00183587">
        <w:rPr>
          <w:rFonts w:eastAsia="Calibri"/>
          <w:szCs w:val="22"/>
          <w:lang w:eastAsia="en-US"/>
        </w:rPr>
        <w:t xml:space="preserve"> impact on the </w:t>
      </w:r>
      <w:r w:rsidR="002771A4">
        <w:rPr>
          <w:rFonts w:eastAsia="Calibri"/>
          <w:szCs w:val="22"/>
          <w:lang w:eastAsia="en-US"/>
        </w:rPr>
        <w:t>B</w:t>
      </w:r>
      <w:r w:rsidR="002771A4" w:rsidRPr="00183587">
        <w:rPr>
          <w:rFonts w:eastAsia="Calibri"/>
          <w:szCs w:val="22"/>
          <w:lang w:eastAsia="en-US"/>
        </w:rPr>
        <w:t>udget</w:t>
      </w:r>
      <w:r w:rsidR="00183587" w:rsidRPr="00183587">
        <w:rPr>
          <w:rFonts w:eastAsia="Calibri"/>
          <w:szCs w:val="22"/>
          <w:lang w:eastAsia="en-US"/>
        </w:rPr>
        <w:t>.</w:t>
      </w:r>
    </w:p>
    <w:p w:rsidR="00183587" w:rsidRDefault="00183587" w:rsidP="00F37AB2">
      <w:pPr>
        <w:rPr>
          <w:rFonts w:eastAsia="Calibri"/>
          <w:szCs w:val="22"/>
          <w:lang w:eastAsia="en-US"/>
        </w:rPr>
      </w:pPr>
    </w:p>
    <w:p w:rsidR="00185A61" w:rsidRDefault="00185A61" w:rsidP="00F37AB2">
      <w:pPr>
        <w:rPr>
          <w:bCs/>
        </w:rPr>
      </w:pPr>
      <w:r>
        <w:rPr>
          <w:bCs/>
        </w:rPr>
        <w:t>As an interim solution, in May 2016 the</w:t>
      </w:r>
      <w:r w:rsidRPr="00680C7A">
        <w:rPr>
          <w:bCs/>
          <w:i/>
        </w:rPr>
        <w:t xml:space="preserve"> Farm Household Support (Non-farm Assets) </w:t>
      </w:r>
      <w:r w:rsidR="00B65388">
        <w:rPr>
          <w:bCs/>
          <w:i/>
        </w:rPr>
        <w:t>Minister’s</w:t>
      </w:r>
      <w:r w:rsidR="006073EB">
        <w:rPr>
          <w:bCs/>
          <w:i/>
        </w:rPr>
        <w:t xml:space="preserve"> </w:t>
      </w:r>
      <w:r w:rsidRPr="00680C7A">
        <w:rPr>
          <w:bCs/>
          <w:i/>
        </w:rPr>
        <w:t>Rule 2016</w:t>
      </w:r>
      <w:r>
        <w:rPr>
          <w:bCs/>
        </w:rPr>
        <w:t xml:space="preserve"> (the Rule) came into effect. In brief, it </w:t>
      </w:r>
      <w:r w:rsidR="000477F0">
        <w:rPr>
          <w:bCs/>
        </w:rPr>
        <w:t xml:space="preserve">had </w:t>
      </w:r>
      <w:r>
        <w:rPr>
          <w:bCs/>
        </w:rPr>
        <w:t xml:space="preserve">the effect of modifying the </w:t>
      </w:r>
      <w:r>
        <w:rPr>
          <w:bCs/>
          <w:i/>
        </w:rPr>
        <w:t xml:space="preserve">Social Security Act </w:t>
      </w:r>
      <w:r w:rsidRPr="00CA3804">
        <w:rPr>
          <w:i/>
        </w:rPr>
        <w:t>1991</w:t>
      </w:r>
      <w:r w:rsidR="00194905">
        <w:rPr>
          <w:i/>
        </w:rPr>
        <w:t xml:space="preserve"> </w:t>
      </w:r>
      <w:r>
        <w:t>so as to disregard the value of</w:t>
      </w:r>
      <w:r>
        <w:rPr>
          <w:bCs/>
        </w:rPr>
        <w:t xml:space="preserve"> certain assets held for the purposes of carrying out a farm enterprise when valuing non-farm assets. Further, in December 2016 the </w:t>
      </w:r>
      <w:r w:rsidRPr="00E50915">
        <w:rPr>
          <w:bCs/>
          <w:i/>
        </w:rPr>
        <w:t xml:space="preserve">Farm Household Support (Non-farm Assets) Amendment Rule </w:t>
      </w:r>
      <w:r>
        <w:rPr>
          <w:bCs/>
          <w:i/>
        </w:rPr>
        <w:t xml:space="preserve">2016 </w:t>
      </w:r>
      <w:r w:rsidRPr="00CA3804">
        <w:rPr>
          <w:bCs/>
        </w:rPr>
        <w:t>(the Amendment Rule)</w:t>
      </w:r>
      <w:r w:rsidRPr="00194905">
        <w:rPr>
          <w:bCs/>
        </w:rPr>
        <w:t xml:space="preserve"> </w:t>
      </w:r>
      <w:r w:rsidR="000477F0" w:rsidRPr="00CA3804">
        <w:rPr>
          <w:bCs/>
        </w:rPr>
        <w:t>amended the Rule, which had</w:t>
      </w:r>
      <w:r w:rsidR="000477F0">
        <w:rPr>
          <w:bCs/>
        </w:rPr>
        <w:t xml:space="preserve"> the effect that up to $1.1 million of the value of water entitlement assets held wholly or mainly for the purpose of the farm enterprise should also be disregarded when valuing non-farm assets for the asset test. The Explanatory Statement to the Amendment Rule noted that the Rule was intended as a “provisional rule and may be superseded in the fullness of time”. However, the </w:t>
      </w:r>
      <w:r w:rsidR="000477F0" w:rsidRPr="00CA3804">
        <w:rPr>
          <w:bCs/>
        </w:rPr>
        <w:t>Rule</w:t>
      </w:r>
      <w:r w:rsidR="000477F0">
        <w:rPr>
          <w:bCs/>
        </w:rPr>
        <w:t xml:space="preserve"> was necessary in the short term to prevent the denial of FHA to some farmers who were experiencing genuine hardship, due to the farm assets test not capturing all categories of assets used in the operation of the farm enterprise.</w:t>
      </w:r>
    </w:p>
    <w:p w:rsidR="00E71C31" w:rsidRDefault="00E71C31" w:rsidP="00F37AB2">
      <w:pPr>
        <w:rPr>
          <w:bCs/>
        </w:rPr>
      </w:pPr>
    </w:p>
    <w:p w:rsidR="007E00C5" w:rsidRDefault="002B4330" w:rsidP="00F37AB2">
      <w:pPr>
        <w:rPr>
          <w:bCs/>
        </w:rPr>
      </w:pPr>
      <w:r w:rsidRPr="002B4330">
        <w:rPr>
          <w:bCs/>
        </w:rPr>
        <w:t xml:space="preserve">The Department of Agriculture </w:t>
      </w:r>
      <w:r w:rsidR="007E00C5">
        <w:rPr>
          <w:bCs/>
        </w:rPr>
        <w:t xml:space="preserve">and Water Resources </w:t>
      </w:r>
      <w:r w:rsidRPr="002B4330">
        <w:rPr>
          <w:bCs/>
        </w:rPr>
        <w:t>consulted industry stakeholders and</w:t>
      </w:r>
      <w:r w:rsidR="007E00C5">
        <w:rPr>
          <w:bCs/>
        </w:rPr>
        <w:t xml:space="preserve"> </w:t>
      </w:r>
      <w:r w:rsidRPr="002B4330">
        <w:rPr>
          <w:bCs/>
        </w:rPr>
        <w:t xml:space="preserve">Australian Government agencies in developing the policy </w:t>
      </w:r>
      <w:r w:rsidR="002771A4">
        <w:rPr>
          <w:bCs/>
        </w:rPr>
        <w:t xml:space="preserve">underpinning </w:t>
      </w:r>
      <w:r w:rsidR="007E00C5">
        <w:rPr>
          <w:bCs/>
        </w:rPr>
        <w:t>the operation of waiting periods and the definition of farm assets</w:t>
      </w:r>
      <w:r w:rsidRPr="002B4330">
        <w:rPr>
          <w:bCs/>
        </w:rPr>
        <w:t xml:space="preserve">. Relevant agencies and stakeholders </w:t>
      </w:r>
      <w:r w:rsidR="007E00C5">
        <w:rPr>
          <w:bCs/>
        </w:rPr>
        <w:t>support the reforms contained in the Bill</w:t>
      </w:r>
      <w:r w:rsidRPr="002B4330">
        <w:rPr>
          <w:bCs/>
        </w:rPr>
        <w:t xml:space="preserve">. </w:t>
      </w:r>
    </w:p>
    <w:p w:rsidR="00E71C31" w:rsidRPr="002B4330" w:rsidRDefault="00E71C31" w:rsidP="00F37AB2">
      <w:pPr>
        <w:rPr>
          <w:bCs/>
        </w:rPr>
      </w:pPr>
    </w:p>
    <w:p w:rsidR="00E71C31" w:rsidRDefault="002B4330" w:rsidP="00F37AB2">
      <w:pPr>
        <w:rPr>
          <w:bCs/>
        </w:rPr>
      </w:pPr>
      <w:r w:rsidRPr="002B4330">
        <w:rPr>
          <w:bCs/>
        </w:rPr>
        <w:t xml:space="preserve">The main provisions of the Bill will commence on </w:t>
      </w:r>
      <w:r w:rsidR="007E00C5">
        <w:rPr>
          <w:bCs/>
        </w:rPr>
        <w:t xml:space="preserve">the later of 1 April 2017 or the day </w:t>
      </w:r>
      <w:r w:rsidR="0057109C">
        <w:rPr>
          <w:bCs/>
        </w:rPr>
        <w:t>after the Act receives</w:t>
      </w:r>
      <w:r w:rsidR="007E00C5">
        <w:rPr>
          <w:bCs/>
        </w:rPr>
        <w:t xml:space="preserve"> Royal Assent</w:t>
      </w:r>
      <w:r w:rsidRPr="002B4330">
        <w:rPr>
          <w:bCs/>
        </w:rPr>
        <w:t>.</w:t>
      </w:r>
    </w:p>
    <w:p w:rsidR="00E71C31" w:rsidRDefault="00E71C31" w:rsidP="00F37AB2">
      <w:pPr>
        <w:rPr>
          <w:bCs/>
        </w:rPr>
      </w:pPr>
    </w:p>
    <w:p w:rsidR="002B4330" w:rsidRDefault="0097618D" w:rsidP="00F37AB2">
      <w:pPr>
        <w:rPr>
          <w:bCs/>
        </w:rPr>
      </w:pPr>
      <w:r>
        <w:rPr>
          <w:bCs/>
        </w:rPr>
        <w:t xml:space="preserve">Provisions relating to the removal of waiting periods will apply in respect of all </w:t>
      </w:r>
      <w:r w:rsidR="00185A61">
        <w:rPr>
          <w:bCs/>
        </w:rPr>
        <w:t xml:space="preserve">claims </w:t>
      </w:r>
      <w:r>
        <w:rPr>
          <w:bCs/>
        </w:rPr>
        <w:t xml:space="preserve">for FHA </w:t>
      </w:r>
      <w:r w:rsidR="00CA3804">
        <w:rPr>
          <w:bCs/>
        </w:rPr>
        <w:t xml:space="preserve">made </w:t>
      </w:r>
      <w:r>
        <w:rPr>
          <w:bCs/>
        </w:rPr>
        <w:t xml:space="preserve">on or after commencement </w:t>
      </w:r>
      <w:r w:rsidR="00BA56FE">
        <w:rPr>
          <w:bCs/>
        </w:rPr>
        <w:t>of</w:t>
      </w:r>
      <w:r>
        <w:rPr>
          <w:bCs/>
        </w:rPr>
        <w:t xml:space="preserve"> those provisions and applications </w:t>
      </w:r>
      <w:r w:rsidR="00CA3804">
        <w:rPr>
          <w:bCs/>
        </w:rPr>
        <w:t xml:space="preserve">made </w:t>
      </w:r>
      <w:r>
        <w:rPr>
          <w:bCs/>
        </w:rPr>
        <w:t xml:space="preserve">prior </w:t>
      </w:r>
      <w:r w:rsidR="00BA56FE">
        <w:rPr>
          <w:bCs/>
        </w:rPr>
        <w:t>to</w:t>
      </w:r>
      <w:r>
        <w:rPr>
          <w:bCs/>
        </w:rPr>
        <w:t xml:space="preserve"> that date which had not </w:t>
      </w:r>
      <w:r w:rsidR="0057109C">
        <w:rPr>
          <w:bCs/>
        </w:rPr>
        <w:t xml:space="preserve">yet </w:t>
      </w:r>
      <w:r>
        <w:rPr>
          <w:bCs/>
        </w:rPr>
        <w:t>been determined.</w:t>
      </w:r>
    </w:p>
    <w:p w:rsidR="00185A61" w:rsidRDefault="00185A61" w:rsidP="00F37AB2">
      <w:pPr>
        <w:rPr>
          <w:bCs/>
        </w:rPr>
      </w:pPr>
    </w:p>
    <w:p w:rsidR="00CA3804" w:rsidRDefault="00CA3804" w:rsidP="00F37AB2">
      <w:pPr>
        <w:rPr>
          <w:bCs/>
        </w:rPr>
      </w:pPr>
      <w:r w:rsidRPr="00185A61">
        <w:rPr>
          <w:bCs/>
        </w:rPr>
        <w:t>Provisions relating to</w:t>
      </w:r>
      <w:r w:rsidRPr="00A750B2">
        <w:rPr>
          <w:bCs/>
        </w:rPr>
        <w:t xml:space="preserve"> the definition of farm assets will apply in respect of </w:t>
      </w:r>
      <w:r>
        <w:rPr>
          <w:bCs/>
        </w:rPr>
        <w:t xml:space="preserve">claims made </w:t>
      </w:r>
      <w:r w:rsidRPr="00A750B2">
        <w:rPr>
          <w:bCs/>
        </w:rPr>
        <w:t xml:space="preserve">on or after commencement of those provisions. Existing FHA recipients who have had their assets assessed under the provisions </w:t>
      </w:r>
      <w:r>
        <w:rPr>
          <w:bCs/>
        </w:rPr>
        <w:t xml:space="preserve">which applied prior to commencement (including by the application </w:t>
      </w:r>
      <w:r w:rsidRPr="00A750B2">
        <w:rPr>
          <w:bCs/>
        </w:rPr>
        <w:t>of the Rule</w:t>
      </w:r>
      <w:r>
        <w:rPr>
          <w:bCs/>
        </w:rPr>
        <w:t>)</w:t>
      </w:r>
      <w:r w:rsidRPr="00A750B2">
        <w:rPr>
          <w:bCs/>
        </w:rPr>
        <w:t xml:space="preserve">, and applicants who have </w:t>
      </w:r>
      <w:r>
        <w:rPr>
          <w:bCs/>
        </w:rPr>
        <w:t xml:space="preserve">made </w:t>
      </w:r>
      <w:r w:rsidRPr="00A750B2">
        <w:rPr>
          <w:bCs/>
        </w:rPr>
        <w:t xml:space="preserve">an application before commencement of the provisions but have not yet had a decision made on that application, will continue to be assessed </w:t>
      </w:r>
      <w:r>
        <w:rPr>
          <w:bCs/>
        </w:rPr>
        <w:t xml:space="preserve">in accordance with the existing definition of ‘farm asset’ and the Rule will continue to apply to them. </w:t>
      </w:r>
    </w:p>
    <w:p w:rsidR="00BA56FE" w:rsidRPr="00240486" w:rsidRDefault="00BA56FE" w:rsidP="00F37AB2">
      <w:pPr>
        <w:rPr>
          <w:b/>
          <w:bCs/>
        </w:rPr>
      </w:pPr>
    </w:p>
    <w:p w:rsidR="002B4330" w:rsidRDefault="002B4330" w:rsidP="00F37AB2">
      <w:pPr>
        <w:rPr>
          <w:b/>
          <w:bCs/>
        </w:rPr>
      </w:pPr>
      <w:r w:rsidRPr="00A750B2">
        <w:rPr>
          <w:b/>
          <w:bCs/>
        </w:rPr>
        <w:t>FINANCIAL IMPACT STATEMENT</w:t>
      </w:r>
    </w:p>
    <w:p w:rsidR="00E71C31" w:rsidRPr="00A750B2" w:rsidRDefault="00E71C31" w:rsidP="00F37AB2">
      <w:pPr>
        <w:rPr>
          <w:bCs/>
        </w:rPr>
      </w:pPr>
    </w:p>
    <w:p w:rsidR="002B4330" w:rsidRDefault="009B65E7" w:rsidP="00F37AB2">
      <w:pPr>
        <w:rPr>
          <w:bCs/>
        </w:rPr>
      </w:pPr>
      <w:r>
        <w:rPr>
          <w:bCs/>
        </w:rPr>
        <w:t>The</w:t>
      </w:r>
      <w:r w:rsidR="002B4330" w:rsidRPr="002B4330">
        <w:rPr>
          <w:bCs/>
        </w:rPr>
        <w:t xml:space="preserve"> </w:t>
      </w:r>
      <w:r w:rsidR="00BA56FE">
        <w:rPr>
          <w:bCs/>
        </w:rPr>
        <w:t>changes provided for by the Bill will have minimal impact on the Budget</w:t>
      </w:r>
      <w:r w:rsidR="002771A4">
        <w:rPr>
          <w:bCs/>
        </w:rPr>
        <w:t>.</w:t>
      </w:r>
    </w:p>
    <w:p w:rsidR="00EC6BCC" w:rsidRDefault="00EC6BCC" w:rsidP="00A750B2">
      <w:pPr>
        <w:rPr>
          <w:bCs/>
        </w:rPr>
      </w:pPr>
    </w:p>
    <w:p w:rsidR="00EC6BCC" w:rsidRDefault="00EC6BCC" w:rsidP="00A750B2">
      <w:pPr>
        <w:rPr>
          <w:bCs/>
        </w:rPr>
      </w:pPr>
    </w:p>
    <w:p w:rsidR="00EC6BCC" w:rsidRDefault="00EC6BCC" w:rsidP="00A750B2">
      <w:pPr>
        <w:rPr>
          <w:bCs/>
        </w:rPr>
      </w:pPr>
    </w:p>
    <w:p w:rsidR="00EC6BCC" w:rsidRDefault="00EC6BCC" w:rsidP="00A750B2">
      <w:pPr>
        <w:rPr>
          <w:bCs/>
        </w:rPr>
      </w:pPr>
    </w:p>
    <w:p w:rsidR="00EC6BCC" w:rsidRDefault="00EC6BCC" w:rsidP="00A750B2">
      <w:pPr>
        <w:rPr>
          <w:bCs/>
        </w:rPr>
      </w:pPr>
    </w:p>
    <w:p w:rsidR="00EC6BCC" w:rsidRDefault="00EC6BCC" w:rsidP="00BA56FE">
      <w:pPr>
        <w:spacing w:before="240"/>
        <w:rPr>
          <w:bCs/>
        </w:rPr>
      </w:pPr>
    </w:p>
    <w:p w:rsidR="00EC6BCC" w:rsidRDefault="00EC6BCC" w:rsidP="00BA56FE">
      <w:pPr>
        <w:spacing w:before="240"/>
        <w:rPr>
          <w:bCs/>
        </w:rPr>
      </w:pPr>
    </w:p>
    <w:p w:rsidR="00EC6BCC" w:rsidRDefault="00EC6BCC" w:rsidP="00BA56FE">
      <w:pPr>
        <w:spacing w:before="240"/>
        <w:rPr>
          <w:bCs/>
        </w:rPr>
      </w:pPr>
    </w:p>
    <w:p w:rsidR="00EC6BCC" w:rsidRDefault="00EC6BCC" w:rsidP="00BA56FE">
      <w:pPr>
        <w:spacing w:before="240"/>
        <w:rPr>
          <w:bCs/>
        </w:rPr>
      </w:pPr>
    </w:p>
    <w:p w:rsidR="00BE271C" w:rsidRDefault="00BE271C">
      <w:pPr>
        <w:spacing w:after="200" w:line="276" w:lineRule="auto"/>
        <w:rPr>
          <w:bCs/>
        </w:rPr>
      </w:pPr>
      <w:r>
        <w:rPr>
          <w:bCs/>
        </w:rPr>
        <w:br w:type="page"/>
      </w:r>
    </w:p>
    <w:p w:rsidR="00BA56FE" w:rsidRDefault="00BA56FE" w:rsidP="00DD1790">
      <w:pPr>
        <w:keepNext/>
        <w:numPr>
          <w:ilvl w:val="12"/>
          <w:numId w:val="0"/>
        </w:numPr>
        <w:jc w:val="center"/>
        <w:outlineLvl w:val="3"/>
        <w:rPr>
          <w:b/>
          <w:bCs/>
          <w:iCs/>
        </w:rPr>
      </w:pPr>
      <w:r w:rsidRPr="00A750B2">
        <w:rPr>
          <w:b/>
          <w:bCs/>
          <w:iCs/>
        </w:rPr>
        <w:t>STATEMENT OF COMPATIBILITY WITH HUMAN RIGHTS</w:t>
      </w:r>
    </w:p>
    <w:p w:rsidR="00240486" w:rsidRPr="00A750B2" w:rsidRDefault="00240486" w:rsidP="00240486">
      <w:pPr>
        <w:keepNext/>
        <w:numPr>
          <w:ilvl w:val="12"/>
          <w:numId w:val="0"/>
        </w:numPr>
        <w:jc w:val="center"/>
        <w:outlineLvl w:val="3"/>
        <w:rPr>
          <w:b/>
          <w:bCs/>
          <w:iCs/>
        </w:rPr>
      </w:pPr>
    </w:p>
    <w:p w:rsidR="00BA56FE" w:rsidRPr="00BA56FE" w:rsidRDefault="00BA56FE" w:rsidP="00DD1790">
      <w:pPr>
        <w:jc w:val="center"/>
        <w:rPr>
          <w:i/>
        </w:rPr>
      </w:pPr>
      <w:r w:rsidRPr="00BA56FE">
        <w:rPr>
          <w:i/>
        </w:rPr>
        <w:t>Prepared in accordance with Part 3 of the Human Rights (Parliamentary Scrutiny) Act 2011</w:t>
      </w:r>
    </w:p>
    <w:p w:rsidR="00BA56FE" w:rsidRPr="00BA56FE" w:rsidRDefault="00BA56FE" w:rsidP="00DD1790">
      <w:pPr>
        <w:spacing w:line="276" w:lineRule="auto"/>
        <w:jc w:val="center"/>
        <w:rPr>
          <w:rFonts w:eastAsia="Calibri"/>
          <w:lang w:eastAsia="en-US"/>
        </w:rPr>
      </w:pPr>
    </w:p>
    <w:p w:rsidR="00BA56FE" w:rsidRDefault="00BA56FE" w:rsidP="00DD1790">
      <w:pPr>
        <w:spacing w:line="276" w:lineRule="auto"/>
        <w:jc w:val="center"/>
        <w:rPr>
          <w:rFonts w:eastAsia="Calibri"/>
          <w:b/>
          <w:lang w:eastAsia="en-US"/>
        </w:rPr>
      </w:pPr>
      <w:r w:rsidRPr="00BA56FE">
        <w:rPr>
          <w:rFonts w:eastAsia="Calibri"/>
          <w:b/>
          <w:lang w:eastAsia="en-US"/>
        </w:rPr>
        <w:t>Farm Household Support Amendment Bill 2017</w:t>
      </w:r>
    </w:p>
    <w:p w:rsidR="00DD1790" w:rsidRPr="00BA56FE" w:rsidRDefault="00DD1790" w:rsidP="00DD1790">
      <w:pPr>
        <w:spacing w:line="276" w:lineRule="auto"/>
        <w:jc w:val="center"/>
        <w:rPr>
          <w:rFonts w:eastAsia="Calibri"/>
          <w:b/>
          <w:lang w:eastAsia="en-US"/>
        </w:rPr>
      </w:pPr>
    </w:p>
    <w:p w:rsidR="00BA56FE" w:rsidRDefault="00BA56FE" w:rsidP="00DD1790">
      <w:r w:rsidRPr="00FF73D7">
        <w:t xml:space="preserve">This Bill is compatible with the human rights and freedoms recognised or declared in the </w:t>
      </w:r>
      <w:r w:rsidRPr="00BE271C">
        <w:rPr>
          <w:rFonts w:eastAsiaTheme="minorHAnsi"/>
          <w:szCs w:val="22"/>
        </w:rPr>
        <w:t>international instruments listed in section 3 of the</w:t>
      </w:r>
      <w:r w:rsidRPr="00BE271C">
        <w:rPr>
          <w:rFonts w:eastAsiaTheme="minorHAnsi"/>
          <w:i/>
          <w:szCs w:val="22"/>
        </w:rPr>
        <w:t xml:space="preserve"> Human Rights (Parliamentary Scrutiny)</w:t>
      </w:r>
      <w:r w:rsidRPr="00FF73D7">
        <w:rPr>
          <w:i/>
        </w:rPr>
        <w:t xml:space="preserve"> Act 2011</w:t>
      </w:r>
      <w:r w:rsidRPr="00FF73D7">
        <w:t>.</w:t>
      </w:r>
    </w:p>
    <w:p w:rsidR="00DD1790" w:rsidRPr="00FF73D7" w:rsidRDefault="00DD1790" w:rsidP="00DD1790"/>
    <w:p w:rsidR="00BA56FE" w:rsidRDefault="00BA56FE" w:rsidP="00DD1790">
      <w:pPr>
        <w:keepNext/>
        <w:outlineLvl w:val="1"/>
        <w:rPr>
          <w:b/>
        </w:rPr>
      </w:pPr>
      <w:r w:rsidRPr="00BA56FE">
        <w:rPr>
          <w:b/>
        </w:rPr>
        <w:t xml:space="preserve">Overview of the Bill </w:t>
      </w:r>
    </w:p>
    <w:p w:rsidR="00DD1790" w:rsidRPr="00BA56FE" w:rsidRDefault="00DD1790" w:rsidP="00DD1790">
      <w:pPr>
        <w:keepNext/>
        <w:outlineLvl w:val="1"/>
        <w:rPr>
          <w:b/>
        </w:rPr>
      </w:pPr>
    </w:p>
    <w:p w:rsidR="00EC6BCC" w:rsidRDefault="00BA56FE" w:rsidP="00DD1790">
      <w:pPr>
        <w:rPr>
          <w:szCs w:val="20"/>
        </w:rPr>
      </w:pPr>
      <w:r w:rsidRPr="00BA56FE">
        <w:rPr>
          <w:szCs w:val="20"/>
        </w:rPr>
        <w:t xml:space="preserve">The Farm Household Support Amendment Bill 2017 (the Bill) will </w:t>
      </w:r>
      <w:r w:rsidR="002461DF">
        <w:rPr>
          <w:szCs w:val="20"/>
        </w:rPr>
        <w:t xml:space="preserve">amend the </w:t>
      </w:r>
      <w:r w:rsidR="002461DF" w:rsidRPr="00BE271C">
        <w:rPr>
          <w:i/>
          <w:szCs w:val="20"/>
        </w:rPr>
        <w:t>Farm Household Support Act 2014</w:t>
      </w:r>
      <w:r w:rsidR="002461DF">
        <w:rPr>
          <w:szCs w:val="20"/>
        </w:rPr>
        <w:t xml:space="preserve"> </w:t>
      </w:r>
      <w:r w:rsidR="00EC6BCC">
        <w:rPr>
          <w:szCs w:val="20"/>
        </w:rPr>
        <w:t xml:space="preserve">(FHS Act) to ensure that recipients of Farm Household Allowance (FHA) are not required to serve an ordinary waiting period (OWP) or liquid assets waiting period (LAWP) (if a LAWP is applicable) before they can commence receiving the FHA. It also clarifies the asset test treatment of certain assets </w:t>
      </w:r>
      <w:r w:rsidR="00BE271C">
        <w:rPr>
          <w:szCs w:val="20"/>
        </w:rPr>
        <w:t>used or held</w:t>
      </w:r>
      <w:r w:rsidR="00EC6BCC">
        <w:rPr>
          <w:szCs w:val="20"/>
        </w:rPr>
        <w:t xml:space="preserve"> for the operation of the farm enterprise.</w:t>
      </w:r>
    </w:p>
    <w:p w:rsidR="00DD1790" w:rsidRDefault="00DD1790" w:rsidP="00DD1790">
      <w:pPr>
        <w:rPr>
          <w:szCs w:val="20"/>
        </w:rPr>
      </w:pPr>
    </w:p>
    <w:p w:rsidR="00BE271C" w:rsidRDefault="00EC6BCC" w:rsidP="00DD1790">
      <w:pPr>
        <w:rPr>
          <w:szCs w:val="20"/>
        </w:rPr>
      </w:pPr>
      <w:r w:rsidRPr="00BE271C">
        <w:rPr>
          <w:szCs w:val="20"/>
        </w:rPr>
        <w:t xml:space="preserve">The general requirement in social security law for social welfare applicants to serve an OWP and LAWP (if applicable) </w:t>
      </w:r>
      <w:r w:rsidR="00332C5E">
        <w:rPr>
          <w:szCs w:val="20"/>
        </w:rPr>
        <w:t xml:space="preserve">and a Newly Arrived Resident’s Waiting Period (NARWP) </w:t>
      </w:r>
      <w:r w:rsidRPr="00BE271C">
        <w:rPr>
          <w:szCs w:val="20"/>
        </w:rPr>
        <w:t xml:space="preserve">before they can commence receiving payment is mirrored in the FHS Act. </w:t>
      </w:r>
    </w:p>
    <w:p w:rsidR="00DD1790" w:rsidRPr="00BE271C" w:rsidRDefault="00DD1790" w:rsidP="00DD1790">
      <w:pPr>
        <w:rPr>
          <w:szCs w:val="20"/>
        </w:rPr>
      </w:pPr>
    </w:p>
    <w:p w:rsidR="00BE271C" w:rsidRDefault="00BE271C" w:rsidP="00DD1790">
      <w:pPr>
        <w:rPr>
          <w:szCs w:val="20"/>
        </w:rPr>
      </w:pPr>
      <w:r w:rsidRPr="00BE271C">
        <w:rPr>
          <w:szCs w:val="20"/>
        </w:rPr>
        <w:t xml:space="preserve">The OWP is a period of one week that all recipients are required to serve unless exempted due to hardship. A LAWP of one week </w:t>
      </w:r>
      <w:r w:rsidRPr="00F35A9A">
        <w:rPr>
          <w:szCs w:val="20"/>
        </w:rPr>
        <w:t xml:space="preserve">applies if a couple, or a single with dependants, has liquid assets of $11,000 to $11,999. An additional week, up to a maximum of 13 weeks, applies in respect of each </w:t>
      </w:r>
      <w:r w:rsidR="003A47CE">
        <w:rPr>
          <w:szCs w:val="20"/>
        </w:rPr>
        <w:t xml:space="preserve">subsequent </w:t>
      </w:r>
      <w:r w:rsidRPr="00F35A9A">
        <w:rPr>
          <w:szCs w:val="20"/>
        </w:rPr>
        <w:t xml:space="preserve">$1,000 in liquid assets held. For singles, the asset thresholds are half those for couples or people with dependants. </w:t>
      </w:r>
    </w:p>
    <w:p w:rsidR="00DD1790" w:rsidRPr="00F35A9A" w:rsidRDefault="00DD1790" w:rsidP="00DD1790">
      <w:pPr>
        <w:rPr>
          <w:szCs w:val="20"/>
        </w:rPr>
      </w:pPr>
    </w:p>
    <w:p w:rsidR="00BE271C" w:rsidRDefault="00BE271C" w:rsidP="00DD1790">
      <w:pPr>
        <w:rPr>
          <w:szCs w:val="20"/>
        </w:rPr>
      </w:pPr>
      <w:r w:rsidRPr="00413362">
        <w:rPr>
          <w:szCs w:val="20"/>
        </w:rPr>
        <w:t>The</w:t>
      </w:r>
      <w:r w:rsidRPr="00923771">
        <w:rPr>
          <w:szCs w:val="20"/>
        </w:rPr>
        <w:t xml:space="preserve"> OWP and LAWP (if applicable) are served consecutively</w:t>
      </w:r>
      <w:r w:rsidR="00824941">
        <w:rPr>
          <w:szCs w:val="20"/>
        </w:rPr>
        <w:t>.</w:t>
      </w:r>
      <w:r w:rsidRPr="00923771">
        <w:rPr>
          <w:szCs w:val="20"/>
        </w:rPr>
        <w:t xml:space="preserve"> Both</w:t>
      </w:r>
      <w:r w:rsidRPr="00BE271C">
        <w:rPr>
          <w:szCs w:val="20"/>
        </w:rPr>
        <w:t xml:space="preserve"> are generally applied to ensure that social welfare applicants use their own readily available resources before drawing on public monies, and have incentives to continue to seek work. </w:t>
      </w:r>
    </w:p>
    <w:p w:rsidR="00DD1790" w:rsidRPr="00BE271C" w:rsidRDefault="00DD1790" w:rsidP="00DD1790">
      <w:pPr>
        <w:rPr>
          <w:szCs w:val="20"/>
        </w:rPr>
      </w:pPr>
    </w:p>
    <w:p w:rsidR="00757152" w:rsidRDefault="00757152" w:rsidP="00DD1790">
      <w:pPr>
        <w:rPr>
          <w:rFonts w:eastAsia="Calibri"/>
          <w:szCs w:val="22"/>
          <w:lang w:eastAsia="en-US"/>
        </w:rPr>
      </w:pPr>
      <w:r>
        <w:rPr>
          <w:bCs/>
        </w:rPr>
        <w:t xml:space="preserve">The current requirement for FHA recipients to serve an OWP and LAWP (if applicable) is unnecessary. Farmers are already attached to the workforce and requiring them to use liquid assets for self-support risks diverting those assets from supporting the operation of the farm enterprise. The FHA programme is also time limited so the OWP and LAWP generate no savings. </w:t>
      </w:r>
      <w:r w:rsidR="003A47CE" w:rsidRPr="00183587">
        <w:rPr>
          <w:rFonts w:eastAsia="Calibri"/>
          <w:szCs w:val="22"/>
          <w:lang w:eastAsia="en-US"/>
        </w:rPr>
        <w:t>Requiring an FHA recipient to wait additional time</w:t>
      </w:r>
      <w:r w:rsidR="003A47CE">
        <w:rPr>
          <w:rFonts w:eastAsia="Calibri"/>
          <w:szCs w:val="22"/>
          <w:lang w:eastAsia="en-US"/>
        </w:rPr>
        <w:t xml:space="preserve"> to receive payment</w:t>
      </w:r>
      <w:r w:rsidR="003A47CE" w:rsidRPr="00183587">
        <w:rPr>
          <w:rFonts w:eastAsia="Calibri"/>
          <w:szCs w:val="22"/>
          <w:lang w:eastAsia="en-US"/>
        </w:rPr>
        <w:t xml:space="preserve"> could lead to additional hardship which risks a reduction in their capacity to operate the farm enterprise.</w:t>
      </w:r>
    </w:p>
    <w:p w:rsidR="00DD1790" w:rsidRDefault="00DD1790" w:rsidP="00DD1790">
      <w:pPr>
        <w:rPr>
          <w:szCs w:val="20"/>
        </w:rPr>
      </w:pPr>
    </w:p>
    <w:p w:rsidR="00332C5E" w:rsidRDefault="00332C5E" w:rsidP="00DD1790">
      <w:pPr>
        <w:rPr>
          <w:bCs/>
        </w:rPr>
      </w:pPr>
      <w:r w:rsidRPr="007B0C44">
        <w:rPr>
          <w:bCs/>
        </w:rPr>
        <w:t xml:space="preserve">Arguments for differentiating treatment of FHA recipients from other social security recipients in respect of the OWP and LAWP do not apply in respect of the NARWP, to which no change is proposed. The Parliamentary Joint Committee on Human Rights, in its </w:t>
      </w:r>
      <w:r>
        <w:rPr>
          <w:bCs/>
        </w:rPr>
        <w:t>Fourth R</w:t>
      </w:r>
      <w:r w:rsidRPr="007B0C44">
        <w:rPr>
          <w:bCs/>
        </w:rPr>
        <w:t xml:space="preserve">eport </w:t>
      </w:r>
      <w:r>
        <w:rPr>
          <w:bCs/>
        </w:rPr>
        <w:t>of the 44</w:t>
      </w:r>
      <w:r w:rsidRPr="00B27E6B">
        <w:rPr>
          <w:bCs/>
        </w:rPr>
        <w:t>th</w:t>
      </w:r>
      <w:r>
        <w:rPr>
          <w:bCs/>
        </w:rPr>
        <w:t xml:space="preserve"> Parliament, </w:t>
      </w:r>
      <w:r w:rsidRPr="007B0C44">
        <w:rPr>
          <w:bCs/>
        </w:rPr>
        <w:t xml:space="preserve">stated </w:t>
      </w:r>
      <w:r>
        <w:rPr>
          <w:bCs/>
        </w:rPr>
        <w:t xml:space="preserve">in respect of </w:t>
      </w:r>
      <w:r w:rsidRPr="007B0C44">
        <w:rPr>
          <w:bCs/>
        </w:rPr>
        <w:t>the FHS Act “</w:t>
      </w:r>
      <w:r w:rsidRPr="00B27E6B">
        <w:rPr>
          <w:bCs/>
        </w:rPr>
        <w:t>The committee considers that the statements of compatibility contain a detailed and thorough examination of the rights implications of the bills, including sufficient justification for any limitations on rights, with one exception set out below.” The exception did not relate to NAWRP. The issue is therefore not further addressed in this statement.</w:t>
      </w:r>
      <w:r w:rsidRPr="007B0C44">
        <w:rPr>
          <w:bCs/>
        </w:rPr>
        <w:t xml:space="preserve"> </w:t>
      </w:r>
    </w:p>
    <w:p w:rsidR="00DD1790" w:rsidRPr="00CA3804" w:rsidRDefault="00DD1790" w:rsidP="00DD1790">
      <w:pPr>
        <w:rPr>
          <w:bCs/>
        </w:rPr>
      </w:pPr>
    </w:p>
    <w:p w:rsidR="00DD1790" w:rsidRDefault="00757152" w:rsidP="00DD1790">
      <w:pPr>
        <w:rPr>
          <w:szCs w:val="20"/>
        </w:rPr>
      </w:pPr>
      <w:r>
        <w:rPr>
          <w:szCs w:val="20"/>
        </w:rPr>
        <w:t xml:space="preserve">The Bill </w:t>
      </w:r>
      <w:r w:rsidR="0030392F">
        <w:rPr>
          <w:szCs w:val="20"/>
        </w:rPr>
        <w:t>will also clarif</w:t>
      </w:r>
      <w:r w:rsidR="0030392F" w:rsidRPr="00F35A9A">
        <w:rPr>
          <w:szCs w:val="20"/>
        </w:rPr>
        <w:t xml:space="preserve">y the asset test treatment of certain assets </w:t>
      </w:r>
      <w:r w:rsidR="00F35A9A">
        <w:rPr>
          <w:szCs w:val="20"/>
        </w:rPr>
        <w:t>used</w:t>
      </w:r>
      <w:r w:rsidR="0030392F" w:rsidRPr="00F35A9A">
        <w:rPr>
          <w:szCs w:val="20"/>
        </w:rPr>
        <w:t xml:space="preserve"> </w:t>
      </w:r>
      <w:r w:rsidR="00F35A9A">
        <w:rPr>
          <w:szCs w:val="20"/>
        </w:rPr>
        <w:t xml:space="preserve">or held </w:t>
      </w:r>
      <w:r w:rsidR="0030392F" w:rsidRPr="00F35A9A">
        <w:rPr>
          <w:szCs w:val="20"/>
        </w:rPr>
        <w:t xml:space="preserve">for the operation of the farm enterprise. </w:t>
      </w:r>
      <w:r w:rsidR="0030392F">
        <w:rPr>
          <w:szCs w:val="20"/>
        </w:rPr>
        <w:t>Under the FHS Act</w:t>
      </w:r>
      <w:r w:rsidR="00BA56FE" w:rsidRPr="00BA56FE">
        <w:rPr>
          <w:szCs w:val="20"/>
        </w:rPr>
        <w:t xml:space="preserve"> certain assets, which are necessary for the operation of the farm enterprise, </w:t>
      </w:r>
      <w:r w:rsidR="0030392F">
        <w:rPr>
          <w:szCs w:val="20"/>
        </w:rPr>
        <w:t xml:space="preserve">are currently excluded from the definition of farm assets, and must be assessed as </w:t>
      </w:r>
      <w:r w:rsidR="00BA56FE" w:rsidRPr="00BA56FE">
        <w:rPr>
          <w:szCs w:val="20"/>
        </w:rPr>
        <w:t>non-farm assets. Examples include water rights and shares in marketing cooperatives. This is contrary to</w:t>
      </w:r>
      <w:r w:rsidR="0030392F">
        <w:rPr>
          <w:szCs w:val="20"/>
        </w:rPr>
        <w:t xml:space="preserve"> the </w:t>
      </w:r>
      <w:r w:rsidR="003A47CE">
        <w:rPr>
          <w:szCs w:val="20"/>
        </w:rPr>
        <w:t xml:space="preserve">policy </w:t>
      </w:r>
      <w:r w:rsidR="0030392F">
        <w:rPr>
          <w:szCs w:val="20"/>
        </w:rPr>
        <w:t>intent of the FHA programme</w:t>
      </w:r>
      <w:r w:rsidR="003A47CE">
        <w:rPr>
          <w:szCs w:val="20"/>
        </w:rPr>
        <w:t>.</w:t>
      </w:r>
      <w:r w:rsidR="0030392F">
        <w:rPr>
          <w:szCs w:val="20"/>
        </w:rPr>
        <w:t xml:space="preserve"> </w:t>
      </w:r>
      <w:r w:rsidR="00BA56FE" w:rsidRPr="00BA56FE">
        <w:rPr>
          <w:szCs w:val="20"/>
        </w:rPr>
        <w:t xml:space="preserve">This clarification will not change the maximum asset holding limits to be eligible for FHA. </w:t>
      </w:r>
    </w:p>
    <w:p w:rsidR="00BA56FE" w:rsidRPr="00BA56FE" w:rsidRDefault="00BA56FE" w:rsidP="00DD1790">
      <w:pPr>
        <w:rPr>
          <w:szCs w:val="20"/>
        </w:rPr>
      </w:pPr>
      <w:r w:rsidRPr="00BA56FE">
        <w:rPr>
          <w:szCs w:val="20"/>
        </w:rPr>
        <w:t xml:space="preserve"> </w:t>
      </w:r>
    </w:p>
    <w:p w:rsidR="00BA56FE" w:rsidRDefault="00BA56FE" w:rsidP="00DD1790">
      <w:pPr>
        <w:keepNext/>
        <w:outlineLvl w:val="1"/>
        <w:rPr>
          <w:b/>
          <w:bCs/>
          <w:iCs/>
          <w:noProof/>
          <w:lang w:eastAsia="en-US"/>
        </w:rPr>
      </w:pPr>
      <w:r w:rsidRPr="00BA56FE">
        <w:rPr>
          <w:b/>
          <w:bCs/>
          <w:iCs/>
          <w:noProof/>
          <w:lang w:eastAsia="en-US"/>
        </w:rPr>
        <w:t>Human rights implications</w:t>
      </w:r>
    </w:p>
    <w:p w:rsidR="00DD1790" w:rsidRPr="00BA56FE" w:rsidRDefault="00DD1790" w:rsidP="00DD1790">
      <w:pPr>
        <w:keepNext/>
        <w:outlineLvl w:val="1"/>
        <w:rPr>
          <w:b/>
          <w:bCs/>
          <w:iCs/>
          <w:noProof/>
          <w:lang w:eastAsia="en-US"/>
        </w:rPr>
      </w:pPr>
    </w:p>
    <w:p w:rsidR="00BA56FE" w:rsidRDefault="00BA56FE" w:rsidP="002077EE">
      <w:pPr>
        <w:contextualSpacing/>
      </w:pPr>
      <w:r w:rsidRPr="00BA56FE">
        <w:t>In refining aspects of the implementation of FHA, the Bill promotes a number of rights provided under the International Covenant on Economic, Social and Cultural Rights (ICESCR). These rights include the right to social security, and also the right to an adequate standard of living, including food, water and housing.</w:t>
      </w:r>
    </w:p>
    <w:p w:rsidR="00DD1790" w:rsidRPr="00BA56FE" w:rsidRDefault="00DD1790" w:rsidP="002077EE"/>
    <w:p w:rsidR="00BA56FE" w:rsidRPr="00BA56FE" w:rsidRDefault="00BA56FE" w:rsidP="002077EE">
      <w:pPr>
        <w:keepNext/>
        <w:keepLines/>
        <w:rPr>
          <w:b/>
          <w:i/>
          <w:szCs w:val="20"/>
        </w:rPr>
      </w:pPr>
      <w:r w:rsidRPr="00BA56FE">
        <w:t>The following rights are engaged by the Bill</w:t>
      </w:r>
      <w:r w:rsidRPr="00BA56FE">
        <w:rPr>
          <w:b/>
          <w:i/>
          <w:szCs w:val="20"/>
        </w:rPr>
        <w:t>:</w:t>
      </w:r>
    </w:p>
    <w:p w:rsidR="00BA56FE" w:rsidRPr="00BA56FE" w:rsidRDefault="00BA56FE" w:rsidP="002077EE">
      <w:pPr>
        <w:numPr>
          <w:ilvl w:val="0"/>
          <w:numId w:val="10"/>
        </w:numPr>
        <w:ind w:left="1701" w:hanging="708"/>
      </w:pPr>
      <w:r w:rsidRPr="00BA56FE">
        <w:t>Article 9 of the ICESCR – right to social security</w:t>
      </w:r>
    </w:p>
    <w:p w:rsidR="00BA56FE" w:rsidRPr="00BA56FE" w:rsidRDefault="00BA56FE" w:rsidP="002077EE">
      <w:pPr>
        <w:numPr>
          <w:ilvl w:val="0"/>
          <w:numId w:val="10"/>
        </w:numPr>
        <w:ind w:left="1701" w:hanging="708"/>
      </w:pPr>
      <w:r w:rsidRPr="00BA56FE">
        <w:t xml:space="preserve">Article 2(2) of the ICESCR and </w:t>
      </w:r>
      <w:r w:rsidR="0030392F">
        <w:t>A</w:t>
      </w:r>
      <w:r w:rsidRPr="00BA56FE">
        <w:t xml:space="preserve">rticle 26 of the </w:t>
      </w:r>
      <w:r w:rsidR="0030392F">
        <w:t>International Covenant on Civil and Political Rights (</w:t>
      </w:r>
      <w:r w:rsidRPr="00BA56FE">
        <w:t>ICCPR</w:t>
      </w:r>
      <w:r w:rsidR="0030392F">
        <w:t>)</w:t>
      </w:r>
      <w:r w:rsidRPr="00BA56FE">
        <w:t xml:space="preserve"> – rights of equality and non</w:t>
      </w:r>
      <w:r w:rsidRPr="00BA56FE">
        <w:noBreakHyphen/>
        <w:t>discrimination.</w:t>
      </w:r>
    </w:p>
    <w:p w:rsidR="00DD1790" w:rsidRDefault="00DD1790" w:rsidP="00DD1790">
      <w:pPr>
        <w:keepNext/>
        <w:outlineLvl w:val="1"/>
        <w:rPr>
          <w:b/>
          <w:bCs/>
          <w:iCs/>
          <w:noProof/>
          <w:lang w:eastAsia="en-US"/>
        </w:rPr>
      </w:pPr>
    </w:p>
    <w:p w:rsidR="00BA56FE" w:rsidRDefault="00BA56FE" w:rsidP="00DD1790">
      <w:pPr>
        <w:keepNext/>
        <w:outlineLvl w:val="1"/>
        <w:rPr>
          <w:b/>
          <w:bCs/>
          <w:iCs/>
          <w:noProof/>
          <w:lang w:eastAsia="en-US"/>
        </w:rPr>
      </w:pPr>
      <w:r w:rsidRPr="00BA56FE">
        <w:rPr>
          <w:b/>
          <w:bCs/>
          <w:iCs/>
          <w:noProof/>
          <w:lang w:eastAsia="en-US"/>
        </w:rPr>
        <w:t>Right to social security</w:t>
      </w:r>
    </w:p>
    <w:p w:rsidR="00DD1790" w:rsidRPr="00BA56FE" w:rsidRDefault="00DD1790" w:rsidP="00DD1790">
      <w:pPr>
        <w:keepNext/>
        <w:outlineLvl w:val="1"/>
        <w:rPr>
          <w:b/>
          <w:bCs/>
          <w:iCs/>
          <w:noProof/>
          <w:lang w:eastAsia="en-US"/>
        </w:rPr>
      </w:pPr>
    </w:p>
    <w:p w:rsidR="00BA56FE" w:rsidRPr="00DD1790" w:rsidRDefault="00BA56FE" w:rsidP="002077EE">
      <w:r w:rsidRPr="00DD1790">
        <w:t>Article 9 of the ICESCR recognises the right to social security. The United Nations Committee on Economic, Social and Cultural Rights (CESCR) has stated that the term ‘social security’ in article 9 encompasses the right to access and maintain benefits, whether in cash or in kind to secure protection from (a) lack of work-related income; (b) unaffordable healthcare; or (c) insufficient family support.</w:t>
      </w:r>
      <w:r w:rsidRPr="00DD1790">
        <w:rPr>
          <w:vertAlign w:val="superscript"/>
        </w:rPr>
        <w:footnoteReference w:id="1"/>
      </w:r>
    </w:p>
    <w:p w:rsidR="00DD1790" w:rsidRPr="00DD1790" w:rsidRDefault="00DD1790" w:rsidP="00DD1790">
      <w:pPr>
        <w:spacing w:line="276" w:lineRule="auto"/>
      </w:pPr>
    </w:p>
    <w:p w:rsidR="00BA56FE" w:rsidRPr="00DD1790" w:rsidRDefault="00BA56FE" w:rsidP="002077EE">
      <w:pPr>
        <w:keepNext/>
        <w:keepLines/>
        <w:rPr>
          <w:vertAlign w:val="superscript"/>
        </w:rPr>
      </w:pPr>
      <w:r w:rsidRPr="00DD1790">
        <w:t>The CESCR has also stated that all persons should be covered by the social security system without discrimination;</w:t>
      </w:r>
      <w:r w:rsidRPr="00DD1790">
        <w:rPr>
          <w:vertAlign w:val="superscript"/>
        </w:rPr>
        <w:footnoteReference w:id="2"/>
      </w:r>
      <w:r w:rsidRPr="00DD1790">
        <w:t xml:space="preserve"> in particular, “State parties should also remove de facto discrimination on prohibited grounds, where individuals are unable to access adequate social security”.</w:t>
      </w:r>
      <w:r w:rsidRPr="00DD1790">
        <w:rPr>
          <w:vertAlign w:val="superscript"/>
        </w:rPr>
        <w:footnoteReference w:id="3"/>
      </w:r>
      <w:r w:rsidRPr="00DD1790">
        <w:rPr>
          <w:vertAlign w:val="superscript"/>
        </w:rPr>
        <w:t xml:space="preserve"> </w:t>
      </w:r>
    </w:p>
    <w:p w:rsidR="00DD1790" w:rsidRPr="00DD1790" w:rsidRDefault="00DD1790" w:rsidP="002077EE">
      <w:pPr>
        <w:keepNext/>
        <w:keepLines/>
      </w:pPr>
    </w:p>
    <w:p w:rsidR="00BA56FE" w:rsidRDefault="00BA56FE" w:rsidP="002077EE">
      <w:r w:rsidRPr="00DD1790">
        <w:t>The prohibited grounds of discrimination are outlined in ICESCR Article 2(2), which imposes a duty on governments to guarantee the exercise of the rights recognised in that treaty “without discrimination of any kind as to race, colour, sex, language, religion, political or other opinion, national or social origin, property, birth or other status”.</w:t>
      </w:r>
    </w:p>
    <w:p w:rsidR="00DD1790" w:rsidRPr="00DD1790" w:rsidRDefault="00DD1790" w:rsidP="002077EE"/>
    <w:p w:rsidR="00BA56FE" w:rsidRDefault="00BA56FE" w:rsidP="002077EE">
      <w:r w:rsidRPr="00DD1790">
        <w:t>The value of farm assets often precludes farmers from being eligible for mainstream social security payments. This is despite the sometimes limited capacity of farmers to generate income from farm assets. The illiquidity of farm assets makes it difficult for farmers to sell these assets in the short term to provide for their self-support. This is addressed under the FHS Act by providing a two tier assets test in determining eligibility for FHA; non-farm assets are assessed in accordance with mainstream social security payments, while a separate test applies in relation to net farm assets.</w:t>
      </w:r>
    </w:p>
    <w:p w:rsidR="00DD1790" w:rsidRPr="00DD1790" w:rsidRDefault="00DD1790" w:rsidP="002077EE"/>
    <w:p w:rsidR="00BA56FE" w:rsidRPr="00DD1790" w:rsidRDefault="00BA56FE" w:rsidP="002077EE">
      <w:r w:rsidRPr="00DD1790">
        <w:t xml:space="preserve">The Bill resolves an anomaly in the existing definition of farm assets under the FHS Act whereby certain assets currently fall within the definition of non-farm assets despite being </w:t>
      </w:r>
      <w:r w:rsidR="00D33826" w:rsidRPr="00DD1790">
        <w:t xml:space="preserve">used </w:t>
      </w:r>
      <w:r w:rsidR="00F35A9A" w:rsidRPr="00DD1790">
        <w:t xml:space="preserve">or held </w:t>
      </w:r>
      <w:r w:rsidR="00D33826" w:rsidRPr="00DD1790">
        <w:t>wholly or mainly</w:t>
      </w:r>
      <w:r w:rsidRPr="00DD1790">
        <w:t xml:space="preserve"> for the operation of the farm enterprise. Examples include water rights and shares in marketing cooperatives. </w:t>
      </w:r>
    </w:p>
    <w:p w:rsidR="00BA56FE" w:rsidRDefault="00BA56FE" w:rsidP="002077EE">
      <w:r w:rsidRPr="00DD1790">
        <w:t>The Bill therefore promotes the right to social security. To address the risks involved in farmers losing their means of subsistence for reasons beyond their control, the Bill advances the protection of farmers’ lack of work-related income by ensuring access to income support to farmers in the form of the FHA when their capacity for self</w:t>
      </w:r>
      <w:r w:rsidRPr="00DD1790">
        <w:noBreakHyphen/>
        <w:t>support is equivalent to other members of the community who would be entitled to social security. It does so particularly by refining the definition of farm assets for which concessional treatment applies when a claim for the FHA is assessed.</w:t>
      </w:r>
    </w:p>
    <w:p w:rsidR="00F37AB2" w:rsidRPr="00DD1790" w:rsidRDefault="00F37AB2" w:rsidP="00DD1790">
      <w:pPr>
        <w:spacing w:line="276" w:lineRule="auto"/>
      </w:pPr>
    </w:p>
    <w:p w:rsidR="00BA56FE" w:rsidRDefault="00BA56FE" w:rsidP="002077EE">
      <w:pPr>
        <w:keepNext/>
        <w:outlineLvl w:val="1"/>
        <w:rPr>
          <w:b/>
          <w:bCs/>
          <w:iCs/>
          <w:noProof/>
          <w:lang w:eastAsia="en-US"/>
        </w:rPr>
      </w:pPr>
      <w:r w:rsidRPr="00DD1790">
        <w:rPr>
          <w:b/>
          <w:bCs/>
          <w:iCs/>
          <w:noProof/>
          <w:lang w:eastAsia="en-US"/>
        </w:rPr>
        <w:t>Rights of equality and non-discrimination</w:t>
      </w:r>
    </w:p>
    <w:p w:rsidR="00F37AB2" w:rsidRPr="00DD1790" w:rsidRDefault="00F37AB2" w:rsidP="002077EE">
      <w:pPr>
        <w:keepNext/>
        <w:outlineLvl w:val="1"/>
        <w:rPr>
          <w:b/>
          <w:bCs/>
          <w:iCs/>
          <w:noProof/>
          <w:lang w:eastAsia="en-US"/>
        </w:rPr>
      </w:pPr>
    </w:p>
    <w:p w:rsidR="00BA56FE" w:rsidRDefault="00BA56FE" w:rsidP="002077EE">
      <w:r w:rsidRPr="00DD1790">
        <w:t>Article 2(2) of the ICESCR requires States to ensure that the rights recognised in that Covenant are exercised “without discrimination of any kind as to race, colour, sex, language, religion, political or other opinion, national or social origin, property, birth or other status”.</w:t>
      </w:r>
    </w:p>
    <w:p w:rsidR="00F37AB2" w:rsidRPr="00DD1790" w:rsidRDefault="00F37AB2" w:rsidP="002077EE"/>
    <w:p w:rsidR="00BA56FE" w:rsidRDefault="00BA56FE" w:rsidP="002077EE">
      <w:r w:rsidRPr="00DD1790">
        <w:t>The CESCR has clarified that discrimination constitutes “any distinction, exclusion, restriction or preference or other differential treatment that is directly or indirectly based on the prohibited grounds of discrimination and which has the intention or effect of nullifying or impairing the recognition, enjoyment or exercise, on an equal footing, of Covenant rights”.</w:t>
      </w:r>
      <w:r w:rsidRPr="00DD1790">
        <w:rPr>
          <w:vertAlign w:val="superscript"/>
        </w:rPr>
        <w:footnoteReference w:id="4"/>
      </w:r>
    </w:p>
    <w:p w:rsidR="00F37AB2" w:rsidRPr="00DD1790" w:rsidRDefault="00F37AB2" w:rsidP="002077EE"/>
    <w:p w:rsidR="00BA56FE" w:rsidRDefault="00BA56FE" w:rsidP="002077EE">
      <w:r w:rsidRPr="00DD1790">
        <w:t>Article 26 of the ICCPR is a stand-alone right and also</w:t>
      </w:r>
      <w:r w:rsidRPr="00DD1790">
        <w:rPr>
          <w:b/>
          <w:i/>
        </w:rPr>
        <w:t xml:space="preserve"> </w:t>
      </w:r>
      <w:r w:rsidRPr="00DD1790">
        <w:t>prohibits discrimination in law or in fact in any field regulated and protected by public authorities. Its effect is to provide that all persons are equal before the law and are entitled to equal protection of the law without discrimination.</w:t>
      </w:r>
      <w:r w:rsidRPr="00DD1790">
        <w:rPr>
          <w:vertAlign w:val="superscript"/>
        </w:rPr>
        <w:footnoteReference w:id="5"/>
      </w:r>
    </w:p>
    <w:p w:rsidR="00F37AB2" w:rsidRPr="00DD1790" w:rsidRDefault="00F37AB2" w:rsidP="002077EE"/>
    <w:p w:rsidR="00BA56FE" w:rsidRDefault="00BA56FE" w:rsidP="002077EE">
      <w:r w:rsidRPr="00DD1790">
        <w:t>The Bill engages with the right of non-discrimination in that receipt of income support under the FHA is available only to farmers and their partners, and will not be subject to OWP or LAWP whereas those waiting periods will continue to apply for recipients of mainstream income support payments.</w:t>
      </w:r>
    </w:p>
    <w:p w:rsidR="00F37AB2" w:rsidRPr="00DD1790" w:rsidRDefault="00F37AB2" w:rsidP="002077EE"/>
    <w:p w:rsidR="00BA56FE" w:rsidRDefault="00BA56FE" w:rsidP="002077EE">
      <w:r w:rsidRPr="00DD1790">
        <w:t xml:space="preserve">The OWP and LAWP are generally applied to ensure that social welfare applicants use their own readily available resources before drawing on public </w:t>
      </w:r>
      <w:r w:rsidR="0030392F" w:rsidRPr="00DD1790">
        <w:t>monies</w:t>
      </w:r>
      <w:r w:rsidRPr="00DD1790">
        <w:t xml:space="preserve">, and have incentives to continue to seek work. </w:t>
      </w:r>
    </w:p>
    <w:p w:rsidR="00F37AB2" w:rsidRPr="00DD1790" w:rsidRDefault="00F37AB2" w:rsidP="002077EE"/>
    <w:p w:rsidR="00BA56FE" w:rsidRDefault="00BA56FE" w:rsidP="002077EE">
      <w:r w:rsidRPr="00DD1790">
        <w:t>The current requirement for FHA recipients to serve an LAWP (if applicable) and OWP is unnecessary. Farmers are already attached to the workforce and requiring them to use liquid assets for self-support risks diverting those assets from supporting the operation of the farm enterprise. The FHA programme is also time limited so the OWP and LAWP generate no savings. Requiring a FHA recipient to wait additional time, notwithstanding they have been found eligible, could lead to additional hardship which risks a reduction in their capacity to operate the farm enterprise. Thus removing the requirement does not impermissibly advantage farmers and their partners by comparison with other occupational groups.</w:t>
      </w:r>
    </w:p>
    <w:p w:rsidR="00F37AB2" w:rsidRPr="00DD1790" w:rsidRDefault="00F37AB2" w:rsidP="00DD1790">
      <w:pPr>
        <w:spacing w:line="276" w:lineRule="auto"/>
      </w:pPr>
    </w:p>
    <w:p w:rsidR="00BA56FE" w:rsidRDefault="00BA56FE" w:rsidP="002077EE">
      <w:pPr>
        <w:keepNext/>
        <w:outlineLvl w:val="1"/>
        <w:rPr>
          <w:b/>
          <w:bCs/>
          <w:iCs/>
          <w:noProof/>
          <w:lang w:eastAsia="en-US"/>
        </w:rPr>
      </w:pPr>
      <w:r w:rsidRPr="00DD1790">
        <w:rPr>
          <w:b/>
          <w:bCs/>
          <w:iCs/>
          <w:noProof/>
          <w:lang w:eastAsia="en-US"/>
        </w:rPr>
        <w:t>Conclusion</w:t>
      </w:r>
    </w:p>
    <w:p w:rsidR="00F37AB2" w:rsidRPr="00DD1790" w:rsidRDefault="00F37AB2" w:rsidP="002077EE">
      <w:pPr>
        <w:keepNext/>
        <w:outlineLvl w:val="1"/>
        <w:rPr>
          <w:b/>
          <w:bCs/>
          <w:iCs/>
          <w:noProof/>
          <w:lang w:eastAsia="en-US"/>
        </w:rPr>
      </w:pPr>
    </w:p>
    <w:p w:rsidR="00BA56FE" w:rsidRPr="00DD1790" w:rsidRDefault="00BA56FE" w:rsidP="002077EE">
      <w:r w:rsidRPr="00DD1790">
        <w:t>The Bill is compatible with the human rights outlined above. It promotes the right to social security and to the extent that it engages with the right of non</w:t>
      </w:r>
      <w:r w:rsidR="00457E18" w:rsidRPr="00DD1790">
        <w:noBreakHyphen/>
      </w:r>
      <w:r w:rsidRPr="00DD1790">
        <w:t>discrimination, it does so in a way that is reasonable, necessary and proportionate to achieve legitimate aims.</w:t>
      </w:r>
    </w:p>
    <w:p w:rsidR="00BA56FE" w:rsidRPr="00DD1790" w:rsidRDefault="00BA56FE" w:rsidP="002077EE">
      <w:pPr>
        <w:ind w:left="360"/>
      </w:pPr>
    </w:p>
    <w:p w:rsidR="00BA56FE" w:rsidRPr="00DD1790" w:rsidRDefault="00824941" w:rsidP="002077EE">
      <w:pPr>
        <w:ind w:left="720"/>
        <w:jc w:val="center"/>
        <w:rPr>
          <w:b/>
        </w:rPr>
      </w:pPr>
      <w:r w:rsidRPr="00DD1790">
        <w:rPr>
          <w:b/>
        </w:rPr>
        <w:t xml:space="preserve">The </w:t>
      </w:r>
      <w:r w:rsidR="00BA56FE" w:rsidRPr="00DD1790">
        <w:rPr>
          <w:b/>
        </w:rPr>
        <w:t>Hon. Barnaby Joyce MP</w:t>
      </w:r>
      <w:r w:rsidRPr="00DD1790">
        <w:rPr>
          <w:b/>
        </w:rPr>
        <w:t>, Deputy Prime Minister and Minister for Agriculture and Water Resources</w:t>
      </w:r>
    </w:p>
    <w:p w:rsidR="002461DF" w:rsidRPr="00DD1790" w:rsidRDefault="002461DF" w:rsidP="00DD1790">
      <w:pPr>
        <w:spacing w:line="276" w:lineRule="auto"/>
        <w:rPr>
          <w:b/>
          <w:bCs/>
        </w:rPr>
      </w:pPr>
      <w:r w:rsidRPr="00DD1790">
        <w:rPr>
          <w:b/>
          <w:bCs/>
        </w:rPr>
        <w:br w:type="page"/>
      </w:r>
    </w:p>
    <w:p w:rsidR="002461DF" w:rsidRPr="00F37AB2" w:rsidRDefault="002461DF" w:rsidP="00F37AB2">
      <w:pPr>
        <w:rPr>
          <w:b/>
          <w:bCs/>
        </w:rPr>
      </w:pPr>
      <w:r w:rsidRPr="00F37AB2">
        <w:rPr>
          <w:b/>
          <w:bCs/>
        </w:rPr>
        <w:t>FARM HOUSEHOLD SUPPORT AMENDMENT BILL 2017</w:t>
      </w:r>
    </w:p>
    <w:p w:rsidR="0032476D" w:rsidRDefault="0032476D" w:rsidP="00F37AB2">
      <w:pPr>
        <w:rPr>
          <w:b/>
          <w:bCs/>
        </w:rPr>
      </w:pPr>
    </w:p>
    <w:p w:rsidR="00CD7605" w:rsidRDefault="00CD7605" w:rsidP="00F37AB2">
      <w:pPr>
        <w:rPr>
          <w:b/>
          <w:bCs/>
        </w:rPr>
      </w:pPr>
      <w:r w:rsidRPr="00F37AB2">
        <w:rPr>
          <w:b/>
          <w:bCs/>
        </w:rPr>
        <w:t>NOTES ON CLAUSES</w:t>
      </w:r>
    </w:p>
    <w:p w:rsidR="00F37AB2" w:rsidRPr="00F37AB2" w:rsidRDefault="00F37AB2" w:rsidP="00F37AB2">
      <w:pPr>
        <w:rPr>
          <w:b/>
          <w:bCs/>
        </w:rPr>
      </w:pPr>
    </w:p>
    <w:p w:rsidR="00CD7605" w:rsidRDefault="00D86341" w:rsidP="00F37AB2">
      <w:pPr>
        <w:rPr>
          <w:b/>
          <w:bCs/>
        </w:rPr>
      </w:pPr>
      <w:r w:rsidRPr="00F37AB2">
        <w:rPr>
          <w:b/>
          <w:bCs/>
        </w:rPr>
        <w:t xml:space="preserve">Clause </w:t>
      </w:r>
      <w:r w:rsidR="00CD7605" w:rsidRPr="00F37AB2">
        <w:rPr>
          <w:b/>
          <w:bCs/>
        </w:rPr>
        <w:t>1: Short title</w:t>
      </w:r>
    </w:p>
    <w:p w:rsidR="00F37AB2" w:rsidRPr="00F37AB2" w:rsidRDefault="00F37AB2" w:rsidP="00F37AB2">
      <w:pPr>
        <w:rPr>
          <w:b/>
          <w:bCs/>
        </w:rPr>
      </w:pPr>
    </w:p>
    <w:p w:rsidR="00CD7605" w:rsidRDefault="00CD7605" w:rsidP="00F37AB2">
      <w:pPr>
        <w:rPr>
          <w:bCs/>
        </w:rPr>
      </w:pPr>
      <w:r w:rsidRPr="00F37AB2">
        <w:rPr>
          <w:bCs/>
        </w:rPr>
        <w:t xml:space="preserve">This section provides for the </w:t>
      </w:r>
      <w:r w:rsidR="00D86341" w:rsidRPr="00F37AB2">
        <w:rPr>
          <w:bCs/>
        </w:rPr>
        <w:t xml:space="preserve">Act </w:t>
      </w:r>
      <w:r w:rsidRPr="00F37AB2">
        <w:rPr>
          <w:bCs/>
        </w:rPr>
        <w:t xml:space="preserve">to be called the </w:t>
      </w:r>
      <w:r w:rsidRPr="00F37AB2">
        <w:rPr>
          <w:bCs/>
          <w:i/>
        </w:rPr>
        <w:t xml:space="preserve">Farm Household Support </w:t>
      </w:r>
      <w:r w:rsidR="00501F2F" w:rsidRPr="00F37AB2">
        <w:rPr>
          <w:bCs/>
          <w:i/>
        </w:rPr>
        <w:t xml:space="preserve">Amendment </w:t>
      </w:r>
      <w:r w:rsidRPr="00F37AB2">
        <w:rPr>
          <w:bCs/>
          <w:i/>
        </w:rPr>
        <w:t>Act 201</w:t>
      </w:r>
      <w:r w:rsidR="00501F2F" w:rsidRPr="00F37AB2">
        <w:rPr>
          <w:bCs/>
          <w:i/>
        </w:rPr>
        <w:t>7</w:t>
      </w:r>
      <w:r w:rsidRPr="00F37AB2">
        <w:rPr>
          <w:bCs/>
        </w:rPr>
        <w:t>.</w:t>
      </w:r>
    </w:p>
    <w:p w:rsidR="00F37AB2" w:rsidRPr="00F37AB2" w:rsidRDefault="00F37AB2" w:rsidP="00F37AB2">
      <w:pPr>
        <w:rPr>
          <w:bCs/>
        </w:rPr>
      </w:pPr>
    </w:p>
    <w:p w:rsidR="00CD7605" w:rsidRDefault="00D86341" w:rsidP="00F37AB2">
      <w:pPr>
        <w:rPr>
          <w:b/>
          <w:bCs/>
        </w:rPr>
      </w:pPr>
      <w:r w:rsidRPr="00F37AB2">
        <w:rPr>
          <w:b/>
          <w:bCs/>
        </w:rPr>
        <w:t xml:space="preserve">Clause </w:t>
      </w:r>
      <w:r w:rsidR="0063567F" w:rsidRPr="00F37AB2">
        <w:rPr>
          <w:b/>
          <w:bCs/>
        </w:rPr>
        <w:t>2: Commencement</w:t>
      </w:r>
    </w:p>
    <w:p w:rsidR="00F37AB2" w:rsidRPr="00F37AB2" w:rsidRDefault="00F37AB2" w:rsidP="00F37AB2">
      <w:pPr>
        <w:rPr>
          <w:b/>
          <w:bCs/>
        </w:rPr>
      </w:pPr>
    </w:p>
    <w:p w:rsidR="00CD7605" w:rsidRDefault="00CD7605" w:rsidP="00F37AB2">
      <w:pPr>
        <w:rPr>
          <w:bCs/>
        </w:rPr>
      </w:pPr>
      <w:r w:rsidRPr="00F37AB2">
        <w:rPr>
          <w:bCs/>
        </w:rPr>
        <w:t xml:space="preserve">This section provides that sections 1 </w:t>
      </w:r>
      <w:r w:rsidR="00501F2F" w:rsidRPr="00F37AB2">
        <w:rPr>
          <w:bCs/>
        </w:rPr>
        <w:t>to 3</w:t>
      </w:r>
      <w:r w:rsidRPr="00F37AB2">
        <w:rPr>
          <w:bCs/>
        </w:rPr>
        <w:t xml:space="preserve"> </w:t>
      </w:r>
      <w:r w:rsidR="00905E92" w:rsidRPr="00F37AB2">
        <w:rPr>
          <w:bCs/>
        </w:rPr>
        <w:t xml:space="preserve">and anything in the Bill not elsewhere specified in the Table </w:t>
      </w:r>
      <w:r w:rsidR="00D33826" w:rsidRPr="00F37AB2">
        <w:rPr>
          <w:bCs/>
        </w:rPr>
        <w:t xml:space="preserve">will </w:t>
      </w:r>
      <w:r w:rsidRPr="00F37AB2">
        <w:rPr>
          <w:bCs/>
        </w:rPr>
        <w:t xml:space="preserve">commence upon Royal Assent. </w:t>
      </w:r>
    </w:p>
    <w:p w:rsidR="00F37AB2" w:rsidRPr="00F37AB2" w:rsidRDefault="00F37AB2" w:rsidP="00F37AB2">
      <w:pPr>
        <w:rPr>
          <w:bCs/>
        </w:rPr>
      </w:pPr>
    </w:p>
    <w:p w:rsidR="00CD7605" w:rsidRDefault="00501F2F" w:rsidP="00F37AB2">
      <w:pPr>
        <w:rPr>
          <w:bCs/>
        </w:rPr>
      </w:pPr>
      <w:r w:rsidRPr="00F37AB2">
        <w:rPr>
          <w:bCs/>
        </w:rPr>
        <w:t xml:space="preserve">Schedules 1 and 2 </w:t>
      </w:r>
      <w:r w:rsidR="00D33826" w:rsidRPr="00F37AB2">
        <w:rPr>
          <w:bCs/>
        </w:rPr>
        <w:t xml:space="preserve">will </w:t>
      </w:r>
      <w:r w:rsidRPr="00F37AB2">
        <w:rPr>
          <w:bCs/>
        </w:rPr>
        <w:t>commence on the later of the day after the Act receives Royal Assent and 1 April 2017.</w:t>
      </w:r>
    </w:p>
    <w:p w:rsidR="00F37AB2" w:rsidRPr="00F37AB2" w:rsidRDefault="00F37AB2" w:rsidP="00F37AB2">
      <w:pPr>
        <w:rPr>
          <w:bCs/>
        </w:rPr>
      </w:pPr>
    </w:p>
    <w:p w:rsidR="00CD7605" w:rsidRDefault="00D86341" w:rsidP="00F37AB2">
      <w:pPr>
        <w:rPr>
          <w:b/>
          <w:bCs/>
        </w:rPr>
      </w:pPr>
      <w:r w:rsidRPr="00F37AB2">
        <w:rPr>
          <w:b/>
          <w:bCs/>
        </w:rPr>
        <w:t xml:space="preserve">Clause </w:t>
      </w:r>
      <w:r w:rsidR="00CD7605" w:rsidRPr="00F37AB2">
        <w:rPr>
          <w:b/>
          <w:bCs/>
        </w:rPr>
        <w:t xml:space="preserve">3: </w:t>
      </w:r>
      <w:r w:rsidR="00501F2F" w:rsidRPr="00F37AB2">
        <w:rPr>
          <w:b/>
          <w:bCs/>
        </w:rPr>
        <w:t>Schedules</w:t>
      </w:r>
    </w:p>
    <w:p w:rsidR="00F37AB2" w:rsidRPr="00F37AB2" w:rsidRDefault="00F37AB2" w:rsidP="00F37AB2">
      <w:pPr>
        <w:rPr>
          <w:b/>
          <w:bCs/>
        </w:rPr>
      </w:pPr>
    </w:p>
    <w:p w:rsidR="00CD7605" w:rsidRPr="00F37AB2" w:rsidRDefault="00CD7605" w:rsidP="00F37AB2">
      <w:pPr>
        <w:rPr>
          <w:bCs/>
        </w:rPr>
      </w:pPr>
      <w:r w:rsidRPr="00F37AB2">
        <w:rPr>
          <w:bCs/>
        </w:rPr>
        <w:t xml:space="preserve">This section </w:t>
      </w:r>
      <w:r w:rsidR="00501F2F" w:rsidRPr="00F37AB2">
        <w:rPr>
          <w:bCs/>
        </w:rPr>
        <w:t xml:space="preserve">provides that legislation specified in a Schedule to the Bill </w:t>
      </w:r>
      <w:r w:rsidR="00D33826" w:rsidRPr="00F37AB2">
        <w:rPr>
          <w:bCs/>
        </w:rPr>
        <w:t>will be</w:t>
      </w:r>
      <w:r w:rsidR="00501F2F" w:rsidRPr="00F37AB2">
        <w:rPr>
          <w:bCs/>
        </w:rPr>
        <w:t xml:space="preserve"> amended or repealed as set out in the Schedule.</w:t>
      </w:r>
    </w:p>
    <w:p w:rsidR="00501F2F" w:rsidRPr="00F37AB2" w:rsidRDefault="00501F2F" w:rsidP="00F37AB2">
      <w:pPr>
        <w:rPr>
          <w:bCs/>
        </w:rPr>
      </w:pPr>
    </w:p>
    <w:p w:rsidR="00501F2F" w:rsidRDefault="00501F2F" w:rsidP="00F37AB2">
      <w:pPr>
        <w:rPr>
          <w:b/>
          <w:bCs/>
        </w:rPr>
      </w:pPr>
      <w:r w:rsidRPr="00F37AB2">
        <w:rPr>
          <w:b/>
          <w:bCs/>
        </w:rPr>
        <w:t xml:space="preserve">Schedule 1—Removal of waiting periods </w:t>
      </w:r>
    </w:p>
    <w:p w:rsidR="00F37AB2" w:rsidRPr="00F37AB2" w:rsidRDefault="00F37AB2" w:rsidP="00F37AB2">
      <w:pPr>
        <w:rPr>
          <w:b/>
          <w:bCs/>
        </w:rPr>
      </w:pPr>
    </w:p>
    <w:p w:rsidR="00033622" w:rsidRDefault="00033622" w:rsidP="00F37AB2">
      <w:pPr>
        <w:pStyle w:val="ActHead9"/>
        <w:spacing w:before="0"/>
        <w:rPr>
          <w:sz w:val="24"/>
          <w:szCs w:val="24"/>
        </w:rPr>
      </w:pPr>
      <w:bookmarkStart w:id="1" w:name="_Toc470099101"/>
      <w:r w:rsidRPr="00F37AB2">
        <w:rPr>
          <w:sz w:val="24"/>
          <w:szCs w:val="24"/>
        </w:rPr>
        <w:t>Farm Household Support Act 2014</w:t>
      </w:r>
      <w:bookmarkEnd w:id="1"/>
    </w:p>
    <w:p w:rsidR="00F37AB2" w:rsidRPr="00F37AB2" w:rsidRDefault="00F37AB2" w:rsidP="00F37AB2"/>
    <w:p w:rsidR="00501F2F" w:rsidRDefault="00501F2F" w:rsidP="00F37AB2">
      <w:pPr>
        <w:rPr>
          <w:bCs/>
        </w:rPr>
      </w:pPr>
      <w:r w:rsidRPr="00F37AB2">
        <w:rPr>
          <w:bCs/>
        </w:rPr>
        <w:t xml:space="preserve">The Schedule </w:t>
      </w:r>
      <w:r w:rsidR="003B2FDB" w:rsidRPr="00F37AB2">
        <w:rPr>
          <w:bCs/>
        </w:rPr>
        <w:t xml:space="preserve">will </w:t>
      </w:r>
      <w:r w:rsidRPr="00F37AB2">
        <w:rPr>
          <w:bCs/>
        </w:rPr>
        <w:t>amend the FHS Act as follows.</w:t>
      </w:r>
    </w:p>
    <w:p w:rsidR="00F37AB2" w:rsidRPr="00F37AB2" w:rsidRDefault="00F37AB2" w:rsidP="00F37AB2">
      <w:pPr>
        <w:rPr>
          <w:bCs/>
        </w:rPr>
      </w:pPr>
    </w:p>
    <w:p w:rsidR="00CD7605" w:rsidRDefault="00501F2F" w:rsidP="00F37AB2">
      <w:pPr>
        <w:rPr>
          <w:b/>
          <w:bCs/>
        </w:rPr>
      </w:pPr>
      <w:r w:rsidRPr="00F37AB2">
        <w:rPr>
          <w:b/>
          <w:bCs/>
        </w:rPr>
        <w:t>Item 1</w:t>
      </w:r>
      <w:r w:rsidR="00CD7605" w:rsidRPr="00F37AB2">
        <w:rPr>
          <w:b/>
          <w:bCs/>
        </w:rPr>
        <w:t xml:space="preserve">: </w:t>
      </w:r>
      <w:r w:rsidR="00DA0F8B" w:rsidRPr="00F37AB2">
        <w:rPr>
          <w:b/>
          <w:bCs/>
        </w:rPr>
        <w:t>Subsection 5(1)</w:t>
      </w:r>
    </w:p>
    <w:p w:rsidR="00F37AB2" w:rsidRPr="00F37AB2" w:rsidRDefault="00F37AB2" w:rsidP="00F37AB2">
      <w:pPr>
        <w:rPr>
          <w:b/>
          <w:bCs/>
        </w:rPr>
      </w:pPr>
    </w:p>
    <w:p w:rsidR="00CD7605" w:rsidRDefault="0030392F" w:rsidP="00F37AB2">
      <w:pPr>
        <w:rPr>
          <w:bCs/>
        </w:rPr>
      </w:pPr>
      <w:r w:rsidRPr="00F37AB2">
        <w:rPr>
          <w:bCs/>
        </w:rPr>
        <w:t>Item 1</w:t>
      </w:r>
      <w:r w:rsidR="00DA0F8B" w:rsidRPr="00F37AB2">
        <w:rPr>
          <w:bCs/>
        </w:rPr>
        <w:t xml:space="preserve"> will repeal definitions of </w:t>
      </w:r>
      <w:r w:rsidR="003B2FDB" w:rsidRPr="00F37AB2">
        <w:rPr>
          <w:bCs/>
        </w:rPr>
        <w:t xml:space="preserve">OWP, </w:t>
      </w:r>
      <w:r w:rsidR="00AD3B32" w:rsidRPr="00F37AB2">
        <w:rPr>
          <w:bCs/>
        </w:rPr>
        <w:t>LAWP</w:t>
      </w:r>
      <w:r w:rsidR="00DA0F8B" w:rsidRPr="00F37AB2">
        <w:rPr>
          <w:bCs/>
        </w:rPr>
        <w:t xml:space="preserve">, and waiting period from the FHS Act. The first two terms will no longer appear </w:t>
      </w:r>
      <w:r w:rsidR="000E7E04" w:rsidRPr="00F37AB2">
        <w:rPr>
          <w:bCs/>
        </w:rPr>
        <w:t>in the</w:t>
      </w:r>
      <w:r w:rsidR="00DA0F8B" w:rsidRPr="00F37AB2">
        <w:rPr>
          <w:bCs/>
        </w:rPr>
        <w:t xml:space="preserve"> FHS Act</w:t>
      </w:r>
      <w:r w:rsidR="000E7E04" w:rsidRPr="00F37AB2">
        <w:rPr>
          <w:bCs/>
        </w:rPr>
        <w:t>.</w:t>
      </w:r>
    </w:p>
    <w:p w:rsidR="00F37AB2" w:rsidRPr="00F37AB2" w:rsidRDefault="00F37AB2" w:rsidP="00F37AB2">
      <w:pPr>
        <w:rPr>
          <w:bCs/>
        </w:rPr>
      </w:pPr>
    </w:p>
    <w:p w:rsidR="000E7E04" w:rsidRDefault="000E7E04" w:rsidP="00F37AB2">
      <w:pPr>
        <w:rPr>
          <w:b/>
          <w:bCs/>
        </w:rPr>
      </w:pPr>
      <w:r w:rsidRPr="00F37AB2">
        <w:rPr>
          <w:b/>
          <w:bCs/>
        </w:rPr>
        <w:t>Item 2: Subdivision C of Division 6 of Part 2 (heading)</w:t>
      </w:r>
    </w:p>
    <w:p w:rsidR="00F37AB2" w:rsidRPr="00F37AB2" w:rsidRDefault="00F37AB2" w:rsidP="00F37AB2">
      <w:pPr>
        <w:rPr>
          <w:b/>
          <w:bCs/>
        </w:rPr>
      </w:pPr>
    </w:p>
    <w:p w:rsidR="00CD7605" w:rsidRDefault="0030392F" w:rsidP="00F37AB2">
      <w:pPr>
        <w:rPr>
          <w:bCs/>
        </w:rPr>
      </w:pPr>
      <w:r w:rsidRPr="00F37AB2">
        <w:rPr>
          <w:bCs/>
        </w:rPr>
        <w:t>I</w:t>
      </w:r>
      <w:r w:rsidR="000E7E04" w:rsidRPr="00F37AB2">
        <w:rPr>
          <w:bCs/>
        </w:rPr>
        <w:t xml:space="preserve">tem </w:t>
      </w:r>
      <w:r w:rsidRPr="00F37AB2">
        <w:rPr>
          <w:bCs/>
        </w:rPr>
        <w:t xml:space="preserve">2 </w:t>
      </w:r>
      <w:r w:rsidR="000E7E04" w:rsidRPr="00F37AB2">
        <w:rPr>
          <w:bCs/>
        </w:rPr>
        <w:t>will repeal the heading and substitute “Subdivision C – Situations where allowance not payable (waiting period)”</w:t>
      </w:r>
      <w:r w:rsidR="00F37AB2">
        <w:rPr>
          <w:bCs/>
        </w:rPr>
        <w:t>.</w:t>
      </w:r>
    </w:p>
    <w:p w:rsidR="00F37AB2" w:rsidRPr="00F37AB2" w:rsidRDefault="00F37AB2" w:rsidP="00F37AB2">
      <w:pPr>
        <w:rPr>
          <w:bCs/>
        </w:rPr>
      </w:pPr>
    </w:p>
    <w:p w:rsidR="000E7E04" w:rsidRDefault="000E7E04" w:rsidP="00F37AB2">
      <w:pPr>
        <w:keepNext/>
        <w:keepLines/>
        <w:rPr>
          <w:b/>
          <w:bCs/>
        </w:rPr>
      </w:pPr>
      <w:r w:rsidRPr="00F37AB2">
        <w:rPr>
          <w:b/>
          <w:bCs/>
        </w:rPr>
        <w:t>Item 3: Section 39</w:t>
      </w:r>
    </w:p>
    <w:p w:rsidR="00F37AB2" w:rsidRPr="00F37AB2" w:rsidRDefault="00F37AB2" w:rsidP="00F37AB2">
      <w:pPr>
        <w:keepNext/>
        <w:keepLines/>
        <w:rPr>
          <w:b/>
          <w:bCs/>
        </w:rPr>
      </w:pPr>
    </w:p>
    <w:p w:rsidR="00CD7605" w:rsidRPr="00F37AB2" w:rsidRDefault="0030392F" w:rsidP="00F37AB2">
      <w:pPr>
        <w:rPr>
          <w:bCs/>
        </w:rPr>
      </w:pPr>
      <w:r w:rsidRPr="00F37AB2">
        <w:rPr>
          <w:bCs/>
        </w:rPr>
        <w:t>I</w:t>
      </w:r>
      <w:r w:rsidR="000E7E04" w:rsidRPr="00F37AB2">
        <w:rPr>
          <w:bCs/>
        </w:rPr>
        <w:t>tem</w:t>
      </w:r>
      <w:r w:rsidRPr="00F37AB2">
        <w:rPr>
          <w:bCs/>
        </w:rPr>
        <w:t xml:space="preserve"> 3</w:t>
      </w:r>
      <w:r w:rsidR="000E7E04" w:rsidRPr="00F37AB2">
        <w:rPr>
          <w:bCs/>
        </w:rPr>
        <w:t xml:space="preserve"> will repeal the existing section and replace it with a new section 39 which refers only to </w:t>
      </w:r>
      <w:r w:rsidR="00D33826" w:rsidRPr="00F37AB2">
        <w:rPr>
          <w:bCs/>
        </w:rPr>
        <w:t>the</w:t>
      </w:r>
      <w:r w:rsidR="000E7E04" w:rsidRPr="00F37AB2">
        <w:rPr>
          <w:bCs/>
        </w:rPr>
        <w:t xml:space="preserve"> newly arrived resident’s waiting period</w:t>
      </w:r>
      <w:r w:rsidR="00185A61" w:rsidRPr="00F37AB2">
        <w:rPr>
          <w:bCs/>
        </w:rPr>
        <w:t>, which already applies under the FHS Act</w:t>
      </w:r>
      <w:r w:rsidR="000E7E04" w:rsidRPr="00F37AB2">
        <w:rPr>
          <w:bCs/>
        </w:rPr>
        <w:t>.</w:t>
      </w:r>
    </w:p>
    <w:p w:rsidR="000E7E04" w:rsidRDefault="000E7E04" w:rsidP="00F37AB2">
      <w:pPr>
        <w:keepNext/>
        <w:keepLines/>
        <w:rPr>
          <w:b/>
          <w:bCs/>
        </w:rPr>
      </w:pPr>
      <w:r w:rsidRPr="00F37AB2">
        <w:rPr>
          <w:b/>
          <w:bCs/>
        </w:rPr>
        <w:t>Item 4: Sections 40 and 41</w:t>
      </w:r>
    </w:p>
    <w:p w:rsidR="00F37AB2" w:rsidRPr="00F37AB2" w:rsidRDefault="00F37AB2" w:rsidP="00F37AB2">
      <w:pPr>
        <w:keepNext/>
        <w:keepLines/>
        <w:rPr>
          <w:b/>
          <w:bCs/>
        </w:rPr>
      </w:pPr>
    </w:p>
    <w:p w:rsidR="000E7E04" w:rsidRDefault="0030392F" w:rsidP="00F37AB2">
      <w:pPr>
        <w:rPr>
          <w:bCs/>
        </w:rPr>
      </w:pPr>
      <w:r w:rsidRPr="00F37AB2">
        <w:rPr>
          <w:bCs/>
        </w:rPr>
        <w:t>I</w:t>
      </w:r>
      <w:r w:rsidR="000E7E04" w:rsidRPr="00F37AB2">
        <w:rPr>
          <w:bCs/>
        </w:rPr>
        <w:t>tem</w:t>
      </w:r>
      <w:r w:rsidRPr="00F37AB2">
        <w:rPr>
          <w:bCs/>
        </w:rPr>
        <w:t xml:space="preserve"> 4</w:t>
      </w:r>
      <w:r w:rsidR="000E7E04" w:rsidRPr="00F37AB2">
        <w:rPr>
          <w:bCs/>
        </w:rPr>
        <w:t xml:space="preserve"> will repeal the sections which provide for the </w:t>
      </w:r>
      <w:r w:rsidR="00AD3B32" w:rsidRPr="00F37AB2">
        <w:rPr>
          <w:bCs/>
        </w:rPr>
        <w:t>OWP</w:t>
      </w:r>
      <w:r w:rsidR="000E7E04" w:rsidRPr="00F37AB2">
        <w:rPr>
          <w:bCs/>
        </w:rPr>
        <w:t>.</w:t>
      </w:r>
    </w:p>
    <w:p w:rsidR="00F37AB2" w:rsidRPr="00F37AB2" w:rsidRDefault="00F37AB2" w:rsidP="00F37AB2">
      <w:pPr>
        <w:rPr>
          <w:bCs/>
        </w:rPr>
      </w:pPr>
    </w:p>
    <w:p w:rsidR="000E7E04" w:rsidRDefault="000E7E04" w:rsidP="00F37AB2">
      <w:pPr>
        <w:rPr>
          <w:b/>
          <w:bCs/>
        </w:rPr>
      </w:pPr>
      <w:r w:rsidRPr="00F37AB2">
        <w:rPr>
          <w:b/>
          <w:bCs/>
        </w:rPr>
        <w:t>Item 5: Subsection 42(1) (note)</w:t>
      </w:r>
    </w:p>
    <w:p w:rsidR="00F37AB2" w:rsidRPr="00F37AB2" w:rsidRDefault="00F37AB2" w:rsidP="00F37AB2">
      <w:pPr>
        <w:rPr>
          <w:b/>
          <w:bCs/>
        </w:rPr>
      </w:pPr>
    </w:p>
    <w:p w:rsidR="000E7E04" w:rsidRDefault="0030392F" w:rsidP="00F37AB2">
      <w:pPr>
        <w:rPr>
          <w:bCs/>
        </w:rPr>
      </w:pPr>
      <w:r w:rsidRPr="00F37AB2">
        <w:rPr>
          <w:bCs/>
        </w:rPr>
        <w:t>I</w:t>
      </w:r>
      <w:r w:rsidR="000E7E04" w:rsidRPr="00F37AB2">
        <w:rPr>
          <w:bCs/>
        </w:rPr>
        <w:t>tem</w:t>
      </w:r>
      <w:r w:rsidRPr="00F37AB2">
        <w:rPr>
          <w:bCs/>
        </w:rPr>
        <w:t xml:space="preserve"> 5</w:t>
      </w:r>
      <w:r w:rsidR="000E7E04" w:rsidRPr="00F37AB2">
        <w:rPr>
          <w:bCs/>
        </w:rPr>
        <w:t xml:space="preserve"> will repeal the note which refers to the interaction between the newly arrived </w:t>
      </w:r>
      <w:r w:rsidR="00A9256B" w:rsidRPr="00F37AB2">
        <w:rPr>
          <w:bCs/>
        </w:rPr>
        <w:t>resident’s</w:t>
      </w:r>
      <w:r w:rsidR="000E7E04" w:rsidRPr="00F37AB2">
        <w:rPr>
          <w:bCs/>
        </w:rPr>
        <w:t xml:space="preserve"> waiting period and the </w:t>
      </w:r>
      <w:r w:rsidR="00AD3B32" w:rsidRPr="00F37AB2">
        <w:rPr>
          <w:bCs/>
        </w:rPr>
        <w:t xml:space="preserve">LAWP </w:t>
      </w:r>
      <w:r w:rsidR="00A9256B" w:rsidRPr="00F37AB2">
        <w:rPr>
          <w:bCs/>
        </w:rPr>
        <w:t xml:space="preserve">which </w:t>
      </w:r>
      <w:r w:rsidR="00185A61" w:rsidRPr="00F37AB2">
        <w:rPr>
          <w:bCs/>
        </w:rPr>
        <w:t xml:space="preserve">is </w:t>
      </w:r>
      <w:r w:rsidR="00A9256B" w:rsidRPr="00F37AB2">
        <w:rPr>
          <w:bCs/>
        </w:rPr>
        <w:t>to be repealed</w:t>
      </w:r>
      <w:r w:rsidR="000E7E04" w:rsidRPr="00F37AB2">
        <w:rPr>
          <w:bCs/>
        </w:rPr>
        <w:t>.</w:t>
      </w:r>
    </w:p>
    <w:p w:rsidR="00F37AB2" w:rsidRPr="00F37AB2" w:rsidRDefault="00F37AB2" w:rsidP="00F37AB2">
      <w:pPr>
        <w:rPr>
          <w:bCs/>
        </w:rPr>
      </w:pPr>
    </w:p>
    <w:p w:rsidR="00A9256B" w:rsidRDefault="00A9256B" w:rsidP="00F37AB2">
      <w:pPr>
        <w:keepNext/>
        <w:keepLines/>
        <w:rPr>
          <w:b/>
          <w:bCs/>
        </w:rPr>
      </w:pPr>
      <w:r w:rsidRPr="00F37AB2">
        <w:rPr>
          <w:b/>
          <w:bCs/>
        </w:rPr>
        <w:t>Item 6: Sections 44 to 47</w:t>
      </w:r>
    </w:p>
    <w:p w:rsidR="00F37AB2" w:rsidRPr="00F37AB2" w:rsidRDefault="00F37AB2" w:rsidP="00F37AB2">
      <w:pPr>
        <w:keepNext/>
        <w:keepLines/>
        <w:rPr>
          <w:b/>
          <w:bCs/>
        </w:rPr>
      </w:pPr>
    </w:p>
    <w:p w:rsidR="00A9256B" w:rsidRDefault="0030392F" w:rsidP="00F37AB2">
      <w:pPr>
        <w:rPr>
          <w:bCs/>
        </w:rPr>
      </w:pPr>
      <w:r w:rsidRPr="00F37AB2">
        <w:rPr>
          <w:bCs/>
        </w:rPr>
        <w:t>I</w:t>
      </w:r>
      <w:r w:rsidR="00A9256B" w:rsidRPr="00F37AB2">
        <w:rPr>
          <w:bCs/>
        </w:rPr>
        <w:t xml:space="preserve">tem </w:t>
      </w:r>
      <w:r w:rsidRPr="00F37AB2">
        <w:rPr>
          <w:bCs/>
        </w:rPr>
        <w:t xml:space="preserve">6 </w:t>
      </w:r>
      <w:r w:rsidR="00A9256B" w:rsidRPr="00F37AB2">
        <w:rPr>
          <w:bCs/>
        </w:rPr>
        <w:t>will repeal sections 44</w:t>
      </w:r>
      <w:r w:rsidR="00D6642C" w:rsidRPr="00F37AB2">
        <w:rPr>
          <w:bCs/>
        </w:rPr>
        <w:t>,</w:t>
      </w:r>
      <w:r w:rsidR="00A9256B" w:rsidRPr="00F37AB2">
        <w:rPr>
          <w:bCs/>
        </w:rPr>
        <w:t xml:space="preserve"> 45 </w:t>
      </w:r>
      <w:r w:rsidR="00D6642C" w:rsidRPr="00F37AB2">
        <w:rPr>
          <w:bCs/>
        </w:rPr>
        <w:t xml:space="preserve">and 47 </w:t>
      </w:r>
      <w:r w:rsidR="00A9256B" w:rsidRPr="00F37AB2">
        <w:rPr>
          <w:bCs/>
        </w:rPr>
        <w:t xml:space="preserve">which provide for the </w:t>
      </w:r>
      <w:r w:rsidR="00AD3B32" w:rsidRPr="00F37AB2">
        <w:rPr>
          <w:bCs/>
        </w:rPr>
        <w:t>LAWP</w:t>
      </w:r>
      <w:r w:rsidR="00D6642C" w:rsidRPr="00F37AB2">
        <w:rPr>
          <w:bCs/>
        </w:rPr>
        <w:t xml:space="preserve"> and </w:t>
      </w:r>
      <w:r w:rsidR="008E4274" w:rsidRPr="00F37AB2">
        <w:rPr>
          <w:bCs/>
        </w:rPr>
        <w:t>the effect of being subject to more than one waiting period</w:t>
      </w:r>
      <w:r w:rsidR="00A9256B" w:rsidRPr="00F37AB2">
        <w:rPr>
          <w:bCs/>
        </w:rPr>
        <w:t xml:space="preserve">. </w:t>
      </w:r>
      <w:r w:rsidR="00D6642C" w:rsidRPr="00F37AB2">
        <w:rPr>
          <w:bCs/>
        </w:rPr>
        <w:t>As FHA recipients will only be subject to a newly arrived person’s waiting period (if relevant)</w:t>
      </w:r>
      <w:r w:rsidR="00AD3B32" w:rsidRPr="00F37AB2">
        <w:rPr>
          <w:bCs/>
        </w:rPr>
        <w:t>,</w:t>
      </w:r>
      <w:r w:rsidR="00D6642C" w:rsidRPr="00F37AB2">
        <w:rPr>
          <w:bCs/>
        </w:rPr>
        <w:t xml:space="preserve"> section 47 will be redundant. </w:t>
      </w:r>
      <w:r w:rsidR="008E4274" w:rsidRPr="00F37AB2">
        <w:rPr>
          <w:bCs/>
        </w:rPr>
        <w:t>Section 46 which provides for</w:t>
      </w:r>
      <w:r w:rsidR="0089558B" w:rsidRPr="00F37AB2">
        <w:rPr>
          <w:bCs/>
        </w:rPr>
        <w:t xml:space="preserve"> the</w:t>
      </w:r>
      <w:r w:rsidR="008E4274" w:rsidRPr="00F37AB2">
        <w:rPr>
          <w:bCs/>
        </w:rPr>
        <w:t xml:space="preserve"> Secretary’s discretion to waive all or part of a person’s </w:t>
      </w:r>
      <w:r w:rsidR="003B2FDB" w:rsidRPr="00F37AB2">
        <w:rPr>
          <w:bCs/>
        </w:rPr>
        <w:t xml:space="preserve">OWP or </w:t>
      </w:r>
      <w:r w:rsidR="00AD3B32" w:rsidRPr="00F37AB2">
        <w:rPr>
          <w:bCs/>
        </w:rPr>
        <w:t>LAWP</w:t>
      </w:r>
      <w:r w:rsidR="008E4274" w:rsidRPr="00F37AB2">
        <w:rPr>
          <w:bCs/>
        </w:rPr>
        <w:t xml:space="preserve"> will also be repealed as </w:t>
      </w:r>
      <w:r w:rsidR="00D86341" w:rsidRPr="00F37AB2">
        <w:rPr>
          <w:bCs/>
        </w:rPr>
        <w:t xml:space="preserve">its </w:t>
      </w:r>
      <w:r w:rsidR="008E4274" w:rsidRPr="00F37AB2">
        <w:rPr>
          <w:bCs/>
        </w:rPr>
        <w:t xml:space="preserve">application will be redundant due to the repeal of the </w:t>
      </w:r>
      <w:r w:rsidR="003B2FDB" w:rsidRPr="00F37AB2">
        <w:rPr>
          <w:bCs/>
        </w:rPr>
        <w:t xml:space="preserve">OWP and </w:t>
      </w:r>
      <w:r w:rsidR="00AD3B32" w:rsidRPr="00F37AB2">
        <w:rPr>
          <w:bCs/>
        </w:rPr>
        <w:t>LAWP</w:t>
      </w:r>
      <w:r w:rsidR="008E4274" w:rsidRPr="00F37AB2">
        <w:rPr>
          <w:bCs/>
        </w:rPr>
        <w:t>.</w:t>
      </w:r>
      <w:r w:rsidR="00A9256B" w:rsidRPr="00F37AB2">
        <w:rPr>
          <w:bCs/>
        </w:rPr>
        <w:t xml:space="preserve"> </w:t>
      </w:r>
    </w:p>
    <w:p w:rsidR="00F37AB2" w:rsidRPr="00F37AB2" w:rsidRDefault="00F37AB2" w:rsidP="00F37AB2">
      <w:pPr>
        <w:rPr>
          <w:bCs/>
        </w:rPr>
      </w:pPr>
    </w:p>
    <w:p w:rsidR="00D6642C" w:rsidRDefault="00D6642C" w:rsidP="00F37AB2">
      <w:pPr>
        <w:keepNext/>
        <w:keepLines/>
        <w:rPr>
          <w:b/>
          <w:bCs/>
        </w:rPr>
      </w:pPr>
      <w:r w:rsidRPr="00F37AB2">
        <w:rPr>
          <w:b/>
          <w:bCs/>
        </w:rPr>
        <w:t>Item 7: Subsection 93(1) (table items 14, 23, 24 and 25)</w:t>
      </w:r>
    </w:p>
    <w:p w:rsidR="00F37AB2" w:rsidRPr="00F37AB2" w:rsidRDefault="00F37AB2" w:rsidP="00F37AB2">
      <w:pPr>
        <w:keepNext/>
        <w:keepLines/>
        <w:rPr>
          <w:b/>
          <w:bCs/>
        </w:rPr>
      </w:pPr>
    </w:p>
    <w:p w:rsidR="00D6642C" w:rsidRDefault="0030392F" w:rsidP="00F37AB2">
      <w:pPr>
        <w:rPr>
          <w:bCs/>
        </w:rPr>
      </w:pPr>
      <w:r w:rsidRPr="00F37AB2">
        <w:rPr>
          <w:bCs/>
        </w:rPr>
        <w:t>I</w:t>
      </w:r>
      <w:r w:rsidR="00D6642C" w:rsidRPr="00F37AB2">
        <w:rPr>
          <w:bCs/>
        </w:rPr>
        <w:t xml:space="preserve">tem </w:t>
      </w:r>
      <w:r w:rsidR="00BC0756" w:rsidRPr="00F37AB2">
        <w:rPr>
          <w:bCs/>
        </w:rPr>
        <w:t xml:space="preserve">7 </w:t>
      </w:r>
      <w:r w:rsidR="00D6642C" w:rsidRPr="00F37AB2">
        <w:rPr>
          <w:bCs/>
        </w:rPr>
        <w:t>will delete certain items from a table that modif</w:t>
      </w:r>
      <w:r w:rsidR="0042275D" w:rsidRPr="00F37AB2">
        <w:rPr>
          <w:bCs/>
        </w:rPr>
        <w:t>y</w:t>
      </w:r>
      <w:r w:rsidR="00D6642C" w:rsidRPr="00F37AB2">
        <w:rPr>
          <w:bCs/>
        </w:rPr>
        <w:t xml:space="preserve"> the operation of the Social Security Act </w:t>
      </w:r>
      <w:r w:rsidR="008F0220" w:rsidRPr="00F37AB2">
        <w:rPr>
          <w:bCs/>
        </w:rPr>
        <w:t>with respect to OWP and LAWP</w:t>
      </w:r>
      <w:r w:rsidR="00336112" w:rsidRPr="00F37AB2">
        <w:rPr>
          <w:bCs/>
        </w:rPr>
        <w:t xml:space="preserve"> as they affect FHA recipients. The </w:t>
      </w:r>
      <w:r w:rsidR="0042275D" w:rsidRPr="00F37AB2">
        <w:rPr>
          <w:bCs/>
        </w:rPr>
        <w:t>currently modified provisions will no longer be relevant as FHA recipients will not be required to serve OWP or LAWP</w:t>
      </w:r>
      <w:r w:rsidR="00BC0756" w:rsidRPr="00F37AB2">
        <w:rPr>
          <w:bCs/>
        </w:rPr>
        <w:t>.</w:t>
      </w:r>
      <w:r w:rsidR="00D6642C" w:rsidRPr="00F37AB2">
        <w:rPr>
          <w:bCs/>
        </w:rPr>
        <w:t xml:space="preserve"> </w:t>
      </w:r>
    </w:p>
    <w:p w:rsidR="00F37AB2" w:rsidRPr="00F37AB2" w:rsidRDefault="00F37AB2" w:rsidP="00F37AB2">
      <w:pPr>
        <w:rPr>
          <w:bCs/>
        </w:rPr>
      </w:pPr>
    </w:p>
    <w:p w:rsidR="0042275D" w:rsidRDefault="0042275D" w:rsidP="00F37AB2">
      <w:pPr>
        <w:keepNext/>
        <w:keepLines/>
        <w:rPr>
          <w:b/>
          <w:bCs/>
        </w:rPr>
      </w:pPr>
      <w:r w:rsidRPr="00F37AB2">
        <w:rPr>
          <w:b/>
          <w:bCs/>
        </w:rPr>
        <w:t>Item 8: Application provision</w:t>
      </w:r>
    </w:p>
    <w:p w:rsidR="00F37AB2" w:rsidRPr="00F37AB2" w:rsidRDefault="00F37AB2" w:rsidP="00F37AB2">
      <w:pPr>
        <w:keepNext/>
        <w:keepLines/>
        <w:rPr>
          <w:b/>
          <w:bCs/>
        </w:rPr>
      </w:pPr>
    </w:p>
    <w:p w:rsidR="00CD7605" w:rsidRPr="00F37AB2" w:rsidRDefault="00CA3804" w:rsidP="00F37AB2">
      <w:pPr>
        <w:rPr>
          <w:bCs/>
        </w:rPr>
      </w:pPr>
      <w:r w:rsidRPr="00F37AB2">
        <w:rPr>
          <w:bCs/>
        </w:rPr>
        <w:t xml:space="preserve">The effect of </w:t>
      </w:r>
      <w:r w:rsidR="00BC0756" w:rsidRPr="00F37AB2">
        <w:rPr>
          <w:bCs/>
        </w:rPr>
        <w:t>I</w:t>
      </w:r>
      <w:r w:rsidR="0042275D" w:rsidRPr="00F37AB2">
        <w:rPr>
          <w:bCs/>
        </w:rPr>
        <w:t>tem</w:t>
      </w:r>
      <w:r w:rsidR="00BC0756" w:rsidRPr="00F37AB2">
        <w:rPr>
          <w:bCs/>
        </w:rPr>
        <w:t xml:space="preserve"> 8</w:t>
      </w:r>
      <w:r w:rsidR="0042275D" w:rsidRPr="00F37AB2">
        <w:rPr>
          <w:bCs/>
        </w:rPr>
        <w:t xml:space="preserve"> </w:t>
      </w:r>
      <w:r w:rsidRPr="00F37AB2">
        <w:rPr>
          <w:bCs/>
        </w:rPr>
        <w:t>is</w:t>
      </w:r>
      <w:r w:rsidR="0042275D" w:rsidRPr="00F37AB2">
        <w:rPr>
          <w:bCs/>
        </w:rPr>
        <w:t xml:space="preserve"> that the repeal of the OWP and LAWP will apply to FHA applicants who </w:t>
      </w:r>
      <w:r w:rsidRPr="00F37AB2">
        <w:rPr>
          <w:bCs/>
        </w:rPr>
        <w:t xml:space="preserve">make </w:t>
      </w:r>
      <w:r w:rsidR="0042275D" w:rsidRPr="00F37AB2">
        <w:rPr>
          <w:bCs/>
        </w:rPr>
        <w:t xml:space="preserve">their claim on or after the commencement of the item; that is, on or after the later of 1 April 2017 or the day after the Act receives Royal Assent. The repeal will also apply to those who </w:t>
      </w:r>
      <w:r w:rsidRPr="00F37AB2">
        <w:rPr>
          <w:bCs/>
        </w:rPr>
        <w:t xml:space="preserve">made </w:t>
      </w:r>
      <w:r w:rsidR="0042275D" w:rsidRPr="00F37AB2">
        <w:rPr>
          <w:bCs/>
        </w:rPr>
        <w:t>a claim for FHA before the date of commencement of the item, but whose claim had not been determined as at that date.</w:t>
      </w:r>
    </w:p>
    <w:p w:rsidR="00923771" w:rsidRPr="00F37AB2" w:rsidRDefault="00923771" w:rsidP="00F37AB2">
      <w:pPr>
        <w:rPr>
          <w:bCs/>
        </w:rPr>
      </w:pPr>
      <w:r w:rsidRPr="00F37AB2">
        <w:rPr>
          <w:bCs/>
        </w:rPr>
        <w:br w:type="page"/>
      </w:r>
    </w:p>
    <w:p w:rsidR="0042275D" w:rsidRPr="00F37AB2" w:rsidRDefault="0042275D" w:rsidP="00F37AB2">
      <w:pPr>
        <w:rPr>
          <w:bCs/>
        </w:rPr>
      </w:pPr>
    </w:p>
    <w:p w:rsidR="0042275D" w:rsidRDefault="0042275D" w:rsidP="00F37AB2">
      <w:pPr>
        <w:rPr>
          <w:b/>
          <w:bCs/>
        </w:rPr>
      </w:pPr>
      <w:r w:rsidRPr="00F37AB2">
        <w:rPr>
          <w:b/>
          <w:bCs/>
        </w:rPr>
        <w:t xml:space="preserve">Schedule 2—Farm assets </w:t>
      </w:r>
    </w:p>
    <w:p w:rsidR="00F37AB2" w:rsidRPr="00F37AB2" w:rsidRDefault="00F37AB2" w:rsidP="00F37AB2">
      <w:pPr>
        <w:rPr>
          <w:b/>
          <w:bCs/>
        </w:rPr>
      </w:pPr>
    </w:p>
    <w:p w:rsidR="00033622" w:rsidRDefault="00033622" w:rsidP="00F37AB2">
      <w:pPr>
        <w:pStyle w:val="ActHead9"/>
        <w:spacing w:before="0"/>
        <w:rPr>
          <w:sz w:val="24"/>
          <w:szCs w:val="24"/>
        </w:rPr>
      </w:pPr>
      <w:bookmarkStart w:id="2" w:name="_Toc470099105"/>
      <w:r w:rsidRPr="00F37AB2">
        <w:rPr>
          <w:sz w:val="24"/>
          <w:szCs w:val="24"/>
        </w:rPr>
        <w:t>Farm Household Support Act 2014</w:t>
      </w:r>
      <w:bookmarkEnd w:id="2"/>
    </w:p>
    <w:p w:rsidR="00F37AB2" w:rsidRPr="00F37AB2" w:rsidRDefault="00F37AB2" w:rsidP="00F37AB2"/>
    <w:p w:rsidR="0042275D" w:rsidRDefault="0042275D" w:rsidP="00F37AB2">
      <w:pPr>
        <w:rPr>
          <w:bCs/>
        </w:rPr>
      </w:pPr>
      <w:r w:rsidRPr="00F37AB2">
        <w:rPr>
          <w:bCs/>
        </w:rPr>
        <w:t xml:space="preserve">The Schedule </w:t>
      </w:r>
      <w:r w:rsidR="00D33826" w:rsidRPr="00F37AB2">
        <w:rPr>
          <w:bCs/>
        </w:rPr>
        <w:t xml:space="preserve">will </w:t>
      </w:r>
      <w:r w:rsidRPr="00F37AB2">
        <w:rPr>
          <w:bCs/>
        </w:rPr>
        <w:t>amend the FHS Act as follows.</w:t>
      </w:r>
    </w:p>
    <w:p w:rsidR="00F37AB2" w:rsidRPr="00F37AB2" w:rsidRDefault="00F37AB2" w:rsidP="00F37AB2">
      <w:pPr>
        <w:rPr>
          <w:bCs/>
        </w:rPr>
      </w:pPr>
    </w:p>
    <w:p w:rsidR="0029692D" w:rsidRDefault="0029692D" w:rsidP="00F37AB2">
      <w:pPr>
        <w:rPr>
          <w:b/>
          <w:bCs/>
        </w:rPr>
      </w:pPr>
      <w:r w:rsidRPr="00F37AB2">
        <w:rPr>
          <w:b/>
          <w:bCs/>
        </w:rPr>
        <w:t xml:space="preserve">Item 1: Subsection 5(1) (definition of </w:t>
      </w:r>
      <w:r w:rsidRPr="00F37AB2">
        <w:rPr>
          <w:b/>
          <w:bCs/>
          <w:i/>
        </w:rPr>
        <w:t>farm asset</w:t>
      </w:r>
      <w:r w:rsidRPr="00F37AB2">
        <w:rPr>
          <w:b/>
          <w:bCs/>
        </w:rPr>
        <w:t>)</w:t>
      </w:r>
    </w:p>
    <w:p w:rsidR="00F37AB2" w:rsidRPr="00F37AB2" w:rsidRDefault="00F37AB2" w:rsidP="00F37AB2">
      <w:pPr>
        <w:rPr>
          <w:b/>
          <w:bCs/>
        </w:rPr>
      </w:pPr>
    </w:p>
    <w:p w:rsidR="000F65E9" w:rsidRDefault="00BC0756" w:rsidP="00F37AB2">
      <w:pPr>
        <w:rPr>
          <w:bCs/>
        </w:rPr>
      </w:pPr>
      <w:r w:rsidRPr="00F37AB2">
        <w:rPr>
          <w:bCs/>
        </w:rPr>
        <w:t>I</w:t>
      </w:r>
      <w:r w:rsidR="0029692D" w:rsidRPr="00F37AB2">
        <w:rPr>
          <w:bCs/>
        </w:rPr>
        <w:t xml:space="preserve">tem </w:t>
      </w:r>
      <w:r w:rsidRPr="00F37AB2">
        <w:rPr>
          <w:bCs/>
        </w:rPr>
        <w:t xml:space="preserve">1 </w:t>
      </w:r>
      <w:r w:rsidR="0029692D" w:rsidRPr="00F37AB2">
        <w:rPr>
          <w:bCs/>
        </w:rPr>
        <w:t xml:space="preserve">will amend the definition of </w:t>
      </w:r>
      <w:r w:rsidR="0029692D" w:rsidRPr="00F37AB2">
        <w:rPr>
          <w:bCs/>
          <w:i/>
        </w:rPr>
        <w:t>farm asset</w:t>
      </w:r>
      <w:r w:rsidR="0029692D" w:rsidRPr="00F37AB2">
        <w:rPr>
          <w:bCs/>
        </w:rPr>
        <w:t xml:space="preserve"> to refer to both subsections 35(1) and 35(2) of the FHS Act</w:t>
      </w:r>
      <w:r w:rsidR="000F65E9" w:rsidRPr="00F37AB2">
        <w:rPr>
          <w:bCs/>
        </w:rPr>
        <w:t>.</w:t>
      </w:r>
    </w:p>
    <w:p w:rsidR="00F37AB2" w:rsidRPr="00F37AB2" w:rsidRDefault="00F37AB2" w:rsidP="00F37AB2">
      <w:pPr>
        <w:rPr>
          <w:bCs/>
        </w:rPr>
      </w:pPr>
    </w:p>
    <w:p w:rsidR="00A46C43" w:rsidRDefault="00A46C43" w:rsidP="00F37AB2">
      <w:pPr>
        <w:rPr>
          <w:b/>
          <w:bCs/>
        </w:rPr>
      </w:pPr>
      <w:r w:rsidRPr="00F37AB2">
        <w:rPr>
          <w:b/>
          <w:bCs/>
        </w:rPr>
        <w:t xml:space="preserve">Item 2: Subsection 5(1) </w:t>
      </w:r>
    </w:p>
    <w:p w:rsidR="00F37AB2" w:rsidRPr="00F37AB2" w:rsidRDefault="00F37AB2" w:rsidP="00F37AB2">
      <w:pPr>
        <w:rPr>
          <w:b/>
          <w:bCs/>
        </w:rPr>
      </w:pPr>
    </w:p>
    <w:p w:rsidR="00FB5128" w:rsidRDefault="00BC0756" w:rsidP="00F37AB2">
      <w:pPr>
        <w:rPr>
          <w:bCs/>
        </w:rPr>
      </w:pPr>
      <w:r w:rsidRPr="00F37AB2">
        <w:rPr>
          <w:bCs/>
        </w:rPr>
        <w:t>I</w:t>
      </w:r>
      <w:r w:rsidR="00A46C43" w:rsidRPr="00F37AB2">
        <w:rPr>
          <w:bCs/>
        </w:rPr>
        <w:t>tem</w:t>
      </w:r>
      <w:r w:rsidRPr="00F37AB2">
        <w:rPr>
          <w:bCs/>
        </w:rPr>
        <w:t xml:space="preserve"> 2</w:t>
      </w:r>
      <w:r w:rsidR="00A46C43" w:rsidRPr="00F37AB2">
        <w:rPr>
          <w:bCs/>
        </w:rPr>
        <w:t xml:space="preserve"> will introduce definitions of new terms relating to water assets. </w:t>
      </w:r>
    </w:p>
    <w:p w:rsidR="00F37AB2" w:rsidRPr="00F37AB2" w:rsidRDefault="00F37AB2" w:rsidP="00F37AB2">
      <w:pPr>
        <w:rPr>
          <w:bCs/>
        </w:rPr>
      </w:pPr>
    </w:p>
    <w:p w:rsidR="00A46C43" w:rsidRDefault="00A46C43" w:rsidP="00F37AB2">
      <w:pPr>
        <w:rPr>
          <w:b/>
          <w:bCs/>
        </w:rPr>
      </w:pPr>
      <w:r w:rsidRPr="00F37AB2">
        <w:rPr>
          <w:b/>
          <w:bCs/>
        </w:rPr>
        <w:t>Item 3: Subsections 35(1) and (2)</w:t>
      </w:r>
    </w:p>
    <w:p w:rsidR="00F37AB2" w:rsidRPr="00F37AB2" w:rsidRDefault="00F37AB2" w:rsidP="00F37AB2">
      <w:pPr>
        <w:rPr>
          <w:b/>
          <w:bCs/>
        </w:rPr>
      </w:pPr>
    </w:p>
    <w:p w:rsidR="00F37AB2" w:rsidRDefault="00BC0756" w:rsidP="00F37AB2">
      <w:pPr>
        <w:rPr>
          <w:bCs/>
        </w:rPr>
      </w:pPr>
      <w:r w:rsidRPr="00F37AB2">
        <w:rPr>
          <w:bCs/>
        </w:rPr>
        <w:t>Item 3</w:t>
      </w:r>
      <w:r w:rsidR="00A46C43" w:rsidRPr="00F37AB2">
        <w:rPr>
          <w:bCs/>
        </w:rPr>
        <w:t xml:space="preserve"> will repeal existing subsections 35(1) and (2) of the FHS Act and substitute new subsections 35(1), (2) and (2A).</w:t>
      </w:r>
    </w:p>
    <w:p w:rsidR="00E76F37" w:rsidRPr="00F37AB2" w:rsidRDefault="00A46C43" w:rsidP="00F37AB2">
      <w:pPr>
        <w:rPr>
          <w:bCs/>
        </w:rPr>
      </w:pPr>
      <w:r w:rsidRPr="00F37AB2">
        <w:rPr>
          <w:bCs/>
        </w:rPr>
        <w:t xml:space="preserve"> </w:t>
      </w:r>
    </w:p>
    <w:p w:rsidR="00687DC7" w:rsidRDefault="00E76F37" w:rsidP="00F37AB2">
      <w:pPr>
        <w:rPr>
          <w:bCs/>
        </w:rPr>
      </w:pPr>
      <w:r w:rsidRPr="00F37AB2">
        <w:rPr>
          <w:bCs/>
        </w:rPr>
        <w:t>The existing definition of farm assets in section 35</w:t>
      </w:r>
      <w:r w:rsidR="00687DC7" w:rsidRPr="00F37AB2">
        <w:rPr>
          <w:bCs/>
        </w:rPr>
        <w:t xml:space="preserve"> </w:t>
      </w:r>
      <w:r w:rsidRPr="00F37AB2">
        <w:rPr>
          <w:bCs/>
        </w:rPr>
        <w:t xml:space="preserve">of the FHS Act is framed in restrictive terms; that is, </w:t>
      </w:r>
      <w:r w:rsidR="00687DC7" w:rsidRPr="00F37AB2">
        <w:rPr>
          <w:bCs/>
        </w:rPr>
        <w:t xml:space="preserve">an asset is a farm asset only if it falls within one of the categories specified in subsection 35(1). An asset which does not fall within those categories must be assessed </w:t>
      </w:r>
      <w:r w:rsidR="00124BD9" w:rsidRPr="00F37AB2">
        <w:rPr>
          <w:bCs/>
        </w:rPr>
        <w:t>under the more stringent tier one</w:t>
      </w:r>
      <w:r w:rsidR="00687DC7" w:rsidRPr="00F37AB2">
        <w:rPr>
          <w:bCs/>
        </w:rPr>
        <w:t xml:space="preserve"> non-farm asset</w:t>
      </w:r>
      <w:r w:rsidR="00124BD9" w:rsidRPr="00F37AB2">
        <w:rPr>
          <w:bCs/>
        </w:rPr>
        <w:t>s test</w:t>
      </w:r>
      <w:r w:rsidR="00687DC7" w:rsidRPr="00F37AB2">
        <w:rPr>
          <w:bCs/>
        </w:rPr>
        <w:t>, even if it is used wholly or mainly for the purposes of a farm enterprise.</w:t>
      </w:r>
    </w:p>
    <w:p w:rsidR="00F37AB2" w:rsidRPr="00F37AB2" w:rsidRDefault="00F37AB2" w:rsidP="00F37AB2">
      <w:pPr>
        <w:rPr>
          <w:bCs/>
        </w:rPr>
      </w:pPr>
    </w:p>
    <w:p w:rsidR="00687DC7" w:rsidRDefault="002E3C58" w:rsidP="00F37AB2">
      <w:pPr>
        <w:rPr>
          <w:bCs/>
        </w:rPr>
      </w:pPr>
      <w:r w:rsidRPr="00F37AB2">
        <w:rPr>
          <w:bCs/>
        </w:rPr>
        <w:t xml:space="preserve">The effect of new subsection 35(1) will be to broaden the meaning of a farm asset to include any asset which is used </w:t>
      </w:r>
      <w:r w:rsidR="00353CB2" w:rsidRPr="00F37AB2">
        <w:rPr>
          <w:bCs/>
        </w:rPr>
        <w:t xml:space="preserve">or held </w:t>
      </w:r>
      <w:r w:rsidRPr="00F37AB2">
        <w:rPr>
          <w:bCs/>
        </w:rPr>
        <w:t xml:space="preserve">wholly or </w:t>
      </w:r>
      <w:r w:rsidR="000D52BB" w:rsidRPr="00F37AB2">
        <w:rPr>
          <w:bCs/>
        </w:rPr>
        <w:t>mainly</w:t>
      </w:r>
      <w:r w:rsidRPr="00F37AB2">
        <w:rPr>
          <w:bCs/>
        </w:rPr>
        <w:t xml:space="preserve"> for the purpose of a farm enterprise, subject to the exclusion of cash, money on deposit with an authorised deposit-taking institution or a farm management deposit. </w:t>
      </w:r>
    </w:p>
    <w:p w:rsidR="00F37AB2" w:rsidRPr="00F37AB2" w:rsidRDefault="00F37AB2" w:rsidP="00F37AB2">
      <w:pPr>
        <w:rPr>
          <w:bCs/>
        </w:rPr>
      </w:pPr>
    </w:p>
    <w:p w:rsidR="00A46C43" w:rsidRDefault="00687DC7" w:rsidP="00F37AB2">
      <w:pPr>
        <w:rPr>
          <w:bCs/>
        </w:rPr>
      </w:pPr>
      <w:r w:rsidRPr="00F37AB2">
        <w:rPr>
          <w:bCs/>
        </w:rPr>
        <w:t xml:space="preserve">The effect of the new definition will most commonly be the same </w:t>
      </w:r>
      <w:r w:rsidR="00124BD9" w:rsidRPr="00F37AB2">
        <w:rPr>
          <w:bCs/>
        </w:rPr>
        <w:t>as the existing definition. However,</w:t>
      </w:r>
      <w:r w:rsidRPr="00F37AB2">
        <w:rPr>
          <w:bCs/>
        </w:rPr>
        <w:t xml:space="preserve"> </w:t>
      </w:r>
      <w:r w:rsidR="00124BD9" w:rsidRPr="00F37AB2">
        <w:rPr>
          <w:bCs/>
        </w:rPr>
        <w:t xml:space="preserve">at </w:t>
      </w:r>
      <w:r w:rsidRPr="00F37AB2">
        <w:rPr>
          <w:bCs/>
        </w:rPr>
        <w:t>the margin</w:t>
      </w:r>
      <w:r w:rsidR="00124BD9" w:rsidRPr="00F37AB2">
        <w:rPr>
          <w:bCs/>
        </w:rPr>
        <w:t xml:space="preserve">, any asset which can be shown to be used </w:t>
      </w:r>
      <w:r w:rsidR="00353CB2" w:rsidRPr="00F37AB2">
        <w:rPr>
          <w:bCs/>
        </w:rPr>
        <w:t xml:space="preserve">or held </w:t>
      </w:r>
      <w:r w:rsidR="00124BD9" w:rsidRPr="00F37AB2">
        <w:rPr>
          <w:bCs/>
        </w:rPr>
        <w:t>wholly or mainly for the purpose of a farm enterprise will be assessed as a farm asset, unless it falls within one of the classes of asset specifically excluded from the definition.</w:t>
      </w:r>
    </w:p>
    <w:p w:rsidR="00F37AB2" w:rsidRPr="00F37AB2" w:rsidRDefault="00F37AB2" w:rsidP="00F37AB2">
      <w:pPr>
        <w:rPr>
          <w:bCs/>
        </w:rPr>
      </w:pPr>
    </w:p>
    <w:p w:rsidR="000D19F4" w:rsidRPr="00F37AB2" w:rsidRDefault="000D19F4" w:rsidP="00F37AB2">
      <w:pPr>
        <w:rPr>
          <w:bCs/>
        </w:rPr>
      </w:pPr>
      <w:r w:rsidRPr="00F37AB2">
        <w:rPr>
          <w:bCs/>
        </w:rPr>
        <w:t xml:space="preserve">New subsection 35(2) will specify that, without limiting subsection 35(1), certain assets are farm assets. The specified assets are </w:t>
      </w:r>
      <w:r w:rsidR="00185A61" w:rsidRPr="00F37AB2">
        <w:rPr>
          <w:bCs/>
        </w:rPr>
        <w:t xml:space="preserve">generally </w:t>
      </w:r>
      <w:r w:rsidRPr="00F37AB2">
        <w:rPr>
          <w:bCs/>
        </w:rPr>
        <w:t>the same as those currently listed in existing subsection 35(1)</w:t>
      </w:r>
      <w:r w:rsidR="001B2033" w:rsidRPr="00F37AB2">
        <w:rPr>
          <w:bCs/>
        </w:rPr>
        <w:t xml:space="preserve"> except for the </w:t>
      </w:r>
      <w:r w:rsidR="00185A61" w:rsidRPr="00F37AB2">
        <w:rPr>
          <w:bCs/>
        </w:rPr>
        <w:t xml:space="preserve">express </w:t>
      </w:r>
      <w:r w:rsidR="001B2033" w:rsidRPr="00F37AB2">
        <w:rPr>
          <w:bCs/>
        </w:rPr>
        <w:t>addition of water entitlement rights as a newly included class of farm asset</w:t>
      </w:r>
      <w:r w:rsidRPr="00F37AB2">
        <w:rPr>
          <w:bCs/>
        </w:rPr>
        <w:t xml:space="preserve">. </w:t>
      </w:r>
    </w:p>
    <w:p w:rsidR="003058AC" w:rsidRDefault="000F65E9" w:rsidP="00F37AB2">
      <w:pPr>
        <w:rPr>
          <w:bCs/>
        </w:rPr>
      </w:pPr>
      <w:r w:rsidRPr="00F37AB2">
        <w:rPr>
          <w:bCs/>
        </w:rPr>
        <w:t>New paragraph 35(1)(d) provides</w:t>
      </w:r>
      <w:r w:rsidR="001B2033" w:rsidRPr="00F37AB2">
        <w:rPr>
          <w:bCs/>
        </w:rPr>
        <w:t xml:space="preserve"> for the Minister to make a Rule pursuant to section </w:t>
      </w:r>
      <w:r w:rsidRPr="00F37AB2">
        <w:rPr>
          <w:bCs/>
        </w:rPr>
        <w:t>106 of the FHS Act</w:t>
      </w:r>
      <w:r w:rsidR="00353CB2" w:rsidRPr="00F37AB2">
        <w:rPr>
          <w:bCs/>
        </w:rPr>
        <w:t xml:space="preserve"> </w:t>
      </w:r>
      <w:r w:rsidR="001B2033" w:rsidRPr="00F37AB2">
        <w:rPr>
          <w:bCs/>
        </w:rPr>
        <w:t xml:space="preserve">to </w:t>
      </w:r>
      <w:r w:rsidRPr="00F37AB2">
        <w:rPr>
          <w:bCs/>
        </w:rPr>
        <w:t xml:space="preserve">prescribe </w:t>
      </w:r>
      <w:r w:rsidR="001B2033" w:rsidRPr="00F37AB2">
        <w:rPr>
          <w:bCs/>
        </w:rPr>
        <w:t xml:space="preserve">other </w:t>
      </w:r>
      <w:r w:rsidRPr="00F37AB2">
        <w:rPr>
          <w:bCs/>
        </w:rPr>
        <w:t xml:space="preserve">kinds of </w:t>
      </w:r>
      <w:r w:rsidR="001B2033" w:rsidRPr="00F37AB2">
        <w:rPr>
          <w:bCs/>
        </w:rPr>
        <w:t xml:space="preserve">asset which will be excluded from the meaning of farm asset. </w:t>
      </w:r>
    </w:p>
    <w:p w:rsidR="00F37AB2" w:rsidRPr="00F37AB2" w:rsidRDefault="00F37AB2" w:rsidP="00F37AB2">
      <w:pPr>
        <w:rPr>
          <w:bCs/>
        </w:rPr>
      </w:pPr>
    </w:p>
    <w:p w:rsidR="001B2033" w:rsidRDefault="001B2033" w:rsidP="00F37AB2">
      <w:pPr>
        <w:rPr>
          <w:bCs/>
        </w:rPr>
      </w:pPr>
      <w:r w:rsidRPr="00F37AB2">
        <w:rPr>
          <w:bCs/>
        </w:rPr>
        <w:t>By the operation of new subsection 35(2), there would not be s</w:t>
      </w:r>
      <w:r w:rsidR="00D81DF1" w:rsidRPr="00F37AB2">
        <w:rPr>
          <w:bCs/>
        </w:rPr>
        <w:t>c</w:t>
      </w:r>
      <w:r w:rsidRPr="00F37AB2">
        <w:rPr>
          <w:bCs/>
        </w:rPr>
        <w:t>ope for the Minister to make a Rule which removed any asset currently captured by the definition of a farm asset from the new meaning of a farm asset.</w:t>
      </w:r>
    </w:p>
    <w:p w:rsidR="00F37AB2" w:rsidRPr="00F37AB2" w:rsidRDefault="00F37AB2" w:rsidP="00F37AB2">
      <w:pPr>
        <w:rPr>
          <w:bCs/>
        </w:rPr>
      </w:pPr>
    </w:p>
    <w:p w:rsidR="003058AC" w:rsidRDefault="003058AC" w:rsidP="00F37AB2">
      <w:pPr>
        <w:rPr>
          <w:bCs/>
        </w:rPr>
      </w:pPr>
      <w:r w:rsidRPr="00F37AB2">
        <w:rPr>
          <w:bCs/>
        </w:rPr>
        <w:t>The intent of the provision is to enable the Minister to exclude from the definition of a farm asset certain kinds of asset which, while arguably used or held for the purposes of a farm enterprise, do not conform with the policy intent of the definition.  For example, if an asset with characteristics similar to cash were developed, it would be open to the Minister to make a Rule to exclude it from the definition of a farm asset.</w:t>
      </w:r>
    </w:p>
    <w:p w:rsidR="00F37AB2" w:rsidRPr="00F37AB2" w:rsidRDefault="00F37AB2" w:rsidP="00F37AB2">
      <w:pPr>
        <w:rPr>
          <w:bCs/>
        </w:rPr>
      </w:pPr>
    </w:p>
    <w:p w:rsidR="00A46C43" w:rsidRPr="00F37AB2" w:rsidRDefault="00BC0756" w:rsidP="00F37AB2">
      <w:pPr>
        <w:rPr>
          <w:bCs/>
        </w:rPr>
      </w:pPr>
      <w:r w:rsidRPr="00F37AB2">
        <w:rPr>
          <w:bCs/>
        </w:rPr>
        <w:t>The n</w:t>
      </w:r>
      <w:r w:rsidR="000D19F4" w:rsidRPr="00F37AB2">
        <w:rPr>
          <w:bCs/>
        </w:rPr>
        <w:t xml:space="preserve">ew subsection 35(2A) </w:t>
      </w:r>
      <w:r w:rsidRPr="00F37AB2">
        <w:rPr>
          <w:bCs/>
        </w:rPr>
        <w:t xml:space="preserve">uses the same text </w:t>
      </w:r>
      <w:r w:rsidR="000D19F4" w:rsidRPr="00F37AB2">
        <w:rPr>
          <w:bCs/>
        </w:rPr>
        <w:t>as</w:t>
      </w:r>
      <w:r w:rsidRPr="00F37AB2">
        <w:rPr>
          <w:bCs/>
        </w:rPr>
        <w:t xml:space="preserve"> the</w:t>
      </w:r>
      <w:r w:rsidR="000D19F4" w:rsidRPr="00F37AB2">
        <w:rPr>
          <w:bCs/>
        </w:rPr>
        <w:t xml:space="preserve"> existing subsection 35(2).</w:t>
      </w:r>
    </w:p>
    <w:p w:rsidR="000D52BB" w:rsidRDefault="000D52BB" w:rsidP="00F37AB2">
      <w:pPr>
        <w:rPr>
          <w:bCs/>
        </w:rPr>
      </w:pPr>
      <w:r w:rsidRPr="00F37AB2">
        <w:rPr>
          <w:bCs/>
        </w:rPr>
        <w:t>The effect of the change</w:t>
      </w:r>
      <w:r w:rsidR="00D7456F" w:rsidRPr="00F37AB2">
        <w:rPr>
          <w:bCs/>
        </w:rPr>
        <w:t>s</w:t>
      </w:r>
      <w:r w:rsidRPr="00F37AB2">
        <w:rPr>
          <w:bCs/>
        </w:rPr>
        <w:t xml:space="preserve"> will be that certain assets which are used </w:t>
      </w:r>
      <w:r w:rsidR="00353CB2" w:rsidRPr="00F37AB2">
        <w:rPr>
          <w:bCs/>
        </w:rPr>
        <w:t xml:space="preserve">or held </w:t>
      </w:r>
      <w:r w:rsidRPr="00F37AB2">
        <w:rPr>
          <w:bCs/>
        </w:rPr>
        <w:t>wholly or mainly for the purpose of a farm enterprise</w:t>
      </w:r>
      <w:r w:rsidR="001B2033" w:rsidRPr="00F37AB2">
        <w:rPr>
          <w:bCs/>
        </w:rPr>
        <w:t xml:space="preserve"> </w:t>
      </w:r>
      <w:r w:rsidRPr="00F37AB2">
        <w:rPr>
          <w:bCs/>
        </w:rPr>
        <w:t xml:space="preserve">but which may not fall within the terms of the existing subsection 35(1) of the FHS Act, will be assessed as farm assets. Water entitlement rights </w:t>
      </w:r>
      <w:r w:rsidR="00185A61" w:rsidRPr="00F37AB2">
        <w:rPr>
          <w:bCs/>
        </w:rPr>
        <w:t xml:space="preserve">that are used or held wholly or mainly for the purposes of the farm enterprise </w:t>
      </w:r>
      <w:r w:rsidRPr="00F37AB2">
        <w:rPr>
          <w:bCs/>
        </w:rPr>
        <w:t xml:space="preserve">will be explicitly included as farm assets. </w:t>
      </w:r>
    </w:p>
    <w:p w:rsidR="00F37AB2" w:rsidRPr="00F37AB2" w:rsidRDefault="00F37AB2" w:rsidP="00F37AB2">
      <w:pPr>
        <w:rPr>
          <w:bCs/>
        </w:rPr>
      </w:pPr>
    </w:p>
    <w:p w:rsidR="003D2181" w:rsidRDefault="003D2181" w:rsidP="00F37AB2">
      <w:pPr>
        <w:rPr>
          <w:b/>
          <w:bCs/>
        </w:rPr>
      </w:pPr>
      <w:r w:rsidRPr="00F37AB2">
        <w:rPr>
          <w:b/>
          <w:bCs/>
        </w:rPr>
        <w:t>Item 4: After section 35</w:t>
      </w:r>
    </w:p>
    <w:p w:rsidR="00F37AB2" w:rsidRPr="00F37AB2" w:rsidRDefault="00F37AB2" w:rsidP="00F37AB2">
      <w:pPr>
        <w:rPr>
          <w:b/>
          <w:bCs/>
        </w:rPr>
      </w:pPr>
    </w:p>
    <w:p w:rsidR="003D2181" w:rsidRDefault="00BC0756" w:rsidP="00F37AB2">
      <w:pPr>
        <w:rPr>
          <w:bCs/>
        </w:rPr>
      </w:pPr>
      <w:r w:rsidRPr="00F37AB2">
        <w:rPr>
          <w:bCs/>
        </w:rPr>
        <w:t>I</w:t>
      </w:r>
      <w:r w:rsidR="003D2181" w:rsidRPr="00F37AB2">
        <w:rPr>
          <w:bCs/>
        </w:rPr>
        <w:t xml:space="preserve">tem </w:t>
      </w:r>
      <w:r w:rsidRPr="00F37AB2">
        <w:rPr>
          <w:bCs/>
        </w:rPr>
        <w:t xml:space="preserve">4 </w:t>
      </w:r>
      <w:r w:rsidR="003D2181" w:rsidRPr="00F37AB2">
        <w:rPr>
          <w:bCs/>
        </w:rPr>
        <w:t xml:space="preserve">will insert a new section 35A to define the meaning of “water entitlement right”. </w:t>
      </w:r>
    </w:p>
    <w:p w:rsidR="00F37AB2" w:rsidRPr="00F37AB2" w:rsidRDefault="00F37AB2" w:rsidP="00F37AB2">
      <w:pPr>
        <w:rPr>
          <w:bCs/>
        </w:rPr>
      </w:pPr>
    </w:p>
    <w:p w:rsidR="00481683" w:rsidRDefault="00481683" w:rsidP="00F37AB2">
      <w:pPr>
        <w:rPr>
          <w:bCs/>
        </w:rPr>
      </w:pPr>
      <w:r w:rsidRPr="00F37AB2">
        <w:rPr>
          <w:bCs/>
        </w:rPr>
        <w:t xml:space="preserve">The </w:t>
      </w:r>
      <w:r w:rsidR="00185A61" w:rsidRPr="00F37AB2">
        <w:rPr>
          <w:bCs/>
        </w:rPr>
        <w:t xml:space="preserve">definition </w:t>
      </w:r>
      <w:r w:rsidRPr="00F37AB2">
        <w:rPr>
          <w:bCs/>
        </w:rPr>
        <w:t>of “water entitlement right” includes any right conferred by a law of a State or Territory, to hold or take water fr</w:t>
      </w:r>
      <w:r w:rsidR="00206404" w:rsidRPr="00F37AB2">
        <w:rPr>
          <w:bCs/>
        </w:rPr>
        <w:t>o</w:t>
      </w:r>
      <w:r w:rsidRPr="00F37AB2">
        <w:rPr>
          <w:bCs/>
        </w:rPr>
        <w:t>m a water resource, as well as any irrigation right or water delivery right.</w:t>
      </w:r>
      <w:r w:rsidR="00185A61" w:rsidRPr="00F37AB2">
        <w:rPr>
          <w:bCs/>
        </w:rPr>
        <w:t xml:space="preserve"> It also includes contractual rights that a person holds to all or part of one of these rights.</w:t>
      </w:r>
    </w:p>
    <w:p w:rsidR="00F37AB2" w:rsidRPr="00F37AB2" w:rsidRDefault="00F37AB2" w:rsidP="00F37AB2">
      <w:pPr>
        <w:rPr>
          <w:bCs/>
        </w:rPr>
      </w:pPr>
    </w:p>
    <w:p w:rsidR="00481683" w:rsidRDefault="00481683" w:rsidP="00F37AB2">
      <w:pPr>
        <w:rPr>
          <w:bCs/>
        </w:rPr>
      </w:pPr>
      <w:r w:rsidRPr="00F37AB2">
        <w:rPr>
          <w:bCs/>
        </w:rPr>
        <w:t xml:space="preserve">The </w:t>
      </w:r>
      <w:r w:rsidR="00185A61" w:rsidRPr="00F37AB2">
        <w:rPr>
          <w:bCs/>
        </w:rPr>
        <w:t xml:space="preserve">definition </w:t>
      </w:r>
      <w:r w:rsidRPr="00F37AB2">
        <w:rPr>
          <w:bCs/>
        </w:rPr>
        <w:t xml:space="preserve">is intended to </w:t>
      </w:r>
      <w:r w:rsidR="00E5228C" w:rsidRPr="00F37AB2">
        <w:rPr>
          <w:bCs/>
        </w:rPr>
        <w:t xml:space="preserve">encompass any water asset which can be used </w:t>
      </w:r>
      <w:r w:rsidR="00353CB2" w:rsidRPr="00F37AB2">
        <w:rPr>
          <w:bCs/>
        </w:rPr>
        <w:t xml:space="preserve">or held </w:t>
      </w:r>
      <w:r w:rsidR="00E5228C" w:rsidRPr="00F37AB2">
        <w:rPr>
          <w:bCs/>
        </w:rPr>
        <w:t>by a farmer or their partner wholly or mainly for the purpose of them operating a farm enterprise</w:t>
      </w:r>
      <w:r w:rsidRPr="00F37AB2">
        <w:rPr>
          <w:bCs/>
        </w:rPr>
        <w:t>.</w:t>
      </w:r>
    </w:p>
    <w:p w:rsidR="00F37AB2" w:rsidRPr="00F37AB2" w:rsidRDefault="00F37AB2" w:rsidP="00F37AB2">
      <w:pPr>
        <w:rPr>
          <w:bCs/>
        </w:rPr>
      </w:pPr>
    </w:p>
    <w:p w:rsidR="00A73324" w:rsidRPr="00F37AB2" w:rsidRDefault="00A73324" w:rsidP="00F37AB2">
      <w:pPr>
        <w:rPr>
          <w:bCs/>
        </w:rPr>
      </w:pPr>
      <w:r w:rsidRPr="00F37AB2">
        <w:rPr>
          <w:bCs/>
        </w:rPr>
        <w:t xml:space="preserve">New paragraph 35A(1)(d) provides for additional kinds of rights to be included in the definition of a water entitlement right by way of Minister’s rules. This is intended to permit inclusion within the definition of any type of water asset which </w:t>
      </w:r>
      <w:r w:rsidR="00DB24FA" w:rsidRPr="00F37AB2">
        <w:rPr>
          <w:bCs/>
        </w:rPr>
        <w:t>can be used or held by a farmer or their partner wholly or mainly for the purpose of a farm enterprise but which may otherwise not be covered by the existing definition in subsection 35A(1).</w:t>
      </w:r>
    </w:p>
    <w:p w:rsidR="00481683" w:rsidRDefault="00481683" w:rsidP="00F37AB2">
      <w:pPr>
        <w:rPr>
          <w:bCs/>
        </w:rPr>
      </w:pPr>
      <w:r w:rsidRPr="00F37AB2">
        <w:rPr>
          <w:bCs/>
        </w:rPr>
        <w:t xml:space="preserve">While generally the value of water assets is not combined with </w:t>
      </w:r>
      <w:r w:rsidR="00AE4811" w:rsidRPr="00F37AB2">
        <w:rPr>
          <w:bCs/>
        </w:rPr>
        <w:t xml:space="preserve">the value of </w:t>
      </w:r>
      <w:r w:rsidRPr="00F37AB2">
        <w:rPr>
          <w:bCs/>
        </w:rPr>
        <w:t xml:space="preserve">farm land, where the </w:t>
      </w:r>
      <w:r w:rsidR="00AE4811" w:rsidRPr="00F37AB2">
        <w:rPr>
          <w:bCs/>
        </w:rPr>
        <w:t xml:space="preserve">water asset cannot be traded separately from the land the </w:t>
      </w:r>
      <w:r w:rsidRPr="00F37AB2">
        <w:rPr>
          <w:bCs/>
        </w:rPr>
        <w:t xml:space="preserve">value of </w:t>
      </w:r>
      <w:r w:rsidR="00AE4811" w:rsidRPr="00F37AB2">
        <w:rPr>
          <w:bCs/>
        </w:rPr>
        <w:t xml:space="preserve">the </w:t>
      </w:r>
      <w:r w:rsidRPr="00F37AB2">
        <w:rPr>
          <w:bCs/>
        </w:rPr>
        <w:t xml:space="preserve">water </w:t>
      </w:r>
      <w:r w:rsidR="00AE4811" w:rsidRPr="00F37AB2">
        <w:rPr>
          <w:bCs/>
        </w:rPr>
        <w:t xml:space="preserve">asset </w:t>
      </w:r>
      <w:r w:rsidRPr="00F37AB2">
        <w:rPr>
          <w:bCs/>
        </w:rPr>
        <w:t xml:space="preserve">and the farm land are </w:t>
      </w:r>
      <w:r w:rsidR="00AE4811" w:rsidRPr="00F37AB2">
        <w:rPr>
          <w:bCs/>
        </w:rPr>
        <w:t xml:space="preserve">considered to be </w:t>
      </w:r>
      <w:r w:rsidRPr="00F37AB2">
        <w:rPr>
          <w:bCs/>
        </w:rPr>
        <w:t>inseparable</w:t>
      </w:r>
      <w:r w:rsidR="00AE4811" w:rsidRPr="00F37AB2">
        <w:rPr>
          <w:bCs/>
        </w:rPr>
        <w:t xml:space="preserve"> for the purpose of asset test assessments.</w:t>
      </w:r>
      <w:r w:rsidRPr="00F37AB2">
        <w:rPr>
          <w:bCs/>
        </w:rPr>
        <w:t xml:space="preserve"> </w:t>
      </w:r>
      <w:r w:rsidR="00AE4811" w:rsidRPr="00F37AB2">
        <w:rPr>
          <w:bCs/>
        </w:rPr>
        <w:t xml:space="preserve">In those circumstances the </w:t>
      </w:r>
      <w:r w:rsidRPr="00F37AB2">
        <w:rPr>
          <w:bCs/>
        </w:rPr>
        <w:t xml:space="preserve">value of the farm land will </w:t>
      </w:r>
      <w:r w:rsidR="00AE4811" w:rsidRPr="00F37AB2">
        <w:rPr>
          <w:bCs/>
        </w:rPr>
        <w:t xml:space="preserve">be assessed as capturing any additional value provided by the water asset, </w:t>
      </w:r>
      <w:r w:rsidR="00E5228C" w:rsidRPr="00F37AB2">
        <w:rPr>
          <w:bCs/>
        </w:rPr>
        <w:t>and no separate value will be ascribed to the water asset. This will ensure that there</w:t>
      </w:r>
      <w:r w:rsidR="00AE4811" w:rsidRPr="00F37AB2">
        <w:rPr>
          <w:bCs/>
        </w:rPr>
        <w:t xml:space="preserve"> will be no double counting </w:t>
      </w:r>
      <w:r w:rsidRPr="00F37AB2">
        <w:rPr>
          <w:bCs/>
        </w:rPr>
        <w:t>under the farm assets test.</w:t>
      </w:r>
    </w:p>
    <w:p w:rsidR="00F37AB2" w:rsidRPr="00F37AB2" w:rsidRDefault="00F37AB2" w:rsidP="00F37AB2">
      <w:pPr>
        <w:rPr>
          <w:bCs/>
        </w:rPr>
      </w:pPr>
    </w:p>
    <w:p w:rsidR="00F0033B" w:rsidRDefault="00F0033B" w:rsidP="00F37AB2">
      <w:pPr>
        <w:keepNext/>
        <w:keepLines/>
        <w:rPr>
          <w:b/>
          <w:bCs/>
        </w:rPr>
      </w:pPr>
      <w:r w:rsidRPr="00F37AB2">
        <w:rPr>
          <w:b/>
          <w:bCs/>
        </w:rPr>
        <w:t>Item 5: Application provision</w:t>
      </w:r>
    </w:p>
    <w:p w:rsidR="00FF79BB" w:rsidRPr="00F37AB2" w:rsidRDefault="00FF79BB" w:rsidP="00F37AB2">
      <w:pPr>
        <w:keepNext/>
        <w:keepLines/>
        <w:rPr>
          <w:b/>
          <w:bCs/>
        </w:rPr>
      </w:pPr>
    </w:p>
    <w:p w:rsidR="00F0033B" w:rsidRPr="00F37AB2" w:rsidRDefault="00CA3804" w:rsidP="00F37AB2">
      <w:pPr>
        <w:rPr>
          <w:bCs/>
        </w:rPr>
      </w:pPr>
      <w:r w:rsidRPr="00F37AB2">
        <w:rPr>
          <w:bCs/>
        </w:rPr>
        <w:t xml:space="preserve">The effect of </w:t>
      </w:r>
      <w:r w:rsidR="00BC0756" w:rsidRPr="00F37AB2">
        <w:rPr>
          <w:bCs/>
        </w:rPr>
        <w:t>I</w:t>
      </w:r>
      <w:r w:rsidR="00F0033B" w:rsidRPr="00F37AB2">
        <w:rPr>
          <w:bCs/>
        </w:rPr>
        <w:t>tem</w:t>
      </w:r>
      <w:r w:rsidR="00BC0756" w:rsidRPr="00F37AB2">
        <w:rPr>
          <w:bCs/>
        </w:rPr>
        <w:t xml:space="preserve"> 5</w:t>
      </w:r>
      <w:r w:rsidR="00F0033B" w:rsidRPr="00F37AB2">
        <w:rPr>
          <w:bCs/>
        </w:rPr>
        <w:t xml:space="preserve"> </w:t>
      </w:r>
      <w:r w:rsidRPr="00F37AB2">
        <w:rPr>
          <w:bCs/>
        </w:rPr>
        <w:t xml:space="preserve">is </w:t>
      </w:r>
      <w:r w:rsidR="00F0033B" w:rsidRPr="00F37AB2">
        <w:rPr>
          <w:bCs/>
        </w:rPr>
        <w:t xml:space="preserve">that the new definition of farm assets will apply in relation to new claims for FHA made on or after the commencement of </w:t>
      </w:r>
      <w:r w:rsidR="004271C0" w:rsidRPr="00F37AB2">
        <w:rPr>
          <w:bCs/>
        </w:rPr>
        <w:t>Item 5</w:t>
      </w:r>
      <w:r w:rsidR="00F0033B" w:rsidRPr="00F37AB2">
        <w:rPr>
          <w:bCs/>
        </w:rPr>
        <w:t>, being the later of 1 April 2017 or the day after the Act receives Royal Assent.</w:t>
      </w:r>
    </w:p>
    <w:p w:rsidR="00F0033B" w:rsidRPr="00F37AB2" w:rsidRDefault="00F0033B" w:rsidP="00F37AB2">
      <w:pPr>
        <w:rPr>
          <w:bCs/>
        </w:rPr>
      </w:pPr>
      <w:r w:rsidRPr="00F37AB2">
        <w:rPr>
          <w:bCs/>
        </w:rPr>
        <w:t>Those receiving FHA before the commencement of the provision</w:t>
      </w:r>
      <w:r w:rsidR="00E76F30" w:rsidRPr="00F37AB2">
        <w:rPr>
          <w:bCs/>
        </w:rPr>
        <w:t>, or who have applied but in respect of whom no decision has been made at the date of commencement of the provision,</w:t>
      </w:r>
      <w:r w:rsidRPr="00F37AB2">
        <w:rPr>
          <w:bCs/>
        </w:rPr>
        <w:t xml:space="preserve"> will continue </w:t>
      </w:r>
      <w:r w:rsidR="0083083E" w:rsidRPr="00F37AB2">
        <w:rPr>
          <w:bCs/>
        </w:rPr>
        <w:t>to</w:t>
      </w:r>
      <w:r w:rsidRPr="00F37AB2">
        <w:rPr>
          <w:bCs/>
        </w:rPr>
        <w:t xml:space="preserve"> be assessed under the existing </w:t>
      </w:r>
      <w:r w:rsidR="00CA3804" w:rsidRPr="00F37AB2">
        <w:rPr>
          <w:bCs/>
        </w:rPr>
        <w:t xml:space="preserve">definition </w:t>
      </w:r>
      <w:r w:rsidRPr="00F37AB2">
        <w:rPr>
          <w:bCs/>
        </w:rPr>
        <w:t>of farm assets, and the Rule will continue to apply in respect of them.</w:t>
      </w:r>
    </w:p>
    <w:p w:rsidR="00AE4811" w:rsidRPr="00F37AB2" w:rsidRDefault="00AE4811" w:rsidP="00F0033B">
      <w:pPr>
        <w:spacing w:before="240"/>
        <w:rPr>
          <w:bCs/>
        </w:rPr>
      </w:pPr>
    </w:p>
    <w:sectPr w:rsidR="00AE4811" w:rsidRPr="00F37AB2" w:rsidSect="00185A61">
      <w:headerReference w:type="even" r:id="rId14"/>
      <w:headerReference w:type="default" r:id="rId15"/>
      <w:footerReference w:type="default" r:id="rId16"/>
      <w:headerReference w:type="first" r:id="rId17"/>
      <w:footerReference w:type="first" r:id="rId18"/>
      <w:pgSz w:w="11906" w:h="16838" w:code="9"/>
      <w:pgMar w:top="2466" w:right="2098" w:bottom="2466" w:left="209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FA" w:rsidRDefault="009523FA">
      <w:r>
        <w:separator/>
      </w:r>
    </w:p>
  </w:endnote>
  <w:endnote w:type="continuationSeparator" w:id="0">
    <w:p w:rsidR="009523FA" w:rsidRDefault="0095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BB" w:rsidRDefault="00FF79B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BB" w:rsidRDefault="00FF79BB">
    <w:pPr>
      <w:pStyle w:val="Footer"/>
      <w:jc w:val="right"/>
    </w:pPr>
  </w:p>
  <w:p w:rsidR="00FF79BB" w:rsidRDefault="00FF79BB" w:rsidP="004A5576">
    <w:pPr>
      <w:pStyle w:val="Footer"/>
    </w:pPr>
  </w:p>
  <w:p w:rsidR="00FF79BB" w:rsidRDefault="00FF79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1187"/>
      <w:docPartObj>
        <w:docPartGallery w:val="Page Numbers (Bottom of Page)"/>
        <w:docPartUnique/>
      </w:docPartObj>
    </w:sdtPr>
    <w:sdtEndPr>
      <w:rPr>
        <w:sz w:val="20"/>
        <w:szCs w:val="20"/>
      </w:rPr>
    </w:sdtEndPr>
    <w:sdtContent>
      <w:p w:rsidR="00FF79BB" w:rsidRDefault="00FF79BB" w:rsidP="004A5576">
        <w:pPr>
          <w:pStyle w:val="Footer"/>
          <w:jc w:val="right"/>
          <w:rPr>
            <w:sz w:val="20"/>
            <w:szCs w:val="20"/>
          </w:rPr>
        </w:pPr>
        <w:r w:rsidRPr="004F4789">
          <w:rPr>
            <w:i/>
            <w:sz w:val="20"/>
            <w:szCs w:val="20"/>
          </w:rPr>
          <w:fldChar w:fldCharType="begin"/>
        </w:r>
        <w:r w:rsidRPr="004F4789">
          <w:rPr>
            <w:i/>
            <w:sz w:val="20"/>
            <w:szCs w:val="20"/>
          </w:rPr>
          <w:instrText xml:space="preserve"> PAGE   \* MERGEFORMAT </w:instrText>
        </w:r>
        <w:r w:rsidRPr="004F4789">
          <w:rPr>
            <w:i/>
            <w:sz w:val="20"/>
            <w:szCs w:val="20"/>
          </w:rPr>
          <w:fldChar w:fldCharType="separate"/>
        </w:r>
        <w:r w:rsidR="005C2415" w:rsidRPr="005C2415">
          <w:rPr>
            <w:noProof/>
          </w:rPr>
          <w:t>14</w:t>
        </w:r>
        <w:r w:rsidRPr="004F4789">
          <w:rPr>
            <w:i/>
            <w:sz w:val="20"/>
            <w:szCs w:val="20"/>
          </w:rPr>
          <w:fldChar w:fldCharType="end"/>
        </w:r>
      </w:p>
    </w:sdtContent>
  </w:sdt>
  <w:p w:rsidR="00FF79BB" w:rsidRDefault="00FF79BB" w:rsidP="007076A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1185"/>
      <w:docPartObj>
        <w:docPartGallery w:val="Page Numbers (Bottom of Page)"/>
        <w:docPartUnique/>
      </w:docPartObj>
    </w:sdtPr>
    <w:sdtEndPr/>
    <w:sdtContent>
      <w:p w:rsidR="00FF79BB" w:rsidRDefault="00FF79B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FF79BB" w:rsidRDefault="00FF7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FA" w:rsidRDefault="009523FA">
      <w:r>
        <w:separator/>
      </w:r>
    </w:p>
  </w:footnote>
  <w:footnote w:type="continuationSeparator" w:id="0">
    <w:p w:rsidR="009523FA" w:rsidRDefault="009523FA">
      <w:r>
        <w:continuationSeparator/>
      </w:r>
    </w:p>
  </w:footnote>
  <w:footnote w:id="1">
    <w:p w:rsidR="00FF79BB" w:rsidRDefault="00FF79BB" w:rsidP="00BA56FE">
      <w:pPr>
        <w:pStyle w:val="FootnoteText"/>
      </w:pPr>
      <w:r>
        <w:rPr>
          <w:rStyle w:val="FootnoteReference"/>
        </w:rPr>
        <w:footnoteRef/>
      </w:r>
      <w:r>
        <w:t xml:space="preserve"> CESCR, General Comment No 19 (2008), paragraph 2.</w:t>
      </w:r>
    </w:p>
  </w:footnote>
  <w:footnote w:id="2">
    <w:p w:rsidR="00FF79BB" w:rsidRDefault="00FF79BB" w:rsidP="00BA56FE">
      <w:pPr>
        <w:pStyle w:val="FootnoteText"/>
      </w:pPr>
      <w:r>
        <w:rPr>
          <w:rStyle w:val="FootnoteReference"/>
        </w:rPr>
        <w:footnoteRef/>
      </w:r>
      <w:r>
        <w:t xml:space="preserve"> CESCR, General Comment No 19 (2008), paragraph 23; paragraphs 29-31 (non</w:t>
      </w:r>
      <w:r w:rsidRPr="009F39F1">
        <w:noBreakHyphen/>
      </w:r>
      <w:r>
        <w:t>discrimination).</w:t>
      </w:r>
    </w:p>
  </w:footnote>
  <w:footnote w:id="3">
    <w:p w:rsidR="00FF79BB" w:rsidRDefault="00FF79BB" w:rsidP="00BA56FE">
      <w:pPr>
        <w:pStyle w:val="FootnoteText"/>
      </w:pPr>
      <w:r>
        <w:rPr>
          <w:rStyle w:val="FootnoteReference"/>
        </w:rPr>
        <w:footnoteRef/>
      </w:r>
      <w:r>
        <w:t xml:space="preserve"> CESCR, General Comment No 19 (2008), paragraph 30.</w:t>
      </w:r>
    </w:p>
  </w:footnote>
  <w:footnote w:id="4">
    <w:p w:rsidR="00FF79BB" w:rsidRDefault="00FF79BB" w:rsidP="00BA56FE">
      <w:pPr>
        <w:pStyle w:val="FootnoteText"/>
      </w:pPr>
      <w:r>
        <w:rPr>
          <w:rStyle w:val="FootnoteReference"/>
        </w:rPr>
        <w:footnoteRef/>
      </w:r>
      <w:r>
        <w:t xml:space="preserve"> CESCR, General Comment No 20 (2009), paragraph 7.</w:t>
      </w:r>
    </w:p>
  </w:footnote>
  <w:footnote w:id="5">
    <w:p w:rsidR="00FF79BB" w:rsidRDefault="00FF79BB" w:rsidP="00BA56FE">
      <w:pPr>
        <w:pStyle w:val="FootnoteText"/>
      </w:pPr>
      <w:r w:rsidRPr="002F7819">
        <w:rPr>
          <w:rStyle w:val="FootnoteReference"/>
        </w:rPr>
        <w:footnoteRef/>
      </w:r>
      <w:r w:rsidRPr="002F7819">
        <w:t xml:space="preserve"> United Nations </w:t>
      </w:r>
      <w:r>
        <w:t xml:space="preserve">Human Rights </w:t>
      </w:r>
      <w:r w:rsidRPr="002F7819">
        <w:t xml:space="preserve">Committee, </w:t>
      </w:r>
      <w:r>
        <w:t xml:space="preserve">CCPR </w:t>
      </w:r>
      <w:r w:rsidRPr="002F7819">
        <w:t>General Comment No 18 (1989), paragraph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BB" w:rsidRDefault="005C2415">
    <w:pPr>
      <w:pStyle w:val="Header"/>
    </w:pPr>
    <w:r>
      <w:rPr>
        <w:noProof/>
      </w:rPr>
      <w:pict w14:anchorId="1F1F2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91.75pt;height:51.75pt;rotation:315;z-index:-251655168;mso-position-horizontal:center;mso-position-horizontal-relative:margin;mso-position-vertical:center;mso-position-vertical-relative:margin" o:allowincell="f" fillcolor="silver" stroked="f">
          <v:fill opacity=".5"/>
          <v:textpath style="font-family:&quot;Times New Roman&quot;;font-size:1pt" string="DRAFT IN CONFIDENC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BB" w:rsidRPr="00D63873" w:rsidRDefault="005C2415" w:rsidP="00D63873">
    <w:pPr>
      <w:pStyle w:val="Header"/>
      <w:pBdr>
        <w:bottom w:val="single" w:sz="4" w:space="1" w:color="auto"/>
      </w:pBdr>
      <w:tabs>
        <w:tab w:val="clear" w:pos="4513"/>
      </w:tabs>
      <w:jc w:val="right"/>
      <w:rPr>
        <w:sz w:val="20"/>
        <w:szCs w:val="20"/>
      </w:rPr>
    </w:pPr>
    <w:r>
      <w:rPr>
        <w:noProof/>
      </w:rPr>
      <w:pict w14:anchorId="0A1E6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91.75pt;height:51.75pt;rotation:315;z-index:-251653120;mso-position-horizontal:center;mso-position-horizontal-relative:margin;mso-position-vertical:center;mso-position-vertical-relative:margin" o:allowincell="f" fillcolor="silver" stroked="f">
          <v:fill opacity=".5"/>
          <v:textpath style="font-family:&quot;Times New Roman&quot;;font-size:1pt" string="DRAFT IN CONFIDENCE"/>
          <w10:wrap anchorx="margin" anchory="margin"/>
        </v:shape>
      </w:pict>
    </w:r>
    <w:r w:rsidR="00FF79BB" w:rsidRPr="00D63873">
      <w:rPr>
        <w:sz w:val="20"/>
        <w:szCs w:val="20"/>
      </w:rPr>
      <w:t xml:space="preserve">Farm Household Support </w:t>
    </w:r>
    <w:r w:rsidR="00FF79BB">
      <w:rPr>
        <w:sz w:val="20"/>
        <w:szCs w:val="20"/>
      </w:rPr>
      <w:t xml:space="preserve">Amendment </w:t>
    </w:r>
    <w:r w:rsidR="00FF79BB" w:rsidRPr="00D63873">
      <w:rPr>
        <w:sz w:val="20"/>
        <w:szCs w:val="20"/>
      </w:rPr>
      <w:t>Bill 201</w:t>
    </w:r>
    <w:r w:rsidR="00FF79BB">
      <w:rPr>
        <w:sz w:val="20"/>
        <w:szCs w:val="20"/>
      </w:rPr>
      <w:t>7 Explanatory Memorandum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BB" w:rsidRDefault="00FF79BB">
    <w:pPr>
      <w:pStyle w:val="Header"/>
      <w:jc w:val="center"/>
      <w:rPr>
        <w:b/>
        <w:sz w:val="28"/>
        <w:szCs w:val="28"/>
      </w:rPr>
    </w:pPr>
  </w:p>
  <w:p w:rsidR="00FF79BB" w:rsidRDefault="00FF79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BB" w:rsidRDefault="005C2415">
    <w:pPr>
      <w:pStyle w:val="Header"/>
    </w:pPr>
    <w:r>
      <w:rPr>
        <w:noProof/>
      </w:rPr>
      <w:pict w14:anchorId="4B93D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91.75pt;height:51.75pt;rotation:315;z-index:-251649024;mso-position-horizontal:center;mso-position-horizontal-relative:margin;mso-position-vertical:center;mso-position-vertical-relative:margin" o:allowincell="f" fillcolor="silver" stroked="f">
          <v:fill opacity=".5"/>
          <v:textpath style="font-family:&quot;Times New Roman&quot;;font-size:1pt" string="DRAFT IN CONFIDENC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BB" w:rsidRDefault="00FF79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BB" w:rsidRDefault="005C2415">
    <w:pPr>
      <w:pStyle w:val="Header"/>
    </w:pPr>
    <w:r>
      <w:rPr>
        <w:noProof/>
      </w:rPr>
      <w:pict w14:anchorId="10CAF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91.75pt;height:51.75pt;rotation:315;z-index:-251651072;mso-position-horizontal:center;mso-position-horizontal-relative:margin;mso-position-vertical:center;mso-position-vertical-relative:margin" o:allowincell="f" fillcolor="silver" stroked="f">
          <v:fill opacity=".5"/>
          <v:textpath style="font-family:&quot;Times New Roman&quot;;font-size:1pt" string="DRAFT IN CONFIDENC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515" w:hanging="353"/>
      </w:pPr>
      <w:rPr>
        <w:rFonts w:ascii="Times New Roman" w:hAnsi="Times New Roman" w:cs="Times New Roman"/>
        <w:b w:val="0"/>
        <w:bCs w:val="0"/>
        <w:color w:val="1C1C1C"/>
        <w:w w:val="151"/>
        <w:sz w:val="23"/>
        <w:szCs w:val="23"/>
      </w:rPr>
    </w:lvl>
    <w:lvl w:ilvl="1">
      <w:numFmt w:val="bullet"/>
      <w:lvlText w:val="•"/>
      <w:lvlJc w:val="left"/>
      <w:pPr>
        <w:ind w:left="1346" w:hanging="353"/>
      </w:pPr>
    </w:lvl>
    <w:lvl w:ilvl="2">
      <w:numFmt w:val="bullet"/>
      <w:lvlText w:val="•"/>
      <w:lvlJc w:val="left"/>
      <w:pPr>
        <w:ind w:left="2172" w:hanging="353"/>
      </w:pPr>
    </w:lvl>
    <w:lvl w:ilvl="3">
      <w:numFmt w:val="bullet"/>
      <w:lvlText w:val="•"/>
      <w:lvlJc w:val="left"/>
      <w:pPr>
        <w:ind w:left="2998" w:hanging="353"/>
      </w:pPr>
    </w:lvl>
    <w:lvl w:ilvl="4">
      <w:numFmt w:val="bullet"/>
      <w:lvlText w:val="•"/>
      <w:lvlJc w:val="left"/>
      <w:pPr>
        <w:ind w:left="3824" w:hanging="353"/>
      </w:pPr>
    </w:lvl>
    <w:lvl w:ilvl="5">
      <w:numFmt w:val="bullet"/>
      <w:lvlText w:val="•"/>
      <w:lvlJc w:val="left"/>
      <w:pPr>
        <w:ind w:left="4650" w:hanging="353"/>
      </w:pPr>
    </w:lvl>
    <w:lvl w:ilvl="6">
      <w:numFmt w:val="bullet"/>
      <w:lvlText w:val="•"/>
      <w:lvlJc w:val="left"/>
      <w:pPr>
        <w:ind w:left="5476" w:hanging="353"/>
      </w:pPr>
    </w:lvl>
    <w:lvl w:ilvl="7">
      <w:numFmt w:val="bullet"/>
      <w:lvlText w:val="•"/>
      <w:lvlJc w:val="left"/>
      <w:pPr>
        <w:ind w:left="6302" w:hanging="353"/>
      </w:pPr>
    </w:lvl>
    <w:lvl w:ilvl="8">
      <w:numFmt w:val="bullet"/>
      <w:lvlText w:val="•"/>
      <w:lvlJc w:val="left"/>
      <w:pPr>
        <w:ind w:left="7128" w:hanging="353"/>
      </w:pPr>
    </w:lvl>
  </w:abstractNum>
  <w:abstractNum w:abstractNumId="1">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2">
    <w:nsid w:val="1B03710E"/>
    <w:multiLevelType w:val="multilevel"/>
    <w:tmpl w:val="7FDEC526"/>
    <w:styleLink w:val="OPCBodyList"/>
    <w:lvl w:ilvl="0">
      <w:start w:val="1"/>
      <w:numFmt w:val="decimal"/>
      <w:pStyle w:val="BodyNum"/>
      <w:lvlText w:val="%1"/>
      <w:lvlJc w:val="left"/>
      <w:pPr>
        <w:tabs>
          <w:tab w:val="num" w:pos="720"/>
        </w:tabs>
        <w:ind w:left="0" w:firstLine="0"/>
      </w:pPr>
    </w:lvl>
    <w:lvl w:ilvl="1">
      <w:start w:val="1"/>
      <w:numFmt w:val="lowerLetter"/>
      <w:pStyle w:val="BodyPara"/>
      <w:lvlText w:val="(%2)"/>
      <w:lvlJc w:val="left"/>
      <w:pPr>
        <w:tabs>
          <w:tab w:val="num" w:pos="1440"/>
        </w:tabs>
        <w:ind w:left="1440" w:hanging="720"/>
      </w:p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CD51A3"/>
    <w:multiLevelType w:val="hybridMultilevel"/>
    <w:tmpl w:val="206048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2A603A"/>
    <w:multiLevelType w:val="hybridMultilevel"/>
    <w:tmpl w:val="AF0C15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nsid w:val="407229D3"/>
    <w:multiLevelType w:val="multilevel"/>
    <w:tmpl w:val="04D022C6"/>
    <w:lvl w:ilvl="0">
      <w:start w:val="1"/>
      <w:numFmt w:val="decimal"/>
      <w:lvlRestart w:val="0"/>
      <w:suff w:val="nothing"/>
      <w:lvlText w:val=""/>
      <w:lvlJc w:val="left"/>
      <w:pPr>
        <w:ind w:left="0" w:firstLine="0"/>
      </w:pPr>
      <w:rPr>
        <w:b w:val="0"/>
        <w:i w:val="0"/>
        <w:color w:val="000000"/>
      </w:rPr>
    </w:lvl>
    <w:lvl w:ilvl="1">
      <w:start w:val="1"/>
      <w:numFmt w:val="decimal"/>
      <w:lvlText w:val="%2."/>
      <w:lvlJc w:val="left"/>
      <w:pPr>
        <w:tabs>
          <w:tab w:val="num" w:pos="1843"/>
        </w:tabs>
        <w:ind w:left="993"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nsid w:val="40C34157"/>
    <w:multiLevelType w:val="hybridMultilevel"/>
    <w:tmpl w:val="EA787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7B26C75"/>
    <w:multiLevelType w:val="hybridMultilevel"/>
    <w:tmpl w:val="22BCCF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0C45EDE"/>
    <w:multiLevelType w:val="hybridMultilevel"/>
    <w:tmpl w:val="71288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6453BF"/>
    <w:multiLevelType w:val="multilevel"/>
    <w:tmpl w:val="1B40B7DE"/>
    <w:lvl w:ilvl="0">
      <w:start w:val="1"/>
      <w:numFmt w:val="bullet"/>
      <w:lvlText w:val=""/>
      <w:lvlJc w:val="left"/>
      <w:pPr>
        <w:ind w:left="-589" w:firstLine="0"/>
      </w:pPr>
      <w:rPr>
        <w:rFonts w:ascii="Symbol" w:hAnsi="Symbol" w:hint="default"/>
        <w:b w:val="0"/>
        <w:i w:val="0"/>
        <w:color w:val="000000"/>
      </w:rPr>
    </w:lvl>
    <w:lvl w:ilvl="1">
      <w:start w:val="1"/>
      <w:numFmt w:val="decimal"/>
      <w:lvlText w:val="%1.%2"/>
      <w:lvlJc w:val="left"/>
      <w:pPr>
        <w:tabs>
          <w:tab w:val="num" w:pos="1161"/>
        </w:tabs>
        <w:ind w:left="311" w:firstLine="0"/>
      </w:pPr>
      <w:rPr>
        <w:b w:val="0"/>
        <w:i w:val="0"/>
        <w:color w:val="000000"/>
      </w:rPr>
    </w:lvl>
    <w:lvl w:ilvl="2">
      <w:start w:val="1"/>
      <w:numFmt w:val="decimal"/>
      <w:lvlRestart w:val="1"/>
      <w:suff w:val="nothing"/>
      <w:lvlText w:val="Example %1.%3"/>
      <w:lvlJc w:val="left"/>
      <w:pPr>
        <w:ind w:left="545"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545" w:firstLine="0"/>
      </w:pPr>
      <w:rPr>
        <w:rFonts w:ascii="Times New Roman" w:hAnsi="Times New Roman" w:cs="Times New Roman"/>
        <w:b/>
        <w:i w:val="0"/>
        <w:color w:val="000000"/>
        <w:sz w:val="22"/>
      </w:rPr>
    </w:lvl>
    <w:lvl w:ilvl="4">
      <w:start w:val="1"/>
      <w:numFmt w:val="decimal"/>
      <w:lvlRestart w:val="1"/>
      <w:suff w:val="nothing"/>
      <w:lvlText w:val="Table %1.%5"/>
      <w:lvlJc w:val="left"/>
      <w:pPr>
        <w:ind w:left="545" w:firstLine="0"/>
      </w:pPr>
      <w:rPr>
        <w:rFonts w:ascii="Times New Roman" w:hAnsi="Times New Roman" w:cs="Times New Roman"/>
        <w:b/>
        <w:i w:val="0"/>
        <w:color w:val="000000"/>
        <w:sz w:val="22"/>
      </w:rPr>
    </w:lvl>
    <w:lvl w:ilvl="5">
      <w:start w:val="1"/>
      <w:numFmt w:val="decimal"/>
      <w:lvlText w:val="%6"/>
      <w:lvlJc w:val="left"/>
      <w:pPr>
        <w:tabs>
          <w:tab w:val="num" w:pos="2813"/>
        </w:tabs>
        <w:ind w:left="2813" w:hanging="567"/>
      </w:pPr>
      <w:rPr>
        <w:b w:val="0"/>
        <w:i w:val="0"/>
        <w:color w:val="000000"/>
      </w:rPr>
    </w:lvl>
    <w:lvl w:ilvl="6">
      <w:start w:val="1"/>
      <w:numFmt w:val="decimal"/>
      <w:lvlText w:val="%7"/>
      <w:lvlJc w:val="left"/>
      <w:pPr>
        <w:tabs>
          <w:tab w:val="num" w:pos="3380"/>
        </w:tabs>
        <w:ind w:left="3380" w:hanging="567"/>
      </w:pPr>
      <w:rPr>
        <w:b w:val="0"/>
        <w:i w:val="0"/>
        <w:color w:val="000000"/>
      </w:rPr>
    </w:lvl>
    <w:lvl w:ilvl="7">
      <w:start w:val="1"/>
      <w:numFmt w:val="decimal"/>
      <w:lvlText w:val="%8"/>
      <w:lvlJc w:val="left"/>
      <w:pPr>
        <w:tabs>
          <w:tab w:val="num" w:pos="3947"/>
        </w:tabs>
        <w:ind w:left="3947" w:hanging="567"/>
      </w:pPr>
      <w:rPr>
        <w:b w:val="0"/>
        <w:i w:val="0"/>
        <w:color w:val="000000"/>
      </w:rPr>
    </w:lvl>
    <w:lvl w:ilvl="8">
      <w:start w:val="1"/>
      <w:numFmt w:val="decimal"/>
      <w:lvlText w:val="%9"/>
      <w:lvlJc w:val="left"/>
      <w:pPr>
        <w:tabs>
          <w:tab w:val="num" w:pos="4514"/>
        </w:tabs>
        <w:ind w:left="4514" w:hanging="567"/>
      </w:pPr>
      <w:rPr>
        <w:b w:val="0"/>
        <w:i w:val="0"/>
        <w:color w:val="000000"/>
      </w:rPr>
    </w:lvl>
  </w:abstractNum>
  <w:abstractNum w:abstractNumId="10">
    <w:nsid w:val="7D0A2F66"/>
    <w:multiLevelType w:val="hybridMultilevel"/>
    <w:tmpl w:val="15B65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4"/>
  </w:num>
  <w:num w:numId="6">
    <w:abstractNumId w:val="3"/>
  </w:num>
  <w:num w:numId="7">
    <w:abstractNumId w:val="10"/>
  </w:num>
  <w:num w:numId="8">
    <w:abstractNumId w:val="6"/>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96"/>
    <w:rsid w:val="00000A4E"/>
    <w:rsid w:val="00004CA9"/>
    <w:rsid w:val="000105E9"/>
    <w:rsid w:val="00014C31"/>
    <w:rsid w:val="00015903"/>
    <w:rsid w:val="000260AD"/>
    <w:rsid w:val="00033622"/>
    <w:rsid w:val="000367CB"/>
    <w:rsid w:val="00043983"/>
    <w:rsid w:val="000477F0"/>
    <w:rsid w:val="000526D7"/>
    <w:rsid w:val="00066BC9"/>
    <w:rsid w:val="00074CF8"/>
    <w:rsid w:val="000777C4"/>
    <w:rsid w:val="00085950"/>
    <w:rsid w:val="00090B5C"/>
    <w:rsid w:val="00093098"/>
    <w:rsid w:val="000933FE"/>
    <w:rsid w:val="00093F09"/>
    <w:rsid w:val="0009412A"/>
    <w:rsid w:val="000A41E1"/>
    <w:rsid w:val="000B3B87"/>
    <w:rsid w:val="000B4A1A"/>
    <w:rsid w:val="000B4A38"/>
    <w:rsid w:val="000B5C6E"/>
    <w:rsid w:val="000B6AE5"/>
    <w:rsid w:val="000C0474"/>
    <w:rsid w:val="000C25D6"/>
    <w:rsid w:val="000D19F4"/>
    <w:rsid w:val="000D22AF"/>
    <w:rsid w:val="000D52BB"/>
    <w:rsid w:val="000E2575"/>
    <w:rsid w:val="000E2DB1"/>
    <w:rsid w:val="000E34CD"/>
    <w:rsid w:val="000E3C7B"/>
    <w:rsid w:val="000E6FD1"/>
    <w:rsid w:val="000E7E04"/>
    <w:rsid w:val="000F134A"/>
    <w:rsid w:val="000F345E"/>
    <w:rsid w:val="000F65E9"/>
    <w:rsid w:val="00104E2D"/>
    <w:rsid w:val="001062EF"/>
    <w:rsid w:val="00110D7A"/>
    <w:rsid w:val="00111F14"/>
    <w:rsid w:val="00113937"/>
    <w:rsid w:val="0011441D"/>
    <w:rsid w:val="00124BD9"/>
    <w:rsid w:val="00130470"/>
    <w:rsid w:val="00131D22"/>
    <w:rsid w:val="001321C5"/>
    <w:rsid w:val="00136840"/>
    <w:rsid w:val="001437C5"/>
    <w:rsid w:val="00164203"/>
    <w:rsid w:val="00165975"/>
    <w:rsid w:val="00170639"/>
    <w:rsid w:val="0017384D"/>
    <w:rsid w:val="00183587"/>
    <w:rsid w:val="0018365F"/>
    <w:rsid w:val="00185A61"/>
    <w:rsid w:val="001860D6"/>
    <w:rsid w:val="00187B79"/>
    <w:rsid w:val="001920A8"/>
    <w:rsid w:val="00194905"/>
    <w:rsid w:val="001967ED"/>
    <w:rsid w:val="001A285C"/>
    <w:rsid w:val="001A392A"/>
    <w:rsid w:val="001A5837"/>
    <w:rsid w:val="001A7F18"/>
    <w:rsid w:val="001B1994"/>
    <w:rsid w:val="001B2033"/>
    <w:rsid w:val="001C0D7E"/>
    <w:rsid w:val="001D70C8"/>
    <w:rsid w:val="001E5F6F"/>
    <w:rsid w:val="0020161F"/>
    <w:rsid w:val="00205629"/>
    <w:rsid w:val="00205FB3"/>
    <w:rsid w:val="00206404"/>
    <w:rsid w:val="002077EE"/>
    <w:rsid w:val="00207CA6"/>
    <w:rsid w:val="00216248"/>
    <w:rsid w:val="00217DC4"/>
    <w:rsid w:val="0022105B"/>
    <w:rsid w:val="00240486"/>
    <w:rsid w:val="00241957"/>
    <w:rsid w:val="002461DF"/>
    <w:rsid w:val="00247B63"/>
    <w:rsid w:val="00251F2F"/>
    <w:rsid w:val="0026315F"/>
    <w:rsid w:val="00263567"/>
    <w:rsid w:val="00264B56"/>
    <w:rsid w:val="00267BF7"/>
    <w:rsid w:val="00272CA5"/>
    <w:rsid w:val="002771A4"/>
    <w:rsid w:val="00277266"/>
    <w:rsid w:val="002810BD"/>
    <w:rsid w:val="0028648F"/>
    <w:rsid w:val="0029692D"/>
    <w:rsid w:val="002A74B1"/>
    <w:rsid w:val="002B149A"/>
    <w:rsid w:val="002B4330"/>
    <w:rsid w:val="002B5183"/>
    <w:rsid w:val="002C2019"/>
    <w:rsid w:val="002D5DBA"/>
    <w:rsid w:val="002D605E"/>
    <w:rsid w:val="002D7A04"/>
    <w:rsid w:val="002E216C"/>
    <w:rsid w:val="002E3211"/>
    <w:rsid w:val="002E3C58"/>
    <w:rsid w:val="002E5D13"/>
    <w:rsid w:val="002F2EA4"/>
    <w:rsid w:val="0030392F"/>
    <w:rsid w:val="003058AC"/>
    <w:rsid w:val="00313DBA"/>
    <w:rsid w:val="0031689F"/>
    <w:rsid w:val="0032476D"/>
    <w:rsid w:val="00327C55"/>
    <w:rsid w:val="00332C5E"/>
    <w:rsid w:val="0033415A"/>
    <w:rsid w:val="00336112"/>
    <w:rsid w:val="00337B69"/>
    <w:rsid w:val="00342CEE"/>
    <w:rsid w:val="00353CB2"/>
    <w:rsid w:val="003576CD"/>
    <w:rsid w:val="0036137D"/>
    <w:rsid w:val="00364927"/>
    <w:rsid w:val="00371A55"/>
    <w:rsid w:val="003744DA"/>
    <w:rsid w:val="0037709F"/>
    <w:rsid w:val="00382A1B"/>
    <w:rsid w:val="00385AB5"/>
    <w:rsid w:val="0038780A"/>
    <w:rsid w:val="003966D1"/>
    <w:rsid w:val="00396D9B"/>
    <w:rsid w:val="003A2B0E"/>
    <w:rsid w:val="003A47CE"/>
    <w:rsid w:val="003B03DC"/>
    <w:rsid w:val="003B0541"/>
    <w:rsid w:val="003B1A7B"/>
    <w:rsid w:val="003B2990"/>
    <w:rsid w:val="003B2FDB"/>
    <w:rsid w:val="003B424F"/>
    <w:rsid w:val="003B71B0"/>
    <w:rsid w:val="003C149C"/>
    <w:rsid w:val="003C5248"/>
    <w:rsid w:val="003C624B"/>
    <w:rsid w:val="003D2181"/>
    <w:rsid w:val="003D2AD4"/>
    <w:rsid w:val="003D3080"/>
    <w:rsid w:val="003D497A"/>
    <w:rsid w:val="003D6AD4"/>
    <w:rsid w:val="003E09AA"/>
    <w:rsid w:val="003E2FAC"/>
    <w:rsid w:val="003E3CD2"/>
    <w:rsid w:val="003E60CD"/>
    <w:rsid w:val="003F26B5"/>
    <w:rsid w:val="003F41B8"/>
    <w:rsid w:val="0041281E"/>
    <w:rsid w:val="00413362"/>
    <w:rsid w:val="004219C0"/>
    <w:rsid w:val="0042275D"/>
    <w:rsid w:val="00426EDB"/>
    <w:rsid w:val="004271C0"/>
    <w:rsid w:val="004319FA"/>
    <w:rsid w:val="00437178"/>
    <w:rsid w:val="00446EDE"/>
    <w:rsid w:val="0045436D"/>
    <w:rsid w:val="00455EE5"/>
    <w:rsid w:val="00457E18"/>
    <w:rsid w:val="00461921"/>
    <w:rsid w:val="00461D76"/>
    <w:rsid w:val="00465D84"/>
    <w:rsid w:val="004663E9"/>
    <w:rsid w:val="00470167"/>
    <w:rsid w:val="004740C4"/>
    <w:rsid w:val="00474B6A"/>
    <w:rsid w:val="00475C3A"/>
    <w:rsid w:val="004764CC"/>
    <w:rsid w:val="00481683"/>
    <w:rsid w:val="00485DA6"/>
    <w:rsid w:val="004861FC"/>
    <w:rsid w:val="00491179"/>
    <w:rsid w:val="00495E16"/>
    <w:rsid w:val="004A5169"/>
    <w:rsid w:val="004A5576"/>
    <w:rsid w:val="004A749B"/>
    <w:rsid w:val="004B1DE5"/>
    <w:rsid w:val="004C1605"/>
    <w:rsid w:val="004C318B"/>
    <w:rsid w:val="004C35D1"/>
    <w:rsid w:val="004D582B"/>
    <w:rsid w:val="004D62EF"/>
    <w:rsid w:val="004D75B8"/>
    <w:rsid w:val="004E1296"/>
    <w:rsid w:val="004E2F7A"/>
    <w:rsid w:val="004E3AFF"/>
    <w:rsid w:val="004F4789"/>
    <w:rsid w:val="00501F2F"/>
    <w:rsid w:val="00504BE6"/>
    <w:rsid w:val="0051466F"/>
    <w:rsid w:val="00516EE3"/>
    <w:rsid w:val="00523A6C"/>
    <w:rsid w:val="005334B3"/>
    <w:rsid w:val="005341CD"/>
    <w:rsid w:val="00534795"/>
    <w:rsid w:val="0054569B"/>
    <w:rsid w:val="00556E98"/>
    <w:rsid w:val="005635B7"/>
    <w:rsid w:val="005647A7"/>
    <w:rsid w:val="0057109C"/>
    <w:rsid w:val="00571ADD"/>
    <w:rsid w:val="0057451A"/>
    <w:rsid w:val="00581B9C"/>
    <w:rsid w:val="00585BF7"/>
    <w:rsid w:val="005864CF"/>
    <w:rsid w:val="005A155A"/>
    <w:rsid w:val="005A6452"/>
    <w:rsid w:val="005A7763"/>
    <w:rsid w:val="005A7802"/>
    <w:rsid w:val="005B2BF9"/>
    <w:rsid w:val="005C050E"/>
    <w:rsid w:val="005C2415"/>
    <w:rsid w:val="005C5C71"/>
    <w:rsid w:val="005D68B3"/>
    <w:rsid w:val="005F798E"/>
    <w:rsid w:val="006012B5"/>
    <w:rsid w:val="006073EB"/>
    <w:rsid w:val="00614A63"/>
    <w:rsid w:val="00631DB1"/>
    <w:rsid w:val="0063264D"/>
    <w:rsid w:val="0063363B"/>
    <w:rsid w:val="006339AC"/>
    <w:rsid w:val="006350DE"/>
    <w:rsid w:val="0063567F"/>
    <w:rsid w:val="00637A60"/>
    <w:rsid w:val="00653D67"/>
    <w:rsid w:val="006575F3"/>
    <w:rsid w:val="00663EE6"/>
    <w:rsid w:val="00672D10"/>
    <w:rsid w:val="00676896"/>
    <w:rsid w:val="00682287"/>
    <w:rsid w:val="00687DC7"/>
    <w:rsid w:val="0069327B"/>
    <w:rsid w:val="006B56BF"/>
    <w:rsid w:val="006C0554"/>
    <w:rsid w:val="006C3FEA"/>
    <w:rsid w:val="006D1721"/>
    <w:rsid w:val="006D2652"/>
    <w:rsid w:val="006F57FA"/>
    <w:rsid w:val="006F654E"/>
    <w:rsid w:val="00703375"/>
    <w:rsid w:val="0070642B"/>
    <w:rsid w:val="007076A6"/>
    <w:rsid w:val="00710161"/>
    <w:rsid w:val="00715FA8"/>
    <w:rsid w:val="007239FD"/>
    <w:rsid w:val="00724C4B"/>
    <w:rsid w:val="007334A8"/>
    <w:rsid w:val="00734964"/>
    <w:rsid w:val="007435B0"/>
    <w:rsid w:val="00746088"/>
    <w:rsid w:val="007467E4"/>
    <w:rsid w:val="0074705A"/>
    <w:rsid w:val="00752581"/>
    <w:rsid w:val="00757152"/>
    <w:rsid w:val="007613A5"/>
    <w:rsid w:val="007649E6"/>
    <w:rsid w:val="00782174"/>
    <w:rsid w:val="00782EFB"/>
    <w:rsid w:val="00783A09"/>
    <w:rsid w:val="007876E9"/>
    <w:rsid w:val="00792D7C"/>
    <w:rsid w:val="00793347"/>
    <w:rsid w:val="007938EA"/>
    <w:rsid w:val="007A02A6"/>
    <w:rsid w:val="007A1D66"/>
    <w:rsid w:val="007A47CE"/>
    <w:rsid w:val="007A53A0"/>
    <w:rsid w:val="007B2A6C"/>
    <w:rsid w:val="007C2EC1"/>
    <w:rsid w:val="007C6C88"/>
    <w:rsid w:val="007E00C5"/>
    <w:rsid w:val="007E047E"/>
    <w:rsid w:val="007F34DC"/>
    <w:rsid w:val="007F45C6"/>
    <w:rsid w:val="007F54A0"/>
    <w:rsid w:val="008006D3"/>
    <w:rsid w:val="00804716"/>
    <w:rsid w:val="00822DE4"/>
    <w:rsid w:val="00824941"/>
    <w:rsid w:val="00830387"/>
    <w:rsid w:val="0083083E"/>
    <w:rsid w:val="00832384"/>
    <w:rsid w:val="00833BB2"/>
    <w:rsid w:val="00837798"/>
    <w:rsid w:val="008425E1"/>
    <w:rsid w:val="0084505E"/>
    <w:rsid w:val="0084731A"/>
    <w:rsid w:val="00850A9A"/>
    <w:rsid w:val="00850F73"/>
    <w:rsid w:val="008567BC"/>
    <w:rsid w:val="00866393"/>
    <w:rsid w:val="00867E8C"/>
    <w:rsid w:val="00871C65"/>
    <w:rsid w:val="00872819"/>
    <w:rsid w:val="00876742"/>
    <w:rsid w:val="00877B73"/>
    <w:rsid w:val="008818D6"/>
    <w:rsid w:val="0089093D"/>
    <w:rsid w:val="0089558B"/>
    <w:rsid w:val="008A1EA7"/>
    <w:rsid w:val="008A2476"/>
    <w:rsid w:val="008A2F66"/>
    <w:rsid w:val="008A35F9"/>
    <w:rsid w:val="008A7F8D"/>
    <w:rsid w:val="008D629C"/>
    <w:rsid w:val="008D7576"/>
    <w:rsid w:val="008D7614"/>
    <w:rsid w:val="008D779C"/>
    <w:rsid w:val="008E4274"/>
    <w:rsid w:val="008F0220"/>
    <w:rsid w:val="008F3BBF"/>
    <w:rsid w:val="008F68D6"/>
    <w:rsid w:val="00905E92"/>
    <w:rsid w:val="0090612B"/>
    <w:rsid w:val="00912A93"/>
    <w:rsid w:val="00912FC8"/>
    <w:rsid w:val="0091603A"/>
    <w:rsid w:val="00917BD3"/>
    <w:rsid w:val="00923022"/>
    <w:rsid w:val="00923771"/>
    <w:rsid w:val="009360CC"/>
    <w:rsid w:val="00941590"/>
    <w:rsid w:val="009427BE"/>
    <w:rsid w:val="00943595"/>
    <w:rsid w:val="00943D8A"/>
    <w:rsid w:val="009448F3"/>
    <w:rsid w:val="009523FA"/>
    <w:rsid w:val="00952A81"/>
    <w:rsid w:val="0097618D"/>
    <w:rsid w:val="0098399F"/>
    <w:rsid w:val="0098613F"/>
    <w:rsid w:val="00994536"/>
    <w:rsid w:val="009A0B32"/>
    <w:rsid w:val="009A7D5E"/>
    <w:rsid w:val="009B65E7"/>
    <w:rsid w:val="009C03FC"/>
    <w:rsid w:val="009D4C94"/>
    <w:rsid w:val="009D4E25"/>
    <w:rsid w:val="009E7A10"/>
    <w:rsid w:val="009F35A0"/>
    <w:rsid w:val="00A06D66"/>
    <w:rsid w:val="00A2481C"/>
    <w:rsid w:val="00A27D0B"/>
    <w:rsid w:val="00A36C30"/>
    <w:rsid w:val="00A410AB"/>
    <w:rsid w:val="00A46C43"/>
    <w:rsid w:val="00A50787"/>
    <w:rsid w:val="00A54B52"/>
    <w:rsid w:val="00A6045D"/>
    <w:rsid w:val="00A67A6E"/>
    <w:rsid w:val="00A73324"/>
    <w:rsid w:val="00A73E1E"/>
    <w:rsid w:val="00A750B2"/>
    <w:rsid w:val="00A77CFA"/>
    <w:rsid w:val="00A83E16"/>
    <w:rsid w:val="00A85DBA"/>
    <w:rsid w:val="00A906A4"/>
    <w:rsid w:val="00A9256B"/>
    <w:rsid w:val="00A96092"/>
    <w:rsid w:val="00A97C47"/>
    <w:rsid w:val="00AA34CF"/>
    <w:rsid w:val="00AA4373"/>
    <w:rsid w:val="00AA5404"/>
    <w:rsid w:val="00AB3C1B"/>
    <w:rsid w:val="00AC0E91"/>
    <w:rsid w:val="00AC1104"/>
    <w:rsid w:val="00AD0D10"/>
    <w:rsid w:val="00AD23DB"/>
    <w:rsid w:val="00AD3B32"/>
    <w:rsid w:val="00AD3F02"/>
    <w:rsid w:val="00AD4057"/>
    <w:rsid w:val="00AE1D39"/>
    <w:rsid w:val="00AE4811"/>
    <w:rsid w:val="00AE6390"/>
    <w:rsid w:val="00AE6392"/>
    <w:rsid w:val="00AE6E9F"/>
    <w:rsid w:val="00AF21F4"/>
    <w:rsid w:val="00AF4BD5"/>
    <w:rsid w:val="00B03CB7"/>
    <w:rsid w:val="00B100A7"/>
    <w:rsid w:val="00B2157E"/>
    <w:rsid w:val="00B27E6B"/>
    <w:rsid w:val="00B404DE"/>
    <w:rsid w:val="00B57373"/>
    <w:rsid w:val="00B643D6"/>
    <w:rsid w:val="00B65388"/>
    <w:rsid w:val="00B6642A"/>
    <w:rsid w:val="00B6741E"/>
    <w:rsid w:val="00B7040C"/>
    <w:rsid w:val="00B800D3"/>
    <w:rsid w:val="00B92B54"/>
    <w:rsid w:val="00B96152"/>
    <w:rsid w:val="00BA56FE"/>
    <w:rsid w:val="00BA62D1"/>
    <w:rsid w:val="00BB3AEC"/>
    <w:rsid w:val="00BC0756"/>
    <w:rsid w:val="00BC267E"/>
    <w:rsid w:val="00BC474E"/>
    <w:rsid w:val="00BC5C70"/>
    <w:rsid w:val="00BD4FAF"/>
    <w:rsid w:val="00BD7DEF"/>
    <w:rsid w:val="00BE271C"/>
    <w:rsid w:val="00BE27E5"/>
    <w:rsid w:val="00BF39B7"/>
    <w:rsid w:val="00BF70FA"/>
    <w:rsid w:val="00C131A9"/>
    <w:rsid w:val="00C16B15"/>
    <w:rsid w:val="00C232F2"/>
    <w:rsid w:val="00C45EB9"/>
    <w:rsid w:val="00C4704B"/>
    <w:rsid w:val="00C52B08"/>
    <w:rsid w:val="00C57B16"/>
    <w:rsid w:val="00C6438C"/>
    <w:rsid w:val="00C66201"/>
    <w:rsid w:val="00C715D6"/>
    <w:rsid w:val="00C73734"/>
    <w:rsid w:val="00C77B64"/>
    <w:rsid w:val="00C82098"/>
    <w:rsid w:val="00C83479"/>
    <w:rsid w:val="00C84C18"/>
    <w:rsid w:val="00C8695C"/>
    <w:rsid w:val="00C86CB5"/>
    <w:rsid w:val="00C94C4B"/>
    <w:rsid w:val="00CA1853"/>
    <w:rsid w:val="00CA3804"/>
    <w:rsid w:val="00CA7F5D"/>
    <w:rsid w:val="00CB248A"/>
    <w:rsid w:val="00CB74DC"/>
    <w:rsid w:val="00CD10C2"/>
    <w:rsid w:val="00CD25F9"/>
    <w:rsid w:val="00CD4CD0"/>
    <w:rsid w:val="00CD60E6"/>
    <w:rsid w:val="00CD7605"/>
    <w:rsid w:val="00CE77E1"/>
    <w:rsid w:val="00CF4034"/>
    <w:rsid w:val="00CF6CF4"/>
    <w:rsid w:val="00D05F3F"/>
    <w:rsid w:val="00D06CC3"/>
    <w:rsid w:val="00D131D6"/>
    <w:rsid w:val="00D313F3"/>
    <w:rsid w:val="00D33826"/>
    <w:rsid w:val="00D359E9"/>
    <w:rsid w:val="00D510EA"/>
    <w:rsid w:val="00D51682"/>
    <w:rsid w:val="00D56093"/>
    <w:rsid w:val="00D61B67"/>
    <w:rsid w:val="00D63873"/>
    <w:rsid w:val="00D6642C"/>
    <w:rsid w:val="00D66767"/>
    <w:rsid w:val="00D7030E"/>
    <w:rsid w:val="00D732F5"/>
    <w:rsid w:val="00D7456F"/>
    <w:rsid w:val="00D7545C"/>
    <w:rsid w:val="00D81DF1"/>
    <w:rsid w:val="00D83877"/>
    <w:rsid w:val="00D84B46"/>
    <w:rsid w:val="00D85378"/>
    <w:rsid w:val="00D855BD"/>
    <w:rsid w:val="00D86341"/>
    <w:rsid w:val="00D9202C"/>
    <w:rsid w:val="00D95AB8"/>
    <w:rsid w:val="00DA0F8B"/>
    <w:rsid w:val="00DB1343"/>
    <w:rsid w:val="00DB246A"/>
    <w:rsid w:val="00DB24FA"/>
    <w:rsid w:val="00DC0788"/>
    <w:rsid w:val="00DC3B37"/>
    <w:rsid w:val="00DD1790"/>
    <w:rsid w:val="00DD449A"/>
    <w:rsid w:val="00DD4DEA"/>
    <w:rsid w:val="00DE0E7F"/>
    <w:rsid w:val="00DE3C34"/>
    <w:rsid w:val="00DE5DFF"/>
    <w:rsid w:val="00E078E2"/>
    <w:rsid w:val="00E11C0C"/>
    <w:rsid w:val="00E17826"/>
    <w:rsid w:val="00E21EB1"/>
    <w:rsid w:val="00E2209C"/>
    <w:rsid w:val="00E25A50"/>
    <w:rsid w:val="00E40F17"/>
    <w:rsid w:val="00E42BD0"/>
    <w:rsid w:val="00E46A33"/>
    <w:rsid w:val="00E50915"/>
    <w:rsid w:val="00E5228C"/>
    <w:rsid w:val="00E576B7"/>
    <w:rsid w:val="00E576E9"/>
    <w:rsid w:val="00E70832"/>
    <w:rsid w:val="00E71C31"/>
    <w:rsid w:val="00E73900"/>
    <w:rsid w:val="00E741FB"/>
    <w:rsid w:val="00E75DC4"/>
    <w:rsid w:val="00E760D2"/>
    <w:rsid w:val="00E76F30"/>
    <w:rsid w:val="00E76F37"/>
    <w:rsid w:val="00E77AEB"/>
    <w:rsid w:val="00E83E21"/>
    <w:rsid w:val="00E952E2"/>
    <w:rsid w:val="00EA5880"/>
    <w:rsid w:val="00EA6391"/>
    <w:rsid w:val="00EA69E7"/>
    <w:rsid w:val="00EB0D95"/>
    <w:rsid w:val="00EB5099"/>
    <w:rsid w:val="00EC0E78"/>
    <w:rsid w:val="00EC2528"/>
    <w:rsid w:val="00EC6BCC"/>
    <w:rsid w:val="00ED181F"/>
    <w:rsid w:val="00ED1DBC"/>
    <w:rsid w:val="00ED3E9A"/>
    <w:rsid w:val="00ED40CA"/>
    <w:rsid w:val="00ED47B0"/>
    <w:rsid w:val="00ED5365"/>
    <w:rsid w:val="00ED7949"/>
    <w:rsid w:val="00EE4CC2"/>
    <w:rsid w:val="00EF53C1"/>
    <w:rsid w:val="00EF6E0E"/>
    <w:rsid w:val="00F0033B"/>
    <w:rsid w:val="00F02F0D"/>
    <w:rsid w:val="00F14071"/>
    <w:rsid w:val="00F1721E"/>
    <w:rsid w:val="00F20671"/>
    <w:rsid w:val="00F22730"/>
    <w:rsid w:val="00F35A9A"/>
    <w:rsid w:val="00F37AB2"/>
    <w:rsid w:val="00F404D1"/>
    <w:rsid w:val="00F500F8"/>
    <w:rsid w:val="00F50238"/>
    <w:rsid w:val="00F529D1"/>
    <w:rsid w:val="00F559A0"/>
    <w:rsid w:val="00F601BA"/>
    <w:rsid w:val="00F604D2"/>
    <w:rsid w:val="00F7085D"/>
    <w:rsid w:val="00F83B21"/>
    <w:rsid w:val="00F858E6"/>
    <w:rsid w:val="00F92435"/>
    <w:rsid w:val="00FA4217"/>
    <w:rsid w:val="00FB1B96"/>
    <w:rsid w:val="00FB3918"/>
    <w:rsid w:val="00FB4B31"/>
    <w:rsid w:val="00FB5128"/>
    <w:rsid w:val="00FC15E0"/>
    <w:rsid w:val="00FD410C"/>
    <w:rsid w:val="00FD46C1"/>
    <w:rsid w:val="00FF73D7"/>
    <w:rsid w:val="00FF7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9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evel1">
    <w:name w:val="Number Level 1"/>
    <w:basedOn w:val="Normal"/>
    <w:rsid w:val="004E1296"/>
    <w:pPr>
      <w:numPr>
        <w:numId w:val="1"/>
      </w:numPr>
      <w:spacing w:before="140" w:after="140" w:line="280" w:lineRule="atLeast"/>
    </w:pPr>
    <w:rPr>
      <w:rFonts w:ascii="Arial" w:hAnsi="Arial" w:cs="Arial"/>
      <w:sz w:val="22"/>
      <w:szCs w:val="22"/>
    </w:rPr>
  </w:style>
  <w:style w:type="paragraph" w:customStyle="1" w:styleId="NumberLevel2">
    <w:name w:val="Number Level 2"/>
    <w:basedOn w:val="Normal"/>
    <w:rsid w:val="004E1296"/>
    <w:pPr>
      <w:numPr>
        <w:ilvl w:val="1"/>
        <w:numId w:val="1"/>
      </w:numPr>
      <w:tabs>
        <w:tab w:val="clear" w:pos="0"/>
        <w:tab w:val="num" w:pos="360"/>
      </w:tabs>
      <w:spacing w:before="140" w:after="140" w:line="280" w:lineRule="atLeast"/>
      <w:ind w:firstLine="0"/>
    </w:pPr>
    <w:rPr>
      <w:rFonts w:ascii="Arial" w:hAnsi="Arial" w:cs="Arial"/>
      <w:sz w:val="22"/>
      <w:szCs w:val="22"/>
    </w:rPr>
  </w:style>
  <w:style w:type="paragraph" w:customStyle="1" w:styleId="NumberLevel3">
    <w:name w:val="Number Level 3"/>
    <w:basedOn w:val="Normal"/>
    <w:rsid w:val="004E1296"/>
    <w:pPr>
      <w:numPr>
        <w:ilvl w:val="2"/>
        <w:numId w:val="1"/>
      </w:numPr>
      <w:spacing w:before="140" w:after="140" w:line="280" w:lineRule="atLeast"/>
    </w:pPr>
    <w:rPr>
      <w:rFonts w:ascii="Arial" w:hAnsi="Arial" w:cs="Arial"/>
      <w:sz w:val="22"/>
      <w:szCs w:val="22"/>
    </w:rPr>
  </w:style>
  <w:style w:type="paragraph" w:customStyle="1" w:styleId="NumberLevel4">
    <w:name w:val="Number Level 4"/>
    <w:basedOn w:val="Normal"/>
    <w:rsid w:val="004E1296"/>
    <w:pPr>
      <w:numPr>
        <w:ilvl w:val="3"/>
        <w:numId w:val="1"/>
      </w:numPr>
      <w:spacing w:after="140" w:line="280" w:lineRule="atLeast"/>
    </w:pPr>
    <w:rPr>
      <w:rFonts w:ascii="Arial" w:hAnsi="Arial" w:cs="Arial"/>
      <w:sz w:val="22"/>
      <w:szCs w:val="22"/>
    </w:rPr>
  </w:style>
  <w:style w:type="paragraph" w:customStyle="1" w:styleId="NumberLevel5">
    <w:name w:val="Number Level 5"/>
    <w:basedOn w:val="Normal"/>
    <w:semiHidden/>
    <w:rsid w:val="004E1296"/>
    <w:pPr>
      <w:numPr>
        <w:ilvl w:val="4"/>
        <w:numId w:val="1"/>
      </w:numPr>
      <w:spacing w:after="140" w:line="280" w:lineRule="atLeast"/>
    </w:pPr>
    <w:rPr>
      <w:rFonts w:ascii="Arial" w:hAnsi="Arial" w:cs="Arial"/>
      <w:sz w:val="22"/>
      <w:szCs w:val="22"/>
    </w:rPr>
  </w:style>
  <w:style w:type="paragraph" w:customStyle="1" w:styleId="NumberLevel6">
    <w:name w:val="Number Level 6"/>
    <w:basedOn w:val="NumberLevel5"/>
    <w:semiHidden/>
    <w:rsid w:val="004E1296"/>
    <w:pPr>
      <w:numPr>
        <w:ilvl w:val="5"/>
      </w:numPr>
    </w:pPr>
  </w:style>
  <w:style w:type="paragraph" w:customStyle="1" w:styleId="NumberLevel7">
    <w:name w:val="Number Level 7"/>
    <w:basedOn w:val="NumberLevel6"/>
    <w:semiHidden/>
    <w:rsid w:val="004E1296"/>
    <w:pPr>
      <w:numPr>
        <w:ilvl w:val="6"/>
      </w:numPr>
    </w:pPr>
  </w:style>
  <w:style w:type="paragraph" w:customStyle="1" w:styleId="NumberLevel8">
    <w:name w:val="Number Level 8"/>
    <w:basedOn w:val="NumberLevel7"/>
    <w:semiHidden/>
    <w:rsid w:val="004E1296"/>
    <w:pPr>
      <w:numPr>
        <w:ilvl w:val="7"/>
      </w:numPr>
    </w:pPr>
  </w:style>
  <w:style w:type="paragraph" w:customStyle="1" w:styleId="NumberLevel9">
    <w:name w:val="Number Level 9"/>
    <w:basedOn w:val="NumberLevel8"/>
    <w:semiHidden/>
    <w:rsid w:val="004E1296"/>
    <w:pPr>
      <w:numPr>
        <w:ilvl w:val="8"/>
      </w:numPr>
    </w:pPr>
  </w:style>
  <w:style w:type="paragraph" w:styleId="ListParagraph">
    <w:name w:val="List Paragraph"/>
    <w:basedOn w:val="Normal"/>
    <w:uiPriority w:val="34"/>
    <w:qFormat/>
    <w:rsid w:val="004E1296"/>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4E1296"/>
    <w:rPr>
      <w:sz w:val="16"/>
      <w:szCs w:val="16"/>
    </w:rPr>
  </w:style>
  <w:style w:type="paragraph" w:styleId="CommentText">
    <w:name w:val="annotation text"/>
    <w:basedOn w:val="Normal"/>
    <w:link w:val="CommentTextChar"/>
    <w:uiPriority w:val="99"/>
    <w:semiHidden/>
    <w:unhideWhenUsed/>
    <w:rsid w:val="004E1296"/>
    <w:rPr>
      <w:sz w:val="20"/>
      <w:szCs w:val="20"/>
    </w:rPr>
  </w:style>
  <w:style w:type="character" w:customStyle="1" w:styleId="CommentTextChar">
    <w:name w:val="Comment Text Char"/>
    <w:basedOn w:val="DefaultParagraphFont"/>
    <w:link w:val="CommentText"/>
    <w:uiPriority w:val="99"/>
    <w:semiHidden/>
    <w:rsid w:val="004E129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E1296"/>
    <w:rPr>
      <w:b/>
      <w:bCs/>
    </w:rPr>
  </w:style>
  <w:style w:type="character" w:customStyle="1" w:styleId="CommentSubjectChar">
    <w:name w:val="Comment Subject Char"/>
    <w:basedOn w:val="CommentTextChar"/>
    <w:link w:val="CommentSubject"/>
    <w:uiPriority w:val="99"/>
    <w:semiHidden/>
    <w:rsid w:val="004E1296"/>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E1296"/>
    <w:rPr>
      <w:rFonts w:ascii="Tahoma" w:hAnsi="Tahoma" w:cs="Tahoma"/>
      <w:sz w:val="16"/>
      <w:szCs w:val="16"/>
    </w:rPr>
  </w:style>
  <w:style w:type="character" w:customStyle="1" w:styleId="BalloonTextChar">
    <w:name w:val="Balloon Text Char"/>
    <w:basedOn w:val="DefaultParagraphFont"/>
    <w:link w:val="BalloonText"/>
    <w:uiPriority w:val="99"/>
    <w:semiHidden/>
    <w:rsid w:val="004E1296"/>
    <w:rPr>
      <w:rFonts w:ascii="Tahoma" w:eastAsia="Times New Roman" w:hAnsi="Tahoma" w:cs="Tahoma"/>
      <w:sz w:val="16"/>
      <w:szCs w:val="16"/>
      <w:lang w:eastAsia="en-AU"/>
    </w:rPr>
  </w:style>
  <w:style w:type="paragraph" w:styleId="Header">
    <w:name w:val="header"/>
    <w:basedOn w:val="Normal"/>
    <w:link w:val="HeaderChar"/>
    <w:uiPriority w:val="99"/>
    <w:unhideWhenUsed/>
    <w:rsid w:val="004E1296"/>
    <w:pPr>
      <w:tabs>
        <w:tab w:val="center" w:pos="4513"/>
        <w:tab w:val="right" w:pos="9026"/>
      </w:tabs>
    </w:pPr>
  </w:style>
  <w:style w:type="character" w:customStyle="1" w:styleId="HeaderChar">
    <w:name w:val="Header Char"/>
    <w:basedOn w:val="DefaultParagraphFont"/>
    <w:link w:val="Header"/>
    <w:uiPriority w:val="99"/>
    <w:rsid w:val="004E129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E1296"/>
    <w:pPr>
      <w:tabs>
        <w:tab w:val="center" w:pos="4513"/>
        <w:tab w:val="right" w:pos="9026"/>
      </w:tabs>
    </w:pPr>
  </w:style>
  <w:style w:type="character" w:customStyle="1" w:styleId="FooterChar">
    <w:name w:val="Footer Char"/>
    <w:basedOn w:val="DefaultParagraphFont"/>
    <w:link w:val="Footer"/>
    <w:uiPriority w:val="99"/>
    <w:rsid w:val="004E1296"/>
    <w:rPr>
      <w:rFonts w:ascii="Times New Roman" w:eastAsia="Times New Roman" w:hAnsi="Times New Roman" w:cs="Times New Roman"/>
      <w:sz w:val="24"/>
      <w:szCs w:val="24"/>
      <w:lang w:eastAsia="en-AU"/>
    </w:rPr>
  </w:style>
  <w:style w:type="paragraph" w:customStyle="1" w:styleId="BodyNum">
    <w:name w:val="BodyNum"/>
    <w:aliases w:val="b1"/>
    <w:basedOn w:val="Normal"/>
    <w:rsid w:val="004E1296"/>
    <w:pPr>
      <w:numPr>
        <w:numId w:val="2"/>
      </w:numPr>
      <w:spacing w:before="240"/>
    </w:pPr>
    <w:rPr>
      <w:szCs w:val="20"/>
    </w:rPr>
  </w:style>
  <w:style w:type="paragraph" w:customStyle="1" w:styleId="BodyPara">
    <w:name w:val="BodyPara"/>
    <w:aliases w:val="ba"/>
    <w:basedOn w:val="Normal"/>
    <w:rsid w:val="004E1296"/>
    <w:pPr>
      <w:numPr>
        <w:ilvl w:val="1"/>
        <w:numId w:val="2"/>
      </w:numPr>
      <w:spacing w:before="240"/>
    </w:pPr>
    <w:rPr>
      <w:szCs w:val="20"/>
    </w:rPr>
  </w:style>
  <w:style w:type="paragraph" w:customStyle="1" w:styleId="BodyParaBullet">
    <w:name w:val="BodyParaBullet"/>
    <w:aliases w:val="bpb"/>
    <w:basedOn w:val="Normal"/>
    <w:rsid w:val="004E1296"/>
    <w:pPr>
      <w:numPr>
        <w:ilvl w:val="2"/>
        <w:numId w:val="2"/>
      </w:numPr>
      <w:tabs>
        <w:tab w:val="left" w:pos="2160"/>
      </w:tabs>
      <w:spacing w:before="240"/>
    </w:pPr>
    <w:rPr>
      <w:szCs w:val="20"/>
    </w:rPr>
  </w:style>
  <w:style w:type="paragraph" w:customStyle="1" w:styleId="BodySubPara">
    <w:name w:val="BodySubPara"/>
    <w:aliases w:val="bi"/>
    <w:basedOn w:val="Normal"/>
    <w:rsid w:val="004E1296"/>
    <w:pPr>
      <w:numPr>
        <w:ilvl w:val="3"/>
        <w:numId w:val="2"/>
      </w:numPr>
      <w:spacing w:before="240"/>
    </w:pPr>
    <w:rPr>
      <w:szCs w:val="20"/>
    </w:rPr>
  </w:style>
  <w:style w:type="numbering" w:customStyle="1" w:styleId="OPCBodyList">
    <w:name w:val="OPCBodyList"/>
    <w:uiPriority w:val="99"/>
    <w:rsid w:val="004E1296"/>
    <w:pPr>
      <w:numPr>
        <w:numId w:val="2"/>
      </w:numPr>
    </w:pPr>
  </w:style>
  <w:style w:type="character" w:styleId="SubtleEmphasis">
    <w:name w:val="Subtle Emphasis"/>
    <w:basedOn w:val="DefaultParagraphFont"/>
    <w:uiPriority w:val="19"/>
    <w:qFormat/>
    <w:rsid w:val="004E1296"/>
    <w:rPr>
      <w:i/>
      <w:iCs/>
      <w:color w:val="808080" w:themeColor="text1" w:themeTint="7F"/>
    </w:rPr>
  </w:style>
  <w:style w:type="paragraph" w:customStyle="1" w:styleId="afmanormal">
    <w:name w:val="afmanormal"/>
    <w:basedOn w:val="Normal"/>
    <w:rsid w:val="004E1296"/>
    <w:pPr>
      <w:spacing w:before="100" w:beforeAutospacing="1" w:after="100" w:afterAutospacing="1"/>
    </w:pPr>
  </w:style>
  <w:style w:type="paragraph" w:customStyle="1" w:styleId="Tabletext">
    <w:name w:val="Tabletext"/>
    <w:aliases w:val="tt"/>
    <w:basedOn w:val="Normal"/>
    <w:rsid w:val="004E1296"/>
    <w:pPr>
      <w:spacing w:before="60" w:line="240" w:lineRule="atLeast"/>
    </w:pPr>
    <w:rPr>
      <w:sz w:val="20"/>
      <w:szCs w:val="20"/>
    </w:rPr>
  </w:style>
  <w:style w:type="table" w:styleId="TableGrid">
    <w:name w:val="Table Grid"/>
    <w:basedOn w:val="TableNormal"/>
    <w:uiPriority w:val="59"/>
    <w:rsid w:val="00AE6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PVMA_Footnote"/>
    <w:basedOn w:val="Normal"/>
    <w:link w:val="FootnoteTextChar"/>
    <w:unhideWhenUsed/>
    <w:rsid w:val="00F1721E"/>
    <w:rPr>
      <w:sz w:val="20"/>
      <w:szCs w:val="20"/>
    </w:rPr>
  </w:style>
  <w:style w:type="character" w:customStyle="1" w:styleId="FootnoteTextChar">
    <w:name w:val="Footnote Text Char"/>
    <w:aliases w:val="APVMA_Footnote Char"/>
    <w:basedOn w:val="DefaultParagraphFont"/>
    <w:link w:val="FootnoteText"/>
    <w:rsid w:val="00F1721E"/>
    <w:rPr>
      <w:rFonts w:ascii="Times New Roman" w:eastAsia="Times New Roman" w:hAnsi="Times New Roman" w:cs="Times New Roman"/>
      <w:sz w:val="20"/>
      <w:szCs w:val="20"/>
      <w:lang w:eastAsia="en-AU"/>
    </w:rPr>
  </w:style>
  <w:style w:type="character" w:styleId="FootnoteReference">
    <w:name w:val="footnote reference"/>
    <w:basedOn w:val="DefaultParagraphFont"/>
    <w:unhideWhenUsed/>
    <w:rsid w:val="00F1721E"/>
    <w:rPr>
      <w:vertAlign w:val="superscript"/>
    </w:rPr>
  </w:style>
  <w:style w:type="paragraph" w:styleId="PlainText">
    <w:name w:val="Plain Text"/>
    <w:basedOn w:val="Normal"/>
    <w:link w:val="PlainTextChar"/>
    <w:uiPriority w:val="99"/>
    <w:semiHidden/>
    <w:unhideWhenUsed/>
    <w:rsid w:val="00DB1343"/>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DB1343"/>
    <w:rPr>
      <w:rFonts w:ascii="Consolas" w:hAnsi="Consolas"/>
      <w:sz w:val="21"/>
      <w:szCs w:val="21"/>
    </w:rPr>
  </w:style>
  <w:style w:type="paragraph" w:customStyle="1" w:styleId="subsection">
    <w:name w:val="subsection"/>
    <w:aliases w:val="ss"/>
    <w:basedOn w:val="Normal"/>
    <w:link w:val="subsectionChar"/>
    <w:rsid w:val="008F68D6"/>
    <w:pPr>
      <w:tabs>
        <w:tab w:val="right" w:pos="1021"/>
      </w:tabs>
      <w:spacing w:before="180"/>
      <w:ind w:left="1134" w:hanging="1134"/>
    </w:pPr>
    <w:rPr>
      <w:sz w:val="22"/>
      <w:szCs w:val="20"/>
    </w:rPr>
  </w:style>
  <w:style w:type="paragraph" w:customStyle="1" w:styleId="paragraphsub">
    <w:name w:val="paragraph(sub)"/>
    <w:aliases w:val="aa"/>
    <w:basedOn w:val="Normal"/>
    <w:rsid w:val="008F68D6"/>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8F68D6"/>
    <w:pPr>
      <w:tabs>
        <w:tab w:val="right" w:pos="1531"/>
      </w:tabs>
      <w:spacing w:before="40"/>
      <w:ind w:left="1644" w:hanging="1644"/>
    </w:pPr>
    <w:rPr>
      <w:sz w:val="22"/>
      <w:szCs w:val="20"/>
    </w:rPr>
  </w:style>
  <w:style w:type="character" w:customStyle="1" w:styleId="paragraphChar">
    <w:name w:val="paragraph Char"/>
    <w:aliases w:val="a Char"/>
    <w:link w:val="paragraph"/>
    <w:locked/>
    <w:rsid w:val="008F68D6"/>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8F68D6"/>
    <w:rPr>
      <w:rFonts w:ascii="Times New Roman" w:eastAsia="Times New Roman" w:hAnsi="Times New Roman" w:cs="Times New Roman"/>
      <w:szCs w:val="20"/>
      <w:lang w:eastAsia="en-AU"/>
    </w:rPr>
  </w:style>
  <w:style w:type="paragraph" w:customStyle="1" w:styleId="ActHead9">
    <w:name w:val="ActHead 9"/>
    <w:aliases w:val="aat"/>
    <w:basedOn w:val="Normal"/>
    <w:next w:val="Normal"/>
    <w:qFormat/>
    <w:rsid w:val="00033622"/>
    <w:pPr>
      <w:keepNext/>
      <w:keepLines/>
      <w:spacing w:before="280"/>
      <w:ind w:left="1134" w:hanging="1134"/>
      <w:outlineLvl w:val="8"/>
    </w:pPr>
    <w:rPr>
      <w:b/>
      <w:i/>
      <w:kern w:val="28"/>
      <w:sz w:val="28"/>
      <w:szCs w:val="20"/>
    </w:rPr>
  </w:style>
  <w:style w:type="paragraph" w:styleId="Revision">
    <w:name w:val="Revision"/>
    <w:hidden/>
    <w:uiPriority w:val="99"/>
    <w:semiHidden/>
    <w:rsid w:val="00A750B2"/>
    <w:pPr>
      <w:spacing w:after="0"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4C35D1"/>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9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evel1">
    <w:name w:val="Number Level 1"/>
    <w:basedOn w:val="Normal"/>
    <w:rsid w:val="004E1296"/>
    <w:pPr>
      <w:numPr>
        <w:numId w:val="1"/>
      </w:numPr>
      <w:spacing w:before="140" w:after="140" w:line="280" w:lineRule="atLeast"/>
    </w:pPr>
    <w:rPr>
      <w:rFonts w:ascii="Arial" w:hAnsi="Arial" w:cs="Arial"/>
      <w:sz w:val="22"/>
      <w:szCs w:val="22"/>
    </w:rPr>
  </w:style>
  <w:style w:type="paragraph" w:customStyle="1" w:styleId="NumberLevel2">
    <w:name w:val="Number Level 2"/>
    <w:basedOn w:val="Normal"/>
    <w:rsid w:val="004E1296"/>
    <w:pPr>
      <w:numPr>
        <w:ilvl w:val="1"/>
        <w:numId w:val="1"/>
      </w:numPr>
      <w:tabs>
        <w:tab w:val="clear" w:pos="0"/>
        <w:tab w:val="num" w:pos="360"/>
      </w:tabs>
      <w:spacing w:before="140" w:after="140" w:line="280" w:lineRule="atLeast"/>
      <w:ind w:firstLine="0"/>
    </w:pPr>
    <w:rPr>
      <w:rFonts w:ascii="Arial" w:hAnsi="Arial" w:cs="Arial"/>
      <w:sz w:val="22"/>
      <w:szCs w:val="22"/>
    </w:rPr>
  </w:style>
  <w:style w:type="paragraph" w:customStyle="1" w:styleId="NumberLevel3">
    <w:name w:val="Number Level 3"/>
    <w:basedOn w:val="Normal"/>
    <w:rsid w:val="004E1296"/>
    <w:pPr>
      <w:numPr>
        <w:ilvl w:val="2"/>
        <w:numId w:val="1"/>
      </w:numPr>
      <w:spacing w:before="140" w:after="140" w:line="280" w:lineRule="atLeast"/>
    </w:pPr>
    <w:rPr>
      <w:rFonts w:ascii="Arial" w:hAnsi="Arial" w:cs="Arial"/>
      <w:sz w:val="22"/>
      <w:szCs w:val="22"/>
    </w:rPr>
  </w:style>
  <w:style w:type="paragraph" w:customStyle="1" w:styleId="NumberLevel4">
    <w:name w:val="Number Level 4"/>
    <w:basedOn w:val="Normal"/>
    <w:rsid w:val="004E1296"/>
    <w:pPr>
      <w:numPr>
        <w:ilvl w:val="3"/>
        <w:numId w:val="1"/>
      </w:numPr>
      <w:spacing w:after="140" w:line="280" w:lineRule="atLeast"/>
    </w:pPr>
    <w:rPr>
      <w:rFonts w:ascii="Arial" w:hAnsi="Arial" w:cs="Arial"/>
      <w:sz w:val="22"/>
      <w:szCs w:val="22"/>
    </w:rPr>
  </w:style>
  <w:style w:type="paragraph" w:customStyle="1" w:styleId="NumberLevel5">
    <w:name w:val="Number Level 5"/>
    <w:basedOn w:val="Normal"/>
    <w:semiHidden/>
    <w:rsid w:val="004E1296"/>
    <w:pPr>
      <w:numPr>
        <w:ilvl w:val="4"/>
        <w:numId w:val="1"/>
      </w:numPr>
      <w:spacing w:after="140" w:line="280" w:lineRule="atLeast"/>
    </w:pPr>
    <w:rPr>
      <w:rFonts w:ascii="Arial" w:hAnsi="Arial" w:cs="Arial"/>
      <w:sz w:val="22"/>
      <w:szCs w:val="22"/>
    </w:rPr>
  </w:style>
  <w:style w:type="paragraph" w:customStyle="1" w:styleId="NumberLevel6">
    <w:name w:val="Number Level 6"/>
    <w:basedOn w:val="NumberLevel5"/>
    <w:semiHidden/>
    <w:rsid w:val="004E1296"/>
    <w:pPr>
      <w:numPr>
        <w:ilvl w:val="5"/>
      </w:numPr>
    </w:pPr>
  </w:style>
  <w:style w:type="paragraph" w:customStyle="1" w:styleId="NumberLevel7">
    <w:name w:val="Number Level 7"/>
    <w:basedOn w:val="NumberLevel6"/>
    <w:semiHidden/>
    <w:rsid w:val="004E1296"/>
    <w:pPr>
      <w:numPr>
        <w:ilvl w:val="6"/>
      </w:numPr>
    </w:pPr>
  </w:style>
  <w:style w:type="paragraph" w:customStyle="1" w:styleId="NumberLevel8">
    <w:name w:val="Number Level 8"/>
    <w:basedOn w:val="NumberLevel7"/>
    <w:semiHidden/>
    <w:rsid w:val="004E1296"/>
    <w:pPr>
      <w:numPr>
        <w:ilvl w:val="7"/>
      </w:numPr>
    </w:pPr>
  </w:style>
  <w:style w:type="paragraph" w:customStyle="1" w:styleId="NumberLevel9">
    <w:name w:val="Number Level 9"/>
    <w:basedOn w:val="NumberLevel8"/>
    <w:semiHidden/>
    <w:rsid w:val="004E1296"/>
    <w:pPr>
      <w:numPr>
        <w:ilvl w:val="8"/>
      </w:numPr>
    </w:pPr>
  </w:style>
  <w:style w:type="paragraph" w:styleId="ListParagraph">
    <w:name w:val="List Paragraph"/>
    <w:basedOn w:val="Normal"/>
    <w:uiPriority w:val="34"/>
    <w:qFormat/>
    <w:rsid w:val="004E1296"/>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4E1296"/>
    <w:rPr>
      <w:sz w:val="16"/>
      <w:szCs w:val="16"/>
    </w:rPr>
  </w:style>
  <w:style w:type="paragraph" w:styleId="CommentText">
    <w:name w:val="annotation text"/>
    <w:basedOn w:val="Normal"/>
    <w:link w:val="CommentTextChar"/>
    <w:uiPriority w:val="99"/>
    <w:semiHidden/>
    <w:unhideWhenUsed/>
    <w:rsid w:val="004E1296"/>
    <w:rPr>
      <w:sz w:val="20"/>
      <w:szCs w:val="20"/>
    </w:rPr>
  </w:style>
  <w:style w:type="character" w:customStyle="1" w:styleId="CommentTextChar">
    <w:name w:val="Comment Text Char"/>
    <w:basedOn w:val="DefaultParagraphFont"/>
    <w:link w:val="CommentText"/>
    <w:uiPriority w:val="99"/>
    <w:semiHidden/>
    <w:rsid w:val="004E129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E1296"/>
    <w:rPr>
      <w:b/>
      <w:bCs/>
    </w:rPr>
  </w:style>
  <w:style w:type="character" w:customStyle="1" w:styleId="CommentSubjectChar">
    <w:name w:val="Comment Subject Char"/>
    <w:basedOn w:val="CommentTextChar"/>
    <w:link w:val="CommentSubject"/>
    <w:uiPriority w:val="99"/>
    <w:semiHidden/>
    <w:rsid w:val="004E1296"/>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E1296"/>
    <w:rPr>
      <w:rFonts w:ascii="Tahoma" w:hAnsi="Tahoma" w:cs="Tahoma"/>
      <w:sz w:val="16"/>
      <w:szCs w:val="16"/>
    </w:rPr>
  </w:style>
  <w:style w:type="character" w:customStyle="1" w:styleId="BalloonTextChar">
    <w:name w:val="Balloon Text Char"/>
    <w:basedOn w:val="DefaultParagraphFont"/>
    <w:link w:val="BalloonText"/>
    <w:uiPriority w:val="99"/>
    <w:semiHidden/>
    <w:rsid w:val="004E1296"/>
    <w:rPr>
      <w:rFonts w:ascii="Tahoma" w:eastAsia="Times New Roman" w:hAnsi="Tahoma" w:cs="Tahoma"/>
      <w:sz w:val="16"/>
      <w:szCs w:val="16"/>
      <w:lang w:eastAsia="en-AU"/>
    </w:rPr>
  </w:style>
  <w:style w:type="paragraph" w:styleId="Header">
    <w:name w:val="header"/>
    <w:basedOn w:val="Normal"/>
    <w:link w:val="HeaderChar"/>
    <w:uiPriority w:val="99"/>
    <w:unhideWhenUsed/>
    <w:rsid w:val="004E1296"/>
    <w:pPr>
      <w:tabs>
        <w:tab w:val="center" w:pos="4513"/>
        <w:tab w:val="right" w:pos="9026"/>
      </w:tabs>
    </w:pPr>
  </w:style>
  <w:style w:type="character" w:customStyle="1" w:styleId="HeaderChar">
    <w:name w:val="Header Char"/>
    <w:basedOn w:val="DefaultParagraphFont"/>
    <w:link w:val="Header"/>
    <w:uiPriority w:val="99"/>
    <w:rsid w:val="004E129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E1296"/>
    <w:pPr>
      <w:tabs>
        <w:tab w:val="center" w:pos="4513"/>
        <w:tab w:val="right" w:pos="9026"/>
      </w:tabs>
    </w:pPr>
  </w:style>
  <w:style w:type="character" w:customStyle="1" w:styleId="FooterChar">
    <w:name w:val="Footer Char"/>
    <w:basedOn w:val="DefaultParagraphFont"/>
    <w:link w:val="Footer"/>
    <w:uiPriority w:val="99"/>
    <w:rsid w:val="004E1296"/>
    <w:rPr>
      <w:rFonts w:ascii="Times New Roman" w:eastAsia="Times New Roman" w:hAnsi="Times New Roman" w:cs="Times New Roman"/>
      <w:sz w:val="24"/>
      <w:szCs w:val="24"/>
      <w:lang w:eastAsia="en-AU"/>
    </w:rPr>
  </w:style>
  <w:style w:type="paragraph" w:customStyle="1" w:styleId="BodyNum">
    <w:name w:val="BodyNum"/>
    <w:aliases w:val="b1"/>
    <w:basedOn w:val="Normal"/>
    <w:rsid w:val="004E1296"/>
    <w:pPr>
      <w:numPr>
        <w:numId w:val="2"/>
      </w:numPr>
      <w:spacing w:before="240"/>
    </w:pPr>
    <w:rPr>
      <w:szCs w:val="20"/>
    </w:rPr>
  </w:style>
  <w:style w:type="paragraph" w:customStyle="1" w:styleId="BodyPara">
    <w:name w:val="BodyPara"/>
    <w:aliases w:val="ba"/>
    <w:basedOn w:val="Normal"/>
    <w:rsid w:val="004E1296"/>
    <w:pPr>
      <w:numPr>
        <w:ilvl w:val="1"/>
        <w:numId w:val="2"/>
      </w:numPr>
      <w:spacing w:before="240"/>
    </w:pPr>
    <w:rPr>
      <w:szCs w:val="20"/>
    </w:rPr>
  </w:style>
  <w:style w:type="paragraph" w:customStyle="1" w:styleId="BodyParaBullet">
    <w:name w:val="BodyParaBullet"/>
    <w:aliases w:val="bpb"/>
    <w:basedOn w:val="Normal"/>
    <w:rsid w:val="004E1296"/>
    <w:pPr>
      <w:numPr>
        <w:ilvl w:val="2"/>
        <w:numId w:val="2"/>
      </w:numPr>
      <w:tabs>
        <w:tab w:val="left" w:pos="2160"/>
      </w:tabs>
      <w:spacing w:before="240"/>
    </w:pPr>
    <w:rPr>
      <w:szCs w:val="20"/>
    </w:rPr>
  </w:style>
  <w:style w:type="paragraph" w:customStyle="1" w:styleId="BodySubPara">
    <w:name w:val="BodySubPara"/>
    <w:aliases w:val="bi"/>
    <w:basedOn w:val="Normal"/>
    <w:rsid w:val="004E1296"/>
    <w:pPr>
      <w:numPr>
        <w:ilvl w:val="3"/>
        <w:numId w:val="2"/>
      </w:numPr>
      <w:spacing w:before="240"/>
    </w:pPr>
    <w:rPr>
      <w:szCs w:val="20"/>
    </w:rPr>
  </w:style>
  <w:style w:type="numbering" w:customStyle="1" w:styleId="OPCBodyList">
    <w:name w:val="OPCBodyList"/>
    <w:uiPriority w:val="99"/>
    <w:rsid w:val="004E1296"/>
    <w:pPr>
      <w:numPr>
        <w:numId w:val="2"/>
      </w:numPr>
    </w:pPr>
  </w:style>
  <w:style w:type="character" w:styleId="SubtleEmphasis">
    <w:name w:val="Subtle Emphasis"/>
    <w:basedOn w:val="DefaultParagraphFont"/>
    <w:uiPriority w:val="19"/>
    <w:qFormat/>
    <w:rsid w:val="004E1296"/>
    <w:rPr>
      <w:i/>
      <w:iCs/>
      <w:color w:val="808080" w:themeColor="text1" w:themeTint="7F"/>
    </w:rPr>
  </w:style>
  <w:style w:type="paragraph" w:customStyle="1" w:styleId="afmanormal">
    <w:name w:val="afmanormal"/>
    <w:basedOn w:val="Normal"/>
    <w:rsid w:val="004E1296"/>
    <w:pPr>
      <w:spacing w:before="100" w:beforeAutospacing="1" w:after="100" w:afterAutospacing="1"/>
    </w:pPr>
  </w:style>
  <w:style w:type="paragraph" w:customStyle="1" w:styleId="Tabletext">
    <w:name w:val="Tabletext"/>
    <w:aliases w:val="tt"/>
    <w:basedOn w:val="Normal"/>
    <w:rsid w:val="004E1296"/>
    <w:pPr>
      <w:spacing w:before="60" w:line="240" w:lineRule="atLeast"/>
    </w:pPr>
    <w:rPr>
      <w:sz w:val="20"/>
      <w:szCs w:val="20"/>
    </w:rPr>
  </w:style>
  <w:style w:type="table" w:styleId="TableGrid">
    <w:name w:val="Table Grid"/>
    <w:basedOn w:val="TableNormal"/>
    <w:uiPriority w:val="59"/>
    <w:rsid w:val="00AE6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PVMA_Footnote"/>
    <w:basedOn w:val="Normal"/>
    <w:link w:val="FootnoteTextChar"/>
    <w:unhideWhenUsed/>
    <w:rsid w:val="00F1721E"/>
    <w:rPr>
      <w:sz w:val="20"/>
      <w:szCs w:val="20"/>
    </w:rPr>
  </w:style>
  <w:style w:type="character" w:customStyle="1" w:styleId="FootnoteTextChar">
    <w:name w:val="Footnote Text Char"/>
    <w:aliases w:val="APVMA_Footnote Char"/>
    <w:basedOn w:val="DefaultParagraphFont"/>
    <w:link w:val="FootnoteText"/>
    <w:rsid w:val="00F1721E"/>
    <w:rPr>
      <w:rFonts w:ascii="Times New Roman" w:eastAsia="Times New Roman" w:hAnsi="Times New Roman" w:cs="Times New Roman"/>
      <w:sz w:val="20"/>
      <w:szCs w:val="20"/>
      <w:lang w:eastAsia="en-AU"/>
    </w:rPr>
  </w:style>
  <w:style w:type="character" w:styleId="FootnoteReference">
    <w:name w:val="footnote reference"/>
    <w:basedOn w:val="DefaultParagraphFont"/>
    <w:unhideWhenUsed/>
    <w:rsid w:val="00F1721E"/>
    <w:rPr>
      <w:vertAlign w:val="superscript"/>
    </w:rPr>
  </w:style>
  <w:style w:type="paragraph" w:styleId="PlainText">
    <w:name w:val="Plain Text"/>
    <w:basedOn w:val="Normal"/>
    <w:link w:val="PlainTextChar"/>
    <w:uiPriority w:val="99"/>
    <w:semiHidden/>
    <w:unhideWhenUsed/>
    <w:rsid w:val="00DB1343"/>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DB1343"/>
    <w:rPr>
      <w:rFonts w:ascii="Consolas" w:hAnsi="Consolas"/>
      <w:sz w:val="21"/>
      <w:szCs w:val="21"/>
    </w:rPr>
  </w:style>
  <w:style w:type="paragraph" w:customStyle="1" w:styleId="subsection">
    <w:name w:val="subsection"/>
    <w:aliases w:val="ss"/>
    <w:basedOn w:val="Normal"/>
    <w:link w:val="subsectionChar"/>
    <w:rsid w:val="008F68D6"/>
    <w:pPr>
      <w:tabs>
        <w:tab w:val="right" w:pos="1021"/>
      </w:tabs>
      <w:spacing w:before="180"/>
      <w:ind w:left="1134" w:hanging="1134"/>
    </w:pPr>
    <w:rPr>
      <w:sz w:val="22"/>
      <w:szCs w:val="20"/>
    </w:rPr>
  </w:style>
  <w:style w:type="paragraph" w:customStyle="1" w:styleId="paragraphsub">
    <w:name w:val="paragraph(sub)"/>
    <w:aliases w:val="aa"/>
    <w:basedOn w:val="Normal"/>
    <w:rsid w:val="008F68D6"/>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8F68D6"/>
    <w:pPr>
      <w:tabs>
        <w:tab w:val="right" w:pos="1531"/>
      </w:tabs>
      <w:spacing w:before="40"/>
      <w:ind w:left="1644" w:hanging="1644"/>
    </w:pPr>
    <w:rPr>
      <w:sz w:val="22"/>
      <w:szCs w:val="20"/>
    </w:rPr>
  </w:style>
  <w:style w:type="character" w:customStyle="1" w:styleId="paragraphChar">
    <w:name w:val="paragraph Char"/>
    <w:aliases w:val="a Char"/>
    <w:link w:val="paragraph"/>
    <w:locked/>
    <w:rsid w:val="008F68D6"/>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8F68D6"/>
    <w:rPr>
      <w:rFonts w:ascii="Times New Roman" w:eastAsia="Times New Roman" w:hAnsi="Times New Roman" w:cs="Times New Roman"/>
      <w:szCs w:val="20"/>
      <w:lang w:eastAsia="en-AU"/>
    </w:rPr>
  </w:style>
  <w:style w:type="paragraph" w:customStyle="1" w:styleId="ActHead9">
    <w:name w:val="ActHead 9"/>
    <w:aliases w:val="aat"/>
    <w:basedOn w:val="Normal"/>
    <w:next w:val="Normal"/>
    <w:qFormat/>
    <w:rsid w:val="00033622"/>
    <w:pPr>
      <w:keepNext/>
      <w:keepLines/>
      <w:spacing w:before="280"/>
      <w:ind w:left="1134" w:hanging="1134"/>
      <w:outlineLvl w:val="8"/>
    </w:pPr>
    <w:rPr>
      <w:b/>
      <w:i/>
      <w:kern w:val="28"/>
      <w:sz w:val="28"/>
      <w:szCs w:val="20"/>
    </w:rPr>
  </w:style>
  <w:style w:type="paragraph" w:styleId="Revision">
    <w:name w:val="Revision"/>
    <w:hidden/>
    <w:uiPriority w:val="99"/>
    <w:semiHidden/>
    <w:rsid w:val="00A750B2"/>
    <w:pPr>
      <w:spacing w:after="0"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4C35D1"/>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52810">
      <w:bodyDiv w:val="1"/>
      <w:marLeft w:val="0"/>
      <w:marRight w:val="0"/>
      <w:marTop w:val="0"/>
      <w:marBottom w:val="0"/>
      <w:divBdr>
        <w:top w:val="none" w:sz="0" w:space="0" w:color="auto"/>
        <w:left w:val="none" w:sz="0" w:space="0" w:color="auto"/>
        <w:bottom w:val="none" w:sz="0" w:space="0" w:color="auto"/>
        <w:right w:val="none" w:sz="0" w:space="0" w:color="auto"/>
      </w:divBdr>
      <w:divsChild>
        <w:div w:id="841628897">
          <w:marLeft w:val="0"/>
          <w:marRight w:val="0"/>
          <w:marTop w:val="0"/>
          <w:marBottom w:val="0"/>
          <w:divBdr>
            <w:top w:val="none" w:sz="0" w:space="0" w:color="auto"/>
            <w:left w:val="none" w:sz="0" w:space="0" w:color="auto"/>
            <w:bottom w:val="none" w:sz="0" w:space="0" w:color="auto"/>
            <w:right w:val="none" w:sz="0" w:space="0" w:color="auto"/>
          </w:divBdr>
          <w:divsChild>
            <w:div w:id="753666063">
              <w:marLeft w:val="0"/>
              <w:marRight w:val="0"/>
              <w:marTop w:val="0"/>
              <w:marBottom w:val="0"/>
              <w:divBdr>
                <w:top w:val="none" w:sz="0" w:space="0" w:color="auto"/>
                <w:left w:val="none" w:sz="0" w:space="0" w:color="auto"/>
                <w:bottom w:val="none" w:sz="0" w:space="0" w:color="auto"/>
                <w:right w:val="none" w:sz="0" w:space="0" w:color="auto"/>
              </w:divBdr>
              <w:divsChild>
                <w:div w:id="863057324">
                  <w:marLeft w:val="0"/>
                  <w:marRight w:val="0"/>
                  <w:marTop w:val="0"/>
                  <w:marBottom w:val="0"/>
                  <w:divBdr>
                    <w:top w:val="none" w:sz="0" w:space="0" w:color="auto"/>
                    <w:left w:val="none" w:sz="0" w:space="0" w:color="auto"/>
                    <w:bottom w:val="none" w:sz="0" w:space="0" w:color="auto"/>
                    <w:right w:val="none" w:sz="0" w:space="0" w:color="auto"/>
                  </w:divBdr>
                  <w:divsChild>
                    <w:div w:id="469328684">
                      <w:marLeft w:val="0"/>
                      <w:marRight w:val="0"/>
                      <w:marTop w:val="0"/>
                      <w:marBottom w:val="0"/>
                      <w:divBdr>
                        <w:top w:val="none" w:sz="0" w:space="0" w:color="auto"/>
                        <w:left w:val="none" w:sz="0" w:space="0" w:color="auto"/>
                        <w:bottom w:val="none" w:sz="0" w:space="0" w:color="auto"/>
                        <w:right w:val="none" w:sz="0" w:space="0" w:color="auto"/>
                      </w:divBdr>
                      <w:divsChild>
                        <w:div w:id="793058203">
                          <w:marLeft w:val="0"/>
                          <w:marRight w:val="0"/>
                          <w:marTop w:val="0"/>
                          <w:marBottom w:val="0"/>
                          <w:divBdr>
                            <w:top w:val="single" w:sz="6" w:space="0" w:color="828282"/>
                            <w:left w:val="single" w:sz="6" w:space="0" w:color="828282"/>
                            <w:bottom w:val="single" w:sz="6" w:space="0" w:color="828282"/>
                            <w:right w:val="single" w:sz="6" w:space="0" w:color="828282"/>
                          </w:divBdr>
                          <w:divsChild>
                            <w:div w:id="1975864964">
                              <w:marLeft w:val="0"/>
                              <w:marRight w:val="0"/>
                              <w:marTop w:val="0"/>
                              <w:marBottom w:val="0"/>
                              <w:divBdr>
                                <w:top w:val="none" w:sz="0" w:space="0" w:color="auto"/>
                                <w:left w:val="none" w:sz="0" w:space="0" w:color="auto"/>
                                <w:bottom w:val="none" w:sz="0" w:space="0" w:color="auto"/>
                                <w:right w:val="none" w:sz="0" w:space="0" w:color="auto"/>
                              </w:divBdr>
                              <w:divsChild>
                                <w:div w:id="2001537054">
                                  <w:marLeft w:val="0"/>
                                  <w:marRight w:val="0"/>
                                  <w:marTop w:val="0"/>
                                  <w:marBottom w:val="0"/>
                                  <w:divBdr>
                                    <w:top w:val="none" w:sz="0" w:space="0" w:color="auto"/>
                                    <w:left w:val="none" w:sz="0" w:space="0" w:color="auto"/>
                                    <w:bottom w:val="none" w:sz="0" w:space="0" w:color="auto"/>
                                    <w:right w:val="none" w:sz="0" w:space="0" w:color="auto"/>
                                  </w:divBdr>
                                  <w:divsChild>
                                    <w:div w:id="1793405562">
                                      <w:marLeft w:val="0"/>
                                      <w:marRight w:val="0"/>
                                      <w:marTop w:val="0"/>
                                      <w:marBottom w:val="0"/>
                                      <w:divBdr>
                                        <w:top w:val="none" w:sz="0" w:space="0" w:color="auto"/>
                                        <w:left w:val="none" w:sz="0" w:space="0" w:color="auto"/>
                                        <w:bottom w:val="none" w:sz="0" w:space="0" w:color="auto"/>
                                        <w:right w:val="none" w:sz="0" w:space="0" w:color="auto"/>
                                      </w:divBdr>
                                      <w:divsChild>
                                        <w:div w:id="1833644402">
                                          <w:marLeft w:val="0"/>
                                          <w:marRight w:val="0"/>
                                          <w:marTop w:val="0"/>
                                          <w:marBottom w:val="0"/>
                                          <w:divBdr>
                                            <w:top w:val="none" w:sz="0" w:space="0" w:color="auto"/>
                                            <w:left w:val="none" w:sz="0" w:space="0" w:color="auto"/>
                                            <w:bottom w:val="none" w:sz="0" w:space="0" w:color="auto"/>
                                            <w:right w:val="none" w:sz="0" w:space="0" w:color="auto"/>
                                          </w:divBdr>
                                          <w:divsChild>
                                            <w:div w:id="2072264478">
                                              <w:marLeft w:val="0"/>
                                              <w:marRight w:val="0"/>
                                              <w:marTop w:val="0"/>
                                              <w:marBottom w:val="0"/>
                                              <w:divBdr>
                                                <w:top w:val="none" w:sz="0" w:space="0" w:color="auto"/>
                                                <w:left w:val="none" w:sz="0" w:space="0" w:color="auto"/>
                                                <w:bottom w:val="none" w:sz="0" w:space="0" w:color="auto"/>
                                                <w:right w:val="none" w:sz="0" w:space="0" w:color="auto"/>
                                              </w:divBdr>
                                              <w:divsChild>
                                                <w:div w:id="20786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376887">
      <w:bodyDiv w:val="1"/>
      <w:marLeft w:val="0"/>
      <w:marRight w:val="0"/>
      <w:marTop w:val="0"/>
      <w:marBottom w:val="0"/>
      <w:divBdr>
        <w:top w:val="none" w:sz="0" w:space="0" w:color="auto"/>
        <w:left w:val="none" w:sz="0" w:space="0" w:color="auto"/>
        <w:bottom w:val="none" w:sz="0" w:space="0" w:color="auto"/>
        <w:right w:val="none" w:sz="0" w:space="0" w:color="auto"/>
      </w:divBdr>
    </w:div>
    <w:div w:id="454908728">
      <w:bodyDiv w:val="1"/>
      <w:marLeft w:val="0"/>
      <w:marRight w:val="0"/>
      <w:marTop w:val="0"/>
      <w:marBottom w:val="0"/>
      <w:divBdr>
        <w:top w:val="none" w:sz="0" w:space="0" w:color="auto"/>
        <w:left w:val="none" w:sz="0" w:space="0" w:color="auto"/>
        <w:bottom w:val="none" w:sz="0" w:space="0" w:color="auto"/>
        <w:right w:val="none" w:sz="0" w:space="0" w:color="auto"/>
      </w:divBdr>
    </w:div>
    <w:div w:id="601768763">
      <w:bodyDiv w:val="1"/>
      <w:marLeft w:val="0"/>
      <w:marRight w:val="0"/>
      <w:marTop w:val="0"/>
      <w:marBottom w:val="0"/>
      <w:divBdr>
        <w:top w:val="none" w:sz="0" w:space="0" w:color="auto"/>
        <w:left w:val="none" w:sz="0" w:space="0" w:color="auto"/>
        <w:bottom w:val="none" w:sz="0" w:space="0" w:color="auto"/>
        <w:right w:val="none" w:sz="0" w:space="0" w:color="auto"/>
      </w:divBdr>
    </w:div>
    <w:div w:id="1019357302">
      <w:bodyDiv w:val="1"/>
      <w:marLeft w:val="0"/>
      <w:marRight w:val="0"/>
      <w:marTop w:val="0"/>
      <w:marBottom w:val="0"/>
      <w:divBdr>
        <w:top w:val="none" w:sz="0" w:space="0" w:color="auto"/>
        <w:left w:val="none" w:sz="0" w:space="0" w:color="auto"/>
        <w:bottom w:val="none" w:sz="0" w:space="0" w:color="auto"/>
        <w:right w:val="none" w:sz="0" w:space="0" w:color="auto"/>
      </w:divBdr>
    </w:div>
    <w:div w:id="1428765312">
      <w:bodyDiv w:val="1"/>
      <w:marLeft w:val="0"/>
      <w:marRight w:val="0"/>
      <w:marTop w:val="0"/>
      <w:marBottom w:val="0"/>
      <w:divBdr>
        <w:top w:val="none" w:sz="0" w:space="0" w:color="auto"/>
        <w:left w:val="none" w:sz="0" w:space="0" w:color="auto"/>
        <w:bottom w:val="none" w:sz="0" w:space="0" w:color="auto"/>
        <w:right w:val="none" w:sz="0" w:space="0" w:color="auto"/>
      </w:divBdr>
    </w:div>
    <w:div w:id="1564945987">
      <w:bodyDiv w:val="1"/>
      <w:marLeft w:val="0"/>
      <w:marRight w:val="0"/>
      <w:marTop w:val="0"/>
      <w:marBottom w:val="0"/>
      <w:divBdr>
        <w:top w:val="none" w:sz="0" w:space="0" w:color="auto"/>
        <w:left w:val="none" w:sz="0" w:space="0" w:color="auto"/>
        <w:bottom w:val="none" w:sz="0" w:space="0" w:color="auto"/>
        <w:right w:val="none" w:sz="0" w:space="0" w:color="auto"/>
      </w:divBdr>
    </w:div>
    <w:div w:id="1670911846">
      <w:bodyDiv w:val="1"/>
      <w:marLeft w:val="0"/>
      <w:marRight w:val="0"/>
      <w:marTop w:val="0"/>
      <w:marBottom w:val="0"/>
      <w:divBdr>
        <w:top w:val="none" w:sz="0" w:space="0" w:color="auto"/>
        <w:left w:val="none" w:sz="0" w:space="0" w:color="auto"/>
        <w:bottom w:val="none" w:sz="0" w:space="0" w:color="auto"/>
        <w:right w:val="none" w:sz="0" w:space="0" w:color="auto"/>
      </w:divBdr>
    </w:div>
    <w:div w:id="1709916274">
      <w:bodyDiv w:val="1"/>
      <w:marLeft w:val="0"/>
      <w:marRight w:val="0"/>
      <w:marTop w:val="0"/>
      <w:marBottom w:val="0"/>
      <w:divBdr>
        <w:top w:val="none" w:sz="0" w:space="0" w:color="auto"/>
        <w:left w:val="none" w:sz="0" w:space="0" w:color="auto"/>
        <w:bottom w:val="none" w:sz="0" w:space="0" w:color="auto"/>
        <w:right w:val="none" w:sz="0" w:space="0" w:color="auto"/>
      </w:divBdr>
    </w:div>
    <w:div w:id="1784037930">
      <w:bodyDiv w:val="1"/>
      <w:marLeft w:val="0"/>
      <w:marRight w:val="0"/>
      <w:marTop w:val="0"/>
      <w:marBottom w:val="0"/>
      <w:divBdr>
        <w:top w:val="none" w:sz="0" w:space="0" w:color="auto"/>
        <w:left w:val="none" w:sz="0" w:space="0" w:color="auto"/>
        <w:bottom w:val="none" w:sz="0" w:space="0" w:color="auto"/>
        <w:right w:val="none" w:sz="0" w:space="0" w:color="auto"/>
      </w:divBdr>
    </w:div>
    <w:div w:id="1899170460">
      <w:bodyDiv w:val="1"/>
      <w:marLeft w:val="0"/>
      <w:marRight w:val="0"/>
      <w:marTop w:val="0"/>
      <w:marBottom w:val="0"/>
      <w:divBdr>
        <w:top w:val="none" w:sz="0" w:space="0" w:color="auto"/>
        <w:left w:val="none" w:sz="0" w:space="0" w:color="auto"/>
        <w:bottom w:val="none" w:sz="0" w:space="0" w:color="auto"/>
        <w:right w:val="none" w:sz="0" w:space="0" w:color="auto"/>
      </w:divBdr>
    </w:div>
    <w:div w:id="20221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EA17-56A4-450D-B72E-C6CA74B1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3497</Words>
  <Characters>19934</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Wendy</dc:creator>
  <cp:lastModifiedBy>Farrell, Jeremy</cp:lastModifiedBy>
  <cp:revision>2</cp:revision>
  <cp:lastPrinted>2017-02-06T04:10:00Z</cp:lastPrinted>
  <dcterms:created xsi:type="dcterms:W3CDTF">2017-02-09T01:50:00Z</dcterms:created>
  <dcterms:modified xsi:type="dcterms:W3CDTF">2017-02-09T01:50:00Z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oFAAfyEHtdkN2VWukwoYcpqu2XFFfGSJjCO7pEGXViuOn9BbzrQpYmHIxHyNwP5jVVCgOvmdZ+Y0vSUo
F3JOYPgcpm23BpKcUaociiirPZ7mxuDg9VsGEWq63DjzDdUDTRSQ3CxnvdHGp4SfzDgHjGBkAeEE
QCtaJhy5gcwB1O67z2zJFlV0ccBswTiG7Dj5F2bE+Kmnz4NIo6ZpJ7dEfIZDmLBjM0bpPG7IXkNs
m+lOissr0/ZWZXyl7</vt:lpwstr>
  </property>
  <property fmtid="{D5CDD505-2E9C-101B-9397-08002B2CF9AE}" pid="3" name="MAIL_MSG_ID2">
    <vt:lpwstr>88NwsuryZ0AGV4Y4FtfrdneJ1eQNc9zEt4tRmrXRw33H3T1UKEsnUtZbwMn
iGlG3fNfb5RFtHTHfQcekzcIq/GoAHDW5tnGNroLbe7jvnuT</vt:lpwstr>
  </property>
  <property fmtid="{D5CDD505-2E9C-101B-9397-08002B2CF9AE}" pid="4" name="RESPONSE_SENDER_NAME">
    <vt:lpwstr>sAAAE34RQVAK31n1AcOnmmootPHnlPsxFxfFaS/DbXdsBbc=</vt:lpwstr>
  </property>
  <property fmtid="{D5CDD505-2E9C-101B-9397-08002B2CF9AE}" pid="5" name="EMAIL_OWNER_ADDRESS">
    <vt:lpwstr>ABAAmJ+7jnJ2eOUoL2I0zIdyMtwlBH1UDdM6ARbzXZh4KCByDQp17Dfa2vvk1wv9oD73</vt:lpwstr>
  </property>
</Properties>
</file>