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2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EC8" w:rsidRDefault="00826EC8" w:rsidP="00483461">
      <w:pPr>
        <w:pStyle w:val="Baseparagraphcentred"/>
      </w:pPr>
      <w:r>
        <w:t>2010-2011</w:t>
      </w:r>
    </w:p>
    <w:p w:rsidR="00826EC8" w:rsidRDefault="00826EC8" w:rsidP="00483461">
      <w:pPr>
        <w:pStyle w:val="Baseparagraphcentred"/>
      </w:pPr>
    </w:p>
    <w:p w:rsidR="00826EC8" w:rsidRDefault="00826EC8" w:rsidP="00483461">
      <w:pPr>
        <w:pStyle w:val="Baseparagraphcentred"/>
      </w:pPr>
      <w:r>
        <w:t>THE PARLIAMENT OF THE COMMONWEALTH OF AUSTRALIA</w:t>
      </w:r>
    </w:p>
    <w:p w:rsidR="00826EC8" w:rsidRDefault="00826EC8" w:rsidP="00483461">
      <w:pPr>
        <w:pStyle w:val="Baseparagraphcentred"/>
      </w:pPr>
    </w:p>
    <w:p w:rsidR="00826EC8" w:rsidRDefault="00826EC8" w:rsidP="00483461">
      <w:pPr>
        <w:pStyle w:val="Baseparagraphcentred"/>
      </w:pPr>
    </w:p>
    <w:p w:rsidR="00826EC8" w:rsidRDefault="00826EC8" w:rsidP="00483461">
      <w:pPr>
        <w:pStyle w:val="Baseparagraphcentred"/>
      </w:pPr>
    </w:p>
    <w:p w:rsidR="00826EC8" w:rsidRDefault="00826EC8" w:rsidP="00483461">
      <w:pPr>
        <w:pStyle w:val="Baseparagraphcentred"/>
      </w:pPr>
      <w:r>
        <w:t>HOUSE OF REPRESENTATIVES</w:t>
      </w:r>
    </w:p>
    <w:p w:rsidR="00826EC8" w:rsidRDefault="00826EC8" w:rsidP="00483461">
      <w:pPr>
        <w:pStyle w:val="Baseparagraphcentred"/>
      </w:pPr>
    </w:p>
    <w:p w:rsidR="00826EC8" w:rsidRDefault="00826EC8" w:rsidP="00483461">
      <w:pPr>
        <w:pStyle w:val="Baseparagraphcentred"/>
      </w:pPr>
    </w:p>
    <w:p w:rsidR="00826EC8" w:rsidRDefault="00826EC8" w:rsidP="00483461">
      <w:pPr>
        <w:pStyle w:val="Baseparagraphcentred"/>
      </w:pPr>
    </w:p>
    <w:p w:rsidR="00826EC8" w:rsidRDefault="00252C86" w:rsidP="00483461">
      <w:pPr>
        <w:pStyle w:val="BillName"/>
      </w:pPr>
      <w:r>
        <w:t>Tax Laws AmeNDment (2011 mEASURES n</w:t>
      </w:r>
      <w:r w:rsidR="00DB3797">
        <w:rPr>
          <w:caps w:val="0"/>
        </w:rPr>
        <w:t>o</w:t>
      </w:r>
      <w:r>
        <w:t>. 2) bILL 2011</w:t>
      </w:r>
    </w:p>
    <w:p w:rsidR="00826EC8" w:rsidRDefault="00826EC8" w:rsidP="00483461">
      <w:pPr>
        <w:pStyle w:val="Baseparagraphcentred"/>
      </w:pPr>
    </w:p>
    <w:p w:rsidR="00826EC8" w:rsidRDefault="00826EC8" w:rsidP="00483461">
      <w:pPr>
        <w:pStyle w:val="Baseparagraphcentred"/>
      </w:pPr>
    </w:p>
    <w:p w:rsidR="00826EC8" w:rsidRDefault="00826EC8" w:rsidP="00483461">
      <w:pPr>
        <w:pStyle w:val="Baseparagraphcentred"/>
      </w:pPr>
    </w:p>
    <w:p w:rsidR="00826EC8" w:rsidRDefault="00826EC8" w:rsidP="00483461">
      <w:pPr>
        <w:pStyle w:val="Baseparagraphcentred"/>
      </w:pPr>
    </w:p>
    <w:p w:rsidR="00826EC8" w:rsidRDefault="00826EC8" w:rsidP="00483461">
      <w:pPr>
        <w:pStyle w:val="Baseparagraphcentred"/>
      </w:pPr>
      <w:r>
        <w:t>EXPLANATORY MEMORANDUM</w:t>
      </w:r>
    </w:p>
    <w:p w:rsidR="00826EC8" w:rsidRDefault="00826EC8" w:rsidP="00483461">
      <w:pPr>
        <w:pStyle w:val="Baseparagraphcentred"/>
      </w:pPr>
    </w:p>
    <w:p w:rsidR="00826EC8" w:rsidRDefault="00826EC8" w:rsidP="00483461">
      <w:pPr>
        <w:pStyle w:val="Baseparagraphcentred"/>
      </w:pPr>
    </w:p>
    <w:p w:rsidR="00826EC8" w:rsidRDefault="00826EC8" w:rsidP="00483461">
      <w:pPr>
        <w:pStyle w:val="Baseparagraphcentred"/>
      </w:pPr>
    </w:p>
    <w:p w:rsidR="00826EC8" w:rsidRDefault="00826EC8" w:rsidP="00483461">
      <w:pPr>
        <w:pStyle w:val="Baseparagraphcentred"/>
      </w:pPr>
    </w:p>
    <w:p w:rsidR="00826EC8" w:rsidRDefault="00826EC8" w:rsidP="00483461">
      <w:pPr>
        <w:pStyle w:val="Baseparagraphcentred"/>
      </w:pPr>
      <w:r>
        <w:t>(Circulated by the authority of the</w:t>
      </w:r>
      <w:r>
        <w:br/>
        <w:t>Deputy Prime Minister and Treasurer, the Hon Wayne Swan MP)</w:t>
      </w:r>
    </w:p>
    <w:p w:rsidR="00826EC8" w:rsidRDefault="00826EC8" w:rsidP="00483461">
      <w:pPr>
        <w:sectPr w:rsidR="00826EC8" w:rsidSect="00483461">
          <w:headerReference w:type="even" r:id="rId8"/>
          <w:headerReference w:type="default" r:id="rId9"/>
          <w:footerReference w:type="even" r:id="rId10"/>
          <w:footerReference w:type="default" r:id="rId11"/>
          <w:type w:val="oddPage"/>
          <w:pgSz w:w="11906" w:h="16838" w:code="9"/>
          <w:pgMar w:top="2466" w:right="2098" w:bottom="2466" w:left="2098" w:header="1559" w:footer="1899" w:gutter="0"/>
          <w:cols w:space="708"/>
          <w:titlePg/>
          <w:docGrid w:linePitch="360"/>
        </w:sectPr>
      </w:pPr>
    </w:p>
    <w:p w:rsidR="00826EC8" w:rsidRPr="0045493F" w:rsidRDefault="00826EC8" w:rsidP="00483461">
      <w:pPr>
        <w:pStyle w:val="TOCHeading"/>
      </w:pPr>
      <w:r w:rsidRPr="0045493F">
        <w:rPr>
          <w:rStyle w:val="Font30point"/>
        </w:rPr>
        <w:lastRenderedPageBreak/>
        <w:t>T</w:t>
      </w:r>
      <w:r w:rsidRPr="0045493F">
        <w:t>able of contents</w:t>
      </w:r>
    </w:p>
    <w:p w:rsidR="001E3884" w:rsidRDefault="001970F4">
      <w:pPr>
        <w:pStyle w:val="TOC2"/>
        <w:rPr>
          <w:rFonts w:asciiTheme="minorHAnsi" w:eastAsiaTheme="minorEastAsia" w:hAnsiTheme="minorHAnsi" w:cstheme="minorBidi"/>
          <w:sz w:val="22"/>
          <w:szCs w:val="22"/>
        </w:rPr>
      </w:pPr>
      <w:r w:rsidRPr="001970F4">
        <w:fldChar w:fldCharType="begin"/>
      </w:r>
      <w:r w:rsidR="00826EC8">
        <w:instrText xml:space="preserve"> TOC \t "Chapter Heading,1,Chapter heading subdocument,2" </w:instrText>
      </w:r>
      <w:r w:rsidRPr="001970F4">
        <w:fldChar w:fldCharType="separate"/>
      </w:r>
      <w:r w:rsidR="001E3884">
        <w:t>Glossary</w:t>
      </w:r>
      <w:r w:rsidR="001E3884">
        <w:tab/>
      </w:r>
      <w:r>
        <w:fldChar w:fldCharType="begin"/>
      </w:r>
      <w:r w:rsidR="001E3884">
        <w:instrText xml:space="preserve"> PAGEREF _Toc288643032 \h </w:instrText>
      </w:r>
      <w:r>
        <w:fldChar w:fldCharType="separate"/>
      </w:r>
      <w:r w:rsidR="007A457B">
        <w:t>1</w:t>
      </w:r>
      <w:r>
        <w:fldChar w:fldCharType="end"/>
      </w:r>
    </w:p>
    <w:p w:rsidR="001E3884" w:rsidRDefault="001E3884">
      <w:pPr>
        <w:pStyle w:val="TOC2"/>
        <w:rPr>
          <w:rFonts w:asciiTheme="minorHAnsi" w:eastAsiaTheme="minorEastAsia" w:hAnsiTheme="minorHAnsi" w:cstheme="minorBidi"/>
          <w:sz w:val="22"/>
          <w:szCs w:val="22"/>
        </w:rPr>
      </w:pPr>
      <w:r>
        <w:t>General outline and financial impact</w:t>
      </w:r>
      <w:r>
        <w:tab/>
      </w:r>
      <w:r w:rsidR="001970F4">
        <w:fldChar w:fldCharType="begin"/>
      </w:r>
      <w:r>
        <w:instrText xml:space="preserve"> PAGEREF _Toc288643033 \h </w:instrText>
      </w:r>
      <w:r w:rsidR="001970F4">
        <w:fldChar w:fldCharType="separate"/>
      </w:r>
      <w:r w:rsidR="007A457B">
        <w:t>3</w:t>
      </w:r>
      <w:r w:rsidR="001970F4">
        <w:fldChar w:fldCharType="end"/>
      </w:r>
    </w:p>
    <w:p w:rsidR="001E3884" w:rsidRDefault="001E3884">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Deductible gift recipients</w:t>
      </w:r>
      <w:r>
        <w:rPr>
          <w:noProof/>
        </w:rPr>
        <w:tab/>
      </w:r>
      <w:r w:rsidR="001970F4">
        <w:rPr>
          <w:noProof/>
        </w:rPr>
        <w:fldChar w:fldCharType="begin"/>
      </w:r>
      <w:r>
        <w:rPr>
          <w:noProof/>
        </w:rPr>
        <w:instrText xml:space="preserve"> PAGEREF _Toc288643034 \h </w:instrText>
      </w:r>
      <w:r w:rsidR="001970F4">
        <w:rPr>
          <w:noProof/>
        </w:rPr>
      </w:r>
      <w:r w:rsidR="001970F4">
        <w:rPr>
          <w:noProof/>
        </w:rPr>
        <w:fldChar w:fldCharType="separate"/>
      </w:r>
      <w:r w:rsidR="007A457B">
        <w:rPr>
          <w:noProof/>
        </w:rPr>
        <w:t>7</w:t>
      </w:r>
      <w:r w:rsidR="001970F4">
        <w:rPr>
          <w:noProof/>
        </w:rPr>
        <w:fldChar w:fldCharType="end"/>
      </w:r>
    </w:p>
    <w:p w:rsidR="001E3884" w:rsidRDefault="001E3884">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Self managed superannuation fund investment in collectables and personal use assets</w:t>
      </w:r>
      <w:r>
        <w:rPr>
          <w:noProof/>
        </w:rPr>
        <w:tab/>
      </w:r>
      <w:r w:rsidR="001970F4">
        <w:rPr>
          <w:noProof/>
        </w:rPr>
        <w:fldChar w:fldCharType="begin"/>
      </w:r>
      <w:r>
        <w:rPr>
          <w:noProof/>
        </w:rPr>
        <w:instrText xml:space="preserve"> PAGEREF _Toc288643035 \h </w:instrText>
      </w:r>
      <w:r w:rsidR="001970F4">
        <w:rPr>
          <w:noProof/>
        </w:rPr>
      </w:r>
      <w:r w:rsidR="001970F4">
        <w:rPr>
          <w:noProof/>
        </w:rPr>
        <w:fldChar w:fldCharType="separate"/>
      </w:r>
      <w:r w:rsidR="007A457B">
        <w:rPr>
          <w:noProof/>
        </w:rPr>
        <w:t>11</w:t>
      </w:r>
      <w:r w:rsidR="001970F4">
        <w:rPr>
          <w:noProof/>
        </w:rPr>
        <w:fldChar w:fldCharType="end"/>
      </w:r>
    </w:p>
    <w:p w:rsidR="001E3884" w:rsidRDefault="001E3884">
      <w:pPr>
        <w:pStyle w:val="TOC1"/>
        <w:rPr>
          <w:rFonts w:asciiTheme="minorHAnsi" w:eastAsiaTheme="minorEastAsia" w:hAnsiTheme="minorHAnsi" w:cstheme="minorBidi"/>
          <w:noProof/>
          <w:sz w:val="22"/>
          <w:szCs w:val="22"/>
        </w:rPr>
      </w:pPr>
      <w:r>
        <w:rPr>
          <w:noProof/>
        </w:rPr>
        <w:t>Chapter 3</w:t>
      </w:r>
      <w:r>
        <w:rPr>
          <w:rFonts w:asciiTheme="minorHAnsi" w:eastAsiaTheme="minorEastAsia" w:hAnsiTheme="minorHAnsi" w:cstheme="minorBidi"/>
          <w:noProof/>
          <w:sz w:val="22"/>
          <w:szCs w:val="22"/>
        </w:rPr>
        <w:tab/>
      </w:r>
      <w:r>
        <w:rPr>
          <w:noProof/>
        </w:rPr>
        <w:t>Superannuation — tax file number amendments</w:t>
      </w:r>
      <w:r>
        <w:rPr>
          <w:noProof/>
        </w:rPr>
        <w:tab/>
      </w:r>
      <w:r w:rsidR="001970F4">
        <w:rPr>
          <w:noProof/>
        </w:rPr>
        <w:fldChar w:fldCharType="begin"/>
      </w:r>
      <w:r>
        <w:rPr>
          <w:noProof/>
        </w:rPr>
        <w:instrText xml:space="preserve"> PAGEREF _Toc288643036 \h </w:instrText>
      </w:r>
      <w:r w:rsidR="001970F4">
        <w:rPr>
          <w:noProof/>
        </w:rPr>
      </w:r>
      <w:r w:rsidR="001970F4">
        <w:rPr>
          <w:noProof/>
        </w:rPr>
        <w:fldChar w:fldCharType="separate"/>
      </w:r>
      <w:r w:rsidR="007A457B">
        <w:rPr>
          <w:noProof/>
        </w:rPr>
        <w:t>17</w:t>
      </w:r>
      <w:r w:rsidR="001970F4">
        <w:rPr>
          <w:noProof/>
        </w:rPr>
        <w:fldChar w:fldCharType="end"/>
      </w:r>
    </w:p>
    <w:p w:rsidR="001E3884" w:rsidRDefault="001E3884">
      <w:pPr>
        <w:pStyle w:val="TOC1"/>
        <w:rPr>
          <w:rFonts w:asciiTheme="minorHAnsi" w:eastAsiaTheme="minorEastAsia" w:hAnsiTheme="minorHAnsi" w:cstheme="minorBidi"/>
          <w:noProof/>
          <w:sz w:val="22"/>
          <w:szCs w:val="22"/>
        </w:rPr>
      </w:pPr>
      <w:r>
        <w:rPr>
          <w:noProof/>
        </w:rPr>
        <w:t>Chapter 4</w:t>
      </w:r>
      <w:r>
        <w:rPr>
          <w:rFonts w:asciiTheme="minorHAnsi" w:eastAsiaTheme="minorEastAsia" w:hAnsiTheme="minorHAnsi" w:cstheme="minorBidi"/>
          <w:noProof/>
          <w:sz w:val="22"/>
          <w:szCs w:val="22"/>
        </w:rPr>
        <w:tab/>
      </w:r>
      <w:r>
        <w:rPr>
          <w:noProof/>
        </w:rPr>
        <w:t>Exempting Australian taxes, fees and charges from the goods and services tax</w:t>
      </w:r>
      <w:r>
        <w:rPr>
          <w:noProof/>
        </w:rPr>
        <w:tab/>
      </w:r>
      <w:r w:rsidR="001970F4">
        <w:rPr>
          <w:noProof/>
        </w:rPr>
        <w:fldChar w:fldCharType="begin"/>
      </w:r>
      <w:r>
        <w:rPr>
          <w:noProof/>
        </w:rPr>
        <w:instrText xml:space="preserve"> PAGEREF _Toc288643037 \h </w:instrText>
      </w:r>
      <w:r w:rsidR="001970F4">
        <w:rPr>
          <w:noProof/>
        </w:rPr>
      </w:r>
      <w:r w:rsidR="001970F4">
        <w:rPr>
          <w:noProof/>
        </w:rPr>
        <w:fldChar w:fldCharType="separate"/>
      </w:r>
      <w:r w:rsidR="007A457B">
        <w:rPr>
          <w:noProof/>
        </w:rPr>
        <w:t>25</w:t>
      </w:r>
      <w:r w:rsidR="001970F4">
        <w:rPr>
          <w:noProof/>
        </w:rPr>
        <w:fldChar w:fldCharType="end"/>
      </w:r>
    </w:p>
    <w:p w:rsidR="001E3884" w:rsidRDefault="001E3884">
      <w:pPr>
        <w:pStyle w:val="TOC1"/>
        <w:rPr>
          <w:rFonts w:asciiTheme="minorHAnsi" w:eastAsiaTheme="minorEastAsia" w:hAnsiTheme="minorHAnsi" w:cstheme="minorBidi"/>
          <w:noProof/>
          <w:sz w:val="22"/>
          <w:szCs w:val="22"/>
        </w:rPr>
      </w:pPr>
      <w:r>
        <w:rPr>
          <w:noProof/>
        </w:rPr>
        <w:t>Chapter 5</w:t>
      </w:r>
      <w:r>
        <w:rPr>
          <w:rFonts w:asciiTheme="minorHAnsi" w:eastAsiaTheme="minorEastAsia" w:hAnsiTheme="minorHAnsi" w:cstheme="minorBidi"/>
          <w:noProof/>
          <w:sz w:val="22"/>
          <w:szCs w:val="22"/>
        </w:rPr>
        <w:tab/>
      </w:r>
      <w:r>
        <w:rPr>
          <w:noProof/>
        </w:rPr>
        <w:t>Miscellaneous amendments</w:t>
      </w:r>
      <w:r>
        <w:rPr>
          <w:noProof/>
        </w:rPr>
        <w:tab/>
      </w:r>
      <w:r w:rsidR="001970F4">
        <w:rPr>
          <w:noProof/>
        </w:rPr>
        <w:fldChar w:fldCharType="begin"/>
      </w:r>
      <w:r>
        <w:rPr>
          <w:noProof/>
        </w:rPr>
        <w:instrText xml:space="preserve"> PAGEREF _Toc288643038 \h </w:instrText>
      </w:r>
      <w:r w:rsidR="001970F4">
        <w:rPr>
          <w:noProof/>
        </w:rPr>
      </w:r>
      <w:r w:rsidR="001970F4">
        <w:rPr>
          <w:noProof/>
        </w:rPr>
        <w:fldChar w:fldCharType="separate"/>
      </w:r>
      <w:r w:rsidR="007A457B">
        <w:rPr>
          <w:noProof/>
        </w:rPr>
        <w:t>37</w:t>
      </w:r>
      <w:r w:rsidR="001970F4">
        <w:rPr>
          <w:noProof/>
        </w:rPr>
        <w:fldChar w:fldCharType="end"/>
      </w:r>
    </w:p>
    <w:p w:rsidR="001E3884" w:rsidRDefault="001E3884">
      <w:pPr>
        <w:pStyle w:val="TOC2"/>
        <w:rPr>
          <w:rFonts w:asciiTheme="minorHAnsi" w:eastAsiaTheme="minorEastAsia" w:hAnsiTheme="minorHAnsi" w:cstheme="minorBidi"/>
          <w:sz w:val="22"/>
          <w:szCs w:val="22"/>
        </w:rPr>
      </w:pPr>
      <w:r>
        <w:t>Index</w:t>
      </w:r>
      <w:r>
        <w:tab/>
      </w:r>
      <w:r w:rsidR="001970F4">
        <w:fldChar w:fldCharType="begin"/>
      </w:r>
      <w:r>
        <w:instrText xml:space="preserve"> PAGEREF _Toc288643039 \h </w:instrText>
      </w:r>
      <w:r w:rsidR="001970F4">
        <w:fldChar w:fldCharType="separate"/>
      </w:r>
      <w:r w:rsidR="007A457B">
        <w:t>77</w:t>
      </w:r>
      <w:r w:rsidR="001970F4">
        <w:fldChar w:fldCharType="end"/>
      </w:r>
    </w:p>
    <w:p w:rsidR="00826EC8" w:rsidRDefault="001970F4" w:rsidP="00483461">
      <w:pPr>
        <w:pStyle w:val="base-text-paragraphnonumbers"/>
        <w:sectPr w:rsidR="00826EC8" w:rsidSect="00483461">
          <w:headerReference w:type="even" r:id="rId12"/>
          <w:headerReference w:type="default" r:id="rId13"/>
          <w:footerReference w:type="even" r:id="rId14"/>
          <w:footerReference w:type="default" r:id="rId15"/>
          <w:headerReference w:type="first" r:id="rId16"/>
          <w:footerReference w:type="first" r:id="rId17"/>
          <w:type w:val="oddPage"/>
          <w:pgSz w:w="11906" w:h="16838" w:code="9"/>
          <w:pgMar w:top="2466" w:right="2098" w:bottom="2466" w:left="2098" w:header="1559" w:footer="1899" w:gutter="0"/>
          <w:cols w:space="708"/>
          <w:titlePg/>
          <w:docGrid w:linePitch="360"/>
        </w:sectPr>
      </w:pPr>
      <w:r>
        <w:fldChar w:fldCharType="end"/>
      </w:r>
    </w:p>
    <w:p w:rsidR="00826EC8" w:rsidRPr="00050A0E" w:rsidRDefault="00826EC8" w:rsidP="00483461">
      <w:pPr>
        <w:pStyle w:val="Chapterheadingsubdocument"/>
      </w:pPr>
      <w:bookmarkStart w:id="0" w:name="_Toc288643032"/>
      <w:r w:rsidRPr="00050A0E">
        <w:rPr>
          <w:rStyle w:val="Font30point"/>
        </w:rPr>
        <w:lastRenderedPageBreak/>
        <w:t>G</w:t>
      </w:r>
      <w:r w:rsidRPr="00050A0E">
        <w:t>lossary</w:t>
      </w:r>
      <w:bookmarkEnd w:id="0"/>
    </w:p>
    <w:p w:rsidR="00826EC8" w:rsidRDefault="00826EC8" w:rsidP="00483461">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1"/>
        <w:gridCol w:w="3885"/>
      </w:tblGrid>
      <w:tr w:rsidR="00840323" w:rsidRPr="00123D96" w:rsidTr="00483461">
        <w:tc>
          <w:tcPr>
            <w:tcW w:w="2721" w:type="dxa"/>
          </w:tcPr>
          <w:p w:rsidR="00840323" w:rsidRPr="00123D96" w:rsidRDefault="00840323" w:rsidP="00483461">
            <w:pPr>
              <w:pStyle w:val="tableheaderwithintable"/>
            </w:pPr>
            <w:r w:rsidRPr="00123D96">
              <w:t>Abbreviation</w:t>
            </w:r>
          </w:p>
        </w:tc>
        <w:tc>
          <w:tcPr>
            <w:tcW w:w="3885" w:type="dxa"/>
          </w:tcPr>
          <w:p w:rsidR="00840323" w:rsidRPr="00123D96" w:rsidRDefault="00840323" w:rsidP="00483461">
            <w:pPr>
              <w:pStyle w:val="tableheaderwithintable"/>
            </w:pPr>
            <w:r w:rsidRPr="00123D96">
              <w:t>Definition</w:t>
            </w:r>
          </w:p>
        </w:tc>
      </w:tr>
      <w:tr w:rsidR="00840323" w:rsidRPr="002C43E8" w:rsidTr="00483461">
        <w:tc>
          <w:tcPr>
            <w:tcW w:w="2721" w:type="dxa"/>
          </w:tcPr>
          <w:p w:rsidR="00840323" w:rsidRPr="002C43E8" w:rsidRDefault="00840323" w:rsidP="00483461">
            <w:pPr>
              <w:pStyle w:val="Glossarytabletext"/>
              <w:rPr>
                <w:lang w:val="en-US" w:eastAsia="en-US"/>
              </w:rPr>
            </w:pPr>
            <w:r>
              <w:rPr>
                <w:lang w:val="en-US" w:eastAsia="en-US"/>
              </w:rPr>
              <w:t>APRA</w:t>
            </w:r>
          </w:p>
        </w:tc>
        <w:tc>
          <w:tcPr>
            <w:tcW w:w="3885" w:type="dxa"/>
          </w:tcPr>
          <w:p w:rsidR="00840323" w:rsidRPr="002C43E8" w:rsidRDefault="00840323" w:rsidP="00483461">
            <w:pPr>
              <w:pStyle w:val="Glossarytabletext"/>
              <w:rPr>
                <w:lang w:val="en-US" w:eastAsia="en-US"/>
              </w:rPr>
            </w:pPr>
            <w:r>
              <w:rPr>
                <w:lang w:val="en-US" w:eastAsia="en-US"/>
              </w:rPr>
              <w:t>Australian Prudential Regulation Authority</w:t>
            </w:r>
          </w:p>
        </w:tc>
      </w:tr>
      <w:tr w:rsidR="00DB3797" w:rsidRPr="002C43E8" w:rsidTr="00483461">
        <w:tc>
          <w:tcPr>
            <w:tcW w:w="2721" w:type="dxa"/>
          </w:tcPr>
          <w:p w:rsidR="00DB3797" w:rsidRDefault="00DB3797" w:rsidP="00483461">
            <w:pPr>
              <w:pStyle w:val="Glossarytabletext"/>
              <w:rPr>
                <w:lang w:val="en-US" w:eastAsia="en-US"/>
              </w:rPr>
            </w:pPr>
            <w:r>
              <w:rPr>
                <w:lang w:val="en-US" w:eastAsia="en-US"/>
              </w:rPr>
              <w:t>AEI</w:t>
            </w:r>
          </w:p>
        </w:tc>
        <w:tc>
          <w:tcPr>
            <w:tcW w:w="3885" w:type="dxa"/>
          </w:tcPr>
          <w:p w:rsidR="00DB3797" w:rsidRDefault="00DB3797" w:rsidP="00483461">
            <w:pPr>
              <w:pStyle w:val="Glossarytabletext"/>
              <w:rPr>
                <w:lang w:val="en-US" w:eastAsia="en-US"/>
              </w:rPr>
            </w:pPr>
            <w:r>
              <w:rPr>
                <w:lang w:val="en-US" w:eastAsia="en-US"/>
              </w:rPr>
              <w:t>Australian Educational International</w:t>
            </w:r>
          </w:p>
        </w:tc>
      </w:tr>
      <w:tr w:rsidR="00840323" w:rsidRPr="002C43E8" w:rsidTr="00483461">
        <w:tc>
          <w:tcPr>
            <w:tcW w:w="2721" w:type="dxa"/>
          </w:tcPr>
          <w:p w:rsidR="00840323" w:rsidRPr="002C43E8" w:rsidRDefault="00840323" w:rsidP="00483461">
            <w:pPr>
              <w:pStyle w:val="Glossarytabletext"/>
              <w:rPr>
                <w:lang w:val="en-US" w:eastAsia="en-US"/>
              </w:rPr>
            </w:pPr>
            <w:r>
              <w:rPr>
                <w:lang w:val="en-US" w:eastAsia="en-US"/>
              </w:rPr>
              <w:t>ATO</w:t>
            </w:r>
          </w:p>
        </w:tc>
        <w:tc>
          <w:tcPr>
            <w:tcW w:w="3885" w:type="dxa"/>
          </w:tcPr>
          <w:p w:rsidR="00840323" w:rsidRPr="002C43E8" w:rsidRDefault="00840323" w:rsidP="00483461">
            <w:pPr>
              <w:pStyle w:val="Glossarytabletext"/>
              <w:rPr>
                <w:lang w:val="en-US" w:eastAsia="en-US"/>
              </w:rPr>
            </w:pPr>
            <w:r>
              <w:rPr>
                <w:lang w:val="en-US" w:eastAsia="en-US"/>
              </w:rPr>
              <w:t>Australian Taxation Office</w:t>
            </w:r>
          </w:p>
        </w:tc>
      </w:tr>
      <w:tr w:rsidR="00840323" w:rsidRPr="002C43E8" w:rsidTr="00483461">
        <w:tc>
          <w:tcPr>
            <w:tcW w:w="2721" w:type="dxa"/>
          </w:tcPr>
          <w:p w:rsidR="00840323" w:rsidRPr="002C43E8" w:rsidRDefault="00840323" w:rsidP="00483461">
            <w:pPr>
              <w:pStyle w:val="Glossarytabletext"/>
              <w:rPr>
                <w:lang w:val="en-US" w:eastAsia="en-US"/>
              </w:rPr>
            </w:pPr>
            <w:r>
              <w:rPr>
                <w:lang w:val="en-US" w:eastAsia="en-US"/>
              </w:rPr>
              <w:t>CGT</w:t>
            </w:r>
          </w:p>
        </w:tc>
        <w:tc>
          <w:tcPr>
            <w:tcW w:w="3885" w:type="dxa"/>
          </w:tcPr>
          <w:p w:rsidR="00840323" w:rsidRPr="002C43E8" w:rsidRDefault="00840323" w:rsidP="00483461">
            <w:pPr>
              <w:pStyle w:val="Glossarytabletext"/>
              <w:rPr>
                <w:lang w:val="en-US" w:eastAsia="en-US"/>
              </w:rPr>
            </w:pPr>
            <w:r>
              <w:rPr>
                <w:lang w:val="en-US" w:eastAsia="en-US"/>
              </w:rPr>
              <w:t>capital gains tax</w:t>
            </w:r>
          </w:p>
        </w:tc>
      </w:tr>
      <w:tr w:rsidR="00840323" w:rsidRPr="002C43E8" w:rsidTr="00483461">
        <w:tc>
          <w:tcPr>
            <w:tcW w:w="2721" w:type="dxa"/>
          </w:tcPr>
          <w:p w:rsidR="00840323" w:rsidRPr="002C43E8" w:rsidRDefault="00840323" w:rsidP="00483461">
            <w:pPr>
              <w:pStyle w:val="Glossarytabletext"/>
              <w:rPr>
                <w:lang w:val="en-US" w:eastAsia="en-US"/>
              </w:rPr>
            </w:pPr>
            <w:r>
              <w:rPr>
                <w:lang w:val="en-US" w:eastAsia="en-US"/>
              </w:rPr>
              <w:t>Commissioner</w:t>
            </w:r>
          </w:p>
        </w:tc>
        <w:tc>
          <w:tcPr>
            <w:tcW w:w="3885" w:type="dxa"/>
          </w:tcPr>
          <w:p w:rsidR="00840323" w:rsidRPr="002C43E8" w:rsidRDefault="00840323" w:rsidP="00483461">
            <w:pPr>
              <w:pStyle w:val="Glossarytabletext"/>
              <w:rPr>
                <w:lang w:val="en-US" w:eastAsia="en-US"/>
              </w:rPr>
            </w:pPr>
            <w:r>
              <w:rPr>
                <w:lang w:val="en-US" w:eastAsia="en-US"/>
              </w:rPr>
              <w:t>Commissioner of Taxation</w:t>
            </w:r>
          </w:p>
        </w:tc>
      </w:tr>
      <w:tr w:rsidR="00840323" w:rsidRPr="002C43E8" w:rsidTr="00483461">
        <w:tc>
          <w:tcPr>
            <w:tcW w:w="2721" w:type="dxa"/>
          </w:tcPr>
          <w:p w:rsidR="00840323" w:rsidRPr="002C43E8" w:rsidRDefault="00840323" w:rsidP="00483461">
            <w:pPr>
              <w:pStyle w:val="Glossarytabletext"/>
              <w:rPr>
                <w:lang w:val="en-US" w:eastAsia="en-US"/>
              </w:rPr>
            </w:pPr>
            <w:r>
              <w:rPr>
                <w:lang w:val="en-US" w:eastAsia="en-US"/>
              </w:rPr>
              <w:t>DGR</w:t>
            </w:r>
          </w:p>
        </w:tc>
        <w:tc>
          <w:tcPr>
            <w:tcW w:w="3885" w:type="dxa"/>
          </w:tcPr>
          <w:p w:rsidR="00840323" w:rsidRPr="002C43E8" w:rsidRDefault="00840323" w:rsidP="00840323">
            <w:pPr>
              <w:pStyle w:val="Glossarytabletext"/>
              <w:rPr>
                <w:lang w:val="en-US" w:eastAsia="en-US"/>
              </w:rPr>
            </w:pPr>
            <w:r>
              <w:rPr>
                <w:lang w:val="en-US" w:eastAsia="en-US"/>
              </w:rPr>
              <w:t>deductible gift recipient</w:t>
            </w:r>
          </w:p>
        </w:tc>
      </w:tr>
      <w:tr w:rsidR="00840323" w:rsidRPr="002C43E8" w:rsidTr="00483461">
        <w:tc>
          <w:tcPr>
            <w:tcW w:w="2721" w:type="dxa"/>
          </w:tcPr>
          <w:p w:rsidR="00840323" w:rsidRPr="002C43E8" w:rsidRDefault="00840323" w:rsidP="00483461">
            <w:pPr>
              <w:pStyle w:val="Glossarytabletext"/>
              <w:rPr>
                <w:lang w:val="en-US" w:eastAsia="en-US"/>
              </w:rPr>
            </w:pPr>
            <w:r>
              <w:rPr>
                <w:lang w:val="en-US" w:eastAsia="en-US"/>
              </w:rPr>
              <w:t>GST</w:t>
            </w:r>
          </w:p>
        </w:tc>
        <w:tc>
          <w:tcPr>
            <w:tcW w:w="3885" w:type="dxa"/>
          </w:tcPr>
          <w:p w:rsidR="00840323" w:rsidRPr="002C43E8" w:rsidRDefault="00840323" w:rsidP="00840323">
            <w:pPr>
              <w:pStyle w:val="Glossarytabletext"/>
              <w:rPr>
                <w:lang w:val="en-US" w:eastAsia="en-US"/>
              </w:rPr>
            </w:pPr>
            <w:r>
              <w:rPr>
                <w:lang w:val="en-US" w:eastAsia="en-US"/>
              </w:rPr>
              <w:t>goods and services tax</w:t>
            </w:r>
          </w:p>
        </w:tc>
      </w:tr>
      <w:tr w:rsidR="00840323" w:rsidRPr="002C43E8" w:rsidTr="00483461">
        <w:tc>
          <w:tcPr>
            <w:tcW w:w="2721" w:type="dxa"/>
          </w:tcPr>
          <w:p w:rsidR="00840323" w:rsidRPr="002C43E8" w:rsidRDefault="00840323" w:rsidP="00483461">
            <w:pPr>
              <w:pStyle w:val="Glossarytabletext"/>
              <w:rPr>
                <w:lang w:val="en-US" w:eastAsia="en-US"/>
              </w:rPr>
            </w:pPr>
            <w:r>
              <w:rPr>
                <w:lang w:val="en-US" w:eastAsia="en-US"/>
              </w:rPr>
              <w:t>GST Act</w:t>
            </w:r>
          </w:p>
        </w:tc>
        <w:tc>
          <w:tcPr>
            <w:tcW w:w="3885" w:type="dxa"/>
          </w:tcPr>
          <w:p w:rsidR="00840323" w:rsidRPr="00840323" w:rsidRDefault="00840323" w:rsidP="00840323">
            <w:pPr>
              <w:pStyle w:val="Glossarytabletext"/>
              <w:rPr>
                <w:i/>
                <w:lang w:val="en-US" w:eastAsia="en-US"/>
              </w:rPr>
            </w:pPr>
            <w:r w:rsidRPr="00840323">
              <w:rPr>
                <w:i/>
                <w:lang w:val="en-US" w:eastAsia="en-US"/>
              </w:rPr>
              <w:t>A New Tax System (Goods and Services Tax)</w:t>
            </w:r>
            <w:r>
              <w:rPr>
                <w:i/>
                <w:lang w:val="en-US" w:eastAsia="en-US"/>
              </w:rPr>
              <w:t> </w:t>
            </w:r>
            <w:r w:rsidRPr="00840323">
              <w:rPr>
                <w:i/>
                <w:lang w:val="en-US" w:eastAsia="en-US"/>
              </w:rPr>
              <w:t>Act 1999</w:t>
            </w:r>
          </w:p>
        </w:tc>
      </w:tr>
      <w:tr w:rsidR="00840323" w:rsidRPr="002C43E8" w:rsidTr="00483461">
        <w:tc>
          <w:tcPr>
            <w:tcW w:w="2721" w:type="dxa"/>
          </w:tcPr>
          <w:p w:rsidR="00840323" w:rsidRPr="002C43E8" w:rsidRDefault="00840323" w:rsidP="00483461">
            <w:pPr>
              <w:pStyle w:val="Glossarytabletext"/>
              <w:rPr>
                <w:lang w:val="en-US" w:eastAsia="en-US"/>
              </w:rPr>
            </w:pPr>
            <w:r>
              <w:rPr>
                <w:lang w:val="en-US" w:eastAsia="en-US"/>
              </w:rPr>
              <w:t>ITAA 1997</w:t>
            </w:r>
          </w:p>
        </w:tc>
        <w:tc>
          <w:tcPr>
            <w:tcW w:w="3885" w:type="dxa"/>
          </w:tcPr>
          <w:p w:rsidR="00840323" w:rsidRPr="00840323" w:rsidRDefault="00840323" w:rsidP="00483461">
            <w:pPr>
              <w:pStyle w:val="Glossarytabletext"/>
              <w:rPr>
                <w:i/>
                <w:lang w:val="en-US" w:eastAsia="en-US"/>
              </w:rPr>
            </w:pPr>
            <w:r w:rsidRPr="00840323">
              <w:rPr>
                <w:i/>
                <w:lang w:val="en-US" w:eastAsia="en-US"/>
              </w:rPr>
              <w:t>Income Tax Assessment Act 1997</w:t>
            </w:r>
          </w:p>
        </w:tc>
      </w:tr>
      <w:tr w:rsidR="00840323" w:rsidRPr="002C43E8" w:rsidTr="00483461">
        <w:tc>
          <w:tcPr>
            <w:tcW w:w="2721" w:type="dxa"/>
          </w:tcPr>
          <w:p w:rsidR="00840323" w:rsidRPr="002C43E8" w:rsidRDefault="00840323" w:rsidP="00483461">
            <w:pPr>
              <w:pStyle w:val="Glossarytabletext"/>
              <w:rPr>
                <w:lang w:val="en-US" w:eastAsia="en-US"/>
              </w:rPr>
            </w:pPr>
            <w:r>
              <w:rPr>
                <w:lang w:val="en-US" w:eastAsia="en-US"/>
              </w:rPr>
              <w:t>RSA</w:t>
            </w:r>
          </w:p>
        </w:tc>
        <w:tc>
          <w:tcPr>
            <w:tcW w:w="3885" w:type="dxa"/>
          </w:tcPr>
          <w:p w:rsidR="00840323" w:rsidRPr="002C43E8" w:rsidRDefault="00840323" w:rsidP="00840323">
            <w:pPr>
              <w:pStyle w:val="Glossarytabletext"/>
              <w:rPr>
                <w:lang w:val="en-US" w:eastAsia="en-US"/>
              </w:rPr>
            </w:pPr>
            <w:r>
              <w:rPr>
                <w:lang w:val="en-US" w:eastAsia="en-US"/>
              </w:rPr>
              <w:t>retirement savings account</w:t>
            </w:r>
          </w:p>
        </w:tc>
      </w:tr>
      <w:tr w:rsidR="00840323" w:rsidRPr="002C43E8" w:rsidTr="00483461">
        <w:tc>
          <w:tcPr>
            <w:tcW w:w="2721" w:type="dxa"/>
          </w:tcPr>
          <w:p w:rsidR="00840323" w:rsidRPr="002C43E8" w:rsidRDefault="00840323" w:rsidP="00483461">
            <w:pPr>
              <w:pStyle w:val="Glossarytabletext"/>
              <w:rPr>
                <w:lang w:val="en-US" w:eastAsia="en-US"/>
              </w:rPr>
            </w:pPr>
            <w:r>
              <w:rPr>
                <w:lang w:val="en-US" w:eastAsia="en-US"/>
              </w:rPr>
              <w:t>RSA Act</w:t>
            </w:r>
          </w:p>
        </w:tc>
        <w:tc>
          <w:tcPr>
            <w:tcW w:w="3885" w:type="dxa"/>
          </w:tcPr>
          <w:p w:rsidR="00840323" w:rsidRPr="00840323" w:rsidRDefault="00840323" w:rsidP="00483461">
            <w:pPr>
              <w:pStyle w:val="Glossarytabletext"/>
              <w:rPr>
                <w:i/>
                <w:lang w:val="en-US" w:eastAsia="en-US"/>
              </w:rPr>
            </w:pPr>
            <w:r w:rsidRPr="00840323">
              <w:rPr>
                <w:i/>
                <w:lang w:val="en-US" w:eastAsia="en-US"/>
              </w:rPr>
              <w:t>Retirement Savings Accounts Act 1997</w:t>
            </w:r>
          </w:p>
        </w:tc>
      </w:tr>
      <w:tr w:rsidR="00840323" w:rsidRPr="002C43E8" w:rsidTr="00483461">
        <w:tc>
          <w:tcPr>
            <w:tcW w:w="2721" w:type="dxa"/>
          </w:tcPr>
          <w:p w:rsidR="00840323" w:rsidRPr="002C43E8" w:rsidRDefault="00840323" w:rsidP="00483461">
            <w:pPr>
              <w:pStyle w:val="Glossarytabletext"/>
              <w:rPr>
                <w:lang w:val="en-US" w:eastAsia="en-US"/>
              </w:rPr>
            </w:pPr>
            <w:r>
              <w:rPr>
                <w:lang w:val="en-US" w:eastAsia="en-US"/>
              </w:rPr>
              <w:t>SIS Act</w:t>
            </w:r>
          </w:p>
        </w:tc>
        <w:tc>
          <w:tcPr>
            <w:tcW w:w="3885" w:type="dxa"/>
          </w:tcPr>
          <w:p w:rsidR="00840323" w:rsidRPr="00840323" w:rsidRDefault="00840323" w:rsidP="00840323">
            <w:pPr>
              <w:pStyle w:val="Glossarytabletext"/>
              <w:rPr>
                <w:i/>
                <w:lang w:val="en-US" w:eastAsia="en-US"/>
              </w:rPr>
            </w:pPr>
            <w:r w:rsidRPr="00840323">
              <w:rPr>
                <w:i/>
                <w:lang w:val="en-US" w:eastAsia="en-US"/>
              </w:rPr>
              <w:t>Superannuation Industry (Supervision) Act</w:t>
            </w:r>
            <w:r>
              <w:rPr>
                <w:i/>
                <w:lang w:val="en-US" w:eastAsia="en-US"/>
              </w:rPr>
              <w:t> </w:t>
            </w:r>
            <w:r w:rsidRPr="00840323">
              <w:rPr>
                <w:i/>
                <w:lang w:val="en-US" w:eastAsia="en-US"/>
              </w:rPr>
              <w:t>1993</w:t>
            </w:r>
          </w:p>
        </w:tc>
      </w:tr>
      <w:tr w:rsidR="00840323" w:rsidRPr="002C43E8" w:rsidTr="00483461">
        <w:tc>
          <w:tcPr>
            <w:tcW w:w="2721" w:type="dxa"/>
          </w:tcPr>
          <w:p w:rsidR="00840323" w:rsidRPr="002C43E8" w:rsidRDefault="00840323" w:rsidP="00483461">
            <w:pPr>
              <w:pStyle w:val="Glossarytabletext"/>
              <w:rPr>
                <w:lang w:val="en-US" w:eastAsia="en-US"/>
              </w:rPr>
            </w:pPr>
            <w:r>
              <w:rPr>
                <w:lang w:val="en-US" w:eastAsia="en-US"/>
              </w:rPr>
              <w:t>SMSF</w:t>
            </w:r>
          </w:p>
        </w:tc>
        <w:tc>
          <w:tcPr>
            <w:tcW w:w="3885" w:type="dxa"/>
          </w:tcPr>
          <w:p w:rsidR="00840323" w:rsidRPr="002C43E8" w:rsidRDefault="00840323" w:rsidP="00840323">
            <w:pPr>
              <w:pStyle w:val="Glossarytabletext"/>
              <w:rPr>
                <w:lang w:val="en-US" w:eastAsia="en-US"/>
              </w:rPr>
            </w:pPr>
            <w:r>
              <w:rPr>
                <w:lang w:val="en-US" w:eastAsia="en-US"/>
              </w:rPr>
              <w:t>self managed superannuation fund</w:t>
            </w:r>
          </w:p>
        </w:tc>
      </w:tr>
      <w:tr w:rsidR="00840323" w:rsidRPr="002C43E8" w:rsidTr="00483461">
        <w:tc>
          <w:tcPr>
            <w:tcW w:w="2721" w:type="dxa"/>
          </w:tcPr>
          <w:p w:rsidR="00840323" w:rsidRPr="002C43E8" w:rsidRDefault="00840323" w:rsidP="00483461">
            <w:pPr>
              <w:pStyle w:val="Glossarytabletext"/>
              <w:rPr>
                <w:lang w:val="en-US" w:eastAsia="en-US"/>
              </w:rPr>
            </w:pPr>
            <w:r>
              <w:rPr>
                <w:lang w:val="en-US" w:eastAsia="en-US"/>
              </w:rPr>
              <w:t>TAA 1953</w:t>
            </w:r>
          </w:p>
        </w:tc>
        <w:tc>
          <w:tcPr>
            <w:tcW w:w="3885" w:type="dxa"/>
          </w:tcPr>
          <w:p w:rsidR="00840323" w:rsidRPr="00840323" w:rsidRDefault="00840323" w:rsidP="00483461">
            <w:pPr>
              <w:pStyle w:val="Glossarytabletext"/>
              <w:rPr>
                <w:i/>
                <w:lang w:val="en-US" w:eastAsia="en-US"/>
              </w:rPr>
            </w:pPr>
            <w:r w:rsidRPr="00840323">
              <w:rPr>
                <w:i/>
                <w:lang w:val="en-US" w:eastAsia="en-US"/>
              </w:rPr>
              <w:t>Taxation Administration Act 1953</w:t>
            </w:r>
          </w:p>
        </w:tc>
      </w:tr>
      <w:tr w:rsidR="00840323" w:rsidRPr="002C43E8" w:rsidTr="00483461">
        <w:tc>
          <w:tcPr>
            <w:tcW w:w="2721" w:type="dxa"/>
          </w:tcPr>
          <w:p w:rsidR="00840323" w:rsidRPr="002C43E8" w:rsidRDefault="00840323" w:rsidP="00483461">
            <w:pPr>
              <w:pStyle w:val="Glossarytabletext"/>
              <w:rPr>
                <w:lang w:val="en-US" w:eastAsia="en-US"/>
              </w:rPr>
            </w:pPr>
            <w:r>
              <w:rPr>
                <w:lang w:val="en-US" w:eastAsia="en-US"/>
              </w:rPr>
              <w:t>TFNs</w:t>
            </w:r>
          </w:p>
        </w:tc>
        <w:tc>
          <w:tcPr>
            <w:tcW w:w="3885" w:type="dxa"/>
          </w:tcPr>
          <w:p w:rsidR="00840323" w:rsidRPr="002C43E8" w:rsidRDefault="00840323" w:rsidP="00840323">
            <w:pPr>
              <w:pStyle w:val="Glossarytabletext"/>
              <w:rPr>
                <w:lang w:val="en-US" w:eastAsia="en-US"/>
              </w:rPr>
            </w:pPr>
            <w:r>
              <w:rPr>
                <w:lang w:val="en-US" w:eastAsia="en-US"/>
              </w:rPr>
              <w:t>tax file numbers</w:t>
            </w:r>
          </w:p>
        </w:tc>
      </w:tr>
      <w:tr w:rsidR="00840323" w:rsidRPr="002C43E8" w:rsidTr="00483461">
        <w:tc>
          <w:tcPr>
            <w:tcW w:w="2721" w:type="dxa"/>
          </w:tcPr>
          <w:p w:rsidR="00840323" w:rsidRPr="002C43E8" w:rsidRDefault="00840323" w:rsidP="00483461">
            <w:pPr>
              <w:pStyle w:val="Glossarytabletext"/>
              <w:rPr>
                <w:lang w:val="en-US" w:eastAsia="en-US"/>
              </w:rPr>
            </w:pPr>
            <w:r>
              <w:rPr>
                <w:lang w:val="en-US" w:eastAsia="en-US"/>
              </w:rPr>
              <w:t>TIES</w:t>
            </w:r>
          </w:p>
        </w:tc>
        <w:tc>
          <w:tcPr>
            <w:tcW w:w="3885" w:type="dxa"/>
          </w:tcPr>
          <w:p w:rsidR="00840323" w:rsidRPr="002C43E8" w:rsidRDefault="00840323" w:rsidP="00483461">
            <w:pPr>
              <w:pStyle w:val="Glossarytabletext"/>
              <w:rPr>
                <w:lang w:val="en-US" w:eastAsia="en-US"/>
              </w:rPr>
            </w:pPr>
            <w:r>
              <w:rPr>
                <w:lang w:val="en-US" w:eastAsia="en-US"/>
              </w:rPr>
              <w:t>Tax Issues Entry System</w:t>
            </w:r>
          </w:p>
        </w:tc>
      </w:tr>
    </w:tbl>
    <w:p w:rsidR="00826EC8" w:rsidRDefault="00826EC8" w:rsidP="00483461">
      <w:pPr>
        <w:sectPr w:rsidR="00826EC8" w:rsidSect="00483461">
          <w:headerReference w:type="even" r:id="rId18"/>
          <w:headerReference w:type="default" r:id="rId19"/>
          <w:footerReference w:type="even" r:id="rId20"/>
          <w:footerReference w:type="default" r:id="rId21"/>
          <w:footerReference w:type="first" r:id="rId22"/>
          <w:type w:val="oddPage"/>
          <w:pgSz w:w="11906" w:h="16838" w:code="9"/>
          <w:pgMar w:top="2466" w:right="2098" w:bottom="2466" w:left="2098" w:header="1559" w:footer="1899" w:gutter="0"/>
          <w:pgNumType w:start="1"/>
          <w:cols w:space="708"/>
          <w:titlePg/>
          <w:docGrid w:linePitch="360"/>
        </w:sectPr>
      </w:pPr>
    </w:p>
    <w:p w:rsidR="00483461" w:rsidRDefault="00483461" w:rsidP="00483461">
      <w:pPr>
        <w:pStyle w:val="Chapterheadingsubdocument"/>
      </w:pPr>
      <w:bookmarkStart w:id="1" w:name="_Toc288643033"/>
      <w:r w:rsidRPr="00D14B4B">
        <w:rPr>
          <w:rStyle w:val="Font30point"/>
        </w:rPr>
        <w:lastRenderedPageBreak/>
        <w:t>G</w:t>
      </w:r>
      <w:r>
        <w:t>eneral outline and financial impact</w:t>
      </w:r>
      <w:bookmarkEnd w:id="1"/>
    </w:p>
    <w:p w:rsidR="00483461" w:rsidRDefault="00483461" w:rsidP="00483461">
      <w:pPr>
        <w:pStyle w:val="Heading2"/>
      </w:pPr>
      <w:r>
        <w:t>Deductible gift recipients</w:t>
      </w:r>
    </w:p>
    <w:p w:rsidR="00483461" w:rsidRPr="006D3F99" w:rsidRDefault="00483461" w:rsidP="00483461">
      <w:pPr>
        <w:pStyle w:val="base-text-paragraphnonumbers"/>
      </w:pPr>
      <w:r>
        <w:t xml:space="preserve">Schedule 1 to this Bill amends the </w:t>
      </w:r>
      <w:r>
        <w:rPr>
          <w:i/>
        </w:rPr>
        <w:t>Income Tax Assessment Act 1997</w:t>
      </w:r>
      <w:r>
        <w:t xml:space="preserve"> to update the list of deductible gift recipients (DGRs) to make two entities DGRs, and change the name of another entity.</w:t>
      </w:r>
    </w:p>
    <w:p w:rsidR="00483461" w:rsidRDefault="00483461" w:rsidP="00483461">
      <w:pPr>
        <w:pStyle w:val="base-text-paragraphnonumbers"/>
      </w:pPr>
      <w:r w:rsidRPr="0088195E">
        <w:rPr>
          <w:rStyle w:val="BoldItalic"/>
        </w:rPr>
        <w:t>Date of effect</w:t>
      </w:r>
      <w:r w:rsidRPr="00266048">
        <w:rPr>
          <w:rStyle w:val="base-text-paragraphChar"/>
        </w:rPr>
        <w:t xml:space="preserve">:  </w:t>
      </w:r>
      <w:r>
        <w:t>For the Charlie Perkins Trust for Children &amp; Students, and the Roberta Sykes Indigenous Education Foundation the amendments apply to gifts made after 2 August 2010</w:t>
      </w:r>
      <w:r w:rsidRPr="009341EE">
        <w:t xml:space="preserve">. </w:t>
      </w:r>
      <w:r>
        <w:t xml:space="preserve"> The name change to Girl Guides Australia applies from 1 January 2011.</w:t>
      </w:r>
    </w:p>
    <w:p w:rsidR="00483461" w:rsidRDefault="00483461" w:rsidP="00483461">
      <w:pPr>
        <w:pStyle w:val="base-text-paragraphnonumbers"/>
      </w:pPr>
      <w:r w:rsidRPr="0088195E">
        <w:rPr>
          <w:rStyle w:val="BoldItalic"/>
        </w:rPr>
        <w:t>Proposal announced</w:t>
      </w:r>
      <w:r w:rsidRPr="00266048">
        <w:rPr>
          <w:rStyle w:val="base-text-paragraphChar"/>
        </w:rPr>
        <w:t xml:space="preserve">:  </w:t>
      </w:r>
      <w:r>
        <w:t>The listing of Charlie Perkins Trust for Children &amp; Students, and the Roberta Sykes Indigenous Education Foundation as DGRs was announced in the 2010</w:t>
      </w:r>
      <w:r>
        <w:noBreakHyphen/>
        <w:t>11 Mid-Year Economic and Fiscal Outlook.</w:t>
      </w:r>
    </w:p>
    <w:p w:rsidR="00483461" w:rsidRDefault="00483461" w:rsidP="00483461">
      <w:pPr>
        <w:pStyle w:val="base-text-paragraphnonumbers"/>
        <w:spacing w:after="240"/>
        <w:rPr>
          <w:rStyle w:val="base-text-paragraphChar"/>
        </w:rPr>
      </w:pPr>
      <w:r w:rsidRPr="0088195E">
        <w:rPr>
          <w:rStyle w:val="BoldItalic"/>
        </w:rPr>
        <w:t>Financial impact</w:t>
      </w:r>
      <w:r w:rsidRPr="00266048">
        <w:rPr>
          <w:rStyle w:val="base-text-paragraphChar"/>
        </w:rPr>
        <w:t xml:space="preserve">:  </w:t>
      </w:r>
      <w:r>
        <w:rPr>
          <w:rStyle w:val="base-text-paragraphChar"/>
        </w:rPr>
        <w:t>This measure will have the following revenue implications:</w:t>
      </w:r>
    </w:p>
    <w:tbl>
      <w:tblPr>
        <w:tblW w:w="66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260"/>
        <w:gridCol w:w="1183"/>
        <w:gridCol w:w="1183"/>
        <w:gridCol w:w="1234"/>
      </w:tblGrid>
      <w:tr w:rsidR="00483461" w:rsidRPr="00E31B34" w:rsidTr="00483461">
        <w:tc>
          <w:tcPr>
            <w:tcW w:w="1800" w:type="dxa"/>
          </w:tcPr>
          <w:p w:rsidR="00483461" w:rsidRPr="00E31B34" w:rsidRDefault="00483461" w:rsidP="00483461">
            <w:pPr>
              <w:pStyle w:val="tableheaderwithintable"/>
            </w:pPr>
            <w:r>
              <w:t>Organisation</w:t>
            </w:r>
          </w:p>
        </w:tc>
        <w:tc>
          <w:tcPr>
            <w:tcW w:w="1260" w:type="dxa"/>
          </w:tcPr>
          <w:p w:rsidR="00483461" w:rsidRPr="00E31B34" w:rsidRDefault="00483461" w:rsidP="00483461">
            <w:pPr>
              <w:pStyle w:val="tableheaderwithintable"/>
            </w:pPr>
            <w:r w:rsidRPr="00E31B34">
              <w:t>20</w:t>
            </w:r>
            <w:r>
              <w:t>10-11</w:t>
            </w:r>
          </w:p>
        </w:tc>
        <w:tc>
          <w:tcPr>
            <w:tcW w:w="1183" w:type="dxa"/>
          </w:tcPr>
          <w:p w:rsidR="00483461" w:rsidRPr="00E31B34" w:rsidRDefault="00483461" w:rsidP="00483461">
            <w:pPr>
              <w:pStyle w:val="tableheaderwithintable"/>
            </w:pPr>
            <w:r>
              <w:t>2011</w:t>
            </w:r>
            <w:r w:rsidRPr="00E31B34">
              <w:t>-</w:t>
            </w:r>
            <w:r>
              <w:t>12</w:t>
            </w:r>
          </w:p>
        </w:tc>
        <w:tc>
          <w:tcPr>
            <w:tcW w:w="1183" w:type="dxa"/>
          </w:tcPr>
          <w:p w:rsidR="00483461" w:rsidRPr="00E31B34" w:rsidRDefault="00483461" w:rsidP="00483461">
            <w:pPr>
              <w:pStyle w:val="tableheaderwithintable"/>
            </w:pPr>
            <w:r w:rsidRPr="00E31B34">
              <w:t>20</w:t>
            </w:r>
            <w:r>
              <w:t>12-13</w:t>
            </w:r>
          </w:p>
        </w:tc>
        <w:tc>
          <w:tcPr>
            <w:tcW w:w="1234" w:type="dxa"/>
          </w:tcPr>
          <w:p w:rsidR="00483461" w:rsidRPr="00E31B34" w:rsidRDefault="00483461" w:rsidP="00483461">
            <w:pPr>
              <w:pStyle w:val="tableheaderwithintable"/>
            </w:pPr>
            <w:r w:rsidRPr="00E31B34">
              <w:t>201</w:t>
            </w:r>
            <w:r>
              <w:t>3</w:t>
            </w:r>
            <w:r w:rsidRPr="00E31B34">
              <w:t>-1</w:t>
            </w:r>
            <w:r>
              <w:t>4</w:t>
            </w:r>
          </w:p>
        </w:tc>
      </w:tr>
      <w:tr w:rsidR="00483461" w:rsidRPr="006A056A" w:rsidTr="00483461">
        <w:tc>
          <w:tcPr>
            <w:tcW w:w="1800" w:type="dxa"/>
          </w:tcPr>
          <w:p w:rsidR="00483461" w:rsidRPr="006A056A" w:rsidRDefault="00483461" w:rsidP="00483461">
            <w:pPr>
              <w:pStyle w:val="tabletext"/>
              <w:spacing w:before="60" w:after="60"/>
            </w:pPr>
            <w:r>
              <w:t>Charlie Perkins Trust for Children &amp; Students</w:t>
            </w:r>
          </w:p>
        </w:tc>
        <w:tc>
          <w:tcPr>
            <w:tcW w:w="1260" w:type="dxa"/>
            <w:vAlign w:val="center"/>
          </w:tcPr>
          <w:p w:rsidR="00483461" w:rsidRPr="00D73B34" w:rsidRDefault="00483461" w:rsidP="00483461">
            <w:pPr>
              <w:pStyle w:val="tabletext"/>
              <w:spacing w:before="60" w:after="60"/>
              <w:jc w:val="center"/>
            </w:pPr>
            <w:r>
              <w:t>−$0.005m</w:t>
            </w:r>
          </w:p>
        </w:tc>
        <w:tc>
          <w:tcPr>
            <w:tcW w:w="1183" w:type="dxa"/>
            <w:vAlign w:val="center"/>
          </w:tcPr>
          <w:p w:rsidR="00483461" w:rsidRPr="00D73B34" w:rsidRDefault="00483461" w:rsidP="00483461">
            <w:pPr>
              <w:pStyle w:val="tabletext"/>
              <w:spacing w:before="60" w:after="60"/>
              <w:jc w:val="center"/>
            </w:pPr>
            <w:r>
              <w:t>−$0.03m</w:t>
            </w:r>
          </w:p>
        </w:tc>
        <w:tc>
          <w:tcPr>
            <w:tcW w:w="1183" w:type="dxa"/>
            <w:vAlign w:val="center"/>
          </w:tcPr>
          <w:p w:rsidR="00483461" w:rsidRPr="00D73B34" w:rsidRDefault="00483461" w:rsidP="00483461">
            <w:pPr>
              <w:pStyle w:val="tabletext"/>
              <w:spacing w:before="60" w:after="60"/>
              <w:jc w:val="center"/>
            </w:pPr>
            <w:r>
              <w:t>−$0.03m</w:t>
            </w:r>
          </w:p>
        </w:tc>
        <w:tc>
          <w:tcPr>
            <w:tcW w:w="1234" w:type="dxa"/>
            <w:vAlign w:val="center"/>
          </w:tcPr>
          <w:p w:rsidR="00483461" w:rsidRPr="00D73B34" w:rsidRDefault="00483461" w:rsidP="00483461">
            <w:pPr>
              <w:pStyle w:val="tabletext"/>
              <w:spacing w:before="60" w:after="60"/>
              <w:jc w:val="center"/>
            </w:pPr>
            <w:r>
              <w:t>−$0.03m</w:t>
            </w:r>
          </w:p>
        </w:tc>
      </w:tr>
      <w:tr w:rsidR="00483461" w:rsidRPr="006A056A" w:rsidTr="00483461">
        <w:tc>
          <w:tcPr>
            <w:tcW w:w="1800" w:type="dxa"/>
          </w:tcPr>
          <w:p w:rsidR="00483461" w:rsidRPr="00E31B34" w:rsidRDefault="00483461" w:rsidP="00483461">
            <w:pPr>
              <w:pStyle w:val="tabletext"/>
              <w:spacing w:before="60" w:after="60"/>
            </w:pPr>
            <w:r>
              <w:t>Roberta Sykes Indigenous Education Foundation</w:t>
            </w:r>
          </w:p>
        </w:tc>
        <w:tc>
          <w:tcPr>
            <w:tcW w:w="1260" w:type="dxa"/>
            <w:vAlign w:val="center"/>
          </w:tcPr>
          <w:p w:rsidR="00483461" w:rsidRPr="00D73B34" w:rsidRDefault="00483461" w:rsidP="00483461">
            <w:pPr>
              <w:pStyle w:val="tabletext"/>
              <w:spacing w:before="60" w:after="60"/>
              <w:jc w:val="center"/>
            </w:pPr>
            <w:r>
              <w:t>−$0.004m</w:t>
            </w:r>
          </w:p>
        </w:tc>
        <w:tc>
          <w:tcPr>
            <w:tcW w:w="1183" w:type="dxa"/>
            <w:vAlign w:val="center"/>
          </w:tcPr>
          <w:p w:rsidR="00483461" w:rsidRPr="00D73B34" w:rsidRDefault="00483461" w:rsidP="00483461">
            <w:pPr>
              <w:pStyle w:val="tabletext"/>
              <w:spacing w:before="60" w:after="60"/>
              <w:jc w:val="center"/>
            </w:pPr>
            <w:r>
              <w:t>−$0.02m</w:t>
            </w:r>
          </w:p>
        </w:tc>
        <w:tc>
          <w:tcPr>
            <w:tcW w:w="1183" w:type="dxa"/>
            <w:vAlign w:val="center"/>
          </w:tcPr>
          <w:p w:rsidR="00483461" w:rsidRPr="00D73B34" w:rsidRDefault="00483461" w:rsidP="00483461">
            <w:pPr>
              <w:pStyle w:val="tabletext"/>
              <w:spacing w:before="60" w:after="60"/>
              <w:jc w:val="center"/>
            </w:pPr>
            <w:r>
              <w:t>−$0.02m</w:t>
            </w:r>
          </w:p>
        </w:tc>
        <w:tc>
          <w:tcPr>
            <w:tcW w:w="1234" w:type="dxa"/>
            <w:vAlign w:val="center"/>
          </w:tcPr>
          <w:p w:rsidR="00483461" w:rsidRPr="00D73B34" w:rsidRDefault="00483461" w:rsidP="00483461">
            <w:pPr>
              <w:pStyle w:val="tabletext"/>
              <w:spacing w:before="60" w:after="60"/>
              <w:jc w:val="center"/>
            </w:pPr>
            <w:r>
              <w:t>−$0.02m</w:t>
            </w:r>
          </w:p>
        </w:tc>
      </w:tr>
      <w:tr w:rsidR="00483461" w:rsidRPr="006A056A" w:rsidTr="00483461">
        <w:tc>
          <w:tcPr>
            <w:tcW w:w="1800" w:type="dxa"/>
          </w:tcPr>
          <w:p w:rsidR="00483461" w:rsidRPr="00BA096C" w:rsidRDefault="00483461" w:rsidP="00483461">
            <w:pPr>
              <w:pStyle w:val="tabletext"/>
              <w:spacing w:before="60" w:after="60"/>
              <w:rPr>
                <w:b/>
              </w:rPr>
            </w:pPr>
            <w:r w:rsidRPr="00BA096C">
              <w:rPr>
                <w:b/>
              </w:rPr>
              <w:t>Total</w:t>
            </w:r>
          </w:p>
        </w:tc>
        <w:tc>
          <w:tcPr>
            <w:tcW w:w="1260" w:type="dxa"/>
            <w:vAlign w:val="bottom"/>
          </w:tcPr>
          <w:p w:rsidR="00483461" w:rsidRPr="00D12A2C" w:rsidRDefault="00483461" w:rsidP="00483461">
            <w:pPr>
              <w:jc w:val="center"/>
              <w:rPr>
                <w:b/>
                <w:bCs/>
                <w:sz w:val="20"/>
              </w:rPr>
            </w:pPr>
            <w:r>
              <w:t>−</w:t>
            </w:r>
            <w:r>
              <w:rPr>
                <w:b/>
                <w:bCs/>
                <w:sz w:val="20"/>
              </w:rPr>
              <w:t>$0.01</w:t>
            </w:r>
            <w:r w:rsidRPr="00D12A2C">
              <w:rPr>
                <w:b/>
                <w:bCs/>
                <w:sz w:val="20"/>
              </w:rPr>
              <w:t>m</w:t>
            </w:r>
          </w:p>
        </w:tc>
        <w:tc>
          <w:tcPr>
            <w:tcW w:w="1183" w:type="dxa"/>
            <w:vAlign w:val="bottom"/>
          </w:tcPr>
          <w:p w:rsidR="00483461" w:rsidRPr="00D12A2C" w:rsidRDefault="00483461" w:rsidP="00483461">
            <w:pPr>
              <w:jc w:val="center"/>
              <w:rPr>
                <w:b/>
                <w:bCs/>
                <w:sz w:val="20"/>
              </w:rPr>
            </w:pPr>
            <w:r>
              <w:t>−</w:t>
            </w:r>
            <w:r w:rsidRPr="00D12A2C">
              <w:rPr>
                <w:b/>
                <w:bCs/>
                <w:sz w:val="20"/>
              </w:rPr>
              <w:t>$</w:t>
            </w:r>
            <w:r>
              <w:rPr>
                <w:b/>
                <w:bCs/>
                <w:sz w:val="20"/>
              </w:rPr>
              <w:t>0</w:t>
            </w:r>
            <w:r w:rsidRPr="00D12A2C">
              <w:rPr>
                <w:b/>
                <w:bCs/>
                <w:sz w:val="20"/>
              </w:rPr>
              <w:t>.</w:t>
            </w:r>
            <w:r>
              <w:rPr>
                <w:b/>
                <w:bCs/>
                <w:sz w:val="20"/>
              </w:rPr>
              <w:t>05</w:t>
            </w:r>
            <w:r w:rsidRPr="00D12A2C">
              <w:rPr>
                <w:b/>
                <w:bCs/>
                <w:sz w:val="20"/>
              </w:rPr>
              <w:t>m</w:t>
            </w:r>
          </w:p>
        </w:tc>
        <w:tc>
          <w:tcPr>
            <w:tcW w:w="1183" w:type="dxa"/>
            <w:vAlign w:val="bottom"/>
          </w:tcPr>
          <w:p w:rsidR="00483461" w:rsidRPr="00D12A2C" w:rsidRDefault="00483461" w:rsidP="00483461">
            <w:pPr>
              <w:jc w:val="center"/>
              <w:rPr>
                <w:b/>
                <w:bCs/>
                <w:sz w:val="20"/>
              </w:rPr>
            </w:pPr>
            <w:r>
              <w:t>−</w:t>
            </w:r>
            <w:r>
              <w:rPr>
                <w:b/>
                <w:bCs/>
                <w:sz w:val="20"/>
              </w:rPr>
              <w:t>$0</w:t>
            </w:r>
            <w:r w:rsidRPr="00D12A2C">
              <w:rPr>
                <w:b/>
                <w:bCs/>
                <w:sz w:val="20"/>
              </w:rPr>
              <w:t>.</w:t>
            </w:r>
            <w:r>
              <w:rPr>
                <w:b/>
                <w:bCs/>
                <w:sz w:val="20"/>
              </w:rPr>
              <w:t>05</w:t>
            </w:r>
            <w:r w:rsidRPr="00D12A2C">
              <w:rPr>
                <w:b/>
                <w:bCs/>
                <w:sz w:val="20"/>
              </w:rPr>
              <w:t>m</w:t>
            </w:r>
          </w:p>
        </w:tc>
        <w:tc>
          <w:tcPr>
            <w:tcW w:w="1234" w:type="dxa"/>
            <w:vAlign w:val="bottom"/>
          </w:tcPr>
          <w:p w:rsidR="00483461" w:rsidRPr="00D12A2C" w:rsidRDefault="00483461" w:rsidP="00483461">
            <w:pPr>
              <w:jc w:val="center"/>
              <w:rPr>
                <w:b/>
                <w:bCs/>
                <w:sz w:val="20"/>
              </w:rPr>
            </w:pPr>
            <w:r>
              <w:t>−</w:t>
            </w:r>
            <w:r>
              <w:rPr>
                <w:b/>
                <w:bCs/>
                <w:sz w:val="20"/>
              </w:rPr>
              <w:t>$0.05m</w:t>
            </w:r>
          </w:p>
        </w:tc>
      </w:tr>
    </w:tbl>
    <w:p w:rsidR="00483461" w:rsidRDefault="00483461" w:rsidP="00483461">
      <w:pPr>
        <w:pStyle w:val="base-text-paragraphnonumbers"/>
        <w:spacing w:before="240"/>
      </w:pPr>
      <w:r w:rsidRPr="0088195E">
        <w:rPr>
          <w:rStyle w:val="BoldItalic"/>
        </w:rPr>
        <w:t>Compliance cost impact</w:t>
      </w:r>
      <w:r w:rsidRPr="00266048">
        <w:rPr>
          <w:rStyle w:val="base-text-paragraphChar"/>
        </w:rPr>
        <w:t xml:space="preserve">:  </w:t>
      </w:r>
      <w:r>
        <w:t>Nil.</w:t>
      </w:r>
    </w:p>
    <w:p w:rsidR="00483461" w:rsidRDefault="00483461" w:rsidP="00957C92">
      <w:pPr>
        <w:pStyle w:val="Heading2"/>
        <w:keepLines/>
      </w:pPr>
      <w:bookmarkStart w:id="2" w:name="_Toc280282844"/>
      <w:r>
        <w:lastRenderedPageBreak/>
        <w:t>Self managed superannuation fund investment in collectables and personal use assets</w:t>
      </w:r>
    </w:p>
    <w:p w:rsidR="00483461" w:rsidRDefault="00483461" w:rsidP="00957C92">
      <w:pPr>
        <w:pStyle w:val="base-text-paragraph"/>
        <w:keepNext/>
        <w:keepLines/>
        <w:numPr>
          <w:ilvl w:val="0"/>
          <w:numId w:val="0"/>
        </w:numPr>
        <w:ind w:left="1134"/>
      </w:pPr>
      <w:r>
        <w:t xml:space="preserve">Schedule </w:t>
      </w:r>
      <w:r w:rsidR="00DB3797">
        <w:t>2</w:t>
      </w:r>
      <w:r>
        <w:t xml:space="preserve"> to this Bill amends the </w:t>
      </w:r>
      <w:r>
        <w:rPr>
          <w:i/>
        </w:rPr>
        <w:t>Superannuation Industry (Supervision) Act 1993</w:t>
      </w:r>
      <w:r>
        <w:t xml:space="preserve"> (SIS Act) to permit the regulations to impose rules on self managed superannuation fund (SMSF) trustees that make, hold or realise investments involving </w:t>
      </w:r>
      <w:r w:rsidRPr="00D614EA">
        <w:t>collectables or personal use assets</w:t>
      </w:r>
      <w:r>
        <w:t xml:space="preserve">.  These amendments apply in relation to investments made by an SMSF before, on or after 1 July 2011.  The regulations may specify that the amendments apply to only some of these investments.  The regulations may prescribe penalties for non-compliance with the rules set out in the regulations, not exceeding 10 penalty units.  </w:t>
      </w:r>
    </w:p>
    <w:p w:rsidR="00483461" w:rsidRDefault="00483461" w:rsidP="00483461">
      <w:pPr>
        <w:pStyle w:val="base-text-paragraph"/>
        <w:numPr>
          <w:ilvl w:val="0"/>
          <w:numId w:val="0"/>
        </w:numPr>
        <w:ind w:left="1134"/>
      </w:pPr>
      <w:r>
        <w:t>This Schedule also amends the SIS Act to remove a reference to a provision that was repealed on 24 September 2007.</w:t>
      </w:r>
    </w:p>
    <w:p w:rsidR="00483461" w:rsidRDefault="00483461" w:rsidP="00483461">
      <w:pPr>
        <w:pStyle w:val="base-text-paragraphnonumbers"/>
      </w:pPr>
      <w:r w:rsidRPr="0088195E">
        <w:rPr>
          <w:rStyle w:val="BoldItalic"/>
        </w:rPr>
        <w:t>Date of effect</w:t>
      </w:r>
      <w:r w:rsidRPr="00266048">
        <w:rPr>
          <w:rStyle w:val="base-text-paragraphChar"/>
        </w:rPr>
        <w:t xml:space="preserve">:  </w:t>
      </w:r>
      <w:r>
        <w:t>1 July 2011.</w:t>
      </w:r>
    </w:p>
    <w:p w:rsidR="00483461" w:rsidRDefault="00483461" w:rsidP="00483461">
      <w:pPr>
        <w:pStyle w:val="base-text-paragraphnonumbers"/>
      </w:pPr>
      <w:r w:rsidRPr="0088195E">
        <w:rPr>
          <w:rStyle w:val="BoldItalic"/>
        </w:rPr>
        <w:t>Proposal announced</w:t>
      </w:r>
      <w:r w:rsidRPr="00266048">
        <w:rPr>
          <w:rStyle w:val="base-text-paragraphChar"/>
        </w:rPr>
        <w:t xml:space="preserve">:  </w:t>
      </w:r>
      <w:r>
        <w:t>This proposal was announced as a Government election commitment and titled ‘</w:t>
      </w:r>
      <w:r w:rsidRPr="00E96710">
        <w:rPr>
          <w:i/>
        </w:rPr>
        <w:t>New Standards for Storing Collectables and Personal Use Assets Held by Self Managed Superannuation</w:t>
      </w:r>
      <w:r>
        <w:t xml:space="preserve"> </w:t>
      </w:r>
      <w:r w:rsidRPr="002E3B26">
        <w:rPr>
          <w:i/>
        </w:rPr>
        <w:t>Funds</w:t>
      </w:r>
      <w:r>
        <w:t>’ on 30 July 2010.</w:t>
      </w:r>
    </w:p>
    <w:p w:rsidR="00483461" w:rsidRDefault="00483461" w:rsidP="00483461">
      <w:pPr>
        <w:pStyle w:val="base-text-paragraphnonumbers"/>
      </w:pPr>
      <w:r w:rsidRPr="0088195E">
        <w:rPr>
          <w:rStyle w:val="BoldItalic"/>
        </w:rPr>
        <w:t>Financial impact</w:t>
      </w:r>
      <w:r w:rsidRPr="00266048">
        <w:rPr>
          <w:rStyle w:val="base-text-paragraphChar"/>
        </w:rPr>
        <w:t xml:space="preserve">:  </w:t>
      </w:r>
      <w:r>
        <w:t>Nil.</w:t>
      </w:r>
    </w:p>
    <w:p w:rsidR="00483461" w:rsidRDefault="00483461" w:rsidP="00483461">
      <w:pPr>
        <w:pStyle w:val="base-text-paragraphnonumbers"/>
      </w:pPr>
      <w:r w:rsidRPr="0088195E">
        <w:rPr>
          <w:rStyle w:val="BoldItalic"/>
        </w:rPr>
        <w:t>Compliance cost impact</w:t>
      </w:r>
      <w:r w:rsidRPr="00266048">
        <w:rPr>
          <w:rStyle w:val="base-text-paragraphChar"/>
        </w:rPr>
        <w:t xml:space="preserve">:  </w:t>
      </w:r>
      <w:r>
        <w:t>Nil.</w:t>
      </w:r>
    </w:p>
    <w:bookmarkEnd w:id="2"/>
    <w:p w:rsidR="00483461" w:rsidRDefault="00483461" w:rsidP="00483461">
      <w:pPr>
        <w:pStyle w:val="Heading2"/>
      </w:pPr>
      <w:r>
        <w:t xml:space="preserve">Superannuation </w:t>
      </w:r>
      <w:r w:rsidR="00093C54">
        <w:t>—</w:t>
      </w:r>
      <w:r>
        <w:t xml:space="preserve"> tax file number amendments</w:t>
      </w:r>
    </w:p>
    <w:p w:rsidR="00483461" w:rsidRDefault="00483461" w:rsidP="00483461">
      <w:pPr>
        <w:pStyle w:val="base-text-paragraph"/>
        <w:numPr>
          <w:ilvl w:val="0"/>
          <w:numId w:val="0"/>
        </w:numPr>
        <w:ind w:left="1134"/>
      </w:pPr>
      <w:r>
        <w:t xml:space="preserve">Schedule </w:t>
      </w:r>
      <w:r w:rsidR="00DB3797">
        <w:t>3</w:t>
      </w:r>
      <w:r>
        <w:t xml:space="preserve"> to this Bill amends the </w:t>
      </w:r>
      <w:r>
        <w:rPr>
          <w:i/>
        </w:rPr>
        <w:t>Superannuation Industry (Supervision) Act 1993</w:t>
      </w:r>
      <w:r>
        <w:t xml:space="preserve"> and the </w:t>
      </w:r>
      <w:r>
        <w:rPr>
          <w:i/>
        </w:rPr>
        <w:t xml:space="preserve">Retirement Savings Accounts Act 1997 </w:t>
      </w:r>
      <w:r>
        <w:t xml:space="preserve">to allow superannuation fund trustees and retirement savings account providers to use tax file numbers (TFNs): </w:t>
      </w:r>
    </w:p>
    <w:p w:rsidR="00483461" w:rsidRDefault="00483461" w:rsidP="00483461">
      <w:pPr>
        <w:pStyle w:val="dotpoint"/>
      </w:pPr>
      <w:r>
        <w:t xml:space="preserve">as a method of locating member accounts; and </w:t>
      </w:r>
    </w:p>
    <w:p w:rsidR="00483461" w:rsidRDefault="00483461" w:rsidP="00483461">
      <w:pPr>
        <w:pStyle w:val="dotpoint"/>
      </w:pPr>
      <w:r>
        <w:t>to facilitate the consolidation of multiple member accounts.</w:t>
      </w:r>
    </w:p>
    <w:p w:rsidR="00483461" w:rsidRDefault="00483461" w:rsidP="00483461">
      <w:pPr>
        <w:pStyle w:val="base-text-paragraphnonumbers"/>
      </w:pPr>
      <w:r w:rsidRPr="0088195E">
        <w:rPr>
          <w:rStyle w:val="BoldItalic"/>
        </w:rPr>
        <w:t>Date of effect</w:t>
      </w:r>
      <w:r w:rsidRPr="00266048">
        <w:rPr>
          <w:rStyle w:val="base-text-paragraphChar"/>
        </w:rPr>
        <w:t xml:space="preserve">:  </w:t>
      </w:r>
      <w:r>
        <w:t xml:space="preserve">1 July 2011 for the amendments to use TFNs to locate accounts, and </w:t>
      </w:r>
      <w:r w:rsidRPr="00A43E63">
        <w:t>1 J</w:t>
      </w:r>
      <w:r w:rsidR="006723E8" w:rsidRPr="00A43E63">
        <w:t>anuary</w:t>
      </w:r>
      <w:r w:rsidRPr="00A43E63">
        <w:t xml:space="preserve"> 2012</w:t>
      </w:r>
      <w:r>
        <w:t xml:space="preserve"> or a date to be proclaimed for the consolidation amendments.</w:t>
      </w:r>
    </w:p>
    <w:p w:rsidR="00483461" w:rsidRDefault="00483461" w:rsidP="00483461">
      <w:pPr>
        <w:pStyle w:val="base-text-paragraphnonumbers"/>
      </w:pPr>
      <w:r w:rsidRPr="0088195E">
        <w:rPr>
          <w:rStyle w:val="BoldItalic"/>
        </w:rPr>
        <w:t>Proposal announced</w:t>
      </w:r>
      <w:r w:rsidRPr="00266048">
        <w:rPr>
          <w:rStyle w:val="base-text-paragraphChar"/>
        </w:rPr>
        <w:t xml:space="preserve">:  </w:t>
      </w:r>
      <w:r>
        <w:rPr>
          <w:rStyle w:val="base-text-paragraphChar"/>
        </w:rPr>
        <w:t>This measure was announced in the Assistant Treasurer and Minister for Financial Services and Superannuation’s Media Release No. 024 of 16 December 2010.</w:t>
      </w:r>
    </w:p>
    <w:p w:rsidR="00483461" w:rsidRDefault="00483461" w:rsidP="00483461">
      <w:pPr>
        <w:pStyle w:val="base-text-paragraphnonumbers"/>
      </w:pPr>
      <w:r w:rsidRPr="0088195E">
        <w:rPr>
          <w:rStyle w:val="BoldItalic"/>
        </w:rPr>
        <w:lastRenderedPageBreak/>
        <w:t>Financial impact</w:t>
      </w:r>
      <w:r w:rsidRPr="00266048">
        <w:rPr>
          <w:rStyle w:val="base-text-paragraphChar"/>
        </w:rPr>
        <w:t xml:space="preserve">:  </w:t>
      </w:r>
      <w:r w:rsidRPr="004220CA">
        <w:t>Nil</w:t>
      </w:r>
      <w:r>
        <w:t>.</w:t>
      </w:r>
    </w:p>
    <w:p w:rsidR="00483461" w:rsidRDefault="00483461" w:rsidP="00483461">
      <w:pPr>
        <w:pStyle w:val="base-text-paragraphnonumbers"/>
      </w:pPr>
      <w:r w:rsidRPr="0088195E">
        <w:rPr>
          <w:rStyle w:val="BoldItalic"/>
        </w:rPr>
        <w:t>Compliance cost impact</w:t>
      </w:r>
      <w:r w:rsidRPr="00266048">
        <w:rPr>
          <w:rStyle w:val="base-text-paragraphChar"/>
        </w:rPr>
        <w:t xml:space="preserve">:  </w:t>
      </w:r>
      <w:r>
        <w:t>Low.</w:t>
      </w:r>
    </w:p>
    <w:p w:rsidR="00483461" w:rsidRDefault="00483461" w:rsidP="00483461">
      <w:pPr>
        <w:pStyle w:val="Heading2"/>
      </w:pPr>
      <w:r>
        <w:t>Exempting Australian taxes, fees and charges from the goods and services tax</w:t>
      </w:r>
    </w:p>
    <w:p w:rsidR="00483461" w:rsidRDefault="00483461" w:rsidP="00483461">
      <w:pPr>
        <w:pStyle w:val="base-text-paragraphnonumbers"/>
      </w:pPr>
      <w:r>
        <w:t xml:space="preserve">Schedule </w:t>
      </w:r>
      <w:r w:rsidR="00DB3797">
        <w:t>4</w:t>
      </w:r>
      <w:r>
        <w:t xml:space="preserve"> to this Bill amends:</w:t>
      </w:r>
    </w:p>
    <w:p w:rsidR="00483461" w:rsidRDefault="00483461" w:rsidP="00483461">
      <w:pPr>
        <w:pStyle w:val="dotpoint"/>
      </w:pPr>
      <w:r>
        <w:t xml:space="preserve">the </w:t>
      </w:r>
      <w:r w:rsidRPr="003F012A">
        <w:rPr>
          <w:i/>
        </w:rPr>
        <w:t>A New Tax System (Goods and Services Tax) Act 1999</w:t>
      </w:r>
      <w:r>
        <w:t xml:space="preserve"> (GST Act) to replace the current mechanism for ensuring Australian taxes, and certain Australian fees and charges are not subject to the goods and services tax with specific legislative exemptions;</w:t>
      </w:r>
    </w:p>
    <w:p w:rsidR="00483461" w:rsidRDefault="00483461" w:rsidP="00483461">
      <w:pPr>
        <w:pStyle w:val="dotpoint"/>
      </w:pPr>
      <w:r>
        <w:t>the GST Act to allow for the making of regulations to treat an  Australian tax, or an Australian fee or charge in a particular way; and</w:t>
      </w:r>
    </w:p>
    <w:p w:rsidR="00483461" w:rsidRDefault="00483461" w:rsidP="00483461">
      <w:pPr>
        <w:pStyle w:val="dotpoint"/>
      </w:pPr>
      <w:r>
        <w:t xml:space="preserve">the </w:t>
      </w:r>
      <w:r w:rsidRPr="003F012A">
        <w:rPr>
          <w:i/>
        </w:rPr>
        <w:t>A New Tax System (Luxury Car Tax) Act 1999</w:t>
      </w:r>
      <w:r>
        <w:t xml:space="preserve"> to account for changes being made to the GST Act.</w:t>
      </w:r>
    </w:p>
    <w:p w:rsidR="00483461" w:rsidRDefault="00483461" w:rsidP="00483461">
      <w:pPr>
        <w:pStyle w:val="base-text-paragraphnonumbers"/>
      </w:pPr>
      <w:r w:rsidRPr="0088195E">
        <w:rPr>
          <w:rStyle w:val="BoldItalic"/>
        </w:rPr>
        <w:t>Date of effect</w:t>
      </w:r>
      <w:r w:rsidRPr="00266048">
        <w:rPr>
          <w:rStyle w:val="base-text-paragraphChar"/>
        </w:rPr>
        <w:t xml:space="preserve">:  </w:t>
      </w:r>
      <w:r>
        <w:t>These amendments apply from 1 July 2011.</w:t>
      </w:r>
    </w:p>
    <w:p w:rsidR="00483461" w:rsidRDefault="00483461" w:rsidP="00483461">
      <w:pPr>
        <w:pStyle w:val="base-text-paragraphnonumbers"/>
      </w:pPr>
      <w:r w:rsidRPr="0088195E">
        <w:rPr>
          <w:rStyle w:val="BoldItalic"/>
        </w:rPr>
        <w:t>Proposal announced</w:t>
      </w:r>
      <w:r w:rsidRPr="00266048">
        <w:rPr>
          <w:rStyle w:val="base-text-paragraphChar"/>
        </w:rPr>
        <w:t xml:space="preserve">:  </w:t>
      </w:r>
      <w:r>
        <w:t xml:space="preserve">This measure was announced in the 2010-11 Budget. </w:t>
      </w:r>
    </w:p>
    <w:p w:rsidR="00483461" w:rsidRDefault="00483461" w:rsidP="00483461">
      <w:pPr>
        <w:pStyle w:val="base-text-paragraphnonumbers"/>
      </w:pPr>
      <w:r w:rsidRPr="0088195E">
        <w:rPr>
          <w:rStyle w:val="BoldItalic"/>
        </w:rPr>
        <w:t>Financial impact</w:t>
      </w:r>
      <w:r w:rsidRPr="00266048">
        <w:rPr>
          <w:rStyle w:val="base-text-paragraphChar"/>
        </w:rPr>
        <w:t xml:space="preserve">:  </w:t>
      </w:r>
      <w:r>
        <w:t xml:space="preserve">Nil. </w:t>
      </w:r>
    </w:p>
    <w:p w:rsidR="00483461" w:rsidRPr="00FF0747" w:rsidRDefault="00483461" w:rsidP="00483461">
      <w:pPr>
        <w:pStyle w:val="base-text-paragraphnonumbers"/>
      </w:pPr>
      <w:r w:rsidRPr="0088195E">
        <w:rPr>
          <w:rStyle w:val="BoldItalic"/>
        </w:rPr>
        <w:t>Compliance cost impact</w:t>
      </w:r>
      <w:r w:rsidRPr="00266048">
        <w:rPr>
          <w:rStyle w:val="base-text-paragraphChar"/>
        </w:rPr>
        <w:t xml:space="preserve">:  </w:t>
      </w:r>
      <w:r>
        <w:t xml:space="preserve">These amendments are </w:t>
      </w:r>
      <w:r w:rsidRPr="00C03083">
        <w:t>expected to result in a low overall compliance cost impact, comprised of a low implementation impact and a low decrease in ongoing compliance.</w:t>
      </w:r>
    </w:p>
    <w:p w:rsidR="00325E95" w:rsidRDefault="00325E95" w:rsidP="007D3360">
      <w:pPr>
        <w:pStyle w:val="Heading2"/>
      </w:pPr>
      <w:r>
        <w:t>Miscellaneous amendments</w:t>
      </w:r>
    </w:p>
    <w:p w:rsidR="00325E95" w:rsidRDefault="00F013F8" w:rsidP="007D3360">
      <w:pPr>
        <w:pStyle w:val="base-text-paragraphnonumbers"/>
      </w:pPr>
      <w:r>
        <w:t>Schedule 5</w:t>
      </w:r>
      <w:r w:rsidR="00325E95">
        <w:t xml:space="preserve"> to this Bill makes technical corrections and other minor and miscellaneous amendments to the taxation laws.  These amendments are part of the Government’s commitment to the care and maintenance of the tax system.</w:t>
      </w:r>
    </w:p>
    <w:p w:rsidR="00325E95" w:rsidRDefault="00325E95" w:rsidP="007D3360">
      <w:pPr>
        <w:pStyle w:val="base-text-paragraphnonumbers"/>
      </w:pPr>
      <w:r w:rsidRPr="0088195E">
        <w:rPr>
          <w:rStyle w:val="BoldItalic"/>
        </w:rPr>
        <w:t>Date of effect</w:t>
      </w:r>
      <w:r w:rsidRPr="00266048">
        <w:rPr>
          <w:rStyle w:val="base-text-paragraphChar"/>
        </w:rPr>
        <w:t xml:space="preserve">:  </w:t>
      </w:r>
      <w:r>
        <w:t>These amendments commence from Royal Assent unless otherwise stated in this explanatory memorandum.</w:t>
      </w:r>
    </w:p>
    <w:p w:rsidR="00325E95" w:rsidRDefault="00325E95" w:rsidP="007D3360">
      <w:pPr>
        <w:pStyle w:val="base-text-paragraphnonumbers"/>
      </w:pPr>
      <w:r w:rsidRPr="0088195E">
        <w:rPr>
          <w:rStyle w:val="BoldItalic"/>
        </w:rPr>
        <w:lastRenderedPageBreak/>
        <w:t>Proposal announced</w:t>
      </w:r>
      <w:r w:rsidRPr="00266048">
        <w:rPr>
          <w:rStyle w:val="base-text-paragraphChar"/>
        </w:rPr>
        <w:t xml:space="preserve">:  </w:t>
      </w:r>
      <w:r>
        <w:t xml:space="preserve">These amendments were all foreshadowed by </w:t>
      </w:r>
      <w:r w:rsidR="00DB3797">
        <w:t xml:space="preserve">their </w:t>
      </w:r>
      <w:r>
        <w:t>release in draft form on the Treasury website on 28 January 2011.</w:t>
      </w:r>
    </w:p>
    <w:p w:rsidR="00325E95" w:rsidRDefault="00325E95" w:rsidP="007D3360">
      <w:pPr>
        <w:pStyle w:val="base-text-paragraphnonumbers"/>
      </w:pPr>
      <w:r w:rsidRPr="0088195E">
        <w:rPr>
          <w:rStyle w:val="BoldItalic"/>
        </w:rPr>
        <w:t>Financial impact</w:t>
      </w:r>
      <w:r w:rsidRPr="00266048">
        <w:rPr>
          <w:rStyle w:val="base-text-paragraphChar"/>
        </w:rPr>
        <w:t xml:space="preserve">:  </w:t>
      </w:r>
      <w:r w:rsidRPr="00677C83">
        <w:t xml:space="preserve">The amendment </w:t>
      </w:r>
      <w:r>
        <w:t>to</w:t>
      </w:r>
      <w:r w:rsidRPr="00677C83">
        <w:t xml:space="preserve"> </w:t>
      </w:r>
      <w:r>
        <w:t>allow the nomination of controllers of discretionary trusts for the purposes of capital gains tax</w:t>
      </w:r>
      <w:r w:rsidRPr="002D11D0">
        <w:t xml:space="preserve"> </w:t>
      </w:r>
      <w:r>
        <w:t>s</w:t>
      </w:r>
      <w:r w:rsidRPr="002D11D0">
        <w:t>m</w:t>
      </w:r>
      <w:r>
        <w:t xml:space="preserve">all business concessions </w:t>
      </w:r>
      <w:r w:rsidRPr="002D11D0">
        <w:t>(</w:t>
      </w:r>
      <w:r w:rsidRPr="0099038A">
        <w:t xml:space="preserve">Part 19, </w:t>
      </w:r>
      <w:r w:rsidRPr="00093C54">
        <w:t xml:space="preserve">comprising items </w:t>
      </w:r>
      <w:r w:rsidR="00093C54" w:rsidRPr="00093C54">
        <w:t>91</w:t>
      </w:r>
      <w:r w:rsidRPr="00093C54">
        <w:t xml:space="preserve"> to </w:t>
      </w:r>
      <w:r w:rsidR="00093C54" w:rsidRPr="00093C54">
        <w:t>105</w:t>
      </w:r>
      <w:r w:rsidRPr="00093C54">
        <w:t>)</w:t>
      </w:r>
      <w:r>
        <w:t xml:space="preserve"> is </w:t>
      </w:r>
      <w:r w:rsidRPr="00677C83">
        <w:t>expected to result in a small cost to revenue (with an upper bound of $</w:t>
      </w:r>
      <w:r>
        <w:t>10 m</w:t>
      </w:r>
      <w:r w:rsidRPr="00677C83">
        <w:t>illion</w:t>
      </w:r>
      <w:r>
        <w:t xml:space="preserve"> per annum</w:t>
      </w:r>
      <w:r w:rsidRPr="00677C83">
        <w:t>).</w:t>
      </w:r>
    </w:p>
    <w:p w:rsidR="00325E95" w:rsidRDefault="00325E95" w:rsidP="007D3360">
      <w:pPr>
        <w:pStyle w:val="base-text-paragraphnonumbers"/>
      </w:pPr>
      <w:r>
        <w:t>The other amendments are expected to have nil to minimal revenue impacts.</w:t>
      </w:r>
    </w:p>
    <w:p w:rsidR="00325E95" w:rsidRPr="00655C4C" w:rsidRDefault="00325E95" w:rsidP="00156D97">
      <w:pPr>
        <w:pStyle w:val="base-text-paragraphnonumbers"/>
      </w:pPr>
      <w:r w:rsidRPr="0088195E">
        <w:rPr>
          <w:rStyle w:val="BoldItalic"/>
        </w:rPr>
        <w:t>Compliance cost impact</w:t>
      </w:r>
      <w:r w:rsidRPr="00266048">
        <w:rPr>
          <w:rStyle w:val="base-text-paragraphChar"/>
        </w:rPr>
        <w:t xml:space="preserve">:  </w:t>
      </w:r>
      <w:r>
        <w:t>Nil to low.</w:t>
      </w:r>
    </w:p>
    <w:p w:rsidR="00920963" w:rsidRDefault="00920963" w:rsidP="00156D97">
      <w:pPr>
        <w:sectPr w:rsidR="00920963" w:rsidSect="00156D97">
          <w:headerReference w:type="even" r:id="rId23"/>
          <w:headerReference w:type="default" r:id="rId24"/>
          <w:footerReference w:type="even" r:id="rId25"/>
          <w:footerReference w:type="default" r:id="rId26"/>
          <w:footerReference w:type="first" r:id="rId27"/>
          <w:type w:val="oddPage"/>
          <w:pgSz w:w="11906" w:h="16838" w:code="9"/>
          <w:pgMar w:top="2466" w:right="2098" w:bottom="2466" w:left="2098" w:header="1559" w:footer="1899" w:gutter="0"/>
          <w:cols w:space="708"/>
          <w:titlePg/>
          <w:docGrid w:linePitch="360"/>
        </w:sectPr>
      </w:pPr>
    </w:p>
    <w:p w:rsidR="00B4622D" w:rsidRPr="00F51A71" w:rsidRDefault="00B4622D" w:rsidP="00B4622D">
      <w:pPr>
        <w:pStyle w:val="ChapterHeading"/>
        <w:numPr>
          <w:ilvl w:val="0"/>
          <w:numId w:val="21"/>
        </w:numPr>
      </w:pPr>
      <w:r w:rsidRPr="00F51A71">
        <w:lastRenderedPageBreak/>
        <w:br/>
      </w:r>
      <w:bookmarkStart w:id="3" w:name="_Toc288643034"/>
      <w:r w:rsidRPr="00B4622D">
        <w:t>Deductible</w:t>
      </w:r>
      <w:r>
        <w:t xml:space="preserve"> gift recipients</w:t>
      </w:r>
      <w:bookmarkEnd w:id="3"/>
    </w:p>
    <w:p w:rsidR="00483461" w:rsidRPr="0068763A" w:rsidRDefault="00483461" w:rsidP="00483461">
      <w:pPr>
        <w:pStyle w:val="Heading2"/>
      </w:pPr>
      <w:r w:rsidRPr="0068763A">
        <w:t>Outline of chapter</w:t>
      </w:r>
    </w:p>
    <w:p w:rsidR="00483461" w:rsidRPr="0068763A" w:rsidRDefault="00483461" w:rsidP="00B4622D">
      <w:pPr>
        <w:pStyle w:val="base-text-paragraph"/>
      </w:pPr>
      <w:r w:rsidRPr="0068763A">
        <w:t xml:space="preserve">Schedule </w:t>
      </w:r>
      <w:r>
        <w:t>1</w:t>
      </w:r>
      <w:r w:rsidRPr="0068763A">
        <w:t xml:space="preserve"> to this </w:t>
      </w:r>
      <w:r w:rsidRPr="00B4622D">
        <w:t>Bill</w:t>
      </w:r>
      <w:r w:rsidRPr="0068763A">
        <w:t xml:space="preserve"> amends the</w:t>
      </w:r>
      <w:r w:rsidRPr="0068763A">
        <w:rPr>
          <w:i/>
        </w:rPr>
        <w:t xml:space="preserve"> Income Tax Assessment Act</w:t>
      </w:r>
      <w:r>
        <w:rPr>
          <w:i/>
        </w:rPr>
        <w:t> </w:t>
      </w:r>
      <w:r w:rsidRPr="0068763A">
        <w:rPr>
          <w:i/>
        </w:rPr>
        <w:t>1997</w:t>
      </w:r>
      <w:r w:rsidRPr="0068763A">
        <w:t xml:space="preserve"> (ITAA 1997)</w:t>
      </w:r>
      <w:r w:rsidRPr="0068763A">
        <w:rPr>
          <w:i/>
        </w:rPr>
        <w:t xml:space="preserve"> </w:t>
      </w:r>
      <w:r w:rsidRPr="0068763A">
        <w:t>to update the list of deductible gift recipients (DGRs)</w:t>
      </w:r>
      <w:r>
        <w:t xml:space="preserve"> by</w:t>
      </w:r>
      <w:r w:rsidRPr="0068763A">
        <w:t xml:space="preserve"> chang</w:t>
      </w:r>
      <w:r>
        <w:t>ing</w:t>
      </w:r>
      <w:r w:rsidRPr="0068763A">
        <w:t xml:space="preserve"> the name of one entity and </w:t>
      </w:r>
      <w:r>
        <w:t>making</w:t>
      </w:r>
      <w:r w:rsidRPr="0068763A">
        <w:t xml:space="preserve"> two entities deductible gift recipients.</w:t>
      </w:r>
    </w:p>
    <w:p w:rsidR="00483461" w:rsidRDefault="00483461" w:rsidP="00483461">
      <w:pPr>
        <w:pStyle w:val="Heading2"/>
      </w:pPr>
      <w:r>
        <w:t>Context of amendments</w:t>
      </w:r>
    </w:p>
    <w:p w:rsidR="00483461" w:rsidRDefault="00483461" w:rsidP="00B4622D">
      <w:pPr>
        <w:pStyle w:val="base-text-paragraph"/>
      </w:pPr>
      <w:r w:rsidRPr="009043D0">
        <w:t>The income tax law allows taxpayers who make gifts of $2 or more to DGRs to claim income tax deductions</w:t>
      </w:r>
      <w:r>
        <w:t xml:space="preserve">.  </w:t>
      </w:r>
      <w:r w:rsidRPr="009043D0">
        <w:t>To be a DGR, an organisation must fall within one of the general categories set out in Division 30 of the</w:t>
      </w:r>
      <w:r>
        <w:rPr>
          <w:i/>
        </w:rPr>
        <w:t xml:space="preserve"> </w:t>
      </w:r>
      <w:r>
        <w:t>ITAA 1997</w:t>
      </w:r>
      <w:r w:rsidRPr="009043D0">
        <w:t xml:space="preserve">, or be listed by name </w:t>
      </w:r>
      <w:r>
        <w:t>in</w:t>
      </w:r>
      <w:r w:rsidRPr="009043D0">
        <w:t xml:space="preserve"> that Division</w:t>
      </w:r>
      <w:r>
        <w:t>.</w:t>
      </w:r>
    </w:p>
    <w:p w:rsidR="00483461" w:rsidRDefault="00483461" w:rsidP="00B4622D">
      <w:pPr>
        <w:pStyle w:val="base-text-paragraph"/>
      </w:pPr>
      <w:r w:rsidRPr="009043D0">
        <w:t>DGR status assists eligible funds and organisations to attract public support for their activities.</w:t>
      </w:r>
    </w:p>
    <w:p w:rsidR="00483461" w:rsidRDefault="00483461" w:rsidP="00483461">
      <w:pPr>
        <w:pStyle w:val="Heading2"/>
      </w:pPr>
      <w:r>
        <w:t>Summary of new law</w:t>
      </w:r>
    </w:p>
    <w:p w:rsidR="00483461" w:rsidRPr="007D6A01" w:rsidRDefault="00483461" w:rsidP="00B4622D">
      <w:pPr>
        <w:pStyle w:val="base-text-paragraph"/>
      </w:pPr>
      <w:r w:rsidRPr="007D6A01">
        <w:t>The</w:t>
      </w:r>
      <w:r>
        <w:t>se</w:t>
      </w:r>
      <w:r w:rsidRPr="007D6A01">
        <w:t xml:space="preserve"> amendments add </w:t>
      </w:r>
      <w:r>
        <w:t xml:space="preserve">the </w:t>
      </w:r>
      <w:r w:rsidRPr="007D6A01">
        <w:t xml:space="preserve">Charlie Perkins Trust for Children </w:t>
      </w:r>
      <w:r w:rsidRPr="00BA350B">
        <w:t>&amp;</w:t>
      </w:r>
      <w:r w:rsidRPr="007D6A01">
        <w:t xml:space="preserve"> Students, and the Roberta Sykes Indigenous Education Foundation to the list of specifically listed DGRs, and change the name of a currently listed DGR from ‘Guides Australia Incorporated’ to ‘</w:t>
      </w:r>
      <w:r>
        <w:t>Girl Guides Australia’</w:t>
      </w:r>
      <w:r w:rsidRPr="007D6A01">
        <w:t>.</w:t>
      </w:r>
    </w:p>
    <w:p w:rsidR="00483461" w:rsidRDefault="00483461" w:rsidP="00483461">
      <w:pPr>
        <w:pStyle w:val="Heading2"/>
      </w:pPr>
      <w:r>
        <w:t>Detailed explanation of new law</w:t>
      </w:r>
    </w:p>
    <w:p w:rsidR="00483461" w:rsidRPr="00657B1C" w:rsidRDefault="00483461" w:rsidP="00483461">
      <w:pPr>
        <w:pStyle w:val="Heading3"/>
      </w:pPr>
      <w:bookmarkStart w:id="4" w:name="OLE_LINK1"/>
      <w:bookmarkStart w:id="5" w:name="OLE_LINK2"/>
      <w:r>
        <w:t xml:space="preserve">Charlie Perkins Trust for Children </w:t>
      </w:r>
      <w:r w:rsidRPr="00BA350B">
        <w:t>&amp;</w:t>
      </w:r>
      <w:r>
        <w:t xml:space="preserve"> Students </w:t>
      </w:r>
      <w:r w:rsidRPr="007A5FDE">
        <w:t>(ABN 24 869 741 764)</w:t>
      </w:r>
    </w:p>
    <w:p w:rsidR="00483461" w:rsidRPr="00F35DAA" w:rsidRDefault="00483461" w:rsidP="00483461">
      <w:pPr>
        <w:pStyle w:val="base-text-paragraph"/>
        <w:numPr>
          <w:ilvl w:val="1"/>
          <w:numId w:val="1"/>
        </w:numPr>
        <w:spacing w:after="240"/>
        <w:rPr>
          <w:b/>
        </w:rPr>
      </w:pPr>
      <w:r w:rsidRPr="00F35DAA">
        <w:t xml:space="preserve">Schedule </w:t>
      </w:r>
      <w:r>
        <w:t>1</w:t>
      </w:r>
      <w:r w:rsidRPr="00F35DAA">
        <w:t xml:space="preserve"> allows taxpayers to claim a deduction for gifts </w:t>
      </w:r>
      <w:bookmarkEnd w:id="4"/>
      <w:bookmarkEnd w:id="5"/>
      <w:r w:rsidRPr="00F35DAA">
        <w:t xml:space="preserve">made to </w:t>
      </w:r>
      <w:r>
        <w:t xml:space="preserve">the </w:t>
      </w:r>
      <w:r w:rsidRPr="00F35DAA">
        <w:t>Charlie Perkins Trust for Children &amp; Students after 2 August 2010 and before 2 August 2013</w:t>
      </w:r>
      <w:r>
        <w:t xml:space="preserve">.  </w:t>
      </w:r>
      <w:r w:rsidRPr="00F35DAA">
        <w:rPr>
          <w:rStyle w:val="Referencingstyle"/>
        </w:rPr>
        <w:t xml:space="preserve">[Schedule </w:t>
      </w:r>
      <w:r>
        <w:rPr>
          <w:rStyle w:val="Referencingstyle"/>
        </w:rPr>
        <w:t>1</w:t>
      </w:r>
      <w:r w:rsidRPr="00F35DAA">
        <w:rPr>
          <w:rStyle w:val="Referencingstyle"/>
        </w:rPr>
        <w:t xml:space="preserve">, item </w:t>
      </w:r>
      <w:r>
        <w:rPr>
          <w:rStyle w:val="Referencingstyle"/>
        </w:rPr>
        <w:t>4</w:t>
      </w:r>
      <w:r w:rsidRPr="00F35DAA">
        <w:rPr>
          <w:rStyle w:val="Referencingstyle"/>
        </w:rPr>
        <w:t>, item</w:t>
      </w:r>
      <w:r>
        <w:rPr>
          <w:rStyle w:val="Referencingstyle"/>
        </w:rPr>
        <w:t xml:space="preserve"> </w:t>
      </w:r>
      <w:r w:rsidRPr="00F35DAA">
        <w:rPr>
          <w:rStyle w:val="Referencingstyle"/>
        </w:rPr>
        <w:t>2.2.39 in the table in subsection</w:t>
      </w:r>
      <w:r>
        <w:rPr>
          <w:rStyle w:val="Referencingstyle"/>
        </w:rPr>
        <w:t> </w:t>
      </w:r>
      <w:r w:rsidRPr="00F35DAA">
        <w:rPr>
          <w:rStyle w:val="Referencingstyle"/>
        </w:rPr>
        <w:t>30</w:t>
      </w:r>
      <w:r>
        <w:rPr>
          <w:rStyle w:val="Referencingstyle"/>
        </w:rPr>
        <w:noBreakHyphen/>
      </w:r>
      <w:r w:rsidRPr="00F35DAA">
        <w:rPr>
          <w:rStyle w:val="Referencingstyle"/>
        </w:rPr>
        <w:t>25(2)]</w:t>
      </w:r>
    </w:p>
    <w:p w:rsidR="00483461" w:rsidRPr="00AF5979" w:rsidRDefault="00483461" w:rsidP="00AF5979">
      <w:pPr>
        <w:pStyle w:val="base-text-paragraph"/>
        <w:numPr>
          <w:ilvl w:val="1"/>
          <w:numId w:val="23"/>
        </w:numPr>
        <w:rPr>
          <w:b/>
        </w:rPr>
      </w:pPr>
      <w:r w:rsidRPr="002E47C1">
        <w:t xml:space="preserve">The purpose of </w:t>
      </w:r>
      <w:r>
        <w:t xml:space="preserve">the </w:t>
      </w:r>
      <w:r w:rsidRPr="002E47C1">
        <w:t xml:space="preserve">Charlie Perkins Trust </w:t>
      </w:r>
      <w:r>
        <w:t xml:space="preserve">for Children </w:t>
      </w:r>
      <w:r w:rsidRPr="00BA350B">
        <w:t>&amp;</w:t>
      </w:r>
      <w:r>
        <w:t xml:space="preserve"> Students </w:t>
      </w:r>
      <w:r w:rsidRPr="002E47C1">
        <w:t xml:space="preserve">is to advance the education of Aboriginal and Torres Strait </w:t>
      </w:r>
      <w:r w:rsidRPr="002E47C1">
        <w:lastRenderedPageBreak/>
        <w:t xml:space="preserve">Islander people through the provision of scholarships to Indigenous </w:t>
      </w:r>
      <w:r>
        <w:t>Australians</w:t>
      </w:r>
      <w:r w:rsidRPr="002E47C1">
        <w:t xml:space="preserve"> for study at overseas institutions, such as Oxford and Cambridge University</w:t>
      </w:r>
      <w:r>
        <w:t xml:space="preserve">.  </w:t>
      </w:r>
    </w:p>
    <w:p w:rsidR="00483461" w:rsidRPr="004F352F" w:rsidRDefault="00483461" w:rsidP="00B4622D">
      <w:pPr>
        <w:pStyle w:val="base-text-paragraph"/>
        <w:rPr>
          <w:b/>
        </w:rPr>
      </w:pPr>
      <w:r>
        <w:t>It is a condition of the listing that the fund meets the requirements of the scholarship general DGR category, except for the provisions requiring that it must be provided by an Australian higher education provider and not target a predetermined section of the community.  Also, as a condition of listing, that the Australian Educational International (AEI) raise no objections to the institutions to which the scholarship fund seeks to send scholars, and that the fund advise the Australian Government annually on those institutions to which scholars have been sent in a given year.</w:t>
      </w:r>
    </w:p>
    <w:p w:rsidR="00483461" w:rsidRPr="00F35DAA" w:rsidRDefault="00483461" w:rsidP="00483461">
      <w:pPr>
        <w:pStyle w:val="Heading3"/>
      </w:pPr>
      <w:r w:rsidRPr="00F35DAA">
        <w:t>Roberta Sykes Indigenous Education Foundation</w:t>
      </w:r>
      <w:r>
        <w:t xml:space="preserve"> (ABN </w:t>
      </w:r>
      <w:r w:rsidRPr="007A5FDE">
        <w:t>99 950 620 671)</w:t>
      </w:r>
    </w:p>
    <w:p w:rsidR="00483461" w:rsidRPr="00F35DAA" w:rsidRDefault="00483461" w:rsidP="00B4622D">
      <w:pPr>
        <w:pStyle w:val="base-text-paragraph"/>
        <w:rPr>
          <w:rStyle w:val="Referencingstyle"/>
        </w:rPr>
      </w:pPr>
      <w:r>
        <w:t xml:space="preserve">This </w:t>
      </w:r>
      <w:r w:rsidRPr="00F35DAA">
        <w:t xml:space="preserve">Schedule allows taxpayers to claim a deduction for gifts made to </w:t>
      </w:r>
      <w:r>
        <w:t xml:space="preserve">the </w:t>
      </w:r>
      <w:r w:rsidRPr="00F35DAA">
        <w:t>Roberta Sykes Indigenous Education Foundation after 2</w:t>
      </w:r>
      <w:r>
        <w:t> </w:t>
      </w:r>
      <w:r w:rsidRPr="00F35DAA">
        <w:t>August 2010 and before 2 August 2013</w:t>
      </w:r>
      <w:r>
        <w:t xml:space="preserve">.  </w:t>
      </w:r>
      <w:r w:rsidRPr="00F35DAA">
        <w:rPr>
          <w:rStyle w:val="Referencingstyle"/>
        </w:rPr>
        <w:t xml:space="preserve">[Schedule </w:t>
      </w:r>
      <w:r>
        <w:rPr>
          <w:rStyle w:val="Referencingstyle"/>
        </w:rPr>
        <w:t>1</w:t>
      </w:r>
      <w:r w:rsidRPr="00F35DAA">
        <w:rPr>
          <w:rStyle w:val="Referencingstyle"/>
        </w:rPr>
        <w:t xml:space="preserve">, item </w:t>
      </w:r>
      <w:r>
        <w:rPr>
          <w:rStyle w:val="Referencingstyle"/>
        </w:rPr>
        <w:t>4</w:t>
      </w:r>
      <w:r w:rsidRPr="00F35DAA">
        <w:rPr>
          <w:rStyle w:val="Referencingstyle"/>
        </w:rPr>
        <w:t>, item 2.2.</w:t>
      </w:r>
      <w:r>
        <w:rPr>
          <w:rStyle w:val="Referencingstyle"/>
        </w:rPr>
        <w:t>40</w:t>
      </w:r>
      <w:r w:rsidRPr="00F35DAA">
        <w:rPr>
          <w:rStyle w:val="Referencingstyle"/>
        </w:rPr>
        <w:t xml:space="preserve"> in </w:t>
      </w:r>
      <w:r w:rsidR="00DB3797">
        <w:rPr>
          <w:rStyle w:val="Referencingstyle"/>
        </w:rPr>
        <w:t xml:space="preserve">the table in </w:t>
      </w:r>
      <w:r w:rsidRPr="00F35DAA">
        <w:rPr>
          <w:rStyle w:val="Referencingstyle"/>
        </w:rPr>
        <w:t>subsection 30</w:t>
      </w:r>
      <w:r w:rsidRPr="00F35DAA">
        <w:rPr>
          <w:rStyle w:val="Referencingstyle"/>
        </w:rPr>
        <w:noBreakHyphen/>
      </w:r>
      <w:r>
        <w:rPr>
          <w:rStyle w:val="Referencingstyle"/>
        </w:rPr>
        <w:t>25</w:t>
      </w:r>
      <w:r w:rsidRPr="00F35DAA">
        <w:rPr>
          <w:rStyle w:val="Referencingstyle"/>
        </w:rPr>
        <w:t xml:space="preserve">(2)] </w:t>
      </w:r>
    </w:p>
    <w:p w:rsidR="00483461" w:rsidRDefault="00483461" w:rsidP="00B4622D">
      <w:pPr>
        <w:pStyle w:val="base-text-paragraph"/>
      </w:pPr>
      <w:r>
        <w:t xml:space="preserve">The </w:t>
      </w:r>
      <w:r w:rsidRPr="0077261F">
        <w:t>Roberta Sykes</w:t>
      </w:r>
      <w:r>
        <w:t xml:space="preserve"> Indigenous Education Foundation</w:t>
      </w:r>
      <w:r w:rsidRPr="0077261F">
        <w:t xml:space="preserve"> </w:t>
      </w:r>
      <w:r>
        <w:t xml:space="preserve">works to advance the education and life opportunities for Aboriginal and Torres Strait Islanders, and provides additional assistance to female Indigenous scholars undertaking programs overseas, such as assisting with the cost of relocating families </w:t>
      </w:r>
      <w:r w:rsidRPr="00F35DAA">
        <w:t>and partners</w:t>
      </w:r>
      <w:r>
        <w:t xml:space="preserve">.  </w:t>
      </w:r>
    </w:p>
    <w:p w:rsidR="00483461" w:rsidRPr="004F352F" w:rsidRDefault="00483461" w:rsidP="00B4622D">
      <w:pPr>
        <w:pStyle w:val="base-text-paragraph"/>
        <w:rPr>
          <w:b/>
        </w:rPr>
      </w:pPr>
      <w:r>
        <w:t>It is a condition of the listing that the fund meets the requirements of the scholarship general DGR category, except for the provisions requiring that it must be provided by an Australian higher education provider and not target a predetermined section of the community.  Also, as a condition of listing, that the AEI raise no objections to the institutions to which the scholarship fund seeks to send scholars, and that the fund advise the Australian Government annually on those institutions to which scholars have been sent in a given year.</w:t>
      </w:r>
    </w:p>
    <w:p w:rsidR="00483461" w:rsidRPr="00F35DAA" w:rsidRDefault="00483461" w:rsidP="00483461">
      <w:pPr>
        <w:pStyle w:val="Heading3"/>
      </w:pPr>
      <w:r w:rsidRPr="00F35DAA">
        <w:t>Girl Guides Australia</w:t>
      </w:r>
      <w:r>
        <w:t xml:space="preserve"> </w:t>
      </w:r>
      <w:r w:rsidRPr="007A5FDE">
        <w:t>(ABN 62 477 364 942)</w:t>
      </w:r>
    </w:p>
    <w:p w:rsidR="00483461" w:rsidRPr="00F35DAA" w:rsidRDefault="00483461" w:rsidP="00B4622D">
      <w:pPr>
        <w:pStyle w:val="base-text-paragraph"/>
        <w:rPr>
          <w:rStyle w:val="Referencingstyle"/>
          <w:b w:val="0"/>
          <w:i w:val="0"/>
        </w:rPr>
      </w:pPr>
      <w:r>
        <w:t xml:space="preserve">This </w:t>
      </w:r>
      <w:r w:rsidRPr="00F35DAA">
        <w:t xml:space="preserve">Schedule </w:t>
      </w:r>
      <w:r>
        <w:t>also</w:t>
      </w:r>
      <w:r w:rsidRPr="00F35DAA">
        <w:t xml:space="preserve"> changes the name of ‘Guides Australia Incorporated’ to ‘Girl Guides Australia</w:t>
      </w:r>
      <w:r>
        <w:t xml:space="preserve">’.  </w:t>
      </w:r>
      <w:r w:rsidRPr="00F35DAA">
        <w:rPr>
          <w:rStyle w:val="Referencingstyle"/>
        </w:rPr>
        <w:t xml:space="preserve">[Schedule </w:t>
      </w:r>
      <w:r>
        <w:rPr>
          <w:rStyle w:val="Referencingstyle"/>
        </w:rPr>
        <w:t>1</w:t>
      </w:r>
      <w:r w:rsidRPr="00F35DAA">
        <w:rPr>
          <w:rStyle w:val="Referencingstyle"/>
        </w:rPr>
        <w:t xml:space="preserve">, items </w:t>
      </w:r>
      <w:r>
        <w:rPr>
          <w:rStyle w:val="Referencingstyle"/>
        </w:rPr>
        <w:t>1</w:t>
      </w:r>
      <w:r w:rsidRPr="00F35DAA">
        <w:rPr>
          <w:rStyle w:val="Referencingstyle"/>
        </w:rPr>
        <w:t xml:space="preserve"> and </w:t>
      </w:r>
      <w:r>
        <w:rPr>
          <w:rStyle w:val="Referencingstyle"/>
        </w:rPr>
        <w:t>2</w:t>
      </w:r>
      <w:r w:rsidRPr="00F35DAA">
        <w:rPr>
          <w:rStyle w:val="Referencingstyle"/>
        </w:rPr>
        <w:t>, item</w:t>
      </w:r>
      <w:r>
        <w:rPr>
          <w:rStyle w:val="Referencingstyle"/>
        </w:rPr>
        <w:t>s </w:t>
      </w:r>
      <w:r w:rsidRPr="00F35DAA">
        <w:rPr>
          <w:rStyle w:val="Referencingstyle"/>
        </w:rPr>
        <w:t>10.2.2 and 10.2.3</w:t>
      </w:r>
      <w:r>
        <w:rPr>
          <w:rStyle w:val="Referencingstyle"/>
        </w:rPr>
        <w:t xml:space="preserve"> in </w:t>
      </w:r>
      <w:r w:rsidR="00DB3797">
        <w:rPr>
          <w:rStyle w:val="Referencingstyle"/>
        </w:rPr>
        <w:t xml:space="preserve">the table in </w:t>
      </w:r>
      <w:r>
        <w:rPr>
          <w:rStyle w:val="Referencingstyle"/>
        </w:rPr>
        <w:t>section 30-90]</w:t>
      </w:r>
    </w:p>
    <w:p w:rsidR="00483461" w:rsidRPr="00F35DAA" w:rsidRDefault="00483461" w:rsidP="00B4622D">
      <w:pPr>
        <w:pStyle w:val="base-text-paragraph"/>
        <w:rPr>
          <w:sz w:val="18"/>
        </w:rPr>
      </w:pPr>
      <w:r w:rsidRPr="00F35DAA">
        <w:t>The purpose and operation of the organisation has not changed.</w:t>
      </w:r>
    </w:p>
    <w:p w:rsidR="00483461" w:rsidRPr="00F35DAA" w:rsidRDefault="00483461" w:rsidP="00483461">
      <w:pPr>
        <w:pStyle w:val="Heading2"/>
      </w:pPr>
      <w:r w:rsidRPr="00F35DAA">
        <w:lastRenderedPageBreak/>
        <w:t>Consequential amendments</w:t>
      </w:r>
    </w:p>
    <w:p w:rsidR="00483461" w:rsidRPr="000E0938" w:rsidRDefault="00483461" w:rsidP="00B4622D">
      <w:pPr>
        <w:pStyle w:val="base-text-paragraph"/>
        <w:rPr>
          <w:b/>
          <w:i/>
          <w:sz w:val="18"/>
        </w:rPr>
      </w:pPr>
      <w:r w:rsidRPr="00F35DAA">
        <w:t xml:space="preserve">Changes have been made to update the index in Division 30 of the ITAA 1997 to add Charlie Perkins </w:t>
      </w:r>
      <w:r>
        <w:t xml:space="preserve">Trust for Children </w:t>
      </w:r>
      <w:r w:rsidRPr="00BA350B">
        <w:t>&amp;</w:t>
      </w:r>
      <w:r>
        <w:t xml:space="preserve"> Students </w:t>
      </w:r>
      <w:r w:rsidRPr="00F35DAA">
        <w:t xml:space="preserve">and </w:t>
      </w:r>
      <w:r>
        <w:t xml:space="preserve">the </w:t>
      </w:r>
      <w:r w:rsidRPr="00F35DAA">
        <w:t>Roberta Sykes</w:t>
      </w:r>
      <w:r>
        <w:t xml:space="preserve"> Indigenous Education Foundation.  </w:t>
      </w:r>
      <w:r w:rsidRPr="00F35DAA">
        <w:rPr>
          <w:rStyle w:val="Referencingstyle"/>
        </w:rPr>
        <w:t xml:space="preserve">[Schedule </w:t>
      </w:r>
      <w:r>
        <w:rPr>
          <w:rStyle w:val="Referencingstyle"/>
        </w:rPr>
        <w:t>1, items 5</w:t>
      </w:r>
      <w:r w:rsidRPr="00F35DAA">
        <w:rPr>
          <w:rStyle w:val="Referencingstyle"/>
        </w:rPr>
        <w:t xml:space="preserve"> and </w:t>
      </w:r>
      <w:r>
        <w:rPr>
          <w:rStyle w:val="Referencingstyle"/>
        </w:rPr>
        <w:t>6</w:t>
      </w:r>
      <w:r w:rsidRPr="00F35DAA">
        <w:rPr>
          <w:rStyle w:val="Referencingstyle"/>
        </w:rPr>
        <w:t xml:space="preserve">, items 30A and 97AA </w:t>
      </w:r>
      <w:r>
        <w:rPr>
          <w:rStyle w:val="Referencingstyle"/>
        </w:rPr>
        <w:t xml:space="preserve">in the table </w:t>
      </w:r>
      <w:r w:rsidRPr="00F35DAA">
        <w:rPr>
          <w:rStyle w:val="Referencingstyle"/>
        </w:rPr>
        <w:t>in section 30-315]</w:t>
      </w:r>
      <w:r>
        <w:t xml:space="preserve">.  </w:t>
      </w:r>
    </w:p>
    <w:p w:rsidR="00483461" w:rsidRPr="008F726E" w:rsidRDefault="00483461" w:rsidP="00B4622D">
      <w:pPr>
        <w:pStyle w:val="base-text-paragraph"/>
      </w:pPr>
      <w:r w:rsidRPr="00F35DAA">
        <w:t xml:space="preserve">Changes have been made to update the index in Division 30 to reflect the change in name </w:t>
      </w:r>
      <w:r>
        <w:t>to</w:t>
      </w:r>
      <w:r w:rsidRPr="00F35DAA">
        <w:t xml:space="preserve"> Girl Guides Australia</w:t>
      </w:r>
      <w:r>
        <w:t xml:space="preserve">.  </w:t>
      </w:r>
      <w:r w:rsidRPr="00F35DAA">
        <w:rPr>
          <w:rStyle w:val="Referencingstyle"/>
        </w:rPr>
        <w:t xml:space="preserve">[Schedule </w:t>
      </w:r>
      <w:r>
        <w:rPr>
          <w:rStyle w:val="Referencingstyle"/>
        </w:rPr>
        <w:t>1</w:t>
      </w:r>
      <w:r w:rsidRPr="00F35DAA">
        <w:rPr>
          <w:rStyle w:val="Referencingstyle"/>
        </w:rPr>
        <w:t xml:space="preserve">, item </w:t>
      </w:r>
      <w:r>
        <w:rPr>
          <w:rStyle w:val="Referencingstyle"/>
        </w:rPr>
        <w:t>3</w:t>
      </w:r>
      <w:r w:rsidRPr="00F35DAA">
        <w:rPr>
          <w:rStyle w:val="Referencingstyle"/>
        </w:rPr>
        <w:t>, item</w:t>
      </w:r>
      <w:r>
        <w:rPr>
          <w:rStyle w:val="Referencingstyle"/>
        </w:rPr>
        <w:t> </w:t>
      </w:r>
      <w:r w:rsidRPr="00F35DAA">
        <w:rPr>
          <w:rStyle w:val="Referencingstyle"/>
        </w:rPr>
        <w:t>53A</w:t>
      </w:r>
      <w:r>
        <w:rPr>
          <w:rStyle w:val="Referencingstyle"/>
        </w:rPr>
        <w:t xml:space="preserve"> in the table in </w:t>
      </w:r>
      <w:r w:rsidRPr="00F35DAA">
        <w:rPr>
          <w:rStyle w:val="Referencingstyle"/>
        </w:rPr>
        <w:t>section 30-315</w:t>
      </w:r>
      <w:r>
        <w:rPr>
          <w:rStyle w:val="Referencingstyle"/>
        </w:rPr>
        <w:t>]</w:t>
      </w:r>
    </w:p>
    <w:p w:rsidR="00483461" w:rsidRDefault="00483461" w:rsidP="00483461">
      <w:pPr>
        <w:sectPr w:rsidR="00483461" w:rsidSect="00483461">
          <w:headerReference w:type="even" r:id="rId28"/>
          <w:headerReference w:type="default" r:id="rId29"/>
          <w:footerReference w:type="even" r:id="rId30"/>
          <w:footerReference w:type="default" r:id="rId31"/>
          <w:footerReference w:type="first" r:id="rId32"/>
          <w:type w:val="oddPage"/>
          <w:pgSz w:w="11906" w:h="16838" w:code="9"/>
          <w:pgMar w:top="2466" w:right="2098" w:bottom="2466" w:left="2098" w:header="1559" w:footer="1899" w:gutter="0"/>
          <w:cols w:space="708"/>
          <w:titlePg/>
          <w:docGrid w:linePitch="360"/>
        </w:sectPr>
      </w:pPr>
    </w:p>
    <w:p w:rsidR="00DC00CE" w:rsidRPr="00F51A71" w:rsidRDefault="00DC00CE" w:rsidP="00DC00CE">
      <w:pPr>
        <w:pStyle w:val="ChapterHeading"/>
        <w:numPr>
          <w:ilvl w:val="0"/>
          <w:numId w:val="21"/>
        </w:numPr>
      </w:pPr>
      <w:r w:rsidRPr="00F51A71">
        <w:lastRenderedPageBreak/>
        <w:br/>
      </w:r>
      <w:bookmarkStart w:id="6" w:name="_Toc288643035"/>
      <w:r>
        <w:t>Self managed superannuation fund investment in collectables and personal use assets</w:t>
      </w:r>
      <w:bookmarkEnd w:id="6"/>
    </w:p>
    <w:p w:rsidR="00483461" w:rsidRDefault="00483461" w:rsidP="00483461">
      <w:pPr>
        <w:pStyle w:val="Heading2"/>
      </w:pPr>
      <w:r>
        <w:t>Outline of chapter</w:t>
      </w:r>
    </w:p>
    <w:p w:rsidR="00483461" w:rsidRDefault="00483461" w:rsidP="00DC00CE">
      <w:pPr>
        <w:pStyle w:val="base-text-paragraph"/>
        <w:numPr>
          <w:ilvl w:val="1"/>
          <w:numId w:val="21"/>
        </w:numPr>
      </w:pPr>
      <w:r w:rsidRPr="00B4622D">
        <w:t>Schedule</w:t>
      </w:r>
      <w:r>
        <w:t xml:space="preserve"> </w:t>
      </w:r>
      <w:r w:rsidR="00DB3797">
        <w:t>2</w:t>
      </w:r>
      <w:r>
        <w:t xml:space="preserve"> to </w:t>
      </w:r>
      <w:r w:rsidRPr="00DC00CE">
        <w:t>this</w:t>
      </w:r>
      <w:r>
        <w:t xml:space="preserve"> Bill amends the </w:t>
      </w:r>
      <w:r w:rsidRPr="00DC00CE">
        <w:rPr>
          <w:i/>
        </w:rPr>
        <w:t>Superannuation Industry (Supervision) Act 1993</w:t>
      </w:r>
      <w:r>
        <w:t xml:space="preserve"> (SIS Act) to permit the regulations to impose rules on self managed superannuation fund (SMSF) investment in collectables and personal use assets.  </w:t>
      </w:r>
    </w:p>
    <w:p w:rsidR="00483461" w:rsidRPr="00670B9B" w:rsidRDefault="00DB3797" w:rsidP="00DC00CE">
      <w:pPr>
        <w:pStyle w:val="base-text-paragraph"/>
        <w:numPr>
          <w:ilvl w:val="1"/>
          <w:numId w:val="21"/>
        </w:numPr>
      </w:pPr>
      <w:r>
        <w:t>Schedule 2</w:t>
      </w:r>
      <w:r w:rsidR="00483461" w:rsidRPr="00670B9B">
        <w:t xml:space="preserve"> also amends the SIS Act to remove a reference to a provision that was repealed on 24 September 2007.</w:t>
      </w:r>
    </w:p>
    <w:p w:rsidR="00483461" w:rsidRDefault="00483461" w:rsidP="00DC00CE">
      <w:pPr>
        <w:pStyle w:val="base-text-paragraph"/>
        <w:numPr>
          <w:ilvl w:val="1"/>
          <w:numId w:val="21"/>
        </w:numPr>
      </w:pPr>
      <w:r>
        <w:t>This measure will have effect from 1 July 2011.</w:t>
      </w:r>
    </w:p>
    <w:p w:rsidR="00483461" w:rsidRDefault="00483461" w:rsidP="00DC00CE">
      <w:pPr>
        <w:pStyle w:val="base-text-paragraph"/>
        <w:numPr>
          <w:ilvl w:val="1"/>
          <w:numId w:val="21"/>
        </w:numPr>
      </w:pPr>
      <w:r>
        <w:t xml:space="preserve">All legislative </w:t>
      </w:r>
      <w:r w:rsidRPr="00500291">
        <w:t>references</w:t>
      </w:r>
      <w:r>
        <w:t xml:space="preserve"> in this chapter are to the SIS Act unless otherwise stated.</w:t>
      </w:r>
    </w:p>
    <w:p w:rsidR="00483461" w:rsidRDefault="00483461" w:rsidP="00483461">
      <w:pPr>
        <w:pStyle w:val="Heading2"/>
      </w:pPr>
      <w:r>
        <w:t>Context of amendments</w:t>
      </w:r>
    </w:p>
    <w:p w:rsidR="00483461" w:rsidRDefault="00483461" w:rsidP="00DC00CE">
      <w:pPr>
        <w:pStyle w:val="base-text-paragraph"/>
        <w:numPr>
          <w:ilvl w:val="1"/>
          <w:numId w:val="21"/>
        </w:numPr>
      </w:pPr>
      <w:r>
        <w:t xml:space="preserve">Superannuation funds, including SMSFs, are generally free to invest in any asset they choose.  However, taxation concessions are provided to superannuation savings with the objective of providing individuals with better income in retirement.  Consequently, there are some rules on superannuation investments.  The aim of these rules is to ensure that superannuation savings are accumulated for retirement income purposes, not current day benefit or </w:t>
      </w:r>
      <w:r w:rsidRPr="002C0CDC">
        <w:t>estate planning</w:t>
      </w:r>
      <w:r>
        <w:t>.</w:t>
      </w:r>
    </w:p>
    <w:p w:rsidR="00483461" w:rsidRDefault="00483461" w:rsidP="00DC00CE">
      <w:pPr>
        <w:pStyle w:val="base-text-paragraph"/>
        <w:numPr>
          <w:ilvl w:val="1"/>
          <w:numId w:val="21"/>
        </w:numPr>
      </w:pPr>
      <w:r>
        <w:t xml:space="preserve">These rules include that investments must be consistent with the sole purpose test in section 62 of the SIS Act, which, broadly, requires that superannuation funds must be maintained for the sole purpose of providing retirement income to members or, in the event of a member’s death, to the member’s dependants or legal personal representative.  Although the sole purpose test covers all operations of the fund, in terms of investment this means that investments must be made solely for retirement income purposes.  </w:t>
      </w:r>
    </w:p>
    <w:p w:rsidR="00483461" w:rsidRDefault="00483461" w:rsidP="00DC00CE">
      <w:pPr>
        <w:pStyle w:val="base-text-paragraph"/>
        <w:numPr>
          <w:ilvl w:val="1"/>
          <w:numId w:val="21"/>
        </w:numPr>
      </w:pPr>
      <w:r>
        <w:lastRenderedPageBreak/>
        <w:t xml:space="preserve">In May 2009, the Government announced a review into the governance, efficiency, structure and operation of Australia’s superannuation system.  The Super System Review had the goal of ensuring that the superannuation system operates in the most cost effective manner and in the best interests of all its members.  </w:t>
      </w:r>
    </w:p>
    <w:p w:rsidR="00483461" w:rsidRDefault="00483461" w:rsidP="00DC00CE">
      <w:pPr>
        <w:pStyle w:val="base-text-paragraph"/>
        <w:numPr>
          <w:ilvl w:val="1"/>
          <w:numId w:val="21"/>
        </w:numPr>
      </w:pPr>
      <w:r>
        <w:t xml:space="preserve">The Super System Review’s final report was released on 5 July 2010.  The report made a number of recommendations regarding SMSFs, one of which was that SMSF investment in collectables and personal use assets should be prohibited and that existing SMSF holdings of these assets should be disposed of within five years.  </w:t>
      </w:r>
    </w:p>
    <w:p w:rsidR="00483461" w:rsidRDefault="00483461" w:rsidP="00DC00CE">
      <w:pPr>
        <w:pStyle w:val="base-text-paragraph"/>
        <w:numPr>
          <w:ilvl w:val="1"/>
          <w:numId w:val="21"/>
        </w:numPr>
      </w:pPr>
      <w:r>
        <w:t xml:space="preserve">The Super System Review panel found that investments in collectables and personal use assets pose issues in relation to the application of the sole purpose test.  They argued that these investments lend themselves to personal enjoyment and therefore can involve current day benefits being derived by those using or accessing the assets.  The panel argued that these assets should not be regarded as investments that build retirement savings and consequently should not be available to SMSFs.  </w:t>
      </w:r>
    </w:p>
    <w:p w:rsidR="00483461" w:rsidRDefault="00483461" w:rsidP="00DC00CE">
      <w:pPr>
        <w:pStyle w:val="base-text-paragraph"/>
        <w:numPr>
          <w:ilvl w:val="1"/>
          <w:numId w:val="21"/>
        </w:numPr>
      </w:pPr>
      <w:r>
        <w:t xml:space="preserve">An SMSF is a superannuation entity that has less than five members, all of whom are trustees of the fund or directors of the corporate trustee.  A key characteristic of an SMSF is that all members are involved in the decision-making process and control the management of the fund.  </w:t>
      </w:r>
    </w:p>
    <w:p w:rsidR="00483461" w:rsidRDefault="00483461" w:rsidP="00DC00CE">
      <w:pPr>
        <w:pStyle w:val="base-text-paragraph"/>
        <w:numPr>
          <w:ilvl w:val="1"/>
          <w:numId w:val="21"/>
        </w:numPr>
      </w:pPr>
      <w:r>
        <w:t>SMSFs are subject to compliance-based regulation by the Australian Taxation Office (ATO), unlike most other superannuation funds which are subject to prudential regulation by the Australian Prudential Regulation Authority (APRA).  SMSFs</w:t>
      </w:r>
      <w:r w:rsidRPr="000F7A66">
        <w:t xml:space="preserve"> are subject to a less onerous prudential regime</w:t>
      </w:r>
      <w:r>
        <w:t xml:space="preserve"> than APRA-regulated entities</w:t>
      </w:r>
      <w:r w:rsidRPr="000F7A66">
        <w:t xml:space="preserve"> on the basis that all members of </w:t>
      </w:r>
      <w:r>
        <w:t>SMSFs</w:t>
      </w:r>
      <w:r w:rsidRPr="000F7A66">
        <w:t xml:space="preserve"> are in a position to protect their own interests.</w:t>
      </w:r>
    </w:p>
    <w:p w:rsidR="00483461" w:rsidRDefault="00483461" w:rsidP="00DC00CE">
      <w:pPr>
        <w:pStyle w:val="base-text-paragraph"/>
        <w:numPr>
          <w:ilvl w:val="1"/>
          <w:numId w:val="21"/>
        </w:numPr>
      </w:pPr>
      <w:r>
        <w:t xml:space="preserve">Given the closely-held nature of SMSFs, members have direct control over the investment of their superannuation savings and have the capacity to invest their money for their own current day benefit.  The same risk does not exist in APRA-regulated funds, because the members in these funds have minimal control over investment decisions and are unlikely to receive any current day benefit from an investment.  </w:t>
      </w:r>
    </w:p>
    <w:p w:rsidR="00483461" w:rsidRDefault="00483461" w:rsidP="00DC00CE">
      <w:pPr>
        <w:pStyle w:val="base-text-paragraph"/>
        <w:numPr>
          <w:ilvl w:val="1"/>
          <w:numId w:val="21"/>
        </w:numPr>
      </w:pPr>
      <w:r>
        <w:t xml:space="preserve">It is extremely difficult for the ATO to determine the true purpose for which an investment in a collectable or personal use asset is made, particularly where the asset is ‘stored’ in premises owned by the SMSF trustee.  As such, there are insufficient regulatory tools available to prevent SMSF investment in collectables and personal use assets giving rise to current day benefits for SMSF members.  </w:t>
      </w:r>
    </w:p>
    <w:p w:rsidR="00483461" w:rsidRDefault="00483461" w:rsidP="00DC00CE">
      <w:pPr>
        <w:pStyle w:val="base-text-paragraph"/>
        <w:numPr>
          <w:ilvl w:val="1"/>
          <w:numId w:val="21"/>
        </w:numPr>
      </w:pPr>
      <w:r>
        <w:lastRenderedPageBreak/>
        <w:t xml:space="preserve">On 30 July 2010, the Government announced, as an election commitment, that it does not support the Super System Review recommendation to prohibit SMSF investment in collectables and personal use assets, in recognition that collectables can be a legitimate investment for some SMSF trustees.  However, the Government also announced that it would tighten the legislative standards applying to SMSF investment in collectables and personal use assets to ensure that such investments do not give rise to current day benefit for SMSF trustees.  </w:t>
      </w:r>
    </w:p>
    <w:p w:rsidR="00483461" w:rsidRDefault="00483461" w:rsidP="00483461">
      <w:pPr>
        <w:pStyle w:val="Heading2"/>
      </w:pPr>
      <w:r>
        <w:t>Summary of new law</w:t>
      </w:r>
    </w:p>
    <w:p w:rsidR="00483461" w:rsidRDefault="00483461" w:rsidP="00DC00CE">
      <w:pPr>
        <w:pStyle w:val="base-text-paragraph"/>
        <w:numPr>
          <w:ilvl w:val="1"/>
          <w:numId w:val="21"/>
        </w:numPr>
      </w:pPr>
      <w:r>
        <w:t xml:space="preserve">Schedule </w:t>
      </w:r>
      <w:r w:rsidR="00E55072">
        <w:t>2</w:t>
      </w:r>
      <w:r>
        <w:t xml:space="preserve"> amends the SIS Act to permit the regulations to impose rules on SMSF trustees that make, hold or realise investments involving </w:t>
      </w:r>
      <w:r w:rsidRPr="00D614EA">
        <w:t>collectables or personal use assets</w:t>
      </w:r>
      <w:r>
        <w:t xml:space="preserve">.  Assets considered to be </w:t>
      </w:r>
      <w:r w:rsidRPr="00D614EA">
        <w:t>collectables and personal use assets are listed in the provisions.</w:t>
      </w:r>
    </w:p>
    <w:p w:rsidR="00483461" w:rsidRDefault="00483461" w:rsidP="00DC00CE">
      <w:pPr>
        <w:pStyle w:val="base-text-paragraph"/>
        <w:numPr>
          <w:ilvl w:val="1"/>
          <w:numId w:val="21"/>
        </w:numPr>
      </w:pPr>
      <w:r>
        <w:t xml:space="preserve">This Schedule also amends the SIS Act to remove a reference to a provision that was repealed on 24 September 2007.  </w:t>
      </w:r>
    </w:p>
    <w:p w:rsidR="00483461" w:rsidRDefault="00483461" w:rsidP="00483461">
      <w:pPr>
        <w:pStyle w:val="Heading2with18pointafter"/>
      </w:pPr>
      <w:r>
        <w:t>Comparison of key features of new law and current law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0"/>
        <w:gridCol w:w="3651"/>
      </w:tblGrid>
      <w:tr w:rsidR="00483461" w:rsidRPr="004666B8" w:rsidTr="00483461">
        <w:tc>
          <w:tcPr>
            <w:tcW w:w="3650" w:type="dxa"/>
            <w:tcBorders>
              <w:bottom w:val="single" w:sz="4" w:space="0" w:color="auto"/>
            </w:tcBorders>
          </w:tcPr>
          <w:p w:rsidR="00483461" w:rsidRPr="004666B8" w:rsidRDefault="00483461" w:rsidP="00483461">
            <w:pPr>
              <w:pStyle w:val="tableheaderwithintable"/>
              <w:rPr>
                <w:lang w:val="en-US" w:eastAsia="en-US"/>
              </w:rPr>
            </w:pPr>
            <w:r w:rsidRPr="004666B8">
              <w:rPr>
                <w:lang w:val="en-US" w:eastAsia="en-US"/>
              </w:rPr>
              <w:t>New law</w:t>
            </w:r>
          </w:p>
        </w:tc>
        <w:tc>
          <w:tcPr>
            <w:tcW w:w="3651" w:type="dxa"/>
            <w:tcBorders>
              <w:bottom w:val="single" w:sz="4" w:space="0" w:color="auto"/>
            </w:tcBorders>
          </w:tcPr>
          <w:p w:rsidR="00483461" w:rsidRPr="004666B8" w:rsidRDefault="00483461" w:rsidP="00483461">
            <w:pPr>
              <w:pStyle w:val="tableheaderwithintable"/>
              <w:rPr>
                <w:lang w:val="en-US" w:eastAsia="en-US"/>
              </w:rPr>
            </w:pPr>
            <w:r w:rsidRPr="004666B8">
              <w:rPr>
                <w:lang w:val="en-US" w:eastAsia="en-US"/>
              </w:rPr>
              <w:t>Current law</w:t>
            </w:r>
          </w:p>
        </w:tc>
      </w:tr>
      <w:tr w:rsidR="00483461" w:rsidRPr="004666B8" w:rsidTr="00483461">
        <w:trPr>
          <w:trHeight w:val="1148"/>
        </w:trPr>
        <w:tc>
          <w:tcPr>
            <w:tcW w:w="3650" w:type="dxa"/>
            <w:tcBorders>
              <w:bottom w:val="single" w:sz="4" w:space="0" w:color="auto"/>
            </w:tcBorders>
          </w:tcPr>
          <w:p w:rsidR="00483461" w:rsidRPr="004666B8" w:rsidRDefault="00483461" w:rsidP="00483461">
            <w:pPr>
              <w:pStyle w:val="tabletext"/>
              <w:spacing w:before="0" w:after="0"/>
              <w:rPr>
                <w:lang w:val="en-US" w:eastAsia="en-US"/>
              </w:rPr>
            </w:pPr>
            <w:r>
              <w:rPr>
                <w:lang w:val="en-US" w:eastAsia="en-US"/>
              </w:rPr>
              <w:t>SMSF trustees must comply with any rules set by the regulations in relation to investments in collectables and personal use assets, in addition to the rules that also apply to other asset classes.</w:t>
            </w:r>
          </w:p>
        </w:tc>
        <w:tc>
          <w:tcPr>
            <w:tcW w:w="3651" w:type="dxa"/>
            <w:tcBorders>
              <w:bottom w:val="single" w:sz="4" w:space="0" w:color="auto"/>
            </w:tcBorders>
          </w:tcPr>
          <w:p w:rsidR="00483461" w:rsidRPr="004666B8" w:rsidRDefault="00483461" w:rsidP="00483461">
            <w:pPr>
              <w:pStyle w:val="tabletext"/>
              <w:spacing w:before="0" w:after="0"/>
              <w:rPr>
                <w:lang w:val="en-US" w:eastAsia="en-US"/>
              </w:rPr>
            </w:pPr>
            <w:r>
              <w:rPr>
                <w:lang w:val="en-US" w:eastAsia="en-US"/>
              </w:rPr>
              <w:t xml:space="preserve">SMSF trustees must comply with legislative rules which apply to all SMSF investments.  </w:t>
            </w:r>
          </w:p>
        </w:tc>
      </w:tr>
      <w:tr w:rsidR="00483461" w:rsidRPr="004666B8" w:rsidTr="00483461">
        <w:trPr>
          <w:trHeight w:val="511"/>
        </w:trPr>
        <w:tc>
          <w:tcPr>
            <w:tcW w:w="3650" w:type="dxa"/>
            <w:tcBorders>
              <w:top w:val="single" w:sz="4" w:space="0" w:color="auto"/>
              <w:left w:val="single" w:sz="4" w:space="0" w:color="auto"/>
              <w:bottom w:val="single" w:sz="4" w:space="0" w:color="auto"/>
              <w:right w:val="single" w:sz="4" w:space="0" w:color="auto"/>
            </w:tcBorders>
          </w:tcPr>
          <w:p w:rsidR="00483461" w:rsidRDefault="00483461" w:rsidP="00483461">
            <w:pPr>
              <w:pStyle w:val="tabletext"/>
              <w:spacing w:before="0" w:after="0"/>
              <w:rPr>
                <w:lang w:val="en-US" w:eastAsia="en-US"/>
              </w:rPr>
            </w:pPr>
            <w:r>
              <w:rPr>
                <w:lang w:val="en-US" w:eastAsia="en-US"/>
              </w:rPr>
              <w:t>There is no reference to subsection 376(6) in paragraph 353(1)(d).</w:t>
            </w:r>
          </w:p>
        </w:tc>
        <w:tc>
          <w:tcPr>
            <w:tcW w:w="3651" w:type="dxa"/>
            <w:tcBorders>
              <w:top w:val="single" w:sz="4" w:space="0" w:color="auto"/>
              <w:left w:val="single" w:sz="4" w:space="0" w:color="auto"/>
              <w:bottom w:val="single" w:sz="4" w:space="0" w:color="auto"/>
              <w:right w:val="single" w:sz="4" w:space="0" w:color="auto"/>
            </w:tcBorders>
          </w:tcPr>
          <w:p w:rsidR="00483461" w:rsidRPr="004666B8" w:rsidRDefault="00483461" w:rsidP="00483461">
            <w:pPr>
              <w:pStyle w:val="tabletext"/>
              <w:spacing w:before="0" w:after="0"/>
              <w:rPr>
                <w:lang w:val="en-US" w:eastAsia="en-US"/>
              </w:rPr>
            </w:pPr>
            <w:r>
              <w:rPr>
                <w:lang w:val="en-US" w:eastAsia="en-US"/>
              </w:rPr>
              <w:t>There is a reference to subsection 376(6) in paragraph 353(1)(d).</w:t>
            </w:r>
          </w:p>
        </w:tc>
      </w:tr>
    </w:tbl>
    <w:p w:rsidR="00483461" w:rsidRDefault="00483461" w:rsidP="00483461">
      <w:pPr>
        <w:pStyle w:val="Heading2"/>
      </w:pPr>
      <w:r>
        <w:t>Detailed explanation of new law</w:t>
      </w:r>
    </w:p>
    <w:p w:rsidR="00483461" w:rsidRDefault="00483461" w:rsidP="00DC00CE">
      <w:pPr>
        <w:pStyle w:val="base-text-paragraph"/>
        <w:numPr>
          <w:ilvl w:val="1"/>
          <w:numId w:val="21"/>
        </w:numPr>
      </w:pPr>
      <w:r>
        <w:t>Currently, SMSF trustees may invest in a broad range of assets, provided the investments are permitted by the fund’s trust deed and are in accordance with its investment strategy.  The trustees must also comply with legislative rules, regardless of the asset class in which they invest.  These amendments to the SIS Act provide for specific legislative rules to be applied solely to SMSF investments involving collectables and personal use assets.</w:t>
      </w:r>
    </w:p>
    <w:p w:rsidR="00483461" w:rsidRDefault="00483461" w:rsidP="00DC00CE">
      <w:pPr>
        <w:pStyle w:val="base-text-paragraph"/>
        <w:numPr>
          <w:ilvl w:val="1"/>
          <w:numId w:val="21"/>
        </w:numPr>
      </w:pPr>
      <w:r>
        <w:lastRenderedPageBreak/>
        <w:t xml:space="preserve">Part 7 of the SIS Act sets out rules that apply only to regulated superannuation funds.  </w:t>
      </w:r>
    </w:p>
    <w:p w:rsidR="00483461" w:rsidRPr="00994BFF" w:rsidRDefault="00483461" w:rsidP="00DC00CE">
      <w:pPr>
        <w:pStyle w:val="base-text-paragraph"/>
        <w:numPr>
          <w:ilvl w:val="1"/>
          <w:numId w:val="21"/>
        </w:numPr>
        <w:rPr>
          <w:rStyle w:val="Referencingstyle"/>
          <w:b w:val="0"/>
          <w:i w:val="0"/>
        </w:rPr>
      </w:pPr>
      <w:r>
        <w:t xml:space="preserve">A new section is inserted into Part 7 to allow the regulations to prescribe rules that specifically relate to investments by an SMSF involving assets that are:  </w:t>
      </w:r>
    </w:p>
    <w:p w:rsidR="00483461" w:rsidRDefault="00483461" w:rsidP="00483461">
      <w:pPr>
        <w:pStyle w:val="dotpoint"/>
      </w:pPr>
      <w:r>
        <w:t xml:space="preserve">artwork (within the meaning of the </w:t>
      </w:r>
      <w:r>
        <w:rPr>
          <w:i/>
        </w:rPr>
        <w:t>Income Tax Assessment Act 1997</w:t>
      </w:r>
      <w:r>
        <w:t xml:space="preserve">); </w:t>
      </w:r>
    </w:p>
    <w:p w:rsidR="00483461" w:rsidRDefault="00483461" w:rsidP="00483461">
      <w:pPr>
        <w:pStyle w:val="dotpoint"/>
      </w:pPr>
      <w:r>
        <w:t xml:space="preserve">jewellery; </w:t>
      </w:r>
    </w:p>
    <w:p w:rsidR="00483461" w:rsidRDefault="00483461" w:rsidP="00483461">
      <w:pPr>
        <w:pStyle w:val="dotpoint"/>
      </w:pPr>
      <w:r>
        <w:t xml:space="preserve">antiques; </w:t>
      </w:r>
    </w:p>
    <w:p w:rsidR="00483461" w:rsidRDefault="00483461" w:rsidP="00483461">
      <w:pPr>
        <w:pStyle w:val="dotpoint"/>
      </w:pPr>
      <w:r>
        <w:t xml:space="preserve">artefacts; </w:t>
      </w:r>
    </w:p>
    <w:p w:rsidR="00483461" w:rsidRDefault="00483461" w:rsidP="00483461">
      <w:pPr>
        <w:pStyle w:val="dotpoint"/>
      </w:pPr>
      <w:r>
        <w:t xml:space="preserve">coins or medallions; </w:t>
      </w:r>
    </w:p>
    <w:p w:rsidR="00483461" w:rsidRDefault="00483461" w:rsidP="00483461">
      <w:pPr>
        <w:pStyle w:val="dotpoint"/>
      </w:pPr>
      <w:r>
        <w:t xml:space="preserve">postage stamps or first day covers; </w:t>
      </w:r>
    </w:p>
    <w:p w:rsidR="00483461" w:rsidRDefault="00483461" w:rsidP="00483461">
      <w:pPr>
        <w:pStyle w:val="dotpoint"/>
      </w:pPr>
      <w:r>
        <w:t xml:space="preserve">rare folios, manuscripts or books; </w:t>
      </w:r>
    </w:p>
    <w:p w:rsidR="00483461" w:rsidRDefault="00483461" w:rsidP="00483461">
      <w:pPr>
        <w:pStyle w:val="dotpoint"/>
      </w:pPr>
      <w:r>
        <w:t xml:space="preserve">memorabilia; </w:t>
      </w:r>
    </w:p>
    <w:p w:rsidR="00483461" w:rsidRDefault="00483461" w:rsidP="00483461">
      <w:pPr>
        <w:pStyle w:val="dotpoint"/>
      </w:pPr>
      <w:r>
        <w:t xml:space="preserve">wine; </w:t>
      </w:r>
    </w:p>
    <w:p w:rsidR="00483461" w:rsidRDefault="00483461" w:rsidP="00483461">
      <w:pPr>
        <w:pStyle w:val="dotpoint"/>
      </w:pPr>
      <w:r>
        <w:t xml:space="preserve">cars; </w:t>
      </w:r>
    </w:p>
    <w:p w:rsidR="00483461" w:rsidRDefault="00483461" w:rsidP="00483461">
      <w:pPr>
        <w:pStyle w:val="dotpoint"/>
      </w:pPr>
      <w:r>
        <w:t xml:space="preserve">recreational boats; </w:t>
      </w:r>
    </w:p>
    <w:p w:rsidR="00483461" w:rsidRDefault="00483461" w:rsidP="00483461">
      <w:pPr>
        <w:pStyle w:val="dotpoint"/>
      </w:pPr>
      <w:r w:rsidRPr="00813F8C">
        <w:t>memberships of sporting or social clubs</w:t>
      </w:r>
      <w:r>
        <w:t>; or</w:t>
      </w:r>
    </w:p>
    <w:p w:rsidR="00483461" w:rsidRDefault="00483461" w:rsidP="00483461">
      <w:pPr>
        <w:pStyle w:val="dotpoint"/>
      </w:pPr>
      <w:r>
        <w:t>assets of a particular kind, if assets of that kind are ordinarily used or kept mainly for personal use or enjoyment (not including land).</w:t>
      </w:r>
    </w:p>
    <w:p w:rsidR="00483461" w:rsidRDefault="00483461" w:rsidP="00483461">
      <w:pPr>
        <w:pStyle w:val="base-text-paragraphnonumbers"/>
      </w:pPr>
      <w:r>
        <w:rPr>
          <w:rStyle w:val="Referencingstyle"/>
        </w:rPr>
        <w:t xml:space="preserve">[Schedule </w:t>
      </w:r>
      <w:r w:rsidR="00DB3797">
        <w:rPr>
          <w:rStyle w:val="Referencingstyle"/>
        </w:rPr>
        <w:t>2</w:t>
      </w:r>
      <w:r>
        <w:rPr>
          <w:rStyle w:val="Referencingstyle"/>
        </w:rPr>
        <w:t>, item 1, section 62A]</w:t>
      </w:r>
    </w:p>
    <w:p w:rsidR="00483461" w:rsidRPr="00DB3797" w:rsidRDefault="00483461" w:rsidP="00DC00CE">
      <w:pPr>
        <w:pStyle w:val="base-text-paragraph"/>
        <w:numPr>
          <w:ilvl w:val="1"/>
          <w:numId w:val="21"/>
        </w:numPr>
      </w:pPr>
      <w:r w:rsidRPr="00DB3797">
        <w:t>This measure applies not only where the asset is the primary investment but also where the asset is attached to an investment or is a related benefit of an investment.</w:t>
      </w:r>
    </w:p>
    <w:p w:rsidR="00483461" w:rsidRDefault="00483461" w:rsidP="00DC00CE">
      <w:pPr>
        <w:pStyle w:val="ExampleHeading"/>
        <w:numPr>
          <w:ilvl w:val="3"/>
          <w:numId w:val="21"/>
        </w:numPr>
      </w:pPr>
    </w:p>
    <w:p w:rsidR="00483461" w:rsidRDefault="00483461" w:rsidP="00483461">
      <w:pPr>
        <w:pStyle w:val="exampletext"/>
        <w:keepNext/>
        <w:keepLines/>
      </w:pPr>
      <w:r>
        <w:t>Jemma is a trustee of an SMSF.  As trustee of her SMSF, Jemma makes an investment in XYZ Golf Club.  By making the investment, Jemma receives a complimentary membership.  Although the membership is not the primary investment, Jemma must comply with regulations made for the purpose of section 62A of the SIS Act in relation to the membership.</w:t>
      </w:r>
    </w:p>
    <w:p w:rsidR="00483461" w:rsidRDefault="00483461" w:rsidP="00DC00CE">
      <w:pPr>
        <w:pStyle w:val="base-text-paragraph"/>
        <w:numPr>
          <w:ilvl w:val="1"/>
          <w:numId w:val="21"/>
        </w:numPr>
      </w:pPr>
      <w:r>
        <w:t xml:space="preserve">‘Self managed superannuation fund’ is defined in section 17A of the SIS Act.  </w:t>
      </w:r>
    </w:p>
    <w:p w:rsidR="00483461" w:rsidRDefault="00483461" w:rsidP="00DC00CE">
      <w:pPr>
        <w:pStyle w:val="base-text-paragraph"/>
        <w:numPr>
          <w:ilvl w:val="1"/>
          <w:numId w:val="21"/>
        </w:numPr>
      </w:pPr>
      <w:r>
        <w:t xml:space="preserve">Section 62A does not override section 62 of the SIS Act, which sets out the sole purpose test.  Investments to which this measure applies need to comply with both section 62 and section 62A.  </w:t>
      </w:r>
    </w:p>
    <w:p w:rsidR="00483461" w:rsidRDefault="00483461" w:rsidP="00DC00CE">
      <w:pPr>
        <w:pStyle w:val="base-text-paragraph"/>
        <w:numPr>
          <w:ilvl w:val="1"/>
          <w:numId w:val="21"/>
        </w:numPr>
      </w:pPr>
      <w:r>
        <w:t xml:space="preserve">The rules that the regulations may prescribe can relate to the making, holding and realising an investment.  In other words, the rules may be in relation to how the asset is acquired, stored and used while in the SMSF, and disposed of.  </w:t>
      </w:r>
      <w:r>
        <w:rPr>
          <w:rStyle w:val="Referencingstyle"/>
        </w:rPr>
        <w:t xml:space="preserve">[Schedule </w:t>
      </w:r>
      <w:r w:rsidR="00DB3797">
        <w:rPr>
          <w:rStyle w:val="Referencingstyle"/>
        </w:rPr>
        <w:t>2</w:t>
      </w:r>
      <w:r>
        <w:rPr>
          <w:rStyle w:val="Referencingstyle"/>
        </w:rPr>
        <w:t>, item 1, section 62A]</w:t>
      </w:r>
    </w:p>
    <w:p w:rsidR="00483461" w:rsidRDefault="00483461" w:rsidP="00DC00CE">
      <w:pPr>
        <w:pStyle w:val="base-text-paragraph"/>
        <w:numPr>
          <w:ilvl w:val="1"/>
          <w:numId w:val="21"/>
        </w:numPr>
      </w:pPr>
      <w:r>
        <w:t xml:space="preserve">The regulations may prescribe penalties for non-compliance with the rules set out in the regulations.  The penalties cannot exceed 10 penalty units.  This is consistent with paragraph 353(1)(d) of the SIS Act, which provides that the regulations may prescribe penalties not exceeding 10 penalty units in respect of offences against the regulations.  </w:t>
      </w:r>
      <w:r>
        <w:rPr>
          <w:rStyle w:val="Referencingstyle"/>
        </w:rPr>
        <w:t xml:space="preserve">[Schedule </w:t>
      </w:r>
      <w:r w:rsidR="00DB3797">
        <w:rPr>
          <w:rStyle w:val="Referencingstyle"/>
        </w:rPr>
        <w:t>2</w:t>
      </w:r>
      <w:r>
        <w:rPr>
          <w:rStyle w:val="Referencingstyle"/>
        </w:rPr>
        <w:t>, item 1, section 62A, note]</w:t>
      </w:r>
    </w:p>
    <w:p w:rsidR="00483461" w:rsidRDefault="00483461" w:rsidP="00DC00CE">
      <w:pPr>
        <w:pStyle w:val="base-text-paragraph"/>
        <w:numPr>
          <w:ilvl w:val="1"/>
          <w:numId w:val="21"/>
        </w:numPr>
      </w:pPr>
      <w:r>
        <w:t xml:space="preserve">Matters relating to offences against the rules will be set out in the regulations.  Including the offence with the rules will ensure transparency and simplicity, and will assist with interpretation. </w:t>
      </w:r>
    </w:p>
    <w:p w:rsidR="00483461" w:rsidRDefault="00483461" w:rsidP="00483461">
      <w:pPr>
        <w:pStyle w:val="Heading3"/>
      </w:pPr>
      <w:r>
        <w:t>Minor amendment</w:t>
      </w:r>
    </w:p>
    <w:p w:rsidR="00483461" w:rsidRPr="00EB1305" w:rsidRDefault="00483461" w:rsidP="00DC00CE">
      <w:pPr>
        <w:pStyle w:val="base-text-paragraph"/>
        <w:numPr>
          <w:ilvl w:val="1"/>
          <w:numId w:val="21"/>
        </w:numPr>
      </w:pPr>
      <w:r>
        <w:t xml:space="preserve">Paragraph 353(1)(d) is amended to remove the reference to subsection 376(6).  Subsection 376(6) was repealed on 24 September 2007 by item 55 of Schedule 1 to the </w:t>
      </w:r>
      <w:r w:rsidRPr="00DC582D">
        <w:rPr>
          <w:i/>
        </w:rPr>
        <w:t>Financial Sector Legislation Amendment (Simplifying Regulation and Review) Act 2007</w:t>
      </w:r>
      <w:r>
        <w:t xml:space="preserve">.  </w:t>
      </w:r>
      <w:r>
        <w:rPr>
          <w:rStyle w:val="Referencingstyle"/>
        </w:rPr>
        <w:t xml:space="preserve">[Schedule </w:t>
      </w:r>
      <w:r w:rsidR="00DB3797">
        <w:rPr>
          <w:rStyle w:val="Referencingstyle"/>
        </w:rPr>
        <w:t>2</w:t>
      </w:r>
      <w:r>
        <w:rPr>
          <w:rStyle w:val="Referencingstyle"/>
        </w:rPr>
        <w:t>, item 2, paragraph 353(1)(d)]</w:t>
      </w:r>
    </w:p>
    <w:p w:rsidR="00483461" w:rsidRDefault="00483461" w:rsidP="00483461">
      <w:pPr>
        <w:pStyle w:val="Heading2"/>
      </w:pPr>
      <w:r>
        <w:t>Application provision</w:t>
      </w:r>
      <w:r w:rsidR="00105121">
        <w:t>s</w:t>
      </w:r>
    </w:p>
    <w:p w:rsidR="00483461" w:rsidRDefault="00483461" w:rsidP="00DC00CE">
      <w:pPr>
        <w:pStyle w:val="base-text-paragraph"/>
        <w:numPr>
          <w:ilvl w:val="1"/>
          <w:numId w:val="21"/>
        </w:numPr>
      </w:pPr>
      <w:r>
        <w:t xml:space="preserve">These amendments apply in relation to investments made by an SMSF before, on or after 1 July 2011.  </w:t>
      </w:r>
      <w:r>
        <w:rPr>
          <w:rStyle w:val="Referencingstyle"/>
        </w:rPr>
        <w:t xml:space="preserve">[Schedule </w:t>
      </w:r>
      <w:r w:rsidR="00DB3797">
        <w:rPr>
          <w:rStyle w:val="Referencingstyle"/>
        </w:rPr>
        <w:t>2</w:t>
      </w:r>
      <w:r w:rsidR="00105121">
        <w:rPr>
          <w:rStyle w:val="Referencingstyle"/>
        </w:rPr>
        <w:t>, item 3</w:t>
      </w:r>
      <w:r>
        <w:rPr>
          <w:rStyle w:val="Referencingstyle"/>
        </w:rPr>
        <w:t>]</w:t>
      </w:r>
    </w:p>
    <w:p w:rsidR="00483461" w:rsidRDefault="00483461" w:rsidP="00DC00CE">
      <w:pPr>
        <w:pStyle w:val="base-text-paragraph"/>
        <w:numPr>
          <w:ilvl w:val="1"/>
          <w:numId w:val="21"/>
        </w:numPr>
      </w:pPr>
      <w:r>
        <w:lastRenderedPageBreak/>
        <w:t xml:space="preserve">The regulations may specify that the amendments apply to only some of these investments.  This will allow the five-year transitional period, announced by the Government as part of its election commitment, to be included in the regulations.  </w:t>
      </w:r>
      <w:r w:rsidR="00105121">
        <w:rPr>
          <w:rStyle w:val="Referencingstyle"/>
        </w:rPr>
        <w:t xml:space="preserve">[Schedule </w:t>
      </w:r>
      <w:r w:rsidR="00E55072">
        <w:rPr>
          <w:rStyle w:val="Referencingstyle"/>
        </w:rPr>
        <w:t>2</w:t>
      </w:r>
      <w:r w:rsidR="00105121">
        <w:rPr>
          <w:rStyle w:val="Referencingstyle"/>
        </w:rPr>
        <w:t>, item 3</w:t>
      </w:r>
      <w:r>
        <w:rPr>
          <w:rStyle w:val="Referencingstyle"/>
        </w:rPr>
        <w:t>]</w:t>
      </w:r>
    </w:p>
    <w:p w:rsidR="00483461" w:rsidRDefault="00483461" w:rsidP="00483461">
      <w:pPr>
        <w:pStyle w:val="exampletext"/>
        <w:sectPr w:rsidR="00483461" w:rsidSect="00821379">
          <w:headerReference w:type="even" r:id="rId33"/>
          <w:headerReference w:type="default" r:id="rId34"/>
          <w:footerReference w:type="even" r:id="rId35"/>
          <w:footerReference w:type="default" r:id="rId36"/>
          <w:footerReference w:type="first" r:id="rId37"/>
          <w:type w:val="oddPage"/>
          <w:pgSz w:w="11906" w:h="16838" w:code="9"/>
          <w:pgMar w:top="2466" w:right="2098" w:bottom="2466" w:left="2098" w:header="1559" w:footer="1899" w:gutter="0"/>
          <w:cols w:space="708"/>
          <w:titlePg/>
          <w:docGrid w:linePitch="360"/>
        </w:sectPr>
      </w:pPr>
    </w:p>
    <w:p w:rsidR="00483461" w:rsidRPr="00F51A71" w:rsidRDefault="00483461" w:rsidP="00DC00CE">
      <w:pPr>
        <w:pStyle w:val="ChapterHeading"/>
        <w:numPr>
          <w:ilvl w:val="0"/>
          <w:numId w:val="21"/>
        </w:numPr>
      </w:pPr>
      <w:r w:rsidRPr="00F51A71">
        <w:lastRenderedPageBreak/>
        <w:br/>
      </w:r>
      <w:bookmarkStart w:id="7" w:name="_Toc288643036"/>
      <w:r>
        <w:t xml:space="preserve">Superannuation </w:t>
      </w:r>
      <w:r w:rsidR="00066D31">
        <w:t>—</w:t>
      </w:r>
      <w:r>
        <w:t xml:space="preserve"> tax file number amendments</w:t>
      </w:r>
      <w:bookmarkEnd w:id="7"/>
    </w:p>
    <w:p w:rsidR="00483461" w:rsidRDefault="00483461" w:rsidP="00483461">
      <w:pPr>
        <w:pStyle w:val="Heading2"/>
      </w:pPr>
      <w:r>
        <w:t>Outline of chapter</w:t>
      </w:r>
    </w:p>
    <w:p w:rsidR="00483461" w:rsidRDefault="00483461" w:rsidP="00DC00CE">
      <w:pPr>
        <w:pStyle w:val="base-text-paragraph"/>
        <w:numPr>
          <w:ilvl w:val="1"/>
          <w:numId w:val="21"/>
        </w:numPr>
      </w:pPr>
      <w:r>
        <w:t xml:space="preserve">Schedule </w:t>
      </w:r>
      <w:r w:rsidR="00066D31">
        <w:t>3</w:t>
      </w:r>
      <w:r>
        <w:t xml:space="preserve"> to this Bill amends the </w:t>
      </w:r>
      <w:r>
        <w:rPr>
          <w:i/>
        </w:rPr>
        <w:t>Superannuation Industry (Supervision) Act 1993</w:t>
      </w:r>
      <w:r>
        <w:t xml:space="preserve"> (SIS Act) and the </w:t>
      </w:r>
      <w:r>
        <w:rPr>
          <w:i/>
        </w:rPr>
        <w:t>Retirement Savings Accounts Act 1997</w:t>
      </w:r>
      <w:r>
        <w:t xml:space="preserve"> (RSA Act) to allow superannuation fund trustees and retirement savings account (RSA) providers respectively to use tax file numbers (TFNs) to locate member accounts and to facilitate the consolidation of multiple member accounts.</w:t>
      </w:r>
    </w:p>
    <w:p w:rsidR="00483461" w:rsidRDefault="00483461" w:rsidP="00483461">
      <w:pPr>
        <w:pStyle w:val="Heading2"/>
      </w:pPr>
      <w:r>
        <w:t>Context of amendments</w:t>
      </w:r>
    </w:p>
    <w:p w:rsidR="00483461" w:rsidRPr="001C7E46" w:rsidRDefault="00483461" w:rsidP="00483461">
      <w:pPr>
        <w:pStyle w:val="Heading3"/>
      </w:pPr>
      <w:r>
        <w:t>Current law</w:t>
      </w:r>
    </w:p>
    <w:p w:rsidR="00483461" w:rsidRDefault="00483461" w:rsidP="00DC00CE">
      <w:pPr>
        <w:pStyle w:val="base-text-paragraph"/>
        <w:numPr>
          <w:ilvl w:val="1"/>
          <w:numId w:val="21"/>
        </w:numPr>
      </w:pPr>
      <w:r>
        <w:t>A TFN is a unique number issued by the Australian Taxation Office (ATO) for each taxpayer, which allows the ATO to match details of income disclosed in a taxpayer’s return with details of a person’s income received from other sources.  TFNs are used by the ATO as a primary identifier of an individual for the purposes of the administration of taxation and superannuation laws administered by the Commissioner of Taxation (Commissioner).</w:t>
      </w:r>
    </w:p>
    <w:p w:rsidR="00483461" w:rsidRDefault="00483461" w:rsidP="00DC00CE">
      <w:pPr>
        <w:pStyle w:val="base-text-paragraph"/>
        <w:numPr>
          <w:ilvl w:val="1"/>
          <w:numId w:val="21"/>
        </w:numPr>
      </w:pPr>
      <w:r>
        <w:t xml:space="preserve">There are current laws which allow use of TFNs in the superannuation industry.  These laws apply to trustees of regulated superannuation funds, approved deposit funds, RSAs, exempt public sector superannuation schemes, and employers.  </w:t>
      </w:r>
    </w:p>
    <w:p w:rsidR="00483461" w:rsidRDefault="00483461" w:rsidP="00DC00CE">
      <w:pPr>
        <w:pStyle w:val="base-text-paragraph"/>
        <w:numPr>
          <w:ilvl w:val="1"/>
          <w:numId w:val="21"/>
        </w:numPr>
      </w:pPr>
      <w:r>
        <w:t xml:space="preserve">The collection of TFNs by superannuation funds is authorised under Part 25A of the SIS Act.  This Act provides clear limitations on the use of TFNs and also outlines details of the recording and destruction of TFN records.  </w:t>
      </w:r>
    </w:p>
    <w:p w:rsidR="00483461" w:rsidRDefault="00483461" w:rsidP="00DC00CE">
      <w:pPr>
        <w:pStyle w:val="base-text-paragraph"/>
        <w:numPr>
          <w:ilvl w:val="1"/>
          <w:numId w:val="21"/>
        </w:numPr>
      </w:pPr>
      <w:r>
        <w:t xml:space="preserve">If the superannuation fund trustee or RSA provider is not provided with a member’s TFN for superannuation purposes, the superannuation fund trustee or RSA provider is required to seek the member’s TFN within 30 days of the person becoming a fund member.  However, it is not compulsory for the member to quote their TFN.  </w:t>
      </w:r>
    </w:p>
    <w:p w:rsidR="00483461" w:rsidRDefault="00483461" w:rsidP="00DC00CE">
      <w:pPr>
        <w:pStyle w:val="base-text-paragraph"/>
        <w:numPr>
          <w:ilvl w:val="1"/>
          <w:numId w:val="21"/>
        </w:numPr>
      </w:pPr>
      <w:r>
        <w:lastRenderedPageBreak/>
        <w:t xml:space="preserve">However, where a TFN is not provided, member contributions may not be accepted, and there may be adverse taxation consequences.  For example, if a TFN is not quoted and the fund receives employer contributions for that member, additional income tax is payable by the fund which will generally reduce the member’s benefit in the fund.  </w:t>
      </w:r>
    </w:p>
    <w:p w:rsidR="00483461" w:rsidRDefault="00483461" w:rsidP="00DC00CE">
      <w:pPr>
        <w:pStyle w:val="base-text-paragraph"/>
        <w:numPr>
          <w:ilvl w:val="1"/>
          <w:numId w:val="21"/>
        </w:numPr>
      </w:pPr>
      <w:r>
        <w:t xml:space="preserve">Superannuation fund trustees and RSA providers currently use TFNs primarily for the purpose of calculating the amount of tax which will be deducted from the member’s benefit when paid.  In most cases, where a TFN is quoted, tax will be deducted at normal, concessional rates.  </w:t>
      </w:r>
    </w:p>
    <w:p w:rsidR="00483461" w:rsidRDefault="00483461" w:rsidP="00DC00CE">
      <w:pPr>
        <w:pStyle w:val="base-text-paragraph"/>
        <w:numPr>
          <w:ilvl w:val="1"/>
          <w:numId w:val="21"/>
        </w:numPr>
      </w:pPr>
      <w:r>
        <w:t>Currently, TFNs may only be used by a superannuation fund trustee or RSA provider to locate, in the fund’s records, member accounts provided other methods are used first and only if the other methods are insufficient.  It is an offence for the superannuation fund trustee or RSA provider to contravene this part of the Act.</w:t>
      </w:r>
    </w:p>
    <w:p w:rsidR="00483461" w:rsidRDefault="00483461" w:rsidP="00DC00CE">
      <w:pPr>
        <w:pStyle w:val="base-text-paragraph"/>
        <w:numPr>
          <w:ilvl w:val="1"/>
          <w:numId w:val="21"/>
        </w:numPr>
      </w:pPr>
      <w:r>
        <w:t xml:space="preserve">Superannuation fund trustees and RSA providers are not currently permitted to use TFNs for the purpose of locating multiple accounts held by the same person in order to consolidate the accounts, whether in the same superannuation fund, RSA, or across multiple superannuation funds.  </w:t>
      </w:r>
    </w:p>
    <w:p w:rsidR="00483461" w:rsidRDefault="00483461" w:rsidP="00DC00CE">
      <w:pPr>
        <w:pStyle w:val="base-text-paragraph"/>
        <w:numPr>
          <w:ilvl w:val="1"/>
          <w:numId w:val="21"/>
        </w:numPr>
      </w:pPr>
      <w:r>
        <w:t xml:space="preserve">TFN use by superannuation funds is governed by the </w:t>
      </w:r>
      <w:r w:rsidRPr="004220CA">
        <w:rPr>
          <w:i/>
        </w:rPr>
        <w:t>Privacy Act 1988</w:t>
      </w:r>
      <w:r>
        <w:t xml:space="preserve"> and the </w:t>
      </w:r>
      <w:r w:rsidRPr="004220CA">
        <w:rPr>
          <w:i/>
        </w:rPr>
        <w:t>Taxation Administration Act 1953</w:t>
      </w:r>
      <w:r>
        <w:t xml:space="preserve"> (TAA 1953) to ensure member privacy is protected and to prevent unauthorised use of TFNs.</w:t>
      </w:r>
    </w:p>
    <w:p w:rsidR="00483461" w:rsidRDefault="00483461" w:rsidP="00483461">
      <w:pPr>
        <w:pStyle w:val="Heading2"/>
      </w:pPr>
      <w:r>
        <w:t>Summary of new law</w:t>
      </w:r>
    </w:p>
    <w:p w:rsidR="00483461" w:rsidRDefault="00483461" w:rsidP="00DC00CE">
      <w:pPr>
        <w:pStyle w:val="base-text-paragraph"/>
        <w:numPr>
          <w:ilvl w:val="1"/>
          <w:numId w:val="21"/>
        </w:numPr>
      </w:pPr>
      <w:r>
        <w:t xml:space="preserve">Schedule </w:t>
      </w:r>
      <w:r w:rsidR="00066D31">
        <w:t>3</w:t>
      </w:r>
      <w:r>
        <w:t xml:space="preserve"> amends the </w:t>
      </w:r>
      <w:r w:rsidRPr="00393FBB">
        <w:t>SIS Act and the RSA Act</w:t>
      </w:r>
      <w:r>
        <w:t xml:space="preserve"> to allow superannuation fund trustees and RSA providers respectively to use TFNs to locate member accounts and to facilitate the consolidation of multiple accounts held by the same person.</w:t>
      </w:r>
    </w:p>
    <w:p w:rsidR="00483461" w:rsidRDefault="00483461" w:rsidP="00DC00CE">
      <w:pPr>
        <w:pStyle w:val="base-text-paragraph"/>
        <w:numPr>
          <w:ilvl w:val="1"/>
          <w:numId w:val="21"/>
        </w:numPr>
      </w:pPr>
      <w:r>
        <w:rPr>
          <w:rStyle w:val="base-text-paragraphChar"/>
        </w:rPr>
        <w:t>This measure was announced in the Assistant Treasurer and Minister for Financial Services and Superannuation’s Media Release No. 024 of 16 December 2010.</w:t>
      </w:r>
    </w:p>
    <w:p w:rsidR="00483461" w:rsidRDefault="00483461" w:rsidP="00483461">
      <w:pPr>
        <w:pStyle w:val="Heading2with18pointafter"/>
        <w:keepLines/>
      </w:pPr>
      <w:r>
        <w:lastRenderedPageBreak/>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5"/>
        <w:gridCol w:w="3276"/>
      </w:tblGrid>
      <w:tr w:rsidR="00483461" w:rsidRPr="004666B8" w:rsidTr="00483461">
        <w:tc>
          <w:tcPr>
            <w:tcW w:w="3275" w:type="dxa"/>
          </w:tcPr>
          <w:p w:rsidR="00483461" w:rsidRPr="004666B8" w:rsidRDefault="00483461" w:rsidP="00483461">
            <w:pPr>
              <w:pStyle w:val="tableheaderwithintable"/>
              <w:keepLines/>
              <w:rPr>
                <w:lang w:val="en-US" w:eastAsia="en-US"/>
              </w:rPr>
            </w:pPr>
            <w:r w:rsidRPr="004666B8">
              <w:rPr>
                <w:lang w:val="en-US" w:eastAsia="en-US"/>
              </w:rPr>
              <w:t>New law</w:t>
            </w:r>
          </w:p>
        </w:tc>
        <w:tc>
          <w:tcPr>
            <w:tcW w:w="3276" w:type="dxa"/>
          </w:tcPr>
          <w:p w:rsidR="00483461" w:rsidRPr="004666B8" w:rsidRDefault="00483461" w:rsidP="00483461">
            <w:pPr>
              <w:pStyle w:val="tableheaderwithintable"/>
              <w:keepLines/>
              <w:rPr>
                <w:lang w:val="en-US" w:eastAsia="en-US"/>
              </w:rPr>
            </w:pPr>
            <w:r w:rsidRPr="004666B8">
              <w:rPr>
                <w:lang w:val="en-US" w:eastAsia="en-US"/>
              </w:rPr>
              <w:t>Current law</w:t>
            </w:r>
          </w:p>
        </w:tc>
      </w:tr>
      <w:tr w:rsidR="00483461" w:rsidRPr="004666B8" w:rsidTr="00483461">
        <w:tc>
          <w:tcPr>
            <w:tcW w:w="3275" w:type="dxa"/>
          </w:tcPr>
          <w:p w:rsidR="00483461" w:rsidRPr="004666B8" w:rsidRDefault="00483461" w:rsidP="00483461">
            <w:pPr>
              <w:pStyle w:val="tabletext"/>
              <w:keepNext/>
              <w:keepLines/>
              <w:rPr>
                <w:lang w:val="en-US" w:eastAsia="en-US"/>
              </w:rPr>
            </w:pPr>
            <w:r>
              <w:rPr>
                <w:lang w:val="en-US" w:eastAsia="en-US"/>
              </w:rPr>
              <w:t xml:space="preserve">TFNs may be used by superannuation fund trustees and RSA providers to locate member accounts.  </w:t>
            </w:r>
          </w:p>
        </w:tc>
        <w:tc>
          <w:tcPr>
            <w:tcW w:w="3276" w:type="dxa"/>
          </w:tcPr>
          <w:p w:rsidR="00483461" w:rsidRPr="004666B8" w:rsidRDefault="00483461" w:rsidP="00483461">
            <w:pPr>
              <w:pStyle w:val="tabletext"/>
              <w:keepNext/>
              <w:keepLines/>
              <w:rPr>
                <w:lang w:val="en-US" w:eastAsia="en-US"/>
              </w:rPr>
            </w:pPr>
            <w:r w:rsidRPr="0011610E">
              <w:t xml:space="preserve">TFNs may only be used by a </w:t>
            </w:r>
            <w:r>
              <w:t xml:space="preserve">superannuation fund </w:t>
            </w:r>
            <w:r w:rsidRPr="0011610E">
              <w:t xml:space="preserve">trustee </w:t>
            </w:r>
            <w:r>
              <w:t xml:space="preserve">or RSA provider </w:t>
            </w:r>
            <w:r w:rsidRPr="0011610E">
              <w:t>to locate</w:t>
            </w:r>
            <w:r>
              <w:t>, in the fund’s or provider’s records,</w:t>
            </w:r>
            <w:r w:rsidRPr="0011610E">
              <w:t xml:space="preserve"> member accounts provided other methods are used first and only if the other methods are insufficient</w:t>
            </w:r>
            <w:r>
              <w:t xml:space="preserve"> or to confirm the identification of amounts resulting from the use of the other information.  </w:t>
            </w:r>
          </w:p>
        </w:tc>
      </w:tr>
      <w:tr w:rsidR="00483461" w:rsidRPr="004666B8" w:rsidTr="00483461">
        <w:tc>
          <w:tcPr>
            <w:tcW w:w="3275" w:type="dxa"/>
          </w:tcPr>
          <w:p w:rsidR="00483461" w:rsidRPr="004666B8" w:rsidRDefault="00483461" w:rsidP="00483461">
            <w:pPr>
              <w:pStyle w:val="tabletext"/>
              <w:rPr>
                <w:lang w:val="en-US" w:eastAsia="en-US"/>
              </w:rPr>
            </w:pPr>
            <w:r>
              <w:rPr>
                <w:lang w:val="en-US" w:eastAsia="en-US"/>
              </w:rPr>
              <w:t>TFNs may be used by superannuation fund trustees and RSA providers to facilitate account consolidation</w:t>
            </w:r>
          </w:p>
        </w:tc>
        <w:tc>
          <w:tcPr>
            <w:tcW w:w="3276" w:type="dxa"/>
          </w:tcPr>
          <w:p w:rsidR="00483461" w:rsidRPr="0011610E" w:rsidRDefault="00483461" w:rsidP="00483461">
            <w:pPr>
              <w:pStyle w:val="tabletext"/>
            </w:pPr>
            <w:r>
              <w:t>TFNs cannot be used by the superannuation fund trustee or RSA provider in the first instance for account consolidation purposes.</w:t>
            </w:r>
          </w:p>
        </w:tc>
      </w:tr>
    </w:tbl>
    <w:p w:rsidR="00483461" w:rsidRDefault="00483461" w:rsidP="00483461">
      <w:pPr>
        <w:pStyle w:val="Heading2"/>
      </w:pPr>
      <w:r>
        <w:t>Detailed explanation of new law</w:t>
      </w:r>
    </w:p>
    <w:p w:rsidR="00483461" w:rsidRPr="001C7E46" w:rsidRDefault="00483461" w:rsidP="00DC00CE">
      <w:pPr>
        <w:pStyle w:val="base-text-paragraph"/>
        <w:numPr>
          <w:ilvl w:val="1"/>
          <w:numId w:val="21"/>
        </w:numPr>
        <w:rPr>
          <w:rStyle w:val="Referencingstyle"/>
          <w:b w:val="0"/>
          <w:i w:val="0"/>
          <w:sz w:val="22"/>
        </w:rPr>
      </w:pPr>
      <w:r>
        <w:t xml:space="preserve">These amendments will allow superannuation fund trustees and RSA providers to use TFNs to locate member accounts.  </w:t>
      </w:r>
      <w:r w:rsidRPr="001A607A">
        <w:rPr>
          <w:rStyle w:val="Referencingstyle"/>
        </w:rPr>
        <w:t xml:space="preserve">[Schedule </w:t>
      </w:r>
      <w:r w:rsidR="00066D31" w:rsidRPr="001A607A">
        <w:rPr>
          <w:rStyle w:val="Referencingstyle"/>
        </w:rPr>
        <w:t>3</w:t>
      </w:r>
      <w:r w:rsidRPr="001A607A">
        <w:rPr>
          <w:rStyle w:val="Referencingstyle"/>
        </w:rPr>
        <w:t>, item </w:t>
      </w:r>
      <w:r w:rsidR="001A607A" w:rsidRPr="001A607A">
        <w:rPr>
          <w:rStyle w:val="Referencingstyle"/>
        </w:rPr>
        <w:t>2</w:t>
      </w:r>
      <w:r w:rsidRPr="001A607A">
        <w:rPr>
          <w:rStyle w:val="Referencingstyle"/>
        </w:rPr>
        <w:t xml:space="preserve">, section 137A of the RSA Act; item </w:t>
      </w:r>
      <w:r w:rsidR="001A607A" w:rsidRPr="001A607A">
        <w:rPr>
          <w:rStyle w:val="Referencingstyle"/>
        </w:rPr>
        <w:t>12</w:t>
      </w:r>
      <w:r w:rsidRPr="001A607A">
        <w:rPr>
          <w:rStyle w:val="Referencingstyle"/>
        </w:rPr>
        <w:t>, section 299LA of the SIS Act]</w:t>
      </w:r>
    </w:p>
    <w:p w:rsidR="00483461" w:rsidRPr="00C2761B" w:rsidRDefault="00483461" w:rsidP="00DC00CE">
      <w:pPr>
        <w:pStyle w:val="base-text-paragraph"/>
        <w:numPr>
          <w:ilvl w:val="1"/>
          <w:numId w:val="21"/>
        </w:numPr>
        <w:rPr>
          <w:rStyle w:val="Referencingstyle"/>
          <w:b w:val="0"/>
          <w:i w:val="0"/>
          <w:sz w:val="22"/>
        </w:rPr>
      </w:pPr>
      <w:r>
        <w:t>The new laws will cover TFNs regardless of whether they are provided to the superannuation fund by the member, the member’s employer or the Commissioner in accordance with the SIS Act and the RSA Act provisions.</w:t>
      </w:r>
    </w:p>
    <w:p w:rsidR="00483461" w:rsidRDefault="00483461" w:rsidP="00DC00CE">
      <w:pPr>
        <w:pStyle w:val="base-text-paragraph"/>
        <w:numPr>
          <w:ilvl w:val="1"/>
          <w:numId w:val="21"/>
        </w:numPr>
      </w:pPr>
      <w:r>
        <w:t xml:space="preserve">The new law does not impose any compulsory obligations on superannuation fund trustees and RSA providers.  </w:t>
      </w:r>
    </w:p>
    <w:p w:rsidR="00483461" w:rsidRDefault="00483461" w:rsidP="00DC00CE">
      <w:pPr>
        <w:pStyle w:val="base-text-paragraph"/>
        <w:numPr>
          <w:ilvl w:val="1"/>
          <w:numId w:val="21"/>
        </w:numPr>
      </w:pPr>
      <w:r>
        <w:t xml:space="preserve">The new law will allow superannuation fund trustees and RSA providers to use TFNs to locate a member’s account details.  However the law will not allow the fund to use TFNs to replace their existing account numbers.  The aim of the law is to remove the impediment for funds to use other search methods before TFNs are used.  It will not replace existing account identification methods (such as account or membership numbers).  This ensures that the amendment operates in accordance with National Privacy Principle 7.  </w:t>
      </w:r>
      <w:r w:rsidRPr="001A607A">
        <w:rPr>
          <w:rStyle w:val="Referencingstyle"/>
        </w:rPr>
        <w:t xml:space="preserve">[Schedule </w:t>
      </w:r>
      <w:r w:rsidR="00066D31" w:rsidRPr="001A607A">
        <w:rPr>
          <w:rStyle w:val="Referencingstyle"/>
        </w:rPr>
        <w:t>3</w:t>
      </w:r>
      <w:r w:rsidRPr="001A607A">
        <w:rPr>
          <w:rStyle w:val="Referencingstyle"/>
        </w:rPr>
        <w:t>, item </w:t>
      </w:r>
      <w:r w:rsidR="001A607A" w:rsidRPr="001A607A">
        <w:rPr>
          <w:rStyle w:val="Referencingstyle"/>
        </w:rPr>
        <w:t>2</w:t>
      </w:r>
      <w:r w:rsidRPr="001A607A">
        <w:rPr>
          <w:rStyle w:val="Referencingstyle"/>
        </w:rPr>
        <w:t xml:space="preserve">, subsection 137A(3) of the RSA Act; item </w:t>
      </w:r>
      <w:r w:rsidR="001A607A" w:rsidRPr="001A607A">
        <w:rPr>
          <w:rStyle w:val="Referencingstyle"/>
        </w:rPr>
        <w:t>12</w:t>
      </w:r>
      <w:r w:rsidRPr="001A607A">
        <w:rPr>
          <w:rStyle w:val="Referencingstyle"/>
        </w:rPr>
        <w:t>, subsection 299LA(3) of the SIS Act]</w:t>
      </w:r>
    </w:p>
    <w:p w:rsidR="00483461" w:rsidRPr="007950D5" w:rsidRDefault="00483461" w:rsidP="00DC00CE">
      <w:pPr>
        <w:pStyle w:val="base-text-paragraph"/>
        <w:numPr>
          <w:ilvl w:val="1"/>
          <w:numId w:val="21"/>
        </w:numPr>
        <w:rPr>
          <w:rStyle w:val="Referencingstyle"/>
          <w:b w:val="0"/>
          <w:i w:val="0"/>
          <w:sz w:val="22"/>
        </w:rPr>
      </w:pPr>
      <w:r>
        <w:t xml:space="preserve">These amendments will also allow superannuation fund trustees and RSA providers to use TFNs to facilitate the consolidation of multiple accounts held by the same person in the same superannuation fund and across multiple superannuation funds, provided the requirements of the </w:t>
      </w:r>
      <w:r>
        <w:lastRenderedPageBreak/>
        <w:t>regulations are met (</w:t>
      </w:r>
      <w:r w:rsidRPr="0002333D">
        <w:t xml:space="preserve">see paragraph </w:t>
      </w:r>
      <w:r w:rsidR="00066D31">
        <w:t>3</w:t>
      </w:r>
      <w:r w:rsidRPr="0002333D">
        <w:t>.24</w:t>
      </w:r>
      <w:r>
        <w:t xml:space="preserve">).  </w:t>
      </w:r>
      <w:r w:rsidRPr="001A607A">
        <w:rPr>
          <w:rStyle w:val="Referencingstyle"/>
        </w:rPr>
        <w:t xml:space="preserve">[Schedule </w:t>
      </w:r>
      <w:r w:rsidR="00066D31" w:rsidRPr="001A607A">
        <w:rPr>
          <w:rStyle w:val="Referencingstyle"/>
        </w:rPr>
        <w:t>3</w:t>
      </w:r>
      <w:r w:rsidRPr="001A607A">
        <w:rPr>
          <w:rStyle w:val="Referencingstyle"/>
        </w:rPr>
        <w:t xml:space="preserve">, item </w:t>
      </w:r>
      <w:r w:rsidR="001A607A" w:rsidRPr="001A607A">
        <w:rPr>
          <w:rStyle w:val="Referencingstyle"/>
        </w:rPr>
        <w:t>2</w:t>
      </w:r>
      <w:r w:rsidRPr="001A607A">
        <w:rPr>
          <w:rStyle w:val="Referencingstyle"/>
        </w:rPr>
        <w:t xml:space="preserve">, subsection 137A(2) of the RSA Act; item </w:t>
      </w:r>
      <w:r w:rsidR="001A607A" w:rsidRPr="001A607A">
        <w:rPr>
          <w:rStyle w:val="Referencingstyle"/>
        </w:rPr>
        <w:t>12</w:t>
      </w:r>
      <w:r w:rsidRPr="001A607A">
        <w:rPr>
          <w:rStyle w:val="Referencingstyle"/>
        </w:rPr>
        <w:t>, subsection 299LA(2) of the SIS Act]</w:t>
      </w:r>
    </w:p>
    <w:p w:rsidR="00483461" w:rsidRDefault="00483461" w:rsidP="00DC00CE">
      <w:pPr>
        <w:pStyle w:val="ExampleHeading"/>
        <w:numPr>
          <w:ilvl w:val="3"/>
          <w:numId w:val="21"/>
        </w:numPr>
      </w:pPr>
      <w:r>
        <w:t>:  Consolidation within a fund</w:t>
      </w:r>
    </w:p>
    <w:p w:rsidR="00483461" w:rsidRDefault="00483461" w:rsidP="00483461">
      <w:pPr>
        <w:pStyle w:val="exampletext"/>
      </w:pPr>
      <w:r>
        <w:t xml:space="preserve">Rhonda is not aware she has two superannuation accounts with Fund A.  Fund A is permitted to match Rhonda’s TFN and consolidate the two accounts provided the conditions in the regulations are met.  The regulations, may for example, provide conditions relating to member consent and other procedures that superannuation fund trustees must follow before consolidating accounts.  </w:t>
      </w:r>
    </w:p>
    <w:p w:rsidR="00483461" w:rsidRDefault="00483461" w:rsidP="00DC00CE">
      <w:pPr>
        <w:pStyle w:val="ExampleHeading"/>
        <w:numPr>
          <w:ilvl w:val="3"/>
          <w:numId w:val="21"/>
        </w:numPr>
      </w:pPr>
      <w:r>
        <w:t>:  Consolidation between funds</w:t>
      </w:r>
    </w:p>
    <w:p w:rsidR="00483461" w:rsidRDefault="00483461" w:rsidP="00483461">
      <w:pPr>
        <w:pStyle w:val="exampletext"/>
      </w:pPr>
      <w:r>
        <w:t xml:space="preserve">Stephen holds a superannuation account with Fund A and suspects he may hold an account in Fund B.  The regulations may provide conditions relating to member consent and other procedures that superannuation fund trustees must follow before consolidating accounts.   Provided Stephen consents to the consolidation and the other conditions in the regulations are met, the fund may use the TFN to facilitate the consolidation of the accounts.    </w:t>
      </w:r>
    </w:p>
    <w:p w:rsidR="00483461" w:rsidRDefault="00483461" w:rsidP="00DC00CE">
      <w:pPr>
        <w:pStyle w:val="base-text-paragraph"/>
        <w:numPr>
          <w:ilvl w:val="1"/>
          <w:numId w:val="21"/>
        </w:numPr>
      </w:pPr>
      <w:r>
        <w:t>All of t</w:t>
      </w:r>
      <w:r w:rsidRPr="006B2A15">
        <w:t>hese amendments will apply to eligible superannuation entities, regulated exempt public sector superannuation schemes</w:t>
      </w:r>
      <w:r>
        <w:t xml:space="preserve"> (as defined under section 299W of the SIS Act)</w:t>
      </w:r>
      <w:r w:rsidRPr="006B2A15">
        <w:t xml:space="preserve">, and </w:t>
      </w:r>
      <w:r>
        <w:t>RSAs.</w:t>
      </w:r>
    </w:p>
    <w:p w:rsidR="00483461" w:rsidRDefault="00483461" w:rsidP="00483461">
      <w:pPr>
        <w:pStyle w:val="Heading3"/>
      </w:pPr>
      <w:r>
        <w:t>Safeguarding member privacy</w:t>
      </w:r>
    </w:p>
    <w:p w:rsidR="00483461" w:rsidRPr="007950D5" w:rsidRDefault="00483461" w:rsidP="00DC00CE">
      <w:pPr>
        <w:pStyle w:val="base-text-paragraph"/>
        <w:numPr>
          <w:ilvl w:val="1"/>
          <w:numId w:val="21"/>
        </w:numPr>
      </w:pPr>
      <w:r>
        <w:t xml:space="preserve">This Schedule </w:t>
      </w:r>
      <w:r w:rsidRPr="00DB078E">
        <w:t>will not alter an individual’s right to choose not to quote their TFN and there will not be additional consequences for not quoting a TFN</w:t>
      </w:r>
      <w:r>
        <w:t xml:space="preserve">.  </w:t>
      </w:r>
      <w:r w:rsidRPr="00DB078E">
        <w:t xml:space="preserve">However, the current </w:t>
      </w:r>
      <w:r>
        <w:t xml:space="preserve">consequences </w:t>
      </w:r>
      <w:r w:rsidRPr="00DB078E">
        <w:t>for failing to quote a TFN will remain</w:t>
      </w:r>
      <w:r>
        <w:t>.</w:t>
      </w:r>
    </w:p>
    <w:p w:rsidR="00483461" w:rsidRDefault="00483461" w:rsidP="00DC00CE">
      <w:pPr>
        <w:pStyle w:val="ExampleHeading"/>
        <w:numPr>
          <w:ilvl w:val="3"/>
          <w:numId w:val="21"/>
        </w:numPr>
      </w:pPr>
      <w:r>
        <w:t>:  Non-quotation of a TFN</w:t>
      </w:r>
    </w:p>
    <w:p w:rsidR="00483461" w:rsidRPr="00DC0988" w:rsidRDefault="00483461" w:rsidP="00483461">
      <w:pPr>
        <w:pStyle w:val="exampletext"/>
      </w:pPr>
      <w:r>
        <w:t xml:space="preserve">Vincci has not quoted her TFN to her superannuation fund.  In accordance with the conditions in the regulations, her fund has advised that it will match TFNs in its records to locate multiple accounts.  The fund provides Vincci the opportunity to provide her TFN before the matching occurs, however Vincci decides not to quote her TFN.  As her fund does not have her TFN in relation to this account, the fund will not be able to match any additional accounts she may have using this method.  In addition, her fund may be liable for extra income tax on no-TFN contributions made for her which it may deduct from her account.  Further, her fund will not be able to accept member contributions from her.  </w:t>
      </w:r>
    </w:p>
    <w:p w:rsidR="00483461" w:rsidRPr="00043042" w:rsidRDefault="00483461" w:rsidP="00DC00CE">
      <w:pPr>
        <w:pStyle w:val="base-text-paragraph"/>
        <w:numPr>
          <w:ilvl w:val="1"/>
          <w:numId w:val="21"/>
        </w:numPr>
        <w:rPr>
          <w:rStyle w:val="Referencingstyle"/>
          <w:sz w:val="22"/>
          <w:szCs w:val="22"/>
        </w:rPr>
      </w:pPr>
      <w:r>
        <w:tab/>
        <w:t xml:space="preserve">Sections 8WA and 8WB of the existing TAA 1953 will provide for a penalty for the unauthorised use or recording of TFNs.  The </w:t>
      </w:r>
      <w:r>
        <w:lastRenderedPageBreak/>
        <w:t xml:space="preserve">penalty is currently 100 penalty units </w:t>
      </w:r>
      <w:r w:rsidRPr="004220CA">
        <w:t>(currently $11,000),</w:t>
      </w:r>
      <w:r>
        <w:t xml:space="preserve"> or imprisonment for two years, or both.  </w:t>
      </w:r>
      <w:r w:rsidRPr="001A607A">
        <w:rPr>
          <w:rStyle w:val="Referencingstyle"/>
        </w:rPr>
        <w:t xml:space="preserve">[Schedule </w:t>
      </w:r>
      <w:r w:rsidR="00066D31" w:rsidRPr="001A607A">
        <w:rPr>
          <w:rStyle w:val="Referencingstyle"/>
        </w:rPr>
        <w:t>3</w:t>
      </w:r>
      <w:r w:rsidRPr="001A607A">
        <w:rPr>
          <w:rStyle w:val="Referencingstyle"/>
        </w:rPr>
        <w:t xml:space="preserve">, items </w:t>
      </w:r>
      <w:r w:rsidR="001A607A" w:rsidRPr="001A607A">
        <w:rPr>
          <w:rStyle w:val="Referencingstyle"/>
        </w:rPr>
        <w:t>2</w:t>
      </w:r>
      <w:r w:rsidRPr="001A607A">
        <w:rPr>
          <w:rStyle w:val="Referencingstyle"/>
        </w:rPr>
        <w:t xml:space="preserve"> and </w:t>
      </w:r>
      <w:r w:rsidR="001A607A" w:rsidRPr="001A607A">
        <w:rPr>
          <w:rStyle w:val="Referencingstyle"/>
        </w:rPr>
        <w:t>16</w:t>
      </w:r>
      <w:r w:rsidRPr="001A607A">
        <w:rPr>
          <w:rStyle w:val="Referencingstyle"/>
        </w:rPr>
        <w:t xml:space="preserve">, note in subsection 137A(2) of the RSA Act; items </w:t>
      </w:r>
      <w:r w:rsidR="001A607A" w:rsidRPr="001A607A">
        <w:rPr>
          <w:rStyle w:val="Referencingstyle"/>
        </w:rPr>
        <w:t>12</w:t>
      </w:r>
      <w:r w:rsidRPr="001A607A">
        <w:rPr>
          <w:rStyle w:val="Referencingstyle"/>
        </w:rPr>
        <w:t xml:space="preserve"> and </w:t>
      </w:r>
      <w:r w:rsidR="001A607A" w:rsidRPr="001A607A">
        <w:rPr>
          <w:rStyle w:val="Referencingstyle"/>
        </w:rPr>
        <w:t>17</w:t>
      </w:r>
      <w:r w:rsidRPr="001A607A">
        <w:rPr>
          <w:rStyle w:val="Referencingstyle"/>
        </w:rPr>
        <w:t>, note in subsection 299LA(2) of the SIS Act]</w:t>
      </w:r>
    </w:p>
    <w:p w:rsidR="00483461" w:rsidRDefault="00483461" w:rsidP="00DC00CE">
      <w:pPr>
        <w:pStyle w:val="base-text-paragraph"/>
        <w:numPr>
          <w:ilvl w:val="1"/>
          <w:numId w:val="21"/>
        </w:numPr>
      </w:pPr>
      <w:r>
        <w:t xml:space="preserve">Binding TFN Guidelines, issued under section 17 of the </w:t>
      </w:r>
      <w:r>
        <w:rPr>
          <w:i/>
        </w:rPr>
        <w:t>Privacy Act 1988</w:t>
      </w:r>
      <w:r>
        <w:t xml:space="preserve">, protect the privacy of natural persons by regulating the collection, storage, use, disclosure, security and disposal of TFN information.  In addition, the National Privacy Principles, contained in Schedule 3 to the </w:t>
      </w:r>
      <w:r>
        <w:rPr>
          <w:i/>
        </w:rPr>
        <w:t>Privacy Act 1988</w:t>
      </w:r>
      <w:r>
        <w:t>, govern the collection, use and disclosure of personal information and the use of agency identifiers.</w:t>
      </w:r>
    </w:p>
    <w:p w:rsidR="00483461" w:rsidRDefault="00483461" w:rsidP="00DC00CE">
      <w:pPr>
        <w:pStyle w:val="base-text-paragraph"/>
        <w:numPr>
          <w:ilvl w:val="1"/>
          <w:numId w:val="21"/>
        </w:numPr>
      </w:pPr>
      <w:r>
        <w:t>TFN Guideline 1.1 states that ‘The TFN is not to be used as a national identification system by whatever means.’  Guideline 1.2 states that ‘The rights of individuals under taxation, assistance agency or superannuation law to choose not to quote a TFN shall be respected.’</w:t>
      </w:r>
    </w:p>
    <w:p w:rsidR="00483461" w:rsidRDefault="00483461" w:rsidP="00DC00CE">
      <w:pPr>
        <w:pStyle w:val="base-text-paragraph"/>
        <w:numPr>
          <w:ilvl w:val="1"/>
          <w:numId w:val="21"/>
        </w:numPr>
      </w:pPr>
      <w:r>
        <w:t xml:space="preserve">These amendments are consistent with the </w:t>
      </w:r>
      <w:r w:rsidRPr="00BA13C3">
        <w:rPr>
          <w:i/>
        </w:rPr>
        <w:t>Privacy Act 1988</w:t>
      </w:r>
      <w:r>
        <w:t>, the National Privacy Principles and the TFN Guidelines.  The reasons include:</w:t>
      </w:r>
    </w:p>
    <w:p w:rsidR="00483461" w:rsidRDefault="00483461" w:rsidP="00483461">
      <w:pPr>
        <w:pStyle w:val="dotpoint"/>
      </w:pPr>
      <w:r>
        <w:t>superannuation funds will not be able to use TFNs to replace member account numbers;</w:t>
      </w:r>
    </w:p>
    <w:p w:rsidR="00483461" w:rsidRDefault="00483461" w:rsidP="00483461">
      <w:pPr>
        <w:pStyle w:val="dotpoint"/>
      </w:pPr>
      <w:r>
        <w:t>use of TFNs for the purposes outlined in the legislation is a limited extension of the current TFN use rather than a new application;</w:t>
      </w:r>
    </w:p>
    <w:p w:rsidR="00483461" w:rsidRDefault="00483461" w:rsidP="00483461">
      <w:pPr>
        <w:pStyle w:val="dotpoint"/>
      </w:pPr>
      <w:r>
        <w:t>the increased use of TFNs has been authorised by amending the superannuation law as referenced under the TFN Guidelines;</w:t>
      </w:r>
    </w:p>
    <w:p w:rsidR="00483461" w:rsidRDefault="00483461" w:rsidP="00483461">
      <w:pPr>
        <w:pStyle w:val="dotpoint"/>
      </w:pPr>
      <w:r>
        <w:t>the increased use of TFNs will be safeguarded by regulations that ensure member identity is protected and member consent is obtained where appropriate;</w:t>
      </w:r>
    </w:p>
    <w:p w:rsidR="00483461" w:rsidRDefault="00483461" w:rsidP="00483461">
      <w:pPr>
        <w:pStyle w:val="dotpoint"/>
      </w:pPr>
      <w:r>
        <w:t>the law does not alter an individual’s right to choose not to quote a TFN; and</w:t>
      </w:r>
    </w:p>
    <w:p w:rsidR="00483461" w:rsidRDefault="00483461" w:rsidP="00483461">
      <w:pPr>
        <w:pStyle w:val="dotpoint"/>
      </w:pPr>
      <w:r>
        <w:t>superannuation funds are not obliged to increase their TFN use.</w:t>
      </w:r>
    </w:p>
    <w:p w:rsidR="00483461" w:rsidRDefault="00483461" w:rsidP="00483461">
      <w:pPr>
        <w:pStyle w:val="Heading3"/>
      </w:pPr>
      <w:r>
        <w:t>Regulation changes</w:t>
      </w:r>
    </w:p>
    <w:p w:rsidR="00483461" w:rsidRPr="002C379C" w:rsidRDefault="00483461" w:rsidP="00DC00CE">
      <w:pPr>
        <w:pStyle w:val="base-text-paragraph"/>
        <w:numPr>
          <w:ilvl w:val="1"/>
          <w:numId w:val="21"/>
        </w:numPr>
      </w:pPr>
      <w:r>
        <w:t xml:space="preserve">In addition to the legislation, regulations will also be made to specify additional requirements that must be met.  In relation to account consolidation, these will cover requirements for member consent and </w:t>
      </w:r>
      <w:r>
        <w:lastRenderedPageBreak/>
        <w:t xml:space="preserve">other procedures that superannuation fund trustees and RSA providers must follow before consolidating accounts.  </w:t>
      </w:r>
      <w:r w:rsidRPr="001A607A">
        <w:rPr>
          <w:rStyle w:val="Referencingstyle"/>
        </w:rPr>
        <w:t xml:space="preserve">[Schedule </w:t>
      </w:r>
      <w:r w:rsidR="00066D31" w:rsidRPr="001A607A">
        <w:rPr>
          <w:rStyle w:val="Referencingstyle"/>
        </w:rPr>
        <w:t>3</w:t>
      </w:r>
      <w:r w:rsidRPr="001A607A">
        <w:rPr>
          <w:rStyle w:val="Referencingstyle"/>
        </w:rPr>
        <w:t xml:space="preserve">, items </w:t>
      </w:r>
      <w:r w:rsidR="001A607A" w:rsidRPr="001A607A">
        <w:rPr>
          <w:rStyle w:val="Referencingstyle"/>
        </w:rPr>
        <w:t>2</w:t>
      </w:r>
      <w:r w:rsidRPr="001A607A">
        <w:rPr>
          <w:rStyle w:val="Referencingstyle"/>
        </w:rPr>
        <w:t xml:space="preserve"> and </w:t>
      </w:r>
      <w:r w:rsidR="001A607A" w:rsidRPr="001A607A">
        <w:rPr>
          <w:rStyle w:val="Referencingstyle"/>
        </w:rPr>
        <w:t>16</w:t>
      </w:r>
      <w:r w:rsidRPr="001A607A">
        <w:rPr>
          <w:rStyle w:val="Referencingstyle"/>
        </w:rPr>
        <w:t xml:space="preserve">, subsection 137A(2) of the RSA Act; items </w:t>
      </w:r>
      <w:r w:rsidR="001A607A" w:rsidRPr="001A607A">
        <w:rPr>
          <w:rStyle w:val="Referencingstyle"/>
        </w:rPr>
        <w:t>12</w:t>
      </w:r>
      <w:r w:rsidRPr="001A607A">
        <w:rPr>
          <w:rStyle w:val="Referencingstyle"/>
        </w:rPr>
        <w:t xml:space="preserve"> and </w:t>
      </w:r>
      <w:r w:rsidR="001A607A" w:rsidRPr="001A607A">
        <w:rPr>
          <w:rStyle w:val="Referencingstyle"/>
        </w:rPr>
        <w:t>17</w:t>
      </w:r>
      <w:r w:rsidRPr="001A607A">
        <w:rPr>
          <w:rStyle w:val="Referencingstyle"/>
        </w:rPr>
        <w:t>, subsection 299LA(2) of the SIS Act]</w:t>
      </w:r>
    </w:p>
    <w:p w:rsidR="00483461" w:rsidRDefault="00483461" w:rsidP="00DC00CE">
      <w:pPr>
        <w:pStyle w:val="base-text-paragraph"/>
        <w:numPr>
          <w:ilvl w:val="1"/>
          <w:numId w:val="21"/>
        </w:numPr>
      </w:pPr>
      <w:r>
        <w:t xml:space="preserve">The details of these regulations will be finalised following consultation with relevant stakeholders.  </w:t>
      </w:r>
    </w:p>
    <w:p w:rsidR="00483461" w:rsidRDefault="00483461" w:rsidP="00483461">
      <w:pPr>
        <w:pStyle w:val="Heading2"/>
      </w:pPr>
      <w:r>
        <w:t>Application and transitional provisions</w:t>
      </w:r>
    </w:p>
    <w:p w:rsidR="00483461" w:rsidRPr="00043042" w:rsidRDefault="00483461" w:rsidP="00DC00CE">
      <w:pPr>
        <w:pStyle w:val="base-text-paragraph"/>
        <w:numPr>
          <w:ilvl w:val="1"/>
          <w:numId w:val="21"/>
        </w:numPr>
        <w:rPr>
          <w:rStyle w:val="Referencingstyle"/>
          <w:sz w:val="22"/>
          <w:szCs w:val="22"/>
        </w:rPr>
      </w:pPr>
      <w:r>
        <w:t xml:space="preserve">The amendments relating to account location will apply from 1 July 2011.  The amendments relating to consolidation will apply from </w:t>
      </w:r>
      <w:r w:rsidRPr="00A43E63">
        <w:t>1 J</w:t>
      </w:r>
      <w:r w:rsidR="006723E8" w:rsidRPr="00A43E63">
        <w:t>anuary</w:t>
      </w:r>
      <w:r w:rsidRPr="00A43E63">
        <w:t xml:space="preserve"> 2012</w:t>
      </w:r>
      <w:r>
        <w:t xml:space="preserve"> or a date as proclaimed and both amendments will apply to the use of TFNs on or after commencement whether the TFN was quoted before, on or after the commencement of this Schedule.  </w:t>
      </w:r>
      <w:r>
        <w:rPr>
          <w:rStyle w:val="Referencingstyle"/>
        </w:rPr>
        <w:t xml:space="preserve">[Schedule </w:t>
      </w:r>
      <w:r w:rsidR="00066D31">
        <w:rPr>
          <w:rStyle w:val="Referencingstyle"/>
        </w:rPr>
        <w:t>3</w:t>
      </w:r>
      <w:r>
        <w:rPr>
          <w:rStyle w:val="Referencingstyle"/>
        </w:rPr>
        <w:t>, items </w:t>
      </w:r>
      <w:r w:rsidR="001A607A">
        <w:rPr>
          <w:rStyle w:val="Referencingstyle"/>
        </w:rPr>
        <w:t>13</w:t>
      </w:r>
      <w:r>
        <w:rPr>
          <w:rStyle w:val="Referencingstyle"/>
        </w:rPr>
        <w:t xml:space="preserve"> and</w:t>
      </w:r>
      <w:r w:rsidRPr="00043042">
        <w:rPr>
          <w:rStyle w:val="Referencingstyle"/>
        </w:rPr>
        <w:t xml:space="preserve"> </w:t>
      </w:r>
      <w:r w:rsidR="001A607A">
        <w:rPr>
          <w:rStyle w:val="Referencingstyle"/>
        </w:rPr>
        <w:t>18</w:t>
      </w:r>
      <w:r w:rsidRPr="00043042">
        <w:rPr>
          <w:rStyle w:val="Referencingstyle"/>
        </w:rPr>
        <w:t>]</w:t>
      </w:r>
    </w:p>
    <w:p w:rsidR="00483461" w:rsidRDefault="00483461" w:rsidP="00DC00CE">
      <w:pPr>
        <w:pStyle w:val="base-text-paragraph"/>
        <w:numPr>
          <w:ilvl w:val="1"/>
          <w:numId w:val="21"/>
        </w:numPr>
      </w:pPr>
      <w:r>
        <w:t xml:space="preserve">The proclamation provision has been included to allow time for consultation on the regulations relating to the legislation.  The regulations will contain necessary safeguards and processes and it is important that industry is given sufficient time to consider these changes.  Given the importance of these regulations, the Government has included a proclamation provision to ensure that the legislation and the accompanying regulations commence operation as close to the same time as possible.  </w:t>
      </w:r>
    </w:p>
    <w:p w:rsidR="00483461" w:rsidRDefault="00483461" w:rsidP="00DC00CE">
      <w:pPr>
        <w:pStyle w:val="base-text-paragraph"/>
        <w:numPr>
          <w:ilvl w:val="1"/>
          <w:numId w:val="21"/>
        </w:numPr>
      </w:pPr>
      <w:r>
        <w:t xml:space="preserve">Transitional provisions relating to the regulations are included to ensure that any regulations which were made under Schedule </w:t>
      </w:r>
      <w:r w:rsidR="00E55072">
        <w:t>3</w:t>
      </w:r>
      <w:r>
        <w:t xml:space="preserve">, Part 1 continue to have effect when Schedule </w:t>
      </w:r>
      <w:r w:rsidR="00E55072">
        <w:t>3</w:t>
      </w:r>
      <w:r>
        <w:t xml:space="preserve">, Part 2 repeals and replaces the relevant provisions.  </w:t>
      </w:r>
      <w:r w:rsidRPr="00043042">
        <w:rPr>
          <w:rStyle w:val="Referencingstyle"/>
        </w:rPr>
        <w:t xml:space="preserve">[Schedule </w:t>
      </w:r>
      <w:r w:rsidR="00066D31">
        <w:rPr>
          <w:rStyle w:val="Referencingstyle"/>
        </w:rPr>
        <w:t>3</w:t>
      </w:r>
      <w:r w:rsidRPr="00043042">
        <w:rPr>
          <w:rStyle w:val="Referencingstyle"/>
        </w:rPr>
        <w:t xml:space="preserve">, item </w:t>
      </w:r>
      <w:r w:rsidR="001A607A">
        <w:rPr>
          <w:rStyle w:val="Referencingstyle"/>
        </w:rPr>
        <w:t>19</w:t>
      </w:r>
      <w:r w:rsidRPr="00043042">
        <w:rPr>
          <w:rStyle w:val="Referencingstyle"/>
        </w:rPr>
        <w:t>]</w:t>
      </w:r>
    </w:p>
    <w:p w:rsidR="00483461" w:rsidRDefault="00483461" w:rsidP="00DC00CE">
      <w:pPr>
        <w:pStyle w:val="base-text-paragraph"/>
        <w:numPr>
          <w:ilvl w:val="1"/>
          <w:numId w:val="21"/>
        </w:numPr>
      </w:pPr>
      <w:r>
        <w:t>Safeguards are in place to ensure that fund members and RSA holders who have previously provided a TFN are not disadvantaged by the change, including strong penalties for the misuse of TFNs.  In addition, superannuation providers are not obliged to increase their use of TFNs and members can still decide not to provide their TFN to their superannuation provider.</w:t>
      </w:r>
    </w:p>
    <w:p w:rsidR="00483461" w:rsidRDefault="00483461" w:rsidP="00483461">
      <w:pPr>
        <w:pStyle w:val="Heading2"/>
      </w:pPr>
      <w:r>
        <w:t>Consequential amendments</w:t>
      </w:r>
    </w:p>
    <w:p w:rsidR="00483461" w:rsidRPr="00C549B0" w:rsidRDefault="00483461" w:rsidP="00DC00CE">
      <w:pPr>
        <w:pStyle w:val="base-text-paragraph"/>
        <w:numPr>
          <w:ilvl w:val="1"/>
          <w:numId w:val="21"/>
        </w:numPr>
        <w:rPr>
          <w:rStyle w:val="Referencingstyle"/>
          <w:b w:val="0"/>
          <w:i w:val="0"/>
          <w:sz w:val="22"/>
        </w:rPr>
      </w:pPr>
      <w:r>
        <w:t xml:space="preserve">Several amendments are required to repeal the previous TFN provisions.  </w:t>
      </w:r>
      <w:r w:rsidRPr="00C549B0">
        <w:rPr>
          <w:rStyle w:val="Referencingstyle"/>
        </w:rPr>
        <w:t xml:space="preserve">[Schedule </w:t>
      </w:r>
      <w:r w:rsidR="00066D31">
        <w:rPr>
          <w:rStyle w:val="Referencingstyle"/>
        </w:rPr>
        <w:t>3</w:t>
      </w:r>
      <w:r w:rsidRPr="00C549B0">
        <w:rPr>
          <w:rStyle w:val="Referencingstyle"/>
        </w:rPr>
        <w:t xml:space="preserve">, item </w:t>
      </w:r>
      <w:r w:rsidR="001A607A">
        <w:rPr>
          <w:rStyle w:val="Referencingstyle"/>
        </w:rPr>
        <w:t>1</w:t>
      </w:r>
      <w:r w:rsidRPr="00C549B0">
        <w:rPr>
          <w:rStyle w:val="Referencingstyle"/>
        </w:rPr>
        <w:t xml:space="preserve">, </w:t>
      </w:r>
      <w:r>
        <w:rPr>
          <w:rStyle w:val="Referencingstyle"/>
        </w:rPr>
        <w:t xml:space="preserve">subsections 137(4) and (5) of the RSA Act; items </w:t>
      </w:r>
      <w:r w:rsidR="001A607A">
        <w:rPr>
          <w:rStyle w:val="Referencingstyle"/>
        </w:rPr>
        <w:t>3</w:t>
      </w:r>
      <w:r w:rsidRPr="00C549B0">
        <w:rPr>
          <w:rStyle w:val="Referencingstyle"/>
        </w:rPr>
        <w:t xml:space="preserve">, </w:t>
      </w:r>
      <w:r w:rsidR="001A607A">
        <w:rPr>
          <w:rStyle w:val="Referencingstyle"/>
        </w:rPr>
        <w:t>6</w:t>
      </w:r>
      <w:r w:rsidRPr="00C549B0">
        <w:rPr>
          <w:rStyle w:val="Referencingstyle"/>
        </w:rPr>
        <w:t xml:space="preserve">, </w:t>
      </w:r>
      <w:r w:rsidR="001A607A">
        <w:rPr>
          <w:rStyle w:val="Referencingstyle"/>
        </w:rPr>
        <w:t>8</w:t>
      </w:r>
      <w:r>
        <w:rPr>
          <w:rStyle w:val="Referencingstyle"/>
        </w:rPr>
        <w:t xml:space="preserve"> and</w:t>
      </w:r>
      <w:r w:rsidRPr="00C549B0">
        <w:rPr>
          <w:rStyle w:val="Referencingstyle"/>
        </w:rPr>
        <w:t xml:space="preserve"> </w:t>
      </w:r>
      <w:r w:rsidR="001A607A">
        <w:rPr>
          <w:rStyle w:val="Referencingstyle"/>
        </w:rPr>
        <w:t>10</w:t>
      </w:r>
      <w:r>
        <w:rPr>
          <w:rStyle w:val="Referencingstyle"/>
        </w:rPr>
        <w:t>, subsections 299H(4) and (5), 299J(4) and (5), 299K(4) and (5)</w:t>
      </w:r>
      <w:r w:rsidR="00066D31">
        <w:rPr>
          <w:rStyle w:val="Referencingstyle"/>
        </w:rPr>
        <w:t xml:space="preserve"> and </w:t>
      </w:r>
      <w:r>
        <w:rPr>
          <w:rStyle w:val="Referencingstyle"/>
        </w:rPr>
        <w:t>299L(4) and (5) of the SIS Act</w:t>
      </w:r>
      <w:r w:rsidRPr="00C549B0">
        <w:rPr>
          <w:rStyle w:val="Referencingstyle"/>
        </w:rPr>
        <w:t>]</w:t>
      </w:r>
    </w:p>
    <w:p w:rsidR="00483461" w:rsidRPr="000230EB" w:rsidRDefault="00483461" w:rsidP="00DC00CE">
      <w:pPr>
        <w:pStyle w:val="base-text-paragraph"/>
        <w:numPr>
          <w:ilvl w:val="1"/>
          <w:numId w:val="21"/>
        </w:numPr>
        <w:rPr>
          <w:rStyle w:val="Referencingstyle"/>
          <w:b w:val="0"/>
          <w:i w:val="0"/>
          <w:sz w:val="22"/>
        </w:rPr>
      </w:pPr>
      <w:r>
        <w:lastRenderedPageBreak/>
        <w:t xml:space="preserve">Several amendments are required to remove references to the previous uses of TFNs from the applicable offences and strict liability sections of the SIS Act.  </w:t>
      </w:r>
      <w:r w:rsidRPr="00C549B0">
        <w:rPr>
          <w:rStyle w:val="Referencingstyle"/>
        </w:rPr>
        <w:t xml:space="preserve">[Schedule </w:t>
      </w:r>
      <w:r w:rsidR="00FD646F">
        <w:rPr>
          <w:rStyle w:val="Referencingstyle"/>
        </w:rPr>
        <w:t>3</w:t>
      </w:r>
      <w:r w:rsidRPr="00C549B0">
        <w:rPr>
          <w:rStyle w:val="Referencingstyle"/>
        </w:rPr>
        <w:t xml:space="preserve">, items </w:t>
      </w:r>
      <w:r w:rsidR="00FD646F">
        <w:rPr>
          <w:rStyle w:val="Referencingstyle"/>
        </w:rPr>
        <w:t>4</w:t>
      </w:r>
      <w:r w:rsidRPr="00C549B0">
        <w:rPr>
          <w:rStyle w:val="Referencingstyle"/>
        </w:rPr>
        <w:t xml:space="preserve">, 5, </w:t>
      </w:r>
      <w:r w:rsidR="00FD646F">
        <w:rPr>
          <w:rStyle w:val="Referencingstyle"/>
        </w:rPr>
        <w:t>7</w:t>
      </w:r>
      <w:r w:rsidRPr="00C549B0">
        <w:rPr>
          <w:rStyle w:val="Referencingstyle"/>
        </w:rPr>
        <w:t xml:space="preserve">, </w:t>
      </w:r>
      <w:r w:rsidR="00FD646F">
        <w:rPr>
          <w:rStyle w:val="Referencingstyle"/>
        </w:rPr>
        <w:t>9</w:t>
      </w:r>
      <w:r>
        <w:rPr>
          <w:rStyle w:val="Referencingstyle"/>
        </w:rPr>
        <w:t xml:space="preserve"> and</w:t>
      </w:r>
      <w:r w:rsidRPr="00C549B0">
        <w:rPr>
          <w:rStyle w:val="Referencingstyle"/>
        </w:rPr>
        <w:t xml:space="preserve"> </w:t>
      </w:r>
      <w:r w:rsidR="00FD646F">
        <w:rPr>
          <w:rStyle w:val="Referencingstyle"/>
        </w:rPr>
        <w:t>11</w:t>
      </w:r>
      <w:r>
        <w:rPr>
          <w:rStyle w:val="Referencingstyle"/>
        </w:rPr>
        <w:t>, subsection</w:t>
      </w:r>
      <w:r w:rsidR="00B05846">
        <w:rPr>
          <w:rStyle w:val="Referencingstyle"/>
        </w:rPr>
        <w:t>s</w:t>
      </w:r>
      <w:r>
        <w:rPr>
          <w:rStyle w:val="Referencingstyle"/>
        </w:rPr>
        <w:t> 299H(6)</w:t>
      </w:r>
      <w:r w:rsidR="001A37A3">
        <w:rPr>
          <w:rStyle w:val="Referencingstyle"/>
        </w:rPr>
        <w:t xml:space="preserve"> and</w:t>
      </w:r>
      <w:r>
        <w:rPr>
          <w:rStyle w:val="Referencingstyle"/>
        </w:rPr>
        <w:t xml:space="preserve"> (7), 299J(6) and (7), 299K(6) and (7), 299L(6) and (7) of the SIS Act]</w:t>
      </w:r>
    </w:p>
    <w:p w:rsidR="00483461" w:rsidRPr="00043042" w:rsidRDefault="00483461" w:rsidP="00DC00CE">
      <w:pPr>
        <w:pStyle w:val="base-text-paragraph"/>
        <w:numPr>
          <w:ilvl w:val="1"/>
          <w:numId w:val="21"/>
        </w:numPr>
        <w:rPr>
          <w:rStyle w:val="Referencingstyle"/>
          <w:b w:val="0"/>
          <w:i w:val="0"/>
          <w:sz w:val="22"/>
        </w:rPr>
      </w:pPr>
      <w:r>
        <w:t xml:space="preserve">The definitions of ‘eligible superannuation entity’ and ‘regulated exempt public sector superannuation scheme’ are added to the RSA Act.  </w:t>
      </w:r>
      <w:r w:rsidRPr="00043042">
        <w:rPr>
          <w:rStyle w:val="Referencingstyle"/>
        </w:rPr>
        <w:t xml:space="preserve">[Schedule </w:t>
      </w:r>
      <w:r w:rsidR="00FD646F">
        <w:rPr>
          <w:rStyle w:val="Referencingstyle"/>
        </w:rPr>
        <w:t>3</w:t>
      </w:r>
      <w:r w:rsidRPr="00043042">
        <w:rPr>
          <w:rStyle w:val="Referencingstyle"/>
        </w:rPr>
        <w:t xml:space="preserve">, items </w:t>
      </w:r>
      <w:r w:rsidR="00FD646F">
        <w:rPr>
          <w:rStyle w:val="Referencingstyle"/>
        </w:rPr>
        <w:t>14</w:t>
      </w:r>
      <w:r w:rsidRPr="00043042">
        <w:rPr>
          <w:rStyle w:val="Referencingstyle"/>
        </w:rPr>
        <w:t xml:space="preserve"> and </w:t>
      </w:r>
      <w:r w:rsidR="00FD646F">
        <w:rPr>
          <w:rStyle w:val="Referencingstyle"/>
        </w:rPr>
        <w:t>15</w:t>
      </w:r>
      <w:r>
        <w:rPr>
          <w:rStyle w:val="Referencingstyle"/>
        </w:rPr>
        <w:t>, section 16 of the RSA Act</w:t>
      </w:r>
      <w:r w:rsidRPr="00043042">
        <w:rPr>
          <w:rStyle w:val="Referencingstyle"/>
        </w:rPr>
        <w:t>]</w:t>
      </w:r>
    </w:p>
    <w:p w:rsidR="00483461" w:rsidRDefault="00483461" w:rsidP="00483461">
      <w:pPr>
        <w:sectPr w:rsidR="00483461" w:rsidSect="00483461">
          <w:headerReference w:type="even" r:id="rId38"/>
          <w:headerReference w:type="default" r:id="rId39"/>
          <w:footerReference w:type="even" r:id="rId40"/>
          <w:footerReference w:type="default" r:id="rId41"/>
          <w:footerReference w:type="first" r:id="rId42"/>
          <w:type w:val="oddPage"/>
          <w:pgSz w:w="11906" w:h="16838" w:code="9"/>
          <w:pgMar w:top="2466" w:right="2098" w:bottom="2466" w:left="2098" w:header="1559" w:footer="1899" w:gutter="0"/>
          <w:cols w:space="708"/>
          <w:titlePg/>
          <w:docGrid w:linePitch="360"/>
        </w:sectPr>
      </w:pPr>
    </w:p>
    <w:p w:rsidR="00483461" w:rsidRPr="00F51A71" w:rsidRDefault="00483461" w:rsidP="00DC00CE">
      <w:pPr>
        <w:pStyle w:val="ChapterHeading"/>
        <w:numPr>
          <w:ilvl w:val="0"/>
          <w:numId w:val="21"/>
        </w:numPr>
      </w:pPr>
      <w:r w:rsidRPr="00F51A71">
        <w:lastRenderedPageBreak/>
        <w:br/>
      </w:r>
      <w:bookmarkStart w:id="8" w:name="_Toc288643037"/>
      <w:r w:rsidRPr="00474FA0">
        <w:t xml:space="preserve">Exempting Australian taxes, fees and charges from the </w:t>
      </w:r>
      <w:r>
        <w:t>goods and services tax</w:t>
      </w:r>
      <w:bookmarkEnd w:id="8"/>
    </w:p>
    <w:p w:rsidR="00483461" w:rsidRPr="00474FA0" w:rsidRDefault="00483461" w:rsidP="00483461">
      <w:pPr>
        <w:pStyle w:val="Heading2"/>
      </w:pPr>
      <w:r w:rsidRPr="00474FA0">
        <w:t>Outline of chapter</w:t>
      </w:r>
    </w:p>
    <w:p w:rsidR="00483461" w:rsidRPr="00474FA0" w:rsidRDefault="00483461" w:rsidP="00DC00CE">
      <w:pPr>
        <w:pStyle w:val="base-text-paragraph"/>
        <w:numPr>
          <w:ilvl w:val="1"/>
          <w:numId w:val="21"/>
        </w:numPr>
      </w:pPr>
      <w:r w:rsidRPr="00474FA0">
        <w:t>Schedule</w:t>
      </w:r>
      <w:r>
        <w:t xml:space="preserve"> </w:t>
      </w:r>
      <w:r w:rsidR="00105121">
        <w:t>4</w:t>
      </w:r>
      <w:r w:rsidRPr="00474FA0">
        <w:t xml:space="preserve"> to </w:t>
      </w:r>
      <w:r w:rsidRPr="00500291">
        <w:t>this</w:t>
      </w:r>
      <w:r w:rsidRPr="00474FA0">
        <w:t xml:space="preserve"> Bill amends:</w:t>
      </w:r>
    </w:p>
    <w:p w:rsidR="00483461" w:rsidRPr="00474FA0" w:rsidRDefault="00483461" w:rsidP="00483461">
      <w:pPr>
        <w:pStyle w:val="dotpoint"/>
      </w:pPr>
      <w:r w:rsidRPr="00474FA0">
        <w:t xml:space="preserve">the </w:t>
      </w:r>
      <w:r w:rsidRPr="00474FA0">
        <w:rPr>
          <w:i/>
        </w:rPr>
        <w:t>A New Tax System (Goods and Services Tax) Act 1999</w:t>
      </w:r>
      <w:r w:rsidRPr="00474FA0">
        <w:t xml:space="preserve"> (GST Act) to replace the current mechanism for ensuring Australian taxes, and certain Australian fees and charges are not subject to </w:t>
      </w:r>
      <w:r>
        <w:t>the goods and services tax</w:t>
      </w:r>
      <w:r w:rsidRPr="00474FA0">
        <w:t xml:space="preserve"> </w:t>
      </w:r>
      <w:r>
        <w:t xml:space="preserve">(GST) </w:t>
      </w:r>
      <w:r w:rsidRPr="00474FA0">
        <w:t xml:space="preserve">with specific legislative exemptions; </w:t>
      </w:r>
    </w:p>
    <w:p w:rsidR="00483461" w:rsidRPr="00474FA0" w:rsidRDefault="00483461" w:rsidP="00483461">
      <w:pPr>
        <w:pStyle w:val="dotpoint"/>
      </w:pPr>
      <w:r w:rsidRPr="00474FA0">
        <w:t>the GST Act to allow for the making of regulations to treat an  Australian tax, or an Australian fee or charge to be treated in a particular way; and</w:t>
      </w:r>
    </w:p>
    <w:p w:rsidR="00483461" w:rsidRPr="00474FA0" w:rsidRDefault="00483461" w:rsidP="00483461">
      <w:pPr>
        <w:pStyle w:val="dotpoint"/>
      </w:pPr>
      <w:r w:rsidRPr="00474FA0">
        <w:t xml:space="preserve">the </w:t>
      </w:r>
      <w:r w:rsidRPr="00474FA0">
        <w:rPr>
          <w:i/>
        </w:rPr>
        <w:t>A New Tax System (Luxury Car Tax) Act 1999</w:t>
      </w:r>
      <w:r w:rsidRPr="00474FA0">
        <w:t xml:space="preserve"> to account for changes being made to the GST Act.</w:t>
      </w:r>
    </w:p>
    <w:p w:rsidR="00483461" w:rsidRPr="00474FA0" w:rsidRDefault="00483461" w:rsidP="00483461">
      <w:pPr>
        <w:pStyle w:val="Heading2"/>
      </w:pPr>
      <w:r w:rsidRPr="00474FA0">
        <w:t>Context of amendments</w:t>
      </w:r>
    </w:p>
    <w:p w:rsidR="00483461" w:rsidRPr="00474FA0" w:rsidRDefault="00483461" w:rsidP="00DC00CE">
      <w:pPr>
        <w:pStyle w:val="base-text-paragraph"/>
        <w:numPr>
          <w:ilvl w:val="1"/>
          <w:numId w:val="21"/>
        </w:numPr>
      </w:pPr>
      <w:r w:rsidRPr="00474FA0">
        <w:t xml:space="preserve">This </w:t>
      </w:r>
      <w:r>
        <w:t xml:space="preserve">Schedule </w:t>
      </w:r>
      <w:r w:rsidRPr="00474FA0">
        <w:t>implemen</w:t>
      </w:r>
      <w:r>
        <w:t>ts</w:t>
      </w:r>
      <w:r w:rsidRPr="00474FA0">
        <w:t xml:space="preserve"> the Government’s decision to replace the current mechanism for ensuring Australian taxes, fees and charges are not subject to GST with a ‘self assessment’ mechanism</w:t>
      </w:r>
      <w:r>
        <w:t>,</w:t>
      </w:r>
      <w:r w:rsidRPr="00474FA0">
        <w:t xml:space="preserve"> announced in the 2010-11 Budget on 11 May 2010.</w:t>
      </w:r>
    </w:p>
    <w:p w:rsidR="00483461" w:rsidRPr="00474FA0" w:rsidRDefault="00483461" w:rsidP="00DC00CE">
      <w:pPr>
        <w:pStyle w:val="base-text-paragraph"/>
        <w:numPr>
          <w:ilvl w:val="1"/>
          <w:numId w:val="21"/>
        </w:numPr>
      </w:pPr>
      <w:r w:rsidRPr="00474FA0">
        <w:t>The GST Act operates by treating a payment, or the discharging of a liability to make such a payment, of any Australian tax, fee or charge (other than GST) to be consideration for a supply that the Australian government agency makes to the payer in return for that payment (subsection 81-5(1) of the GST Act)</w:t>
      </w:r>
      <w:r>
        <w:t xml:space="preserve">.  </w:t>
      </w:r>
      <w:r w:rsidRPr="00474FA0">
        <w:t>This ensures that all Australian taxes, fees and charges are potentially subject to GST regardless of whether they are connected with a supply under the GST basic rules.</w:t>
      </w:r>
    </w:p>
    <w:p w:rsidR="00483461" w:rsidRPr="00474FA0" w:rsidRDefault="00483461" w:rsidP="00DC00CE">
      <w:pPr>
        <w:pStyle w:val="base-text-paragraph"/>
        <w:numPr>
          <w:ilvl w:val="1"/>
          <w:numId w:val="21"/>
        </w:numPr>
      </w:pPr>
      <w:r w:rsidRPr="00474FA0">
        <w:t>However, the GST Act then allows the Commonwealth Treasurer to specify by legislative instrument (a Determination), that the payment, or discharging of the liability to make such a payment, of any Australian tax, fee or charge is not the provision of consideration (subsection 81-5(2) of the GST Act)</w:t>
      </w:r>
      <w:r>
        <w:t xml:space="preserve">.  </w:t>
      </w:r>
      <w:r w:rsidRPr="00474FA0">
        <w:t xml:space="preserve">The effect of this is that taxes, fees </w:t>
      </w:r>
      <w:r w:rsidRPr="00474FA0">
        <w:lastRenderedPageBreak/>
        <w:t>and charges included in the Determination are not consideration for a taxable supply and therefore not subject to GST</w:t>
      </w:r>
      <w:r>
        <w:t xml:space="preserve">.  </w:t>
      </w:r>
    </w:p>
    <w:p w:rsidR="00483461" w:rsidRPr="00474FA0" w:rsidRDefault="00483461" w:rsidP="00DC00CE">
      <w:pPr>
        <w:pStyle w:val="base-text-paragraph"/>
        <w:numPr>
          <w:ilvl w:val="1"/>
          <w:numId w:val="21"/>
        </w:numPr>
      </w:pPr>
      <w:r w:rsidRPr="00474FA0">
        <w:t>The Determination is updated twice a year in accordance with an administrative process that involves the agreement of the GST Administration Sub-Committee of the Ministerial Council for Federal Financial Relations and the formal agreement of the state and territory Treasurers</w:t>
      </w:r>
      <w:r>
        <w:t xml:space="preserve">.  </w:t>
      </w:r>
      <w:r w:rsidRPr="00474FA0">
        <w:t>The Determination is registered as a legislative instrument and is subject to scrutiny by the Senate Regulations and Ordinances Committee.</w:t>
      </w:r>
    </w:p>
    <w:p w:rsidR="00483461" w:rsidRPr="00474FA0" w:rsidRDefault="00483461" w:rsidP="00DC00CE">
      <w:pPr>
        <w:pStyle w:val="base-text-paragraph"/>
        <w:numPr>
          <w:ilvl w:val="1"/>
          <w:numId w:val="21"/>
        </w:numPr>
      </w:pPr>
      <w:r w:rsidRPr="00474FA0">
        <w:t xml:space="preserve">When the GST was introduced, the Commonwealth, </w:t>
      </w:r>
      <w:r>
        <w:t>s</w:t>
      </w:r>
      <w:r w:rsidRPr="00474FA0">
        <w:t xml:space="preserve">tates and </w:t>
      </w:r>
      <w:r>
        <w:t>t</w:t>
      </w:r>
      <w:r w:rsidRPr="00474FA0">
        <w:t>erritories agreed that the GST would apply to the commercial activities of government at all levels and that the non-commercial activities of government would be outside the scope of the GST</w:t>
      </w:r>
      <w:r>
        <w:t xml:space="preserve">.  </w:t>
      </w:r>
    </w:p>
    <w:p w:rsidR="00483461" w:rsidRPr="00474FA0" w:rsidRDefault="00483461" w:rsidP="00DC00CE">
      <w:pPr>
        <w:pStyle w:val="base-text-paragraph"/>
        <w:numPr>
          <w:ilvl w:val="1"/>
          <w:numId w:val="21"/>
        </w:numPr>
      </w:pPr>
      <w:r w:rsidRPr="00474FA0">
        <w:t xml:space="preserve">Accordingly, under the </w:t>
      </w:r>
      <w:r w:rsidRPr="00474FA0">
        <w:rPr>
          <w:i/>
        </w:rPr>
        <w:t>Intergovernmental Agreement on Federal Financial Relations</w:t>
      </w:r>
      <w:r w:rsidRPr="00474FA0">
        <w:t xml:space="preserve"> the </w:t>
      </w:r>
      <w:r>
        <w:t>p</w:t>
      </w:r>
      <w:r w:rsidRPr="00474FA0">
        <w:t>arties agreed that Division 81 of the GST Act will exempt Australian taxes, fees and charges from GST in accordance with the following principles:</w:t>
      </w:r>
    </w:p>
    <w:p w:rsidR="00483461" w:rsidRPr="00474FA0" w:rsidRDefault="00483461" w:rsidP="00483461">
      <w:pPr>
        <w:pStyle w:val="dotpoint"/>
      </w:pPr>
      <w:r w:rsidRPr="00474FA0">
        <w:t>taxes that are in the nature of a compulsory impost for general purposes and compulsory charges by the way of fines or penalties will be exempt from GST;</w:t>
      </w:r>
      <w:r>
        <w:t xml:space="preserve"> and</w:t>
      </w:r>
    </w:p>
    <w:p w:rsidR="00483461" w:rsidRPr="00474FA0" w:rsidRDefault="00483461" w:rsidP="00483461">
      <w:pPr>
        <w:pStyle w:val="dotpoint"/>
      </w:pPr>
      <w:r w:rsidRPr="00474FA0">
        <w:t>regulatory charges that do not relate to particular goods or services will be exempt from GST, including:</w:t>
      </w:r>
    </w:p>
    <w:p w:rsidR="00483461" w:rsidRPr="00474FA0" w:rsidRDefault="00483461" w:rsidP="00483461">
      <w:pPr>
        <w:pStyle w:val="dotpoint2"/>
      </w:pPr>
      <w:r w:rsidRPr="00474FA0">
        <w:t>fees and charges levied on specific industries and used to finance particular regulatory or other activities in the government sector; and</w:t>
      </w:r>
    </w:p>
    <w:p w:rsidR="00483461" w:rsidRPr="00474FA0" w:rsidRDefault="00483461" w:rsidP="00483461">
      <w:pPr>
        <w:pStyle w:val="dotpoint2"/>
      </w:pPr>
      <w:r w:rsidRPr="00474FA0">
        <w:t>licences, permits and certifications that are required by government prior to undertaking a general activity.</w:t>
      </w:r>
    </w:p>
    <w:p w:rsidR="00483461" w:rsidRPr="00474FA0" w:rsidRDefault="00483461" w:rsidP="00DC00CE">
      <w:pPr>
        <w:pStyle w:val="base-text-paragraph"/>
        <w:numPr>
          <w:ilvl w:val="1"/>
          <w:numId w:val="21"/>
        </w:numPr>
      </w:pPr>
      <w:r w:rsidRPr="00474FA0">
        <w:t>The current Determination is the A New Tax System (Goods and Services Tax) (Exempt taxes, fees and charges) Determination 2011 (</w:t>
      </w:r>
      <w:r>
        <w:t>No. </w:t>
      </w:r>
      <w:r w:rsidRPr="00474FA0">
        <w:t>1)</w:t>
      </w:r>
      <w:r>
        <w:t xml:space="preserve">.  </w:t>
      </w:r>
    </w:p>
    <w:p w:rsidR="00483461" w:rsidRPr="00474FA0" w:rsidRDefault="00483461" w:rsidP="00DC00CE">
      <w:pPr>
        <w:pStyle w:val="base-text-paragraph"/>
        <w:numPr>
          <w:ilvl w:val="1"/>
          <w:numId w:val="21"/>
        </w:numPr>
      </w:pPr>
      <w:r w:rsidRPr="003062AF">
        <w:t>The Determination has grown to over 680 pages and its making involves a lengthy process that places an administrative burden on all levels of government</w:t>
      </w:r>
      <w:r>
        <w:t xml:space="preserve">.  </w:t>
      </w:r>
      <w:r w:rsidRPr="003062AF">
        <w:t>Th</w:t>
      </w:r>
      <w:r>
        <w:t>is</w:t>
      </w:r>
      <w:r w:rsidRPr="003062AF">
        <w:t xml:space="preserve"> amendment will reduce administrative costs by removing the need to list items in a Determination and undertake a twice yearly exhaustive process of updating the Determination</w:t>
      </w:r>
      <w:r>
        <w:t xml:space="preserve">.  </w:t>
      </w:r>
      <w:r w:rsidRPr="003062AF">
        <w:t>It will also provide increased certainty by allowing government entities to treat eligible items as exempt from the time that they are introduced rather than some later time when they are listed in a Determination.</w:t>
      </w:r>
    </w:p>
    <w:p w:rsidR="00483461" w:rsidRPr="00474FA0" w:rsidRDefault="00483461" w:rsidP="00483461">
      <w:pPr>
        <w:pStyle w:val="Heading2"/>
      </w:pPr>
      <w:r w:rsidRPr="00474FA0">
        <w:lastRenderedPageBreak/>
        <w:t>Summary of new law</w:t>
      </w:r>
    </w:p>
    <w:p w:rsidR="00483461" w:rsidRPr="00474FA0" w:rsidRDefault="00483461" w:rsidP="00483461">
      <w:pPr>
        <w:pStyle w:val="Heading3"/>
      </w:pPr>
      <w:r w:rsidRPr="00474FA0">
        <w:t>Exempting Australian taxes or Australian fees and charges from the GST</w:t>
      </w:r>
    </w:p>
    <w:p w:rsidR="00483461" w:rsidRPr="00474FA0" w:rsidRDefault="00483461" w:rsidP="00DC00CE">
      <w:pPr>
        <w:pStyle w:val="base-text-paragraph"/>
        <w:numPr>
          <w:ilvl w:val="1"/>
          <w:numId w:val="21"/>
        </w:numPr>
      </w:pPr>
      <w:r w:rsidRPr="00474FA0">
        <w:t xml:space="preserve">Schedule </w:t>
      </w:r>
      <w:r w:rsidR="00B52ACA">
        <w:t>4</w:t>
      </w:r>
      <w:r>
        <w:t xml:space="preserve"> </w:t>
      </w:r>
      <w:r w:rsidRPr="00474FA0">
        <w:t>repeals and replaces Division 81 of the GST Act to allow entities to self assess the GST treatment of a payment of an Australian tax or an Australian fee or charge in accordance with certain principles</w:t>
      </w:r>
      <w:r>
        <w:t xml:space="preserve">.  </w:t>
      </w:r>
      <w:r w:rsidRPr="00474FA0">
        <w:t>Under these amendments, government agencies will no longer need to have an Australian tax or certain categories of Australian fees or charges listed on the Determination in order for those taxes, fees or charges to not be subject to GST.</w:t>
      </w:r>
    </w:p>
    <w:p w:rsidR="00483461" w:rsidRPr="00474FA0" w:rsidRDefault="00483461" w:rsidP="00DC00CE">
      <w:pPr>
        <w:pStyle w:val="base-text-paragraph"/>
        <w:numPr>
          <w:ilvl w:val="1"/>
          <w:numId w:val="21"/>
        </w:numPr>
      </w:pPr>
      <w:r w:rsidRPr="00474FA0">
        <w:t>In addition, the amendments allow for regulations to be made to treat an Australian tax, or any Australian fee or charge in a particular way that will determine if the amount paid, or the discharging of a liability to make such payment, is subject to GST</w:t>
      </w:r>
      <w:r>
        <w:t xml:space="preserve">.  </w:t>
      </w:r>
    </w:p>
    <w:p w:rsidR="00483461" w:rsidRPr="00474FA0" w:rsidRDefault="00483461" w:rsidP="00DC00CE">
      <w:pPr>
        <w:pStyle w:val="base-text-paragraph"/>
        <w:numPr>
          <w:ilvl w:val="1"/>
          <w:numId w:val="21"/>
        </w:numPr>
      </w:pPr>
      <w:r w:rsidRPr="00474FA0">
        <w:t xml:space="preserve">Those Australian taxes, fees and charges currently not subject to GST under the </w:t>
      </w:r>
      <w:r w:rsidRPr="00474FA0">
        <w:rPr>
          <w:i/>
        </w:rPr>
        <w:t>A New Tax System (Goods and Services Tax) (Exempt taxes, fees and charges) Determination 2011 (</w:t>
      </w:r>
      <w:r>
        <w:rPr>
          <w:i/>
        </w:rPr>
        <w:t xml:space="preserve">No. </w:t>
      </w:r>
      <w:r w:rsidRPr="00474FA0">
        <w:rPr>
          <w:i/>
        </w:rPr>
        <w:t xml:space="preserve">1) </w:t>
      </w:r>
      <w:r w:rsidRPr="00474FA0">
        <w:t>will remain not subject to GST until 1 July 2012 and thereafter will be assessed under the changes made in this Schedule</w:t>
      </w:r>
      <w:r>
        <w:t xml:space="preserve">.  </w:t>
      </w:r>
    </w:p>
    <w:p w:rsidR="00483461" w:rsidRPr="00474FA0" w:rsidRDefault="00483461" w:rsidP="00DC00CE">
      <w:pPr>
        <w:pStyle w:val="base-text-paragraph"/>
        <w:numPr>
          <w:ilvl w:val="1"/>
          <w:numId w:val="21"/>
        </w:numPr>
      </w:pPr>
      <w:r w:rsidRPr="00474FA0">
        <w:t xml:space="preserve">The GST treatment of all new Australian taxes or Australian fees or charges that are not currently entered on the </w:t>
      </w:r>
      <w:r w:rsidRPr="00474FA0">
        <w:rPr>
          <w:i/>
        </w:rPr>
        <w:t>A New Tax System (Goods and Services Tax) (Exempt taxes, fees and charges) Determination 2011 (</w:t>
      </w:r>
      <w:r>
        <w:rPr>
          <w:i/>
        </w:rPr>
        <w:t xml:space="preserve">No. </w:t>
      </w:r>
      <w:r w:rsidRPr="00474FA0">
        <w:rPr>
          <w:i/>
        </w:rPr>
        <w:t xml:space="preserve">1) </w:t>
      </w:r>
      <w:r w:rsidRPr="00474FA0">
        <w:t>will be self assessed under the changes made by this Schedule with effect from 1 July 2011</w:t>
      </w:r>
      <w:r>
        <w:t xml:space="preserve">.  </w:t>
      </w:r>
      <w:r w:rsidRPr="00474FA0">
        <w:t>Those Australian taxes or Australian fees and charges that are not covered by the changes made by this Schedule and meet the requirements of section 9-5 of the GST Act will be taxable supplies, unless excluded by regulation.</w:t>
      </w:r>
    </w:p>
    <w:p w:rsidR="00483461" w:rsidRPr="00474FA0" w:rsidRDefault="00483461" w:rsidP="00483461">
      <w:pPr>
        <w:pStyle w:val="Heading2with18pointafter"/>
        <w:keepLines/>
      </w:pPr>
      <w:r w:rsidRPr="00474FA0">
        <w:lastRenderedPageBreak/>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5"/>
        <w:gridCol w:w="3276"/>
      </w:tblGrid>
      <w:tr w:rsidR="00483461" w:rsidRPr="00474FA0" w:rsidTr="00483461">
        <w:tc>
          <w:tcPr>
            <w:tcW w:w="3275" w:type="dxa"/>
          </w:tcPr>
          <w:p w:rsidR="00483461" w:rsidRPr="00474FA0" w:rsidRDefault="00483461" w:rsidP="00483461">
            <w:pPr>
              <w:pStyle w:val="tableheaderwithintable"/>
              <w:keepLines/>
              <w:rPr>
                <w:lang w:val="en-US" w:eastAsia="en-US"/>
              </w:rPr>
            </w:pPr>
            <w:r w:rsidRPr="00474FA0">
              <w:rPr>
                <w:lang w:val="en-US" w:eastAsia="en-US"/>
              </w:rPr>
              <w:t>New law</w:t>
            </w:r>
          </w:p>
        </w:tc>
        <w:tc>
          <w:tcPr>
            <w:tcW w:w="3276" w:type="dxa"/>
          </w:tcPr>
          <w:p w:rsidR="00483461" w:rsidRPr="00474FA0" w:rsidRDefault="00483461" w:rsidP="00483461">
            <w:pPr>
              <w:pStyle w:val="tableheaderwithintable"/>
              <w:keepLines/>
              <w:rPr>
                <w:lang w:val="en-US" w:eastAsia="en-US"/>
              </w:rPr>
            </w:pPr>
            <w:r w:rsidRPr="00474FA0">
              <w:rPr>
                <w:lang w:val="en-US" w:eastAsia="en-US"/>
              </w:rPr>
              <w:t>Current law</w:t>
            </w:r>
          </w:p>
        </w:tc>
      </w:tr>
      <w:tr w:rsidR="00483461" w:rsidRPr="00474FA0" w:rsidTr="00483461">
        <w:tc>
          <w:tcPr>
            <w:tcW w:w="3275" w:type="dxa"/>
          </w:tcPr>
          <w:p w:rsidR="00483461" w:rsidRPr="00474FA0" w:rsidRDefault="00483461" w:rsidP="00483461">
            <w:pPr>
              <w:pStyle w:val="tabletext"/>
              <w:keepNext/>
              <w:keepLines/>
              <w:rPr>
                <w:lang w:val="en-US" w:eastAsia="en-US"/>
              </w:rPr>
            </w:pPr>
            <w:r w:rsidRPr="00474FA0">
              <w:rPr>
                <w:lang w:val="en-US" w:eastAsia="en-US"/>
              </w:rPr>
              <w:t>The payment, or the discharging of a liability to make such a payment, of an Australian tax is not treated as the provision of consideration</w:t>
            </w:r>
            <w:r>
              <w:rPr>
                <w:lang w:val="en-US" w:eastAsia="en-US"/>
              </w:rPr>
              <w:t xml:space="preserve">.  </w:t>
            </w:r>
            <w:r w:rsidRPr="00474FA0">
              <w:rPr>
                <w:lang w:val="en-US" w:eastAsia="en-US"/>
              </w:rPr>
              <w:t>Such a payment will not be subject to GST</w:t>
            </w:r>
            <w:r>
              <w:rPr>
                <w:lang w:val="en-US" w:eastAsia="en-US"/>
              </w:rPr>
              <w:t xml:space="preserve">.  </w:t>
            </w:r>
            <w:r w:rsidRPr="00474FA0">
              <w:rPr>
                <w:lang w:val="en-US" w:eastAsia="en-US"/>
              </w:rPr>
              <w:t>However, regulations can be made to treat the payment of a tax, or of a kind of tax, as consideration for a supply made by the entity to which the tax is payable, in which case it will be subject to GST</w:t>
            </w:r>
            <w:r>
              <w:rPr>
                <w:lang w:val="en-US" w:eastAsia="en-US"/>
              </w:rPr>
              <w:t xml:space="preserve">.  </w:t>
            </w:r>
          </w:p>
          <w:p w:rsidR="00483461" w:rsidRPr="00474FA0" w:rsidRDefault="00483461" w:rsidP="00483461">
            <w:pPr>
              <w:pStyle w:val="tabletext"/>
              <w:keepNext/>
              <w:keepLines/>
              <w:rPr>
                <w:lang w:val="en-US" w:eastAsia="en-US"/>
              </w:rPr>
            </w:pPr>
            <w:r w:rsidRPr="00474FA0">
              <w:rPr>
                <w:lang w:val="en-US" w:eastAsia="en-US"/>
              </w:rPr>
              <w:t>A payment, or the discharging of a liability to make such a payment, of certain categories of Australian fees or charges is not treated as the provision of consideration</w:t>
            </w:r>
            <w:r>
              <w:rPr>
                <w:lang w:val="en-US" w:eastAsia="en-US"/>
              </w:rPr>
              <w:t xml:space="preserve">.  </w:t>
            </w:r>
            <w:r w:rsidRPr="00474FA0">
              <w:rPr>
                <w:lang w:val="en-US" w:eastAsia="en-US"/>
              </w:rPr>
              <w:t>Such a payment will not be subject to GST</w:t>
            </w:r>
            <w:r>
              <w:rPr>
                <w:lang w:val="en-US" w:eastAsia="en-US"/>
              </w:rPr>
              <w:t xml:space="preserve">.  </w:t>
            </w:r>
            <w:r w:rsidRPr="00474FA0">
              <w:rPr>
                <w:lang w:val="en-US" w:eastAsia="en-US"/>
              </w:rPr>
              <w:t>However, regulations can be made to treat the payment of any Australian fee or charge, or of a kind of payment, as consideration for a supply made by the entity to which the fee or charge is payable, in which case it may be subject to GST.</w:t>
            </w:r>
          </w:p>
          <w:p w:rsidR="00483461" w:rsidRPr="00474FA0" w:rsidRDefault="00483461" w:rsidP="00483461">
            <w:pPr>
              <w:pStyle w:val="tabletext"/>
              <w:keepNext/>
              <w:keepLines/>
              <w:rPr>
                <w:lang w:val="en-US" w:eastAsia="en-US"/>
              </w:rPr>
            </w:pPr>
            <w:r w:rsidRPr="00474FA0">
              <w:rPr>
                <w:lang w:val="en-US" w:eastAsia="en-US"/>
              </w:rPr>
              <w:t xml:space="preserve">The payment, or the discharging of a liability to make such a payment, of an Australian tax or </w:t>
            </w:r>
            <w:r>
              <w:rPr>
                <w:lang w:val="en-US" w:eastAsia="en-US"/>
              </w:rPr>
              <w:t xml:space="preserve">an </w:t>
            </w:r>
            <w:r w:rsidRPr="00474FA0">
              <w:rPr>
                <w:lang w:val="en-US" w:eastAsia="en-US"/>
              </w:rPr>
              <w:t>Australian fee or charge that is not exempted by a specific provision within Division 81, including by regulation made under that Division, may be consideration for a taxable supply if the requirements of section 9-5 of the GST Act are met</w:t>
            </w:r>
            <w:r>
              <w:rPr>
                <w:lang w:val="en-US" w:eastAsia="en-US"/>
              </w:rPr>
              <w:t xml:space="preserve">.  </w:t>
            </w:r>
          </w:p>
          <w:p w:rsidR="00483461" w:rsidRPr="00474FA0" w:rsidRDefault="00483461" w:rsidP="00483461">
            <w:pPr>
              <w:pStyle w:val="tabletext"/>
              <w:keepNext/>
              <w:keepLines/>
              <w:rPr>
                <w:lang w:val="en-US" w:eastAsia="en-US"/>
              </w:rPr>
            </w:pPr>
            <w:r w:rsidRPr="00474FA0">
              <w:rPr>
                <w:lang w:val="en-US" w:eastAsia="en-US"/>
              </w:rPr>
              <w:t xml:space="preserve">Regulations that are made under Division 81 can be expressed to take effect from a date before the regulations are registered under the </w:t>
            </w:r>
            <w:r w:rsidRPr="00474FA0">
              <w:rPr>
                <w:i/>
                <w:lang w:val="en-US" w:eastAsia="en-US"/>
              </w:rPr>
              <w:t>Legislative Instruments Act 2003</w:t>
            </w:r>
            <w:r w:rsidRPr="00474FA0">
              <w:rPr>
                <w:lang w:val="en-US" w:eastAsia="en-US"/>
              </w:rPr>
              <w:t>.</w:t>
            </w:r>
          </w:p>
        </w:tc>
        <w:tc>
          <w:tcPr>
            <w:tcW w:w="3276" w:type="dxa"/>
          </w:tcPr>
          <w:p w:rsidR="00483461" w:rsidRPr="00474FA0" w:rsidRDefault="00483461" w:rsidP="00483461">
            <w:pPr>
              <w:pStyle w:val="tabletext"/>
              <w:keepNext/>
              <w:keepLines/>
              <w:rPr>
                <w:lang w:val="en-US" w:eastAsia="en-US"/>
              </w:rPr>
            </w:pPr>
            <w:r w:rsidRPr="00474FA0">
              <w:rPr>
                <w:lang w:val="en-US" w:eastAsia="en-US"/>
              </w:rPr>
              <w:t>The payment of any Australian tax, fee or charge is treated in the first instance as the provision of consideration for a supply, which may be a taxable supply.</w:t>
            </w:r>
          </w:p>
          <w:p w:rsidR="00483461" w:rsidRPr="00474FA0" w:rsidRDefault="00483461" w:rsidP="00483461">
            <w:pPr>
              <w:pStyle w:val="tabletext"/>
              <w:keepNext/>
              <w:keepLines/>
              <w:rPr>
                <w:lang w:val="en-US" w:eastAsia="en-US"/>
              </w:rPr>
            </w:pPr>
            <w:r w:rsidRPr="00474FA0">
              <w:rPr>
                <w:lang w:val="en-US" w:eastAsia="en-US"/>
              </w:rPr>
              <w:t xml:space="preserve">However, an Australian tax, fee or charge is not treated as consideration for a supply if it is included in a legislative instrument made by the </w:t>
            </w:r>
            <w:r>
              <w:rPr>
                <w:lang w:val="en-US" w:eastAsia="en-US"/>
              </w:rPr>
              <w:t xml:space="preserve">Commonwealth </w:t>
            </w:r>
            <w:r w:rsidRPr="00474FA0">
              <w:rPr>
                <w:lang w:val="en-US" w:eastAsia="en-US"/>
              </w:rPr>
              <w:t>Treasurer, in which case it is not subject to GST.</w:t>
            </w:r>
          </w:p>
          <w:p w:rsidR="00483461" w:rsidRPr="00474FA0" w:rsidRDefault="00483461" w:rsidP="00483461">
            <w:pPr>
              <w:pStyle w:val="tabletext"/>
              <w:keepNext/>
              <w:keepLines/>
              <w:rPr>
                <w:lang w:val="en-US" w:eastAsia="en-US"/>
              </w:rPr>
            </w:pPr>
            <w:r w:rsidRPr="00474FA0">
              <w:rPr>
                <w:lang w:val="en-US" w:eastAsia="en-US"/>
              </w:rPr>
              <w:t xml:space="preserve">The fact that a supply is not connected with </w:t>
            </w:r>
            <w:smartTag w:uri="urn:schemas-microsoft-com:office:smarttags" w:element="country-region">
              <w:smartTag w:uri="urn:schemas-microsoft-com:office:smarttags" w:element="place">
                <w:r w:rsidRPr="00474FA0">
                  <w:rPr>
                    <w:lang w:val="en-US" w:eastAsia="en-US"/>
                  </w:rPr>
                  <w:t>Australia</w:t>
                </w:r>
              </w:smartTag>
            </w:smartTag>
            <w:r w:rsidRPr="00474FA0">
              <w:rPr>
                <w:lang w:val="en-US" w:eastAsia="en-US"/>
              </w:rPr>
              <w:t xml:space="preserve"> does not stop the supply being a taxable supply in connection with the payment of an Australian tax, fee or charge.</w:t>
            </w:r>
          </w:p>
        </w:tc>
      </w:tr>
    </w:tbl>
    <w:p w:rsidR="00483461" w:rsidRPr="00474FA0" w:rsidRDefault="00483461" w:rsidP="00483461">
      <w:pPr>
        <w:pStyle w:val="Heading2"/>
      </w:pPr>
      <w:r w:rsidRPr="00474FA0">
        <w:t>Detailed explanation of new law</w:t>
      </w:r>
    </w:p>
    <w:p w:rsidR="00483461" w:rsidRPr="00474FA0" w:rsidRDefault="00483461" w:rsidP="00DC00CE">
      <w:pPr>
        <w:pStyle w:val="base-text-paragraph"/>
        <w:numPr>
          <w:ilvl w:val="1"/>
          <w:numId w:val="21"/>
        </w:numPr>
      </w:pPr>
      <w:r w:rsidRPr="00474FA0">
        <w:t xml:space="preserve">Schedule </w:t>
      </w:r>
      <w:r w:rsidR="00B52ACA">
        <w:t>4</w:t>
      </w:r>
      <w:r w:rsidRPr="00474FA0">
        <w:t xml:space="preserve"> repeals and replaces Division 81 of the GST Act to allow government agencies to self assess the GST treatment of any </w:t>
      </w:r>
      <w:r w:rsidRPr="00474FA0">
        <w:lastRenderedPageBreak/>
        <w:t xml:space="preserve">Australian tax or </w:t>
      </w:r>
      <w:r>
        <w:t xml:space="preserve">any </w:t>
      </w:r>
      <w:r w:rsidRPr="00474FA0">
        <w:t>Australian fee or charge imposed under an Australian law and payable to the agency, in accordance with certain principles</w:t>
      </w:r>
      <w:r>
        <w:t xml:space="preserve">.  </w:t>
      </w:r>
    </w:p>
    <w:p w:rsidR="00483461" w:rsidRPr="00474FA0" w:rsidRDefault="00483461" w:rsidP="00DC00CE">
      <w:pPr>
        <w:pStyle w:val="base-text-paragraph"/>
        <w:numPr>
          <w:ilvl w:val="1"/>
          <w:numId w:val="21"/>
        </w:numPr>
      </w:pPr>
      <w:r w:rsidRPr="00474FA0">
        <w:t>Under the</w:t>
      </w:r>
      <w:r>
        <w:t>se</w:t>
      </w:r>
      <w:r w:rsidRPr="00474FA0">
        <w:t xml:space="preserve"> amendments, an </w:t>
      </w:r>
      <w:r>
        <w:t>‘</w:t>
      </w:r>
      <w:r w:rsidRPr="00474FA0">
        <w:t>Australian tax</w:t>
      </w:r>
      <w:r>
        <w:t>’ or an</w:t>
      </w:r>
      <w:r w:rsidRPr="00474FA0">
        <w:t xml:space="preserve"> </w:t>
      </w:r>
      <w:r>
        <w:t xml:space="preserve">‘Australian </w:t>
      </w:r>
      <w:r w:rsidRPr="00474FA0">
        <w:t>fee or charge</w:t>
      </w:r>
      <w:r>
        <w:t>’</w:t>
      </w:r>
      <w:r w:rsidRPr="00474FA0">
        <w:t xml:space="preserve"> (as defined in the GST Act) will no longer be treated as the provision of consideration for a supply at first instance</w:t>
      </w:r>
      <w:r>
        <w:t xml:space="preserve">.  </w:t>
      </w:r>
      <w:r w:rsidRPr="00474FA0">
        <w:t xml:space="preserve">Government agencies will no longer need to have an Australian tax, fee or charge listed on a Determination made by the </w:t>
      </w:r>
      <w:r>
        <w:t xml:space="preserve">Commonwealth </w:t>
      </w:r>
      <w:r w:rsidRPr="00474FA0">
        <w:t>Treasurer as a prerequisite for it not to be subject to GST</w:t>
      </w:r>
      <w:r>
        <w:t xml:space="preserve">.  </w:t>
      </w:r>
      <w:r w:rsidRPr="00474FA0">
        <w:t xml:space="preserve"> </w:t>
      </w:r>
    </w:p>
    <w:p w:rsidR="00483461" w:rsidRPr="00474FA0" w:rsidRDefault="00483461" w:rsidP="00DC00CE">
      <w:pPr>
        <w:pStyle w:val="base-text-paragraph"/>
        <w:numPr>
          <w:ilvl w:val="1"/>
          <w:numId w:val="21"/>
        </w:numPr>
      </w:pPr>
      <w:r w:rsidRPr="00474FA0">
        <w:t xml:space="preserve">Under these amendments, the payment of an Australian tax will not be treated as the provision of consideration and therefore any supply to which </w:t>
      </w:r>
      <w:r>
        <w:t>it</w:t>
      </w:r>
      <w:r w:rsidRPr="00474FA0">
        <w:t xml:space="preserve"> relate</w:t>
      </w:r>
      <w:r>
        <w:t>s</w:t>
      </w:r>
      <w:r w:rsidRPr="00474FA0">
        <w:t xml:space="preserve"> will not attract GST</w:t>
      </w:r>
      <w:r>
        <w:t xml:space="preserve">.  </w:t>
      </w:r>
      <w:r w:rsidRPr="00474FA0">
        <w:t>Furthermore, an Australian fee or charge of a kind to which subsections 81-10(</w:t>
      </w:r>
      <w:r>
        <w:t>4</w:t>
      </w:r>
      <w:r w:rsidRPr="00474FA0">
        <w:t>) and (</w:t>
      </w:r>
      <w:r>
        <w:t>5</w:t>
      </w:r>
      <w:r w:rsidRPr="00474FA0">
        <w:t>) apply will not be treated as the provision of consideration (for a supply) and also will not attract GST.</w:t>
      </w:r>
    </w:p>
    <w:p w:rsidR="00483461" w:rsidRPr="00474FA0" w:rsidRDefault="00483461" w:rsidP="00DC00CE">
      <w:pPr>
        <w:pStyle w:val="base-text-paragraph"/>
        <w:numPr>
          <w:ilvl w:val="1"/>
          <w:numId w:val="21"/>
        </w:numPr>
      </w:pPr>
      <w:r w:rsidRPr="00474FA0">
        <w:t>However, a regulation can be made with the effect of treating payments, or the discharging of a liability to make such payments, of an Australian tax or of an Australian fee or charge, as the provision of consideration for a supply</w:t>
      </w:r>
      <w:r>
        <w:t xml:space="preserve">.  </w:t>
      </w:r>
      <w:r w:rsidRPr="00474FA0">
        <w:t>The GST treatment of the supply to which the tax, fee or charge relates may be a taxable supply.</w:t>
      </w:r>
    </w:p>
    <w:p w:rsidR="00483461" w:rsidRPr="00474FA0" w:rsidRDefault="00483461" w:rsidP="00DC00CE">
      <w:pPr>
        <w:pStyle w:val="base-text-paragraph"/>
        <w:numPr>
          <w:ilvl w:val="1"/>
          <w:numId w:val="21"/>
        </w:numPr>
      </w:pPr>
      <w:r w:rsidRPr="00474FA0">
        <w:t xml:space="preserve">The changes also provide for the making of regulations, where necessary, that will allow for the payment of an Australian fee or charge, or the discharging of a liability to make such a payment, </w:t>
      </w:r>
      <w:r>
        <w:t>to</w:t>
      </w:r>
      <w:r w:rsidRPr="00474FA0">
        <w:t xml:space="preserve"> not be the provision of consideration and therefore any supply to which it relates will not </w:t>
      </w:r>
      <w:r>
        <w:t xml:space="preserve">be </w:t>
      </w:r>
      <w:r w:rsidRPr="00474FA0">
        <w:t>subject to GST</w:t>
      </w:r>
      <w:r>
        <w:t xml:space="preserve">.  </w:t>
      </w:r>
    </w:p>
    <w:p w:rsidR="00483461" w:rsidRPr="00474FA0" w:rsidRDefault="00483461" w:rsidP="00DC00CE">
      <w:pPr>
        <w:pStyle w:val="base-text-paragraph"/>
        <w:numPr>
          <w:ilvl w:val="1"/>
          <w:numId w:val="21"/>
        </w:numPr>
      </w:pPr>
      <w:r w:rsidRPr="00474FA0">
        <w:t>It is not intended that the payment of a fine or penalty imposed under an Australian law and payable to a</w:t>
      </w:r>
      <w:r>
        <w:t xml:space="preserve">n Australian </w:t>
      </w:r>
      <w:r w:rsidRPr="00474FA0">
        <w:t>government agency be subject to GST</w:t>
      </w:r>
      <w:r>
        <w:t xml:space="preserve">.  </w:t>
      </w:r>
      <w:r w:rsidRPr="00474FA0">
        <w:t>Application of the GST basic rules should ensure that such payments are not subject to GST</w:t>
      </w:r>
      <w:r>
        <w:t>,</w:t>
      </w:r>
      <w:r w:rsidRPr="00474FA0">
        <w:t xml:space="preserve"> therefore </w:t>
      </w:r>
      <w:r>
        <w:t xml:space="preserve">they are </w:t>
      </w:r>
      <w:r w:rsidRPr="00474FA0">
        <w:t>not addressed by these amendments.</w:t>
      </w:r>
    </w:p>
    <w:p w:rsidR="00483461" w:rsidRPr="00474FA0" w:rsidRDefault="00483461" w:rsidP="00483461">
      <w:pPr>
        <w:pStyle w:val="Heading3"/>
      </w:pPr>
      <w:r w:rsidRPr="00474FA0">
        <w:t xml:space="preserve">Australian taxes </w:t>
      </w:r>
    </w:p>
    <w:p w:rsidR="00483461" w:rsidRPr="00474FA0" w:rsidRDefault="00483461" w:rsidP="00DC00CE">
      <w:pPr>
        <w:pStyle w:val="base-text-paragraph"/>
        <w:numPr>
          <w:ilvl w:val="1"/>
          <w:numId w:val="21"/>
        </w:numPr>
      </w:pPr>
      <w:r w:rsidRPr="00474FA0">
        <w:t>Taxes are imposed as part of the general revenue raising activities of government and should not be subject to GST</w:t>
      </w:r>
      <w:r>
        <w:t xml:space="preserve">.  </w:t>
      </w:r>
      <w:r w:rsidRPr="00474FA0">
        <w:t>Generally, taxes are not considered to be associated with a supply and are not subject to GST under the GST basic rules</w:t>
      </w:r>
      <w:r>
        <w:t xml:space="preserve">.  </w:t>
      </w:r>
      <w:r w:rsidRPr="00474FA0">
        <w:t>However, given the expansive definition of ‘supply’ and ‘consideration’ contained within the GST Act, the</w:t>
      </w:r>
      <w:r>
        <w:t>se</w:t>
      </w:r>
      <w:r w:rsidRPr="00474FA0">
        <w:t xml:space="preserve"> amendments ensure all payments of taxes imposed under an Australian law will not be subject to GST at first instance.</w:t>
      </w:r>
    </w:p>
    <w:p w:rsidR="00483461" w:rsidRPr="00474FA0" w:rsidRDefault="00483461" w:rsidP="00DC00CE">
      <w:pPr>
        <w:pStyle w:val="base-text-paragraph"/>
        <w:numPr>
          <w:ilvl w:val="1"/>
          <w:numId w:val="21"/>
        </w:numPr>
        <w:rPr>
          <w:rStyle w:val="Referencingstyle"/>
        </w:rPr>
      </w:pPr>
      <w:r w:rsidRPr="00474FA0">
        <w:lastRenderedPageBreak/>
        <w:t>The payment of an Australian tax, or the discharging of a liability to make such a payment, will not be treated as the provision of consideration (for any supply)</w:t>
      </w:r>
      <w:r>
        <w:t xml:space="preserve">.  </w:t>
      </w:r>
      <w:r w:rsidRPr="00474FA0">
        <w:t>Therefore, a supply (if any) will not be a taxable supply as the supply has not been made for consideration in accordance with paragraph 9-5(a) of the GST Act</w:t>
      </w:r>
      <w:r>
        <w:t xml:space="preserve">.  </w:t>
      </w:r>
      <w:r w:rsidRPr="00474FA0">
        <w:t>Consequently, an Australian tax, imposed under an Australian law, will not attract GST</w:t>
      </w:r>
      <w:r>
        <w:t xml:space="preserve">.  </w:t>
      </w:r>
      <w:r w:rsidRPr="00474FA0">
        <w:rPr>
          <w:rStyle w:val="Referencingstyle"/>
        </w:rPr>
        <w:t xml:space="preserve">[Schedule </w:t>
      </w:r>
      <w:r w:rsidR="00B52ACA">
        <w:rPr>
          <w:rStyle w:val="Referencingstyle"/>
        </w:rPr>
        <w:t>4</w:t>
      </w:r>
      <w:r w:rsidRPr="00474FA0">
        <w:rPr>
          <w:rStyle w:val="Referencingstyle"/>
        </w:rPr>
        <w:t>, item 2, subsection 81</w:t>
      </w:r>
      <w:r w:rsidRPr="00474FA0">
        <w:rPr>
          <w:rStyle w:val="Referencingstyle"/>
        </w:rPr>
        <w:noBreakHyphen/>
        <w:t>5(1)]</w:t>
      </w:r>
    </w:p>
    <w:p w:rsidR="00483461" w:rsidRPr="00474FA0" w:rsidRDefault="00483461" w:rsidP="00DC00CE">
      <w:pPr>
        <w:pStyle w:val="base-text-paragraph"/>
        <w:numPr>
          <w:ilvl w:val="1"/>
          <w:numId w:val="21"/>
        </w:numPr>
        <w:rPr>
          <w:rStyle w:val="Referencingstyle"/>
        </w:rPr>
      </w:pPr>
      <w:r w:rsidRPr="00474FA0">
        <w:t xml:space="preserve">Examples of Australian taxes imposed under an Australian law include: </w:t>
      </w:r>
      <w:r>
        <w:t xml:space="preserve"> i</w:t>
      </w:r>
      <w:r w:rsidRPr="00474FA0">
        <w:t xml:space="preserve">ncome </w:t>
      </w:r>
      <w:r>
        <w:t>t</w:t>
      </w:r>
      <w:r w:rsidRPr="00474FA0">
        <w:t xml:space="preserve">ax, </w:t>
      </w:r>
      <w:r>
        <w:t>s</w:t>
      </w:r>
      <w:r w:rsidRPr="00474FA0">
        <w:t xml:space="preserve">tamp </w:t>
      </w:r>
      <w:r>
        <w:t>d</w:t>
      </w:r>
      <w:r w:rsidRPr="00474FA0">
        <w:t xml:space="preserve">uty, </w:t>
      </w:r>
      <w:r>
        <w:t>f</w:t>
      </w:r>
      <w:r w:rsidRPr="00474FA0">
        <w:t xml:space="preserve">ringe </w:t>
      </w:r>
      <w:r>
        <w:t>b</w:t>
      </w:r>
      <w:r w:rsidRPr="00474FA0">
        <w:t xml:space="preserve">enefits </w:t>
      </w:r>
      <w:r>
        <w:t>t</w:t>
      </w:r>
      <w:r w:rsidRPr="00474FA0">
        <w:t xml:space="preserve">ax, </w:t>
      </w:r>
      <w:r>
        <w:t>p</w:t>
      </w:r>
      <w:r w:rsidRPr="00474FA0">
        <w:t xml:space="preserve">ayroll </w:t>
      </w:r>
      <w:r>
        <w:t>t</w:t>
      </w:r>
      <w:r w:rsidRPr="00474FA0">
        <w:t xml:space="preserve">ax, </w:t>
      </w:r>
      <w:r>
        <w:t xml:space="preserve">the </w:t>
      </w:r>
      <w:r w:rsidRPr="00474FA0">
        <w:t>Medicare Levy, local government ‘ordinary rates’ and various industry levies.</w:t>
      </w:r>
    </w:p>
    <w:p w:rsidR="00483461" w:rsidRPr="00474FA0" w:rsidRDefault="00483461" w:rsidP="00DC00CE">
      <w:pPr>
        <w:pStyle w:val="base-text-paragraph"/>
        <w:numPr>
          <w:ilvl w:val="1"/>
          <w:numId w:val="21"/>
        </w:numPr>
        <w:rPr>
          <w:rStyle w:val="Referencingstyle"/>
        </w:rPr>
      </w:pPr>
      <w:r w:rsidRPr="00474FA0">
        <w:t>The</w:t>
      </w:r>
      <w:r>
        <w:t>se</w:t>
      </w:r>
      <w:r w:rsidRPr="00474FA0">
        <w:t xml:space="preserve"> amendments allow for a payment, or the discharging of a liability to make such a payment, of an Australian tax, or of a kind, that is </w:t>
      </w:r>
      <w:r w:rsidRPr="00474FA0">
        <w:rPr>
          <w:i/>
        </w:rPr>
        <w:t>not treated as the provision</w:t>
      </w:r>
      <w:r w:rsidRPr="00474FA0">
        <w:t xml:space="preserve"> of consideration under subsection 81-5(1) of the GST Act, to be treated, by way of regulation, </w:t>
      </w:r>
      <w:r w:rsidRPr="00474FA0">
        <w:rPr>
          <w:i/>
        </w:rPr>
        <w:t>as the provision</w:t>
      </w:r>
      <w:r w:rsidRPr="00474FA0">
        <w:t xml:space="preserve"> of consideration to the entity to which the tax is payable for a supply made by that entity to the payer</w:t>
      </w:r>
      <w:r>
        <w:t xml:space="preserve">.  </w:t>
      </w:r>
      <w:r w:rsidRPr="00474FA0">
        <w:t>Therefore, the supply will be a taxable supply if all of the requirements of section 9-5 of the GST Act are satisfied</w:t>
      </w:r>
      <w:r w:rsidRPr="00BB601D">
        <w:rPr>
          <w:rStyle w:val="Referencingstyle"/>
        </w:rPr>
        <w:t xml:space="preserve">.  </w:t>
      </w:r>
      <w:r w:rsidRPr="00474FA0">
        <w:rPr>
          <w:rStyle w:val="Referencingstyle"/>
        </w:rPr>
        <w:t xml:space="preserve">[Schedule </w:t>
      </w:r>
      <w:r w:rsidR="00B52ACA">
        <w:rPr>
          <w:rStyle w:val="Referencingstyle"/>
        </w:rPr>
        <w:t>4</w:t>
      </w:r>
      <w:r w:rsidRPr="00474FA0">
        <w:rPr>
          <w:rStyle w:val="Referencingstyle"/>
        </w:rPr>
        <w:t>, item 2, subsection</w:t>
      </w:r>
      <w:r w:rsidR="00B05846">
        <w:rPr>
          <w:rStyle w:val="Referencingstyle"/>
        </w:rPr>
        <w:t>s</w:t>
      </w:r>
      <w:r w:rsidRPr="00474FA0">
        <w:rPr>
          <w:rStyle w:val="Referencingstyle"/>
        </w:rPr>
        <w:t xml:space="preserve"> 81-5(2</w:t>
      </w:r>
      <w:r w:rsidR="0070090A">
        <w:rPr>
          <w:rStyle w:val="Referencingstyle"/>
        </w:rPr>
        <w:t>) and (3</w:t>
      </w:r>
      <w:r w:rsidRPr="00474FA0">
        <w:rPr>
          <w:rStyle w:val="Referencingstyle"/>
        </w:rPr>
        <w:t>)]</w:t>
      </w:r>
    </w:p>
    <w:p w:rsidR="00483461" w:rsidRPr="00474FA0" w:rsidRDefault="00483461" w:rsidP="00DC00CE">
      <w:pPr>
        <w:pStyle w:val="base-text-paragraph"/>
        <w:numPr>
          <w:ilvl w:val="1"/>
          <w:numId w:val="21"/>
        </w:numPr>
      </w:pPr>
      <w:r w:rsidRPr="00474FA0">
        <w:t>The abovementioned regulation</w:t>
      </w:r>
      <w:r>
        <w:t>-</w:t>
      </w:r>
      <w:r w:rsidRPr="00474FA0">
        <w:t xml:space="preserve">making power allows for circumstances where, for policy reasons, the Government considers that GST should apply to a payment that falls within the definition of an </w:t>
      </w:r>
      <w:r>
        <w:t>‘</w:t>
      </w:r>
      <w:r w:rsidRPr="00474FA0">
        <w:t>Australian tax</w:t>
      </w:r>
      <w:r>
        <w:t>’</w:t>
      </w:r>
      <w:r w:rsidRPr="00474FA0">
        <w:t>.</w:t>
      </w:r>
    </w:p>
    <w:p w:rsidR="00483461" w:rsidRPr="00474FA0" w:rsidRDefault="00483461" w:rsidP="00DC00CE">
      <w:pPr>
        <w:pStyle w:val="base-text-paragraph"/>
        <w:numPr>
          <w:ilvl w:val="1"/>
          <w:numId w:val="21"/>
        </w:numPr>
      </w:pPr>
      <w:r w:rsidRPr="00474FA0">
        <w:t xml:space="preserve">Any regulations would be made through procedures agreed to by the Commonwealth and the </w:t>
      </w:r>
      <w:r>
        <w:t>s</w:t>
      </w:r>
      <w:r w:rsidRPr="00474FA0">
        <w:t xml:space="preserve">tates and </w:t>
      </w:r>
      <w:r>
        <w:t>t</w:t>
      </w:r>
      <w:r w:rsidRPr="00474FA0">
        <w:t xml:space="preserve">erritories, in accordance with the </w:t>
      </w:r>
      <w:r w:rsidRPr="00474FA0">
        <w:rPr>
          <w:i/>
        </w:rPr>
        <w:t>A</w:t>
      </w:r>
      <w:r>
        <w:rPr>
          <w:i/>
        </w:rPr>
        <w:t> </w:t>
      </w:r>
      <w:r w:rsidRPr="00474FA0">
        <w:rPr>
          <w:i/>
        </w:rPr>
        <w:t>New Tax System (Managing the GST Rate and Base) Act 1999</w:t>
      </w:r>
      <w:r>
        <w:t xml:space="preserve">.  </w:t>
      </w:r>
      <w:r w:rsidRPr="00474FA0">
        <w:t xml:space="preserve">The agreed procedures involve consultation and agreement between the Commonwealth and the </w:t>
      </w:r>
      <w:r>
        <w:t>s</w:t>
      </w:r>
      <w:r w:rsidRPr="00474FA0">
        <w:t xml:space="preserve">tates and </w:t>
      </w:r>
      <w:r>
        <w:t>t</w:t>
      </w:r>
      <w:r w:rsidRPr="00474FA0">
        <w:t>erritories on changes made to the GST</w:t>
      </w:r>
      <w:r>
        <w:t> </w:t>
      </w:r>
      <w:r w:rsidRPr="00474FA0">
        <w:t>base, through the GST Administration Sub-Committee of the Ministerial Council for Federal Financial Relations</w:t>
      </w:r>
      <w:r>
        <w:t xml:space="preserve">.  </w:t>
      </w:r>
      <w:r w:rsidRPr="00474FA0">
        <w:t>Following consultation, any proposed regulation would require the unanimous agreement of the members of the Ministerial Council for Federal Financial Relations.</w:t>
      </w:r>
    </w:p>
    <w:p w:rsidR="00483461" w:rsidRPr="00474FA0" w:rsidRDefault="00483461" w:rsidP="00483461">
      <w:pPr>
        <w:pStyle w:val="Heading3"/>
      </w:pPr>
      <w:r w:rsidRPr="00474FA0">
        <w:t>Australian fees and charges</w:t>
      </w:r>
    </w:p>
    <w:p w:rsidR="00483461" w:rsidRPr="00474FA0" w:rsidRDefault="00483461" w:rsidP="00DC00CE">
      <w:pPr>
        <w:pStyle w:val="base-text-paragraph"/>
        <w:numPr>
          <w:ilvl w:val="1"/>
          <w:numId w:val="21"/>
        </w:numPr>
        <w:rPr>
          <w:rStyle w:val="Referencingstyle"/>
        </w:rPr>
      </w:pPr>
      <w:r w:rsidRPr="00474FA0">
        <w:t>The</w:t>
      </w:r>
      <w:r>
        <w:t>se</w:t>
      </w:r>
      <w:r w:rsidRPr="00474FA0">
        <w:t xml:space="preserve"> amendments ensure that a payment or the discharging of a liability to make such a payment, for certain categories of Australian fees or charges will not be treated as the provision of consideration and therefore, any supply to which the payment relates will not be subject to GST</w:t>
      </w:r>
      <w:r>
        <w:t xml:space="preserve">.  </w:t>
      </w:r>
      <w:r w:rsidRPr="00474FA0">
        <w:t>A supply to which a payment, or the discharging of a liability to make such a payment, relates will not be subject to GST to the extent the payment is for a fee or charge covered by subsection 81-10(1) of the</w:t>
      </w:r>
      <w:r>
        <w:t xml:space="preserve"> </w:t>
      </w:r>
      <w:r>
        <w:lastRenderedPageBreak/>
        <w:t xml:space="preserve">GST Act.  </w:t>
      </w:r>
      <w:r w:rsidRPr="00474FA0">
        <w:t>For a supply to which a fee or charge relates not to be subject to GST, the fee or charge must be imposed under an Australian law and be payable to an Australian government agency</w:t>
      </w:r>
      <w:r w:rsidRPr="00BB601D">
        <w:rPr>
          <w:rStyle w:val="Referencingstyle"/>
        </w:rPr>
        <w:t xml:space="preserve">.  </w:t>
      </w:r>
      <w:r w:rsidRPr="00474FA0">
        <w:rPr>
          <w:rStyle w:val="Referencingstyle"/>
        </w:rPr>
        <w:t xml:space="preserve">[Schedule </w:t>
      </w:r>
      <w:r w:rsidR="00B52ACA">
        <w:rPr>
          <w:rStyle w:val="Referencingstyle"/>
        </w:rPr>
        <w:t>4</w:t>
      </w:r>
      <w:r w:rsidRPr="00474FA0">
        <w:rPr>
          <w:rStyle w:val="Referencingstyle"/>
        </w:rPr>
        <w:t>, item 2, subsection</w:t>
      </w:r>
      <w:r>
        <w:rPr>
          <w:rStyle w:val="Referencingstyle"/>
        </w:rPr>
        <w:t> </w:t>
      </w:r>
      <w:r w:rsidRPr="00474FA0">
        <w:rPr>
          <w:rStyle w:val="Referencingstyle"/>
        </w:rPr>
        <w:t>81-10(1)]</w:t>
      </w:r>
    </w:p>
    <w:p w:rsidR="00483461" w:rsidRPr="00474FA0" w:rsidRDefault="00483461" w:rsidP="00DC00CE">
      <w:pPr>
        <w:pStyle w:val="base-text-paragraph"/>
        <w:numPr>
          <w:ilvl w:val="1"/>
          <w:numId w:val="21"/>
        </w:numPr>
      </w:pPr>
      <w:r w:rsidRPr="00474FA0">
        <w:t>To the extent a payment, or the discharging of a liability to make such a payment, is a payment or discharge of an Australian fee or charge that relates to, or relates to the application for, the provision, amendment or retention under an Australian law, of a permission, exemption, authority or licence, it will not be treated as the provision of consideration</w:t>
      </w:r>
      <w:r>
        <w:t xml:space="preserve">.  </w:t>
      </w:r>
      <w:r w:rsidRPr="00474FA0">
        <w:t>Therefore, any supply to which the fee or charge relates will not be subject to GST</w:t>
      </w:r>
      <w:r>
        <w:t>.  A</w:t>
      </w:r>
      <w:r w:rsidRPr="00474FA0">
        <w:t xml:space="preserve"> fee or charge in relation to the provision, amendment or retention of a permission, exemption, authority or licence (however described) includes but is not limited to:</w:t>
      </w:r>
    </w:p>
    <w:p w:rsidR="00483461" w:rsidRPr="00474FA0" w:rsidRDefault="00483461" w:rsidP="00483461">
      <w:pPr>
        <w:pStyle w:val="dotpoint"/>
      </w:pPr>
      <w:r w:rsidRPr="00474FA0">
        <w:t>application fees, licences, permits and certifications that are required by government prior to undertaking an occupation (for example, medical and legal professionals’ right of practice licences, pilots</w:t>
      </w:r>
      <w:r>
        <w:t>’</w:t>
      </w:r>
      <w:r w:rsidRPr="00474FA0">
        <w:t xml:space="preserve"> licences, heavy vehicle drivers</w:t>
      </w:r>
      <w:r>
        <w:t>’</w:t>
      </w:r>
      <w:r w:rsidRPr="00474FA0">
        <w:t xml:space="preserve"> licences and adjustments to such licences); and</w:t>
      </w:r>
    </w:p>
    <w:p w:rsidR="00483461" w:rsidRPr="00474FA0" w:rsidRDefault="00483461" w:rsidP="00483461">
      <w:pPr>
        <w:pStyle w:val="dotpoint"/>
      </w:pPr>
      <w:r w:rsidRPr="00474FA0">
        <w:t>regulatory charges imposed to undertake an activity (for example, compulsory testing fees for regulatory purposes, compulsory inspection fees for regulatory purposes, a permit for restaurants to occupy the footpath, and a licence for an event to close roads).</w:t>
      </w:r>
    </w:p>
    <w:p w:rsidR="00483461" w:rsidRPr="00474FA0" w:rsidRDefault="00483461" w:rsidP="00DC00CE">
      <w:pPr>
        <w:pStyle w:val="base-text-paragraph"/>
        <w:numPr>
          <w:ilvl w:val="1"/>
          <w:numId w:val="21"/>
        </w:numPr>
        <w:rPr>
          <w:rStyle w:val="Referencingstyle"/>
        </w:rPr>
      </w:pPr>
      <w:r w:rsidRPr="00474FA0">
        <w:t xml:space="preserve">As noted, this exemption applies to an Australian fee or charge imposed in relation to, or to the application for, the </w:t>
      </w:r>
      <w:r w:rsidRPr="00474FA0">
        <w:rPr>
          <w:i/>
        </w:rPr>
        <w:t>retention</w:t>
      </w:r>
      <w:r w:rsidRPr="00474FA0">
        <w:t xml:space="preserve"> of a permission, exemption, authority or licence</w:t>
      </w:r>
      <w:r>
        <w:t xml:space="preserve">.  </w:t>
      </w:r>
      <w:r w:rsidRPr="00474FA0">
        <w:t>An example of such a fee would be a periodic compulsory inspection fee, made under an Australian law and payable to an Australian government agency, for the retention of a permit</w:t>
      </w:r>
      <w:r>
        <w:t xml:space="preserve">.  </w:t>
      </w:r>
      <w:r w:rsidRPr="00474FA0">
        <w:t xml:space="preserve">In such cases, the inspection fee is directly related to the retention of the permission (the permit) and </w:t>
      </w:r>
      <w:r>
        <w:t>would</w:t>
      </w:r>
      <w:r w:rsidRPr="00474FA0">
        <w:t xml:space="preserve"> not be subject to GST</w:t>
      </w:r>
      <w:r>
        <w:t xml:space="preserve">.  </w:t>
      </w:r>
      <w:r w:rsidRPr="00474FA0">
        <w:t>In cases where the inspection fee is payable to a private entity (not an Australian government agency) then subsection 81</w:t>
      </w:r>
      <w:r w:rsidRPr="00474FA0">
        <w:noBreakHyphen/>
        <w:t>10(</w:t>
      </w:r>
      <w:r>
        <w:t>4</w:t>
      </w:r>
      <w:r w:rsidRPr="00474FA0">
        <w:t xml:space="preserve">) </w:t>
      </w:r>
      <w:r>
        <w:t xml:space="preserve">of the GST Act </w:t>
      </w:r>
      <w:r w:rsidRPr="00474FA0">
        <w:t>will not apply and the supply will be taxable provided it meets the requirements of section 9-5 of the GST Act</w:t>
      </w:r>
      <w:r>
        <w:t xml:space="preserve">.  </w:t>
      </w:r>
      <w:r w:rsidRPr="00474FA0">
        <w:rPr>
          <w:rStyle w:val="Referencingstyle"/>
        </w:rPr>
        <w:t xml:space="preserve">[Schedule </w:t>
      </w:r>
      <w:r w:rsidR="00B52ACA">
        <w:rPr>
          <w:rStyle w:val="Referencingstyle"/>
        </w:rPr>
        <w:t>4</w:t>
      </w:r>
      <w:r w:rsidRPr="00474FA0">
        <w:rPr>
          <w:rStyle w:val="Referencingstyle"/>
        </w:rPr>
        <w:t>, item 2, subsection</w:t>
      </w:r>
      <w:r>
        <w:rPr>
          <w:rStyle w:val="Referencingstyle"/>
        </w:rPr>
        <w:t> </w:t>
      </w:r>
      <w:r w:rsidRPr="00474FA0">
        <w:rPr>
          <w:rStyle w:val="Referencingstyle"/>
        </w:rPr>
        <w:t>81</w:t>
      </w:r>
      <w:r>
        <w:rPr>
          <w:rStyle w:val="Referencingstyle"/>
        </w:rPr>
        <w:noBreakHyphen/>
      </w:r>
      <w:r w:rsidRPr="00474FA0">
        <w:rPr>
          <w:rStyle w:val="Referencingstyle"/>
        </w:rPr>
        <w:t>10(</w:t>
      </w:r>
      <w:r>
        <w:rPr>
          <w:rStyle w:val="Referencingstyle"/>
        </w:rPr>
        <w:t>4</w:t>
      </w:r>
      <w:r w:rsidRPr="00474FA0">
        <w:rPr>
          <w:rStyle w:val="Referencingstyle"/>
        </w:rPr>
        <w:t>)]</w:t>
      </w:r>
    </w:p>
    <w:p w:rsidR="00483461" w:rsidRPr="00474FA0" w:rsidRDefault="00483461" w:rsidP="00DC00CE">
      <w:pPr>
        <w:pStyle w:val="base-text-paragraph"/>
        <w:numPr>
          <w:ilvl w:val="1"/>
          <w:numId w:val="21"/>
        </w:numPr>
      </w:pPr>
      <w:r w:rsidRPr="00474FA0">
        <w:t>The payment of an Australian fee or charge, to an Australian government agency, in relation to the lodgment of, or access to, documents provided under an Australian law will not be treated as the provision of consideration</w:t>
      </w:r>
      <w:r>
        <w:t xml:space="preserve">.  </w:t>
      </w:r>
      <w:r w:rsidRPr="00474FA0">
        <w:t>Therefore, the supply to which the fee or charge relates will not be subject to GST</w:t>
      </w:r>
      <w:r>
        <w:t xml:space="preserve">.  </w:t>
      </w:r>
      <w:r w:rsidRPr="00474FA0">
        <w:t xml:space="preserve">Examples of such fees and charges, payable to Australian government agencies, are those that are paid in order to obtain information from a government agency under </w:t>
      </w:r>
      <w:r w:rsidRPr="00474FA0">
        <w:lastRenderedPageBreak/>
        <w:t>relevant freedom of information legislation, searches and extracts from registers, copies of official documents, registration fees and lodgment fees for property transfers, deeds, plans and instruments.</w:t>
      </w:r>
    </w:p>
    <w:p w:rsidR="00483461" w:rsidRPr="00474FA0" w:rsidRDefault="00483461" w:rsidP="00DC00CE">
      <w:pPr>
        <w:pStyle w:val="base-text-paragraph"/>
        <w:numPr>
          <w:ilvl w:val="1"/>
          <w:numId w:val="21"/>
        </w:numPr>
        <w:rPr>
          <w:rStyle w:val="Referencingstyle"/>
        </w:rPr>
      </w:pPr>
      <w:r w:rsidRPr="00474FA0">
        <w:t>It is intended that consideration that is provided for commercial sales of information supplied by Australian government agencies, including supplies of books by a government bookshop, be subject to GST at first instance</w:t>
      </w:r>
      <w:r>
        <w:t xml:space="preserve">.  </w:t>
      </w:r>
      <w:r w:rsidRPr="00474FA0">
        <w:t>It is also intended that consideration that is provided for supplies made under commercial arrangements</w:t>
      </w:r>
      <w:r>
        <w:t>,</w:t>
      </w:r>
      <w:r w:rsidRPr="00474FA0">
        <w:t xml:space="preserve"> including the hire of government assets (such as recreation halls, office space, conference centres and equipment)</w:t>
      </w:r>
      <w:r>
        <w:t>,</w:t>
      </w:r>
      <w:r w:rsidRPr="00474FA0">
        <w:t xml:space="preserve"> be subject to GST at first instance</w:t>
      </w:r>
      <w:r>
        <w:t xml:space="preserve">.  </w:t>
      </w:r>
      <w:r w:rsidRPr="00474FA0">
        <w:rPr>
          <w:rStyle w:val="Referencingstyle"/>
        </w:rPr>
        <w:t xml:space="preserve">[Schedule </w:t>
      </w:r>
      <w:r w:rsidR="00B52ACA">
        <w:rPr>
          <w:rStyle w:val="Referencingstyle"/>
        </w:rPr>
        <w:t>4</w:t>
      </w:r>
      <w:r w:rsidRPr="00474FA0">
        <w:rPr>
          <w:rStyle w:val="Referencingstyle"/>
        </w:rPr>
        <w:t>, item 2, subsection 81-10(</w:t>
      </w:r>
      <w:r>
        <w:rPr>
          <w:rStyle w:val="Referencingstyle"/>
        </w:rPr>
        <w:t>5</w:t>
      </w:r>
      <w:r w:rsidRPr="00474FA0">
        <w:rPr>
          <w:rStyle w:val="Referencingstyle"/>
        </w:rPr>
        <w:t>)]</w:t>
      </w:r>
    </w:p>
    <w:p w:rsidR="00483461" w:rsidRPr="00474FA0" w:rsidRDefault="00483461" w:rsidP="00DC00CE">
      <w:pPr>
        <w:pStyle w:val="base-text-paragraph"/>
        <w:numPr>
          <w:ilvl w:val="1"/>
          <w:numId w:val="21"/>
        </w:numPr>
      </w:pPr>
      <w:r w:rsidRPr="00474FA0">
        <w:t>The</w:t>
      </w:r>
      <w:r>
        <w:t>se</w:t>
      </w:r>
      <w:r w:rsidRPr="00474FA0">
        <w:t xml:space="preserve"> amendments allow for a payment, or discharging of a liability to make such a payment, of any Australian fee or charge, or a fee or charge of a specified kind, (including fees and charges that have not been treated as the provision of consideration due to the application of subsection 81-10(1)) to be treated, by way of regulation, as the provision of consideration for a supply made by the entity to which the fee or charge is payable</w:t>
      </w:r>
      <w:r>
        <w:t xml:space="preserve">.  </w:t>
      </w:r>
      <w:r w:rsidRPr="00474FA0">
        <w:t>This supply will be a taxable supply if the requirements of section 9-5 of the GST Act are met</w:t>
      </w:r>
      <w:r>
        <w:t xml:space="preserve">.  </w:t>
      </w:r>
      <w:r w:rsidRPr="00474FA0">
        <w:rPr>
          <w:rStyle w:val="Referencingstyle"/>
        </w:rPr>
        <w:t xml:space="preserve">[Schedule </w:t>
      </w:r>
      <w:r w:rsidR="00B52ACA">
        <w:rPr>
          <w:rStyle w:val="Referencingstyle"/>
        </w:rPr>
        <w:t>4</w:t>
      </w:r>
      <w:r w:rsidRPr="00474FA0">
        <w:rPr>
          <w:rStyle w:val="Referencingstyle"/>
        </w:rPr>
        <w:t>, item 2, subsection</w:t>
      </w:r>
      <w:r w:rsidR="00B05846">
        <w:rPr>
          <w:rStyle w:val="Referencingstyle"/>
        </w:rPr>
        <w:t>s</w:t>
      </w:r>
      <w:r w:rsidRPr="00474FA0">
        <w:rPr>
          <w:rStyle w:val="Referencingstyle"/>
        </w:rPr>
        <w:t xml:space="preserve"> 81</w:t>
      </w:r>
      <w:r w:rsidRPr="00474FA0">
        <w:rPr>
          <w:rStyle w:val="Referencingstyle"/>
        </w:rPr>
        <w:noBreakHyphen/>
        <w:t>10(</w:t>
      </w:r>
      <w:r w:rsidR="000F51C2">
        <w:rPr>
          <w:rStyle w:val="Referencingstyle"/>
        </w:rPr>
        <w:t>2</w:t>
      </w:r>
      <w:r w:rsidRPr="00474FA0">
        <w:rPr>
          <w:rStyle w:val="Referencingstyle"/>
        </w:rPr>
        <w:t>)</w:t>
      </w:r>
      <w:r w:rsidR="000F51C2">
        <w:rPr>
          <w:rStyle w:val="Referencingstyle"/>
        </w:rPr>
        <w:t xml:space="preserve"> and (3)</w:t>
      </w:r>
      <w:r w:rsidRPr="00474FA0">
        <w:rPr>
          <w:rStyle w:val="Referencingstyle"/>
        </w:rPr>
        <w:t>]</w:t>
      </w:r>
    </w:p>
    <w:p w:rsidR="00483461" w:rsidRPr="00474FA0" w:rsidRDefault="00483461" w:rsidP="00DC00CE">
      <w:pPr>
        <w:pStyle w:val="base-text-paragraph"/>
        <w:numPr>
          <w:ilvl w:val="1"/>
          <w:numId w:val="21"/>
        </w:numPr>
      </w:pPr>
      <w:r w:rsidRPr="00474FA0">
        <w:t>The abovementioned regulation</w:t>
      </w:r>
      <w:r>
        <w:t>-</w:t>
      </w:r>
      <w:r w:rsidRPr="00474FA0">
        <w:t>making power allows for circumstances where, for policy reasons, the Government considers that GST should apply to the payment</w:t>
      </w:r>
      <w:r>
        <w:t>,</w:t>
      </w:r>
      <w:r w:rsidRPr="00474FA0">
        <w:t xml:space="preserve"> or discharging of a liability to make such a payment, of an Australian fee or charge</w:t>
      </w:r>
      <w:r>
        <w:t xml:space="preserve">.  </w:t>
      </w:r>
    </w:p>
    <w:p w:rsidR="00483461" w:rsidRPr="00474FA0" w:rsidRDefault="00483461" w:rsidP="00DC00CE">
      <w:pPr>
        <w:pStyle w:val="base-text-paragraph"/>
        <w:numPr>
          <w:ilvl w:val="1"/>
          <w:numId w:val="21"/>
        </w:numPr>
        <w:rPr>
          <w:rStyle w:val="Referencingstyle"/>
          <w:b w:val="0"/>
          <w:i w:val="0"/>
        </w:rPr>
      </w:pPr>
      <w:r>
        <w:t>T</w:t>
      </w:r>
      <w:r w:rsidRPr="00474FA0">
        <w:t>he</w:t>
      </w:r>
      <w:r>
        <w:t>se</w:t>
      </w:r>
      <w:r w:rsidRPr="00474FA0">
        <w:t xml:space="preserve"> amendments allow for the payment of any Australian fee or charge, or the discharging of a liability to make such a payment, to be treated as </w:t>
      </w:r>
      <w:r w:rsidRPr="00474FA0">
        <w:rPr>
          <w:i/>
        </w:rPr>
        <w:t>not the provision of consideration</w:t>
      </w:r>
      <w:r w:rsidRPr="00474FA0">
        <w:t xml:space="preserve"> and therefore, any supply to which the fee or charge relates will not be subject to GST</w:t>
      </w:r>
      <w:r>
        <w:t xml:space="preserve">.  </w:t>
      </w:r>
      <w:r w:rsidRPr="00474FA0">
        <w:t>This power is to apply in circumstances where an Australian fee or charge is not otherwise covered by subsections 81-10(</w:t>
      </w:r>
      <w:r>
        <w:t>4</w:t>
      </w:r>
      <w:r w:rsidRPr="00474FA0">
        <w:t>) and (</w:t>
      </w:r>
      <w:r>
        <w:t>5</w:t>
      </w:r>
      <w:r w:rsidRPr="00474FA0">
        <w:t>) of the</w:t>
      </w:r>
      <w:r>
        <w:t xml:space="preserve"> GST Act,</w:t>
      </w:r>
      <w:r w:rsidRPr="00474FA0">
        <w:t xml:space="preserve"> and for policy reasons, the Government considers that GST should not apply</w:t>
      </w:r>
      <w:r>
        <w:t xml:space="preserve">.  </w:t>
      </w:r>
      <w:r w:rsidRPr="00474FA0">
        <w:t>This will also assist with the correcting of unintended consequences that may arise as a result of the operation of the new provisions inserted by these amendments</w:t>
      </w:r>
      <w:r>
        <w:t xml:space="preserve">.  </w:t>
      </w:r>
      <w:r w:rsidRPr="00474FA0">
        <w:rPr>
          <w:rStyle w:val="Referencingstyle"/>
        </w:rPr>
        <w:t xml:space="preserve">[Schedule </w:t>
      </w:r>
      <w:r w:rsidR="00B52ACA">
        <w:rPr>
          <w:rStyle w:val="Referencingstyle"/>
        </w:rPr>
        <w:t>4</w:t>
      </w:r>
      <w:r w:rsidRPr="00474FA0">
        <w:rPr>
          <w:rStyle w:val="Referencingstyle"/>
        </w:rPr>
        <w:t>, item 2, section 81</w:t>
      </w:r>
      <w:r w:rsidRPr="00474FA0">
        <w:rPr>
          <w:rStyle w:val="Referencingstyle"/>
        </w:rPr>
        <w:noBreakHyphen/>
        <w:t>15]</w:t>
      </w:r>
    </w:p>
    <w:p w:rsidR="00483461" w:rsidRPr="00474FA0" w:rsidRDefault="00483461" w:rsidP="00DC00CE">
      <w:pPr>
        <w:pStyle w:val="base-text-paragraph"/>
        <w:numPr>
          <w:ilvl w:val="1"/>
          <w:numId w:val="21"/>
        </w:numPr>
      </w:pPr>
      <w:r w:rsidRPr="00474FA0">
        <w:t>The</w:t>
      </w:r>
      <w:r>
        <w:t>se</w:t>
      </w:r>
      <w:r w:rsidRPr="00474FA0">
        <w:t xml:space="preserve"> amendments have effect despite the operation of section</w:t>
      </w:r>
      <w:r>
        <w:t> </w:t>
      </w:r>
      <w:r w:rsidRPr="00474FA0">
        <w:t>9</w:t>
      </w:r>
      <w:r>
        <w:noBreakHyphen/>
      </w:r>
      <w:r w:rsidRPr="00474FA0">
        <w:t>15 which otherwise defines, for GST purposes, what constitutes consideration</w:t>
      </w:r>
      <w:r>
        <w:t xml:space="preserve">.  </w:t>
      </w:r>
      <w:r w:rsidRPr="00474FA0">
        <w:rPr>
          <w:rStyle w:val="Referencingstyle"/>
        </w:rPr>
        <w:t xml:space="preserve">[Schedule </w:t>
      </w:r>
      <w:r w:rsidR="00B52ACA">
        <w:rPr>
          <w:rStyle w:val="Referencingstyle"/>
        </w:rPr>
        <w:t>4</w:t>
      </w:r>
      <w:r w:rsidRPr="00474FA0">
        <w:rPr>
          <w:rStyle w:val="Referencingstyle"/>
        </w:rPr>
        <w:t>, item 2, section 81</w:t>
      </w:r>
      <w:r w:rsidRPr="00474FA0">
        <w:rPr>
          <w:rStyle w:val="Referencingstyle"/>
        </w:rPr>
        <w:noBreakHyphen/>
        <w:t>20]</w:t>
      </w:r>
    </w:p>
    <w:p w:rsidR="00483461" w:rsidRPr="00474FA0" w:rsidRDefault="00483461" w:rsidP="00DC00CE">
      <w:pPr>
        <w:pStyle w:val="base-text-paragraph"/>
        <w:numPr>
          <w:ilvl w:val="1"/>
          <w:numId w:val="21"/>
        </w:numPr>
      </w:pPr>
      <w:r w:rsidRPr="00474FA0">
        <w:t xml:space="preserve">Any regulations would be made through procedures agreed to by the Commonwealth and the </w:t>
      </w:r>
      <w:r>
        <w:t>s</w:t>
      </w:r>
      <w:r w:rsidRPr="00474FA0">
        <w:t xml:space="preserve">tates and </w:t>
      </w:r>
      <w:r>
        <w:t>t</w:t>
      </w:r>
      <w:r w:rsidRPr="00474FA0">
        <w:t xml:space="preserve">erritories, in accordance with the </w:t>
      </w:r>
      <w:r w:rsidRPr="00474FA0">
        <w:rPr>
          <w:i/>
        </w:rPr>
        <w:t>A</w:t>
      </w:r>
      <w:r>
        <w:rPr>
          <w:i/>
        </w:rPr>
        <w:t> </w:t>
      </w:r>
      <w:r w:rsidRPr="00474FA0">
        <w:rPr>
          <w:i/>
        </w:rPr>
        <w:t>New Tax System (Managing the GST Rate and Base) Act 1999</w:t>
      </w:r>
      <w:r>
        <w:t xml:space="preserve">.  </w:t>
      </w:r>
      <w:r w:rsidRPr="00474FA0">
        <w:t xml:space="preserve">The agreed procedures involve consultation and agreement between the </w:t>
      </w:r>
      <w:r w:rsidRPr="00474FA0">
        <w:lastRenderedPageBreak/>
        <w:t xml:space="preserve">Commonwealth and the </w:t>
      </w:r>
      <w:r>
        <w:t>s</w:t>
      </w:r>
      <w:r w:rsidRPr="00474FA0">
        <w:t xml:space="preserve">tates and </w:t>
      </w:r>
      <w:r>
        <w:t>t</w:t>
      </w:r>
      <w:r w:rsidRPr="00474FA0">
        <w:t>erritories on all changes made to the GST base, through the GST Administration Sub-Committee of the Ministerial Council for Federal Financial Relations</w:t>
      </w:r>
      <w:r>
        <w:t xml:space="preserve">.  </w:t>
      </w:r>
      <w:r w:rsidRPr="00474FA0">
        <w:t>Following consultation, any proposed regulation would require the unanimous agreement of the members of the Ministerial Council for Federal Financial Relations.</w:t>
      </w:r>
    </w:p>
    <w:p w:rsidR="00483461" w:rsidRPr="00474FA0" w:rsidRDefault="00483461" w:rsidP="00DC00CE">
      <w:pPr>
        <w:pStyle w:val="base-text-paragraph"/>
        <w:numPr>
          <w:ilvl w:val="1"/>
          <w:numId w:val="21"/>
        </w:numPr>
        <w:rPr>
          <w:rStyle w:val="Referencingstyle"/>
        </w:rPr>
      </w:pPr>
      <w:r w:rsidRPr="00474FA0">
        <w:t xml:space="preserve">The changes also allow for a regulation that is made under these amendments to be expressed as taking effect from a date before the regulations are registered under the </w:t>
      </w:r>
      <w:r w:rsidRPr="00474FA0">
        <w:rPr>
          <w:i/>
        </w:rPr>
        <w:t>Legislative Instruments Act 2003</w:t>
      </w:r>
      <w:r>
        <w:t xml:space="preserve">.  </w:t>
      </w:r>
      <w:r w:rsidRPr="00474FA0">
        <w:t>This is despite the operation of subsection 12(2) of that Act which otherwise limits the commencement date of regulations in certain circumstances</w:t>
      </w:r>
      <w:r>
        <w:t xml:space="preserve">.  </w:t>
      </w:r>
      <w:r w:rsidRPr="00474FA0">
        <w:t>This would for instance, allow for the desired GST treatment for a payment</w:t>
      </w:r>
      <w:r>
        <w:t>,</w:t>
      </w:r>
      <w:r w:rsidRPr="00474FA0">
        <w:t xml:space="preserve"> or discharging of the liability to make such </w:t>
      </w:r>
      <w:r>
        <w:t xml:space="preserve">a </w:t>
      </w:r>
      <w:r w:rsidRPr="00474FA0">
        <w:t>payment</w:t>
      </w:r>
      <w:r>
        <w:t>,</w:t>
      </w:r>
      <w:r w:rsidRPr="00474FA0">
        <w:t xml:space="preserve"> to be achieved where a new Australian tax or Australian fee or charge is imposed under an Australian law before regulations can be made to provide for the desired treatment</w:t>
      </w:r>
      <w:r>
        <w:t xml:space="preserve">.  </w:t>
      </w:r>
      <w:r w:rsidRPr="00474FA0">
        <w:rPr>
          <w:rStyle w:val="Referencingstyle"/>
        </w:rPr>
        <w:t xml:space="preserve">[Schedule </w:t>
      </w:r>
      <w:r w:rsidR="00B52ACA">
        <w:rPr>
          <w:rStyle w:val="Referencingstyle"/>
        </w:rPr>
        <w:t>4</w:t>
      </w:r>
      <w:r w:rsidRPr="00474FA0">
        <w:rPr>
          <w:rStyle w:val="Referencingstyle"/>
        </w:rPr>
        <w:t>, item 2, section 81-25]</w:t>
      </w:r>
    </w:p>
    <w:p w:rsidR="00483461" w:rsidRPr="00474FA0" w:rsidRDefault="00483461" w:rsidP="00483461">
      <w:pPr>
        <w:pStyle w:val="Heading2"/>
      </w:pPr>
      <w:r w:rsidRPr="00474FA0">
        <w:t>Application and transitional provisions</w:t>
      </w:r>
    </w:p>
    <w:p w:rsidR="00483461" w:rsidRPr="00474FA0" w:rsidRDefault="00483461" w:rsidP="00DC00CE">
      <w:pPr>
        <w:pStyle w:val="base-text-paragraph"/>
        <w:numPr>
          <w:ilvl w:val="1"/>
          <w:numId w:val="21"/>
        </w:numPr>
      </w:pPr>
      <w:r w:rsidRPr="00474FA0">
        <w:t>These amendments will apply in relation to Australian taxes or Australian fees or charges that are imposed under an Australian law on or after 1 July 2011.</w:t>
      </w:r>
    </w:p>
    <w:p w:rsidR="00483461" w:rsidRDefault="00483461" w:rsidP="00DC00CE">
      <w:pPr>
        <w:pStyle w:val="base-text-paragraph"/>
        <w:numPr>
          <w:ilvl w:val="1"/>
          <w:numId w:val="21"/>
        </w:numPr>
      </w:pPr>
      <w:r w:rsidRPr="00474FA0">
        <w:t xml:space="preserve">However, under these amendments, the </w:t>
      </w:r>
      <w:r w:rsidRPr="00474FA0">
        <w:rPr>
          <w:i/>
        </w:rPr>
        <w:t>A New Tax System (Goods and Services Tax)(Exempt taxes, fees and charges) Determination 2011 (No.</w:t>
      </w:r>
      <w:r>
        <w:rPr>
          <w:i/>
        </w:rPr>
        <w:t xml:space="preserve"> </w:t>
      </w:r>
      <w:r w:rsidRPr="00474FA0">
        <w:rPr>
          <w:i/>
        </w:rPr>
        <w:t>1)</w:t>
      </w:r>
      <w:r w:rsidRPr="00474FA0">
        <w:t xml:space="preserve"> which lists all Australian taxes, fees and charges that are not treated as consideration</w:t>
      </w:r>
      <w:r>
        <w:t>,</w:t>
      </w:r>
      <w:r w:rsidRPr="00474FA0">
        <w:t xml:space="preserve"> and thus supplies to which they relate are not subject to GST, is to be grandfathered for one year</w:t>
      </w:r>
      <w:r>
        <w:t xml:space="preserve">.  </w:t>
      </w:r>
      <w:r w:rsidRPr="00474FA0">
        <w:t>Thus, taxes, fees and charges that are imposed prior to 1 July 2012 and are currently listed in the Determination will not ‘be subject to GST’ for the transitional period (until 1 July 2012), after which any supplies to which they relate will be assessed against the provisions set out in these amendments.</w:t>
      </w:r>
      <w:r w:rsidR="0070090A">
        <w:t xml:space="preserve">  </w:t>
      </w:r>
      <w:r w:rsidR="0070090A" w:rsidRPr="0070090A">
        <w:rPr>
          <w:rStyle w:val="Referencingstyle"/>
        </w:rPr>
        <w:t>[Schedule 4, item 16]</w:t>
      </w:r>
    </w:p>
    <w:p w:rsidR="00483461" w:rsidRPr="00474FA0" w:rsidRDefault="00483461" w:rsidP="00DC00CE">
      <w:pPr>
        <w:pStyle w:val="base-text-paragraph"/>
        <w:numPr>
          <w:ilvl w:val="1"/>
          <w:numId w:val="21"/>
        </w:numPr>
      </w:pPr>
      <w:r w:rsidRPr="00474FA0">
        <w:t xml:space="preserve">This transitional arrangement will allow for Australian government agencies to reconcile the current taxes, fees and charges listed in the </w:t>
      </w:r>
      <w:r w:rsidRPr="00474FA0">
        <w:rPr>
          <w:i/>
        </w:rPr>
        <w:t>A New Tax System (Goods and Services Tax)(Exempt taxes, fees and charges) Determination 2011 (No.</w:t>
      </w:r>
      <w:r>
        <w:rPr>
          <w:i/>
        </w:rPr>
        <w:t xml:space="preserve"> </w:t>
      </w:r>
      <w:r w:rsidRPr="00474FA0">
        <w:rPr>
          <w:i/>
        </w:rPr>
        <w:t>1)</w:t>
      </w:r>
      <w:r w:rsidRPr="00474FA0">
        <w:t xml:space="preserve"> with these amendments</w:t>
      </w:r>
      <w:r>
        <w:t xml:space="preserve">.  </w:t>
      </w:r>
    </w:p>
    <w:p w:rsidR="00483461" w:rsidRPr="00474FA0" w:rsidRDefault="00483461" w:rsidP="00DC00CE">
      <w:pPr>
        <w:pStyle w:val="base-text-paragraph"/>
        <w:numPr>
          <w:ilvl w:val="1"/>
          <w:numId w:val="21"/>
        </w:numPr>
      </w:pPr>
      <w:r w:rsidRPr="00474FA0">
        <w:t xml:space="preserve">Any taxes, fees or charges that are currently listed in the </w:t>
      </w:r>
      <w:r w:rsidRPr="00474FA0">
        <w:rPr>
          <w:i/>
        </w:rPr>
        <w:t>A New Tax System (Goods and Services Tax)(Exempt taxes, fees and charges) Determination 2011 (No.</w:t>
      </w:r>
      <w:r>
        <w:rPr>
          <w:i/>
        </w:rPr>
        <w:t xml:space="preserve"> </w:t>
      </w:r>
      <w:r w:rsidRPr="00474FA0">
        <w:rPr>
          <w:i/>
        </w:rPr>
        <w:t>1)</w:t>
      </w:r>
      <w:r w:rsidRPr="00474FA0">
        <w:t xml:space="preserve"> that become subject to GST (in relation to a supply) under these amendments will attract GST if they are imposed under an Australian law on or after 1 July 2012 (provided they satisfy the </w:t>
      </w:r>
      <w:r w:rsidRPr="00474FA0">
        <w:lastRenderedPageBreak/>
        <w:t>requirements of section 9-5 of the GST Act and are not otherwise treated, by way of regulation, as not being subject to GST)</w:t>
      </w:r>
      <w:r>
        <w:t xml:space="preserve">.  </w:t>
      </w:r>
    </w:p>
    <w:p w:rsidR="00483461" w:rsidRPr="00474FA0" w:rsidRDefault="00483461" w:rsidP="00483461">
      <w:pPr>
        <w:pStyle w:val="Heading2"/>
      </w:pPr>
      <w:r w:rsidRPr="00474FA0">
        <w:t>Consequential amendments</w:t>
      </w:r>
    </w:p>
    <w:p w:rsidR="00483461" w:rsidRPr="00474FA0" w:rsidRDefault="00483461" w:rsidP="00DC00CE">
      <w:pPr>
        <w:pStyle w:val="base-text-paragraph"/>
        <w:numPr>
          <w:ilvl w:val="1"/>
          <w:numId w:val="21"/>
        </w:numPr>
      </w:pPr>
      <w:r w:rsidRPr="00474FA0">
        <w:t xml:space="preserve">As a consequence of the amendments under </w:t>
      </w:r>
      <w:r>
        <w:t xml:space="preserve">this </w:t>
      </w:r>
      <w:r w:rsidRPr="00474FA0">
        <w:t xml:space="preserve">Schedule </w:t>
      </w:r>
      <w:r w:rsidR="00B52ACA">
        <w:t>4</w:t>
      </w:r>
      <w:r w:rsidRPr="00474FA0">
        <w:t>:</w:t>
      </w:r>
    </w:p>
    <w:p w:rsidR="00483461" w:rsidRPr="00474FA0" w:rsidRDefault="00483461" w:rsidP="00483461">
      <w:pPr>
        <w:pStyle w:val="dotpoint"/>
      </w:pPr>
      <w:r>
        <w:t>S</w:t>
      </w:r>
      <w:r w:rsidRPr="00474FA0">
        <w:t>ubsection 82-10(3) of the GST Act</w:t>
      </w:r>
      <w:r>
        <w:t>,</w:t>
      </w:r>
      <w:r w:rsidRPr="00474FA0">
        <w:t xml:space="preserve"> which refers to the previous subsection 81-5(1)</w:t>
      </w:r>
      <w:r>
        <w:t>,</w:t>
      </w:r>
      <w:r w:rsidRPr="00474FA0">
        <w:t xml:space="preserve"> is amended to refer to the new provisions inserted by this Schedule </w:t>
      </w:r>
      <w:r w:rsidRPr="00474FA0">
        <w:rPr>
          <w:rStyle w:val="Referencingstyle"/>
        </w:rPr>
        <w:t xml:space="preserve">[Schedule </w:t>
      </w:r>
      <w:r w:rsidR="00B52ACA">
        <w:rPr>
          <w:rStyle w:val="Referencingstyle"/>
        </w:rPr>
        <w:t>4</w:t>
      </w:r>
      <w:r w:rsidRPr="00474FA0">
        <w:rPr>
          <w:rStyle w:val="Referencingstyle"/>
        </w:rPr>
        <w:t xml:space="preserve">, item </w:t>
      </w:r>
      <w:r w:rsidR="000F51C2">
        <w:rPr>
          <w:rStyle w:val="Referencingstyle"/>
        </w:rPr>
        <w:t>3</w:t>
      </w:r>
      <w:r w:rsidRPr="00474FA0">
        <w:rPr>
          <w:rStyle w:val="Referencingstyle"/>
        </w:rPr>
        <w:t>, subsection 82-10(3)]</w:t>
      </w:r>
      <w:r>
        <w:t>.</w:t>
      </w:r>
    </w:p>
    <w:p w:rsidR="00483461" w:rsidRPr="00474FA0" w:rsidRDefault="00483461" w:rsidP="00483461">
      <w:pPr>
        <w:pStyle w:val="dotpoint"/>
      </w:pPr>
      <w:r w:rsidRPr="00474FA0">
        <w:t>Subparagraph 117-5(1)(ba)(i) of the GST Act</w:t>
      </w:r>
      <w:r>
        <w:t>,</w:t>
      </w:r>
      <w:r w:rsidRPr="00474FA0">
        <w:t xml:space="preserve"> which refers to the previous subsection 81-5(2)</w:t>
      </w:r>
      <w:r>
        <w:t>,</w:t>
      </w:r>
      <w:r w:rsidRPr="00474FA0">
        <w:t xml:space="preserve"> is amended to refer to the new provisions inserted by this Schedule </w:t>
      </w:r>
      <w:r w:rsidRPr="00474FA0">
        <w:rPr>
          <w:rStyle w:val="Referencingstyle"/>
        </w:rPr>
        <w:t xml:space="preserve">[Schedule </w:t>
      </w:r>
      <w:r w:rsidR="00B52ACA">
        <w:rPr>
          <w:rStyle w:val="Referencingstyle"/>
        </w:rPr>
        <w:t>4</w:t>
      </w:r>
      <w:r w:rsidRPr="00474FA0">
        <w:rPr>
          <w:rStyle w:val="Referencingstyle"/>
        </w:rPr>
        <w:t xml:space="preserve">, item </w:t>
      </w:r>
      <w:r w:rsidR="000F51C2">
        <w:rPr>
          <w:rStyle w:val="Referencingstyle"/>
        </w:rPr>
        <w:t>4</w:t>
      </w:r>
      <w:r w:rsidRPr="00474FA0">
        <w:rPr>
          <w:rStyle w:val="Referencingstyle"/>
        </w:rPr>
        <w:t>, subparagraph 117-5(1)(ba)(i)]</w:t>
      </w:r>
      <w:r w:rsidRPr="00670B9B">
        <w:rPr>
          <w:i/>
        </w:rPr>
        <w:t>.</w:t>
      </w:r>
    </w:p>
    <w:p w:rsidR="00483461" w:rsidRPr="00474FA0" w:rsidRDefault="00483461" w:rsidP="00483461">
      <w:pPr>
        <w:pStyle w:val="dotpoint"/>
      </w:pPr>
      <w:r w:rsidRPr="00474FA0">
        <w:t>The definition of ‘Australian tax, fee or charge’ has been repealed from section 195-1 of the GST Act</w:t>
      </w:r>
      <w:r>
        <w:t xml:space="preserve">.  </w:t>
      </w:r>
      <w:r w:rsidRPr="00474FA0">
        <w:t>Definitions for ‘Australian tax’ and for ‘Australian fee and charge’ have been inserted into section 195-1 of the GST Act</w:t>
      </w:r>
      <w:r w:rsidR="000F51C2">
        <w:t xml:space="preserve"> and references to the previous definition have been amended to refer to the new definitions</w:t>
      </w:r>
      <w:r>
        <w:t xml:space="preserve">.  </w:t>
      </w:r>
      <w:r w:rsidRPr="00474FA0">
        <w:t>Consequentially, previous references to the former definition have been amended to make reference to the new definitions in section 27-1, paragraph 5-20(1)(b) and paragraph</w:t>
      </w:r>
      <w:r>
        <w:t> </w:t>
      </w:r>
      <w:r w:rsidRPr="00474FA0">
        <w:t>5</w:t>
      </w:r>
      <w:r w:rsidRPr="00474FA0">
        <w:noBreakHyphen/>
        <w:t xml:space="preserve">20(6)(b) of the </w:t>
      </w:r>
      <w:r w:rsidRPr="0093495C">
        <w:rPr>
          <w:i/>
        </w:rPr>
        <w:t>A New Tax System (Luxury Car Tax) Act 1999</w:t>
      </w:r>
      <w:r w:rsidRPr="00474FA0">
        <w:t xml:space="preserve"> </w:t>
      </w:r>
      <w:r w:rsidRPr="0093495C">
        <w:rPr>
          <w:rStyle w:val="Referencingstyle"/>
        </w:rPr>
        <w:t xml:space="preserve">[Schedule </w:t>
      </w:r>
      <w:r w:rsidR="00B52ACA">
        <w:rPr>
          <w:rStyle w:val="Referencingstyle"/>
        </w:rPr>
        <w:t>4</w:t>
      </w:r>
      <w:r w:rsidRPr="0093495C">
        <w:rPr>
          <w:rStyle w:val="Referencingstyle"/>
        </w:rPr>
        <w:t xml:space="preserve">, items </w:t>
      </w:r>
      <w:r w:rsidR="000F51C2">
        <w:rPr>
          <w:rStyle w:val="Referencingstyle"/>
        </w:rPr>
        <w:t>5 to 8, section 195-1, GST Act; items 11 to 13</w:t>
      </w:r>
      <w:r w:rsidRPr="0093495C">
        <w:rPr>
          <w:rStyle w:val="Referencingstyle"/>
        </w:rPr>
        <w:t>, section 27</w:t>
      </w:r>
      <w:r w:rsidRPr="0093495C">
        <w:rPr>
          <w:rStyle w:val="Referencingstyle"/>
        </w:rPr>
        <w:noBreakHyphen/>
        <w:t>1, paragraphs 5</w:t>
      </w:r>
      <w:r w:rsidR="005E2E1E">
        <w:rPr>
          <w:rStyle w:val="Referencingstyle"/>
        </w:rPr>
        <w:noBreakHyphen/>
      </w:r>
      <w:r w:rsidRPr="0093495C">
        <w:rPr>
          <w:rStyle w:val="Referencingstyle"/>
        </w:rPr>
        <w:t>20(1)(b) and 5-20(6)(b) of the A New Tax System (Luxury Car Tax) Act</w:t>
      </w:r>
      <w:r w:rsidR="005E2E1E">
        <w:rPr>
          <w:rStyle w:val="Referencingstyle"/>
        </w:rPr>
        <w:t> </w:t>
      </w:r>
      <w:r w:rsidRPr="0093495C">
        <w:rPr>
          <w:rStyle w:val="Referencingstyle"/>
        </w:rPr>
        <w:t>1999]</w:t>
      </w:r>
      <w:r w:rsidRPr="00670B9B">
        <w:rPr>
          <w:rStyle w:val="Referencingstyle"/>
          <w:b w:val="0"/>
          <w:i w:val="0"/>
          <w:sz w:val="22"/>
        </w:rPr>
        <w:t>.</w:t>
      </w:r>
    </w:p>
    <w:p w:rsidR="00483461" w:rsidRPr="00474FA0" w:rsidRDefault="00483461" w:rsidP="00483461">
      <w:pPr>
        <w:pStyle w:val="dotpoint"/>
      </w:pPr>
      <w:r w:rsidRPr="00474FA0">
        <w:t>A reference to the previous provisions repealed by this Schedule in section 195-1 (note at the end of the definition of ‘taxable supply’) and in section 195-1 (note at the end of the definition of ‘connected with Australia’) has been removed</w:t>
      </w:r>
      <w:r w:rsidRPr="00474FA0">
        <w:rPr>
          <w:i/>
        </w:rPr>
        <w:t xml:space="preserve"> </w:t>
      </w:r>
      <w:r w:rsidRPr="00474FA0">
        <w:rPr>
          <w:rStyle w:val="Referencingstyle"/>
        </w:rPr>
        <w:t xml:space="preserve">[Schedule </w:t>
      </w:r>
      <w:r w:rsidR="00B52ACA">
        <w:rPr>
          <w:rStyle w:val="Referencingstyle"/>
        </w:rPr>
        <w:t>4</w:t>
      </w:r>
      <w:r w:rsidRPr="00474FA0">
        <w:rPr>
          <w:rStyle w:val="Referencingstyle"/>
        </w:rPr>
        <w:t xml:space="preserve">, item </w:t>
      </w:r>
      <w:r w:rsidR="000F51C2">
        <w:rPr>
          <w:rStyle w:val="Referencingstyle"/>
        </w:rPr>
        <w:t>10</w:t>
      </w:r>
      <w:r w:rsidRPr="00474FA0">
        <w:rPr>
          <w:rStyle w:val="Referencingstyle"/>
        </w:rPr>
        <w:t>, section 195-1]</w:t>
      </w:r>
      <w:r w:rsidRPr="00670B9B">
        <w:rPr>
          <w:rStyle w:val="Referencingstyle"/>
          <w:b w:val="0"/>
          <w:i w:val="0"/>
          <w:sz w:val="22"/>
        </w:rPr>
        <w:t>.</w:t>
      </w:r>
    </w:p>
    <w:p w:rsidR="00483461" w:rsidRDefault="00483461" w:rsidP="00483461">
      <w:pPr>
        <w:pStyle w:val="dotpoint"/>
        <w:rPr>
          <w:rStyle w:val="Referencingstyle"/>
          <w:b w:val="0"/>
          <w:i w:val="0"/>
          <w:sz w:val="22"/>
        </w:rPr>
      </w:pPr>
      <w:r w:rsidRPr="00474FA0">
        <w:t>A reference to the previous provisions repealed by this Schedule in section 195-1 (note at the end of the definition of ‘consideration’) has been amended to refer to the new provisions inserted by this Schedule</w:t>
      </w:r>
      <w:r>
        <w:t xml:space="preserve"> </w:t>
      </w:r>
      <w:r w:rsidRPr="00474FA0">
        <w:rPr>
          <w:rStyle w:val="Referencingstyle"/>
        </w:rPr>
        <w:t xml:space="preserve">[Schedule </w:t>
      </w:r>
      <w:r w:rsidR="00B52ACA">
        <w:rPr>
          <w:rStyle w:val="Referencingstyle"/>
        </w:rPr>
        <w:t>4</w:t>
      </w:r>
      <w:r w:rsidRPr="00474FA0">
        <w:rPr>
          <w:rStyle w:val="Referencingstyle"/>
        </w:rPr>
        <w:t xml:space="preserve">, item </w:t>
      </w:r>
      <w:r w:rsidR="00C44703">
        <w:rPr>
          <w:rStyle w:val="Referencingstyle"/>
        </w:rPr>
        <w:t>9</w:t>
      </w:r>
      <w:r w:rsidRPr="00474FA0">
        <w:rPr>
          <w:rStyle w:val="Referencingstyle"/>
        </w:rPr>
        <w:t>, section 195-1]</w:t>
      </w:r>
      <w:r w:rsidRPr="00670B9B">
        <w:rPr>
          <w:rStyle w:val="Referencingstyle"/>
          <w:b w:val="0"/>
          <w:i w:val="0"/>
          <w:sz w:val="22"/>
        </w:rPr>
        <w:t>.</w:t>
      </w:r>
    </w:p>
    <w:p w:rsidR="00C44703" w:rsidRPr="00F627A3" w:rsidRDefault="00C44703" w:rsidP="00483461">
      <w:pPr>
        <w:pStyle w:val="dotpoint"/>
        <w:rPr>
          <w:rStyle w:val="Referencingstyle"/>
          <w:b w:val="0"/>
          <w:i w:val="0"/>
          <w:sz w:val="22"/>
        </w:rPr>
      </w:pPr>
      <w:r>
        <w:rPr>
          <w:rStyle w:val="Referencingstyle"/>
          <w:b w:val="0"/>
          <w:i w:val="0"/>
          <w:sz w:val="22"/>
        </w:rPr>
        <w:t xml:space="preserve">A reference to the previous provisions repealed by this Schedule in subparagraph 13-20(2)(ba)(i) was amended to </w:t>
      </w:r>
      <w:r>
        <w:rPr>
          <w:rStyle w:val="Referencingstyle"/>
          <w:b w:val="0"/>
          <w:i w:val="0"/>
          <w:sz w:val="22"/>
        </w:rPr>
        <w:lastRenderedPageBreak/>
        <w:t xml:space="preserve">refer to the new provisions inserted by this Schedule </w:t>
      </w:r>
      <w:r w:rsidRPr="00C44703">
        <w:rPr>
          <w:rStyle w:val="Referencingstyle"/>
        </w:rPr>
        <w:t>[Schedule</w:t>
      </w:r>
      <w:r>
        <w:rPr>
          <w:rStyle w:val="Referencingstyle"/>
        </w:rPr>
        <w:t> </w:t>
      </w:r>
      <w:r w:rsidRPr="00C44703">
        <w:rPr>
          <w:rStyle w:val="Referencingstyle"/>
        </w:rPr>
        <w:t>4, item 1, subparagraph 13-20(2)(ba)(i)]</w:t>
      </w:r>
      <w:r w:rsidR="00F627A3" w:rsidRPr="00F627A3">
        <w:rPr>
          <w:rStyle w:val="Referencingstyle"/>
          <w:b w:val="0"/>
          <w:i w:val="0"/>
          <w:sz w:val="22"/>
        </w:rPr>
        <w:t>.</w:t>
      </w:r>
    </w:p>
    <w:p w:rsidR="00F627A3" w:rsidRDefault="00F627A3" w:rsidP="00483461">
      <w:pPr>
        <w:pStyle w:val="dotpoint"/>
        <w:rPr>
          <w:rStyle w:val="Referencingstyle"/>
          <w:b w:val="0"/>
          <w:i w:val="0"/>
          <w:sz w:val="22"/>
        </w:rPr>
      </w:pPr>
      <w:r>
        <w:rPr>
          <w:rStyle w:val="Referencingstyle"/>
          <w:b w:val="0"/>
          <w:i w:val="0"/>
          <w:sz w:val="22"/>
        </w:rPr>
        <w:t xml:space="preserve">The note in the previous section 81-1 has been amended to reflect the new provisions inserted by this Schedule </w:t>
      </w:r>
      <w:r w:rsidRPr="00F627A3">
        <w:rPr>
          <w:rStyle w:val="Referencingstyle"/>
        </w:rPr>
        <w:t>[Schedule</w:t>
      </w:r>
      <w:r>
        <w:rPr>
          <w:rStyle w:val="Referencingstyle"/>
        </w:rPr>
        <w:t> </w:t>
      </w:r>
      <w:r w:rsidRPr="00F627A3">
        <w:rPr>
          <w:rStyle w:val="Referencingstyle"/>
        </w:rPr>
        <w:t>4, item 2, section 81-1]</w:t>
      </w:r>
      <w:r w:rsidRPr="00F627A3">
        <w:rPr>
          <w:rStyle w:val="Referencingstyle"/>
          <w:b w:val="0"/>
          <w:i w:val="0"/>
          <w:sz w:val="22"/>
        </w:rPr>
        <w:t>.</w:t>
      </w:r>
    </w:p>
    <w:p w:rsidR="00C44703" w:rsidRDefault="00C44703" w:rsidP="00670B9B">
      <w:pPr>
        <w:pStyle w:val="dotpoint"/>
        <w:numPr>
          <w:ilvl w:val="0"/>
          <w:numId w:val="0"/>
        </w:numPr>
        <w:ind w:left="2268"/>
      </w:pPr>
    </w:p>
    <w:p w:rsidR="00C44703" w:rsidRDefault="00C44703" w:rsidP="00670B9B">
      <w:pPr>
        <w:pStyle w:val="dotpoint"/>
        <w:numPr>
          <w:ilvl w:val="0"/>
          <w:numId w:val="0"/>
        </w:numPr>
        <w:ind w:left="2268"/>
        <w:sectPr w:rsidR="00C44703" w:rsidSect="00483461">
          <w:headerReference w:type="even" r:id="rId43"/>
          <w:headerReference w:type="default" r:id="rId44"/>
          <w:footerReference w:type="even" r:id="rId45"/>
          <w:footerReference w:type="default" r:id="rId46"/>
          <w:footerReference w:type="first" r:id="rId47"/>
          <w:type w:val="oddPage"/>
          <w:pgSz w:w="11906" w:h="16838" w:code="9"/>
          <w:pgMar w:top="2466" w:right="2098" w:bottom="2466" w:left="2098" w:header="1559" w:footer="1899" w:gutter="0"/>
          <w:cols w:space="708"/>
          <w:titlePg/>
          <w:docGrid w:linePitch="360"/>
        </w:sectPr>
      </w:pPr>
    </w:p>
    <w:p w:rsidR="00325E95" w:rsidRPr="00076679" w:rsidRDefault="00325E95" w:rsidP="00DC00CE">
      <w:pPr>
        <w:pStyle w:val="ChapterHeading"/>
        <w:numPr>
          <w:ilvl w:val="0"/>
          <w:numId w:val="21"/>
        </w:numPr>
      </w:pPr>
      <w:bookmarkStart w:id="9" w:name="_Toc469372264"/>
      <w:r w:rsidRPr="00076679">
        <w:lastRenderedPageBreak/>
        <w:br/>
      </w:r>
      <w:bookmarkStart w:id="10" w:name="_Toc288643038"/>
      <w:r w:rsidRPr="00076679">
        <w:t>Miscellaneous amendments</w:t>
      </w:r>
      <w:bookmarkEnd w:id="10"/>
    </w:p>
    <w:p w:rsidR="00325E95" w:rsidRPr="00F53555" w:rsidRDefault="00325E95" w:rsidP="007D3360">
      <w:pPr>
        <w:pStyle w:val="Heading2"/>
      </w:pPr>
      <w:r w:rsidRPr="00F53555">
        <w:t>Outline of chapter</w:t>
      </w:r>
      <w:bookmarkEnd w:id="9"/>
    </w:p>
    <w:p w:rsidR="00325E95" w:rsidRPr="00F53555" w:rsidRDefault="00F013F8" w:rsidP="00DC00CE">
      <w:pPr>
        <w:pStyle w:val="base-text-paragraph"/>
        <w:numPr>
          <w:ilvl w:val="1"/>
          <w:numId w:val="21"/>
        </w:numPr>
      </w:pPr>
      <w:r>
        <w:t>Schedule 5</w:t>
      </w:r>
      <w:r w:rsidR="00325E95">
        <w:t xml:space="preserve"> </w:t>
      </w:r>
      <w:r w:rsidR="00325E95" w:rsidRPr="00F53555">
        <w:t xml:space="preserve">makes various </w:t>
      </w:r>
      <w:r w:rsidR="00325E95">
        <w:t>miscellaneous</w:t>
      </w:r>
      <w:r w:rsidR="00325E95" w:rsidRPr="00F53555">
        <w:t xml:space="preserve"> amendments to the taxation laws.</w:t>
      </w:r>
    </w:p>
    <w:p w:rsidR="00325E95" w:rsidRPr="00F53555" w:rsidRDefault="00325E95" w:rsidP="007D3360">
      <w:pPr>
        <w:pStyle w:val="Heading2"/>
      </w:pPr>
      <w:bookmarkStart w:id="11" w:name="_Toc469372265"/>
      <w:r w:rsidRPr="00F53555">
        <w:t xml:space="preserve">Context of </w:t>
      </w:r>
      <w:bookmarkEnd w:id="11"/>
      <w:r w:rsidRPr="00F53555">
        <w:t>amendments</w:t>
      </w:r>
    </w:p>
    <w:p w:rsidR="00325E95" w:rsidRDefault="00325E95" w:rsidP="00DC00CE">
      <w:pPr>
        <w:pStyle w:val="base-text-paragraph"/>
        <w:numPr>
          <w:ilvl w:val="1"/>
          <w:numId w:val="21"/>
        </w:numPr>
      </w:pPr>
      <w:r w:rsidRPr="00F53555">
        <w:t>The</w:t>
      </w:r>
      <w:r>
        <w:t>se</w:t>
      </w:r>
      <w:r w:rsidRPr="00F53555">
        <w:t xml:space="preserve"> amendments seek to ensure the ta</w:t>
      </w:r>
      <w:r>
        <w:t>xation law operates as intended</w:t>
      </w:r>
      <w:r w:rsidRPr="00F53555">
        <w:t xml:space="preserve"> by correcting technical or drafting defects, removing anomalies</w:t>
      </w:r>
      <w:r>
        <w:t>,</w:t>
      </w:r>
      <w:r w:rsidRPr="00F53555">
        <w:t xml:space="preserve"> and addressing unintended outcomes</w:t>
      </w:r>
      <w:r>
        <w:t xml:space="preserve">.  </w:t>
      </w:r>
      <w:r w:rsidRPr="00F53555">
        <w:t xml:space="preserve">The </w:t>
      </w:r>
      <w:r>
        <w:t>miscellaneous</w:t>
      </w:r>
      <w:r w:rsidRPr="00F53555">
        <w:t xml:space="preserve"> amendments are part of the Government’s commitment to the care and maintenance of the taxation laws.</w:t>
      </w:r>
    </w:p>
    <w:p w:rsidR="00325E95" w:rsidRPr="00F53555" w:rsidRDefault="00325E95" w:rsidP="00DC00CE">
      <w:pPr>
        <w:pStyle w:val="base-text-paragraph"/>
        <w:numPr>
          <w:ilvl w:val="1"/>
          <w:numId w:val="21"/>
        </w:numPr>
      </w:pPr>
      <w:r>
        <w:t>Miscellaneous</w:t>
      </w:r>
      <w:r w:rsidRPr="00F53555">
        <w:t xml:space="preserve"> amendment packages include addressing issues raised through the Tax Issues Entry System (TIES)</w:t>
      </w:r>
      <w:r>
        <w:t xml:space="preserve">.  </w:t>
      </w:r>
      <w:r w:rsidRPr="00F53555">
        <w:t>The TIES website (</w:t>
      </w:r>
      <w:r w:rsidRPr="00F77F19">
        <w:rPr>
          <w:u w:val="single"/>
        </w:rPr>
        <w:t>www.ties.gov.au</w:t>
      </w:r>
      <w:r w:rsidRPr="00F53555">
        <w:t xml:space="preserve">), which the Australian Taxation Office </w:t>
      </w:r>
      <w:r>
        <w:t xml:space="preserve">(ATO) </w:t>
      </w:r>
      <w:r w:rsidRPr="00F53555">
        <w:t xml:space="preserve">and Treasury jointly operate, provides a </w:t>
      </w:r>
      <w:r>
        <w:t>way</w:t>
      </w:r>
      <w:r w:rsidRPr="00F53555">
        <w:t xml:space="preserve"> for tax professionals and the general public to raise issues relating to the care and maintenance of the tax system</w:t>
      </w:r>
      <w:r>
        <w:t xml:space="preserve">.  </w:t>
      </w:r>
      <w:r w:rsidRPr="00F53555">
        <w:t>The relevant part</w:t>
      </w:r>
      <w:r>
        <w:t>s</w:t>
      </w:r>
      <w:r w:rsidRPr="00F53555">
        <w:t xml:space="preserve"> of the explanatory memorandum identif</w:t>
      </w:r>
      <w:r>
        <w:t xml:space="preserve">y </w:t>
      </w:r>
      <w:r w:rsidRPr="00F53555">
        <w:t>TIES issues.</w:t>
      </w:r>
    </w:p>
    <w:p w:rsidR="00325E95" w:rsidRPr="00F53555" w:rsidRDefault="00325E95" w:rsidP="007D3360">
      <w:pPr>
        <w:pStyle w:val="Heading2"/>
      </w:pPr>
      <w:bookmarkStart w:id="12" w:name="_Toc469372266"/>
      <w:r w:rsidRPr="00F53555">
        <w:t>Summary of new law</w:t>
      </w:r>
      <w:bookmarkEnd w:id="12"/>
    </w:p>
    <w:p w:rsidR="00325E95" w:rsidRPr="00F53555" w:rsidRDefault="00325E95" w:rsidP="00DC00CE">
      <w:pPr>
        <w:pStyle w:val="base-text-paragraph"/>
        <w:numPr>
          <w:ilvl w:val="1"/>
          <w:numId w:val="21"/>
        </w:numPr>
      </w:pPr>
      <w:r w:rsidRPr="00F53555">
        <w:t xml:space="preserve">The issues these </w:t>
      </w:r>
      <w:r>
        <w:t xml:space="preserve">miscellaneous </w:t>
      </w:r>
      <w:r w:rsidRPr="00F53555">
        <w:t>amendments deal with include:</w:t>
      </w:r>
    </w:p>
    <w:p w:rsidR="00325E95" w:rsidRDefault="00325E95" w:rsidP="007D3360">
      <w:pPr>
        <w:pStyle w:val="dotpoint"/>
      </w:pPr>
      <w:r>
        <w:t>correcting grammatical, referencing and asterisking errors;</w:t>
      </w:r>
    </w:p>
    <w:p w:rsidR="00325E95" w:rsidRDefault="00325E95" w:rsidP="007D3360">
      <w:pPr>
        <w:pStyle w:val="dotpoint"/>
      </w:pPr>
      <w:r w:rsidRPr="00F53555">
        <w:t xml:space="preserve">ensuring </w:t>
      </w:r>
      <w:r>
        <w:t xml:space="preserve">that </w:t>
      </w:r>
      <w:r w:rsidRPr="00F53555">
        <w:t>provisions are consistent with the original policy intent</w:t>
      </w:r>
      <w:r>
        <w:t>; and</w:t>
      </w:r>
    </w:p>
    <w:p w:rsidR="00325E95" w:rsidRDefault="00325E95" w:rsidP="007D3360">
      <w:pPr>
        <w:pStyle w:val="dotpoint"/>
      </w:pPr>
      <w:r w:rsidRPr="00F53555">
        <w:t xml:space="preserve">repealing inoperative </w:t>
      </w:r>
      <w:r>
        <w:t>provisions.</w:t>
      </w:r>
    </w:p>
    <w:p w:rsidR="00325E95" w:rsidRDefault="00325E95" w:rsidP="00DC00CE">
      <w:pPr>
        <w:pStyle w:val="base-text-paragraph"/>
        <w:numPr>
          <w:ilvl w:val="1"/>
          <w:numId w:val="21"/>
        </w:numPr>
        <w:spacing w:after="240"/>
      </w:pPr>
      <w:r>
        <w:t>The table below lists the titles of the various parts of this Schedule.</w:t>
      </w:r>
    </w:p>
    <w:tbl>
      <w:tblPr>
        <w:tblW w:w="711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3"/>
        <w:gridCol w:w="5812"/>
      </w:tblGrid>
      <w:tr w:rsidR="00325E95" w:rsidTr="007D3360">
        <w:trPr>
          <w:tblHeader/>
        </w:trPr>
        <w:tc>
          <w:tcPr>
            <w:tcW w:w="1303" w:type="dxa"/>
          </w:tcPr>
          <w:p w:rsidR="00325E95" w:rsidRDefault="00325E95" w:rsidP="007D3360">
            <w:pPr>
              <w:pStyle w:val="tableheaderwithintable"/>
              <w:keepLines/>
            </w:pPr>
            <w:r>
              <w:lastRenderedPageBreak/>
              <w:t>Part</w:t>
            </w:r>
          </w:p>
        </w:tc>
        <w:tc>
          <w:tcPr>
            <w:tcW w:w="5812" w:type="dxa"/>
          </w:tcPr>
          <w:p w:rsidR="00325E95" w:rsidRDefault="00325E95" w:rsidP="007D3360">
            <w:pPr>
              <w:pStyle w:val="tableheaderwithintable"/>
              <w:keepLines/>
            </w:pPr>
            <w:r>
              <w:t>Title</w:t>
            </w:r>
          </w:p>
        </w:tc>
      </w:tr>
      <w:tr w:rsidR="00325E95" w:rsidTr="007D3360">
        <w:tc>
          <w:tcPr>
            <w:tcW w:w="1303" w:type="dxa"/>
          </w:tcPr>
          <w:p w:rsidR="00325E95" w:rsidRDefault="00325E95" w:rsidP="007D3360">
            <w:pPr>
              <w:pStyle w:val="tabletext"/>
              <w:keepNext/>
              <w:keepLines/>
            </w:pPr>
            <w:r>
              <w:t>1</w:t>
            </w:r>
          </w:p>
        </w:tc>
        <w:tc>
          <w:tcPr>
            <w:tcW w:w="5812" w:type="dxa"/>
          </w:tcPr>
          <w:p w:rsidR="00325E95" w:rsidRPr="008A3E1C" w:rsidRDefault="00325E95" w:rsidP="007D3360">
            <w:pPr>
              <w:pStyle w:val="tabletext"/>
              <w:keepNext/>
              <w:keepLines/>
              <w:rPr>
                <w:i/>
              </w:rPr>
            </w:pPr>
            <w:r w:rsidRPr="008A3E1C">
              <w:rPr>
                <w:i/>
              </w:rPr>
              <w:t>A New Tax System (Goods and Services Tax) Act 1999</w:t>
            </w:r>
          </w:p>
        </w:tc>
      </w:tr>
      <w:tr w:rsidR="00325E95" w:rsidTr="007D3360">
        <w:tc>
          <w:tcPr>
            <w:tcW w:w="1303" w:type="dxa"/>
          </w:tcPr>
          <w:p w:rsidR="00325E95" w:rsidRDefault="00325E95" w:rsidP="007D3360">
            <w:pPr>
              <w:pStyle w:val="tabletext"/>
            </w:pPr>
            <w:r>
              <w:t>2</w:t>
            </w:r>
          </w:p>
        </w:tc>
        <w:tc>
          <w:tcPr>
            <w:tcW w:w="5812" w:type="dxa"/>
          </w:tcPr>
          <w:p w:rsidR="00325E95" w:rsidRPr="00D1606C" w:rsidRDefault="00325E95" w:rsidP="007D3360">
            <w:pPr>
              <w:pStyle w:val="tabletext"/>
            </w:pPr>
            <w:r w:rsidRPr="00D1606C">
              <w:t>Approved worker entitlement funds</w:t>
            </w:r>
          </w:p>
        </w:tc>
      </w:tr>
      <w:tr w:rsidR="00325E95" w:rsidTr="007D3360">
        <w:tc>
          <w:tcPr>
            <w:tcW w:w="1303" w:type="dxa"/>
          </w:tcPr>
          <w:p w:rsidR="00325E95" w:rsidRDefault="00325E95" w:rsidP="007D3360">
            <w:pPr>
              <w:pStyle w:val="tabletext"/>
            </w:pPr>
            <w:r>
              <w:t>3</w:t>
            </w:r>
          </w:p>
        </w:tc>
        <w:tc>
          <w:tcPr>
            <w:tcW w:w="5812" w:type="dxa"/>
          </w:tcPr>
          <w:p w:rsidR="00325E95" w:rsidRPr="00D1606C" w:rsidRDefault="00325E95" w:rsidP="007D3360">
            <w:pPr>
              <w:pStyle w:val="tabletext"/>
            </w:pPr>
            <w:r w:rsidRPr="00D1606C">
              <w:t xml:space="preserve">Confidentiality of taxpayer </w:t>
            </w:r>
            <w:r>
              <w:t>i</w:t>
            </w:r>
            <w:r w:rsidRPr="00D1606C">
              <w:t>nformation</w:t>
            </w:r>
          </w:p>
        </w:tc>
      </w:tr>
      <w:tr w:rsidR="00325E95" w:rsidTr="007D3360">
        <w:tc>
          <w:tcPr>
            <w:tcW w:w="1303" w:type="dxa"/>
          </w:tcPr>
          <w:p w:rsidR="00325E95" w:rsidRDefault="00325E95" w:rsidP="007D3360">
            <w:pPr>
              <w:pStyle w:val="tabletext"/>
            </w:pPr>
            <w:r>
              <w:t>4</w:t>
            </w:r>
          </w:p>
        </w:tc>
        <w:tc>
          <w:tcPr>
            <w:tcW w:w="5812" w:type="dxa"/>
          </w:tcPr>
          <w:p w:rsidR="00325E95" w:rsidRPr="00D1606C" w:rsidRDefault="00325E95" w:rsidP="007D3360">
            <w:pPr>
              <w:pStyle w:val="tabletext"/>
            </w:pPr>
            <w:r w:rsidRPr="00D1606C">
              <w:t>Employee share schemes</w:t>
            </w:r>
          </w:p>
        </w:tc>
      </w:tr>
      <w:tr w:rsidR="00325E95" w:rsidTr="007D3360">
        <w:tc>
          <w:tcPr>
            <w:tcW w:w="1303" w:type="dxa"/>
          </w:tcPr>
          <w:p w:rsidR="00325E95" w:rsidRDefault="00325E95" w:rsidP="007D3360">
            <w:pPr>
              <w:pStyle w:val="tabletext"/>
            </w:pPr>
            <w:r>
              <w:t>5</w:t>
            </w:r>
          </w:p>
        </w:tc>
        <w:tc>
          <w:tcPr>
            <w:tcW w:w="5812" w:type="dxa"/>
          </w:tcPr>
          <w:p w:rsidR="00325E95" w:rsidRPr="00D1606C" w:rsidRDefault="00325E95" w:rsidP="007D3360">
            <w:pPr>
              <w:pStyle w:val="tabletext"/>
            </w:pPr>
            <w:r w:rsidRPr="00D1606C">
              <w:t>General interest charge</w:t>
            </w:r>
          </w:p>
        </w:tc>
      </w:tr>
      <w:tr w:rsidR="00325E95" w:rsidTr="007D3360">
        <w:tc>
          <w:tcPr>
            <w:tcW w:w="1303" w:type="dxa"/>
          </w:tcPr>
          <w:p w:rsidR="00325E95" w:rsidRDefault="00325E95" w:rsidP="007D3360">
            <w:pPr>
              <w:pStyle w:val="tabletext"/>
            </w:pPr>
            <w:r>
              <w:t>6</w:t>
            </w:r>
          </w:p>
        </w:tc>
        <w:tc>
          <w:tcPr>
            <w:tcW w:w="5812" w:type="dxa"/>
          </w:tcPr>
          <w:p w:rsidR="00325E95" w:rsidRPr="00D1606C" w:rsidRDefault="00325E95" w:rsidP="007D3360">
            <w:pPr>
              <w:pStyle w:val="tabletext"/>
            </w:pPr>
            <w:r>
              <w:t>Deductible gift recipients</w:t>
            </w:r>
          </w:p>
        </w:tc>
      </w:tr>
      <w:tr w:rsidR="00325E95" w:rsidTr="007D3360">
        <w:tc>
          <w:tcPr>
            <w:tcW w:w="1303" w:type="dxa"/>
          </w:tcPr>
          <w:p w:rsidR="00325E95" w:rsidRDefault="00325E95" w:rsidP="007D3360">
            <w:pPr>
              <w:pStyle w:val="tabletext"/>
            </w:pPr>
            <w:r>
              <w:t>7</w:t>
            </w:r>
          </w:p>
        </w:tc>
        <w:tc>
          <w:tcPr>
            <w:tcW w:w="5812" w:type="dxa"/>
          </w:tcPr>
          <w:p w:rsidR="00325E95" w:rsidRDefault="00093C54" w:rsidP="007D3360">
            <w:pPr>
              <w:pStyle w:val="tabletext"/>
            </w:pPr>
            <w:r>
              <w:t xml:space="preserve">Section 23AB of the </w:t>
            </w:r>
            <w:r w:rsidRPr="00093C54">
              <w:rPr>
                <w:i/>
              </w:rPr>
              <w:t>Income Tax Assessment Act 1936</w:t>
            </w:r>
          </w:p>
        </w:tc>
      </w:tr>
      <w:tr w:rsidR="00325E95" w:rsidTr="007D3360">
        <w:tc>
          <w:tcPr>
            <w:tcW w:w="1303" w:type="dxa"/>
          </w:tcPr>
          <w:p w:rsidR="00325E95" w:rsidRDefault="00325E95" w:rsidP="007D3360">
            <w:pPr>
              <w:pStyle w:val="tabletext"/>
            </w:pPr>
            <w:r>
              <w:t>8</w:t>
            </w:r>
          </w:p>
        </w:tc>
        <w:tc>
          <w:tcPr>
            <w:tcW w:w="5812" w:type="dxa"/>
          </w:tcPr>
          <w:p w:rsidR="00325E95" w:rsidRPr="00D1606C" w:rsidRDefault="00325E95" w:rsidP="007D3360">
            <w:pPr>
              <w:pStyle w:val="tabletext"/>
            </w:pPr>
            <w:r w:rsidRPr="00D1606C">
              <w:t>Definitions and signposts to related material</w:t>
            </w:r>
          </w:p>
        </w:tc>
      </w:tr>
      <w:tr w:rsidR="00325E95" w:rsidTr="007D3360">
        <w:tc>
          <w:tcPr>
            <w:tcW w:w="1303" w:type="dxa"/>
          </w:tcPr>
          <w:p w:rsidR="00325E95" w:rsidRDefault="00325E95" w:rsidP="007D3360">
            <w:pPr>
              <w:pStyle w:val="tabletext"/>
            </w:pPr>
            <w:r>
              <w:t>9</w:t>
            </w:r>
          </w:p>
        </w:tc>
        <w:tc>
          <w:tcPr>
            <w:tcW w:w="5812" w:type="dxa"/>
          </w:tcPr>
          <w:p w:rsidR="00325E95" w:rsidRPr="00D1606C" w:rsidRDefault="00325E95" w:rsidP="007D3360">
            <w:pPr>
              <w:pStyle w:val="tabletext"/>
            </w:pPr>
            <w:r w:rsidRPr="00D1606C">
              <w:t>Repeal of redundant reference to Papua New</w:t>
            </w:r>
            <w:r>
              <w:t xml:space="preserve"> </w:t>
            </w:r>
            <w:r w:rsidRPr="00D1606C">
              <w:t>Guinea</w:t>
            </w:r>
          </w:p>
        </w:tc>
      </w:tr>
      <w:tr w:rsidR="00325E95" w:rsidTr="007D3360">
        <w:tc>
          <w:tcPr>
            <w:tcW w:w="1303" w:type="dxa"/>
          </w:tcPr>
          <w:p w:rsidR="00325E95" w:rsidRDefault="00325E95" w:rsidP="007D3360">
            <w:pPr>
              <w:pStyle w:val="tabletext"/>
            </w:pPr>
            <w:r>
              <w:t>10</w:t>
            </w:r>
          </w:p>
        </w:tc>
        <w:tc>
          <w:tcPr>
            <w:tcW w:w="5812" w:type="dxa"/>
          </w:tcPr>
          <w:p w:rsidR="00325E95" w:rsidRPr="00D1606C" w:rsidRDefault="00325E95" w:rsidP="007D3360">
            <w:pPr>
              <w:pStyle w:val="tabletext"/>
            </w:pPr>
            <w:r w:rsidRPr="00D1606C">
              <w:t>Repeal of redundant references to franking</w:t>
            </w:r>
          </w:p>
        </w:tc>
      </w:tr>
      <w:tr w:rsidR="00325E95" w:rsidTr="007D3360">
        <w:tc>
          <w:tcPr>
            <w:tcW w:w="1303" w:type="dxa"/>
          </w:tcPr>
          <w:p w:rsidR="00325E95" w:rsidRDefault="00325E95" w:rsidP="007D3360">
            <w:pPr>
              <w:pStyle w:val="tabletext"/>
            </w:pPr>
            <w:r>
              <w:t>11</w:t>
            </w:r>
          </w:p>
        </w:tc>
        <w:tc>
          <w:tcPr>
            <w:tcW w:w="5812" w:type="dxa"/>
          </w:tcPr>
          <w:p w:rsidR="00325E95" w:rsidRPr="00D1606C" w:rsidRDefault="00325E95" w:rsidP="007D3360">
            <w:pPr>
              <w:pStyle w:val="tabletext"/>
            </w:pPr>
            <w:r w:rsidRPr="00D1606C">
              <w:t>Correction of cross-reference in</w:t>
            </w:r>
            <w:r>
              <w:t xml:space="preserve"> </w:t>
            </w:r>
            <w:r w:rsidRPr="00D1606C">
              <w:t>provision about dividend streaming etc.</w:t>
            </w:r>
          </w:p>
        </w:tc>
      </w:tr>
      <w:tr w:rsidR="00325E95" w:rsidTr="007D3360">
        <w:tc>
          <w:tcPr>
            <w:tcW w:w="1303" w:type="dxa"/>
          </w:tcPr>
          <w:p w:rsidR="00325E95" w:rsidRDefault="00325E95" w:rsidP="007D3360">
            <w:pPr>
              <w:pStyle w:val="tabletext"/>
            </w:pPr>
            <w:r>
              <w:t>12</w:t>
            </w:r>
          </w:p>
        </w:tc>
        <w:tc>
          <w:tcPr>
            <w:tcW w:w="5812" w:type="dxa"/>
          </w:tcPr>
          <w:p w:rsidR="00325E95" w:rsidRPr="009407A1" w:rsidRDefault="00325E95" w:rsidP="007D3360">
            <w:pPr>
              <w:pStyle w:val="tabletext"/>
            </w:pPr>
            <w:r w:rsidRPr="009407A1">
              <w:t>Minor changes to provisions about</w:t>
            </w:r>
            <w:r>
              <w:t xml:space="preserve"> </w:t>
            </w:r>
            <w:r w:rsidRPr="009407A1">
              <w:t>concessional rebates</w:t>
            </w:r>
          </w:p>
        </w:tc>
      </w:tr>
      <w:tr w:rsidR="00325E95" w:rsidTr="007D3360">
        <w:tc>
          <w:tcPr>
            <w:tcW w:w="1303" w:type="dxa"/>
          </w:tcPr>
          <w:p w:rsidR="00325E95" w:rsidRDefault="00325E95" w:rsidP="007D3360">
            <w:pPr>
              <w:pStyle w:val="tabletext"/>
            </w:pPr>
            <w:r>
              <w:t>13</w:t>
            </w:r>
          </w:p>
        </w:tc>
        <w:tc>
          <w:tcPr>
            <w:tcW w:w="5812" w:type="dxa"/>
          </w:tcPr>
          <w:p w:rsidR="00325E95" w:rsidRPr="009407A1" w:rsidRDefault="00325E95" w:rsidP="007D3360">
            <w:pPr>
              <w:pStyle w:val="tabletext"/>
            </w:pPr>
            <w:r w:rsidRPr="009407A1">
              <w:t>Fixing outdated references to Medicare levy</w:t>
            </w:r>
          </w:p>
        </w:tc>
      </w:tr>
      <w:tr w:rsidR="00325E95" w:rsidTr="007D3360">
        <w:tc>
          <w:tcPr>
            <w:tcW w:w="1303" w:type="dxa"/>
          </w:tcPr>
          <w:p w:rsidR="00325E95" w:rsidRDefault="00325E95" w:rsidP="007D3360">
            <w:pPr>
              <w:pStyle w:val="tabletext"/>
            </w:pPr>
            <w:r>
              <w:t>14</w:t>
            </w:r>
          </w:p>
        </w:tc>
        <w:tc>
          <w:tcPr>
            <w:tcW w:w="5812" w:type="dxa"/>
          </w:tcPr>
          <w:p w:rsidR="00325E95" w:rsidRPr="009407A1" w:rsidRDefault="00325E95" w:rsidP="007D3360">
            <w:pPr>
              <w:pStyle w:val="tabletext"/>
            </w:pPr>
            <w:r w:rsidRPr="009407A1">
              <w:t>Repeal of reference</w:t>
            </w:r>
            <w:r>
              <w:t>s</w:t>
            </w:r>
            <w:r w:rsidRPr="009407A1">
              <w:t xml:space="preserve"> to previously repealed</w:t>
            </w:r>
            <w:r>
              <w:t xml:space="preserve"> </w:t>
            </w:r>
            <w:r w:rsidRPr="009407A1">
              <w:t>provision</w:t>
            </w:r>
          </w:p>
        </w:tc>
      </w:tr>
      <w:tr w:rsidR="00325E95" w:rsidTr="007D3360">
        <w:tc>
          <w:tcPr>
            <w:tcW w:w="1303" w:type="dxa"/>
          </w:tcPr>
          <w:p w:rsidR="00325E95" w:rsidRDefault="00325E95" w:rsidP="007D3360">
            <w:pPr>
              <w:pStyle w:val="tabletext"/>
            </w:pPr>
            <w:r>
              <w:t>15</w:t>
            </w:r>
          </w:p>
        </w:tc>
        <w:tc>
          <w:tcPr>
            <w:tcW w:w="5812" w:type="dxa"/>
          </w:tcPr>
          <w:p w:rsidR="00325E95" w:rsidRPr="009407A1" w:rsidRDefault="00325E95" w:rsidP="007D3360">
            <w:pPr>
              <w:pStyle w:val="tabletext"/>
            </w:pPr>
            <w:r w:rsidRPr="009407A1">
              <w:t>Correction of asterisking of reference to tax</w:t>
            </w:r>
            <w:r>
              <w:t xml:space="preserve"> debts</w:t>
            </w:r>
          </w:p>
        </w:tc>
      </w:tr>
      <w:tr w:rsidR="00325E95" w:rsidTr="007D3360">
        <w:tc>
          <w:tcPr>
            <w:tcW w:w="1303" w:type="dxa"/>
          </w:tcPr>
          <w:p w:rsidR="00325E95" w:rsidRDefault="00325E95" w:rsidP="007D3360">
            <w:pPr>
              <w:pStyle w:val="tabletext"/>
            </w:pPr>
            <w:r>
              <w:t>16</w:t>
            </w:r>
          </w:p>
        </w:tc>
        <w:tc>
          <w:tcPr>
            <w:tcW w:w="5812" w:type="dxa"/>
          </w:tcPr>
          <w:p w:rsidR="00325E95" w:rsidRPr="009407A1" w:rsidRDefault="00325E95" w:rsidP="007D3360">
            <w:pPr>
              <w:pStyle w:val="tabletext"/>
            </w:pPr>
            <w:r w:rsidRPr="009407A1">
              <w:t>Repeal of outdated provisions about</w:t>
            </w:r>
            <w:r>
              <w:t xml:space="preserve"> </w:t>
            </w:r>
            <w:r w:rsidRPr="009407A1">
              <w:t>exemption from income tax</w:t>
            </w:r>
          </w:p>
        </w:tc>
      </w:tr>
      <w:tr w:rsidR="00325E95" w:rsidTr="007D3360">
        <w:tc>
          <w:tcPr>
            <w:tcW w:w="1303" w:type="dxa"/>
          </w:tcPr>
          <w:p w:rsidR="00325E95" w:rsidRDefault="00325E95" w:rsidP="007D3360">
            <w:pPr>
              <w:pStyle w:val="tabletext"/>
            </w:pPr>
            <w:r>
              <w:t>17</w:t>
            </w:r>
          </w:p>
        </w:tc>
        <w:tc>
          <w:tcPr>
            <w:tcW w:w="5812" w:type="dxa"/>
          </w:tcPr>
          <w:p w:rsidR="00325E95" w:rsidRPr="009407A1" w:rsidRDefault="00325E95" w:rsidP="007D3360">
            <w:pPr>
              <w:pStyle w:val="tabletext"/>
            </w:pPr>
            <w:r w:rsidRPr="009407A1">
              <w:t>Correction of asterisking of references to</w:t>
            </w:r>
            <w:r>
              <w:t xml:space="preserve"> </w:t>
            </w:r>
            <w:r w:rsidRPr="009407A1">
              <w:t>quarter</w:t>
            </w:r>
          </w:p>
        </w:tc>
      </w:tr>
      <w:tr w:rsidR="00325E95" w:rsidTr="007D3360">
        <w:tc>
          <w:tcPr>
            <w:tcW w:w="1303" w:type="dxa"/>
          </w:tcPr>
          <w:p w:rsidR="00325E95" w:rsidRDefault="00325E95" w:rsidP="007D3360">
            <w:pPr>
              <w:pStyle w:val="tabletext"/>
            </w:pPr>
            <w:r>
              <w:t>18</w:t>
            </w:r>
          </w:p>
        </w:tc>
        <w:tc>
          <w:tcPr>
            <w:tcW w:w="5812" w:type="dxa"/>
          </w:tcPr>
          <w:p w:rsidR="00325E95" w:rsidRPr="009407A1" w:rsidRDefault="00325E95" w:rsidP="007D3360">
            <w:pPr>
              <w:pStyle w:val="tabletext"/>
            </w:pPr>
            <w:r w:rsidRPr="009407A1">
              <w:t>Inclusion of Commissioner’s discretion to</w:t>
            </w:r>
            <w:r>
              <w:t xml:space="preserve"> </w:t>
            </w:r>
            <w:r w:rsidRPr="009407A1">
              <w:t>extend main residence exemption from CGT</w:t>
            </w:r>
          </w:p>
        </w:tc>
      </w:tr>
      <w:tr w:rsidR="00325E95" w:rsidTr="007D3360">
        <w:tc>
          <w:tcPr>
            <w:tcW w:w="1303" w:type="dxa"/>
          </w:tcPr>
          <w:p w:rsidR="00325E95" w:rsidRDefault="00325E95" w:rsidP="007D3360">
            <w:pPr>
              <w:pStyle w:val="tabletext"/>
            </w:pPr>
            <w:r>
              <w:t>19</w:t>
            </w:r>
          </w:p>
        </w:tc>
        <w:tc>
          <w:tcPr>
            <w:tcW w:w="5812" w:type="dxa"/>
          </w:tcPr>
          <w:p w:rsidR="00325E95" w:rsidRPr="009407A1" w:rsidRDefault="00325E95" w:rsidP="007D3360">
            <w:pPr>
              <w:pStyle w:val="tabletext"/>
            </w:pPr>
            <w:r w:rsidRPr="009407A1">
              <w:t>Nomination of controllers of discretionary</w:t>
            </w:r>
            <w:r>
              <w:t xml:space="preserve"> trust</w:t>
            </w:r>
          </w:p>
        </w:tc>
      </w:tr>
      <w:tr w:rsidR="00325E95" w:rsidTr="007D3360">
        <w:tc>
          <w:tcPr>
            <w:tcW w:w="1303" w:type="dxa"/>
          </w:tcPr>
          <w:p w:rsidR="00325E95" w:rsidRDefault="00325E95" w:rsidP="007D3360">
            <w:pPr>
              <w:pStyle w:val="tabletext"/>
            </w:pPr>
            <w:r>
              <w:t>20</w:t>
            </w:r>
          </w:p>
        </w:tc>
        <w:tc>
          <w:tcPr>
            <w:tcW w:w="5812" w:type="dxa"/>
          </w:tcPr>
          <w:p w:rsidR="00325E95" w:rsidRPr="009407A1" w:rsidRDefault="00325E95" w:rsidP="007D3360">
            <w:pPr>
              <w:pStyle w:val="tabletext"/>
            </w:pPr>
            <w:r w:rsidRPr="009407A1">
              <w:t>Definitions mainly relevant to</w:t>
            </w:r>
            <w:r>
              <w:t xml:space="preserve"> </w:t>
            </w:r>
            <w:r w:rsidRPr="009407A1">
              <w:t xml:space="preserve">Subdivision 165-F of the </w:t>
            </w:r>
            <w:r w:rsidRPr="00517B10">
              <w:rPr>
                <w:i/>
              </w:rPr>
              <w:t>Income Tax Assessment Act 1997</w:t>
            </w:r>
          </w:p>
        </w:tc>
      </w:tr>
      <w:tr w:rsidR="00325E95" w:rsidTr="007D3360">
        <w:tc>
          <w:tcPr>
            <w:tcW w:w="1303" w:type="dxa"/>
          </w:tcPr>
          <w:p w:rsidR="00325E95" w:rsidRDefault="00325E95" w:rsidP="007D3360">
            <w:pPr>
              <w:pStyle w:val="tabletext"/>
            </w:pPr>
            <w:r>
              <w:t>21</w:t>
            </w:r>
          </w:p>
        </w:tc>
        <w:tc>
          <w:tcPr>
            <w:tcW w:w="5812" w:type="dxa"/>
          </w:tcPr>
          <w:p w:rsidR="00325E95" w:rsidRPr="0090711B" w:rsidRDefault="00325E95" w:rsidP="007D3360">
            <w:pPr>
              <w:pStyle w:val="tabletext"/>
            </w:pPr>
            <w:r w:rsidRPr="0090711B">
              <w:t>Removal of definition from imputation</w:t>
            </w:r>
            <w:r>
              <w:t xml:space="preserve"> </w:t>
            </w:r>
            <w:r w:rsidRPr="0090711B">
              <w:t>provisions</w:t>
            </w:r>
          </w:p>
        </w:tc>
      </w:tr>
      <w:tr w:rsidR="00325E95" w:rsidTr="007D3360">
        <w:tc>
          <w:tcPr>
            <w:tcW w:w="1303" w:type="dxa"/>
          </w:tcPr>
          <w:p w:rsidR="00325E95" w:rsidRDefault="00325E95" w:rsidP="007D3360">
            <w:pPr>
              <w:pStyle w:val="tabletext"/>
            </w:pPr>
            <w:r>
              <w:t>22</w:t>
            </w:r>
          </w:p>
        </w:tc>
        <w:tc>
          <w:tcPr>
            <w:tcW w:w="5812" w:type="dxa"/>
          </w:tcPr>
          <w:p w:rsidR="00325E95" w:rsidRPr="0090711B" w:rsidRDefault="00325E95" w:rsidP="007D3360">
            <w:pPr>
              <w:pStyle w:val="tabletext"/>
            </w:pPr>
            <w:r w:rsidRPr="0090711B">
              <w:t>Correction of outdated references to virtual</w:t>
            </w:r>
            <w:r>
              <w:t xml:space="preserve"> </w:t>
            </w:r>
            <w:r w:rsidRPr="0090711B">
              <w:t>PST assets</w:t>
            </w:r>
          </w:p>
        </w:tc>
      </w:tr>
      <w:tr w:rsidR="00325E95" w:rsidTr="007D3360">
        <w:tc>
          <w:tcPr>
            <w:tcW w:w="1303" w:type="dxa"/>
          </w:tcPr>
          <w:p w:rsidR="00325E95" w:rsidRDefault="00325E95" w:rsidP="007D3360">
            <w:pPr>
              <w:pStyle w:val="tabletext"/>
            </w:pPr>
            <w:r>
              <w:t>23</w:t>
            </w:r>
          </w:p>
        </w:tc>
        <w:tc>
          <w:tcPr>
            <w:tcW w:w="5812" w:type="dxa"/>
          </w:tcPr>
          <w:p w:rsidR="00325E95" w:rsidRPr="0090711B" w:rsidRDefault="00325E95" w:rsidP="007D3360">
            <w:pPr>
              <w:pStyle w:val="tabletext"/>
            </w:pPr>
            <w:r w:rsidRPr="0090711B">
              <w:t>Repeal of spent provisions about land</w:t>
            </w:r>
            <w:r>
              <w:t xml:space="preserve"> </w:t>
            </w:r>
            <w:r w:rsidRPr="0090711B">
              <w:t>transport facilities borrowings</w:t>
            </w:r>
          </w:p>
        </w:tc>
      </w:tr>
      <w:tr w:rsidR="00325E95" w:rsidTr="007D3360">
        <w:tc>
          <w:tcPr>
            <w:tcW w:w="1303" w:type="dxa"/>
          </w:tcPr>
          <w:p w:rsidR="00325E95" w:rsidRDefault="00325E95" w:rsidP="007D3360">
            <w:pPr>
              <w:pStyle w:val="tabletext"/>
            </w:pPr>
            <w:r>
              <w:t>24</w:t>
            </w:r>
          </w:p>
        </w:tc>
        <w:tc>
          <w:tcPr>
            <w:tcW w:w="5812" w:type="dxa"/>
          </w:tcPr>
          <w:p w:rsidR="00325E95" w:rsidRPr="0090711B" w:rsidRDefault="00325E95" w:rsidP="007D3360">
            <w:pPr>
              <w:pStyle w:val="tabletext"/>
            </w:pPr>
            <w:r w:rsidRPr="0090711B">
              <w:t>Prevention of double counting for direct</w:t>
            </w:r>
            <w:r>
              <w:t xml:space="preserve"> </w:t>
            </w:r>
            <w:r w:rsidRPr="0090711B">
              <w:t>value shifts</w:t>
            </w:r>
          </w:p>
        </w:tc>
      </w:tr>
      <w:tr w:rsidR="00325E95" w:rsidTr="007D3360">
        <w:tc>
          <w:tcPr>
            <w:tcW w:w="1303" w:type="dxa"/>
          </w:tcPr>
          <w:p w:rsidR="00325E95" w:rsidRPr="00957B16" w:rsidRDefault="00325E95" w:rsidP="007D3360">
            <w:pPr>
              <w:pStyle w:val="tabletext"/>
            </w:pPr>
            <w:r w:rsidRPr="00957B16">
              <w:t>25</w:t>
            </w:r>
          </w:p>
        </w:tc>
        <w:tc>
          <w:tcPr>
            <w:tcW w:w="5812" w:type="dxa"/>
          </w:tcPr>
          <w:p w:rsidR="00325E95" w:rsidRPr="00957B16" w:rsidRDefault="00325E95" w:rsidP="007D3360">
            <w:pPr>
              <w:pStyle w:val="tabletext"/>
            </w:pPr>
            <w:r w:rsidRPr="00957B16">
              <w:t>Ineligible income tax remission decisions</w:t>
            </w:r>
          </w:p>
        </w:tc>
      </w:tr>
      <w:tr w:rsidR="00325E95" w:rsidTr="007D3360">
        <w:tc>
          <w:tcPr>
            <w:tcW w:w="1303" w:type="dxa"/>
          </w:tcPr>
          <w:p w:rsidR="00325E95" w:rsidRDefault="00325E95" w:rsidP="007D3360">
            <w:pPr>
              <w:pStyle w:val="tabletext"/>
            </w:pPr>
            <w:r>
              <w:t>26</w:t>
            </w:r>
          </w:p>
        </w:tc>
        <w:tc>
          <w:tcPr>
            <w:tcW w:w="5812" w:type="dxa"/>
          </w:tcPr>
          <w:p w:rsidR="00325E95" w:rsidRPr="0090711B" w:rsidRDefault="00325E95" w:rsidP="007D3360">
            <w:pPr>
              <w:pStyle w:val="tabletext"/>
            </w:pPr>
            <w:r>
              <w:t>Correction of references to chains of fixed trusts</w:t>
            </w:r>
          </w:p>
        </w:tc>
      </w:tr>
      <w:tr w:rsidR="00325E95" w:rsidTr="007D3360">
        <w:tc>
          <w:tcPr>
            <w:tcW w:w="1303" w:type="dxa"/>
          </w:tcPr>
          <w:p w:rsidR="00325E95" w:rsidRDefault="00325E95" w:rsidP="007D3360">
            <w:pPr>
              <w:pStyle w:val="tabletext"/>
            </w:pPr>
            <w:r>
              <w:t>27</w:t>
            </w:r>
          </w:p>
        </w:tc>
        <w:tc>
          <w:tcPr>
            <w:tcW w:w="5812" w:type="dxa"/>
          </w:tcPr>
          <w:p w:rsidR="00325E95" w:rsidRPr="0090711B" w:rsidRDefault="00325E95" w:rsidP="007D3360">
            <w:pPr>
              <w:pStyle w:val="tabletext"/>
            </w:pPr>
            <w:r>
              <w:t>Gender-specific language</w:t>
            </w:r>
          </w:p>
        </w:tc>
      </w:tr>
      <w:tr w:rsidR="00325E95" w:rsidTr="007D3360">
        <w:tc>
          <w:tcPr>
            <w:tcW w:w="1303" w:type="dxa"/>
          </w:tcPr>
          <w:p w:rsidR="00325E95" w:rsidRDefault="00325E95" w:rsidP="007D3360">
            <w:pPr>
              <w:pStyle w:val="tabletext"/>
            </w:pPr>
            <w:r>
              <w:t>28</w:t>
            </w:r>
          </w:p>
        </w:tc>
        <w:tc>
          <w:tcPr>
            <w:tcW w:w="5812" w:type="dxa"/>
          </w:tcPr>
          <w:p w:rsidR="00325E95" w:rsidRDefault="00325E95" w:rsidP="007D3360">
            <w:pPr>
              <w:pStyle w:val="tabletext"/>
            </w:pPr>
            <w:r>
              <w:t>Misdescribed amendments</w:t>
            </w:r>
          </w:p>
        </w:tc>
      </w:tr>
      <w:tr w:rsidR="00325E95" w:rsidTr="007D3360">
        <w:tc>
          <w:tcPr>
            <w:tcW w:w="1303" w:type="dxa"/>
          </w:tcPr>
          <w:p w:rsidR="00325E95" w:rsidRDefault="00325E95" w:rsidP="007D3360">
            <w:pPr>
              <w:pStyle w:val="tabletext"/>
            </w:pPr>
            <w:r>
              <w:t>29</w:t>
            </w:r>
          </w:p>
        </w:tc>
        <w:tc>
          <w:tcPr>
            <w:tcW w:w="5812" w:type="dxa"/>
          </w:tcPr>
          <w:p w:rsidR="00325E95" w:rsidRDefault="00325E95" w:rsidP="007D3360">
            <w:pPr>
              <w:pStyle w:val="tabletext"/>
            </w:pPr>
            <w:r>
              <w:t>References to Schedules</w:t>
            </w:r>
          </w:p>
        </w:tc>
      </w:tr>
      <w:tr w:rsidR="00325E95" w:rsidTr="007D3360">
        <w:tc>
          <w:tcPr>
            <w:tcW w:w="1303" w:type="dxa"/>
          </w:tcPr>
          <w:p w:rsidR="00325E95" w:rsidRDefault="00325E95" w:rsidP="007D3360">
            <w:pPr>
              <w:pStyle w:val="tabletext"/>
            </w:pPr>
            <w:r>
              <w:t>30</w:t>
            </w:r>
          </w:p>
        </w:tc>
        <w:tc>
          <w:tcPr>
            <w:tcW w:w="5812" w:type="dxa"/>
          </w:tcPr>
          <w:p w:rsidR="00325E95" w:rsidRDefault="00325E95" w:rsidP="007D3360">
            <w:pPr>
              <w:pStyle w:val="tabletext"/>
            </w:pPr>
            <w:r>
              <w:t>References to taxation laws</w:t>
            </w:r>
          </w:p>
        </w:tc>
      </w:tr>
      <w:tr w:rsidR="00325E95" w:rsidTr="007D3360">
        <w:tc>
          <w:tcPr>
            <w:tcW w:w="1303" w:type="dxa"/>
          </w:tcPr>
          <w:p w:rsidR="00325E95" w:rsidRDefault="00325E95" w:rsidP="007D3360">
            <w:pPr>
              <w:pStyle w:val="tabletext"/>
            </w:pPr>
            <w:r>
              <w:t>31</w:t>
            </w:r>
          </w:p>
        </w:tc>
        <w:tc>
          <w:tcPr>
            <w:tcW w:w="5812" w:type="dxa"/>
          </w:tcPr>
          <w:p w:rsidR="00325E95" w:rsidRDefault="00325E95" w:rsidP="007D3360">
            <w:pPr>
              <w:pStyle w:val="tabletext"/>
            </w:pPr>
            <w:r>
              <w:t>Other amendments</w:t>
            </w:r>
          </w:p>
        </w:tc>
      </w:tr>
    </w:tbl>
    <w:p w:rsidR="00325E95" w:rsidRPr="00F53555" w:rsidRDefault="00325E95" w:rsidP="00DC00CE">
      <w:pPr>
        <w:pStyle w:val="base-text-paragraph"/>
        <w:keepNext/>
        <w:keepLines/>
        <w:numPr>
          <w:ilvl w:val="1"/>
          <w:numId w:val="21"/>
        </w:numPr>
      </w:pPr>
      <w:r>
        <w:lastRenderedPageBreak/>
        <w:t>M</w:t>
      </w:r>
      <w:r w:rsidRPr="00F53555">
        <w:t>ore significant amendments</w:t>
      </w:r>
      <w:r>
        <w:t xml:space="preserve"> include</w:t>
      </w:r>
      <w:r w:rsidRPr="00F53555">
        <w:t xml:space="preserve">: </w:t>
      </w:r>
    </w:p>
    <w:p w:rsidR="00325E95" w:rsidRPr="007348BF" w:rsidRDefault="00325E95" w:rsidP="007D3360">
      <w:pPr>
        <w:pStyle w:val="dotpoint"/>
      </w:pPr>
      <w:r>
        <w:t xml:space="preserve">providing the Commissioner of Taxation (Commissioner) with a discretion </w:t>
      </w:r>
      <w:r w:rsidRPr="007F3DE1">
        <w:t xml:space="preserve">to extend </w:t>
      </w:r>
      <w:r>
        <w:t xml:space="preserve">the </w:t>
      </w:r>
      <w:r w:rsidRPr="007F3DE1">
        <w:t>main residence exemption from CGT</w:t>
      </w:r>
      <w:r>
        <w:t xml:space="preserve"> </w:t>
      </w:r>
      <w:r w:rsidRPr="002D11D0">
        <w:t>(Part</w:t>
      </w:r>
      <w:r>
        <w:t> </w:t>
      </w:r>
      <w:r w:rsidRPr="007348BF">
        <w:t xml:space="preserve">18, comprising items </w:t>
      </w:r>
      <w:r>
        <w:t>93</w:t>
      </w:r>
      <w:r w:rsidRPr="007348BF">
        <w:t xml:space="preserve"> </w:t>
      </w:r>
      <w:r>
        <w:t>and</w:t>
      </w:r>
      <w:r w:rsidRPr="007348BF">
        <w:t xml:space="preserve"> </w:t>
      </w:r>
      <w:r>
        <w:t>94</w:t>
      </w:r>
      <w:r w:rsidRPr="007348BF">
        <w:t>)</w:t>
      </w:r>
      <w:r>
        <w:t xml:space="preserve">.  </w:t>
      </w:r>
      <w:r w:rsidRPr="002D11D0">
        <w:t>(</w:t>
      </w:r>
      <w:r>
        <w:t>T</w:t>
      </w:r>
      <w:r w:rsidRPr="002D11D0">
        <w:t xml:space="preserve">his issue was identified through </w:t>
      </w:r>
      <w:r w:rsidRPr="00EF308B">
        <w:rPr>
          <w:b/>
        </w:rPr>
        <w:t>TIES</w:t>
      </w:r>
      <w:r>
        <w:rPr>
          <w:b/>
        </w:rPr>
        <w:t xml:space="preserve"> issue</w:t>
      </w:r>
      <w:r w:rsidRPr="005C60B2">
        <w:rPr>
          <w:b/>
        </w:rPr>
        <w:t xml:space="preserve"> </w:t>
      </w:r>
      <w:r>
        <w:rPr>
          <w:b/>
        </w:rPr>
        <w:t>0056-2009</w:t>
      </w:r>
      <w:r w:rsidRPr="002D11D0">
        <w:t>)</w:t>
      </w:r>
      <w:bookmarkStart w:id="13" w:name="OLE_LINK17"/>
      <w:bookmarkStart w:id="14" w:name="OLE_LINK18"/>
      <w:r w:rsidRPr="007348BF">
        <w:t>;</w:t>
      </w:r>
      <w:bookmarkEnd w:id="13"/>
      <w:bookmarkEnd w:id="14"/>
      <w:r>
        <w:t xml:space="preserve"> and</w:t>
      </w:r>
    </w:p>
    <w:p w:rsidR="00325E95" w:rsidRDefault="00325E95" w:rsidP="007D3360">
      <w:pPr>
        <w:pStyle w:val="dotpoint"/>
        <w:spacing w:before="100" w:after="100"/>
      </w:pPr>
      <w:r w:rsidRPr="007348BF">
        <w:t>allowing the nomination of controllers of discretionary trust</w:t>
      </w:r>
      <w:r>
        <w:t>s</w:t>
      </w:r>
      <w:r w:rsidRPr="007348BF">
        <w:t xml:space="preserve"> </w:t>
      </w:r>
      <w:r>
        <w:t xml:space="preserve">for the purposes of the CGT small business concessions </w:t>
      </w:r>
      <w:r w:rsidRPr="007348BF">
        <w:t xml:space="preserve">(Part 19, comprising items </w:t>
      </w:r>
      <w:r>
        <w:t>95</w:t>
      </w:r>
      <w:r w:rsidRPr="007348BF">
        <w:t xml:space="preserve"> to </w:t>
      </w:r>
      <w:r>
        <w:t>109</w:t>
      </w:r>
      <w:r w:rsidRPr="007348BF">
        <w:t>)</w:t>
      </w:r>
      <w:r>
        <w:t xml:space="preserve">.  </w:t>
      </w:r>
      <w:r w:rsidRPr="007348BF">
        <w:t>(</w:t>
      </w:r>
      <w:r>
        <w:t>T</w:t>
      </w:r>
      <w:r w:rsidRPr="007348BF">
        <w:t xml:space="preserve">his issue was identified through </w:t>
      </w:r>
      <w:r w:rsidRPr="007348BF">
        <w:rPr>
          <w:b/>
        </w:rPr>
        <w:t xml:space="preserve">TIES </w:t>
      </w:r>
      <w:r>
        <w:rPr>
          <w:b/>
        </w:rPr>
        <w:t>issue</w:t>
      </w:r>
      <w:r w:rsidRPr="005C60B2">
        <w:rPr>
          <w:b/>
        </w:rPr>
        <w:t xml:space="preserve"> </w:t>
      </w:r>
      <w:r w:rsidRPr="007348BF">
        <w:rPr>
          <w:b/>
        </w:rPr>
        <w:t>0059-2009</w:t>
      </w:r>
      <w:r w:rsidRPr="007348BF">
        <w:t>)</w:t>
      </w:r>
      <w:r>
        <w:t xml:space="preserve">.  </w:t>
      </w:r>
    </w:p>
    <w:p w:rsidR="00325E95" w:rsidRDefault="00325E95" w:rsidP="00DC00CE">
      <w:pPr>
        <w:pStyle w:val="base-text-paragraph"/>
        <w:numPr>
          <w:ilvl w:val="1"/>
          <w:numId w:val="21"/>
        </w:numPr>
      </w:pPr>
      <w:r>
        <w:t>All of the amendments in this Schedule commence from the date of Royal Assent unless otherwise stated.</w:t>
      </w:r>
    </w:p>
    <w:p w:rsidR="00325E95" w:rsidRPr="00F53555" w:rsidRDefault="00325E95" w:rsidP="007D3360">
      <w:pPr>
        <w:pStyle w:val="Heading2"/>
      </w:pPr>
      <w:bookmarkStart w:id="15" w:name="_Toc469372268"/>
      <w:r w:rsidRPr="00F53555">
        <w:t>Detailed explanation of new law</w:t>
      </w:r>
      <w:bookmarkEnd w:id="15"/>
    </w:p>
    <w:p w:rsidR="00325E95" w:rsidRDefault="00325E95" w:rsidP="007D3360">
      <w:pPr>
        <w:pStyle w:val="Heading3"/>
        <w:rPr>
          <w:i/>
        </w:rPr>
      </w:pPr>
      <w:r w:rsidRPr="00E9680E">
        <w:t xml:space="preserve">Part 1 — </w:t>
      </w:r>
      <w:r w:rsidRPr="00E9680E">
        <w:rPr>
          <w:i/>
        </w:rPr>
        <w:t>A New Tax System (Goods and Services Tax) Act 1999</w:t>
      </w:r>
    </w:p>
    <w:p w:rsidR="00325E95" w:rsidRPr="00D310F1" w:rsidRDefault="00325E95" w:rsidP="00DC00CE">
      <w:pPr>
        <w:pStyle w:val="TableHeadingoutsidetable"/>
        <w:numPr>
          <w:ilvl w:val="4"/>
          <w:numId w:val="21"/>
        </w:numPr>
        <w:spacing w:after="240"/>
      </w:pPr>
      <w:bookmarkStart w:id="16" w:name="OLE_LINK3"/>
      <w:bookmarkStart w:id="17" w:name="OLE_LINK4"/>
      <w:r w:rsidRPr="00093C54">
        <w:t>:</w:t>
      </w:r>
      <w:r w:rsidRPr="00D310F1">
        <w:t xml:space="preserve">  </w:t>
      </w:r>
      <w:r w:rsidR="008A6181">
        <w:t>Part 1 —</w:t>
      </w:r>
      <w:r w:rsidRPr="00E55072">
        <w:rPr>
          <w:i/>
        </w:rPr>
        <w:t>A New Tax System (Goods and Services Tax) Act 1999</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912"/>
      </w:tblGrid>
      <w:tr w:rsidR="00325E95" w:rsidRPr="00F53555" w:rsidTr="007D3360">
        <w:trPr>
          <w:tblHeader/>
        </w:trPr>
        <w:tc>
          <w:tcPr>
            <w:tcW w:w="2694" w:type="dxa"/>
          </w:tcPr>
          <w:p w:rsidR="00325E95" w:rsidRPr="00F53555" w:rsidRDefault="00325E95" w:rsidP="007D3360">
            <w:pPr>
              <w:pStyle w:val="tableheaderwithintable"/>
            </w:pPr>
            <w:r w:rsidRPr="00F53555">
              <w:t>Provision being amended</w:t>
            </w:r>
          </w:p>
        </w:tc>
        <w:tc>
          <w:tcPr>
            <w:tcW w:w="3912" w:type="dxa"/>
          </w:tcPr>
          <w:p w:rsidR="00325E95" w:rsidRPr="00F53555" w:rsidRDefault="00325E95" w:rsidP="007D3360">
            <w:pPr>
              <w:pStyle w:val="tableheaderwithintable"/>
            </w:pPr>
            <w:r>
              <w:t>What the amendment</w:t>
            </w:r>
            <w:r w:rsidRPr="00F53555">
              <w:t xml:space="preserve"> does</w:t>
            </w:r>
          </w:p>
        </w:tc>
      </w:tr>
      <w:tr w:rsidR="00325E95" w:rsidRPr="00F53555" w:rsidTr="007D3360">
        <w:trPr>
          <w:cantSplit/>
        </w:trPr>
        <w:tc>
          <w:tcPr>
            <w:tcW w:w="2694" w:type="dxa"/>
          </w:tcPr>
          <w:p w:rsidR="00325E95" w:rsidRDefault="00325E95" w:rsidP="007D3360">
            <w:pPr>
              <w:pStyle w:val="tabletext"/>
              <w:ind w:left="34"/>
              <w:rPr>
                <w:bCs/>
                <w:iCs/>
              </w:rPr>
            </w:pPr>
            <w:r w:rsidRPr="00C14F0C">
              <w:rPr>
                <w:b/>
                <w:bCs/>
                <w:i/>
                <w:iCs/>
              </w:rPr>
              <w:t>A New Tax System (</w:t>
            </w:r>
            <w:r w:rsidR="00FD7E2D">
              <w:rPr>
                <w:b/>
                <w:bCs/>
                <w:i/>
                <w:iCs/>
              </w:rPr>
              <w:t>Goods and Services Tax) Act 1999</w:t>
            </w:r>
            <w:r>
              <w:rPr>
                <w:b/>
                <w:bCs/>
                <w:i/>
                <w:iCs/>
              </w:rPr>
              <w:t xml:space="preserve"> </w:t>
            </w:r>
          </w:p>
          <w:p w:rsidR="00325E95" w:rsidRPr="00E56D12" w:rsidRDefault="00325E95" w:rsidP="00273024">
            <w:pPr>
              <w:pStyle w:val="tabletext"/>
              <w:ind w:left="34"/>
              <w:rPr>
                <w:bCs/>
                <w:i/>
                <w:iCs/>
              </w:rPr>
            </w:pPr>
            <w:r w:rsidRPr="00517B10">
              <w:rPr>
                <w:bCs/>
                <w:iCs/>
              </w:rPr>
              <w:t>153-50(1)(d)(i)</w:t>
            </w:r>
            <w:r w:rsidRPr="00E56D12">
              <w:rPr>
                <w:b/>
                <w:bCs/>
                <w:iCs/>
              </w:rPr>
              <w:t xml:space="preserve"> </w:t>
            </w:r>
            <w:r>
              <w:rPr>
                <w:b/>
                <w:bCs/>
                <w:iCs/>
              </w:rPr>
              <w:br/>
            </w:r>
            <w:r w:rsidR="00273024">
              <w:rPr>
                <w:b/>
                <w:bCs/>
                <w:i/>
                <w:iCs/>
              </w:rPr>
              <w:t>[I</w:t>
            </w:r>
            <w:r w:rsidRPr="00E56D12">
              <w:rPr>
                <w:b/>
                <w:bCs/>
                <w:i/>
                <w:iCs/>
              </w:rPr>
              <w:t>tem 1</w:t>
            </w:r>
            <w:r w:rsidR="00273024">
              <w:rPr>
                <w:b/>
                <w:bCs/>
                <w:i/>
                <w:iCs/>
              </w:rPr>
              <w:t>]</w:t>
            </w:r>
          </w:p>
        </w:tc>
        <w:tc>
          <w:tcPr>
            <w:tcW w:w="3912" w:type="dxa"/>
          </w:tcPr>
          <w:p w:rsidR="00325E95" w:rsidRPr="008A3E1C" w:rsidRDefault="00325E95" w:rsidP="007D3360">
            <w:pPr>
              <w:pStyle w:val="tabletext"/>
              <w:rPr>
                <w:rStyle w:val="Referencingstyle"/>
                <w:b w:val="0"/>
                <w:i w:val="0"/>
                <w:sz w:val="20"/>
              </w:rPr>
            </w:pPr>
            <w:r>
              <w:rPr>
                <w:rStyle w:val="Referencingstyle"/>
                <w:b w:val="0"/>
                <w:i w:val="0"/>
                <w:sz w:val="20"/>
              </w:rPr>
              <w:t>G</w:t>
            </w:r>
            <w:r w:rsidRPr="008A3E1C">
              <w:rPr>
                <w:rStyle w:val="Referencingstyle"/>
                <w:b w:val="0"/>
                <w:i w:val="0"/>
                <w:sz w:val="20"/>
              </w:rPr>
              <w:t>ives effect to the suggestion made through</w:t>
            </w:r>
            <w:r w:rsidRPr="00517B10">
              <w:rPr>
                <w:rStyle w:val="Referencingstyle"/>
                <w:b w:val="0"/>
                <w:i w:val="0"/>
              </w:rPr>
              <w:t xml:space="preserve"> </w:t>
            </w:r>
            <w:r w:rsidRPr="008A3E1C">
              <w:rPr>
                <w:rStyle w:val="Referencingstyle"/>
                <w:i w:val="0"/>
                <w:sz w:val="20"/>
              </w:rPr>
              <w:t>TIES</w:t>
            </w:r>
            <w:r>
              <w:rPr>
                <w:rStyle w:val="Referencingstyle"/>
                <w:i w:val="0"/>
                <w:sz w:val="20"/>
              </w:rPr>
              <w:t xml:space="preserve"> issue</w:t>
            </w:r>
            <w:r w:rsidRPr="008A3E1C">
              <w:rPr>
                <w:rStyle w:val="Referencingstyle"/>
                <w:i w:val="0"/>
                <w:sz w:val="20"/>
              </w:rPr>
              <w:t xml:space="preserve"> 0014</w:t>
            </w:r>
            <w:r>
              <w:rPr>
                <w:rStyle w:val="Referencingstyle"/>
                <w:i w:val="0"/>
                <w:sz w:val="20"/>
              </w:rPr>
              <w:noBreakHyphen/>
            </w:r>
            <w:r w:rsidRPr="008A3E1C">
              <w:rPr>
                <w:rStyle w:val="Referencingstyle"/>
                <w:i w:val="0"/>
                <w:sz w:val="20"/>
              </w:rPr>
              <w:t>2010</w:t>
            </w:r>
            <w:r w:rsidRPr="008A3E1C">
              <w:rPr>
                <w:rStyle w:val="Referencingstyle"/>
                <w:b w:val="0"/>
                <w:i w:val="0"/>
                <w:sz w:val="20"/>
              </w:rPr>
              <w:t>.</w:t>
            </w:r>
          </w:p>
          <w:p w:rsidR="00325E95" w:rsidRPr="00517B10" w:rsidRDefault="00325E95" w:rsidP="007D3360">
            <w:pPr>
              <w:pStyle w:val="tabletext"/>
              <w:ind w:left="27"/>
              <w:rPr>
                <w:rStyle w:val="Referencingstyle"/>
                <w:b w:val="0"/>
                <w:i w:val="0"/>
              </w:rPr>
            </w:pPr>
            <w:r w:rsidRPr="008A3E1C">
              <w:rPr>
                <w:rStyle w:val="Referencingstyle"/>
                <w:b w:val="0"/>
                <w:i w:val="0"/>
                <w:sz w:val="20"/>
              </w:rPr>
              <w:t xml:space="preserve">A technical amendment replacing the reference to </w:t>
            </w:r>
            <w:r>
              <w:rPr>
                <w:rStyle w:val="Referencingstyle"/>
                <w:b w:val="0"/>
                <w:i w:val="0"/>
                <w:sz w:val="20"/>
              </w:rPr>
              <w:t>‘</w:t>
            </w:r>
            <w:r w:rsidRPr="008A3E1C">
              <w:rPr>
                <w:rStyle w:val="Referencingstyle"/>
                <w:b w:val="0"/>
                <w:i w:val="0"/>
                <w:sz w:val="20"/>
              </w:rPr>
              <w:t>agent’s</w:t>
            </w:r>
            <w:r>
              <w:rPr>
                <w:rStyle w:val="Referencingstyle"/>
                <w:b w:val="0"/>
                <w:i w:val="0"/>
                <w:sz w:val="20"/>
              </w:rPr>
              <w:t>’</w:t>
            </w:r>
            <w:r w:rsidRPr="008A3E1C">
              <w:rPr>
                <w:rStyle w:val="Referencingstyle"/>
                <w:b w:val="0"/>
                <w:i w:val="0"/>
                <w:sz w:val="20"/>
              </w:rPr>
              <w:t xml:space="preserve"> with a reference to </w:t>
            </w:r>
            <w:r>
              <w:rPr>
                <w:rStyle w:val="Referencingstyle"/>
                <w:b w:val="0"/>
                <w:i w:val="0"/>
                <w:sz w:val="20"/>
              </w:rPr>
              <w:t>‘</w:t>
            </w:r>
            <w:r w:rsidRPr="008A3E1C">
              <w:rPr>
                <w:rStyle w:val="Referencingstyle"/>
                <w:b w:val="0"/>
                <w:i w:val="0"/>
                <w:sz w:val="20"/>
              </w:rPr>
              <w:t>intermediary’s</w:t>
            </w:r>
            <w:r>
              <w:rPr>
                <w:rStyle w:val="Referencingstyle"/>
                <w:b w:val="0"/>
                <w:i w:val="0"/>
                <w:sz w:val="20"/>
              </w:rPr>
              <w:t>’</w:t>
            </w:r>
            <w:r w:rsidRPr="008A3E1C">
              <w:rPr>
                <w:rStyle w:val="Referencingstyle"/>
                <w:b w:val="0"/>
                <w:i w:val="0"/>
                <w:sz w:val="20"/>
              </w:rPr>
              <w:t>, which was the intention of the legislation</w:t>
            </w:r>
            <w:r>
              <w:rPr>
                <w:rStyle w:val="Referencingstyle"/>
                <w:b w:val="0"/>
                <w:i w:val="0"/>
                <w:sz w:val="20"/>
              </w:rPr>
              <w:t xml:space="preserve">.  </w:t>
            </w:r>
          </w:p>
        </w:tc>
      </w:tr>
      <w:tr w:rsidR="00325E95" w:rsidRPr="00F53555" w:rsidTr="007D3360">
        <w:trPr>
          <w:cantSplit/>
        </w:trPr>
        <w:tc>
          <w:tcPr>
            <w:tcW w:w="2694" w:type="dxa"/>
          </w:tcPr>
          <w:p w:rsidR="00325E95" w:rsidRPr="00C14F0C" w:rsidRDefault="00325E95" w:rsidP="007D3360">
            <w:pPr>
              <w:pStyle w:val="tabletext"/>
              <w:ind w:left="34"/>
              <w:rPr>
                <w:b/>
                <w:bCs/>
                <w:i/>
                <w:iCs/>
              </w:rPr>
            </w:pPr>
            <w:r w:rsidRPr="00C14F0C">
              <w:rPr>
                <w:b/>
                <w:bCs/>
                <w:i/>
                <w:iCs/>
              </w:rPr>
              <w:t>A New Tax System (Goods and Services Tax) Act 1999</w:t>
            </w:r>
          </w:p>
          <w:p w:rsidR="00325E95" w:rsidRPr="00AB2B44" w:rsidRDefault="00325E95" w:rsidP="00C40D5A">
            <w:pPr>
              <w:pStyle w:val="tabletext"/>
              <w:ind w:left="34"/>
              <w:rPr>
                <w:b/>
                <w:bCs/>
                <w:i/>
                <w:iCs/>
              </w:rPr>
            </w:pPr>
            <w:r w:rsidRPr="00517B10">
              <w:rPr>
                <w:bCs/>
                <w:iCs/>
              </w:rPr>
              <w:t>195-1(definition of ‘member’), and paragraph (b) of that definition</w:t>
            </w:r>
            <w:r w:rsidR="00C40D5A">
              <w:rPr>
                <w:bCs/>
                <w:iCs/>
              </w:rPr>
              <w:t xml:space="preserve"> </w:t>
            </w:r>
            <w:r w:rsidR="00C40D5A" w:rsidRPr="00C40D5A">
              <w:rPr>
                <w:bCs/>
                <w:i/>
                <w:iCs/>
              </w:rPr>
              <w:t>[I</w:t>
            </w:r>
            <w:r w:rsidRPr="00C40D5A">
              <w:rPr>
                <w:b/>
                <w:bCs/>
                <w:i/>
                <w:iCs/>
              </w:rPr>
              <w:t>tems</w:t>
            </w:r>
            <w:r>
              <w:rPr>
                <w:b/>
                <w:bCs/>
                <w:i/>
                <w:iCs/>
              </w:rPr>
              <w:t xml:space="preserve"> 2 and 3</w:t>
            </w:r>
            <w:r w:rsidR="00C40D5A">
              <w:rPr>
                <w:b/>
                <w:bCs/>
                <w:i/>
                <w:iCs/>
              </w:rPr>
              <w:t>]</w:t>
            </w:r>
          </w:p>
        </w:tc>
        <w:tc>
          <w:tcPr>
            <w:tcW w:w="3912" w:type="dxa"/>
          </w:tcPr>
          <w:p w:rsidR="00325E95" w:rsidRPr="007B6068" w:rsidRDefault="00325E95" w:rsidP="007D3360">
            <w:pPr>
              <w:pStyle w:val="tabletext"/>
              <w:ind w:left="27"/>
              <w:rPr>
                <w:rStyle w:val="Referencingstyle"/>
              </w:rPr>
            </w:pPr>
            <w:r>
              <w:t xml:space="preserve">Ensures that the definition of ‘member’ is grammatically correct.  The definition uses the word ‘means’ in the opening line and then has the words ‘has the meaning’ in paragraphs (a) and (c).  </w:t>
            </w:r>
          </w:p>
        </w:tc>
      </w:tr>
    </w:tbl>
    <w:p w:rsidR="00325E95" w:rsidRDefault="00325E95" w:rsidP="007D3360">
      <w:pPr>
        <w:pStyle w:val="Heading3"/>
        <w:keepLines/>
      </w:pPr>
      <w:bookmarkStart w:id="18" w:name="OLE_LINK5"/>
      <w:bookmarkStart w:id="19" w:name="OLE_LINK6"/>
      <w:r w:rsidRPr="00F53555">
        <w:lastRenderedPageBreak/>
        <w:t xml:space="preserve">Part </w:t>
      </w:r>
      <w:r>
        <w:t>2</w:t>
      </w:r>
      <w:r w:rsidRPr="00F53555">
        <w:t xml:space="preserve"> — </w:t>
      </w:r>
      <w:r>
        <w:t>Approved worker entitlement funds</w:t>
      </w:r>
    </w:p>
    <w:p w:rsidR="00325E95" w:rsidRPr="00482A78" w:rsidRDefault="00325E95" w:rsidP="00DC00CE">
      <w:pPr>
        <w:pStyle w:val="TableHeadingoutsidetable"/>
        <w:numPr>
          <w:ilvl w:val="4"/>
          <w:numId w:val="21"/>
        </w:numPr>
        <w:spacing w:after="240"/>
      </w:pPr>
      <w:r w:rsidRPr="00093C54">
        <w:t>:</w:t>
      </w:r>
      <w:r w:rsidRPr="0012537C">
        <w:t xml:space="preserve">  </w:t>
      </w:r>
      <w:r w:rsidR="008A6181">
        <w:t>Part 2 — A</w:t>
      </w:r>
      <w:r w:rsidRPr="00411AAD">
        <w:t>pproved worker entitlement funds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912"/>
      </w:tblGrid>
      <w:tr w:rsidR="00325E95" w:rsidRPr="00F53555" w:rsidTr="007D3360">
        <w:trPr>
          <w:tblHeader/>
        </w:trPr>
        <w:tc>
          <w:tcPr>
            <w:tcW w:w="2694" w:type="dxa"/>
          </w:tcPr>
          <w:p w:rsidR="00325E95" w:rsidRPr="00F53555" w:rsidRDefault="00325E95" w:rsidP="007D3360">
            <w:pPr>
              <w:pStyle w:val="tableheaderwithintable"/>
            </w:pPr>
            <w:r w:rsidRPr="00F53555">
              <w:t>Provision being amended</w:t>
            </w:r>
          </w:p>
        </w:tc>
        <w:tc>
          <w:tcPr>
            <w:tcW w:w="3912" w:type="dxa"/>
          </w:tcPr>
          <w:p w:rsidR="00325E95" w:rsidRPr="00F53555" w:rsidRDefault="00325E95" w:rsidP="007D3360">
            <w:pPr>
              <w:pStyle w:val="tableheaderwithintable"/>
            </w:pPr>
            <w:r w:rsidRPr="00F53555">
              <w:t>What the amendment does</w:t>
            </w:r>
          </w:p>
        </w:tc>
      </w:tr>
      <w:tr w:rsidR="00325E95" w:rsidRPr="00F20468" w:rsidTr="007D3360">
        <w:trPr>
          <w:cantSplit/>
        </w:trPr>
        <w:tc>
          <w:tcPr>
            <w:tcW w:w="2694" w:type="dxa"/>
          </w:tcPr>
          <w:p w:rsidR="00325E95" w:rsidRDefault="00325E95" w:rsidP="007D3360">
            <w:pPr>
              <w:pStyle w:val="tabletext0"/>
              <w:spacing w:before="40" w:beforeAutospacing="0" w:after="40" w:afterAutospacing="0"/>
              <w:ind w:left="34"/>
              <w:rPr>
                <w:rFonts w:eastAsiaTheme="minorHAnsi"/>
                <w:b/>
                <w:bCs/>
                <w:i/>
                <w:iCs/>
                <w:sz w:val="20"/>
                <w:szCs w:val="20"/>
              </w:rPr>
            </w:pPr>
            <w:r w:rsidRPr="00517B10">
              <w:rPr>
                <w:rFonts w:eastAsiaTheme="minorHAnsi"/>
                <w:b/>
                <w:bCs/>
                <w:i/>
                <w:iCs/>
                <w:sz w:val="20"/>
                <w:szCs w:val="20"/>
              </w:rPr>
              <w:t>Fringe Benefits Tax Assessment Act 1986</w:t>
            </w:r>
          </w:p>
          <w:p w:rsidR="00325E95" w:rsidRDefault="00325E95" w:rsidP="007D3360">
            <w:pPr>
              <w:pStyle w:val="tabletext0"/>
              <w:spacing w:before="40" w:beforeAutospacing="0" w:after="40" w:afterAutospacing="0"/>
              <w:ind w:left="34"/>
              <w:rPr>
                <w:rFonts w:eastAsiaTheme="minorHAnsi"/>
                <w:b/>
                <w:bCs/>
                <w:i/>
                <w:iCs/>
                <w:sz w:val="20"/>
                <w:szCs w:val="20"/>
              </w:rPr>
            </w:pPr>
            <w:r w:rsidRPr="00517B10">
              <w:rPr>
                <w:rFonts w:eastAsiaTheme="minorHAnsi"/>
                <w:sz w:val="20"/>
                <w:szCs w:val="20"/>
              </w:rPr>
              <w:t>58PB(2) and (3)</w:t>
            </w:r>
            <w:r w:rsidRPr="00517B10">
              <w:rPr>
                <w:rFonts w:eastAsiaTheme="minorHAnsi"/>
                <w:sz w:val="20"/>
                <w:szCs w:val="20"/>
              </w:rPr>
              <w:br/>
              <w:t>58PB(4)</w:t>
            </w:r>
            <w:r w:rsidRPr="00517B10">
              <w:rPr>
                <w:rFonts w:eastAsiaTheme="minorHAnsi"/>
                <w:sz w:val="20"/>
                <w:szCs w:val="20"/>
              </w:rPr>
              <w:br/>
              <w:t>58PC</w:t>
            </w:r>
            <w:r w:rsidRPr="00517B10">
              <w:rPr>
                <w:rFonts w:eastAsiaTheme="minorHAnsi"/>
                <w:sz w:val="20"/>
                <w:szCs w:val="20"/>
              </w:rPr>
              <w:br/>
            </w:r>
            <w:r w:rsidR="00C40D5A">
              <w:rPr>
                <w:rFonts w:eastAsiaTheme="minorHAnsi"/>
                <w:b/>
                <w:i/>
                <w:sz w:val="20"/>
                <w:szCs w:val="20"/>
              </w:rPr>
              <w:t>[I</w:t>
            </w:r>
            <w:r w:rsidRPr="00AB2B44">
              <w:rPr>
                <w:rFonts w:eastAsiaTheme="minorHAnsi"/>
                <w:b/>
                <w:i/>
                <w:sz w:val="20"/>
                <w:szCs w:val="20"/>
              </w:rPr>
              <w:t>tems 4 to 8</w:t>
            </w:r>
            <w:r w:rsidR="00C40D5A">
              <w:rPr>
                <w:rFonts w:eastAsiaTheme="minorHAnsi"/>
                <w:b/>
                <w:i/>
                <w:sz w:val="20"/>
                <w:szCs w:val="20"/>
              </w:rPr>
              <w:t>]</w:t>
            </w:r>
            <w:r w:rsidRPr="00517B10">
              <w:rPr>
                <w:rFonts w:eastAsiaTheme="minorHAnsi"/>
                <w:sz w:val="20"/>
                <w:szCs w:val="20"/>
              </w:rPr>
              <w:br/>
            </w:r>
          </w:p>
          <w:p w:rsidR="00325E95" w:rsidRDefault="00325E95" w:rsidP="007D3360">
            <w:pPr>
              <w:pStyle w:val="tabletext0"/>
              <w:spacing w:before="40" w:beforeAutospacing="0" w:after="40" w:afterAutospacing="0"/>
              <w:ind w:left="34"/>
              <w:rPr>
                <w:rFonts w:eastAsiaTheme="minorHAnsi"/>
                <w:b/>
                <w:bCs/>
                <w:i/>
                <w:iCs/>
                <w:sz w:val="20"/>
                <w:szCs w:val="20"/>
              </w:rPr>
            </w:pPr>
            <w:r w:rsidRPr="00C14F0C">
              <w:rPr>
                <w:rFonts w:eastAsiaTheme="minorHAnsi"/>
                <w:b/>
                <w:bCs/>
                <w:i/>
                <w:iCs/>
                <w:sz w:val="20"/>
                <w:szCs w:val="20"/>
              </w:rPr>
              <w:t>Income Tax Assessment</w:t>
            </w:r>
            <w:r>
              <w:rPr>
                <w:rFonts w:eastAsiaTheme="minorHAnsi"/>
                <w:b/>
                <w:bCs/>
                <w:i/>
                <w:iCs/>
                <w:sz w:val="20"/>
                <w:szCs w:val="20"/>
              </w:rPr>
              <w:t xml:space="preserve"> </w:t>
            </w:r>
            <w:r>
              <w:rPr>
                <w:rFonts w:eastAsiaTheme="minorHAnsi"/>
                <w:b/>
                <w:bCs/>
                <w:i/>
                <w:iCs/>
                <w:sz w:val="20"/>
                <w:szCs w:val="20"/>
              </w:rPr>
              <w:br/>
            </w:r>
            <w:r w:rsidRPr="00C14F0C">
              <w:rPr>
                <w:rFonts w:eastAsiaTheme="minorHAnsi"/>
                <w:b/>
                <w:bCs/>
                <w:i/>
                <w:iCs/>
                <w:sz w:val="20"/>
                <w:szCs w:val="20"/>
              </w:rPr>
              <w:t>Act 1997</w:t>
            </w:r>
          </w:p>
          <w:p w:rsidR="00325E95" w:rsidRDefault="00325E95" w:rsidP="007D3360">
            <w:pPr>
              <w:pStyle w:val="tabletext0"/>
              <w:spacing w:before="40" w:beforeAutospacing="0" w:after="40" w:afterAutospacing="0"/>
              <w:ind w:left="34"/>
              <w:rPr>
                <w:rFonts w:eastAsiaTheme="minorHAnsi"/>
                <w:b/>
                <w:bCs/>
                <w:i/>
                <w:iCs/>
                <w:sz w:val="20"/>
                <w:szCs w:val="20"/>
              </w:rPr>
            </w:pPr>
            <w:r w:rsidRPr="00517B10">
              <w:rPr>
                <w:rFonts w:eastAsiaTheme="minorHAnsi"/>
                <w:sz w:val="20"/>
                <w:szCs w:val="20"/>
              </w:rPr>
              <w:t>126-130(2)(b)</w:t>
            </w:r>
            <w:r w:rsidRPr="00517B10">
              <w:rPr>
                <w:rFonts w:eastAsiaTheme="minorHAnsi"/>
                <w:sz w:val="20"/>
                <w:szCs w:val="20"/>
              </w:rPr>
              <w:br/>
            </w:r>
            <w:r w:rsidR="00C40D5A">
              <w:rPr>
                <w:rFonts w:eastAsiaTheme="minorHAnsi"/>
                <w:b/>
                <w:i/>
                <w:sz w:val="20"/>
                <w:szCs w:val="20"/>
              </w:rPr>
              <w:t>[I</w:t>
            </w:r>
            <w:r w:rsidRPr="00AB2B44">
              <w:rPr>
                <w:rFonts w:eastAsiaTheme="minorHAnsi"/>
                <w:b/>
                <w:i/>
                <w:sz w:val="20"/>
                <w:szCs w:val="20"/>
              </w:rPr>
              <w:t>tem 9</w:t>
            </w:r>
            <w:r w:rsidR="00C40D5A">
              <w:rPr>
                <w:rFonts w:eastAsiaTheme="minorHAnsi"/>
                <w:b/>
                <w:i/>
                <w:sz w:val="20"/>
                <w:szCs w:val="20"/>
              </w:rPr>
              <w:t>]</w:t>
            </w:r>
            <w:r w:rsidRPr="00517B10">
              <w:rPr>
                <w:rFonts w:eastAsiaTheme="minorHAnsi"/>
                <w:sz w:val="20"/>
                <w:szCs w:val="20"/>
              </w:rPr>
              <w:br/>
            </w:r>
          </w:p>
          <w:p w:rsidR="00325E95" w:rsidRDefault="00325E95" w:rsidP="007D3360">
            <w:pPr>
              <w:pStyle w:val="tabletext0"/>
              <w:spacing w:before="40" w:beforeAutospacing="0" w:after="40" w:afterAutospacing="0"/>
              <w:ind w:left="34"/>
              <w:rPr>
                <w:rFonts w:eastAsiaTheme="minorHAnsi"/>
                <w:b/>
                <w:bCs/>
                <w:i/>
                <w:iCs/>
                <w:sz w:val="20"/>
                <w:szCs w:val="20"/>
              </w:rPr>
            </w:pPr>
            <w:r w:rsidRPr="00517B10">
              <w:rPr>
                <w:rFonts w:eastAsiaTheme="minorHAnsi"/>
                <w:b/>
                <w:bCs/>
                <w:i/>
                <w:iCs/>
                <w:sz w:val="20"/>
                <w:szCs w:val="20"/>
              </w:rPr>
              <w:t>T</w:t>
            </w:r>
            <w:r>
              <w:rPr>
                <w:rFonts w:eastAsiaTheme="minorHAnsi"/>
                <w:b/>
                <w:bCs/>
                <w:i/>
                <w:iCs/>
                <w:sz w:val="20"/>
                <w:szCs w:val="20"/>
              </w:rPr>
              <w:t xml:space="preserve">axation </w:t>
            </w:r>
            <w:r w:rsidRPr="00517B10">
              <w:rPr>
                <w:rFonts w:eastAsiaTheme="minorHAnsi"/>
                <w:b/>
                <w:bCs/>
                <w:i/>
                <w:iCs/>
                <w:sz w:val="20"/>
                <w:szCs w:val="20"/>
              </w:rPr>
              <w:t>A</w:t>
            </w:r>
            <w:r>
              <w:rPr>
                <w:rFonts w:eastAsiaTheme="minorHAnsi"/>
                <w:b/>
                <w:bCs/>
                <w:i/>
                <w:iCs/>
                <w:sz w:val="20"/>
                <w:szCs w:val="20"/>
              </w:rPr>
              <w:t xml:space="preserve">dministration </w:t>
            </w:r>
            <w:r>
              <w:rPr>
                <w:rFonts w:eastAsiaTheme="minorHAnsi"/>
                <w:b/>
                <w:bCs/>
                <w:i/>
                <w:iCs/>
                <w:sz w:val="20"/>
                <w:szCs w:val="20"/>
              </w:rPr>
              <w:br/>
            </w:r>
            <w:r w:rsidRPr="00517B10">
              <w:rPr>
                <w:rFonts w:eastAsiaTheme="minorHAnsi"/>
                <w:b/>
                <w:bCs/>
                <w:i/>
                <w:iCs/>
                <w:sz w:val="20"/>
                <w:szCs w:val="20"/>
              </w:rPr>
              <w:t>A</w:t>
            </w:r>
            <w:r>
              <w:rPr>
                <w:rFonts w:eastAsiaTheme="minorHAnsi"/>
                <w:b/>
                <w:bCs/>
                <w:i/>
                <w:iCs/>
                <w:sz w:val="20"/>
                <w:szCs w:val="20"/>
              </w:rPr>
              <w:t>ct</w:t>
            </w:r>
            <w:r w:rsidRPr="00517B10">
              <w:rPr>
                <w:rFonts w:eastAsiaTheme="minorHAnsi"/>
                <w:b/>
                <w:bCs/>
                <w:i/>
                <w:iCs/>
                <w:sz w:val="20"/>
                <w:szCs w:val="20"/>
              </w:rPr>
              <w:t xml:space="preserve"> 1953</w:t>
            </w:r>
          </w:p>
          <w:p w:rsidR="00325E95" w:rsidRPr="00517B10" w:rsidRDefault="00325E95" w:rsidP="007D3360">
            <w:pPr>
              <w:pStyle w:val="tabletext0"/>
              <w:spacing w:before="40" w:beforeAutospacing="0" w:after="40" w:afterAutospacing="0"/>
              <w:ind w:left="34"/>
              <w:rPr>
                <w:rFonts w:eastAsiaTheme="minorHAnsi"/>
                <w:sz w:val="20"/>
                <w:szCs w:val="20"/>
              </w:rPr>
            </w:pPr>
            <w:r w:rsidRPr="00517B10">
              <w:rPr>
                <w:rFonts w:eastAsiaTheme="minorHAnsi"/>
                <w:sz w:val="20"/>
                <w:szCs w:val="20"/>
              </w:rPr>
              <w:t>426-5(b</w:t>
            </w:r>
            <w:r>
              <w:rPr>
                <w:rFonts w:eastAsiaTheme="minorHAnsi"/>
                <w:sz w:val="20"/>
                <w:szCs w:val="20"/>
              </w:rPr>
              <w:t>a</w:t>
            </w:r>
            <w:r w:rsidRPr="00517B10">
              <w:rPr>
                <w:rFonts w:eastAsiaTheme="minorHAnsi"/>
                <w:sz w:val="20"/>
                <w:szCs w:val="20"/>
              </w:rPr>
              <w:t>) in Schedule 1</w:t>
            </w:r>
            <w:r w:rsidRPr="00517B10">
              <w:rPr>
                <w:rFonts w:eastAsiaTheme="minorHAnsi"/>
                <w:sz w:val="20"/>
                <w:szCs w:val="20"/>
              </w:rPr>
              <w:br/>
              <w:t>426-55 in Schedule 1 (paragraph (b) of the note)</w:t>
            </w:r>
          </w:p>
          <w:p w:rsidR="00325E95" w:rsidRPr="00517B10" w:rsidRDefault="00325E95" w:rsidP="00C40D5A">
            <w:pPr>
              <w:pStyle w:val="tabletext0"/>
              <w:spacing w:before="0" w:beforeAutospacing="0" w:after="0" w:afterAutospacing="0"/>
              <w:ind w:left="34"/>
              <w:rPr>
                <w:rFonts w:eastAsiaTheme="minorHAnsi"/>
              </w:rPr>
            </w:pPr>
            <w:r w:rsidRPr="00517B10">
              <w:rPr>
                <w:rFonts w:eastAsiaTheme="minorHAnsi"/>
                <w:bCs/>
                <w:iCs/>
                <w:sz w:val="20"/>
                <w:szCs w:val="20"/>
              </w:rPr>
              <w:t>426</w:t>
            </w:r>
            <w:r w:rsidRPr="00517B10">
              <w:rPr>
                <w:rFonts w:eastAsiaTheme="minorHAnsi"/>
                <w:sz w:val="20"/>
                <w:szCs w:val="20"/>
              </w:rPr>
              <w:t>-65(b</w:t>
            </w:r>
            <w:r>
              <w:rPr>
                <w:rFonts w:eastAsiaTheme="minorHAnsi"/>
                <w:sz w:val="20"/>
                <w:szCs w:val="20"/>
              </w:rPr>
              <w:t>a</w:t>
            </w:r>
            <w:r w:rsidRPr="00517B10">
              <w:rPr>
                <w:rFonts w:eastAsiaTheme="minorHAnsi"/>
                <w:sz w:val="20"/>
                <w:szCs w:val="20"/>
              </w:rPr>
              <w:t>)</w:t>
            </w:r>
            <w:r>
              <w:rPr>
                <w:rFonts w:eastAsiaTheme="minorHAnsi"/>
                <w:sz w:val="20"/>
                <w:szCs w:val="20"/>
              </w:rPr>
              <w:t xml:space="preserve"> and (bb) </w:t>
            </w:r>
            <w:r w:rsidRPr="00517B10">
              <w:rPr>
                <w:rFonts w:eastAsiaTheme="minorHAnsi"/>
                <w:sz w:val="20"/>
                <w:szCs w:val="20"/>
              </w:rPr>
              <w:t xml:space="preserve"> in Schedule 1</w:t>
            </w:r>
            <w:r>
              <w:rPr>
                <w:rFonts w:eastAsiaTheme="minorHAnsi"/>
                <w:sz w:val="20"/>
                <w:szCs w:val="20"/>
              </w:rPr>
              <w:br/>
            </w:r>
            <w:r w:rsidR="00C40D5A">
              <w:rPr>
                <w:rFonts w:eastAsiaTheme="minorHAnsi"/>
                <w:b/>
                <w:i/>
                <w:sz w:val="20"/>
                <w:szCs w:val="20"/>
              </w:rPr>
              <w:t>[I</w:t>
            </w:r>
            <w:r w:rsidRPr="00AB2B44">
              <w:rPr>
                <w:rFonts w:eastAsiaTheme="minorHAnsi"/>
                <w:b/>
                <w:i/>
                <w:sz w:val="20"/>
                <w:szCs w:val="20"/>
              </w:rPr>
              <w:t>tems 10 to 14</w:t>
            </w:r>
            <w:r w:rsidR="00C40D5A">
              <w:rPr>
                <w:rFonts w:eastAsiaTheme="minorHAnsi"/>
                <w:b/>
                <w:i/>
                <w:sz w:val="20"/>
                <w:szCs w:val="20"/>
              </w:rPr>
              <w:t>]</w:t>
            </w:r>
          </w:p>
        </w:tc>
        <w:tc>
          <w:tcPr>
            <w:tcW w:w="3912" w:type="dxa"/>
          </w:tcPr>
          <w:p w:rsidR="00325E95" w:rsidRPr="00177820" w:rsidRDefault="00325E95" w:rsidP="007D3360">
            <w:pPr>
              <w:pStyle w:val="tabletext"/>
            </w:pPr>
            <w:r>
              <w:t>Replaces the current approval arrangements with provisions that allow the Commissioner to endorse a fund as an approved worker entitlement fund or an entity endorsed to operate the fund when satisfied that it meets the legislative requirements without the need for the Governor-General to make a regulation.  The new arrangements will apply from the day after this Bill receives Royal Assent.  Existing funds will be given a six</w:t>
            </w:r>
            <w:r>
              <w:noBreakHyphen/>
              <w:t xml:space="preserve">month period to obtain an Australian Business Number.  The Australian Business Registrar will be required to enter a fund or entity as an endorsed fund or entity on the Australian Business Register.  The Registrar will have 18 months from the commencement date to make the changes to accommodate these amendments.  </w:t>
            </w:r>
          </w:p>
        </w:tc>
      </w:tr>
    </w:tbl>
    <w:bookmarkEnd w:id="18"/>
    <w:bookmarkEnd w:id="19"/>
    <w:p w:rsidR="00325E95" w:rsidRDefault="00325E95" w:rsidP="007D3360">
      <w:pPr>
        <w:pStyle w:val="Heading3"/>
      </w:pPr>
      <w:r w:rsidRPr="00592B1B">
        <w:t>Part 3 — Confidentiality of taxpayer information</w:t>
      </w:r>
    </w:p>
    <w:p w:rsidR="00325E95" w:rsidRPr="00226680" w:rsidRDefault="00325E95" w:rsidP="00DC00CE">
      <w:pPr>
        <w:pStyle w:val="TableHeadingoutsidetable"/>
        <w:numPr>
          <w:ilvl w:val="4"/>
          <w:numId w:val="21"/>
        </w:numPr>
        <w:spacing w:after="240"/>
      </w:pPr>
      <w:r w:rsidRPr="00093C54">
        <w:t>:</w:t>
      </w:r>
      <w:r>
        <w:t xml:space="preserve">  </w:t>
      </w:r>
      <w:r w:rsidR="008A6181">
        <w:t>Part 3 — C</w:t>
      </w:r>
      <w:r w:rsidRPr="00226680">
        <w:t>onfidentiality of taxpayer information</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912"/>
      </w:tblGrid>
      <w:tr w:rsidR="00325E95" w:rsidRPr="00F53555" w:rsidTr="007D3360">
        <w:trPr>
          <w:tblHeader/>
        </w:trPr>
        <w:tc>
          <w:tcPr>
            <w:tcW w:w="2694" w:type="dxa"/>
            <w:tcBorders>
              <w:bottom w:val="single" w:sz="4" w:space="0" w:color="auto"/>
            </w:tcBorders>
          </w:tcPr>
          <w:p w:rsidR="00325E95" w:rsidRPr="00F53555" w:rsidRDefault="00325E95" w:rsidP="007D3360">
            <w:pPr>
              <w:pStyle w:val="tableheaderwithintable"/>
            </w:pPr>
            <w:r w:rsidRPr="00F53555">
              <w:t>Provision being amended</w:t>
            </w:r>
          </w:p>
        </w:tc>
        <w:tc>
          <w:tcPr>
            <w:tcW w:w="3912" w:type="dxa"/>
            <w:tcBorders>
              <w:bottom w:val="single" w:sz="4" w:space="0" w:color="auto"/>
            </w:tcBorders>
          </w:tcPr>
          <w:p w:rsidR="00325E95" w:rsidRPr="00F53555" w:rsidRDefault="00325E95" w:rsidP="007D3360">
            <w:pPr>
              <w:pStyle w:val="tableheaderwithintable"/>
            </w:pPr>
            <w:r>
              <w:t>What the amendment</w:t>
            </w:r>
            <w:r w:rsidRPr="00F53555">
              <w:t xml:space="preserve"> does</w:t>
            </w:r>
          </w:p>
        </w:tc>
      </w:tr>
      <w:tr w:rsidR="00325E95" w:rsidRPr="00F20468" w:rsidTr="007D3360">
        <w:trPr>
          <w:cantSplit/>
        </w:trPr>
        <w:tc>
          <w:tcPr>
            <w:tcW w:w="2694" w:type="dxa"/>
            <w:tcBorders>
              <w:bottom w:val="single" w:sz="4" w:space="0" w:color="auto"/>
            </w:tcBorders>
          </w:tcPr>
          <w:p w:rsidR="00325E95" w:rsidRDefault="00325E95" w:rsidP="007D3360">
            <w:pPr>
              <w:pStyle w:val="tabletext"/>
              <w:ind w:left="34"/>
            </w:pPr>
            <w:r w:rsidRPr="00517B10">
              <w:rPr>
                <w:b/>
                <w:bCs/>
                <w:i/>
                <w:iCs/>
              </w:rPr>
              <w:t>Income Tax Assessment Act 1936</w:t>
            </w:r>
          </w:p>
          <w:p w:rsidR="00325E95" w:rsidRPr="00F53555" w:rsidRDefault="00325E95" w:rsidP="00C40D5A">
            <w:pPr>
              <w:pStyle w:val="tabletext"/>
              <w:ind w:left="34"/>
            </w:pPr>
            <w:r>
              <w:t>6(1)</w:t>
            </w:r>
            <w:r>
              <w:br/>
            </w:r>
            <w:r w:rsidR="00C40D5A">
              <w:rPr>
                <w:b/>
                <w:i/>
              </w:rPr>
              <w:t>[I</w:t>
            </w:r>
            <w:r w:rsidRPr="000D26A0">
              <w:rPr>
                <w:b/>
                <w:i/>
              </w:rPr>
              <w:t>tems 15 to 17</w:t>
            </w:r>
            <w:r w:rsidR="00C40D5A">
              <w:rPr>
                <w:b/>
                <w:i/>
              </w:rPr>
              <w:t>]</w:t>
            </w:r>
          </w:p>
        </w:tc>
        <w:tc>
          <w:tcPr>
            <w:tcW w:w="3912" w:type="dxa"/>
            <w:tcBorders>
              <w:bottom w:val="single" w:sz="4" w:space="0" w:color="auto"/>
            </w:tcBorders>
          </w:tcPr>
          <w:p w:rsidR="00325E95" w:rsidRPr="000B0E72" w:rsidRDefault="00325E95" w:rsidP="007D3360">
            <w:pPr>
              <w:pStyle w:val="tabletext"/>
            </w:pPr>
            <w:r w:rsidRPr="00145E46">
              <w:t>Repeals the definitions of ‘Employment Department’</w:t>
            </w:r>
            <w:r>
              <w:t xml:space="preserve"> and</w:t>
            </w:r>
            <w:r w:rsidRPr="00145E46">
              <w:t xml:space="preserve"> ‘Employment Minister’ to reflect the fact that these terms </w:t>
            </w:r>
            <w:r>
              <w:t>are now being</w:t>
            </w:r>
            <w:r w:rsidRPr="00145E46">
              <w:t xml:space="preserve"> defined in the ITAA 1997</w:t>
            </w:r>
            <w:r>
              <w:t xml:space="preserve">.  </w:t>
            </w:r>
            <w:r w:rsidRPr="00145E46">
              <w:t>The definition of ‘Employment Secretary’ is also amended so that it links into the appropriate ITAA 199</w:t>
            </w:r>
            <w:r>
              <w:t xml:space="preserve">7 definitions.  </w:t>
            </w:r>
          </w:p>
        </w:tc>
      </w:tr>
      <w:tr w:rsidR="00325E95" w:rsidRPr="00F20468" w:rsidTr="007D3360">
        <w:trPr>
          <w:cantSplit/>
        </w:trPr>
        <w:tc>
          <w:tcPr>
            <w:tcW w:w="2694" w:type="dxa"/>
            <w:tcBorders>
              <w:top w:val="single" w:sz="4" w:space="0" w:color="auto"/>
              <w:bottom w:val="single" w:sz="4" w:space="0" w:color="auto"/>
            </w:tcBorders>
          </w:tcPr>
          <w:p w:rsidR="00325E95" w:rsidRDefault="00325E95" w:rsidP="007D3360">
            <w:pPr>
              <w:pStyle w:val="tabletext"/>
              <w:ind w:left="34"/>
            </w:pPr>
            <w:r w:rsidRPr="00517B10">
              <w:rPr>
                <w:b/>
                <w:bCs/>
                <w:i/>
                <w:iCs/>
              </w:rPr>
              <w:t>Income Tax Assessment Act 1997</w:t>
            </w:r>
          </w:p>
          <w:p w:rsidR="00325E95" w:rsidRPr="00517B10" w:rsidRDefault="00325E95" w:rsidP="00C40D5A">
            <w:pPr>
              <w:pStyle w:val="tabletext"/>
              <w:ind w:left="34"/>
              <w:rPr>
                <w:b/>
                <w:bCs/>
                <w:i/>
                <w:iCs/>
              </w:rPr>
            </w:pPr>
            <w:r>
              <w:t>995-1(1)</w:t>
            </w:r>
            <w:r>
              <w:br/>
            </w:r>
            <w:r w:rsidR="00C40D5A">
              <w:rPr>
                <w:b/>
                <w:i/>
              </w:rPr>
              <w:t>[I</w:t>
            </w:r>
            <w:r w:rsidRPr="000D26A0">
              <w:rPr>
                <w:b/>
                <w:i/>
              </w:rPr>
              <w:t>tems 18 to 20</w:t>
            </w:r>
            <w:r w:rsidR="00C40D5A">
              <w:rPr>
                <w:b/>
                <w:i/>
              </w:rPr>
              <w:t>]</w:t>
            </w:r>
          </w:p>
        </w:tc>
        <w:tc>
          <w:tcPr>
            <w:tcW w:w="3912" w:type="dxa"/>
            <w:tcBorders>
              <w:top w:val="single" w:sz="4" w:space="0" w:color="auto"/>
              <w:bottom w:val="single" w:sz="4" w:space="0" w:color="auto"/>
            </w:tcBorders>
          </w:tcPr>
          <w:p w:rsidR="00325E95" w:rsidRPr="00517B10" w:rsidRDefault="00325E95" w:rsidP="007D3360">
            <w:pPr>
              <w:pStyle w:val="tabletext"/>
              <w:rPr>
                <w:b/>
                <w:i/>
                <w:sz w:val="18"/>
              </w:rPr>
            </w:pPr>
            <w:bookmarkStart w:id="20" w:name="OLE_LINK21"/>
            <w:bookmarkStart w:id="21" w:name="OLE_LINK22"/>
            <w:r>
              <w:t>Inserts the definitions of ‘Employment Department’, ‘Employment Minister’ and ‘Employment Secretary’</w:t>
            </w:r>
            <w:bookmarkEnd w:id="20"/>
            <w:bookmarkEnd w:id="21"/>
            <w:r w:rsidR="0015779B">
              <w:t>.</w:t>
            </w:r>
          </w:p>
        </w:tc>
      </w:tr>
      <w:tr w:rsidR="00325E95" w:rsidRPr="00F20468" w:rsidTr="007D3360">
        <w:trPr>
          <w:cantSplit/>
        </w:trPr>
        <w:tc>
          <w:tcPr>
            <w:tcW w:w="2694" w:type="dxa"/>
            <w:tcBorders>
              <w:top w:val="single" w:sz="4" w:space="0" w:color="auto"/>
              <w:bottom w:val="single" w:sz="4" w:space="0" w:color="auto"/>
            </w:tcBorders>
          </w:tcPr>
          <w:p w:rsidR="00325E95" w:rsidRDefault="00325E95" w:rsidP="007D3360">
            <w:pPr>
              <w:pStyle w:val="tabletext"/>
              <w:ind w:left="34"/>
              <w:rPr>
                <w:rFonts w:eastAsiaTheme="minorHAnsi"/>
                <w:b/>
                <w:bCs/>
                <w:i/>
                <w:iCs/>
              </w:rPr>
            </w:pPr>
            <w:r w:rsidRPr="0074247F">
              <w:rPr>
                <w:rFonts w:eastAsiaTheme="minorHAnsi"/>
                <w:b/>
                <w:bCs/>
                <w:i/>
                <w:iCs/>
              </w:rPr>
              <w:lastRenderedPageBreak/>
              <w:t xml:space="preserve">Taxation Administration </w:t>
            </w:r>
            <w:r w:rsidRPr="0074247F">
              <w:rPr>
                <w:rFonts w:eastAsiaTheme="minorHAnsi"/>
                <w:b/>
                <w:bCs/>
                <w:i/>
                <w:iCs/>
              </w:rPr>
              <w:br/>
              <w:t>Act 1953</w:t>
            </w:r>
          </w:p>
          <w:p w:rsidR="00325E95" w:rsidRDefault="00325E95" w:rsidP="007D3360">
            <w:pPr>
              <w:pStyle w:val="tabletext"/>
              <w:ind w:left="34"/>
              <w:rPr>
                <w:b/>
                <w:i/>
              </w:rPr>
            </w:pPr>
            <w:r w:rsidRPr="0074247F">
              <w:t xml:space="preserve">355-65(2) in Schedule 1 (cell </w:t>
            </w:r>
            <w:r>
              <w:t>in item 4</w:t>
            </w:r>
            <w:r w:rsidR="001B0C58">
              <w:t xml:space="preserve"> in the table</w:t>
            </w:r>
            <w:r w:rsidRPr="0074247F">
              <w:t xml:space="preserve">, column headed </w:t>
            </w:r>
            <w:r>
              <w:t>‘</w:t>
            </w:r>
            <w:r w:rsidRPr="0074247F">
              <w:t>The record is made for or the disclosure is to ...</w:t>
            </w:r>
            <w:r>
              <w:t>’</w:t>
            </w:r>
            <w:r w:rsidRPr="0074247F">
              <w:t>)</w:t>
            </w:r>
            <w:r w:rsidRPr="0074247F">
              <w:br/>
            </w:r>
            <w:r w:rsidR="00C40D5A">
              <w:rPr>
                <w:b/>
                <w:i/>
              </w:rPr>
              <w:t>[I</w:t>
            </w:r>
            <w:r w:rsidRPr="0074247F">
              <w:rPr>
                <w:b/>
                <w:i/>
              </w:rPr>
              <w:t>tem 21</w:t>
            </w:r>
            <w:r w:rsidR="00C40D5A">
              <w:rPr>
                <w:b/>
                <w:i/>
              </w:rPr>
              <w:t>]</w:t>
            </w:r>
          </w:p>
          <w:p w:rsidR="00325E95" w:rsidRDefault="00325E95" w:rsidP="007D3360">
            <w:pPr>
              <w:pStyle w:val="tabletext"/>
              <w:ind w:left="34"/>
              <w:rPr>
                <w:b/>
                <w:i/>
              </w:rPr>
            </w:pPr>
            <w:r>
              <w:br/>
            </w:r>
            <w:r w:rsidRPr="0074247F">
              <w:t xml:space="preserve">355-65(2) in Schedule 1 (cell </w:t>
            </w:r>
            <w:r>
              <w:t>in item 6 in the table</w:t>
            </w:r>
            <w:r w:rsidR="001B0C58">
              <w:t>,</w:t>
            </w:r>
            <w:r w:rsidRPr="0074247F">
              <w:t xml:space="preserve"> column headed </w:t>
            </w:r>
            <w:r>
              <w:t>‘</w:t>
            </w:r>
            <w:r w:rsidRPr="0074247F">
              <w:t>The record is made for or the disclosure is to ...</w:t>
            </w:r>
            <w:r>
              <w:t>’</w:t>
            </w:r>
            <w:r w:rsidRPr="0074247F">
              <w:t>)</w:t>
            </w:r>
            <w:r w:rsidRPr="0074247F">
              <w:br/>
            </w:r>
            <w:r w:rsidR="00C40D5A">
              <w:rPr>
                <w:b/>
                <w:i/>
              </w:rPr>
              <w:t>[I</w:t>
            </w:r>
            <w:r w:rsidRPr="0074247F">
              <w:rPr>
                <w:b/>
                <w:i/>
              </w:rPr>
              <w:t>tems 22 and 24</w:t>
            </w:r>
            <w:r w:rsidR="00C40D5A">
              <w:rPr>
                <w:b/>
                <w:i/>
              </w:rPr>
              <w:t>]</w:t>
            </w:r>
          </w:p>
          <w:p w:rsidR="00325E95" w:rsidRDefault="00325E95" w:rsidP="007D3360">
            <w:pPr>
              <w:pStyle w:val="tabletext"/>
              <w:ind w:left="34"/>
              <w:rPr>
                <w:b/>
                <w:i/>
              </w:rPr>
            </w:pPr>
          </w:p>
          <w:p w:rsidR="00325E95" w:rsidRDefault="00325E95" w:rsidP="007D3360">
            <w:pPr>
              <w:pStyle w:val="tabletext"/>
              <w:ind w:left="34"/>
              <w:rPr>
                <w:b/>
                <w:i/>
              </w:rPr>
            </w:pPr>
          </w:p>
          <w:p w:rsidR="00325E95" w:rsidRDefault="00325E95" w:rsidP="007D3360">
            <w:pPr>
              <w:pStyle w:val="tabletext"/>
              <w:ind w:left="34"/>
              <w:rPr>
                <w:b/>
                <w:i/>
              </w:rPr>
            </w:pPr>
          </w:p>
          <w:p w:rsidR="00325E95" w:rsidRDefault="00325E95" w:rsidP="007D3360">
            <w:pPr>
              <w:pStyle w:val="tabletext"/>
              <w:ind w:left="34"/>
              <w:rPr>
                <w:b/>
                <w:i/>
              </w:rPr>
            </w:pPr>
          </w:p>
          <w:p w:rsidR="00325E95" w:rsidRDefault="00325E95" w:rsidP="007D3360">
            <w:pPr>
              <w:pStyle w:val="tabletext"/>
              <w:ind w:left="34"/>
              <w:rPr>
                <w:b/>
                <w:i/>
              </w:rPr>
            </w:pPr>
          </w:p>
          <w:p w:rsidR="00325E95" w:rsidRDefault="00325E95" w:rsidP="007D3360">
            <w:pPr>
              <w:pStyle w:val="tabletext"/>
              <w:ind w:left="34"/>
              <w:rPr>
                <w:b/>
                <w:i/>
              </w:rPr>
            </w:pPr>
          </w:p>
          <w:p w:rsidR="00325E95" w:rsidRDefault="00325E95" w:rsidP="007D3360">
            <w:pPr>
              <w:pStyle w:val="tabletext"/>
              <w:ind w:left="34"/>
              <w:rPr>
                <w:b/>
                <w:i/>
              </w:rPr>
            </w:pPr>
          </w:p>
          <w:p w:rsidR="00325E95" w:rsidRPr="0074247F" w:rsidRDefault="00325E95" w:rsidP="00C40D5A">
            <w:pPr>
              <w:pStyle w:val="tabletext"/>
              <w:ind w:left="34"/>
              <w:rPr>
                <w:b/>
                <w:bCs/>
                <w:i/>
                <w:iCs/>
              </w:rPr>
            </w:pPr>
            <w:r w:rsidRPr="0074247F">
              <w:t xml:space="preserve">355-65(5) in Schedule 1 (paragraph (b) of the cell </w:t>
            </w:r>
            <w:r>
              <w:t>in the table</w:t>
            </w:r>
            <w:r w:rsidRPr="0074247F">
              <w:t xml:space="preserve">, column headed </w:t>
            </w:r>
            <w:r>
              <w:t>‘</w:t>
            </w:r>
            <w:r w:rsidRPr="0074247F">
              <w:t>and the record or disclosure ...</w:t>
            </w:r>
            <w:r>
              <w:t>’</w:t>
            </w:r>
            <w:r w:rsidRPr="0074247F">
              <w:t>)</w:t>
            </w:r>
            <w:r w:rsidRPr="0074247F">
              <w:br/>
            </w:r>
            <w:r w:rsidR="00C40D5A">
              <w:rPr>
                <w:b/>
                <w:i/>
              </w:rPr>
              <w:t>[I</w:t>
            </w:r>
            <w:r w:rsidRPr="0074247F">
              <w:rPr>
                <w:b/>
                <w:i/>
              </w:rPr>
              <w:t>tem 23</w:t>
            </w:r>
            <w:r w:rsidR="00C40D5A">
              <w:rPr>
                <w:b/>
                <w:i/>
              </w:rPr>
              <w:t>]</w:t>
            </w:r>
          </w:p>
        </w:tc>
        <w:tc>
          <w:tcPr>
            <w:tcW w:w="3912" w:type="dxa"/>
            <w:tcBorders>
              <w:top w:val="single" w:sz="4" w:space="0" w:color="auto"/>
              <w:bottom w:val="single" w:sz="4" w:space="0" w:color="auto"/>
            </w:tcBorders>
          </w:tcPr>
          <w:p w:rsidR="00325E95" w:rsidRDefault="00325E95" w:rsidP="007D3360">
            <w:pPr>
              <w:pStyle w:val="tabletext"/>
            </w:pPr>
            <w:r>
              <w:t>Supplements the reference to ‘Education Secretary’ with a reference to ‘Employment Secretary’.  This clarifies that disclosure under this provision can be made to the Education/Employment Secretary in each separate capacity.</w:t>
            </w:r>
          </w:p>
          <w:p w:rsidR="00325E95" w:rsidRDefault="00325E95" w:rsidP="007D3360">
            <w:pPr>
              <w:pStyle w:val="tabletext"/>
            </w:pPr>
          </w:p>
          <w:p w:rsidR="00325E95" w:rsidRDefault="00325E95" w:rsidP="007D3360">
            <w:pPr>
              <w:pStyle w:val="tabletext"/>
            </w:pPr>
            <w:r>
              <w:br/>
            </w:r>
            <w:r w:rsidRPr="00A47096">
              <w:t xml:space="preserve">Supplements the reference to the </w:t>
            </w:r>
            <w:r>
              <w:t>‘</w:t>
            </w:r>
            <w:r w:rsidRPr="00A47096">
              <w:t>Families Secretary</w:t>
            </w:r>
            <w:r>
              <w:t>’</w:t>
            </w:r>
            <w:r w:rsidRPr="00A47096">
              <w:t xml:space="preserve"> to include a reference to the </w:t>
            </w:r>
            <w:r>
              <w:t>‘</w:t>
            </w:r>
            <w:r w:rsidRPr="00A47096">
              <w:t>Chief Executive Officer of Centrelink</w:t>
            </w:r>
            <w:r>
              <w:t xml:space="preserve">’.  </w:t>
            </w:r>
            <w:r w:rsidRPr="00A47096">
              <w:t>This recognises the reality that disclosures made to the Family Assistance Office for the purpose of administering family tax benefit payments are made to Centrelink Officers</w:t>
            </w:r>
            <w:r>
              <w:t>.  A</w:t>
            </w:r>
            <w:r w:rsidRPr="00A47096">
              <w:t>n</w:t>
            </w:r>
            <w:r w:rsidRPr="00A47096">
              <w:rPr>
                <w:b/>
              </w:rPr>
              <w:t xml:space="preserve"> </w:t>
            </w:r>
            <w:r w:rsidRPr="00A47096">
              <w:t xml:space="preserve">amendment contingent on the </w:t>
            </w:r>
            <w:r w:rsidRPr="00A47096">
              <w:rPr>
                <w:i/>
              </w:rPr>
              <w:t>Human Services Legislation Amendment Act 2011</w:t>
            </w:r>
            <w:r w:rsidRPr="00A47096">
              <w:t xml:space="preserve"> </w:t>
            </w:r>
            <w:r w:rsidR="00FD7E2D">
              <w:t xml:space="preserve">is made </w:t>
            </w:r>
            <w:r w:rsidRPr="00A47096">
              <w:t xml:space="preserve">to replace the reference of </w:t>
            </w:r>
            <w:r>
              <w:t>‘</w:t>
            </w:r>
            <w:r w:rsidRPr="00A47096">
              <w:t>Chief Executive Officer of Centrelink</w:t>
            </w:r>
            <w:r>
              <w:t>’</w:t>
            </w:r>
            <w:r w:rsidRPr="00A47096">
              <w:t xml:space="preserve"> with </w:t>
            </w:r>
            <w:r>
              <w:t>‘</w:t>
            </w:r>
            <w:r w:rsidRPr="00A47096">
              <w:t>Chief Executive Centrelink</w:t>
            </w:r>
            <w:r>
              <w:t>’</w:t>
            </w:r>
            <w:r w:rsidRPr="00A47096">
              <w:t xml:space="preserve"> (within the meaning of the </w:t>
            </w:r>
            <w:r w:rsidRPr="00A47096">
              <w:rPr>
                <w:i/>
              </w:rPr>
              <w:t>Human Services (Centrelink) Act 1997</w:t>
            </w:r>
            <w:r w:rsidRPr="0074247F">
              <w:t>)</w:t>
            </w:r>
            <w:r>
              <w:t>’</w:t>
            </w:r>
            <w:r w:rsidRPr="0074247F">
              <w:t>.</w:t>
            </w:r>
          </w:p>
          <w:p w:rsidR="00325E95" w:rsidRDefault="00325E95" w:rsidP="007D3360">
            <w:pPr>
              <w:pStyle w:val="tabletext"/>
            </w:pPr>
          </w:p>
          <w:p w:rsidR="00325E95" w:rsidRDefault="00325E95" w:rsidP="007D3360">
            <w:pPr>
              <w:pStyle w:val="tabletext"/>
            </w:pPr>
            <w:r>
              <w:t>Replaces the words</w:t>
            </w:r>
            <w:r w:rsidRPr="00400D02">
              <w:t xml:space="preserve"> </w:t>
            </w:r>
            <w:r>
              <w:t>‘</w:t>
            </w:r>
            <w:r w:rsidRPr="00400D02">
              <w:t>or residential address information</w:t>
            </w:r>
            <w:r>
              <w:t>’</w:t>
            </w:r>
            <w:r w:rsidR="00FD7E2D">
              <w:t xml:space="preserve"> </w:t>
            </w:r>
            <w:r>
              <w:t>with ‘</w:t>
            </w:r>
            <w:r w:rsidRPr="00400D02">
              <w:t>residential address information or spousal information</w:t>
            </w:r>
            <w:r>
              <w:t xml:space="preserve">’.  </w:t>
            </w:r>
          </w:p>
        </w:tc>
      </w:tr>
    </w:tbl>
    <w:bookmarkEnd w:id="16"/>
    <w:bookmarkEnd w:id="17"/>
    <w:p w:rsidR="00325E95" w:rsidRDefault="00325E95" w:rsidP="007D3360">
      <w:pPr>
        <w:pStyle w:val="Heading3"/>
      </w:pPr>
      <w:r w:rsidRPr="00F53555">
        <w:t xml:space="preserve">Part </w:t>
      </w:r>
      <w:r>
        <w:t>4</w:t>
      </w:r>
      <w:r w:rsidRPr="00F53555">
        <w:t xml:space="preserve"> —</w:t>
      </w:r>
      <w:r>
        <w:t xml:space="preserve"> Employee share schemes</w:t>
      </w:r>
    </w:p>
    <w:p w:rsidR="00325E95" w:rsidRDefault="00325E95" w:rsidP="00DC00CE">
      <w:pPr>
        <w:pStyle w:val="base-text-paragraph"/>
        <w:numPr>
          <w:ilvl w:val="1"/>
          <w:numId w:val="21"/>
        </w:numPr>
        <w:ind w:left="1276"/>
      </w:pPr>
      <w:r>
        <w:t xml:space="preserve">These amendments make some miscellaneous changes to ensure recent reforms to the taxation of employee share schemes, introduced in the </w:t>
      </w:r>
      <w:r w:rsidRPr="00BA415B">
        <w:rPr>
          <w:i/>
        </w:rPr>
        <w:t xml:space="preserve">Tax Laws Amendment (2009 Budget Measures </w:t>
      </w:r>
      <w:r>
        <w:rPr>
          <w:i/>
        </w:rPr>
        <w:t xml:space="preserve">No. </w:t>
      </w:r>
      <w:r w:rsidRPr="00BA415B">
        <w:rPr>
          <w:i/>
        </w:rPr>
        <w:t>2) Act 2009</w:t>
      </w:r>
      <w:r>
        <w:t>, apply as intended.</w:t>
      </w:r>
    </w:p>
    <w:p w:rsidR="00325E95" w:rsidRDefault="00325E95" w:rsidP="00DC00CE">
      <w:pPr>
        <w:pStyle w:val="base-text-paragraph"/>
        <w:numPr>
          <w:ilvl w:val="1"/>
          <w:numId w:val="21"/>
        </w:numPr>
        <w:ind w:left="1276"/>
      </w:pPr>
      <w:r>
        <w:t xml:space="preserve">An employee share scheme provides employees with a financial interest in the company they work for through the distribution of shares in that company.  Employee share schemes are concessionally taxed to align the interests of employees with their employer.  </w:t>
      </w:r>
    </w:p>
    <w:p w:rsidR="00325E95" w:rsidRPr="00482A78" w:rsidRDefault="00325E95" w:rsidP="00DC00CE">
      <w:pPr>
        <w:pStyle w:val="TableHeadingoutsidetable"/>
        <w:numPr>
          <w:ilvl w:val="4"/>
          <w:numId w:val="21"/>
        </w:numPr>
        <w:spacing w:after="240"/>
      </w:pPr>
      <w:r w:rsidRPr="00093C54">
        <w:lastRenderedPageBreak/>
        <w:t>:</w:t>
      </w:r>
      <w:r w:rsidRPr="0012537C">
        <w:t xml:space="preserve">  </w:t>
      </w:r>
      <w:r w:rsidR="008A6181">
        <w:t xml:space="preserve">Part 4 —Employee share schemes — </w:t>
      </w:r>
      <w:r w:rsidRPr="00FE55BC">
        <w:t>Amendments</w:t>
      </w:r>
      <w:r w:rsidRPr="00617914">
        <w:t xml:space="preserve"> to the</w:t>
      </w:r>
      <w:r w:rsidRPr="0012537C">
        <w:t xml:space="preserve"> </w:t>
      </w:r>
      <w:r w:rsidRPr="00CC341C">
        <w:rPr>
          <w:i/>
        </w:rPr>
        <w:t>Income Tax Assessment Act</w:t>
      </w:r>
      <w:r w:rsidRPr="00411AAD">
        <w:t xml:space="preserve"> 1997</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912"/>
      </w:tblGrid>
      <w:tr w:rsidR="00325E95" w:rsidRPr="00F53555" w:rsidTr="007D3360">
        <w:trPr>
          <w:tblHeader/>
        </w:trPr>
        <w:tc>
          <w:tcPr>
            <w:tcW w:w="2694" w:type="dxa"/>
          </w:tcPr>
          <w:p w:rsidR="00325E95" w:rsidRPr="00F53555" w:rsidRDefault="00325E95" w:rsidP="007D3360">
            <w:pPr>
              <w:pStyle w:val="tableheaderwithintable"/>
              <w:keepLines/>
            </w:pPr>
            <w:r w:rsidRPr="00F53555">
              <w:t>Provision being amended</w:t>
            </w:r>
          </w:p>
        </w:tc>
        <w:tc>
          <w:tcPr>
            <w:tcW w:w="3912" w:type="dxa"/>
          </w:tcPr>
          <w:p w:rsidR="00325E95" w:rsidRPr="00F53555" w:rsidRDefault="00325E95" w:rsidP="007D3360">
            <w:pPr>
              <w:pStyle w:val="tableheaderwithintable"/>
              <w:keepLines/>
            </w:pPr>
            <w:r w:rsidRPr="00F53555">
              <w:t>What the amendment does</w:t>
            </w:r>
          </w:p>
        </w:tc>
      </w:tr>
      <w:tr w:rsidR="00325E95" w:rsidRPr="00F20468" w:rsidTr="007D3360">
        <w:tc>
          <w:tcPr>
            <w:tcW w:w="2694" w:type="dxa"/>
          </w:tcPr>
          <w:p w:rsidR="00325E95" w:rsidRDefault="00325E95" w:rsidP="007D3360">
            <w:pPr>
              <w:pStyle w:val="tabletext"/>
              <w:keepNext/>
              <w:keepLines/>
              <w:ind w:left="34"/>
            </w:pPr>
            <w:r w:rsidRPr="00C14F0C">
              <w:rPr>
                <w:rFonts w:eastAsiaTheme="minorHAnsi"/>
                <w:b/>
                <w:bCs/>
                <w:i/>
                <w:iCs/>
              </w:rPr>
              <w:t>Income Tax Assessment Act</w:t>
            </w:r>
            <w:r>
              <w:rPr>
                <w:rFonts w:eastAsiaTheme="minorHAnsi"/>
                <w:b/>
                <w:bCs/>
                <w:i/>
                <w:iCs/>
              </w:rPr>
              <w:t> </w:t>
            </w:r>
            <w:r w:rsidRPr="00C14F0C">
              <w:rPr>
                <w:rFonts w:eastAsiaTheme="minorHAnsi"/>
                <w:b/>
                <w:bCs/>
                <w:i/>
                <w:iCs/>
              </w:rPr>
              <w:t>1997</w:t>
            </w:r>
          </w:p>
          <w:p w:rsidR="00325E95" w:rsidRDefault="00325E95" w:rsidP="00C40D5A">
            <w:pPr>
              <w:pStyle w:val="tabletext"/>
              <w:keepNext/>
              <w:keepLines/>
              <w:ind w:left="34"/>
              <w:rPr>
                <w:highlight w:val="yellow"/>
              </w:rPr>
            </w:pPr>
            <w:r>
              <w:t>104-75(6)(note)</w:t>
            </w:r>
            <w:r>
              <w:br/>
              <w:t>104-85(6)</w:t>
            </w:r>
            <w:r>
              <w:br/>
            </w:r>
            <w:r w:rsidRPr="00295F98">
              <w:t>130-90(1A)</w:t>
            </w:r>
            <w:r w:rsidRPr="00295F98">
              <w:br/>
              <w:t>130-90(2)</w:t>
            </w:r>
            <w:r>
              <w:br/>
            </w:r>
            <w:r w:rsidR="00C40D5A">
              <w:rPr>
                <w:b/>
                <w:i/>
              </w:rPr>
              <w:t>[I</w:t>
            </w:r>
            <w:r w:rsidRPr="00CB608F">
              <w:rPr>
                <w:b/>
                <w:i/>
              </w:rPr>
              <w:t>tems 25 to 29</w:t>
            </w:r>
            <w:r w:rsidR="00C40D5A">
              <w:rPr>
                <w:b/>
                <w:i/>
              </w:rPr>
              <w:t>]</w:t>
            </w:r>
            <w:r>
              <w:br/>
            </w:r>
          </w:p>
        </w:tc>
        <w:tc>
          <w:tcPr>
            <w:tcW w:w="3912" w:type="dxa"/>
          </w:tcPr>
          <w:p w:rsidR="00325E95" w:rsidRDefault="00325E95" w:rsidP="007D3360">
            <w:pPr>
              <w:pStyle w:val="tabletext"/>
              <w:keepNext/>
              <w:keepLines/>
              <w:rPr>
                <w:rStyle w:val="Referencingstyle"/>
              </w:rPr>
            </w:pPr>
            <w:bookmarkStart w:id="22" w:name="OLE_LINK31"/>
            <w:bookmarkStart w:id="23" w:name="OLE_LINK32"/>
            <w:r w:rsidRPr="002F115E">
              <w:t>Ensures that any capital gain or loss made by an employee share trust is disregarded if it arises as a result of a beneficiary of the trust becoming absolutely entitled to an employee share scheme share, or as a result of a disposal of an employee share scheme share or right to a beneficiary</w:t>
            </w:r>
            <w:r>
              <w:t xml:space="preserve">.  </w:t>
            </w:r>
          </w:p>
          <w:bookmarkEnd w:id="22"/>
          <w:bookmarkEnd w:id="23"/>
          <w:p w:rsidR="00325E95" w:rsidRDefault="00325E95" w:rsidP="007D3360">
            <w:pPr>
              <w:pStyle w:val="tabletext"/>
              <w:keepNext/>
              <w:keepLines/>
            </w:pPr>
            <w:r>
              <w:t>An employee share trust is a trust which obtains employee share scheme interests in a company, and provides them on behalf of employers to employees of that company or their associates, or carries out activities incidental to the holding and providing of employee share scheme interests (for example, bookkeeping, passing on dividends or opening and closing employee accounts).  Use of an employee share trust is a common feature of employee share schemes, and provides a convenient mechanism for issuing shares that may later be forfeited.</w:t>
            </w:r>
          </w:p>
          <w:p w:rsidR="00325E95" w:rsidRDefault="00325E95" w:rsidP="007D3360">
            <w:pPr>
              <w:pStyle w:val="tabletext"/>
              <w:keepNext/>
              <w:keepLines/>
            </w:pPr>
            <w:r>
              <w:t>An employee share trust should not have to include capital gains or losses made when providing shares or rights to shares in the trust to a beneficiary as a part of the operation of an employee share scheme in their assessable income (subject to certain integrity rules).</w:t>
            </w:r>
          </w:p>
          <w:p w:rsidR="00325E95" w:rsidRDefault="00325E95" w:rsidP="007D3360">
            <w:pPr>
              <w:pStyle w:val="tabletext"/>
              <w:keepNext/>
              <w:keepLines/>
            </w:pPr>
            <w:r>
              <w:t>This is appropriate because any gain is subsequently used to provide remuneration to employees and taxing these would otherwise require the provision of an additional deduction to employers to offset that additional remuneration, which would unnecessarily increase the complexity of the tax system.  Further, without this rule, the employee share trust may derive assessable income greater than the deduction provided to the employer (who claims a deduction equal to the amounts contributed value of the interest at the time the employee share trust acquired it).</w:t>
            </w:r>
          </w:p>
          <w:p w:rsidR="00325E95" w:rsidRDefault="00325E95" w:rsidP="007D3360">
            <w:pPr>
              <w:pStyle w:val="tabletext"/>
              <w:keepNext/>
              <w:keepLines/>
            </w:pPr>
            <w:r>
              <w:t xml:space="preserve">Capital gains or losses are not disregarded if the employee share trust itself makes a cash profit from the transaction.  </w:t>
            </w:r>
          </w:p>
          <w:p w:rsidR="00325E95" w:rsidRDefault="00325E95" w:rsidP="007D3360">
            <w:pPr>
              <w:pStyle w:val="tabletext"/>
              <w:keepNext/>
              <w:keepLines/>
            </w:pPr>
            <w:r>
              <w:lastRenderedPageBreak/>
              <w:t>Consistent with the current law, the gains or losses will not be disregarded if the employee acquires the share for more than its cost base in the hands of the employee share trust.  This is to ensure that there are no untaxed capital gains in the trust which are not embedded (and taxed) in the value of the right to the share to the employee.</w:t>
            </w:r>
          </w:p>
          <w:p w:rsidR="00325E95" w:rsidRDefault="00325E95" w:rsidP="007D3360">
            <w:pPr>
              <w:pStyle w:val="tabletext"/>
              <w:keepNext/>
              <w:keepLines/>
            </w:pPr>
            <w:r>
              <w:t>The omission of this new provision at the time the employee share scheme reforms were introduced was unintended.  The change does not disadvantage any taxpayer.</w:t>
            </w:r>
          </w:p>
          <w:p w:rsidR="00325E95" w:rsidRPr="00517B10" w:rsidRDefault="00325E95" w:rsidP="007D3360">
            <w:pPr>
              <w:pStyle w:val="tabletext"/>
              <w:keepNext/>
              <w:keepLines/>
              <w:ind w:left="-11"/>
              <w:rPr>
                <w:highlight w:val="yellow"/>
              </w:rPr>
            </w:pPr>
            <w:r>
              <w:t>The amendment applies from 1 July 2009, from when the reforms to employee share schemes applied.</w:t>
            </w:r>
          </w:p>
        </w:tc>
      </w:tr>
    </w:tbl>
    <w:p w:rsidR="00325E95" w:rsidRPr="00482A78" w:rsidRDefault="00325E95" w:rsidP="00DC00CE">
      <w:pPr>
        <w:pStyle w:val="TableHeadingoutsidetable"/>
        <w:numPr>
          <w:ilvl w:val="4"/>
          <w:numId w:val="21"/>
        </w:numPr>
        <w:spacing w:before="240" w:after="240"/>
      </w:pPr>
      <w:r w:rsidRPr="00093C54">
        <w:lastRenderedPageBreak/>
        <w:t>:</w:t>
      </w:r>
      <w:r w:rsidRPr="0012537C">
        <w:t xml:space="preserve">  </w:t>
      </w:r>
      <w:r w:rsidR="008A6181">
        <w:t xml:space="preserve">Part 4 —Employee share schemes — </w:t>
      </w:r>
      <w:r w:rsidRPr="0012537C">
        <w:rPr>
          <w:iCs/>
        </w:rPr>
        <w:t>Amendments to the</w:t>
      </w:r>
      <w:r w:rsidRPr="0012537C">
        <w:t xml:space="preserve"> </w:t>
      </w:r>
      <w:r w:rsidRPr="009A23C3">
        <w:rPr>
          <w:i/>
        </w:rPr>
        <w:t>Income Tax (Transitional Provisions) Act 1997</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912"/>
      </w:tblGrid>
      <w:tr w:rsidR="00325E95" w:rsidRPr="00F53555" w:rsidTr="007D3360">
        <w:trPr>
          <w:tblHeader/>
        </w:trPr>
        <w:tc>
          <w:tcPr>
            <w:tcW w:w="2694" w:type="dxa"/>
          </w:tcPr>
          <w:p w:rsidR="00325E95" w:rsidRPr="00F53555" w:rsidRDefault="00325E95" w:rsidP="007D3360">
            <w:pPr>
              <w:pStyle w:val="tableheaderwithintable"/>
            </w:pPr>
            <w:r w:rsidRPr="00F53555">
              <w:t>Provision being amended</w:t>
            </w:r>
          </w:p>
        </w:tc>
        <w:tc>
          <w:tcPr>
            <w:tcW w:w="3912" w:type="dxa"/>
          </w:tcPr>
          <w:p w:rsidR="00325E95" w:rsidRPr="00F53555" w:rsidRDefault="00325E95" w:rsidP="007D3360">
            <w:pPr>
              <w:pStyle w:val="tableheaderwithintable"/>
            </w:pPr>
            <w:r>
              <w:t>What the amendment</w:t>
            </w:r>
            <w:r w:rsidRPr="00F53555">
              <w:t xml:space="preserve"> does</w:t>
            </w:r>
          </w:p>
        </w:tc>
      </w:tr>
      <w:tr w:rsidR="00325E95" w:rsidRPr="00F20468" w:rsidTr="007D3360">
        <w:tc>
          <w:tcPr>
            <w:tcW w:w="2694" w:type="dxa"/>
          </w:tcPr>
          <w:p w:rsidR="00325E95" w:rsidRPr="00F44883" w:rsidRDefault="00325E95">
            <w:pPr>
              <w:pStyle w:val="tabletext"/>
              <w:ind w:left="34"/>
              <w:rPr>
                <w:b/>
                <w:i/>
              </w:rPr>
            </w:pPr>
            <w:r w:rsidRPr="00F44883">
              <w:rPr>
                <w:b/>
                <w:i/>
              </w:rPr>
              <w:t>Income Tax (Transitional Provisions) Act 1997</w:t>
            </w:r>
          </w:p>
          <w:p w:rsidR="00325E95" w:rsidRDefault="00325E95" w:rsidP="003723ED">
            <w:pPr>
              <w:pStyle w:val="tabletext"/>
              <w:ind w:left="34"/>
              <w:rPr>
                <w:b/>
                <w:highlight w:val="yellow"/>
              </w:rPr>
            </w:pPr>
            <w:r>
              <w:t>83A-5</w:t>
            </w:r>
            <w:r w:rsidR="003723ED">
              <w:t xml:space="preserve"> (2A)</w:t>
            </w:r>
            <w:r>
              <w:br/>
            </w:r>
            <w:r w:rsidR="00C40D5A">
              <w:rPr>
                <w:b/>
                <w:i/>
              </w:rPr>
              <w:t>[I</w:t>
            </w:r>
            <w:r w:rsidRPr="00CB608F">
              <w:rPr>
                <w:b/>
                <w:i/>
              </w:rPr>
              <w:t>tem 30</w:t>
            </w:r>
            <w:r w:rsidR="00C40D5A">
              <w:rPr>
                <w:b/>
                <w:i/>
              </w:rPr>
              <w:t>]</w:t>
            </w:r>
          </w:p>
        </w:tc>
        <w:tc>
          <w:tcPr>
            <w:tcW w:w="3912" w:type="dxa"/>
          </w:tcPr>
          <w:p w:rsidR="00325E95" w:rsidRDefault="00325E95" w:rsidP="007D3360">
            <w:pPr>
              <w:pStyle w:val="tabletext"/>
              <w:rPr>
                <w:bCs/>
                <w:iCs/>
              </w:rPr>
            </w:pPr>
            <w:r w:rsidRPr="00517B10">
              <w:rPr>
                <w:bCs/>
                <w:iCs/>
              </w:rPr>
              <w:t>Ensures that shares or rights acquired while an individual is undertaking employment outside Australia prior to 1 July 2009, which would have been qualifying shares or rights under the previous employee share scheme rules, are transitioned to the new employee share scheme rules, regardless</w:t>
            </w:r>
            <w:r>
              <w:rPr>
                <w:bCs/>
                <w:iCs/>
              </w:rPr>
              <w:t xml:space="preserve"> of</w:t>
            </w:r>
            <w:r w:rsidRPr="00517B10">
              <w:rPr>
                <w:bCs/>
                <w:iCs/>
              </w:rPr>
              <w:t xml:space="preserve"> whether the period of employment that relates to Australia is served after the old rules were repealed</w:t>
            </w:r>
            <w:r>
              <w:rPr>
                <w:bCs/>
                <w:iCs/>
              </w:rPr>
              <w:t>.</w:t>
            </w:r>
          </w:p>
          <w:p w:rsidR="00325E95" w:rsidRPr="00517B10" w:rsidRDefault="00325E95" w:rsidP="007D3360">
            <w:pPr>
              <w:pStyle w:val="tabletext"/>
              <w:rPr>
                <w:bCs/>
                <w:iCs/>
              </w:rPr>
            </w:pPr>
            <w:r w:rsidRPr="00517B10">
              <w:rPr>
                <w:bCs/>
                <w:iCs/>
              </w:rPr>
              <w:t>Under the previous employee share scheme rules, taxpayers who acquire employee shares or rights while employed offshore, and then later become Australian employees while still engaged in employment or service that is relevant to the acquisition of the shares or rights, would have been subject to the employee share scheme provisions at the point of becoming an Australian employee</w:t>
            </w:r>
            <w:r>
              <w:rPr>
                <w:bCs/>
                <w:iCs/>
              </w:rPr>
              <w:t xml:space="preserve">.  </w:t>
            </w:r>
          </w:p>
          <w:p w:rsidR="00325E95" w:rsidRPr="00517B10" w:rsidRDefault="00325E95" w:rsidP="007D3360">
            <w:pPr>
              <w:pStyle w:val="tabletext"/>
              <w:rPr>
                <w:bCs/>
                <w:iCs/>
              </w:rPr>
            </w:pPr>
            <w:r w:rsidRPr="00517B10">
              <w:rPr>
                <w:bCs/>
                <w:iCs/>
              </w:rPr>
              <w:t>Such taxpayers (inbound taxpayers) would have either been assessed in the year of becoming a relevant employee for the first time or at a cessation time for qualifying shares or rights where the relevant election is not made</w:t>
            </w:r>
            <w:r>
              <w:rPr>
                <w:bCs/>
                <w:iCs/>
              </w:rPr>
              <w:t xml:space="preserve">.  </w:t>
            </w:r>
            <w:r w:rsidRPr="00517B10">
              <w:rPr>
                <w:bCs/>
                <w:iCs/>
              </w:rPr>
              <w:t xml:space="preserve">If assessed in the year of income in which the taxpayer becomes an employee in Australia, the discount will still be valued </w:t>
            </w:r>
            <w:r w:rsidRPr="00517B10">
              <w:rPr>
                <w:bCs/>
                <w:iCs/>
              </w:rPr>
              <w:lastRenderedPageBreak/>
              <w:t>as at acquisition.</w:t>
            </w:r>
          </w:p>
          <w:p w:rsidR="00325E95" w:rsidRPr="00517B10" w:rsidRDefault="00325E95" w:rsidP="007D3360">
            <w:pPr>
              <w:pStyle w:val="tabletext"/>
              <w:keepNext/>
              <w:keepLines/>
              <w:spacing w:before="60" w:after="60"/>
              <w:rPr>
                <w:bCs/>
                <w:iCs/>
              </w:rPr>
            </w:pPr>
            <w:r w:rsidRPr="00517B10">
              <w:rPr>
                <w:bCs/>
                <w:iCs/>
              </w:rPr>
              <w:t>Interests will be transitioned into the new rules if:</w:t>
            </w:r>
          </w:p>
          <w:p w:rsidR="00325E95" w:rsidRPr="00517B10" w:rsidRDefault="00325E95" w:rsidP="007D3360">
            <w:pPr>
              <w:pStyle w:val="Bullet"/>
              <w:keepNext/>
              <w:keepLines/>
              <w:spacing w:before="60" w:after="60"/>
              <w:rPr>
                <w:sz w:val="20"/>
              </w:rPr>
            </w:pPr>
            <w:r w:rsidRPr="00517B10">
              <w:rPr>
                <w:sz w:val="20"/>
              </w:rPr>
              <w:t>the interest was acquired before 1</w:t>
            </w:r>
            <w:r>
              <w:rPr>
                <w:sz w:val="20"/>
              </w:rPr>
              <w:t> </w:t>
            </w:r>
            <w:r w:rsidRPr="00517B10">
              <w:rPr>
                <w:sz w:val="20"/>
              </w:rPr>
              <w:t>July</w:t>
            </w:r>
            <w:r>
              <w:rPr>
                <w:sz w:val="20"/>
              </w:rPr>
              <w:t> </w:t>
            </w:r>
            <w:r w:rsidRPr="00517B10">
              <w:rPr>
                <w:sz w:val="20"/>
              </w:rPr>
              <w:t xml:space="preserve">2009; </w:t>
            </w:r>
          </w:p>
          <w:p w:rsidR="00325E95" w:rsidRPr="00517B10" w:rsidRDefault="00325E95" w:rsidP="007D3360">
            <w:pPr>
              <w:pStyle w:val="Bullet"/>
              <w:keepNext/>
              <w:keepLines/>
              <w:spacing w:before="60" w:after="60"/>
              <w:rPr>
                <w:sz w:val="20"/>
              </w:rPr>
            </w:pPr>
            <w:r w:rsidRPr="00517B10">
              <w:rPr>
                <w:sz w:val="20"/>
              </w:rPr>
              <w:t xml:space="preserve">at the pre-1 July 2009 time, the old employee share scheme rules did not apply in relation to the interest because it was acquired while engaged in foreign service, and the taxpayer in question was not yet an employee; </w:t>
            </w:r>
          </w:p>
          <w:p w:rsidR="00325E95" w:rsidRPr="00517B10" w:rsidRDefault="00325E95" w:rsidP="007D3360">
            <w:pPr>
              <w:pStyle w:val="Bullet"/>
              <w:spacing w:before="60" w:after="60"/>
              <w:rPr>
                <w:sz w:val="20"/>
              </w:rPr>
            </w:pPr>
            <w:r w:rsidRPr="00517B10">
              <w:rPr>
                <w:sz w:val="20"/>
              </w:rPr>
              <w:t>after 1 July 2009</w:t>
            </w:r>
            <w:r>
              <w:rPr>
                <w:sz w:val="20"/>
              </w:rPr>
              <w:t xml:space="preserve">, </w:t>
            </w:r>
            <w:r w:rsidRPr="00517B10">
              <w:rPr>
                <w:sz w:val="20"/>
              </w:rPr>
              <w:t>the old rules would have applied in relation to the interest if they were still in force, because the taxpayer in question became an employee (within the meaning of the old rules); and</w:t>
            </w:r>
          </w:p>
          <w:p w:rsidR="00325E95" w:rsidRPr="00517B10" w:rsidRDefault="00325E95" w:rsidP="007D3360">
            <w:pPr>
              <w:pStyle w:val="Bullet"/>
              <w:spacing w:before="60" w:after="60"/>
              <w:rPr>
                <w:sz w:val="20"/>
              </w:rPr>
            </w:pPr>
            <w:r w:rsidRPr="00517B10">
              <w:rPr>
                <w:sz w:val="20"/>
              </w:rPr>
              <w:t>at the time the taxpayer became an employee, the cessation time under the previous law would not yet have occurred.</w:t>
            </w:r>
          </w:p>
          <w:p w:rsidR="00325E95" w:rsidRPr="00517B10" w:rsidRDefault="00325E95" w:rsidP="007D3360">
            <w:pPr>
              <w:pStyle w:val="tabletext"/>
              <w:rPr>
                <w:bCs/>
                <w:iCs/>
              </w:rPr>
            </w:pPr>
            <w:r w:rsidRPr="00517B10">
              <w:rPr>
                <w:bCs/>
                <w:iCs/>
              </w:rPr>
              <w:t>Unlike taxpayers who came to Australia pre</w:t>
            </w:r>
            <w:r>
              <w:rPr>
                <w:bCs/>
                <w:iCs/>
              </w:rPr>
              <w:noBreakHyphen/>
            </w:r>
            <w:r w:rsidRPr="00517B10">
              <w:rPr>
                <w:bCs/>
                <w:iCs/>
              </w:rPr>
              <w:t>1</w:t>
            </w:r>
            <w:r>
              <w:rPr>
                <w:bCs/>
                <w:iCs/>
              </w:rPr>
              <w:t> </w:t>
            </w:r>
            <w:r w:rsidRPr="00517B10">
              <w:rPr>
                <w:bCs/>
                <w:iCs/>
              </w:rPr>
              <w:t>July 2009, the taxpayers to whom this provision applies will not be able to make an election to be taxed upfront in the year that they arrive in Australia</w:t>
            </w:r>
            <w:r>
              <w:rPr>
                <w:bCs/>
                <w:iCs/>
              </w:rPr>
              <w:t xml:space="preserve">.  </w:t>
            </w:r>
          </w:p>
          <w:p w:rsidR="00325E95" w:rsidRPr="00517B10" w:rsidRDefault="00325E95" w:rsidP="007D3360">
            <w:pPr>
              <w:pStyle w:val="tabletext"/>
              <w:rPr>
                <w:bCs/>
                <w:iCs/>
              </w:rPr>
            </w:pPr>
            <w:r w:rsidRPr="00517B10">
              <w:rPr>
                <w:bCs/>
                <w:iCs/>
              </w:rPr>
              <w:t>This provision clarifies how the transitional rules apply to shares acquired before 1 July 2009</w:t>
            </w:r>
            <w:r>
              <w:rPr>
                <w:bCs/>
                <w:iCs/>
              </w:rPr>
              <w:t xml:space="preserve">.  </w:t>
            </w:r>
            <w:r w:rsidRPr="00517B10">
              <w:rPr>
                <w:bCs/>
                <w:iCs/>
              </w:rPr>
              <w:t>The need for this transitional provision was not identified prior to the passage of the principal reforms.</w:t>
            </w:r>
          </w:p>
          <w:p w:rsidR="00325E95" w:rsidRPr="00517B10" w:rsidRDefault="00325E95" w:rsidP="007D3360">
            <w:pPr>
              <w:pStyle w:val="tabletext"/>
              <w:rPr>
                <w:bCs/>
                <w:iCs/>
              </w:rPr>
            </w:pPr>
            <w:r w:rsidRPr="00517B10">
              <w:rPr>
                <w:bCs/>
                <w:iCs/>
              </w:rPr>
              <w:t>The amendment applies from 1 July 2009, consistent with the application of the r</w:t>
            </w:r>
            <w:r>
              <w:rPr>
                <w:bCs/>
                <w:iCs/>
              </w:rPr>
              <w:t>eforms to employee share schemes</w:t>
            </w:r>
            <w:r w:rsidR="0015779B">
              <w:rPr>
                <w:bCs/>
                <w:iCs/>
              </w:rPr>
              <w:t>.</w:t>
            </w:r>
          </w:p>
        </w:tc>
      </w:tr>
      <w:tr w:rsidR="00325E95" w:rsidRPr="00F20468" w:rsidTr="007D3360">
        <w:tc>
          <w:tcPr>
            <w:tcW w:w="2694" w:type="dxa"/>
          </w:tcPr>
          <w:p w:rsidR="00325E95" w:rsidRPr="00F44883" w:rsidRDefault="00325E95" w:rsidP="007D3360">
            <w:pPr>
              <w:pStyle w:val="tabletext"/>
              <w:ind w:left="34"/>
              <w:rPr>
                <w:b/>
                <w:i/>
              </w:rPr>
            </w:pPr>
            <w:r w:rsidRPr="00F44883">
              <w:rPr>
                <w:b/>
                <w:i/>
              </w:rPr>
              <w:lastRenderedPageBreak/>
              <w:t>Income Tax (Transitional Provisions) Act 1997</w:t>
            </w:r>
          </w:p>
          <w:p w:rsidR="00325E95" w:rsidRDefault="00325E95" w:rsidP="00C40D5A">
            <w:pPr>
              <w:pStyle w:val="tabletext"/>
              <w:ind w:left="34"/>
              <w:rPr>
                <w:b/>
              </w:rPr>
            </w:pPr>
            <w:r>
              <w:t>83A-15</w:t>
            </w:r>
            <w:r w:rsidR="003723ED">
              <w:t xml:space="preserve"> (3)</w:t>
            </w:r>
            <w:r>
              <w:br/>
            </w:r>
            <w:r w:rsidR="00C40D5A">
              <w:rPr>
                <w:b/>
                <w:i/>
              </w:rPr>
              <w:t>[I</w:t>
            </w:r>
            <w:r w:rsidRPr="00EE3F86">
              <w:rPr>
                <w:b/>
                <w:i/>
              </w:rPr>
              <w:t>tem 31</w:t>
            </w:r>
            <w:r w:rsidR="00C40D5A">
              <w:rPr>
                <w:b/>
                <w:i/>
              </w:rPr>
              <w:t>]</w:t>
            </w:r>
          </w:p>
        </w:tc>
        <w:tc>
          <w:tcPr>
            <w:tcW w:w="3912" w:type="dxa"/>
          </w:tcPr>
          <w:p w:rsidR="00325E95" w:rsidRDefault="00325E95" w:rsidP="007D3360">
            <w:pPr>
              <w:pStyle w:val="tabletext"/>
              <w:rPr>
                <w:bCs/>
                <w:iCs/>
              </w:rPr>
            </w:pPr>
            <w:r w:rsidRPr="00517B10">
              <w:rPr>
                <w:bCs/>
                <w:iCs/>
              </w:rPr>
              <w:t xml:space="preserve">Ensures that the Commissioner can amend an income tax assessment at any time for the purposes of taxing an employment benefit which becomes an </w:t>
            </w:r>
            <w:r>
              <w:t>employee share scheme</w:t>
            </w:r>
            <w:r w:rsidRPr="00517B10">
              <w:rPr>
                <w:bCs/>
                <w:iCs/>
              </w:rPr>
              <w:t xml:space="preserve"> interest</w:t>
            </w:r>
            <w:r>
              <w:rPr>
                <w:bCs/>
                <w:iCs/>
              </w:rPr>
              <w:t xml:space="preserve">.  </w:t>
            </w:r>
          </w:p>
          <w:p w:rsidR="00325E95" w:rsidRPr="00517B10" w:rsidRDefault="00325E95" w:rsidP="007D3360">
            <w:pPr>
              <w:pStyle w:val="tabletext"/>
              <w:rPr>
                <w:bCs/>
                <w:iCs/>
              </w:rPr>
            </w:pPr>
            <w:r w:rsidRPr="00517B10">
              <w:rPr>
                <w:bCs/>
                <w:iCs/>
              </w:rPr>
              <w:t>The employee share scheme reforms introduced a new concept of ‘indeterminate rights’.</w:t>
            </w:r>
          </w:p>
          <w:p w:rsidR="00325E95" w:rsidRPr="00517B10" w:rsidRDefault="00325E95" w:rsidP="007D3360">
            <w:pPr>
              <w:pStyle w:val="tabletext"/>
              <w:rPr>
                <w:bCs/>
                <w:iCs/>
              </w:rPr>
            </w:pPr>
            <w:r w:rsidRPr="00517B10">
              <w:rPr>
                <w:bCs/>
                <w:iCs/>
              </w:rPr>
              <w:t xml:space="preserve">Indeterminate rights are rights to employment benefits acquired by employees where at the time the right is acquired it may be unclear </w:t>
            </w:r>
            <w:r w:rsidRPr="00517B10">
              <w:rPr>
                <w:bCs/>
                <w:iCs/>
              </w:rPr>
              <w:lastRenderedPageBreak/>
              <w:t xml:space="preserve">whether the right will result in receipt of an </w:t>
            </w:r>
            <w:r>
              <w:t>employee share scheme</w:t>
            </w:r>
            <w:r w:rsidRPr="00517B10">
              <w:rPr>
                <w:bCs/>
                <w:iCs/>
              </w:rPr>
              <w:t xml:space="preserve"> interest (</w:t>
            </w:r>
            <w:r>
              <w:rPr>
                <w:bCs/>
                <w:iCs/>
              </w:rPr>
              <w:t xml:space="preserve">for example, </w:t>
            </w:r>
            <w:r w:rsidRPr="00517B10">
              <w:rPr>
                <w:bCs/>
                <w:iCs/>
              </w:rPr>
              <w:t xml:space="preserve">the employer has a discretion to provide shares or cash) or it may be unclear how many </w:t>
            </w:r>
            <w:r>
              <w:t>employee share scheme</w:t>
            </w:r>
            <w:r w:rsidRPr="00517B10">
              <w:rPr>
                <w:bCs/>
                <w:iCs/>
              </w:rPr>
              <w:t xml:space="preserve"> interests will be received</w:t>
            </w:r>
            <w:r>
              <w:rPr>
                <w:bCs/>
                <w:iCs/>
              </w:rPr>
              <w:t xml:space="preserve">.  </w:t>
            </w:r>
            <w:r w:rsidRPr="00517B10">
              <w:rPr>
                <w:bCs/>
                <w:iCs/>
              </w:rPr>
              <w:t>The new law provides that if a right acquired before 1 July 2009 becomes a right to acquire a beneficial interest in a share on or after 1 July 2009, the previous rules are taken to have applied as if the right had always been a right to acquire the beneficial interest in the share.</w:t>
            </w:r>
          </w:p>
          <w:p w:rsidR="00325E95" w:rsidRPr="00517B10" w:rsidRDefault="00325E95" w:rsidP="007D3360">
            <w:pPr>
              <w:pStyle w:val="tabletext"/>
              <w:rPr>
                <w:bCs/>
                <w:iCs/>
              </w:rPr>
            </w:pPr>
            <w:r w:rsidRPr="00517B10">
              <w:rPr>
                <w:bCs/>
                <w:iCs/>
              </w:rPr>
              <w:t xml:space="preserve">Based on the treatment of a right as an </w:t>
            </w:r>
            <w:r>
              <w:t>employee share scheme</w:t>
            </w:r>
            <w:r w:rsidRPr="00517B10">
              <w:rPr>
                <w:bCs/>
                <w:iCs/>
              </w:rPr>
              <w:t xml:space="preserve"> interest from the time of acquisition, the taxing point for the right under the employee share scheme rules may have occurred in an income year before the nature of the right became clear</w:t>
            </w:r>
            <w:r>
              <w:rPr>
                <w:bCs/>
                <w:iCs/>
              </w:rPr>
              <w:t xml:space="preserve">.  </w:t>
            </w:r>
          </w:p>
          <w:p w:rsidR="00325E95" w:rsidRPr="00517B10" w:rsidRDefault="00325E95" w:rsidP="007D3360">
            <w:pPr>
              <w:pStyle w:val="tabletext"/>
              <w:spacing w:before="60" w:after="0"/>
              <w:rPr>
                <w:bCs/>
                <w:iCs/>
              </w:rPr>
            </w:pPr>
            <w:r w:rsidRPr="00517B10">
              <w:rPr>
                <w:bCs/>
                <w:iCs/>
              </w:rPr>
              <w:t>If a taxpayer acquired a right prior to 1</w:t>
            </w:r>
            <w:r>
              <w:rPr>
                <w:bCs/>
                <w:iCs/>
              </w:rPr>
              <w:t> </w:t>
            </w:r>
            <w:r w:rsidRPr="00517B10">
              <w:rPr>
                <w:bCs/>
                <w:iCs/>
              </w:rPr>
              <w:t>July</w:t>
            </w:r>
            <w:r>
              <w:rPr>
                <w:bCs/>
                <w:iCs/>
              </w:rPr>
              <w:t> </w:t>
            </w:r>
            <w:r w:rsidRPr="00517B10">
              <w:rPr>
                <w:bCs/>
                <w:iCs/>
              </w:rPr>
              <w:t>2009, which only clearly became a right to acquire a beneficial interest in a share in a company after 1 July 2009, then that taxpayer will be assessable under the previous rules, in an earlier year, where:</w:t>
            </w:r>
          </w:p>
          <w:p w:rsidR="00325E95" w:rsidRPr="00517B10" w:rsidRDefault="00325E95" w:rsidP="007D3360">
            <w:pPr>
              <w:pStyle w:val="tabledotpoint"/>
              <w:spacing w:before="60" w:after="0"/>
              <w:rPr>
                <w:bCs/>
                <w:iCs/>
              </w:rPr>
            </w:pPr>
            <w:r w:rsidRPr="00517B10">
              <w:t>an election made under the former rules covers the right (the election may have been made in an earlier year in respect of other shares or rights acquired during the year or the Commissioner may allow a later election to be made in relation</w:t>
            </w:r>
            <w:r>
              <w:t xml:space="preserve"> to the indeterminate right);</w:t>
            </w:r>
          </w:p>
          <w:p w:rsidR="00325E95" w:rsidRPr="00517B10" w:rsidRDefault="00325E95" w:rsidP="007D3360">
            <w:pPr>
              <w:pStyle w:val="tabledotpoint"/>
              <w:spacing w:before="60" w:after="0"/>
            </w:pPr>
            <w:r w:rsidRPr="00517B10">
              <w:t xml:space="preserve">the indeterminate right did not meet the qualifying conditions under the former rules; or </w:t>
            </w:r>
          </w:p>
          <w:p w:rsidR="00325E95" w:rsidRPr="00517B10" w:rsidRDefault="00325E95" w:rsidP="007D3360">
            <w:pPr>
              <w:pStyle w:val="tabledotpoint"/>
              <w:spacing w:before="60"/>
            </w:pPr>
            <w:r w:rsidRPr="00517B10">
              <w:t>the indeterminate right is a qualifying right and a cessation event (ceasing employment) occurs before 1 July 2009.</w:t>
            </w:r>
          </w:p>
          <w:p w:rsidR="00325E95" w:rsidRPr="00517B10" w:rsidRDefault="00325E95" w:rsidP="007D3360">
            <w:pPr>
              <w:pStyle w:val="tabletext"/>
              <w:rPr>
                <w:bCs/>
                <w:iCs/>
              </w:rPr>
            </w:pPr>
            <w:r w:rsidRPr="00517B10">
              <w:rPr>
                <w:bCs/>
                <w:iCs/>
              </w:rPr>
              <w:t xml:space="preserve">When the nature of the right to an employment benefit as an </w:t>
            </w:r>
            <w:r>
              <w:t>employee share scheme</w:t>
            </w:r>
            <w:r w:rsidRPr="00517B10">
              <w:rPr>
                <w:bCs/>
                <w:iCs/>
              </w:rPr>
              <w:t xml:space="preserve"> interest becomes clear, the Commissioner may amend an employee’s income tax assessment for the income year in which the taxing point for the </w:t>
            </w:r>
            <w:r>
              <w:t>employee share scheme</w:t>
            </w:r>
            <w:r w:rsidRPr="00517B10">
              <w:rPr>
                <w:bCs/>
                <w:iCs/>
              </w:rPr>
              <w:t xml:space="preserve"> interest occurred (based on the treatment of the right as an </w:t>
            </w:r>
            <w:r>
              <w:t>employee share scheme</w:t>
            </w:r>
            <w:r w:rsidRPr="00517B10">
              <w:rPr>
                <w:bCs/>
                <w:iCs/>
              </w:rPr>
              <w:t xml:space="preserve"> interest from the time of its acquisition)</w:t>
            </w:r>
            <w:r>
              <w:rPr>
                <w:bCs/>
                <w:iCs/>
              </w:rPr>
              <w:t xml:space="preserve">.  </w:t>
            </w:r>
            <w:r w:rsidRPr="00517B10">
              <w:rPr>
                <w:bCs/>
                <w:iCs/>
              </w:rPr>
              <w:t xml:space="preserve">The Commissioner can amend an assessment relating to an employee share </w:t>
            </w:r>
            <w:r w:rsidRPr="00517B10">
              <w:rPr>
                <w:bCs/>
                <w:iCs/>
              </w:rPr>
              <w:lastRenderedPageBreak/>
              <w:t xml:space="preserve">scheme at anytime, for the purposes of taxing an employment benefit which becomes an </w:t>
            </w:r>
            <w:r>
              <w:t>employee share scheme</w:t>
            </w:r>
            <w:r w:rsidRPr="00517B10">
              <w:rPr>
                <w:bCs/>
                <w:iCs/>
              </w:rPr>
              <w:t xml:space="preserve"> interest.</w:t>
            </w:r>
          </w:p>
          <w:p w:rsidR="00325E95" w:rsidRPr="00517B10" w:rsidRDefault="00325E95" w:rsidP="007D3360">
            <w:pPr>
              <w:pStyle w:val="tabletext"/>
              <w:rPr>
                <w:bCs/>
                <w:iCs/>
              </w:rPr>
            </w:pPr>
            <w:r w:rsidRPr="00517B10">
              <w:rPr>
                <w:bCs/>
                <w:iCs/>
              </w:rPr>
              <w:t>The omission of this transitional provision at the time the employee share scheme reforms were introduced was an oversight</w:t>
            </w:r>
            <w:r>
              <w:rPr>
                <w:bCs/>
                <w:iCs/>
              </w:rPr>
              <w:t xml:space="preserve">.  </w:t>
            </w:r>
            <w:r w:rsidRPr="00517B10">
              <w:rPr>
                <w:bCs/>
                <w:iCs/>
              </w:rPr>
              <w:t xml:space="preserve">The explanatory memorandum clearly explained that </w:t>
            </w:r>
            <w:r>
              <w:rPr>
                <w:bCs/>
                <w:iCs/>
              </w:rPr>
              <w:t>th</w:t>
            </w:r>
            <w:r w:rsidRPr="00517B10">
              <w:rPr>
                <w:bCs/>
                <w:iCs/>
              </w:rPr>
              <w:t>is outcome was intended.</w:t>
            </w:r>
          </w:p>
          <w:p w:rsidR="00325E95" w:rsidRPr="00517B10" w:rsidRDefault="00325E95" w:rsidP="007D3360">
            <w:pPr>
              <w:pStyle w:val="tabletext"/>
              <w:rPr>
                <w:bCs/>
                <w:iCs/>
              </w:rPr>
            </w:pPr>
            <w:r w:rsidRPr="00517B10">
              <w:rPr>
                <w:bCs/>
                <w:iCs/>
              </w:rPr>
              <w:t>The amendment applies from 1 July 2009, consistent with the application of the reforms to employee share schemes</w:t>
            </w:r>
            <w:r>
              <w:rPr>
                <w:bCs/>
                <w:iCs/>
              </w:rPr>
              <w:t xml:space="preserve">.  </w:t>
            </w:r>
          </w:p>
        </w:tc>
      </w:tr>
      <w:tr w:rsidR="00325E95" w:rsidRPr="00F20468" w:rsidTr="007D3360">
        <w:tc>
          <w:tcPr>
            <w:tcW w:w="2694" w:type="dxa"/>
          </w:tcPr>
          <w:p w:rsidR="00325E95" w:rsidRPr="00F44883" w:rsidRDefault="00325E95" w:rsidP="007D3360">
            <w:pPr>
              <w:pStyle w:val="tabletext"/>
              <w:ind w:left="34"/>
              <w:rPr>
                <w:b/>
                <w:i/>
              </w:rPr>
            </w:pPr>
            <w:r w:rsidRPr="00F44883">
              <w:rPr>
                <w:b/>
                <w:i/>
              </w:rPr>
              <w:lastRenderedPageBreak/>
              <w:t>Income Tax (Transitional Provisions) Act 1997</w:t>
            </w:r>
          </w:p>
          <w:p w:rsidR="00325E95" w:rsidRDefault="00325E95" w:rsidP="003723ED">
            <w:pPr>
              <w:pStyle w:val="tabletext"/>
              <w:ind w:left="34"/>
              <w:rPr>
                <w:b/>
              </w:rPr>
            </w:pPr>
            <w:r>
              <w:t>Part</w:t>
            </w:r>
            <w:r w:rsidR="003723ED">
              <w:t xml:space="preserve"> </w:t>
            </w:r>
            <w:r>
              <w:t>3-3</w:t>
            </w:r>
            <w:r w:rsidR="003723ED">
              <w:t xml:space="preserve"> Division 125 section  125-75</w:t>
            </w:r>
            <w:r>
              <w:br/>
            </w:r>
            <w:r w:rsidR="00C40D5A">
              <w:rPr>
                <w:b/>
                <w:i/>
              </w:rPr>
              <w:t>[I</w:t>
            </w:r>
            <w:r w:rsidRPr="00EE3F86">
              <w:rPr>
                <w:b/>
                <w:i/>
              </w:rPr>
              <w:t>tem 32</w:t>
            </w:r>
            <w:r w:rsidR="00C40D5A">
              <w:rPr>
                <w:b/>
                <w:i/>
              </w:rPr>
              <w:t>]</w:t>
            </w:r>
          </w:p>
        </w:tc>
        <w:tc>
          <w:tcPr>
            <w:tcW w:w="3912" w:type="dxa"/>
          </w:tcPr>
          <w:p w:rsidR="00325E95" w:rsidRPr="00517B10" w:rsidRDefault="00325E95" w:rsidP="007D3360">
            <w:pPr>
              <w:pStyle w:val="tabletext"/>
              <w:rPr>
                <w:bCs/>
                <w:iCs/>
              </w:rPr>
            </w:pPr>
            <w:r w:rsidRPr="00517B10">
              <w:rPr>
                <w:bCs/>
                <w:iCs/>
              </w:rPr>
              <w:t>Ensures that all employee share scheme shares or rights that would have been disregarded from the CGT demerger ownership tests before the commencement of the amending Act (</w:t>
            </w:r>
            <w:r w:rsidRPr="00517B10">
              <w:rPr>
                <w:bCs/>
                <w:i/>
              </w:rPr>
              <w:t xml:space="preserve">Tax Laws Amendment (2009 Budget Measures </w:t>
            </w:r>
            <w:r>
              <w:rPr>
                <w:bCs/>
                <w:i/>
              </w:rPr>
              <w:t xml:space="preserve">No. </w:t>
            </w:r>
            <w:r w:rsidRPr="00517B10">
              <w:rPr>
                <w:bCs/>
                <w:i/>
              </w:rPr>
              <w:t>2) Act 2009</w:t>
            </w:r>
            <w:r w:rsidRPr="00517B10">
              <w:rPr>
                <w:bCs/>
                <w:iCs/>
              </w:rPr>
              <w:t>) can continue to be disregarded</w:t>
            </w:r>
            <w:r>
              <w:rPr>
                <w:bCs/>
                <w:iCs/>
              </w:rPr>
              <w:t xml:space="preserve">.  </w:t>
            </w:r>
          </w:p>
          <w:p w:rsidR="00325E95" w:rsidRPr="00517B10" w:rsidRDefault="00325E95" w:rsidP="007D3360">
            <w:pPr>
              <w:pStyle w:val="tabletext"/>
              <w:rPr>
                <w:bCs/>
                <w:iCs/>
              </w:rPr>
            </w:pPr>
            <w:r w:rsidRPr="00517B10">
              <w:rPr>
                <w:bCs/>
                <w:iCs/>
              </w:rPr>
              <w:t>Division 125 of the ITAA 1997 provides ‘CGT roll</w:t>
            </w:r>
            <w:r w:rsidRPr="00517B10">
              <w:rPr>
                <w:bCs/>
                <w:iCs/>
              </w:rPr>
              <w:noBreakHyphen/>
              <w:t>over’ demerger relief rules for certain company demerger events</w:t>
            </w:r>
            <w:r>
              <w:rPr>
                <w:bCs/>
                <w:iCs/>
              </w:rPr>
              <w:t xml:space="preserve">.  </w:t>
            </w:r>
            <w:r w:rsidRPr="00517B10">
              <w:rPr>
                <w:bCs/>
                <w:iCs/>
              </w:rPr>
              <w:t>Generally, for the roll</w:t>
            </w:r>
            <w:bookmarkStart w:id="24" w:name="OLE_LINK19"/>
            <w:bookmarkStart w:id="25" w:name="OLE_LINK20"/>
            <w:r w:rsidRPr="00517B10">
              <w:rPr>
                <w:bCs/>
                <w:iCs/>
              </w:rPr>
              <w:noBreakHyphen/>
            </w:r>
            <w:bookmarkEnd w:id="24"/>
            <w:bookmarkEnd w:id="25"/>
            <w:r w:rsidRPr="00517B10">
              <w:rPr>
                <w:bCs/>
                <w:iCs/>
              </w:rPr>
              <w:t xml:space="preserve">over to be available, each owner’s interest in the new demerged company has to be proportional to their </w:t>
            </w:r>
            <w:r>
              <w:rPr>
                <w:bCs/>
                <w:iCs/>
              </w:rPr>
              <w:t>interest in the parent company.</w:t>
            </w:r>
          </w:p>
          <w:p w:rsidR="00325E95" w:rsidRPr="00517B10" w:rsidRDefault="00325E95" w:rsidP="007D3360">
            <w:pPr>
              <w:pStyle w:val="tabletext"/>
              <w:rPr>
                <w:bCs/>
                <w:iCs/>
              </w:rPr>
            </w:pPr>
            <w:r w:rsidRPr="00517B10">
              <w:rPr>
                <w:bCs/>
                <w:iCs/>
              </w:rPr>
              <w:t>Shares or rights acquired under employee share schemes are often subject to unique contractual arrangements that may make satisfying this proportional ownership rule difficult</w:t>
            </w:r>
            <w:r>
              <w:rPr>
                <w:bCs/>
                <w:iCs/>
              </w:rPr>
              <w:t xml:space="preserve">.  </w:t>
            </w:r>
            <w:r w:rsidRPr="00517B10">
              <w:rPr>
                <w:bCs/>
                <w:iCs/>
              </w:rPr>
              <w:t xml:space="preserve">For instance, a particular scheme might provide for the issue of shares in the </w:t>
            </w:r>
            <w:r w:rsidRPr="00517B10">
              <w:rPr>
                <w:bCs/>
                <w:i/>
                <w:iCs/>
              </w:rPr>
              <w:t>employer</w:t>
            </w:r>
            <w:r w:rsidRPr="00517B10">
              <w:rPr>
                <w:bCs/>
                <w:iCs/>
              </w:rPr>
              <w:t xml:space="preserve"> in the future (with no provisions to take account of possible demergers).</w:t>
            </w:r>
          </w:p>
          <w:p w:rsidR="00325E95" w:rsidRPr="00517B10" w:rsidRDefault="00325E95" w:rsidP="007D3360">
            <w:pPr>
              <w:pStyle w:val="tabletext"/>
              <w:rPr>
                <w:bCs/>
                <w:iCs/>
              </w:rPr>
            </w:pPr>
            <w:r w:rsidRPr="00517B10">
              <w:rPr>
                <w:bCs/>
                <w:iCs/>
              </w:rPr>
              <w:t>Moreover, there is no policy incentive to align the interests of parent company employees with the interests of a demerged entity</w:t>
            </w:r>
            <w:r>
              <w:rPr>
                <w:bCs/>
                <w:iCs/>
              </w:rPr>
              <w:t xml:space="preserve">.  </w:t>
            </w:r>
            <w:r w:rsidRPr="00517B10">
              <w:rPr>
                <w:bCs/>
                <w:iCs/>
              </w:rPr>
              <w:t>For these reasons, employee share scheme interests are generally disregarded for these ownership tests</w:t>
            </w:r>
            <w:r>
              <w:rPr>
                <w:bCs/>
                <w:iCs/>
              </w:rPr>
              <w:t xml:space="preserve">.  </w:t>
            </w:r>
          </w:p>
          <w:p w:rsidR="00325E95" w:rsidRPr="00517B10" w:rsidRDefault="00325E95" w:rsidP="007D3360">
            <w:pPr>
              <w:pStyle w:val="tabletext"/>
              <w:rPr>
                <w:bCs/>
                <w:iCs/>
              </w:rPr>
            </w:pPr>
            <w:r w:rsidRPr="00517B10">
              <w:rPr>
                <w:bCs/>
                <w:iCs/>
              </w:rPr>
              <w:t>Before 1 July 2009, the law provided that shares or rights acquired under an employee share scheme were disregarded for the purposes of the CGT demerger relief rules</w:t>
            </w:r>
            <w:r>
              <w:rPr>
                <w:bCs/>
                <w:iCs/>
              </w:rPr>
              <w:t xml:space="preserve">.  </w:t>
            </w:r>
            <w:r w:rsidRPr="00517B10">
              <w:rPr>
                <w:bCs/>
                <w:iCs/>
              </w:rPr>
              <w:t>Specifically, this carve-out applied to ‘qualifying shares or rights’ acquired under the previous employee share scheme tax provisions</w:t>
            </w:r>
            <w:r>
              <w:rPr>
                <w:bCs/>
                <w:iCs/>
              </w:rPr>
              <w:t xml:space="preserve">.  </w:t>
            </w:r>
            <w:r w:rsidRPr="00517B10">
              <w:rPr>
                <w:bCs/>
                <w:iCs/>
              </w:rPr>
              <w:t xml:space="preserve">Shares or rights that would meet </w:t>
            </w:r>
            <w:r w:rsidRPr="00517B10">
              <w:rPr>
                <w:bCs/>
                <w:iCs/>
              </w:rPr>
              <w:lastRenderedPageBreak/>
              <w:t>this test if not for being in a trust were also disregarded.</w:t>
            </w:r>
          </w:p>
          <w:p w:rsidR="00325E95" w:rsidRPr="00517B10" w:rsidRDefault="00325E95" w:rsidP="007D3360">
            <w:pPr>
              <w:pStyle w:val="tabletext"/>
              <w:rPr>
                <w:bCs/>
                <w:iCs/>
              </w:rPr>
            </w:pPr>
            <w:r w:rsidRPr="00517B10">
              <w:rPr>
                <w:bCs/>
                <w:iCs/>
              </w:rPr>
              <w:t>The amending Act repealed these provisions, and replaced them with updated provisions reflecting new terminology</w:t>
            </w:r>
            <w:r>
              <w:rPr>
                <w:bCs/>
                <w:iCs/>
              </w:rPr>
              <w:t xml:space="preserve">.  </w:t>
            </w:r>
            <w:r w:rsidRPr="00517B10">
              <w:rPr>
                <w:bCs/>
                <w:iCs/>
              </w:rPr>
              <w:t>The amending Act provided that shares or rights acquired under previous taxing regimes, and over which tax was deferred to the 2009</w:t>
            </w:r>
            <w:r w:rsidRPr="00517B10">
              <w:rPr>
                <w:bCs/>
                <w:iCs/>
              </w:rPr>
              <w:noBreakHyphen/>
              <w:t>10 income year or later, were transitioned into the new regime</w:t>
            </w:r>
            <w:r>
              <w:rPr>
                <w:bCs/>
                <w:iCs/>
              </w:rPr>
              <w:t xml:space="preserve">.  </w:t>
            </w:r>
            <w:r w:rsidRPr="00517B10">
              <w:rPr>
                <w:bCs/>
                <w:iCs/>
              </w:rPr>
              <w:t>This meant that transitioned shares a</w:t>
            </w:r>
            <w:r>
              <w:rPr>
                <w:bCs/>
                <w:iCs/>
              </w:rPr>
              <w:t>nd rights were intentionally</w:t>
            </w:r>
            <w:r w:rsidRPr="00517B10">
              <w:rPr>
                <w:bCs/>
                <w:iCs/>
              </w:rPr>
              <w:t xml:space="preserve"> carved out from the demerger ownership tests</w:t>
            </w:r>
            <w:r>
              <w:rPr>
                <w:bCs/>
                <w:iCs/>
              </w:rPr>
              <w:t xml:space="preserve">.  </w:t>
            </w:r>
          </w:p>
          <w:p w:rsidR="00325E95" w:rsidRPr="00517B10" w:rsidRDefault="00325E95" w:rsidP="007D3360">
            <w:pPr>
              <w:pStyle w:val="tabletext"/>
              <w:rPr>
                <w:bCs/>
                <w:iCs/>
              </w:rPr>
            </w:pPr>
            <w:r w:rsidRPr="00517B10">
              <w:rPr>
                <w:bCs/>
                <w:iCs/>
              </w:rPr>
              <w:t>However, shares or rights acquired under previous tax regimes over which tax was payable in a previous income year did not need to be transitioned</w:t>
            </w:r>
            <w:r>
              <w:rPr>
                <w:bCs/>
                <w:iCs/>
              </w:rPr>
              <w:t xml:space="preserve">.  </w:t>
            </w:r>
          </w:p>
          <w:p w:rsidR="00325E95" w:rsidRPr="00517B10" w:rsidRDefault="00325E95" w:rsidP="007D3360">
            <w:pPr>
              <w:pStyle w:val="tabletext"/>
              <w:rPr>
                <w:rStyle w:val="Referencingstyle"/>
                <w:szCs w:val="18"/>
              </w:rPr>
            </w:pPr>
            <w:r w:rsidRPr="00517B10">
              <w:rPr>
                <w:bCs/>
                <w:iCs/>
              </w:rPr>
              <w:t>The previous regimes continue to apply to these shares or rights, and the carve-out does not capture them</w:t>
            </w:r>
            <w:r>
              <w:rPr>
                <w:bCs/>
                <w:iCs/>
              </w:rPr>
              <w:t xml:space="preserve">.  </w:t>
            </w:r>
            <w:r w:rsidRPr="00517B10">
              <w:rPr>
                <w:bCs/>
                <w:iCs/>
              </w:rPr>
              <w:t>This amendment ensures that all employee share scheme shares or rights that would have been disregarded from the CGT demerger ownership tests before the commencement of the amending Act continue to be disregarded.</w:t>
            </w:r>
          </w:p>
          <w:p w:rsidR="00325E95" w:rsidRPr="00517B10" w:rsidRDefault="00325E95" w:rsidP="007D3360">
            <w:pPr>
              <w:pStyle w:val="tabletext"/>
              <w:rPr>
                <w:bCs/>
                <w:iCs/>
              </w:rPr>
            </w:pPr>
            <w:r w:rsidRPr="00517B10">
              <w:rPr>
                <w:bCs/>
                <w:iCs/>
              </w:rPr>
              <w:t>The amendment applies from 1 July 2009, consistent with the application of the reforms to employee share schemes</w:t>
            </w:r>
            <w:r w:rsidR="0015779B">
              <w:rPr>
                <w:bCs/>
                <w:iCs/>
              </w:rPr>
              <w:t>.</w:t>
            </w:r>
          </w:p>
        </w:tc>
      </w:tr>
    </w:tbl>
    <w:p w:rsidR="00325E95" w:rsidRPr="00482A78" w:rsidRDefault="00325E95" w:rsidP="00DC00CE">
      <w:pPr>
        <w:pStyle w:val="TableHeadingoutsidetable"/>
        <w:numPr>
          <w:ilvl w:val="4"/>
          <w:numId w:val="21"/>
        </w:numPr>
        <w:spacing w:before="240" w:after="240"/>
      </w:pPr>
      <w:r w:rsidRPr="007D3360">
        <w:lastRenderedPageBreak/>
        <w:t>:</w:t>
      </w:r>
      <w:r w:rsidRPr="0012537C">
        <w:t xml:space="preserve">  </w:t>
      </w:r>
      <w:r w:rsidR="008A6181">
        <w:t xml:space="preserve">Part 4 —Employee share schemes — </w:t>
      </w:r>
      <w:r w:rsidRPr="0012537C">
        <w:rPr>
          <w:iCs/>
        </w:rPr>
        <w:t>Amendments to the</w:t>
      </w:r>
      <w:r w:rsidRPr="0012537C">
        <w:t xml:space="preserve"> </w:t>
      </w:r>
      <w:r w:rsidRPr="009A23C3">
        <w:rPr>
          <w:i/>
        </w:rPr>
        <w:t>Taxation Administration Act 1953</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912"/>
      </w:tblGrid>
      <w:tr w:rsidR="00325E95" w:rsidRPr="00F53555" w:rsidTr="007D3360">
        <w:trPr>
          <w:tblHeader/>
        </w:trPr>
        <w:tc>
          <w:tcPr>
            <w:tcW w:w="2694" w:type="dxa"/>
            <w:tcBorders>
              <w:bottom w:val="single" w:sz="4" w:space="0" w:color="auto"/>
            </w:tcBorders>
          </w:tcPr>
          <w:p w:rsidR="00325E95" w:rsidRPr="00F53555" w:rsidRDefault="00325E95" w:rsidP="007D3360">
            <w:pPr>
              <w:pStyle w:val="tableheaderwithintable"/>
            </w:pPr>
            <w:r w:rsidRPr="00F53555">
              <w:t>Provision being amended</w:t>
            </w:r>
          </w:p>
        </w:tc>
        <w:tc>
          <w:tcPr>
            <w:tcW w:w="3912" w:type="dxa"/>
            <w:tcBorders>
              <w:bottom w:val="single" w:sz="4" w:space="0" w:color="auto"/>
            </w:tcBorders>
          </w:tcPr>
          <w:p w:rsidR="00325E95" w:rsidRPr="00F53555" w:rsidRDefault="00325E95" w:rsidP="007D3360">
            <w:pPr>
              <w:pStyle w:val="tableheaderwithintable"/>
            </w:pPr>
            <w:r w:rsidRPr="00F53555">
              <w:t>What the amendment does</w:t>
            </w:r>
          </w:p>
        </w:tc>
      </w:tr>
      <w:tr w:rsidR="00325E95" w:rsidRPr="00F20468" w:rsidTr="007D3360">
        <w:tc>
          <w:tcPr>
            <w:tcW w:w="2694" w:type="dxa"/>
            <w:tcBorders>
              <w:bottom w:val="single" w:sz="4" w:space="0" w:color="auto"/>
            </w:tcBorders>
          </w:tcPr>
          <w:p w:rsidR="00325E95" w:rsidRPr="0067567F" w:rsidRDefault="00325E95" w:rsidP="007D3360">
            <w:pPr>
              <w:pStyle w:val="tabletext"/>
              <w:ind w:left="34"/>
              <w:rPr>
                <w:rStyle w:val="Referencingstyle"/>
                <w:sz w:val="20"/>
              </w:rPr>
            </w:pPr>
            <w:r>
              <w:rPr>
                <w:rStyle w:val="Referencingstyle"/>
                <w:sz w:val="20"/>
              </w:rPr>
              <w:t xml:space="preserve">Income </w:t>
            </w:r>
            <w:r w:rsidRPr="0067567F">
              <w:rPr>
                <w:rStyle w:val="Referencingstyle"/>
                <w:sz w:val="20"/>
              </w:rPr>
              <w:t>Tax</w:t>
            </w:r>
            <w:r>
              <w:rPr>
                <w:rStyle w:val="Referencingstyle"/>
                <w:sz w:val="20"/>
              </w:rPr>
              <w:t xml:space="preserve"> Assessment </w:t>
            </w:r>
            <w:r>
              <w:rPr>
                <w:rStyle w:val="Referencingstyle"/>
                <w:sz w:val="20"/>
              </w:rPr>
              <w:br/>
              <w:t xml:space="preserve">Act </w:t>
            </w:r>
            <w:r w:rsidRPr="0067567F">
              <w:rPr>
                <w:rStyle w:val="Referencingstyle"/>
                <w:sz w:val="20"/>
              </w:rPr>
              <w:t>19</w:t>
            </w:r>
            <w:r>
              <w:rPr>
                <w:rStyle w:val="Referencingstyle"/>
                <w:sz w:val="20"/>
              </w:rPr>
              <w:t>97</w:t>
            </w:r>
          </w:p>
          <w:p w:rsidR="00325E95" w:rsidRPr="00517B10" w:rsidRDefault="00325E95" w:rsidP="003723ED">
            <w:pPr>
              <w:pStyle w:val="tabletext"/>
              <w:ind w:left="34"/>
              <w:rPr>
                <w:sz w:val="18"/>
                <w:szCs w:val="18"/>
              </w:rPr>
            </w:pPr>
            <w:r>
              <w:t>130-</w:t>
            </w:r>
            <w:r w:rsidR="003723ED">
              <w:t>97</w:t>
            </w:r>
            <w:r>
              <w:br/>
            </w:r>
            <w:r w:rsidR="00C40D5A">
              <w:rPr>
                <w:b/>
                <w:i/>
              </w:rPr>
              <w:t>[I</w:t>
            </w:r>
            <w:r w:rsidRPr="00EE3F86">
              <w:rPr>
                <w:b/>
                <w:i/>
              </w:rPr>
              <w:t xml:space="preserve">tem </w:t>
            </w:r>
            <w:r w:rsidR="003723ED">
              <w:rPr>
                <w:b/>
                <w:i/>
              </w:rPr>
              <w:t>33</w:t>
            </w:r>
            <w:r w:rsidR="00C40D5A">
              <w:rPr>
                <w:b/>
                <w:i/>
              </w:rPr>
              <w:t>]</w:t>
            </w:r>
          </w:p>
        </w:tc>
        <w:tc>
          <w:tcPr>
            <w:tcW w:w="3912" w:type="dxa"/>
            <w:tcBorders>
              <w:bottom w:val="single" w:sz="4" w:space="0" w:color="auto"/>
            </w:tcBorders>
          </w:tcPr>
          <w:p w:rsidR="00325E95" w:rsidRPr="008411A2" w:rsidRDefault="00325E95" w:rsidP="007D3360">
            <w:pPr>
              <w:pStyle w:val="tabletext"/>
              <w:ind w:left="-11"/>
              <w:rPr>
                <w:b/>
                <w:i/>
                <w:sz w:val="18"/>
              </w:rPr>
            </w:pPr>
            <w:r>
              <w:t xml:space="preserve">Renumbers section 130-100 that was inserted by item 40 of Schedule 1 to the </w:t>
            </w:r>
            <w:r w:rsidRPr="008411A2">
              <w:rPr>
                <w:i/>
              </w:rPr>
              <w:t xml:space="preserve">Tax Laws Amendment (2009 Budget Measures </w:t>
            </w:r>
            <w:r>
              <w:rPr>
                <w:i/>
              </w:rPr>
              <w:t xml:space="preserve">No. </w:t>
            </w:r>
            <w:r w:rsidRPr="008411A2">
              <w:rPr>
                <w:i/>
              </w:rPr>
              <w:t>2) Act 2009)</w:t>
            </w:r>
            <w:r>
              <w:t xml:space="preserve"> as section 130-97.  </w:t>
            </w:r>
          </w:p>
        </w:tc>
      </w:tr>
    </w:tbl>
    <w:p w:rsidR="00325E95" w:rsidRDefault="00325E95" w:rsidP="0015779B">
      <w:pPr>
        <w:pStyle w:val="Heading3"/>
        <w:keepLines/>
      </w:pPr>
      <w:r w:rsidRPr="00F53555">
        <w:lastRenderedPageBreak/>
        <w:t xml:space="preserve">Part </w:t>
      </w:r>
      <w:r>
        <w:t>5</w:t>
      </w:r>
      <w:r w:rsidRPr="00F53555">
        <w:t xml:space="preserve"> —</w:t>
      </w:r>
      <w:r>
        <w:t xml:space="preserve"> General interest charge</w:t>
      </w:r>
    </w:p>
    <w:p w:rsidR="00325E95" w:rsidRPr="00482A78" w:rsidRDefault="00325E95" w:rsidP="00DC00CE">
      <w:pPr>
        <w:pStyle w:val="TableHeadingoutsidetable"/>
        <w:keepLines/>
        <w:numPr>
          <w:ilvl w:val="4"/>
          <w:numId w:val="21"/>
        </w:numPr>
        <w:spacing w:after="240"/>
      </w:pPr>
      <w:r w:rsidRPr="007D3360">
        <w:t>:</w:t>
      </w:r>
      <w:r w:rsidRPr="0012537C">
        <w:t xml:space="preserve">  </w:t>
      </w:r>
      <w:r w:rsidR="008A6181">
        <w:t xml:space="preserve">Part 5 — </w:t>
      </w:r>
      <w:r w:rsidR="008A6181">
        <w:rPr>
          <w:iCs/>
        </w:rPr>
        <w:t>General interest charge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912"/>
      </w:tblGrid>
      <w:tr w:rsidR="00325E95" w:rsidRPr="00F53555" w:rsidTr="007D3360">
        <w:trPr>
          <w:tblHeader/>
        </w:trPr>
        <w:tc>
          <w:tcPr>
            <w:tcW w:w="2694" w:type="dxa"/>
            <w:tcBorders>
              <w:bottom w:val="single" w:sz="4" w:space="0" w:color="auto"/>
            </w:tcBorders>
          </w:tcPr>
          <w:p w:rsidR="00325E95" w:rsidRPr="00F53555" w:rsidRDefault="00325E95" w:rsidP="0015779B">
            <w:pPr>
              <w:pStyle w:val="tableheaderwithintable"/>
              <w:keepLines/>
            </w:pPr>
            <w:r w:rsidRPr="00F53555">
              <w:t>Provision being amended</w:t>
            </w:r>
          </w:p>
        </w:tc>
        <w:tc>
          <w:tcPr>
            <w:tcW w:w="3912" w:type="dxa"/>
            <w:tcBorders>
              <w:bottom w:val="single" w:sz="4" w:space="0" w:color="auto"/>
            </w:tcBorders>
          </w:tcPr>
          <w:p w:rsidR="00325E95" w:rsidRPr="00F53555" w:rsidRDefault="00325E95" w:rsidP="0015779B">
            <w:pPr>
              <w:pStyle w:val="tableheaderwithintable"/>
              <w:keepLines/>
            </w:pPr>
            <w:r w:rsidRPr="00F53555">
              <w:t>What the amendment does</w:t>
            </w:r>
          </w:p>
        </w:tc>
      </w:tr>
      <w:tr w:rsidR="00325E95" w:rsidRPr="00F20468" w:rsidTr="007D3360">
        <w:tc>
          <w:tcPr>
            <w:tcW w:w="2694" w:type="dxa"/>
            <w:tcBorders>
              <w:bottom w:val="single" w:sz="4" w:space="0" w:color="auto"/>
            </w:tcBorders>
          </w:tcPr>
          <w:p w:rsidR="00325E95" w:rsidRPr="0067567F" w:rsidRDefault="00325E95" w:rsidP="0015779B">
            <w:pPr>
              <w:pStyle w:val="tabletext"/>
              <w:keepNext/>
              <w:keepLines/>
              <w:ind w:left="34"/>
              <w:rPr>
                <w:rStyle w:val="Referencingstyle"/>
                <w:sz w:val="20"/>
              </w:rPr>
            </w:pPr>
            <w:bookmarkStart w:id="26" w:name="OLE_LINK23"/>
            <w:bookmarkStart w:id="27" w:name="OLE_LINK24"/>
            <w:r w:rsidRPr="0067567F">
              <w:rPr>
                <w:rStyle w:val="Referencingstyle"/>
                <w:sz w:val="20"/>
              </w:rPr>
              <w:t>Taxation Administration Act</w:t>
            </w:r>
            <w:r>
              <w:rPr>
                <w:rStyle w:val="Referencingstyle"/>
                <w:sz w:val="20"/>
              </w:rPr>
              <w:t> </w:t>
            </w:r>
            <w:r w:rsidRPr="0067567F">
              <w:rPr>
                <w:rStyle w:val="Referencingstyle"/>
                <w:sz w:val="20"/>
              </w:rPr>
              <w:t>1953</w:t>
            </w:r>
          </w:p>
          <w:p w:rsidR="00325E95" w:rsidRPr="00EE3F86" w:rsidRDefault="00325E95" w:rsidP="0015779B">
            <w:pPr>
              <w:pStyle w:val="tabletext"/>
              <w:keepNext/>
              <w:keepLines/>
              <w:ind w:left="34"/>
            </w:pPr>
            <w:r w:rsidRPr="00EE3F86">
              <w:t>8AAB(1)</w:t>
            </w:r>
            <w:bookmarkEnd w:id="26"/>
            <w:bookmarkEnd w:id="27"/>
            <w:r w:rsidRPr="00EE3F86">
              <w:br/>
              <w:t>8AAB(4) and (5)</w:t>
            </w:r>
            <w:r w:rsidRPr="00EE3F86">
              <w:br/>
            </w:r>
            <w:r w:rsidR="00C40D5A" w:rsidRPr="00C40D5A">
              <w:rPr>
                <w:b/>
                <w:i/>
              </w:rPr>
              <w:t>[I</w:t>
            </w:r>
            <w:r w:rsidRPr="00C40D5A">
              <w:rPr>
                <w:b/>
                <w:i/>
              </w:rPr>
              <w:t>tems 3</w:t>
            </w:r>
            <w:r w:rsidR="003723ED">
              <w:rPr>
                <w:b/>
                <w:i/>
              </w:rPr>
              <w:t>4</w:t>
            </w:r>
            <w:r w:rsidRPr="00C40D5A">
              <w:rPr>
                <w:b/>
                <w:i/>
              </w:rPr>
              <w:t xml:space="preserve"> and 3</w:t>
            </w:r>
            <w:r w:rsidR="003723ED">
              <w:rPr>
                <w:b/>
                <w:i/>
              </w:rPr>
              <w:t>5</w:t>
            </w:r>
            <w:r w:rsidR="00C40D5A" w:rsidRPr="00C40D5A">
              <w:rPr>
                <w:b/>
                <w:i/>
              </w:rPr>
              <w:t>]</w:t>
            </w:r>
          </w:p>
        </w:tc>
        <w:tc>
          <w:tcPr>
            <w:tcW w:w="3912" w:type="dxa"/>
            <w:tcBorders>
              <w:bottom w:val="single" w:sz="4" w:space="0" w:color="auto"/>
            </w:tcBorders>
          </w:tcPr>
          <w:p w:rsidR="00325E95" w:rsidRPr="009C186E" w:rsidRDefault="00325E95" w:rsidP="0015779B">
            <w:pPr>
              <w:pStyle w:val="tabletext"/>
              <w:keepNext/>
              <w:keepLines/>
            </w:pPr>
            <w:r>
              <w:t xml:space="preserve">Provides an index of </w:t>
            </w:r>
            <w:r w:rsidRPr="00C3392F">
              <w:t>provision</w:t>
            </w:r>
            <w:r>
              <w:t>s</w:t>
            </w:r>
            <w:r w:rsidRPr="00C3392F">
              <w:t xml:space="preserve"> of </w:t>
            </w:r>
            <w:r>
              <w:t xml:space="preserve">the laws dealing with </w:t>
            </w:r>
            <w:r w:rsidRPr="009C186E">
              <w:t xml:space="preserve">references </w:t>
            </w:r>
            <w:r>
              <w:t xml:space="preserve">that </w:t>
            </w:r>
            <w:r w:rsidRPr="00C3392F">
              <w:t xml:space="preserve">make </w:t>
            </w:r>
            <w:r>
              <w:t xml:space="preserve">a </w:t>
            </w:r>
            <w:r w:rsidRPr="00C3392F">
              <w:t>person liable</w:t>
            </w:r>
            <w:r w:rsidRPr="009C186E">
              <w:t xml:space="preserve"> to general interest charge</w:t>
            </w:r>
            <w:r>
              <w:t xml:space="preserve">.  </w:t>
            </w:r>
          </w:p>
        </w:tc>
      </w:tr>
    </w:tbl>
    <w:p w:rsidR="00325E95" w:rsidRDefault="00325E95" w:rsidP="007D3360">
      <w:pPr>
        <w:pStyle w:val="Heading3"/>
        <w:keepLines/>
      </w:pPr>
      <w:r w:rsidRPr="00F53555">
        <w:t xml:space="preserve">Part </w:t>
      </w:r>
      <w:r>
        <w:t>6</w:t>
      </w:r>
      <w:r w:rsidRPr="00F53555">
        <w:t xml:space="preserve"> —</w:t>
      </w:r>
      <w:r>
        <w:t xml:space="preserve"> Deductible gift recipients</w:t>
      </w:r>
    </w:p>
    <w:p w:rsidR="00325E95" w:rsidRPr="0015779B" w:rsidRDefault="00325E95" w:rsidP="00DC00CE">
      <w:pPr>
        <w:pStyle w:val="TableHeadingoutsidetable"/>
        <w:numPr>
          <w:ilvl w:val="4"/>
          <w:numId w:val="21"/>
        </w:numPr>
        <w:spacing w:after="240"/>
      </w:pPr>
      <w:r w:rsidRPr="007D3360">
        <w:t>:</w:t>
      </w:r>
      <w:r w:rsidRPr="0012537C">
        <w:t xml:space="preserve">  </w:t>
      </w:r>
      <w:r w:rsidR="008A6181">
        <w:rPr>
          <w:iCs/>
        </w:rPr>
        <w:t xml:space="preserve">Part 6 </w:t>
      </w:r>
      <w:r w:rsidR="008A6181" w:rsidRPr="008A6181">
        <w:rPr>
          <w:iCs/>
        </w:rPr>
        <w:t>—</w:t>
      </w:r>
      <w:r w:rsidR="008A6181">
        <w:rPr>
          <w:iCs/>
        </w:rPr>
        <w:t xml:space="preserve"> Deductible gift recipients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8"/>
        <w:gridCol w:w="3827"/>
      </w:tblGrid>
      <w:tr w:rsidR="0015779B" w:rsidRPr="00E31B34" w:rsidTr="0015779B">
        <w:trPr>
          <w:tblHeader/>
        </w:trPr>
        <w:tc>
          <w:tcPr>
            <w:tcW w:w="2748" w:type="dxa"/>
          </w:tcPr>
          <w:p w:rsidR="0015779B" w:rsidRPr="00E31B34" w:rsidRDefault="0015779B" w:rsidP="0015779B">
            <w:pPr>
              <w:pStyle w:val="tableheaderwithintable"/>
            </w:pPr>
            <w:r w:rsidRPr="00F53555">
              <w:t>Provision being amended</w:t>
            </w:r>
          </w:p>
        </w:tc>
        <w:tc>
          <w:tcPr>
            <w:tcW w:w="3827" w:type="dxa"/>
          </w:tcPr>
          <w:p w:rsidR="0015779B" w:rsidRPr="00E31B34" w:rsidRDefault="0015779B" w:rsidP="0015779B">
            <w:pPr>
              <w:pStyle w:val="tableheaderwithintable"/>
            </w:pPr>
            <w:r w:rsidRPr="00F53555">
              <w:t>What the amendment does</w:t>
            </w:r>
          </w:p>
        </w:tc>
      </w:tr>
      <w:tr w:rsidR="0015779B" w:rsidRPr="00E31B34" w:rsidTr="0015779B">
        <w:tc>
          <w:tcPr>
            <w:tcW w:w="2748" w:type="dxa"/>
          </w:tcPr>
          <w:p w:rsidR="0015779B" w:rsidRDefault="0015779B" w:rsidP="0015779B">
            <w:pPr>
              <w:pStyle w:val="tabletext"/>
              <w:rPr>
                <w:b/>
                <w:bCs/>
                <w:i/>
                <w:iCs/>
              </w:rPr>
            </w:pPr>
            <w:r w:rsidRPr="00DA6064">
              <w:rPr>
                <w:b/>
                <w:bCs/>
                <w:i/>
                <w:iCs/>
              </w:rPr>
              <w:t>Income Tax Assessment Act</w:t>
            </w:r>
            <w:r>
              <w:rPr>
                <w:b/>
                <w:bCs/>
                <w:i/>
                <w:iCs/>
              </w:rPr>
              <w:t> </w:t>
            </w:r>
            <w:r w:rsidRPr="00DA6064">
              <w:rPr>
                <w:b/>
                <w:bCs/>
                <w:i/>
                <w:iCs/>
              </w:rPr>
              <w:t>1997</w:t>
            </w:r>
          </w:p>
          <w:p w:rsidR="0015779B" w:rsidRPr="00E31B34" w:rsidRDefault="0015779B" w:rsidP="0015779B">
            <w:pPr>
              <w:pStyle w:val="tabletext"/>
            </w:pPr>
            <w:r w:rsidRPr="00A520CC">
              <w:t xml:space="preserve">30-20(2) (cell </w:t>
            </w:r>
            <w:r>
              <w:t>in</w:t>
            </w:r>
            <w:r w:rsidRPr="00A520CC">
              <w:t xml:space="preserve"> item 1.2.4 </w:t>
            </w:r>
            <w:r>
              <w:t xml:space="preserve">in the table </w:t>
            </w:r>
            <w:r w:rsidRPr="00A520CC">
              <w:t xml:space="preserve">headed </w:t>
            </w:r>
            <w:r>
              <w:t>‘</w:t>
            </w:r>
            <w:r w:rsidRPr="00A520CC">
              <w:t>Fund, authority or institution</w:t>
            </w:r>
            <w:r>
              <w:t>’)</w:t>
            </w:r>
            <w:r>
              <w:br/>
            </w:r>
            <w:r>
              <w:rPr>
                <w:b/>
                <w:i/>
              </w:rPr>
              <w:t>[I</w:t>
            </w:r>
            <w:r w:rsidRPr="00EE3F86">
              <w:rPr>
                <w:b/>
                <w:i/>
              </w:rPr>
              <w:t>tem 3</w:t>
            </w:r>
            <w:r>
              <w:rPr>
                <w:b/>
                <w:i/>
              </w:rPr>
              <w:t>7]</w:t>
            </w:r>
          </w:p>
        </w:tc>
        <w:tc>
          <w:tcPr>
            <w:tcW w:w="3827" w:type="dxa"/>
          </w:tcPr>
          <w:p w:rsidR="0015779B" w:rsidRPr="00A520CC" w:rsidRDefault="0015779B" w:rsidP="0015779B">
            <w:pPr>
              <w:pStyle w:val="tabletext"/>
              <w:rPr>
                <w:rStyle w:val="Referencingstyle"/>
              </w:rPr>
            </w:pPr>
            <w:r>
              <w:t xml:space="preserve">Amends the specific listing </w:t>
            </w:r>
            <w:r w:rsidRPr="00A520CC">
              <w:t xml:space="preserve">of the following </w:t>
            </w:r>
            <w:r w:rsidRPr="002D09EC">
              <w:t xml:space="preserve">deductible gift recipients </w:t>
            </w:r>
            <w:r>
              <w:t>(</w:t>
            </w:r>
            <w:r w:rsidRPr="00A520CC">
              <w:t>DGRs</w:t>
            </w:r>
            <w:r>
              <w:t>)</w:t>
            </w:r>
            <w:r w:rsidRPr="00A520CC">
              <w:t xml:space="preserve"> listing to reflect a name change of the listed organisation</w:t>
            </w:r>
            <w:r>
              <w:t xml:space="preserve"> from the ‘</w:t>
            </w:r>
            <w:r w:rsidRPr="00A520CC">
              <w:t>College of Radiologists in Australasia</w:t>
            </w:r>
            <w:r>
              <w:t xml:space="preserve">’ to ‘The Royal Australian and New Zealand College of Radiologists’.  </w:t>
            </w:r>
          </w:p>
        </w:tc>
      </w:tr>
      <w:tr w:rsidR="0015779B" w:rsidRPr="00E31B34" w:rsidTr="0015779B">
        <w:tc>
          <w:tcPr>
            <w:tcW w:w="2748" w:type="dxa"/>
          </w:tcPr>
          <w:p w:rsidR="0015779B" w:rsidRDefault="0015779B" w:rsidP="0015779B">
            <w:pPr>
              <w:pStyle w:val="tabletext"/>
              <w:rPr>
                <w:b/>
                <w:bCs/>
                <w:i/>
                <w:iCs/>
              </w:rPr>
            </w:pPr>
            <w:r w:rsidRPr="00DA6064">
              <w:rPr>
                <w:b/>
                <w:bCs/>
                <w:i/>
                <w:iCs/>
              </w:rPr>
              <w:t>Income Tax Assessment Act</w:t>
            </w:r>
            <w:r>
              <w:rPr>
                <w:b/>
                <w:bCs/>
                <w:i/>
                <w:iCs/>
              </w:rPr>
              <w:t> </w:t>
            </w:r>
            <w:r w:rsidRPr="00DA6064">
              <w:rPr>
                <w:b/>
                <w:bCs/>
                <w:i/>
                <w:iCs/>
              </w:rPr>
              <w:t>1997</w:t>
            </w:r>
          </w:p>
          <w:p w:rsidR="0015779B" w:rsidRDefault="0015779B" w:rsidP="0015779B">
            <w:pPr>
              <w:pStyle w:val="tabletext"/>
            </w:pPr>
            <w:r w:rsidRPr="00A520CC">
              <w:t xml:space="preserve">30-20(2) (cell </w:t>
            </w:r>
            <w:r>
              <w:t>in</w:t>
            </w:r>
            <w:r w:rsidRPr="00A520CC">
              <w:t xml:space="preserve"> item 1.2.</w:t>
            </w:r>
            <w:r>
              <w:t>16</w:t>
            </w:r>
            <w:r w:rsidRPr="00A520CC">
              <w:t xml:space="preserve"> </w:t>
            </w:r>
            <w:r>
              <w:t xml:space="preserve">in the table </w:t>
            </w:r>
            <w:r w:rsidRPr="00A520CC">
              <w:t xml:space="preserve">headed </w:t>
            </w:r>
            <w:r>
              <w:t>‘</w:t>
            </w:r>
            <w:r w:rsidRPr="00A520CC">
              <w:t>Fund, authority or institution</w:t>
            </w:r>
            <w:r>
              <w:t>’)</w:t>
            </w:r>
            <w:r>
              <w:br/>
              <w:t>30-65</w:t>
            </w:r>
            <w:r w:rsidRPr="00A520CC">
              <w:t xml:space="preserve"> (cell </w:t>
            </w:r>
            <w:r>
              <w:t>in</w:t>
            </w:r>
            <w:r w:rsidRPr="00A520CC">
              <w:t xml:space="preserve"> item </w:t>
            </w:r>
            <w:r>
              <w:t>7</w:t>
            </w:r>
            <w:r w:rsidRPr="00A520CC">
              <w:t>.2.</w:t>
            </w:r>
            <w:r>
              <w:t>4</w:t>
            </w:r>
            <w:r w:rsidRPr="00A520CC">
              <w:t xml:space="preserve"> </w:t>
            </w:r>
            <w:r>
              <w:t xml:space="preserve">in the table </w:t>
            </w:r>
            <w:r w:rsidRPr="00A520CC">
              <w:t xml:space="preserve">headed </w:t>
            </w:r>
            <w:r>
              <w:t>‘</w:t>
            </w:r>
            <w:r w:rsidRPr="00A520CC">
              <w:t>Fund, authority or institution</w:t>
            </w:r>
            <w:r>
              <w:t>’)</w:t>
            </w:r>
          </w:p>
          <w:p w:rsidR="0015779B" w:rsidRPr="002D09EC" w:rsidRDefault="0015779B" w:rsidP="0015779B">
            <w:pPr>
              <w:pStyle w:val="tabledotpoint"/>
              <w:numPr>
                <w:ilvl w:val="0"/>
                <w:numId w:val="0"/>
              </w:numPr>
            </w:pPr>
            <w:r w:rsidRPr="002D09EC">
              <w:t>30-20(2) (items 1.2.2, 1.2.3,</w:t>
            </w:r>
            <w:r>
              <w:t xml:space="preserve"> </w:t>
            </w:r>
            <w:r w:rsidRPr="002D09EC">
              <w:rPr>
                <w:rStyle w:val="Referencingstyle"/>
                <w:b w:val="0"/>
                <w:i w:val="0"/>
                <w:sz w:val="20"/>
              </w:rPr>
              <w:t>1.2.4</w:t>
            </w:r>
            <w:r>
              <w:rPr>
                <w:rStyle w:val="Referencingstyle"/>
                <w:b w:val="0"/>
                <w:i w:val="0"/>
                <w:sz w:val="20"/>
              </w:rPr>
              <w:t xml:space="preserve">, </w:t>
            </w:r>
            <w:r w:rsidRPr="002D09EC">
              <w:rPr>
                <w:rStyle w:val="Referencingstyle"/>
                <w:b w:val="0"/>
                <w:i w:val="0"/>
                <w:sz w:val="20"/>
              </w:rPr>
              <w:t>1.2.11 and 1.2.15</w:t>
            </w:r>
            <w:r>
              <w:rPr>
                <w:rStyle w:val="Referencingstyle"/>
                <w:b w:val="0"/>
                <w:i w:val="0"/>
                <w:sz w:val="20"/>
              </w:rPr>
              <w:t xml:space="preserve"> in the table</w:t>
            </w:r>
            <w:r w:rsidRPr="002D09EC">
              <w:t>)</w:t>
            </w:r>
          </w:p>
          <w:p w:rsidR="0015779B" w:rsidRPr="002D09EC" w:rsidRDefault="0015779B" w:rsidP="0015779B">
            <w:pPr>
              <w:pStyle w:val="tabledotpoint"/>
              <w:numPr>
                <w:ilvl w:val="0"/>
                <w:numId w:val="0"/>
              </w:numPr>
              <w:rPr>
                <w:rStyle w:val="Referencingstyle"/>
                <w:b w:val="0"/>
                <w:i w:val="0"/>
                <w:sz w:val="20"/>
              </w:rPr>
            </w:pPr>
            <w:r>
              <w:rPr>
                <w:rStyle w:val="Referencingstyle"/>
                <w:b w:val="0"/>
                <w:i w:val="0"/>
                <w:sz w:val="20"/>
              </w:rPr>
              <w:t>30</w:t>
            </w:r>
            <w:r>
              <w:rPr>
                <w:rStyle w:val="Referencingstyle"/>
                <w:b w:val="0"/>
                <w:i w:val="0"/>
                <w:sz w:val="20"/>
              </w:rPr>
              <w:noBreakHyphen/>
              <w:t>25(2) (</w:t>
            </w:r>
            <w:r w:rsidRPr="002D09EC">
              <w:rPr>
                <w:rStyle w:val="Referencingstyle"/>
                <w:b w:val="0"/>
                <w:i w:val="0"/>
                <w:sz w:val="20"/>
              </w:rPr>
              <w:t>items 2.2.15 and 2.2.19</w:t>
            </w:r>
            <w:r>
              <w:rPr>
                <w:rStyle w:val="Referencingstyle"/>
                <w:b w:val="0"/>
                <w:i w:val="0"/>
                <w:sz w:val="20"/>
              </w:rPr>
              <w:t xml:space="preserve"> in the table</w:t>
            </w:r>
            <w:r w:rsidRPr="002D09EC">
              <w:rPr>
                <w:rStyle w:val="Referencingstyle"/>
                <w:b w:val="0"/>
                <w:i w:val="0"/>
                <w:sz w:val="20"/>
              </w:rPr>
              <w:t>)</w:t>
            </w:r>
          </w:p>
          <w:p w:rsidR="0015779B" w:rsidRPr="002D09EC" w:rsidRDefault="0015779B" w:rsidP="0015779B">
            <w:pPr>
              <w:pStyle w:val="tabledotpoint"/>
              <w:numPr>
                <w:ilvl w:val="0"/>
                <w:numId w:val="0"/>
              </w:numPr>
              <w:rPr>
                <w:rStyle w:val="Referencingstyle"/>
                <w:b w:val="0"/>
                <w:i w:val="0"/>
                <w:sz w:val="20"/>
              </w:rPr>
            </w:pPr>
            <w:r w:rsidRPr="002D09EC">
              <w:rPr>
                <w:rStyle w:val="Referencingstyle"/>
                <w:b w:val="0"/>
                <w:i w:val="0"/>
                <w:sz w:val="20"/>
              </w:rPr>
              <w:t>30</w:t>
            </w:r>
            <w:r w:rsidRPr="002D09EC">
              <w:rPr>
                <w:rStyle w:val="Referencingstyle"/>
                <w:b w:val="0"/>
                <w:i w:val="0"/>
                <w:sz w:val="20"/>
              </w:rPr>
              <w:noBreakHyphen/>
              <w:t>40(2) (item 3.2.3</w:t>
            </w:r>
            <w:r>
              <w:rPr>
                <w:rStyle w:val="Referencingstyle"/>
                <w:b w:val="0"/>
                <w:i w:val="0"/>
                <w:sz w:val="20"/>
              </w:rPr>
              <w:t xml:space="preserve"> in the table</w:t>
            </w:r>
            <w:r w:rsidRPr="002D09EC">
              <w:rPr>
                <w:rStyle w:val="Referencingstyle"/>
                <w:b w:val="0"/>
                <w:i w:val="0"/>
                <w:sz w:val="20"/>
              </w:rPr>
              <w:t>)</w:t>
            </w:r>
          </w:p>
          <w:p w:rsidR="0015779B" w:rsidRPr="002D09EC" w:rsidRDefault="0015779B" w:rsidP="0015779B">
            <w:pPr>
              <w:pStyle w:val="tabledotpoint"/>
              <w:numPr>
                <w:ilvl w:val="0"/>
                <w:numId w:val="0"/>
              </w:numPr>
              <w:rPr>
                <w:rStyle w:val="Referencingstyle"/>
                <w:b w:val="0"/>
                <w:i w:val="0"/>
                <w:sz w:val="20"/>
              </w:rPr>
            </w:pPr>
            <w:r w:rsidRPr="002D09EC">
              <w:rPr>
                <w:rStyle w:val="Referencingstyle"/>
                <w:b w:val="0"/>
                <w:i w:val="0"/>
                <w:sz w:val="20"/>
              </w:rPr>
              <w:t>30</w:t>
            </w:r>
            <w:r w:rsidRPr="002D09EC">
              <w:rPr>
                <w:rStyle w:val="Referencingstyle"/>
                <w:b w:val="0"/>
                <w:i w:val="0"/>
                <w:sz w:val="20"/>
              </w:rPr>
              <w:noBreakHyphen/>
              <w:t xml:space="preserve"> 45(2) (items 4.2.5 and 4.2.15</w:t>
            </w:r>
            <w:r>
              <w:rPr>
                <w:rStyle w:val="Referencingstyle"/>
                <w:b w:val="0"/>
                <w:i w:val="0"/>
                <w:sz w:val="20"/>
              </w:rPr>
              <w:t xml:space="preserve"> in the table</w:t>
            </w:r>
            <w:r w:rsidRPr="002D09EC">
              <w:rPr>
                <w:rStyle w:val="Referencingstyle"/>
                <w:b w:val="0"/>
                <w:i w:val="0"/>
                <w:sz w:val="20"/>
              </w:rPr>
              <w:t>)</w:t>
            </w:r>
          </w:p>
          <w:p w:rsidR="0015779B" w:rsidRPr="002D09EC" w:rsidRDefault="0015779B" w:rsidP="0015779B">
            <w:pPr>
              <w:pStyle w:val="tabledotpoint"/>
              <w:numPr>
                <w:ilvl w:val="0"/>
                <w:numId w:val="0"/>
              </w:numPr>
            </w:pPr>
            <w:r w:rsidRPr="002D09EC">
              <w:t>30-50(2) (items 5.5.16, 5.2.24, 5.2.2</w:t>
            </w:r>
            <w:r>
              <w:t>5 and</w:t>
            </w:r>
            <w:r w:rsidRPr="002D09EC">
              <w:t xml:space="preserve"> 5</w:t>
            </w:r>
            <w:r>
              <w:t>.</w:t>
            </w:r>
            <w:r w:rsidRPr="002D09EC">
              <w:t>2</w:t>
            </w:r>
            <w:r>
              <w:t>.</w:t>
            </w:r>
            <w:r w:rsidRPr="002D09EC">
              <w:t>27</w:t>
            </w:r>
            <w:r>
              <w:t xml:space="preserve"> in the table</w:t>
            </w:r>
            <w:r w:rsidRPr="002D09EC">
              <w:t>)</w:t>
            </w:r>
          </w:p>
          <w:p w:rsidR="0015779B" w:rsidRDefault="0015779B" w:rsidP="0015779B">
            <w:pPr>
              <w:pStyle w:val="tabledotpoint"/>
              <w:numPr>
                <w:ilvl w:val="0"/>
                <w:numId w:val="0"/>
              </w:numPr>
              <w:rPr>
                <w:rStyle w:val="Referencingstyle"/>
                <w:b w:val="0"/>
                <w:i w:val="0"/>
                <w:sz w:val="20"/>
              </w:rPr>
            </w:pPr>
            <w:r>
              <w:rPr>
                <w:rStyle w:val="Referencingstyle"/>
                <w:b w:val="0"/>
                <w:i w:val="0"/>
                <w:sz w:val="20"/>
              </w:rPr>
              <w:t>30</w:t>
            </w:r>
            <w:r>
              <w:rPr>
                <w:rStyle w:val="Referencingstyle"/>
                <w:b w:val="0"/>
                <w:i w:val="0"/>
                <w:sz w:val="20"/>
              </w:rPr>
              <w:noBreakHyphen/>
              <w:t>65 (</w:t>
            </w:r>
            <w:r w:rsidRPr="002D09EC">
              <w:rPr>
                <w:rStyle w:val="Referencingstyle"/>
                <w:b w:val="0"/>
                <w:i w:val="0"/>
                <w:sz w:val="20"/>
              </w:rPr>
              <w:t>items 7.2.1, 7.2.2 and 7.2.4</w:t>
            </w:r>
            <w:r>
              <w:rPr>
                <w:rStyle w:val="Referencingstyle"/>
                <w:b w:val="0"/>
                <w:i w:val="0"/>
                <w:sz w:val="20"/>
              </w:rPr>
              <w:t xml:space="preserve"> in the table</w:t>
            </w:r>
            <w:r w:rsidRPr="002D09EC">
              <w:rPr>
                <w:rStyle w:val="Referencingstyle"/>
                <w:b w:val="0"/>
                <w:i w:val="0"/>
                <w:sz w:val="20"/>
              </w:rPr>
              <w:t>)</w:t>
            </w:r>
          </w:p>
          <w:p w:rsidR="001E3884" w:rsidRPr="002D09EC" w:rsidRDefault="001E3884" w:rsidP="0015779B">
            <w:pPr>
              <w:pStyle w:val="tabledotpoint"/>
              <w:numPr>
                <w:ilvl w:val="0"/>
                <w:numId w:val="0"/>
              </w:numPr>
              <w:rPr>
                <w:rStyle w:val="Referencingstyle"/>
                <w:b w:val="0"/>
                <w:i w:val="0"/>
                <w:sz w:val="20"/>
              </w:rPr>
            </w:pPr>
          </w:p>
          <w:p w:rsidR="0015779B" w:rsidRPr="002D09EC" w:rsidRDefault="0015779B" w:rsidP="0015779B">
            <w:pPr>
              <w:pStyle w:val="tabledotpoint"/>
              <w:numPr>
                <w:ilvl w:val="0"/>
                <w:numId w:val="0"/>
              </w:numPr>
              <w:rPr>
                <w:rStyle w:val="Referencingstyle"/>
                <w:b w:val="0"/>
                <w:i w:val="0"/>
                <w:sz w:val="20"/>
              </w:rPr>
            </w:pPr>
            <w:r w:rsidRPr="002D09EC">
              <w:rPr>
                <w:rStyle w:val="Referencingstyle"/>
                <w:b w:val="0"/>
                <w:i w:val="0"/>
                <w:sz w:val="20"/>
              </w:rPr>
              <w:lastRenderedPageBreak/>
              <w:t>30</w:t>
            </w:r>
            <w:r w:rsidRPr="002D09EC">
              <w:rPr>
                <w:rStyle w:val="Referencingstyle"/>
                <w:b w:val="0"/>
                <w:i w:val="0"/>
                <w:sz w:val="20"/>
              </w:rPr>
              <w:noBreakHyphen/>
              <w:t xml:space="preserve">80(2) (items 9.2.2, </w:t>
            </w:r>
            <w:r w:rsidRPr="002D09EC">
              <w:t>9.2.15, 9.2.16 and 9.2.20</w:t>
            </w:r>
            <w:r>
              <w:t xml:space="preserve"> in the table</w:t>
            </w:r>
            <w:r w:rsidRPr="002D09EC">
              <w:rPr>
                <w:rStyle w:val="Referencingstyle"/>
                <w:b w:val="0"/>
                <w:i w:val="0"/>
                <w:sz w:val="20"/>
              </w:rPr>
              <w:t xml:space="preserve">) </w:t>
            </w:r>
          </w:p>
          <w:p w:rsidR="0015779B" w:rsidRDefault="0015779B" w:rsidP="0015779B">
            <w:pPr>
              <w:pStyle w:val="tabledotpoint"/>
              <w:numPr>
                <w:ilvl w:val="0"/>
                <w:numId w:val="0"/>
              </w:numPr>
              <w:rPr>
                <w:rStyle w:val="Referencingstyle"/>
                <w:b w:val="0"/>
                <w:i w:val="0"/>
                <w:sz w:val="20"/>
              </w:rPr>
            </w:pPr>
            <w:r>
              <w:rPr>
                <w:rStyle w:val="Referencingstyle"/>
                <w:b w:val="0"/>
                <w:i w:val="0"/>
                <w:sz w:val="20"/>
              </w:rPr>
              <w:t>30</w:t>
            </w:r>
            <w:r>
              <w:rPr>
                <w:rStyle w:val="Referencingstyle"/>
                <w:b w:val="0"/>
                <w:i w:val="0"/>
                <w:sz w:val="20"/>
              </w:rPr>
              <w:noBreakHyphen/>
              <w:t>90 (</w:t>
            </w:r>
            <w:r w:rsidRPr="002D09EC">
              <w:rPr>
                <w:rStyle w:val="Referencingstyle"/>
                <w:b w:val="0"/>
                <w:i w:val="0"/>
                <w:sz w:val="20"/>
              </w:rPr>
              <w:t>item 10.2.6</w:t>
            </w:r>
            <w:r>
              <w:rPr>
                <w:rStyle w:val="Referencingstyle"/>
                <w:b w:val="0"/>
                <w:i w:val="0"/>
                <w:sz w:val="20"/>
              </w:rPr>
              <w:t xml:space="preserve"> in the table</w:t>
            </w:r>
            <w:r w:rsidRPr="002D09EC">
              <w:rPr>
                <w:rStyle w:val="Referencingstyle"/>
                <w:b w:val="0"/>
                <w:i w:val="0"/>
                <w:sz w:val="20"/>
              </w:rPr>
              <w:t xml:space="preserve">) </w:t>
            </w:r>
          </w:p>
          <w:p w:rsidR="0015779B" w:rsidRPr="002D09EC" w:rsidRDefault="0015779B" w:rsidP="0015779B">
            <w:pPr>
              <w:pStyle w:val="tabledotpoint"/>
              <w:numPr>
                <w:ilvl w:val="0"/>
                <w:numId w:val="0"/>
              </w:numPr>
              <w:rPr>
                <w:rStyle w:val="Referencingstyle"/>
                <w:b w:val="0"/>
                <w:i w:val="0"/>
                <w:sz w:val="20"/>
              </w:rPr>
            </w:pPr>
            <w:r w:rsidRPr="002D09EC">
              <w:rPr>
                <w:rStyle w:val="Referencingstyle"/>
                <w:b w:val="0"/>
                <w:i w:val="0"/>
                <w:sz w:val="20"/>
              </w:rPr>
              <w:t>30</w:t>
            </w:r>
            <w:r w:rsidRPr="002D09EC">
              <w:rPr>
                <w:rStyle w:val="Referencingstyle"/>
                <w:b w:val="0"/>
                <w:i w:val="0"/>
                <w:sz w:val="20"/>
              </w:rPr>
              <w:noBreakHyphen/>
              <w:t xml:space="preserve">105 (items 13.2.4, </w:t>
            </w:r>
            <w:r w:rsidRPr="002D09EC">
              <w:t>13.2.5, 13.2.6</w:t>
            </w:r>
            <w:r>
              <w:t xml:space="preserve">, </w:t>
            </w:r>
            <w:r w:rsidRPr="002D09EC">
              <w:t>13.2.11</w:t>
            </w:r>
            <w:r>
              <w:t>,</w:t>
            </w:r>
            <w:r w:rsidRPr="002D09EC">
              <w:t xml:space="preserve"> 13.2.12, 13.2.13</w:t>
            </w:r>
            <w:r>
              <w:t xml:space="preserve"> </w:t>
            </w:r>
            <w:r w:rsidRPr="002D09EC">
              <w:t>and 13.2.14</w:t>
            </w:r>
            <w:r>
              <w:t xml:space="preserve"> in the table</w:t>
            </w:r>
            <w:r w:rsidRPr="002D09EC">
              <w:rPr>
                <w:rStyle w:val="Referencingstyle"/>
                <w:b w:val="0"/>
                <w:i w:val="0"/>
                <w:sz w:val="20"/>
              </w:rPr>
              <w:t>)</w:t>
            </w:r>
          </w:p>
          <w:p w:rsidR="0015779B" w:rsidRDefault="0015779B" w:rsidP="0015779B">
            <w:pPr>
              <w:pStyle w:val="tabledotpoint"/>
              <w:numPr>
                <w:ilvl w:val="0"/>
                <w:numId w:val="0"/>
              </w:numPr>
              <w:rPr>
                <w:b/>
                <w:i/>
              </w:rPr>
            </w:pPr>
            <w:r w:rsidRPr="002D09EC">
              <w:t xml:space="preserve">30-315 (items </w:t>
            </w:r>
            <w:r w:rsidRPr="002D09EC">
              <w:rPr>
                <w:rStyle w:val="Referencingstyle"/>
                <w:b w:val="0"/>
                <w:i w:val="0"/>
                <w:sz w:val="20"/>
              </w:rPr>
              <w:t xml:space="preserve">5, 19, 20AA, 21, 21A, 24, 25, 25C, 26, </w:t>
            </w:r>
            <w:r w:rsidRPr="00F20AC3">
              <w:t xml:space="preserve">28AAA, </w:t>
            </w:r>
            <w:r w:rsidRPr="002D09EC">
              <w:rPr>
                <w:rStyle w:val="Referencingstyle"/>
                <w:b w:val="0"/>
                <w:i w:val="0"/>
                <w:sz w:val="20"/>
              </w:rPr>
              <w:t xml:space="preserve">28A, 28AB, 31A, 34, 38, </w:t>
            </w:r>
            <w:r w:rsidRPr="002D09EC">
              <w:t xml:space="preserve">45AA, 49A, </w:t>
            </w:r>
            <w:r w:rsidRPr="002D09EC">
              <w:rPr>
                <w:rStyle w:val="Referencingstyle"/>
                <w:b w:val="0"/>
                <w:i w:val="0"/>
                <w:sz w:val="20"/>
              </w:rPr>
              <w:t xml:space="preserve">50A, 60A, 61, </w:t>
            </w:r>
            <w:r w:rsidRPr="002D09EC">
              <w:t>81</w:t>
            </w:r>
            <w:r>
              <w:t xml:space="preserve">, </w:t>
            </w:r>
            <w:r w:rsidRPr="002D09EC">
              <w:rPr>
                <w:rStyle w:val="Referencingstyle"/>
                <w:b w:val="0"/>
                <w:i w:val="0"/>
                <w:sz w:val="20"/>
              </w:rPr>
              <w:t>83,</w:t>
            </w:r>
            <w:r w:rsidRPr="002D09EC">
              <w:t xml:space="preserve"> 86F</w:t>
            </w:r>
            <w:r>
              <w:t>,</w:t>
            </w:r>
            <w:r w:rsidRPr="002D09EC">
              <w:rPr>
                <w:rStyle w:val="Referencingstyle"/>
                <w:b w:val="0"/>
                <w:i w:val="0"/>
                <w:sz w:val="20"/>
              </w:rPr>
              <w:t xml:space="preserve"> 91, 105B, 112AFA, 112AG, 112BA</w:t>
            </w:r>
            <w:r>
              <w:rPr>
                <w:rStyle w:val="Referencingstyle"/>
                <w:b w:val="0"/>
                <w:i w:val="0"/>
                <w:sz w:val="20"/>
              </w:rPr>
              <w:t>,</w:t>
            </w:r>
            <w:r w:rsidRPr="002D09EC">
              <w:rPr>
                <w:rStyle w:val="Referencingstyle"/>
                <w:b w:val="0"/>
                <w:i w:val="0"/>
                <w:sz w:val="20"/>
              </w:rPr>
              <w:t xml:space="preserve"> 121C</w:t>
            </w:r>
            <w:r w:rsidRPr="002D09EC">
              <w:t>, and 127AA</w:t>
            </w:r>
            <w:r>
              <w:t xml:space="preserve"> in the table</w:t>
            </w:r>
            <w:r w:rsidRPr="002D09EC">
              <w:t>)</w:t>
            </w:r>
            <w:r>
              <w:br/>
            </w:r>
            <w:r>
              <w:rPr>
                <w:b/>
                <w:i/>
              </w:rPr>
              <w:t>[I</w:t>
            </w:r>
            <w:r w:rsidRPr="00C72274">
              <w:rPr>
                <w:b/>
                <w:i/>
              </w:rPr>
              <w:t>tems 3</w:t>
            </w:r>
            <w:r>
              <w:rPr>
                <w:b/>
                <w:i/>
              </w:rPr>
              <w:t>6</w:t>
            </w:r>
            <w:r w:rsidRPr="00C72274">
              <w:rPr>
                <w:b/>
                <w:i/>
              </w:rPr>
              <w:t xml:space="preserve"> to 5</w:t>
            </w:r>
            <w:r>
              <w:rPr>
                <w:b/>
                <w:i/>
              </w:rPr>
              <w:t>4]</w:t>
            </w:r>
          </w:p>
          <w:p w:rsidR="0015779B" w:rsidRDefault="0015779B" w:rsidP="0015779B">
            <w:pPr>
              <w:pStyle w:val="tabletext"/>
              <w:rPr>
                <w:b/>
                <w:bCs/>
                <w:i/>
                <w:iCs/>
              </w:rPr>
            </w:pPr>
            <w:r w:rsidRPr="002D09EC">
              <w:rPr>
                <w:b/>
                <w:bCs/>
                <w:i/>
                <w:iCs/>
              </w:rPr>
              <w:t>Tax Laws Amendment (Repeal of Inoperative Provisions) Act 2006</w:t>
            </w:r>
          </w:p>
          <w:p w:rsidR="0015779B" w:rsidRDefault="0015779B" w:rsidP="0015779B">
            <w:pPr>
              <w:pStyle w:val="tabletext"/>
            </w:pPr>
            <w:r w:rsidRPr="00C40D5A">
              <w:t>Item 15</w:t>
            </w:r>
            <w:r w:rsidRPr="002D09EC">
              <w:t xml:space="preserve"> of Schedule 3 (heading)</w:t>
            </w:r>
          </w:p>
          <w:p w:rsidR="0015779B" w:rsidRPr="003723ED" w:rsidRDefault="0015779B" w:rsidP="0015779B">
            <w:pPr>
              <w:pStyle w:val="tabletext"/>
              <w:rPr>
                <w:b/>
                <w:i/>
              </w:rPr>
            </w:pPr>
            <w:r w:rsidRPr="003723ED">
              <w:rPr>
                <w:b/>
                <w:i/>
              </w:rPr>
              <w:t>[Items 55 and 56]</w:t>
            </w:r>
          </w:p>
        </w:tc>
        <w:tc>
          <w:tcPr>
            <w:tcW w:w="3827" w:type="dxa"/>
          </w:tcPr>
          <w:p w:rsidR="0015779B" w:rsidRDefault="0015779B" w:rsidP="0015779B">
            <w:pPr>
              <w:pStyle w:val="tabletext"/>
            </w:pPr>
            <w:r w:rsidRPr="00A520CC">
              <w:lastRenderedPageBreak/>
              <w:t xml:space="preserve">Deems the following specifically listed DGRs, which are eligible for endorsement under the general categories, to have been endorsed by the Commissioner as DGRs under the general categories on the same day as the specific listing is repealed, </w:t>
            </w:r>
            <w:r w:rsidR="00FD7E2D">
              <w:t xml:space="preserve">but </w:t>
            </w:r>
            <w:r w:rsidRPr="00A520CC">
              <w:t xml:space="preserve">does not prevent the Commissioner from revoking that endorsement at a later time:  </w:t>
            </w:r>
          </w:p>
          <w:p w:rsidR="0015779B" w:rsidRDefault="0015779B" w:rsidP="0015779B">
            <w:pPr>
              <w:pStyle w:val="tabledotpoint"/>
            </w:pPr>
            <w:r w:rsidRPr="00A520CC">
              <w:t>Breast Cancer Network Australia</w:t>
            </w:r>
            <w:r>
              <w:t>; and</w:t>
            </w:r>
          </w:p>
          <w:p w:rsidR="0015779B" w:rsidRPr="00960E73" w:rsidRDefault="0015779B" w:rsidP="0015779B">
            <w:pPr>
              <w:pStyle w:val="tabledotpoint"/>
            </w:pPr>
            <w:r w:rsidRPr="00A520CC">
              <w:t>Indigenous Community Volunteers Limited</w:t>
            </w:r>
            <w:r>
              <w:t>.</w:t>
            </w:r>
          </w:p>
          <w:p w:rsidR="0015779B" w:rsidRPr="002D09EC" w:rsidRDefault="0015779B" w:rsidP="0015779B">
            <w:pPr>
              <w:pStyle w:val="tabletext"/>
              <w:spacing w:after="0"/>
            </w:pPr>
            <w:r w:rsidRPr="009175CD">
              <w:t>Repeals and updates the specific listings of the following DGRs where</w:t>
            </w:r>
            <w:r>
              <w:t>:</w:t>
            </w:r>
            <w:r w:rsidRPr="009175CD">
              <w:t xml:space="preserve"> the organisations no longer exist for the purposes for which they were listed</w:t>
            </w:r>
            <w:r>
              <w:t>;</w:t>
            </w:r>
            <w:r w:rsidRPr="009175CD">
              <w:t xml:space="preserve"> or the organisations were listed for a limited time</w:t>
            </w:r>
            <w:r>
              <w:t xml:space="preserve"> and that time has expired, or the organisations </w:t>
            </w:r>
            <w:r w:rsidRPr="009175CD">
              <w:t>have ceased to exist, or have merged with other DGR eligible organisations:</w:t>
            </w:r>
          </w:p>
          <w:p w:rsidR="001E3884" w:rsidRPr="00C72274" w:rsidRDefault="0015779B" w:rsidP="007044BA">
            <w:pPr>
              <w:pStyle w:val="tabledotpoint"/>
              <w:spacing w:beforeLines="20" w:after="20"/>
            </w:pPr>
            <w:r w:rsidRPr="00C72274">
              <w:t>Australian College of Occupational Medicine</w:t>
            </w:r>
            <w:r>
              <w:t>;</w:t>
            </w:r>
            <w:r w:rsidR="001E3884">
              <w:br/>
            </w:r>
            <w:r w:rsidR="001E3884">
              <w:br/>
            </w:r>
          </w:p>
          <w:p w:rsidR="0015779B" w:rsidRPr="00C72274" w:rsidRDefault="0015779B" w:rsidP="007044BA">
            <w:pPr>
              <w:pStyle w:val="tabledotpoint"/>
              <w:spacing w:beforeLines="20" w:after="20"/>
            </w:pPr>
            <w:r w:rsidRPr="00C72274">
              <w:lastRenderedPageBreak/>
              <w:t>Australian Council for Child</w:t>
            </w:r>
            <w:r>
              <w:t>ren and Youth Organisations Inc;</w:t>
            </w:r>
          </w:p>
          <w:p w:rsidR="0015779B" w:rsidRPr="00C72274" w:rsidRDefault="0015779B" w:rsidP="007044BA">
            <w:pPr>
              <w:pStyle w:val="tabledotpoint"/>
              <w:spacing w:beforeLines="20" w:after="20"/>
            </w:pPr>
            <w:r w:rsidRPr="00C72274">
              <w:t>Australian Games Uniform Company Limited</w:t>
            </w:r>
            <w:r>
              <w:t>;</w:t>
            </w:r>
          </w:p>
          <w:p w:rsidR="0015779B" w:rsidRPr="00C72274" w:rsidRDefault="0015779B" w:rsidP="007044BA">
            <w:pPr>
              <w:pStyle w:val="tabledotpoint"/>
              <w:spacing w:beforeLines="20" w:after="20"/>
            </w:pPr>
            <w:r w:rsidRPr="00C72274">
              <w:t>Australian Postgraduate Federation in Medicine</w:t>
            </w:r>
            <w:r>
              <w:t>;</w:t>
            </w:r>
          </w:p>
          <w:p w:rsidR="0015779B" w:rsidRPr="00C72274" w:rsidRDefault="0015779B" w:rsidP="007044BA">
            <w:pPr>
              <w:pStyle w:val="tabledotpoint"/>
              <w:spacing w:beforeLines="20" w:after="20"/>
            </w:pPr>
            <w:r w:rsidRPr="00C72274">
              <w:t>Australian National Travel Association</w:t>
            </w:r>
            <w:r>
              <w:t>;</w:t>
            </w:r>
          </w:p>
          <w:p w:rsidR="0015779B" w:rsidRDefault="0015779B" w:rsidP="007044BA">
            <w:pPr>
              <w:pStyle w:val="tabledotpoint"/>
              <w:spacing w:beforeLines="20" w:after="20"/>
            </w:pPr>
            <w:r w:rsidRPr="00C72274">
              <w:t>Australian Red Cross Society—US 2005 Hurricane Relief Appeal</w:t>
            </w:r>
            <w:r>
              <w:t>;</w:t>
            </w:r>
          </w:p>
          <w:p w:rsidR="0015779B" w:rsidRPr="00C72274" w:rsidRDefault="0015779B" w:rsidP="007044BA">
            <w:pPr>
              <w:pStyle w:val="tabledotpoint"/>
              <w:keepNext/>
              <w:keepLines/>
              <w:spacing w:beforeLines="20" w:after="20"/>
            </w:pPr>
            <w:r w:rsidRPr="00C72274">
              <w:t>Australian Regional Council of Royal College of Obs</w:t>
            </w:r>
            <w:r>
              <w:t>tetricians and Gynaecologists;</w:t>
            </w:r>
          </w:p>
          <w:p w:rsidR="0015779B" w:rsidRPr="00C72274" w:rsidRDefault="0015779B" w:rsidP="007044BA">
            <w:pPr>
              <w:pStyle w:val="tabledotpoint"/>
              <w:keepNext/>
              <w:keepLines/>
              <w:spacing w:beforeLines="20" w:after="20"/>
            </w:pPr>
            <w:r w:rsidRPr="00C72274">
              <w:t>Bowral Vietnam Memorial Walk Trust Incorporated</w:t>
            </w:r>
            <w:r>
              <w:t>;</w:t>
            </w:r>
          </w:p>
          <w:p w:rsidR="0015779B" w:rsidRPr="00C72274" w:rsidRDefault="0015779B" w:rsidP="007044BA">
            <w:pPr>
              <w:pStyle w:val="tabledotpoint"/>
              <w:spacing w:beforeLines="20" w:after="20"/>
            </w:pPr>
            <w:r w:rsidRPr="00C72274">
              <w:t>Business Against Domestic Violence Reserve</w:t>
            </w:r>
            <w:r>
              <w:t>;</w:t>
            </w:r>
            <w:r w:rsidRPr="00C72274">
              <w:t xml:space="preserve"> </w:t>
            </w:r>
          </w:p>
          <w:p w:rsidR="0015779B" w:rsidRPr="00C72274" w:rsidRDefault="0015779B" w:rsidP="007044BA">
            <w:pPr>
              <w:pStyle w:val="tabledotpoint"/>
              <w:spacing w:beforeLines="20" w:after="20"/>
            </w:pPr>
            <w:r w:rsidRPr="00C72274">
              <w:t>City of Onkaparinga Memorial Gardens Association Incorporated</w:t>
            </w:r>
            <w:r>
              <w:t>;</w:t>
            </w:r>
          </w:p>
          <w:p w:rsidR="0015779B" w:rsidRPr="00C72274" w:rsidRDefault="0015779B" w:rsidP="007044BA">
            <w:pPr>
              <w:pStyle w:val="tabledotpoint"/>
              <w:spacing w:beforeLines="20" w:after="20"/>
            </w:pPr>
            <w:r w:rsidRPr="00C72274">
              <w:t>Commonwealth (for gifts made for the purposes of research in the Austra</w:t>
            </w:r>
            <w:r>
              <w:t>lian Antarctic Territory);</w:t>
            </w:r>
          </w:p>
          <w:p w:rsidR="0015779B" w:rsidRPr="00C72274" w:rsidRDefault="0015779B" w:rsidP="007044BA">
            <w:pPr>
              <w:pStyle w:val="tabledotpoint"/>
              <w:spacing w:beforeLines="20" w:after="20"/>
            </w:pPr>
            <w:r w:rsidRPr="00C72274">
              <w:t>Constitutional Centenary Foundation Incorporated</w:t>
            </w:r>
            <w:r>
              <w:t>;</w:t>
            </w:r>
          </w:p>
          <w:p w:rsidR="0015779B" w:rsidRPr="00C72274" w:rsidRDefault="0015779B" w:rsidP="007044BA">
            <w:pPr>
              <w:pStyle w:val="tabledotpoint"/>
              <w:spacing w:beforeLines="20" w:after="20"/>
            </w:pPr>
            <w:r w:rsidRPr="00C72274">
              <w:t>Dunn and Lewis Youth Development Foundation Limited</w:t>
            </w:r>
            <w:r>
              <w:t>;</w:t>
            </w:r>
          </w:p>
          <w:p w:rsidR="0015779B" w:rsidRPr="00C72274" w:rsidRDefault="0015779B" w:rsidP="007044BA">
            <w:pPr>
              <w:pStyle w:val="tabledotpoint"/>
              <w:spacing w:beforeLines="20" w:after="20"/>
            </w:pPr>
            <w:r w:rsidRPr="00C72274">
              <w:t>Foundation for Gambling Studies</w:t>
            </w:r>
            <w:r>
              <w:t>;</w:t>
            </w:r>
          </w:p>
          <w:p w:rsidR="0015779B" w:rsidRPr="00C72274" w:rsidRDefault="0015779B" w:rsidP="007044BA">
            <w:pPr>
              <w:pStyle w:val="tabledotpoint"/>
              <w:spacing w:beforeLines="20" w:after="20"/>
            </w:pPr>
            <w:r w:rsidRPr="00C72274">
              <w:t>Industrial Design Council of Australia</w:t>
            </w:r>
            <w:r>
              <w:t>;</w:t>
            </w:r>
            <w:r w:rsidRPr="00C72274">
              <w:t xml:space="preserve"> </w:t>
            </w:r>
          </w:p>
          <w:p w:rsidR="0015779B" w:rsidRPr="00C72274" w:rsidRDefault="0015779B" w:rsidP="007044BA">
            <w:pPr>
              <w:pStyle w:val="tabledotpoint"/>
              <w:spacing w:beforeLines="20" w:after="20"/>
            </w:pPr>
            <w:r w:rsidRPr="00C72274">
              <w:t>Nonprofit Australia Ltd</w:t>
            </w:r>
            <w:r>
              <w:t>;</w:t>
            </w:r>
          </w:p>
          <w:p w:rsidR="0015779B" w:rsidRPr="00C72274" w:rsidRDefault="0015779B" w:rsidP="007044BA">
            <w:pPr>
              <w:pStyle w:val="tabledotpoint"/>
              <w:spacing w:beforeLines="20" w:after="20"/>
            </w:pPr>
            <w:r w:rsidRPr="00C72274">
              <w:t>Pearl Watson Foundation Limited</w:t>
            </w:r>
            <w:r>
              <w:t>;</w:t>
            </w:r>
          </w:p>
          <w:p w:rsidR="0015779B" w:rsidRPr="00C72274" w:rsidRDefault="0015779B" w:rsidP="007044BA">
            <w:pPr>
              <w:pStyle w:val="tabledotpoint"/>
              <w:spacing w:beforeLines="20" w:after="20"/>
            </w:pPr>
            <w:r w:rsidRPr="00C72274">
              <w:t>Point Nepean Community Trust</w:t>
            </w:r>
            <w:r>
              <w:t>;</w:t>
            </w:r>
          </w:p>
          <w:p w:rsidR="0015779B" w:rsidRPr="00C72274" w:rsidRDefault="0015779B" w:rsidP="007044BA">
            <w:pPr>
              <w:pStyle w:val="tabledotpoint"/>
              <w:spacing w:beforeLines="20" w:after="20"/>
            </w:pPr>
            <w:r w:rsidRPr="00C72274">
              <w:t>Productivity Promotion Council of Australia</w:t>
            </w:r>
            <w:r>
              <w:t>;</w:t>
            </w:r>
            <w:r w:rsidRPr="00C72274">
              <w:t xml:space="preserve"> </w:t>
            </w:r>
          </w:p>
          <w:p w:rsidR="0015779B" w:rsidRPr="00C72274" w:rsidRDefault="0015779B" w:rsidP="007044BA">
            <w:pPr>
              <w:pStyle w:val="tabledotpoint"/>
              <w:spacing w:beforeLines="20" w:after="20"/>
            </w:pPr>
            <w:r w:rsidRPr="00C72274">
              <w:t>St Mary’s Cathedral Restoration Appeal Incorporated</w:t>
            </w:r>
            <w:r>
              <w:t>;</w:t>
            </w:r>
          </w:p>
          <w:p w:rsidR="0015779B" w:rsidRPr="00C72274" w:rsidRDefault="0015779B" w:rsidP="007044BA">
            <w:pPr>
              <w:pStyle w:val="tabledotpoint"/>
              <w:spacing w:beforeLines="20" w:after="20"/>
            </w:pPr>
            <w:r w:rsidRPr="00C72274">
              <w:t>St Michael’s Church Restoration Fund</w:t>
            </w:r>
            <w:r>
              <w:t>;</w:t>
            </w:r>
          </w:p>
          <w:p w:rsidR="0015779B" w:rsidRPr="00C72274" w:rsidRDefault="0015779B" w:rsidP="007044BA">
            <w:pPr>
              <w:pStyle w:val="tabledotpoint"/>
              <w:spacing w:beforeLines="20" w:after="20"/>
            </w:pPr>
            <w:r w:rsidRPr="00C72274">
              <w:t>St Paul’s Cathedral Restoration Fund</w:t>
            </w:r>
            <w:r>
              <w:t>;</w:t>
            </w:r>
          </w:p>
          <w:p w:rsidR="000E6AB3" w:rsidRDefault="0015779B" w:rsidP="007044BA">
            <w:pPr>
              <w:pStyle w:val="tabledotpoint"/>
              <w:spacing w:beforeLines="20" w:after="20"/>
            </w:pPr>
            <w:r w:rsidRPr="00C72274">
              <w:t>The Finding Sydney Foundation</w:t>
            </w:r>
            <w:r>
              <w:t>;</w:t>
            </w:r>
          </w:p>
          <w:p w:rsidR="0015779B" w:rsidRPr="00C72274" w:rsidRDefault="0015779B" w:rsidP="007044BA">
            <w:pPr>
              <w:pStyle w:val="tabledotpoint"/>
              <w:spacing w:beforeLines="20" w:after="20"/>
            </w:pPr>
            <w:r w:rsidRPr="00C72274">
              <w:t>The Salvation Army Hurricane Katrina Relief Appeal</w:t>
            </w:r>
            <w:r>
              <w:t>;</w:t>
            </w:r>
          </w:p>
          <w:p w:rsidR="0015779B" w:rsidRPr="00C72274" w:rsidRDefault="0015779B" w:rsidP="007044BA">
            <w:pPr>
              <w:pStyle w:val="tabledotpoint"/>
              <w:spacing w:beforeLines="20" w:after="20"/>
            </w:pPr>
            <w:r w:rsidRPr="00C72274">
              <w:t>The Vietnam War Memorial of Victoria Incorporated</w:t>
            </w:r>
            <w:r>
              <w:t>; and</w:t>
            </w:r>
          </w:p>
          <w:p w:rsidR="0015779B" w:rsidRPr="00C72274" w:rsidRDefault="0015779B" w:rsidP="007044BA">
            <w:pPr>
              <w:pStyle w:val="tabledotpoint"/>
              <w:spacing w:beforeLines="20" w:after="20"/>
            </w:pPr>
            <w:r w:rsidRPr="00C72274">
              <w:t>World Youth Day 2008 Trust</w:t>
            </w:r>
            <w:r>
              <w:t>.</w:t>
            </w:r>
          </w:p>
          <w:p w:rsidR="0015779B" w:rsidRDefault="0015779B" w:rsidP="007044BA">
            <w:pPr>
              <w:pStyle w:val="tabledotpoint"/>
              <w:numPr>
                <w:ilvl w:val="0"/>
                <w:numId w:val="0"/>
              </w:numPr>
              <w:spacing w:beforeLines="20" w:after="20"/>
            </w:pPr>
            <w:r>
              <w:lastRenderedPageBreak/>
              <w:t>All organisations affected have been consulted and none have objected.</w:t>
            </w:r>
          </w:p>
          <w:p w:rsidR="0015779B" w:rsidRPr="00A520CC" w:rsidRDefault="0015779B" w:rsidP="007044BA">
            <w:pPr>
              <w:pStyle w:val="tabledotpoint"/>
              <w:numPr>
                <w:ilvl w:val="0"/>
                <w:numId w:val="0"/>
              </w:numPr>
              <w:spacing w:beforeLines="20" w:after="20"/>
              <w:rPr>
                <w:rStyle w:val="Referencingstyle"/>
              </w:rPr>
            </w:pPr>
            <w:r w:rsidRPr="006D3C47">
              <w:t xml:space="preserve">The specific listings of </w:t>
            </w:r>
            <w:r>
              <w:t>‘</w:t>
            </w:r>
            <w:r w:rsidRPr="006D3C47">
              <w:t>Commonwealth</w:t>
            </w:r>
            <w:r>
              <w:t xml:space="preserve">’ </w:t>
            </w:r>
            <w:r w:rsidRPr="006D3C47">
              <w:t>enabled gifts for the purposes of research in the Australian Antarctic Territory, but the Commonwealth no longer accesses DGR support under that listing as DGR support was established under other programs.</w:t>
            </w:r>
          </w:p>
        </w:tc>
      </w:tr>
      <w:tr w:rsidR="0015779B" w:rsidRPr="00E31B34" w:rsidTr="0015779B">
        <w:tc>
          <w:tcPr>
            <w:tcW w:w="2748" w:type="dxa"/>
          </w:tcPr>
          <w:p w:rsidR="0015779B" w:rsidRPr="00E31B34" w:rsidRDefault="0015779B" w:rsidP="0015779B">
            <w:pPr>
              <w:pStyle w:val="tabletext"/>
            </w:pPr>
          </w:p>
        </w:tc>
        <w:tc>
          <w:tcPr>
            <w:tcW w:w="3827" w:type="dxa"/>
          </w:tcPr>
          <w:p w:rsidR="0015779B" w:rsidRPr="00A520CC" w:rsidRDefault="0015779B" w:rsidP="0015779B">
            <w:pPr>
              <w:pStyle w:val="tabletext"/>
              <w:rPr>
                <w:rStyle w:val="Referencingstyle"/>
              </w:rPr>
            </w:pPr>
            <w:r>
              <w:t xml:space="preserve">Amends the specific listing </w:t>
            </w:r>
            <w:r w:rsidRPr="00A520CC">
              <w:t xml:space="preserve">of the following </w:t>
            </w:r>
            <w:r w:rsidRPr="002D09EC">
              <w:t xml:space="preserve">deductible gift recipients </w:t>
            </w:r>
            <w:r>
              <w:t>(</w:t>
            </w:r>
            <w:r w:rsidRPr="00A520CC">
              <w:t>DGRs</w:t>
            </w:r>
            <w:r>
              <w:t>)</w:t>
            </w:r>
            <w:r w:rsidRPr="00A520CC">
              <w:t xml:space="preserve"> listing to reflect a name change of the listed organisation</w:t>
            </w:r>
            <w:r>
              <w:t xml:space="preserve"> from the ‘</w:t>
            </w:r>
            <w:r w:rsidRPr="00A520CC">
              <w:t>College of Radiologists in Australasia</w:t>
            </w:r>
            <w:r>
              <w:t xml:space="preserve">’ to ‘The Royal Australian and New Zealand College of Radiologists’.  </w:t>
            </w:r>
          </w:p>
        </w:tc>
      </w:tr>
      <w:tr w:rsidR="0015779B" w:rsidRPr="00E31B34" w:rsidTr="0015779B">
        <w:tc>
          <w:tcPr>
            <w:tcW w:w="2748" w:type="dxa"/>
          </w:tcPr>
          <w:p w:rsidR="0015779B" w:rsidRPr="00E31B34" w:rsidRDefault="0015779B" w:rsidP="0015779B">
            <w:pPr>
              <w:pStyle w:val="tabletext"/>
            </w:pPr>
          </w:p>
        </w:tc>
        <w:tc>
          <w:tcPr>
            <w:tcW w:w="3827" w:type="dxa"/>
          </w:tcPr>
          <w:p w:rsidR="0015779B" w:rsidRDefault="0015779B" w:rsidP="0015779B">
            <w:pPr>
              <w:pStyle w:val="tabletext"/>
            </w:pPr>
            <w:r w:rsidRPr="00A520CC">
              <w:t xml:space="preserve">Deems the following specifically listed DGRs, which are eligible for endorsement under the general categories, to have been endorsed by the Commissioner as DGRs under the general categories on the same day as the specific listing is repealed, </w:t>
            </w:r>
            <w:r w:rsidR="005174E8">
              <w:t xml:space="preserve">but </w:t>
            </w:r>
            <w:r w:rsidRPr="00A520CC">
              <w:t xml:space="preserve">does not prevent the Commissioner from revoking that endorsement at a later time:  </w:t>
            </w:r>
          </w:p>
          <w:p w:rsidR="0015779B" w:rsidRDefault="0015779B" w:rsidP="0015779B">
            <w:pPr>
              <w:pStyle w:val="tabledotpoint"/>
            </w:pPr>
            <w:r w:rsidRPr="00A520CC">
              <w:t>Breast Cancer Network Australia</w:t>
            </w:r>
            <w:r>
              <w:t>; and</w:t>
            </w:r>
          </w:p>
          <w:p w:rsidR="0015779B" w:rsidRPr="00960E73" w:rsidRDefault="0015779B" w:rsidP="0015779B">
            <w:pPr>
              <w:pStyle w:val="tabledotpoint"/>
            </w:pPr>
            <w:r w:rsidRPr="00A520CC">
              <w:t>Indigenous Community Volunteers Limited</w:t>
            </w:r>
            <w:r>
              <w:t>.</w:t>
            </w:r>
          </w:p>
          <w:p w:rsidR="0015779B" w:rsidRPr="002D09EC" w:rsidRDefault="0015779B" w:rsidP="0015779B">
            <w:pPr>
              <w:pStyle w:val="tabletext"/>
              <w:spacing w:after="0"/>
            </w:pPr>
            <w:r w:rsidRPr="009175CD">
              <w:t>Repeals and updates the specific listings of the following DGRs where</w:t>
            </w:r>
            <w:r>
              <w:t>:</w:t>
            </w:r>
            <w:r w:rsidRPr="009175CD">
              <w:t xml:space="preserve"> the organisations no longer exist for the purposes for which they were listed</w:t>
            </w:r>
            <w:r>
              <w:t>;</w:t>
            </w:r>
            <w:r w:rsidRPr="009175CD">
              <w:t xml:space="preserve"> or the organisations were listed for a limited time</w:t>
            </w:r>
            <w:r>
              <w:t xml:space="preserve"> and that time has expired, or the organisations </w:t>
            </w:r>
            <w:r w:rsidRPr="009175CD">
              <w:t>have ceased to exist, or have merged with other DGR eligible organisations:</w:t>
            </w:r>
          </w:p>
          <w:p w:rsidR="0015779B" w:rsidRPr="00C72274" w:rsidRDefault="0015779B" w:rsidP="007044BA">
            <w:pPr>
              <w:pStyle w:val="tabledotpoint"/>
              <w:spacing w:beforeLines="20" w:after="20"/>
            </w:pPr>
            <w:r w:rsidRPr="00C72274">
              <w:t>Australian College of Occupational Medicine</w:t>
            </w:r>
            <w:r>
              <w:t>;</w:t>
            </w:r>
          </w:p>
          <w:p w:rsidR="0015779B" w:rsidRPr="00C72274" w:rsidRDefault="0015779B" w:rsidP="007044BA">
            <w:pPr>
              <w:pStyle w:val="tabledotpoint"/>
              <w:spacing w:beforeLines="20" w:after="20"/>
            </w:pPr>
            <w:r w:rsidRPr="00C72274">
              <w:t>Australian Council for Child</w:t>
            </w:r>
            <w:r>
              <w:t>ren and Youth Organisations Inc;</w:t>
            </w:r>
          </w:p>
          <w:p w:rsidR="0015779B" w:rsidRPr="00C72274" w:rsidRDefault="0015779B" w:rsidP="007044BA">
            <w:pPr>
              <w:pStyle w:val="tabledotpoint"/>
              <w:spacing w:beforeLines="20" w:after="20"/>
            </w:pPr>
            <w:r w:rsidRPr="00C72274">
              <w:t>Australian Games Uniform Company Limited</w:t>
            </w:r>
            <w:r>
              <w:t>;</w:t>
            </w:r>
          </w:p>
          <w:p w:rsidR="0015779B" w:rsidRPr="00C72274" w:rsidRDefault="0015779B" w:rsidP="007044BA">
            <w:pPr>
              <w:pStyle w:val="tabledotpoint"/>
              <w:spacing w:beforeLines="20" w:after="20"/>
            </w:pPr>
            <w:r w:rsidRPr="00C72274">
              <w:t>Australian Postgraduate Federation in Medicine</w:t>
            </w:r>
            <w:r>
              <w:t>;</w:t>
            </w:r>
          </w:p>
          <w:p w:rsidR="0015779B" w:rsidRPr="00C72274" w:rsidRDefault="0015779B" w:rsidP="007044BA">
            <w:pPr>
              <w:pStyle w:val="tabledotpoint"/>
              <w:spacing w:beforeLines="20" w:after="20"/>
            </w:pPr>
            <w:r w:rsidRPr="00C72274">
              <w:t>Australian National Travel Association</w:t>
            </w:r>
            <w:r>
              <w:t>;</w:t>
            </w:r>
          </w:p>
          <w:p w:rsidR="0015779B" w:rsidRDefault="0015779B" w:rsidP="007044BA">
            <w:pPr>
              <w:pStyle w:val="tabledotpoint"/>
              <w:spacing w:beforeLines="20" w:after="20"/>
            </w:pPr>
            <w:r w:rsidRPr="00C72274">
              <w:t>Australian Red Cross Society—US 2005 Hurricane Relief Appeal</w:t>
            </w:r>
            <w:r>
              <w:t>;</w:t>
            </w:r>
          </w:p>
          <w:p w:rsidR="0015779B" w:rsidRPr="00C72274" w:rsidRDefault="0015779B" w:rsidP="007044BA">
            <w:pPr>
              <w:pStyle w:val="tabledotpoint"/>
              <w:keepNext/>
              <w:keepLines/>
              <w:spacing w:beforeLines="20" w:after="20"/>
            </w:pPr>
            <w:r w:rsidRPr="00C72274">
              <w:lastRenderedPageBreak/>
              <w:t>Australian Regional Council of Royal College of Obs</w:t>
            </w:r>
            <w:r>
              <w:t>tetricians and Gynaecologists;</w:t>
            </w:r>
          </w:p>
          <w:p w:rsidR="0015779B" w:rsidRPr="00C72274" w:rsidRDefault="0015779B" w:rsidP="007044BA">
            <w:pPr>
              <w:pStyle w:val="tabledotpoint"/>
              <w:keepNext/>
              <w:keepLines/>
              <w:spacing w:beforeLines="20" w:after="20"/>
            </w:pPr>
            <w:r w:rsidRPr="00C72274">
              <w:t>Bowral Vietnam Memorial Walk Trust Incorporated</w:t>
            </w:r>
            <w:r>
              <w:t>;</w:t>
            </w:r>
          </w:p>
          <w:p w:rsidR="0015779B" w:rsidRPr="00C72274" w:rsidRDefault="0015779B" w:rsidP="007044BA">
            <w:pPr>
              <w:pStyle w:val="tabledotpoint"/>
              <w:spacing w:beforeLines="20" w:after="20"/>
            </w:pPr>
            <w:r w:rsidRPr="00C72274">
              <w:t>Business Against Domestic Violence Reserve</w:t>
            </w:r>
            <w:r>
              <w:t>;</w:t>
            </w:r>
            <w:r w:rsidRPr="00C72274">
              <w:t xml:space="preserve"> </w:t>
            </w:r>
          </w:p>
          <w:p w:rsidR="0015779B" w:rsidRPr="00C72274" w:rsidRDefault="0015779B" w:rsidP="007044BA">
            <w:pPr>
              <w:pStyle w:val="tabledotpoint"/>
              <w:spacing w:beforeLines="20" w:after="20"/>
            </w:pPr>
            <w:r w:rsidRPr="00C72274">
              <w:t>City of Onkaparinga Memorial Gardens Association Incorporated</w:t>
            </w:r>
            <w:r>
              <w:t>;</w:t>
            </w:r>
          </w:p>
          <w:p w:rsidR="0015779B" w:rsidRPr="00C72274" w:rsidRDefault="0015779B" w:rsidP="007044BA">
            <w:pPr>
              <w:pStyle w:val="tabledotpoint"/>
              <w:spacing w:beforeLines="20" w:after="20"/>
            </w:pPr>
            <w:r w:rsidRPr="00C72274">
              <w:t>Commonwealth (for gifts made for the purposes of research in the Austra</w:t>
            </w:r>
            <w:r>
              <w:t>lian Antarctic Territory);</w:t>
            </w:r>
          </w:p>
          <w:p w:rsidR="0015779B" w:rsidRPr="00C72274" w:rsidRDefault="0015779B" w:rsidP="007044BA">
            <w:pPr>
              <w:pStyle w:val="tabledotpoint"/>
              <w:spacing w:beforeLines="20" w:after="20"/>
            </w:pPr>
            <w:r w:rsidRPr="00C72274">
              <w:t>Constitutional Centenary Foundation Incorporated</w:t>
            </w:r>
            <w:r>
              <w:t>;</w:t>
            </w:r>
          </w:p>
          <w:p w:rsidR="0015779B" w:rsidRPr="00C72274" w:rsidRDefault="0015779B" w:rsidP="007044BA">
            <w:pPr>
              <w:pStyle w:val="tabledotpoint"/>
              <w:spacing w:beforeLines="20" w:after="20"/>
            </w:pPr>
            <w:r w:rsidRPr="00C72274">
              <w:t>Dunn and Lewis Youth Development Foundation Limited</w:t>
            </w:r>
            <w:r>
              <w:t>;</w:t>
            </w:r>
          </w:p>
          <w:p w:rsidR="0015779B" w:rsidRPr="00C72274" w:rsidRDefault="0015779B" w:rsidP="007044BA">
            <w:pPr>
              <w:pStyle w:val="tabledotpoint"/>
              <w:spacing w:beforeLines="20" w:after="20"/>
            </w:pPr>
            <w:r w:rsidRPr="00C72274">
              <w:t>Foundation for Gambling Studies</w:t>
            </w:r>
            <w:r>
              <w:t>;</w:t>
            </w:r>
          </w:p>
          <w:p w:rsidR="0015779B" w:rsidRPr="00C72274" w:rsidRDefault="0015779B" w:rsidP="007044BA">
            <w:pPr>
              <w:pStyle w:val="tabledotpoint"/>
              <w:spacing w:beforeLines="20" w:after="20"/>
            </w:pPr>
            <w:r w:rsidRPr="00C72274">
              <w:t>Industrial Design Council of Australia</w:t>
            </w:r>
            <w:r>
              <w:t>;</w:t>
            </w:r>
            <w:r w:rsidRPr="00C72274">
              <w:t xml:space="preserve"> </w:t>
            </w:r>
          </w:p>
          <w:p w:rsidR="0015779B" w:rsidRPr="00C72274" w:rsidRDefault="0015779B" w:rsidP="007044BA">
            <w:pPr>
              <w:pStyle w:val="tabledotpoint"/>
              <w:spacing w:beforeLines="20" w:after="20"/>
            </w:pPr>
            <w:r w:rsidRPr="00C72274">
              <w:t>Nonprofit Australia Ltd</w:t>
            </w:r>
            <w:r>
              <w:t>;</w:t>
            </w:r>
          </w:p>
          <w:p w:rsidR="0015779B" w:rsidRPr="00C72274" w:rsidRDefault="0015779B" w:rsidP="007044BA">
            <w:pPr>
              <w:pStyle w:val="tabledotpoint"/>
              <w:spacing w:beforeLines="20" w:after="20"/>
            </w:pPr>
            <w:r w:rsidRPr="00C72274">
              <w:t>Pearl Watson Foundation Limited</w:t>
            </w:r>
            <w:r>
              <w:t>;</w:t>
            </w:r>
          </w:p>
          <w:p w:rsidR="0015779B" w:rsidRPr="00C72274" w:rsidRDefault="0015779B" w:rsidP="007044BA">
            <w:pPr>
              <w:pStyle w:val="tabledotpoint"/>
              <w:spacing w:beforeLines="20" w:after="20"/>
            </w:pPr>
            <w:r w:rsidRPr="00C72274">
              <w:t>Point Nepean Community Trust</w:t>
            </w:r>
            <w:r>
              <w:t>;</w:t>
            </w:r>
          </w:p>
          <w:p w:rsidR="0015779B" w:rsidRPr="00C72274" w:rsidRDefault="0015779B" w:rsidP="007044BA">
            <w:pPr>
              <w:pStyle w:val="tabledotpoint"/>
              <w:spacing w:beforeLines="20" w:after="20"/>
            </w:pPr>
            <w:r w:rsidRPr="00C72274">
              <w:t>Productivity Promotion Council of Australia</w:t>
            </w:r>
            <w:r>
              <w:t>;</w:t>
            </w:r>
            <w:r w:rsidRPr="00C72274">
              <w:t xml:space="preserve"> </w:t>
            </w:r>
          </w:p>
          <w:p w:rsidR="0015779B" w:rsidRPr="00C72274" w:rsidRDefault="0015779B" w:rsidP="007044BA">
            <w:pPr>
              <w:pStyle w:val="tabledotpoint"/>
              <w:spacing w:beforeLines="20" w:after="20"/>
            </w:pPr>
            <w:r w:rsidRPr="00C72274">
              <w:t>St Mary’s Cathedral Restoration Appeal Incorporated</w:t>
            </w:r>
            <w:r>
              <w:t>;</w:t>
            </w:r>
          </w:p>
          <w:p w:rsidR="0015779B" w:rsidRPr="00C72274" w:rsidRDefault="0015779B" w:rsidP="007044BA">
            <w:pPr>
              <w:pStyle w:val="tabledotpoint"/>
              <w:spacing w:beforeLines="20" w:after="20"/>
            </w:pPr>
            <w:r w:rsidRPr="00C72274">
              <w:t>St Michael’s Church Restoration Fund</w:t>
            </w:r>
            <w:r>
              <w:t>;</w:t>
            </w:r>
          </w:p>
          <w:p w:rsidR="0015779B" w:rsidRPr="00C72274" w:rsidRDefault="0015779B" w:rsidP="007044BA">
            <w:pPr>
              <w:pStyle w:val="tabledotpoint"/>
              <w:spacing w:beforeLines="20" w:after="20"/>
            </w:pPr>
            <w:r w:rsidRPr="00C72274">
              <w:t>St Paul’s Cathedral Restoration Fund</w:t>
            </w:r>
            <w:r>
              <w:t>;</w:t>
            </w:r>
          </w:p>
          <w:p w:rsidR="0015779B" w:rsidRPr="00C72274" w:rsidRDefault="0015779B" w:rsidP="007044BA">
            <w:pPr>
              <w:pStyle w:val="tabledotpoint"/>
              <w:spacing w:beforeLines="20" w:after="20"/>
            </w:pPr>
            <w:r w:rsidRPr="00C72274">
              <w:t>The Finding Sydney Foundation</w:t>
            </w:r>
            <w:r>
              <w:t>;</w:t>
            </w:r>
          </w:p>
          <w:p w:rsidR="0015779B" w:rsidRPr="00C72274" w:rsidRDefault="0015779B" w:rsidP="007044BA">
            <w:pPr>
              <w:pStyle w:val="tabledotpoint"/>
              <w:spacing w:beforeLines="20" w:after="20"/>
            </w:pPr>
            <w:r w:rsidRPr="00C72274">
              <w:t>The Salvation Army Hurricane Katrina Relief Appeal</w:t>
            </w:r>
            <w:r>
              <w:t>;</w:t>
            </w:r>
          </w:p>
          <w:p w:rsidR="0015779B" w:rsidRPr="00C72274" w:rsidRDefault="0015779B" w:rsidP="007044BA">
            <w:pPr>
              <w:pStyle w:val="tabledotpoint"/>
              <w:spacing w:beforeLines="20" w:after="20"/>
            </w:pPr>
            <w:r w:rsidRPr="00C72274">
              <w:t>The Vietnam War Memorial of Victoria Incorporated</w:t>
            </w:r>
            <w:r>
              <w:t>; and</w:t>
            </w:r>
          </w:p>
          <w:p w:rsidR="0015779B" w:rsidRPr="00C72274" w:rsidRDefault="0015779B" w:rsidP="007044BA">
            <w:pPr>
              <w:pStyle w:val="tabledotpoint"/>
              <w:spacing w:beforeLines="20" w:after="20"/>
            </w:pPr>
            <w:r w:rsidRPr="00C72274">
              <w:t>World Youth Day 2008 Trust</w:t>
            </w:r>
            <w:r>
              <w:t>.</w:t>
            </w:r>
          </w:p>
          <w:p w:rsidR="0015779B" w:rsidRDefault="0015779B" w:rsidP="007044BA">
            <w:pPr>
              <w:pStyle w:val="tabledotpoint"/>
              <w:numPr>
                <w:ilvl w:val="0"/>
                <w:numId w:val="0"/>
              </w:numPr>
              <w:spacing w:beforeLines="20" w:after="20"/>
            </w:pPr>
            <w:r>
              <w:t>All organisations affected have been consulted and none have objected.</w:t>
            </w:r>
          </w:p>
          <w:p w:rsidR="0015779B" w:rsidRPr="00A520CC" w:rsidRDefault="0015779B" w:rsidP="007044BA">
            <w:pPr>
              <w:pStyle w:val="tabledotpoint"/>
              <w:numPr>
                <w:ilvl w:val="0"/>
                <w:numId w:val="0"/>
              </w:numPr>
              <w:spacing w:beforeLines="20" w:after="20"/>
              <w:rPr>
                <w:rStyle w:val="Referencingstyle"/>
              </w:rPr>
            </w:pPr>
            <w:r w:rsidRPr="006D3C47">
              <w:t xml:space="preserve">The specific listings of </w:t>
            </w:r>
            <w:r>
              <w:t>‘</w:t>
            </w:r>
            <w:r w:rsidRPr="006D3C47">
              <w:t>Commonwealth</w:t>
            </w:r>
            <w:r>
              <w:t xml:space="preserve">’ </w:t>
            </w:r>
            <w:r w:rsidRPr="006D3C47">
              <w:t>enabled gifts for the purposes of research in the Australian Antarctic Territory, but the Commonwealth no longer accesses DGR support under that listing as DGR support was established under other programs.</w:t>
            </w:r>
          </w:p>
        </w:tc>
      </w:tr>
      <w:tr w:rsidR="0015779B" w:rsidRPr="00E31B34" w:rsidTr="0015779B">
        <w:tc>
          <w:tcPr>
            <w:tcW w:w="2748" w:type="dxa"/>
          </w:tcPr>
          <w:p w:rsidR="0015779B" w:rsidRPr="00E31B34" w:rsidRDefault="0015779B" w:rsidP="0015779B">
            <w:pPr>
              <w:pStyle w:val="tabletext"/>
            </w:pPr>
          </w:p>
        </w:tc>
        <w:tc>
          <w:tcPr>
            <w:tcW w:w="3827" w:type="dxa"/>
          </w:tcPr>
          <w:p w:rsidR="0015779B" w:rsidRPr="00A520CC" w:rsidRDefault="0015779B" w:rsidP="0015779B">
            <w:pPr>
              <w:pStyle w:val="tabletext"/>
              <w:rPr>
                <w:rStyle w:val="Referencingstyle"/>
              </w:rPr>
            </w:pPr>
            <w:r>
              <w:t xml:space="preserve">Amends the specific listing </w:t>
            </w:r>
            <w:r w:rsidRPr="00A520CC">
              <w:t xml:space="preserve">of the following </w:t>
            </w:r>
            <w:r w:rsidRPr="002D09EC">
              <w:t xml:space="preserve">deductible gift recipients </w:t>
            </w:r>
            <w:r>
              <w:t>(</w:t>
            </w:r>
            <w:r w:rsidRPr="00A520CC">
              <w:t>DGRs</w:t>
            </w:r>
            <w:r>
              <w:t>)</w:t>
            </w:r>
            <w:r w:rsidRPr="00A520CC">
              <w:t xml:space="preserve"> listing to </w:t>
            </w:r>
            <w:r w:rsidRPr="00A520CC">
              <w:lastRenderedPageBreak/>
              <w:t>reflect a name change of the listed organisation</w:t>
            </w:r>
            <w:r>
              <w:t xml:space="preserve"> from the ‘</w:t>
            </w:r>
            <w:r w:rsidRPr="00A520CC">
              <w:t>College of Radiologists in Australasia</w:t>
            </w:r>
            <w:r>
              <w:t xml:space="preserve">’ to ‘The Royal Australian and New Zealand College of Radiologists’.  </w:t>
            </w:r>
          </w:p>
        </w:tc>
      </w:tr>
    </w:tbl>
    <w:p w:rsidR="00012F2D" w:rsidRPr="006B2226" w:rsidRDefault="00012F2D" w:rsidP="00012F2D">
      <w:pPr>
        <w:pStyle w:val="Heading3"/>
        <w:keepLines/>
      </w:pPr>
      <w:r>
        <w:lastRenderedPageBreak/>
        <w:t>Part 7</w:t>
      </w:r>
      <w:r w:rsidRPr="00B70144">
        <w:t xml:space="preserve"> — </w:t>
      </w:r>
      <w:r>
        <w:t xml:space="preserve">Section 23AB of the </w:t>
      </w:r>
      <w:r w:rsidRPr="009A23C3">
        <w:rPr>
          <w:i/>
        </w:rPr>
        <w:t>Income Tax Assessment Act 1936</w:t>
      </w:r>
    </w:p>
    <w:p w:rsidR="00012F2D" w:rsidRPr="00012F2D" w:rsidRDefault="00012F2D" w:rsidP="00DC00CE">
      <w:pPr>
        <w:pStyle w:val="TableHeadingoutsidetable"/>
        <w:numPr>
          <w:ilvl w:val="4"/>
          <w:numId w:val="21"/>
        </w:numPr>
        <w:spacing w:after="240"/>
      </w:pPr>
      <w:r w:rsidRPr="00012F2D">
        <w:t xml:space="preserve">:  </w:t>
      </w:r>
      <w:r w:rsidR="008C6583">
        <w:rPr>
          <w:iCs/>
        </w:rPr>
        <w:t xml:space="preserve">Part 7 </w:t>
      </w:r>
      <w:r w:rsidR="008C6583" w:rsidRPr="008C6583">
        <w:rPr>
          <w:iCs/>
        </w:rPr>
        <w:t>—</w:t>
      </w:r>
      <w:r w:rsidR="008C6583">
        <w:rPr>
          <w:iCs/>
        </w:rPr>
        <w:t xml:space="preserve"> Section 23AB of</w:t>
      </w:r>
      <w:r w:rsidRPr="00012F2D">
        <w:rPr>
          <w:iCs/>
        </w:rPr>
        <w:t xml:space="preserve"> the</w:t>
      </w:r>
      <w:r w:rsidRPr="00012F2D">
        <w:t xml:space="preserve"> </w:t>
      </w:r>
      <w:r w:rsidRPr="00512C73">
        <w:rPr>
          <w:i/>
        </w:rPr>
        <w:t>Income Tax Assessment Act 1936</w:t>
      </w:r>
      <w:r w:rsidRPr="00012F2D">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912"/>
      </w:tblGrid>
      <w:tr w:rsidR="00012F2D" w:rsidRPr="00344FE7" w:rsidTr="00012F2D">
        <w:trPr>
          <w:tblHeader/>
        </w:trPr>
        <w:tc>
          <w:tcPr>
            <w:tcW w:w="2694" w:type="dxa"/>
            <w:tcBorders>
              <w:top w:val="single" w:sz="4" w:space="0" w:color="auto"/>
              <w:left w:val="single" w:sz="4" w:space="0" w:color="auto"/>
              <w:bottom w:val="single" w:sz="4" w:space="0" w:color="auto"/>
              <w:right w:val="single" w:sz="4" w:space="0" w:color="auto"/>
            </w:tcBorders>
            <w:hideMark/>
          </w:tcPr>
          <w:p w:rsidR="00012F2D" w:rsidRPr="00344FE7" w:rsidRDefault="00012F2D" w:rsidP="00012F2D">
            <w:pPr>
              <w:pStyle w:val="tableheaderwithintable"/>
              <w:rPr>
                <w:lang w:eastAsia="en-US"/>
              </w:rPr>
            </w:pPr>
            <w:r w:rsidRPr="00344FE7">
              <w:rPr>
                <w:lang w:eastAsia="en-US"/>
              </w:rPr>
              <w:t>Provision being amended</w:t>
            </w:r>
          </w:p>
        </w:tc>
        <w:tc>
          <w:tcPr>
            <w:tcW w:w="3912" w:type="dxa"/>
            <w:tcBorders>
              <w:top w:val="single" w:sz="4" w:space="0" w:color="auto"/>
              <w:left w:val="single" w:sz="4" w:space="0" w:color="auto"/>
              <w:bottom w:val="single" w:sz="4" w:space="0" w:color="auto"/>
              <w:right w:val="single" w:sz="4" w:space="0" w:color="auto"/>
            </w:tcBorders>
            <w:hideMark/>
          </w:tcPr>
          <w:p w:rsidR="00012F2D" w:rsidRPr="00344FE7" w:rsidRDefault="00012F2D" w:rsidP="00012F2D">
            <w:pPr>
              <w:pStyle w:val="tableheaderwithintable"/>
              <w:rPr>
                <w:lang w:eastAsia="en-US"/>
              </w:rPr>
            </w:pPr>
            <w:r w:rsidRPr="00344FE7">
              <w:rPr>
                <w:lang w:eastAsia="en-US"/>
              </w:rPr>
              <w:t>What the amendment does</w:t>
            </w:r>
          </w:p>
        </w:tc>
      </w:tr>
      <w:tr w:rsidR="00012F2D" w:rsidRPr="00AF36B8" w:rsidTr="00012F2D">
        <w:trPr>
          <w:cantSplit/>
        </w:trPr>
        <w:tc>
          <w:tcPr>
            <w:tcW w:w="2694" w:type="dxa"/>
            <w:tcBorders>
              <w:top w:val="single" w:sz="4" w:space="0" w:color="auto"/>
              <w:left w:val="single" w:sz="4" w:space="0" w:color="auto"/>
              <w:bottom w:val="single" w:sz="4" w:space="0" w:color="auto"/>
              <w:right w:val="single" w:sz="4" w:space="0" w:color="auto"/>
            </w:tcBorders>
          </w:tcPr>
          <w:p w:rsidR="00012F2D" w:rsidRPr="00B1508B" w:rsidRDefault="00012F2D" w:rsidP="00012F2D">
            <w:pPr>
              <w:pStyle w:val="tabletext"/>
              <w:rPr>
                <w:b/>
                <w:i/>
                <w:lang w:eastAsia="en-US"/>
              </w:rPr>
            </w:pPr>
            <w:r w:rsidRPr="00B1508B">
              <w:rPr>
                <w:b/>
                <w:i/>
                <w:lang w:eastAsia="en-US"/>
              </w:rPr>
              <w:t xml:space="preserve">Income Tax Assessment </w:t>
            </w:r>
            <w:r>
              <w:rPr>
                <w:b/>
                <w:i/>
                <w:lang w:eastAsia="en-US"/>
              </w:rPr>
              <w:br/>
            </w:r>
            <w:r w:rsidRPr="00B1508B">
              <w:rPr>
                <w:b/>
                <w:i/>
                <w:lang w:eastAsia="en-US"/>
              </w:rPr>
              <w:t>Act 1936</w:t>
            </w:r>
          </w:p>
          <w:p w:rsidR="00012F2D" w:rsidRDefault="00012F2D" w:rsidP="00012F2D">
            <w:pPr>
              <w:pStyle w:val="tabletext"/>
              <w:rPr>
                <w:lang w:eastAsia="en-US"/>
              </w:rPr>
            </w:pPr>
            <w:r>
              <w:rPr>
                <w:lang w:eastAsia="en-US"/>
              </w:rPr>
              <w:t>23AB(5)(a)</w:t>
            </w:r>
            <w:r>
              <w:rPr>
                <w:lang w:eastAsia="en-US"/>
              </w:rPr>
              <w:br/>
              <w:t xml:space="preserve">23AB(7)(a) </w:t>
            </w:r>
            <w:r>
              <w:rPr>
                <w:lang w:eastAsia="en-US"/>
              </w:rPr>
              <w:br/>
              <w:t xml:space="preserve">23AB(10)(a) </w:t>
            </w:r>
          </w:p>
          <w:p w:rsidR="00012F2D" w:rsidRDefault="00512C73" w:rsidP="00012F2D">
            <w:pPr>
              <w:pStyle w:val="tabletext"/>
              <w:rPr>
                <w:b/>
                <w:i/>
                <w:lang w:eastAsia="en-US"/>
              </w:rPr>
            </w:pPr>
            <w:r>
              <w:rPr>
                <w:b/>
                <w:i/>
                <w:lang w:eastAsia="en-US"/>
              </w:rPr>
              <w:t>[</w:t>
            </w:r>
            <w:r w:rsidR="00012F2D" w:rsidRPr="002D67F2">
              <w:rPr>
                <w:b/>
                <w:i/>
                <w:lang w:eastAsia="en-US"/>
              </w:rPr>
              <w:t>Items 57</w:t>
            </w:r>
            <w:r w:rsidR="00012F2D">
              <w:rPr>
                <w:b/>
                <w:i/>
                <w:lang w:eastAsia="en-US"/>
              </w:rPr>
              <w:t xml:space="preserve">, 59 and </w:t>
            </w:r>
            <w:r w:rsidR="00012F2D" w:rsidRPr="002D67F2">
              <w:rPr>
                <w:b/>
                <w:i/>
                <w:lang w:eastAsia="en-US"/>
              </w:rPr>
              <w:t>60</w:t>
            </w:r>
            <w:r>
              <w:rPr>
                <w:b/>
                <w:i/>
                <w:lang w:eastAsia="en-US"/>
              </w:rPr>
              <w:t>]</w:t>
            </w:r>
          </w:p>
          <w:p w:rsidR="00012F2D" w:rsidRDefault="00012F2D" w:rsidP="00012F2D">
            <w:pPr>
              <w:pStyle w:val="tabletext"/>
              <w:rPr>
                <w:b/>
                <w:i/>
                <w:lang w:eastAsia="en-US"/>
              </w:rPr>
            </w:pPr>
            <w:r>
              <w:rPr>
                <w:lang w:eastAsia="en-US"/>
              </w:rPr>
              <w:t>23AB(7)</w:t>
            </w:r>
            <w:r w:rsidRPr="002D67F2">
              <w:rPr>
                <w:b/>
                <w:i/>
                <w:lang w:eastAsia="en-US"/>
              </w:rPr>
              <w:t xml:space="preserve"> </w:t>
            </w:r>
          </w:p>
          <w:p w:rsidR="00012F2D" w:rsidRPr="002D67F2" w:rsidRDefault="00512C73" w:rsidP="00512C73">
            <w:pPr>
              <w:pStyle w:val="tabletext"/>
              <w:rPr>
                <w:b/>
                <w:i/>
                <w:lang w:eastAsia="en-US"/>
              </w:rPr>
            </w:pPr>
            <w:r>
              <w:rPr>
                <w:b/>
                <w:i/>
                <w:lang w:eastAsia="en-US"/>
              </w:rPr>
              <w:t>[</w:t>
            </w:r>
            <w:r w:rsidR="00012F2D" w:rsidRPr="002D67F2">
              <w:rPr>
                <w:b/>
                <w:i/>
                <w:lang w:eastAsia="en-US"/>
              </w:rPr>
              <w:t>Item 5</w:t>
            </w:r>
            <w:r w:rsidR="00012F2D">
              <w:rPr>
                <w:b/>
                <w:i/>
                <w:lang w:eastAsia="en-US"/>
              </w:rPr>
              <w:t>8</w:t>
            </w:r>
            <w:r>
              <w:rPr>
                <w:b/>
                <w:i/>
                <w:lang w:eastAsia="en-US"/>
              </w:rPr>
              <w:t>]</w:t>
            </w:r>
          </w:p>
        </w:tc>
        <w:tc>
          <w:tcPr>
            <w:tcW w:w="3912" w:type="dxa"/>
            <w:tcBorders>
              <w:top w:val="single" w:sz="4" w:space="0" w:color="auto"/>
              <w:left w:val="single" w:sz="4" w:space="0" w:color="auto"/>
              <w:bottom w:val="single" w:sz="4" w:space="0" w:color="auto"/>
              <w:right w:val="single" w:sz="4" w:space="0" w:color="auto"/>
            </w:tcBorders>
            <w:hideMark/>
          </w:tcPr>
          <w:p w:rsidR="00012F2D" w:rsidRDefault="00012F2D" w:rsidP="00012F2D">
            <w:pPr>
              <w:pStyle w:val="tabletext"/>
              <w:keepNext/>
              <w:spacing w:after="0"/>
              <w:rPr>
                <w:sz w:val="18"/>
                <w:lang w:eastAsia="en-US"/>
              </w:rPr>
            </w:pPr>
            <w:r w:rsidRPr="00575D9D">
              <w:t>Adds conjunctions that had been omitted at the end of some paragraphs.</w:t>
            </w:r>
            <w:r w:rsidRPr="00021C37">
              <w:rPr>
                <w:sz w:val="18"/>
                <w:lang w:eastAsia="en-US"/>
              </w:rPr>
              <w:t xml:space="preserve"> </w:t>
            </w:r>
          </w:p>
          <w:p w:rsidR="00012F2D" w:rsidRDefault="00012F2D" w:rsidP="00012F2D">
            <w:pPr>
              <w:pStyle w:val="tabletext"/>
              <w:keepNext/>
              <w:spacing w:after="0"/>
              <w:rPr>
                <w:sz w:val="18"/>
                <w:lang w:eastAsia="en-US"/>
              </w:rPr>
            </w:pPr>
          </w:p>
          <w:p w:rsidR="00012F2D" w:rsidRDefault="00012F2D" w:rsidP="00012F2D">
            <w:pPr>
              <w:pStyle w:val="tabletext"/>
              <w:keepNext/>
              <w:spacing w:after="0"/>
              <w:rPr>
                <w:sz w:val="18"/>
                <w:lang w:eastAsia="en-US"/>
              </w:rPr>
            </w:pPr>
          </w:p>
          <w:p w:rsidR="00012F2D" w:rsidRDefault="00012F2D" w:rsidP="00012F2D">
            <w:pPr>
              <w:pStyle w:val="tabletext"/>
              <w:keepNext/>
              <w:spacing w:after="0"/>
              <w:rPr>
                <w:sz w:val="18"/>
                <w:lang w:eastAsia="en-US"/>
              </w:rPr>
            </w:pPr>
          </w:p>
          <w:p w:rsidR="00012F2D" w:rsidRDefault="00012F2D" w:rsidP="00012F2D">
            <w:pPr>
              <w:pStyle w:val="tabletext"/>
              <w:keepNext/>
              <w:spacing w:after="0"/>
              <w:rPr>
                <w:sz w:val="18"/>
                <w:lang w:eastAsia="en-US"/>
              </w:rPr>
            </w:pPr>
          </w:p>
          <w:p w:rsidR="00012F2D" w:rsidRDefault="00012F2D" w:rsidP="00012F2D">
            <w:pPr>
              <w:pStyle w:val="tabletext"/>
              <w:keepNext/>
              <w:spacing w:after="0"/>
              <w:rPr>
                <w:sz w:val="18"/>
                <w:lang w:eastAsia="en-US"/>
              </w:rPr>
            </w:pPr>
          </w:p>
          <w:p w:rsidR="00012F2D" w:rsidRPr="0013309E" w:rsidRDefault="00012F2D" w:rsidP="00012F2D">
            <w:pPr>
              <w:pStyle w:val="tabletext"/>
              <w:keepNext/>
              <w:spacing w:after="0"/>
              <w:rPr>
                <w:i/>
                <w:sz w:val="18"/>
                <w:lang w:eastAsia="en-US"/>
              </w:rPr>
            </w:pPr>
            <w:r w:rsidRPr="00575D9D">
              <w:t>Corrects an ambiguity in the wording of the provision, as the previous text did not explicitly state that the rebate was to be calculated as provided in the provision</w:t>
            </w:r>
            <w:r>
              <w:rPr>
                <w:sz w:val="18"/>
                <w:lang w:eastAsia="en-US"/>
              </w:rPr>
              <w:t>.</w:t>
            </w:r>
          </w:p>
        </w:tc>
      </w:tr>
    </w:tbl>
    <w:p w:rsidR="00325E95" w:rsidRPr="00A04066" w:rsidRDefault="00325E95" w:rsidP="00012F2D">
      <w:pPr>
        <w:pStyle w:val="Heading3"/>
      </w:pPr>
      <w:r w:rsidRPr="00841C77">
        <w:t>Part 8 — Definitions and signposts to related material</w:t>
      </w:r>
    </w:p>
    <w:p w:rsidR="00325E95" w:rsidRPr="00200F12" w:rsidRDefault="00325E95" w:rsidP="00DC00CE">
      <w:pPr>
        <w:pStyle w:val="TableHeadingoutsidetable"/>
        <w:numPr>
          <w:ilvl w:val="4"/>
          <w:numId w:val="21"/>
        </w:numPr>
        <w:spacing w:after="240"/>
      </w:pPr>
      <w:r w:rsidRPr="00200F12">
        <w:t xml:space="preserve">:  </w:t>
      </w:r>
      <w:r w:rsidR="001F00FC">
        <w:t xml:space="preserve">Part 8 — </w:t>
      </w:r>
      <w:r w:rsidR="001F00FC">
        <w:rPr>
          <w:iCs/>
        </w:rPr>
        <w:t>Definitions and signposts to related material</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912"/>
      </w:tblGrid>
      <w:tr w:rsidR="00325E95" w:rsidRPr="00F53555" w:rsidTr="007D3360">
        <w:trPr>
          <w:tblHeader/>
        </w:trPr>
        <w:tc>
          <w:tcPr>
            <w:tcW w:w="2694" w:type="dxa"/>
          </w:tcPr>
          <w:p w:rsidR="00325E95" w:rsidRPr="00F53555" w:rsidRDefault="00325E95" w:rsidP="007D3360">
            <w:pPr>
              <w:pStyle w:val="tableheaderwithintable"/>
            </w:pPr>
            <w:r w:rsidRPr="00F53555">
              <w:t>Provision being amended</w:t>
            </w:r>
          </w:p>
        </w:tc>
        <w:tc>
          <w:tcPr>
            <w:tcW w:w="3912" w:type="dxa"/>
          </w:tcPr>
          <w:p w:rsidR="00325E95" w:rsidRPr="00F53555" w:rsidRDefault="00325E95" w:rsidP="007D3360">
            <w:pPr>
              <w:pStyle w:val="tableheaderwithintable"/>
            </w:pPr>
            <w:r w:rsidRPr="00F53555">
              <w:t>What the amendment does</w:t>
            </w:r>
          </w:p>
        </w:tc>
      </w:tr>
      <w:tr w:rsidR="00325E95" w:rsidRPr="00F20468" w:rsidTr="007D3360">
        <w:tc>
          <w:tcPr>
            <w:tcW w:w="2694" w:type="dxa"/>
            <w:tcBorders>
              <w:bottom w:val="nil"/>
            </w:tcBorders>
          </w:tcPr>
          <w:p w:rsidR="00325E95" w:rsidRPr="0051307D" w:rsidRDefault="00325E95" w:rsidP="00512C73">
            <w:pPr>
              <w:pStyle w:val="tabletext"/>
              <w:ind w:left="34"/>
              <w:rPr>
                <w:b/>
                <w:i/>
              </w:rPr>
            </w:pPr>
            <w:r w:rsidRPr="0051307D">
              <w:rPr>
                <w:b/>
                <w:i/>
              </w:rPr>
              <w:t xml:space="preserve">Income Tax Assessment </w:t>
            </w:r>
            <w:r>
              <w:rPr>
                <w:b/>
                <w:i/>
              </w:rPr>
              <w:br/>
            </w:r>
            <w:r w:rsidRPr="0051307D">
              <w:rPr>
                <w:b/>
                <w:i/>
              </w:rPr>
              <w:t>Act</w:t>
            </w:r>
            <w:r>
              <w:rPr>
                <w:b/>
                <w:i/>
              </w:rPr>
              <w:t xml:space="preserve"> </w:t>
            </w:r>
            <w:r w:rsidRPr="0051307D">
              <w:rPr>
                <w:b/>
                <w:i/>
              </w:rPr>
              <w:t>1936</w:t>
            </w:r>
          </w:p>
          <w:p w:rsidR="00512C73" w:rsidRPr="00F53555" w:rsidRDefault="00325E95" w:rsidP="00512C73">
            <w:pPr>
              <w:pStyle w:val="tabletext"/>
              <w:ind w:left="34"/>
            </w:pPr>
            <w:r>
              <w:t>6(1) (at the end of the definition of ‘dividend’)</w:t>
            </w:r>
            <w:r>
              <w:br/>
              <w:t>6(1) (at the end of the definition of ‘permanent establishment’)</w:t>
            </w:r>
            <w:r>
              <w:br/>
            </w:r>
            <w:r w:rsidR="00C40D5A">
              <w:rPr>
                <w:b/>
                <w:i/>
              </w:rPr>
              <w:t>[I</w:t>
            </w:r>
            <w:r w:rsidRPr="00B72C00">
              <w:rPr>
                <w:b/>
                <w:i/>
              </w:rPr>
              <w:t>tems 6</w:t>
            </w:r>
            <w:r w:rsidR="00012F2D">
              <w:rPr>
                <w:b/>
                <w:i/>
              </w:rPr>
              <w:t>1</w:t>
            </w:r>
            <w:r w:rsidRPr="00B72C00">
              <w:rPr>
                <w:b/>
                <w:i/>
              </w:rPr>
              <w:t xml:space="preserve"> and 6</w:t>
            </w:r>
            <w:r w:rsidR="00012F2D">
              <w:rPr>
                <w:b/>
                <w:i/>
              </w:rPr>
              <w:t>2</w:t>
            </w:r>
            <w:r w:rsidR="00C40D5A">
              <w:rPr>
                <w:b/>
                <w:i/>
              </w:rPr>
              <w:t>]</w:t>
            </w:r>
          </w:p>
        </w:tc>
        <w:tc>
          <w:tcPr>
            <w:tcW w:w="3912" w:type="dxa"/>
            <w:tcBorders>
              <w:bottom w:val="nil"/>
            </w:tcBorders>
          </w:tcPr>
          <w:p w:rsidR="00325E95" w:rsidRPr="00517B10" w:rsidRDefault="00325E95" w:rsidP="007D3360">
            <w:pPr>
              <w:pStyle w:val="tabletext"/>
              <w:rPr>
                <w:b/>
                <w:i/>
                <w:sz w:val="18"/>
              </w:rPr>
            </w:pPr>
            <w:r>
              <w:t>Inserts notes to refer to the a</w:t>
            </w:r>
            <w:r w:rsidRPr="005E668D">
              <w:t xml:space="preserve">dditional information </w:t>
            </w:r>
            <w:r>
              <w:t>contained</w:t>
            </w:r>
            <w:r w:rsidRPr="005E668D">
              <w:t xml:space="preserve"> </w:t>
            </w:r>
            <w:r>
              <w:t xml:space="preserve">in </w:t>
            </w:r>
            <w:r w:rsidRPr="005E668D">
              <w:t>subsections 6(4) and (6)</w:t>
            </w:r>
            <w:r>
              <w:t xml:space="preserve"> relating to the </w:t>
            </w:r>
            <w:r w:rsidRPr="005E668D">
              <w:t>definitions of ‘dividend’ and ‘permanent establishment’ respectively</w:t>
            </w:r>
            <w:r>
              <w:t xml:space="preserve">.  </w:t>
            </w:r>
          </w:p>
        </w:tc>
      </w:tr>
      <w:tr w:rsidR="00325E95" w:rsidRPr="00F20468" w:rsidTr="007D3360">
        <w:tc>
          <w:tcPr>
            <w:tcW w:w="2694" w:type="dxa"/>
            <w:tcBorders>
              <w:top w:val="nil"/>
            </w:tcBorders>
          </w:tcPr>
          <w:p w:rsidR="00325E95" w:rsidRDefault="00325E95" w:rsidP="00512C73">
            <w:pPr>
              <w:pStyle w:val="tabletext"/>
              <w:ind w:left="34"/>
            </w:pPr>
            <w:r>
              <w:t>6(1) (definition of ‘RSA’)</w:t>
            </w:r>
            <w:r w:rsidR="00F303AB">
              <w:t xml:space="preserve"> </w:t>
            </w:r>
            <w:r>
              <w:t>6(1) (definition of ‘RSA provider’)</w:t>
            </w:r>
            <w:r>
              <w:br/>
            </w:r>
            <w:r w:rsidR="00C40D5A">
              <w:rPr>
                <w:b/>
                <w:i/>
              </w:rPr>
              <w:t>[I</w:t>
            </w:r>
            <w:r w:rsidRPr="00B72C00">
              <w:rPr>
                <w:b/>
                <w:i/>
              </w:rPr>
              <w:t>tems 6</w:t>
            </w:r>
            <w:r w:rsidR="00012F2D">
              <w:rPr>
                <w:b/>
                <w:i/>
              </w:rPr>
              <w:t>3</w:t>
            </w:r>
            <w:r w:rsidRPr="00B72C00">
              <w:rPr>
                <w:b/>
                <w:i/>
              </w:rPr>
              <w:t xml:space="preserve"> and 6</w:t>
            </w:r>
            <w:r w:rsidR="00012F2D">
              <w:rPr>
                <w:b/>
                <w:i/>
              </w:rPr>
              <w:t>4</w:t>
            </w:r>
            <w:r w:rsidR="00C40D5A">
              <w:rPr>
                <w:b/>
                <w:i/>
              </w:rPr>
              <w:t>]</w:t>
            </w:r>
          </w:p>
        </w:tc>
        <w:tc>
          <w:tcPr>
            <w:tcW w:w="3912" w:type="dxa"/>
            <w:tcBorders>
              <w:top w:val="nil"/>
            </w:tcBorders>
          </w:tcPr>
          <w:p w:rsidR="00325E95" w:rsidRDefault="00325E95" w:rsidP="007D3360">
            <w:pPr>
              <w:pStyle w:val="tabletext"/>
            </w:pPr>
            <w:r w:rsidRPr="00403A80">
              <w:t>Replaces the definitions of ‘RSA’ and ‘RSA provider’ in the ITAA</w:t>
            </w:r>
            <w:r>
              <w:t xml:space="preserve"> 19</w:t>
            </w:r>
            <w:r w:rsidRPr="00403A80">
              <w:t>36 with a reference to the meanings given by subsection 995</w:t>
            </w:r>
            <w:r>
              <w:noBreakHyphen/>
            </w:r>
            <w:r w:rsidRPr="00403A80">
              <w:t>1(1) of the ITAA</w:t>
            </w:r>
            <w:r>
              <w:t xml:space="preserve"> 19</w:t>
            </w:r>
            <w:r w:rsidRPr="00403A80">
              <w:t>97</w:t>
            </w:r>
            <w:r>
              <w:t>.</w:t>
            </w:r>
          </w:p>
        </w:tc>
      </w:tr>
    </w:tbl>
    <w:p w:rsidR="00325E95" w:rsidRPr="00A04066" w:rsidRDefault="00325E95" w:rsidP="007D3360">
      <w:pPr>
        <w:pStyle w:val="Heading3"/>
        <w:keepLines/>
      </w:pPr>
      <w:r w:rsidRPr="00F53555">
        <w:lastRenderedPageBreak/>
        <w:t xml:space="preserve">Part </w:t>
      </w:r>
      <w:r>
        <w:t>9</w:t>
      </w:r>
      <w:r w:rsidRPr="00F53555">
        <w:t xml:space="preserve"> —</w:t>
      </w:r>
      <w:r>
        <w:t xml:space="preserve"> Repeal of redundant reference to Papua New Guinea</w:t>
      </w:r>
    </w:p>
    <w:p w:rsidR="00325E95" w:rsidRPr="00482A78" w:rsidRDefault="00325E95" w:rsidP="00DC00CE">
      <w:pPr>
        <w:pStyle w:val="TableHeadingoutsidetable"/>
        <w:numPr>
          <w:ilvl w:val="4"/>
          <w:numId w:val="21"/>
        </w:numPr>
        <w:spacing w:after="240"/>
      </w:pPr>
      <w:r w:rsidRPr="007D3360">
        <w:t>:</w:t>
      </w:r>
      <w:r w:rsidRPr="0012537C">
        <w:t xml:space="preserve">  </w:t>
      </w:r>
      <w:r w:rsidR="001F00FC">
        <w:rPr>
          <w:iCs/>
        </w:rPr>
        <w:t xml:space="preserve">Part 9 </w:t>
      </w:r>
      <w:r w:rsidR="001F00FC" w:rsidRPr="001F00FC">
        <w:rPr>
          <w:iCs/>
        </w:rPr>
        <w:t>—</w:t>
      </w:r>
      <w:r w:rsidR="001F00FC">
        <w:rPr>
          <w:iCs/>
        </w:rPr>
        <w:t xml:space="preserve"> Repeal of redundant reference to Papua New Guinea</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899"/>
      </w:tblGrid>
      <w:tr w:rsidR="00325E95" w:rsidRPr="00F53555" w:rsidTr="007D3360">
        <w:trPr>
          <w:tblHeader/>
        </w:trPr>
        <w:tc>
          <w:tcPr>
            <w:tcW w:w="2694" w:type="dxa"/>
          </w:tcPr>
          <w:p w:rsidR="00325E95" w:rsidRPr="00F53555" w:rsidRDefault="00325E95" w:rsidP="007D3360">
            <w:pPr>
              <w:pStyle w:val="tableheaderwithintable"/>
            </w:pPr>
            <w:r w:rsidRPr="00F53555">
              <w:t>Provision being amended</w:t>
            </w:r>
          </w:p>
        </w:tc>
        <w:tc>
          <w:tcPr>
            <w:tcW w:w="3899" w:type="dxa"/>
          </w:tcPr>
          <w:p w:rsidR="00325E95" w:rsidRPr="00F53555" w:rsidRDefault="00325E95" w:rsidP="007D3360">
            <w:pPr>
              <w:pStyle w:val="tableheaderwithintable"/>
            </w:pPr>
            <w:r w:rsidRPr="00F53555">
              <w:t>What the amendment does</w:t>
            </w:r>
          </w:p>
        </w:tc>
      </w:tr>
      <w:tr w:rsidR="00325E95" w:rsidRPr="00F20468" w:rsidTr="007D3360">
        <w:tc>
          <w:tcPr>
            <w:tcW w:w="2694" w:type="dxa"/>
          </w:tcPr>
          <w:p w:rsidR="00325E95" w:rsidRPr="00391816" w:rsidRDefault="00325E95" w:rsidP="007D3360">
            <w:pPr>
              <w:pStyle w:val="tabletext"/>
              <w:ind w:left="34"/>
              <w:rPr>
                <w:b/>
                <w:i/>
              </w:rPr>
            </w:pPr>
            <w:r w:rsidRPr="00391816">
              <w:rPr>
                <w:b/>
                <w:i/>
              </w:rPr>
              <w:t xml:space="preserve">Income Tax Assessment </w:t>
            </w:r>
            <w:r>
              <w:rPr>
                <w:b/>
                <w:i/>
              </w:rPr>
              <w:br/>
            </w:r>
            <w:r w:rsidRPr="00391816">
              <w:rPr>
                <w:b/>
                <w:i/>
              </w:rPr>
              <w:t>Act 1936</w:t>
            </w:r>
          </w:p>
          <w:p w:rsidR="00325E95" w:rsidRDefault="00325E95" w:rsidP="00512C73">
            <w:pPr>
              <w:pStyle w:val="tabletext"/>
            </w:pPr>
            <w:r>
              <w:t>6AA(1)(d)</w:t>
            </w:r>
            <w:r>
              <w:br/>
              <w:t>6AA(1)(e)</w:t>
            </w:r>
            <w:r>
              <w:br/>
              <w:t>6AA(1)(f)</w:t>
            </w:r>
            <w:r>
              <w:br/>
            </w:r>
            <w:r w:rsidR="00C40D5A">
              <w:rPr>
                <w:b/>
                <w:i/>
              </w:rPr>
              <w:t>[I</w:t>
            </w:r>
            <w:r w:rsidRPr="00B72C00">
              <w:rPr>
                <w:b/>
                <w:i/>
              </w:rPr>
              <w:t>tems 6</w:t>
            </w:r>
            <w:r w:rsidR="00012F2D">
              <w:rPr>
                <w:b/>
                <w:i/>
              </w:rPr>
              <w:t>5</w:t>
            </w:r>
            <w:r w:rsidRPr="00B72C00">
              <w:rPr>
                <w:b/>
                <w:i/>
              </w:rPr>
              <w:t xml:space="preserve"> to </w:t>
            </w:r>
            <w:r w:rsidR="00012F2D">
              <w:rPr>
                <w:b/>
                <w:i/>
              </w:rPr>
              <w:t>67</w:t>
            </w:r>
            <w:r w:rsidR="00C40D5A">
              <w:rPr>
                <w:b/>
                <w:i/>
              </w:rPr>
              <w:t>]</w:t>
            </w:r>
          </w:p>
        </w:tc>
        <w:tc>
          <w:tcPr>
            <w:tcW w:w="3899" w:type="dxa"/>
          </w:tcPr>
          <w:p w:rsidR="00325E95" w:rsidRPr="00517B10" w:rsidRDefault="00325E95" w:rsidP="007D3360">
            <w:pPr>
              <w:pStyle w:val="tabletext"/>
              <w:ind w:left="-11" w:right="-108"/>
              <w:rPr>
                <w:b/>
                <w:bCs/>
              </w:rPr>
            </w:pPr>
            <w:r w:rsidRPr="00466FD3">
              <w:t>Repeals the reference</w:t>
            </w:r>
            <w:r>
              <w:t xml:space="preserve"> to Papua New Guinea as it is no longer required.</w:t>
            </w:r>
          </w:p>
        </w:tc>
      </w:tr>
    </w:tbl>
    <w:p w:rsidR="00325E95" w:rsidRPr="003D7DFC" w:rsidRDefault="00325E95" w:rsidP="007D3360">
      <w:pPr>
        <w:pStyle w:val="Heading3"/>
        <w:keepLines/>
      </w:pPr>
      <w:r w:rsidRPr="00F53555">
        <w:t xml:space="preserve">Part </w:t>
      </w:r>
      <w:r>
        <w:t>10</w:t>
      </w:r>
      <w:r w:rsidRPr="00F53555">
        <w:t xml:space="preserve"> —</w:t>
      </w:r>
      <w:r>
        <w:t xml:space="preserve"> </w:t>
      </w:r>
      <w:r w:rsidRPr="003D7DFC">
        <w:t>Repeal</w:t>
      </w:r>
      <w:r>
        <w:t xml:space="preserve"> of</w:t>
      </w:r>
      <w:r w:rsidRPr="003D7DFC">
        <w:t xml:space="preserve"> redundant reference</w:t>
      </w:r>
      <w:r>
        <w:t>s</w:t>
      </w:r>
      <w:r w:rsidRPr="003D7DFC">
        <w:t xml:space="preserve"> to franking</w:t>
      </w:r>
    </w:p>
    <w:p w:rsidR="00325E95" w:rsidRPr="00482A78" w:rsidRDefault="00325E95" w:rsidP="00DC00CE">
      <w:pPr>
        <w:pStyle w:val="TableHeadingoutsidetable"/>
        <w:numPr>
          <w:ilvl w:val="4"/>
          <w:numId w:val="21"/>
        </w:numPr>
        <w:spacing w:after="240"/>
      </w:pPr>
      <w:r w:rsidRPr="007D3360">
        <w:t>:</w:t>
      </w:r>
      <w:r w:rsidRPr="0012537C">
        <w:t xml:space="preserve">  </w:t>
      </w:r>
      <w:r w:rsidR="001F00FC">
        <w:t xml:space="preserve">Part 10 — </w:t>
      </w:r>
      <w:r w:rsidR="001F00FC">
        <w:rPr>
          <w:iCs/>
        </w:rPr>
        <w:t>Repeal of redundant references to franking</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912"/>
      </w:tblGrid>
      <w:tr w:rsidR="00325E95" w:rsidRPr="00F53555" w:rsidTr="007D3360">
        <w:trPr>
          <w:tblHeader/>
        </w:trPr>
        <w:tc>
          <w:tcPr>
            <w:tcW w:w="2694" w:type="dxa"/>
          </w:tcPr>
          <w:p w:rsidR="00325E95" w:rsidRPr="00F53555" w:rsidRDefault="00325E95" w:rsidP="007D3360">
            <w:pPr>
              <w:pStyle w:val="tableheaderwithintable"/>
            </w:pPr>
            <w:r w:rsidRPr="00F53555">
              <w:t>Provision being amended</w:t>
            </w:r>
          </w:p>
        </w:tc>
        <w:tc>
          <w:tcPr>
            <w:tcW w:w="3912" w:type="dxa"/>
          </w:tcPr>
          <w:p w:rsidR="00325E95" w:rsidRPr="00F53555" w:rsidRDefault="00325E95" w:rsidP="007D3360">
            <w:pPr>
              <w:pStyle w:val="tableheaderwithintable"/>
            </w:pPr>
            <w:r w:rsidRPr="00F53555">
              <w:t>What the amendment does</w:t>
            </w:r>
          </w:p>
        </w:tc>
      </w:tr>
      <w:tr w:rsidR="00325E95" w:rsidRPr="00F20468" w:rsidTr="007D3360">
        <w:trPr>
          <w:cantSplit/>
        </w:trPr>
        <w:tc>
          <w:tcPr>
            <w:tcW w:w="2694" w:type="dxa"/>
          </w:tcPr>
          <w:p w:rsidR="00325E95" w:rsidRPr="00C530EB" w:rsidRDefault="00325E95" w:rsidP="007D3360">
            <w:pPr>
              <w:pStyle w:val="tabletext"/>
              <w:rPr>
                <w:b/>
              </w:rPr>
            </w:pPr>
            <w:bookmarkStart w:id="28" w:name="OLE_LINK9"/>
            <w:bookmarkStart w:id="29" w:name="OLE_LINK10"/>
            <w:r w:rsidRPr="00C530EB">
              <w:rPr>
                <w:b/>
                <w:i/>
              </w:rPr>
              <w:t xml:space="preserve">Income Tax Assessment </w:t>
            </w:r>
            <w:r>
              <w:rPr>
                <w:b/>
                <w:i/>
              </w:rPr>
              <w:br/>
            </w:r>
            <w:r w:rsidRPr="00C530EB">
              <w:rPr>
                <w:b/>
                <w:i/>
              </w:rPr>
              <w:t>Act 1936</w:t>
            </w:r>
          </w:p>
          <w:p w:rsidR="00325E95" w:rsidRDefault="00325E95" w:rsidP="007D3360">
            <w:pPr>
              <w:pStyle w:val="tabletext"/>
            </w:pPr>
            <w:r>
              <w:t>45C(3)(a)</w:t>
            </w:r>
            <w:bookmarkEnd w:id="28"/>
            <w:bookmarkEnd w:id="29"/>
            <w:r>
              <w:br/>
            </w:r>
            <w:r w:rsidR="00C40D5A">
              <w:rPr>
                <w:b/>
                <w:i/>
              </w:rPr>
              <w:t>[I</w:t>
            </w:r>
            <w:r w:rsidRPr="00B72C00">
              <w:rPr>
                <w:b/>
                <w:i/>
              </w:rPr>
              <w:t xml:space="preserve">tems </w:t>
            </w:r>
            <w:r w:rsidR="00012F2D">
              <w:rPr>
                <w:b/>
                <w:i/>
              </w:rPr>
              <w:t>68 and 69</w:t>
            </w:r>
            <w:r w:rsidR="00C40D5A">
              <w:rPr>
                <w:b/>
                <w:i/>
              </w:rPr>
              <w:t>]</w:t>
            </w:r>
          </w:p>
          <w:p w:rsidR="00325E95" w:rsidRDefault="00325E95" w:rsidP="007D3360">
            <w:pPr>
              <w:pStyle w:val="tabletext"/>
            </w:pPr>
          </w:p>
          <w:p w:rsidR="00325E95" w:rsidRDefault="00325E95" w:rsidP="007D3360">
            <w:pPr>
              <w:pStyle w:val="tabletext"/>
            </w:pPr>
          </w:p>
          <w:p w:rsidR="00325E95" w:rsidRDefault="00325E95" w:rsidP="007D3360">
            <w:pPr>
              <w:pStyle w:val="tabletext"/>
            </w:pPr>
          </w:p>
          <w:p w:rsidR="00325E95" w:rsidRDefault="00325E95" w:rsidP="00012F2D">
            <w:pPr>
              <w:pStyle w:val="tabletext"/>
            </w:pPr>
            <w:r>
              <w:t>45C(5) and (6)</w:t>
            </w:r>
            <w:r>
              <w:br/>
            </w:r>
            <w:r w:rsidR="00C40D5A">
              <w:rPr>
                <w:b/>
                <w:i/>
              </w:rPr>
              <w:t>[I</w:t>
            </w:r>
            <w:r w:rsidRPr="00B72C00">
              <w:rPr>
                <w:b/>
                <w:i/>
              </w:rPr>
              <w:t>tem 7</w:t>
            </w:r>
            <w:r w:rsidR="00012F2D">
              <w:rPr>
                <w:b/>
                <w:i/>
              </w:rPr>
              <w:t>0</w:t>
            </w:r>
            <w:r w:rsidR="00C40D5A">
              <w:rPr>
                <w:b/>
                <w:i/>
              </w:rPr>
              <w:t>]</w:t>
            </w:r>
          </w:p>
        </w:tc>
        <w:tc>
          <w:tcPr>
            <w:tcW w:w="3912" w:type="dxa"/>
          </w:tcPr>
          <w:p w:rsidR="00325E95" w:rsidRPr="00517B10" w:rsidRDefault="00325E95" w:rsidP="007D3360">
            <w:pPr>
              <w:pStyle w:val="tabletext"/>
              <w:rPr>
                <w:b/>
                <w:bCs/>
                <w:i/>
                <w:iCs/>
              </w:rPr>
            </w:pPr>
            <w:r>
              <w:t>Modifies paragraph 45C(3)(a) to replace a redundant reference to ‘a class C franking debit’ with a reference to ‘a franking debit’.  This amendment will apply from 1 July 2002, which is the time when class C franking debits ceased to exist.</w:t>
            </w:r>
          </w:p>
          <w:p w:rsidR="00325E95" w:rsidRDefault="00325E95" w:rsidP="007D3360">
            <w:pPr>
              <w:pStyle w:val="tabletext"/>
            </w:pPr>
            <w:r>
              <w:t>Repeals subsections 45C(5) and 45C(6).  Subsection 45C(5) is a transitional rule that is no longer required.  Subsection 45C(6) refers to definitions in Part IIIAA of the ITAA 1936.  Part IIIAA was previously removed as an inoperative provision.</w:t>
            </w:r>
          </w:p>
          <w:p w:rsidR="00325E95" w:rsidRPr="00517B10" w:rsidRDefault="00325E95" w:rsidP="007D3360">
            <w:pPr>
              <w:pStyle w:val="tabletext"/>
              <w:rPr>
                <w:b/>
                <w:bCs/>
              </w:rPr>
            </w:pPr>
            <w:r>
              <w:t>Under the simplified imputation system, introduced from 1 July 2002, the way that companies keep franking accounts changed from a taxed income basis to a tax paid basis.  This removed the requirement for companies to maintain different classes of franking accounts.  The amendments to update the terminology in section 45C will have no adverse impact on taxpayers as it confirms existing practice and removes uncertainty.</w:t>
            </w:r>
          </w:p>
        </w:tc>
      </w:tr>
    </w:tbl>
    <w:p w:rsidR="00325E95" w:rsidRPr="00657D2B" w:rsidRDefault="00325E95" w:rsidP="007D3360">
      <w:pPr>
        <w:pStyle w:val="Heading3"/>
        <w:keepLines/>
      </w:pPr>
      <w:r w:rsidRPr="00F53555">
        <w:lastRenderedPageBreak/>
        <w:t xml:space="preserve">Part </w:t>
      </w:r>
      <w:r>
        <w:t>11</w:t>
      </w:r>
      <w:r w:rsidRPr="00F53555">
        <w:t xml:space="preserve"> —</w:t>
      </w:r>
      <w:r>
        <w:t xml:space="preserve"> </w:t>
      </w:r>
      <w:r w:rsidRPr="00657D2B">
        <w:t>Correct</w:t>
      </w:r>
      <w:r>
        <w:t xml:space="preserve">ion of </w:t>
      </w:r>
      <w:r w:rsidRPr="00657D2B">
        <w:t>cross-reference</w:t>
      </w:r>
      <w:r>
        <w:t xml:space="preserve"> in provision about dividend streaming etc.</w:t>
      </w:r>
    </w:p>
    <w:p w:rsidR="00325E95" w:rsidRPr="00482A78" w:rsidRDefault="00325E95" w:rsidP="00DC00CE">
      <w:pPr>
        <w:pStyle w:val="TableHeadingoutsidetable"/>
        <w:numPr>
          <w:ilvl w:val="4"/>
          <w:numId w:val="21"/>
        </w:numPr>
        <w:spacing w:after="240"/>
      </w:pPr>
      <w:r w:rsidRPr="007D3360">
        <w:t>:</w:t>
      </w:r>
      <w:r w:rsidRPr="0012537C">
        <w:t xml:space="preserve">  </w:t>
      </w:r>
      <w:r w:rsidR="001F00FC">
        <w:t xml:space="preserve">Part 11 — </w:t>
      </w:r>
      <w:r w:rsidR="001F00FC">
        <w:rPr>
          <w:iCs/>
        </w:rPr>
        <w:t>Correction of cross-reference in provision about dividend streaming etc.</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912"/>
      </w:tblGrid>
      <w:tr w:rsidR="00325E95" w:rsidRPr="00F53555" w:rsidTr="007D3360">
        <w:trPr>
          <w:tblHeader/>
        </w:trPr>
        <w:tc>
          <w:tcPr>
            <w:tcW w:w="2694" w:type="dxa"/>
          </w:tcPr>
          <w:p w:rsidR="00325E95" w:rsidRPr="00F53555" w:rsidRDefault="00325E95" w:rsidP="007D3360">
            <w:pPr>
              <w:pStyle w:val="tableheaderwithintable"/>
            </w:pPr>
            <w:r w:rsidRPr="00F53555">
              <w:t>Provision being amended</w:t>
            </w:r>
          </w:p>
        </w:tc>
        <w:tc>
          <w:tcPr>
            <w:tcW w:w="3912" w:type="dxa"/>
          </w:tcPr>
          <w:p w:rsidR="00325E95" w:rsidRPr="00F53555" w:rsidRDefault="00325E95" w:rsidP="007D3360">
            <w:pPr>
              <w:pStyle w:val="tableheaderwithintable"/>
            </w:pPr>
            <w:r w:rsidRPr="00F53555">
              <w:t>What the amendment does</w:t>
            </w:r>
          </w:p>
        </w:tc>
      </w:tr>
      <w:tr w:rsidR="00325E95" w:rsidRPr="00F20468" w:rsidTr="007D3360">
        <w:trPr>
          <w:cantSplit/>
        </w:trPr>
        <w:tc>
          <w:tcPr>
            <w:tcW w:w="2694" w:type="dxa"/>
          </w:tcPr>
          <w:p w:rsidR="00325E95" w:rsidRPr="00C530EB" w:rsidRDefault="00325E95" w:rsidP="007D3360">
            <w:pPr>
              <w:pStyle w:val="tabletext"/>
              <w:rPr>
                <w:b/>
              </w:rPr>
            </w:pPr>
            <w:r w:rsidRPr="00C530EB">
              <w:rPr>
                <w:b/>
                <w:i/>
              </w:rPr>
              <w:t>Income Tax Assessment Act</w:t>
            </w:r>
            <w:r>
              <w:rPr>
                <w:b/>
                <w:i/>
              </w:rPr>
              <w:t> </w:t>
            </w:r>
            <w:r w:rsidRPr="00C530EB">
              <w:rPr>
                <w:b/>
                <w:i/>
              </w:rPr>
              <w:t>1936</w:t>
            </w:r>
          </w:p>
          <w:p w:rsidR="00325E95" w:rsidRDefault="00325E95" w:rsidP="00012F2D">
            <w:pPr>
              <w:pStyle w:val="tabletext"/>
            </w:pPr>
            <w:r>
              <w:t>45D(2)</w:t>
            </w:r>
            <w:r>
              <w:br/>
            </w:r>
            <w:r w:rsidR="002A4144">
              <w:rPr>
                <w:b/>
                <w:i/>
              </w:rPr>
              <w:t>[I</w:t>
            </w:r>
            <w:r w:rsidRPr="00B72C00">
              <w:rPr>
                <w:b/>
                <w:i/>
              </w:rPr>
              <w:t>tems 7</w:t>
            </w:r>
            <w:r w:rsidR="00012F2D">
              <w:rPr>
                <w:b/>
                <w:i/>
              </w:rPr>
              <w:t>1</w:t>
            </w:r>
            <w:r w:rsidRPr="00B72C00">
              <w:rPr>
                <w:b/>
                <w:i/>
              </w:rPr>
              <w:t xml:space="preserve"> and 7</w:t>
            </w:r>
            <w:r w:rsidR="00012F2D">
              <w:rPr>
                <w:b/>
                <w:i/>
              </w:rPr>
              <w:t>2</w:t>
            </w:r>
            <w:r w:rsidR="002A4144">
              <w:rPr>
                <w:b/>
                <w:i/>
              </w:rPr>
              <w:t>]</w:t>
            </w:r>
          </w:p>
        </w:tc>
        <w:tc>
          <w:tcPr>
            <w:tcW w:w="3912" w:type="dxa"/>
          </w:tcPr>
          <w:p w:rsidR="00325E95" w:rsidRDefault="00325E95" w:rsidP="007D3360">
            <w:pPr>
              <w:pStyle w:val="tabletext"/>
            </w:pPr>
            <w:r>
              <w:t xml:space="preserve">Replaces an incorrect reference in subsection 45D(2) to a determination made under paragraph 45D(1)(b) with a reference to a determination made under section 45A.  </w:t>
            </w:r>
          </w:p>
          <w:p w:rsidR="00325E95" w:rsidRPr="00011BA2" w:rsidRDefault="00325E95" w:rsidP="007D3360">
            <w:pPr>
              <w:pStyle w:val="tabletext"/>
            </w:pPr>
            <w:r>
              <w:t xml:space="preserve">Paragraph 45D(1)(b) was removed when the demerger provisions were introduced in 2002.  However, a consequential amendment to update subsection 45D(2) was overlooked.  This amendment will not have an adverse impact on taxpayers, as it confirms existing practice and removes uncertainty.  Therefore this amendment applies to determinations made by the Commissioner on or after 24 October 2002.  </w:t>
            </w:r>
          </w:p>
        </w:tc>
      </w:tr>
    </w:tbl>
    <w:p w:rsidR="00325E95" w:rsidRPr="00657D2B" w:rsidRDefault="00325E95" w:rsidP="007D3360">
      <w:pPr>
        <w:pStyle w:val="Heading3"/>
        <w:keepLines/>
      </w:pPr>
      <w:r w:rsidRPr="00F53555">
        <w:t xml:space="preserve">Part </w:t>
      </w:r>
      <w:r>
        <w:t>12</w:t>
      </w:r>
      <w:r w:rsidRPr="00F53555">
        <w:t xml:space="preserve"> —</w:t>
      </w:r>
      <w:r>
        <w:t xml:space="preserve"> Minor changes to provisions about concessional rebates</w:t>
      </w:r>
    </w:p>
    <w:p w:rsidR="00325E95" w:rsidRPr="00482A78" w:rsidRDefault="00325E95" w:rsidP="00DC00CE">
      <w:pPr>
        <w:pStyle w:val="TableHeadingoutsidetable"/>
        <w:numPr>
          <w:ilvl w:val="4"/>
          <w:numId w:val="21"/>
        </w:numPr>
        <w:spacing w:after="240"/>
      </w:pPr>
      <w:r w:rsidRPr="007D3360">
        <w:t>:</w:t>
      </w:r>
      <w:r w:rsidRPr="0012537C">
        <w:t xml:space="preserve">  </w:t>
      </w:r>
      <w:r w:rsidR="00A915F4">
        <w:rPr>
          <w:iCs/>
        </w:rPr>
        <w:t xml:space="preserve">Part 12 </w:t>
      </w:r>
      <w:r w:rsidR="00A915F4" w:rsidRPr="00A915F4">
        <w:rPr>
          <w:iCs/>
        </w:rPr>
        <w:t>—</w:t>
      </w:r>
      <w:r w:rsidR="00A915F4">
        <w:rPr>
          <w:iCs/>
        </w:rPr>
        <w:t xml:space="preserve"> Minor changes to provisions about concessional rebates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912"/>
      </w:tblGrid>
      <w:tr w:rsidR="00325E95" w:rsidRPr="00F53555" w:rsidTr="007D3360">
        <w:trPr>
          <w:tblHeader/>
        </w:trPr>
        <w:tc>
          <w:tcPr>
            <w:tcW w:w="2694" w:type="dxa"/>
          </w:tcPr>
          <w:p w:rsidR="00325E95" w:rsidRPr="00F53555" w:rsidRDefault="00325E95" w:rsidP="007D3360">
            <w:pPr>
              <w:pStyle w:val="tableheaderwithintable"/>
            </w:pPr>
            <w:r w:rsidRPr="00F53555">
              <w:t>Provision being amended</w:t>
            </w:r>
          </w:p>
        </w:tc>
        <w:tc>
          <w:tcPr>
            <w:tcW w:w="3912" w:type="dxa"/>
          </w:tcPr>
          <w:p w:rsidR="00325E95" w:rsidRPr="00F53555" w:rsidRDefault="00325E95" w:rsidP="007D3360">
            <w:pPr>
              <w:pStyle w:val="tableheaderwithintable"/>
            </w:pPr>
            <w:r w:rsidRPr="00F53555">
              <w:t>What the amendment does</w:t>
            </w:r>
          </w:p>
        </w:tc>
      </w:tr>
      <w:tr w:rsidR="00325E95" w:rsidRPr="00F20468" w:rsidTr="007D3360">
        <w:tc>
          <w:tcPr>
            <w:tcW w:w="2694" w:type="dxa"/>
          </w:tcPr>
          <w:p w:rsidR="00325E95" w:rsidRPr="00C530EB" w:rsidRDefault="00325E95" w:rsidP="007D3360">
            <w:pPr>
              <w:pStyle w:val="tabletext"/>
              <w:rPr>
                <w:b/>
              </w:rPr>
            </w:pPr>
            <w:r w:rsidRPr="00C530EB">
              <w:rPr>
                <w:b/>
                <w:i/>
              </w:rPr>
              <w:t xml:space="preserve">Income Tax Assessment </w:t>
            </w:r>
            <w:r>
              <w:rPr>
                <w:b/>
                <w:i/>
              </w:rPr>
              <w:br/>
            </w:r>
            <w:r w:rsidRPr="00C530EB">
              <w:rPr>
                <w:b/>
                <w:i/>
              </w:rPr>
              <w:t>Act 1936</w:t>
            </w:r>
          </w:p>
          <w:p w:rsidR="00325E95" w:rsidRDefault="00325E95" w:rsidP="00012F2D">
            <w:pPr>
              <w:pStyle w:val="tabletext"/>
            </w:pPr>
            <w:r>
              <w:t>159J(1B)</w:t>
            </w:r>
            <w:r>
              <w:br/>
            </w:r>
            <w:r w:rsidR="002A4144">
              <w:rPr>
                <w:b/>
                <w:i/>
              </w:rPr>
              <w:t>[I</w:t>
            </w:r>
            <w:r w:rsidRPr="00B72C00">
              <w:rPr>
                <w:b/>
                <w:i/>
              </w:rPr>
              <w:t>tem 7</w:t>
            </w:r>
            <w:r w:rsidR="00012F2D">
              <w:rPr>
                <w:b/>
                <w:i/>
              </w:rPr>
              <w:t>3</w:t>
            </w:r>
            <w:r w:rsidR="002A4144">
              <w:rPr>
                <w:b/>
                <w:i/>
              </w:rPr>
              <w:t>]</w:t>
            </w:r>
          </w:p>
        </w:tc>
        <w:tc>
          <w:tcPr>
            <w:tcW w:w="3912" w:type="dxa"/>
          </w:tcPr>
          <w:p w:rsidR="00325E95" w:rsidRPr="00466FD3" w:rsidRDefault="00325E95" w:rsidP="007D3360">
            <w:pPr>
              <w:pStyle w:val="tabletext"/>
            </w:pPr>
            <w:r>
              <w:t>F</w:t>
            </w:r>
            <w:r w:rsidRPr="009627A0">
              <w:t>ixes duplication of the word ‘the’</w:t>
            </w:r>
            <w:r>
              <w:t xml:space="preserve">.  </w:t>
            </w:r>
          </w:p>
        </w:tc>
      </w:tr>
    </w:tbl>
    <w:p w:rsidR="00325E95" w:rsidRPr="00657D2B" w:rsidRDefault="00325E95" w:rsidP="007D3360">
      <w:pPr>
        <w:pStyle w:val="Heading3"/>
        <w:keepLines/>
      </w:pPr>
      <w:r w:rsidRPr="00F53555">
        <w:t xml:space="preserve">Part </w:t>
      </w:r>
      <w:r>
        <w:t>13</w:t>
      </w:r>
      <w:r w:rsidRPr="00F53555">
        <w:t xml:space="preserve"> —</w:t>
      </w:r>
      <w:r>
        <w:t xml:space="preserve"> Fixing outdated references to Medicare levy</w:t>
      </w:r>
    </w:p>
    <w:p w:rsidR="00325E95" w:rsidRPr="00482A78" w:rsidRDefault="00325E95" w:rsidP="00DC00CE">
      <w:pPr>
        <w:pStyle w:val="TableHeadingoutsidetable"/>
        <w:numPr>
          <w:ilvl w:val="4"/>
          <w:numId w:val="21"/>
        </w:numPr>
        <w:spacing w:after="240"/>
      </w:pPr>
      <w:r w:rsidRPr="007D3360">
        <w:t>:</w:t>
      </w:r>
      <w:r w:rsidRPr="0012537C">
        <w:t xml:space="preserve">  </w:t>
      </w:r>
      <w:r w:rsidR="000806FC">
        <w:t xml:space="preserve">Part 13 — </w:t>
      </w:r>
      <w:r w:rsidR="000806FC">
        <w:rPr>
          <w:iCs/>
        </w:rPr>
        <w:t>Fixing outdated references to Medicare levy</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912"/>
      </w:tblGrid>
      <w:tr w:rsidR="00325E95" w:rsidRPr="00F53555" w:rsidTr="007D3360">
        <w:trPr>
          <w:tblHeader/>
        </w:trPr>
        <w:tc>
          <w:tcPr>
            <w:tcW w:w="2694" w:type="dxa"/>
          </w:tcPr>
          <w:p w:rsidR="00325E95" w:rsidRPr="00F53555" w:rsidRDefault="00325E95" w:rsidP="007D3360">
            <w:pPr>
              <w:pStyle w:val="tableheaderwithintable"/>
            </w:pPr>
            <w:r w:rsidRPr="00F53555">
              <w:t>Provision being amended</w:t>
            </w:r>
          </w:p>
        </w:tc>
        <w:tc>
          <w:tcPr>
            <w:tcW w:w="3912" w:type="dxa"/>
          </w:tcPr>
          <w:p w:rsidR="00325E95" w:rsidRPr="00F53555" w:rsidRDefault="00325E95" w:rsidP="007D3360">
            <w:pPr>
              <w:pStyle w:val="tableheaderwithintable"/>
            </w:pPr>
            <w:r w:rsidRPr="00F53555">
              <w:t>What the amendment  does</w:t>
            </w:r>
          </w:p>
        </w:tc>
      </w:tr>
      <w:tr w:rsidR="00325E95" w:rsidRPr="00F20468" w:rsidTr="007D3360">
        <w:tc>
          <w:tcPr>
            <w:tcW w:w="2694" w:type="dxa"/>
          </w:tcPr>
          <w:p w:rsidR="00325E95" w:rsidRPr="00C530EB" w:rsidRDefault="00325E95" w:rsidP="007D3360">
            <w:pPr>
              <w:pStyle w:val="tabletext"/>
              <w:rPr>
                <w:b/>
              </w:rPr>
            </w:pPr>
            <w:r w:rsidRPr="00C530EB">
              <w:rPr>
                <w:b/>
                <w:i/>
              </w:rPr>
              <w:t xml:space="preserve">Income Tax Assessment </w:t>
            </w:r>
            <w:r>
              <w:rPr>
                <w:b/>
                <w:i/>
              </w:rPr>
              <w:br/>
            </w:r>
            <w:r w:rsidRPr="00C530EB">
              <w:rPr>
                <w:b/>
                <w:i/>
              </w:rPr>
              <w:t>Act 19</w:t>
            </w:r>
            <w:r>
              <w:rPr>
                <w:b/>
                <w:i/>
              </w:rPr>
              <w:t>97</w:t>
            </w:r>
          </w:p>
          <w:p w:rsidR="00325E95" w:rsidRPr="00F53555" w:rsidRDefault="00325E95" w:rsidP="00012F2D">
            <w:pPr>
              <w:pStyle w:val="tabletext"/>
            </w:pPr>
            <w:r>
              <w:t>3(1)</w:t>
            </w:r>
            <w:r>
              <w:br/>
              <w:t>3-5(1)(note 1)</w:t>
            </w:r>
            <w:r>
              <w:br/>
            </w:r>
            <w:r w:rsidR="002A4144">
              <w:rPr>
                <w:b/>
                <w:i/>
              </w:rPr>
              <w:t>[I</w:t>
            </w:r>
            <w:r w:rsidRPr="00B72C00">
              <w:rPr>
                <w:b/>
                <w:i/>
              </w:rPr>
              <w:t>tems 7</w:t>
            </w:r>
            <w:r w:rsidR="00012F2D">
              <w:rPr>
                <w:b/>
                <w:i/>
              </w:rPr>
              <w:t>4</w:t>
            </w:r>
            <w:r w:rsidRPr="00B72C00">
              <w:rPr>
                <w:b/>
                <w:i/>
              </w:rPr>
              <w:t xml:space="preserve"> and 7</w:t>
            </w:r>
            <w:r w:rsidR="00012F2D">
              <w:rPr>
                <w:b/>
                <w:i/>
              </w:rPr>
              <w:t>5</w:t>
            </w:r>
            <w:r w:rsidR="002A4144">
              <w:rPr>
                <w:b/>
                <w:i/>
              </w:rPr>
              <w:t>]</w:t>
            </w:r>
          </w:p>
        </w:tc>
        <w:tc>
          <w:tcPr>
            <w:tcW w:w="3912" w:type="dxa"/>
          </w:tcPr>
          <w:p w:rsidR="00325E95" w:rsidRPr="00CE5329" w:rsidRDefault="00325E95" w:rsidP="007D3360">
            <w:pPr>
              <w:pStyle w:val="tabletext"/>
            </w:pPr>
            <w:r>
              <w:t>Repeals the redundant provision and updates the note to subsection 3</w:t>
            </w:r>
            <w:r>
              <w:noBreakHyphen/>
              <w:t xml:space="preserve">5(1) to include the correct references to the Medicare levy.  </w:t>
            </w:r>
          </w:p>
        </w:tc>
      </w:tr>
    </w:tbl>
    <w:p w:rsidR="00325E95" w:rsidRPr="00FD6B8B" w:rsidRDefault="00325E95" w:rsidP="007D3360">
      <w:pPr>
        <w:pStyle w:val="Heading3"/>
        <w:keepLines/>
      </w:pPr>
      <w:r w:rsidRPr="00F53555">
        <w:lastRenderedPageBreak/>
        <w:t xml:space="preserve">Part </w:t>
      </w:r>
      <w:r>
        <w:t>14</w:t>
      </w:r>
      <w:r w:rsidRPr="00F53555">
        <w:t xml:space="preserve"> —</w:t>
      </w:r>
      <w:r>
        <w:t xml:space="preserve"> </w:t>
      </w:r>
      <w:r w:rsidRPr="00FD6B8B">
        <w:t xml:space="preserve">Repeal </w:t>
      </w:r>
      <w:r>
        <w:t xml:space="preserve">of </w:t>
      </w:r>
      <w:r w:rsidRPr="00FD6B8B">
        <w:t>references to previously repealed provisions</w:t>
      </w:r>
    </w:p>
    <w:p w:rsidR="00325E95" w:rsidRPr="00482A78" w:rsidRDefault="00325E95" w:rsidP="00DC00CE">
      <w:pPr>
        <w:pStyle w:val="TableHeadingoutsidetable"/>
        <w:numPr>
          <w:ilvl w:val="4"/>
          <w:numId w:val="21"/>
        </w:numPr>
        <w:spacing w:after="240"/>
      </w:pPr>
      <w:r w:rsidRPr="0012537C">
        <w:t xml:space="preserve">:  </w:t>
      </w:r>
      <w:r w:rsidR="008A594B">
        <w:t xml:space="preserve">Part 14 — </w:t>
      </w:r>
      <w:r w:rsidR="008A594B">
        <w:rPr>
          <w:iCs/>
        </w:rPr>
        <w:t>Repeal of references to previously repealed provisions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912"/>
      </w:tblGrid>
      <w:tr w:rsidR="00325E95" w:rsidRPr="00F53555" w:rsidTr="007D3360">
        <w:trPr>
          <w:tblHeader/>
        </w:trPr>
        <w:tc>
          <w:tcPr>
            <w:tcW w:w="2694" w:type="dxa"/>
            <w:tcBorders>
              <w:bottom w:val="single" w:sz="4" w:space="0" w:color="auto"/>
            </w:tcBorders>
          </w:tcPr>
          <w:p w:rsidR="00325E95" w:rsidRPr="00F53555" w:rsidRDefault="00325E95" w:rsidP="007D3360">
            <w:pPr>
              <w:pStyle w:val="tableheaderwithintable"/>
            </w:pPr>
            <w:r w:rsidRPr="00F53555">
              <w:t>Provision being amended</w:t>
            </w:r>
          </w:p>
        </w:tc>
        <w:tc>
          <w:tcPr>
            <w:tcW w:w="3912" w:type="dxa"/>
            <w:tcBorders>
              <w:bottom w:val="single" w:sz="4" w:space="0" w:color="auto"/>
            </w:tcBorders>
          </w:tcPr>
          <w:p w:rsidR="00325E95" w:rsidRPr="00F53555" w:rsidRDefault="00325E95" w:rsidP="007D3360">
            <w:pPr>
              <w:pStyle w:val="tableheaderwithintable"/>
            </w:pPr>
            <w:r w:rsidRPr="00F53555">
              <w:t>What the amendment does</w:t>
            </w:r>
          </w:p>
        </w:tc>
      </w:tr>
      <w:tr w:rsidR="00325E95" w:rsidRPr="00F20468" w:rsidTr="007D3360">
        <w:tc>
          <w:tcPr>
            <w:tcW w:w="2694" w:type="dxa"/>
            <w:tcBorders>
              <w:bottom w:val="single" w:sz="4" w:space="0" w:color="auto"/>
            </w:tcBorders>
          </w:tcPr>
          <w:p w:rsidR="00325E95" w:rsidRPr="00C530EB" w:rsidRDefault="00325E95" w:rsidP="007D3360">
            <w:pPr>
              <w:pStyle w:val="tabletext"/>
              <w:rPr>
                <w:b/>
              </w:rPr>
            </w:pPr>
            <w:r w:rsidRPr="00C530EB">
              <w:rPr>
                <w:b/>
                <w:i/>
              </w:rPr>
              <w:t xml:space="preserve">Income Tax Assessment </w:t>
            </w:r>
            <w:r>
              <w:rPr>
                <w:b/>
                <w:i/>
              </w:rPr>
              <w:br/>
            </w:r>
            <w:r w:rsidRPr="00C530EB">
              <w:rPr>
                <w:b/>
                <w:i/>
              </w:rPr>
              <w:t>Act 19</w:t>
            </w:r>
            <w:r>
              <w:rPr>
                <w:b/>
                <w:i/>
              </w:rPr>
              <w:t>97</w:t>
            </w:r>
          </w:p>
          <w:p w:rsidR="00325E95" w:rsidRDefault="00325E95" w:rsidP="007D3360">
            <w:pPr>
              <w:pStyle w:val="tabletext"/>
              <w:spacing w:before="0" w:after="0"/>
              <w:rPr>
                <w:b/>
                <w:i/>
              </w:rPr>
            </w:pPr>
            <w:r>
              <w:t>11-15 (item in the table headed ‘United Nations’)</w:t>
            </w:r>
            <w:r>
              <w:br/>
            </w:r>
            <w:r w:rsidR="002A4144">
              <w:rPr>
                <w:b/>
                <w:i/>
              </w:rPr>
              <w:t>[I</w:t>
            </w:r>
            <w:r w:rsidRPr="00B72C00">
              <w:rPr>
                <w:b/>
                <w:i/>
              </w:rPr>
              <w:t xml:space="preserve">tem </w:t>
            </w:r>
            <w:r w:rsidR="00B07DB9">
              <w:rPr>
                <w:b/>
                <w:i/>
              </w:rPr>
              <w:t>76</w:t>
            </w:r>
            <w:r w:rsidR="002A4144">
              <w:rPr>
                <w:b/>
                <w:i/>
              </w:rPr>
              <w:t>]</w:t>
            </w:r>
          </w:p>
          <w:p w:rsidR="00325E95" w:rsidRPr="00B72C00" w:rsidRDefault="00325E95" w:rsidP="007D3360">
            <w:pPr>
              <w:pStyle w:val="tabletext"/>
              <w:spacing w:before="0" w:after="0"/>
            </w:pPr>
          </w:p>
          <w:p w:rsidR="00325E95" w:rsidRDefault="00325E95" w:rsidP="00B07DB9">
            <w:pPr>
              <w:pStyle w:val="tabletext"/>
            </w:pPr>
            <w:r>
              <w:t>830-75</w:t>
            </w:r>
            <w:r>
              <w:br/>
            </w:r>
            <w:r w:rsidR="002A4144">
              <w:rPr>
                <w:b/>
                <w:i/>
              </w:rPr>
              <w:t>[I</w:t>
            </w:r>
            <w:r w:rsidRPr="00B72C00">
              <w:rPr>
                <w:b/>
                <w:i/>
              </w:rPr>
              <w:t xml:space="preserve">tem </w:t>
            </w:r>
            <w:r w:rsidR="00B07DB9">
              <w:rPr>
                <w:b/>
                <w:i/>
              </w:rPr>
              <w:t>77</w:t>
            </w:r>
            <w:r w:rsidR="002A4144">
              <w:rPr>
                <w:b/>
                <w:i/>
              </w:rPr>
              <w:t>]</w:t>
            </w:r>
          </w:p>
        </w:tc>
        <w:tc>
          <w:tcPr>
            <w:tcW w:w="3912" w:type="dxa"/>
            <w:tcBorders>
              <w:bottom w:val="single" w:sz="4" w:space="0" w:color="auto"/>
            </w:tcBorders>
          </w:tcPr>
          <w:p w:rsidR="00325E95" w:rsidRDefault="00325E95" w:rsidP="007D3360">
            <w:pPr>
              <w:pStyle w:val="tabletext"/>
              <w:ind w:left="-11"/>
            </w:pPr>
            <w:r>
              <w:t>Removes the item referring to s</w:t>
            </w:r>
            <w:r w:rsidRPr="008D3AD5">
              <w:t>ection</w:t>
            </w:r>
            <w:r>
              <w:t> </w:t>
            </w:r>
            <w:r w:rsidRPr="008D3AD5">
              <w:t>23ADA</w:t>
            </w:r>
            <w:r>
              <w:t xml:space="preserve">, which was repealed by the </w:t>
            </w:r>
            <w:r w:rsidRPr="00517B10">
              <w:rPr>
                <w:i/>
                <w:iCs/>
              </w:rPr>
              <w:t>Tax Laws Amendment (Repeal of Inoperative Provisions) Act 2006</w:t>
            </w:r>
            <w:r>
              <w:t xml:space="preserve">.  </w:t>
            </w:r>
          </w:p>
          <w:p w:rsidR="00325E95" w:rsidRDefault="00325E95" w:rsidP="007D3360">
            <w:pPr>
              <w:pStyle w:val="tabletext"/>
              <w:ind w:left="-11"/>
            </w:pPr>
          </w:p>
          <w:p w:rsidR="00325E95" w:rsidRPr="00517B10" w:rsidRDefault="00325E95" w:rsidP="007D3360">
            <w:pPr>
              <w:pStyle w:val="tabletext"/>
              <w:ind w:left="-11"/>
              <w:rPr>
                <w:b/>
                <w:bCs/>
              </w:rPr>
            </w:pPr>
            <w:r>
              <w:t xml:space="preserve">Clarifies that the reference should be ‘subject to foreign tax’.  </w:t>
            </w:r>
          </w:p>
        </w:tc>
      </w:tr>
    </w:tbl>
    <w:p w:rsidR="00325E95" w:rsidRPr="00FD6B8B" w:rsidRDefault="00325E95" w:rsidP="007D3360">
      <w:pPr>
        <w:pStyle w:val="Heading3"/>
        <w:keepLines/>
      </w:pPr>
      <w:r w:rsidRPr="00F53555">
        <w:t xml:space="preserve">Part </w:t>
      </w:r>
      <w:r>
        <w:t>15</w:t>
      </w:r>
      <w:r w:rsidRPr="00F53555">
        <w:t xml:space="preserve"> —</w:t>
      </w:r>
      <w:r>
        <w:t xml:space="preserve"> </w:t>
      </w:r>
      <w:r w:rsidRPr="00FD6B8B">
        <w:t>Correct</w:t>
      </w:r>
      <w:r>
        <w:t xml:space="preserve">ion of </w:t>
      </w:r>
      <w:r w:rsidRPr="00FD6B8B">
        <w:t xml:space="preserve">asterisking </w:t>
      </w:r>
      <w:r>
        <w:t xml:space="preserve">of </w:t>
      </w:r>
      <w:r w:rsidRPr="00FD6B8B">
        <w:t>reference to tax debts</w:t>
      </w:r>
    </w:p>
    <w:p w:rsidR="00325E95" w:rsidRPr="00482A78" w:rsidRDefault="00325E95" w:rsidP="00DC00CE">
      <w:pPr>
        <w:pStyle w:val="TableHeadingoutsidetable"/>
        <w:numPr>
          <w:ilvl w:val="4"/>
          <w:numId w:val="21"/>
        </w:numPr>
        <w:spacing w:after="240"/>
      </w:pPr>
      <w:r w:rsidRPr="0012537C">
        <w:t xml:space="preserve">:  </w:t>
      </w:r>
      <w:r w:rsidR="00A56F64">
        <w:t xml:space="preserve">Part 15 — Correction of asterisking of reference to tax debts — </w:t>
      </w:r>
      <w:r w:rsidRPr="0012537C">
        <w:rPr>
          <w:iCs/>
        </w:rPr>
        <w:t>Amendments to the</w:t>
      </w:r>
      <w:r w:rsidRPr="0012537C">
        <w:t xml:space="preserve"> </w:t>
      </w:r>
      <w:r w:rsidRPr="009A23C3">
        <w:rPr>
          <w:i/>
        </w:rPr>
        <w:t>Income Tax Assessment Act 1997</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912"/>
      </w:tblGrid>
      <w:tr w:rsidR="00325E95" w:rsidRPr="00F53555" w:rsidTr="007D3360">
        <w:trPr>
          <w:tblHeader/>
        </w:trPr>
        <w:tc>
          <w:tcPr>
            <w:tcW w:w="2694" w:type="dxa"/>
          </w:tcPr>
          <w:p w:rsidR="00325E95" w:rsidRPr="00F53555" w:rsidRDefault="00325E95" w:rsidP="007D3360">
            <w:pPr>
              <w:pStyle w:val="tableheaderwithintable"/>
            </w:pPr>
            <w:r w:rsidRPr="00F53555">
              <w:t>Provision being amended</w:t>
            </w:r>
          </w:p>
        </w:tc>
        <w:tc>
          <w:tcPr>
            <w:tcW w:w="3912" w:type="dxa"/>
          </w:tcPr>
          <w:p w:rsidR="00325E95" w:rsidRPr="00F53555" w:rsidRDefault="00325E95" w:rsidP="007D3360">
            <w:pPr>
              <w:pStyle w:val="tableheaderwithintable"/>
            </w:pPr>
            <w:r w:rsidRPr="00F53555">
              <w:t>What the amendment does</w:t>
            </w:r>
          </w:p>
        </w:tc>
      </w:tr>
      <w:tr w:rsidR="00325E95" w:rsidRPr="00F20468" w:rsidTr="007D3360">
        <w:tc>
          <w:tcPr>
            <w:tcW w:w="2694" w:type="dxa"/>
          </w:tcPr>
          <w:p w:rsidR="00325E95" w:rsidRPr="00C530EB" w:rsidRDefault="00325E95" w:rsidP="007D3360">
            <w:pPr>
              <w:pStyle w:val="tabletext"/>
              <w:rPr>
                <w:b/>
              </w:rPr>
            </w:pPr>
            <w:r w:rsidRPr="00C530EB">
              <w:rPr>
                <w:b/>
                <w:i/>
              </w:rPr>
              <w:t xml:space="preserve">Income Tax Assessment </w:t>
            </w:r>
            <w:r>
              <w:rPr>
                <w:b/>
                <w:i/>
              </w:rPr>
              <w:br/>
            </w:r>
            <w:r w:rsidRPr="00C530EB">
              <w:rPr>
                <w:b/>
                <w:i/>
              </w:rPr>
              <w:t>Act 19</w:t>
            </w:r>
            <w:r>
              <w:rPr>
                <w:b/>
                <w:i/>
              </w:rPr>
              <w:t>97</w:t>
            </w:r>
          </w:p>
          <w:p w:rsidR="00325E95" w:rsidRDefault="00325E95" w:rsidP="00B07DB9">
            <w:pPr>
              <w:pStyle w:val="tabletext"/>
            </w:pPr>
            <w:r>
              <w:t>25-5(7)</w:t>
            </w:r>
            <w:r>
              <w:br/>
            </w:r>
            <w:r w:rsidR="002A4144">
              <w:rPr>
                <w:b/>
                <w:i/>
              </w:rPr>
              <w:t>[It</w:t>
            </w:r>
            <w:r w:rsidRPr="00B72C00">
              <w:rPr>
                <w:b/>
                <w:i/>
              </w:rPr>
              <w:t xml:space="preserve">em </w:t>
            </w:r>
            <w:r w:rsidR="00B07DB9">
              <w:rPr>
                <w:b/>
                <w:i/>
              </w:rPr>
              <w:t>78</w:t>
            </w:r>
            <w:r w:rsidR="002A4144">
              <w:rPr>
                <w:b/>
                <w:i/>
              </w:rPr>
              <w:t>]</w:t>
            </w:r>
          </w:p>
        </w:tc>
        <w:tc>
          <w:tcPr>
            <w:tcW w:w="3912" w:type="dxa"/>
          </w:tcPr>
          <w:p w:rsidR="00325E95" w:rsidRPr="00517B10" w:rsidRDefault="00325E95" w:rsidP="007D3360">
            <w:pPr>
              <w:pStyle w:val="tabletext"/>
              <w:rPr>
                <w:b/>
                <w:bCs/>
              </w:rPr>
            </w:pPr>
            <w:r w:rsidRPr="00FF052D">
              <w:t>Corrects the asterisking of the reference to ‘tax debts’</w:t>
            </w:r>
            <w:r w:rsidR="00934BBA">
              <w:t>.</w:t>
            </w:r>
          </w:p>
        </w:tc>
      </w:tr>
    </w:tbl>
    <w:p w:rsidR="00325E95" w:rsidRDefault="00325E95" w:rsidP="007D3360">
      <w:pPr>
        <w:pStyle w:val="Heading3"/>
        <w:keepLines/>
      </w:pPr>
      <w:r w:rsidRPr="00F53555">
        <w:t xml:space="preserve">Part </w:t>
      </w:r>
      <w:r>
        <w:t>16</w:t>
      </w:r>
      <w:r w:rsidRPr="00F53555">
        <w:t xml:space="preserve"> —</w:t>
      </w:r>
      <w:r>
        <w:t xml:space="preserve"> </w:t>
      </w:r>
      <w:r w:rsidRPr="00FD6B8B">
        <w:t>Repeal</w:t>
      </w:r>
      <w:r>
        <w:t xml:space="preserve"> of </w:t>
      </w:r>
      <w:r w:rsidRPr="00FD6B8B">
        <w:t>outdated provisions about exemptions from income tax</w:t>
      </w:r>
    </w:p>
    <w:p w:rsidR="00325E95" w:rsidRPr="00482A78" w:rsidRDefault="00325E95" w:rsidP="00DC00CE">
      <w:pPr>
        <w:pStyle w:val="TableHeadingoutsidetable"/>
        <w:numPr>
          <w:ilvl w:val="4"/>
          <w:numId w:val="21"/>
        </w:numPr>
        <w:spacing w:after="240"/>
      </w:pPr>
      <w:r w:rsidRPr="0012537C">
        <w:t xml:space="preserve">:  </w:t>
      </w:r>
      <w:r w:rsidR="004E35BD">
        <w:t>Part 16 — R</w:t>
      </w:r>
      <w:r>
        <w:rPr>
          <w:iCs/>
        </w:rPr>
        <w:t>epeal</w:t>
      </w:r>
      <w:r w:rsidRPr="0012537C">
        <w:t xml:space="preserve"> </w:t>
      </w:r>
      <w:r w:rsidR="004E35BD">
        <w:t>of outdated provisions about</w:t>
      </w:r>
      <w:r w:rsidRPr="003737A0">
        <w:t xml:space="preserve"> exemptions from income tax</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912"/>
      </w:tblGrid>
      <w:tr w:rsidR="00325E95" w:rsidRPr="00F53555" w:rsidTr="003C3D97">
        <w:trPr>
          <w:tblHeader/>
        </w:trPr>
        <w:tc>
          <w:tcPr>
            <w:tcW w:w="2694" w:type="dxa"/>
          </w:tcPr>
          <w:p w:rsidR="00325E95" w:rsidRPr="00F53555" w:rsidRDefault="00325E95" w:rsidP="007D3360">
            <w:pPr>
              <w:pStyle w:val="tableheaderwithintable"/>
            </w:pPr>
            <w:r w:rsidRPr="00F53555">
              <w:t>Provision being amended</w:t>
            </w:r>
          </w:p>
        </w:tc>
        <w:tc>
          <w:tcPr>
            <w:tcW w:w="3912" w:type="dxa"/>
          </w:tcPr>
          <w:p w:rsidR="00325E95" w:rsidRPr="00F53555" w:rsidRDefault="00325E95" w:rsidP="007D3360">
            <w:pPr>
              <w:pStyle w:val="tableheaderwithintable"/>
            </w:pPr>
            <w:r w:rsidRPr="00F53555">
              <w:t>What the amendment does</w:t>
            </w:r>
          </w:p>
        </w:tc>
      </w:tr>
      <w:tr w:rsidR="00325E95" w:rsidRPr="00F20468" w:rsidTr="003C3D97">
        <w:tc>
          <w:tcPr>
            <w:tcW w:w="2694" w:type="dxa"/>
          </w:tcPr>
          <w:p w:rsidR="00325E95" w:rsidRDefault="00325E95" w:rsidP="007D3360">
            <w:pPr>
              <w:pStyle w:val="tabletext"/>
              <w:rPr>
                <w:b/>
                <w:i/>
              </w:rPr>
            </w:pPr>
            <w:r w:rsidRPr="00C530EB">
              <w:rPr>
                <w:b/>
                <w:i/>
              </w:rPr>
              <w:t xml:space="preserve">Income Tax Assessment </w:t>
            </w:r>
            <w:r>
              <w:rPr>
                <w:b/>
                <w:i/>
              </w:rPr>
              <w:br/>
            </w:r>
            <w:r w:rsidRPr="00C530EB">
              <w:rPr>
                <w:b/>
                <w:i/>
              </w:rPr>
              <w:t>Act 19</w:t>
            </w:r>
            <w:r>
              <w:rPr>
                <w:b/>
                <w:i/>
              </w:rPr>
              <w:t xml:space="preserve">36 </w:t>
            </w:r>
          </w:p>
          <w:p w:rsidR="00325E95" w:rsidRDefault="00325E95" w:rsidP="007D3360">
            <w:pPr>
              <w:pStyle w:val="tabletext"/>
              <w:rPr>
                <w:b/>
                <w:i/>
              </w:rPr>
            </w:pPr>
            <w:r>
              <w:t>128B(3)(ab)</w:t>
            </w:r>
            <w:r>
              <w:br/>
            </w:r>
            <w:r w:rsidR="002A4144">
              <w:rPr>
                <w:b/>
                <w:i/>
              </w:rPr>
              <w:t>[I</w:t>
            </w:r>
            <w:r w:rsidRPr="00C42F4F">
              <w:rPr>
                <w:b/>
                <w:i/>
              </w:rPr>
              <w:t xml:space="preserve">tem </w:t>
            </w:r>
            <w:r w:rsidR="00B07DB9">
              <w:rPr>
                <w:b/>
                <w:i/>
              </w:rPr>
              <w:t>79</w:t>
            </w:r>
            <w:r w:rsidR="002A4144">
              <w:rPr>
                <w:b/>
                <w:i/>
              </w:rPr>
              <w:t>]</w:t>
            </w:r>
          </w:p>
          <w:p w:rsidR="00325E95" w:rsidRDefault="00325E95" w:rsidP="007D3360">
            <w:pPr>
              <w:pStyle w:val="tabletext"/>
            </w:pPr>
          </w:p>
          <w:p w:rsidR="00325E95" w:rsidRPr="00C530EB" w:rsidRDefault="00325E95" w:rsidP="007D3360">
            <w:pPr>
              <w:pStyle w:val="tabletext"/>
              <w:rPr>
                <w:b/>
              </w:rPr>
            </w:pPr>
            <w:r w:rsidRPr="00C530EB">
              <w:rPr>
                <w:b/>
                <w:i/>
              </w:rPr>
              <w:t xml:space="preserve">Income Tax Assessment </w:t>
            </w:r>
            <w:r>
              <w:rPr>
                <w:b/>
                <w:i/>
              </w:rPr>
              <w:br/>
            </w:r>
            <w:r w:rsidRPr="00C530EB">
              <w:rPr>
                <w:b/>
                <w:i/>
              </w:rPr>
              <w:t>Act 19</w:t>
            </w:r>
            <w:r>
              <w:rPr>
                <w:b/>
                <w:i/>
              </w:rPr>
              <w:t>97</w:t>
            </w:r>
          </w:p>
          <w:p w:rsidR="00325E95" w:rsidRDefault="00325E95" w:rsidP="00B07DB9">
            <w:pPr>
              <w:pStyle w:val="tabletext"/>
            </w:pPr>
            <w:r>
              <w:t>11-5 (item in the table headed ‘film’)</w:t>
            </w:r>
            <w:r>
              <w:br/>
              <w:t>11-5 (item in the table headed ‘mining’)</w:t>
            </w:r>
            <w:r>
              <w:br/>
            </w:r>
            <w:r>
              <w:lastRenderedPageBreak/>
              <w:t>50-35 (item 7.1 in the table)</w:t>
            </w:r>
            <w:r>
              <w:br/>
              <w:t>50-45 (heading)</w:t>
            </w:r>
            <w:r>
              <w:br/>
              <w:t>50-45 (items 9.3 and 9.4 in the table)</w:t>
            </w:r>
            <w:r>
              <w:br/>
            </w:r>
            <w:r w:rsidR="002A4144">
              <w:rPr>
                <w:b/>
                <w:i/>
              </w:rPr>
              <w:t>[I</w:t>
            </w:r>
            <w:r w:rsidRPr="00C42F4F">
              <w:rPr>
                <w:b/>
                <w:i/>
              </w:rPr>
              <w:t>tems 8</w:t>
            </w:r>
            <w:r w:rsidR="00B07DB9">
              <w:rPr>
                <w:b/>
                <w:i/>
              </w:rPr>
              <w:t>0</w:t>
            </w:r>
            <w:r w:rsidRPr="00C42F4F">
              <w:rPr>
                <w:b/>
                <w:i/>
              </w:rPr>
              <w:t xml:space="preserve"> to 8</w:t>
            </w:r>
            <w:r w:rsidR="00B07DB9">
              <w:rPr>
                <w:b/>
                <w:i/>
              </w:rPr>
              <w:t>4</w:t>
            </w:r>
            <w:r w:rsidR="002A4144">
              <w:rPr>
                <w:b/>
                <w:i/>
              </w:rPr>
              <w:t>]</w:t>
            </w:r>
          </w:p>
        </w:tc>
        <w:tc>
          <w:tcPr>
            <w:tcW w:w="3912" w:type="dxa"/>
          </w:tcPr>
          <w:p w:rsidR="00325E95" w:rsidRPr="0060018A" w:rsidRDefault="00325E95" w:rsidP="007D3360">
            <w:pPr>
              <w:pStyle w:val="tabletext"/>
              <w:rPr>
                <w:b/>
                <w:i/>
                <w:sz w:val="18"/>
              </w:rPr>
            </w:pPr>
            <w:r>
              <w:lastRenderedPageBreak/>
              <w:t>Repeals outdated provisions that covered exemptions from income tax.  T</w:t>
            </w:r>
            <w:r w:rsidRPr="008E78CE">
              <w:t>he Phosphate Mining Company of Christmas Island Limited no longer exist</w:t>
            </w:r>
            <w:r>
              <w:t xml:space="preserve">s; </w:t>
            </w:r>
            <w:r w:rsidRPr="00EA796F">
              <w:t xml:space="preserve">the Australian Film Finance Corporation Pty Limited was deregistered and </w:t>
            </w:r>
            <w:r>
              <w:t>subsumed</w:t>
            </w:r>
            <w:r w:rsidRPr="00EA796F">
              <w:t xml:space="preserve"> into Screen Australia</w:t>
            </w:r>
            <w:r>
              <w:t>; and t</w:t>
            </w:r>
            <w:r w:rsidRPr="00EA796F">
              <w:t xml:space="preserve">he Commonwealth Games Federation </w:t>
            </w:r>
            <w:r>
              <w:t xml:space="preserve">entitlement to tax exemptions expired on </w:t>
            </w:r>
            <w:r w:rsidRPr="00EA796F">
              <w:t>1 July 2007</w:t>
            </w:r>
            <w:r>
              <w:t>.  Therefore the provisions relating to these are inoperative and are being repealed</w:t>
            </w:r>
            <w:r w:rsidR="00934BBA">
              <w:t>.</w:t>
            </w:r>
          </w:p>
        </w:tc>
      </w:tr>
    </w:tbl>
    <w:p w:rsidR="00325E95" w:rsidRPr="001D6329" w:rsidRDefault="00325E95" w:rsidP="007D3360">
      <w:pPr>
        <w:pStyle w:val="Heading3"/>
        <w:keepLines/>
      </w:pPr>
      <w:r w:rsidRPr="00F53555">
        <w:lastRenderedPageBreak/>
        <w:t xml:space="preserve">Part </w:t>
      </w:r>
      <w:r>
        <w:t>17</w:t>
      </w:r>
      <w:r w:rsidRPr="00F53555">
        <w:t xml:space="preserve"> —</w:t>
      </w:r>
      <w:r>
        <w:t xml:space="preserve"> </w:t>
      </w:r>
      <w:r w:rsidRPr="00FD6B8B">
        <w:t>Correcti</w:t>
      </w:r>
      <w:r>
        <w:t>o</w:t>
      </w:r>
      <w:r w:rsidRPr="00FD6B8B">
        <w:t>n of asterisking of reference</w:t>
      </w:r>
      <w:r>
        <w:t>s</w:t>
      </w:r>
      <w:r w:rsidRPr="00FD6B8B">
        <w:t xml:space="preserve"> to</w:t>
      </w:r>
      <w:r>
        <w:t xml:space="preserve"> quarter</w:t>
      </w:r>
    </w:p>
    <w:p w:rsidR="00325E95" w:rsidRPr="00482A78" w:rsidRDefault="00325E95" w:rsidP="00DC00CE">
      <w:pPr>
        <w:pStyle w:val="TableHeadingoutsidetable"/>
        <w:numPr>
          <w:ilvl w:val="4"/>
          <w:numId w:val="21"/>
        </w:numPr>
        <w:spacing w:after="240"/>
      </w:pPr>
      <w:r w:rsidRPr="0012537C">
        <w:t xml:space="preserve">:  </w:t>
      </w:r>
      <w:r w:rsidR="00AF3365">
        <w:rPr>
          <w:iCs/>
        </w:rPr>
        <w:t xml:space="preserve">Part 17 </w:t>
      </w:r>
      <w:r w:rsidR="00AF3365" w:rsidRPr="00AF3365">
        <w:rPr>
          <w:iCs/>
        </w:rPr>
        <w:t>—</w:t>
      </w:r>
      <w:r w:rsidR="00AF3365">
        <w:rPr>
          <w:iCs/>
        </w:rPr>
        <w:t xml:space="preserve"> Correction of asterisking of references to quarter</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912"/>
      </w:tblGrid>
      <w:tr w:rsidR="00325E95" w:rsidRPr="00F53555" w:rsidTr="007D3360">
        <w:trPr>
          <w:tblHeader/>
        </w:trPr>
        <w:tc>
          <w:tcPr>
            <w:tcW w:w="2694" w:type="dxa"/>
          </w:tcPr>
          <w:p w:rsidR="00325E95" w:rsidRPr="00F53555" w:rsidRDefault="00325E95" w:rsidP="007D3360">
            <w:pPr>
              <w:pStyle w:val="tableheaderwithintable"/>
            </w:pPr>
            <w:r w:rsidRPr="00F53555">
              <w:t>Provision being amended</w:t>
            </w:r>
          </w:p>
        </w:tc>
        <w:tc>
          <w:tcPr>
            <w:tcW w:w="3912" w:type="dxa"/>
          </w:tcPr>
          <w:p w:rsidR="00325E95" w:rsidRPr="00F53555" w:rsidRDefault="00325E95" w:rsidP="007D3360">
            <w:pPr>
              <w:pStyle w:val="tableheaderwithintable"/>
            </w:pPr>
            <w:r w:rsidRPr="00F53555">
              <w:t>What the amendment does</w:t>
            </w:r>
          </w:p>
        </w:tc>
      </w:tr>
      <w:tr w:rsidR="00325E95" w:rsidRPr="00F20468" w:rsidTr="007D3360">
        <w:tc>
          <w:tcPr>
            <w:tcW w:w="2694" w:type="dxa"/>
          </w:tcPr>
          <w:p w:rsidR="00325E95" w:rsidRPr="00C530EB" w:rsidRDefault="00325E95" w:rsidP="007D3360">
            <w:pPr>
              <w:pStyle w:val="tabletext"/>
              <w:rPr>
                <w:b/>
              </w:rPr>
            </w:pPr>
            <w:r w:rsidRPr="00C530EB">
              <w:rPr>
                <w:b/>
                <w:i/>
              </w:rPr>
              <w:t xml:space="preserve">Income Tax Assessment </w:t>
            </w:r>
            <w:r>
              <w:rPr>
                <w:b/>
                <w:i/>
              </w:rPr>
              <w:br/>
            </w:r>
            <w:r w:rsidRPr="00C530EB">
              <w:rPr>
                <w:b/>
                <w:i/>
              </w:rPr>
              <w:t>Act 19</w:t>
            </w:r>
            <w:r>
              <w:rPr>
                <w:b/>
                <w:i/>
              </w:rPr>
              <w:t>97</w:t>
            </w:r>
          </w:p>
          <w:p w:rsidR="00325E95" w:rsidRDefault="00325E95" w:rsidP="00B07DB9">
            <w:pPr>
              <w:pStyle w:val="tabletext"/>
            </w:pPr>
            <w:r>
              <w:t>114-15(2)</w:t>
            </w:r>
            <w:r>
              <w:br/>
              <w:t>114-15(3) steps 1 and 3 in the method statement)</w:t>
            </w:r>
            <w:r>
              <w:br/>
              <w:t>114-15(5) and (6)</w:t>
            </w:r>
            <w:r>
              <w:br/>
              <w:t>114-20</w:t>
            </w:r>
            <w:r>
              <w:br/>
            </w:r>
            <w:r w:rsidR="002A4144">
              <w:rPr>
                <w:b/>
                <w:i/>
              </w:rPr>
              <w:t>[I</w:t>
            </w:r>
            <w:r w:rsidRPr="00C42F4F">
              <w:rPr>
                <w:b/>
                <w:i/>
              </w:rPr>
              <w:t>tems 8</w:t>
            </w:r>
            <w:r w:rsidR="00B07DB9">
              <w:rPr>
                <w:b/>
                <w:i/>
              </w:rPr>
              <w:t>5</w:t>
            </w:r>
            <w:r w:rsidRPr="00C42F4F">
              <w:rPr>
                <w:b/>
                <w:i/>
              </w:rPr>
              <w:t xml:space="preserve"> to </w:t>
            </w:r>
            <w:r w:rsidR="00B07DB9">
              <w:rPr>
                <w:b/>
                <w:i/>
              </w:rPr>
              <w:t>88</w:t>
            </w:r>
            <w:r w:rsidR="002A4144">
              <w:rPr>
                <w:b/>
                <w:i/>
              </w:rPr>
              <w:t>]</w:t>
            </w:r>
          </w:p>
        </w:tc>
        <w:tc>
          <w:tcPr>
            <w:tcW w:w="3912" w:type="dxa"/>
          </w:tcPr>
          <w:p w:rsidR="00325E95" w:rsidRPr="00517B10" w:rsidRDefault="00325E95" w:rsidP="007D3360">
            <w:pPr>
              <w:pStyle w:val="tabletext"/>
              <w:rPr>
                <w:b/>
                <w:bCs/>
              </w:rPr>
            </w:pPr>
            <w:r w:rsidRPr="00181443">
              <w:t>Corrects the asterisking of the references to ‘quarter’</w:t>
            </w:r>
            <w:r>
              <w:t xml:space="preserve">.  </w:t>
            </w:r>
          </w:p>
        </w:tc>
      </w:tr>
    </w:tbl>
    <w:p w:rsidR="00325E95" w:rsidRPr="00897219" w:rsidRDefault="00325E95" w:rsidP="007D3360">
      <w:pPr>
        <w:pStyle w:val="Heading3"/>
        <w:keepLines/>
      </w:pPr>
      <w:r w:rsidRPr="00F53555">
        <w:t xml:space="preserve">Part </w:t>
      </w:r>
      <w:r>
        <w:t>18</w:t>
      </w:r>
      <w:r w:rsidRPr="00F53555">
        <w:t xml:space="preserve"> —</w:t>
      </w:r>
      <w:r>
        <w:t xml:space="preserve"> </w:t>
      </w:r>
      <w:r w:rsidRPr="00897219">
        <w:t>Inclusion of Commissioner’s discretion to extend main residence exemption from CGT</w:t>
      </w:r>
    </w:p>
    <w:p w:rsidR="00325E95" w:rsidRPr="00482A78" w:rsidRDefault="00325E95" w:rsidP="00DC00CE">
      <w:pPr>
        <w:pStyle w:val="TableHeadingoutsidetable"/>
        <w:numPr>
          <w:ilvl w:val="4"/>
          <w:numId w:val="21"/>
        </w:numPr>
        <w:spacing w:after="240"/>
      </w:pPr>
      <w:r w:rsidRPr="0012537C">
        <w:t xml:space="preserve">:  </w:t>
      </w:r>
      <w:r w:rsidR="00F02832">
        <w:t xml:space="preserve">Part 18 — </w:t>
      </w:r>
      <w:r w:rsidR="00F02832">
        <w:rPr>
          <w:iCs/>
        </w:rPr>
        <w:t>Inclusion of Commissioner’s discretion to extend main residence exemption from CGT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912"/>
      </w:tblGrid>
      <w:tr w:rsidR="00325E95" w:rsidRPr="00F53555" w:rsidTr="007D3360">
        <w:trPr>
          <w:tblHeader/>
        </w:trPr>
        <w:tc>
          <w:tcPr>
            <w:tcW w:w="2694" w:type="dxa"/>
          </w:tcPr>
          <w:p w:rsidR="00325E95" w:rsidRPr="00F53555" w:rsidRDefault="00325E95" w:rsidP="007D3360">
            <w:pPr>
              <w:pStyle w:val="tableheaderwithintable"/>
            </w:pPr>
            <w:r w:rsidRPr="00F53555">
              <w:t>Provision being amended</w:t>
            </w:r>
          </w:p>
        </w:tc>
        <w:tc>
          <w:tcPr>
            <w:tcW w:w="3912" w:type="dxa"/>
          </w:tcPr>
          <w:p w:rsidR="00325E95" w:rsidRPr="00F53555" w:rsidRDefault="00325E95" w:rsidP="007D3360">
            <w:pPr>
              <w:pStyle w:val="tableheaderwithintable"/>
            </w:pPr>
            <w:r w:rsidRPr="00F53555">
              <w:t>What the amendment does</w:t>
            </w:r>
          </w:p>
        </w:tc>
      </w:tr>
      <w:tr w:rsidR="00325E95" w:rsidRPr="00F20468" w:rsidTr="007D3360">
        <w:tc>
          <w:tcPr>
            <w:tcW w:w="2694" w:type="dxa"/>
          </w:tcPr>
          <w:p w:rsidR="00325E95" w:rsidRPr="00C530EB" w:rsidRDefault="00325E95" w:rsidP="007D3360">
            <w:pPr>
              <w:pStyle w:val="tabletext"/>
              <w:rPr>
                <w:b/>
              </w:rPr>
            </w:pPr>
            <w:r w:rsidRPr="00C530EB">
              <w:rPr>
                <w:b/>
                <w:i/>
              </w:rPr>
              <w:t xml:space="preserve">Income Tax Assessment </w:t>
            </w:r>
            <w:r>
              <w:rPr>
                <w:b/>
                <w:i/>
              </w:rPr>
              <w:br/>
            </w:r>
            <w:r w:rsidRPr="00C530EB">
              <w:rPr>
                <w:b/>
                <w:i/>
              </w:rPr>
              <w:t>Act 19</w:t>
            </w:r>
            <w:r>
              <w:rPr>
                <w:b/>
                <w:i/>
              </w:rPr>
              <w:t>97</w:t>
            </w:r>
          </w:p>
          <w:p w:rsidR="00325E95" w:rsidRDefault="00325E95" w:rsidP="00B07DB9">
            <w:pPr>
              <w:pStyle w:val="tabletext"/>
            </w:pPr>
            <w:r>
              <w:t>118-150(4)(a)</w:t>
            </w:r>
            <w:r>
              <w:br/>
            </w:r>
            <w:r w:rsidR="002A4144">
              <w:rPr>
                <w:b/>
                <w:i/>
              </w:rPr>
              <w:t>[I</w:t>
            </w:r>
            <w:r w:rsidRPr="00C42F4F">
              <w:rPr>
                <w:b/>
                <w:i/>
              </w:rPr>
              <w:t>tem</w:t>
            </w:r>
            <w:r>
              <w:rPr>
                <w:b/>
                <w:i/>
              </w:rPr>
              <w:t>s</w:t>
            </w:r>
            <w:r w:rsidRPr="00C42F4F">
              <w:rPr>
                <w:b/>
                <w:i/>
              </w:rPr>
              <w:t xml:space="preserve"> </w:t>
            </w:r>
            <w:r w:rsidR="00B07DB9">
              <w:rPr>
                <w:b/>
                <w:i/>
              </w:rPr>
              <w:t>89</w:t>
            </w:r>
            <w:r>
              <w:rPr>
                <w:b/>
                <w:i/>
              </w:rPr>
              <w:t xml:space="preserve"> and 9</w:t>
            </w:r>
            <w:r w:rsidR="00B07DB9">
              <w:rPr>
                <w:b/>
                <w:i/>
              </w:rPr>
              <w:t>0</w:t>
            </w:r>
            <w:r w:rsidR="002A4144">
              <w:rPr>
                <w:b/>
                <w:i/>
              </w:rPr>
              <w:t>]</w:t>
            </w:r>
          </w:p>
        </w:tc>
        <w:tc>
          <w:tcPr>
            <w:tcW w:w="3912" w:type="dxa"/>
          </w:tcPr>
          <w:p w:rsidR="00325E95" w:rsidRDefault="00325E95" w:rsidP="007D3360">
            <w:pPr>
              <w:pStyle w:val="tabletext"/>
            </w:pPr>
            <w:r>
              <w:t>G</w:t>
            </w:r>
            <w:r w:rsidRPr="00075F02">
              <w:t>ive</w:t>
            </w:r>
            <w:r>
              <w:t>s</w:t>
            </w:r>
            <w:r w:rsidRPr="00075F02">
              <w:t xml:space="preserve"> effect to </w:t>
            </w:r>
            <w:r>
              <w:t xml:space="preserve">the </w:t>
            </w:r>
            <w:r w:rsidRPr="00075F02">
              <w:t xml:space="preserve">suggestion made through </w:t>
            </w:r>
            <w:r w:rsidRPr="00517B10">
              <w:rPr>
                <w:b/>
                <w:bCs/>
              </w:rPr>
              <w:t xml:space="preserve">TIES </w:t>
            </w:r>
            <w:r>
              <w:rPr>
                <w:b/>
                <w:bCs/>
              </w:rPr>
              <w:t xml:space="preserve">issue </w:t>
            </w:r>
            <w:r w:rsidRPr="00517B10">
              <w:rPr>
                <w:b/>
                <w:bCs/>
              </w:rPr>
              <w:t>0056</w:t>
            </w:r>
            <w:r>
              <w:rPr>
                <w:b/>
                <w:bCs/>
              </w:rPr>
              <w:noBreakHyphen/>
            </w:r>
            <w:r w:rsidRPr="00517B10">
              <w:rPr>
                <w:b/>
                <w:bCs/>
              </w:rPr>
              <w:t>2009</w:t>
            </w:r>
            <w:r w:rsidRPr="00075F02">
              <w:t>.</w:t>
            </w:r>
          </w:p>
          <w:p w:rsidR="00325E95" w:rsidRDefault="00325E95" w:rsidP="007D3360">
            <w:pPr>
              <w:pStyle w:val="tabletext"/>
            </w:pPr>
            <w:r>
              <w:t>Section 118-150 of the ITAA 1997 extends the CGT main residence exemption to allow a taxpayer to treat land as their main residence for up to four years if they build, repair or renovate a dwelling on the land that subsequently becomes their main residence.</w:t>
            </w:r>
          </w:p>
          <w:p w:rsidR="00325E95" w:rsidRDefault="00325E95" w:rsidP="007D3360">
            <w:pPr>
              <w:pStyle w:val="tabletext"/>
            </w:pPr>
            <w:r>
              <w:t xml:space="preserve">This amendment gives the Commissioner discretion to extend this period where the taxpayer does not build, repair or renovate a dwelling and establish it as their main residence within four years.  </w:t>
            </w:r>
          </w:p>
          <w:p w:rsidR="001E3884" w:rsidRDefault="001E3884" w:rsidP="007D3360">
            <w:pPr>
              <w:pStyle w:val="tabletext"/>
            </w:pPr>
          </w:p>
          <w:p w:rsidR="001E3884" w:rsidRDefault="001E3884" w:rsidP="007D3360">
            <w:pPr>
              <w:pStyle w:val="tabletext"/>
            </w:pPr>
          </w:p>
          <w:p w:rsidR="001E3884" w:rsidRPr="00BE3D1E" w:rsidRDefault="001E3884" w:rsidP="007D3360">
            <w:pPr>
              <w:pStyle w:val="tabletext"/>
              <w:rPr>
                <w:rStyle w:val="Referencingstyle"/>
              </w:rPr>
            </w:pPr>
          </w:p>
          <w:p w:rsidR="00325E95" w:rsidRDefault="00325E95" w:rsidP="007D3360">
            <w:pPr>
              <w:pStyle w:val="tabletext"/>
            </w:pPr>
            <w:r>
              <w:lastRenderedPageBreak/>
              <w:t>The Commissioner would be expected to exercise the discretion in situations such as the following:</w:t>
            </w:r>
          </w:p>
          <w:p w:rsidR="00325E95" w:rsidRPr="00517B10" w:rsidRDefault="00325E95" w:rsidP="007D3360">
            <w:pPr>
              <w:pStyle w:val="tabledotpoint"/>
            </w:pPr>
            <w:r w:rsidRPr="00517B10">
              <w:t>When the taxpayer is unable to build, repair or renovate the dwelling within this time period due to circumstances outside their control</w:t>
            </w:r>
            <w:r>
              <w:t xml:space="preserve">.  </w:t>
            </w:r>
            <w:r w:rsidRPr="00517B10">
              <w:t>For example, the relevant builder becomes bankrupt and is unable to complete the building, repairs or renovations.</w:t>
            </w:r>
          </w:p>
          <w:p w:rsidR="00325E95" w:rsidRPr="00517B10" w:rsidRDefault="00325E95" w:rsidP="007D3360">
            <w:pPr>
              <w:pStyle w:val="tabledotpoint"/>
            </w:pPr>
            <w:r w:rsidRPr="00517B10">
              <w:t>When the taxpayer is unable to build, repair or renovate the dwelling due to unforeseen circumstances arising during this period</w:t>
            </w:r>
            <w:r>
              <w:t xml:space="preserve">.  </w:t>
            </w:r>
            <w:r w:rsidRPr="00517B10">
              <w:t>For example, the taxpayer or a family member has a severe illness or injury.</w:t>
            </w:r>
          </w:p>
          <w:p w:rsidR="00325E95" w:rsidRPr="00517B10" w:rsidRDefault="00325E95" w:rsidP="007D3360">
            <w:pPr>
              <w:pStyle w:val="tabledotpoint"/>
            </w:pPr>
            <w:r w:rsidRPr="00517B10">
              <w:t>When building, repairing or renovating the dwelling within the four years would impose a severe financial burden on the taxpayer</w:t>
            </w:r>
            <w:r>
              <w:t xml:space="preserve">.  </w:t>
            </w:r>
            <w:r w:rsidRPr="00517B10">
              <w:t>For example, the taxpayer would be required to incur an excessively high level of debt relative to their income</w:t>
            </w:r>
            <w:r>
              <w:t xml:space="preserve">.  </w:t>
            </w:r>
            <w:r w:rsidRPr="00517B10">
              <w:t>Consequently, the taxpayer may spend time accumulating sufficient savings (relative to their income) to build, repair or renovate a reasonable dwelling relative to their circumstances.</w:t>
            </w:r>
          </w:p>
          <w:p w:rsidR="00325E95" w:rsidRPr="001F0AB6" w:rsidRDefault="00325E95" w:rsidP="007D3360">
            <w:pPr>
              <w:pStyle w:val="tabletext"/>
            </w:pPr>
            <w:r w:rsidRPr="001F0AB6">
              <w:t>These examples are not exhaustive.</w:t>
            </w:r>
          </w:p>
          <w:p w:rsidR="00325E95" w:rsidRPr="00517B10" w:rsidRDefault="00325E95" w:rsidP="007D3360">
            <w:pPr>
              <w:pStyle w:val="tabletext"/>
              <w:rPr>
                <w:b/>
                <w:bCs/>
              </w:rPr>
            </w:pPr>
            <w:r w:rsidRPr="001F0AB6">
              <w:t xml:space="preserve">This amendment will apply in relation to CGT events happening on or after Royal </w:t>
            </w:r>
            <w:r>
              <w:t>A</w:t>
            </w:r>
            <w:r w:rsidRPr="001F0AB6">
              <w:t>ssent</w:t>
            </w:r>
            <w:r>
              <w:t xml:space="preserve">.  </w:t>
            </w:r>
          </w:p>
        </w:tc>
      </w:tr>
    </w:tbl>
    <w:p w:rsidR="00325E95" w:rsidRDefault="00325E95" w:rsidP="007D3360">
      <w:pPr>
        <w:pStyle w:val="Heading3"/>
        <w:keepLines/>
      </w:pPr>
      <w:r w:rsidRPr="00F53555">
        <w:lastRenderedPageBreak/>
        <w:t xml:space="preserve">Part </w:t>
      </w:r>
      <w:r>
        <w:t>19</w:t>
      </w:r>
      <w:r w:rsidRPr="00F53555">
        <w:t xml:space="preserve"> —</w:t>
      </w:r>
      <w:r>
        <w:t xml:space="preserve"> Nomination of controllers of discretionary trust</w:t>
      </w:r>
    </w:p>
    <w:p w:rsidR="00325E95" w:rsidRDefault="00325E95" w:rsidP="00DC00CE">
      <w:pPr>
        <w:pStyle w:val="base-text-paragraph"/>
        <w:numPr>
          <w:ilvl w:val="1"/>
          <w:numId w:val="21"/>
        </w:numPr>
      </w:pPr>
      <w:r>
        <w:t xml:space="preserve">These </w:t>
      </w:r>
      <w:r w:rsidRPr="00AB1285">
        <w:t xml:space="preserve">amendments give effect to </w:t>
      </w:r>
      <w:r>
        <w:t xml:space="preserve">the </w:t>
      </w:r>
      <w:r w:rsidRPr="00AB1285">
        <w:t>suggestion made t</w:t>
      </w:r>
      <w:r w:rsidRPr="00B62F31">
        <w:t xml:space="preserve">hrough </w:t>
      </w:r>
      <w:r w:rsidRPr="00B62F31">
        <w:rPr>
          <w:b/>
          <w:bCs/>
        </w:rPr>
        <w:t>TIES</w:t>
      </w:r>
      <w:r>
        <w:rPr>
          <w:b/>
          <w:bCs/>
        </w:rPr>
        <w:t xml:space="preserve"> issue </w:t>
      </w:r>
      <w:r w:rsidRPr="00B62F31">
        <w:rPr>
          <w:b/>
          <w:bCs/>
        </w:rPr>
        <w:t>0059-2009</w:t>
      </w:r>
      <w:r w:rsidRPr="00B62F31">
        <w:t>.</w:t>
      </w:r>
    </w:p>
    <w:p w:rsidR="00325E95" w:rsidRDefault="00325E95" w:rsidP="00DC00CE">
      <w:pPr>
        <w:pStyle w:val="base-text-paragraph"/>
        <w:numPr>
          <w:ilvl w:val="1"/>
          <w:numId w:val="21"/>
        </w:numPr>
      </w:pPr>
      <w:r w:rsidRPr="00CE5E76">
        <w:t xml:space="preserve">All references to legislative provisions in this </w:t>
      </w:r>
      <w:r>
        <w:t>Part</w:t>
      </w:r>
      <w:r w:rsidRPr="00CE5E76">
        <w:t xml:space="preserve"> are references to the </w:t>
      </w:r>
      <w:r w:rsidRPr="008572E9">
        <w:rPr>
          <w:i/>
        </w:rPr>
        <w:t>Income Tax Assessment Act 1997</w:t>
      </w:r>
      <w:r>
        <w:t xml:space="preserve"> </w:t>
      </w:r>
      <w:r w:rsidRPr="00CE5E76">
        <w:t>unless otherwise stated</w:t>
      </w:r>
      <w:r>
        <w:t xml:space="preserve">.  </w:t>
      </w:r>
    </w:p>
    <w:p w:rsidR="00325E95" w:rsidRDefault="00325E95" w:rsidP="00DC00CE">
      <w:pPr>
        <w:pStyle w:val="base-text-paragraph"/>
        <w:numPr>
          <w:ilvl w:val="1"/>
          <w:numId w:val="21"/>
        </w:numPr>
      </w:pPr>
      <w:r w:rsidRPr="00761D2C">
        <w:t xml:space="preserve">Section </w:t>
      </w:r>
      <w:r>
        <w:t>152-42 currently allows a trustee of a discretionary trust to nominate up to four beneficiaries of the trust as controllers of the trust for an income year in which the trustee did not make a distribution of income or capital and the trust had a tax loss or no taxable income for that year.</w:t>
      </w:r>
    </w:p>
    <w:p w:rsidR="00325E95" w:rsidRDefault="00325E95" w:rsidP="00DC00CE">
      <w:pPr>
        <w:pStyle w:val="base-text-paragraph"/>
        <w:numPr>
          <w:ilvl w:val="1"/>
          <w:numId w:val="21"/>
        </w:numPr>
      </w:pPr>
      <w:r>
        <w:lastRenderedPageBreak/>
        <w:t xml:space="preserve">The result of nominating a beneficiary to be a controller of a discretionary trust is that the beneficiary and discretionary trust are connected entities for the income year but only for the purpose of applying the definition of ‘active asset’ in </w:t>
      </w:r>
      <w:r w:rsidRPr="00562E34">
        <w:t>s</w:t>
      </w:r>
      <w:r>
        <w:t>ubparagraph</w:t>
      </w:r>
      <w:r w:rsidRPr="00562E34">
        <w:t xml:space="preserve"> 152-40(1)(a)(iii) or </w:t>
      </w:r>
      <w:r>
        <w:t>paragraph 1</w:t>
      </w:r>
      <w:r w:rsidRPr="00562E34">
        <w:t>52</w:t>
      </w:r>
      <w:r>
        <w:noBreakHyphen/>
      </w:r>
      <w:r w:rsidRPr="00562E34">
        <w:t>40(1)(b)</w:t>
      </w:r>
      <w:r>
        <w:t>.</w:t>
      </w:r>
    </w:p>
    <w:p w:rsidR="00325E95" w:rsidRDefault="00325E95" w:rsidP="00DC00CE">
      <w:pPr>
        <w:pStyle w:val="base-text-paragraph"/>
        <w:numPr>
          <w:ilvl w:val="1"/>
          <w:numId w:val="21"/>
        </w:numPr>
      </w:pPr>
      <w:r>
        <w:t>This allows a capital gain made on a passively held CGT asset (that is, an asset that is owned by one entity and used in the business of an affiliate of, or an entity connected with, the asset-owning entity) to qualify for the small business CGT concessions via the maximum net asset value test where the asset is:</w:t>
      </w:r>
    </w:p>
    <w:p w:rsidR="00325E95" w:rsidRDefault="00325E95" w:rsidP="007D3360">
      <w:pPr>
        <w:pStyle w:val="dotpoint"/>
      </w:pPr>
      <w:r>
        <w:t xml:space="preserve">owned by a nominated beneficiary (or beneficiaries) or by an entity connected with a nominated beneficiary; and </w:t>
      </w:r>
    </w:p>
    <w:p w:rsidR="00325E95" w:rsidRDefault="00325E95" w:rsidP="007D3360">
      <w:pPr>
        <w:pStyle w:val="dotpoint"/>
      </w:pPr>
      <w:r>
        <w:t>used or held ready for use in the discretionary trust’s business.</w:t>
      </w:r>
    </w:p>
    <w:p w:rsidR="00325E95" w:rsidRDefault="00325E95" w:rsidP="00DC00CE">
      <w:pPr>
        <w:pStyle w:val="base-text-paragraph"/>
        <w:numPr>
          <w:ilvl w:val="1"/>
          <w:numId w:val="21"/>
        </w:numPr>
      </w:pPr>
      <w:r>
        <w:t>However, where a beneficiary is a controller of a discretionary trust only because of the nomination in section 152-42, this does not make the beneficiary a controller of the trust for calculating the maximum net asset value of the entity that owns the asset.</w:t>
      </w:r>
    </w:p>
    <w:p w:rsidR="00325E95" w:rsidRPr="004A0B5E" w:rsidRDefault="00325E95" w:rsidP="00DC00CE">
      <w:pPr>
        <w:pStyle w:val="base-text-paragraph"/>
        <w:numPr>
          <w:ilvl w:val="1"/>
          <w:numId w:val="21"/>
        </w:numPr>
      </w:pPr>
      <w:r>
        <w:t>Currently, section 152-42 does not</w:t>
      </w:r>
      <w:r w:rsidRPr="00DC6398">
        <w:t xml:space="preserve"> apply to paragraph 152</w:t>
      </w:r>
      <w:r w:rsidRPr="00DC6398">
        <w:noBreakHyphen/>
        <w:t>10(1A)(a)</w:t>
      </w:r>
      <w:r>
        <w:t>, which is part of the provisions that extend access to the small business CGT concessions via the small business entity test to passively-held assets.</w:t>
      </w:r>
    </w:p>
    <w:p w:rsidR="00325E95" w:rsidRDefault="00325E95" w:rsidP="00DC00CE">
      <w:pPr>
        <w:pStyle w:val="base-text-paragraph"/>
        <w:numPr>
          <w:ilvl w:val="1"/>
          <w:numId w:val="21"/>
        </w:numPr>
      </w:pPr>
      <w:r w:rsidRPr="00CB34F4">
        <w:t>This mean</w:t>
      </w:r>
      <w:r>
        <w:t>s</w:t>
      </w:r>
      <w:r w:rsidRPr="00CB34F4">
        <w:t xml:space="preserve"> that a</w:t>
      </w:r>
      <w:r>
        <w:t>n entity that does not carry on a business (other than as a partner in partnership) and that is not connected with a discretionary trust cannot access the small business CGT concessions via the small business entity test for a capital gain made on a CGT asset it owned that was used in the business of the</w:t>
      </w:r>
      <w:r w:rsidRPr="004A0B5E">
        <w:t xml:space="preserve"> </w:t>
      </w:r>
      <w:r>
        <w:t>discretionary trust.</w:t>
      </w:r>
    </w:p>
    <w:p w:rsidR="00325E95" w:rsidRPr="002A68BF" w:rsidRDefault="00325E95" w:rsidP="00DC00CE">
      <w:pPr>
        <w:pStyle w:val="base-text-paragraph"/>
        <w:numPr>
          <w:ilvl w:val="1"/>
          <w:numId w:val="21"/>
        </w:numPr>
      </w:pPr>
      <w:r w:rsidRPr="004A0B5E">
        <w:t xml:space="preserve">The amendments, which repeal section 152-42 with effect from Royal Assent, introduce a new provision to allow a trustee of a discretionary trust to nominate up to four beneficiaries of the trust as controllers of the trust for an income year in which the trustee did not make </w:t>
      </w:r>
      <w:r w:rsidRPr="002A68BF">
        <w:t xml:space="preserve">a distribution of income or capital and the trust had a tax loss or no </w:t>
      </w:r>
      <w:r>
        <w:t>net</w:t>
      </w:r>
      <w:r w:rsidRPr="002A68BF">
        <w:t xml:space="preserve"> income for that year</w:t>
      </w:r>
      <w:r>
        <w:t xml:space="preserve">.  The nomination must be in writing and signed by the trustee and by each nominated beneficiary.  The proposed provision relates to ‘net income’ rather than ‘taxable income’, which is used in section 152-42.  ‘Taxable income’ is technically incorrect because, under subsection 95(1) of the ITAA 1936, a trust has net income rather than taxable income.  </w:t>
      </w:r>
      <w:r w:rsidRPr="002A68BF">
        <w:rPr>
          <w:rStyle w:val="Referencingstyle"/>
        </w:rPr>
        <w:t>[</w:t>
      </w:r>
      <w:r w:rsidR="00F013F8">
        <w:rPr>
          <w:rStyle w:val="Referencingstyle"/>
        </w:rPr>
        <w:t>Schedule 5</w:t>
      </w:r>
      <w:r w:rsidRPr="002A68BF">
        <w:rPr>
          <w:rStyle w:val="Referencingstyle"/>
        </w:rPr>
        <w:t>, items</w:t>
      </w:r>
      <w:r>
        <w:rPr>
          <w:rStyle w:val="Referencingstyle"/>
        </w:rPr>
        <w:t xml:space="preserve"> </w:t>
      </w:r>
      <w:r w:rsidR="00B07DB9">
        <w:rPr>
          <w:rStyle w:val="Referencingstyle"/>
        </w:rPr>
        <w:t>99, 102</w:t>
      </w:r>
      <w:r w:rsidRPr="002A68BF">
        <w:rPr>
          <w:rStyle w:val="Referencingstyle"/>
        </w:rPr>
        <w:t xml:space="preserve"> and </w:t>
      </w:r>
      <w:r>
        <w:rPr>
          <w:rStyle w:val="Referencingstyle"/>
        </w:rPr>
        <w:t xml:space="preserve">subitem </w:t>
      </w:r>
      <w:r w:rsidRPr="002A68BF">
        <w:rPr>
          <w:rStyle w:val="Referencingstyle"/>
        </w:rPr>
        <w:t>10</w:t>
      </w:r>
      <w:r w:rsidR="00B07DB9">
        <w:rPr>
          <w:rStyle w:val="Referencingstyle"/>
        </w:rPr>
        <w:t>5</w:t>
      </w:r>
      <w:r>
        <w:rPr>
          <w:rStyle w:val="Referencingstyle"/>
        </w:rPr>
        <w:t>(2)</w:t>
      </w:r>
      <w:r w:rsidRPr="002A68BF">
        <w:rPr>
          <w:rStyle w:val="Referencingstyle"/>
        </w:rPr>
        <w:t>, sections 152</w:t>
      </w:r>
      <w:r w:rsidRPr="002A68BF">
        <w:rPr>
          <w:rStyle w:val="Referencingstyle"/>
        </w:rPr>
        <w:noBreakHyphen/>
        <w:t>42 and 152</w:t>
      </w:r>
      <w:r w:rsidRPr="002A68BF">
        <w:rPr>
          <w:rStyle w:val="Referencingstyle"/>
        </w:rPr>
        <w:noBreakHyphen/>
        <w:t>78</w:t>
      </w:r>
      <w:r>
        <w:rPr>
          <w:rStyle w:val="Referencingstyle"/>
        </w:rPr>
        <w:t xml:space="preserve"> of the ITAA 1997</w:t>
      </w:r>
      <w:r w:rsidRPr="002A68BF">
        <w:rPr>
          <w:rStyle w:val="Referencingstyle"/>
        </w:rPr>
        <w:t>]</w:t>
      </w:r>
    </w:p>
    <w:p w:rsidR="00325E95" w:rsidRPr="002A68BF" w:rsidRDefault="00325E95" w:rsidP="00DC00CE">
      <w:pPr>
        <w:pStyle w:val="base-text-paragraph"/>
        <w:numPr>
          <w:ilvl w:val="1"/>
          <w:numId w:val="21"/>
        </w:numPr>
        <w:rPr>
          <w:rStyle w:val="Referencingstyle"/>
          <w:b w:val="0"/>
          <w:i w:val="0"/>
          <w:sz w:val="22"/>
        </w:rPr>
      </w:pPr>
      <w:r w:rsidRPr="002A68BF">
        <w:lastRenderedPageBreak/>
        <w:t>The amendments also extend the scope of the nomination so that it applies for the purposes of Subdivision 152</w:t>
      </w:r>
      <w:r w:rsidRPr="002A68BF">
        <w:noBreakHyphen/>
        <w:t>A and for sections 328</w:t>
      </w:r>
      <w:r w:rsidRPr="002A68BF">
        <w:noBreakHyphen/>
        <w:t>110, 328</w:t>
      </w:r>
      <w:r w:rsidRPr="002A68BF">
        <w:noBreakHyphen/>
        <w:t>115 and 328</w:t>
      </w:r>
      <w:r w:rsidRPr="002A68BF">
        <w:noBreakHyphen/>
        <w:t>125 as they relate to that Subdivision</w:t>
      </w:r>
      <w:r>
        <w:t xml:space="preserve">.  </w:t>
      </w:r>
      <w:r w:rsidRPr="002A68BF">
        <w:rPr>
          <w:rStyle w:val="Referencingstyle"/>
        </w:rPr>
        <w:t>[</w:t>
      </w:r>
      <w:r w:rsidR="00F013F8">
        <w:rPr>
          <w:rStyle w:val="Referencingstyle"/>
        </w:rPr>
        <w:t>Schedule 5</w:t>
      </w:r>
      <w:r w:rsidRPr="002A68BF">
        <w:rPr>
          <w:rStyle w:val="Referencingstyle"/>
        </w:rPr>
        <w:t>, item</w:t>
      </w:r>
      <w:r>
        <w:rPr>
          <w:rStyle w:val="Referencingstyle"/>
        </w:rPr>
        <w:t> 10</w:t>
      </w:r>
      <w:r w:rsidR="00B07DB9">
        <w:rPr>
          <w:rStyle w:val="Referencingstyle"/>
        </w:rPr>
        <w:t>2</w:t>
      </w:r>
      <w:r w:rsidRPr="002A68BF">
        <w:rPr>
          <w:rStyle w:val="Referencingstyle"/>
        </w:rPr>
        <w:t>, subsection 152</w:t>
      </w:r>
      <w:r w:rsidRPr="002A68BF">
        <w:rPr>
          <w:rStyle w:val="Referencingstyle"/>
        </w:rPr>
        <w:noBreakHyphen/>
        <w:t>78(1)</w:t>
      </w:r>
      <w:r>
        <w:rPr>
          <w:rStyle w:val="Referencingstyle"/>
        </w:rPr>
        <w:t xml:space="preserve"> of the ITAA 1997</w:t>
      </w:r>
      <w:r w:rsidRPr="002A68BF">
        <w:rPr>
          <w:rStyle w:val="Referencingstyle"/>
        </w:rPr>
        <w:t>]</w:t>
      </w:r>
    </w:p>
    <w:p w:rsidR="00325E95" w:rsidRDefault="00325E95" w:rsidP="00DC00CE">
      <w:pPr>
        <w:pStyle w:val="base-text-paragraph"/>
        <w:numPr>
          <w:ilvl w:val="1"/>
          <w:numId w:val="21"/>
        </w:numPr>
      </w:pPr>
      <w:r>
        <w:t xml:space="preserve">Where the trustee has made a nomination under the new provision, its extended scope allows </w:t>
      </w:r>
      <w:r>
        <w:rPr>
          <w:szCs w:val="24"/>
        </w:rPr>
        <w:t>an entity that does not carry on a business (</w:t>
      </w:r>
      <w:r>
        <w:t xml:space="preserve">other than as a partner in partnership) whose asset is used in the trust’s business to access the </w:t>
      </w:r>
      <w:r>
        <w:rPr>
          <w:szCs w:val="24"/>
        </w:rPr>
        <w:t>small business CGT concessions</w:t>
      </w:r>
      <w:r>
        <w:t xml:space="preserve"> via the small business entity test through the operation of subsection 152</w:t>
      </w:r>
      <w:r>
        <w:noBreakHyphen/>
        <w:t>10(1A).</w:t>
      </w:r>
    </w:p>
    <w:p w:rsidR="00325E95" w:rsidRDefault="00325E95" w:rsidP="00DC00CE">
      <w:pPr>
        <w:pStyle w:val="base-text-paragraph"/>
        <w:numPr>
          <w:ilvl w:val="1"/>
          <w:numId w:val="21"/>
        </w:numPr>
      </w:pPr>
      <w:r>
        <w:t>The extended scope of a nomination also means that it applies for determining whether one entity is connected with another entity for calculating the maximum net asset value of the entity that owned the asset or the aggregated turnover of the discretionary trust that used the asset in its business.</w:t>
      </w:r>
    </w:p>
    <w:p w:rsidR="00325E95" w:rsidRPr="005C60B2" w:rsidRDefault="00325E95" w:rsidP="00DC00CE">
      <w:pPr>
        <w:pStyle w:val="base-text-paragraph"/>
        <w:numPr>
          <w:ilvl w:val="1"/>
          <w:numId w:val="21"/>
        </w:numPr>
        <w:rPr>
          <w:rStyle w:val="Referencingstyle"/>
          <w:b w:val="0"/>
          <w:i w:val="0"/>
          <w:sz w:val="22"/>
        </w:rPr>
      </w:pPr>
      <w:r>
        <w:t xml:space="preserve">Various notes in the legislation have been changed and new notes inserted to indicate the location and effect of the amendments.  </w:t>
      </w:r>
      <w:r w:rsidRPr="008C16C9">
        <w:rPr>
          <w:rStyle w:val="Referencingstyle"/>
        </w:rPr>
        <w:t>[</w:t>
      </w:r>
      <w:r w:rsidR="00F013F8">
        <w:rPr>
          <w:rStyle w:val="Referencingstyle"/>
        </w:rPr>
        <w:t>Schedule 5</w:t>
      </w:r>
      <w:r>
        <w:rPr>
          <w:rStyle w:val="Referencingstyle"/>
        </w:rPr>
        <w:t xml:space="preserve">, </w:t>
      </w:r>
      <w:r w:rsidRPr="008C16C9">
        <w:rPr>
          <w:rStyle w:val="Referencingstyle"/>
        </w:rPr>
        <w:t>item</w:t>
      </w:r>
      <w:r>
        <w:rPr>
          <w:rStyle w:val="Referencingstyle"/>
        </w:rPr>
        <w:t>s 9</w:t>
      </w:r>
      <w:r w:rsidR="00B07DB9">
        <w:rPr>
          <w:rStyle w:val="Referencingstyle"/>
        </w:rPr>
        <w:t>1</w:t>
      </w:r>
      <w:r>
        <w:rPr>
          <w:rStyle w:val="Referencingstyle"/>
        </w:rPr>
        <w:t xml:space="preserve"> to </w:t>
      </w:r>
      <w:r w:rsidR="00B07DB9">
        <w:rPr>
          <w:rStyle w:val="Referencingstyle"/>
        </w:rPr>
        <w:t>98</w:t>
      </w:r>
      <w:r w:rsidRPr="008C16C9">
        <w:rPr>
          <w:rStyle w:val="Referencingstyle"/>
        </w:rPr>
        <w:t>,</w:t>
      </w:r>
      <w:r>
        <w:rPr>
          <w:rStyle w:val="Referencingstyle"/>
        </w:rPr>
        <w:t xml:space="preserve"> 10</w:t>
      </w:r>
      <w:r w:rsidR="00B07DB9">
        <w:rPr>
          <w:rStyle w:val="Referencingstyle"/>
        </w:rPr>
        <w:t>0</w:t>
      </w:r>
      <w:r>
        <w:rPr>
          <w:rStyle w:val="Referencingstyle"/>
        </w:rPr>
        <w:t>, 10</w:t>
      </w:r>
      <w:r w:rsidR="00B07DB9">
        <w:rPr>
          <w:rStyle w:val="Referencingstyle"/>
        </w:rPr>
        <w:t>3</w:t>
      </w:r>
      <w:r>
        <w:rPr>
          <w:rStyle w:val="Referencingstyle"/>
        </w:rPr>
        <w:t xml:space="preserve"> and 10</w:t>
      </w:r>
      <w:r w:rsidR="00B07DB9">
        <w:rPr>
          <w:rStyle w:val="Referencingstyle"/>
        </w:rPr>
        <w:t>4</w:t>
      </w:r>
      <w:r>
        <w:rPr>
          <w:rStyle w:val="Referencingstyle"/>
        </w:rPr>
        <w:t>, paragraph 152-1-(1)(c)(note), subsection</w:t>
      </w:r>
      <w:r w:rsidR="003C3D97">
        <w:rPr>
          <w:rStyle w:val="Referencingstyle"/>
        </w:rPr>
        <w:t> </w:t>
      </w:r>
      <w:r>
        <w:rPr>
          <w:rStyle w:val="Referencingstyle"/>
        </w:rPr>
        <w:t>152-10(1A)(note 1), subsection 152-10(1A)(note 2), section 152-15(note), section 152</w:t>
      </w:r>
      <w:r>
        <w:rPr>
          <w:rStyle w:val="Referencingstyle"/>
        </w:rPr>
        <w:noBreakHyphen/>
        <w:t>15, subsections 152-20(2) to (4), subsection 152-40(1)(note 2), subsections 152-40(4) and (4A), 152-47(1) and 152-48(2), subsection 328-115(1)(note), subsection 995-1(1)(note at the end of the definition of ‘connected with’) of the ITAA</w:t>
      </w:r>
      <w:r w:rsidR="003C3D97">
        <w:rPr>
          <w:rStyle w:val="Referencingstyle"/>
        </w:rPr>
        <w:t> </w:t>
      </w:r>
      <w:r>
        <w:rPr>
          <w:rStyle w:val="Referencingstyle"/>
        </w:rPr>
        <w:t>1997</w:t>
      </w:r>
      <w:r w:rsidRPr="008C16C9">
        <w:rPr>
          <w:rStyle w:val="Referencingstyle"/>
        </w:rPr>
        <w:t>]</w:t>
      </w:r>
    </w:p>
    <w:p w:rsidR="00325E95" w:rsidRPr="00B11C60" w:rsidRDefault="00325E95" w:rsidP="00DC00CE">
      <w:pPr>
        <w:pStyle w:val="base-text-paragraph"/>
        <w:numPr>
          <w:ilvl w:val="1"/>
          <w:numId w:val="21"/>
        </w:numPr>
      </w:pPr>
      <w:r w:rsidRPr="00B11C60">
        <w:t xml:space="preserve">For access to the small business CGT concessions generally, the amendments apply in relation to CGT events that happen on or after the day this Bill receives Royal Assent.  </w:t>
      </w:r>
      <w:r w:rsidR="00B11C60" w:rsidRPr="00B11C60">
        <w:rPr>
          <w:rStyle w:val="Referencingstyle"/>
        </w:rPr>
        <w:t>[</w:t>
      </w:r>
      <w:r w:rsidR="00F013F8">
        <w:rPr>
          <w:rStyle w:val="Referencingstyle"/>
        </w:rPr>
        <w:t>Schedule 5</w:t>
      </w:r>
      <w:r w:rsidR="00B11C60" w:rsidRPr="00B11C60">
        <w:rPr>
          <w:rStyle w:val="Referencingstyle"/>
        </w:rPr>
        <w:t>, paragraph (a) of subitem</w:t>
      </w:r>
      <w:r w:rsidR="00B11C60">
        <w:rPr>
          <w:rStyle w:val="Referencingstyle"/>
        </w:rPr>
        <w:t> </w:t>
      </w:r>
      <w:r w:rsidR="00B11C60" w:rsidRPr="00B11C60">
        <w:rPr>
          <w:rStyle w:val="Referencingstyle"/>
        </w:rPr>
        <w:t>105(1)]</w:t>
      </w:r>
    </w:p>
    <w:p w:rsidR="00325E95" w:rsidRPr="004A0B5E" w:rsidRDefault="00325E95" w:rsidP="00DC00CE">
      <w:pPr>
        <w:pStyle w:val="base-text-paragraph"/>
        <w:numPr>
          <w:ilvl w:val="1"/>
          <w:numId w:val="21"/>
        </w:numPr>
        <w:rPr>
          <w:rStyle w:val="Referencingstyle"/>
          <w:b w:val="0"/>
          <w:i w:val="0"/>
          <w:sz w:val="22"/>
        </w:rPr>
      </w:pPr>
      <w:r>
        <w:t xml:space="preserve">For access </w:t>
      </w:r>
      <w:r>
        <w:rPr>
          <w:szCs w:val="24"/>
        </w:rPr>
        <w:t xml:space="preserve">to the small business CGT concessions via the small business entity test only, </w:t>
      </w:r>
      <w:r>
        <w:t>t</w:t>
      </w:r>
      <w:r w:rsidRPr="00404D90">
        <w:t xml:space="preserve">he amendments </w:t>
      </w:r>
      <w:r>
        <w:t xml:space="preserve">also </w:t>
      </w:r>
      <w:r w:rsidRPr="00404D90">
        <w:t xml:space="preserve">apply in </w:t>
      </w:r>
      <w:r>
        <w:t>relation to CGT events that happen before the day this Bill receives Royal Assent but after the start of the 2007</w:t>
      </w:r>
      <w:r>
        <w:noBreakHyphen/>
        <w:t xml:space="preserve">08 income year.  </w:t>
      </w:r>
      <w:r>
        <w:rPr>
          <w:rStyle w:val="Referencingstyle"/>
        </w:rPr>
        <w:t>[</w:t>
      </w:r>
      <w:r w:rsidR="00F013F8">
        <w:rPr>
          <w:rStyle w:val="Referencingstyle"/>
        </w:rPr>
        <w:t>Schedule 5</w:t>
      </w:r>
      <w:r>
        <w:rPr>
          <w:rStyle w:val="Referencingstyle"/>
        </w:rPr>
        <w:t xml:space="preserve">, </w:t>
      </w:r>
      <w:r w:rsidRPr="00011651">
        <w:rPr>
          <w:rStyle w:val="Referencingstyle"/>
        </w:rPr>
        <w:t>item</w:t>
      </w:r>
      <w:r>
        <w:rPr>
          <w:rStyle w:val="Referencingstyle"/>
        </w:rPr>
        <w:t xml:space="preserve"> 109</w:t>
      </w:r>
      <w:r w:rsidRPr="00011651">
        <w:rPr>
          <w:rStyle w:val="Referencingstyle"/>
        </w:rPr>
        <w:t>,</w:t>
      </w:r>
      <w:r>
        <w:rPr>
          <w:rStyle w:val="Referencingstyle"/>
        </w:rPr>
        <w:t xml:space="preserve"> paragraph (b) of subitem 10</w:t>
      </w:r>
      <w:r w:rsidR="00B07DB9">
        <w:rPr>
          <w:rStyle w:val="Referencingstyle"/>
        </w:rPr>
        <w:t>5</w:t>
      </w:r>
      <w:r w:rsidRPr="00011651">
        <w:rPr>
          <w:rStyle w:val="Referencingstyle"/>
        </w:rPr>
        <w:t>(</w:t>
      </w:r>
      <w:r>
        <w:rPr>
          <w:rStyle w:val="Referencingstyle"/>
        </w:rPr>
        <w:t>1</w:t>
      </w:r>
      <w:r w:rsidRPr="00011651">
        <w:rPr>
          <w:rStyle w:val="Referencingstyle"/>
        </w:rPr>
        <w:t>)]</w:t>
      </w:r>
    </w:p>
    <w:p w:rsidR="00325E95" w:rsidRDefault="00325E95" w:rsidP="00DC00CE">
      <w:pPr>
        <w:pStyle w:val="base-text-paragraph"/>
        <w:numPr>
          <w:ilvl w:val="1"/>
          <w:numId w:val="21"/>
        </w:numPr>
      </w:pPr>
      <w:r>
        <w:t>The combination of the two application rules results in:</w:t>
      </w:r>
    </w:p>
    <w:p w:rsidR="00325E95" w:rsidRDefault="00325E95" w:rsidP="007D3360">
      <w:pPr>
        <w:pStyle w:val="dotpoint"/>
      </w:pPr>
      <w:r w:rsidRPr="004D6BA1">
        <w:t>the amendments applying, for access to the concessions via the small business entity test, in relation to CGT events that happen in the 2007</w:t>
      </w:r>
      <w:r>
        <w:noBreakHyphen/>
      </w:r>
      <w:r w:rsidRPr="004D6BA1">
        <w:t>08</w:t>
      </w:r>
      <w:r>
        <w:t xml:space="preserve"> </w:t>
      </w:r>
      <w:r w:rsidRPr="004D6BA1">
        <w:t>income year and later income years (which aligns with the date of effect of the amendments that extended access to the concessions via the small business entity test to passively held assets); and</w:t>
      </w:r>
    </w:p>
    <w:p w:rsidR="00325E95" w:rsidRPr="004D7C77" w:rsidRDefault="00325E95" w:rsidP="004D7C77">
      <w:pPr>
        <w:pStyle w:val="dotpoint"/>
      </w:pPr>
      <w:r w:rsidRPr="004D7C77">
        <w:t>taxpayers who accessed the concessions where a trustee made a nomination under section 152</w:t>
      </w:r>
      <w:r w:rsidRPr="004D7C77">
        <w:noBreakHyphen/>
        <w:t xml:space="preserve">42 prior to Royal Assent not being disadvantaged by the increased scope of the </w:t>
      </w:r>
      <w:r w:rsidRPr="004D7C77">
        <w:lastRenderedPageBreak/>
        <w:t>new nomination, which includes determining whether one entity is connected with another entity for calculating the maximum net asset value of the entity that owned the relevant asset.</w:t>
      </w:r>
    </w:p>
    <w:p w:rsidR="00325E95" w:rsidRDefault="00325E95" w:rsidP="00DC00CE">
      <w:pPr>
        <w:pStyle w:val="base-text-paragraph"/>
        <w:numPr>
          <w:ilvl w:val="1"/>
          <w:numId w:val="21"/>
        </w:numPr>
      </w:pPr>
      <w:r>
        <w:t>T</w:t>
      </w:r>
      <w:r w:rsidRPr="0015388D">
        <w:t xml:space="preserve">he </w:t>
      </w:r>
      <w:r>
        <w:t>retrospective component of the amendments</w:t>
      </w:r>
      <w:r w:rsidRPr="0015388D">
        <w:t xml:space="preserve"> will </w:t>
      </w:r>
      <w:r>
        <w:t>be beneficial to discretionary trust beneficiaries who, following the trustee of the trust making a nomination, will have the opportunity to access the small business CGT concessions via the small business entity test.</w:t>
      </w:r>
    </w:p>
    <w:p w:rsidR="00325E95" w:rsidRDefault="00325E95" w:rsidP="00DC00CE">
      <w:pPr>
        <w:pStyle w:val="base-text-paragraph"/>
        <w:numPr>
          <w:ilvl w:val="1"/>
          <w:numId w:val="21"/>
        </w:numPr>
      </w:pPr>
      <w:r>
        <w:t>The small business CGT concessions require taxpayers to make choices.  For example, the small business retirement exemption and small business roll</w:t>
      </w:r>
      <w:r>
        <w:noBreakHyphen/>
        <w:t>over are available only if the taxpayer chooses to obtain them.</w:t>
      </w:r>
    </w:p>
    <w:p w:rsidR="00325E95" w:rsidRDefault="00325E95" w:rsidP="00DC00CE">
      <w:pPr>
        <w:pStyle w:val="base-text-paragraph"/>
        <w:numPr>
          <w:ilvl w:val="1"/>
          <w:numId w:val="21"/>
        </w:numPr>
      </w:pPr>
      <w:r>
        <w:t>Subsection 103</w:t>
      </w:r>
      <w:r>
        <w:noBreakHyphen/>
        <w:t>25(1) limits the date for making a choice to the day an entity lodges its income tax return for the income year in which the relevant CGT event happened or a later date allowed by the Commissioner.</w:t>
      </w:r>
    </w:p>
    <w:p w:rsidR="00325E95" w:rsidRPr="00572A0E" w:rsidRDefault="00325E95" w:rsidP="00DC00CE">
      <w:pPr>
        <w:pStyle w:val="base-text-paragraph"/>
        <w:numPr>
          <w:ilvl w:val="1"/>
          <w:numId w:val="21"/>
        </w:numPr>
        <w:rPr>
          <w:rStyle w:val="Referencingstyle"/>
          <w:b w:val="0"/>
          <w:i w:val="0"/>
          <w:sz w:val="22"/>
        </w:rPr>
      </w:pPr>
      <w:r w:rsidRPr="008572E9">
        <w:t>Taxpayers who become eligible to make a choice under Division</w:t>
      </w:r>
      <w:r>
        <w:t> </w:t>
      </w:r>
      <w:r w:rsidRPr="008572E9">
        <w:t>152</w:t>
      </w:r>
      <w:r>
        <w:t xml:space="preserve"> due to these amendments will have an extended period, under a transitional rule, to make such a choice in relation to CGT events happening before the day on which this Bill receives Royal Assent.  </w:t>
      </w:r>
      <w:r>
        <w:br/>
      </w:r>
      <w:r w:rsidRPr="00572A0E">
        <w:rPr>
          <w:rStyle w:val="Referencingstyle"/>
        </w:rPr>
        <w:t>[</w:t>
      </w:r>
      <w:r w:rsidR="00F013F8">
        <w:rPr>
          <w:rStyle w:val="Referencingstyle"/>
        </w:rPr>
        <w:t>Schedule 5</w:t>
      </w:r>
      <w:r w:rsidRPr="00572A0E">
        <w:rPr>
          <w:rStyle w:val="Referencingstyle"/>
        </w:rPr>
        <w:t>,</w:t>
      </w:r>
      <w:bookmarkStart w:id="30" w:name="OLE_LINK34"/>
      <w:bookmarkStart w:id="31" w:name="OLE_LINK35"/>
      <w:r w:rsidRPr="00572A0E">
        <w:rPr>
          <w:rStyle w:val="Referencingstyle"/>
        </w:rPr>
        <w:t xml:space="preserve"> </w:t>
      </w:r>
      <w:r>
        <w:rPr>
          <w:rStyle w:val="Referencingstyle"/>
        </w:rPr>
        <w:t>sub</w:t>
      </w:r>
      <w:r w:rsidRPr="00572A0E">
        <w:rPr>
          <w:rStyle w:val="Referencingstyle"/>
        </w:rPr>
        <w:t>item 10</w:t>
      </w:r>
      <w:r w:rsidR="00B07DB9">
        <w:rPr>
          <w:rStyle w:val="Referencingstyle"/>
        </w:rPr>
        <w:t>5</w:t>
      </w:r>
      <w:r>
        <w:rPr>
          <w:rStyle w:val="Referencingstyle"/>
        </w:rPr>
        <w:t>(</w:t>
      </w:r>
      <w:r w:rsidRPr="00572A0E">
        <w:rPr>
          <w:rStyle w:val="Referencingstyle"/>
        </w:rPr>
        <w:t>3</w:t>
      </w:r>
      <w:bookmarkEnd w:id="30"/>
      <w:bookmarkEnd w:id="31"/>
      <w:r>
        <w:rPr>
          <w:rStyle w:val="Referencingstyle"/>
        </w:rPr>
        <w:t>)</w:t>
      </w:r>
      <w:r w:rsidRPr="00572A0E">
        <w:rPr>
          <w:rStyle w:val="Referencingstyle"/>
        </w:rPr>
        <w:t>]</w:t>
      </w:r>
    </w:p>
    <w:p w:rsidR="00325E95" w:rsidRDefault="00325E95" w:rsidP="00DC00CE">
      <w:pPr>
        <w:pStyle w:val="base-text-paragraph"/>
        <w:numPr>
          <w:ilvl w:val="1"/>
          <w:numId w:val="21"/>
        </w:numPr>
      </w:pPr>
      <w:r>
        <w:t>The time limit for an entity to make the choice it is eligible to make as a result of these amendments is the latest of:</w:t>
      </w:r>
    </w:p>
    <w:p w:rsidR="00325E95" w:rsidRDefault="00325E95" w:rsidP="007D3360">
      <w:pPr>
        <w:pStyle w:val="dotpoint"/>
      </w:pPr>
      <w:r>
        <w:t xml:space="preserve">the day the entity lodges its income tax return for the income year in which the relevant CGT event happened; </w:t>
      </w:r>
    </w:p>
    <w:p w:rsidR="00325E95" w:rsidRDefault="00325E95" w:rsidP="007D3360">
      <w:pPr>
        <w:pStyle w:val="dotpoint"/>
      </w:pPr>
      <w:r>
        <w:t>12 months after the day this Bill receives Royal Assent; and</w:t>
      </w:r>
    </w:p>
    <w:p w:rsidR="00325E95" w:rsidRDefault="00325E95" w:rsidP="00F938DE">
      <w:pPr>
        <w:pStyle w:val="dotpoint"/>
      </w:pPr>
      <w:r>
        <w:t>a later day allowed by the Commissioner.</w:t>
      </w:r>
    </w:p>
    <w:p w:rsidR="00325E95" w:rsidRDefault="00325E95" w:rsidP="00F938DE">
      <w:pPr>
        <w:pStyle w:val="base-text-paragraphnonumbers"/>
        <w:rPr>
          <w:rStyle w:val="Referencingstyle"/>
        </w:rPr>
      </w:pPr>
      <w:r w:rsidRPr="004D6BA1">
        <w:rPr>
          <w:rStyle w:val="Referencingstyle"/>
        </w:rPr>
        <w:t>[</w:t>
      </w:r>
      <w:r w:rsidR="00F013F8">
        <w:rPr>
          <w:rStyle w:val="Referencingstyle"/>
        </w:rPr>
        <w:t>Schedule 5</w:t>
      </w:r>
      <w:r w:rsidRPr="004D6BA1">
        <w:rPr>
          <w:rStyle w:val="Referencingstyle"/>
        </w:rPr>
        <w:t xml:space="preserve">, </w:t>
      </w:r>
      <w:r w:rsidRPr="00572A0E">
        <w:rPr>
          <w:rStyle w:val="Referencingstyle"/>
        </w:rPr>
        <w:t>subitem 10</w:t>
      </w:r>
      <w:r w:rsidR="00B07DB9">
        <w:rPr>
          <w:rStyle w:val="Referencingstyle"/>
        </w:rPr>
        <w:t>5</w:t>
      </w:r>
      <w:r>
        <w:rPr>
          <w:rStyle w:val="Referencingstyle"/>
        </w:rPr>
        <w:t>(4)</w:t>
      </w:r>
      <w:r w:rsidRPr="004D6BA1">
        <w:rPr>
          <w:rStyle w:val="Referencingstyle"/>
        </w:rPr>
        <w:t>]</w:t>
      </w:r>
    </w:p>
    <w:p w:rsidR="00325E95" w:rsidRDefault="00325E95" w:rsidP="007D3360">
      <w:pPr>
        <w:pStyle w:val="Heading3"/>
        <w:keepLines/>
      </w:pPr>
      <w:r w:rsidRPr="00F53555">
        <w:lastRenderedPageBreak/>
        <w:t xml:space="preserve">Part </w:t>
      </w:r>
      <w:r>
        <w:t>20</w:t>
      </w:r>
      <w:r w:rsidRPr="00F53555">
        <w:t xml:space="preserve"> —</w:t>
      </w:r>
      <w:r>
        <w:t xml:space="preserve"> Definitions mainly relevant to Subdivision 165-F of the </w:t>
      </w:r>
      <w:r w:rsidRPr="00434D96">
        <w:rPr>
          <w:i/>
        </w:rPr>
        <w:t>Income Tax Assessment Act 1997</w:t>
      </w:r>
    </w:p>
    <w:p w:rsidR="00325E95" w:rsidRPr="00482A78" w:rsidRDefault="00325E95" w:rsidP="00DC00CE">
      <w:pPr>
        <w:pStyle w:val="TableHeadingoutsidetable"/>
        <w:numPr>
          <w:ilvl w:val="4"/>
          <w:numId w:val="21"/>
        </w:numPr>
        <w:spacing w:after="240"/>
      </w:pPr>
      <w:r w:rsidRPr="007D3360">
        <w:t>:</w:t>
      </w:r>
      <w:r w:rsidRPr="0012537C">
        <w:t xml:space="preserve">  </w:t>
      </w:r>
      <w:r w:rsidR="008205D8">
        <w:t xml:space="preserve">Part 20 — </w:t>
      </w:r>
      <w:r w:rsidR="008205D8">
        <w:rPr>
          <w:iCs/>
        </w:rPr>
        <w:t>Definitions mainly relevant to Subdivision 165-F of</w:t>
      </w:r>
      <w:r w:rsidRPr="00C91456">
        <w:rPr>
          <w:iCs/>
        </w:rPr>
        <w:t xml:space="preserve"> the</w:t>
      </w:r>
      <w:r w:rsidRPr="0012537C">
        <w:t xml:space="preserve"> </w:t>
      </w:r>
      <w:r w:rsidRPr="00934BBA">
        <w:rPr>
          <w:i/>
        </w:rPr>
        <w:t>Income Tax Assessment Act 1997</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983"/>
      </w:tblGrid>
      <w:tr w:rsidR="00325E95" w:rsidRPr="00F53555" w:rsidTr="007D3360">
        <w:trPr>
          <w:tblHeader/>
        </w:trPr>
        <w:tc>
          <w:tcPr>
            <w:tcW w:w="2694" w:type="dxa"/>
          </w:tcPr>
          <w:p w:rsidR="00325E95" w:rsidRPr="00F53555" w:rsidRDefault="00325E95" w:rsidP="007D3360">
            <w:pPr>
              <w:pStyle w:val="tableheaderwithintable"/>
              <w:keepLines/>
            </w:pPr>
            <w:r w:rsidRPr="00F53555">
              <w:t>Provision being amended</w:t>
            </w:r>
          </w:p>
        </w:tc>
        <w:tc>
          <w:tcPr>
            <w:tcW w:w="3983" w:type="dxa"/>
          </w:tcPr>
          <w:p w:rsidR="00325E95" w:rsidRPr="00F53555" w:rsidRDefault="00325E95" w:rsidP="007D3360">
            <w:pPr>
              <w:pStyle w:val="tableheaderwithintable"/>
              <w:keepLines/>
            </w:pPr>
            <w:r w:rsidRPr="00F53555">
              <w:t>What the amendment does</w:t>
            </w:r>
          </w:p>
        </w:tc>
      </w:tr>
      <w:tr w:rsidR="00325E95" w:rsidRPr="00F20468" w:rsidTr="007D3360">
        <w:tc>
          <w:tcPr>
            <w:tcW w:w="2694" w:type="dxa"/>
          </w:tcPr>
          <w:p w:rsidR="00325E95" w:rsidRPr="00C530EB" w:rsidRDefault="00325E95" w:rsidP="007D3360">
            <w:pPr>
              <w:pStyle w:val="tabletext"/>
              <w:keepNext/>
              <w:keepLines/>
              <w:rPr>
                <w:b/>
              </w:rPr>
            </w:pPr>
            <w:r w:rsidRPr="00C530EB">
              <w:rPr>
                <w:b/>
                <w:i/>
              </w:rPr>
              <w:t xml:space="preserve">Income Tax Assessment </w:t>
            </w:r>
            <w:r>
              <w:rPr>
                <w:b/>
                <w:i/>
              </w:rPr>
              <w:br/>
            </w:r>
            <w:r w:rsidRPr="00C530EB">
              <w:rPr>
                <w:b/>
                <w:i/>
              </w:rPr>
              <w:t>Act 19</w:t>
            </w:r>
            <w:r>
              <w:rPr>
                <w:b/>
                <w:i/>
              </w:rPr>
              <w:t>97</w:t>
            </w:r>
          </w:p>
          <w:p w:rsidR="00325E95" w:rsidRDefault="00325E95" w:rsidP="007D3360">
            <w:pPr>
              <w:pStyle w:val="tabletext"/>
              <w:keepNext/>
              <w:keepLines/>
              <w:rPr>
                <w:b/>
                <w:i/>
              </w:rPr>
            </w:pPr>
            <w:r>
              <w:t>115-50(2)(a), 3(a) and 4(a)</w:t>
            </w:r>
            <w:r>
              <w:br/>
              <w:t>121-30(2)</w:t>
            </w:r>
            <w:r>
              <w:br/>
              <w:t>124-810(3)(a)</w:t>
            </w:r>
            <w:r>
              <w:br/>
              <w:t>165-45(4)(note 2)</w:t>
            </w:r>
            <w:r>
              <w:br/>
              <w:t>165-215(2)(a)(i)</w:t>
            </w:r>
            <w:r>
              <w:br/>
              <w:t>165-215(2)(a)(ii)</w:t>
            </w:r>
            <w:r>
              <w:br/>
              <w:t>165-215(2)(b)(i)</w:t>
            </w:r>
            <w:r>
              <w:br/>
              <w:t>165-215(3)</w:t>
            </w:r>
            <w:r>
              <w:br/>
              <w:t>165-215(4)(a)</w:t>
            </w:r>
            <w:r>
              <w:br/>
              <w:t>165-215(5)</w:t>
            </w:r>
            <w:r>
              <w:br/>
              <w:t>165-220(2)(a)(i)</w:t>
            </w:r>
            <w:r>
              <w:br/>
              <w:t>165-220(2)(a)(ii)</w:t>
            </w:r>
            <w:r>
              <w:br/>
              <w:t>165-220(2)(b)(i)</w:t>
            </w:r>
            <w:r>
              <w:br/>
              <w:t>165-220(2)(b)(ii)</w:t>
            </w:r>
            <w:r>
              <w:br/>
              <w:t>165-220(3)</w:t>
            </w:r>
            <w:r>
              <w:br/>
              <w:t>165-220(4)(a)</w:t>
            </w:r>
            <w:r>
              <w:br/>
              <w:t>165-220(5)</w:t>
            </w:r>
            <w:r>
              <w:br/>
              <w:t>165-225</w:t>
            </w:r>
            <w:r>
              <w:br/>
              <w:t>165-230(2)(a)(i)</w:t>
            </w:r>
            <w:r>
              <w:br/>
              <w:t>165-230(2)(a)(ii)</w:t>
            </w:r>
            <w:r>
              <w:br/>
              <w:t>165-230(2)(b)(i)</w:t>
            </w:r>
            <w:r>
              <w:br/>
              <w:t>165-230(2)(b)(ii)</w:t>
            </w:r>
            <w:r>
              <w:br/>
              <w:t>165-230(3)</w:t>
            </w:r>
            <w:r>
              <w:br/>
              <w:t>165-230(4)(a)</w:t>
            </w:r>
            <w:r>
              <w:br/>
              <w:t>165-230(5)</w:t>
            </w:r>
            <w:r>
              <w:br/>
              <w:t>165-235(3)</w:t>
            </w:r>
            <w:r>
              <w:br/>
              <w:t>165-235(4)(a)</w:t>
            </w:r>
            <w:r>
              <w:br/>
              <w:t>165-240(1)</w:t>
            </w:r>
            <w:r>
              <w:br/>
              <w:t>165-245</w:t>
            </w:r>
            <w:r>
              <w:br/>
              <w:t>207-130(6)(f)</w:t>
            </w:r>
            <w:r>
              <w:br/>
            </w:r>
            <w:r w:rsidR="002A4144">
              <w:rPr>
                <w:b/>
                <w:i/>
              </w:rPr>
              <w:t>[I</w:t>
            </w:r>
            <w:r w:rsidRPr="00912489">
              <w:rPr>
                <w:b/>
                <w:i/>
              </w:rPr>
              <w:t>tems 1</w:t>
            </w:r>
            <w:r w:rsidR="00B07DB9">
              <w:rPr>
                <w:b/>
                <w:i/>
              </w:rPr>
              <w:t>06</w:t>
            </w:r>
            <w:r w:rsidRPr="00912489">
              <w:rPr>
                <w:b/>
                <w:i/>
              </w:rPr>
              <w:t xml:space="preserve"> to 1</w:t>
            </w:r>
            <w:r w:rsidR="00B07DB9">
              <w:rPr>
                <w:b/>
                <w:i/>
              </w:rPr>
              <w:t>38</w:t>
            </w:r>
            <w:r w:rsidR="002A4144">
              <w:rPr>
                <w:b/>
                <w:i/>
              </w:rPr>
              <w:t>]</w:t>
            </w:r>
          </w:p>
          <w:p w:rsidR="00B07DB9" w:rsidRDefault="00B07DB9" w:rsidP="007D3360">
            <w:pPr>
              <w:pStyle w:val="tabletext"/>
              <w:keepNext/>
              <w:keepLines/>
              <w:rPr>
                <w:b/>
                <w:i/>
              </w:rPr>
            </w:pPr>
            <w:r>
              <w:t>707-130(1)(note 1)</w:t>
            </w:r>
          </w:p>
          <w:p w:rsidR="00325E95" w:rsidRPr="00365E97" w:rsidRDefault="00365E97" w:rsidP="007D3360">
            <w:pPr>
              <w:pStyle w:val="tabletext"/>
              <w:keepNext/>
              <w:keepLines/>
              <w:rPr>
                <w:b/>
                <w:i/>
              </w:rPr>
            </w:pPr>
            <w:r w:rsidRPr="00365E97">
              <w:rPr>
                <w:b/>
                <w:i/>
              </w:rPr>
              <w:t>[</w:t>
            </w:r>
            <w:r w:rsidR="00B07DB9" w:rsidRPr="00365E97">
              <w:rPr>
                <w:b/>
                <w:i/>
              </w:rPr>
              <w:t>Items 139 and 140</w:t>
            </w:r>
            <w:r w:rsidRPr="00365E97">
              <w:rPr>
                <w:b/>
                <w:i/>
              </w:rPr>
              <w:t>]</w:t>
            </w:r>
          </w:p>
          <w:p w:rsidR="00325E95" w:rsidRDefault="00325E95" w:rsidP="00365E97">
            <w:pPr>
              <w:pStyle w:val="tabletext"/>
              <w:keepNext/>
              <w:keepLines/>
            </w:pPr>
            <w:r>
              <w:t>995-1(1) (definition of ‘control of a non</w:t>
            </w:r>
            <w:r>
              <w:noBreakHyphen/>
              <w:t>fixed trust’)</w:t>
            </w:r>
            <w:r>
              <w:br/>
              <w:t>995-1(1) (definition of ‘excepted trust’)</w:t>
            </w:r>
            <w:r>
              <w:br/>
              <w:t>995-1(1) (definition of ‘more than a 50% stake’)</w:t>
            </w:r>
            <w:r>
              <w:br/>
              <w:t xml:space="preserve">995-1(1) (definition of ‘fixed </w:t>
            </w:r>
            <w:r>
              <w:lastRenderedPageBreak/>
              <w:t>entitlement’)</w:t>
            </w:r>
            <w:r>
              <w:br/>
            </w:r>
            <w:r w:rsidR="002A4144" w:rsidRPr="002A4144">
              <w:rPr>
                <w:b/>
                <w:i/>
              </w:rPr>
              <w:t>[I</w:t>
            </w:r>
            <w:r w:rsidRPr="002A4144">
              <w:rPr>
                <w:b/>
                <w:i/>
              </w:rPr>
              <w:t>tems 14</w:t>
            </w:r>
            <w:r w:rsidR="00365E97">
              <w:rPr>
                <w:b/>
                <w:i/>
              </w:rPr>
              <w:t>1</w:t>
            </w:r>
            <w:r w:rsidRPr="002A4144">
              <w:rPr>
                <w:b/>
                <w:i/>
              </w:rPr>
              <w:t xml:space="preserve"> to 14</w:t>
            </w:r>
            <w:r w:rsidR="00365E97">
              <w:rPr>
                <w:b/>
                <w:i/>
              </w:rPr>
              <w:t>5</w:t>
            </w:r>
            <w:r w:rsidR="002A4144" w:rsidRPr="002A4144">
              <w:rPr>
                <w:b/>
                <w:i/>
              </w:rPr>
              <w:t>]</w:t>
            </w:r>
          </w:p>
        </w:tc>
        <w:tc>
          <w:tcPr>
            <w:tcW w:w="3983" w:type="dxa"/>
          </w:tcPr>
          <w:p w:rsidR="00325E95" w:rsidRDefault="00325E95" w:rsidP="007D3360">
            <w:pPr>
              <w:pStyle w:val="tabletext"/>
              <w:keepNext/>
              <w:keepLines/>
            </w:pPr>
            <w:r>
              <w:lastRenderedPageBreak/>
              <w:t>Inserts definitions of ‘control a non-fixed trust’, ‘excepted trust’, fixed entitlement’ and ‘more than a 50% stake’</w:t>
            </w:r>
          </w:p>
          <w:p w:rsidR="00325E95" w:rsidRDefault="00325E95" w:rsidP="007D3360">
            <w:pPr>
              <w:pStyle w:val="tabletext"/>
              <w:keepNext/>
              <w:keepLines/>
              <w:rPr>
                <w:rStyle w:val="Referencingstyle"/>
              </w:rPr>
            </w:pPr>
            <w:r>
              <w:t>Corrects the asterisking of the references to ‘fixed entit</w:t>
            </w:r>
            <w:r w:rsidRPr="000354BD">
              <w:t>lement’, ‘fixed trust’, ‘non</w:t>
            </w:r>
            <w:r w:rsidRPr="000354BD">
              <w:noBreakHyphen/>
              <w:t>fixed trusts’, ‘fixed entitlements’, ‘family trusts’, ‘excepted trust’, and ‘more than a 50% stake’</w:t>
            </w:r>
            <w:r>
              <w:t xml:space="preserve">.  </w:t>
            </w:r>
          </w:p>
          <w:p w:rsidR="00325E95" w:rsidRDefault="00325E95" w:rsidP="007D3360">
            <w:pPr>
              <w:pStyle w:val="tabletext"/>
              <w:keepNext/>
              <w:keepLines/>
            </w:pPr>
            <w:r>
              <w:t>Repeals s</w:t>
            </w:r>
            <w:r w:rsidRPr="00FE1917">
              <w:t>ection 165</w:t>
            </w:r>
            <w:r w:rsidRPr="00FE1917">
              <w:noBreakHyphen/>
              <w:t xml:space="preserve">245 </w:t>
            </w:r>
            <w:r>
              <w:t xml:space="preserve">because </w:t>
            </w:r>
            <w:r w:rsidRPr="00FE1917">
              <w:t>the terms that were contained in that section are now defined in either the ITAA</w:t>
            </w:r>
            <w:r>
              <w:t xml:space="preserve"> 19</w:t>
            </w:r>
            <w:r w:rsidRPr="00FE1917">
              <w:t>97 or the ITAA</w:t>
            </w:r>
            <w:r w:rsidR="003C3D97">
              <w:t> </w:t>
            </w:r>
            <w:r>
              <w:t>193</w:t>
            </w:r>
            <w:r w:rsidRPr="00FE1917">
              <w:t>6 with cross references as required</w:t>
            </w:r>
            <w:r>
              <w:t>.  S</w:t>
            </w:r>
            <w:r w:rsidRPr="00FE1917">
              <w:t xml:space="preserve">ection 165-245 </w:t>
            </w:r>
            <w:r>
              <w:t>is</w:t>
            </w:r>
            <w:r w:rsidRPr="00FE1917">
              <w:t xml:space="preserve"> replace</w:t>
            </w:r>
            <w:r>
              <w:t xml:space="preserve">d and a new </w:t>
            </w:r>
            <w:r w:rsidRPr="00FE1917">
              <w:t xml:space="preserve">rule to better explain </w:t>
            </w:r>
            <w:r>
              <w:t>the meaning of ‘ho</w:t>
            </w:r>
            <w:r w:rsidRPr="00FE1917">
              <w:t>lding fixed entitlements directly or indirectly when an entity has fixed entitlement to income or capital of a company</w:t>
            </w:r>
            <w:r>
              <w:t xml:space="preserve">’.  </w:t>
            </w:r>
          </w:p>
          <w:p w:rsidR="00365E97" w:rsidRDefault="00365E97" w:rsidP="007D3360">
            <w:pPr>
              <w:pStyle w:val="tabletext"/>
              <w:keepNext/>
              <w:keepLines/>
            </w:pPr>
          </w:p>
          <w:p w:rsidR="00365E97" w:rsidRDefault="00365E97" w:rsidP="007D3360">
            <w:pPr>
              <w:pStyle w:val="tabletext"/>
              <w:keepNext/>
              <w:keepLines/>
            </w:pPr>
          </w:p>
          <w:p w:rsidR="00365E97" w:rsidRDefault="00365E97" w:rsidP="007D3360">
            <w:pPr>
              <w:pStyle w:val="tabletext"/>
              <w:keepNext/>
              <w:keepLines/>
            </w:pPr>
          </w:p>
          <w:p w:rsidR="00365E97" w:rsidRDefault="00365E97" w:rsidP="007D3360">
            <w:pPr>
              <w:pStyle w:val="tabletext"/>
              <w:keepNext/>
              <w:keepLines/>
            </w:pPr>
          </w:p>
          <w:p w:rsidR="00365E97" w:rsidRDefault="00365E97" w:rsidP="007D3360">
            <w:pPr>
              <w:pStyle w:val="tabletext"/>
              <w:keepNext/>
              <w:keepLines/>
            </w:pPr>
          </w:p>
          <w:p w:rsidR="00365E97" w:rsidRDefault="00365E97" w:rsidP="007D3360">
            <w:pPr>
              <w:pStyle w:val="tabletext"/>
              <w:keepNext/>
              <w:keepLines/>
            </w:pPr>
          </w:p>
          <w:p w:rsidR="00365E97" w:rsidRDefault="00365E97" w:rsidP="007D3360">
            <w:pPr>
              <w:pStyle w:val="tabletext"/>
              <w:keepNext/>
              <w:keepLines/>
            </w:pPr>
          </w:p>
          <w:p w:rsidR="00365E97" w:rsidRDefault="00365E97" w:rsidP="007D3360">
            <w:pPr>
              <w:pStyle w:val="tabletext"/>
              <w:keepNext/>
              <w:keepLines/>
            </w:pPr>
          </w:p>
          <w:p w:rsidR="00365E97" w:rsidRDefault="00365E97" w:rsidP="007D3360">
            <w:pPr>
              <w:pStyle w:val="tabletext"/>
              <w:keepNext/>
              <w:keepLines/>
            </w:pPr>
          </w:p>
          <w:p w:rsidR="00365E97" w:rsidRDefault="00365E97" w:rsidP="007D3360">
            <w:pPr>
              <w:pStyle w:val="tabletext"/>
              <w:keepNext/>
              <w:keepLines/>
            </w:pPr>
          </w:p>
          <w:p w:rsidR="00365E97" w:rsidRDefault="00365E97" w:rsidP="007D3360">
            <w:pPr>
              <w:pStyle w:val="tabletext"/>
              <w:keepNext/>
              <w:keepLines/>
            </w:pPr>
          </w:p>
          <w:p w:rsidR="00365E97" w:rsidRDefault="00365E97" w:rsidP="007D3360">
            <w:pPr>
              <w:pStyle w:val="tabletext"/>
              <w:keepNext/>
              <w:keepLines/>
            </w:pPr>
          </w:p>
          <w:p w:rsidR="00365E97" w:rsidRDefault="00365E97" w:rsidP="007D3360">
            <w:pPr>
              <w:pStyle w:val="tabletext"/>
              <w:keepNext/>
              <w:keepLines/>
            </w:pPr>
          </w:p>
          <w:p w:rsidR="00934BBA" w:rsidRDefault="00934BBA" w:rsidP="007D3360">
            <w:pPr>
              <w:pStyle w:val="tabletext"/>
              <w:keepNext/>
              <w:keepLines/>
            </w:pPr>
          </w:p>
          <w:p w:rsidR="00365E97" w:rsidRPr="00FE1917" w:rsidRDefault="00365E97" w:rsidP="007D3360">
            <w:pPr>
              <w:pStyle w:val="tabletext"/>
              <w:keepNext/>
              <w:keepLines/>
            </w:pPr>
            <w:r>
              <w:t>Removes outdated cross-references to definitions</w:t>
            </w:r>
            <w:r w:rsidR="00934BBA">
              <w:t>.</w:t>
            </w:r>
          </w:p>
        </w:tc>
      </w:tr>
      <w:tr w:rsidR="00325E95" w:rsidRPr="002F5A74" w:rsidTr="007D3360">
        <w:tc>
          <w:tcPr>
            <w:tcW w:w="2694" w:type="dxa"/>
          </w:tcPr>
          <w:p w:rsidR="00325E95" w:rsidRPr="00922B52" w:rsidRDefault="00325E95" w:rsidP="007D3360">
            <w:pPr>
              <w:pStyle w:val="tabletext"/>
              <w:rPr>
                <w:b/>
                <w:bCs/>
                <w:i/>
                <w:iCs/>
              </w:rPr>
            </w:pPr>
            <w:r w:rsidRPr="00922B52">
              <w:rPr>
                <w:b/>
                <w:bCs/>
                <w:i/>
                <w:iCs/>
              </w:rPr>
              <w:lastRenderedPageBreak/>
              <w:t xml:space="preserve">Taxation Administration </w:t>
            </w:r>
            <w:r w:rsidRPr="00922B52">
              <w:rPr>
                <w:b/>
                <w:bCs/>
                <w:i/>
                <w:iCs/>
              </w:rPr>
              <w:br/>
              <w:t>Act 1953</w:t>
            </w:r>
          </w:p>
          <w:p w:rsidR="00325E95" w:rsidRPr="002F5A74" w:rsidRDefault="00325E95" w:rsidP="00365E97">
            <w:pPr>
              <w:pStyle w:val="tabletext"/>
              <w:rPr>
                <w:bCs/>
                <w:i/>
                <w:iCs/>
              </w:rPr>
            </w:pPr>
            <w:r w:rsidRPr="002F5A74">
              <w:t>45-287(1)(a) in Schedule 1</w:t>
            </w:r>
            <w:r w:rsidRPr="002F5A74">
              <w:br/>
              <w:t>45-287(4)(a) in Schedule 1</w:t>
            </w:r>
            <w:r w:rsidRPr="002F5A74">
              <w:br/>
            </w:r>
            <w:r w:rsidR="002A4144" w:rsidRPr="002A4144">
              <w:rPr>
                <w:b/>
                <w:i/>
              </w:rPr>
              <w:t>[I</w:t>
            </w:r>
            <w:r w:rsidRPr="002A4144">
              <w:rPr>
                <w:b/>
                <w:i/>
              </w:rPr>
              <w:t>tems 1</w:t>
            </w:r>
            <w:r w:rsidR="00365E97">
              <w:rPr>
                <w:b/>
                <w:i/>
              </w:rPr>
              <w:t>46</w:t>
            </w:r>
            <w:r w:rsidRPr="002A4144">
              <w:rPr>
                <w:b/>
                <w:i/>
              </w:rPr>
              <w:t xml:space="preserve"> and 1</w:t>
            </w:r>
            <w:r w:rsidR="00365E97">
              <w:rPr>
                <w:b/>
                <w:i/>
              </w:rPr>
              <w:t>47</w:t>
            </w:r>
            <w:r w:rsidR="002A4144" w:rsidRPr="002A4144">
              <w:rPr>
                <w:b/>
                <w:i/>
              </w:rPr>
              <w:t>]</w:t>
            </w:r>
          </w:p>
        </w:tc>
        <w:tc>
          <w:tcPr>
            <w:tcW w:w="3983" w:type="dxa"/>
          </w:tcPr>
          <w:p w:rsidR="00325E95" w:rsidRPr="002F5A74" w:rsidRDefault="00325E95" w:rsidP="007D3360">
            <w:pPr>
              <w:pStyle w:val="tabletext"/>
            </w:pPr>
            <w:r w:rsidRPr="002F5A74">
              <w:t>Corrects the asterisking of references to ‘fixed entitlement’</w:t>
            </w:r>
            <w:r>
              <w:t>.</w:t>
            </w:r>
          </w:p>
        </w:tc>
      </w:tr>
    </w:tbl>
    <w:p w:rsidR="00325E95" w:rsidRPr="00352A1B" w:rsidRDefault="00325E95" w:rsidP="007D3360">
      <w:pPr>
        <w:pStyle w:val="Heading3"/>
        <w:keepNext w:val="0"/>
      </w:pPr>
      <w:r w:rsidRPr="00F53555">
        <w:t xml:space="preserve">Part </w:t>
      </w:r>
      <w:r>
        <w:t>21</w:t>
      </w:r>
      <w:r w:rsidRPr="00F53555">
        <w:t xml:space="preserve"> —</w:t>
      </w:r>
      <w:r>
        <w:t xml:space="preserve"> </w:t>
      </w:r>
      <w:r w:rsidRPr="00352A1B">
        <w:t>Remov</w:t>
      </w:r>
      <w:r>
        <w:t xml:space="preserve">al of </w:t>
      </w:r>
      <w:r w:rsidRPr="00352A1B">
        <w:t xml:space="preserve">definition </w:t>
      </w:r>
      <w:r>
        <w:t xml:space="preserve">from </w:t>
      </w:r>
      <w:r w:rsidRPr="00352A1B">
        <w:t>imputation provisions</w:t>
      </w:r>
    </w:p>
    <w:p w:rsidR="00325E95" w:rsidRPr="00482A78" w:rsidRDefault="00325E95" w:rsidP="00DC00CE">
      <w:pPr>
        <w:pStyle w:val="TableHeadingoutsidetable"/>
        <w:keepNext w:val="0"/>
        <w:numPr>
          <w:ilvl w:val="4"/>
          <w:numId w:val="21"/>
        </w:numPr>
        <w:spacing w:after="240"/>
      </w:pPr>
      <w:r w:rsidRPr="007D3360">
        <w:t>:</w:t>
      </w:r>
      <w:r w:rsidRPr="0012537C">
        <w:t xml:space="preserve">  </w:t>
      </w:r>
      <w:r w:rsidR="00DB6032">
        <w:rPr>
          <w:iCs/>
        </w:rPr>
        <w:t>Removal of definition from imputation provisions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912"/>
      </w:tblGrid>
      <w:tr w:rsidR="00325E95" w:rsidRPr="00F53555" w:rsidTr="007D3360">
        <w:trPr>
          <w:tblHeader/>
        </w:trPr>
        <w:tc>
          <w:tcPr>
            <w:tcW w:w="2694" w:type="dxa"/>
          </w:tcPr>
          <w:p w:rsidR="00325E95" w:rsidRPr="00F53555" w:rsidRDefault="00325E95" w:rsidP="007D3360">
            <w:pPr>
              <w:pStyle w:val="tableheaderwithintable"/>
              <w:keepNext w:val="0"/>
            </w:pPr>
            <w:r w:rsidRPr="00F53555">
              <w:t>Provision being amended</w:t>
            </w:r>
          </w:p>
        </w:tc>
        <w:tc>
          <w:tcPr>
            <w:tcW w:w="3912" w:type="dxa"/>
          </w:tcPr>
          <w:p w:rsidR="00325E95" w:rsidRPr="00F53555" w:rsidRDefault="00325E95" w:rsidP="007D3360">
            <w:pPr>
              <w:pStyle w:val="tableheaderwithintable"/>
              <w:keepNext w:val="0"/>
            </w:pPr>
            <w:r w:rsidRPr="00F53555">
              <w:t>What the amendment does</w:t>
            </w:r>
          </w:p>
        </w:tc>
      </w:tr>
      <w:tr w:rsidR="00325E95" w:rsidRPr="00F20468" w:rsidTr="007D3360">
        <w:tc>
          <w:tcPr>
            <w:tcW w:w="2694" w:type="dxa"/>
          </w:tcPr>
          <w:p w:rsidR="00325E95" w:rsidRPr="00C530EB" w:rsidRDefault="00325E95" w:rsidP="007D3360">
            <w:pPr>
              <w:pStyle w:val="tabletext"/>
              <w:rPr>
                <w:b/>
              </w:rPr>
            </w:pPr>
            <w:r w:rsidRPr="00C530EB">
              <w:rPr>
                <w:b/>
                <w:i/>
              </w:rPr>
              <w:t xml:space="preserve">Income Tax Assessment </w:t>
            </w:r>
            <w:r>
              <w:rPr>
                <w:b/>
                <w:i/>
              </w:rPr>
              <w:br/>
            </w:r>
            <w:r w:rsidRPr="00C530EB">
              <w:rPr>
                <w:b/>
                <w:i/>
              </w:rPr>
              <w:t>Act 19</w:t>
            </w:r>
            <w:r>
              <w:rPr>
                <w:b/>
                <w:i/>
              </w:rPr>
              <w:t>97</w:t>
            </w:r>
          </w:p>
          <w:p w:rsidR="00325E95" w:rsidRDefault="00325E95" w:rsidP="00365E97">
            <w:pPr>
              <w:pStyle w:val="tabletext"/>
            </w:pPr>
            <w:r>
              <w:t>204-70</w:t>
            </w:r>
            <w:r>
              <w:br/>
            </w:r>
            <w:bookmarkStart w:id="32" w:name="OLE_LINK36"/>
            <w:bookmarkStart w:id="33" w:name="OLE_LINK37"/>
            <w:r>
              <w:t>204-75(1) and (2)</w:t>
            </w:r>
            <w:r>
              <w:br/>
              <w:t>204-80(1)</w:t>
            </w:r>
            <w:bookmarkEnd w:id="32"/>
            <w:bookmarkEnd w:id="33"/>
            <w:r>
              <w:br/>
            </w:r>
            <w:r w:rsidR="002A4144">
              <w:rPr>
                <w:b/>
                <w:i/>
              </w:rPr>
              <w:t>[I</w:t>
            </w:r>
            <w:r w:rsidRPr="00912489">
              <w:rPr>
                <w:b/>
                <w:i/>
              </w:rPr>
              <w:t>tems 1</w:t>
            </w:r>
            <w:r w:rsidR="00365E97">
              <w:rPr>
                <w:b/>
                <w:i/>
              </w:rPr>
              <w:t>48</w:t>
            </w:r>
            <w:r w:rsidRPr="00912489">
              <w:rPr>
                <w:b/>
                <w:i/>
              </w:rPr>
              <w:t xml:space="preserve"> to 15</w:t>
            </w:r>
            <w:r w:rsidR="00365E97">
              <w:rPr>
                <w:b/>
                <w:i/>
              </w:rPr>
              <w:t>0</w:t>
            </w:r>
            <w:r w:rsidR="002A4144">
              <w:rPr>
                <w:b/>
                <w:i/>
              </w:rPr>
              <w:t>]</w:t>
            </w:r>
          </w:p>
        </w:tc>
        <w:tc>
          <w:tcPr>
            <w:tcW w:w="3912" w:type="dxa"/>
          </w:tcPr>
          <w:p w:rsidR="00325E95" w:rsidRPr="00476D16" w:rsidRDefault="00325E95" w:rsidP="007D3360">
            <w:pPr>
              <w:pStyle w:val="tabletext"/>
            </w:pPr>
            <w:r>
              <w:t>Removes the definition of</w:t>
            </w:r>
            <w:r w:rsidRPr="00476D16">
              <w:t xml:space="preserve"> </w:t>
            </w:r>
            <w:r w:rsidRPr="00B01299">
              <w:t>th</w:t>
            </w:r>
            <w:r w:rsidRPr="009677A7">
              <w:t xml:space="preserve">e term </w:t>
            </w:r>
            <w:r>
              <w:t>‘</w:t>
            </w:r>
            <w:r w:rsidRPr="009677A7">
              <w:t>differs significantly</w:t>
            </w:r>
            <w:r>
              <w:t>’</w:t>
            </w:r>
            <w:r w:rsidRPr="009677A7">
              <w:t xml:space="preserve"> from the imputation provisions</w:t>
            </w:r>
            <w:r>
              <w:t xml:space="preserve">.  </w:t>
            </w:r>
          </w:p>
        </w:tc>
      </w:tr>
    </w:tbl>
    <w:p w:rsidR="00325E95" w:rsidRPr="00863FCE" w:rsidRDefault="00325E95" w:rsidP="00074B4F">
      <w:pPr>
        <w:pStyle w:val="Heading3"/>
        <w:keepLines/>
      </w:pPr>
      <w:r w:rsidRPr="00F53555">
        <w:lastRenderedPageBreak/>
        <w:t xml:space="preserve">Part </w:t>
      </w:r>
      <w:r>
        <w:t>22</w:t>
      </w:r>
      <w:r w:rsidRPr="00F53555">
        <w:t xml:space="preserve"> —</w:t>
      </w:r>
      <w:r>
        <w:t xml:space="preserve"> Correction of </w:t>
      </w:r>
      <w:r w:rsidRPr="00863FCE">
        <w:t>outdated reference</w:t>
      </w:r>
      <w:r>
        <w:t>s</w:t>
      </w:r>
      <w:r w:rsidRPr="00863FCE">
        <w:t xml:space="preserve"> to virtual PST asset</w:t>
      </w:r>
      <w:r>
        <w:t>s</w:t>
      </w:r>
    </w:p>
    <w:p w:rsidR="00325E95" w:rsidRPr="00482A78" w:rsidRDefault="00325E95" w:rsidP="00DC00CE">
      <w:pPr>
        <w:pStyle w:val="TableHeadingoutsidetable"/>
        <w:keepLines/>
        <w:numPr>
          <w:ilvl w:val="4"/>
          <w:numId w:val="21"/>
        </w:numPr>
        <w:spacing w:after="240"/>
      </w:pPr>
      <w:r w:rsidRPr="007D3360">
        <w:t>:</w:t>
      </w:r>
      <w:r w:rsidRPr="0012537C">
        <w:t xml:space="preserve">  </w:t>
      </w:r>
      <w:r w:rsidR="00AF520E">
        <w:rPr>
          <w:iCs/>
        </w:rPr>
        <w:t xml:space="preserve">Part 22 </w:t>
      </w:r>
      <w:r w:rsidR="00AF520E" w:rsidRPr="00AF520E">
        <w:rPr>
          <w:iCs/>
        </w:rPr>
        <w:t>—</w:t>
      </w:r>
      <w:r w:rsidR="00AF520E">
        <w:rPr>
          <w:iCs/>
        </w:rPr>
        <w:t xml:space="preserve"> Correction of outdated references to virtual PST assets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912"/>
      </w:tblGrid>
      <w:tr w:rsidR="00325E95" w:rsidRPr="00F53555" w:rsidTr="007D3360">
        <w:trPr>
          <w:tblHeader/>
        </w:trPr>
        <w:tc>
          <w:tcPr>
            <w:tcW w:w="2694" w:type="dxa"/>
          </w:tcPr>
          <w:p w:rsidR="00325E95" w:rsidRPr="00F53555" w:rsidRDefault="00325E95" w:rsidP="00074B4F">
            <w:pPr>
              <w:pStyle w:val="tableheaderwithintable"/>
              <w:keepLines/>
            </w:pPr>
            <w:r w:rsidRPr="00F53555">
              <w:t>Provision being amended</w:t>
            </w:r>
          </w:p>
        </w:tc>
        <w:tc>
          <w:tcPr>
            <w:tcW w:w="3912" w:type="dxa"/>
          </w:tcPr>
          <w:p w:rsidR="00325E95" w:rsidRPr="00F53555" w:rsidRDefault="00325E95" w:rsidP="00074B4F">
            <w:pPr>
              <w:pStyle w:val="tableheaderwithintable"/>
              <w:keepLines/>
            </w:pPr>
            <w:r w:rsidRPr="00F53555">
              <w:t>What the amendment does</w:t>
            </w:r>
          </w:p>
        </w:tc>
      </w:tr>
      <w:tr w:rsidR="00325E95" w:rsidRPr="00F20468" w:rsidTr="007D3360">
        <w:trPr>
          <w:cantSplit/>
        </w:trPr>
        <w:tc>
          <w:tcPr>
            <w:tcW w:w="2694" w:type="dxa"/>
          </w:tcPr>
          <w:p w:rsidR="00325E95" w:rsidRPr="00C530EB" w:rsidRDefault="00325E95" w:rsidP="00074B4F">
            <w:pPr>
              <w:pStyle w:val="tabletext"/>
              <w:keepNext/>
              <w:keepLines/>
              <w:rPr>
                <w:b/>
              </w:rPr>
            </w:pPr>
            <w:r w:rsidRPr="00C530EB">
              <w:rPr>
                <w:b/>
                <w:i/>
              </w:rPr>
              <w:t xml:space="preserve">Income Tax Assessment </w:t>
            </w:r>
            <w:r>
              <w:rPr>
                <w:b/>
                <w:i/>
              </w:rPr>
              <w:br/>
            </w:r>
            <w:r w:rsidRPr="00C530EB">
              <w:rPr>
                <w:b/>
                <w:i/>
              </w:rPr>
              <w:t>Act 19</w:t>
            </w:r>
            <w:r>
              <w:rPr>
                <w:b/>
                <w:i/>
              </w:rPr>
              <w:t>97</w:t>
            </w:r>
          </w:p>
          <w:p w:rsidR="00325E95" w:rsidRDefault="00325E95" w:rsidP="00074B4F">
            <w:pPr>
              <w:pStyle w:val="tabletext"/>
              <w:keepNext/>
              <w:keepLines/>
            </w:pPr>
            <w:r>
              <w:t xml:space="preserve">320-141(2)(a)(i) </w:t>
            </w:r>
            <w:r>
              <w:br/>
              <w:t>320-141(2)(a)(ii)</w:t>
            </w:r>
            <w:r>
              <w:br/>
            </w:r>
            <w:r w:rsidR="002A4144">
              <w:rPr>
                <w:b/>
                <w:i/>
              </w:rPr>
              <w:t>[I</w:t>
            </w:r>
            <w:r w:rsidRPr="00912489">
              <w:rPr>
                <w:b/>
                <w:i/>
              </w:rPr>
              <w:t>tems 15</w:t>
            </w:r>
            <w:r w:rsidR="00365E97">
              <w:rPr>
                <w:b/>
                <w:i/>
              </w:rPr>
              <w:t>1</w:t>
            </w:r>
            <w:r w:rsidRPr="00912489">
              <w:rPr>
                <w:b/>
                <w:i/>
              </w:rPr>
              <w:t xml:space="preserve"> to 15</w:t>
            </w:r>
            <w:r w:rsidR="00365E97">
              <w:rPr>
                <w:b/>
                <w:i/>
              </w:rPr>
              <w:t>3</w:t>
            </w:r>
            <w:r w:rsidR="002A4144">
              <w:rPr>
                <w:b/>
                <w:i/>
              </w:rPr>
              <w:t>]</w:t>
            </w:r>
          </w:p>
        </w:tc>
        <w:tc>
          <w:tcPr>
            <w:tcW w:w="3912" w:type="dxa"/>
          </w:tcPr>
          <w:p w:rsidR="00325E95" w:rsidRDefault="00325E95" w:rsidP="00074B4F">
            <w:pPr>
              <w:pStyle w:val="tabletext"/>
              <w:keepNext/>
              <w:keepLines/>
              <w:ind w:left="-11"/>
            </w:pPr>
            <w:r>
              <w:t xml:space="preserve">Gives effect to a suggestion made through </w:t>
            </w:r>
            <w:r w:rsidRPr="00517B10">
              <w:rPr>
                <w:b/>
                <w:bCs/>
              </w:rPr>
              <w:t xml:space="preserve">TIES </w:t>
            </w:r>
            <w:r>
              <w:rPr>
                <w:b/>
                <w:bCs/>
              </w:rPr>
              <w:t xml:space="preserve">issue </w:t>
            </w:r>
            <w:r w:rsidRPr="00517B10">
              <w:rPr>
                <w:b/>
                <w:bCs/>
              </w:rPr>
              <w:t>0057-2009</w:t>
            </w:r>
            <w:r>
              <w:t>.</w:t>
            </w:r>
          </w:p>
          <w:p w:rsidR="00325E95" w:rsidRPr="005C60B2" w:rsidRDefault="00325E95" w:rsidP="00074B4F">
            <w:pPr>
              <w:pStyle w:val="tabletext"/>
              <w:keepNext/>
              <w:keepLines/>
              <w:rPr>
                <w:rStyle w:val="Referencingstyle"/>
              </w:rPr>
            </w:pPr>
            <w:r>
              <w:t>Replaces outdated references in subsection 320</w:t>
            </w:r>
            <w:r>
              <w:noBreakHyphen/>
              <w:t>141(2) to ‘virtual PST assets’ with references to ‘complying superannuation/FHSA assets’.  This amendment applies on and after 26 June 2008</w:t>
            </w:r>
            <w:r w:rsidR="004D7C77">
              <w:t>.</w:t>
            </w:r>
          </w:p>
          <w:p w:rsidR="00325E95" w:rsidRPr="00517B10" w:rsidRDefault="00325E95" w:rsidP="00074B4F">
            <w:pPr>
              <w:pStyle w:val="tabletext"/>
              <w:keepNext/>
              <w:keepLines/>
              <w:rPr>
                <w:b/>
                <w:bCs/>
              </w:rPr>
            </w:pPr>
            <w:r>
              <w:t>The concept of a ‘virtual PST asset’ was replaced with the concept of a ‘complying superannuation/FHSA asset’ when the first home savers account amendments were introduced in 2008.  The amendments to update the terminology in subsection 320</w:t>
            </w:r>
            <w:r>
              <w:noBreakHyphen/>
              <w:t>141(2), which were sought by taxpayers through the TIES system, will have no adverse impact on taxpayers as they confirm existing practice and remove uncertainty.</w:t>
            </w:r>
          </w:p>
        </w:tc>
      </w:tr>
    </w:tbl>
    <w:p w:rsidR="00800189" w:rsidRDefault="00800189" w:rsidP="00800189"/>
    <w:p w:rsidR="00800189" w:rsidRDefault="00800189" w:rsidP="00800189"/>
    <w:p w:rsidR="00800189" w:rsidRDefault="00800189" w:rsidP="00800189"/>
    <w:p w:rsidR="00800189" w:rsidRDefault="00800189" w:rsidP="00800189"/>
    <w:p w:rsidR="00800189" w:rsidRDefault="00800189" w:rsidP="00800189"/>
    <w:p w:rsidR="00800189" w:rsidRDefault="00800189" w:rsidP="00800189"/>
    <w:p w:rsidR="00800189" w:rsidRDefault="00800189" w:rsidP="00800189"/>
    <w:p w:rsidR="00800189" w:rsidRDefault="00800189" w:rsidP="00800189"/>
    <w:p w:rsidR="00800189" w:rsidRDefault="00800189" w:rsidP="00800189"/>
    <w:p w:rsidR="00800189" w:rsidRDefault="00800189" w:rsidP="00800189"/>
    <w:p w:rsidR="00325E95" w:rsidRPr="00074B4F" w:rsidRDefault="00325E95" w:rsidP="00800189">
      <w:pPr>
        <w:pStyle w:val="Heading3"/>
        <w:keepLines/>
      </w:pPr>
      <w:r w:rsidRPr="00074B4F">
        <w:lastRenderedPageBreak/>
        <w:t>Part 23 — Repeal of spent provision about land transport facilities borrowings</w:t>
      </w:r>
    </w:p>
    <w:p w:rsidR="00325E95" w:rsidRPr="00482A78" w:rsidRDefault="00325E95" w:rsidP="00DC00CE">
      <w:pPr>
        <w:pStyle w:val="TableHeadingoutsidetable"/>
        <w:keepLines/>
        <w:numPr>
          <w:ilvl w:val="4"/>
          <w:numId w:val="21"/>
        </w:numPr>
        <w:spacing w:before="240" w:after="240"/>
      </w:pPr>
      <w:r w:rsidRPr="00074B4F">
        <w:rPr>
          <w:sz w:val="20"/>
        </w:rPr>
        <w:t xml:space="preserve">:  </w:t>
      </w:r>
      <w:r w:rsidR="003D3486">
        <w:rPr>
          <w:iCs/>
          <w:sz w:val="20"/>
        </w:rPr>
        <w:t xml:space="preserve">Part 23 </w:t>
      </w:r>
      <w:r w:rsidR="003D3486" w:rsidRPr="003D3486">
        <w:rPr>
          <w:iCs/>
          <w:sz w:val="20"/>
        </w:rPr>
        <w:t>—</w:t>
      </w:r>
      <w:r w:rsidR="003D3486">
        <w:rPr>
          <w:iCs/>
          <w:sz w:val="20"/>
        </w:rPr>
        <w:t xml:space="preserve"> Repeal of spent provision about land transport facilities borrowing</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912"/>
      </w:tblGrid>
      <w:tr w:rsidR="00325E95" w:rsidRPr="00F53555" w:rsidTr="007D3360">
        <w:trPr>
          <w:tblHeader/>
        </w:trPr>
        <w:tc>
          <w:tcPr>
            <w:tcW w:w="2694" w:type="dxa"/>
          </w:tcPr>
          <w:p w:rsidR="00325E95" w:rsidRPr="00F53555" w:rsidRDefault="00325E95" w:rsidP="00800189">
            <w:pPr>
              <w:pStyle w:val="tableheaderwithintable"/>
              <w:keepLines/>
            </w:pPr>
            <w:r w:rsidRPr="00F53555">
              <w:t>Provision being amended</w:t>
            </w:r>
          </w:p>
        </w:tc>
        <w:tc>
          <w:tcPr>
            <w:tcW w:w="3912" w:type="dxa"/>
          </w:tcPr>
          <w:p w:rsidR="00325E95" w:rsidRPr="00F53555" w:rsidRDefault="00325E95" w:rsidP="00800189">
            <w:pPr>
              <w:pStyle w:val="tableheaderwithintable"/>
              <w:keepLines/>
            </w:pPr>
            <w:r w:rsidRPr="00F53555">
              <w:t>What the amendment does</w:t>
            </w:r>
          </w:p>
        </w:tc>
      </w:tr>
      <w:tr w:rsidR="00325E95" w:rsidRPr="005C60B2" w:rsidTr="007D3360">
        <w:trPr>
          <w:cantSplit/>
        </w:trPr>
        <w:tc>
          <w:tcPr>
            <w:tcW w:w="2694" w:type="dxa"/>
          </w:tcPr>
          <w:p w:rsidR="00325E95" w:rsidRPr="00C530EB" w:rsidRDefault="00325E95" w:rsidP="00800189">
            <w:pPr>
              <w:pStyle w:val="tabletext"/>
              <w:keepNext/>
              <w:keepLines/>
              <w:rPr>
                <w:b/>
              </w:rPr>
            </w:pPr>
            <w:r w:rsidRPr="00C530EB">
              <w:rPr>
                <w:b/>
                <w:i/>
              </w:rPr>
              <w:t xml:space="preserve">Income Tax Assessment </w:t>
            </w:r>
            <w:r>
              <w:rPr>
                <w:b/>
                <w:i/>
              </w:rPr>
              <w:br/>
            </w:r>
            <w:r w:rsidRPr="00C530EB">
              <w:rPr>
                <w:b/>
                <w:i/>
              </w:rPr>
              <w:t>Act 19</w:t>
            </w:r>
            <w:r>
              <w:rPr>
                <w:b/>
                <w:i/>
              </w:rPr>
              <w:t>97</w:t>
            </w:r>
          </w:p>
          <w:p w:rsidR="00325E95" w:rsidRPr="000367A7" w:rsidRDefault="00325E95" w:rsidP="00800189">
            <w:pPr>
              <w:pStyle w:val="tabletext"/>
              <w:keepNext/>
              <w:keepLines/>
            </w:pPr>
            <w:r>
              <w:t xml:space="preserve">13-1(item </w:t>
            </w:r>
            <w:r w:rsidR="00074B4F">
              <w:t xml:space="preserve">in the table </w:t>
            </w:r>
            <w:r>
              <w:t>headed ‘land transport facilities borrowings’)</w:t>
            </w:r>
            <w:r>
              <w:br/>
              <w:t>250-60(3)</w:t>
            </w:r>
            <w:r>
              <w:br/>
              <w:t>250-60(3)(d)</w:t>
            </w:r>
            <w:r>
              <w:br/>
              <w:t>250-60(3)(e)</w:t>
            </w:r>
            <w:r>
              <w:br/>
              <w:t>Division 396</w:t>
            </w:r>
            <w:r>
              <w:br/>
              <w:t>995-1(1) (definition of ‘land transport facilities borrowings agreement’)</w:t>
            </w:r>
            <w:r>
              <w:br/>
              <w:t>995-1(1) (definition of ‘land transport facility’)</w:t>
            </w:r>
            <w:r>
              <w:br/>
            </w:r>
            <w:r w:rsidRPr="000367A7">
              <w:t>995-1(1) (definition of</w:t>
            </w:r>
            <w:r>
              <w:t xml:space="preserve"> ‘LTF interest’)</w:t>
            </w:r>
            <w:r>
              <w:br/>
            </w:r>
            <w:r w:rsidRPr="000367A7">
              <w:t>995-1(1) (definition of</w:t>
            </w:r>
            <w:r>
              <w:t xml:space="preserve"> ‘related facility’)</w:t>
            </w:r>
            <w:r>
              <w:br/>
            </w:r>
            <w:r w:rsidR="002A4144">
              <w:rPr>
                <w:b/>
                <w:i/>
              </w:rPr>
              <w:t>[I</w:t>
            </w:r>
            <w:r w:rsidRPr="00912489">
              <w:rPr>
                <w:b/>
                <w:i/>
              </w:rPr>
              <w:t>tems 15</w:t>
            </w:r>
            <w:r w:rsidR="00365E97">
              <w:rPr>
                <w:b/>
                <w:i/>
              </w:rPr>
              <w:t>4</w:t>
            </w:r>
            <w:r w:rsidRPr="00912489">
              <w:rPr>
                <w:b/>
                <w:i/>
              </w:rPr>
              <w:t xml:space="preserve"> to 16</w:t>
            </w:r>
            <w:r w:rsidR="00365E97">
              <w:rPr>
                <w:b/>
                <w:i/>
              </w:rPr>
              <w:t>2</w:t>
            </w:r>
            <w:r w:rsidR="002A4144">
              <w:rPr>
                <w:b/>
                <w:i/>
              </w:rPr>
              <w:t>]</w:t>
            </w:r>
          </w:p>
        </w:tc>
        <w:tc>
          <w:tcPr>
            <w:tcW w:w="3912" w:type="dxa"/>
          </w:tcPr>
          <w:p w:rsidR="00325E95" w:rsidRPr="004464B2" w:rsidRDefault="00325E95" w:rsidP="00800189">
            <w:pPr>
              <w:pStyle w:val="tabletext"/>
              <w:keepNext/>
              <w:keepLines/>
            </w:pPr>
            <w:r>
              <w:t xml:space="preserve">Repeals the provisions that provided the basis for the land transport facilities borrowings scheme.  That scheme provided tax offsets to resident financiers on interest received from eligible land transport infrastructure borrowings provided that the borrower agreed to forego the tax deductibility of that interest.  The scheme is no longer operative.  Since 2004 no new projects have been approved under the scheme and no projects currently receive assistance under it.  </w:t>
            </w:r>
          </w:p>
        </w:tc>
      </w:tr>
    </w:tbl>
    <w:p w:rsidR="00325E95" w:rsidRPr="00863FCE" w:rsidRDefault="00325E95" w:rsidP="007D3360">
      <w:pPr>
        <w:pStyle w:val="Heading3"/>
        <w:keepLines/>
      </w:pPr>
      <w:r w:rsidRPr="00F53555">
        <w:t xml:space="preserve">Part </w:t>
      </w:r>
      <w:r>
        <w:t>24</w:t>
      </w:r>
      <w:r w:rsidRPr="00F53555">
        <w:t xml:space="preserve"> —</w:t>
      </w:r>
      <w:r>
        <w:t xml:space="preserve"> Prevention of double counting for direct value shifts</w:t>
      </w:r>
    </w:p>
    <w:p w:rsidR="00325E95" w:rsidRPr="00482A78" w:rsidRDefault="00325E95" w:rsidP="00DC00CE">
      <w:pPr>
        <w:pStyle w:val="TableHeadingoutsidetable"/>
        <w:numPr>
          <w:ilvl w:val="4"/>
          <w:numId w:val="21"/>
        </w:numPr>
        <w:spacing w:after="240"/>
      </w:pPr>
      <w:r w:rsidRPr="007D3360">
        <w:t>:</w:t>
      </w:r>
      <w:r w:rsidRPr="0012537C">
        <w:t xml:space="preserve">  </w:t>
      </w:r>
      <w:r w:rsidR="004760AD">
        <w:rPr>
          <w:iCs/>
        </w:rPr>
        <w:t xml:space="preserve">Part 24 </w:t>
      </w:r>
      <w:r w:rsidR="004760AD" w:rsidRPr="004760AD">
        <w:rPr>
          <w:iCs/>
        </w:rPr>
        <w:t>—</w:t>
      </w:r>
      <w:r w:rsidR="004760AD">
        <w:rPr>
          <w:iCs/>
        </w:rPr>
        <w:t xml:space="preserve"> Prevention of double counting for direct value shifts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912"/>
      </w:tblGrid>
      <w:tr w:rsidR="00325E95" w:rsidRPr="00F53555" w:rsidTr="007D3360">
        <w:trPr>
          <w:tblHeader/>
        </w:trPr>
        <w:tc>
          <w:tcPr>
            <w:tcW w:w="2694" w:type="dxa"/>
          </w:tcPr>
          <w:p w:rsidR="00325E95" w:rsidRPr="00F53555" w:rsidRDefault="00325E95" w:rsidP="007D3360">
            <w:pPr>
              <w:pStyle w:val="tableheaderwithintable"/>
            </w:pPr>
            <w:r w:rsidRPr="00F53555">
              <w:t>Provision being amended</w:t>
            </w:r>
          </w:p>
        </w:tc>
        <w:tc>
          <w:tcPr>
            <w:tcW w:w="3912" w:type="dxa"/>
          </w:tcPr>
          <w:p w:rsidR="00325E95" w:rsidRPr="00F53555" w:rsidRDefault="00325E95" w:rsidP="007D3360">
            <w:pPr>
              <w:pStyle w:val="tableheaderwithintable"/>
            </w:pPr>
            <w:r w:rsidRPr="00F53555">
              <w:t>What the amendment  does</w:t>
            </w:r>
          </w:p>
        </w:tc>
      </w:tr>
      <w:tr w:rsidR="00325E95" w:rsidRPr="00F20468" w:rsidTr="007D3360">
        <w:tc>
          <w:tcPr>
            <w:tcW w:w="2694" w:type="dxa"/>
          </w:tcPr>
          <w:p w:rsidR="00325E95" w:rsidRPr="00C530EB" w:rsidRDefault="00325E95" w:rsidP="007D3360">
            <w:pPr>
              <w:pStyle w:val="tabletext"/>
              <w:rPr>
                <w:b/>
              </w:rPr>
            </w:pPr>
            <w:r w:rsidRPr="00C530EB">
              <w:rPr>
                <w:b/>
                <w:i/>
              </w:rPr>
              <w:t xml:space="preserve">Income Tax Assessment </w:t>
            </w:r>
            <w:r>
              <w:rPr>
                <w:b/>
                <w:i/>
              </w:rPr>
              <w:br/>
            </w:r>
            <w:r w:rsidRPr="00C530EB">
              <w:rPr>
                <w:b/>
                <w:i/>
              </w:rPr>
              <w:t>Act 19</w:t>
            </w:r>
            <w:r>
              <w:rPr>
                <w:b/>
                <w:i/>
              </w:rPr>
              <w:t>97</w:t>
            </w:r>
          </w:p>
          <w:p w:rsidR="00325E95" w:rsidRPr="000367A7" w:rsidRDefault="00325E95" w:rsidP="00365E97">
            <w:pPr>
              <w:pStyle w:val="tabletext"/>
            </w:pPr>
            <w:r>
              <w:t>725-250</w:t>
            </w:r>
            <w:r>
              <w:br/>
              <w:t>725-255(2)</w:t>
            </w:r>
            <w:r>
              <w:br/>
              <w:t>725-335(3)</w:t>
            </w:r>
            <w:r>
              <w:br/>
              <w:t>725-340(2)</w:t>
            </w:r>
            <w:r>
              <w:br/>
            </w:r>
            <w:r w:rsidR="002A4144">
              <w:rPr>
                <w:b/>
                <w:i/>
              </w:rPr>
              <w:t>[I</w:t>
            </w:r>
            <w:r w:rsidRPr="00B96220">
              <w:rPr>
                <w:b/>
                <w:i/>
              </w:rPr>
              <w:t>tems 16</w:t>
            </w:r>
            <w:r w:rsidR="00365E97">
              <w:rPr>
                <w:b/>
                <w:i/>
              </w:rPr>
              <w:t>3</w:t>
            </w:r>
            <w:r w:rsidRPr="00B96220">
              <w:rPr>
                <w:b/>
                <w:i/>
              </w:rPr>
              <w:t xml:space="preserve"> to 1</w:t>
            </w:r>
            <w:r w:rsidR="00365E97">
              <w:rPr>
                <w:b/>
                <w:i/>
              </w:rPr>
              <w:t>67</w:t>
            </w:r>
            <w:r w:rsidR="002A4144">
              <w:rPr>
                <w:b/>
                <w:i/>
              </w:rPr>
              <w:t>]</w:t>
            </w:r>
          </w:p>
        </w:tc>
        <w:tc>
          <w:tcPr>
            <w:tcW w:w="3912" w:type="dxa"/>
          </w:tcPr>
          <w:p w:rsidR="00325E95" w:rsidRDefault="00325E95" w:rsidP="007D3360">
            <w:pPr>
              <w:pStyle w:val="tabletext"/>
            </w:pPr>
            <w:r>
              <w:t>In certain circumstances, the direct value shifting rules could apply where an amount is already included in the adjustable value (such as the cost base or reduced cost base) of an up interest.</w:t>
            </w:r>
          </w:p>
          <w:p w:rsidR="00325E95" w:rsidRDefault="00325E95" w:rsidP="007D3360">
            <w:pPr>
              <w:pStyle w:val="tabletext"/>
            </w:pPr>
            <w:r>
              <w:t>This could happen where, for example, a shareholder makes a payment to another shareholder for an impairment of their share rights.  This expenditure could qualify for inclusion in the fourth element of the cost base (and reduced cost base) of the paying shareholder’s shares.</w:t>
            </w:r>
          </w:p>
          <w:p w:rsidR="00325E95" w:rsidRDefault="00325E95" w:rsidP="007D3360">
            <w:pPr>
              <w:pStyle w:val="tabletext"/>
            </w:pPr>
            <w:r>
              <w:t xml:space="preserve">Providing that all of the conditions under the direct value shifting rules are satisfied, the </w:t>
            </w:r>
            <w:r>
              <w:lastRenderedPageBreak/>
              <w:t>payer shareholder would also be able to make an adjustment to increase the cost base of their shares reflecting in whole or part the increase in the market value of their interest.  This can duplicate the effect of the inclusion of an amount in the fourth element of the cost base.</w:t>
            </w:r>
          </w:p>
          <w:p w:rsidR="00325E95" w:rsidRDefault="00325E95" w:rsidP="007D3360">
            <w:pPr>
              <w:pStyle w:val="tabletext"/>
            </w:pPr>
            <w:r>
              <w:t>This amendment will ensure that where an amount is included in the adjustable value of an up interest, the value will not adjust the cost base of the up interest under the direct value shifting rules.</w:t>
            </w:r>
          </w:p>
          <w:p w:rsidR="00325E95" w:rsidRPr="00517B10" w:rsidRDefault="00325E95" w:rsidP="007D3360">
            <w:pPr>
              <w:pStyle w:val="tabletext"/>
              <w:rPr>
                <w:highlight w:val="yellow"/>
              </w:rPr>
            </w:pPr>
            <w:r>
              <w:t>This amendment applies in relation to schemes entered into on or after Royal Assent.</w:t>
            </w:r>
          </w:p>
        </w:tc>
      </w:tr>
    </w:tbl>
    <w:p w:rsidR="00325E95" w:rsidRPr="00C404F8" w:rsidRDefault="00325E95" w:rsidP="007D3360">
      <w:pPr>
        <w:pStyle w:val="Heading3"/>
        <w:keepLines/>
      </w:pPr>
      <w:r w:rsidRPr="00C404F8">
        <w:lastRenderedPageBreak/>
        <w:t>Part 25 — Ineligible income tax remission decisions</w:t>
      </w:r>
    </w:p>
    <w:p w:rsidR="00325E95" w:rsidRPr="00C404F8" w:rsidRDefault="00325E95" w:rsidP="00DC00CE">
      <w:pPr>
        <w:pStyle w:val="TableHeadingoutsidetable"/>
        <w:numPr>
          <w:ilvl w:val="4"/>
          <w:numId w:val="21"/>
        </w:numPr>
        <w:spacing w:after="240"/>
      </w:pPr>
      <w:r w:rsidRPr="007D3360">
        <w:t>:</w:t>
      </w:r>
      <w:r w:rsidR="007D3360">
        <w:t xml:space="preserve">  </w:t>
      </w:r>
      <w:r w:rsidR="0044677F">
        <w:rPr>
          <w:iCs/>
        </w:rPr>
        <w:t xml:space="preserve">Part 25 </w:t>
      </w:r>
      <w:r w:rsidR="0044677F" w:rsidRPr="0044677F">
        <w:rPr>
          <w:iCs/>
        </w:rPr>
        <w:t>—</w:t>
      </w:r>
      <w:r w:rsidR="0044677F">
        <w:rPr>
          <w:iCs/>
        </w:rPr>
        <w:t xml:space="preserve"> Ineligible income tax remission decisions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912"/>
      </w:tblGrid>
      <w:tr w:rsidR="00325E95" w:rsidRPr="00C404F8" w:rsidTr="007D3360">
        <w:trPr>
          <w:tblHeader/>
        </w:trPr>
        <w:tc>
          <w:tcPr>
            <w:tcW w:w="2694" w:type="dxa"/>
            <w:tcBorders>
              <w:top w:val="single" w:sz="4" w:space="0" w:color="auto"/>
              <w:left w:val="single" w:sz="4" w:space="0" w:color="auto"/>
              <w:bottom w:val="single" w:sz="4" w:space="0" w:color="auto"/>
              <w:right w:val="single" w:sz="4" w:space="0" w:color="auto"/>
            </w:tcBorders>
            <w:hideMark/>
          </w:tcPr>
          <w:p w:rsidR="00325E95" w:rsidRPr="00C404F8" w:rsidRDefault="00325E95" w:rsidP="007D3360">
            <w:pPr>
              <w:pStyle w:val="tableheaderwithintable"/>
              <w:rPr>
                <w:lang w:eastAsia="en-US"/>
              </w:rPr>
            </w:pPr>
            <w:r w:rsidRPr="00C404F8">
              <w:rPr>
                <w:lang w:eastAsia="en-US"/>
              </w:rPr>
              <w:t>Provision being amended</w:t>
            </w:r>
          </w:p>
        </w:tc>
        <w:tc>
          <w:tcPr>
            <w:tcW w:w="3912" w:type="dxa"/>
            <w:tcBorders>
              <w:top w:val="single" w:sz="4" w:space="0" w:color="auto"/>
              <w:left w:val="single" w:sz="4" w:space="0" w:color="auto"/>
              <w:bottom w:val="single" w:sz="4" w:space="0" w:color="auto"/>
              <w:right w:val="single" w:sz="4" w:space="0" w:color="auto"/>
            </w:tcBorders>
            <w:hideMark/>
          </w:tcPr>
          <w:p w:rsidR="00325E95" w:rsidRPr="00C404F8" w:rsidRDefault="00325E95" w:rsidP="007D3360">
            <w:pPr>
              <w:pStyle w:val="tableheaderwithintable"/>
              <w:rPr>
                <w:lang w:eastAsia="en-US"/>
              </w:rPr>
            </w:pPr>
            <w:r w:rsidRPr="00C404F8">
              <w:rPr>
                <w:lang w:eastAsia="en-US"/>
              </w:rPr>
              <w:t>What the amendment does</w:t>
            </w:r>
          </w:p>
        </w:tc>
      </w:tr>
      <w:tr w:rsidR="00325E95" w:rsidRPr="00C404F8" w:rsidTr="007D3360">
        <w:trPr>
          <w:cantSplit/>
        </w:trPr>
        <w:tc>
          <w:tcPr>
            <w:tcW w:w="2694" w:type="dxa"/>
            <w:tcBorders>
              <w:top w:val="single" w:sz="4" w:space="0" w:color="auto"/>
              <w:left w:val="single" w:sz="4" w:space="0" w:color="auto"/>
              <w:bottom w:val="single" w:sz="4" w:space="0" w:color="auto"/>
              <w:right w:val="single" w:sz="4" w:space="0" w:color="auto"/>
            </w:tcBorders>
          </w:tcPr>
          <w:p w:rsidR="00325E95" w:rsidRPr="0057352E" w:rsidRDefault="00325E95" w:rsidP="007D3360">
            <w:pPr>
              <w:pStyle w:val="tabletext"/>
              <w:spacing w:after="0"/>
              <w:ind w:left="34"/>
              <w:rPr>
                <w:b/>
                <w:i/>
                <w:lang w:eastAsia="en-US"/>
              </w:rPr>
            </w:pPr>
            <w:r w:rsidRPr="0057352E">
              <w:rPr>
                <w:b/>
                <w:i/>
                <w:lang w:eastAsia="en-US"/>
              </w:rPr>
              <w:t xml:space="preserve">Taxation Administration </w:t>
            </w:r>
            <w:r>
              <w:rPr>
                <w:b/>
                <w:i/>
                <w:lang w:eastAsia="en-US"/>
              </w:rPr>
              <w:br/>
            </w:r>
            <w:r w:rsidRPr="0057352E">
              <w:rPr>
                <w:b/>
                <w:i/>
                <w:lang w:eastAsia="en-US"/>
              </w:rPr>
              <w:t>Act 1953</w:t>
            </w:r>
          </w:p>
          <w:p w:rsidR="00325E95" w:rsidRDefault="00325E95" w:rsidP="007D3360">
            <w:pPr>
              <w:pStyle w:val="tabletext"/>
              <w:spacing w:after="0"/>
              <w:ind w:left="34"/>
              <w:rPr>
                <w:lang w:eastAsia="en-US"/>
              </w:rPr>
            </w:pPr>
            <w:r w:rsidRPr="0057352E">
              <w:rPr>
                <w:lang w:eastAsia="en-US"/>
              </w:rPr>
              <w:t>2(1)</w:t>
            </w:r>
            <w:r>
              <w:rPr>
                <w:lang w:eastAsia="en-US"/>
              </w:rPr>
              <w:br/>
            </w:r>
            <w:r w:rsidRPr="0057352E">
              <w:rPr>
                <w:lang w:eastAsia="en-US"/>
              </w:rPr>
              <w:t xml:space="preserve">14ZQ (definition of </w:t>
            </w:r>
            <w:r>
              <w:rPr>
                <w:lang w:eastAsia="en-US"/>
              </w:rPr>
              <w:t>‘</w:t>
            </w:r>
            <w:r w:rsidRPr="0057352E">
              <w:rPr>
                <w:lang w:eastAsia="en-US"/>
              </w:rPr>
              <w:t>ineligible income tax remission decision</w:t>
            </w:r>
            <w:r>
              <w:rPr>
                <w:lang w:eastAsia="en-US"/>
              </w:rPr>
              <w:t>’</w:t>
            </w:r>
            <w:r w:rsidRPr="0057352E">
              <w:rPr>
                <w:lang w:eastAsia="en-US"/>
              </w:rPr>
              <w:t>)</w:t>
            </w:r>
            <w:r>
              <w:rPr>
                <w:lang w:eastAsia="en-US"/>
              </w:rPr>
              <w:br/>
            </w:r>
            <w:r w:rsidRPr="0057352E">
              <w:rPr>
                <w:lang w:eastAsia="en-US"/>
              </w:rPr>
              <w:t>14ZS(1)</w:t>
            </w:r>
            <w:r>
              <w:rPr>
                <w:lang w:eastAsia="en-US"/>
              </w:rPr>
              <w:br/>
            </w:r>
            <w:r w:rsidRPr="0057352E">
              <w:rPr>
                <w:lang w:eastAsia="en-US"/>
              </w:rPr>
              <w:t>14ZS(2)</w:t>
            </w:r>
            <w:r>
              <w:rPr>
                <w:lang w:eastAsia="en-US"/>
              </w:rPr>
              <w:br/>
            </w:r>
            <w:r w:rsidRPr="0057352E">
              <w:rPr>
                <w:lang w:eastAsia="en-US"/>
              </w:rPr>
              <w:t>14ZS(5)</w:t>
            </w:r>
            <w:r>
              <w:rPr>
                <w:lang w:eastAsia="en-US"/>
              </w:rPr>
              <w:br/>
            </w:r>
            <w:r w:rsidR="002A4144">
              <w:rPr>
                <w:b/>
                <w:i/>
                <w:lang w:eastAsia="en-US"/>
              </w:rPr>
              <w:t>[I</w:t>
            </w:r>
            <w:r w:rsidRPr="0057352E">
              <w:rPr>
                <w:b/>
                <w:i/>
                <w:lang w:eastAsia="en-US"/>
              </w:rPr>
              <w:t xml:space="preserve">tems </w:t>
            </w:r>
            <w:r w:rsidR="00365E97">
              <w:rPr>
                <w:b/>
                <w:i/>
                <w:lang w:eastAsia="en-US"/>
              </w:rPr>
              <w:t>168</w:t>
            </w:r>
            <w:r w:rsidRPr="0057352E">
              <w:rPr>
                <w:b/>
                <w:i/>
                <w:lang w:eastAsia="en-US"/>
              </w:rPr>
              <w:t xml:space="preserve"> to </w:t>
            </w:r>
            <w:r w:rsidR="00365E97">
              <w:rPr>
                <w:b/>
                <w:i/>
                <w:lang w:eastAsia="en-US"/>
              </w:rPr>
              <w:t>172</w:t>
            </w:r>
            <w:r w:rsidR="002A4144">
              <w:rPr>
                <w:b/>
                <w:i/>
                <w:lang w:eastAsia="en-US"/>
              </w:rPr>
              <w:t>]</w:t>
            </w:r>
          </w:p>
          <w:p w:rsidR="00325E95" w:rsidRDefault="00325E95" w:rsidP="007D3360">
            <w:pPr>
              <w:pStyle w:val="tabletext"/>
              <w:spacing w:after="0"/>
              <w:ind w:left="34"/>
              <w:rPr>
                <w:lang w:eastAsia="en-US"/>
              </w:rPr>
            </w:pPr>
          </w:p>
          <w:p w:rsidR="00325E95" w:rsidRPr="00C404F8" w:rsidRDefault="00325E95" w:rsidP="002A4144">
            <w:pPr>
              <w:pStyle w:val="tabletext"/>
              <w:spacing w:after="0"/>
              <w:ind w:left="34"/>
              <w:rPr>
                <w:sz w:val="18"/>
                <w:szCs w:val="18"/>
                <w:lang w:eastAsia="en-US"/>
              </w:rPr>
            </w:pPr>
            <w:r w:rsidRPr="0057352E">
              <w:rPr>
                <w:lang w:eastAsia="en-US"/>
              </w:rPr>
              <w:t>388-65(3A) in Schedule 1</w:t>
            </w:r>
            <w:r>
              <w:rPr>
                <w:lang w:eastAsia="en-US"/>
              </w:rPr>
              <w:br/>
            </w:r>
            <w:r w:rsidR="002A4144">
              <w:rPr>
                <w:b/>
                <w:i/>
                <w:lang w:eastAsia="en-US"/>
              </w:rPr>
              <w:t>[I</w:t>
            </w:r>
            <w:r w:rsidRPr="0057352E">
              <w:rPr>
                <w:b/>
                <w:i/>
                <w:lang w:eastAsia="en-US"/>
              </w:rPr>
              <w:t>tems 431 and 432</w:t>
            </w:r>
            <w:r w:rsidR="002A4144">
              <w:rPr>
                <w:b/>
                <w:i/>
                <w:lang w:eastAsia="en-US"/>
              </w:rPr>
              <w:t>]</w:t>
            </w:r>
          </w:p>
        </w:tc>
        <w:tc>
          <w:tcPr>
            <w:tcW w:w="3912" w:type="dxa"/>
            <w:tcBorders>
              <w:top w:val="single" w:sz="4" w:space="0" w:color="auto"/>
              <w:left w:val="single" w:sz="4" w:space="0" w:color="auto"/>
              <w:bottom w:val="single" w:sz="4" w:space="0" w:color="auto"/>
              <w:right w:val="single" w:sz="4" w:space="0" w:color="auto"/>
            </w:tcBorders>
            <w:hideMark/>
          </w:tcPr>
          <w:p w:rsidR="00325E95" w:rsidRDefault="00325E95" w:rsidP="007D3360">
            <w:pPr>
              <w:pStyle w:val="tabletext"/>
              <w:keepNext/>
              <w:spacing w:after="0"/>
            </w:pPr>
            <w:r w:rsidRPr="00C404F8">
              <w:t xml:space="preserve">Moves the definition of </w:t>
            </w:r>
            <w:r>
              <w:t>‘</w:t>
            </w:r>
            <w:r w:rsidRPr="00C404F8">
              <w:t>ineligible income tax remission decision</w:t>
            </w:r>
            <w:r>
              <w:t>’</w:t>
            </w:r>
            <w:r w:rsidRPr="00C404F8">
              <w:t xml:space="preserve"> from section 14ZQ to subsection 2(1</w:t>
            </w:r>
            <w:r>
              <w:t>).</w:t>
            </w:r>
          </w:p>
          <w:p w:rsidR="00325E95" w:rsidRPr="00C404F8" w:rsidRDefault="00325E95" w:rsidP="004D7C77">
            <w:pPr>
              <w:pStyle w:val="tabletext"/>
              <w:keepNext/>
              <w:spacing w:after="0"/>
              <w:rPr>
                <w:sz w:val="18"/>
                <w:lang w:eastAsia="en-US"/>
              </w:rPr>
            </w:pPr>
            <w:r w:rsidRPr="00C404F8">
              <w:t xml:space="preserve">Corrects an incorrect cross-reference, and </w:t>
            </w:r>
            <w:r w:rsidR="004D7C77">
              <w:t xml:space="preserve">applies </w:t>
            </w:r>
            <w:r w:rsidRPr="00C404F8">
              <w:t>to determinations made on or after 1</w:t>
            </w:r>
            <w:r w:rsidR="004D7C77">
              <w:t> </w:t>
            </w:r>
            <w:r w:rsidRPr="00C404F8">
              <w:t>April 2004</w:t>
            </w:r>
            <w:r>
              <w:t>.</w:t>
            </w:r>
          </w:p>
        </w:tc>
      </w:tr>
    </w:tbl>
    <w:p w:rsidR="00325E95" w:rsidRPr="00863FCE" w:rsidRDefault="00325E95" w:rsidP="00074B4F">
      <w:pPr>
        <w:pStyle w:val="Heading3"/>
        <w:keepLines/>
      </w:pPr>
      <w:r w:rsidRPr="00F53555">
        <w:lastRenderedPageBreak/>
        <w:t xml:space="preserve">Part </w:t>
      </w:r>
      <w:r>
        <w:t>26</w:t>
      </w:r>
      <w:r w:rsidRPr="00F53555">
        <w:t xml:space="preserve"> —</w:t>
      </w:r>
      <w:r>
        <w:t xml:space="preserve"> Correction of references to chains of fixed trusts</w:t>
      </w:r>
    </w:p>
    <w:p w:rsidR="00325E95" w:rsidRPr="00482A78" w:rsidRDefault="00325E95" w:rsidP="00DC00CE">
      <w:pPr>
        <w:pStyle w:val="TableHeadingoutsidetable"/>
        <w:keepLines/>
        <w:numPr>
          <w:ilvl w:val="4"/>
          <w:numId w:val="21"/>
        </w:numPr>
        <w:spacing w:after="240"/>
      </w:pPr>
      <w:r w:rsidRPr="007D3360">
        <w:t>:</w:t>
      </w:r>
      <w:r w:rsidRPr="0012537C">
        <w:t xml:space="preserve">  </w:t>
      </w:r>
      <w:r w:rsidR="00D02C4D">
        <w:rPr>
          <w:iCs/>
        </w:rPr>
        <w:t xml:space="preserve">Part 26 </w:t>
      </w:r>
      <w:r w:rsidR="00D02C4D" w:rsidRPr="00D02C4D">
        <w:rPr>
          <w:iCs/>
        </w:rPr>
        <w:t>—</w:t>
      </w:r>
      <w:r w:rsidR="00D02C4D">
        <w:rPr>
          <w:iCs/>
        </w:rPr>
        <w:t xml:space="preserve"> Correction of references to chains of fixed trusts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912"/>
      </w:tblGrid>
      <w:tr w:rsidR="00325E95" w:rsidRPr="00F53555" w:rsidTr="007D3360">
        <w:trPr>
          <w:tblHeader/>
        </w:trPr>
        <w:tc>
          <w:tcPr>
            <w:tcW w:w="2694" w:type="dxa"/>
          </w:tcPr>
          <w:p w:rsidR="00325E95" w:rsidRPr="00F53555" w:rsidRDefault="00325E95" w:rsidP="00074B4F">
            <w:pPr>
              <w:pStyle w:val="tableheaderwithintable"/>
              <w:keepLines/>
            </w:pPr>
            <w:r w:rsidRPr="00F53555">
              <w:t>Provision being amended</w:t>
            </w:r>
          </w:p>
        </w:tc>
        <w:tc>
          <w:tcPr>
            <w:tcW w:w="3912" w:type="dxa"/>
          </w:tcPr>
          <w:p w:rsidR="00325E95" w:rsidRPr="00F53555" w:rsidRDefault="00325E95" w:rsidP="00074B4F">
            <w:pPr>
              <w:pStyle w:val="tableheaderwithintable"/>
              <w:keepLines/>
            </w:pPr>
            <w:r w:rsidRPr="00F53555">
              <w:t>What the amendment does</w:t>
            </w:r>
          </w:p>
        </w:tc>
      </w:tr>
      <w:tr w:rsidR="00325E95" w:rsidRPr="00F20468" w:rsidTr="007D3360">
        <w:tc>
          <w:tcPr>
            <w:tcW w:w="2694" w:type="dxa"/>
          </w:tcPr>
          <w:p w:rsidR="00325E95" w:rsidRPr="00C530EB" w:rsidRDefault="00325E95" w:rsidP="00074B4F">
            <w:pPr>
              <w:pStyle w:val="tabletext"/>
              <w:keepNext/>
              <w:keepLines/>
              <w:rPr>
                <w:b/>
              </w:rPr>
            </w:pPr>
            <w:r w:rsidRPr="00C530EB">
              <w:rPr>
                <w:b/>
                <w:i/>
              </w:rPr>
              <w:t xml:space="preserve">Income Tax Assessment </w:t>
            </w:r>
            <w:r>
              <w:rPr>
                <w:b/>
                <w:i/>
              </w:rPr>
              <w:br/>
            </w:r>
            <w:r w:rsidRPr="00C530EB">
              <w:rPr>
                <w:b/>
                <w:i/>
              </w:rPr>
              <w:t>Act 19</w:t>
            </w:r>
            <w:r>
              <w:rPr>
                <w:b/>
                <w:i/>
              </w:rPr>
              <w:t>97</w:t>
            </w:r>
          </w:p>
          <w:p w:rsidR="00325E95" w:rsidRDefault="00325E95" w:rsidP="00074B4F">
            <w:pPr>
              <w:pStyle w:val="tabletext"/>
              <w:keepNext/>
              <w:keepLines/>
            </w:pPr>
            <w:r>
              <w:t>855-40(2)(b)(i) and (ii)</w:t>
            </w:r>
            <w:r>
              <w:br/>
              <w:t>855-40(6)(b)</w:t>
            </w:r>
            <w:r>
              <w:br/>
            </w:r>
            <w:r w:rsidR="002A4144">
              <w:rPr>
                <w:b/>
                <w:i/>
              </w:rPr>
              <w:t>[I</w:t>
            </w:r>
            <w:r w:rsidRPr="0057352E">
              <w:rPr>
                <w:b/>
                <w:i/>
              </w:rPr>
              <w:t>tems 17</w:t>
            </w:r>
            <w:r w:rsidR="00365E97">
              <w:rPr>
                <w:b/>
                <w:i/>
              </w:rPr>
              <w:t>3</w:t>
            </w:r>
            <w:r w:rsidRPr="0057352E">
              <w:rPr>
                <w:b/>
                <w:i/>
              </w:rPr>
              <w:t xml:space="preserve"> to 17</w:t>
            </w:r>
            <w:r w:rsidR="00365E97">
              <w:rPr>
                <w:b/>
                <w:i/>
              </w:rPr>
              <w:t>5</w:t>
            </w:r>
            <w:r w:rsidR="002A4144">
              <w:rPr>
                <w:b/>
                <w:i/>
              </w:rPr>
              <w:t>]</w:t>
            </w:r>
          </w:p>
        </w:tc>
        <w:tc>
          <w:tcPr>
            <w:tcW w:w="3912" w:type="dxa"/>
          </w:tcPr>
          <w:p w:rsidR="00325E95" w:rsidRPr="008D59DE" w:rsidRDefault="00325E95" w:rsidP="00074B4F">
            <w:pPr>
              <w:pStyle w:val="tabletext"/>
              <w:keepNext/>
              <w:keepLines/>
            </w:pPr>
            <w:r w:rsidRPr="007973F9">
              <w:t xml:space="preserve">Corrects the </w:t>
            </w:r>
            <w:r>
              <w:t xml:space="preserve">asterisking of the </w:t>
            </w:r>
            <w:r w:rsidRPr="007973F9">
              <w:t xml:space="preserve">references to </w:t>
            </w:r>
            <w:r>
              <w:t>‘fixed trust’ and ‘</w:t>
            </w:r>
            <w:r w:rsidRPr="007973F9">
              <w:t>chains of fixed trusts</w:t>
            </w:r>
            <w:r>
              <w:t xml:space="preserve">’.  </w:t>
            </w:r>
          </w:p>
        </w:tc>
      </w:tr>
    </w:tbl>
    <w:p w:rsidR="00325E95" w:rsidRPr="00F4320B" w:rsidRDefault="00325E95" w:rsidP="007D3360">
      <w:pPr>
        <w:pStyle w:val="Heading3"/>
        <w:keepLines/>
      </w:pPr>
      <w:r w:rsidRPr="00F4320B">
        <w:t>Part 2</w:t>
      </w:r>
      <w:r>
        <w:t>7</w:t>
      </w:r>
      <w:r w:rsidRPr="00F4320B">
        <w:t xml:space="preserve"> — Gender</w:t>
      </w:r>
      <w:r w:rsidR="00074B4F">
        <w:t>-</w:t>
      </w:r>
      <w:r w:rsidRPr="00F4320B">
        <w:t>specific language</w:t>
      </w:r>
    </w:p>
    <w:p w:rsidR="00325E95" w:rsidRPr="00F4320B" w:rsidRDefault="00325E95" w:rsidP="00DC00CE">
      <w:pPr>
        <w:pStyle w:val="TableHeadingoutsidetable"/>
        <w:numPr>
          <w:ilvl w:val="4"/>
          <w:numId w:val="21"/>
        </w:numPr>
        <w:spacing w:after="240"/>
      </w:pPr>
      <w:r w:rsidRPr="007D3360">
        <w:t>:</w:t>
      </w:r>
      <w:r w:rsidRPr="00F4320B">
        <w:t xml:space="preserve">  </w:t>
      </w:r>
      <w:r w:rsidR="00DC18BE">
        <w:rPr>
          <w:iCs/>
        </w:rPr>
        <w:t xml:space="preserve">Part 27 </w:t>
      </w:r>
      <w:r w:rsidR="00DC18BE" w:rsidRPr="00DC18BE">
        <w:rPr>
          <w:iCs/>
        </w:rPr>
        <w:t>—</w:t>
      </w:r>
      <w:r w:rsidR="00DC18BE">
        <w:rPr>
          <w:iCs/>
        </w:rPr>
        <w:t xml:space="preserve"> Gender-specific language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912"/>
      </w:tblGrid>
      <w:tr w:rsidR="00325E95" w:rsidRPr="00F4320B" w:rsidTr="007D3360">
        <w:trPr>
          <w:tblHeader/>
        </w:trPr>
        <w:tc>
          <w:tcPr>
            <w:tcW w:w="2694" w:type="dxa"/>
          </w:tcPr>
          <w:p w:rsidR="00325E95" w:rsidRPr="00F4320B" w:rsidRDefault="00325E95" w:rsidP="007D3360">
            <w:pPr>
              <w:pStyle w:val="tableheaderwithintable"/>
            </w:pPr>
            <w:r w:rsidRPr="00F4320B">
              <w:t>Provision being amended</w:t>
            </w:r>
          </w:p>
        </w:tc>
        <w:tc>
          <w:tcPr>
            <w:tcW w:w="3912" w:type="dxa"/>
          </w:tcPr>
          <w:p w:rsidR="00325E95" w:rsidRPr="00F4320B" w:rsidRDefault="00325E95" w:rsidP="007D3360">
            <w:pPr>
              <w:pStyle w:val="tableheaderwithintable"/>
            </w:pPr>
            <w:r w:rsidRPr="00F4320B">
              <w:t>What the amendments do</w:t>
            </w:r>
          </w:p>
        </w:tc>
      </w:tr>
      <w:tr w:rsidR="00325E95" w:rsidRPr="00D35AEC" w:rsidTr="007D3360">
        <w:tc>
          <w:tcPr>
            <w:tcW w:w="2694" w:type="dxa"/>
          </w:tcPr>
          <w:p w:rsidR="00325E95" w:rsidRPr="00F4320B" w:rsidRDefault="00325E95" w:rsidP="007D3360">
            <w:pPr>
              <w:pStyle w:val="tabletext"/>
              <w:rPr>
                <w:b/>
                <w:i/>
              </w:rPr>
            </w:pPr>
            <w:r w:rsidRPr="00F4320B">
              <w:rPr>
                <w:b/>
                <w:i/>
              </w:rPr>
              <w:t xml:space="preserve">Income Tax Assessment </w:t>
            </w:r>
            <w:r>
              <w:rPr>
                <w:b/>
                <w:i/>
              </w:rPr>
              <w:br/>
            </w:r>
            <w:r w:rsidRPr="00F4320B">
              <w:rPr>
                <w:b/>
                <w:i/>
              </w:rPr>
              <w:t>Act 1936</w:t>
            </w:r>
          </w:p>
          <w:p w:rsidR="00325E95" w:rsidRDefault="00325E95" w:rsidP="007D3360">
            <w:pPr>
              <w:pStyle w:val="tabletext"/>
            </w:pPr>
            <w:r w:rsidRPr="00F4320B">
              <w:t xml:space="preserve">6(1) (definition of </w:t>
            </w:r>
            <w:r>
              <w:t>‘</w:t>
            </w:r>
            <w:r w:rsidRPr="00F4320B">
              <w:t>income from personal exertion</w:t>
            </w:r>
            <w:r>
              <w:t>’</w:t>
            </w:r>
            <w:r w:rsidRPr="00F4320B">
              <w:t>)</w:t>
            </w:r>
            <w:r>
              <w:br/>
            </w:r>
            <w:r w:rsidRPr="00F4320B">
              <w:t xml:space="preserve">6(1) (paragraph (a) of the definition of </w:t>
            </w:r>
            <w:r>
              <w:t>‘</w:t>
            </w:r>
            <w:r w:rsidRPr="00F4320B">
              <w:t>income from personal exertion</w:t>
            </w:r>
            <w:r>
              <w:t>’</w:t>
            </w:r>
            <w:r w:rsidRPr="00F4320B">
              <w:t>)</w:t>
            </w:r>
            <w:r>
              <w:br/>
            </w:r>
            <w:r w:rsidRPr="00F4320B">
              <w:t>6(1) (paragraph (e) of the definition of</w:t>
            </w:r>
            <w:r>
              <w:t>’</w:t>
            </w:r>
            <w:r w:rsidRPr="00F4320B">
              <w:t xml:space="preserve"> permanent establishment</w:t>
            </w:r>
            <w:r>
              <w:t>’</w:t>
            </w:r>
            <w:r w:rsidRPr="00F4320B">
              <w:t>)</w:t>
            </w:r>
            <w:r>
              <w:br/>
            </w:r>
            <w:r w:rsidRPr="00F4320B">
              <w:t xml:space="preserve">6(1) (subparagraphs (a)(i) and (ii) of the definition of </w:t>
            </w:r>
            <w:r>
              <w:t>‘</w:t>
            </w:r>
            <w:r w:rsidRPr="00F4320B">
              <w:t>resident</w:t>
            </w:r>
            <w:r>
              <w:t>’</w:t>
            </w:r>
            <w:r w:rsidRPr="00F4320B">
              <w:t>)</w:t>
            </w:r>
            <w:r>
              <w:br/>
            </w:r>
            <w:r w:rsidRPr="00F4320B">
              <w:t>6A</w:t>
            </w:r>
            <w:r w:rsidRPr="00F4320B">
              <w:br/>
              <w:t>14(2)</w:t>
            </w:r>
            <w:r w:rsidRPr="00F4320B">
              <w:br/>
              <w:t>23AA(2)</w:t>
            </w:r>
            <w:r w:rsidRPr="00F4320B">
              <w:br/>
              <w:t xml:space="preserve">23AA(3)(a), (b) and (c) and (6)(a) </w:t>
            </w:r>
            <w:r w:rsidRPr="00F4320B">
              <w:br/>
              <w:t>23AB(2)</w:t>
            </w:r>
            <w:r w:rsidRPr="00F4320B">
              <w:br/>
              <w:t>23AB(7)</w:t>
            </w:r>
            <w:r w:rsidRPr="00F4320B">
              <w:br/>
              <w:t>23AB(7)(b)</w:t>
            </w:r>
            <w:r w:rsidRPr="00F4320B">
              <w:br/>
              <w:t>23AB(11)</w:t>
            </w:r>
            <w:r w:rsidRPr="00F4320B">
              <w:br/>
              <w:t>23AC(3)(a)(i)</w:t>
            </w:r>
            <w:r w:rsidRPr="00F4320B">
              <w:br/>
              <w:t>23AC(3)(a)(i), (ii), (iii) and (iv)</w:t>
            </w:r>
            <w:r w:rsidRPr="00F4320B">
              <w:br/>
              <w:t>23AC(3)(b)(i)</w:t>
            </w:r>
            <w:r w:rsidRPr="00F4320B">
              <w:br/>
              <w:t>23AC(3)(b)(ii)</w:t>
            </w:r>
            <w:r w:rsidRPr="00F4320B">
              <w:br/>
              <w:t>23AF(11)</w:t>
            </w:r>
            <w:r w:rsidRPr="00F4320B">
              <w:br/>
              <w:t>23AF(12)</w:t>
            </w:r>
            <w:r w:rsidRPr="00F4320B">
              <w:br/>
              <w:t xml:space="preserve">23AF(18) (paragraph (a) of the definition of </w:t>
            </w:r>
            <w:r>
              <w:t>‘</w:t>
            </w:r>
            <w:r w:rsidRPr="00F4320B">
              <w:t xml:space="preserve">eligible </w:t>
            </w:r>
            <w:r w:rsidRPr="00F4320B">
              <w:lastRenderedPageBreak/>
              <w:t>foreign remuneration</w:t>
            </w:r>
            <w:r>
              <w:t>’</w:t>
            </w:r>
            <w:r w:rsidRPr="00F4320B">
              <w:t>)</w:t>
            </w:r>
            <w:r>
              <w:br/>
            </w:r>
            <w:r w:rsidRPr="00F4320B">
              <w:t xml:space="preserve">24B(1) (paragraph (b) of the definition of </w:t>
            </w:r>
            <w:r>
              <w:t>‘</w:t>
            </w:r>
            <w:r w:rsidRPr="00F4320B">
              <w:t>prescribed person</w:t>
            </w:r>
            <w:r>
              <w:t>’</w:t>
            </w:r>
            <w:r w:rsidRPr="00F4320B">
              <w:t>)</w:t>
            </w:r>
            <w:r>
              <w:br/>
            </w:r>
            <w:r w:rsidRPr="00F4320B">
              <w:t>24C(a)</w:t>
            </w:r>
            <w:r w:rsidRPr="00F4320B">
              <w:br/>
              <w:t>24D(4)</w:t>
            </w:r>
            <w:r w:rsidRPr="00F4320B">
              <w:br/>
              <w:t>24E(1)(b)</w:t>
            </w:r>
            <w:r w:rsidRPr="00F4320B">
              <w:br/>
              <w:t>24E(4)(b)</w:t>
            </w:r>
            <w:r w:rsidRPr="00F4320B">
              <w:br/>
              <w:t>24E(4)(c)</w:t>
            </w:r>
            <w:r w:rsidRPr="00F4320B">
              <w:br/>
              <w:t>24G(1)(e)</w:t>
            </w:r>
            <w:r w:rsidRPr="00F4320B">
              <w:br/>
              <w:t>25A(1)</w:t>
            </w:r>
            <w:r w:rsidRPr="00F4320B">
              <w:br/>
              <w:t>25A(10)(a)</w:t>
            </w:r>
            <w:r w:rsidRPr="00F4320B">
              <w:br/>
              <w:t>25A(11)(b)(i)</w:t>
            </w:r>
            <w:r w:rsidRPr="00F4320B">
              <w:br/>
              <w:t>26AB(4)</w:t>
            </w:r>
            <w:r w:rsidRPr="00F4320B">
              <w:br/>
              <w:t>26AG(3)(d) and (e)</w:t>
            </w:r>
            <w:r w:rsidRPr="00F4320B">
              <w:br/>
              <w:t>26AG(4)</w:t>
            </w:r>
            <w:r w:rsidRPr="00F4320B">
              <w:br/>
              <w:t>26AG(10)(f) and (g)</w:t>
            </w:r>
            <w:r w:rsidRPr="00F4320B">
              <w:br/>
              <w:t>26AH(2)(b)</w:t>
            </w:r>
            <w:r w:rsidRPr="00F4320B">
              <w:br/>
              <w:t>26AH(4)</w:t>
            </w:r>
            <w:r w:rsidRPr="00F4320B">
              <w:br/>
              <w:t>26C(2)(b)(i)</w:t>
            </w:r>
            <w:r w:rsidRPr="00F4320B">
              <w:br/>
              <w:t>27(1)</w:t>
            </w:r>
            <w:r w:rsidRPr="00F4320B">
              <w:br/>
              <w:t>51AD(9)</w:t>
            </w:r>
            <w:r w:rsidRPr="00F4320B">
              <w:br/>
              <w:t>51AD(20)(f)</w:t>
            </w:r>
            <w:r w:rsidRPr="00F4320B">
              <w:br/>
              <w:t>52(1)</w:t>
            </w:r>
            <w:r w:rsidRPr="00F4320B">
              <w:br/>
              <w:t>52A(3)(j)</w:t>
            </w:r>
            <w:r w:rsidRPr="00F4320B">
              <w:br/>
              <w:t>73A(2)</w:t>
            </w:r>
            <w:r w:rsidRPr="00F4320B">
              <w:br/>
              <w:t>73A(2)(b)</w:t>
            </w:r>
            <w:r w:rsidRPr="00F4320B">
              <w:br/>
              <w:t>79A(1)</w:t>
            </w:r>
            <w:r w:rsidRPr="00F4320B">
              <w:br/>
              <w:t>79A(2)(f)</w:t>
            </w:r>
            <w:r w:rsidRPr="00F4320B">
              <w:br/>
              <w:t>79A(2A)</w:t>
            </w:r>
            <w:r w:rsidRPr="00F4320B">
              <w:br/>
              <w:t>79A(3B)(c)</w:t>
            </w:r>
            <w:r w:rsidRPr="00F4320B">
              <w:br/>
              <w:t>79A(3E)</w:t>
            </w:r>
            <w:r w:rsidRPr="00F4320B">
              <w:br/>
              <w:t>79B(1)</w:t>
            </w:r>
            <w:r w:rsidRPr="00F4320B">
              <w:br/>
              <w:t>79B(2)(b)</w:t>
            </w:r>
            <w:r w:rsidRPr="00F4320B">
              <w:br/>
              <w:t>79B(5) and (5A)</w:t>
            </w:r>
            <w:r w:rsidRPr="00F4320B">
              <w:br/>
              <w:t>82</w:t>
            </w:r>
            <w:r w:rsidRPr="00F4320B">
              <w:br/>
              <w:t>82KL(8)</w:t>
            </w:r>
            <w:r>
              <w:br/>
            </w:r>
            <w:r w:rsidRPr="00F4320B">
              <w:t xml:space="preserve">82L(1) (paragraph (b) of the definition of </w:t>
            </w:r>
            <w:r>
              <w:t>‘</w:t>
            </w:r>
            <w:r w:rsidRPr="00F4320B">
              <w:t>convertible note</w:t>
            </w:r>
            <w:r>
              <w:t>’</w:t>
            </w:r>
            <w:r w:rsidRPr="00F4320B">
              <w:t>)</w:t>
            </w:r>
            <w:r>
              <w:br/>
            </w:r>
            <w:r w:rsidRPr="00F4320B">
              <w:t>82M(1)(b)</w:t>
            </w:r>
            <w:r w:rsidRPr="00F4320B">
              <w:br/>
              <w:t>82P(2)(b) and (3)(b)</w:t>
            </w:r>
            <w:r w:rsidRPr="00F4320B">
              <w:br/>
              <w:t>82R(2)</w:t>
            </w:r>
            <w:r w:rsidRPr="00F4320B">
              <w:br/>
              <w:t>82SA(1)(d)(i)</w:t>
            </w:r>
            <w:r w:rsidRPr="00F4320B">
              <w:br/>
              <w:t>82SA(1)(d)(vii)</w:t>
            </w:r>
            <w:r w:rsidRPr="00F4320B">
              <w:br/>
              <w:t>82SA(1)(d)(viii)</w:t>
            </w:r>
            <w:r w:rsidRPr="00F4320B">
              <w:br/>
              <w:t>94(2)(a)</w:t>
            </w:r>
            <w:r w:rsidRPr="00F4320B">
              <w:br/>
              <w:t>94(9), (10), (10A) and (10B)</w:t>
            </w:r>
            <w:r w:rsidRPr="00F4320B">
              <w:br/>
              <w:t>94(10C)(a)(i)(A)</w:t>
            </w:r>
            <w:r w:rsidRPr="00F4320B">
              <w:br/>
              <w:t>95B</w:t>
            </w:r>
            <w:r w:rsidRPr="00F4320B">
              <w:br/>
            </w:r>
            <w:r w:rsidRPr="00F4320B">
              <w:lastRenderedPageBreak/>
              <w:t>99A(3)(c)</w:t>
            </w:r>
            <w:r w:rsidRPr="00F4320B">
              <w:br/>
              <w:t>99C(2)(e)</w:t>
            </w:r>
            <w:r w:rsidRPr="00F4320B">
              <w:br/>
              <w:t>101</w:t>
            </w:r>
            <w:r w:rsidRPr="00F4320B">
              <w:br/>
              <w:t>101A(1)</w:t>
            </w:r>
            <w:r w:rsidRPr="00F4320B">
              <w:br/>
              <w:t>101A(2)</w:t>
            </w:r>
            <w:r w:rsidRPr="00F4320B">
              <w:br/>
              <w:t>102(1)(a)</w:t>
            </w:r>
            <w:r w:rsidRPr="00F4320B">
              <w:br/>
              <w:t>102(2)</w:t>
            </w:r>
            <w:r w:rsidRPr="00F4320B">
              <w:br/>
              <w:t>102(2)(a) and (b)</w:t>
            </w:r>
            <w:r w:rsidRPr="00F4320B">
              <w:br/>
              <w:t>102(3)</w:t>
            </w:r>
            <w:r w:rsidRPr="00F4320B">
              <w:br/>
              <w:t>102A(4)(a)(i) and (b)(i)</w:t>
            </w:r>
            <w:r w:rsidRPr="00F4320B">
              <w:br/>
              <w:t>102G(11)(a)</w:t>
            </w:r>
            <w:r w:rsidRPr="00F4320B">
              <w:br/>
              <w:t>102G(11)(b) and (c)</w:t>
            </w:r>
            <w:r w:rsidRPr="00F4320B">
              <w:br/>
              <w:t>103(2)</w:t>
            </w:r>
            <w:r w:rsidRPr="00F4320B">
              <w:br/>
              <w:t>103A(5)(d)</w:t>
            </w:r>
            <w:r w:rsidRPr="00F4320B">
              <w:br/>
              <w:t>103A(7)</w:t>
            </w:r>
            <w:r>
              <w:t xml:space="preserve">(a), </w:t>
            </w:r>
            <w:r w:rsidRPr="00F4320B">
              <w:t>(b) and (c)</w:t>
            </w:r>
            <w:r w:rsidRPr="00F4320B">
              <w:br/>
              <w:t>120(2)</w:t>
            </w:r>
            <w:r w:rsidRPr="00F4320B">
              <w:br/>
              <w:t>126(3)</w:t>
            </w:r>
            <w:r w:rsidRPr="00F4320B">
              <w:br/>
              <w:t>128A(3)</w:t>
            </w:r>
            <w:r w:rsidRPr="00F4320B">
              <w:br/>
              <w:t>128B(10) and (11)</w:t>
            </w:r>
            <w:r w:rsidRPr="00F4320B">
              <w:br/>
              <w:t>129</w:t>
            </w:r>
            <w:r>
              <w:br/>
              <w:t>1</w:t>
            </w:r>
            <w:r w:rsidRPr="00F4320B">
              <w:t>30</w:t>
            </w:r>
            <w:r w:rsidRPr="00F4320B">
              <w:br/>
              <w:t>131</w:t>
            </w:r>
            <w:r w:rsidRPr="00F4320B">
              <w:br/>
              <w:t>134</w:t>
            </w:r>
            <w:r w:rsidRPr="00F4320B">
              <w:br/>
              <w:t>135</w:t>
            </w:r>
            <w:r w:rsidRPr="00F4320B">
              <w:br/>
              <w:t>136AF(1) and (3)</w:t>
            </w:r>
            <w:r w:rsidRPr="00F4320B">
              <w:br/>
              <w:t>136AF(5)</w:t>
            </w:r>
            <w:r w:rsidRPr="00F4320B">
              <w:br/>
              <w:t>142</w:t>
            </w:r>
            <w:r w:rsidRPr="00F4320B">
              <w:br/>
              <w:t>143</w:t>
            </w:r>
            <w:r w:rsidRPr="00F4320B">
              <w:br/>
              <w:t>147</w:t>
            </w:r>
            <w:r w:rsidRPr="00F4320B">
              <w:br/>
              <w:t>148(2)</w:t>
            </w:r>
            <w:r w:rsidRPr="00F4320B">
              <w:br/>
              <w:t>148(2)(b)</w:t>
            </w:r>
            <w:r w:rsidRPr="00F4320B">
              <w:br/>
              <w:t>148(3)</w:t>
            </w:r>
            <w:r w:rsidRPr="00F4320B">
              <w:br/>
              <w:t>148(3)</w:t>
            </w:r>
            <w:r w:rsidRPr="00F4320B">
              <w:br/>
              <w:t>148(4)</w:t>
            </w:r>
            <w:r w:rsidRPr="00F4320B">
              <w:br/>
              <w:t>148(5) and (8)</w:t>
            </w:r>
            <w:r w:rsidRPr="00F4320B">
              <w:br/>
              <w:t>148(9)</w:t>
            </w:r>
            <w:r w:rsidRPr="00F4320B">
              <w:br/>
              <w:t>148(9)(a)</w:t>
            </w:r>
            <w:r w:rsidRPr="00F4320B">
              <w:br/>
              <w:t>148(9)(b)</w:t>
            </w:r>
            <w:r w:rsidRPr="00F4320B">
              <w:br/>
              <w:t>152</w:t>
            </w:r>
            <w:r w:rsidRPr="00F4320B">
              <w:br/>
              <w:t>155(1)</w:t>
            </w:r>
            <w:r w:rsidRPr="00F4320B">
              <w:br/>
              <w:t>155(2)</w:t>
            </w:r>
            <w:r w:rsidRPr="00F4320B">
              <w:br/>
              <w:t xml:space="preserve">156(1) (definition of </w:t>
            </w:r>
            <w:r>
              <w:t>‘</w:t>
            </w:r>
            <w:r w:rsidRPr="00F4320B">
              <w:t>relevant primary production deductions</w:t>
            </w:r>
            <w:r>
              <w:t>’</w:t>
            </w:r>
            <w:r w:rsidRPr="00F4320B">
              <w:t>)</w:t>
            </w:r>
            <w:r w:rsidRPr="00F4320B">
              <w:br/>
              <w:t>156(5)</w:t>
            </w:r>
            <w:r w:rsidRPr="00F4320B">
              <w:br/>
              <w:t>157(3)</w:t>
            </w:r>
            <w:r w:rsidRPr="00F4320B">
              <w:br/>
              <w:t>157(4)</w:t>
            </w:r>
            <w:r w:rsidRPr="00F4320B">
              <w:br/>
              <w:t>159H(a)</w:t>
            </w:r>
            <w:r w:rsidRPr="00F4320B">
              <w:br/>
              <w:t>159J(1), (1A) and (1B)</w:t>
            </w:r>
            <w:r w:rsidRPr="00F4320B">
              <w:br/>
              <w:t>159L(1) and (3)</w:t>
            </w:r>
            <w:r w:rsidRPr="00F4320B">
              <w:br/>
            </w:r>
            <w:r w:rsidRPr="00F4320B">
              <w:lastRenderedPageBreak/>
              <w:t>159L(4)(a)</w:t>
            </w:r>
            <w:r w:rsidRPr="00F4320B">
              <w:br/>
              <w:t>159M</w:t>
            </w:r>
            <w:r w:rsidRPr="00F4320B">
              <w:br/>
              <w:t>159P(4) (paragraph (h) of the definition of</w:t>
            </w:r>
            <w:r>
              <w:t xml:space="preserve"> ‘</w:t>
            </w:r>
            <w:r w:rsidRPr="00F4320B">
              <w:t xml:space="preserve"> </w:t>
            </w:r>
          </w:p>
          <w:p w:rsidR="00325E95" w:rsidRPr="00F4320B" w:rsidRDefault="00325E95" w:rsidP="00365E97">
            <w:pPr>
              <w:pStyle w:val="tabletext"/>
            </w:pPr>
            <w:r w:rsidRPr="00F4320B">
              <w:t>medical expenses</w:t>
            </w:r>
            <w:r>
              <w:t>’</w:t>
            </w:r>
            <w:r w:rsidRPr="00F4320B">
              <w:t>)</w:t>
            </w:r>
            <w:r w:rsidRPr="00F4320B">
              <w:br/>
              <w:t>160AAB(2), (3) and (6)</w:t>
            </w:r>
            <w:r w:rsidRPr="00F4320B">
              <w:br/>
              <w:t>163</w:t>
            </w:r>
            <w:r w:rsidRPr="00F4320B">
              <w:br/>
              <w:t>164</w:t>
            </w:r>
            <w:r w:rsidRPr="00F4320B">
              <w:br/>
              <w:t>166</w:t>
            </w:r>
            <w:r w:rsidRPr="00F4320B">
              <w:br/>
              <w:t>167</w:t>
            </w:r>
            <w:r w:rsidRPr="00F4320B">
              <w:br/>
              <w:t>171(1)</w:t>
            </w:r>
            <w:r w:rsidRPr="00F4320B">
              <w:br/>
              <w:t>177E(1)(c)</w:t>
            </w:r>
            <w:r w:rsidRPr="00F4320B">
              <w:br/>
              <w:t>177F(1) and (3)</w:t>
            </w:r>
            <w:r w:rsidRPr="00F4320B">
              <w:br/>
              <w:t>177F(6)</w:t>
            </w:r>
            <w:r w:rsidRPr="00F4320B">
              <w:br/>
              <w:t>251R(4)</w:t>
            </w:r>
            <w:r w:rsidRPr="00F4320B">
              <w:br/>
              <w:t>251S(2)</w:t>
            </w:r>
            <w:r w:rsidRPr="00F4320B">
              <w:br/>
              <w:t>252(1)(c)</w:t>
            </w:r>
            <w:r w:rsidRPr="00F4320B">
              <w:br/>
              <w:t>252(1)(g)</w:t>
            </w:r>
            <w:r w:rsidRPr="00F4320B">
              <w:br/>
              <w:t>252(1)(i)</w:t>
            </w:r>
            <w:r w:rsidRPr="00F4320B">
              <w:br/>
              <w:t>252A(3)</w:t>
            </w:r>
            <w:r w:rsidRPr="00F4320B">
              <w:br/>
              <w:t>252A(6)</w:t>
            </w:r>
            <w:r w:rsidRPr="00F4320B">
              <w:br/>
              <w:t>252A(12)</w:t>
            </w:r>
            <w:r w:rsidRPr="00F4320B">
              <w:br/>
              <w:t>254(1)(a)</w:t>
            </w:r>
            <w:r w:rsidRPr="00F4320B">
              <w:br/>
              <w:t>254(1)(b)</w:t>
            </w:r>
            <w:r w:rsidRPr="00F4320B">
              <w:br/>
              <w:t>254(1)(c)</w:t>
            </w:r>
            <w:r w:rsidRPr="00F4320B">
              <w:br/>
              <w:t>254(1)(d)</w:t>
            </w:r>
            <w:r w:rsidRPr="00F4320B">
              <w:br/>
              <w:t>254(1)(e)</w:t>
            </w:r>
            <w:r w:rsidRPr="00F4320B">
              <w:br/>
              <w:t xml:space="preserve">254(1)(f) </w:t>
            </w:r>
            <w:r w:rsidRPr="00F4320B">
              <w:br/>
              <w:t>254(1)(g)</w:t>
            </w:r>
            <w:r w:rsidRPr="00F4320B">
              <w:br/>
              <w:t>254(1)(h)</w:t>
            </w:r>
            <w:r w:rsidRPr="00F4320B">
              <w:br/>
              <w:t>255(1)(a) and (b)</w:t>
            </w:r>
            <w:r w:rsidRPr="00F4320B">
              <w:br/>
              <w:t>255(1)(c)</w:t>
            </w:r>
            <w:r w:rsidRPr="00F4320B">
              <w:br/>
              <w:t>255(1)(d)</w:t>
            </w:r>
            <w:r w:rsidRPr="00F4320B">
              <w:br/>
              <w:t>255(2)</w:t>
            </w:r>
            <w:r w:rsidRPr="00F4320B">
              <w:br/>
              <w:t>257</w:t>
            </w:r>
            <w:r w:rsidRPr="00F4320B">
              <w:br/>
              <w:t>262</w:t>
            </w:r>
            <w:r w:rsidRPr="00F4320B">
              <w:br/>
              <w:t>263(1)</w:t>
            </w:r>
            <w:r w:rsidRPr="00F4320B">
              <w:br/>
              <w:t>264(1)(a)</w:t>
            </w:r>
            <w:r w:rsidRPr="00F4320B">
              <w:br/>
              <w:t>264(1)(b)</w:t>
            </w:r>
            <w:r w:rsidRPr="00F4320B">
              <w:br/>
              <w:t>264(2)</w:t>
            </w:r>
            <w:r>
              <w:br/>
            </w:r>
            <w:r w:rsidR="002A4144">
              <w:rPr>
                <w:b/>
                <w:i/>
              </w:rPr>
              <w:t>[I</w:t>
            </w:r>
            <w:r w:rsidRPr="00327A5E">
              <w:rPr>
                <w:b/>
                <w:i/>
              </w:rPr>
              <w:t>tems 17</w:t>
            </w:r>
            <w:r w:rsidR="00365E97">
              <w:rPr>
                <w:b/>
                <w:i/>
              </w:rPr>
              <w:t>6</w:t>
            </w:r>
            <w:r w:rsidRPr="00327A5E">
              <w:rPr>
                <w:b/>
                <w:i/>
              </w:rPr>
              <w:t xml:space="preserve"> to 36</w:t>
            </w:r>
            <w:r w:rsidR="00365E97">
              <w:rPr>
                <w:b/>
                <w:i/>
              </w:rPr>
              <w:t>7</w:t>
            </w:r>
            <w:r w:rsidR="002A4144">
              <w:rPr>
                <w:b/>
                <w:i/>
              </w:rPr>
              <w:t>]</w:t>
            </w:r>
          </w:p>
        </w:tc>
        <w:tc>
          <w:tcPr>
            <w:tcW w:w="3912" w:type="dxa"/>
          </w:tcPr>
          <w:p w:rsidR="00325E95" w:rsidRPr="00517B10" w:rsidRDefault="00325E95" w:rsidP="007D3360">
            <w:pPr>
              <w:pStyle w:val="tabletext"/>
              <w:rPr>
                <w:b/>
                <w:i/>
                <w:sz w:val="18"/>
              </w:rPr>
            </w:pPr>
            <w:r w:rsidRPr="00F4320B">
              <w:lastRenderedPageBreak/>
              <w:t>Ensures gender neutral references in the tax law provisions</w:t>
            </w:r>
            <w:r>
              <w:t xml:space="preserve">.  </w:t>
            </w:r>
          </w:p>
        </w:tc>
      </w:tr>
    </w:tbl>
    <w:p w:rsidR="00325E95" w:rsidRDefault="00325E95" w:rsidP="007D3360">
      <w:pPr>
        <w:pStyle w:val="Heading3"/>
        <w:keepLines/>
      </w:pPr>
      <w:r>
        <w:lastRenderedPageBreak/>
        <w:t>Part 28</w:t>
      </w:r>
      <w:r w:rsidRPr="00F53555">
        <w:t xml:space="preserve"> —</w:t>
      </w:r>
      <w:r>
        <w:t xml:space="preserve"> Misdescribed amendments</w:t>
      </w:r>
    </w:p>
    <w:p w:rsidR="00325E95" w:rsidRPr="00482A78" w:rsidRDefault="00325E95" w:rsidP="00DC00CE">
      <w:pPr>
        <w:pStyle w:val="TableHeadingoutsidetable"/>
        <w:numPr>
          <w:ilvl w:val="4"/>
          <w:numId w:val="21"/>
        </w:numPr>
        <w:spacing w:after="240"/>
      </w:pPr>
      <w:r w:rsidRPr="00331BE4">
        <w:t>:</w:t>
      </w:r>
      <w:r w:rsidRPr="0012537C">
        <w:t xml:space="preserve">  </w:t>
      </w:r>
      <w:r w:rsidR="00DC18BE">
        <w:t xml:space="preserve">Part 28 — Misdescribed amendments — </w:t>
      </w:r>
      <w:r w:rsidRPr="0012537C">
        <w:rPr>
          <w:iCs/>
        </w:rPr>
        <w:t>Amendments to the</w:t>
      </w:r>
      <w:r w:rsidRPr="0012537C">
        <w:t xml:space="preserve"> </w:t>
      </w:r>
      <w:r w:rsidRPr="009A23C3">
        <w:rPr>
          <w:i/>
        </w:rPr>
        <w:t>Tax Laws Amendment (2010 Measures No.1) Act 2010</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912"/>
      </w:tblGrid>
      <w:tr w:rsidR="00325E95" w:rsidRPr="00F53555" w:rsidTr="007D3360">
        <w:trPr>
          <w:tblHeader/>
        </w:trPr>
        <w:tc>
          <w:tcPr>
            <w:tcW w:w="2694" w:type="dxa"/>
          </w:tcPr>
          <w:p w:rsidR="00325E95" w:rsidRPr="00F53555" w:rsidRDefault="00325E95" w:rsidP="007D3360">
            <w:pPr>
              <w:pStyle w:val="tableheaderwithintable"/>
            </w:pPr>
            <w:r w:rsidRPr="00F53555">
              <w:t>Provision being amended</w:t>
            </w:r>
          </w:p>
        </w:tc>
        <w:tc>
          <w:tcPr>
            <w:tcW w:w="3912" w:type="dxa"/>
          </w:tcPr>
          <w:p w:rsidR="00325E95" w:rsidRPr="00F53555" w:rsidRDefault="00325E95" w:rsidP="007D3360">
            <w:pPr>
              <w:pStyle w:val="tableheaderwithintable"/>
            </w:pPr>
            <w:r>
              <w:t>What the amendment</w:t>
            </w:r>
            <w:r w:rsidRPr="00F53555">
              <w:t xml:space="preserve"> does</w:t>
            </w:r>
          </w:p>
        </w:tc>
      </w:tr>
      <w:tr w:rsidR="00325E95" w:rsidRPr="00D35AEC" w:rsidTr="007D3360">
        <w:trPr>
          <w:cantSplit/>
        </w:trPr>
        <w:tc>
          <w:tcPr>
            <w:tcW w:w="2694" w:type="dxa"/>
          </w:tcPr>
          <w:p w:rsidR="00325E95" w:rsidRPr="005F642B" w:rsidRDefault="00325E95" w:rsidP="007D3360">
            <w:pPr>
              <w:pStyle w:val="tabletext"/>
              <w:rPr>
                <w:b/>
                <w:i/>
              </w:rPr>
            </w:pPr>
            <w:r w:rsidRPr="005F642B">
              <w:rPr>
                <w:b/>
                <w:i/>
              </w:rPr>
              <w:t>Tax Laws Amendment (2010 Measures No.</w:t>
            </w:r>
            <w:r w:rsidR="00074B4F">
              <w:rPr>
                <w:b/>
                <w:i/>
              </w:rPr>
              <w:t xml:space="preserve"> </w:t>
            </w:r>
            <w:r w:rsidRPr="005F642B">
              <w:rPr>
                <w:b/>
                <w:i/>
              </w:rPr>
              <w:t>1) Act 2010</w:t>
            </w:r>
          </w:p>
          <w:p w:rsidR="00325E95" w:rsidRPr="000C553D" w:rsidRDefault="00325E95" w:rsidP="00365E97">
            <w:pPr>
              <w:pStyle w:val="tabletext"/>
            </w:pPr>
            <w:r w:rsidRPr="000C553D">
              <w:t xml:space="preserve">Item 105 of Schedule 5 </w:t>
            </w:r>
            <w:r w:rsidRPr="000C553D">
              <w:br/>
              <w:t>Item 173 of Schedule 5</w:t>
            </w:r>
            <w:r w:rsidRPr="000C553D">
              <w:br/>
              <w:t xml:space="preserve">Item 201 of Schedule 5 </w:t>
            </w:r>
            <w:r w:rsidRPr="000C553D">
              <w:br/>
              <w:t>Item 11 of Schedule 6 (heading)</w:t>
            </w:r>
            <w:r>
              <w:br/>
            </w:r>
            <w:r w:rsidR="002A4144">
              <w:rPr>
                <w:b/>
                <w:i/>
              </w:rPr>
              <w:t>[I</w:t>
            </w:r>
            <w:r w:rsidRPr="00327A5E">
              <w:rPr>
                <w:b/>
                <w:i/>
              </w:rPr>
              <w:t>tems 36</w:t>
            </w:r>
            <w:r w:rsidR="00365E97">
              <w:rPr>
                <w:b/>
                <w:i/>
              </w:rPr>
              <w:t>8</w:t>
            </w:r>
            <w:r w:rsidRPr="00327A5E">
              <w:rPr>
                <w:b/>
                <w:i/>
              </w:rPr>
              <w:t xml:space="preserve"> to 37</w:t>
            </w:r>
            <w:r w:rsidR="00365E97">
              <w:rPr>
                <w:b/>
                <w:i/>
              </w:rPr>
              <w:t>1</w:t>
            </w:r>
            <w:r w:rsidR="002A4144">
              <w:rPr>
                <w:b/>
                <w:i/>
              </w:rPr>
              <w:t>]</w:t>
            </w:r>
          </w:p>
        </w:tc>
        <w:tc>
          <w:tcPr>
            <w:tcW w:w="3912" w:type="dxa"/>
          </w:tcPr>
          <w:p w:rsidR="00325E95" w:rsidRPr="00517B10" w:rsidRDefault="00325E95" w:rsidP="007D3360">
            <w:pPr>
              <w:pStyle w:val="tabletext"/>
            </w:pPr>
            <w:r w:rsidRPr="001F3155">
              <w:t>Corrects grammatical and other errors, such as asterisking</w:t>
            </w:r>
            <w:r>
              <w:t xml:space="preserve">.  </w:t>
            </w:r>
          </w:p>
        </w:tc>
      </w:tr>
    </w:tbl>
    <w:p w:rsidR="00325E95" w:rsidRPr="00482A78" w:rsidRDefault="00325E95" w:rsidP="00DC00CE">
      <w:pPr>
        <w:pStyle w:val="TableHeadingoutsidetable"/>
        <w:numPr>
          <w:ilvl w:val="4"/>
          <w:numId w:val="21"/>
        </w:numPr>
        <w:spacing w:before="240" w:after="240"/>
      </w:pPr>
      <w:r w:rsidRPr="00331BE4">
        <w:rPr>
          <w:iCs/>
        </w:rPr>
        <w:t>:</w:t>
      </w:r>
      <w:r>
        <w:rPr>
          <w:iCs/>
        </w:rPr>
        <w:t xml:space="preserve">  </w:t>
      </w:r>
      <w:r w:rsidR="00DC18BE">
        <w:t xml:space="preserve">Part 28 — Misdescribed amendments — </w:t>
      </w:r>
      <w:r w:rsidRPr="0012537C">
        <w:rPr>
          <w:iCs/>
        </w:rPr>
        <w:t>Amendments to the</w:t>
      </w:r>
      <w:r w:rsidRPr="0012537C">
        <w:t xml:space="preserve"> </w:t>
      </w:r>
      <w:r w:rsidRPr="009A23C3">
        <w:rPr>
          <w:i/>
        </w:rPr>
        <w:t>Tax Laws Amendment (Transfer of Provisions) Act 2010</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912"/>
      </w:tblGrid>
      <w:tr w:rsidR="00325E95" w:rsidRPr="00F53555" w:rsidTr="007D3360">
        <w:trPr>
          <w:tblHeader/>
        </w:trPr>
        <w:tc>
          <w:tcPr>
            <w:tcW w:w="2694" w:type="dxa"/>
          </w:tcPr>
          <w:p w:rsidR="00325E95" w:rsidRPr="00F53555" w:rsidRDefault="00325E95" w:rsidP="007D3360">
            <w:pPr>
              <w:pStyle w:val="tableheaderwithintable"/>
            </w:pPr>
            <w:r w:rsidRPr="00F53555">
              <w:t>Provision being amended</w:t>
            </w:r>
          </w:p>
        </w:tc>
        <w:tc>
          <w:tcPr>
            <w:tcW w:w="3912" w:type="dxa"/>
          </w:tcPr>
          <w:p w:rsidR="00325E95" w:rsidRPr="00F53555" w:rsidRDefault="00325E95" w:rsidP="007D3360">
            <w:pPr>
              <w:pStyle w:val="tableheaderwithintable"/>
            </w:pPr>
            <w:r>
              <w:t>What the amendment</w:t>
            </w:r>
            <w:r w:rsidRPr="00F53555">
              <w:t xml:space="preserve"> does</w:t>
            </w:r>
          </w:p>
        </w:tc>
      </w:tr>
      <w:tr w:rsidR="00325E95" w:rsidRPr="00D35AEC" w:rsidTr="007D3360">
        <w:trPr>
          <w:cantSplit/>
        </w:trPr>
        <w:tc>
          <w:tcPr>
            <w:tcW w:w="2694" w:type="dxa"/>
          </w:tcPr>
          <w:p w:rsidR="00325E95" w:rsidRPr="00D51EA4" w:rsidRDefault="00325E95" w:rsidP="007D3360">
            <w:pPr>
              <w:pStyle w:val="tabletext"/>
              <w:rPr>
                <w:b/>
                <w:i/>
              </w:rPr>
            </w:pPr>
            <w:r w:rsidRPr="00D51EA4">
              <w:rPr>
                <w:b/>
                <w:i/>
              </w:rPr>
              <w:t xml:space="preserve">Tax Laws Amendment (Transfer of Provisions) </w:t>
            </w:r>
            <w:r>
              <w:rPr>
                <w:b/>
                <w:i/>
              </w:rPr>
              <w:br/>
            </w:r>
            <w:r w:rsidRPr="00D51EA4">
              <w:rPr>
                <w:b/>
                <w:i/>
              </w:rPr>
              <w:t>Act 2010</w:t>
            </w:r>
          </w:p>
          <w:p w:rsidR="00325E95" w:rsidRPr="001F3155" w:rsidRDefault="00325E95" w:rsidP="00365E97">
            <w:pPr>
              <w:pStyle w:val="tabletext"/>
            </w:pPr>
            <w:r w:rsidRPr="001F3155">
              <w:t>Item 16 of Schedule 2</w:t>
            </w:r>
            <w:r>
              <w:br/>
            </w:r>
            <w:r w:rsidR="002A4144" w:rsidRPr="002A4144">
              <w:rPr>
                <w:b/>
                <w:i/>
              </w:rPr>
              <w:t>[I</w:t>
            </w:r>
            <w:r w:rsidRPr="002A4144">
              <w:rPr>
                <w:b/>
                <w:i/>
              </w:rPr>
              <w:t>tem 37</w:t>
            </w:r>
            <w:r w:rsidR="00365E97">
              <w:rPr>
                <w:b/>
                <w:i/>
              </w:rPr>
              <w:t>2</w:t>
            </w:r>
            <w:r w:rsidR="002A4144" w:rsidRPr="002A4144">
              <w:rPr>
                <w:b/>
                <w:i/>
              </w:rPr>
              <w:t>]</w:t>
            </w:r>
          </w:p>
        </w:tc>
        <w:tc>
          <w:tcPr>
            <w:tcW w:w="3912" w:type="dxa"/>
          </w:tcPr>
          <w:p w:rsidR="00325E95" w:rsidRPr="00517B10" w:rsidRDefault="00325E95" w:rsidP="007D3360">
            <w:pPr>
              <w:pStyle w:val="tabletext"/>
              <w:rPr>
                <w:b/>
                <w:i/>
                <w:sz w:val="18"/>
              </w:rPr>
            </w:pPr>
            <w:r w:rsidRPr="001F3155">
              <w:t>Repeals an item that amends provisions that have been repealed</w:t>
            </w:r>
            <w:r>
              <w:t>.</w:t>
            </w:r>
          </w:p>
        </w:tc>
      </w:tr>
    </w:tbl>
    <w:p w:rsidR="00325E95" w:rsidRPr="005573DA" w:rsidRDefault="00325E95" w:rsidP="007D3360">
      <w:pPr>
        <w:pStyle w:val="Heading3"/>
        <w:keepLines/>
      </w:pPr>
      <w:r w:rsidRPr="00344FE7">
        <w:t>Part 2</w:t>
      </w:r>
      <w:r>
        <w:t>9</w:t>
      </w:r>
      <w:r w:rsidRPr="00344FE7">
        <w:t xml:space="preserve"> — References to Schedules</w:t>
      </w:r>
    </w:p>
    <w:p w:rsidR="00325E95" w:rsidRPr="00344FE7" w:rsidRDefault="00325E95" w:rsidP="00DC00CE">
      <w:pPr>
        <w:pStyle w:val="TableHeadingoutsidetable"/>
        <w:numPr>
          <w:ilvl w:val="4"/>
          <w:numId w:val="21"/>
        </w:numPr>
        <w:spacing w:after="240"/>
      </w:pPr>
      <w:bookmarkStart w:id="34" w:name="BK_S1P72L4C41"/>
      <w:bookmarkEnd w:id="34"/>
      <w:r w:rsidRPr="00331BE4">
        <w:rPr>
          <w:iCs/>
        </w:rPr>
        <w:t>:</w:t>
      </w:r>
      <w:r>
        <w:rPr>
          <w:iCs/>
        </w:rPr>
        <w:t xml:space="preserve">  </w:t>
      </w:r>
      <w:r w:rsidR="003A12BE">
        <w:rPr>
          <w:iCs/>
        </w:rPr>
        <w:t xml:space="preserve">Part 29 </w:t>
      </w:r>
      <w:r w:rsidR="003A12BE" w:rsidRPr="003A12BE">
        <w:rPr>
          <w:iCs/>
        </w:rPr>
        <w:t>—</w:t>
      </w:r>
      <w:r w:rsidR="003A12BE">
        <w:rPr>
          <w:iCs/>
        </w:rPr>
        <w:t xml:space="preserve"> References to Schedules </w:t>
      </w:r>
      <w:r w:rsidR="003A12BE" w:rsidRPr="003A12BE">
        <w:rPr>
          <w:iCs/>
        </w:rPr>
        <w:t>—</w:t>
      </w:r>
      <w:r w:rsidR="003A12BE">
        <w:rPr>
          <w:iCs/>
        </w:rPr>
        <w:t xml:space="preserve"> </w:t>
      </w:r>
      <w:r w:rsidRPr="00344FE7">
        <w:rPr>
          <w:iCs/>
        </w:rPr>
        <w:t>Amendments to the</w:t>
      </w:r>
      <w:r w:rsidRPr="00344FE7">
        <w:t xml:space="preserve"> </w:t>
      </w:r>
      <w:r w:rsidRPr="009A23C3">
        <w:rPr>
          <w:i/>
        </w:rPr>
        <w:t>Family Trust Distribution Tax (Primary Liability) Act 1998</w:t>
      </w:r>
      <w:r>
        <w:t xml:space="preserve"> </w:t>
      </w:r>
      <w:r w:rsidRPr="001517B4">
        <w:t>and to the</w:t>
      </w:r>
      <w:r>
        <w:t xml:space="preserve"> </w:t>
      </w:r>
      <w:r w:rsidRPr="009A23C3">
        <w:rPr>
          <w:i/>
        </w:rPr>
        <w:t>Family Trust Distribution Tax (Secondary Liability) Act 1998</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912"/>
      </w:tblGrid>
      <w:tr w:rsidR="00325E95" w:rsidRPr="00344FE7" w:rsidTr="007D3360">
        <w:trPr>
          <w:tblHeader/>
        </w:trPr>
        <w:tc>
          <w:tcPr>
            <w:tcW w:w="2694" w:type="dxa"/>
          </w:tcPr>
          <w:p w:rsidR="00325E95" w:rsidRPr="00344FE7" w:rsidRDefault="00325E95" w:rsidP="007D3360">
            <w:pPr>
              <w:pStyle w:val="tableheaderwithintable"/>
            </w:pPr>
            <w:r w:rsidRPr="00344FE7">
              <w:t>Provision being amended</w:t>
            </w:r>
          </w:p>
        </w:tc>
        <w:tc>
          <w:tcPr>
            <w:tcW w:w="3912" w:type="dxa"/>
          </w:tcPr>
          <w:p w:rsidR="00325E95" w:rsidRPr="00344FE7" w:rsidRDefault="00325E95" w:rsidP="007D3360">
            <w:pPr>
              <w:pStyle w:val="tableheaderwithintable"/>
            </w:pPr>
            <w:r w:rsidRPr="00344FE7">
              <w:t>What the amendment does</w:t>
            </w:r>
          </w:p>
        </w:tc>
      </w:tr>
      <w:tr w:rsidR="00325E95" w:rsidRPr="00344FE7" w:rsidTr="007D3360">
        <w:trPr>
          <w:cantSplit/>
        </w:trPr>
        <w:tc>
          <w:tcPr>
            <w:tcW w:w="2694" w:type="dxa"/>
          </w:tcPr>
          <w:p w:rsidR="00325E95" w:rsidRPr="00D51EA4" w:rsidRDefault="00325E95" w:rsidP="007D3360">
            <w:pPr>
              <w:pStyle w:val="tabletext"/>
              <w:rPr>
                <w:b/>
                <w:lang w:eastAsia="en-US"/>
              </w:rPr>
            </w:pPr>
            <w:r w:rsidRPr="00D51EA4">
              <w:rPr>
                <w:b/>
                <w:i/>
              </w:rPr>
              <w:t xml:space="preserve">Family Trust Distribution Tax (Primary Liability) </w:t>
            </w:r>
            <w:r>
              <w:rPr>
                <w:b/>
                <w:i/>
              </w:rPr>
              <w:br/>
            </w:r>
            <w:r w:rsidRPr="00D51EA4">
              <w:rPr>
                <w:b/>
                <w:i/>
              </w:rPr>
              <w:t>Act 1998</w:t>
            </w:r>
          </w:p>
          <w:p w:rsidR="00325E95" w:rsidRDefault="00325E95" w:rsidP="007D3360">
            <w:pPr>
              <w:pStyle w:val="tabletext"/>
              <w:rPr>
                <w:b/>
                <w:i/>
              </w:rPr>
            </w:pPr>
            <w:r>
              <w:rPr>
                <w:lang w:eastAsia="en-US"/>
              </w:rPr>
              <w:t>3</w:t>
            </w:r>
            <w:r>
              <w:rPr>
                <w:lang w:eastAsia="en-US"/>
              </w:rPr>
              <w:br/>
            </w:r>
            <w:r w:rsidR="002A4144">
              <w:rPr>
                <w:b/>
                <w:i/>
                <w:lang w:eastAsia="en-US"/>
              </w:rPr>
              <w:t>[I</w:t>
            </w:r>
            <w:r w:rsidRPr="00327A5E">
              <w:rPr>
                <w:b/>
                <w:i/>
                <w:lang w:eastAsia="en-US"/>
              </w:rPr>
              <w:t>tem 37</w:t>
            </w:r>
            <w:r w:rsidR="00365E97">
              <w:rPr>
                <w:b/>
                <w:i/>
                <w:lang w:eastAsia="en-US"/>
              </w:rPr>
              <w:t>3</w:t>
            </w:r>
            <w:r w:rsidR="002A4144">
              <w:rPr>
                <w:b/>
                <w:i/>
                <w:lang w:eastAsia="en-US"/>
              </w:rPr>
              <w:t>]</w:t>
            </w:r>
          </w:p>
          <w:p w:rsidR="00325E95" w:rsidRPr="00D51EA4" w:rsidRDefault="00325E95" w:rsidP="007D3360">
            <w:pPr>
              <w:pStyle w:val="tabletext"/>
              <w:rPr>
                <w:b/>
                <w:lang w:eastAsia="en-US"/>
              </w:rPr>
            </w:pPr>
            <w:r w:rsidRPr="00D51EA4">
              <w:rPr>
                <w:b/>
                <w:i/>
              </w:rPr>
              <w:t xml:space="preserve">Family Trust Distribution Tax (Secondary Liability) </w:t>
            </w:r>
            <w:r>
              <w:rPr>
                <w:b/>
                <w:i/>
              </w:rPr>
              <w:br/>
            </w:r>
            <w:r w:rsidRPr="00D51EA4">
              <w:rPr>
                <w:b/>
                <w:i/>
              </w:rPr>
              <w:t>Act 1998</w:t>
            </w:r>
          </w:p>
          <w:p w:rsidR="00325E95" w:rsidRPr="00344FE7" w:rsidRDefault="00325E95" w:rsidP="00365E97">
            <w:pPr>
              <w:pStyle w:val="tabletext"/>
              <w:rPr>
                <w:lang w:eastAsia="en-US"/>
              </w:rPr>
            </w:pPr>
            <w:r>
              <w:rPr>
                <w:lang w:eastAsia="en-US"/>
              </w:rPr>
              <w:t>3</w:t>
            </w:r>
            <w:r>
              <w:rPr>
                <w:lang w:eastAsia="en-US"/>
              </w:rPr>
              <w:br/>
            </w:r>
            <w:r w:rsidR="002A4144">
              <w:rPr>
                <w:b/>
                <w:i/>
                <w:lang w:eastAsia="en-US"/>
              </w:rPr>
              <w:t>[I</w:t>
            </w:r>
            <w:r w:rsidRPr="00327A5E">
              <w:rPr>
                <w:b/>
                <w:i/>
                <w:lang w:eastAsia="en-US"/>
              </w:rPr>
              <w:t>tem 37</w:t>
            </w:r>
            <w:r w:rsidR="00365E97">
              <w:rPr>
                <w:b/>
                <w:i/>
                <w:lang w:eastAsia="en-US"/>
              </w:rPr>
              <w:t>4</w:t>
            </w:r>
            <w:r w:rsidR="002A4144">
              <w:rPr>
                <w:b/>
                <w:i/>
                <w:lang w:eastAsia="en-US"/>
              </w:rPr>
              <w:t>]</w:t>
            </w:r>
          </w:p>
        </w:tc>
        <w:tc>
          <w:tcPr>
            <w:tcW w:w="3912" w:type="dxa"/>
          </w:tcPr>
          <w:p w:rsidR="00325E95" w:rsidRPr="00327A5E" w:rsidRDefault="00325E95" w:rsidP="007D3360">
            <w:pPr>
              <w:pStyle w:val="tabletext"/>
              <w:rPr>
                <w:b/>
                <w:i/>
                <w:lang w:eastAsia="en-US"/>
              </w:rPr>
            </w:pPr>
            <w:r w:rsidRPr="00327A5E">
              <w:rPr>
                <w:lang w:eastAsia="en-US"/>
              </w:rPr>
              <w:t xml:space="preserve">Corrects the wording of how to refer to a Schedule.  </w:t>
            </w:r>
          </w:p>
        </w:tc>
      </w:tr>
    </w:tbl>
    <w:p w:rsidR="00325E95" w:rsidRPr="003F43DC" w:rsidRDefault="00325E95" w:rsidP="00DC00CE">
      <w:pPr>
        <w:pStyle w:val="TableHeadingoutsidetable"/>
        <w:numPr>
          <w:ilvl w:val="4"/>
          <w:numId w:val="21"/>
        </w:numPr>
        <w:spacing w:before="240" w:after="240"/>
      </w:pPr>
      <w:r w:rsidRPr="00331BE4">
        <w:lastRenderedPageBreak/>
        <w:t>:</w:t>
      </w:r>
      <w:r>
        <w:t xml:space="preserve">  </w:t>
      </w:r>
      <w:r w:rsidR="003A12BE">
        <w:rPr>
          <w:iCs/>
        </w:rPr>
        <w:t xml:space="preserve">Part 29 </w:t>
      </w:r>
      <w:r w:rsidR="003A12BE" w:rsidRPr="003A12BE">
        <w:rPr>
          <w:iCs/>
        </w:rPr>
        <w:t>—</w:t>
      </w:r>
      <w:r w:rsidR="003A12BE">
        <w:rPr>
          <w:iCs/>
        </w:rPr>
        <w:t xml:space="preserve"> References to Schedules </w:t>
      </w:r>
      <w:r w:rsidR="003A12BE" w:rsidRPr="003A12BE">
        <w:rPr>
          <w:iCs/>
        </w:rPr>
        <w:t>—</w:t>
      </w:r>
      <w:r w:rsidR="003A12BE">
        <w:rPr>
          <w:iCs/>
        </w:rPr>
        <w:t xml:space="preserve"> </w:t>
      </w:r>
      <w:r w:rsidRPr="003F43DC">
        <w:t xml:space="preserve">Amendments to the </w:t>
      </w:r>
      <w:r w:rsidRPr="009A23C3">
        <w:rPr>
          <w:i/>
        </w:rPr>
        <w:t>Fringe Benefits Tax Assessment Act</w:t>
      </w:r>
      <w:r>
        <w:rPr>
          <w:i/>
        </w:rPr>
        <w:t> </w:t>
      </w:r>
      <w:r w:rsidRPr="009A23C3">
        <w:rPr>
          <w:i/>
        </w:rPr>
        <w:t>1986</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912"/>
      </w:tblGrid>
      <w:tr w:rsidR="00325E95" w:rsidRPr="00344FE7" w:rsidTr="007D3360">
        <w:trPr>
          <w:tblHeader/>
        </w:trPr>
        <w:tc>
          <w:tcPr>
            <w:tcW w:w="2694" w:type="dxa"/>
          </w:tcPr>
          <w:p w:rsidR="00325E95" w:rsidRPr="00344FE7" w:rsidRDefault="00325E95" w:rsidP="007D3360">
            <w:pPr>
              <w:pStyle w:val="tableheaderwithintable"/>
            </w:pPr>
            <w:r w:rsidRPr="00344FE7">
              <w:t>Provision being amended</w:t>
            </w:r>
          </w:p>
        </w:tc>
        <w:tc>
          <w:tcPr>
            <w:tcW w:w="3912" w:type="dxa"/>
          </w:tcPr>
          <w:p w:rsidR="00325E95" w:rsidRPr="00344FE7" w:rsidRDefault="00325E95" w:rsidP="007D3360">
            <w:pPr>
              <w:pStyle w:val="tableheaderwithintable"/>
            </w:pPr>
            <w:r w:rsidRPr="00344FE7">
              <w:t>What the amendment does</w:t>
            </w:r>
          </w:p>
        </w:tc>
      </w:tr>
      <w:tr w:rsidR="00325E95" w:rsidRPr="00344FE7" w:rsidTr="007D3360">
        <w:trPr>
          <w:cantSplit/>
        </w:trPr>
        <w:tc>
          <w:tcPr>
            <w:tcW w:w="2694" w:type="dxa"/>
          </w:tcPr>
          <w:p w:rsidR="00325E95" w:rsidRPr="00AA28D4" w:rsidRDefault="00325E95" w:rsidP="007D3360">
            <w:pPr>
              <w:pStyle w:val="tabletext"/>
              <w:rPr>
                <w:b/>
                <w:i/>
              </w:rPr>
            </w:pPr>
            <w:r w:rsidRPr="00AA28D4">
              <w:rPr>
                <w:b/>
                <w:i/>
              </w:rPr>
              <w:t>Fringe Benefits Tax Assessment Act 1986</w:t>
            </w:r>
          </w:p>
          <w:p w:rsidR="00325E95" w:rsidRDefault="00325E95" w:rsidP="007D3360">
            <w:pPr>
              <w:pStyle w:val="tabletext"/>
            </w:pPr>
            <w:r w:rsidRPr="00370874">
              <w:t xml:space="preserve">136(1) (paragraph (q) of the definition of </w:t>
            </w:r>
            <w:r>
              <w:t>‘</w:t>
            </w:r>
            <w:r w:rsidRPr="00370874">
              <w:t>fringe benefit</w:t>
            </w:r>
            <w:r>
              <w:t>’</w:t>
            </w:r>
            <w:r w:rsidRPr="00370874">
              <w:t>)</w:t>
            </w:r>
            <w:r>
              <w:br/>
            </w:r>
            <w:r w:rsidR="002A4144">
              <w:rPr>
                <w:b/>
                <w:i/>
              </w:rPr>
              <w:t>[I</w:t>
            </w:r>
            <w:r w:rsidRPr="00327A5E">
              <w:rPr>
                <w:b/>
                <w:i/>
              </w:rPr>
              <w:t>tem 37</w:t>
            </w:r>
            <w:r w:rsidR="00365E97">
              <w:rPr>
                <w:b/>
                <w:i/>
              </w:rPr>
              <w:t>5</w:t>
            </w:r>
            <w:r w:rsidR="002A4144">
              <w:rPr>
                <w:b/>
                <w:i/>
              </w:rPr>
              <w:t>]</w:t>
            </w:r>
          </w:p>
          <w:p w:rsidR="00325E95" w:rsidRPr="00327A5E" w:rsidRDefault="00325E95" w:rsidP="007D3360">
            <w:pPr>
              <w:pStyle w:val="tabletext"/>
              <w:rPr>
                <w:b/>
                <w:i/>
                <w:lang w:eastAsia="en-US"/>
              </w:rPr>
            </w:pPr>
          </w:p>
        </w:tc>
        <w:tc>
          <w:tcPr>
            <w:tcW w:w="3912" w:type="dxa"/>
          </w:tcPr>
          <w:p w:rsidR="00325E95" w:rsidRPr="008169E2" w:rsidRDefault="00325E95" w:rsidP="007D3360">
            <w:pPr>
              <w:pStyle w:val="tabletext"/>
              <w:spacing w:after="0"/>
              <w:rPr>
                <w:sz w:val="18"/>
                <w:lang w:eastAsia="en-US"/>
              </w:rPr>
            </w:pPr>
            <w:r w:rsidRPr="00575D9D">
              <w:t>Corrects the wording of how to refer to a Schedule</w:t>
            </w:r>
            <w:r w:rsidR="00074B4F">
              <w:t>.</w:t>
            </w:r>
          </w:p>
        </w:tc>
      </w:tr>
    </w:tbl>
    <w:p w:rsidR="00325E95" w:rsidRPr="00344FE7" w:rsidRDefault="00AE7202" w:rsidP="00DC00CE">
      <w:pPr>
        <w:pStyle w:val="TableHeadingoutsidetable"/>
        <w:numPr>
          <w:ilvl w:val="4"/>
          <w:numId w:val="21"/>
        </w:numPr>
        <w:spacing w:before="240" w:after="240"/>
      </w:pPr>
      <w:r w:rsidRPr="00331BE4">
        <w:rPr>
          <w:iCs/>
        </w:rPr>
        <w:t>:</w:t>
      </w:r>
      <w:r w:rsidR="00325E95">
        <w:rPr>
          <w:iCs/>
        </w:rPr>
        <w:t xml:space="preserve">  </w:t>
      </w:r>
      <w:r w:rsidR="003A12BE">
        <w:rPr>
          <w:iCs/>
        </w:rPr>
        <w:t xml:space="preserve">Part 29 </w:t>
      </w:r>
      <w:r w:rsidR="003A12BE" w:rsidRPr="003A12BE">
        <w:rPr>
          <w:iCs/>
        </w:rPr>
        <w:t>—</w:t>
      </w:r>
      <w:r w:rsidR="003A12BE">
        <w:rPr>
          <w:iCs/>
        </w:rPr>
        <w:t xml:space="preserve"> References to Schedules </w:t>
      </w:r>
      <w:r w:rsidR="003A12BE" w:rsidRPr="003A12BE">
        <w:rPr>
          <w:iCs/>
        </w:rPr>
        <w:t>—</w:t>
      </w:r>
      <w:r w:rsidR="003A12BE">
        <w:rPr>
          <w:iCs/>
        </w:rPr>
        <w:t xml:space="preserve"> </w:t>
      </w:r>
      <w:r w:rsidR="00325E95" w:rsidRPr="00344FE7">
        <w:rPr>
          <w:iCs/>
        </w:rPr>
        <w:t>Amendments to the</w:t>
      </w:r>
      <w:r w:rsidR="00325E95" w:rsidRPr="00344FE7">
        <w:t xml:space="preserve"> </w:t>
      </w:r>
      <w:r w:rsidR="00325E95" w:rsidRPr="009A23C3">
        <w:rPr>
          <w:i/>
        </w:rPr>
        <w:t>Income Tax Assessment Act 1936</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912"/>
      </w:tblGrid>
      <w:tr w:rsidR="00325E95" w:rsidRPr="00344FE7" w:rsidTr="007D3360">
        <w:trPr>
          <w:tblHeader/>
        </w:trPr>
        <w:tc>
          <w:tcPr>
            <w:tcW w:w="2694" w:type="dxa"/>
          </w:tcPr>
          <w:p w:rsidR="00325E95" w:rsidRPr="00344FE7" w:rsidRDefault="00325E95" w:rsidP="007D3360">
            <w:pPr>
              <w:pStyle w:val="tableheaderwithintable"/>
            </w:pPr>
            <w:r w:rsidRPr="00344FE7">
              <w:t>Provision being amended</w:t>
            </w:r>
          </w:p>
        </w:tc>
        <w:tc>
          <w:tcPr>
            <w:tcW w:w="3912" w:type="dxa"/>
          </w:tcPr>
          <w:p w:rsidR="00325E95" w:rsidRPr="00344FE7" w:rsidRDefault="00325E95" w:rsidP="007D3360">
            <w:pPr>
              <w:pStyle w:val="tableheaderwithintable"/>
            </w:pPr>
            <w:r w:rsidRPr="00344FE7">
              <w:t>What the amendment does</w:t>
            </w:r>
          </w:p>
        </w:tc>
      </w:tr>
      <w:tr w:rsidR="00325E95" w:rsidRPr="00344FE7" w:rsidTr="007D3360">
        <w:trPr>
          <w:cantSplit/>
        </w:trPr>
        <w:tc>
          <w:tcPr>
            <w:tcW w:w="2694" w:type="dxa"/>
          </w:tcPr>
          <w:p w:rsidR="00325E95" w:rsidRPr="00AA28D4" w:rsidRDefault="00325E95" w:rsidP="007D3360">
            <w:pPr>
              <w:pStyle w:val="tabletext"/>
              <w:rPr>
                <w:b/>
                <w:i/>
                <w:lang w:eastAsia="en-US"/>
              </w:rPr>
            </w:pPr>
            <w:r w:rsidRPr="00AA28D4">
              <w:rPr>
                <w:b/>
                <w:i/>
                <w:lang w:eastAsia="en-US"/>
              </w:rPr>
              <w:t xml:space="preserve">Income Tax Assessment </w:t>
            </w:r>
            <w:r>
              <w:rPr>
                <w:b/>
                <w:i/>
                <w:lang w:eastAsia="en-US"/>
              </w:rPr>
              <w:br/>
            </w:r>
            <w:r w:rsidRPr="00AA28D4">
              <w:rPr>
                <w:b/>
                <w:i/>
                <w:lang w:eastAsia="en-US"/>
              </w:rPr>
              <w:t>Act 1936</w:t>
            </w:r>
          </w:p>
          <w:p w:rsidR="00325E95" w:rsidRPr="00344FE7" w:rsidRDefault="00325E95" w:rsidP="00365E97">
            <w:pPr>
              <w:pStyle w:val="tabletext"/>
              <w:rPr>
                <w:lang w:eastAsia="en-US"/>
              </w:rPr>
            </w:pPr>
            <w:r w:rsidRPr="00517B10">
              <w:rPr>
                <w:lang w:eastAsia="en-US"/>
              </w:rPr>
              <w:t>95(1) (note at the end of the definition of</w:t>
            </w:r>
            <w:r>
              <w:rPr>
                <w:lang w:eastAsia="en-US"/>
              </w:rPr>
              <w:t xml:space="preserve"> ‘</w:t>
            </w:r>
            <w:r w:rsidRPr="00517B10">
              <w:rPr>
                <w:lang w:eastAsia="en-US"/>
              </w:rPr>
              <w:t>net income</w:t>
            </w:r>
            <w:r>
              <w:rPr>
                <w:lang w:eastAsia="en-US"/>
              </w:rPr>
              <w:t>’</w:t>
            </w:r>
            <w:r w:rsidRPr="00517B10">
              <w:rPr>
                <w:lang w:eastAsia="en-US"/>
              </w:rPr>
              <w:t>)</w:t>
            </w:r>
            <w:r>
              <w:rPr>
                <w:lang w:eastAsia="en-US"/>
              </w:rPr>
              <w:br/>
            </w:r>
            <w:r w:rsidRPr="00517B10">
              <w:rPr>
                <w:lang w:eastAsia="en-US"/>
              </w:rPr>
              <w:t xml:space="preserve">102D(1) (note at the end of the definition of </w:t>
            </w:r>
            <w:r>
              <w:rPr>
                <w:lang w:eastAsia="en-US"/>
              </w:rPr>
              <w:t>‘</w:t>
            </w:r>
            <w:r w:rsidRPr="00517B10">
              <w:rPr>
                <w:lang w:eastAsia="en-US"/>
              </w:rPr>
              <w:t>net income</w:t>
            </w:r>
            <w:r>
              <w:rPr>
                <w:lang w:eastAsia="en-US"/>
              </w:rPr>
              <w:t>’</w:t>
            </w:r>
            <w:r w:rsidRPr="00517B10">
              <w:rPr>
                <w:lang w:eastAsia="en-US"/>
              </w:rPr>
              <w:t>)</w:t>
            </w:r>
            <w:r>
              <w:rPr>
                <w:lang w:eastAsia="en-US"/>
              </w:rPr>
              <w:br/>
            </w:r>
            <w:r w:rsidRPr="00517B10">
              <w:rPr>
                <w:lang w:eastAsia="en-US"/>
              </w:rPr>
              <w:t xml:space="preserve">102M (note at the end of the definition of </w:t>
            </w:r>
            <w:r>
              <w:rPr>
                <w:lang w:eastAsia="en-US"/>
              </w:rPr>
              <w:t>‘</w:t>
            </w:r>
            <w:r w:rsidRPr="00517B10">
              <w:rPr>
                <w:lang w:eastAsia="en-US"/>
              </w:rPr>
              <w:t>net income</w:t>
            </w:r>
            <w:r>
              <w:rPr>
                <w:lang w:eastAsia="en-US"/>
              </w:rPr>
              <w:t>’</w:t>
            </w:r>
            <w:r w:rsidRPr="00517B10">
              <w:rPr>
                <w:lang w:eastAsia="en-US"/>
              </w:rPr>
              <w:t>)</w:t>
            </w:r>
            <w:r>
              <w:rPr>
                <w:lang w:eastAsia="en-US"/>
              </w:rPr>
              <w:br/>
            </w:r>
            <w:r w:rsidRPr="00517B10">
              <w:rPr>
                <w:lang w:eastAsia="en-US"/>
              </w:rPr>
              <w:t xml:space="preserve">102UC(4) (definition of </w:t>
            </w:r>
            <w:r>
              <w:rPr>
                <w:lang w:eastAsia="en-US"/>
              </w:rPr>
              <w:t>‘</w:t>
            </w:r>
            <w:r w:rsidRPr="00517B10">
              <w:rPr>
                <w:lang w:eastAsia="en-US"/>
              </w:rPr>
              <w:t>discretionary trust</w:t>
            </w:r>
            <w:r>
              <w:rPr>
                <w:lang w:eastAsia="en-US"/>
              </w:rPr>
              <w:t>’</w:t>
            </w:r>
            <w:r w:rsidRPr="00517B10">
              <w:rPr>
                <w:lang w:eastAsia="en-US"/>
              </w:rPr>
              <w:t>)</w:t>
            </w:r>
            <w:r>
              <w:rPr>
                <w:lang w:eastAsia="en-US"/>
              </w:rPr>
              <w:br/>
            </w:r>
            <w:r w:rsidRPr="00517B10">
              <w:rPr>
                <w:lang w:eastAsia="en-US"/>
              </w:rPr>
              <w:t xml:space="preserve">102UC(4) (paragraphs (a), (d) and (e) of the definition of </w:t>
            </w:r>
            <w:r>
              <w:rPr>
                <w:lang w:eastAsia="en-US"/>
              </w:rPr>
              <w:t>‘</w:t>
            </w:r>
            <w:r w:rsidRPr="00517B10">
              <w:rPr>
                <w:lang w:eastAsia="en-US"/>
              </w:rPr>
              <w:t>excluded trust</w:t>
            </w:r>
            <w:r>
              <w:rPr>
                <w:lang w:eastAsia="en-US"/>
              </w:rPr>
              <w:t>’</w:t>
            </w:r>
            <w:r w:rsidRPr="00517B10">
              <w:rPr>
                <w:lang w:eastAsia="en-US"/>
              </w:rPr>
              <w:t>)</w:t>
            </w:r>
            <w:r>
              <w:rPr>
                <w:lang w:eastAsia="en-US"/>
              </w:rPr>
              <w:br/>
            </w:r>
            <w:r w:rsidRPr="00517B10">
              <w:rPr>
                <w:lang w:eastAsia="en-US"/>
              </w:rPr>
              <w:t xml:space="preserve">102UC(4) (definition of </w:t>
            </w:r>
            <w:r>
              <w:rPr>
                <w:lang w:eastAsia="en-US"/>
              </w:rPr>
              <w:t>‘</w:t>
            </w:r>
            <w:r w:rsidRPr="00517B10">
              <w:rPr>
                <w:lang w:eastAsia="en-US"/>
              </w:rPr>
              <w:t>fixed entitlement</w:t>
            </w:r>
            <w:r>
              <w:rPr>
                <w:lang w:eastAsia="en-US"/>
              </w:rPr>
              <w:t>’</w:t>
            </w:r>
            <w:r w:rsidRPr="00517B10">
              <w:rPr>
                <w:lang w:eastAsia="en-US"/>
              </w:rPr>
              <w:t>)</w:t>
            </w:r>
            <w:r>
              <w:rPr>
                <w:lang w:eastAsia="en-US"/>
              </w:rPr>
              <w:br/>
            </w:r>
            <w:r w:rsidRPr="00517B10">
              <w:rPr>
                <w:lang w:eastAsia="en-US"/>
              </w:rPr>
              <w:t xml:space="preserve">102UC(4) (definition of </w:t>
            </w:r>
            <w:r>
              <w:rPr>
                <w:lang w:eastAsia="en-US"/>
              </w:rPr>
              <w:t>‘</w:t>
            </w:r>
            <w:r w:rsidRPr="00517B10">
              <w:rPr>
                <w:lang w:eastAsia="en-US"/>
              </w:rPr>
              <w:t>indirectly</w:t>
            </w:r>
            <w:r>
              <w:rPr>
                <w:lang w:eastAsia="en-US"/>
              </w:rPr>
              <w:t>’</w:t>
            </w:r>
            <w:r w:rsidRPr="00517B10">
              <w:rPr>
                <w:lang w:eastAsia="en-US"/>
              </w:rPr>
              <w:t>)</w:t>
            </w:r>
            <w:r>
              <w:rPr>
                <w:lang w:eastAsia="en-US"/>
              </w:rPr>
              <w:br/>
            </w:r>
            <w:r w:rsidR="002A4144">
              <w:rPr>
                <w:b/>
                <w:i/>
                <w:lang w:eastAsia="en-US"/>
              </w:rPr>
              <w:t>[I</w:t>
            </w:r>
            <w:r w:rsidRPr="00F74EB7">
              <w:rPr>
                <w:b/>
                <w:i/>
                <w:lang w:eastAsia="en-US"/>
              </w:rPr>
              <w:t>tems 37</w:t>
            </w:r>
            <w:r w:rsidR="00365E97">
              <w:rPr>
                <w:b/>
                <w:i/>
                <w:lang w:eastAsia="en-US"/>
              </w:rPr>
              <w:t>6</w:t>
            </w:r>
            <w:r w:rsidRPr="00F74EB7">
              <w:rPr>
                <w:b/>
                <w:i/>
                <w:lang w:eastAsia="en-US"/>
              </w:rPr>
              <w:t xml:space="preserve"> to 38</w:t>
            </w:r>
            <w:r w:rsidR="00365E97">
              <w:rPr>
                <w:b/>
                <w:i/>
                <w:lang w:eastAsia="en-US"/>
              </w:rPr>
              <w:t>2</w:t>
            </w:r>
            <w:r w:rsidR="002A4144">
              <w:rPr>
                <w:b/>
                <w:i/>
                <w:lang w:eastAsia="en-US"/>
              </w:rPr>
              <w:t>]</w:t>
            </w:r>
          </w:p>
        </w:tc>
        <w:tc>
          <w:tcPr>
            <w:tcW w:w="3912" w:type="dxa"/>
          </w:tcPr>
          <w:p w:rsidR="00325E95" w:rsidRPr="00517B10" w:rsidRDefault="00325E95" w:rsidP="007D3360">
            <w:pPr>
              <w:pStyle w:val="tabletext"/>
              <w:rPr>
                <w:lang w:eastAsia="en-US"/>
              </w:rPr>
            </w:pPr>
            <w:r w:rsidRPr="00517B10">
              <w:rPr>
                <w:lang w:eastAsia="en-US"/>
              </w:rPr>
              <w:t>Corrects the wording of how to refer to a Schedule</w:t>
            </w:r>
            <w:r>
              <w:rPr>
                <w:lang w:eastAsia="en-US"/>
              </w:rPr>
              <w:t xml:space="preserve">.  </w:t>
            </w:r>
          </w:p>
        </w:tc>
      </w:tr>
    </w:tbl>
    <w:p w:rsidR="00325E95" w:rsidRPr="00482A78" w:rsidRDefault="00325E95" w:rsidP="00DC00CE">
      <w:pPr>
        <w:pStyle w:val="TableHeadingoutsidetable"/>
        <w:numPr>
          <w:ilvl w:val="4"/>
          <w:numId w:val="21"/>
        </w:numPr>
        <w:spacing w:before="240" w:after="240"/>
      </w:pPr>
      <w:r>
        <w:lastRenderedPageBreak/>
        <w:t>:</w:t>
      </w:r>
      <w:r>
        <w:rPr>
          <w:iCs/>
        </w:rPr>
        <w:t xml:space="preserve">  </w:t>
      </w:r>
      <w:r w:rsidR="003A12BE">
        <w:rPr>
          <w:iCs/>
        </w:rPr>
        <w:t xml:space="preserve">Part 29 </w:t>
      </w:r>
      <w:r w:rsidR="003A12BE" w:rsidRPr="003A12BE">
        <w:rPr>
          <w:iCs/>
        </w:rPr>
        <w:t>—</w:t>
      </w:r>
      <w:r w:rsidR="003A12BE">
        <w:rPr>
          <w:iCs/>
        </w:rPr>
        <w:t xml:space="preserve"> References to Schedules </w:t>
      </w:r>
      <w:r w:rsidR="003A12BE" w:rsidRPr="003A12BE">
        <w:rPr>
          <w:iCs/>
        </w:rPr>
        <w:t>—</w:t>
      </w:r>
      <w:r w:rsidR="003A12BE">
        <w:rPr>
          <w:iCs/>
        </w:rPr>
        <w:t xml:space="preserve"> </w:t>
      </w:r>
      <w:r w:rsidRPr="0012537C">
        <w:rPr>
          <w:iCs/>
        </w:rPr>
        <w:t>Amendments to the</w:t>
      </w:r>
      <w:r w:rsidRPr="0012537C">
        <w:t xml:space="preserve"> </w:t>
      </w:r>
      <w:r w:rsidRPr="009A23C3">
        <w:rPr>
          <w:i/>
        </w:rPr>
        <w:t>Income Tax Assessment Act 1997</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912"/>
      </w:tblGrid>
      <w:tr w:rsidR="00325E95" w:rsidRPr="00344FE7" w:rsidTr="007D3360">
        <w:trPr>
          <w:tblHeader/>
        </w:trPr>
        <w:tc>
          <w:tcPr>
            <w:tcW w:w="2694" w:type="dxa"/>
            <w:tcBorders>
              <w:top w:val="single" w:sz="4" w:space="0" w:color="auto"/>
              <w:left w:val="single" w:sz="4" w:space="0" w:color="auto"/>
              <w:bottom w:val="single" w:sz="4" w:space="0" w:color="auto"/>
              <w:right w:val="single" w:sz="4" w:space="0" w:color="auto"/>
            </w:tcBorders>
            <w:hideMark/>
          </w:tcPr>
          <w:p w:rsidR="00325E95" w:rsidRPr="00344FE7" w:rsidRDefault="00325E95" w:rsidP="007D3360">
            <w:pPr>
              <w:pStyle w:val="tableheaderwithintable"/>
              <w:rPr>
                <w:lang w:eastAsia="en-US"/>
              </w:rPr>
            </w:pPr>
            <w:r w:rsidRPr="00344FE7">
              <w:rPr>
                <w:lang w:eastAsia="en-US"/>
              </w:rPr>
              <w:t>Provision being amended</w:t>
            </w:r>
          </w:p>
        </w:tc>
        <w:tc>
          <w:tcPr>
            <w:tcW w:w="3912" w:type="dxa"/>
            <w:tcBorders>
              <w:top w:val="single" w:sz="4" w:space="0" w:color="auto"/>
              <w:left w:val="single" w:sz="4" w:space="0" w:color="auto"/>
              <w:bottom w:val="single" w:sz="4" w:space="0" w:color="auto"/>
              <w:right w:val="single" w:sz="4" w:space="0" w:color="auto"/>
            </w:tcBorders>
            <w:hideMark/>
          </w:tcPr>
          <w:p w:rsidR="00325E95" w:rsidRPr="00344FE7" w:rsidRDefault="00325E95" w:rsidP="007D3360">
            <w:pPr>
              <w:pStyle w:val="tableheaderwithintable"/>
              <w:rPr>
                <w:lang w:eastAsia="en-US"/>
              </w:rPr>
            </w:pPr>
            <w:r w:rsidRPr="00344FE7">
              <w:rPr>
                <w:lang w:eastAsia="en-US"/>
              </w:rPr>
              <w:t>What the amendment does</w:t>
            </w:r>
          </w:p>
        </w:tc>
      </w:tr>
      <w:tr w:rsidR="00325E95" w:rsidRPr="00344FE7" w:rsidTr="007D3360">
        <w:trPr>
          <w:cantSplit/>
        </w:trPr>
        <w:tc>
          <w:tcPr>
            <w:tcW w:w="2694" w:type="dxa"/>
            <w:tcBorders>
              <w:top w:val="single" w:sz="4" w:space="0" w:color="auto"/>
              <w:left w:val="single" w:sz="4" w:space="0" w:color="auto"/>
              <w:bottom w:val="single" w:sz="4" w:space="0" w:color="auto"/>
              <w:right w:val="single" w:sz="4" w:space="0" w:color="auto"/>
            </w:tcBorders>
          </w:tcPr>
          <w:p w:rsidR="00325E95" w:rsidRPr="00375E04" w:rsidRDefault="00325E95" w:rsidP="007D3360">
            <w:pPr>
              <w:pStyle w:val="tabletext"/>
              <w:keepNext/>
              <w:spacing w:after="0"/>
              <w:ind w:left="34"/>
              <w:rPr>
                <w:b/>
                <w:sz w:val="18"/>
                <w:szCs w:val="18"/>
                <w:lang w:eastAsia="en-US"/>
              </w:rPr>
            </w:pPr>
            <w:r w:rsidRPr="00375E04">
              <w:rPr>
                <w:b/>
                <w:i/>
              </w:rPr>
              <w:t xml:space="preserve">Income Tax Assessment </w:t>
            </w:r>
            <w:r>
              <w:rPr>
                <w:b/>
                <w:i/>
              </w:rPr>
              <w:br/>
            </w:r>
            <w:r w:rsidRPr="00375E04">
              <w:rPr>
                <w:b/>
                <w:i/>
              </w:rPr>
              <w:t>Act 1997</w:t>
            </w:r>
          </w:p>
          <w:p w:rsidR="00325E95" w:rsidRPr="0039129F" w:rsidRDefault="00325E95" w:rsidP="007D3360">
            <w:pPr>
              <w:pStyle w:val="tabletext"/>
              <w:keepNext/>
              <w:spacing w:after="0"/>
              <w:ind w:left="34"/>
              <w:rPr>
                <w:lang w:eastAsia="en-US"/>
              </w:rPr>
            </w:pPr>
            <w:r w:rsidRPr="0039129F">
              <w:rPr>
                <w:lang w:eastAsia="en-US"/>
              </w:rPr>
              <w:t xml:space="preserve">25-35(5) (cell </w:t>
            </w:r>
            <w:r>
              <w:rPr>
                <w:lang w:eastAsia="en-US"/>
              </w:rPr>
              <w:t>in</w:t>
            </w:r>
            <w:r w:rsidRPr="0039129F">
              <w:rPr>
                <w:lang w:eastAsia="en-US"/>
              </w:rPr>
              <w:t xml:space="preserve"> item 5</w:t>
            </w:r>
            <w:r>
              <w:rPr>
                <w:lang w:eastAsia="en-US"/>
              </w:rPr>
              <w:t xml:space="preserve"> in the table</w:t>
            </w:r>
            <w:r w:rsidRPr="0039129F">
              <w:rPr>
                <w:lang w:eastAsia="en-US"/>
              </w:rPr>
              <w:t xml:space="preserve">, column headed </w:t>
            </w:r>
            <w:r>
              <w:rPr>
                <w:lang w:eastAsia="en-US"/>
              </w:rPr>
              <w:t>‘</w:t>
            </w:r>
            <w:r w:rsidRPr="0039129F">
              <w:rPr>
                <w:lang w:eastAsia="en-US"/>
              </w:rPr>
              <w:t>See:</w:t>
            </w:r>
            <w:r>
              <w:rPr>
                <w:lang w:eastAsia="en-US"/>
              </w:rPr>
              <w:t>’</w:t>
            </w:r>
            <w:r w:rsidRPr="0039129F">
              <w:rPr>
                <w:lang w:eastAsia="en-US"/>
              </w:rPr>
              <w:t>)</w:t>
            </w:r>
          </w:p>
          <w:p w:rsidR="00325E95" w:rsidRPr="0039129F" w:rsidRDefault="00325E95" w:rsidP="007D3360">
            <w:pPr>
              <w:pStyle w:val="tabletext"/>
              <w:spacing w:after="0"/>
              <w:rPr>
                <w:lang w:eastAsia="en-US"/>
              </w:rPr>
            </w:pPr>
            <w:r w:rsidRPr="0039129F">
              <w:rPr>
                <w:lang w:eastAsia="en-US"/>
              </w:rPr>
              <w:t>36-25</w:t>
            </w:r>
          </w:p>
          <w:p w:rsidR="00325E95" w:rsidRPr="0039129F" w:rsidRDefault="00325E95" w:rsidP="007D3360">
            <w:pPr>
              <w:pStyle w:val="tabletext"/>
              <w:spacing w:after="0"/>
              <w:rPr>
                <w:lang w:eastAsia="en-US"/>
              </w:rPr>
            </w:pPr>
            <w:r w:rsidRPr="0039129F">
              <w:rPr>
                <w:lang w:eastAsia="en-US"/>
              </w:rPr>
              <w:t xml:space="preserve">109-60 (cell </w:t>
            </w:r>
            <w:r>
              <w:rPr>
                <w:lang w:eastAsia="en-US"/>
              </w:rPr>
              <w:t xml:space="preserve">in </w:t>
            </w:r>
            <w:r w:rsidRPr="0039129F">
              <w:rPr>
                <w:lang w:eastAsia="en-US"/>
              </w:rPr>
              <w:t>item 9</w:t>
            </w:r>
            <w:r>
              <w:rPr>
                <w:lang w:eastAsia="en-US"/>
              </w:rPr>
              <w:t xml:space="preserve"> in the table</w:t>
            </w:r>
            <w:r w:rsidRPr="0039129F">
              <w:rPr>
                <w:lang w:eastAsia="en-US"/>
              </w:rPr>
              <w:t xml:space="preserve">, column headed </w:t>
            </w:r>
            <w:r>
              <w:rPr>
                <w:lang w:eastAsia="en-US"/>
              </w:rPr>
              <w:t>‘</w:t>
            </w:r>
            <w:r w:rsidRPr="0039129F">
              <w:rPr>
                <w:lang w:eastAsia="en-US"/>
              </w:rPr>
              <w:t>See:</w:t>
            </w:r>
            <w:r>
              <w:rPr>
                <w:lang w:eastAsia="en-US"/>
              </w:rPr>
              <w:t>’</w:t>
            </w:r>
            <w:r w:rsidRPr="0039129F">
              <w:rPr>
                <w:lang w:eastAsia="en-US"/>
              </w:rPr>
              <w:t>)</w:t>
            </w:r>
          </w:p>
          <w:p w:rsidR="00325E95" w:rsidRPr="0039129F" w:rsidRDefault="00325E95" w:rsidP="007D3360">
            <w:pPr>
              <w:pStyle w:val="tabletext"/>
              <w:spacing w:after="0"/>
              <w:rPr>
                <w:lang w:eastAsia="en-US"/>
              </w:rPr>
            </w:pPr>
            <w:r w:rsidRPr="0039129F">
              <w:rPr>
                <w:lang w:eastAsia="en-US"/>
              </w:rPr>
              <w:t xml:space="preserve">109-60 (cell </w:t>
            </w:r>
            <w:r>
              <w:rPr>
                <w:lang w:eastAsia="en-US"/>
              </w:rPr>
              <w:t>in</w:t>
            </w:r>
            <w:r w:rsidRPr="0039129F">
              <w:rPr>
                <w:lang w:eastAsia="en-US"/>
              </w:rPr>
              <w:t xml:space="preserve"> item 10</w:t>
            </w:r>
            <w:r>
              <w:rPr>
                <w:lang w:eastAsia="en-US"/>
              </w:rPr>
              <w:t xml:space="preserve"> in the table</w:t>
            </w:r>
            <w:r w:rsidRPr="0039129F">
              <w:rPr>
                <w:lang w:eastAsia="en-US"/>
              </w:rPr>
              <w:t xml:space="preserve">, column headed </w:t>
            </w:r>
            <w:r>
              <w:rPr>
                <w:lang w:eastAsia="en-US"/>
              </w:rPr>
              <w:t>‘</w:t>
            </w:r>
            <w:r w:rsidRPr="0039129F">
              <w:rPr>
                <w:lang w:eastAsia="en-US"/>
              </w:rPr>
              <w:t>See:</w:t>
            </w:r>
            <w:r>
              <w:rPr>
                <w:lang w:eastAsia="en-US"/>
              </w:rPr>
              <w:t>’</w:t>
            </w:r>
            <w:r w:rsidRPr="0039129F">
              <w:rPr>
                <w:lang w:eastAsia="en-US"/>
              </w:rPr>
              <w:t>)</w:t>
            </w:r>
          </w:p>
          <w:p w:rsidR="00325E95" w:rsidRPr="0039129F" w:rsidRDefault="00325E95" w:rsidP="007D3360">
            <w:pPr>
              <w:pStyle w:val="tabletext"/>
              <w:spacing w:after="0"/>
              <w:rPr>
                <w:lang w:eastAsia="en-US"/>
              </w:rPr>
            </w:pPr>
            <w:r w:rsidRPr="0039129F">
              <w:rPr>
                <w:lang w:eastAsia="en-US"/>
              </w:rPr>
              <w:t xml:space="preserve">112-97 (cell </w:t>
            </w:r>
            <w:r>
              <w:rPr>
                <w:lang w:eastAsia="en-US"/>
              </w:rPr>
              <w:t xml:space="preserve">in </w:t>
            </w:r>
            <w:r w:rsidRPr="0039129F">
              <w:rPr>
                <w:lang w:eastAsia="en-US"/>
              </w:rPr>
              <w:t>item 5A</w:t>
            </w:r>
            <w:r>
              <w:rPr>
                <w:lang w:eastAsia="en-US"/>
              </w:rPr>
              <w:t xml:space="preserve"> in the table</w:t>
            </w:r>
            <w:r w:rsidRPr="0039129F">
              <w:rPr>
                <w:lang w:eastAsia="en-US"/>
              </w:rPr>
              <w:t xml:space="preserve">, column headed </w:t>
            </w:r>
            <w:r>
              <w:rPr>
                <w:lang w:eastAsia="en-US"/>
              </w:rPr>
              <w:t>‘</w:t>
            </w:r>
            <w:r w:rsidRPr="0039129F">
              <w:rPr>
                <w:lang w:eastAsia="en-US"/>
              </w:rPr>
              <w:t>See:</w:t>
            </w:r>
            <w:r>
              <w:rPr>
                <w:lang w:eastAsia="en-US"/>
              </w:rPr>
              <w:t>’</w:t>
            </w:r>
            <w:r w:rsidRPr="0039129F">
              <w:rPr>
                <w:lang w:eastAsia="en-US"/>
              </w:rPr>
              <w:t>)</w:t>
            </w:r>
          </w:p>
          <w:p w:rsidR="00325E95" w:rsidRPr="0039129F" w:rsidRDefault="00325E95" w:rsidP="007D3360">
            <w:pPr>
              <w:pStyle w:val="tabletext"/>
              <w:spacing w:after="0"/>
              <w:rPr>
                <w:lang w:eastAsia="en-US"/>
              </w:rPr>
            </w:pPr>
            <w:r w:rsidRPr="0039129F">
              <w:rPr>
                <w:lang w:eastAsia="en-US"/>
              </w:rPr>
              <w:t xml:space="preserve">112-97 (cell </w:t>
            </w:r>
            <w:r>
              <w:rPr>
                <w:lang w:eastAsia="en-US"/>
              </w:rPr>
              <w:t xml:space="preserve">in </w:t>
            </w:r>
            <w:r w:rsidRPr="0039129F">
              <w:rPr>
                <w:lang w:eastAsia="en-US"/>
              </w:rPr>
              <w:t>item 20</w:t>
            </w:r>
            <w:r>
              <w:rPr>
                <w:lang w:eastAsia="en-US"/>
              </w:rPr>
              <w:t xml:space="preserve"> in the table</w:t>
            </w:r>
            <w:r w:rsidRPr="0039129F">
              <w:rPr>
                <w:lang w:eastAsia="en-US"/>
              </w:rPr>
              <w:t xml:space="preserve">, column headed </w:t>
            </w:r>
            <w:r>
              <w:rPr>
                <w:lang w:eastAsia="en-US"/>
              </w:rPr>
              <w:t>‘</w:t>
            </w:r>
            <w:r w:rsidRPr="0039129F">
              <w:rPr>
                <w:lang w:eastAsia="en-US"/>
              </w:rPr>
              <w:t>See:</w:t>
            </w:r>
            <w:r>
              <w:rPr>
                <w:lang w:eastAsia="en-US"/>
              </w:rPr>
              <w:t>’</w:t>
            </w:r>
            <w:r w:rsidRPr="0039129F">
              <w:rPr>
                <w:lang w:eastAsia="en-US"/>
              </w:rPr>
              <w:t>)</w:t>
            </w:r>
          </w:p>
          <w:p w:rsidR="00325E95" w:rsidRPr="0039129F" w:rsidRDefault="00325E95" w:rsidP="007D3360">
            <w:pPr>
              <w:pStyle w:val="tabletext"/>
              <w:spacing w:after="0"/>
              <w:rPr>
                <w:lang w:eastAsia="en-US"/>
              </w:rPr>
            </w:pPr>
            <w:r w:rsidRPr="0039129F">
              <w:rPr>
                <w:lang w:eastAsia="en-US"/>
              </w:rPr>
              <w:t>128-15(1) (note 2)</w:t>
            </w:r>
          </w:p>
          <w:p w:rsidR="00325E95" w:rsidRPr="0039129F" w:rsidRDefault="00325E95" w:rsidP="007D3360">
            <w:pPr>
              <w:pStyle w:val="tabletext"/>
              <w:spacing w:after="0"/>
              <w:rPr>
                <w:lang w:eastAsia="en-US"/>
              </w:rPr>
            </w:pPr>
            <w:r w:rsidRPr="0039129F">
              <w:rPr>
                <w:lang w:eastAsia="en-US"/>
              </w:rPr>
              <w:t>165-215(5)</w:t>
            </w:r>
          </w:p>
          <w:p w:rsidR="00325E95" w:rsidRPr="0039129F" w:rsidRDefault="00325E95" w:rsidP="007D3360">
            <w:pPr>
              <w:pStyle w:val="tabletext"/>
              <w:spacing w:after="0"/>
              <w:rPr>
                <w:lang w:eastAsia="en-US"/>
              </w:rPr>
            </w:pPr>
            <w:r w:rsidRPr="0039129F">
              <w:rPr>
                <w:lang w:eastAsia="en-US"/>
              </w:rPr>
              <w:t>165-220(5)</w:t>
            </w:r>
          </w:p>
          <w:p w:rsidR="00325E95" w:rsidRPr="0039129F" w:rsidRDefault="00325E95" w:rsidP="007D3360">
            <w:pPr>
              <w:pStyle w:val="tabletext"/>
              <w:spacing w:after="0"/>
              <w:rPr>
                <w:lang w:eastAsia="en-US"/>
              </w:rPr>
            </w:pPr>
            <w:r w:rsidRPr="0039129F">
              <w:rPr>
                <w:lang w:eastAsia="en-US"/>
              </w:rPr>
              <w:t>165-230(5)</w:t>
            </w:r>
          </w:p>
          <w:p w:rsidR="00325E95" w:rsidRPr="0039129F" w:rsidRDefault="00325E95" w:rsidP="007D3360">
            <w:pPr>
              <w:pStyle w:val="tabletext"/>
              <w:spacing w:after="0"/>
              <w:rPr>
                <w:lang w:eastAsia="en-US"/>
              </w:rPr>
            </w:pPr>
            <w:r w:rsidRPr="0039129F">
              <w:rPr>
                <w:lang w:eastAsia="en-US"/>
              </w:rPr>
              <w:t xml:space="preserve">180-10(1) </w:t>
            </w:r>
          </w:p>
          <w:p w:rsidR="00325E95" w:rsidRPr="0039129F" w:rsidRDefault="00325E95" w:rsidP="007D3360">
            <w:pPr>
              <w:pStyle w:val="tabletext"/>
              <w:spacing w:after="0"/>
              <w:rPr>
                <w:lang w:eastAsia="en-US"/>
              </w:rPr>
            </w:pPr>
            <w:r w:rsidRPr="0039129F">
              <w:rPr>
                <w:lang w:eastAsia="en-US"/>
              </w:rPr>
              <w:t>180-20(1)</w:t>
            </w:r>
          </w:p>
          <w:p w:rsidR="00325E95" w:rsidRPr="0039129F" w:rsidRDefault="00325E95" w:rsidP="007D3360">
            <w:pPr>
              <w:pStyle w:val="tabletext"/>
              <w:spacing w:after="0"/>
              <w:rPr>
                <w:lang w:eastAsia="en-US"/>
              </w:rPr>
            </w:pPr>
            <w:r w:rsidRPr="0039129F">
              <w:rPr>
                <w:lang w:eastAsia="en-US"/>
              </w:rPr>
              <w:t>230-460(7)</w:t>
            </w:r>
          </w:p>
          <w:p w:rsidR="00325E95" w:rsidRPr="0039129F" w:rsidRDefault="00325E95" w:rsidP="007D3360">
            <w:pPr>
              <w:pStyle w:val="tabletext"/>
              <w:spacing w:after="0"/>
              <w:rPr>
                <w:lang w:eastAsia="en-US"/>
              </w:rPr>
            </w:pPr>
            <w:r w:rsidRPr="0039129F">
              <w:rPr>
                <w:lang w:eastAsia="en-US"/>
              </w:rPr>
              <w:t xml:space="preserve">328-10(1) (cell </w:t>
            </w:r>
            <w:r>
              <w:rPr>
                <w:lang w:eastAsia="en-US"/>
              </w:rPr>
              <w:t xml:space="preserve">in </w:t>
            </w:r>
            <w:r w:rsidRPr="0039129F">
              <w:rPr>
                <w:lang w:eastAsia="en-US"/>
              </w:rPr>
              <w:t>item 12</w:t>
            </w:r>
            <w:r>
              <w:rPr>
                <w:lang w:eastAsia="en-US"/>
              </w:rPr>
              <w:t xml:space="preserve"> in the table</w:t>
            </w:r>
            <w:r w:rsidRPr="0039129F">
              <w:rPr>
                <w:lang w:eastAsia="en-US"/>
              </w:rPr>
              <w:t xml:space="preserve">, column headed </w:t>
            </w:r>
            <w:r>
              <w:rPr>
                <w:lang w:eastAsia="en-US"/>
              </w:rPr>
              <w:t>‘</w:t>
            </w:r>
            <w:r w:rsidRPr="0039129F">
              <w:rPr>
                <w:lang w:eastAsia="en-US"/>
              </w:rPr>
              <w:t>Provision</w:t>
            </w:r>
            <w:r>
              <w:rPr>
                <w:lang w:eastAsia="en-US"/>
              </w:rPr>
              <w:t>’</w:t>
            </w:r>
            <w:r w:rsidRPr="0039129F">
              <w:rPr>
                <w:lang w:eastAsia="en-US"/>
              </w:rPr>
              <w:t>)</w:t>
            </w:r>
          </w:p>
          <w:p w:rsidR="00325E95" w:rsidRPr="0039129F" w:rsidRDefault="00325E95" w:rsidP="007D3360">
            <w:pPr>
              <w:pStyle w:val="tabletext"/>
              <w:spacing w:after="0"/>
              <w:rPr>
                <w:lang w:eastAsia="en-US"/>
              </w:rPr>
            </w:pPr>
            <w:r w:rsidRPr="0039129F">
              <w:rPr>
                <w:lang w:eastAsia="en-US"/>
              </w:rPr>
              <w:t>328-110(4) (paragraph (a) of the note)</w:t>
            </w:r>
          </w:p>
          <w:p w:rsidR="00325E95" w:rsidRPr="0039129F" w:rsidRDefault="00325E95" w:rsidP="007D3360">
            <w:pPr>
              <w:pStyle w:val="tabletext"/>
              <w:spacing w:after="0"/>
              <w:rPr>
                <w:lang w:eastAsia="en-US"/>
              </w:rPr>
            </w:pPr>
            <w:r w:rsidRPr="0039129F">
              <w:rPr>
                <w:lang w:eastAsia="en-US"/>
              </w:rPr>
              <w:t xml:space="preserve">995-1(1) (definition of </w:t>
            </w:r>
            <w:r>
              <w:rPr>
                <w:lang w:eastAsia="en-US"/>
              </w:rPr>
              <w:t>‘f</w:t>
            </w:r>
            <w:r w:rsidRPr="0039129F">
              <w:rPr>
                <w:lang w:eastAsia="en-US"/>
              </w:rPr>
              <w:t>amily trust</w:t>
            </w:r>
            <w:r>
              <w:rPr>
                <w:lang w:eastAsia="en-US"/>
              </w:rPr>
              <w:t>’</w:t>
            </w:r>
            <w:r w:rsidRPr="0039129F">
              <w:rPr>
                <w:lang w:eastAsia="en-US"/>
              </w:rPr>
              <w:t>)</w:t>
            </w:r>
          </w:p>
          <w:p w:rsidR="00325E95" w:rsidRPr="0039129F" w:rsidRDefault="00325E95" w:rsidP="007D3360">
            <w:pPr>
              <w:pStyle w:val="tabletext"/>
              <w:spacing w:after="0"/>
              <w:rPr>
                <w:lang w:eastAsia="en-US"/>
              </w:rPr>
            </w:pPr>
            <w:r w:rsidRPr="0039129F">
              <w:rPr>
                <w:lang w:eastAsia="en-US"/>
              </w:rPr>
              <w:t xml:space="preserve">995-1(1) (paragraph (a) of the definition of </w:t>
            </w:r>
            <w:r>
              <w:rPr>
                <w:lang w:eastAsia="en-US"/>
              </w:rPr>
              <w:t>‘</w:t>
            </w:r>
            <w:r w:rsidRPr="0039129F">
              <w:rPr>
                <w:lang w:eastAsia="en-US"/>
              </w:rPr>
              <w:t>income for surcharge purposes</w:t>
            </w:r>
            <w:r>
              <w:rPr>
                <w:lang w:eastAsia="en-US"/>
              </w:rPr>
              <w:t>’</w:t>
            </w:r>
            <w:r w:rsidRPr="0039129F">
              <w:rPr>
                <w:lang w:eastAsia="en-US"/>
              </w:rPr>
              <w:t>)</w:t>
            </w:r>
          </w:p>
          <w:p w:rsidR="00325E95" w:rsidRDefault="00325E95" w:rsidP="00365E97">
            <w:pPr>
              <w:pStyle w:val="tabletext"/>
              <w:spacing w:after="0"/>
              <w:rPr>
                <w:b/>
                <w:i/>
                <w:lang w:eastAsia="en-US"/>
              </w:rPr>
            </w:pPr>
            <w:r w:rsidRPr="0039129F">
              <w:rPr>
                <w:lang w:eastAsia="en-US"/>
              </w:rPr>
              <w:t xml:space="preserve">995-1(1) (note 1 to paragraph (a) of the definition of </w:t>
            </w:r>
            <w:r>
              <w:rPr>
                <w:lang w:eastAsia="en-US"/>
              </w:rPr>
              <w:t>‘</w:t>
            </w:r>
            <w:r w:rsidRPr="0039129F">
              <w:rPr>
                <w:lang w:eastAsia="en-US"/>
              </w:rPr>
              <w:t>tax loss</w:t>
            </w:r>
            <w:r>
              <w:rPr>
                <w:lang w:eastAsia="en-US"/>
              </w:rPr>
              <w:t>’</w:t>
            </w:r>
            <w:r w:rsidRPr="0039129F">
              <w:rPr>
                <w:lang w:eastAsia="en-US"/>
              </w:rPr>
              <w:t>)</w:t>
            </w:r>
            <w:r>
              <w:rPr>
                <w:lang w:eastAsia="en-US"/>
              </w:rPr>
              <w:br/>
            </w:r>
            <w:r w:rsidR="002A4144">
              <w:rPr>
                <w:b/>
                <w:i/>
                <w:lang w:eastAsia="en-US"/>
              </w:rPr>
              <w:t>[I</w:t>
            </w:r>
            <w:r w:rsidRPr="0039129F">
              <w:rPr>
                <w:b/>
                <w:i/>
                <w:lang w:eastAsia="en-US"/>
              </w:rPr>
              <w:t>tems 38</w:t>
            </w:r>
            <w:r w:rsidR="00365E97">
              <w:rPr>
                <w:b/>
                <w:i/>
                <w:lang w:eastAsia="en-US"/>
              </w:rPr>
              <w:t>3</w:t>
            </w:r>
            <w:r w:rsidRPr="0039129F">
              <w:rPr>
                <w:b/>
                <w:i/>
                <w:lang w:eastAsia="en-US"/>
              </w:rPr>
              <w:t xml:space="preserve"> to 39</w:t>
            </w:r>
            <w:r w:rsidR="00365E97">
              <w:rPr>
                <w:b/>
                <w:i/>
                <w:lang w:eastAsia="en-US"/>
              </w:rPr>
              <w:t>6</w:t>
            </w:r>
            <w:r w:rsidR="002A4144">
              <w:rPr>
                <w:b/>
                <w:i/>
                <w:lang w:eastAsia="en-US"/>
              </w:rPr>
              <w:t>]</w:t>
            </w:r>
          </w:p>
          <w:p w:rsidR="00074B4F" w:rsidRDefault="00074B4F" w:rsidP="00365E97">
            <w:pPr>
              <w:pStyle w:val="tabletext"/>
              <w:spacing w:after="0"/>
              <w:rPr>
                <w:b/>
                <w:i/>
                <w:lang w:eastAsia="en-US"/>
              </w:rPr>
            </w:pPr>
          </w:p>
          <w:p w:rsidR="00074B4F" w:rsidRDefault="00074B4F" w:rsidP="00365E97">
            <w:pPr>
              <w:pStyle w:val="tabletext"/>
              <w:spacing w:after="0"/>
              <w:rPr>
                <w:b/>
                <w:i/>
                <w:lang w:eastAsia="en-US"/>
              </w:rPr>
            </w:pPr>
          </w:p>
          <w:p w:rsidR="00074B4F" w:rsidRDefault="00074B4F" w:rsidP="00365E97">
            <w:pPr>
              <w:pStyle w:val="tabletext"/>
              <w:spacing w:after="0"/>
              <w:rPr>
                <w:b/>
                <w:i/>
                <w:lang w:eastAsia="en-US"/>
              </w:rPr>
            </w:pPr>
          </w:p>
          <w:p w:rsidR="00074B4F" w:rsidRDefault="00074B4F" w:rsidP="00365E97">
            <w:pPr>
              <w:pStyle w:val="tabletext"/>
              <w:spacing w:after="0"/>
              <w:rPr>
                <w:b/>
                <w:i/>
                <w:lang w:eastAsia="en-US"/>
              </w:rPr>
            </w:pPr>
          </w:p>
          <w:p w:rsidR="00074B4F" w:rsidRDefault="00074B4F" w:rsidP="00365E97">
            <w:pPr>
              <w:pStyle w:val="tabletext"/>
              <w:spacing w:after="0"/>
              <w:rPr>
                <w:b/>
                <w:i/>
                <w:lang w:eastAsia="en-US"/>
              </w:rPr>
            </w:pPr>
          </w:p>
          <w:p w:rsidR="00074B4F" w:rsidRPr="00344FE7" w:rsidRDefault="00074B4F" w:rsidP="00365E97">
            <w:pPr>
              <w:pStyle w:val="tabletext"/>
              <w:spacing w:after="0"/>
              <w:rPr>
                <w:lang w:eastAsia="en-US"/>
              </w:rPr>
            </w:pPr>
          </w:p>
        </w:tc>
        <w:tc>
          <w:tcPr>
            <w:tcW w:w="3912" w:type="dxa"/>
            <w:tcBorders>
              <w:top w:val="single" w:sz="4" w:space="0" w:color="auto"/>
              <w:left w:val="single" w:sz="4" w:space="0" w:color="auto"/>
              <w:bottom w:val="single" w:sz="4" w:space="0" w:color="auto"/>
              <w:right w:val="single" w:sz="4" w:space="0" w:color="auto"/>
            </w:tcBorders>
            <w:hideMark/>
          </w:tcPr>
          <w:p w:rsidR="00325E95" w:rsidRDefault="00325E95" w:rsidP="007D3360">
            <w:pPr>
              <w:pStyle w:val="tabletext"/>
              <w:rPr>
                <w:lang w:eastAsia="en-US"/>
              </w:rPr>
            </w:pPr>
            <w:r w:rsidRPr="00344FE7">
              <w:rPr>
                <w:lang w:eastAsia="en-US"/>
              </w:rPr>
              <w:t>Corrects the wording of how to refer to a Schedule</w:t>
            </w:r>
            <w:r w:rsidR="00074B4F">
              <w:rPr>
                <w:lang w:eastAsia="en-US"/>
              </w:rPr>
              <w:t>.</w:t>
            </w:r>
          </w:p>
          <w:p w:rsidR="00325E95" w:rsidRPr="00344FE7" w:rsidRDefault="00325E95" w:rsidP="007D3360">
            <w:pPr>
              <w:pStyle w:val="tabletext"/>
              <w:rPr>
                <w:lang w:eastAsia="en-US"/>
              </w:rPr>
            </w:pPr>
            <w:r w:rsidRPr="00344FE7">
              <w:rPr>
                <w:lang w:eastAsia="en-US"/>
              </w:rPr>
              <w:t xml:space="preserve">Updates a reference </w:t>
            </w:r>
            <w:r>
              <w:rPr>
                <w:lang w:eastAsia="en-US"/>
              </w:rPr>
              <w:t>to the old Schedule 2J in the I</w:t>
            </w:r>
            <w:r w:rsidRPr="00344FE7">
              <w:rPr>
                <w:lang w:eastAsia="en-US"/>
              </w:rPr>
              <w:t>TAA 1936, which has since been rewritten into Sub</w:t>
            </w:r>
            <w:r>
              <w:rPr>
                <w:lang w:eastAsia="en-US"/>
              </w:rPr>
              <w:t>division 321-C in the IT</w:t>
            </w:r>
            <w:r w:rsidRPr="00344FE7">
              <w:rPr>
                <w:lang w:eastAsia="en-US"/>
              </w:rPr>
              <w:t>AA</w:t>
            </w:r>
            <w:r>
              <w:rPr>
                <w:lang w:eastAsia="en-US"/>
              </w:rPr>
              <w:t> </w:t>
            </w:r>
            <w:r w:rsidRPr="00344FE7">
              <w:rPr>
                <w:lang w:eastAsia="en-US"/>
              </w:rPr>
              <w:t>1997</w:t>
            </w:r>
            <w:r>
              <w:rPr>
                <w:lang w:eastAsia="en-US"/>
              </w:rPr>
              <w:t xml:space="preserve">.  </w:t>
            </w:r>
          </w:p>
        </w:tc>
      </w:tr>
    </w:tbl>
    <w:p w:rsidR="00325E95" w:rsidRPr="00D35AEC" w:rsidRDefault="00325E95" w:rsidP="00DC00CE">
      <w:pPr>
        <w:pStyle w:val="TableHeadingoutsidetable"/>
        <w:numPr>
          <w:ilvl w:val="4"/>
          <w:numId w:val="21"/>
        </w:numPr>
        <w:spacing w:before="240" w:after="240"/>
      </w:pPr>
      <w:r w:rsidRPr="00D35AEC">
        <w:lastRenderedPageBreak/>
        <w:t xml:space="preserve">:  </w:t>
      </w:r>
      <w:r w:rsidR="003A12BE">
        <w:rPr>
          <w:iCs/>
        </w:rPr>
        <w:t xml:space="preserve">Part 29 </w:t>
      </w:r>
      <w:r w:rsidR="003A12BE" w:rsidRPr="003A12BE">
        <w:rPr>
          <w:iCs/>
        </w:rPr>
        <w:t>—</w:t>
      </w:r>
      <w:r w:rsidR="003A12BE">
        <w:rPr>
          <w:iCs/>
        </w:rPr>
        <w:t xml:space="preserve"> References to Schedules </w:t>
      </w:r>
      <w:r w:rsidR="003A12BE" w:rsidRPr="003A12BE">
        <w:rPr>
          <w:iCs/>
        </w:rPr>
        <w:t>—</w:t>
      </w:r>
      <w:r w:rsidR="003A12BE">
        <w:rPr>
          <w:iCs/>
        </w:rPr>
        <w:t xml:space="preserve"> </w:t>
      </w:r>
      <w:r w:rsidRPr="00D35AEC">
        <w:rPr>
          <w:iCs/>
        </w:rPr>
        <w:t xml:space="preserve">Amendments to </w:t>
      </w:r>
      <w:r w:rsidRPr="009A23C3">
        <w:rPr>
          <w:iCs/>
        </w:rPr>
        <w:t>the</w:t>
      </w:r>
      <w:r w:rsidRPr="009A23C3">
        <w:t xml:space="preserve"> </w:t>
      </w:r>
      <w:r w:rsidRPr="009A23C3">
        <w:rPr>
          <w:i/>
        </w:rPr>
        <w:t>Income Tax (Transitional Provisions) Act 1997</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912"/>
      </w:tblGrid>
      <w:tr w:rsidR="00325E95" w:rsidRPr="00344FE7" w:rsidTr="007D3360">
        <w:trPr>
          <w:tblHeader/>
        </w:trPr>
        <w:tc>
          <w:tcPr>
            <w:tcW w:w="2694" w:type="dxa"/>
            <w:tcBorders>
              <w:top w:val="single" w:sz="4" w:space="0" w:color="auto"/>
              <w:left w:val="single" w:sz="4" w:space="0" w:color="auto"/>
              <w:bottom w:val="single" w:sz="4" w:space="0" w:color="auto"/>
              <w:right w:val="single" w:sz="4" w:space="0" w:color="auto"/>
            </w:tcBorders>
            <w:hideMark/>
          </w:tcPr>
          <w:p w:rsidR="00325E95" w:rsidRPr="00344FE7" w:rsidRDefault="00325E95" w:rsidP="00074B4F">
            <w:pPr>
              <w:pStyle w:val="tableheaderwithintable"/>
              <w:rPr>
                <w:lang w:eastAsia="en-US"/>
              </w:rPr>
            </w:pPr>
            <w:r w:rsidRPr="00344FE7">
              <w:rPr>
                <w:lang w:eastAsia="en-US"/>
              </w:rPr>
              <w:t>Provision being amended</w:t>
            </w:r>
          </w:p>
        </w:tc>
        <w:tc>
          <w:tcPr>
            <w:tcW w:w="3912" w:type="dxa"/>
            <w:tcBorders>
              <w:top w:val="single" w:sz="4" w:space="0" w:color="auto"/>
              <w:left w:val="single" w:sz="4" w:space="0" w:color="auto"/>
              <w:bottom w:val="single" w:sz="4" w:space="0" w:color="auto"/>
              <w:right w:val="single" w:sz="4" w:space="0" w:color="auto"/>
            </w:tcBorders>
            <w:hideMark/>
          </w:tcPr>
          <w:p w:rsidR="00325E95" w:rsidRPr="00344FE7" w:rsidRDefault="00325E95" w:rsidP="00074B4F">
            <w:pPr>
              <w:pStyle w:val="tableheaderwithintable"/>
              <w:rPr>
                <w:lang w:eastAsia="en-US"/>
              </w:rPr>
            </w:pPr>
            <w:r w:rsidRPr="00344FE7">
              <w:rPr>
                <w:lang w:eastAsia="en-US"/>
              </w:rPr>
              <w:t>What the amendment does</w:t>
            </w:r>
          </w:p>
        </w:tc>
      </w:tr>
      <w:tr w:rsidR="00325E95" w:rsidRPr="00344FE7" w:rsidTr="007D3360">
        <w:trPr>
          <w:cantSplit/>
        </w:trPr>
        <w:tc>
          <w:tcPr>
            <w:tcW w:w="2694" w:type="dxa"/>
            <w:tcBorders>
              <w:top w:val="single" w:sz="4" w:space="0" w:color="auto"/>
              <w:left w:val="single" w:sz="4" w:space="0" w:color="auto"/>
              <w:bottom w:val="single" w:sz="4" w:space="0" w:color="auto"/>
              <w:right w:val="single" w:sz="4" w:space="0" w:color="auto"/>
            </w:tcBorders>
          </w:tcPr>
          <w:p w:rsidR="00325E95" w:rsidRPr="007C06D2" w:rsidRDefault="00325E95" w:rsidP="00074B4F">
            <w:pPr>
              <w:pStyle w:val="tabletext"/>
              <w:keepNext/>
              <w:rPr>
                <w:b/>
                <w:i/>
              </w:rPr>
            </w:pPr>
            <w:r w:rsidRPr="007C06D2">
              <w:rPr>
                <w:b/>
                <w:i/>
              </w:rPr>
              <w:t>Income Tax (Transitional Provisions) Act 1997</w:t>
            </w:r>
          </w:p>
          <w:p w:rsidR="00325E95" w:rsidRPr="00344FE7" w:rsidRDefault="00325E95" w:rsidP="00074B4F">
            <w:pPr>
              <w:pStyle w:val="tabletext"/>
              <w:keepNext/>
              <w:rPr>
                <w:lang w:eastAsia="en-US"/>
              </w:rPr>
            </w:pPr>
            <w:r w:rsidRPr="00344FE7">
              <w:rPr>
                <w:lang w:eastAsia="en-US"/>
              </w:rPr>
              <w:t>40-285(2)(a)(ii)</w:t>
            </w:r>
            <w:r>
              <w:rPr>
                <w:lang w:eastAsia="en-US"/>
              </w:rPr>
              <w:br/>
            </w:r>
            <w:r w:rsidR="002A4144">
              <w:rPr>
                <w:b/>
                <w:i/>
                <w:lang w:eastAsia="en-US"/>
              </w:rPr>
              <w:t>[It</w:t>
            </w:r>
            <w:r w:rsidRPr="00E54D3A">
              <w:rPr>
                <w:b/>
                <w:i/>
                <w:lang w:eastAsia="en-US"/>
              </w:rPr>
              <w:t>em 39</w:t>
            </w:r>
            <w:r w:rsidR="00365E97">
              <w:rPr>
                <w:b/>
                <w:i/>
                <w:lang w:eastAsia="en-US"/>
              </w:rPr>
              <w:t>7</w:t>
            </w:r>
            <w:r w:rsidR="002A4144">
              <w:rPr>
                <w:b/>
                <w:i/>
                <w:lang w:eastAsia="en-US"/>
              </w:rPr>
              <w:t>]</w:t>
            </w:r>
          </w:p>
        </w:tc>
        <w:tc>
          <w:tcPr>
            <w:tcW w:w="3912" w:type="dxa"/>
            <w:tcBorders>
              <w:top w:val="single" w:sz="4" w:space="0" w:color="auto"/>
              <w:left w:val="single" w:sz="4" w:space="0" w:color="auto"/>
              <w:bottom w:val="single" w:sz="4" w:space="0" w:color="auto"/>
              <w:right w:val="single" w:sz="4" w:space="0" w:color="auto"/>
            </w:tcBorders>
            <w:hideMark/>
          </w:tcPr>
          <w:p w:rsidR="00325E95" w:rsidRPr="00344FE7" w:rsidRDefault="00325E95" w:rsidP="00074B4F">
            <w:pPr>
              <w:pStyle w:val="tabletext"/>
              <w:keepNext/>
              <w:spacing w:after="0"/>
              <w:rPr>
                <w:i/>
                <w:sz w:val="18"/>
                <w:lang w:eastAsia="en-US"/>
              </w:rPr>
            </w:pPr>
            <w:r w:rsidRPr="00575D9D">
              <w:t>Corrects the wording of how to refer to a Schedule</w:t>
            </w:r>
            <w:r>
              <w:rPr>
                <w:sz w:val="18"/>
                <w:lang w:eastAsia="en-US"/>
              </w:rPr>
              <w:t xml:space="preserve">.  </w:t>
            </w:r>
          </w:p>
        </w:tc>
      </w:tr>
    </w:tbl>
    <w:p w:rsidR="00325E95" w:rsidRPr="00344FE7" w:rsidRDefault="00325E95" w:rsidP="00DC00CE">
      <w:pPr>
        <w:pStyle w:val="TableHeadingoutsidetable"/>
        <w:numPr>
          <w:ilvl w:val="4"/>
          <w:numId w:val="21"/>
        </w:numPr>
        <w:spacing w:before="240" w:after="240"/>
      </w:pPr>
      <w:r w:rsidRPr="00D35AEC">
        <w:t xml:space="preserve">:  </w:t>
      </w:r>
      <w:r w:rsidR="00E61131">
        <w:rPr>
          <w:iCs/>
        </w:rPr>
        <w:t xml:space="preserve">Part 29 </w:t>
      </w:r>
      <w:r w:rsidR="00E61131" w:rsidRPr="003A12BE">
        <w:rPr>
          <w:iCs/>
        </w:rPr>
        <w:t>—</w:t>
      </w:r>
      <w:r w:rsidR="00E61131">
        <w:rPr>
          <w:iCs/>
        </w:rPr>
        <w:t xml:space="preserve"> References to Schedules </w:t>
      </w:r>
      <w:r w:rsidR="00E61131" w:rsidRPr="003A12BE">
        <w:rPr>
          <w:iCs/>
        </w:rPr>
        <w:t>—</w:t>
      </w:r>
      <w:r w:rsidR="00E61131">
        <w:rPr>
          <w:iCs/>
        </w:rPr>
        <w:t xml:space="preserve"> </w:t>
      </w:r>
      <w:r w:rsidRPr="00D35AEC">
        <w:rPr>
          <w:iCs/>
        </w:rPr>
        <w:t>Amendments to the</w:t>
      </w:r>
      <w:r w:rsidRPr="00D35AEC">
        <w:t xml:space="preserve"> </w:t>
      </w:r>
      <w:r w:rsidRPr="009A23C3">
        <w:rPr>
          <w:i/>
        </w:rPr>
        <w:t>Medicare Levy Act 1986</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912"/>
      </w:tblGrid>
      <w:tr w:rsidR="00325E95" w:rsidRPr="00344FE7" w:rsidTr="007D3360">
        <w:trPr>
          <w:tblHeader/>
        </w:trPr>
        <w:tc>
          <w:tcPr>
            <w:tcW w:w="2694" w:type="dxa"/>
            <w:tcBorders>
              <w:top w:val="single" w:sz="4" w:space="0" w:color="auto"/>
              <w:left w:val="single" w:sz="4" w:space="0" w:color="auto"/>
              <w:bottom w:val="single" w:sz="4" w:space="0" w:color="auto"/>
              <w:right w:val="single" w:sz="4" w:space="0" w:color="auto"/>
            </w:tcBorders>
            <w:hideMark/>
          </w:tcPr>
          <w:p w:rsidR="00325E95" w:rsidRPr="00344FE7" w:rsidRDefault="00325E95" w:rsidP="007D3360">
            <w:pPr>
              <w:pStyle w:val="tableheaderwithintable"/>
              <w:rPr>
                <w:lang w:eastAsia="en-US"/>
              </w:rPr>
            </w:pPr>
            <w:r w:rsidRPr="00344FE7">
              <w:rPr>
                <w:lang w:eastAsia="en-US"/>
              </w:rPr>
              <w:t>Provision being amended</w:t>
            </w:r>
          </w:p>
        </w:tc>
        <w:tc>
          <w:tcPr>
            <w:tcW w:w="3912" w:type="dxa"/>
            <w:tcBorders>
              <w:top w:val="single" w:sz="4" w:space="0" w:color="auto"/>
              <w:left w:val="single" w:sz="4" w:space="0" w:color="auto"/>
              <w:bottom w:val="single" w:sz="4" w:space="0" w:color="auto"/>
              <w:right w:val="single" w:sz="4" w:space="0" w:color="auto"/>
            </w:tcBorders>
            <w:hideMark/>
          </w:tcPr>
          <w:p w:rsidR="00325E95" w:rsidRPr="00344FE7" w:rsidRDefault="00325E95" w:rsidP="007D3360">
            <w:pPr>
              <w:pStyle w:val="tableheaderwithintable"/>
              <w:rPr>
                <w:lang w:eastAsia="en-US"/>
              </w:rPr>
            </w:pPr>
            <w:r w:rsidRPr="00344FE7">
              <w:rPr>
                <w:lang w:eastAsia="en-US"/>
              </w:rPr>
              <w:t>What the amendment does</w:t>
            </w:r>
          </w:p>
        </w:tc>
      </w:tr>
      <w:tr w:rsidR="00325E95" w:rsidRPr="00344FE7" w:rsidTr="007D3360">
        <w:trPr>
          <w:cantSplit/>
        </w:trPr>
        <w:tc>
          <w:tcPr>
            <w:tcW w:w="2694" w:type="dxa"/>
            <w:tcBorders>
              <w:top w:val="single" w:sz="4" w:space="0" w:color="auto"/>
              <w:left w:val="single" w:sz="4" w:space="0" w:color="auto"/>
              <w:bottom w:val="single" w:sz="4" w:space="0" w:color="auto"/>
              <w:right w:val="single" w:sz="4" w:space="0" w:color="auto"/>
            </w:tcBorders>
          </w:tcPr>
          <w:p w:rsidR="00325E95" w:rsidRPr="00CC63C6" w:rsidRDefault="00325E95" w:rsidP="007D3360">
            <w:pPr>
              <w:pStyle w:val="tabletext"/>
              <w:rPr>
                <w:b/>
                <w:i/>
                <w:lang w:eastAsia="en-US"/>
              </w:rPr>
            </w:pPr>
            <w:r w:rsidRPr="00CC63C6">
              <w:rPr>
                <w:b/>
                <w:i/>
                <w:lang w:eastAsia="en-US"/>
              </w:rPr>
              <w:t>Medicare Levy Act 1986</w:t>
            </w:r>
          </w:p>
          <w:p w:rsidR="00325E95" w:rsidRPr="00344FE7" w:rsidRDefault="00325E95" w:rsidP="00365E97">
            <w:pPr>
              <w:pStyle w:val="tabletext"/>
              <w:rPr>
                <w:lang w:eastAsia="en-US"/>
              </w:rPr>
            </w:pPr>
            <w:r w:rsidRPr="00344FE7">
              <w:rPr>
                <w:lang w:eastAsia="en-US"/>
              </w:rPr>
              <w:t>3(2A)</w:t>
            </w:r>
            <w:r>
              <w:rPr>
                <w:lang w:eastAsia="en-US"/>
              </w:rPr>
              <w:br/>
            </w:r>
            <w:r w:rsidR="002A4144">
              <w:rPr>
                <w:b/>
                <w:i/>
                <w:lang w:eastAsia="en-US"/>
              </w:rPr>
              <w:t>[I</w:t>
            </w:r>
            <w:r w:rsidRPr="00E54D3A">
              <w:rPr>
                <w:b/>
                <w:i/>
                <w:lang w:eastAsia="en-US"/>
              </w:rPr>
              <w:t>tem 39</w:t>
            </w:r>
            <w:r w:rsidR="00365E97">
              <w:rPr>
                <w:b/>
                <w:i/>
                <w:lang w:eastAsia="en-US"/>
              </w:rPr>
              <w:t>8</w:t>
            </w:r>
            <w:r w:rsidR="002A4144">
              <w:rPr>
                <w:b/>
                <w:i/>
                <w:lang w:eastAsia="en-US"/>
              </w:rPr>
              <w:t>]</w:t>
            </w:r>
          </w:p>
        </w:tc>
        <w:tc>
          <w:tcPr>
            <w:tcW w:w="3912" w:type="dxa"/>
            <w:tcBorders>
              <w:top w:val="single" w:sz="4" w:space="0" w:color="auto"/>
              <w:left w:val="single" w:sz="4" w:space="0" w:color="auto"/>
              <w:bottom w:val="single" w:sz="4" w:space="0" w:color="auto"/>
              <w:right w:val="single" w:sz="4" w:space="0" w:color="auto"/>
            </w:tcBorders>
            <w:hideMark/>
          </w:tcPr>
          <w:p w:rsidR="00325E95" w:rsidRPr="00344FE7" w:rsidRDefault="00325E95" w:rsidP="007D3360">
            <w:pPr>
              <w:pStyle w:val="tabletext"/>
              <w:keepNext/>
              <w:spacing w:after="0"/>
              <w:rPr>
                <w:i/>
                <w:sz w:val="18"/>
                <w:lang w:eastAsia="en-US"/>
              </w:rPr>
            </w:pPr>
            <w:r w:rsidRPr="00575D9D">
              <w:t>Corrects the wording of how to refer to a Schedule</w:t>
            </w:r>
            <w:r>
              <w:rPr>
                <w:sz w:val="18"/>
                <w:lang w:eastAsia="en-US"/>
              </w:rPr>
              <w:t xml:space="preserve">.  </w:t>
            </w:r>
          </w:p>
        </w:tc>
      </w:tr>
    </w:tbl>
    <w:p w:rsidR="00325E95" w:rsidRPr="00D35AEC" w:rsidRDefault="00325E95" w:rsidP="00DC00CE">
      <w:pPr>
        <w:pStyle w:val="TableHeadingoutsidetable"/>
        <w:numPr>
          <w:ilvl w:val="4"/>
          <w:numId w:val="21"/>
        </w:numPr>
        <w:spacing w:before="240" w:after="240"/>
      </w:pPr>
      <w:r w:rsidRPr="00D35AEC">
        <w:t xml:space="preserve">:  </w:t>
      </w:r>
      <w:r w:rsidR="00E61131">
        <w:rPr>
          <w:iCs/>
        </w:rPr>
        <w:t xml:space="preserve">Part 29 </w:t>
      </w:r>
      <w:r w:rsidR="00E61131" w:rsidRPr="003A12BE">
        <w:rPr>
          <w:iCs/>
        </w:rPr>
        <w:t>—</w:t>
      </w:r>
      <w:r w:rsidR="00E61131">
        <w:rPr>
          <w:iCs/>
        </w:rPr>
        <w:t xml:space="preserve"> References to Schedules </w:t>
      </w:r>
      <w:r w:rsidR="00E61131" w:rsidRPr="003A12BE">
        <w:rPr>
          <w:iCs/>
        </w:rPr>
        <w:t>—</w:t>
      </w:r>
      <w:r w:rsidR="00E61131">
        <w:rPr>
          <w:iCs/>
        </w:rPr>
        <w:t xml:space="preserve"> </w:t>
      </w:r>
      <w:r w:rsidRPr="00D35AEC">
        <w:rPr>
          <w:iCs/>
        </w:rPr>
        <w:t>Amendments to the</w:t>
      </w:r>
      <w:r w:rsidRPr="00D35AEC">
        <w:t xml:space="preserve"> </w:t>
      </w:r>
      <w:r w:rsidRPr="009A23C3">
        <w:rPr>
          <w:i/>
        </w:rPr>
        <w:t>Superannuation Contributions Tax (Assessment and Collection) Act 1997</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912"/>
      </w:tblGrid>
      <w:tr w:rsidR="00325E95" w:rsidRPr="00344FE7" w:rsidTr="007D3360">
        <w:trPr>
          <w:tblHeader/>
        </w:trPr>
        <w:tc>
          <w:tcPr>
            <w:tcW w:w="2694" w:type="dxa"/>
            <w:tcBorders>
              <w:top w:val="single" w:sz="4" w:space="0" w:color="auto"/>
              <w:left w:val="single" w:sz="4" w:space="0" w:color="auto"/>
              <w:bottom w:val="single" w:sz="4" w:space="0" w:color="auto"/>
              <w:right w:val="single" w:sz="4" w:space="0" w:color="auto"/>
            </w:tcBorders>
            <w:hideMark/>
          </w:tcPr>
          <w:p w:rsidR="00325E95" w:rsidRPr="00344FE7" w:rsidRDefault="00325E95" w:rsidP="007D3360">
            <w:pPr>
              <w:pStyle w:val="tableheaderwithintable"/>
              <w:rPr>
                <w:lang w:eastAsia="en-US"/>
              </w:rPr>
            </w:pPr>
            <w:r w:rsidRPr="00344FE7">
              <w:rPr>
                <w:lang w:eastAsia="en-US"/>
              </w:rPr>
              <w:t>Provision being amended</w:t>
            </w:r>
          </w:p>
        </w:tc>
        <w:tc>
          <w:tcPr>
            <w:tcW w:w="3912" w:type="dxa"/>
            <w:tcBorders>
              <w:top w:val="single" w:sz="4" w:space="0" w:color="auto"/>
              <w:left w:val="single" w:sz="4" w:space="0" w:color="auto"/>
              <w:bottom w:val="single" w:sz="4" w:space="0" w:color="auto"/>
              <w:right w:val="single" w:sz="4" w:space="0" w:color="auto"/>
            </w:tcBorders>
            <w:hideMark/>
          </w:tcPr>
          <w:p w:rsidR="00325E95" w:rsidRPr="00344FE7" w:rsidRDefault="00325E95" w:rsidP="007D3360">
            <w:pPr>
              <w:pStyle w:val="tableheaderwithintable"/>
              <w:rPr>
                <w:lang w:eastAsia="en-US"/>
              </w:rPr>
            </w:pPr>
            <w:r w:rsidRPr="00344FE7">
              <w:rPr>
                <w:lang w:eastAsia="en-US"/>
              </w:rPr>
              <w:t>What the amendment does</w:t>
            </w:r>
          </w:p>
        </w:tc>
      </w:tr>
      <w:tr w:rsidR="00325E95" w:rsidRPr="00AF36B8" w:rsidTr="007D3360">
        <w:trPr>
          <w:cantSplit/>
        </w:trPr>
        <w:tc>
          <w:tcPr>
            <w:tcW w:w="2694" w:type="dxa"/>
            <w:tcBorders>
              <w:top w:val="single" w:sz="4" w:space="0" w:color="auto"/>
              <w:left w:val="single" w:sz="4" w:space="0" w:color="auto"/>
              <w:bottom w:val="single" w:sz="4" w:space="0" w:color="auto"/>
              <w:right w:val="single" w:sz="4" w:space="0" w:color="auto"/>
            </w:tcBorders>
          </w:tcPr>
          <w:p w:rsidR="00325E95" w:rsidRPr="00CC63C6" w:rsidRDefault="00325E95" w:rsidP="007D3360">
            <w:pPr>
              <w:pStyle w:val="tabletext"/>
              <w:rPr>
                <w:b/>
                <w:i/>
                <w:lang w:eastAsia="en-US"/>
              </w:rPr>
            </w:pPr>
            <w:r w:rsidRPr="00CC63C6">
              <w:rPr>
                <w:b/>
                <w:i/>
                <w:lang w:eastAsia="en-US"/>
              </w:rPr>
              <w:t>Superannuation Contributions Tax (Assessment and Collection) Act 1997</w:t>
            </w:r>
          </w:p>
          <w:p w:rsidR="00325E95" w:rsidRPr="00344FE7" w:rsidRDefault="00325E95" w:rsidP="00365E97">
            <w:pPr>
              <w:pStyle w:val="tabletext"/>
              <w:rPr>
                <w:lang w:eastAsia="en-US"/>
              </w:rPr>
            </w:pPr>
            <w:r w:rsidRPr="00344FE7">
              <w:rPr>
                <w:lang w:eastAsia="en-US"/>
              </w:rPr>
              <w:t>7A(3)(b) and (c)</w:t>
            </w:r>
            <w:r>
              <w:rPr>
                <w:lang w:eastAsia="en-US"/>
              </w:rPr>
              <w:br/>
            </w:r>
            <w:r w:rsidRPr="00344FE7">
              <w:rPr>
                <w:lang w:eastAsia="en-US"/>
              </w:rPr>
              <w:t>7B(3)(b) and (c)</w:t>
            </w:r>
            <w:r>
              <w:rPr>
                <w:lang w:eastAsia="en-US"/>
              </w:rPr>
              <w:br/>
            </w:r>
            <w:r w:rsidR="002A4144">
              <w:rPr>
                <w:b/>
                <w:i/>
                <w:lang w:eastAsia="en-US"/>
              </w:rPr>
              <w:t>[I</w:t>
            </w:r>
            <w:r w:rsidRPr="00E54D3A">
              <w:rPr>
                <w:b/>
                <w:i/>
                <w:lang w:eastAsia="en-US"/>
              </w:rPr>
              <w:t xml:space="preserve">tem </w:t>
            </w:r>
            <w:r w:rsidR="00365E97">
              <w:rPr>
                <w:b/>
                <w:i/>
                <w:lang w:eastAsia="en-US"/>
              </w:rPr>
              <w:t>399</w:t>
            </w:r>
            <w:r w:rsidR="002A4144">
              <w:rPr>
                <w:b/>
                <w:i/>
                <w:lang w:eastAsia="en-US"/>
              </w:rPr>
              <w:t>]</w:t>
            </w:r>
          </w:p>
        </w:tc>
        <w:tc>
          <w:tcPr>
            <w:tcW w:w="3912" w:type="dxa"/>
            <w:tcBorders>
              <w:top w:val="single" w:sz="4" w:space="0" w:color="auto"/>
              <w:left w:val="single" w:sz="4" w:space="0" w:color="auto"/>
              <w:bottom w:val="single" w:sz="4" w:space="0" w:color="auto"/>
              <w:right w:val="single" w:sz="4" w:space="0" w:color="auto"/>
            </w:tcBorders>
            <w:hideMark/>
          </w:tcPr>
          <w:p w:rsidR="00325E95" w:rsidRPr="0013309E" w:rsidRDefault="00325E95" w:rsidP="007D3360">
            <w:pPr>
              <w:pStyle w:val="tabletext"/>
              <w:keepNext/>
              <w:spacing w:after="0"/>
              <w:rPr>
                <w:i/>
                <w:sz w:val="18"/>
                <w:lang w:eastAsia="en-US"/>
              </w:rPr>
            </w:pPr>
            <w:r w:rsidRPr="00575D9D">
              <w:t>Corrects the wording of how to refer to a Schedule</w:t>
            </w:r>
            <w:r>
              <w:t>.</w:t>
            </w:r>
          </w:p>
        </w:tc>
      </w:tr>
    </w:tbl>
    <w:p w:rsidR="00325E95" w:rsidRPr="001C541A" w:rsidRDefault="00325E95" w:rsidP="007D3360">
      <w:pPr>
        <w:pStyle w:val="Heading3"/>
        <w:keepLines/>
      </w:pPr>
      <w:r w:rsidRPr="001C541A">
        <w:t xml:space="preserve">Part </w:t>
      </w:r>
      <w:r>
        <w:t>30</w:t>
      </w:r>
      <w:r w:rsidRPr="001C541A">
        <w:t xml:space="preserve"> — References to taxation laws </w:t>
      </w:r>
    </w:p>
    <w:p w:rsidR="00325E95" w:rsidRPr="00D35AEC" w:rsidRDefault="00325E95" w:rsidP="00DC00CE">
      <w:pPr>
        <w:pStyle w:val="TableHeadingoutsidetable"/>
        <w:numPr>
          <w:ilvl w:val="4"/>
          <w:numId w:val="21"/>
        </w:numPr>
        <w:spacing w:after="240"/>
      </w:pPr>
      <w:r w:rsidRPr="001C541A">
        <w:t xml:space="preserve">:  </w:t>
      </w:r>
      <w:r w:rsidR="003675E0">
        <w:t xml:space="preserve">Part 30 — References to taxation laws — </w:t>
      </w:r>
      <w:r w:rsidRPr="001C541A">
        <w:rPr>
          <w:iCs/>
        </w:rPr>
        <w:t>Amendments to the</w:t>
      </w:r>
      <w:r w:rsidRPr="001C541A">
        <w:t xml:space="preserve"> </w:t>
      </w:r>
      <w:r w:rsidRPr="001C541A">
        <w:rPr>
          <w:i/>
        </w:rPr>
        <w:t>Income Tax Assessment</w:t>
      </w:r>
      <w:r w:rsidRPr="009A23C3">
        <w:rPr>
          <w:i/>
        </w:rPr>
        <w:t xml:space="preserve"> Act 1997</w:t>
      </w:r>
      <w: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912"/>
      </w:tblGrid>
      <w:tr w:rsidR="00325E95" w:rsidRPr="00344FE7" w:rsidTr="007D3360">
        <w:trPr>
          <w:tblHeader/>
        </w:trPr>
        <w:tc>
          <w:tcPr>
            <w:tcW w:w="2694" w:type="dxa"/>
            <w:tcBorders>
              <w:top w:val="single" w:sz="4" w:space="0" w:color="auto"/>
              <w:left w:val="single" w:sz="4" w:space="0" w:color="auto"/>
              <w:bottom w:val="single" w:sz="4" w:space="0" w:color="auto"/>
              <w:right w:val="single" w:sz="4" w:space="0" w:color="auto"/>
            </w:tcBorders>
            <w:hideMark/>
          </w:tcPr>
          <w:p w:rsidR="00325E95" w:rsidRPr="00344FE7" w:rsidRDefault="00325E95" w:rsidP="007D3360">
            <w:pPr>
              <w:pStyle w:val="tableheaderwithintable"/>
              <w:rPr>
                <w:lang w:eastAsia="en-US"/>
              </w:rPr>
            </w:pPr>
            <w:r w:rsidRPr="00344FE7">
              <w:rPr>
                <w:lang w:eastAsia="en-US"/>
              </w:rPr>
              <w:t>Provision being amended</w:t>
            </w:r>
          </w:p>
        </w:tc>
        <w:tc>
          <w:tcPr>
            <w:tcW w:w="3912" w:type="dxa"/>
            <w:tcBorders>
              <w:top w:val="single" w:sz="4" w:space="0" w:color="auto"/>
              <w:left w:val="single" w:sz="4" w:space="0" w:color="auto"/>
              <w:bottom w:val="single" w:sz="4" w:space="0" w:color="auto"/>
              <w:right w:val="single" w:sz="4" w:space="0" w:color="auto"/>
            </w:tcBorders>
            <w:hideMark/>
          </w:tcPr>
          <w:p w:rsidR="00325E95" w:rsidRPr="00344FE7" w:rsidRDefault="00325E95" w:rsidP="007D3360">
            <w:pPr>
              <w:pStyle w:val="tableheaderwithintable"/>
              <w:rPr>
                <w:lang w:eastAsia="en-US"/>
              </w:rPr>
            </w:pPr>
            <w:r w:rsidRPr="00344FE7">
              <w:rPr>
                <w:lang w:eastAsia="en-US"/>
              </w:rPr>
              <w:t>What the amendment does</w:t>
            </w:r>
          </w:p>
        </w:tc>
      </w:tr>
      <w:tr w:rsidR="00325E95" w:rsidRPr="00AF36B8" w:rsidTr="007D3360">
        <w:trPr>
          <w:cantSplit/>
        </w:trPr>
        <w:tc>
          <w:tcPr>
            <w:tcW w:w="2694" w:type="dxa"/>
            <w:tcBorders>
              <w:top w:val="single" w:sz="4" w:space="0" w:color="auto"/>
              <w:left w:val="single" w:sz="4" w:space="0" w:color="auto"/>
              <w:bottom w:val="single" w:sz="4" w:space="0" w:color="auto"/>
              <w:right w:val="single" w:sz="4" w:space="0" w:color="auto"/>
            </w:tcBorders>
          </w:tcPr>
          <w:p w:rsidR="00325E95" w:rsidRPr="00CC63C6" w:rsidRDefault="00325E95" w:rsidP="007D3360">
            <w:pPr>
              <w:pStyle w:val="tabletext"/>
              <w:rPr>
                <w:b/>
                <w:lang w:eastAsia="en-US"/>
              </w:rPr>
            </w:pPr>
            <w:r w:rsidRPr="00CC63C6">
              <w:rPr>
                <w:b/>
                <w:i/>
              </w:rPr>
              <w:t xml:space="preserve">Income Tax Assessment </w:t>
            </w:r>
            <w:r>
              <w:rPr>
                <w:b/>
                <w:i/>
              </w:rPr>
              <w:br/>
            </w:r>
            <w:r w:rsidRPr="00CC63C6">
              <w:rPr>
                <w:b/>
                <w:i/>
              </w:rPr>
              <w:t>Act 1997</w:t>
            </w:r>
          </w:p>
          <w:p w:rsidR="00325E95" w:rsidRPr="00344FE7" w:rsidRDefault="00325E95" w:rsidP="00365E97">
            <w:pPr>
              <w:pStyle w:val="tabletext"/>
              <w:rPr>
                <w:lang w:eastAsia="en-US"/>
              </w:rPr>
            </w:pPr>
            <w:r>
              <w:rPr>
                <w:lang w:eastAsia="en-US"/>
              </w:rPr>
              <w:t>995-1(1)</w:t>
            </w:r>
            <w:r>
              <w:rPr>
                <w:lang w:eastAsia="en-US"/>
              </w:rPr>
              <w:br/>
            </w:r>
            <w:r w:rsidR="002A4144">
              <w:rPr>
                <w:b/>
                <w:i/>
                <w:lang w:eastAsia="en-US"/>
              </w:rPr>
              <w:t>[I</w:t>
            </w:r>
            <w:r w:rsidRPr="00E54D3A">
              <w:rPr>
                <w:b/>
                <w:i/>
                <w:lang w:eastAsia="en-US"/>
              </w:rPr>
              <w:t>tem 40</w:t>
            </w:r>
            <w:r w:rsidR="00365E97">
              <w:rPr>
                <w:b/>
                <w:i/>
                <w:lang w:eastAsia="en-US"/>
              </w:rPr>
              <w:t>0</w:t>
            </w:r>
            <w:r w:rsidR="002A4144">
              <w:rPr>
                <w:b/>
                <w:i/>
                <w:lang w:eastAsia="en-US"/>
              </w:rPr>
              <w:t>]</w:t>
            </w:r>
          </w:p>
        </w:tc>
        <w:tc>
          <w:tcPr>
            <w:tcW w:w="3912" w:type="dxa"/>
            <w:tcBorders>
              <w:top w:val="single" w:sz="4" w:space="0" w:color="auto"/>
              <w:left w:val="single" w:sz="4" w:space="0" w:color="auto"/>
              <w:bottom w:val="single" w:sz="4" w:space="0" w:color="auto"/>
              <w:right w:val="single" w:sz="4" w:space="0" w:color="auto"/>
            </w:tcBorders>
            <w:hideMark/>
          </w:tcPr>
          <w:p w:rsidR="00325E95" w:rsidRPr="00943327" w:rsidRDefault="00325E95" w:rsidP="007D3360">
            <w:pPr>
              <w:pStyle w:val="tabletext"/>
              <w:keepNext/>
              <w:spacing w:after="0"/>
              <w:rPr>
                <w:b/>
                <w:i/>
                <w:sz w:val="18"/>
                <w:lang w:eastAsia="en-US"/>
              </w:rPr>
            </w:pPr>
            <w:r w:rsidRPr="00575D9D">
              <w:t>Inserts a definition of ‘Excise Act’</w:t>
            </w:r>
            <w:r>
              <w:rPr>
                <w:sz w:val="18"/>
                <w:lang w:eastAsia="en-US"/>
              </w:rPr>
              <w:t xml:space="preserve">.  </w:t>
            </w:r>
          </w:p>
        </w:tc>
      </w:tr>
    </w:tbl>
    <w:p w:rsidR="00325E95" w:rsidRPr="00D35AEC" w:rsidRDefault="00325E95" w:rsidP="00DC00CE">
      <w:pPr>
        <w:pStyle w:val="TableHeadingoutsidetable"/>
        <w:numPr>
          <w:ilvl w:val="4"/>
          <w:numId w:val="21"/>
        </w:numPr>
        <w:spacing w:before="240" w:after="240"/>
      </w:pPr>
      <w:r w:rsidRPr="00D35AEC">
        <w:lastRenderedPageBreak/>
        <w:t xml:space="preserve">:  </w:t>
      </w:r>
      <w:r w:rsidR="003675E0">
        <w:t xml:space="preserve">Part 30 — References to taxation laws — </w:t>
      </w:r>
      <w:r w:rsidRPr="00021C37">
        <w:rPr>
          <w:iCs/>
        </w:rPr>
        <w:t>Amendments to the</w:t>
      </w:r>
      <w:r>
        <w:t xml:space="preserve"> </w:t>
      </w:r>
      <w:r w:rsidRPr="009A23C3">
        <w:rPr>
          <w:i/>
        </w:rPr>
        <w:t>Taxation Administration Act 1953</w:t>
      </w:r>
      <w: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912"/>
      </w:tblGrid>
      <w:tr w:rsidR="00325E95" w:rsidRPr="00344FE7" w:rsidTr="007D3360">
        <w:trPr>
          <w:tblHeader/>
        </w:trPr>
        <w:tc>
          <w:tcPr>
            <w:tcW w:w="2694" w:type="dxa"/>
            <w:tcBorders>
              <w:top w:val="single" w:sz="4" w:space="0" w:color="auto"/>
              <w:left w:val="single" w:sz="4" w:space="0" w:color="auto"/>
              <w:bottom w:val="single" w:sz="4" w:space="0" w:color="auto"/>
              <w:right w:val="single" w:sz="4" w:space="0" w:color="auto"/>
            </w:tcBorders>
            <w:hideMark/>
          </w:tcPr>
          <w:p w:rsidR="00325E95" w:rsidRPr="00BC7C93" w:rsidRDefault="00325E95" w:rsidP="007D3360">
            <w:pPr>
              <w:pStyle w:val="tableheaderwithintable"/>
              <w:rPr>
                <w:lang w:eastAsia="en-US"/>
              </w:rPr>
            </w:pPr>
            <w:r w:rsidRPr="00BC7C93">
              <w:rPr>
                <w:lang w:eastAsia="en-US"/>
              </w:rPr>
              <w:t>Provision being amended</w:t>
            </w:r>
          </w:p>
        </w:tc>
        <w:tc>
          <w:tcPr>
            <w:tcW w:w="3912" w:type="dxa"/>
            <w:tcBorders>
              <w:top w:val="single" w:sz="4" w:space="0" w:color="auto"/>
              <w:left w:val="single" w:sz="4" w:space="0" w:color="auto"/>
              <w:bottom w:val="single" w:sz="4" w:space="0" w:color="auto"/>
              <w:right w:val="single" w:sz="4" w:space="0" w:color="auto"/>
            </w:tcBorders>
            <w:hideMark/>
          </w:tcPr>
          <w:p w:rsidR="00325E95" w:rsidRPr="00BC7C93" w:rsidRDefault="00325E95" w:rsidP="007D3360">
            <w:pPr>
              <w:pStyle w:val="tableheaderwithintable"/>
              <w:rPr>
                <w:lang w:eastAsia="en-US"/>
              </w:rPr>
            </w:pPr>
            <w:r w:rsidRPr="00BC7C93">
              <w:rPr>
                <w:lang w:eastAsia="en-US"/>
              </w:rPr>
              <w:t>What the amendment does</w:t>
            </w:r>
          </w:p>
        </w:tc>
      </w:tr>
      <w:tr w:rsidR="00325E95" w:rsidRPr="00AF36B8" w:rsidTr="007D3360">
        <w:trPr>
          <w:cantSplit/>
        </w:trPr>
        <w:tc>
          <w:tcPr>
            <w:tcW w:w="2694" w:type="dxa"/>
            <w:tcBorders>
              <w:top w:val="single" w:sz="4" w:space="0" w:color="auto"/>
              <w:left w:val="single" w:sz="4" w:space="0" w:color="auto"/>
              <w:bottom w:val="single" w:sz="4" w:space="0" w:color="auto"/>
              <w:right w:val="single" w:sz="4" w:space="0" w:color="auto"/>
            </w:tcBorders>
          </w:tcPr>
          <w:p w:rsidR="00325E95" w:rsidRPr="00CE2102" w:rsidRDefault="00325E95" w:rsidP="007D3360">
            <w:pPr>
              <w:pStyle w:val="tabletext"/>
              <w:spacing w:after="0"/>
              <w:ind w:left="34"/>
              <w:rPr>
                <w:b/>
                <w:sz w:val="18"/>
                <w:szCs w:val="18"/>
                <w:lang w:eastAsia="en-US"/>
              </w:rPr>
            </w:pPr>
            <w:r w:rsidRPr="00CE2102">
              <w:rPr>
                <w:b/>
                <w:i/>
              </w:rPr>
              <w:t xml:space="preserve">Taxation Administration </w:t>
            </w:r>
            <w:r>
              <w:rPr>
                <w:b/>
                <w:i/>
              </w:rPr>
              <w:br/>
            </w:r>
            <w:r w:rsidRPr="00CE2102">
              <w:rPr>
                <w:b/>
                <w:i/>
              </w:rPr>
              <w:t>Act 1953</w:t>
            </w:r>
          </w:p>
          <w:p w:rsidR="00325E95" w:rsidRPr="00E54D3A" w:rsidRDefault="00325E95" w:rsidP="007D3360">
            <w:pPr>
              <w:pStyle w:val="tabletext"/>
              <w:spacing w:after="0"/>
              <w:ind w:left="34"/>
              <w:rPr>
                <w:lang w:eastAsia="en-US"/>
              </w:rPr>
            </w:pPr>
            <w:r w:rsidRPr="00E54D3A">
              <w:rPr>
                <w:lang w:eastAsia="en-US"/>
              </w:rPr>
              <w:t xml:space="preserve">2(1) (at the end of the definition of </w:t>
            </w:r>
            <w:r>
              <w:rPr>
                <w:lang w:eastAsia="en-US"/>
              </w:rPr>
              <w:t>‘</w:t>
            </w:r>
            <w:r w:rsidRPr="00E54D3A">
              <w:rPr>
                <w:lang w:eastAsia="en-US"/>
              </w:rPr>
              <w:t>taxation law</w:t>
            </w:r>
            <w:r>
              <w:rPr>
                <w:lang w:eastAsia="en-US"/>
              </w:rPr>
              <w:t>’</w:t>
            </w:r>
            <w:r w:rsidRPr="00E54D3A">
              <w:rPr>
                <w:lang w:eastAsia="en-US"/>
              </w:rPr>
              <w:t>)</w:t>
            </w:r>
            <w:r w:rsidRPr="00E54D3A">
              <w:rPr>
                <w:lang w:eastAsia="en-US"/>
              </w:rPr>
              <w:br/>
              <w:t>2(2)</w:t>
            </w:r>
            <w:r w:rsidRPr="00E54D3A">
              <w:rPr>
                <w:lang w:eastAsia="en-US"/>
              </w:rPr>
              <w:br/>
              <w:t>284-75(1)(a) in Schedule 1</w:t>
            </w:r>
          </w:p>
          <w:p w:rsidR="00325E95" w:rsidRPr="00E54D3A" w:rsidRDefault="00325E95" w:rsidP="007D3360">
            <w:pPr>
              <w:pStyle w:val="tabletext"/>
              <w:spacing w:after="0"/>
              <w:ind w:left="34"/>
              <w:rPr>
                <w:lang w:eastAsia="en-US"/>
              </w:rPr>
            </w:pPr>
            <w:r w:rsidRPr="00E54D3A">
              <w:rPr>
                <w:lang w:eastAsia="en-US"/>
              </w:rPr>
              <w:t>284-75(1) in Schedule 1 (note 1)</w:t>
            </w:r>
          </w:p>
          <w:p w:rsidR="00325E95" w:rsidRPr="00E54D3A" w:rsidRDefault="00325E95" w:rsidP="007D3360">
            <w:pPr>
              <w:pStyle w:val="tabletext"/>
              <w:spacing w:after="0"/>
              <w:ind w:left="34"/>
              <w:rPr>
                <w:lang w:eastAsia="en-US"/>
              </w:rPr>
            </w:pPr>
            <w:r w:rsidRPr="00E54D3A">
              <w:rPr>
                <w:lang w:eastAsia="en-US"/>
              </w:rPr>
              <w:t>284-75(1) in Schedule 1 (note 2)</w:t>
            </w:r>
          </w:p>
          <w:p w:rsidR="00325E95" w:rsidRPr="00E54D3A" w:rsidRDefault="00325E95" w:rsidP="007D3360">
            <w:pPr>
              <w:pStyle w:val="tabletext"/>
              <w:spacing w:after="0"/>
              <w:ind w:left="34"/>
              <w:rPr>
                <w:lang w:eastAsia="en-US"/>
              </w:rPr>
            </w:pPr>
            <w:r w:rsidRPr="00E54D3A">
              <w:rPr>
                <w:lang w:eastAsia="en-US"/>
              </w:rPr>
              <w:t>284-75(4)(a)(ii) in Schedule 1</w:t>
            </w:r>
          </w:p>
          <w:p w:rsidR="00325E95" w:rsidRPr="00E54D3A" w:rsidRDefault="00325E95" w:rsidP="007D3360">
            <w:pPr>
              <w:pStyle w:val="tabletext"/>
              <w:spacing w:after="0"/>
              <w:ind w:left="34"/>
              <w:rPr>
                <w:lang w:eastAsia="en-US"/>
              </w:rPr>
            </w:pPr>
            <w:r w:rsidRPr="00E54D3A">
              <w:rPr>
                <w:lang w:eastAsia="en-US"/>
              </w:rPr>
              <w:t>284-75(4)(b) in Schedule 1</w:t>
            </w:r>
          </w:p>
          <w:p w:rsidR="00325E95" w:rsidRPr="00E54D3A" w:rsidRDefault="00325E95" w:rsidP="007D3360">
            <w:pPr>
              <w:pStyle w:val="tabletext"/>
              <w:spacing w:after="0"/>
              <w:ind w:left="34"/>
              <w:rPr>
                <w:lang w:eastAsia="en-US"/>
              </w:rPr>
            </w:pPr>
            <w:r w:rsidRPr="00E54D3A">
              <w:rPr>
                <w:lang w:eastAsia="en-US"/>
              </w:rPr>
              <w:t>284-75(6)(d)(i) in Schedule 1</w:t>
            </w:r>
          </w:p>
          <w:p w:rsidR="00325E95" w:rsidRPr="00E54D3A" w:rsidRDefault="00325E95" w:rsidP="007D3360">
            <w:pPr>
              <w:pStyle w:val="tabletext"/>
              <w:spacing w:after="0"/>
              <w:ind w:left="34"/>
              <w:rPr>
                <w:lang w:eastAsia="en-US"/>
              </w:rPr>
            </w:pPr>
            <w:r w:rsidRPr="00E54D3A">
              <w:rPr>
                <w:lang w:eastAsia="en-US"/>
              </w:rPr>
              <w:t>284-75(6)(d)(ii) in Schedule 1</w:t>
            </w:r>
          </w:p>
          <w:p w:rsidR="00325E95" w:rsidRPr="00E54D3A" w:rsidRDefault="00325E95" w:rsidP="007D3360">
            <w:pPr>
              <w:pStyle w:val="tabletext"/>
              <w:spacing w:after="0"/>
              <w:ind w:left="34"/>
              <w:rPr>
                <w:lang w:eastAsia="en-US"/>
              </w:rPr>
            </w:pPr>
            <w:r w:rsidRPr="00E54D3A">
              <w:rPr>
                <w:lang w:eastAsia="en-US"/>
              </w:rPr>
              <w:t>284-80(1) in Schedule 1 (table item 2)</w:t>
            </w:r>
          </w:p>
          <w:p w:rsidR="00325E95" w:rsidRPr="00BC7C93" w:rsidRDefault="00325E95" w:rsidP="00074B4F">
            <w:pPr>
              <w:pStyle w:val="tabletext"/>
              <w:spacing w:after="0"/>
              <w:ind w:left="34"/>
              <w:rPr>
                <w:sz w:val="18"/>
                <w:szCs w:val="18"/>
                <w:lang w:eastAsia="en-US"/>
              </w:rPr>
            </w:pPr>
            <w:r w:rsidRPr="00E54D3A">
              <w:rPr>
                <w:lang w:eastAsia="en-US"/>
              </w:rPr>
              <w:t>284-90(1) in Schedule 1 (</w:t>
            </w:r>
            <w:r w:rsidR="00074B4F">
              <w:rPr>
                <w:lang w:eastAsia="en-US"/>
              </w:rPr>
              <w:t>i</w:t>
            </w:r>
            <w:r w:rsidRPr="00E54D3A">
              <w:rPr>
                <w:lang w:eastAsia="en-US"/>
              </w:rPr>
              <w:t>tems 1, 2 and 3</w:t>
            </w:r>
            <w:r w:rsidR="00074B4F">
              <w:rPr>
                <w:lang w:eastAsia="en-US"/>
              </w:rPr>
              <w:t xml:space="preserve"> in the table</w:t>
            </w:r>
            <w:r w:rsidRPr="00E54D3A">
              <w:rPr>
                <w:lang w:eastAsia="en-US"/>
              </w:rPr>
              <w:t xml:space="preserve">, column headed </w:t>
            </w:r>
            <w:r>
              <w:rPr>
                <w:lang w:eastAsia="en-US"/>
              </w:rPr>
              <w:t>‘</w:t>
            </w:r>
            <w:r w:rsidRPr="00E54D3A">
              <w:rPr>
                <w:lang w:eastAsia="en-US"/>
              </w:rPr>
              <w:t>In this situation:</w:t>
            </w:r>
            <w:r>
              <w:rPr>
                <w:lang w:eastAsia="en-US"/>
              </w:rPr>
              <w:t>’</w:t>
            </w:r>
            <w:r w:rsidRPr="00E54D3A">
              <w:rPr>
                <w:lang w:eastAsia="en-US"/>
              </w:rPr>
              <w:t>)</w:t>
            </w:r>
            <w:r>
              <w:rPr>
                <w:lang w:eastAsia="en-US"/>
              </w:rPr>
              <w:br/>
            </w:r>
            <w:r w:rsidR="002A4144">
              <w:rPr>
                <w:b/>
                <w:i/>
                <w:lang w:eastAsia="en-US"/>
              </w:rPr>
              <w:t>[I</w:t>
            </w:r>
            <w:r w:rsidRPr="00E54D3A">
              <w:rPr>
                <w:b/>
                <w:i/>
                <w:lang w:eastAsia="en-US"/>
              </w:rPr>
              <w:t>tems 40</w:t>
            </w:r>
            <w:r w:rsidR="00365E97">
              <w:rPr>
                <w:b/>
                <w:i/>
                <w:lang w:eastAsia="en-US"/>
              </w:rPr>
              <w:t>1</w:t>
            </w:r>
            <w:r w:rsidRPr="00E54D3A">
              <w:rPr>
                <w:b/>
                <w:i/>
                <w:lang w:eastAsia="en-US"/>
              </w:rPr>
              <w:t xml:space="preserve"> to 41</w:t>
            </w:r>
            <w:r w:rsidR="00365E97">
              <w:rPr>
                <w:b/>
                <w:i/>
                <w:lang w:eastAsia="en-US"/>
              </w:rPr>
              <w:t>1</w:t>
            </w:r>
            <w:r w:rsidR="002A4144">
              <w:rPr>
                <w:b/>
                <w:i/>
                <w:lang w:eastAsia="en-US"/>
              </w:rPr>
              <w:t>]</w:t>
            </w:r>
          </w:p>
        </w:tc>
        <w:tc>
          <w:tcPr>
            <w:tcW w:w="3912" w:type="dxa"/>
            <w:tcBorders>
              <w:top w:val="single" w:sz="4" w:space="0" w:color="auto"/>
              <w:left w:val="single" w:sz="4" w:space="0" w:color="auto"/>
              <w:bottom w:val="single" w:sz="4" w:space="0" w:color="auto"/>
              <w:right w:val="single" w:sz="4" w:space="0" w:color="auto"/>
            </w:tcBorders>
            <w:hideMark/>
          </w:tcPr>
          <w:p w:rsidR="00325E95" w:rsidRPr="00CB7A8C" w:rsidRDefault="00325E95" w:rsidP="007D3360">
            <w:pPr>
              <w:pStyle w:val="tabletext"/>
              <w:keepNext/>
              <w:spacing w:after="0"/>
              <w:rPr>
                <w:lang w:eastAsia="en-US"/>
              </w:rPr>
            </w:pPr>
            <w:r w:rsidRPr="00CB7A8C">
              <w:rPr>
                <w:lang w:eastAsia="en-US"/>
              </w:rPr>
              <w:t xml:space="preserve">Clarifies the limiting of the definition of </w:t>
            </w:r>
            <w:r>
              <w:rPr>
                <w:lang w:eastAsia="en-US"/>
              </w:rPr>
              <w:t>‘</w:t>
            </w:r>
            <w:r w:rsidRPr="00CB7A8C">
              <w:rPr>
                <w:lang w:eastAsia="en-US"/>
              </w:rPr>
              <w:t>taxation law</w:t>
            </w:r>
            <w:r>
              <w:rPr>
                <w:lang w:eastAsia="en-US"/>
              </w:rPr>
              <w:t>’</w:t>
            </w:r>
            <w:r w:rsidRPr="00CB7A8C">
              <w:rPr>
                <w:lang w:eastAsia="en-US"/>
              </w:rPr>
              <w:t xml:space="preserve"> so as to exclude </w:t>
            </w:r>
            <w:r>
              <w:rPr>
                <w:lang w:eastAsia="en-US"/>
              </w:rPr>
              <w:t>‘</w:t>
            </w:r>
            <w:r w:rsidRPr="00CB7A8C">
              <w:rPr>
                <w:lang w:eastAsia="en-US"/>
              </w:rPr>
              <w:t>Excise Acts</w:t>
            </w:r>
            <w:r>
              <w:rPr>
                <w:lang w:eastAsia="en-US"/>
              </w:rPr>
              <w:t>’</w:t>
            </w:r>
            <w:r w:rsidRPr="00CB7A8C">
              <w:rPr>
                <w:lang w:eastAsia="en-US"/>
              </w:rPr>
              <w:t>.</w:t>
            </w:r>
          </w:p>
        </w:tc>
      </w:tr>
    </w:tbl>
    <w:p w:rsidR="00325E95" w:rsidRPr="006B2226" w:rsidRDefault="00325E95" w:rsidP="007D3360">
      <w:pPr>
        <w:pStyle w:val="Heading3"/>
        <w:keepLines/>
      </w:pPr>
      <w:r>
        <w:t>Part 31</w:t>
      </w:r>
      <w:r w:rsidRPr="00B70144">
        <w:t xml:space="preserve"> — Other </w:t>
      </w:r>
      <w:r w:rsidR="00074B4F">
        <w:t>a</w:t>
      </w:r>
      <w:r w:rsidRPr="00B70144">
        <w:t>mendments</w:t>
      </w:r>
    </w:p>
    <w:p w:rsidR="00325E95" w:rsidRPr="00D35AEC" w:rsidRDefault="00325E95" w:rsidP="00DC00CE">
      <w:pPr>
        <w:pStyle w:val="TableHeadingoutsidetable"/>
        <w:numPr>
          <w:ilvl w:val="4"/>
          <w:numId w:val="21"/>
        </w:numPr>
        <w:spacing w:after="240"/>
      </w:pPr>
      <w:r w:rsidRPr="00D35AEC">
        <w:t xml:space="preserve">:  </w:t>
      </w:r>
      <w:r w:rsidR="003675E0">
        <w:t xml:space="preserve">Part 31 — Other amendments — </w:t>
      </w:r>
      <w:r w:rsidRPr="00021C37">
        <w:rPr>
          <w:iCs/>
        </w:rPr>
        <w:t>Amendments to the</w:t>
      </w:r>
      <w:r w:rsidRPr="00021C37">
        <w:t xml:space="preserve"> </w:t>
      </w:r>
      <w:r w:rsidRPr="009A23C3">
        <w:rPr>
          <w:i/>
        </w:rPr>
        <w:t>Income Tax Assessment Act 1936</w:t>
      </w:r>
      <w: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912"/>
      </w:tblGrid>
      <w:tr w:rsidR="00325E95" w:rsidRPr="00344FE7" w:rsidTr="007D3360">
        <w:trPr>
          <w:tblHeader/>
        </w:trPr>
        <w:tc>
          <w:tcPr>
            <w:tcW w:w="2694" w:type="dxa"/>
            <w:tcBorders>
              <w:top w:val="single" w:sz="4" w:space="0" w:color="auto"/>
              <w:left w:val="single" w:sz="4" w:space="0" w:color="auto"/>
              <w:bottom w:val="single" w:sz="4" w:space="0" w:color="auto"/>
              <w:right w:val="single" w:sz="4" w:space="0" w:color="auto"/>
            </w:tcBorders>
            <w:hideMark/>
          </w:tcPr>
          <w:p w:rsidR="00325E95" w:rsidRPr="00344FE7" w:rsidRDefault="00325E95" w:rsidP="007D3360">
            <w:pPr>
              <w:pStyle w:val="tableheaderwithintable"/>
              <w:rPr>
                <w:lang w:eastAsia="en-US"/>
              </w:rPr>
            </w:pPr>
            <w:r w:rsidRPr="00344FE7">
              <w:rPr>
                <w:lang w:eastAsia="en-US"/>
              </w:rPr>
              <w:t>Provision being amended</w:t>
            </w:r>
          </w:p>
        </w:tc>
        <w:tc>
          <w:tcPr>
            <w:tcW w:w="3912" w:type="dxa"/>
            <w:tcBorders>
              <w:top w:val="single" w:sz="4" w:space="0" w:color="auto"/>
              <w:left w:val="single" w:sz="4" w:space="0" w:color="auto"/>
              <w:bottom w:val="single" w:sz="4" w:space="0" w:color="auto"/>
              <w:right w:val="single" w:sz="4" w:space="0" w:color="auto"/>
            </w:tcBorders>
            <w:hideMark/>
          </w:tcPr>
          <w:p w:rsidR="00325E95" w:rsidRPr="00344FE7" w:rsidRDefault="00325E95" w:rsidP="007D3360">
            <w:pPr>
              <w:pStyle w:val="tableheaderwithintable"/>
              <w:rPr>
                <w:lang w:eastAsia="en-US"/>
              </w:rPr>
            </w:pPr>
            <w:r w:rsidRPr="00344FE7">
              <w:rPr>
                <w:lang w:eastAsia="en-US"/>
              </w:rPr>
              <w:t>What the amendment does</w:t>
            </w:r>
          </w:p>
        </w:tc>
      </w:tr>
      <w:tr w:rsidR="00325E95" w:rsidRPr="00AF36B8" w:rsidTr="007D3360">
        <w:trPr>
          <w:cantSplit/>
        </w:trPr>
        <w:tc>
          <w:tcPr>
            <w:tcW w:w="2694" w:type="dxa"/>
            <w:tcBorders>
              <w:top w:val="single" w:sz="4" w:space="0" w:color="auto"/>
              <w:left w:val="single" w:sz="4" w:space="0" w:color="auto"/>
              <w:bottom w:val="single" w:sz="4" w:space="0" w:color="auto"/>
              <w:right w:val="single" w:sz="4" w:space="0" w:color="auto"/>
            </w:tcBorders>
          </w:tcPr>
          <w:p w:rsidR="00325E95" w:rsidRPr="00B1508B" w:rsidRDefault="00325E95" w:rsidP="007D3360">
            <w:pPr>
              <w:pStyle w:val="tabletext"/>
              <w:rPr>
                <w:b/>
                <w:i/>
                <w:lang w:eastAsia="en-US"/>
              </w:rPr>
            </w:pPr>
            <w:r w:rsidRPr="00B1508B">
              <w:rPr>
                <w:b/>
                <w:i/>
                <w:lang w:eastAsia="en-US"/>
              </w:rPr>
              <w:t xml:space="preserve">Income Tax Assessment </w:t>
            </w:r>
            <w:r>
              <w:rPr>
                <w:b/>
                <w:i/>
                <w:lang w:eastAsia="en-US"/>
              </w:rPr>
              <w:br/>
            </w:r>
            <w:r w:rsidRPr="00B1508B">
              <w:rPr>
                <w:b/>
                <w:i/>
                <w:lang w:eastAsia="en-US"/>
              </w:rPr>
              <w:t>Act 1936</w:t>
            </w:r>
          </w:p>
          <w:p w:rsidR="00325E95" w:rsidRPr="00344FE7" w:rsidRDefault="00325E95" w:rsidP="00365E97">
            <w:pPr>
              <w:pStyle w:val="tabletext"/>
              <w:rPr>
                <w:lang w:eastAsia="en-US"/>
              </w:rPr>
            </w:pPr>
            <w:r>
              <w:rPr>
                <w:lang w:eastAsia="en-US"/>
              </w:rPr>
              <w:t>170(10AA) (items 24, 25, 30 and 35 in the table)</w:t>
            </w:r>
            <w:r>
              <w:rPr>
                <w:lang w:eastAsia="en-US"/>
              </w:rPr>
              <w:br/>
              <w:t>202DR(2)</w:t>
            </w:r>
            <w:r>
              <w:rPr>
                <w:lang w:eastAsia="en-US"/>
              </w:rPr>
              <w:br/>
            </w:r>
            <w:r w:rsidR="002A4144">
              <w:rPr>
                <w:b/>
                <w:i/>
                <w:lang w:eastAsia="en-US"/>
              </w:rPr>
              <w:t>[I</w:t>
            </w:r>
            <w:r w:rsidRPr="00E54D3A">
              <w:rPr>
                <w:b/>
                <w:i/>
                <w:lang w:eastAsia="en-US"/>
              </w:rPr>
              <w:t>tems 41</w:t>
            </w:r>
            <w:r w:rsidR="00365E97">
              <w:rPr>
                <w:b/>
                <w:i/>
                <w:lang w:eastAsia="en-US"/>
              </w:rPr>
              <w:t>2 and 413</w:t>
            </w:r>
            <w:r w:rsidR="002A4144">
              <w:rPr>
                <w:b/>
                <w:i/>
                <w:lang w:eastAsia="en-US"/>
              </w:rPr>
              <w:t>]</w:t>
            </w:r>
          </w:p>
        </w:tc>
        <w:tc>
          <w:tcPr>
            <w:tcW w:w="3912" w:type="dxa"/>
            <w:tcBorders>
              <w:top w:val="single" w:sz="4" w:space="0" w:color="auto"/>
              <w:left w:val="single" w:sz="4" w:space="0" w:color="auto"/>
              <w:bottom w:val="single" w:sz="4" w:space="0" w:color="auto"/>
              <w:right w:val="single" w:sz="4" w:space="0" w:color="auto"/>
            </w:tcBorders>
            <w:hideMark/>
          </w:tcPr>
          <w:p w:rsidR="00325E95" w:rsidRDefault="00325E95" w:rsidP="007D3360">
            <w:pPr>
              <w:pStyle w:val="tabletext"/>
              <w:keepNext/>
              <w:spacing w:after="0"/>
              <w:rPr>
                <w:sz w:val="18"/>
                <w:lang w:eastAsia="en-US"/>
              </w:rPr>
            </w:pPr>
            <w:r w:rsidRPr="00575D9D">
              <w:t>Corrects the numbering and ordering of items in the table</w:t>
            </w:r>
            <w:r>
              <w:rPr>
                <w:sz w:val="18"/>
                <w:lang w:eastAsia="en-US"/>
              </w:rPr>
              <w:t xml:space="preserve">.  </w:t>
            </w:r>
          </w:p>
          <w:p w:rsidR="00325E95" w:rsidRPr="0013309E" w:rsidRDefault="00325E95" w:rsidP="007D3360">
            <w:pPr>
              <w:pStyle w:val="tabletext"/>
              <w:keepNext/>
              <w:spacing w:after="0"/>
              <w:rPr>
                <w:i/>
                <w:sz w:val="18"/>
                <w:lang w:eastAsia="en-US"/>
              </w:rPr>
            </w:pPr>
            <w:r w:rsidRPr="00575D9D">
              <w:t>Corrects a grammatical error</w:t>
            </w:r>
            <w:r w:rsidR="00074B4F">
              <w:t>.</w:t>
            </w:r>
          </w:p>
        </w:tc>
      </w:tr>
    </w:tbl>
    <w:p w:rsidR="00325E95" w:rsidRPr="00D35AEC" w:rsidRDefault="00325E95" w:rsidP="00DC00CE">
      <w:pPr>
        <w:pStyle w:val="TableHeadingoutsidetable"/>
        <w:numPr>
          <w:ilvl w:val="4"/>
          <w:numId w:val="21"/>
        </w:numPr>
        <w:spacing w:before="240" w:after="240"/>
      </w:pPr>
      <w:r w:rsidRPr="00D35AEC">
        <w:lastRenderedPageBreak/>
        <w:t xml:space="preserve">:  </w:t>
      </w:r>
      <w:r w:rsidR="003675E0">
        <w:t xml:space="preserve">Part 31 — Other amendments — </w:t>
      </w:r>
      <w:r w:rsidRPr="00D35AEC">
        <w:rPr>
          <w:iCs/>
        </w:rPr>
        <w:t xml:space="preserve">Amendments to </w:t>
      </w:r>
      <w:r w:rsidRPr="00CB4B46">
        <w:rPr>
          <w:iCs/>
        </w:rPr>
        <w:t>the</w:t>
      </w:r>
      <w:r w:rsidRPr="00CB4B46">
        <w:t xml:space="preserve"> </w:t>
      </w:r>
      <w:r w:rsidRPr="009A23C3">
        <w:rPr>
          <w:i/>
        </w:rPr>
        <w:t>Income Tax Assessment Act 1997</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912"/>
      </w:tblGrid>
      <w:tr w:rsidR="00325E95" w:rsidRPr="00344FE7" w:rsidTr="007D3360">
        <w:trPr>
          <w:tblHeader/>
        </w:trPr>
        <w:tc>
          <w:tcPr>
            <w:tcW w:w="2694" w:type="dxa"/>
            <w:tcBorders>
              <w:top w:val="single" w:sz="4" w:space="0" w:color="auto"/>
              <w:left w:val="single" w:sz="4" w:space="0" w:color="auto"/>
              <w:bottom w:val="single" w:sz="4" w:space="0" w:color="auto"/>
              <w:right w:val="single" w:sz="4" w:space="0" w:color="auto"/>
            </w:tcBorders>
            <w:hideMark/>
          </w:tcPr>
          <w:p w:rsidR="00325E95" w:rsidRPr="00344FE7" w:rsidRDefault="00325E95" w:rsidP="007D3360">
            <w:pPr>
              <w:pStyle w:val="tableheaderwithintable"/>
              <w:rPr>
                <w:lang w:eastAsia="en-US"/>
              </w:rPr>
            </w:pPr>
            <w:r w:rsidRPr="00344FE7">
              <w:rPr>
                <w:lang w:eastAsia="en-US"/>
              </w:rPr>
              <w:t>Provision being amended</w:t>
            </w:r>
          </w:p>
        </w:tc>
        <w:tc>
          <w:tcPr>
            <w:tcW w:w="3912" w:type="dxa"/>
            <w:tcBorders>
              <w:top w:val="single" w:sz="4" w:space="0" w:color="auto"/>
              <w:left w:val="single" w:sz="4" w:space="0" w:color="auto"/>
              <w:bottom w:val="single" w:sz="4" w:space="0" w:color="auto"/>
              <w:right w:val="single" w:sz="4" w:space="0" w:color="auto"/>
            </w:tcBorders>
            <w:hideMark/>
          </w:tcPr>
          <w:p w:rsidR="00325E95" w:rsidRPr="00344FE7" w:rsidRDefault="00325E95" w:rsidP="007D3360">
            <w:pPr>
              <w:pStyle w:val="tableheaderwithintable"/>
              <w:rPr>
                <w:lang w:eastAsia="en-US"/>
              </w:rPr>
            </w:pPr>
            <w:r w:rsidRPr="00344FE7">
              <w:rPr>
                <w:lang w:eastAsia="en-US"/>
              </w:rPr>
              <w:t>What the amendment does</w:t>
            </w:r>
          </w:p>
        </w:tc>
      </w:tr>
      <w:tr w:rsidR="00325E95" w:rsidRPr="00AF36B8" w:rsidTr="007D3360">
        <w:trPr>
          <w:cantSplit/>
        </w:trPr>
        <w:tc>
          <w:tcPr>
            <w:tcW w:w="2694" w:type="dxa"/>
            <w:tcBorders>
              <w:top w:val="single" w:sz="4" w:space="0" w:color="auto"/>
              <w:left w:val="single" w:sz="4" w:space="0" w:color="auto"/>
              <w:bottom w:val="single" w:sz="4" w:space="0" w:color="auto"/>
              <w:right w:val="single" w:sz="4" w:space="0" w:color="auto"/>
            </w:tcBorders>
          </w:tcPr>
          <w:p w:rsidR="00325E95" w:rsidRDefault="00325E95" w:rsidP="007D3360">
            <w:pPr>
              <w:pStyle w:val="tabletext"/>
              <w:rPr>
                <w:lang w:eastAsia="en-US"/>
              </w:rPr>
            </w:pPr>
            <w:r w:rsidRPr="00B1508B">
              <w:rPr>
                <w:b/>
                <w:i/>
                <w:lang w:eastAsia="en-US"/>
              </w:rPr>
              <w:t xml:space="preserve">Income Tax Assessment </w:t>
            </w:r>
            <w:r>
              <w:rPr>
                <w:b/>
                <w:i/>
                <w:lang w:eastAsia="en-US"/>
              </w:rPr>
              <w:br/>
            </w:r>
            <w:r w:rsidRPr="00B1508B">
              <w:rPr>
                <w:b/>
                <w:i/>
                <w:lang w:eastAsia="en-US"/>
              </w:rPr>
              <w:t>Act 19</w:t>
            </w:r>
            <w:r>
              <w:rPr>
                <w:b/>
                <w:i/>
                <w:lang w:eastAsia="en-US"/>
              </w:rPr>
              <w:t>97</w:t>
            </w:r>
          </w:p>
          <w:p w:rsidR="00325E95" w:rsidRPr="00344FE7" w:rsidRDefault="00325E95" w:rsidP="00365E97">
            <w:pPr>
              <w:pStyle w:val="tabletext"/>
              <w:spacing w:after="0"/>
              <w:ind w:left="34"/>
              <w:rPr>
                <w:lang w:eastAsia="en-US"/>
              </w:rPr>
            </w:pPr>
            <w:r w:rsidRPr="005E250F">
              <w:rPr>
                <w:lang w:eastAsia="en-US"/>
              </w:rPr>
              <w:t>112-20(3) (note 1)</w:t>
            </w:r>
            <w:r>
              <w:rPr>
                <w:lang w:eastAsia="en-US"/>
              </w:rPr>
              <w:br/>
            </w:r>
            <w:r w:rsidRPr="005E250F">
              <w:rPr>
                <w:lang w:eastAsia="en-US"/>
              </w:rPr>
              <w:t>Subdivision H</w:t>
            </w:r>
            <w:r>
              <w:rPr>
                <w:lang w:eastAsia="en-US"/>
              </w:rPr>
              <w:t xml:space="preserve"> of</w:t>
            </w:r>
            <w:r w:rsidRPr="005E250F">
              <w:rPr>
                <w:lang w:eastAsia="en-US"/>
              </w:rPr>
              <w:t xml:space="preserve"> Division</w:t>
            </w:r>
            <w:r>
              <w:rPr>
                <w:lang w:eastAsia="en-US"/>
              </w:rPr>
              <w:t> </w:t>
            </w:r>
            <w:r w:rsidRPr="005E250F">
              <w:rPr>
                <w:lang w:eastAsia="en-US"/>
              </w:rPr>
              <w:t>240 (heading)</w:t>
            </w:r>
            <w:r>
              <w:rPr>
                <w:lang w:eastAsia="en-US"/>
              </w:rPr>
              <w:br/>
            </w:r>
            <w:r w:rsidRPr="005E250F">
              <w:rPr>
                <w:lang w:eastAsia="en-US"/>
              </w:rPr>
              <w:t>376-170(4)(a)(i)</w:t>
            </w:r>
            <w:r>
              <w:rPr>
                <w:lang w:eastAsia="en-US"/>
              </w:rPr>
              <w:br/>
            </w:r>
            <w:r w:rsidRPr="005E250F">
              <w:rPr>
                <w:lang w:eastAsia="en-US"/>
              </w:rPr>
              <w:t>705-25(5)(c)(ii)</w:t>
            </w:r>
            <w:r>
              <w:rPr>
                <w:lang w:eastAsia="en-US"/>
              </w:rPr>
              <w:br/>
            </w:r>
            <w:r w:rsidRPr="005E250F">
              <w:rPr>
                <w:lang w:eastAsia="en-US"/>
              </w:rPr>
              <w:t>974-150(2)</w:t>
            </w:r>
            <w:r>
              <w:rPr>
                <w:lang w:eastAsia="en-US"/>
              </w:rPr>
              <w:br/>
            </w:r>
            <w:r w:rsidR="002A4144">
              <w:rPr>
                <w:b/>
                <w:i/>
                <w:lang w:eastAsia="en-US"/>
              </w:rPr>
              <w:t>[I</w:t>
            </w:r>
            <w:r w:rsidRPr="00E54D3A">
              <w:rPr>
                <w:b/>
                <w:i/>
                <w:lang w:eastAsia="en-US"/>
              </w:rPr>
              <w:t>tems 41</w:t>
            </w:r>
            <w:r w:rsidR="00365E97">
              <w:rPr>
                <w:b/>
                <w:i/>
                <w:lang w:eastAsia="en-US"/>
              </w:rPr>
              <w:t>4</w:t>
            </w:r>
            <w:r w:rsidRPr="00E54D3A">
              <w:rPr>
                <w:b/>
                <w:i/>
                <w:lang w:eastAsia="en-US"/>
              </w:rPr>
              <w:t xml:space="preserve"> to 4</w:t>
            </w:r>
            <w:r w:rsidR="00365E97">
              <w:rPr>
                <w:b/>
                <w:i/>
                <w:lang w:eastAsia="en-US"/>
              </w:rPr>
              <w:t>18</w:t>
            </w:r>
            <w:r w:rsidR="002A4144">
              <w:rPr>
                <w:b/>
                <w:i/>
                <w:lang w:eastAsia="en-US"/>
              </w:rPr>
              <w:t>]</w:t>
            </w:r>
          </w:p>
        </w:tc>
        <w:tc>
          <w:tcPr>
            <w:tcW w:w="3912" w:type="dxa"/>
            <w:tcBorders>
              <w:top w:val="single" w:sz="4" w:space="0" w:color="auto"/>
              <w:left w:val="single" w:sz="4" w:space="0" w:color="auto"/>
              <w:bottom w:val="single" w:sz="4" w:space="0" w:color="auto"/>
              <w:right w:val="single" w:sz="4" w:space="0" w:color="auto"/>
            </w:tcBorders>
            <w:hideMark/>
          </w:tcPr>
          <w:p w:rsidR="00325E95" w:rsidRDefault="00325E95" w:rsidP="007D3360">
            <w:pPr>
              <w:pStyle w:val="tabletext"/>
              <w:keepNext/>
              <w:spacing w:after="0"/>
            </w:pPr>
            <w:r w:rsidRPr="00575D9D">
              <w:t>Corrects typographical error</w:t>
            </w:r>
            <w:r>
              <w:t xml:space="preserve">s.  </w:t>
            </w:r>
          </w:p>
          <w:p w:rsidR="00325E95" w:rsidRPr="00CB4B46" w:rsidRDefault="00325E95" w:rsidP="007D3360">
            <w:pPr>
              <w:pStyle w:val="tabletext"/>
              <w:keepNext/>
              <w:spacing w:after="0"/>
              <w:rPr>
                <w:rStyle w:val="Referencingstyle"/>
                <w:lang w:eastAsia="en-US"/>
              </w:rPr>
            </w:pPr>
            <w:r w:rsidRPr="00575D9D">
              <w:t>Repeals a provision that related to a corporation that no longer exists</w:t>
            </w:r>
            <w:r>
              <w:t xml:space="preserve">.  </w:t>
            </w:r>
          </w:p>
          <w:p w:rsidR="00325E95" w:rsidRPr="0013309E" w:rsidRDefault="00325E95" w:rsidP="007D3360">
            <w:pPr>
              <w:pStyle w:val="tabletext"/>
              <w:keepNext/>
              <w:spacing w:after="0"/>
              <w:rPr>
                <w:i/>
                <w:sz w:val="18"/>
                <w:lang w:eastAsia="en-US"/>
              </w:rPr>
            </w:pPr>
            <w:r w:rsidRPr="00575D9D">
              <w:t>Corrects an incorrect cross-reference</w:t>
            </w:r>
            <w:r>
              <w:rPr>
                <w:sz w:val="18"/>
                <w:lang w:eastAsia="en-US"/>
              </w:rPr>
              <w:t xml:space="preserve">.  </w:t>
            </w:r>
          </w:p>
        </w:tc>
      </w:tr>
    </w:tbl>
    <w:p w:rsidR="00325E95" w:rsidRPr="00D35AEC" w:rsidRDefault="00325E95" w:rsidP="00DC00CE">
      <w:pPr>
        <w:pStyle w:val="TableHeadingoutsidetable"/>
        <w:numPr>
          <w:ilvl w:val="4"/>
          <w:numId w:val="21"/>
        </w:numPr>
        <w:spacing w:before="240" w:after="240"/>
      </w:pPr>
      <w:r w:rsidRPr="00D35AEC">
        <w:t xml:space="preserve">:  </w:t>
      </w:r>
      <w:r w:rsidR="003675E0">
        <w:t xml:space="preserve">Part 31 — Other amendments — </w:t>
      </w:r>
      <w:r w:rsidRPr="00D35AEC">
        <w:rPr>
          <w:iCs/>
        </w:rPr>
        <w:t>Amendments to the</w:t>
      </w:r>
      <w:r w:rsidRPr="00D35AEC">
        <w:t xml:space="preserve"> </w:t>
      </w:r>
      <w:r w:rsidRPr="009A23C3">
        <w:rPr>
          <w:i/>
        </w:rPr>
        <w:t>Income Tax (Transitional Provisions) Act 1997</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912"/>
      </w:tblGrid>
      <w:tr w:rsidR="00325E95" w:rsidRPr="00344FE7" w:rsidTr="007D3360">
        <w:trPr>
          <w:tblHeader/>
        </w:trPr>
        <w:tc>
          <w:tcPr>
            <w:tcW w:w="2694" w:type="dxa"/>
            <w:tcBorders>
              <w:top w:val="single" w:sz="4" w:space="0" w:color="auto"/>
              <w:left w:val="single" w:sz="4" w:space="0" w:color="auto"/>
              <w:bottom w:val="single" w:sz="4" w:space="0" w:color="auto"/>
              <w:right w:val="single" w:sz="4" w:space="0" w:color="auto"/>
            </w:tcBorders>
            <w:hideMark/>
          </w:tcPr>
          <w:p w:rsidR="00325E95" w:rsidRPr="00344FE7" w:rsidRDefault="00325E95" w:rsidP="007D3360">
            <w:pPr>
              <w:pStyle w:val="tableheaderwithintable"/>
              <w:rPr>
                <w:lang w:eastAsia="en-US"/>
              </w:rPr>
            </w:pPr>
            <w:r w:rsidRPr="00344FE7">
              <w:rPr>
                <w:lang w:eastAsia="en-US"/>
              </w:rPr>
              <w:t>Provision being amended</w:t>
            </w:r>
          </w:p>
        </w:tc>
        <w:tc>
          <w:tcPr>
            <w:tcW w:w="3912" w:type="dxa"/>
            <w:tcBorders>
              <w:top w:val="single" w:sz="4" w:space="0" w:color="auto"/>
              <w:left w:val="single" w:sz="4" w:space="0" w:color="auto"/>
              <w:bottom w:val="single" w:sz="4" w:space="0" w:color="auto"/>
              <w:right w:val="single" w:sz="4" w:space="0" w:color="auto"/>
            </w:tcBorders>
            <w:hideMark/>
          </w:tcPr>
          <w:p w:rsidR="00325E95" w:rsidRPr="00344FE7" w:rsidRDefault="00325E95" w:rsidP="007D3360">
            <w:pPr>
              <w:pStyle w:val="tableheaderwithintable"/>
              <w:rPr>
                <w:lang w:eastAsia="en-US"/>
              </w:rPr>
            </w:pPr>
            <w:r w:rsidRPr="00344FE7">
              <w:rPr>
                <w:lang w:eastAsia="en-US"/>
              </w:rPr>
              <w:t>What the amendment does</w:t>
            </w:r>
          </w:p>
        </w:tc>
      </w:tr>
      <w:tr w:rsidR="00325E95" w:rsidRPr="00AF36B8" w:rsidTr="007D3360">
        <w:trPr>
          <w:cantSplit/>
        </w:trPr>
        <w:tc>
          <w:tcPr>
            <w:tcW w:w="2694" w:type="dxa"/>
            <w:tcBorders>
              <w:top w:val="single" w:sz="4" w:space="0" w:color="auto"/>
              <w:left w:val="single" w:sz="4" w:space="0" w:color="auto"/>
              <w:bottom w:val="single" w:sz="4" w:space="0" w:color="auto"/>
              <w:right w:val="single" w:sz="4" w:space="0" w:color="auto"/>
            </w:tcBorders>
          </w:tcPr>
          <w:p w:rsidR="00325E95" w:rsidRPr="00D959FE" w:rsidRDefault="00325E95" w:rsidP="007D3360">
            <w:pPr>
              <w:pStyle w:val="tabletext"/>
              <w:rPr>
                <w:b/>
                <w:i/>
                <w:lang w:eastAsia="en-US"/>
              </w:rPr>
            </w:pPr>
            <w:r w:rsidRPr="00D959FE">
              <w:rPr>
                <w:b/>
                <w:i/>
                <w:lang w:eastAsia="en-US"/>
              </w:rPr>
              <w:t>Income Tax (Transitional Provisions) Act 1997</w:t>
            </w:r>
          </w:p>
          <w:p w:rsidR="00325E95" w:rsidRPr="00344FE7" w:rsidRDefault="00325E95" w:rsidP="0018641B">
            <w:pPr>
              <w:pStyle w:val="tabletext"/>
              <w:rPr>
                <w:lang w:eastAsia="en-US"/>
              </w:rPr>
            </w:pPr>
            <w:r>
              <w:rPr>
                <w:lang w:eastAsia="en-US"/>
              </w:rPr>
              <w:t>126-155</w:t>
            </w:r>
            <w:r>
              <w:rPr>
                <w:lang w:eastAsia="en-US"/>
              </w:rPr>
              <w:br/>
            </w:r>
            <w:r w:rsidR="002A4144">
              <w:rPr>
                <w:b/>
                <w:i/>
                <w:lang w:eastAsia="en-US"/>
              </w:rPr>
              <w:t>[I</w:t>
            </w:r>
            <w:r w:rsidRPr="00E54D3A">
              <w:rPr>
                <w:b/>
                <w:i/>
                <w:lang w:eastAsia="en-US"/>
              </w:rPr>
              <w:t>tem 4</w:t>
            </w:r>
            <w:r w:rsidR="0018641B">
              <w:rPr>
                <w:b/>
                <w:i/>
                <w:lang w:eastAsia="en-US"/>
              </w:rPr>
              <w:t>19</w:t>
            </w:r>
            <w:r w:rsidR="002A4144">
              <w:rPr>
                <w:b/>
                <w:i/>
                <w:lang w:eastAsia="en-US"/>
              </w:rPr>
              <w:t>]</w:t>
            </w:r>
          </w:p>
        </w:tc>
        <w:tc>
          <w:tcPr>
            <w:tcW w:w="3912" w:type="dxa"/>
            <w:tcBorders>
              <w:top w:val="single" w:sz="4" w:space="0" w:color="auto"/>
              <w:left w:val="single" w:sz="4" w:space="0" w:color="auto"/>
              <w:bottom w:val="single" w:sz="4" w:space="0" w:color="auto"/>
              <w:right w:val="single" w:sz="4" w:space="0" w:color="auto"/>
            </w:tcBorders>
            <w:hideMark/>
          </w:tcPr>
          <w:p w:rsidR="00325E95" w:rsidRPr="00E54D3A" w:rsidRDefault="00325E95" w:rsidP="007D3360">
            <w:pPr>
              <w:pStyle w:val="tabletext"/>
              <w:rPr>
                <w:lang w:eastAsia="en-US"/>
              </w:rPr>
            </w:pPr>
            <w:r w:rsidRPr="00E54D3A">
              <w:rPr>
                <w:lang w:eastAsia="en-US"/>
              </w:rPr>
              <w:t>Repeals a spent provision.</w:t>
            </w:r>
          </w:p>
        </w:tc>
      </w:tr>
    </w:tbl>
    <w:p w:rsidR="00325E95" w:rsidRPr="00D35AEC" w:rsidRDefault="00325E95" w:rsidP="00DC00CE">
      <w:pPr>
        <w:pStyle w:val="TableHeadingoutsidetable"/>
        <w:numPr>
          <w:ilvl w:val="4"/>
          <w:numId w:val="21"/>
        </w:numPr>
        <w:spacing w:before="240" w:after="240"/>
      </w:pPr>
      <w:r w:rsidRPr="00D35AEC">
        <w:t xml:space="preserve">:  </w:t>
      </w:r>
      <w:r w:rsidR="003675E0">
        <w:t xml:space="preserve">Part 31 — Other amendments — </w:t>
      </w:r>
      <w:r w:rsidRPr="00D35AEC">
        <w:rPr>
          <w:iCs/>
        </w:rPr>
        <w:t>Amendments to the</w:t>
      </w:r>
      <w:r w:rsidRPr="00D35AEC">
        <w:t xml:space="preserve"> </w:t>
      </w:r>
      <w:r w:rsidRPr="009A23C3">
        <w:rPr>
          <w:i/>
        </w:rPr>
        <w:t>Superannuation Legislation Amendment Act 2010</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912"/>
      </w:tblGrid>
      <w:tr w:rsidR="00325E95" w:rsidRPr="00344FE7" w:rsidTr="007D3360">
        <w:trPr>
          <w:tblHeader/>
        </w:trPr>
        <w:tc>
          <w:tcPr>
            <w:tcW w:w="2694" w:type="dxa"/>
            <w:tcBorders>
              <w:top w:val="single" w:sz="4" w:space="0" w:color="auto"/>
              <w:left w:val="single" w:sz="4" w:space="0" w:color="auto"/>
              <w:bottom w:val="single" w:sz="4" w:space="0" w:color="auto"/>
              <w:right w:val="single" w:sz="4" w:space="0" w:color="auto"/>
            </w:tcBorders>
            <w:hideMark/>
          </w:tcPr>
          <w:p w:rsidR="00325E95" w:rsidRPr="00344FE7" w:rsidRDefault="00325E95" w:rsidP="007D3360">
            <w:pPr>
              <w:pStyle w:val="tableheaderwithintable"/>
              <w:rPr>
                <w:lang w:eastAsia="en-US"/>
              </w:rPr>
            </w:pPr>
            <w:r w:rsidRPr="00344FE7">
              <w:rPr>
                <w:lang w:eastAsia="en-US"/>
              </w:rPr>
              <w:t>Provision being amended</w:t>
            </w:r>
          </w:p>
        </w:tc>
        <w:tc>
          <w:tcPr>
            <w:tcW w:w="3912" w:type="dxa"/>
            <w:tcBorders>
              <w:top w:val="single" w:sz="4" w:space="0" w:color="auto"/>
              <w:left w:val="single" w:sz="4" w:space="0" w:color="auto"/>
              <w:bottom w:val="single" w:sz="4" w:space="0" w:color="auto"/>
              <w:right w:val="single" w:sz="4" w:space="0" w:color="auto"/>
            </w:tcBorders>
            <w:hideMark/>
          </w:tcPr>
          <w:p w:rsidR="00325E95" w:rsidRPr="00344FE7" w:rsidRDefault="00325E95" w:rsidP="007D3360">
            <w:pPr>
              <w:pStyle w:val="tableheaderwithintable"/>
              <w:rPr>
                <w:lang w:eastAsia="en-US"/>
              </w:rPr>
            </w:pPr>
            <w:r w:rsidRPr="00344FE7">
              <w:rPr>
                <w:lang w:eastAsia="en-US"/>
              </w:rPr>
              <w:t>What the amendment does</w:t>
            </w:r>
          </w:p>
        </w:tc>
      </w:tr>
      <w:tr w:rsidR="00325E95" w:rsidRPr="00AF36B8" w:rsidTr="007D3360">
        <w:trPr>
          <w:cantSplit/>
        </w:trPr>
        <w:tc>
          <w:tcPr>
            <w:tcW w:w="2694" w:type="dxa"/>
            <w:tcBorders>
              <w:top w:val="single" w:sz="4" w:space="0" w:color="auto"/>
              <w:left w:val="single" w:sz="4" w:space="0" w:color="auto"/>
              <w:bottom w:val="single" w:sz="4" w:space="0" w:color="auto"/>
              <w:right w:val="single" w:sz="4" w:space="0" w:color="auto"/>
            </w:tcBorders>
          </w:tcPr>
          <w:p w:rsidR="00325E95" w:rsidRDefault="00325E95" w:rsidP="007D3360">
            <w:pPr>
              <w:pStyle w:val="tabletext"/>
              <w:spacing w:after="0"/>
              <w:rPr>
                <w:b/>
                <w:i/>
                <w:lang w:eastAsia="en-US"/>
              </w:rPr>
            </w:pPr>
            <w:r w:rsidRPr="007207D6">
              <w:rPr>
                <w:b/>
                <w:i/>
                <w:lang w:eastAsia="en-US"/>
              </w:rPr>
              <w:t>Superannuation Legislation Amendment Act 2010</w:t>
            </w:r>
          </w:p>
          <w:p w:rsidR="00325E95" w:rsidRPr="00344FE7" w:rsidRDefault="00325E95" w:rsidP="0018641B">
            <w:pPr>
              <w:pStyle w:val="tabletext"/>
              <w:spacing w:after="0"/>
              <w:rPr>
                <w:lang w:eastAsia="en-US"/>
              </w:rPr>
            </w:pPr>
            <w:r>
              <w:rPr>
                <w:lang w:eastAsia="en-US"/>
              </w:rPr>
              <w:t>21(1) in Schedule 1</w:t>
            </w:r>
            <w:r>
              <w:rPr>
                <w:lang w:eastAsia="en-US"/>
              </w:rPr>
              <w:br/>
            </w:r>
            <w:r w:rsidR="002A4144">
              <w:rPr>
                <w:b/>
                <w:i/>
                <w:lang w:eastAsia="en-US"/>
              </w:rPr>
              <w:t>[I</w:t>
            </w:r>
            <w:r w:rsidRPr="00E54D3A">
              <w:rPr>
                <w:b/>
                <w:i/>
                <w:lang w:eastAsia="en-US"/>
              </w:rPr>
              <w:t>tem 42</w:t>
            </w:r>
            <w:r w:rsidR="0018641B">
              <w:rPr>
                <w:b/>
                <w:i/>
                <w:lang w:eastAsia="en-US"/>
              </w:rPr>
              <w:t>0</w:t>
            </w:r>
            <w:r w:rsidR="002A4144">
              <w:rPr>
                <w:b/>
                <w:i/>
                <w:lang w:eastAsia="en-US"/>
              </w:rPr>
              <w:t>]</w:t>
            </w:r>
          </w:p>
        </w:tc>
        <w:tc>
          <w:tcPr>
            <w:tcW w:w="3912" w:type="dxa"/>
            <w:tcBorders>
              <w:top w:val="single" w:sz="4" w:space="0" w:color="auto"/>
              <w:left w:val="single" w:sz="4" w:space="0" w:color="auto"/>
              <w:bottom w:val="single" w:sz="4" w:space="0" w:color="auto"/>
              <w:right w:val="single" w:sz="4" w:space="0" w:color="auto"/>
            </w:tcBorders>
            <w:hideMark/>
          </w:tcPr>
          <w:p w:rsidR="00325E95" w:rsidRPr="0013309E" w:rsidRDefault="00325E95" w:rsidP="007D3360">
            <w:pPr>
              <w:pStyle w:val="tabletext"/>
              <w:keepNext/>
              <w:spacing w:after="0"/>
              <w:rPr>
                <w:i/>
                <w:sz w:val="18"/>
                <w:lang w:eastAsia="en-US"/>
              </w:rPr>
            </w:pPr>
            <w:r w:rsidRPr="00D44BF4">
              <w:t>Corrects an incorrect cross-reference</w:t>
            </w:r>
            <w:r>
              <w:rPr>
                <w:sz w:val="18"/>
                <w:lang w:eastAsia="en-US"/>
              </w:rPr>
              <w:t xml:space="preserve">.  </w:t>
            </w:r>
          </w:p>
        </w:tc>
      </w:tr>
    </w:tbl>
    <w:p w:rsidR="00325E95" w:rsidRPr="00F85E3D" w:rsidRDefault="00325E95" w:rsidP="00DC00CE">
      <w:pPr>
        <w:pStyle w:val="TableHeadingoutsidetable"/>
        <w:numPr>
          <w:ilvl w:val="4"/>
          <w:numId w:val="21"/>
        </w:numPr>
        <w:spacing w:before="240" w:after="240"/>
      </w:pPr>
      <w:r>
        <w:t xml:space="preserve">: </w:t>
      </w:r>
      <w:r w:rsidRPr="00D35AEC">
        <w:t xml:space="preserve"> </w:t>
      </w:r>
      <w:r w:rsidR="003675E0">
        <w:t xml:space="preserve">Part 31 — Other amendments — </w:t>
      </w:r>
      <w:r w:rsidRPr="00D35AEC">
        <w:rPr>
          <w:iCs/>
        </w:rPr>
        <w:t>Amendments to the</w:t>
      </w:r>
      <w:r w:rsidRPr="00D35AEC">
        <w:t xml:space="preserve"> </w:t>
      </w:r>
      <w:r w:rsidRPr="009A23C3">
        <w:rPr>
          <w:i/>
        </w:rPr>
        <w:t>Taxation (Interest on Overpayments and Early Payments) Act 1983</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912"/>
      </w:tblGrid>
      <w:tr w:rsidR="00325E95" w:rsidRPr="00344FE7" w:rsidTr="007D3360">
        <w:trPr>
          <w:tblHeader/>
        </w:trPr>
        <w:tc>
          <w:tcPr>
            <w:tcW w:w="2694" w:type="dxa"/>
            <w:tcBorders>
              <w:top w:val="single" w:sz="4" w:space="0" w:color="auto"/>
              <w:left w:val="single" w:sz="4" w:space="0" w:color="auto"/>
              <w:bottom w:val="single" w:sz="4" w:space="0" w:color="auto"/>
              <w:right w:val="single" w:sz="4" w:space="0" w:color="auto"/>
            </w:tcBorders>
            <w:hideMark/>
          </w:tcPr>
          <w:p w:rsidR="00325E95" w:rsidRPr="00344FE7" w:rsidRDefault="00325E95" w:rsidP="007D3360">
            <w:pPr>
              <w:pStyle w:val="tableheaderwithintable"/>
              <w:rPr>
                <w:lang w:eastAsia="en-US"/>
              </w:rPr>
            </w:pPr>
            <w:r w:rsidRPr="00344FE7">
              <w:rPr>
                <w:lang w:eastAsia="en-US"/>
              </w:rPr>
              <w:t>Provision being amended</w:t>
            </w:r>
          </w:p>
        </w:tc>
        <w:tc>
          <w:tcPr>
            <w:tcW w:w="3912" w:type="dxa"/>
            <w:tcBorders>
              <w:top w:val="single" w:sz="4" w:space="0" w:color="auto"/>
              <w:left w:val="single" w:sz="4" w:space="0" w:color="auto"/>
              <w:bottom w:val="single" w:sz="4" w:space="0" w:color="auto"/>
              <w:right w:val="single" w:sz="4" w:space="0" w:color="auto"/>
            </w:tcBorders>
            <w:hideMark/>
          </w:tcPr>
          <w:p w:rsidR="00325E95" w:rsidRPr="00344FE7" w:rsidRDefault="00325E95" w:rsidP="007D3360">
            <w:pPr>
              <w:pStyle w:val="tableheaderwithintable"/>
              <w:rPr>
                <w:lang w:eastAsia="en-US"/>
              </w:rPr>
            </w:pPr>
            <w:r w:rsidRPr="00344FE7">
              <w:rPr>
                <w:lang w:eastAsia="en-US"/>
              </w:rPr>
              <w:t>What the amendment does</w:t>
            </w:r>
          </w:p>
        </w:tc>
      </w:tr>
      <w:tr w:rsidR="00325E95" w:rsidRPr="00AF36B8" w:rsidTr="007D3360">
        <w:trPr>
          <w:cantSplit/>
        </w:trPr>
        <w:tc>
          <w:tcPr>
            <w:tcW w:w="2694" w:type="dxa"/>
            <w:tcBorders>
              <w:top w:val="single" w:sz="4" w:space="0" w:color="auto"/>
              <w:left w:val="single" w:sz="4" w:space="0" w:color="auto"/>
              <w:bottom w:val="single" w:sz="4" w:space="0" w:color="auto"/>
              <w:right w:val="single" w:sz="4" w:space="0" w:color="auto"/>
            </w:tcBorders>
          </w:tcPr>
          <w:p w:rsidR="00325E95" w:rsidRDefault="00325E95" w:rsidP="007D3360">
            <w:pPr>
              <w:pStyle w:val="tabletext"/>
              <w:spacing w:after="0"/>
              <w:ind w:left="34"/>
              <w:rPr>
                <w:b/>
                <w:i/>
                <w:lang w:eastAsia="en-US"/>
              </w:rPr>
            </w:pPr>
            <w:r w:rsidRPr="0076128B">
              <w:rPr>
                <w:b/>
                <w:i/>
                <w:lang w:eastAsia="en-US"/>
              </w:rPr>
              <w:t>Taxation (Interest on Overpayments and Early Payments) Act 1983</w:t>
            </w:r>
          </w:p>
          <w:p w:rsidR="00325E95" w:rsidRPr="00344FE7" w:rsidRDefault="00325E95" w:rsidP="0018641B">
            <w:pPr>
              <w:pStyle w:val="tabletext"/>
              <w:spacing w:after="0"/>
              <w:ind w:left="34"/>
              <w:rPr>
                <w:lang w:eastAsia="en-US"/>
              </w:rPr>
            </w:pPr>
            <w:r w:rsidRPr="00F85E3D">
              <w:rPr>
                <w:lang w:eastAsia="en-US"/>
              </w:rPr>
              <w:t xml:space="preserve">3C (definition of </w:t>
            </w:r>
            <w:r>
              <w:rPr>
                <w:lang w:eastAsia="en-US"/>
              </w:rPr>
              <w:t>‘</w:t>
            </w:r>
            <w:r w:rsidRPr="00F85E3D">
              <w:rPr>
                <w:lang w:eastAsia="en-US"/>
              </w:rPr>
              <w:t>relevant tax</w:t>
            </w:r>
            <w:r>
              <w:rPr>
                <w:lang w:eastAsia="en-US"/>
              </w:rPr>
              <w:t>’</w:t>
            </w:r>
            <w:r w:rsidRPr="00F85E3D">
              <w:rPr>
                <w:lang w:eastAsia="en-US"/>
              </w:rPr>
              <w:t>) (item 50</w:t>
            </w:r>
            <w:r>
              <w:rPr>
                <w:lang w:eastAsia="en-US"/>
              </w:rPr>
              <w:t xml:space="preserve"> in the table</w:t>
            </w:r>
            <w:r w:rsidRPr="00F85E3D">
              <w:rPr>
                <w:lang w:eastAsia="en-US"/>
              </w:rPr>
              <w:t>)</w:t>
            </w:r>
            <w:r>
              <w:rPr>
                <w:lang w:eastAsia="en-US"/>
              </w:rPr>
              <w:br/>
            </w:r>
            <w:r w:rsidR="002A4144">
              <w:rPr>
                <w:b/>
                <w:i/>
                <w:lang w:eastAsia="en-US"/>
              </w:rPr>
              <w:t>[I</w:t>
            </w:r>
            <w:r w:rsidRPr="00621239">
              <w:rPr>
                <w:b/>
                <w:i/>
                <w:lang w:eastAsia="en-US"/>
              </w:rPr>
              <w:t>tem 4</w:t>
            </w:r>
            <w:r w:rsidR="0018641B">
              <w:rPr>
                <w:b/>
                <w:i/>
                <w:lang w:eastAsia="en-US"/>
              </w:rPr>
              <w:t>2</w:t>
            </w:r>
            <w:r w:rsidRPr="00621239">
              <w:rPr>
                <w:b/>
                <w:i/>
                <w:lang w:eastAsia="en-US"/>
              </w:rPr>
              <w:t>3</w:t>
            </w:r>
            <w:r w:rsidR="002A4144">
              <w:rPr>
                <w:b/>
                <w:i/>
                <w:lang w:eastAsia="en-US"/>
              </w:rPr>
              <w:t>]</w:t>
            </w:r>
          </w:p>
        </w:tc>
        <w:tc>
          <w:tcPr>
            <w:tcW w:w="3912" w:type="dxa"/>
            <w:tcBorders>
              <w:top w:val="single" w:sz="4" w:space="0" w:color="auto"/>
              <w:left w:val="single" w:sz="4" w:space="0" w:color="auto"/>
              <w:bottom w:val="single" w:sz="4" w:space="0" w:color="auto"/>
              <w:right w:val="single" w:sz="4" w:space="0" w:color="auto"/>
            </w:tcBorders>
            <w:hideMark/>
          </w:tcPr>
          <w:p w:rsidR="00325E95" w:rsidRPr="003B3E08" w:rsidRDefault="00325E95" w:rsidP="007D3360">
            <w:pPr>
              <w:pStyle w:val="tabletext"/>
              <w:keepNext/>
              <w:spacing w:after="0"/>
              <w:rPr>
                <w:sz w:val="18"/>
                <w:lang w:eastAsia="en-US"/>
              </w:rPr>
            </w:pPr>
            <w:r w:rsidRPr="00D44BF4">
              <w:t>Corrects an incorrect cross-reference</w:t>
            </w:r>
            <w:r>
              <w:rPr>
                <w:sz w:val="18"/>
                <w:lang w:eastAsia="en-US"/>
              </w:rPr>
              <w:t xml:space="preserve">.  </w:t>
            </w:r>
          </w:p>
        </w:tc>
      </w:tr>
    </w:tbl>
    <w:p w:rsidR="00FD2B8C" w:rsidRPr="00C404F8" w:rsidRDefault="00FD2B8C" w:rsidP="00DC00CE">
      <w:pPr>
        <w:pStyle w:val="TableHeadingoutsidetable"/>
        <w:numPr>
          <w:ilvl w:val="4"/>
          <w:numId w:val="21"/>
        </w:numPr>
        <w:spacing w:after="240"/>
      </w:pPr>
      <w:r w:rsidRPr="00C404F8">
        <w:lastRenderedPageBreak/>
        <w:t>:</w:t>
      </w:r>
      <w:r>
        <w:t xml:space="preserve">  </w:t>
      </w:r>
      <w:r w:rsidR="003675E0">
        <w:t xml:space="preserve">Part 31 — Other amendments — </w:t>
      </w:r>
      <w:r w:rsidRPr="00DC1829">
        <w:rPr>
          <w:iCs/>
        </w:rPr>
        <w:t>Amendments to the</w:t>
      </w:r>
      <w:r w:rsidRPr="00C404F8">
        <w:t xml:space="preserve"> </w:t>
      </w:r>
      <w:r w:rsidRPr="00AB3232">
        <w:t>Taxation Administration Act 1953</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912"/>
      </w:tblGrid>
      <w:tr w:rsidR="00FD2B8C" w:rsidRPr="00C404F8" w:rsidTr="00E04461">
        <w:trPr>
          <w:tblHeader/>
        </w:trPr>
        <w:tc>
          <w:tcPr>
            <w:tcW w:w="2694" w:type="dxa"/>
            <w:tcBorders>
              <w:top w:val="single" w:sz="4" w:space="0" w:color="auto"/>
              <w:left w:val="single" w:sz="4" w:space="0" w:color="auto"/>
              <w:bottom w:val="single" w:sz="4" w:space="0" w:color="auto"/>
              <w:right w:val="single" w:sz="4" w:space="0" w:color="auto"/>
            </w:tcBorders>
            <w:hideMark/>
          </w:tcPr>
          <w:p w:rsidR="00FD2B8C" w:rsidRPr="00C404F8" w:rsidRDefault="00FD2B8C" w:rsidP="00E04461">
            <w:pPr>
              <w:pStyle w:val="tableheaderwithintable"/>
              <w:rPr>
                <w:lang w:eastAsia="en-US"/>
              </w:rPr>
            </w:pPr>
            <w:r w:rsidRPr="00C404F8">
              <w:rPr>
                <w:lang w:eastAsia="en-US"/>
              </w:rPr>
              <w:t>Provision being amended</w:t>
            </w:r>
          </w:p>
        </w:tc>
        <w:tc>
          <w:tcPr>
            <w:tcW w:w="3912" w:type="dxa"/>
            <w:tcBorders>
              <w:top w:val="single" w:sz="4" w:space="0" w:color="auto"/>
              <w:left w:val="single" w:sz="4" w:space="0" w:color="auto"/>
              <w:bottom w:val="single" w:sz="4" w:space="0" w:color="auto"/>
              <w:right w:val="single" w:sz="4" w:space="0" w:color="auto"/>
            </w:tcBorders>
            <w:hideMark/>
          </w:tcPr>
          <w:p w:rsidR="00FD2B8C" w:rsidRPr="00C404F8" w:rsidRDefault="00FD2B8C" w:rsidP="00E04461">
            <w:pPr>
              <w:pStyle w:val="tableheaderwithintable"/>
              <w:rPr>
                <w:lang w:eastAsia="en-US"/>
              </w:rPr>
            </w:pPr>
            <w:r w:rsidRPr="00C404F8">
              <w:rPr>
                <w:lang w:eastAsia="en-US"/>
              </w:rPr>
              <w:t>What the amendment does</w:t>
            </w:r>
          </w:p>
        </w:tc>
      </w:tr>
      <w:tr w:rsidR="00FD2B8C" w:rsidRPr="00C404F8" w:rsidTr="00E04461">
        <w:trPr>
          <w:cantSplit/>
        </w:trPr>
        <w:tc>
          <w:tcPr>
            <w:tcW w:w="2694" w:type="dxa"/>
            <w:tcBorders>
              <w:top w:val="single" w:sz="4" w:space="0" w:color="auto"/>
              <w:left w:val="single" w:sz="4" w:space="0" w:color="auto"/>
              <w:bottom w:val="single" w:sz="4" w:space="0" w:color="auto"/>
              <w:right w:val="single" w:sz="4" w:space="0" w:color="auto"/>
            </w:tcBorders>
          </w:tcPr>
          <w:p w:rsidR="00FD2B8C" w:rsidRDefault="00FD2B8C" w:rsidP="00E04461">
            <w:pPr>
              <w:pStyle w:val="tabletext"/>
              <w:spacing w:after="0"/>
              <w:ind w:left="34"/>
              <w:rPr>
                <w:b/>
                <w:i/>
                <w:lang w:eastAsia="en-US"/>
              </w:rPr>
            </w:pPr>
            <w:r w:rsidRPr="00F27C36">
              <w:rPr>
                <w:b/>
                <w:i/>
                <w:lang w:eastAsia="en-US"/>
              </w:rPr>
              <w:t xml:space="preserve">Taxation Administration </w:t>
            </w:r>
            <w:r>
              <w:rPr>
                <w:b/>
                <w:i/>
                <w:lang w:eastAsia="en-US"/>
              </w:rPr>
              <w:br/>
            </w:r>
            <w:r w:rsidRPr="00F27C36">
              <w:rPr>
                <w:b/>
                <w:i/>
                <w:lang w:eastAsia="en-US"/>
              </w:rPr>
              <w:t>Act 1953</w:t>
            </w:r>
          </w:p>
          <w:p w:rsidR="00FD2B8C" w:rsidRPr="00F27C36" w:rsidRDefault="00FD2B8C" w:rsidP="00E04461">
            <w:pPr>
              <w:pStyle w:val="tabletext"/>
              <w:spacing w:after="0"/>
              <w:ind w:left="34"/>
              <w:rPr>
                <w:lang w:eastAsia="en-US"/>
              </w:rPr>
            </w:pPr>
            <w:r w:rsidRPr="00F27C36">
              <w:rPr>
                <w:lang w:eastAsia="en-US"/>
              </w:rPr>
              <w:t>2(1)</w:t>
            </w:r>
          </w:p>
          <w:p w:rsidR="00FD2B8C" w:rsidRPr="00F27C36" w:rsidRDefault="00FD2B8C" w:rsidP="00E04461">
            <w:pPr>
              <w:pStyle w:val="tabletext"/>
              <w:spacing w:after="0"/>
              <w:ind w:left="34"/>
              <w:rPr>
                <w:lang w:eastAsia="en-US"/>
              </w:rPr>
            </w:pPr>
            <w:r w:rsidRPr="00F27C36">
              <w:rPr>
                <w:lang w:eastAsia="en-US"/>
              </w:rPr>
              <w:t xml:space="preserve">14ZQ (definition of </w:t>
            </w:r>
            <w:r>
              <w:rPr>
                <w:lang w:eastAsia="en-US"/>
              </w:rPr>
              <w:t>‘</w:t>
            </w:r>
            <w:r w:rsidRPr="00F27C36">
              <w:rPr>
                <w:lang w:eastAsia="en-US"/>
              </w:rPr>
              <w:t>ineligible income tax remission decision</w:t>
            </w:r>
            <w:r>
              <w:rPr>
                <w:lang w:eastAsia="en-US"/>
              </w:rPr>
              <w:t>’</w:t>
            </w:r>
            <w:r w:rsidRPr="00F27C36">
              <w:rPr>
                <w:lang w:eastAsia="en-US"/>
              </w:rPr>
              <w:t>)</w:t>
            </w:r>
          </w:p>
          <w:p w:rsidR="00FD2B8C" w:rsidRPr="00F27C36" w:rsidRDefault="00FD2B8C" w:rsidP="00E04461">
            <w:pPr>
              <w:pStyle w:val="tabletext"/>
              <w:spacing w:after="0"/>
              <w:ind w:left="34"/>
              <w:rPr>
                <w:lang w:eastAsia="en-US"/>
              </w:rPr>
            </w:pPr>
            <w:r w:rsidRPr="00F27C36">
              <w:rPr>
                <w:lang w:eastAsia="en-US"/>
              </w:rPr>
              <w:t>14ZS(1)</w:t>
            </w:r>
          </w:p>
          <w:p w:rsidR="00FD2B8C" w:rsidRPr="00F27C36" w:rsidRDefault="00FD2B8C" w:rsidP="00E04461">
            <w:pPr>
              <w:pStyle w:val="tabletext"/>
              <w:spacing w:after="0"/>
              <w:ind w:left="34"/>
              <w:rPr>
                <w:lang w:eastAsia="en-US"/>
              </w:rPr>
            </w:pPr>
            <w:r w:rsidRPr="00F27C36">
              <w:rPr>
                <w:lang w:eastAsia="en-US"/>
              </w:rPr>
              <w:t>14ZS(2)</w:t>
            </w:r>
          </w:p>
          <w:p w:rsidR="00FD2B8C" w:rsidRPr="00F27C36" w:rsidRDefault="00FD2B8C" w:rsidP="00E04461">
            <w:pPr>
              <w:pStyle w:val="tabletext"/>
              <w:spacing w:after="0"/>
              <w:ind w:left="34"/>
              <w:rPr>
                <w:lang w:eastAsia="en-US"/>
              </w:rPr>
            </w:pPr>
            <w:r w:rsidRPr="00F27C36">
              <w:rPr>
                <w:lang w:eastAsia="en-US"/>
              </w:rPr>
              <w:t>14ZS(5)</w:t>
            </w:r>
          </w:p>
          <w:p w:rsidR="00FD2B8C" w:rsidRPr="00F27C36" w:rsidRDefault="00FD2B8C" w:rsidP="00FD2B8C">
            <w:pPr>
              <w:pStyle w:val="tabletext"/>
              <w:spacing w:after="0"/>
              <w:ind w:left="34"/>
              <w:rPr>
                <w:lang w:eastAsia="en-US"/>
              </w:rPr>
            </w:pPr>
            <w:r w:rsidRPr="00F27C36">
              <w:rPr>
                <w:lang w:eastAsia="en-US"/>
              </w:rPr>
              <w:t>388-65(3A) in Schedule 1</w:t>
            </w:r>
            <w:r>
              <w:rPr>
                <w:lang w:eastAsia="en-US"/>
              </w:rPr>
              <w:br/>
            </w:r>
            <w:r>
              <w:rPr>
                <w:b/>
                <w:i/>
                <w:lang w:eastAsia="en-US"/>
              </w:rPr>
              <w:t>[I</w:t>
            </w:r>
            <w:r w:rsidRPr="00F27C36">
              <w:rPr>
                <w:b/>
                <w:i/>
                <w:lang w:eastAsia="en-US"/>
              </w:rPr>
              <w:t>tems 4</w:t>
            </w:r>
            <w:r>
              <w:rPr>
                <w:b/>
                <w:i/>
                <w:lang w:eastAsia="en-US"/>
              </w:rPr>
              <w:t>2</w:t>
            </w:r>
            <w:r w:rsidRPr="00F27C36">
              <w:rPr>
                <w:b/>
                <w:i/>
                <w:lang w:eastAsia="en-US"/>
              </w:rPr>
              <w:t>1 and 4</w:t>
            </w:r>
            <w:r>
              <w:rPr>
                <w:b/>
                <w:i/>
                <w:lang w:eastAsia="en-US"/>
              </w:rPr>
              <w:t>2</w:t>
            </w:r>
            <w:r w:rsidRPr="00F27C36">
              <w:rPr>
                <w:b/>
                <w:i/>
                <w:lang w:eastAsia="en-US"/>
              </w:rPr>
              <w:t>2</w:t>
            </w:r>
            <w:r>
              <w:rPr>
                <w:b/>
                <w:i/>
                <w:lang w:eastAsia="en-US"/>
              </w:rPr>
              <w:t>]</w:t>
            </w:r>
          </w:p>
        </w:tc>
        <w:tc>
          <w:tcPr>
            <w:tcW w:w="3912" w:type="dxa"/>
            <w:tcBorders>
              <w:top w:val="single" w:sz="4" w:space="0" w:color="auto"/>
              <w:left w:val="single" w:sz="4" w:space="0" w:color="auto"/>
              <w:bottom w:val="single" w:sz="4" w:space="0" w:color="auto"/>
              <w:right w:val="single" w:sz="4" w:space="0" w:color="auto"/>
            </w:tcBorders>
            <w:hideMark/>
          </w:tcPr>
          <w:p w:rsidR="00FD2B8C" w:rsidRPr="00C404F8" w:rsidRDefault="00FD2B8C" w:rsidP="00DE7BC7">
            <w:pPr>
              <w:pStyle w:val="tabletext"/>
              <w:keepNext/>
              <w:spacing w:after="0"/>
              <w:rPr>
                <w:sz w:val="18"/>
                <w:lang w:eastAsia="en-US"/>
              </w:rPr>
            </w:pPr>
            <w:r w:rsidRPr="00C404F8">
              <w:t xml:space="preserve">Corrects an incorrect cross-reference, and </w:t>
            </w:r>
            <w:r w:rsidR="004D7C77">
              <w:t>applies</w:t>
            </w:r>
            <w:r w:rsidRPr="00C404F8">
              <w:t xml:space="preserve"> to determinations made on or after 1</w:t>
            </w:r>
            <w:r w:rsidR="00DE7BC7">
              <w:t> </w:t>
            </w:r>
            <w:r w:rsidRPr="00C404F8">
              <w:t>April 2004</w:t>
            </w:r>
            <w:r>
              <w:t>.</w:t>
            </w:r>
          </w:p>
        </w:tc>
      </w:tr>
    </w:tbl>
    <w:p w:rsidR="00FD2B8C" w:rsidRPr="00A46FB8" w:rsidRDefault="00FD2B8C" w:rsidP="00DC00CE">
      <w:pPr>
        <w:pStyle w:val="TableHeadingoutsidetable"/>
        <w:numPr>
          <w:ilvl w:val="4"/>
          <w:numId w:val="21"/>
        </w:numPr>
        <w:spacing w:before="240" w:after="240"/>
      </w:pPr>
      <w:r w:rsidRPr="00D35AEC">
        <w:t xml:space="preserve">:  </w:t>
      </w:r>
      <w:r w:rsidR="003675E0">
        <w:t xml:space="preserve">Part 31 — Other amendments — </w:t>
      </w:r>
      <w:r w:rsidRPr="00D35AEC">
        <w:t>Amendments to the</w:t>
      </w:r>
      <w:r w:rsidRPr="00A46FB8">
        <w:t xml:space="preserve"> </w:t>
      </w:r>
      <w:r w:rsidRPr="00AB3232">
        <w:t xml:space="preserve">Tax Laws Amendment (2007 Measures </w:t>
      </w:r>
      <w:r>
        <w:t xml:space="preserve">No. </w:t>
      </w:r>
      <w:r w:rsidRPr="00AB3232">
        <w:t>5) Act 2007</w:t>
      </w:r>
      <w:r w:rsidRPr="00A46FB8">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912"/>
      </w:tblGrid>
      <w:tr w:rsidR="00FD2B8C" w:rsidRPr="00344FE7" w:rsidTr="00E04461">
        <w:trPr>
          <w:tblHeader/>
        </w:trPr>
        <w:tc>
          <w:tcPr>
            <w:tcW w:w="2694" w:type="dxa"/>
            <w:tcBorders>
              <w:top w:val="single" w:sz="4" w:space="0" w:color="auto"/>
              <w:left w:val="single" w:sz="4" w:space="0" w:color="auto"/>
              <w:bottom w:val="single" w:sz="4" w:space="0" w:color="auto"/>
              <w:right w:val="single" w:sz="4" w:space="0" w:color="auto"/>
            </w:tcBorders>
            <w:hideMark/>
          </w:tcPr>
          <w:p w:rsidR="00FD2B8C" w:rsidRPr="00344FE7" w:rsidRDefault="00FD2B8C" w:rsidP="00E04461">
            <w:pPr>
              <w:pStyle w:val="tableheaderwithintable"/>
              <w:rPr>
                <w:lang w:eastAsia="en-US"/>
              </w:rPr>
            </w:pPr>
            <w:r w:rsidRPr="00344FE7">
              <w:rPr>
                <w:lang w:eastAsia="en-US"/>
              </w:rPr>
              <w:t>Provision being amended</w:t>
            </w:r>
          </w:p>
        </w:tc>
        <w:tc>
          <w:tcPr>
            <w:tcW w:w="3912" w:type="dxa"/>
            <w:tcBorders>
              <w:top w:val="single" w:sz="4" w:space="0" w:color="auto"/>
              <w:left w:val="single" w:sz="4" w:space="0" w:color="auto"/>
              <w:bottom w:val="single" w:sz="4" w:space="0" w:color="auto"/>
              <w:right w:val="single" w:sz="4" w:space="0" w:color="auto"/>
            </w:tcBorders>
            <w:hideMark/>
          </w:tcPr>
          <w:p w:rsidR="00FD2B8C" w:rsidRPr="00344FE7" w:rsidRDefault="00FD2B8C" w:rsidP="00E04461">
            <w:pPr>
              <w:pStyle w:val="tableheaderwithintable"/>
              <w:rPr>
                <w:lang w:eastAsia="en-US"/>
              </w:rPr>
            </w:pPr>
            <w:r w:rsidRPr="00344FE7">
              <w:rPr>
                <w:lang w:eastAsia="en-US"/>
              </w:rPr>
              <w:t>What the amendment does</w:t>
            </w:r>
          </w:p>
        </w:tc>
      </w:tr>
      <w:tr w:rsidR="00FD2B8C" w:rsidRPr="00AF36B8" w:rsidTr="00E04461">
        <w:trPr>
          <w:cantSplit/>
        </w:trPr>
        <w:tc>
          <w:tcPr>
            <w:tcW w:w="2694" w:type="dxa"/>
            <w:tcBorders>
              <w:top w:val="single" w:sz="4" w:space="0" w:color="auto"/>
              <w:left w:val="single" w:sz="4" w:space="0" w:color="auto"/>
              <w:bottom w:val="single" w:sz="4" w:space="0" w:color="auto"/>
              <w:right w:val="single" w:sz="4" w:space="0" w:color="auto"/>
            </w:tcBorders>
          </w:tcPr>
          <w:p w:rsidR="00FD2B8C" w:rsidRPr="00E51002" w:rsidRDefault="00FD2B8C" w:rsidP="00E04461">
            <w:pPr>
              <w:pStyle w:val="tabletext"/>
              <w:rPr>
                <w:b/>
                <w:i/>
                <w:lang w:eastAsia="en-US"/>
              </w:rPr>
            </w:pPr>
            <w:r w:rsidRPr="00E51002">
              <w:rPr>
                <w:b/>
                <w:i/>
                <w:lang w:eastAsia="en-US"/>
              </w:rPr>
              <w:t xml:space="preserve">Tax Laws Amendment (2007 Measures </w:t>
            </w:r>
            <w:r>
              <w:rPr>
                <w:b/>
                <w:i/>
                <w:lang w:eastAsia="en-US"/>
              </w:rPr>
              <w:t xml:space="preserve">No. </w:t>
            </w:r>
            <w:r w:rsidRPr="00E51002">
              <w:rPr>
                <w:b/>
                <w:i/>
                <w:lang w:eastAsia="en-US"/>
              </w:rPr>
              <w:t>5) Act 2007</w:t>
            </w:r>
          </w:p>
          <w:p w:rsidR="00FD2B8C" w:rsidRPr="00344FE7" w:rsidRDefault="00FD2B8C" w:rsidP="00FD2B8C">
            <w:pPr>
              <w:pStyle w:val="tabletext"/>
              <w:rPr>
                <w:lang w:eastAsia="en-US"/>
              </w:rPr>
            </w:pPr>
            <w:r w:rsidRPr="00A46FB8">
              <w:rPr>
                <w:lang w:eastAsia="en-US"/>
              </w:rPr>
              <w:t xml:space="preserve">Part 2 of Schedule 12 (heading </w:t>
            </w:r>
            <w:r w:rsidRPr="00D44BF4">
              <w:t>relating</w:t>
            </w:r>
            <w:r w:rsidRPr="00A46FB8">
              <w:rPr>
                <w:lang w:eastAsia="en-US"/>
              </w:rPr>
              <w:t xml:space="preserve"> to the </w:t>
            </w:r>
            <w:r w:rsidRPr="004E2184">
              <w:rPr>
                <w:i/>
                <w:lang w:eastAsia="en-US"/>
              </w:rPr>
              <w:t>Industrial Research and Development Incentives Act 1976</w:t>
            </w:r>
            <w:r w:rsidRPr="00A46FB8">
              <w:rPr>
                <w:lang w:eastAsia="en-US"/>
              </w:rPr>
              <w:t>)</w:t>
            </w:r>
            <w:r>
              <w:rPr>
                <w:lang w:eastAsia="en-US"/>
              </w:rPr>
              <w:br/>
            </w:r>
            <w:r>
              <w:rPr>
                <w:b/>
                <w:i/>
                <w:lang w:eastAsia="en-US"/>
              </w:rPr>
              <w:t>[I</w:t>
            </w:r>
            <w:r w:rsidRPr="00F27C36">
              <w:rPr>
                <w:b/>
                <w:i/>
                <w:lang w:eastAsia="en-US"/>
              </w:rPr>
              <w:t>tem 4</w:t>
            </w:r>
            <w:r>
              <w:rPr>
                <w:b/>
                <w:i/>
                <w:lang w:eastAsia="en-US"/>
              </w:rPr>
              <w:t>2</w:t>
            </w:r>
            <w:r w:rsidRPr="00F27C36">
              <w:rPr>
                <w:b/>
                <w:i/>
                <w:lang w:eastAsia="en-US"/>
              </w:rPr>
              <w:t>4</w:t>
            </w:r>
            <w:r>
              <w:rPr>
                <w:b/>
                <w:i/>
                <w:lang w:eastAsia="en-US"/>
              </w:rPr>
              <w:t>]</w:t>
            </w:r>
          </w:p>
        </w:tc>
        <w:tc>
          <w:tcPr>
            <w:tcW w:w="3912" w:type="dxa"/>
            <w:tcBorders>
              <w:top w:val="single" w:sz="4" w:space="0" w:color="auto"/>
              <w:left w:val="single" w:sz="4" w:space="0" w:color="auto"/>
              <w:bottom w:val="single" w:sz="4" w:space="0" w:color="auto"/>
              <w:right w:val="single" w:sz="4" w:space="0" w:color="auto"/>
            </w:tcBorders>
            <w:hideMark/>
          </w:tcPr>
          <w:p w:rsidR="00FD2B8C" w:rsidRPr="0013309E" w:rsidRDefault="00FD2B8C" w:rsidP="00E04461">
            <w:pPr>
              <w:pStyle w:val="tabletext"/>
              <w:rPr>
                <w:lang w:eastAsia="en-US"/>
              </w:rPr>
            </w:pPr>
            <w:r w:rsidRPr="00D44BF4">
              <w:t>Repeals a heading which refers to an Act that is not being amended</w:t>
            </w:r>
            <w:r>
              <w:t>.</w:t>
            </w:r>
          </w:p>
        </w:tc>
      </w:tr>
    </w:tbl>
    <w:p w:rsidR="00FD2B8C" w:rsidRPr="002017EF" w:rsidRDefault="00FD2B8C" w:rsidP="00F303AB"/>
    <w:p w:rsidR="002017EF" w:rsidRDefault="002017EF" w:rsidP="002017EF">
      <w:pPr>
        <w:pStyle w:val="TableHeadingoutsidetable"/>
        <w:numPr>
          <w:ilvl w:val="0"/>
          <w:numId w:val="0"/>
        </w:numPr>
        <w:spacing w:before="240" w:after="240"/>
        <w:ind w:left="2269"/>
        <w:sectPr w:rsidR="002017EF" w:rsidSect="007D3360">
          <w:headerReference w:type="even" r:id="rId48"/>
          <w:headerReference w:type="default" r:id="rId49"/>
          <w:footerReference w:type="even" r:id="rId50"/>
          <w:footerReference w:type="default" r:id="rId51"/>
          <w:footerReference w:type="first" r:id="rId52"/>
          <w:type w:val="oddPage"/>
          <w:pgSz w:w="11906" w:h="16838" w:code="9"/>
          <w:pgMar w:top="2466" w:right="2098" w:bottom="2466" w:left="2098" w:header="1559" w:footer="1899" w:gutter="0"/>
          <w:cols w:space="708"/>
          <w:titlePg/>
          <w:docGrid w:linePitch="360"/>
        </w:sectPr>
      </w:pPr>
    </w:p>
    <w:p w:rsidR="00B11C60" w:rsidRDefault="00B11C60" w:rsidP="00E04461">
      <w:pPr>
        <w:pStyle w:val="Chapterheadingsubdocument"/>
      </w:pPr>
      <w:bookmarkStart w:id="35" w:name="Index"/>
      <w:bookmarkStart w:id="36" w:name="_Toc288643039"/>
      <w:r w:rsidRPr="009E453A">
        <w:rPr>
          <w:rStyle w:val="Font30point"/>
        </w:rPr>
        <w:lastRenderedPageBreak/>
        <w:t>I</w:t>
      </w:r>
      <w:r>
        <w:t>ndex</w:t>
      </w:r>
      <w:bookmarkEnd w:id="35"/>
      <w:bookmarkEnd w:id="36"/>
    </w:p>
    <w:p w:rsidR="00B11C60" w:rsidRDefault="00B11C60" w:rsidP="00E04461">
      <w:pPr>
        <w:pStyle w:val="Heading2with18pointafter"/>
      </w:pPr>
      <w:r>
        <w:t xml:space="preserve">Schedule 1:  </w:t>
      </w:r>
      <w:r w:rsidR="002017EF">
        <w:t>Deductible gift recipients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1980"/>
      </w:tblGrid>
      <w:tr w:rsidR="00B11C60" w:rsidRPr="00442FB9" w:rsidTr="00E04461">
        <w:trPr>
          <w:tblHeader/>
        </w:trPr>
        <w:tc>
          <w:tcPr>
            <w:tcW w:w="5760" w:type="dxa"/>
          </w:tcPr>
          <w:p w:rsidR="00B11C60" w:rsidRPr="00231CBA" w:rsidRDefault="00B11C60" w:rsidP="00E04461">
            <w:pPr>
              <w:pStyle w:val="tableheaderwithintable"/>
            </w:pPr>
            <w:r w:rsidRPr="00231CBA">
              <w:t>Bill reference</w:t>
            </w:r>
          </w:p>
        </w:tc>
        <w:tc>
          <w:tcPr>
            <w:tcW w:w="1980" w:type="dxa"/>
          </w:tcPr>
          <w:p w:rsidR="00B11C60" w:rsidRPr="00231CBA" w:rsidRDefault="00B11C60" w:rsidP="00E04461">
            <w:pPr>
              <w:pStyle w:val="tableheaderwithintable"/>
            </w:pPr>
            <w:r w:rsidRPr="00231CBA">
              <w:t>Paragraph number</w:t>
            </w:r>
          </w:p>
        </w:tc>
      </w:tr>
      <w:tr w:rsidR="00B11C60" w:rsidRPr="00231CBA" w:rsidTr="00E04461">
        <w:trPr>
          <w:tblHeader/>
        </w:trPr>
        <w:tc>
          <w:tcPr>
            <w:tcW w:w="5760" w:type="dxa"/>
          </w:tcPr>
          <w:p w:rsidR="00B11C60" w:rsidRPr="00231CBA" w:rsidRDefault="00B11C60" w:rsidP="00E04461">
            <w:pPr>
              <w:pStyle w:val="tabletext"/>
            </w:pPr>
            <w:r>
              <w:t>Items 1 and 2, items 10.2.2 and 10.2.3 in the table in section 30-90</w:t>
            </w:r>
          </w:p>
        </w:tc>
        <w:tc>
          <w:tcPr>
            <w:tcW w:w="1980" w:type="dxa"/>
          </w:tcPr>
          <w:p w:rsidR="00B11C60" w:rsidRPr="00231CBA" w:rsidRDefault="00B11C60" w:rsidP="00E04461">
            <w:pPr>
              <w:pStyle w:val="tabletext"/>
            </w:pPr>
            <w:r>
              <w:t>1.11</w:t>
            </w:r>
          </w:p>
        </w:tc>
      </w:tr>
      <w:tr w:rsidR="00B11C60" w:rsidRPr="00231CBA" w:rsidTr="00E04461">
        <w:trPr>
          <w:tblHeader/>
        </w:trPr>
        <w:tc>
          <w:tcPr>
            <w:tcW w:w="5760" w:type="dxa"/>
          </w:tcPr>
          <w:p w:rsidR="00B11C60" w:rsidRDefault="00B11C60" w:rsidP="00E04461">
            <w:pPr>
              <w:pStyle w:val="tabletext"/>
            </w:pPr>
            <w:r>
              <w:t>Item 3, item 53A in the table in section 30-315</w:t>
            </w:r>
          </w:p>
        </w:tc>
        <w:tc>
          <w:tcPr>
            <w:tcW w:w="1980" w:type="dxa"/>
          </w:tcPr>
          <w:p w:rsidR="00B11C60" w:rsidRDefault="00B11C60" w:rsidP="00E04461">
            <w:pPr>
              <w:pStyle w:val="tabletext"/>
            </w:pPr>
            <w:r>
              <w:t>1.14</w:t>
            </w:r>
          </w:p>
        </w:tc>
      </w:tr>
      <w:tr w:rsidR="00B11C60" w:rsidRPr="00231CBA" w:rsidTr="00E04461">
        <w:trPr>
          <w:tblHeader/>
        </w:trPr>
        <w:tc>
          <w:tcPr>
            <w:tcW w:w="5760" w:type="dxa"/>
          </w:tcPr>
          <w:p w:rsidR="00B11C60" w:rsidRDefault="00B11C60" w:rsidP="00E04461">
            <w:pPr>
              <w:pStyle w:val="tabletext"/>
            </w:pPr>
            <w:r>
              <w:t>Item 4, item 2.2.39 in the table in subsection 30</w:t>
            </w:r>
            <w:r>
              <w:noBreakHyphen/>
              <w:t>25(2)</w:t>
            </w:r>
          </w:p>
        </w:tc>
        <w:tc>
          <w:tcPr>
            <w:tcW w:w="1980" w:type="dxa"/>
          </w:tcPr>
          <w:p w:rsidR="00B11C60" w:rsidRDefault="00B11C60" w:rsidP="00E04461">
            <w:pPr>
              <w:pStyle w:val="tabletext"/>
            </w:pPr>
            <w:r>
              <w:t>1.5</w:t>
            </w:r>
          </w:p>
        </w:tc>
      </w:tr>
      <w:tr w:rsidR="00B11C60" w:rsidRPr="00231CBA" w:rsidTr="00E04461">
        <w:trPr>
          <w:tblHeader/>
        </w:trPr>
        <w:tc>
          <w:tcPr>
            <w:tcW w:w="5760" w:type="dxa"/>
          </w:tcPr>
          <w:p w:rsidR="00B11C60" w:rsidRDefault="00B11C60" w:rsidP="00E04461">
            <w:pPr>
              <w:pStyle w:val="tabletext"/>
            </w:pPr>
            <w:r>
              <w:t>Item 4, item 2.2.40 in the table in subsection 30</w:t>
            </w:r>
            <w:r>
              <w:noBreakHyphen/>
              <w:t>25(2)</w:t>
            </w:r>
          </w:p>
        </w:tc>
        <w:tc>
          <w:tcPr>
            <w:tcW w:w="1980" w:type="dxa"/>
          </w:tcPr>
          <w:p w:rsidR="00B11C60" w:rsidRDefault="00B11C60" w:rsidP="00E04461">
            <w:pPr>
              <w:pStyle w:val="tabletext"/>
            </w:pPr>
            <w:r>
              <w:t>1.8</w:t>
            </w:r>
          </w:p>
        </w:tc>
      </w:tr>
      <w:tr w:rsidR="00B11C60" w:rsidRPr="00231CBA" w:rsidTr="00E04461">
        <w:trPr>
          <w:tblHeader/>
        </w:trPr>
        <w:tc>
          <w:tcPr>
            <w:tcW w:w="5760" w:type="dxa"/>
          </w:tcPr>
          <w:p w:rsidR="00B11C60" w:rsidRDefault="00B11C60" w:rsidP="00E04461">
            <w:pPr>
              <w:pStyle w:val="tabletext"/>
            </w:pPr>
            <w:r>
              <w:t>Items 5 and 6, items 30A and 97AA in the table in section 30-315</w:t>
            </w:r>
          </w:p>
        </w:tc>
        <w:tc>
          <w:tcPr>
            <w:tcW w:w="1980" w:type="dxa"/>
          </w:tcPr>
          <w:p w:rsidR="00B11C60" w:rsidRDefault="00B11C60" w:rsidP="00E04461">
            <w:pPr>
              <w:pStyle w:val="tabletext"/>
            </w:pPr>
            <w:r>
              <w:t>1.13</w:t>
            </w:r>
          </w:p>
        </w:tc>
      </w:tr>
    </w:tbl>
    <w:p w:rsidR="00B11C60" w:rsidRDefault="00B11C60" w:rsidP="00E04461">
      <w:pPr>
        <w:pStyle w:val="Heading2with18pointafter"/>
      </w:pPr>
      <w:r>
        <w:t xml:space="preserve">Schedule 2:  </w:t>
      </w:r>
      <w:r w:rsidR="002017EF">
        <w:t>Self managed superannuation funds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1980"/>
      </w:tblGrid>
      <w:tr w:rsidR="00B11C60" w:rsidRPr="00442FB9" w:rsidTr="00E04461">
        <w:trPr>
          <w:tblHeader/>
        </w:trPr>
        <w:tc>
          <w:tcPr>
            <w:tcW w:w="5760" w:type="dxa"/>
          </w:tcPr>
          <w:p w:rsidR="00B11C60" w:rsidRPr="00442FB9" w:rsidRDefault="00B11C60" w:rsidP="00E04461">
            <w:pPr>
              <w:pStyle w:val="tableheaderwithintable"/>
              <w:rPr>
                <w:lang w:val="en-US" w:eastAsia="en-US"/>
              </w:rPr>
            </w:pPr>
            <w:r w:rsidRPr="00442FB9">
              <w:rPr>
                <w:lang w:val="en-US" w:eastAsia="en-US"/>
              </w:rPr>
              <w:t>Bill reference</w:t>
            </w:r>
          </w:p>
        </w:tc>
        <w:tc>
          <w:tcPr>
            <w:tcW w:w="1980" w:type="dxa"/>
          </w:tcPr>
          <w:p w:rsidR="00B11C60" w:rsidRPr="00442FB9" w:rsidRDefault="00B11C60" w:rsidP="00E04461">
            <w:pPr>
              <w:pStyle w:val="tableheaderwithintable"/>
              <w:rPr>
                <w:lang w:val="en-US" w:eastAsia="en-US"/>
              </w:rPr>
            </w:pPr>
            <w:r w:rsidRPr="00442FB9">
              <w:rPr>
                <w:lang w:val="en-US" w:eastAsia="en-US"/>
              </w:rPr>
              <w:t>Paragraph number</w:t>
            </w:r>
          </w:p>
        </w:tc>
      </w:tr>
      <w:tr w:rsidR="00B11C60" w:rsidRPr="00231CBA" w:rsidTr="00E04461">
        <w:trPr>
          <w:tblHeader/>
        </w:trPr>
        <w:tc>
          <w:tcPr>
            <w:tcW w:w="5760" w:type="dxa"/>
          </w:tcPr>
          <w:p w:rsidR="00B11C60" w:rsidRPr="00231CBA" w:rsidRDefault="00B11C60" w:rsidP="00E04461">
            <w:pPr>
              <w:pStyle w:val="tabletext"/>
            </w:pPr>
            <w:r>
              <w:t>Item 1, section 62A</w:t>
            </w:r>
          </w:p>
        </w:tc>
        <w:tc>
          <w:tcPr>
            <w:tcW w:w="1980" w:type="dxa"/>
          </w:tcPr>
          <w:p w:rsidR="00B11C60" w:rsidRPr="00231CBA" w:rsidRDefault="00B11C60" w:rsidP="00E04461">
            <w:pPr>
              <w:pStyle w:val="tabletext"/>
            </w:pPr>
            <w:r>
              <w:t>2.19, 2.23</w:t>
            </w:r>
          </w:p>
        </w:tc>
      </w:tr>
      <w:tr w:rsidR="00B11C60" w:rsidRPr="00231CBA" w:rsidTr="00E04461">
        <w:trPr>
          <w:tblHeader/>
        </w:trPr>
        <w:tc>
          <w:tcPr>
            <w:tcW w:w="5760" w:type="dxa"/>
          </w:tcPr>
          <w:p w:rsidR="00B11C60" w:rsidRDefault="00B11C60" w:rsidP="00E04461">
            <w:pPr>
              <w:pStyle w:val="tabletext"/>
            </w:pPr>
            <w:r>
              <w:t>Item 1, section 62A, note</w:t>
            </w:r>
          </w:p>
        </w:tc>
        <w:tc>
          <w:tcPr>
            <w:tcW w:w="1980" w:type="dxa"/>
          </w:tcPr>
          <w:p w:rsidR="00B11C60" w:rsidRDefault="00B11C60" w:rsidP="00E04461">
            <w:pPr>
              <w:pStyle w:val="tabletext"/>
            </w:pPr>
            <w:r>
              <w:t>2.24</w:t>
            </w:r>
          </w:p>
        </w:tc>
      </w:tr>
      <w:tr w:rsidR="00B11C60" w:rsidRPr="00231CBA" w:rsidTr="00E04461">
        <w:trPr>
          <w:tblHeader/>
        </w:trPr>
        <w:tc>
          <w:tcPr>
            <w:tcW w:w="5760" w:type="dxa"/>
          </w:tcPr>
          <w:p w:rsidR="00B11C60" w:rsidRDefault="00B11C60" w:rsidP="00E04461">
            <w:pPr>
              <w:pStyle w:val="tabletext"/>
            </w:pPr>
            <w:r>
              <w:t>Item 2, paragraph 353(1)(d)</w:t>
            </w:r>
          </w:p>
        </w:tc>
        <w:tc>
          <w:tcPr>
            <w:tcW w:w="1980" w:type="dxa"/>
          </w:tcPr>
          <w:p w:rsidR="00B11C60" w:rsidRDefault="00B11C60" w:rsidP="00E04461">
            <w:pPr>
              <w:pStyle w:val="tabletext"/>
            </w:pPr>
            <w:r>
              <w:t>2.26</w:t>
            </w:r>
          </w:p>
        </w:tc>
      </w:tr>
      <w:tr w:rsidR="00B11C60" w:rsidRPr="00231CBA" w:rsidTr="00E04461">
        <w:trPr>
          <w:tblHeader/>
        </w:trPr>
        <w:tc>
          <w:tcPr>
            <w:tcW w:w="5760" w:type="dxa"/>
          </w:tcPr>
          <w:p w:rsidR="00B11C60" w:rsidRDefault="00B11C60" w:rsidP="00E04461">
            <w:pPr>
              <w:pStyle w:val="tabletext"/>
            </w:pPr>
            <w:r>
              <w:t>Item 3</w:t>
            </w:r>
          </w:p>
        </w:tc>
        <w:tc>
          <w:tcPr>
            <w:tcW w:w="1980" w:type="dxa"/>
          </w:tcPr>
          <w:p w:rsidR="00B11C60" w:rsidRDefault="00B11C60" w:rsidP="00E04461">
            <w:pPr>
              <w:pStyle w:val="tabletext"/>
            </w:pPr>
            <w:r>
              <w:t>2.27</w:t>
            </w:r>
            <w:r w:rsidR="002F2161">
              <w:t>, 2.28</w:t>
            </w:r>
          </w:p>
        </w:tc>
      </w:tr>
    </w:tbl>
    <w:p w:rsidR="00B11C60" w:rsidRDefault="00B11C60" w:rsidP="00E04461">
      <w:pPr>
        <w:pStyle w:val="Heading2with18pointafter"/>
      </w:pPr>
      <w:r>
        <w:t xml:space="preserve">Schedule 3:  </w:t>
      </w:r>
      <w:r w:rsidR="002017EF">
        <w:t>Use of TFNs for superannuation purposes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1980"/>
      </w:tblGrid>
      <w:tr w:rsidR="00B11C60" w:rsidRPr="00442FB9" w:rsidTr="00E0436E">
        <w:trPr>
          <w:tblHeader/>
        </w:trPr>
        <w:tc>
          <w:tcPr>
            <w:tcW w:w="5760" w:type="dxa"/>
          </w:tcPr>
          <w:p w:rsidR="00B11C60" w:rsidRPr="00442FB9" w:rsidRDefault="00B11C60" w:rsidP="00E04461">
            <w:pPr>
              <w:pStyle w:val="tableheaderwithintable"/>
              <w:rPr>
                <w:lang w:val="en-US" w:eastAsia="en-US"/>
              </w:rPr>
            </w:pPr>
            <w:r w:rsidRPr="00442FB9">
              <w:rPr>
                <w:lang w:val="en-US" w:eastAsia="en-US"/>
              </w:rPr>
              <w:t>Bill reference</w:t>
            </w:r>
          </w:p>
        </w:tc>
        <w:tc>
          <w:tcPr>
            <w:tcW w:w="1980" w:type="dxa"/>
          </w:tcPr>
          <w:p w:rsidR="00B11C60" w:rsidRPr="00442FB9" w:rsidRDefault="00B11C60" w:rsidP="00E04461">
            <w:pPr>
              <w:pStyle w:val="tableheaderwithintable"/>
              <w:rPr>
                <w:lang w:val="en-US" w:eastAsia="en-US"/>
              </w:rPr>
            </w:pPr>
            <w:r w:rsidRPr="00442FB9">
              <w:rPr>
                <w:lang w:val="en-US" w:eastAsia="en-US"/>
              </w:rPr>
              <w:t>Paragraph number</w:t>
            </w:r>
          </w:p>
        </w:tc>
      </w:tr>
      <w:tr w:rsidR="00B11C60" w:rsidRPr="00442FB9" w:rsidTr="00E0436E">
        <w:tc>
          <w:tcPr>
            <w:tcW w:w="5760" w:type="dxa"/>
          </w:tcPr>
          <w:p w:rsidR="00B11C60" w:rsidRPr="00442FB9" w:rsidRDefault="00B11C60" w:rsidP="00921ECF">
            <w:pPr>
              <w:pStyle w:val="tabletext"/>
              <w:rPr>
                <w:lang w:val="en-US" w:eastAsia="en-US"/>
              </w:rPr>
            </w:pPr>
            <w:r>
              <w:rPr>
                <w:lang w:val="en-US" w:eastAsia="en-US"/>
              </w:rPr>
              <w:t xml:space="preserve">Item </w:t>
            </w:r>
            <w:r w:rsidR="00E0436E">
              <w:rPr>
                <w:lang w:val="en-US" w:eastAsia="en-US"/>
              </w:rPr>
              <w:t>1</w:t>
            </w:r>
            <w:r>
              <w:rPr>
                <w:lang w:val="en-US" w:eastAsia="en-US"/>
              </w:rPr>
              <w:t xml:space="preserve">, subsections 137(4) and (5) of the RSA Act; items </w:t>
            </w:r>
            <w:r w:rsidR="00E0436E">
              <w:rPr>
                <w:lang w:val="en-US" w:eastAsia="en-US"/>
              </w:rPr>
              <w:t>3</w:t>
            </w:r>
            <w:r>
              <w:rPr>
                <w:lang w:val="en-US" w:eastAsia="en-US"/>
              </w:rPr>
              <w:t xml:space="preserve">, </w:t>
            </w:r>
            <w:r w:rsidR="00E0436E">
              <w:rPr>
                <w:lang w:val="en-US" w:eastAsia="en-US"/>
              </w:rPr>
              <w:t>6</w:t>
            </w:r>
            <w:r>
              <w:rPr>
                <w:lang w:val="en-US" w:eastAsia="en-US"/>
              </w:rPr>
              <w:t xml:space="preserve">, </w:t>
            </w:r>
            <w:r w:rsidR="00E0436E">
              <w:rPr>
                <w:lang w:val="en-US" w:eastAsia="en-US"/>
              </w:rPr>
              <w:t>8</w:t>
            </w:r>
            <w:r>
              <w:rPr>
                <w:lang w:val="en-US" w:eastAsia="en-US"/>
              </w:rPr>
              <w:t xml:space="preserve"> and </w:t>
            </w:r>
            <w:r w:rsidR="00E0436E">
              <w:rPr>
                <w:lang w:val="en-US" w:eastAsia="en-US"/>
              </w:rPr>
              <w:t>10</w:t>
            </w:r>
            <w:r>
              <w:rPr>
                <w:lang w:val="en-US" w:eastAsia="en-US"/>
              </w:rPr>
              <w:t>, subsections 299H(4) and (5), 299J(4) and (5), 299K(4) and (5) and 299L(4) and (5) of the SIS Act</w:t>
            </w:r>
          </w:p>
        </w:tc>
        <w:tc>
          <w:tcPr>
            <w:tcW w:w="1980" w:type="dxa"/>
          </w:tcPr>
          <w:p w:rsidR="00B11C60" w:rsidRPr="00442FB9" w:rsidRDefault="00B11C60" w:rsidP="00E04461">
            <w:pPr>
              <w:pStyle w:val="tabletext"/>
              <w:rPr>
                <w:lang w:val="en-US" w:eastAsia="en-US"/>
              </w:rPr>
            </w:pPr>
            <w:r>
              <w:rPr>
                <w:lang w:val="en-US" w:eastAsia="en-US"/>
              </w:rPr>
              <w:t>3.30</w:t>
            </w:r>
          </w:p>
        </w:tc>
      </w:tr>
      <w:tr w:rsidR="00E0436E" w:rsidRPr="00442FB9" w:rsidTr="00E0436E">
        <w:tc>
          <w:tcPr>
            <w:tcW w:w="5760" w:type="dxa"/>
          </w:tcPr>
          <w:p w:rsidR="00E0436E" w:rsidRDefault="00E0436E" w:rsidP="00FD7E2D">
            <w:pPr>
              <w:pStyle w:val="tabletext"/>
              <w:rPr>
                <w:lang w:val="en-US" w:eastAsia="en-US"/>
              </w:rPr>
            </w:pPr>
            <w:r>
              <w:rPr>
                <w:lang w:val="en-US" w:eastAsia="en-US"/>
              </w:rPr>
              <w:t>Item 2, section 137A of the RSA Act; item 12, section 299LA of the SIS Act</w:t>
            </w:r>
          </w:p>
        </w:tc>
        <w:tc>
          <w:tcPr>
            <w:tcW w:w="1980" w:type="dxa"/>
          </w:tcPr>
          <w:p w:rsidR="00E0436E" w:rsidRDefault="00E0436E" w:rsidP="00FD7E2D">
            <w:pPr>
              <w:pStyle w:val="tabletext"/>
              <w:rPr>
                <w:lang w:val="en-US" w:eastAsia="en-US"/>
              </w:rPr>
            </w:pPr>
            <w:r>
              <w:rPr>
                <w:lang w:val="en-US" w:eastAsia="en-US"/>
              </w:rPr>
              <w:t>3.13</w:t>
            </w:r>
          </w:p>
        </w:tc>
      </w:tr>
      <w:tr w:rsidR="00E0436E" w:rsidRPr="00442FB9" w:rsidTr="00E0436E">
        <w:tc>
          <w:tcPr>
            <w:tcW w:w="5760" w:type="dxa"/>
          </w:tcPr>
          <w:p w:rsidR="00E0436E" w:rsidRDefault="00E0436E" w:rsidP="00FD7E2D">
            <w:pPr>
              <w:pStyle w:val="tabletext"/>
              <w:rPr>
                <w:lang w:val="en-US" w:eastAsia="en-US"/>
              </w:rPr>
            </w:pPr>
            <w:r>
              <w:rPr>
                <w:lang w:val="en-US" w:eastAsia="en-US"/>
              </w:rPr>
              <w:t>Item 2, subsection 137A(2) of the RSA Act; item 12, subsection 299LA(2) of the SIS Act</w:t>
            </w:r>
          </w:p>
        </w:tc>
        <w:tc>
          <w:tcPr>
            <w:tcW w:w="1980" w:type="dxa"/>
          </w:tcPr>
          <w:p w:rsidR="00E0436E" w:rsidRDefault="00E0436E" w:rsidP="00FD7E2D">
            <w:pPr>
              <w:pStyle w:val="tabletext"/>
              <w:rPr>
                <w:lang w:val="en-US" w:eastAsia="en-US"/>
              </w:rPr>
            </w:pPr>
            <w:r>
              <w:rPr>
                <w:lang w:val="en-US" w:eastAsia="en-US"/>
              </w:rPr>
              <w:t>3.17</w:t>
            </w:r>
          </w:p>
        </w:tc>
      </w:tr>
      <w:tr w:rsidR="00B11C60" w:rsidRPr="00442FB9" w:rsidTr="00E0436E">
        <w:tc>
          <w:tcPr>
            <w:tcW w:w="5760" w:type="dxa"/>
          </w:tcPr>
          <w:p w:rsidR="00B11C60" w:rsidRDefault="00B11C60" w:rsidP="00E0436E">
            <w:pPr>
              <w:pStyle w:val="tabletext"/>
              <w:rPr>
                <w:lang w:val="en-US" w:eastAsia="en-US"/>
              </w:rPr>
            </w:pPr>
            <w:r>
              <w:rPr>
                <w:lang w:val="en-US" w:eastAsia="en-US"/>
              </w:rPr>
              <w:t>Item </w:t>
            </w:r>
            <w:r w:rsidR="00E0436E">
              <w:rPr>
                <w:lang w:val="en-US" w:eastAsia="en-US"/>
              </w:rPr>
              <w:t>2</w:t>
            </w:r>
            <w:r>
              <w:rPr>
                <w:lang w:val="en-US" w:eastAsia="en-US"/>
              </w:rPr>
              <w:t xml:space="preserve">, subsection 137A(3) of the RSA Act; item </w:t>
            </w:r>
            <w:r w:rsidR="00E0436E">
              <w:rPr>
                <w:lang w:val="en-US" w:eastAsia="en-US"/>
              </w:rPr>
              <w:t>12</w:t>
            </w:r>
            <w:r>
              <w:rPr>
                <w:lang w:val="en-US" w:eastAsia="en-US"/>
              </w:rPr>
              <w:t>, subsection</w:t>
            </w:r>
            <w:r w:rsidR="00C77A0D">
              <w:rPr>
                <w:lang w:val="en-US" w:eastAsia="en-US"/>
              </w:rPr>
              <w:t> </w:t>
            </w:r>
            <w:r>
              <w:rPr>
                <w:lang w:val="en-US" w:eastAsia="en-US"/>
              </w:rPr>
              <w:t>299LA(3) of the SIS Act</w:t>
            </w:r>
          </w:p>
        </w:tc>
        <w:tc>
          <w:tcPr>
            <w:tcW w:w="1980" w:type="dxa"/>
          </w:tcPr>
          <w:p w:rsidR="00B11C60" w:rsidRDefault="00B11C60" w:rsidP="00E04461">
            <w:pPr>
              <w:pStyle w:val="tabletext"/>
              <w:rPr>
                <w:lang w:val="en-US" w:eastAsia="en-US"/>
              </w:rPr>
            </w:pPr>
            <w:r>
              <w:rPr>
                <w:lang w:val="en-US" w:eastAsia="en-US"/>
              </w:rPr>
              <w:t>3.16</w:t>
            </w:r>
          </w:p>
        </w:tc>
      </w:tr>
      <w:tr w:rsidR="00B11C60" w:rsidRPr="00442FB9" w:rsidTr="00E0436E">
        <w:tc>
          <w:tcPr>
            <w:tcW w:w="5760" w:type="dxa"/>
          </w:tcPr>
          <w:p w:rsidR="00B11C60" w:rsidRDefault="00B11C60" w:rsidP="00E0436E">
            <w:pPr>
              <w:pStyle w:val="tabletext"/>
              <w:rPr>
                <w:lang w:val="en-US" w:eastAsia="en-US"/>
              </w:rPr>
            </w:pPr>
            <w:r>
              <w:rPr>
                <w:lang w:val="en-US" w:eastAsia="en-US"/>
              </w:rPr>
              <w:t>Items</w:t>
            </w:r>
            <w:r w:rsidR="00E0436E">
              <w:rPr>
                <w:lang w:val="en-US" w:eastAsia="en-US"/>
              </w:rPr>
              <w:t xml:space="preserve"> 2</w:t>
            </w:r>
            <w:r>
              <w:rPr>
                <w:lang w:val="en-US" w:eastAsia="en-US"/>
              </w:rPr>
              <w:t xml:space="preserve"> and </w:t>
            </w:r>
            <w:r w:rsidR="00E0436E">
              <w:rPr>
                <w:lang w:val="en-US" w:eastAsia="en-US"/>
              </w:rPr>
              <w:t>16</w:t>
            </w:r>
            <w:r>
              <w:rPr>
                <w:lang w:val="en-US" w:eastAsia="en-US"/>
              </w:rPr>
              <w:t>, note in subsection 137A(2) of the RSA Act; items</w:t>
            </w:r>
            <w:r w:rsidR="00C77A0D">
              <w:rPr>
                <w:lang w:val="en-US" w:eastAsia="en-US"/>
              </w:rPr>
              <w:t> </w:t>
            </w:r>
            <w:r w:rsidR="00E0436E">
              <w:rPr>
                <w:lang w:val="en-US" w:eastAsia="en-US"/>
              </w:rPr>
              <w:t>12</w:t>
            </w:r>
            <w:r>
              <w:rPr>
                <w:lang w:val="en-US" w:eastAsia="en-US"/>
              </w:rPr>
              <w:t xml:space="preserve"> and </w:t>
            </w:r>
            <w:r w:rsidR="00E0436E">
              <w:rPr>
                <w:lang w:val="en-US" w:eastAsia="en-US"/>
              </w:rPr>
              <w:t>17</w:t>
            </w:r>
            <w:r>
              <w:rPr>
                <w:lang w:val="en-US" w:eastAsia="en-US"/>
              </w:rPr>
              <w:t>, note in subsection 299LA(2) of the SIS Act</w:t>
            </w:r>
          </w:p>
        </w:tc>
        <w:tc>
          <w:tcPr>
            <w:tcW w:w="1980" w:type="dxa"/>
          </w:tcPr>
          <w:p w:rsidR="00B11C60" w:rsidRDefault="00B11C60" w:rsidP="00E04461">
            <w:pPr>
              <w:pStyle w:val="tabletext"/>
              <w:rPr>
                <w:lang w:val="en-US" w:eastAsia="en-US"/>
              </w:rPr>
            </w:pPr>
            <w:r>
              <w:rPr>
                <w:lang w:val="en-US" w:eastAsia="en-US"/>
              </w:rPr>
              <w:t>3.20</w:t>
            </w:r>
            <w:r w:rsidR="00E0436E">
              <w:rPr>
                <w:lang w:val="en-US" w:eastAsia="en-US"/>
              </w:rPr>
              <w:t>, 3.24</w:t>
            </w:r>
          </w:p>
        </w:tc>
      </w:tr>
      <w:tr w:rsidR="00044D12" w:rsidRPr="00442FB9" w:rsidTr="00E0436E">
        <w:tc>
          <w:tcPr>
            <w:tcW w:w="5760" w:type="dxa"/>
          </w:tcPr>
          <w:p w:rsidR="00044D12" w:rsidRDefault="00044D12" w:rsidP="001A37A3">
            <w:pPr>
              <w:pStyle w:val="tabletext"/>
              <w:rPr>
                <w:lang w:val="en-US" w:eastAsia="en-US"/>
              </w:rPr>
            </w:pPr>
            <w:r>
              <w:rPr>
                <w:lang w:val="en-US" w:eastAsia="en-US"/>
              </w:rPr>
              <w:t>Items 4, 5, 7, 9 and 11</w:t>
            </w:r>
            <w:r w:rsidR="00921ECF" w:rsidRPr="00921ECF">
              <w:rPr>
                <w:b/>
                <w:i/>
                <w:lang w:val="en-US" w:eastAsia="en-US"/>
              </w:rPr>
              <w:t xml:space="preserve">, </w:t>
            </w:r>
            <w:r w:rsidR="00921ECF" w:rsidRPr="00921ECF">
              <w:rPr>
                <w:rStyle w:val="Referencingstyle"/>
                <w:b w:val="0"/>
                <w:i w:val="0"/>
                <w:sz w:val="20"/>
              </w:rPr>
              <w:t>subsections 299H(6)</w:t>
            </w:r>
            <w:r w:rsidR="001A37A3">
              <w:rPr>
                <w:rStyle w:val="Referencingstyle"/>
                <w:b w:val="0"/>
                <w:i w:val="0"/>
                <w:sz w:val="20"/>
              </w:rPr>
              <w:t xml:space="preserve"> and</w:t>
            </w:r>
            <w:r w:rsidR="00921ECF" w:rsidRPr="00921ECF">
              <w:rPr>
                <w:rStyle w:val="Referencingstyle"/>
                <w:b w:val="0"/>
                <w:i w:val="0"/>
                <w:sz w:val="20"/>
              </w:rPr>
              <w:t xml:space="preserve"> (7), 299J(6) and (7), </w:t>
            </w:r>
            <w:r w:rsidR="00921ECF" w:rsidRPr="00921ECF">
              <w:rPr>
                <w:rStyle w:val="Referencingstyle"/>
                <w:b w:val="0"/>
                <w:i w:val="0"/>
                <w:sz w:val="20"/>
              </w:rPr>
              <w:lastRenderedPageBreak/>
              <w:t>299K(6) and (7), 299L(6) and (7) of the SIS Act</w:t>
            </w:r>
          </w:p>
        </w:tc>
        <w:tc>
          <w:tcPr>
            <w:tcW w:w="1980" w:type="dxa"/>
          </w:tcPr>
          <w:p w:rsidR="00044D12" w:rsidRDefault="00044D12" w:rsidP="00E04461">
            <w:pPr>
              <w:pStyle w:val="tabletext"/>
              <w:rPr>
                <w:lang w:val="en-US" w:eastAsia="en-US"/>
              </w:rPr>
            </w:pPr>
            <w:r>
              <w:rPr>
                <w:lang w:val="en-US" w:eastAsia="en-US"/>
              </w:rPr>
              <w:lastRenderedPageBreak/>
              <w:t>3.31</w:t>
            </w:r>
          </w:p>
        </w:tc>
      </w:tr>
      <w:tr w:rsidR="00B11C60" w:rsidRPr="00442FB9" w:rsidTr="00E0436E">
        <w:tc>
          <w:tcPr>
            <w:tcW w:w="5760" w:type="dxa"/>
          </w:tcPr>
          <w:p w:rsidR="00B11C60" w:rsidRDefault="00B11C60" w:rsidP="00E0436E">
            <w:pPr>
              <w:pStyle w:val="tabletext"/>
              <w:rPr>
                <w:lang w:val="en-US" w:eastAsia="en-US"/>
              </w:rPr>
            </w:pPr>
            <w:r>
              <w:rPr>
                <w:lang w:val="en-US" w:eastAsia="en-US"/>
              </w:rPr>
              <w:lastRenderedPageBreak/>
              <w:t>Items </w:t>
            </w:r>
            <w:r w:rsidR="00E0436E">
              <w:rPr>
                <w:lang w:val="en-US" w:eastAsia="en-US"/>
              </w:rPr>
              <w:t>13</w:t>
            </w:r>
            <w:r>
              <w:rPr>
                <w:lang w:val="en-US" w:eastAsia="en-US"/>
              </w:rPr>
              <w:t xml:space="preserve"> and </w:t>
            </w:r>
            <w:r w:rsidR="00E0436E">
              <w:rPr>
                <w:lang w:val="en-US" w:eastAsia="en-US"/>
              </w:rPr>
              <w:t>18</w:t>
            </w:r>
          </w:p>
        </w:tc>
        <w:tc>
          <w:tcPr>
            <w:tcW w:w="1980" w:type="dxa"/>
          </w:tcPr>
          <w:p w:rsidR="00B11C60" w:rsidRDefault="00B11C60" w:rsidP="00E04461">
            <w:pPr>
              <w:pStyle w:val="tabletext"/>
              <w:rPr>
                <w:lang w:val="en-US" w:eastAsia="en-US"/>
              </w:rPr>
            </w:pPr>
            <w:r>
              <w:rPr>
                <w:lang w:val="en-US" w:eastAsia="en-US"/>
              </w:rPr>
              <w:t>3.26</w:t>
            </w:r>
          </w:p>
        </w:tc>
      </w:tr>
      <w:tr w:rsidR="00E0436E" w:rsidRPr="00442FB9" w:rsidTr="00E0436E">
        <w:tc>
          <w:tcPr>
            <w:tcW w:w="5760" w:type="dxa"/>
          </w:tcPr>
          <w:p w:rsidR="00E0436E" w:rsidRDefault="00E0436E" w:rsidP="00E0436E">
            <w:pPr>
              <w:pStyle w:val="tabletext"/>
              <w:rPr>
                <w:lang w:val="en-US" w:eastAsia="en-US"/>
              </w:rPr>
            </w:pPr>
            <w:r>
              <w:rPr>
                <w:lang w:val="en-US" w:eastAsia="en-US"/>
              </w:rPr>
              <w:t>Items 14 and 15</w:t>
            </w:r>
            <w:r w:rsidR="00921ECF" w:rsidRPr="00921ECF">
              <w:rPr>
                <w:b/>
                <w:i/>
                <w:lang w:val="en-US" w:eastAsia="en-US"/>
              </w:rPr>
              <w:t xml:space="preserve">, </w:t>
            </w:r>
            <w:r w:rsidR="00921ECF" w:rsidRPr="00921ECF">
              <w:rPr>
                <w:rStyle w:val="Referencingstyle"/>
                <w:b w:val="0"/>
                <w:i w:val="0"/>
                <w:sz w:val="20"/>
              </w:rPr>
              <w:t>section 16 of the RSA Act</w:t>
            </w:r>
          </w:p>
        </w:tc>
        <w:tc>
          <w:tcPr>
            <w:tcW w:w="1980" w:type="dxa"/>
          </w:tcPr>
          <w:p w:rsidR="00E0436E" w:rsidRDefault="00E0436E" w:rsidP="00E04461">
            <w:pPr>
              <w:pStyle w:val="tabletext"/>
              <w:rPr>
                <w:lang w:val="en-US" w:eastAsia="en-US"/>
              </w:rPr>
            </w:pPr>
            <w:r>
              <w:rPr>
                <w:lang w:val="en-US" w:eastAsia="en-US"/>
              </w:rPr>
              <w:t>3.32</w:t>
            </w:r>
          </w:p>
        </w:tc>
      </w:tr>
      <w:tr w:rsidR="00B11C60" w:rsidRPr="00442FB9" w:rsidTr="00E0436E">
        <w:tc>
          <w:tcPr>
            <w:tcW w:w="5760" w:type="dxa"/>
          </w:tcPr>
          <w:p w:rsidR="00B11C60" w:rsidRDefault="00B11C60" w:rsidP="00E0436E">
            <w:pPr>
              <w:pStyle w:val="tabletext"/>
              <w:rPr>
                <w:lang w:val="en-US" w:eastAsia="en-US"/>
              </w:rPr>
            </w:pPr>
            <w:r>
              <w:rPr>
                <w:lang w:val="en-US" w:eastAsia="en-US"/>
              </w:rPr>
              <w:t xml:space="preserve">Item </w:t>
            </w:r>
            <w:r w:rsidR="00E0436E">
              <w:rPr>
                <w:lang w:val="en-US" w:eastAsia="en-US"/>
              </w:rPr>
              <w:t>19</w:t>
            </w:r>
          </w:p>
        </w:tc>
        <w:tc>
          <w:tcPr>
            <w:tcW w:w="1980" w:type="dxa"/>
          </w:tcPr>
          <w:p w:rsidR="00B11C60" w:rsidRDefault="00B11C60" w:rsidP="00E04461">
            <w:pPr>
              <w:pStyle w:val="tabletext"/>
              <w:rPr>
                <w:lang w:val="en-US" w:eastAsia="en-US"/>
              </w:rPr>
            </w:pPr>
            <w:r>
              <w:rPr>
                <w:lang w:val="en-US" w:eastAsia="en-US"/>
              </w:rPr>
              <w:t>3.28</w:t>
            </w:r>
          </w:p>
        </w:tc>
      </w:tr>
    </w:tbl>
    <w:p w:rsidR="00B11C60" w:rsidRDefault="00B11C60" w:rsidP="00E04461">
      <w:pPr>
        <w:pStyle w:val="Heading2with18pointafter"/>
      </w:pPr>
      <w:r>
        <w:t xml:space="preserve">Schedule 4:  </w:t>
      </w:r>
      <w:r w:rsidR="002017EF">
        <w:t>GST:  payments of taxes, fees and charges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1980"/>
      </w:tblGrid>
      <w:tr w:rsidR="00B11C60" w:rsidRPr="00442FB9" w:rsidTr="00E04461">
        <w:trPr>
          <w:tblHeader/>
        </w:trPr>
        <w:tc>
          <w:tcPr>
            <w:tcW w:w="5760" w:type="dxa"/>
          </w:tcPr>
          <w:p w:rsidR="00B11C60" w:rsidRPr="00442FB9" w:rsidRDefault="00B11C60" w:rsidP="00E04461">
            <w:pPr>
              <w:pStyle w:val="tableheaderwithintable"/>
              <w:rPr>
                <w:lang w:val="en-US" w:eastAsia="en-US"/>
              </w:rPr>
            </w:pPr>
            <w:r w:rsidRPr="00442FB9">
              <w:rPr>
                <w:lang w:val="en-US" w:eastAsia="en-US"/>
              </w:rPr>
              <w:t>Bill reference</w:t>
            </w:r>
          </w:p>
        </w:tc>
        <w:tc>
          <w:tcPr>
            <w:tcW w:w="1980" w:type="dxa"/>
          </w:tcPr>
          <w:p w:rsidR="00B11C60" w:rsidRPr="00442FB9" w:rsidRDefault="00B11C60" w:rsidP="00E04461">
            <w:pPr>
              <w:pStyle w:val="tableheaderwithintable"/>
              <w:rPr>
                <w:lang w:val="en-US" w:eastAsia="en-US"/>
              </w:rPr>
            </w:pPr>
            <w:r w:rsidRPr="00442FB9">
              <w:rPr>
                <w:lang w:val="en-US" w:eastAsia="en-US"/>
              </w:rPr>
              <w:t>Paragraph number</w:t>
            </w:r>
          </w:p>
        </w:tc>
      </w:tr>
      <w:tr w:rsidR="0050530D" w:rsidRPr="00442FB9" w:rsidTr="00E04461">
        <w:trPr>
          <w:tblHeader/>
        </w:trPr>
        <w:tc>
          <w:tcPr>
            <w:tcW w:w="5760" w:type="dxa"/>
          </w:tcPr>
          <w:p w:rsidR="0050530D" w:rsidRDefault="0050530D" w:rsidP="00E04461">
            <w:pPr>
              <w:pStyle w:val="tabletext"/>
              <w:rPr>
                <w:lang w:val="en-US" w:eastAsia="en-US"/>
              </w:rPr>
            </w:pPr>
            <w:r>
              <w:rPr>
                <w:lang w:val="en-US" w:eastAsia="en-US"/>
              </w:rPr>
              <w:t>Item 1, subparagraph 13</w:t>
            </w:r>
            <w:r w:rsidR="00F2085F">
              <w:rPr>
                <w:lang w:val="en-US" w:eastAsia="en-US"/>
              </w:rPr>
              <w:noBreakHyphen/>
            </w:r>
            <w:r>
              <w:rPr>
                <w:lang w:val="en-US" w:eastAsia="en-US"/>
              </w:rPr>
              <w:t>20(2)(ba)(i)</w:t>
            </w:r>
          </w:p>
        </w:tc>
        <w:tc>
          <w:tcPr>
            <w:tcW w:w="1980" w:type="dxa"/>
          </w:tcPr>
          <w:p w:rsidR="0050530D" w:rsidRDefault="0050530D" w:rsidP="00E04461">
            <w:pPr>
              <w:pStyle w:val="tabletext"/>
              <w:rPr>
                <w:lang w:val="en-US" w:eastAsia="en-US"/>
              </w:rPr>
            </w:pPr>
            <w:r>
              <w:rPr>
                <w:lang w:val="en-US" w:eastAsia="en-US"/>
              </w:rPr>
              <w:t>4.41</w:t>
            </w:r>
          </w:p>
        </w:tc>
      </w:tr>
      <w:tr w:rsidR="00F2085F" w:rsidRPr="00442FB9" w:rsidTr="00E04461">
        <w:trPr>
          <w:tblHeader/>
        </w:trPr>
        <w:tc>
          <w:tcPr>
            <w:tcW w:w="5760" w:type="dxa"/>
          </w:tcPr>
          <w:p w:rsidR="00F2085F" w:rsidRDefault="00F2085F" w:rsidP="00E04461">
            <w:pPr>
              <w:pStyle w:val="tabletext"/>
              <w:rPr>
                <w:lang w:val="en-US" w:eastAsia="en-US"/>
              </w:rPr>
            </w:pPr>
            <w:r>
              <w:rPr>
                <w:lang w:val="en-US" w:eastAsia="en-US"/>
              </w:rPr>
              <w:t>Item 2, section 81</w:t>
            </w:r>
            <w:r>
              <w:rPr>
                <w:lang w:val="en-US" w:eastAsia="en-US"/>
              </w:rPr>
              <w:noBreakHyphen/>
              <w:t>1</w:t>
            </w:r>
          </w:p>
        </w:tc>
        <w:tc>
          <w:tcPr>
            <w:tcW w:w="1980" w:type="dxa"/>
          </w:tcPr>
          <w:p w:rsidR="00F2085F" w:rsidRDefault="00F2085F" w:rsidP="00E04461">
            <w:pPr>
              <w:pStyle w:val="tabletext"/>
              <w:rPr>
                <w:lang w:val="en-US" w:eastAsia="en-US"/>
              </w:rPr>
            </w:pPr>
            <w:r>
              <w:rPr>
                <w:lang w:val="en-US" w:eastAsia="en-US"/>
              </w:rPr>
              <w:t>4.41</w:t>
            </w:r>
          </w:p>
        </w:tc>
      </w:tr>
      <w:tr w:rsidR="00B11C60" w:rsidRPr="00442FB9" w:rsidTr="00E04461">
        <w:trPr>
          <w:tblHeader/>
        </w:trPr>
        <w:tc>
          <w:tcPr>
            <w:tcW w:w="5760" w:type="dxa"/>
          </w:tcPr>
          <w:p w:rsidR="00B11C60" w:rsidRPr="00442FB9" w:rsidRDefault="00B11C60" w:rsidP="00E04461">
            <w:pPr>
              <w:pStyle w:val="tabletext"/>
              <w:rPr>
                <w:lang w:val="en-US" w:eastAsia="en-US"/>
              </w:rPr>
            </w:pPr>
            <w:r>
              <w:rPr>
                <w:lang w:val="en-US" w:eastAsia="en-US"/>
              </w:rPr>
              <w:t>Item 2, subsection 81</w:t>
            </w:r>
            <w:r>
              <w:rPr>
                <w:lang w:val="en-US" w:eastAsia="en-US"/>
              </w:rPr>
              <w:noBreakHyphen/>
              <w:t>5(1)</w:t>
            </w:r>
          </w:p>
        </w:tc>
        <w:tc>
          <w:tcPr>
            <w:tcW w:w="1980" w:type="dxa"/>
          </w:tcPr>
          <w:p w:rsidR="00B11C60" w:rsidRPr="00442FB9" w:rsidRDefault="00B11C60" w:rsidP="00E04461">
            <w:pPr>
              <w:pStyle w:val="tabletext"/>
              <w:rPr>
                <w:lang w:val="en-US" w:eastAsia="en-US"/>
              </w:rPr>
            </w:pPr>
            <w:r>
              <w:rPr>
                <w:lang w:val="en-US" w:eastAsia="en-US"/>
              </w:rPr>
              <w:t>4.21</w:t>
            </w:r>
          </w:p>
        </w:tc>
      </w:tr>
      <w:tr w:rsidR="00B11C60" w:rsidRPr="00442FB9" w:rsidTr="00E04461">
        <w:trPr>
          <w:tblHeader/>
        </w:trPr>
        <w:tc>
          <w:tcPr>
            <w:tcW w:w="5760" w:type="dxa"/>
          </w:tcPr>
          <w:p w:rsidR="00B11C60" w:rsidRDefault="00B11C60" w:rsidP="00E04461">
            <w:pPr>
              <w:pStyle w:val="tabletext"/>
              <w:rPr>
                <w:lang w:val="en-US" w:eastAsia="en-US"/>
              </w:rPr>
            </w:pPr>
            <w:r>
              <w:rPr>
                <w:lang w:val="en-US" w:eastAsia="en-US"/>
              </w:rPr>
              <w:t>Item 2, subsection</w:t>
            </w:r>
            <w:r w:rsidR="00921ECF">
              <w:rPr>
                <w:lang w:val="en-US" w:eastAsia="en-US"/>
              </w:rPr>
              <w:t>s</w:t>
            </w:r>
            <w:r>
              <w:rPr>
                <w:lang w:val="en-US" w:eastAsia="en-US"/>
              </w:rPr>
              <w:t xml:space="preserve"> 81</w:t>
            </w:r>
            <w:r w:rsidR="00F2085F">
              <w:rPr>
                <w:lang w:val="en-US" w:eastAsia="en-US"/>
              </w:rPr>
              <w:noBreakHyphen/>
            </w:r>
            <w:r>
              <w:rPr>
                <w:lang w:val="en-US" w:eastAsia="en-US"/>
              </w:rPr>
              <w:t>5(2)</w:t>
            </w:r>
            <w:r w:rsidR="00F2085F">
              <w:rPr>
                <w:lang w:val="en-US" w:eastAsia="en-US"/>
              </w:rPr>
              <w:t xml:space="preserve"> and (3)</w:t>
            </w:r>
          </w:p>
        </w:tc>
        <w:tc>
          <w:tcPr>
            <w:tcW w:w="1980" w:type="dxa"/>
          </w:tcPr>
          <w:p w:rsidR="00B11C60" w:rsidRDefault="00B11C60" w:rsidP="00E04461">
            <w:pPr>
              <w:pStyle w:val="tabletext"/>
              <w:rPr>
                <w:lang w:val="en-US" w:eastAsia="en-US"/>
              </w:rPr>
            </w:pPr>
            <w:r>
              <w:rPr>
                <w:lang w:val="en-US" w:eastAsia="en-US"/>
              </w:rPr>
              <w:t>4.23</w:t>
            </w:r>
          </w:p>
        </w:tc>
      </w:tr>
      <w:tr w:rsidR="00B11C60" w:rsidRPr="00442FB9" w:rsidTr="00E04461">
        <w:trPr>
          <w:tblHeader/>
        </w:trPr>
        <w:tc>
          <w:tcPr>
            <w:tcW w:w="5760" w:type="dxa"/>
          </w:tcPr>
          <w:p w:rsidR="00B11C60" w:rsidRDefault="00B11C60" w:rsidP="00E04461">
            <w:pPr>
              <w:pStyle w:val="tabletext"/>
              <w:rPr>
                <w:lang w:val="en-US" w:eastAsia="en-US"/>
              </w:rPr>
            </w:pPr>
            <w:r>
              <w:rPr>
                <w:lang w:val="en-US" w:eastAsia="en-US"/>
              </w:rPr>
              <w:t>Item 2, subsection 81</w:t>
            </w:r>
            <w:r w:rsidR="00F2085F">
              <w:rPr>
                <w:lang w:val="en-US" w:eastAsia="en-US"/>
              </w:rPr>
              <w:noBreakHyphen/>
            </w:r>
            <w:r>
              <w:rPr>
                <w:lang w:val="en-US" w:eastAsia="en-US"/>
              </w:rPr>
              <w:t>10(1)</w:t>
            </w:r>
          </w:p>
        </w:tc>
        <w:tc>
          <w:tcPr>
            <w:tcW w:w="1980" w:type="dxa"/>
          </w:tcPr>
          <w:p w:rsidR="00B11C60" w:rsidRDefault="00B11C60" w:rsidP="00E04461">
            <w:pPr>
              <w:pStyle w:val="tabletext"/>
              <w:rPr>
                <w:lang w:val="en-US" w:eastAsia="en-US"/>
              </w:rPr>
            </w:pPr>
            <w:r>
              <w:rPr>
                <w:lang w:val="en-US" w:eastAsia="en-US"/>
              </w:rPr>
              <w:t>4.26</w:t>
            </w:r>
          </w:p>
        </w:tc>
      </w:tr>
      <w:tr w:rsidR="00C77A0D" w:rsidRPr="00442FB9" w:rsidTr="00134C13">
        <w:trPr>
          <w:tblHeader/>
        </w:trPr>
        <w:tc>
          <w:tcPr>
            <w:tcW w:w="5760" w:type="dxa"/>
          </w:tcPr>
          <w:p w:rsidR="00C77A0D" w:rsidRDefault="00C77A0D" w:rsidP="00134C13">
            <w:pPr>
              <w:pStyle w:val="tabletext"/>
              <w:rPr>
                <w:lang w:val="en-US" w:eastAsia="en-US"/>
              </w:rPr>
            </w:pPr>
            <w:r>
              <w:rPr>
                <w:lang w:val="en-US" w:eastAsia="en-US"/>
              </w:rPr>
              <w:t>Item 2, subsection</w:t>
            </w:r>
            <w:r w:rsidR="00921ECF">
              <w:rPr>
                <w:lang w:val="en-US" w:eastAsia="en-US"/>
              </w:rPr>
              <w:t>s</w:t>
            </w:r>
            <w:r>
              <w:rPr>
                <w:lang w:val="en-US" w:eastAsia="en-US"/>
              </w:rPr>
              <w:t xml:space="preserve"> 81</w:t>
            </w:r>
            <w:r>
              <w:rPr>
                <w:lang w:val="en-US" w:eastAsia="en-US"/>
              </w:rPr>
              <w:noBreakHyphen/>
              <w:t>10(2)</w:t>
            </w:r>
            <w:r w:rsidR="0050530D">
              <w:rPr>
                <w:lang w:val="en-US" w:eastAsia="en-US"/>
              </w:rPr>
              <w:t xml:space="preserve"> and (3)</w:t>
            </w:r>
          </w:p>
        </w:tc>
        <w:tc>
          <w:tcPr>
            <w:tcW w:w="1980" w:type="dxa"/>
          </w:tcPr>
          <w:p w:rsidR="00C77A0D" w:rsidRDefault="00C77A0D" w:rsidP="00134C13">
            <w:pPr>
              <w:pStyle w:val="tabletext"/>
              <w:rPr>
                <w:lang w:val="en-US" w:eastAsia="en-US"/>
              </w:rPr>
            </w:pPr>
            <w:r>
              <w:rPr>
                <w:lang w:val="en-US" w:eastAsia="en-US"/>
              </w:rPr>
              <w:t>4.31</w:t>
            </w:r>
          </w:p>
        </w:tc>
      </w:tr>
      <w:tr w:rsidR="00B11C60" w:rsidRPr="00442FB9" w:rsidTr="00E04461">
        <w:trPr>
          <w:tblHeader/>
        </w:trPr>
        <w:tc>
          <w:tcPr>
            <w:tcW w:w="5760" w:type="dxa"/>
          </w:tcPr>
          <w:p w:rsidR="00B11C60" w:rsidRDefault="00B11C60" w:rsidP="00E04461">
            <w:pPr>
              <w:pStyle w:val="tabletext"/>
              <w:rPr>
                <w:lang w:val="en-US" w:eastAsia="en-US"/>
              </w:rPr>
            </w:pPr>
            <w:r>
              <w:rPr>
                <w:lang w:val="en-US" w:eastAsia="en-US"/>
              </w:rPr>
              <w:t>Item 2, subsection 81</w:t>
            </w:r>
            <w:r>
              <w:rPr>
                <w:lang w:val="en-US" w:eastAsia="en-US"/>
              </w:rPr>
              <w:noBreakHyphen/>
              <w:t>10(4)</w:t>
            </w:r>
          </w:p>
        </w:tc>
        <w:tc>
          <w:tcPr>
            <w:tcW w:w="1980" w:type="dxa"/>
          </w:tcPr>
          <w:p w:rsidR="00B11C60" w:rsidRDefault="00B11C60" w:rsidP="00E04461">
            <w:pPr>
              <w:pStyle w:val="tabletext"/>
              <w:rPr>
                <w:lang w:val="en-US" w:eastAsia="en-US"/>
              </w:rPr>
            </w:pPr>
            <w:r>
              <w:rPr>
                <w:lang w:val="en-US" w:eastAsia="en-US"/>
              </w:rPr>
              <w:t>4.28</w:t>
            </w:r>
          </w:p>
        </w:tc>
      </w:tr>
      <w:tr w:rsidR="00B11C60" w:rsidRPr="00442FB9" w:rsidTr="00E04461">
        <w:trPr>
          <w:tblHeader/>
        </w:trPr>
        <w:tc>
          <w:tcPr>
            <w:tcW w:w="5760" w:type="dxa"/>
          </w:tcPr>
          <w:p w:rsidR="00B11C60" w:rsidRDefault="00B11C60" w:rsidP="00E04461">
            <w:pPr>
              <w:pStyle w:val="tabletext"/>
              <w:rPr>
                <w:lang w:val="en-US" w:eastAsia="en-US"/>
              </w:rPr>
            </w:pPr>
            <w:r>
              <w:rPr>
                <w:lang w:val="en-US" w:eastAsia="en-US"/>
              </w:rPr>
              <w:t>Item 2, subsection 81-10(5)</w:t>
            </w:r>
          </w:p>
        </w:tc>
        <w:tc>
          <w:tcPr>
            <w:tcW w:w="1980" w:type="dxa"/>
          </w:tcPr>
          <w:p w:rsidR="00B11C60" w:rsidRDefault="00B11C60" w:rsidP="00E04461">
            <w:pPr>
              <w:pStyle w:val="tabletext"/>
              <w:rPr>
                <w:lang w:val="en-US" w:eastAsia="en-US"/>
              </w:rPr>
            </w:pPr>
            <w:r>
              <w:rPr>
                <w:lang w:val="en-US" w:eastAsia="en-US"/>
              </w:rPr>
              <w:t>4.30</w:t>
            </w:r>
          </w:p>
        </w:tc>
      </w:tr>
      <w:tr w:rsidR="00B11C60" w:rsidRPr="00442FB9" w:rsidTr="00E04461">
        <w:trPr>
          <w:tblHeader/>
        </w:trPr>
        <w:tc>
          <w:tcPr>
            <w:tcW w:w="5760" w:type="dxa"/>
          </w:tcPr>
          <w:p w:rsidR="00B11C60" w:rsidRDefault="00B11C60" w:rsidP="00E04461">
            <w:pPr>
              <w:pStyle w:val="tabletext"/>
              <w:rPr>
                <w:lang w:val="en-US" w:eastAsia="en-US"/>
              </w:rPr>
            </w:pPr>
            <w:r>
              <w:rPr>
                <w:lang w:val="en-US" w:eastAsia="en-US"/>
              </w:rPr>
              <w:t>Item 2, section 81</w:t>
            </w:r>
            <w:r>
              <w:rPr>
                <w:lang w:val="en-US" w:eastAsia="en-US"/>
              </w:rPr>
              <w:noBreakHyphen/>
              <w:t>15</w:t>
            </w:r>
          </w:p>
        </w:tc>
        <w:tc>
          <w:tcPr>
            <w:tcW w:w="1980" w:type="dxa"/>
          </w:tcPr>
          <w:p w:rsidR="00B11C60" w:rsidRDefault="00B11C60" w:rsidP="00E04461">
            <w:pPr>
              <w:pStyle w:val="tabletext"/>
              <w:rPr>
                <w:lang w:val="en-US" w:eastAsia="en-US"/>
              </w:rPr>
            </w:pPr>
            <w:r>
              <w:rPr>
                <w:lang w:val="en-US" w:eastAsia="en-US"/>
              </w:rPr>
              <w:t>4.33</w:t>
            </w:r>
          </w:p>
        </w:tc>
      </w:tr>
      <w:tr w:rsidR="00B11C60" w:rsidRPr="00442FB9" w:rsidTr="00E04461">
        <w:trPr>
          <w:tblHeader/>
        </w:trPr>
        <w:tc>
          <w:tcPr>
            <w:tcW w:w="5760" w:type="dxa"/>
          </w:tcPr>
          <w:p w:rsidR="00B11C60" w:rsidRDefault="00B11C60" w:rsidP="00E04461">
            <w:pPr>
              <w:pStyle w:val="tabletext"/>
              <w:rPr>
                <w:lang w:val="en-US" w:eastAsia="en-US"/>
              </w:rPr>
            </w:pPr>
            <w:r>
              <w:rPr>
                <w:lang w:val="en-US" w:eastAsia="en-US"/>
              </w:rPr>
              <w:t>Item 2, section 81</w:t>
            </w:r>
            <w:r>
              <w:rPr>
                <w:lang w:val="en-US" w:eastAsia="en-US"/>
              </w:rPr>
              <w:noBreakHyphen/>
              <w:t>20</w:t>
            </w:r>
          </w:p>
        </w:tc>
        <w:tc>
          <w:tcPr>
            <w:tcW w:w="1980" w:type="dxa"/>
          </w:tcPr>
          <w:p w:rsidR="00B11C60" w:rsidRDefault="00B11C60" w:rsidP="00E04461">
            <w:pPr>
              <w:pStyle w:val="tabletext"/>
              <w:rPr>
                <w:lang w:val="en-US" w:eastAsia="en-US"/>
              </w:rPr>
            </w:pPr>
            <w:r>
              <w:rPr>
                <w:lang w:val="en-US" w:eastAsia="en-US"/>
              </w:rPr>
              <w:t>4.34</w:t>
            </w:r>
          </w:p>
        </w:tc>
      </w:tr>
      <w:tr w:rsidR="00B11C60" w:rsidRPr="00442FB9" w:rsidTr="00E04461">
        <w:trPr>
          <w:tblHeader/>
        </w:trPr>
        <w:tc>
          <w:tcPr>
            <w:tcW w:w="5760" w:type="dxa"/>
          </w:tcPr>
          <w:p w:rsidR="00B11C60" w:rsidRDefault="00B11C60" w:rsidP="00E04461">
            <w:pPr>
              <w:pStyle w:val="tabletext"/>
              <w:rPr>
                <w:lang w:val="en-US" w:eastAsia="en-US"/>
              </w:rPr>
            </w:pPr>
            <w:r>
              <w:rPr>
                <w:lang w:val="en-US" w:eastAsia="en-US"/>
              </w:rPr>
              <w:t>Item 2, section 81</w:t>
            </w:r>
            <w:r w:rsidR="00F2085F">
              <w:rPr>
                <w:lang w:val="en-US" w:eastAsia="en-US"/>
              </w:rPr>
              <w:noBreakHyphen/>
            </w:r>
            <w:r>
              <w:rPr>
                <w:lang w:val="en-US" w:eastAsia="en-US"/>
              </w:rPr>
              <w:t>25</w:t>
            </w:r>
          </w:p>
        </w:tc>
        <w:tc>
          <w:tcPr>
            <w:tcW w:w="1980" w:type="dxa"/>
          </w:tcPr>
          <w:p w:rsidR="00B11C60" w:rsidRDefault="00B11C60" w:rsidP="00E04461">
            <w:pPr>
              <w:pStyle w:val="tabletext"/>
              <w:rPr>
                <w:lang w:val="en-US" w:eastAsia="en-US"/>
              </w:rPr>
            </w:pPr>
            <w:r>
              <w:rPr>
                <w:lang w:val="en-US" w:eastAsia="en-US"/>
              </w:rPr>
              <w:t>4.36</w:t>
            </w:r>
          </w:p>
        </w:tc>
      </w:tr>
      <w:tr w:rsidR="00B11C60" w:rsidRPr="00442FB9" w:rsidTr="00E04461">
        <w:trPr>
          <w:tblHeader/>
        </w:trPr>
        <w:tc>
          <w:tcPr>
            <w:tcW w:w="5760" w:type="dxa"/>
          </w:tcPr>
          <w:p w:rsidR="00B11C60" w:rsidRDefault="00B11C60" w:rsidP="0050530D">
            <w:pPr>
              <w:pStyle w:val="tabletext"/>
              <w:rPr>
                <w:lang w:val="en-US" w:eastAsia="en-US"/>
              </w:rPr>
            </w:pPr>
            <w:r>
              <w:rPr>
                <w:lang w:val="en-US" w:eastAsia="en-US"/>
              </w:rPr>
              <w:t xml:space="preserve">Item </w:t>
            </w:r>
            <w:r w:rsidR="0050530D">
              <w:rPr>
                <w:lang w:val="en-US" w:eastAsia="en-US"/>
              </w:rPr>
              <w:t>3</w:t>
            </w:r>
            <w:r>
              <w:rPr>
                <w:lang w:val="en-US" w:eastAsia="en-US"/>
              </w:rPr>
              <w:t>, subsection 82</w:t>
            </w:r>
            <w:r w:rsidR="00F2085F">
              <w:rPr>
                <w:lang w:val="en-US" w:eastAsia="en-US"/>
              </w:rPr>
              <w:noBreakHyphen/>
            </w:r>
            <w:r>
              <w:rPr>
                <w:lang w:val="en-US" w:eastAsia="en-US"/>
              </w:rPr>
              <w:t>10(3)</w:t>
            </w:r>
          </w:p>
        </w:tc>
        <w:tc>
          <w:tcPr>
            <w:tcW w:w="1980" w:type="dxa"/>
          </w:tcPr>
          <w:p w:rsidR="00B11C60" w:rsidRDefault="00B11C60" w:rsidP="00E04461">
            <w:pPr>
              <w:pStyle w:val="tabletext"/>
              <w:rPr>
                <w:lang w:val="en-US" w:eastAsia="en-US"/>
              </w:rPr>
            </w:pPr>
            <w:r>
              <w:rPr>
                <w:lang w:val="en-US" w:eastAsia="en-US"/>
              </w:rPr>
              <w:t>4.41</w:t>
            </w:r>
          </w:p>
        </w:tc>
      </w:tr>
      <w:tr w:rsidR="00B11C60" w:rsidRPr="00442FB9" w:rsidTr="00E04461">
        <w:trPr>
          <w:tblHeader/>
        </w:trPr>
        <w:tc>
          <w:tcPr>
            <w:tcW w:w="5760" w:type="dxa"/>
          </w:tcPr>
          <w:p w:rsidR="00B11C60" w:rsidRDefault="00B11C60" w:rsidP="0050530D">
            <w:pPr>
              <w:pStyle w:val="tabletext"/>
              <w:rPr>
                <w:lang w:val="en-US" w:eastAsia="en-US"/>
              </w:rPr>
            </w:pPr>
            <w:r>
              <w:rPr>
                <w:lang w:val="en-US" w:eastAsia="en-US"/>
              </w:rPr>
              <w:t xml:space="preserve">Item </w:t>
            </w:r>
            <w:r w:rsidR="0050530D">
              <w:rPr>
                <w:lang w:val="en-US" w:eastAsia="en-US"/>
              </w:rPr>
              <w:t>4</w:t>
            </w:r>
            <w:r>
              <w:rPr>
                <w:lang w:val="en-US" w:eastAsia="en-US"/>
              </w:rPr>
              <w:t>, subparagraph 117-5(1)(ba)(i)</w:t>
            </w:r>
          </w:p>
        </w:tc>
        <w:tc>
          <w:tcPr>
            <w:tcW w:w="1980" w:type="dxa"/>
          </w:tcPr>
          <w:p w:rsidR="00B11C60" w:rsidRDefault="00B11C60" w:rsidP="00E04461">
            <w:pPr>
              <w:pStyle w:val="tabletext"/>
              <w:rPr>
                <w:lang w:val="en-US" w:eastAsia="en-US"/>
              </w:rPr>
            </w:pPr>
            <w:r>
              <w:rPr>
                <w:lang w:val="en-US" w:eastAsia="en-US"/>
              </w:rPr>
              <w:t>4.41</w:t>
            </w:r>
          </w:p>
        </w:tc>
      </w:tr>
      <w:tr w:rsidR="00B11C60" w:rsidRPr="00442FB9" w:rsidTr="00E04461">
        <w:trPr>
          <w:tblHeader/>
        </w:trPr>
        <w:tc>
          <w:tcPr>
            <w:tcW w:w="5760" w:type="dxa"/>
          </w:tcPr>
          <w:p w:rsidR="00B11C60" w:rsidRDefault="0050530D" w:rsidP="0050530D">
            <w:pPr>
              <w:pStyle w:val="tabletext"/>
              <w:rPr>
                <w:lang w:val="en-US" w:eastAsia="en-US"/>
              </w:rPr>
            </w:pPr>
            <w:r>
              <w:rPr>
                <w:lang w:val="en-US" w:eastAsia="en-US"/>
              </w:rPr>
              <w:t xml:space="preserve">Items </w:t>
            </w:r>
            <w:r w:rsidR="00B11C60">
              <w:rPr>
                <w:lang w:val="en-US" w:eastAsia="en-US"/>
              </w:rPr>
              <w:t>5</w:t>
            </w:r>
            <w:r>
              <w:rPr>
                <w:lang w:val="en-US" w:eastAsia="en-US"/>
              </w:rPr>
              <w:t xml:space="preserve"> to 10</w:t>
            </w:r>
            <w:r w:rsidR="00B11C60">
              <w:rPr>
                <w:lang w:val="en-US" w:eastAsia="en-US"/>
              </w:rPr>
              <w:t>, section 195</w:t>
            </w:r>
            <w:r w:rsidR="00F2085F">
              <w:rPr>
                <w:lang w:val="en-US" w:eastAsia="en-US"/>
              </w:rPr>
              <w:noBreakHyphen/>
            </w:r>
            <w:r w:rsidR="00B11C60">
              <w:rPr>
                <w:lang w:val="en-US" w:eastAsia="en-US"/>
              </w:rPr>
              <w:t>1</w:t>
            </w:r>
          </w:p>
        </w:tc>
        <w:tc>
          <w:tcPr>
            <w:tcW w:w="1980" w:type="dxa"/>
          </w:tcPr>
          <w:p w:rsidR="00B11C60" w:rsidRDefault="00B11C60" w:rsidP="00E04461">
            <w:pPr>
              <w:pStyle w:val="tabletext"/>
              <w:rPr>
                <w:lang w:val="en-US" w:eastAsia="en-US"/>
              </w:rPr>
            </w:pPr>
            <w:r>
              <w:rPr>
                <w:lang w:val="en-US" w:eastAsia="en-US"/>
              </w:rPr>
              <w:t>4.41</w:t>
            </w:r>
          </w:p>
        </w:tc>
      </w:tr>
      <w:tr w:rsidR="00B11C60" w:rsidRPr="00442FB9" w:rsidTr="00E04461">
        <w:trPr>
          <w:tblHeader/>
        </w:trPr>
        <w:tc>
          <w:tcPr>
            <w:tcW w:w="5760" w:type="dxa"/>
          </w:tcPr>
          <w:p w:rsidR="00B11C60" w:rsidRDefault="00B11C60" w:rsidP="0050530D">
            <w:pPr>
              <w:pStyle w:val="tabletext"/>
              <w:rPr>
                <w:lang w:val="en-US" w:eastAsia="en-US"/>
              </w:rPr>
            </w:pPr>
            <w:r>
              <w:rPr>
                <w:lang w:val="en-US" w:eastAsia="en-US"/>
              </w:rPr>
              <w:t xml:space="preserve">Items </w:t>
            </w:r>
            <w:r w:rsidR="0050530D">
              <w:rPr>
                <w:lang w:val="en-US" w:eastAsia="en-US"/>
              </w:rPr>
              <w:t>11 to 15</w:t>
            </w:r>
            <w:r>
              <w:rPr>
                <w:lang w:val="en-US" w:eastAsia="en-US"/>
              </w:rPr>
              <w:t>, section 27</w:t>
            </w:r>
            <w:r>
              <w:rPr>
                <w:lang w:val="en-US" w:eastAsia="en-US"/>
              </w:rPr>
              <w:noBreakHyphen/>
              <w:t xml:space="preserve">1, paragraphs 5-20(1)(b) and 5-20(6)(b) of the </w:t>
            </w:r>
            <w:r w:rsidRPr="00F2085F">
              <w:rPr>
                <w:i/>
                <w:lang w:val="en-US" w:eastAsia="en-US"/>
              </w:rPr>
              <w:t>A New Tax System (Luxury Car Tax) Act 1999</w:t>
            </w:r>
          </w:p>
        </w:tc>
        <w:tc>
          <w:tcPr>
            <w:tcW w:w="1980" w:type="dxa"/>
          </w:tcPr>
          <w:p w:rsidR="00B11C60" w:rsidRDefault="00B11C60" w:rsidP="00E04461">
            <w:pPr>
              <w:pStyle w:val="tabletext"/>
              <w:rPr>
                <w:lang w:val="en-US" w:eastAsia="en-US"/>
              </w:rPr>
            </w:pPr>
            <w:r>
              <w:rPr>
                <w:lang w:val="en-US" w:eastAsia="en-US"/>
              </w:rPr>
              <w:t>4.41</w:t>
            </w:r>
          </w:p>
        </w:tc>
      </w:tr>
      <w:tr w:rsidR="00F2085F" w:rsidRPr="00442FB9" w:rsidTr="00E04461">
        <w:trPr>
          <w:tblHeader/>
        </w:trPr>
        <w:tc>
          <w:tcPr>
            <w:tcW w:w="5760" w:type="dxa"/>
          </w:tcPr>
          <w:p w:rsidR="00F2085F" w:rsidRDefault="00F2085F" w:rsidP="0050530D">
            <w:pPr>
              <w:pStyle w:val="tabletext"/>
              <w:rPr>
                <w:lang w:val="en-US" w:eastAsia="en-US"/>
              </w:rPr>
            </w:pPr>
            <w:r>
              <w:rPr>
                <w:lang w:val="en-US" w:eastAsia="en-US"/>
              </w:rPr>
              <w:t>Item 16</w:t>
            </w:r>
          </w:p>
        </w:tc>
        <w:tc>
          <w:tcPr>
            <w:tcW w:w="1980" w:type="dxa"/>
          </w:tcPr>
          <w:p w:rsidR="00F2085F" w:rsidRDefault="00F2085F" w:rsidP="00E04461">
            <w:pPr>
              <w:pStyle w:val="tabletext"/>
              <w:rPr>
                <w:lang w:val="en-US" w:eastAsia="en-US"/>
              </w:rPr>
            </w:pPr>
            <w:r>
              <w:rPr>
                <w:lang w:val="en-US" w:eastAsia="en-US"/>
              </w:rPr>
              <w:t>4.38</w:t>
            </w:r>
          </w:p>
        </w:tc>
      </w:tr>
    </w:tbl>
    <w:p w:rsidR="00393937" w:rsidRDefault="00F013F8" w:rsidP="00393937">
      <w:pPr>
        <w:pStyle w:val="Heading2with18pointafter"/>
      </w:pPr>
      <w:r>
        <w:t>Schedule 5</w:t>
      </w:r>
      <w:r w:rsidR="00393937">
        <w:t>:  Other amendments</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1276"/>
        <w:gridCol w:w="1559"/>
      </w:tblGrid>
      <w:tr w:rsidR="00A572E2" w:rsidRPr="00442FB9" w:rsidTr="00A572E2">
        <w:trPr>
          <w:tblHeader/>
        </w:trPr>
        <w:tc>
          <w:tcPr>
            <w:tcW w:w="4820" w:type="dxa"/>
          </w:tcPr>
          <w:p w:rsidR="00A572E2" w:rsidRPr="00442FB9" w:rsidRDefault="00A572E2" w:rsidP="00FC2F54">
            <w:pPr>
              <w:pStyle w:val="tableheaderwithintable"/>
              <w:rPr>
                <w:lang w:val="en-US" w:eastAsia="en-US"/>
              </w:rPr>
            </w:pPr>
            <w:r>
              <w:rPr>
                <w:lang w:val="en-US" w:eastAsia="en-US"/>
              </w:rPr>
              <w:t>Bill reference</w:t>
            </w:r>
          </w:p>
        </w:tc>
        <w:tc>
          <w:tcPr>
            <w:tcW w:w="1276" w:type="dxa"/>
          </w:tcPr>
          <w:p w:rsidR="00A572E2" w:rsidRPr="00442FB9" w:rsidRDefault="00A572E2" w:rsidP="001E3884">
            <w:pPr>
              <w:pStyle w:val="tableheaderwithintable"/>
              <w:rPr>
                <w:lang w:val="en-US" w:eastAsia="en-US"/>
              </w:rPr>
            </w:pPr>
            <w:r>
              <w:rPr>
                <w:lang w:val="en-US" w:eastAsia="en-US"/>
              </w:rPr>
              <w:t>Table</w:t>
            </w:r>
          </w:p>
        </w:tc>
        <w:tc>
          <w:tcPr>
            <w:tcW w:w="1559" w:type="dxa"/>
          </w:tcPr>
          <w:p w:rsidR="00A572E2" w:rsidRPr="00497318" w:rsidRDefault="00A572E2" w:rsidP="00A572E2">
            <w:pPr>
              <w:pStyle w:val="tableheaderwithintable"/>
              <w:rPr>
                <w:lang w:val="en-US" w:eastAsia="en-US"/>
              </w:rPr>
            </w:pPr>
            <w:r w:rsidRPr="00497318">
              <w:rPr>
                <w:lang w:val="en-US" w:eastAsia="en-US"/>
              </w:rPr>
              <w:t>Page</w:t>
            </w:r>
          </w:p>
        </w:tc>
      </w:tr>
      <w:tr w:rsidR="00A572E2" w:rsidRPr="00C06980" w:rsidTr="00A572E2">
        <w:tc>
          <w:tcPr>
            <w:tcW w:w="4820" w:type="dxa"/>
            <w:tcBorders>
              <w:top w:val="single" w:sz="4" w:space="0" w:color="auto"/>
              <w:left w:val="single" w:sz="4" w:space="0" w:color="auto"/>
              <w:bottom w:val="single" w:sz="4" w:space="0" w:color="auto"/>
              <w:right w:val="single" w:sz="4" w:space="0" w:color="auto"/>
            </w:tcBorders>
          </w:tcPr>
          <w:p w:rsidR="00A572E2" w:rsidRPr="00A43E63" w:rsidRDefault="00A572E2" w:rsidP="00E04461">
            <w:pPr>
              <w:pStyle w:val="tabletext"/>
              <w:rPr>
                <w:i/>
                <w:lang w:val="en-US" w:eastAsia="en-US"/>
              </w:rPr>
            </w:pPr>
            <w:r>
              <w:rPr>
                <w:lang w:val="en-US" w:eastAsia="en-US"/>
              </w:rPr>
              <w:t xml:space="preserve">Part </w:t>
            </w:r>
            <w:r w:rsidRPr="00C06980">
              <w:rPr>
                <w:lang w:val="en-US" w:eastAsia="en-US"/>
              </w:rPr>
              <w:t>1</w:t>
            </w:r>
            <w:r>
              <w:rPr>
                <w:lang w:val="en-US" w:eastAsia="en-US"/>
              </w:rPr>
              <w:t xml:space="preserve"> </w:t>
            </w:r>
            <w:r w:rsidRPr="00105CA6">
              <w:rPr>
                <w:lang w:val="en-US" w:eastAsia="en-US"/>
              </w:rPr>
              <w:t>—</w:t>
            </w:r>
            <w:r>
              <w:rPr>
                <w:lang w:val="en-US" w:eastAsia="en-US"/>
              </w:rPr>
              <w:t xml:space="preserve"> </w:t>
            </w:r>
            <w:r w:rsidRPr="00A43E63">
              <w:rPr>
                <w:i/>
                <w:lang w:val="en-US" w:eastAsia="en-US"/>
              </w:rPr>
              <w:t>A New Tax System (Goods and Services Tax) Act 1999</w:t>
            </w:r>
          </w:p>
        </w:tc>
        <w:tc>
          <w:tcPr>
            <w:tcW w:w="1276" w:type="dxa"/>
            <w:tcBorders>
              <w:top w:val="single" w:sz="4" w:space="0" w:color="auto"/>
              <w:left w:val="single" w:sz="4" w:space="0" w:color="auto"/>
              <w:bottom w:val="single" w:sz="4" w:space="0" w:color="auto"/>
              <w:right w:val="single" w:sz="4" w:space="0" w:color="auto"/>
            </w:tcBorders>
          </w:tcPr>
          <w:p w:rsidR="00A572E2" w:rsidRPr="00C06980" w:rsidRDefault="00A572E2" w:rsidP="001E3884">
            <w:pPr>
              <w:pStyle w:val="tabletext"/>
              <w:rPr>
                <w:lang w:val="en-US" w:eastAsia="en-US"/>
              </w:rPr>
            </w:pPr>
            <w:r>
              <w:rPr>
                <w:lang w:val="en-US" w:eastAsia="en-US"/>
              </w:rPr>
              <w:t>5.1</w:t>
            </w:r>
          </w:p>
        </w:tc>
        <w:tc>
          <w:tcPr>
            <w:tcW w:w="1559" w:type="dxa"/>
            <w:tcBorders>
              <w:top w:val="single" w:sz="4" w:space="0" w:color="auto"/>
              <w:left w:val="single" w:sz="4" w:space="0" w:color="auto"/>
              <w:bottom w:val="single" w:sz="4" w:space="0" w:color="auto"/>
              <w:right w:val="single" w:sz="4" w:space="0" w:color="auto"/>
            </w:tcBorders>
          </w:tcPr>
          <w:p w:rsidR="00A572E2" w:rsidRPr="00497318" w:rsidRDefault="00A572E2" w:rsidP="00134C13">
            <w:pPr>
              <w:pStyle w:val="tabletext"/>
              <w:rPr>
                <w:lang w:val="en-US" w:eastAsia="en-US"/>
              </w:rPr>
            </w:pPr>
            <w:r>
              <w:rPr>
                <w:lang w:val="en-US" w:eastAsia="en-US"/>
              </w:rPr>
              <w:t>39</w:t>
            </w:r>
          </w:p>
        </w:tc>
      </w:tr>
      <w:tr w:rsidR="00A572E2" w:rsidRPr="00C06980" w:rsidTr="00A572E2">
        <w:tc>
          <w:tcPr>
            <w:tcW w:w="4820" w:type="dxa"/>
            <w:tcBorders>
              <w:top w:val="single" w:sz="4" w:space="0" w:color="auto"/>
              <w:left w:val="single" w:sz="4" w:space="0" w:color="auto"/>
              <w:bottom w:val="single" w:sz="4" w:space="0" w:color="auto"/>
              <w:right w:val="single" w:sz="4" w:space="0" w:color="auto"/>
            </w:tcBorders>
          </w:tcPr>
          <w:p w:rsidR="00A572E2" w:rsidRPr="00C06980" w:rsidRDefault="00A572E2" w:rsidP="00E04461">
            <w:pPr>
              <w:pStyle w:val="tabletext"/>
              <w:rPr>
                <w:lang w:val="en-US" w:eastAsia="en-US"/>
              </w:rPr>
            </w:pPr>
            <w:r>
              <w:rPr>
                <w:lang w:val="en-US" w:eastAsia="en-US"/>
              </w:rPr>
              <w:t xml:space="preserve">Part 2 </w:t>
            </w:r>
            <w:r w:rsidRPr="00105CA6">
              <w:rPr>
                <w:lang w:val="en-US" w:eastAsia="en-US"/>
              </w:rPr>
              <w:t>—</w:t>
            </w:r>
            <w:r>
              <w:rPr>
                <w:lang w:val="en-US" w:eastAsia="en-US"/>
              </w:rPr>
              <w:t xml:space="preserve"> </w:t>
            </w:r>
            <w:r w:rsidRPr="00C06980">
              <w:rPr>
                <w:lang w:val="en-US" w:eastAsia="en-US"/>
              </w:rPr>
              <w:t>Approved worker entitlement funds</w:t>
            </w:r>
          </w:p>
        </w:tc>
        <w:tc>
          <w:tcPr>
            <w:tcW w:w="1276" w:type="dxa"/>
            <w:tcBorders>
              <w:top w:val="single" w:sz="4" w:space="0" w:color="auto"/>
              <w:left w:val="single" w:sz="4" w:space="0" w:color="auto"/>
              <w:bottom w:val="single" w:sz="4" w:space="0" w:color="auto"/>
              <w:right w:val="single" w:sz="4" w:space="0" w:color="auto"/>
            </w:tcBorders>
          </w:tcPr>
          <w:p w:rsidR="00A572E2" w:rsidRPr="00C06980" w:rsidRDefault="00A572E2" w:rsidP="001E3884">
            <w:pPr>
              <w:pStyle w:val="tabletext"/>
              <w:rPr>
                <w:lang w:val="en-US" w:eastAsia="en-US"/>
              </w:rPr>
            </w:pPr>
            <w:r>
              <w:rPr>
                <w:lang w:val="en-US" w:eastAsia="en-US"/>
              </w:rPr>
              <w:t>5.2</w:t>
            </w:r>
          </w:p>
        </w:tc>
        <w:tc>
          <w:tcPr>
            <w:tcW w:w="1559" w:type="dxa"/>
            <w:tcBorders>
              <w:top w:val="single" w:sz="4" w:space="0" w:color="auto"/>
              <w:left w:val="single" w:sz="4" w:space="0" w:color="auto"/>
              <w:bottom w:val="single" w:sz="4" w:space="0" w:color="auto"/>
              <w:right w:val="single" w:sz="4" w:space="0" w:color="auto"/>
            </w:tcBorders>
          </w:tcPr>
          <w:p w:rsidR="00A572E2" w:rsidRPr="00497318" w:rsidRDefault="00A572E2" w:rsidP="00134C13">
            <w:pPr>
              <w:pStyle w:val="tabletext"/>
              <w:rPr>
                <w:lang w:val="en-US" w:eastAsia="en-US"/>
              </w:rPr>
            </w:pPr>
            <w:r>
              <w:rPr>
                <w:lang w:val="en-US" w:eastAsia="en-US"/>
              </w:rPr>
              <w:t>40</w:t>
            </w:r>
          </w:p>
        </w:tc>
      </w:tr>
      <w:tr w:rsidR="00A572E2" w:rsidRPr="00C06980" w:rsidTr="00A572E2">
        <w:tc>
          <w:tcPr>
            <w:tcW w:w="4820" w:type="dxa"/>
            <w:tcBorders>
              <w:top w:val="single" w:sz="4" w:space="0" w:color="auto"/>
              <w:left w:val="single" w:sz="4" w:space="0" w:color="auto"/>
              <w:bottom w:val="single" w:sz="4" w:space="0" w:color="auto"/>
              <w:right w:val="single" w:sz="4" w:space="0" w:color="auto"/>
            </w:tcBorders>
          </w:tcPr>
          <w:p w:rsidR="00A572E2" w:rsidRPr="00C06980" w:rsidRDefault="00A572E2" w:rsidP="00E04461">
            <w:pPr>
              <w:pStyle w:val="tabletext"/>
              <w:rPr>
                <w:lang w:val="en-US" w:eastAsia="en-US"/>
              </w:rPr>
            </w:pPr>
            <w:r>
              <w:rPr>
                <w:lang w:val="en-US" w:eastAsia="en-US"/>
              </w:rPr>
              <w:t xml:space="preserve">Part 3 </w:t>
            </w:r>
            <w:r w:rsidRPr="00105CA6">
              <w:rPr>
                <w:lang w:val="en-US" w:eastAsia="en-US"/>
              </w:rPr>
              <w:t>—</w:t>
            </w:r>
            <w:r>
              <w:rPr>
                <w:lang w:val="en-US" w:eastAsia="en-US"/>
              </w:rPr>
              <w:t xml:space="preserve"> </w:t>
            </w:r>
            <w:r w:rsidRPr="00C06980">
              <w:rPr>
                <w:lang w:val="en-US" w:eastAsia="en-US"/>
              </w:rPr>
              <w:t>Confidentiality of taxpayer information</w:t>
            </w:r>
          </w:p>
        </w:tc>
        <w:tc>
          <w:tcPr>
            <w:tcW w:w="1276" w:type="dxa"/>
            <w:tcBorders>
              <w:top w:val="single" w:sz="4" w:space="0" w:color="auto"/>
              <w:left w:val="single" w:sz="4" w:space="0" w:color="auto"/>
              <w:bottom w:val="single" w:sz="4" w:space="0" w:color="auto"/>
              <w:right w:val="single" w:sz="4" w:space="0" w:color="auto"/>
            </w:tcBorders>
          </w:tcPr>
          <w:p w:rsidR="00A572E2" w:rsidRPr="00C06980" w:rsidRDefault="00A572E2" w:rsidP="001E3884">
            <w:pPr>
              <w:pStyle w:val="tabletext"/>
              <w:rPr>
                <w:lang w:val="en-US" w:eastAsia="en-US"/>
              </w:rPr>
            </w:pPr>
            <w:r>
              <w:rPr>
                <w:lang w:val="en-US" w:eastAsia="en-US"/>
              </w:rPr>
              <w:t>5.3</w:t>
            </w:r>
          </w:p>
        </w:tc>
        <w:tc>
          <w:tcPr>
            <w:tcW w:w="1559" w:type="dxa"/>
            <w:tcBorders>
              <w:top w:val="single" w:sz="4" w:space="0" w:color="auto"/>
              <w:left w:val="single" w:sz="4" w:space="0" w:color="auto"/>
              <w:bottom w:val="single" w:sz="4" w:space="0" w:color="auto"/>
              <w:right w:val="single" w:sz="4" w:space="0" w:color="auto"/>
            </w:tcBorders>
          </w:tcPr>
          <w:p w:rsidR="00A572E2" w:rsidRPr="00497318" w:rsidRDefault="00A572E2" w:rsidP="007D521D">
            <w:pPr>
              <w:pStyle w:val="tabletext"/>
              <w:rPr>
                <w:lang w:val="en-US" w:eastAsia="en-US"/>
              </w:rPr>
            </w:pPr>
            <w:r>
              <w:rPr>
                <w:lang w:val="en-US" w:eastAsia="en-US"/>
              </w:rPr>
              <w:t>40</w:t>
            </w:r>
            <w:r w:rsidR="007D521D">
              <w:rPr>
                <w:lang w:val="en-US" w:eastAsia="en-US"/>
              </w:rPr>
              <w:t xml:space="preserve"> and </w:t>
            </w:r>
            <w:r>
              <w:rPr>
                <w:lang w:val="en-US" w:eastAsia="en-US"/>
              </w:rPr>
              <w:t>41</w:t>
            </w:r>
          </w:p>
        </w:tc>
      </w:tr>
      <w:tr w:rsidR="00A572E2" w:rsidRPr="00C06980" w:rsidTr="00A572E2">
        <w:tc>
          <w:tcPr>
            <w:tcW w:w="4820" w:type="dxa"/>
            <w:tcBorders>
              <w:top w:val="single" w:sz="4" w:space="0" w:color="auto"/>
              <w:left w:val="single" w:sz="4" w:space="0" w:color="auto"/>
              <w:bottom w:val="single" w:sz="4" w:space="0" w:color="auto"/>
              <w:right w:val="single" w:sz="4" w:space="0" w:color="auto"/>
            </w:tcBorders>
          </w:tcPr>
          <w:p w:rsidR="00A572E2" w:rsidRPr="00C06980" w:rsidRDefault="00A572E2" w:rsidP="00E04461">
            <w:pPr>
              <w:pStyle w:val="tabletext"/>
              <w:rPr>
                <w:lang w:val="en-US" w:eastAsia="en-US"/>
              </w:rPr>
            </w:pPr>
            <w:r>
              <w:rPr>
                <w:lang w:val="en-US" w:eastAsia="en-US"/>
              </w:rPr>
              <w:t xml:space="preserve">Part 4 </w:t>
            </w:r>
            <w:r w:rsidRPr="00105CA6">
              <w:rPr>
                <w:lang w:val="en-US" w:eastAsia="en-US"/>
              </w:rPr>
              <w:t>—</w:t>
            </w:r>
            <w:r>
              <w:rPr>
                <w:lang w:val="en-US" w:eastAsia="en-US"/>
              </w:rPr>
              <w:t xml:space="preserve"> </w:t>
            </w:r>
            <w:r w:rsidRPr="00C06980">
              <w:rPr>
                <w:lang w:val="en-US" w:eastAsia="en-US"/>
              </w:rPr>
              <w:t>Employee share schemes</w:t>
            </w:r>
          </w:p>
        </w:tc>
        <w:tc>
          <w:tcPr>
            <w:tcW w:w="1276" w:type="dxa"/>
            <w:tcBorders>
              <w:top w:val="single" w:sz="4" w:space="0" w:color="auto"/>
              <w:left w:val="single" w:sz="4" w:space="0" w:color="auto"/>
              <w:bottom w:val="single" w:sz="4" w:space="0" w:color="auto"/>
              <w:right w:val="single" w:sz="4" w:space="0" w:color="auto"/>
            </w:tcBorders>
          </w:tcPr>
          <w:p w:rsidR="00A572E2" w:rsidRPr="00C06980" w:rsidRDefault="00A572E2" w:rsidP="007D521D">
            <w:pPr>
              <w:pStyle w:val="tabletext"/>
              <w:rPr>
                <w:lang w:val="en-US" w:eastAsia="en-US"/>
              </w:rPr>
            </w:pPr>
            <w:r>
              <w:rPr>
                <w:lang w:val="en-US" w:eastAsia="en-US"/>
              </w:rPr>
              <w:t>5.4</w:t>
            </w:r>
            <w:r w:rsidR="007D521D">
              <w:rPr>
                <w:lang w:val="en-US" w:eastAsia="en-US"/>
              </w:rPr>
              <w:t xml:space="preserve"> to </w:t>
            </w:r>
            <w:r>
              <w:rPr>
                <w:lang w:val="en-US" w:eastAsia="en-US"/>
              </w:rPr>
              <w:t>5.6</w:t>
            </w:r>
          </w:p>
        </w:tc>
        <w:tc>
          <w:tcPr>
            <w:tcW w:w="1559" w:type="dxa"/>
            <w:tcBorders>
              <w:top w:val="single" w:sz="4" w:space="0" w:color="auto"/>
              <w:left w:val="single" w:sz="4" w:space="0" w:color="auto"/>
              <w:bottom w:val="single" w:sz="4" w:space="0" w:color="auto"/>
              <w:right w:val="single" w:sz="4" w:space="0" w:color="auto"/>
            </w:tcBorders>
          </w:tcPr>
          <w:p w:rsidR="00A572E2" w:rsidRPr="00497318" w:rsidRDefault="00A572E2" w:rsidP="00237815">
            <w:pPr>
              <w:pStyle w:val="tabletext"/>
              <w:rPr>
                <w:lang w:val="en-US" w:eastAsia="en-US"/>
              </w:rPr>
            </w:pPr>
            <w:r>
              <w:rPr>
                <w:lang w:val="en-US" w:eastAsia="en-US"/>
              </w:rPr>
              <w:t>4</w:t>
            </w:r>
            <w:r w:rsidR="00237815">
              <w:rPr>
                <w:lang w:val="en-US" w:eastAsia="en-US"/>
              </w:rPr>
              <w:t>2</w:t>
            </w:r>
            <w:r w:rsidR="007D521D">
              <w:rPr>
                <w:lang w:val="en-US" w:eastAsia="en-US"/>
              </w:rPr>
              <w:t xml:space="preserve"> to </w:t>
            </w:r>
            <w:r>
              <w:rPr>
                <w:lang w:val="en-US" w:eastAsia="en-US"/>
              </w:rPr>
              <w:t>47</w:t>
            </w:r>
          </w:p>
        </w:tc>
      </w:tr>
      <w:tr w:rsidR="00A572E2" w:rsidRPr="00C06980" w:rsidTr="00A572E2">
        <w:tc>
          <w:tcPr>
            <w:tcW w:w="4820" w:type="dxa"/>
            <w:tcBorders>
              <w:top w:val="single" w:sz="4" w:space="0" w:color="auto"/>
              <w:left w:val="single" w:sz="4" w:space="0" w:color="auto"/>
              <w:bottom w:val="single" w:sz="4" w:space="0" w:color="auto"/>
              <w:right w:val="single" w:sz="4" w:space="0" w:color="auto"/>
            </w:tcBorders>
          </w:tcPr>
          <w:p w:rsidR="00A572E2" w:rsidRPr="00C06980" w:rsidRDefault="00A572E2" w:rsidP="00E04461">
            <w:pPr>
              <w:pStyle w:val="tabletext"/>
              <w:rPr>
                <w:lang w:val="en-US" w:eastAsia="en-US"/>
              </w:rPr>
            </w:pPr>
            <w:r>
              <w:rPr>
                <w:lang w:val="en-US" w:eastAsia="en-US"/>
              </w:rPr>
              <w:t xml:space="preserve">Part 5 </w:t>
            </w:r>
            <w:r w:rsidRPr="00105CA6">
              <w:rPr>
                <w:lang w:val="en-US" w:eastAsia="en-US"/>
              </w:rPr>
              <w:t>—</w:t>
            </w:r>
            <w:r>
              <w:rPr>
                <w:lang w:val="en-US" w:eastAsia="en-US"/>
              </w:rPr>
              <w:t xml:space="preserve"> </w:t>
            </w:r>
            <w:r w:rsidRPr="00C06980">
              <w:rPr>
                <w:lang w:val="en-US" w:eastAsia="en-US"/>
              </w:rPr>
              <w:t>General interest charge</w:t>
            </w:r>
          </w:p>
        </w:tc>
        <w:tc>
          <w:tcPr>
            <w:tcW w:w="1276" w:type="dxa"/>
            <w:tcBorders>
              <w:top w:val="single" w:sz="4" w:space="0" w:color="auto"/>
              <w:left w:val="single" w:sz="4" w:space="0" w:color="auto"/>
              <w:bottom w:val="single" w:sz="4" w:space="0" w:color="auto"/>
              <w:right w:val="single" w:sz="4" w:space="0" w:color="auto"/>
            </w:tcBorders>
          </w:tcPr>
          <w:p w:rsidR="00A572E2" w:rsidRPr="00C06980" w:rsidRDefault="00A572E2" w:rsidP="001E3884">
            <w:pPr>
              <w:pStyle w:val="tabletext"/>
              <w:rPr>
                <w:lang w:val="en-US" w:eastAsia="en-US"/>
              </w:rPr>
            </w:pPr>
            <w:r>
              <w:rPr>
                <w:lang w:val="en-US" w:eastAsia="en-US"/>
              </w:rPr>
              <w:t>5.7</w:t>
            </w:r>
          </w:p>
        </w:tc>
        <w:tc>
          <w:tcPr>
            <w:tcW w:w="1559" w:type="dxa"/>
            <w:tcBorders>
              <w:top w:val="single" w:sz="4" w:space="0" w:color="auto"/>
              <w:left w:val="single" w:sz="4" w:space="0" w:color="auto"/>
              <w:bottom w:val="single" w:sz="4" w:space="0" w:color="auto"/>
              <w:right w:val="single" w:sz="4" w:space="0" w:color="auto"/>
            </w:tcBorders>
          </w:tcPr>
          <w:p w:rsidR="00A572E2" w:rsidRPr="00497318" w:rsidRDefault="00A572E2" w:rsidP="00134C13">
            <w:pPr>
              <w:pStyle w:val="tabletext"/>
              <w:rPr>
                <w:lang w:val="en-US" w:eastAsia="en-US"/>
              </w:rPr>
            </w:pPr>
            <w:r>
              <w:rPr>
                <w:lang w:val="en-US" w:eastAsia="en-US"/>
              </w:rPr>
              <w:t>48</w:t>
            </w:r>
          </w:p>
        </w:tc>
      </w:tr>
      <w:tr w:rsidR="00A572E2" w:rsidRPr="00C06980" w:rsidTr="00A572E2">
        <w:tc>
          <w:tcPr>
            <w:tcW w:w="4820" w:type="dxa"/>
            <w:tcBorders>
              <w:top w:val="single" w:sz="4" w:space="0" w:color="auto"/>
              <w:left w:val="single" w:sz="4" w:space="0" w:color="auto"/>
              <w:bottom w:val="single" w:sz="4" w:space="0" w:color="auto"/>
              <w:right w:val="single" w:sz="4" w:space="0" w:color="auto"/>
            </w:tcBorders>
          </w:tcPr>
          <w:p w:rsidR="00A572E2" w:rsidRPr="00C06980" w:rsidRDefault="00A572E2" w:rsidP="00E04461">
            <w:pPr>
              <w:pStyle w:val="tabletext"/>
              <w:rPr>
                <w:lang w:val="en-US" w:eastAsia="en-US"/>
              </w:rPr>
            </w:pPr>
            <w:r>
              <w:rPr>
                <w:lang w:val="en-US" w:eastAsia="en-US"/>
              </w:rPr>
              <w:lastRenderedPageBreak/>
              <w:t xml:space="preserve">Part 6 </w:t>
            </w:r>
            <w:r w:rsidRPr="00105CA6">
              <w:rPr>
                <w:lang w:val="en-US" w:eastAsia="en-US"/>
              </w:rPr>
              <w:t>—</w:t>
            </w:r>
            <w:r>
              <w:rPr>
                <w:lang w:val="en-US" w:eastAsia="en-US"/>
              </w:rPr>
              <w:t xml:space="preserve"> </w:t>
            </w:r>
            <w:r w:rsidRPr="00C06980">
              <w:rPr>
                <w:lang w:val="en-US" w:eastAsia="en-US"/>
              </w:rPr>
              <w:t>Deductible gift recipients</w:t>
            </w:r>
          </w:p>
        </w:tc>
        <w:tc>
          <w:tcPr>
            <w:tcW w:w="1276" w:type="dxa"/>
            <w:tcBorders>
              <w:top w:val="single" w:sz="4" w:space="0" w:color="auto"/>
              <w:left w:val="single" w:sz="4" w:space="0" w:color="auto"/>
              <w:bottom w:val="single" w:sz="4" w:space="0" w:color="auto"/>
              <w:right w:val="single" w:sz="4" w:space="0" w:color="auto"/>
            </w:tcBorders>
          </w:tcPr>
          <w:p w:rsidR="00A572E2" w:rsidRPr="00C06980" w:rsidRDefault="00A572E2" w:rsidP="001E3884">
            <w:pPr>
              <w:pStyle w:val="tabletext"/>
              <w:rPr>
                <w:lang w:val="en-US" w:eastAsia="en-US"/>
              </w:rPr>
            </w:pPr>
            <w:r>
              <w:rPr>
                <w:lang w:val="en-US" w:eastAsia="en-US"/>
              </w:rPr>
              <w:t>5.8</w:t>
            </w:r>
          </w:p>
        </w:tc>
        <w:tc>
          <w:tcPr>
            <w:tcW w:w="1559" w:type="dxa"/>
            <w:tcBorders>
              <w:top w:val="single" w:sz="4" w:space="0" w:color="auto"/>
              <w:left w:val="single" w:sz="4" w:space="0" w:color="auto"/>
              <w:bottom w:val="single" w:sz="4" w:space="0" w:color="auto"/>
              <w:right w:val="single" w:sz="4" w:space="0" w:color="auto"/>
            </w:tcBorders>
          </w:tcPr>
          <w:p w:rsidR="00A572E2" w:rsidRPr="00497318" w:rsidRDefault="00A572E2" w:rsidP="007D521D">
            <w:pPr>
              <w:pStyle w:val="tabletext"/>
              <w:rPr>
                <w:lang w:val="en-US" w:eastAsia="en-US"/>
              </w:rPr>
            </w:pPr>
            <w:r>
              <w:rPr>
                <w:lang w:val="en-US" w:eastAsia="en-US"/>
              </w:rPr>
              <w:t>48</w:t>
            </w:r>
            <w:r w:rsidR="007D521D">
              <w:rPr>
                <w:lang w:val="en-US" w:eastAsia="en-US"/>
              </w:rPr>
              <w:t xml:space="preserve"> to </w:t>
            </w:r>
            <w:r>
              <w:rPr>
                <w:lang w:val="en-US" w:eastAsia="en-US"/>
              </w:rPr>
              <w:t>52</w:t>
            </w:r>
          </w:p>
        </w:tc>
      </w:tr>
      <w:tr w:rsidR="00A572E2" w:rsidRPr="00C06980" w:rsidTr="00A572E2">
        <w:tc>
          <w:tcPr>
            <w:tcW w:w="4820" w:type="dxa"/>
            <w:tcBorders>
              <w:top w:val="single" w:sz="4" w:space="0" w:color="auto"/>
              <w:left w:val="single" w:sz="4" w:space="0" w:color="auto"/>
              <w:bottom w:val="single" w:sz="4" w:space="0" w:color="auto"/>
              <w:right w:val="single" w:sz="4" w:space="0" w:color="auto"/>
            </w:tcBorders>
          </w:tcPr>
          <w:p w:rsidR="00A572E2" w:rsidRPr="00C06980" w:rsidRDefault="00A572E2" w:rsidP="00E04461">
            <w:pPr>
              <w:pStyle w:val="tabletext"/>
              <w:rPr>
                <w:lang w:val="en-US" w:eastAsia="en-US"/>
              </w:rPr>
            </w:pPr>
            <w:r>
              <w:rPr>
                <w:lang w:val="en-US" w:eastAsia="en-US"/>
              </w:rPr>
              <w:t xml:space="preserve">Part 7 </w:t>
            </w:r>
            <w:r w:rsidRPr="00105CA6">
              <w:rPr>
                <w:lang w:val="en-US" w:eastAsia="en-US"/>
              </w:rPr>
              <w:t>—</w:t>
            </w:r>
            <w:r>
              <w:rPr>
                <w:lang w:val="en-US" w:eastAsia="en-US"/>
              </w:rPr>
              <w:t xml:space="preserve"> </w:t>
            </w:r>
            <w:r w:rsidRPr="00C06980">
              <w:rPr>
                <w:lang w:val="en-US" w:eastAsia="en-US"/>
              </w:rPr>
              <w:t xml:space="preserve">Section 23AB of the </w:t>
            </w:r>
            <w:r w:rsidRPr="00C77A0D">
              <w:rPr>
                <w:i/>
                <w:lang w:val="en-US" w:eastAsia="en-US"/>
              </w:rPr>
              <w:t>Income Tax Assessment Act 1936</w:t>
            </w:r>
          </w:p>
        </w:tc>
        <w:tc>
          <w:tcPr>
            <w:tcW w:w="1276" w:type="dxa"/>
            <w:tcBorders>
              <w:top w:val="single" w:sz="4" w:space="0" w:color="auto"/>
              <w:left w:val="single" w:sz="4" w:space="0" w:color="auto"/>
              <w:bottom w:val="single" w:sz="4" w:space="0" w:color="auto"/>
              <w:right w:val="single" w:sz="4" w:space="0" w:color="auto"/>
            </w:tcBorders>
          </w:tcPr>
          <w:p w:rsidR="00A572E2" w:rsidRPr="00C06980" w:rsidRDefault="00A572E2" w:rsidP="001E3884">
            <w:pPr>
              <w:pStyle w:val="tabletext"/>
              <w:rPr>
                <w:lang w:val="en-US" w:eastAsia="en-US"/>
              </w:rPr>
            </w:pPr>
            <w:r>
              <w:rPr>
                <w:lang w:val="en-US" w:eastAsia="en-US"/>
              </w:rPr>
              <w:t>5.9</w:t>
            </w:r>
          </w:p>
        </w:tc>
        <w:tc>
          <w:tcPr>
            <w:tcW w:w="1559" w:type="dxa"/>
            <w:tcBorders>
              <w:top w:val="single" w:sz="4" w:space="0" w:color="auto"/>
              <w:left w:val="single" w:sz="4" w:space="0" w:color="auto"/>
              <w:bottom w:val="single" w:sz="4" w:space="0" w:color="auto"/>
              <w:right w:val="single" w:sz="4" w:space="0" w:color="auto"/>
            </w:tcBorders>
          </w:tcPr>
          <w:p w:rsidR="00A572E2" w:rsidRPr="00497318" w:rsidRDefault="00A572E2" w:rsidP="00134C13">
            <w:pPr>
              <w:pStyle w:val="tabletext"/>
              <w:rPr>
                <w:lang w:val="en-US" w:eastAsia="en-US"/>
              </w:rPr>
            </w:pPr>
            <w:r>
              <w:rPr>
                <w:lang w:val="en-US" w:eastAsia="en-US"/>
              </w:rPr>
              <w:t>52</w:t>
            </w:r>
          </w:p>
        </w:tc>
      </w:tr>
      <w:tr w:rsidR="00A572E2" w:rsidRPr="00C06980" w:rsidTr="00A572E2">
        <w:tc>
          <w:tcPr>
            <w:tcW w:w="4820" w:type="dxa"/>
            <w:tcBorders>
              <w:top w:val="single" w:sz="4" w:space="0" w:color="auto"/>
              <w:left w:val="single" w:sz="4" w:space="0" w:color="auto"/>
              <w:bottom w:val="single" w:sz="4" w:space="0" w:color="auto"/>
              <w:right w:val="single" w:sz="4" w:space="0" w:color="auto"/>
            </w:tcBorders>
          </w:tcPr>
          <w:p w:rsidR="00A572E2" w:rsidRPr="00C06980" w:rsidRDefault="00A572E2" w:rsidP="00E04461">
            <w:pPr>
              <w:pStyle w:val="tabletext"/>
              <w:rPr>
                <w:lang w:val="en-US" w:eastAsia="en-US"/>
              </w:rPr>
            </w:pPr>
            <w:r>
              <w:rPr>
                <w:lang w:val="en-US" w:eastAsia="en-US"/>
              </w:rPr>
              <w:t xml:space="preserve">Part 8 </w:t>
            </w:r>
            <w:r w:rsidRPr="00105CA6">
              <w:rPr>
                <w:lang w:val="en-US" w:eastAsia="en-US"/>
              </w:rPr>
              <w:t>—</w:t>
            </w:r>
            <w:r>
              <w:rPr>
                <w:lang w:val="en-US" w:eastAsia="en-US"/>
              </w:rPr>
              <w:t xml:space="preserve"> </w:t>
            </w:r>
            <w:r w:rsidRPr="00C06980">
              <w:rPr>
                <w:lang w:val="en-US" w:eastAsia="en-US"/>
              </w:rPr>
              <w:t>Definitions and signposts to related material</w:t>
            </w:r>
          </w:p>
        </w:tc>
        <w:tc>
          <w:tcPr>
            <w:tcW w:w="1276" w:type="dxa"/>
            <w:tcBorders>
              <w:top w:val="single" w:sz="4" w:space="0" w:color="auto"/>
              <w:left w:val="single" w:sz="4" w:space="0" w:color="auto"/>
              <w:bottom w:val="single" w:sz="4" w:space="0" w:color="auto"/>
              <w:right w:val="single" w:sz="4" w:space="0" w:color="auto"/>
            </w:tcBorders>
          </w:tcPr>
          <w:p w:rsidR="00A572E2" w:rsidRPr="00C06980" w:rsidRDefault="00A572E2" w:rsidP="001E3884">
            <w:pPr>
              <w:pStyle w:val="tabletext"/>
              <w:rPr>
                <w:lang w:val="en-US" w:eastAsia="en-US"/>
              </w:rPr>
            </w:pPr>
            <w:r>
              <w:rPr>
                <w:lang w:val="en-US" w:eastAsia="en-US"/>
              </w:rPr>
              <w:t>5.10</w:t>
            </w:r>
          </w:p>
        </w:tc>
        <w:tc>
          <w:tcPr>
            <w:tcW w:w="1559" w:type="dxa"/>
            <w:tcBorders>
              <w:top w:val="single" w:sz="4" w:space="0" w:color="auto"/>
              <w:left w:val="single" w:sz="4" w:space="0" w:color="auto"/>
              <w:bottom w:val="single" w:sz="4" w:space="0" w:color="auto"/>
              <w:right w:val="single" w:sz="4" w:space="0" w:color="auto"/>
            </w:tcBorders>
          </w:tcPr>
          <w:p w:rsidR="00A572E2" w:rsidRPr="00497318" w:rsidRDefault="00A572E2" w:rsidP="00134C13">
            <w:pPr>
              <w:pStyle w:val="tabletext"/>
              <w:rPr>
                <w:lang w:val="en-US" w:eastAsia="en-US"/>
              </w:rPr>
            </w:pPr>
            <w:r>
              <w:rPr>
                <w:lang w:val="en-US" w:eastAsia="en-US"/>
              </w:rPr>
              <w:t>52</w:t>
            </w:r>
          </w:p>
        </w:tc>
      </w:tr>
      <w:tr w:rsidR="00A572E2" w:rsidRPr="00C06980" w:rsidTr="00A572E2">
        <w:tc>
          <w:tcPr>
            <w:tcW w:w="4820" w:type="dxa"/>
            <w:tcBorders>
              <w:top w:val="single" w:sz="4" w:space="0" w:color="auto"/>
              <w:left w:val="single" w:sz="4" w:space="0" w:color="auto"/>
              <w:bottom w:val="single" w:sz="4" w:space="0" w:color="auto"/>
              <w:right w:val="single" w:sz="4" w:space="0" w:color="auto"/>
            </w:tcBorders>
          </w:tcPr>
          <w:p w:rsidR="00A572E2" w:rsidRPr="00C06980" w:rsidRDefault="00A572E2" w:rsidP="00E04461">
            <w:pPr>
              <w:pStyle w:val="tabletext"/>
              <w:rPr>
                <w:lang w:val="en-US" w:eastAsia="en-US"/>
              </w:rPr>
            </w:pPr>
            <w:r>
              <w:rPr>
                <w:lang w:val="en-US" w:eastAsia="en-US"/>
              </w:rPr>
              <w:t xml:space="preserve">Part 9 </w:t>
            </w:r>
            <w:r w:rsidRPr="00105CA6">
              <w:rPr>
                <w:lang w:val="en-US" w:eastAsia="en-US"/>
              </w:rPr>
              <w:t>—</w:t>
            </w:r>
            <w:r>
              <w:rPr>
                <w:lang w:val="en-US" w:eastAsia="en-US"/>
              </w:rPr>
              <w:t xml:space="preserve"> </w:t>
            </w:r>
            <w:r w:rsidRPr="00C06980">
              <w:rPr>
                <w:lang w:val="en-US" w:eastAsia="en-US"/>
              </w:rPr>
              <w:t>Repeal of redundant reference to Papua New Guinea</w:t>
            </w:r>
          </w:p>
        </w:tc>
        <w:tc>
          <w:tcPr>
            <w:tcW w:w="1276" w:type="dxa"/>
            <w:tcBorders>
              <w:top w:val="single" w:sz="4" w:space="0" w:color="auto"/>
              <w:left w:val="single" w:sz="4" w:space="0" w:color="auto"/>
              <w:bottom w:val="single" w:sz="4" w:space="0" w:color="auto"/>
              <w:right w:val="single" w:sz="4" w:space="0" w:color="auto"/>
            </w:tcBorders>
          </w:tcPr>
          <w:p w:rsidR="00A572E2" w:rsidRPr="00C06980" w:rsidRDefault="00A572E2" w:rsidP="001E3884">
            <w:pPr>
              <w:pStyle w:val="tabletext"/>
              <w:rPr>
                <w:lang w:val="en-US" w:eastAsia="en-US"/>
              </w:rPr>
            </w:pPr>
            <w:r>
              <w:rPr>
                <w:lang w:val="en-US" w:eastAsia="en-US"/>
              </w:rPr>
              <w:t>5.11</w:t>
            </w:r>
          </w:p>
        </w:tc>
        <w:tc>
          <w:tcPr>
            <w:tcW w:w="1559" w:type="dxa"/>
            <w:tcBorders>
              <w:top w:val="single" w:sz="4" w:space="0" w:color="auto"/>
              <w:left w:val="single" w:sz="4" w:space="0" w:color="auto"/>
              <w:bottom w:val="single" w:sz="4" w:space="0" w:color="auto"/>
              <w:right w:val="single" w:sz="4" w:space="0" w:color="auto"/>
            </w:tcBorders>
          </w:tcPr>
          <w:p w:rsidR="00A572E2" w:rsidRPr="00497318" w:rsidRDefault="00A572E2" w:rsidP="00134C13">
            <w:pPr>
              <w:pStyle w:val="tabletext"/>
              <w:rPr>
                <w:lang w:val="en-US" w:eastAsia="en-US"/>
              </w:rPr>
            </w:pPr>
            <w:r>
              <w:rPr>
                <w:lang w:val="en-US" w:eastAsia="en-US"/>
              </w:rPr>
              <w:t>53</w:t>
            </w:r>
          </w:p>
        </w:tc>
      </w:tr>
      <w:tr w:rsidR="00A572E2" w:rsidRPr="00C06980" w:rsidTr="00A572E2">
        <w:tc>
          <w:tcPr>
            <w:tcW w:w="4820" w:type="dxa"/>
            <w:tcBorders>
              <w:top w:val="single" w:sz="4" w:space="0" w:color="auto"/>
              <w:left w:val="single" w:sz="4" w:space="0" w:color="auto"/>
              <w:bottom w:val="single" w:sz="4" w:space="0" w:color="auto"/>
              <w:right w:val="single" w:sz="4" w:space="0" w:color="auto"/>
            </w:tcBorders>
          </w:tcPr>
          <w:p w:rsidR="00A572E2" w:rsidRPr="00C06980" w:rsidRDefault="00A572E2" w:rsidP="00E04461">
            <w:pPr>
              <w:pStyle w:val="tabletext"/>
              <w:rPr>
                <w:lang w:val="en-US" w:eastAsia="en-US"/>
              </w:rPr>
            </w:pPr>
            <w:r>
              <w:rPr>
                <w:lang w:val="en-US" w:eastAsia="en-US"/>
              </w:rPr>
              <w:t xml:space="preserve">Part 10 </w:t>
            </w:r>
            <w:r w:rsidRPr="00105CA6">
              <w:rPr>
                <w:lang w:val="en-US" w:eastAsia="en-US"/>
              </w:rPr>
              <w:t>—</w:t>
            </w:r>
            <w:r>
              <w:rPr>
                <w:lang w:val="en-US" w:eastAsia="en-US"/>
              </w:rPr>
              <w:t xml:space="preserve"> </w:t>
            </w:r>
            <w:r w:rsidRPr="00C06980">
              <w:rPr>
                <w:lang w:val="en-US" w:eastAsia="en-US"/>
              </w:rPr>
              <w:t>Repeal of redundant references to franking</w:t>
            </w:r>
          </w:p>
        </w:tc>
        <w:tc>
          <w:tcPr>
            <w:tcW w:w="1276" w:type="dxa"/>
            <w:tcBorders>
              <w:top w:val="single" w:sz="4" w:space="0" w:color="auto"/>
              <w:left w:val="single" w:sz="4" w:space="0" w:color="auto"/>
              <w:bottom w:val="single" w:sz="4" w:space="0" w:color="auto"/>
              <w:right w:val="single" w:sz="4" w:space="0" w:color="auto"/>
            </w:tcBorders>
          </w:tcPr>
          <w:p w:rsidR="00A572E2" w:rsidRPr="00C06980" w:rsidRDefault="00A572E2" w:rsidP="001E3884">
            <w:pPr>
              <w:pStyle w:val="tabletext"/>
              <w:rPr>
                <w:lang w:val="en-US" w:eastAsia="en-US"/>
              </w:rPr>
            </w:pPr>
            <w:r>
              <w:rPr>
                <w:lang w:val="en-US" w:eastAsia="en-US"/>
              </w:rPr>
              <w:t>5.12</w:t>
            </w:r>
          </w:p>
        </w:tc>
        <w:tc>
          <w:tcPr>
            <w:tcW w:w="1559" w:type="dxa"/>
            <w:tcBorders>
              <w:top w:val="single" w:sz="4" w:space="0" w:color="auto"/>
              <w:left w:val="single" w:sz="4" w:space="0" w:color="auto"/>
              <w:bottom w:val="single" w:sz="4" w:space="0" w:color="auto"/>
              <w:right w:val="single" w:sz="4" w:space="0" w:color="auto"/>
            </w:tcBorders>
          </w:tcPr>
          <w:p w:rsidR="00A572E2" w:rsidRPr="00497318" w:rsidRDefault="00A572E2" w:rsidP="00134C13">
            <w:pPr>
              <w:pStyle w:val="tabletext"/>
              <w:rPr>
                <w:lang w:val="en-US" w:eastAsia="en-US"/>
              </w:rPr>
            </w:pPr>
            <w:r>
              <w:rPr>
                <w:lang w:val="en-US" w:eastAsia="en-US"/>
              </w:rPr>
              <w:t>53</w:t>
            </w:r>
          </w:p>
        </w:tc>
      </w:tr>
      <w:tr w:rsidR="00A572E2" w:rsidRPr="00C06980" w:rsidTr="00A572E2">
        <w:tc>
          <w:tcPr>
            <w:tcW w:w="4820" w:type="dxa"/>
            <w:tcBorders>
              <w:top w:val="single" w:sz="4" w:space="0" w:color="auto"/>
              <w:left w:val="single" w:sz="4" w:space="0" w:color="auto"/>
              <w:bottom w:val="single" w:sz="4" w:space="0" w:color="auto"/>
              <w:right w:val="single" w:sz="4" w:space="0" w:color="auto"/>
            </w:tcBorders>
          </w:tcPr>
          <w:p w:rsidR="00A572E2" w:rsidRPr="00C06980" w:rsidRDefault="00A572E2" w:rsidP="00E04461">
            <w:pPr>
              <w:pStyle w:val="tabletext"/>
              <w:rPr>
                <w:lang w:val="en-US" w:eastAsia="en-US"/>
              </w:rPr>
            </w:pPr>
            <w:r>
              <w:rPr>
                <w:lang w:val="en-US" w:eastAsia="en-US"/>
              </w:rPr>
              <w:t xml:space="preserve">Part 11 </w:t>
            </w:r>
            <w:r w:rsidRPr="00105CA6">
              <w:rPr>
                <w:lang w:val="en-US" w:eastAsia="en-US"/>
              </w:rPr>
              <w:t>—</w:t>
            </w:r>
            <w:r>
              <w:rPr>
                <w:lang w:val="en-US" w:eastAsia="en-US"/>
              </w:rPr>
              <w:t xml:space="preserve"> </w:t>
            </w:r>
            <w:r w:rsidRPr="00C06980">
              <w:rPr>
                <w:lang w:val="en-US" w:eastAsia="en-US"/>
              </w:rPr>
              <w:t>Correction of cross-reference in provision about dividend streaming etc.</w:t>
            </w:r>
          </w:p>
        </w:tc>
        <w:tc>
          <w:tcPr>
            <w:tcW w:w="1276" w:type="dxa"/>
            <w:tcBorders>
              <w:top w:val="single" w:sz="4" w:space="0" w:color="auto"/>
              <w:left w:val="single" w:sz="4" w:space="0" w:color="auto"/>
              <w:bottom w:val="single" w:sz="4" w:space="0" w:color="auto"/>
              <w:right w:val="single" w:sz="4" w:space="0" w:color="auto"/>
            </w:tcBorders>
          </w:tcPr>
          <w:p w:rsidR="00A572E2" w:rsidRPr="00C06980" w:rsidRDefault="00A572E2" w:rsidP="001E3884">
            <w:pPr>
              <w:pStyle w:val="tabletext"/>
              <w:rPr>
                <w:lang w:val="en-US" w:eastAsia="en-US"/>
              </w:rPr>
            </w:pPr>
            <w:r>
              <w:rPr>
                <w:lang w:val="en-US" w:eastAsia="en-US"/>
              </w:rPr>
              <w:t>5.13</w:t>
            </w:r>
          </w:p>
        </w:tc>
        <w:tc>
          <w:tcPr>
            <w:tcW w:w="1559" w:type="dxa"/>
            <w:tcBorders>
              <w:top w:val="single" w:sz="4" w:space="0" w:color="auto"/>
              <w:left w:val="single" w:sz="4" w:space="0" w:color="auto"/>
              <w:bottom w:val="single" w:sz="4" w:space="0" w:color="auto"/>
              <w:right w:val="single" w:sz="4" w:space="0" w:color="auto"/>
            </w:tcBorders>
          </w:tcPr>
          <w:p w:rsidR="00A572E2" w:rsidRPr="00497318" w:rsidRDefault="00A572E2" w:rsidP="00134C13">
            <w:pPr>
              <w:pStyle w:val="tabletext"/>
              <w:rPr>
                <w:lang w:val="en-US" w:eastAsia="en-US"/>
              </w:rPr>
            </w:pPr>
            <w:r>
              <w:rPr>
                <w:lang w:val="en-US" w:eastAsia="en-US"/>
              </w:rPr>
              <w:t>54</w:t>
            </w:r>
          </w:p>
        </w:tc>
      </w:tr>
      <w:tr w:rsidR="00A572E2" w:rsidRPr="00C06980" w:rsidTr="00A572E2">
        <w:tc>
          <w:tcPr>
            <w:tcW w:w="4820" w:type="dxa"/>
            <w:tcBorders>
              <w:top w:val="single" w:sz="4" w:space="0" w:color="auto"/>
              <w:left w:val="single" w:sz="4" w:space="0" w:color="auto"/>
              <w:bottom w:val="single" w:sz="4" w:space="0" w:color="auto"/>
              <w:right w:val="single" w:sz="4" w:space="0" w:color="auto"/>
            </w:tcBorders>
          </w:tcPr>
          <w:p w:rsidR="00A572E2" w:rsidRPr="00C06980" w:rsidRDefault="00A572E2" w:rsidP="00E04461">
            <w:pPr>
              <w:pStyle w:val="tabletext"/>
              <w:rPr>
                <w:lang w:val="en-US" w:eastAsia="en-US"/>
              </w:rPr>
            </w:pPr>
            <w:r>
              <w:rPr>
                <w:lang w:val="en-US" w:eastAsia="en-US"/>
              </w:rPr>
              <w:t xml:space="preserve">Part 12 </w:t>
            </w:r>
            <w:r w:rsidRPr="00105CA6">
              <w:rPr>
                <w:lang w:val="en-US" w:eastAsia="en-US"/>
              </w:rPr>
              <w:t>—</w:t>
            </w:r>
            <w:r>
              <w:rPr>
                <w:lang w:val="en-US" w:eastAsia="en-US"/>
              </w:rPr>
              <w:t xml:space="preserve"> </w:t>
            </w:r>
            <w:r w:rsidRPr="00C06980">
              <w:rPr>
                <w:lang w:val="en-US" w:eastAsia="en-US"/>
              </w:rPr>
              <w:t>Minor changes to provisions about concessional rebates</w:t>
            </w:r>
          </w:p>
        </w:tc>
        <w:tc>
          <w:tcPr>
            <w:tcW w:w="1276" w:type="dxa"/>
            <w:tcBorders>
              <w:top w:val="single" w:sz="4" w:space="0" w:color="auto"/>
              <w:left w:val="single" w:sz="4" w:space="0" w:color="auto"/>
              <w:bottom w:val="single" w:sz="4" w:space="0" w:color="auto"/>
              <w:right w:val="single" w:sz="4" w:space="0" w:color="auto"/>
            </w:tcBorders>
          </w:tcPr>
          <w:p w:rsidR="00A572E2" w:rsidRPr="00C06980" w:rsidRDefault="00A572E2" w:rsidP="001E3884">
            <w:pPr>
              <w:pStyle w:val="tabletext"/>
              <w:rPr>
                <w:lang w:val="en-US" w:eastAsia="en-US"/>
              </w:rPr>
            </w:pPr>
            <w:r>
              <w:rPr>
                <w:lang w:val="en-US" w:eastAsia="en-US"/>
              </w:rPr>
              <w:t>5.14</w:t>
            </w:r>
          </w:p>
        </w:tc>
        <w:tc>
          <w:tcPr>
            <w:tcW w:w="1559" w:type="dxa"/>
            <w:tcBorders>
              <w:top w:val="single" w:sz="4" w:space="0" w:color="auto"/>
              <w:left w:val="single" w:sz="4" w:space="0" w:color="auto"/>
              <w:bottom w:val="single" w:sz="4" w:space="0" w:color="auto"/>
              <w:right w:val="single" w:sz="4" w:space="0" w:color="auto"/>
            </w:tcBorders>
          </w:tcPr>
          <w:p w:rsidR="00A572E2" w:rsidRPr="00497318" w:rsidRDefault="00A572E2" w:rsidP="00134C13">
            <w:pPr>
              <w:pStyle w:val="tabletext"/>
              <w:rPr>
                <w:lang w:val="en-US" w:eastAsia="en-US"/>
              </w:rPr>
            </w:pPr>
            <w:r>
              <w:rPr>
                <w:lang w:val="en-US" w:eastAsia="en-US"/>
              </w:rPr>
              <w:t>54</w:t>
            </w:r>
          </w:p>
        </w:tc>
      </w:tr>
      <w:tr w:rsidR="00A572E2" w:rsidRPr="00C06980" w:rsidTr="00A572E2">
        <w:tc>
          <w:tcPr>
            <w:tcW w:w="4820" w:type="dxa"/>
            <w:tcBorders>
              <w:top w:val="single" w:sz="4" w:space="0" w:color="auto"/>
              <w:left w:val="single" w:sz="4" w:space="0" w:color="auto"/>
              <w:bottom w:val="single" w:sz="4" w:space="0" w:color="auto"/>
              <w:right w:val="single" w:sz="4" w:space="0" w:color="auto"/>
            </w:tcBorders>
          </w:tcPr>
          <w:p w:rsidR="00A572E2" w:rsidRPr="00C06980" w:rsidRDefault="00A572E2" w:rsidP="00E04461">
            <w:pPr>
              <w:pStyle w:val="tabletext"/>
              <w:rPr>
                <w:lang w:val="en-US" w:eastAsia="en-US"/>
              </w:rPr>
            </w:pPr>
            <w:r>
              <w:rPr>
                <w:lang w:val="en-US" w:eastAsia="en-US"/>
              </w:rPr>
              <w:t xml:space="preserve">Part 13 </w:t>
            </w:r>
            <w:r w:rsidRPr="00105CA6">
              <w:rPr>
                <w:lang w:val="en-US" w:eastAsia="en-US"/>
              </w:rPr>
              <w:t>—</w:t>
            </w:r>
            <w:r>
              <w:rPr>
                <w:lang w:val="en-US" w:eastAsia="en-US"/>
              </w:rPr>
              <w:t xml:space="preserve"> </w:t>
            </w:r>
            <w:r w:rsidRPr="00C06980">
              <w:rPr>
                <w:lang w:val="en-US" w:eastAsia="en-US"/>
              </w:rPr>
              <w:t>Fixing outdated references to Medicare levy</w:t>
            </w:r>
          </w:p>
        </w:tc>
        <w:tc>
          <w:tcPr>
            <w:tcW w:w="1276" w:type="dxa"/>
            <w:tcBorders>
              <w:top w:val="single" w:sz="4" w:space="0" w:color="auto"/>
              <w:left w:val="single" w:sz="4" w:space="0" w:color="auto"/>
              <w:bottom w:val="single" w:sz="4" w:space="0" w:color="auto"/>
              <w:right w:val="single" w:sz="4" w:space="0" w:color="auto"/>
            </w:tcBorders>
          </w:tcPr>
          <w:p w:rsidR="00A572E2" w:rsidRPr="00C06980" w:rsidRDefault="00A572E2" w:rsidP="001E3884">
            <w:pPr>
              <w:pStyle w:val="tabletext"/>
              <w:rPr>
                <w:lang w:val="en-US" w:eastAsia="en-US"/>
              </w:rPr>
            </w:pPr>
            <w:r>
              <w:rPr>
                <w:lang w:val="en-US" w:eastAsia="en-US"/>
              </w:rPr>
              <w:t>5.15</w:t>
            </w:r>
          </w:p>
        </w:tc>
        <w:tc>
          <w:tcPr>
            <w:tcW w:w="1559" w:type="dxa"/>
            <w:tcBorders>
              <w:top w:val="single" w:sz="4" w:space="0" w:color="auto"/>
              <w:left w:val="single" w:sz="4" w:space="0" w:color="auto"/>
              <w:bottom w:val="single" w:sz="4" w:space="0" w:color="auto"/>
              <w:right w:val="single" w:sz="4" w:space="0" w:color="auto"/>
            </w:tcBorders>
          </w:tcPr>
          <w:p w:rsidR="00A572E2" w:rsidRPr="00497318" w:rsidRDefault="00A572E2" w:rsidP="00134C13">
            <w:pPr>
              <w:pStyle w:val="tabletext"/>
              <w:rPr>
                <w:lang w:val="en-US" w:eastAsia="en-US"/>
              </w:rPr>
            </w:pPr>
            <w:r>
              <w:rPr>
                <w:lang w:val="en-US" w:eastAsia="en-US"/>
              </w:rPr>
              <w:t>54</w:t>
            </w:r>
          </w:p>
        </w:tc>
      </w:tr>
      <w:tr w:rsidR="00A572E2" w:rsidRPr="00C06980" w:rsidTr="00A572E2">
        <w:tc>
          <w:tcPr>
            <w:tcW w:w="4820" w:type="dxa"/>
            <w:tcBorders>
              <w:top w:val="single" w:sz="4" w:space="0" w:color="auto"/>
              <w:left w:val="single" w:sz="4" w:space="0" w:color="auto"/>
              <w:bottom w:val="single" w:sz="4" w:space="0" w:color="auto"/>
              <w:right w:val="single" w:sz="4" w:space="0" w:color="auto"/>
            </w:tcBorders>
          </w:tcPr>
          <w:p w:rsidR="00A572E2" w:rsidRPr="00C06980" w:rsidRDefault="00A572E2" w:rsidP="00E04461">
            <w:pPr>
              <w:pStyle w:val="tabletext"/>
              <w:rPr>
                <w:lang w:val="en-US" w:eastAsia="en-US"/>
              </w:rPr>
            </w:pPr>
            <w:r>
              <w:rPr>
                <w:lang w:val="en-US" w:eastAsia="en-US"/>
              </w:rPr>
              <w:t xml:space="preserve">Part 14 </w:t>
            </w:r>
            <w:r w:rsidRPr="00105CA6">
              <w:rPr>
                <w:lang w:val="en-US" w:eastAsia="en-US"/>
              </w:rPr>
              <w:t>—</w:t>
            </w:r>
            <w:r>
              <w:rPr>
                <w:lang w:val="en-US" w:eastAsia="en-US"/>
              </w:rPr>
              <w:t xml:space="preserve"> </w:t>
            </w:r>
            <w:r w:rsidRPr="00C06980">
              <w:rPr>
                <w:lang w:val="en-US" w:eastAsia="en-US"/>
              </w:rPr>
              <w:t>Repeal of references to previously repealed provision</w:t>
            </w:r>
          </w:p>
        </w:tc>
        <w:tc>
          <w:tcPr>
            <w:tcW w:w="1276" w:type="dxa"/>
            <w:tcBorders>
              <w:top w:val="single" w:sz="4" w:space="0" w:color="auto"/>
              <w:left w:val="single" w:sz="4" w:space="0" w:color="auto"/>
              <w:bottom w:val="single" w:sz="4" w:space="0" w:color="auto"/>
              <w:right w:val="single" w:sz="4" w:space="0" w:color="auto"/>
            </w:tcBorders>
          </w:tcPr>
          <w:p w:rsidR="00A572E2" w:rsidRPr="00C06980" w:rsidRDefault="00A572E2" w:rsidP="001E3884">
            <w:pPr>
              <w:pStyle w:val="tabletext"/>
              <w:rPr>
                <w:lang w:val="en-US" w:eastAsia="en-US"/>
              </w:rPr>
            </w:pPr>
            <w:r>
              <w:rPr>
                <w:lang w:val="en-US" w:eastAsia="en-US"/>
              </w:rPr>
              <w:t>5.16</w:t>
            </w:r>
          </w:p>
        </w:tc>
        <w:tc>
          <w:tcPr>
            <w:tcW w:w="1559" w:type="dxa"/>
            <w:tcBorders>
              <w:top w:val="single" w:sz="4" w:space="0" w:color="auto"/>
              <w:left w:val="single" w:sz="4" w:space="0" w:color="auto"/>
              <w:bottom w:val="single" w:sz="4" w:space="0" w:color="auto"/>
              <w:right w:val="single" w:sz="4" w:space="0" w:color="auto"/>
            </w:tcBorders>
          </w:tcPr>
          <w:p w:rsidR="00A572E2" w:rsidRPr="00497318" w:rsidRDefault="00A572E2" w:rsidP="00134C13">
            <w:pPr>
              <w:pStyle w:val="tabletext"/>
              <w:rPr>
                <w:lang w:val="en-US" w:eastAsia="en-US"/>
              </w:rPr>
            </w:pPr>
            <w:r>
              <w:rPr>
                <w:lang w:val="en-US" w:eastAsia="en-US"/>
              </w:rPr>
              <w:t>55</w:t>
            </w:r>
          </w:p>
        </w:tc>
      </w:tr>
      <w:tr w:rsidR="00A572E2" w:rsidRPr="00C06980" w:rsidTr="00A572E2">
        <w:tc>
          <w:tcPr>
            <w:tcW w:w="4820" w:type="dxa"/>
            <w:tcBorders>
              <w:top w:val="single" w:sz="4" w:space="0" w:color="auto"/>
              <w:left w:val="single" w:sz="4" w:space="0" w:color="auto"/>
              <w:bottom w:val="single" w:sz="4" w:space="0" w:color="auto"/>
              <w:right w:val="single" w:sz="4" w:space="0" w:color="auto"/>
            </w:tcBorders>
          </w:tcPr>
          <w:p w:rsidR="00A572E2" w:rsidRPr="00C06980" w:rsidRDefault="00A572E2" w:rsidP="00E04461">
            <w:pPr>
              <w:pStyle w:val="tabletext"/>
              <w:rPr>
                <w:lang w:val="en-US" w:eastAsia="en-US"/>
              </w:rPr>
            </w:pPr>
            <w:r>
              <w:rPr>
                <w:lang w:val="en-US" w:eastAsia="en-US"/>
              </w:rPr>
              <w:t xml:space="preserve">Part 15 </w:t>
            </w:r>
            <w:r w:rsidRPr="00105CA6">
              <w:rPr>
                <w:lang w:val="en-US" w:eastAsia="en-US"/>
              </w:rPr>
              <w:t>—</w:t>
            </w:r>
            <w:r>
              <w:rPr>
                <w:lang w:val="en-US" w:eastAsia="en-US"/>
              </w:rPr>
              <w:t xml:space="preserve"> </w:t>
            </w:r>
            <w:r w:rsidRPr="00C06980">
              <w:rPr>
                <w:lang w:val="en-US" w:eastAsia="en-US"/>
              </w:rPr>
              <w:t>Correction of asterisking of reference to tax debts</w:t>
            </w:r>
          </w:p>
        </w:tc>
        <w:tc>
          <w:tcPr>
            <w:tcW w:w="1276" w:type="dxa"/>
            <w:tcBorders>
              <w:top w:val="single" w:sz="4" w:space="0" w:color="auto"/>
              <w:left w:val="single" w:sz="4" w:space="0" w:color="auto"/>
              <w:bottom w:val="single" w:sz="4" w:space="0" w:color="auto"/>
              <w:right w:val="single" w:sz="4" w:space="0" w:color="auto"/>
            </w:tcBorders>
          </w:tcPr>
          <w:p w:rsidR="00A572E2" w:rsidRPr="00C06980" w:rsidRDefault="00A572E2" w:rsidP="001E3884">
            <w:pPr>
              <w:pStyle w:val="tabletext"/>
              <w:rPr>
                <w:lang w:val="en-US" w:eastAsia="en-US"/>
              </w:rPr>
            </w:pPr>
            <w:r>
              <w:rPr>
                <w:lang w:val="en-US" w:eastAsia="en-US"/>
              </w:rPr>
              <w:t>5.17</w:t>
            </w:r>
          </w:p>
        </w:tc>
        <w:tc>
          <w:tcPr>
            <w:tcW w:w="1559" w:type="dxa"/>
            <w:tcBorders>
              <w:top w:val="single" w:sz="4" w:space="0" w:color="auto"/>
              <w:left w:val="single" w:sz="4" w:space="0" w:color="auto"/>
              <w:bottom w:val="single" w:sz="4" w:space="0" w:color="auto"/>
              <w:right w:val="single" w:sz="4" w:space="0" w:color="auto"/>
            </w:tcBorders>
          </w:tcPr>
          <w:p w:rsidR="00A572E2" w:rsidRPr="00497318" w:rsidRDefault="00A572E2" w:rsidP="00134C13">
            <w:pPr>
              <w:pStyle w:val="tabletext"/>
              <w:rPr>
                <w:lang w:val="en-US" w:eastAsia="en-US"/>
              </w:rPr>
            </w:pPr>
            <w:r>
              <w:rPr>
                <w:lang w:val="en-US" w:eastAsia="en-US"/>
              </w:rPr>
              <w:t>55</w:t>
            </w:r>
          </w:p>
        </w:tc>
      </w:tr>
      <w:tr w:rsidR="00A572E2" w:rsidRPr="00C06980" w:rsidTr="00A572E2">
        <w:tc>
          <w:tcPr>
            <w:tcW w:w="4820" w:type="dxa"/>
            <w:tcBorders>
              <w:top w:val="single" w:sz="4" w:space="0" w:color="auto"/>
              <w:left w:val="single" w:sz="4" w:space="0" w:color="auto"/>
              <w:bottom w:val="single" w:sz="4" w:space="0" w:color="auto"/>
              <w:right w:val="single" w:sz="4" w:space="0" w:color="auto"/>
            </w:tcBorders>
          </w:tcPr>
          <w:p w:rsidR="00A572E2" w:rsidRPr="00C06980" w:rsidRDefault="00A572E2" w:rsidP="00E04461">
            <w:pPr>
              <w:pStyle w:val="tabletext"/>
              <w:rPr>
                <w:lang w:val="en-US" w:eastAsia="en-US"/>
              </w:rPr>
            </w:pPr>
            <w:r>
              <w:rPr>
                <w:lang w:val="en-US" w:eastAsia="en-US"/>
              </w:rPr>
              <w:t xml:space="preserve">Part 16 </w:t>
            </w:r>
            <w:r w:rsidRPr="00105CA6">
              <w:rPr>
                <w:lang w:val="en-US" w:eastAsia="en-US"/>
              </w:rPr>
              <w:t>—</w:t>
            </w:r>
            <w:r>
              <w:rPr>
                <w:lang w:val="en-US" w:eastAsia="en-US"/>
              </w:rPr>
              <w:t xml:space="preserve"> </w:t>
            </w:r>
            <w:r w:rsidRPr="00C06980">
              <w:rPr>
                <w:lang w:val="en-US" w:eastAsia="en-US"/>
              </w:rPr>
              <w:t>Repeal of outdated provisions about exemption from income tax</w:t>
            </w:r>
          </w:p>
        </w:tc>
        <w:tc>
          <w:tcPr>
            <w:tcW w:w="1276" w:type="dxa"/>
            <w:tcBorders>
              <w:top w:val="single" w:sz="4" w:space="0" w:color="auto"/>
              <w:left w:val="single" w:sz="4" w:space="0" w:color="auto"/>
              <w:bottom w:val="single" w:sz="4" w:space="0" w:color="auto"/>
              <w:right w:val="single" w:sz="4" w:space="0" w:color="auto"/>
            </w:tcBorders>
          </w:tcPr>
          <w:p w:rsidR="00A572E2" w:rsidRPr="00C06980" w:rsidRDefault="00A572E2" w:rsidP="001E3884">
            <w:pPr>
              <w:pStyle w:val="tabletext"/>
              <w:rPr>
                <w:lang w:val="en-US" w:eastAsia="en-US"/>
              </w:rPr>
            </w:pPr>
            <w:r>
              <w:rPr>
                <w:lang w:val="en-US" w:eastAsia="en-US"/>
              </w:rPr>
              <w:t>5.18</w:t>
            </w:r>
          </w:p>
        </w:tc>
        <w:tc>
          <w:tcPr>
            <w:tcW w:w="1559" w:type="dxa"/>
            <w:tcBorders>
              <w:top w:val="single" w:sz="4" w:space="0" w:color="auto"/>
              <w:left w:val="single" w:sz="4" w:space="0" w:color="auto"/>
              <w:bottom w:val="single" w:sz="4" w:space="0" w:color="auto"/>
              <w:right w:val="single" w:sz="4" w:space="0" w:color="auto"/>
            </w:tcBorders>
          </w:tcPr>
          <w:p w:rsidR="00A572E2" w:rsidRPr="00497318" w:rsidRDefault="00A572E2" w:rsidP="007D521D">
            <w:pPr>
              <w:pStyle w:val="tabletext"/>
              <w:rPr>
                <w:lang w:val="en-US" w:eastAsia="en-US"/>
              </w:rPr>
            </w:pPr>
            <w:r>
              <w:rPr>
                <w:lang w:val="en-US" w:eastAsia="en-US"/>
              </w:rPr>
              <w:t>55</w:t>
            </w:r>
            <w:r w:rsidR="007D521D">
              <w:rPr>
                <w:lang w:val="en-US" w:eastAsia="en-US"/>
              </w:rPr>
              <w:t xml:space="preserve"> and </w:t>
            </w:r>
            <w:r>
              <w:rPr>
                <w:lang w:val="en-US" w:eastAsia="en-US"/>
              </w:rPr>
              <w:t>56</w:t>
            </w:r>
          </w:p>
        </w:tc>
      </w:tr>
      <w:tr w:rsidR="00A572E2" w:rsidRPr="00C06980" w:rsidTr="00A572E2">
        <w:tc>
          <w:tcPr>
            <w:tcW w:w="4820" w:type="dxa"/>
            <w:tcBorders>
              <w:top w:val="single" w:sz="4" w:space="0" w:color="auto"/>
              <w:left w:val="single" w:sz="4" w:space="0" w:color="auto"/>
              <w:bottom w:val="single" w:sz="4" w:space="0" w:color="auto"/>
              <w:right w:val="single" w:sz="4" w:space="0" w:color="auto"/>
            </w:tcBorders>
          </w:tcPr>
          <w:p w:rsidR="00A572E2" w:rsidRPr="00C06980" w:rsidRDefault="00A572E2" w:rsidP="00E04461">
            <w:pPr>
              <w:pStyle w:val="tabletext"/>
              <w:rPr>
                <w:lang w:val="en-US" w:eastAsia="en-US"/>
              </w:rPr>
            </w:pPr>
            <w:r>
              <w:rPr>
                <w:lang w:val="en-US" w:eastAsia="en-US"/>
              </w:rPr>
              <w:t xml:space="preserve">Part 17 </w:t>
            </w:r>
            <w:r w:rsidRPr="00105CA6">
              <w:rPr>
                <w:lang w:val="en-US" w:eastAsia="en-US"/>
              </w:rPr>
              <w:t>—</w:t>
            </w:r>
            <w:r>
              <w:rPr>
                <w:lang w:val="en-US" w:eastAsia="en-US"/>
              </w:rPr>
              <w:t xml:space="preserve"> </w:t>
            </w:r>
            <w:r w:rsidRPr="00C06980">
              <w:rPr>
                <w:lang w:val="en-US" w:eastAsia="en-US"/>
              </w:rPr>
              <w:t>Correction of asterisking of references to quarter</w:t>
            </w:r>
          </w:p>
        </w:tc>
        <w:tc>
          <w:tcPr>
            <w:tcW w:w="1276" w:type="dxa"/>
            <w:tcBorders>
              <w:top w:val="single" w:sz="4" w:space="0" w:color="auto"/>
              <w:left w:val="single" w:sz="4" w:space="0" w:color="auto"/>
              <w:bottom w:val="single" w:sz="4" w:space="0" w:color="auto"/>
              <w:right w:val="single" w:sz="4" w:space="0" w:color="auto"/>
            </w:tcBorders>
          </w:tcPr>
          <w:p w:rsidR="00A572E2" w:rsidRPr="00C06980" w:rsidRDefault="00A572E2" w:rsidP="001E3884">
            <w:pPr>
              <w:pStyle w:val="tabletext"/>
              <w:rPr>
                <w:lang w:val="en-US" w:eastAsia="en-US"/>
              </w:rPr>
            </w:pPr>
            <w:r>
              <w:rPr>
                <w:lang w:val="en-US" w:eastAsia="en-US"/>
              </w:rPr>
              <w:t>5.19</w:t>
            </w:r>
          </w:p>
        </w:tc>
        <w:tc>
          <w:tcPr>
            <w:tcW w:w="1559" w:type="dxa"/>
            <w:tcBorders>
              <w:top w:val="single" w:sz="4" w:space="0" w:color="auto"/>
              <w:left w:val="single" w:sz="4" w:space="0" w:color="auto"/>
              <w:bottom w:val="single" w:sz="4" w:space="0" w:color="auto"/>
              <w:right w:val="single" w:sz="4" w:space="0" w:color="auto"/>
            </w:tcBorders>
          </w:tcPr>
          <w:p w:rsidR="00A572E2" w:rsidRPr="00497318" w:rsidRDefault="00A572E2" w:rsidP="00134C13">
            <w:pPr>
              <w:pStyle w:val="tabletext"/>
              <w:rPr>
                <w:lang w:val="en-US" w:eastAsia="en-US"/>
              </w:rPr>
            </w:pPr>
            <w:r>
              <w:rPr>
                <w:lang w:val="en-US" w:eastAsia="en-US"/>
              </w:rPr>
              <w:t>56</w:t>
            </w:r>
          </w:p>
        </w:tc>
      </w:tr>
      <w:tr w:rsidR="00A572E2" w:rsidRPr="00C06980" w:rsidTr="00A572E2">
        <w:tc>
          <w:tcPr>
            <w:tcW w:w="4820" w:type="dxa"/>
            <w:tcBorders>
              <w:top w:val="single" w:sz="4" w:space="0" w:color="auto"/>
              <w:left w:val="single" w:sz="4" w:space="0" w:color="auto"/>
              <w:bottom w:val="single" w:sz="4" w:space="0" w:color="auto"/>
              <w:right w:val="single" w:sz="4" w:space="0" w:color="auto"/>
            </w:tcBorders>
          </w:tcPr>
          <w:p w:rsidR="00A572E2" w:rsidRPr="00C06980" w:rsidRDefault="00A572E2" w:rsidP="00580A1A">
            <w:pPr>
              <w:pStyle w:val="tabletext"/>
              <w:keepNext/>
              <w:keepLines/>
              <w:rPr>
                <w:lang w:val="en-US" w:eastAsia="en-US"/>
              </w:rPr>
            </w:pPr>
            <w:r>
              <w:rPr>
                <w:lang w:val="en-US" w:eastAsia="en-US"/>
              </w:rPr>
              <w:t xml:space="preserve">Part 18 </w:t>
            </w:r>
            <w:r w:rsidRPr="00105CA6">
              <w:rPr>
                <w:lang w:val="en-US" w:eastAsia="en-US"/>
              </w:rPr>
              <w:t>—</w:t>
            </w:r>
            <w:r>
              <w:rPr>
                <w:lang w:val="en-US" w:eastAsia="en-US"/>
              </w:rPr>
              <w:t xml:space="preserve"> </w:t>
            </w:r>
            <w:r w:rsidRPr="00C06980">
              <w:rPr>
                <w:lang w:val="en-US" w:eastAsia="en-US"/>
              </w:rPr>
              <w:t>Inclusion of Commissioner’s discretion to extend main residence exemption from CGT</w:t>
            </w:r>
          </w:p>
        </w:tc>
        <w:tc>
          <w:tcPr>
            <w:tcW w:w="1276" w:type="dxa"/>
            <w:tcBorders>
              <w:top w:val="single" w:sz="4" w:space="0" w:color="auto"/>
              <w:left w:val="single" w:sz="4" w:space="0" w:color="auto"/>
              <w:bottom w:val="single" w:sz="4" w:space="0" w:color="auto"/>
              <w:right w:val="single" w:sz="4" w:space="0" w:color="auto"/>
            </w:tcBorders>
          </w:tcPr>
          <w:p w:rsidR="00A572E2" w:rsidRPr="00C06980" w:rsidRDefault="00A572E2" w:rsidP="001E3884">
            <w:pPr>
              <w:pStyle w:val="tabletext"/>
              <w:keepNext/>
              <w:keepLines/>
              <w:rPr>
                <w:lang w:val="en-US" w:eastAsia="en-US"/>
              </w:rPr>
            </w:pPr>
            <w:r>
              <w:rPr>
                <w:lang w:val="en-US" w:eastAsia="en-US"/>
              </w:rPr>
              <w:t>5.20</w:t>
            </w:r>
          </w:p>
        </w:tc>
        <w:tc>
          <w:tcPr>
            <w:tcW w:w="1559" w:type="dxa"/>
            <w:tcBorders>
              <w:top w:val="single" w:sz="4" w:space="0" w:color="auto"/>
              <w:left w:val="single" w:sz="4" w:space="0" w:color="auto"/>
              <w:bottom w:val="single" w:sz="4" w:space="0" w:color="auto"/>
              <w:right w:val="single" w:sz="4" w:space="0" w:color="auto"/>
            </w:tcBorders>
          </w:tcPr>
          <w:p w:rsidR="00A572E2" w:rsidRPr="00497318" w:rsidRDefault="00A572E2" w:rsidP="007D521D">
            <w:pPr>
              <w:pStyle w:val="tabletext"/>
              <w:rPr>
                <w:lang w:val="en-US" w:eastAsia="en-US"/>
              </w:rPr>
            </w:pPr>
            <w:r>
              <w:rPr>
                <w:lang w:val="en-US" w:eastAsia="en-US"/>
              </w:rPr>
              <w:t>56</w:t>
            </w:r>
            <w:r w:rsidR="007D521D">
              <w:rPr>
                <w:lang w:val="en-US" w:eastAsia="en-US"/>
              </w:rPr>
              <w:t xml:space="preserve"> and </w:t>
            </w:r>
            <w:r>
              <w:rPr>
                <w:lang w:val="en-US" w:eastAsia="en-US"/>
              </w:rPr>
              <w:t>57</w:t>
            </w:r>
          </w:p>
        </w:tc>
      </w:tr>
      <w:tr w:rsidR="00A572E2" w:rsidRPr="00C06980" w:rsidTr="00A572E2">
        <w:tc>
          <w:tcPr>
            <w:tcW w:w="4820" w:type="dxa"/>
            <w:tcBorders>
              <w:top w:val="single" w:sz="4" w:space="0" w:color="auto"/>
              <w:left w:val="single" w:sz="4" w:space="0" w:color="auto"/>
              <w:bottom w:val="single" w:sz="4" w:space="0" w:color="auto"/>
              <w:right w:val="single" w:sz="4" w:space="0" w:color="auto"/>
            </w:tcBorders>
          </w:tcPr>
          <w:p w:rsidR="00A572E2" w:rsidRPr="00C06980" w:rsidRDefault="00A572E2" w:rsidP="00E04461">
            <w:pPr>
              <w:pStyle w:val="tabletext"/>
              <w:rPr>
                <w:lang w:val="en-US" w:eastAsia="en-US"/>
              </w:rPr>
            </w:pPr>
            <w:r>
              <w:rPr>
                <w:lang w:val="en-US" w:eastAsia="en-US"/>
              </w:rPr>
              <w:t xml:space="preserve">Part 19 </w:t>
            </w:r>
            <w:r w:rsidRPr="00105CA6">
              <w:rPr>
                <w:lang w:val="en-US" w:eastAsia="en-US"/>
              </w:rPr>
              <w:t>—</w:t>
            </w:r>
            <w:r>
              <w:rPr>
                <w:lang w:val="en-US" w:eastAsia="en-US"/>
              </w:rPr>
              <w:t xml:space="preserve"> </w:t>
            </w:r>
            <w:r w:rsidRPr="00C06980">
              <w:rPr>
                <w:lang w:val="en-US" w:eastAsia="en-US"/>
              </w:rPr>
              <w:t>Nomination of controllers of discretionary trust</w:t>
            </w:r>
          </w:p>
        </w:tc>
        <w:tc>
          <w:tcPr>
            <w:tcW w:w="1276" w:type="dxa"/>
            <w:tcBorders>
              <w:top w:val="single" w:sz="4" w:space="0" w:color="auto"/>
              <w:left w:val="single" w:sz="4" w:space="0" w:color="auto"/>
              <w:bottom w:val="single" w:sz="4" w:space="0" w:color="auto"/>
              <w:right w:val="single" w:sz="4" w:space="0" w:color="auto"/>
            </w:tcBorders>
          </w:tcPr>
          <w:p w:rsidR="00A572E2" w:rsidRPr="00C06980" w:rsidRDefault="00A572E2" w:rsidP="001E3884">
            <w:pPr>
              <w:pStyle w:val="tabletext"/>
              <w:rPr>
                <w:lang w:val="en-US" w:eastAsia="en-US"/>
              </w:rPr>
            </w:pPr>
            <w:r>
              <w:rPr>
                <w:lang w:val="en-US" w:eastAsia="en-US"/>
              </w:rPr>
              <w:t>no table</w:t>
            </w:r>
          </w:p>
        </w:tc>
        <w:tc>
          <w:tcPr>
            <w:tcW w:w="1559" w:type="dxa"/>
            <w:tcBorders>
              <w:top w:val="single" w:sz="4" w:space="0" w:color="auto"/>
              <w:left w:val="single" w:sz="4" w:space="0" w:color="auto"/>
              <w:bottom w:val="single" w:sz="4" w:space="0" w:color="auto"/>
              <w:right w:val="single" w:sz="4" w:space="0" w:color="auto"/>
            </w:tcBorders>
          </w:tcPr>
          <w:p w:rsidR="00A572E2" w:rsidRPr="00497318" w:rsidRDefault="00A572E2" w:rsidP="00B82166">
            <w:pPr>
              <w:pStyle w:val="tabletext"/>
              <w:rPr>
                <w:lang w:val="en-US" w:eastAsia="en-US"/>
              </w:rPr>
            </w:pPr>
            <w:r>
              <w:rPr>
                <w:lang w:val="en-US" w:eastAsia="en-US"/>
              </w:rPr>
              <w:t>57</w:t>
            </w:r>
            <w:r w:rsidR="007D521D">
              <w:rPr>
                <w:lang w:val="en-US" w:eastAsia="en-US"/>
              </w:rPr>
              <w:t xml:space="preserve"> to </w:t>
            </w:r>
            <w:r>
              <w:rPr>
                <w:lang w:val="en-US" w:eastAsia="en-US"/>
              </w:rPr>
              <w:t>6</w:t>
            </w:r>
            <w:r w:rsidR="00B82166">
              <w:rPr>
                <w:lang w:val="en-US" w:eastAsia="en-US"/>
              </w:rPr>
              <w:t>1</w:t>
            </w:r>
          </w:p>
        </w:tc>
      </w:tr>
      <w:tr w:rsidR="00A572E2" w:rsidRPr="00C06980" w:rsidTr="00A572E2">
        <w:tc>
          <w:tcPr>
            <w:tcW w:w="4820" w:type="dxa"/>
            <w:tcBorders>
              <w:top w:val="single" w:sz="4" w:space="0" w:color="auto"/>
              <w:left w:val="single" w:sz="4" w:space="0" w:color="auto"/>
              <w:bottom w:val="single" w:sz="4" w:space="0" w:color="auto"/>
              <w:right w:val="single" w:sz="4" w:space="0" w:color="auto"/>
            </w:tcBorders>
          </w:tcPr>
          <w:p w:rsidR="00A572E2" w:rsidRPr="00C06980" w:rsidRDefault="00A572E2" w:rsidP="00E04461">
            <w:pPr>
              <w:pStyle w:val="tabletext"/>
              <w:rPr>
                <w:lang w:val="en-US" w:eastAsia="en-US"/>
              </w:rPr>
            </w:pPr>
            <w:r>
              <w:rPr>
                <w:lang w:val="en-US" w:eastAsia="en-US"/>
              </w:rPr>
              <w:t xml:space="preserve">Part 20 </w:t>
            </w:r>
            <w:r w:rsidRPr="00105CA6">
              <w:rPr>
                <w:lang w:val="en-US" w:eastAsia="en-US"/>
              </w:rPr>
              <w:t>—</w:t>
            </w:r>
            <w:r>
              <w:rPr>
                <w:lang w:val="en-US" w:eastAsia="en-US"/>
              </w:rPr>
              <w:t xml:space="preserve"> </w:t>
            </w:r>
            <w:r w:rsidRPr="00C06980">
              <w:rPr>
                <w:lang w:val="en-US" w:eastAsia="en-US"/>
              </w:rPr>
              <w:t xml:space="preserve">Definitions mainly relevant to Subdivision 165-F of the </w:t>
            </w:r>
            <w:r w:rsidRPr="00C77A0D">
              <w:rPr>
                <w:i/>
                <w:lang w:val="en-US" w:eastAsia="en-US"/>
              </w:rPr>
              <w:t>Income Tax Assessment Act 1997</w:t>
            </w:r>
          </w:p>
        </w:tc>
        <w:tc>
          <w:tcPr>
            <w:tcW w:w="1276" w:type="dxa"/>
            <w:tcBorders>
              <w:top w:val="single" w:sz="4" w:space="0" w:color="auto"/>
              <w:left w:val="single" w:sz="4" w:space="0" w:color="auto"/>
              <w:bottom w:val="single" w:sz="4" w:space="0" w:color="auto"/>
              <w:right w:val="single" w:sz="4" w:space="0" w:color="auto"/>
            </w:tcBorders>
          </w:tcPr>
          <w:p w:rsidR="00A572E2" w:rsidRPr="00C06980" w:rsidRDefault="00A572E2" w:rsidP="001E3884">
            <w:pPr>
              <w:pStyle w:val="tabletext"/>
              <w:rPr>
                <w:lang w:val="en-US" w:eastAsia="en-US"/>
              </w:rPr>
            </w:pPr>
            <w:r>
              <w:rPr>
                <w:lang w:val="en-US" w:eastAsia="en-US"/>
              </w:rPr>
              <w:t>5.21</w:t>
            </w:r>
          </w:p>
        </w:tc>
        <w:tc>
          <w:tcPr>
            <w:tcW w:w="1559" w:type="dxa"/>
            <w:tcBorders>
              <w:top w:val="single" w:sz="4" w:space="0" w:color="auto"/>
              <w:left w:val="single" w:sz="4" w:space="0" w:color="auto"/>
              <w:bottom w:val="single" w:sz="4" w:space="0" w:color="auto"/>
              <w:right w:val="single" w:sz="4" w:space="0" w:color="auto"/>
            </w:tcBorders>
          </w:tcPr>
          <w:p w:rsidR="00A572E2" w:rsidRPr="00497318" w:rsidRDefault="00A572E2" w:rsidP="007D521D">
            <w:pPr>
              <w:pStyle w:val="tabletext"/>
              <w:rPr>
                <w:lang w:val="en-US" w:eastAsia="en-US"/>
              </w:rPr>
            </w:pPr>
            <w:r>
              <w:rPr>
                <w:lang w:val="en-US" w:eastAsia="en-US"/>
              </w:rPr>
              <w:t>61</w:t>
            </w:r>
            <w:r w:rsidR="007D521D">
              <w:rPr>
                <w:lang w:val="en-US" w:eastAsia="en-US"/>
              </w:rPr>
              <w:t xml:space="preserve"> and </w:t>
            </w:r>
            <w:r>
              <w:rPr>
                <w:lang w:val="en-US" w:eastAsia="en-US"/>
              </w:rPr>
              <w:t>62</w:t>
            </w:r>
          </w:p>
        </w:tc>
      </w:tr>
      <w:tr w:rsidR="00A572E2" w:rsidRPr="00C06980" w:rsidTr="00A572E2">
        <w:tc>
          <w:tcPr>
            <w:tcW w:w="4820" w:type="dxa"/>
            <w:tcBorders>
              <w:top w:val="single" w:sz="4" w:space="0" w:color="auto"/>
              <w:left w:val="single" w:sz="4" w:space="0" w:color="auto"/>
              <w:bottom w:val="single" w:sz="4" w:space="0" w:color="auto"/>
              <w:right w:val="single" w:sz="4" w:space="0" w:color="auto"/>
            </w:tcBorders>
          </w:tcPr>
          <w:p w:rsidR="00A572E2" w:rsidRPr="00C06980" w:rsidRDefault="00A572E2" w:rsidP="00E04461">
            <w:pPr>
              <w:pStyle w:val="tabletext"/>
              <w:rPr>
                <w:lang w:val="en-US" w:eastAsia="en-US"/>
              </w:rPr>
            </w:pPr>
            <w:r>
              <w:rPr>
                <w:lang w:val="en-US" w:eastAsia="en-US"/>
              </w:rPr>
              <w:t xml:space="preserve">Part 21 </w:t>
            </w:r>
            <w:r w:rsidRPr="00105CA6">
              <w:rPr>
                <w:lang w:val="en-US" w:eastAsia="en-US"/>
              </w:rPr>
              <w:t>—</w:t>
            </w:r>
            <w:r>
              <w:rPr>
                <w:lang w:val="en-US" w:eastAsia="en-US"/>
              </w:rPr>
              <w:t xml:space="preserve"> </w:t>
            </w:r>
            <w:r w:rsidRPr="00C06980">
              <w:rPr>
                <w:lang w:val="en-US" w:eastAsia="en-US"/>
              </w:rPr>
              <w:t>Removal of definition from imputation provisions</w:t>
            </w:r>
          </w:p>
        </w:tc>
        <w:tc>
          <w:tcPr>
            <w:tcW w:w="1276" w:type="dxa"/>
            <w:tcBorders>
              <w:top w:val="single" w:sz="4" w:space="0" w:color="auto"/>
              <w:left w:val="single" w:sz="4" w:space="0" w:color="auto"/>
              <w:bottom w:val="single" w:sz="4" w:space="0" w:color="auto"/>
              <w:right w:val="single" w:sz="4" w:space="0" w:color="auto"/>
            </w:tcBorders>
          </w:tcPr>
          <w:p w:rsidR="00A572E2" w:rsidRPr="00C06980" w:rsidRDefault="00A572E2" w:rsidP="001E3884">
            <w:pPr>
              <w:pStyle w:val="tabletext"/>
              <w:rPr>
                <w:lang w:val="en-US" w:eastAsia="en-US"/>
              </w:rPr>
            </w:pPr>
            <w:r>
              <w:rPr>
                <w:lang w:val="en-US" w:eastAsia="en-US"/>
              </w:rPr>
              <w:t>5.22</w:t>
            </w:r>
          </w:p>
        </w:tc>
        <w:tc>
          <w:tcPr>
            <w:tcW w:w="1559" w:type="dxa"/>
            <w:tcBorders>
              <w:top w:val="single" w:sz="4" w:space="0" w:color="auto"/>
              <w:left w:val="single" w:sz="4" w:space="0" w:color="auto"/>
              <w:bottom w:val="single" w:sz="4" w:space="0" w:color="auto"/>
              <w:right w:val="single" w:sz="4" w:space="0" w:color="auto"/>
            </w:tcBorders>
          </w:tcPr>
          <w:p w:rsidR="00A572E2" w:rsidRPr="00497318" w:rsidRDefault="00A572E2" w:rsidP="00134C13">
            <w:pPr>
              <w:pStyle w:val="tabletext"/>
              <w:rPr>
                <w:lang w:val="en-US" w:eastAsia="en-US"/>
              </w:rPr>
            </w:pPr>
            <w:r>
              <w:rPr>
                <w:lang w:val="en-US" w:eastAsia="en-US"/>
              </w:rPr>
              <w:t>62</w:t>
            </w:r>
          </w:p>
        </w:tc>
      </w:tr>
      <w:tr w:rsidR="00A572E2" w:rsidRPr="00C06980" w:rsidTr="00A572E2">
        <w:tc>
          <w:tcPr>
            <w:tcW w:w="4820" w:type="dxa"/>
            <w:tcBorders>
              <w:top w:val="single" w:sz="4" w:space="0" w:color="auto"/>
              <w:left w:val="single" w:sz="4" w:space="0" w:color="auto"/>
              <w:bottom w:val="single" w:sz="4" w:space="0" w:color="auto"/>
              <w:right w:val="single" w:sz="4" w:space="0" w:color="auto"/>
            </w:tcBorders>
          </w:tcPr>
          <w:p w:rsidR="00A572E2" w:rsidRPr="00C06980" w:rsidRDefault="00A572E2" w:rsidP="00E04461">
            <w:pPr>
              <w:pStyle w:val="tabletext"/>
              <w:rPr>
                <w:lang w:val="en-US" w:eastAsia="en-US"/>
              </w:rPr>
            </w:pPr>
            <w:r>
              <w:rPr>
                <w:lang w:val="en-US" w:eastAsia="en-US"/>
              </w:rPr>
              <w:t xml:space="preserve">Part 22 </w:t>
            </w:r>
            <w:r w:rsidRPr="00105CA6">
              <w:rPr>
                <w:lang w:val="en-US" w:eastAsia="en-US"/>
              </w:rPr>
              <w:t>—</w:t>
            </w:r>
            <w:r>
              <w:rPr>
                <w:lang w:val="en-US" w:eastAsia="en-US"/>
              </w:rPr>
              <w:t xml:space="preserve"> </w:t>
            </w:r>
            <w:r w:rsidRPr="00C06980">
              <w:rPr>
                <w:lang w:val="en-US" w:eastAsia="en-US"/>
              </w:rPr>
              <w:t>Correction of outdated references to virtual PST assets</w:t>
            </w:r>
          </w:p>
        </w:tc>
        <w:tc>
          <w:tcPr>
            <w:tcW w:w="1276" w:type="dxa"/>
            <w:tcBorders>
              <w:top w:val="single" w:sz="4" w:space="0" w:color="auto"/>
              <w:left w:val="single" w:sz="4" w:space="0" w:color="auto"/>
              <w:bottom w:val="single" w:sz="4" w:space="0" w:color="auto"/>
              <w:right w:val="single" w:sz="4" w:space="0" w:color="auto"/>
            </w:tcBorders>
          </w:tcPr>
          <w:p w:rsidR="00A572E2" w:rsidRPr="00C06980" w:rsidRDefault="00A572E2" w:rsidP="001E3884">
            <w:pPr>
              <w:pStyle w:val="tabletext"/>
              <w:rPr>
                <w:lang w:val="en-US" w:eastAsia="en-US"/>
              </w:rPr>
            </w:pPr>
            <w:r>
              <w:rPr>
                <w:lang w:val="en-US" w:eastAsia="en-US"/>
              </w:rPr>
              <w:t>5.23</w:t>
            </w:r>
          </w:p>
        </w:tc>
        <w:tc>
          <w:tcPr>
            <w:tcW w:w="1559" w:type="dxa"/>
            <w:tcBorders>
              <w:top w:val="single" w:sz="4" w:space="0" w:color="auto"/>
              <w:left w:val="single" w:sz="4" w:space="0" w:color="auto"/>
              <w:bottom w:val="single" w:sz="4" w:space="0" w:color="auto"/>
              <w:right w:val="single" w:sz="4" w:space="0" w:color="auto"/>
            </w:tcBorders>
          </w:tcPr>
          <w:p w:rsidR="00A572E2" w:rsidRPr="00497318" w:rsidRDefault="00A572E2" w:rsidP="00134C13">
            <w:pPr>
              <w:pStyle w:val="tabletext"/>
              <w:rPr>
                <w:lang w:val="en-US" w:eastAsia="en-US"/>
              </w:rPr>
            </w:pPr>
            <w:r>
              <w:rPr>
                <w:lang w:val="en-US" w:eastAsia="en-US"/>
              </w:rPr>
              <w:t>63</w:t>
            </w:r>
          </w:p>
        </w:tc>
      </w:tr>
      <w:tr w:rsidR="00A572E2" w:rsidRPr="00C06980" w:rsidTr="00A572E2">
        <w:tc>
          <w:tcPr>
            <w:tcW w:w="4820" w:type="dxa"/>
            <w:tcBorders>
              <w:top w:val="single" w:sz="4" w:space="0" w:color="auto"/>
              <w:left w:val="single" w:sz="4" w:space="0" w:color="auto"/>
              <w:bottom w:val="single" w:sz="4" w:space="0" w:color="auto"/>
              <w:right w:val="single" w:sz="4" w:space="0" w:color="auto"/>
            </w:tcBorders>
          </w:tcPr>
          <w:p w:rsidR="00A572E2" w:rsidRPr="00C06980" w:rsidRDefault="00A572E2" w:rsidP="00E04461">
            <w:pPr>
              <w:pStyle w:val="tabletext"/>
              <w:rPr>
                <w:lang w:val="en-US" w:eastAsia="en-US"/>
              </w:rPr>
            </w:pPr>
            <w:r>
              <w:rPr>
                <w:lang w:val="en-US" w:eastAsia="en-US"/>
              </w:rPr>
              <w:t xml:space="preserve">Part 23 </w:t>
            </w:r>
            <w:r w:rsidRPr="00105CA6">
              <w:rPr>
                <w:lang w:val="en-US" w:eastAsia="en-US"/>
              </w:rPr>
              <w:t>—</w:t>
            </w:r>
            <w:r>
              <w:rPr>
                <w:lang w:val="en-US" w:eastAsia="en-US"/>
              </w:rPr>
              <w:t xml:space="preserve"> </w:t>
            </w:r>
            <w:r w:rsidRPr="00C06980">
              <w:rPr>
                <w:lang w:val="en-US" w:eastAsia="en-US"/>
              </w:rPr>
              <w:t>Repeal of spent provisions about land transport facilities borrowings</w:t>
            </w:r>
          </w:p>
        </w:tc>
        <w:tc>
          <w:tcPr>
            <w:tcW w:w="1276" w:type="dxa"/>
            <w:tcBorders>
              <w:top w:val="single" w:sz="4" w:space="0" w:color="auto"/>
              <w:left w:val="single" w:sz="4" w:space="0" w:color="auto"/>
              <w:bottom w:val="single" w:sz="4" w:space="0" w:color="auto"/>
              <w:right w:val="single" w:sz="4" w:space="0" w:color="auto"/>
            </w:tcBorders>
          </w:tcPr>
          <w:p w:rsidR="00A572E2" w:rsidRPr="00C06980" w:rsidRDefault="00A572E2" w:rsidP="001E3884">
            <w:pPr>
              <w:pStyle w:val="tabletext"/>
              <w:rPr>
                <w:lang w:val="en-US" w:eastAsia="en-US"/>
              </w:rPr>
            </w:pPr>
            <w:r>
              <w:rPr>
                <w:lang w:val="en-US" w:eastAsia="en-US"/>
              </w:rPr>
              <w:t>5.24</w:t>
            </w:r>
          </w:p>
        </w:tc>
        <w:tc>
          <w:tcPr>
            <w:tcW w:w="1559" w:type="dxa"/>
            <w:tcBorders>
              <w:top w:val="single" w:sz="4" w:space="0" w:color="auto"/>
              <w:left w:val="single" w:sz="4" w:space="0" w:color="auto"/>
              <w:bottom w:val="single" w:sz="4" w:space="0" w:color="auto"/>
              <w:right w:val="single" w:sz="4" w:space="0" w:color="auto"/>
            </w:tcBorders>
          </w:tcPr>
          <w:p w:rsidR="00A572E2" w:rsidRPr="00497318" w:rsidRDefault="00A572E2" w:rsidP="00134C13">
            <w:pPr>
              <w:pStyle w:val="tabletext"/>
              <w:rPr>
                <w:lang w:val="en-US" w:eastAsia="en-US"/>
              </w:rPr>
            </w:pPr>
            <w:r>
              <w:rPr>
                <w:lang w:val="en-US" w:eastAsia="en-US"/>
              </w:rPr>
              <w:t>64</w:t>
            </w:r>
          </w:p>
        </w:tc>
      </w:tr>
      <w:tr w:rsidR="00A572E2" w:rsidRPr="00C06980" w:rsidTr="00A572E2">
        <w:tc>
          <w:tcPr>
            <w:tcW w:w="4820" w:type="dxa"/>
            <w:tcBorders>
              <w:top w:val="single" w:sz="4" w:space="0" w:color="auto"/>
              <w:left w:val="single" w:sz="4" w:space="0" w:color="auto"/>
              <w:bottom w:val="single" w:sz="4" w:space="0" w:color="auto"/>
              <w:right w:val="single" w:sz="4" w:space="0" w:color="auto"/>
            </w:tcBorders>
          </w:tcPr>
          <w:p w:rsidR="00A572E2" w:rsidRPr="00C06980" w:rsidRDefault="00A572E2" w:rsidP="00E04461">
            <w:pPr>
              <w:pStyle w:val="tabletext"/>
              <w:rPr>
                <w:lang w:val="en-US" w:eastAsia="en-US"/>
              </w:rPr>
            </w:pPr>
            <w:r>
              <w:rPr>
                <w:lang w:val="en-US" w:eastAsia="en-US"/>
              </w:rPr>
              <w:t xml:space="preserve">Part 24 </w:t>
            </w:r>
            <w:r w:rsidRPr="00105CA6">
              <w:rPr>
                <w:lang w:val="en-US" w:eastAsia="en-US"/>
              </w:rPr>
              <w:t>—</w:t>
            </w:r>
            <w:r>
              <w:rPr>
                <w:lang w:val="en-US" w:eastAsia="en-US"/>
              </w:rPr>
              <w:t xml:space="preserve"> </w:t>
            </w:r>
            <w:r w:rsidRPr="00C06980">
              <w:rPr>
                <w:lang w:val="en-US" w:eastAsia="en-US"/>
              </w:rPr>
              <w:t>Prevention of double counting for direct value shifts</w:t>
            </w:r>
          </w:p>
        </w:tc>
        <w:tc>
          <w:tcPr>
            <w:tcW w:w="1276" w:type="dxa"/>
            <w:tcBorders>
              <w:top w:val="single" w:sz="4" w:space="0" w:color="auto"/>
              <w:left w:val="single" w:sz="4" w:space="0" w:color="auto"/>
              <w:bottom w:val="single" w:sz="4" w:space="0" w:color="auto"/>
              <w:right w:val="single" w:sz="4" w:space="0" w:color="auto"/>
            </w:tcBorders>
          </w:tcPr>
          <w:p w:rsidR="00A572E2" w:rsidRPr="00C06980" w:rsidRDefault="00A572E2" w:rsidP="001E3884">
            <w:pPr>
              <w:pStyle w:val="tabletext"/>
              <w:rPr>
                <w:lang w:val="en-US" w:eastAsia="en-US"/>
              </w:rPr>
            </w:pPr>
            <w:r>
              <w:rPr>
                <w:lang w:val="en-US" w:eastAsia="en-US"/>
              </w:rPr>
              <w:t>5.25</w:t>
            </w:r>
          </w:p>
        </w:tc>
        <w:tc>
          <w:tcPr>
            <w:tcW w:w="1559" w:type="dxa"/>
            <w:tcBorders>
              <w:top w:val="single" w:sz="4" w:space="0" w:color="auto"/>
              <w:left w:val="single" w:sz="4" w:space="0" w:color="auto"/>
              <w:bottom w:val="single" w:sz="4" w:space="0" w:color="auto"/>
              <w:right w:val="single" w:sz="4" w:space="0" w:color="auto"/>
            </w:tcBorders>
          </w:tcPr>
          <w:p w:rsidR="00A572E2" w:rsidRPr="00497318" w:rsidRDefault="00A572E2" w:rsidP="007D521D">
            <w:pPr>
              <w:pStyle w:val="tabletext"/>
              <w:rPr>
                <w:lang w:val="en-US" w:eastAsia="en-US"/>
              </w:rPr>
            </w:pPr>
            <w:r>
              <w:rPr>
                <w:lang w:val="en-US" w:eastAsia="en-US"/>
              </w:rPr>
              <w:t>64</w:t>
            </w:r>
            <w:r w:rsidR="007D521D">
              <w:rPr>
                <w:lang w:val="en-US" w:eastAsia="en-US"/>
              </w:rPr>
              <w:t xml:space="preserve"> and </w:t>
            </w:r>
            <w:r>
              <w:rPr>
                <w:lang w:val="en-US" w:eastAsia="en-US"/>
              </w:rPr>
              <w:t>65</w:t>
            </w:r>
          </w:p>
        </w:tc>
      </w:tr>
      <w:tr w:rsidR="00A572E2" w:rsidRPr="00C06980" w:rsidTr="00A572E2">
        <w:tc>
          <w:tcPr>
            <w:tcW w:w="4820" w:type="dxa"/>
            <w:tcBorders>
              <w:top w:val="single" w:sz="4" w:space="0" w:color="auto"/>
              <w:left w:val="single" w:sz="4" w:space="0" w:color="auto"/>
              <w:bottom w:val="single" w:sz="4" w:space="0" w:color="auto"/>
              <w:right w:val="single" w:sz="4" w:space="0" w:color="auto"/>
            </w:tcBorders>
          </w:tcPr>
          <w:p w:rsidR="00A572E2" w:rsidRPr="00C06980" w:rsidRDefault="00A572E2" w:rsidP="00E04461">
            <w:pPr>
              <w:pStyle w:val="tabletext"/>
              <w:rPr>
                <w:lang w:val="en-US" w:eastAsia="en-US"/>
              </w:rPr>
            </w:pPr>
            <w:r>
              <w:rPr>
                <w:lang w:val="en-US" w:eastAsia="en-US"/>
              </w:rPr>
              <w:t xml:space="preserve">Part 25 </w:t>
            </w:r>
            <w:r w:rsidRPr="00105CA6">
              <w:rPr>
                <w:lang w:val="en-US" w:eastAsia="en-US"/>
              </w:rPr>
              <w:t>—</w:t>
            </w:r>
            <w:r>
              <w:rPr>
                <w:lang w:val="en-US" w:eastAsia="en-US"/>
              </w:rPr>
              <w:t xml:space="preserve"> </w:t>
            </w:r>
            <w:r w:rsidRPr="00C06980">
              <w:rPr>
                <w:lang w:val="en-US" w:eastAsia="en-US"/>
              </w:rPr>
              <w:t>Ineligible income tax remission decisions</w:t>
            </w:r>
          </w:p>
        </w:tc>
        <w:tc>
          <w:tcPr>
            <w:tcW w:w="1276" w:type="dxa"/>
            <w:tcBorders>
              <w:top w:val="single" w:sz="4" w:space="0" w:color="auto"/>
              <w:left w:val="single" w:sz="4" w:space="0" w:color="auto"/>
              <w:bottom w:val="single" w:sz="4" w:space="0" w:color="auto"/>
              <w:right w:val="single" w:sz="4" w:space="0" w:color="auto"/>
            </w:tcBorders>
          </w:tcPr>
          <w:p w:rsidR="00A572E2" w:rsidRPr="00C06980" w:rsidRDefault="00A572E2" w:rsidP="001E3884">
            <w:pPr>
              <w:pStyle w:val="tabletext"/>
              <w:rPr>
                <w:lang w:val="en-US" w:eastAsia="en-US"/>
              </w:rPr>
            </w:pPr>
            <w:r>
              <w:rPr>
                <w:lang w:val="en-US" w:eastAsia="en-US"/>
              </w:rPr>
              <w:t>5.26</w:t>
            </w:r>
          </w:p>
        </w:tc>
        <w:tc>
          <w:tcPr>
            <w:tcW w:w="1559" w:type="dxa"/>
            <w:tcBorders>
              <w:top w:val="single" w:sz="4" w:space="0" w:color="auto"/>
              <w:left w:val="single" w:sz="4" w:space="0" w:color="auto"/>
              <w:bottom w:val="single" w:sz="4" w:space="0" w:color="auto"/>
              <w:right w:val="single" w:sz="4" w:space="0" w:color="auto"/>
            </w:tcBorders>
          </w:tcPr>
          <w:p w:rsidR="00A572E2" w:rsidRPr="00497318" w:rsidRDefault="00A572E2" w:rsidP="00134C13">
            <w:pPr>
              <w:pStyle w:val="tabletext"/>
              <w:rPr>
                <w:lang w:val="en-US" w:eastAsia="en-US"/>
              </w:rPr>
            </w:pPr>
            <w:r>
              <w:rPr>
                <w:lang w:val="en-US" w:eastAsia="en-US"/>
              </w:rPr>
              <w:t>65</w:t>
            </w:r>
          </w:p>
        </w:tc>
      </w:tr>
      <w:tr w:rsidR="00A572E2" w:rsidRPr="00C06980" w:rsidTr="00A572E2">
        <w:tc>
          <w:tcPr>
            <w:tcW w:w="4820" w:type="dxa"/>
            <w:tcBorders>
              <w:top w:val="single" w:sz="4" w:space="0" w:color="auto"/>
              <w:left w:val="single" w:sz="4" w:space="0" w:color="auto"/>
              <w:bottom w:val="single" w:sz="4" w:space="0" w:color="auto"/>
              <w:right w:val="single" w:sz="4" w:space="0" w:color="auto"/>
            </w:tcBorders>
          </w:tcPr>
          <w:p w:rsidR="00A572E2" w:rsidRPr="00C06980" w:rsidRDefault="00A572E2" w:rsidP="00E04461">
            <w:pPr>
              <w:pStyle w:val="tabletext"/>
              <w:rPr>
                <w:lang w:val="en-US" w:eastAsia="en-US"/>
              </w:rPr>
            </w:pPr>
            <w:r>
              <w:rPr>
                <w:lang w:val="en-US" w:eastAsia="en-US"/>
              </w:rPr>
              <w:t xml:space="preserve">Part 26 </w:t>
            </w:r>
            <w:r w:rsidRPr="00105CA6">
              <w:rPr>
                <w:lang w:val="en-US" w:eastAsia="en-US"/>
              </w:rPr>
              <w:t>—</w:t>
            </w:r>
            <w:r>
              <w:rPr>
                <w:lang w:val="en-US" w:eastAsia="en-US"/>
              </w:rPr>
              <w:t xml:space="preserve"> </w:t>
            </w:r>
            <w:r w:rsidRPr="00C06980">
              <w:rPr>
                <w:lang w:val="en-US" w:eastAsia="en-US"/>
              </w:rPr>
              <w:t>Correction of references to chains of fixed trusts</w:t>
            </w:r>
          </w:p>
        </w:tc>
        <w:tc>
          <w:tcPr>
            <w:tcW w:w="1276" w:type="dxa"/>
            <w:tcBorders>
              <w:top w:val="single" w:sz="4" w:space="0" w:color="auto"/>
              <w:left w:val="single" w:sz="4" w:space="0" w:color="auto"/>
              <w:bottom w:val="single" w:sz="4" w:space="0" w:color="auto"/>
              <w:right w:val="single" w:sz="4" w:space="0" w:color="auto"/>
            </w:tcBorders>
          </w:tcPr>
          <w:p w:rsidR="00A572E2" w:rsidRPr="00C06980" w:rsidRDefault="00A572E2" w:rsidP="001E3884">
            <w:pPr>
              <w:pStyle w:val="tabletext"/>
              <w:rPr>
                <w:lang w:val="en-US" w:eastAsia="en-US"/>
              </w:rPr>
            </w:pPr>
            <w:r>
              <w:rPr>
                <w:lang w:val="en-US" w:eastAsia="en-US"/>
              </w:rPr>
              <w:t>5.27</w:t>
            </w:r>
          </w:p>
        </w:tc>
        <w:tc>
          <w:tcPr>
            <w:tcW w:w="1559" w:type="dxa"/>
            <w:tcBorders>
              <w:top w:val="single" w:sz="4" w:space="0" w:color="auto"/>
              <w:left w:val="single" w:sz="4" w:space="0" w:color="auto"/>
              <w:bottom w:val="single" w:sz="4" w:space="0" w:color="auto"/>
              <w:right w:val="single" w:sz="4" w:space="0" w:color="auto"/>
            </w:tcBorders>
          </w:tcPr>
          <w:p w:rsidR="00A572E2" w:rsidRPr="00497318" w:rsidRDefault="00A572E2" w:rsidP="00134C13">
            <w:pPr>
              <w:pStyle w:val="tabletext"/>
              <w:rPr>
                <w:lang w:val="en-US" w:eastAsia="en-US"/>
              </w:rPr>
            </w:pPr>
            <w:r>
              <w:rPr>
                <w:lang w:val="en-US" w:eastAsia="en-US"/>
              </w:rPr>
              <w:t>66</w:t>
            </w:r>
          </w:p>
        </w:tc>
      </w:tr>
      <w:tr w:rsidR="00A572E2" w:rsidRPr="00C06980" w:rsidTr="00A572E2">
        <w:tc>
          <w:tcPr>
            <w:tcW w:w="4820" w:type="dxa"/>
            <w:tcBorders>
              <w:top w:val="single" w:sz="4" w:space="0" w:color="auto"/>
              <w:left w:val="single" w:sz="4" w:space="0" w:color="auto"/>
              <w:bottom w:val="single" w:sz="4" w:space="0" w:color="auto"/>
              <w:right w:val="single" w:sz="4" w:space="0" w:color="auto"/>
            </w:tcBorders>
          </w:tcPr>
          <w:p w:rsidR="00A572E2" w:rsidRPr="00C06980" w:rsidRDefault="00A572E2" w:rsidP="00E04461">
            <w:pPr>
              <w:pStyle w:val="tabletext"/>
              <w:rPr>
                <w:lang w:val="en-US" w:eastAsia="en-US"/>
              </w:rPr>
            </w:pPr>
            <w:r>
              <w:rPr>
                <w:lang w:val="en-US" w:eastAsia="en-US"/>
              </w:rPr>
              <w:t xml:space="preserve">Part 27 </w:t>
            </w:r>
            <w:r w:rsidRPr="00105CA6">
              <w:rPr>
                <w:lang w:val="en-US" w:eastAsia="en-US"/>
              </w:rPr>
              <w:t>—</w:t>
            </w:r>
            <w:r>
              <w:rPr>
                <w:lang w:val="en-US" w:eastAsia="en-US"/>
              </w:rPr>
              <w:t xml:space="preserve"> </w:t>
            </w:r>
            <w:r w:rsidRPr="00C06980">
              <w:rPr>
                <w:lang w:val="en-US" w:eastAsia="en-US"/>
              </w:rPr>
              <w:t>Gender-specific language</w:t>
            </w:r>
          </w:p>
        </w:tc>
        <w:tc>
          <w:tcPr>
            <w:tcW w:w="1276" w:type="dxa"/>
            <w:tcBorders>
              <w:top w:val="single" w:sz="4" w:space="0" w:color="auto"/>
              <w:left w:val="single" w:sz="4" w:space="0" w:color="auto"/>
              <w:bottom w:val="single" w:sz="4" w:space="0" w:color="auto"/>
              <w:right w:val="single" w:sz="4" w:space="0" w:color="auto"/>
            </w:tcBorders>
          </w:tcPr>
          <w:p w:rsidR="00A572E2" w:rsidRPr="00C06980" w:rsidRDefault="00A572E2" w:rsidP="001E3884">
            <w:pPr>
              <w:pStyle w:val="tabletext"/>
              <w:rPr>
                <w:lang w:val="en-US" w:eastAsia="en-US"/>
              </w:rPr>
            </w:pPr>
            <w:r>
              <w:rPr>
                <w:lang w:val="en-US" w:eastAsia="en-US"/>
              </w:rPr>
              <w:t>5.28</w:t>
            </w:r>
          </w:p>
        </w:tc>
        <w:tc>
          <w:tcPr>
            <w:tcW w:w="1559" w:type="dxa"/>
            <w:tcBorders>
              <w:top w:val="single" w:sz="4" w:space="0" w:color="auto"/>
              <w:left w:val="single" w:sz="4" w:space="0" w:color="auto"/>
              <w:bottom w:val="single" w:sz="4" w:space="0" w:color="auto"/>
              <w:right w:val="single" w:sz="4" w:space="0" w:color="auto"/>
            </w:tcBorders>
          </w:tcPr>
          <w:p w:rsidR="00A572E2" w:rsidRPr="00497318" w:rsidRDefault="00A572E2" w:rsidP="007D521D">
            <w:pPr>
              <w:pStyle w:val="tabletext"/>
              <w:rPr>
                <w:lang w:val="en-US" w:eastAsia="en-US"/>
              </w:rPr>
            </w:pPr>
            <w:r>
              <w:rPr>
                <w:lang w:val="en-US" w:eastAsia="en-US"/>
              </w:rPr>
              <w:t>66</w:t>
            </w:r>
            <w:r w:rsidR="007D521D">
              <w:rPr>
                <w:lang w:val="en-US" w:eastAsia="en-US"/>
              </w:rPr>
              <w:t xml:space="preserve"> to </w:t>
            </w:r>
            <w:r>
              <w:rPr>
                <w:lang w:val="en-US" w:eastAsia="en-US"/>
              </w:rPr>
              <w:t>69</w:t>
            </w:r>
          </w:p>
        </w:tc>
      </w:tr>
      <w:tr w:rsidR="00A572E2" w:rsidRPr="00C06980" w:rsidTr="00A572E2">
        <w:tc>
          <w:tcPr>
            <w:tcW w:w="4820" w:type="dxa"/>
            <w:tcBorders>
              <w:top w:val="single" w:sz="4" w:space="0" w:color="auto"/>
              <w:left w:val="single" w:sz="4" w:space="0" w:color="auto"/>
              <w:bottom w:val="single" w:sz="4" w:space="0" w:color="auto"/>
              <w:right w:val="single" w:sz="4" w:space="0" w:color="auto"/>
            </w:tcBorders>
          </w:tcPr>
          <w:p w:rsidR="00A572E2" w:rsidRPr="00C06980" w:rsidRDefault="00A572E2" w:rsidP="00E04461">
            <w:pPr>
              <w:pStyle w:val="tabletext"/>
              <w:rPr>
                <w:lang w:val="en-US" w:eastAsia="en-US"/>
              </w:rPr>
            </w:pPr>
            <w:r>
              <w:rPr>
                <w:lang w:val="en-US" w:eastAsia="en-US"/>
              </w:rPr>
              <w:t xml:space="preserve">Part 28 </w:t>
            </w:r>
            <w:r w:rsidRPr="00105CA6">
              <w:rPr>
                <w:lang w:val="en-US" w:eastAsia="en-US"/>
              </w:rPr>
              <w:t>—</w:t>
            </w:r>
            <w:r>
              <w:rPr>
                <w:lang w:val="en-US" w:eastAsia="en-US"/>
              </w:rPr>
              <w:t xml:space="preserve"> </w:t>
            </w:r>
            <w:r w:rsidRPr="00C06980">
              <w:rPr>
                <w:lang w:val="en-US" w:eastAsia="en-US"/>
              </w:rPr>
              <w:t>Misdescribed amendments</w:t>
            </w:r>
          </w:p>
        </w:tc>
        <w:tc>
          <w:tcPr>
            <w:tcW w:w="1276" w:type="dxa"/>
            <w:tcBorders>
              <w:top w:val="single" w:sz="4" w:space="0" w:color="auto"/>
              <w:left w:val="single" w:sz="4" w:space="0" w:color="auto"/>
              <w:bottom w:val="single" w:sz="4" w:space="0" w:color="auto"/>
              <w:right w:val="single" w:sz="4" w:space="0" w:color="auto"/>
            </w:tcBorders>
          </w:tcPr>
          <w:p w:rsidR="00A572E2" w:rsidRPr="00C06980" w:rsidRDefault="00A572E2" w:rsidP="007D521D">
            <w:pPr>
              <w:pStyle w:val="tabletext"/>
              <w:rPr>
                <w:lang w:val="en-US" w:eastAsia="en-US"/>
              </w:rPr>
            </w:pPr>
            <w:r>
              <w:rPr>
                <w:lang w:val="en-US" w:eastAsia="en-US"/>
              </w:rPr>
              <w:t>5.29</w:t>
            </w:r>
            <w:r w:rsidR="007D521D">
              <w:rPr>
                <w:lang w:val="en-US" w:eastAsia="en-US"/>
              </w:rPr>
              <w:t xml:space="preserve"> and 5.30</w:t>
            </w:r>
          </w:p>
        </w:tc>
        <w:tc>
          <w:tcPr>
            <w:tcW w:w="1559" w:type="dxa"/>
            <w:tcBorders>
              <w:top w:val="single" w:sz="4" w:space="0" w:color="auto"/>
              <w:left w:val="single" w:sz="4" w:space="0" w:color="auto"/>
              <w:bottom w:val="single" w:sz="4" w:space="0" w:color="auto"/>
              <w:right w:val="single" w:sz="4" w:space="0" w:color="auto"/>
            </w:tcBorders>
          </w:tcPr>
          <w:p w:rsidR="00A572E2" w:rsidRPr="00497318" w:rsidRDefault="00A572E2" w:rsidP="00134C13">
            <w:pPr>
              <w:pStyle w:val="tabletext"/>
              <w:rPr>
                <w:lang w:val="en-US" w:eastAsia="en-US"/>
              </w:rPr>
            </w:pPr>
            <w:r>
              <w:rPr>
                <w:lang w:val="en-US" w:eastAsia="en-US"/>
              </w:rPr>
              <w:t>70</w:t>
            </w:r>
          </w:p>
        </w:tc>
      </w:tr>
      <w:tr w:rsidR="00A572E2" w:rsidRPr="00C06980" w:rsidTr="00A572E2">
        <w:tc>
          <w:tcPr>
            <w:tcW w:w="4820" w:type="dxa"/>
            <w:tcBorders>
              <w:top w:val="single" w:sz="4" w:space="0" w:color="auto"/>
              <w:left w:val="single" w:sz="4" w:space="0" w:color="auto"/>
              <w:bottom w:val="single" w:sz="4" w:space="0" w:color="auto"/>
              <w:right w:val="single" w:sz="4" w:space="0" w:color="auto"/>
            </w:tcBorders>
          </w:tcPr>
          <w:p w:rsidR="00A572E2" w:rsidRPr="00C06980" w:rsidRDefault="00A572E2" w:rsidP="00E04461">
            <w:pPr>
              <w:pStyle w:val="tabletext"/>
              <w:rPr>
                <w:lang w:val="en-US" w:eastAsia="en-US"/>
              </w:rPr>
            </w:pPr>
            <w:r>
              <w:rPr>
                <w:lang w:val="en-US" w:eastAsia="en-US"/>
              </w:rPr>
              <w:lastRenderedPageBreak/>
              <w:t xml:space="preserve">Part 29 </w:t>
            </w:r>
            <w:r w:rsidRPr="00105CA6">
              <w:rPr>
                <w:lang w:val="en-US" w:eastAsia="en-US"/>
              </w:rPr>
              <w:t>—</w:t>
            </w:r>
            <w:r>
              <w:rPr>
                <w:lang w:val="en-US" w:eastAsia="en-US"/>
              </w:rPr>
              <w:t xml:space="preserve"> </w:t>
            </w:r>
            <w:r w:rsidRPr="00C06980">
              <w:rPr>
                <w:lang w:val="en-US" w:eastAsia="en-US"/>
              </w:rPr>
              <w:t>References to Schedules</w:t>
            </w:r>
          </w:p>
        </w:tc>
        <w:tc>
          <w:tcPr>
            <w:tcW w:w="1276" w:type="dxa"/>
            <w:tcBorders>
              <w:top w:val="single" w:sz="4" w:space="0" w:color="auto"/>
              <w:left w:val="single" w:sz="4" w:space="0" w:color="auto"/>
              <w:bottom w:val="single" w:sz="4" w:space="0" w:color="auto"/>
              <w:right w:val="single" w:sz="4" w:space="0" w:color="auto"/>
            </w:tcBorders>
          </w:tcPr>
          <w:p w:rsidR="00A572E2" w:rsidRPr="00C06980" w:rsidRDefault="00A572E2" w:rsidP="007D521D">
            <w:pPr>
              <w:pStyle w:val="tabletext"/>
              <w:rPr>
                <w:lang w:val="en-US" w:eastAsia="en-US"/>
              </w:rPr>
            </w:pPr>
            <w:r>
              <w:rPr>
                <w:lang w:val="en-US" w:eastAsia="en-US"/>
              </w:rPr>
              <w:t>5.31</w:t>
            </w:r>
            <w:r w:rsidR="007D521D">
              <w:rPr>
                <w:lang w:val="en-US" w:eastAsia="en-US"/>
              </w:rPr>
              <w:t xml:space="preserve"> to 5.</w:t>
            </w:r>
            <w:r>
              <w:rPr>
                <w:lang w:val="en-US" w:eastAsia="en-US"/>
              </w:rPr>
              <w:t>37</w:t>
            </w:r>
          </w:p>
        </w:tc>
        <w:tc>
          <w:tcPr>
            <w:tcW w:w="1559" w:type="dxa"/>
            <w:tcBorders>
              <w:top w:val="single" w:sz="4" w:space="0" w:color="auto"/>
              <w:left w:val="single" w:sz="4" w:space="0" w:color="auto"/>
              <w:bottom w:val="single" w:sz="4" w:space="0" w:color="auto"/>
              <w:right w:val="single" w:sz="4" w:space="0" w:color="auto"/>
            </w:tcBorders>
          </w:tcPr>
          <w:p w:rsidR="00A572E2" w:rsidRPr="00497318" w:rsidRDefault="00A572E2" w:rsidP="007D521D">
            <w:pPr>
              <w:pStyle w:val="tabletext"/>
              <w:rPr>
                <w:lang w:val="en-US" w:eastAsia="en-US"/>
              </w:rPr>
            </w:pPr>
            <w:r>
              <w:rPr>
                <w:lang w:val="en-US" w:eastAsia="en-US"/>
              </w:rPr>
              <w:t>70</w:t>
            </w:r>
            <w:r w:rsidR="007D521D">
              <w:rPr>
                <w:lang w:val="en-US" w:eastAsia="en-US"/>
              </w:rPr>
              <w:t xml:space="preserve"> to </w:t>
            </w:r>
            <w:r>
              <w:rPr>
                <w:lang w:val="en-US" w:eastAsia="en-US"/>
              </w:rPr>
              <w:t>73</w:t>
            </w:r>
          </w:p>
        </w:tc>
      </w:tr>
      <w:tr w:rsidR="00A572E2" w:rsidRPr="00C06980" w:rsidTr="00A572E2">
        <w:tc>
          <w:tcPr>
            <w:tcW w:w="4820" w:type="dxa"/>
            <w:tcBorders>
              <w:top w:val="single" w:sz="4" w:space="0" w:color="auto"/>
              <w:left w:val="single" w:sz="4" w:space="0" w:color="auto"/>
              <w:bottom w:val="single" w:sz="4" w:space="0" w:color="auto"/>
              <w:right w:val="single" w:sz="4" w:space="0" w:color="auto"/>
            </w:tcBorders>
          </w:tcPr>
          <w:p w:rsidR="00A572E2" w:rsidRPr="00C06980" w:rsidRDefault="00A572E2" w:rsidP="00E04461">
            <w:pPr>
              <w:pStyle w:val="tabletext"/>
              <w:rPr>
                <w:lang w:val="en-US" w:eastAsia="en-US"/>
              </w:rPr>
            </w:pPr>
            <w:r>
              <w:rPr>
                <w:lang w:val="en-US" w:eastAsia="en-US"/>
              </w:rPr>
              <w:t xml:space="preserve">Part 30 </w:t>
            </w:r>
            <w:r w:rsidRPr="00105CA6">
              <w:rPr>
                <w:lang w:val="en-US" w:eastAsia="en-US"/>
              </w:rPr>
              <w:t>—</w:t>
            </w:r>
            <w:r>
              <w:rPr>
                <w:lang w:val="en-US" w:eastAsia="en-US"/>
              </w:rPr>
              <w:t xml:space="preserve"> </w:t>
            </w:r>
            <w:r w:rsidRPr="00C06980">
              <w:rPr>
                <w:lang w:val="en-US" w:eastAsia="en-US"/>
              </w:rPr>
              <w:t>References to taxation laws</w:t>
            </w:r>
          </w:p>
        </w:tc>
        <w:tc>
          <w:tcPr>
            <w:tcW w:w="1276" w:type="dxa"/>
            <w:tcBorders>
              <w:top w:val="single" w:sz="4" w:space="0" w:color="auto"/>
              <w:left w:val="single" w:sz="4" w:space="0" w:color="auto"/>
              <w:bottom w:val="single" w:sz="4" w:space="0" w:color="auto"/>
              <w:right w:val="single" w:sz="4" w:space="0" w:color="auto"/>
            </w:tcBorders>
          </w:tcPr>
          <w:p w:rsidR="00A572E2" w:rsidRPr="00C06980" w:rsidRDefault="00A572E2" w:rsidP="007D521D">
            <w:pPr>
              <w:pStyle w:val="tabletext"/>
              <w:rPr>
                <w:lang w:val="en-US" w:eastAsia="en-US"/>
              </w:rPr>
            </w:pPr>
            <w:r>
              <w:rPr>
                <w:lang w:val="en-US" w:eastAsia="en-US"/>
              </w:rPr>
              <w:t>5.38</w:t>
            </w:r>
            <w:r w:rsidR="007D521D">
              <w:rPr>
                <w:lang w:val="en-US" w:eastAsia="en-US"/>
              </w:rPr>
              <w:t xml:space="preserve"> and </w:t>
            </w:r>
            <w:r>
              <w:rPr>
                <w:lang w:val="en-US" w:eastAsia="en-US"/>
              </w:rPr>
              <w:t>5.39</w:t>
            </w:r>
          </w:p>
        </w:tc>
        <w:tc>
          <w:tcPr>
            <w:tcW w:w="1559" w:type="dxa"/>
            <w:tcBorders>
              <w:top w:val="single" w:sz="4" w:space="0" w:color="auto"/>
              <w:left w:val="single" w:sz="4" w:space="0" w:color="auto"/>
              <w:bottom w:val="single" w:sz="4" w:space="0" w:color="auto"/>
              <w:right w:val="single" w:sz="4" w:space="0" w:color="auto"/>
            </w:tcBorders>
          </w:tcPr>
          <w:p w:rsidR="00A572E2" w:rsidRPr="00497318" w:rsidRDefault="00A572E2" w:rsidP="007D521D">
            <w:pPr>
              <w:pStyle w:val="tabletext"/>
              <w:rPr>
                <w:lang w:val="en-US" w:eastAsia="en-US"/>
              </w:rPr>
            </w:pPr>
            <w:r>
              <w:rPr>
                <w:lang w:val="en-US" w:eastAsia="en-US"/>
              </w:rPr>
              <w:t>73</w:t>
            </w:r>
            <w:r w:rsidR="007D521D">
              <w:rPr>
                <w:lang w:val="en-US" w:eastAsia="en-US"/>
              </w:rPr>
              <w:t xml:space="preserve"> and </w:t>
            </w:r>
            <w:r>
              <w:rPr>
                <w:lang w:val="en-US" w:eastAsia="en-US"/>
              </w:rPr>
              <w:t>74</w:t>
            </w:r>
          </w:p>
        </w:tc>
      </w:tr>
      <w:tr w:rsidR="00A572E2" w:rsidRPr="00C06980" w:rsidTr="00A572E2">
        <w:tc>
          <w:tcPr>
            <w:tcW w:w="4820" w:type="dxa"/>
            <w:tcBorders>
              <w:top w:val="single" w:sz="4" w:space="0" w:color="auto"/>
              <w:left w:val="single" w:sz="4" w:space="0" w:color="auto"/>
              <w:bottom w:val="single" w:sz="4" w:space="0" w:color="auto"/>
              <w:right w:val="single" w:sz="4" w:space="0" w:color="auto"/>
            </w:tcBorders>
          </w:tcPr>
          <w:p w:rsidR="00A572E2" w:rsidRPr="00C06980" w:rsidRDefault="00A572E2" w:rsidP="00E04461">
            <w:pPr>
              <w:pStyle w:val="tabletext"/>
              <w:rPr>
                <w:lang w:val="en-US" w:eastAsia="en-US"/>
              </w:rPr>
            </w:pPr>
            <w:r>
              <w:rPr>
                <w:lang w:val="en-US" w:eastAsia="en-US"/>
              </w:rPr>
              <w:t xml:space="preserve">Part 31 </w:t>
            </w:r>
            <w:r w:rsidRPr="00105CA6">
              <w:rPr>
                <w:lang w:val="en-US" w:eastAsia="en-US"/>
              </w:rPr>
              <w:t>—</w:t>
            </w:r>
            <w:r>
              <w:rPr>
                <w:lang w:val="en-US" w:eastAsia="en-US"/>
              </w:rPr>
              <w:t xml:space="preserve"> </w:t>
            </w:r>
            <w:r w:rsidRPr="00C06980">
              <w:rPr>
                <w:lang w:val="en-US" w:eastAsia="en-US"/>
              </w:rPr>
              <w:t>Other amendments</w:t>
            </w:r>
          </w:p>
        </w:tc>
        <w:tc>
          <w:tcPr>
            <w:tcW w:w="1276" w:type="dxa"/>
            <w:tcBorders>
              <w:top w:val="single" w:sz="4" w:space="0" w:color="auto"/>
              <w:left w:val="single" w:sz="4" w:space="0" w:color="auto"/>
              <w:bottom w:val="single" w:sz="4" w:space="0" w:color="auto"/>
              <w:right w:val="single" w:sz="4" w:space="0" w:color="auto"/>
            </w:tcBorders>
          </w:tcPr>
          <w:p w:rsidR="00A572E2" w:rsidRPr="00C06980" w:rsidRDefault="00A572E2" w:rsidP="007D521D">
            <w:pPr>
              <w:pStyle w:val="tabletext"/>
              <w:rPr>
                <w:lang w:val="en-US" w:eastAsia="en-US"/>
              </w:rPr>
            </w:pPr>
            <w:r>
              <w:rPr>
                <w:lang w:val="en-US" w:eastAsia="en-US"/>
              </w:rPr>
              <w:t>5.40</w:t>
            </w:r>
            <w:r w:rsidR="007D521D">
              <w:rPr>
                <w:lang w:val="en-US" w:eastAsia="en-US"/>
              </w:rPr>
              <w:t xml:space="preserve"> to </w:t>
            </w:r>
            <w:r>
              <w:rPr>
                <w:lang w:val="en-US" w:eastAsia="en-US"/>
              </w:rPr>
              <w:t>5.46</w:t>
            </w:r>
          </w:p>
        </w:tc>
        <w:tc>
          <w:tcPr>
            <w:tcW w:w="1559" w:type="dxa"/>
            <w:tcBorders>
              <w:top w:val="single" w:sz="4" w:space="0" w:color="auto"/>
              <w:left w:val="single" w:sz="4" w:space="0" w:color="auto"/>
              <w:bottom w:val="single" w:sz="4" w:space="0" w:color="auto"/>
              <w:right w:val="single" w:sz="4" w:space="0" w:color="auto"/>
            </w:tcBorders>
          </w:tcPr>
          <w:p w:rsidR="00A572E2" w:rsidRPr="00497318" w:rsidRDefault="00A572E2" w:rsidP="007D521D">
            <w:pPr>
              <w:pStyle w:val="tabletext"/>
              <w:rPr>
                <w:lang w:val="en-US" w:eastAsia="en-US"/>
              </w:rPr>
            </w:pPr>
            <w:r>
              <w:rPr>
                <w:lang w:val="en-US" w:eastAsia="en-US"/>
              </w:rPr>
              <w:t>74</w:t>
            </w:r>
            <w:r w:rsidR="007D521D">
              <w:rPr>
                <w:lang w:val="en-US" w:eastAsia="en-US"/>
              </w:rPr>
              <w:t xml:space="preserve"> to </w:t>
            </w:r>
            <w:r>
              <w:rPr>
                <w:lang w:val="en-US" w:eastAsia="en-US"/>
              </w:rPr>
              <w:t>76</w:t>
            </w:r>
          </w:p>
        </w:tc>
      </w:tr>
    </w:tbl>
    <w:p w:rsidR="00393F09" w:rsidRDefault="00393F09" w:rsidP="00393F09"/>
    <w:p w:rsidR="00393F09" w:rsidRPr="00393F09" w:rsidRDefault="00393F09" w:rsidP="00393F09">
      <w:pPr>
        <w:sectPr w:rsidR="00393F09" w:rsidRPr="00393F09" w:rsidSect="007D3360">
          <w:headerReference w:type="default" r:id="rId53"/>
          <w:headerReference w:type="first" r:id="rId54"/>
          <w:type w:val="oddPage"/>
          <w:pgSz w:w="11906" w:h="16838" w:code="9"/>
          <w:pgMar w:top="2466" w:right="2098" w:bottom="2466" w:left="2098" w:header="1559" w:footer="1899" w:gutter="0"/>
          <w:cols w:space="708"/>
          <w:titlePg/>
          <w:docGrid w:linePitch="360"/>
        </w:sectPr>
      </w:pPr>
    </w:p>
    <w:p w:rsidR="00325E95" w:rsidRPr="00C404F8" w:rsidRDefault="00325E95" w:rsidP="00C77A0D"/>
    <w:sectPr w:rsidR="00325E95" w:rsidRPr="00C404F8" w:rsidSect="007D3360">
      <w:type w:val="oddPage"/>
      <w:pgSz w:w="11906" w:h="16838" w:code="9"/>
      <w:pgMar w:top="2466" w:right="2098" w:bottom="2466" w:left="2098" w:header="1559" w:footer="189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884" w:rsidRDefault="001E3884">
      <w:r>
        <w:separator/>
      </w:r>
    </w:p>
  </w:endnote>
  <w:endnote w:type="continuationSeparator" w:id="0">
    <w:p w:rsidR="001E3884" w:rsidRDefault="001E38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84" w:rsidRDefault="001970F4" w:rsidP="00483461">
    <w:pPr>
      <w:pStyle w:val="leftfooter"/>
    </w:pPr>
    <w:fldSimple w:instr=" PAGE   \* MERGEFORMAT ">
      <w:r w:rsidR="001E3884">
        <w:rPr>
          <w:noProof/>
        </w:rPr>
        <w:t>4</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84" w:rsidRDefault="001970F4" w:rsidP="00156D97">
    <w:pPr>
      <w:pStyle w:val="rightfooter"/>
    </w:pPr>
    <w:fldSimple w:instr=" PAGE   \* MERGEFORMAT ">
      <w:r w:rsidR="007044BA">
        <w:rPr>
          <w:noProof/>
        </w:rPr>
        <w:t>5</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84" w:rsidRDefault="001970F4" w:rsidP="00156D97">
    <w:pPr>
      <w:pStyle w:val="rightfooter"/>
    </w:pPr>
    <w:fldSimple w:instr=" PAGE  \* Arabic  \* MERGEFORMAT ">
      <w:r w:rsidR="007044BA">
        <w:rPr>
          <w:noProof/>
        </w:rPr>
        <w:t>2</w:t>
      </w:r>
    </w:fldSimple>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84" w:rsidRDefault="001970F4" w:rsidP="00483461">
    <w:pPr>
      <w:pStyle w:val="leftfooter"/>
    </w:pPr>
    <w:fldSimple w:instr=" PAGE   \* MERGEFORMAT ">
      <w:r w:rsidR="007044BA">
        <w:rPr>
          <w:noProof/>
        </w:rPr>
        <w:t>8</w:t>
      </w:r>
    </w:fldSimple>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84" w:rsidRDefault="001970F4" w:rsidP="00483461">
    <w:pPr>
      <w:pStyle w:val="rightfooter"/>
    </w:pPr>
    <w:fldSimple w:instr=" PAGE   \* MERGEFORMAT ">
      <w:r w:rsidR="007044BA">
        <w:rPr>
          <w:noProof/>
        </w:rPr>
        <w:t>9</w:t>
      </w:r>
    </w:fldSimple>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84" w:rsidRDefault="001970F4" w:rsidP="00483461">
    <w:pPr>
      <w:pStyle w:val="rightfooter"/>
    </w:pPr>
    <w:fldSimple w:instr=" PAGE  \* Arabic  \* MERGEFORMAT ">
      <w:r w:rsidR="007044BA">
        <w:rPr>
          <w:noProof/>
        </w:rPr>
        <w:t>7</w:t>
      </w:r>
    </w:fldSimple>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84" w:rsidRDefault="001970F4" w:rsidP="005A76CC">
    <w:pPr>
      <w:pStyle w:val="leftfooter"/>
    </w:pPr>
    <w:fldSimple w:instr=" PAGE   \* MERGEFORMAT ">
      <w:r w:rsidR="007044BA">
        <w:rPr>
          <w:noProof/>
        </w:rPr>
        <w:t>16</w:t>
      </w:r>
    </w:fldSimple>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84" w:rsidRDefault="001970F4" w:rsidP="005A76CC">
    <w:pPr>
      <w:pStyle w:val="rightfooter"/>
    </w:pPr>
    <w:fldSimple w:instr=" PAGE   \* MERGEFORMAT ">
      <w:r w:rsidR="007044BA">
        <w:rPr>
          <w:noProof/>
        </w:rPr>
        <w:t>15</w:t>
      </w:r>
    </w:fldSimple>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84" w:rsidRDefault="001970F4" w:rsidP="005A76CC">
    <w:pPr>
      <w:pStyle w:val="rightfooter"/>
    </w:pPr>
    <w:fldSimple w:instr=" PAGE  \* Arabic  \* MERGEFORMAT ">
      <w:r w:rsidR="007044BA">
        <w:rPr>
          <w:noProof/>
        </w:rPr>
        <w:t>11</w:t>
      </w:r>
    </w:fldSimple>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84" w:rsidRDefault="001970F4" w:rsidP="00483461">
    <w:pPr>
      <w:pStyle w:val="leftfooter"/>
    </w:pPr>
    <w:fldSimple w:instr=" PAGE   \* MERGEFORMAT ">
      <w:r w:rsidR="007044BA">
        <w:rPr>
          <w:noProof/>
        </w:rPr>
        <w:t>22</w:t>
      </w:r>
    </w:fldSimple>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84" w:rsidRDefault="001970F4" w:rsidP="00483461">
    <w:pPr>
      <w:pStyle w:val="rightfooter"/>
    </w:pPr>
    <w:fldSimple w:instr=" PAGE   \* MERGEFORMAT ">
      <w:r w:rsidR="007044BA">
        <w:rPr>
          <w:noProof/>
        </w:rPr>
        <w:t>23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84" w:rsidRDefault="001970F4" w:rsidP="00483461">
    <w:pPr>
      <w:pStyle w:val="rightfooter"/>
    </w:pPr>
    <w:fldSimple w:instr=" PAGE   \* MERGEFORMAT ">
      <w:r w:rsidR="001E3884">
        <w:rPr>
          <w:noProof/>
        </w:rPr>
        <w:t>5</w:t>
      </w:r>
    </w:fldSimple>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84" w:rsidRDefault="001970F4" w:rsidP="00483461">
    <w:pPr>
      <w:pStyle w:val="rightfooter"/>
    </w:pPr>
    <w:fldSimple w:instr=" PAGE  \* Arabic  \* MERGEFORMAT ">
      <w:r w:rsidR="007044BA">
        <w:rPr>
          <w:noProof/>
        </w:rPr>
        <w:t>17</w:t>
      </w:r>
    </w:fldSimple>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84" w:rsidRDefault="001970F4" w:rsidP="00483461">
    <w:pPr>
      <w:pStyle w:val="leftfooter"/>
    </w:pPr>
    <w:fldSimple w:instr=" PAGE   \* MERGEFORMAT ">
      <w:r w:rsidR="007044BA">
        <w:rPr>
          <w:noProof/>
        </w:rPr>
        <w:t>34</w:t>
      </w:r>
    </w:fldSimple>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84" w:rsidRDefault="001970F4" w:rsidP="00483461">
    <w:pPr>
      <w:pStyle w:val="rightfooter"/>
    </w:pPr>
    <w:fldSimple w:instr=" PAGE   \* MERGEFORMAT ">
      <w:r w:rsidR="007044BA">
        <w:rPr>
          <w:noProof/>
        </w:rPr>
        <w:t>35</w:t>
      </w:r>
    </w:fldSimple>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84" w:rsidRDefault="001970F4" w:rsidP="00483461">
    <w:pPr>
      <w:pStyle w:val="rightfooter"/>
    </w:pPr>
    <w:fldSimple w:instr=" PAGE  \* Arabic  \* MERGEFORMAT ">
      <w:r w:rsidR="007044BA">
        <w:rPr>
          <w:noProof/>
        </w:rPr>
        <w:t>25</w:t>
      </w:r>
    </w:fldSimple>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84" w:rsidRDefault="001970F4" w:rsidP="005A76CC">
    <w:pPr>
      <w:pStyle w:val="leftfooter"/>
    </w:pPr>
    <w:fldSimple w:instr=" PAGE   \* MERGEFORMAT ">
      <w:r w:rsidR="007044BA">
        <w:rPr>
          <w:noProof/>
        </w:rPr>
        <w:t>80</w:t>
      </w:r>
    </w:fldSimple>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84" w:rsidRDefault="001970F4" w:rsidP="005A76CC">
    <w:pPr>
      <w:pStyle w:val="rightfooter"/>
    </w:pPr>
    <w:fldSimple w:instr=" PAGE   \* MERGEFORMAT ">
      <w:r w:rsidR="007044BA">
        <w:rPr>
          <w:noProof/>
        </w:rPr>
        <w:t>79</w:t>
      </w:r>
    </w:fldSimple>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84" w:rsidRDefault="001970F4" w:rsidP="005A76CC">
    <w:pPr>
      <w:pStyle w:val="rightfooter"/>
    </w:pPr>
    <w:fldSimple w:instr=" PAGE  \* Arabic  \* MERGEFORMAT ">
      <w:r w:rsidR="007044BA">
        <w:rPr>
          <w:noProof/>
        </w:rPr>
        <w:t>81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84" w:rsidRDefault="001970F4" w:rsidP="00483461">
    <w:pPr>
      <w:pStyle w:val="leftfooter"/>
    </w:pPr>
    <w:fldSimple w:instr=" PAGE   \* MERGEFORMAT ">
      <w:r w:rsidR="001E3884">
        <w:rPr>
          <w:noProof/>
        </w:rPr>
        <w:t>4</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84" w:rsidRDefault="001970F4" w:rsidP="00483461">
    <w:pPr>
      <w:pStyle w:val="rightfooter"/>
    </w:pPr>
    <w:fldSimple w:instr=" PAGE   \* MERGEFORMAT ">
      <w:r w:rsidR="001E3884">
        <w:rPr>
          <w:noProof/>
        </w:rPr>
        <w:t>5</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84" w:rsidRPr="00B2068E" w:rsidRDefault="001E3884" w:rsidP="0048346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84" w:rsidRDefault="001970F4" w:rsidP="00483461">
    <w:pPr>
      <w:pStyle w:val="leftfooter"/>
    </w:pPr>
    <w:fldSimple w:instr=" PAGE   \* MERGEFORMAT ">
      <w:r w:rsidR="001E3884">
        <w:rPr>
          <w:noProof/>
        </w:rPr>
        <w:t>2</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84" w:rsidRDefault="001970F4" w:rsidP="00483461">
    <w:pPr>
      <w:pStyle w:val="rightfooter"/>
    </w:pPr>
    <w:fldSimple w:instr=" PAGE   \* MERGEFORMAT ">
      <w:r w:rsidR="001E3884">
        <w:rPr>
          <w:noProof/>
        </w:rPr>
        <w:t>3</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84" w:rsidRDefault="001970F4" w:rsidP="00483461">
    <w:pPr>
      <w:pStyle w:val="rightfooter"/>
    </w:pPr>
    <w:fldSimple w:instr=" PAGE  \* Arabic  \* MERGEFORMAT ">
      <w:r w:rsidR="007044BA">
        <w:rPr>
          <w:noProof/>
        </w:rPr>
        <w:t>1</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84" w:rsidRDefault="001970F4" w:rsidP="00156D97">
    <w:pPr>
      <w:pStyle w:val="leftfooter"/>
    </w:pPr>
    <w:fldSimple w:instr=" PAGE   \* MERGEFORMAT ">
      <w:r w:rsidR="007044BA">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884" w:rsidRDefault="001E3884">
      <w:r>
        <w:separator/>
      </w:r>
    </w:p>
  </w:footnote>
  <w:footnote w:type="continuationSeparator" w:id="0">
    <w:p w:rsidR="001E3884" w:rsidRDefault="001E38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84" w:rsidRDefault="001970F4" w:rsidP="00483461">
    <w:pPr>
      <w:pStyle w:val="leftheader"/>
    </w:pPr>
    <w:r>
      <w:fldChar w:fldCharType="begin"/>
    </w:r>
    <w:r w:rsidR="001E3884">
      <w:instrText xml:space="preserve"> macrobutton nomacro [Click here and insert the name of the Bill] </w:instrText>
    </w:r>
    <w: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84" w:rsidRDefault="001E3884" w:rsidP="00483461">
    <w:pPr>
      <w:pStyle w:val="leftheader"/>
    </w:pPr>
    <w:r>
      <w:t>Tax Laws Amendment (2011 Measures No. 2) Bill 2011</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84" w:rsidRDefault="001E3884" w:rsidP="00483461">
    <w:pPr>
      <w:pStyle w:val="rightheader"/>
    </w:pPr>
    <w:r>
      <w:t>Deductible gift recipients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84" w:rsidRDefault="001E3884" w:rsidP="005A76CC">
    <w:pPr>
      <w:pStyle w:val="leftheader"/>
    </w:pPr>
    <w:r>
      <w:t>Tax Laws Amendment (2011 Measures No. 2) Bill 2011</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84" w:rsidRDefault="001E3884" w:rsidP="005A76CC">
    <w:pPr>
      <w:pStyle w:val="rightheader"/>
    </w:pPr>
    <w:r>
      <w:t>Self managed superannuation fund investment in collectables and personal use assets</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84" w:rsidRDefault="001E3884" w:rsidP="00483461">
    <w:pPr>
      <w:pStyle w:val="leftheader"/>
    </w:pPr>
    <w:r>
      <w:t>Tax Laws Amendment (2011 Measures No. 2) Bill 2011</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84" w:rsidRDefault="001E3884" w:rsidP="00483461">
    <w:pPr>
      <w:pStyle w:val="rightheader"/>
    </w:pPr>
    <w:r>
      <w:t>Superannuation — tax file number amendments</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84" w:rsidRDefault="001E3884" w:rsidP="00483461">
    <w:pPr>
      <w:pStyle w:val="leftheader"/>
    </w:pPr>
    <w:r>
      <w:t>Tax Laws Amendment (2011 Measures No. 2) Bill 2011</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84" w:rsidRDefault="001E3884" w:rsidP="00483461">
    <w:pPr>
      <w:pStyle w:val="rightheader"/>
    </w:pPr>
    <w:r w:rsidRPr="00474FA0">
      <w:t xml:space="preserve">Exempting Australian taxes, fees and charges from the </w:t>
    </w:r>
    <w:r>
      <w:t xml:space="preserve">goods and services tax </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84" w:rsidRDefault="001E3884" w:rsidP="005A76CC">
    <w:pPr>
      <w:pStyle w:val="leftheader"/>
    </w:pPr>
    <w:r>
      <w:t>Tax Laws Amendment (2011 Measures No. 2) Bill 2011</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84" w:rsidRDefault="001E3884" w:rsidP="005A76CC">
    <w:pPr>
      <w:pStyle w:val="rightheader"/>
    </w:pPr>
    <w:r>
      <w:t>Miscellaneous amendments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84" w:rsidRDefault="001970F4" w:rsidP="00483461">
    <w:pPr>
      <w:pStyle w:val="rightheader"/>
    </w:pPr>
    <w:r>
      <w:fldChar w:fldCharType="begin"/>
    </w:r>
    <w:r w:rsidR="001E3884">
      <w:instrText xml:space="preserve"> macrobutton nomacro [Click here and enter the name of the Chapter </w:instrText>
    </w:r>
    <w:r>
      <w:fldChar w:fldCharType="end"/>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84" w:rsidRDefault="001E3884" w:rsidP="005A76CC">
    <w:pPr>
      <w:pStyle w:val="rightheader"/>
    </w:pPr>
    <w:r>
      <w:t>Index</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84" w:rsidRDefault="001E38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84" w:rsidRDefault="001970F4" w:rsidP="00483461">
    <w:pPr>
      <w:pStyle w:val="leftheader"/>
    </w:pPr>
    <w:r>
      <w:fldChar w:fldCharType="begin"/>
    </w:r>
    <w:r w:rsidR="001E3884">
      <w:instrText xml:space="preserve"> macrobutton nomacro [Click here and insert the name of the Bill] </w:instrText>
    </w:r>
    <w: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84" w:rsidRDefault="001970F4" w:rsidP="00483461">
    <w:pPr>
      <w:pStyle w:val="rightheader"/>
    </w:pPr>
    <w:r>
      <w:fldChar w:fldCharType="begin"/>
    </w:r>
    <w:r w:rsidR="001E3884">
      <w:instrText xml:space="preserve"> macrobutton nomacro [Click here and enter the name of the Chapter </w:instrText>
    </w:r>
    <w: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84" w:rsidRDefault="001E388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84" w:rsidRDefault="001970F4" w:rsidP="00483461">
    <w:pPr>
      <w:pStyle w:val="leftheader"/>
    </w:pPr>
    <w:r>
      <w:fldChar w:fldCharType="begin"/>
    </w:r>
    <w:r w:rsidR="001E3884">
      <w:instrText xml:space="preserve"> macrobutton nomacro [Click here and insert the name of the Bill] </w:instrText>
    </w:r>
    <w: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84" w:rsidRDefault="001970F4" w:rsidP="00483461">
    <w:pPr>
      <w:pStyle w:val="rightheader"/>
    </w:pPr>
    <w:r>
      <w:fldChar w:fldCharType="begin"/>
    </w:r>
    <w:r w:rsidR="001E3884">
      <w:instrText xml:space="preserve"> macrobutton nomacro [Click here and enter the name of the Chapter </w:instrText>
    </w:r>
    <w: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84" w:rsidRDefault="001E3884" w:rsidP="00156D97">
    <w:pPr>
      <w:pStyle w:val="leftheader"/>
    </w:pPr>
    <w:r>
      <w:t>Tax Laws Amendment (2011 Measures No. 2) Bill 2011</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84" w:rsidRDefault="001E3884" w:rsidP="00156D97">
    <w:pPr>
      <w:pStyle w:val="rightheader"/>
    </w:pPr>
    <w:r>
      <w:t>General outline and financial impact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BE276A"/>
    <w:multiLevelType w:val="multilevel"/>
    <w:tmpl w:val="6C36E17A"/>
    <w:name w:val="ChapterList22"/>
    <w:lvl w:ilvl="0">
      <w:start w:val="1"/>
      <w:numFmt w:val="decimal"/>
      <w:lvlRestart w:val="0"/>
      <w:suff w:val="nothing"/>
      <w:lvlText w:val=""/>
      <w:lvlJc w:val="left"/>
      <w:pPr>
        <w:ind w:left="0" w:firstLine="0"/>
      </w:pPr>
      <w:rPr>
        <w:rFonts w:hint="default"/>
        <w:b w:val="0"/>
        <w:i w:val="0"/>
        <w:color w:val="000000"/>
      </w:rPr>
    </w:lvl>
    <w:lvl w:ilvl="1">
      <w:start w:val="4"/>
      <w:numFmt w:val="decimal"/>
      <w:lvlText w:val="%1.%2"/>
      <w:lvlJc w:val="left"/>
      <w:pPr>
        <w:tabs>
          <w:tab w:val="num" w:pos="1984"/>
        </w:tabs>
        <w:ind w:left="1134" w:firstLine="0"/>
      </w:pPr>
      <w:rPr>
        <w:rFonts w:ascii="Times New Roman" w:hAnsi="Times New Roman" w:cs="Times New Roman" w:hint="default"/>
        <w:b w:val="0"/>
        <w:i w:val="0"/>
        <w:color w:val="000000"/>
        <w:sz w:val="22"/>
        <w:szCs w:val="22"/>
      </w:rPr>
    </w:lvl>
    <w:lvl w:ilvl="2">
      <w:start w:val="1"/>
      <w:numFmt w:val="decimal"/>
      <w:lvlRestart w:val="1"/>
      <w:suff w:val="nothing"/>
      <w:lvlText w:val="Example %1.%3"/>
      <w:lvlJc w:val="left"/>
      <w:pPr>
        <w:ind w:left="1134" w:firstLine="0"/>
      </w:pPr>
      <w:rPr>
        <w:rFonts w:ascii="Times New Roman" w:hAnsi="Times New Roman" w:cs="Times New Roman" w:hint="default"/>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hint="default"/>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hint="default"/>
        <w:b/>
        <w:i w:val="0"/>
        <w:color w:val="000000"/>
        <w:sz w:val="22"/>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11">
    <w:nsid w:val="00E16D6B"/>
    <w:multiLevelType w:val="multilevel"/>
    <w:tmpl w:val="C90A1136"/>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945"/>
        </w:tabs>
        <w:ind w:left="945" w:hanging="425"/>
      </w:pPr>
      <w:rPr>
        <w:rFonts w:ascii="Times New Roman" w:hAnsi="Times New Roman" w:cs="Times New Roman"/>
      </w:rPr>
    </w:lvl>
    <w:lvl w:ilvl="2">
      <w:start w:val="1"/>
      <w:numFmt w:val="bullet"/>
      <w:pStyle w:val="DoubleDot"/>
      <w:lvlText w:val=":"/>
      <w:lvlJc w:val="left"/>
      <w:pPr>
        <w:tabs>
          <w:tab w:val="num" w:pos="1370"/>
        </w:tabs>
        <w:ind w:left="1370" w:hanging="425"/>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DC10AB"/>
    <w:multiLevelType w:val="multilevel"/>
    <w:tmpl w:val="AA8C5F64"/>
    <w:numStyleLink w:val="ChapterList"/>
  </w:abstractNum>
  <w:abstractNum w:abstractNumId="13">
    <w:nsid w:val="0C251CBA"/>
    <w:multiLevelType w:val="multilevel"/>
    <w:tmpl w:val="03FC2AAA"/>
    <w:name w:val="ChapterList22"/>
    <w:lvl w:ilvl="0">
      <w:start w:val="1"/>
      <w:numFmt w:val="decimal"/>
      <w:lvlRestart w:val="0"/>
      <w:suff w:val="nothing"/>
      <w:lvlText w:val=""/>
      <w:lvlJc w:val="left"/>
      <w:pPr>
        <w:ind w:left="0" w:firstLine="0"/>
      </w:pPr>
      <w:rPr>
        <w:rFonts w:hint="default"/>
        <w:b w:val="0"/>
        <w:i w:val="0"/>
        <w:color w:val="000000"/>
      </w:rPr>
    </w:lvl>
    <w:lvl w:ilvl="1">
      <w:start w:val="1"/>
      <w:numFmt w:val="decimal"/>
      <w:lvlText w:val="%1.%2"/>
      <w:lvlJc w:val="left"/>
      <w:pPr>
        <w:tabs>
          <w:tab w:val="num" w:pos="1984"/>
        </w:tabs>
        <w:ind w:left="1134" w:firstLine="0"/>
      </w:pPr>
      <w:rPr>
        <w:rFonts w:ascii="Times New Roman" w:hAnsi="Times New Roman" w:cs="Times New Roman" w:hint="default"/>
        <w:b w:val="0"/>
        <w:i w:val="0"/>
        <w:color w:val="000000"/>
        <w:sz w:val="22"/>
        <w:szCs w:val="22"/>
      </w:rPr>
    </w:lvl>
    <w:lvl w:ilvl="2">
      <w:start w:val="1"/>
      <w:numFmt w:val="decimal"/>
      <w:lvlRestart w:val="1"/>
      <w:suff w:val="nothing"/>
      <w:lvlText w:val="Example %1.%3"/>
      <w:lvlJc w:val="left"/>
      <w:pPr>
        <w:ind w:left="1134" w:firstLine="0"/>
      </w:pPr>
      <w:rPr>
        <w:rFonts w:ascii="Times New Roman" w:hAnsi="Times New Roman" w:cs="Times New Roman" w:hint="default"/>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hint="default"/>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hint="default"/>
        <w:b/>
        <w:i w:val="0"/>
        <w:color w:val="000000"/>
        <w:sz w:val="22"/>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14">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1BEB4EC5"/>
    <w:multiLevelType w:val="multilevel"/>
    <w:tmpl w:val="6D98FC9A"/>
    <w:numStyleLink w:val="TableDotPointList"/>
  </w:abstractNum>
  <w:abstractNum w:abstractNumId="17">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nsid w:val="3D714D4B"/>
    <w:multiLevelType w:val="multilevel"/>
    <w:tmpl w:val="AA8C5F64"/>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2269"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F950960"/>
    <w:multiLevelType w:val="multilevel"/>
    <w:tmpl w:val="D706BA9E"/>
    <w:name w:val="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nsid w:val="407229D3"/>
    <w:multiLevelType w:val="multilevel"/>
    <w:tmpl w:val="9AAADEB0"/>
    <w:name w:val="ChapterList2"/>
    <w:lvl w:ilvl="0">
      <w:start w:val="1"/>
      <w:numFmt w:val="decimal"/>
      <w:lvlRestart w:val="0"/>
      <w:suff w:val="nothing"/>
      <w:lvlText w:val=""/>
      <w:lvlJc w:val="left"/>
      <w:pPr>
        <w:ind w:left="0" w:firstLine="0"/>
      </w:pPr>
      <w:rPr>
        <w:rFonts w:hint="default"/>
        <w:b w:val="0"/>
        <w:i w:val="0"/>
        <w:color w:val="000000"/>
      </w:rPr>
    </w:lvl>
    <w:lvl w:ilvl="1">
      <w:start w:val="5"/>
      <w:numFmt w:val="decimal"/>
      <w:lvlText w:val="%1.%2"/>
      <w:lvlJc w:val="left"/>
      <w:pPr>
        <w:tabs>
          <w:tab w:val="num" w:pos="1984"/>
        </w:tabs>
        <w:ind w:left="1134" w:firstLine="0"/>
      </w:pPr>
      <w:rPr>
        <w:rFonts w:ascii="Times New Roman" w:hAnsi="Times New Roman" w:cs="Times New Roman" w:hint="default"/>
        <w:b w:val="0"/>
        <w:i w:val="0"/>
        <w:color w:val="000000"/>
        <w:sz w:val="22"/>
        <w:szCs w:val="22"/>
      </w:rPr>
    </w:lvl>
    <w:lvl w:ilvl="2">
      <w:start w:val="1"/>
      <w:numFmt w:val="decimal"/>
      <w:lvlRestart w:val="1"/>
      <w:suff w:val="nothing"/>
      <w:lvlText w:val="Example %1.%3"/>
      <w:lvlJc w:val="left"/>
      <w:pPr>
        <w:ind w:left="1134" w:firstLine="0"/>
      </w:pPr>
      <w:rPr>
        <w:rFonts w:ascii="Times New Roman" w:hAnsi="Times New Roman" w:cs="Times New Roman" w:hint="default"/>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hint="default"/>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hint="default"/>
        <w:b/>
        <w:i w:val="0"/>
        <w:color w:val="000000"/>
        <w:sz w:val="22"/>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22">
    <w:nsid w:val="478D416D"/>
    <w:multiLevelType w:val="multilevel"/>
    <w:tmpl w:val="469EAFC0"/>
    <w:styleLink w:val="DotPointList"/>
    <w:lvl w:ilvl="0">
      <w:start w:val="1"/>
      <w:numFmt w:val="bullet"/>
      <w:pStyle w:val="dotpoin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C8A1AE8"/>
    <w:multiLevelType w:val="multilevel"/>
    <w:tmpl w:val="6C36E17A"/>
    <w:name w:val="ChapterList22"/>
    <w:lvl w:ilvl="0">
      <w:start w:val="1"/>
      <w:numFmt w:val="decimal"/>
      <w:lvlRestart w:val="0"/>
      <w:suff w:val="nothing"/>
      <w:lvlText w:val=""/>
      <w:lvlJc w:val="left"/>
      <w:pPr>
        <w:ind w:left="0" w:firstLine="0"/>
      </w:pPr>
      <w:rPr>
        <w:rFonts w:hint="default"/>
        <w:b w:val="0"/>
        <w:i w:val="0"/>
        <w:color w:val="000000"/>
      </w:rPr>
    </w:lvl>
    <w:lvl w:ilvl="1">
      <w:start w:val="4"/>
      <w:numFmt w:val="decimal"/>
      <w:lvlText w:val="%1.%2"/>
      <w:lvlJc w:val="left"/>
      <w:pPr>
        <w:tabs>
          <w:tab w:val="num" w:pos="1984"/>
        </w:tabs>
        <w:ind w:left="1134" w:firstLine="0"/>
      </w:pPr>
      <w:rPr>
        <w:rFonts w:ascii="Times New Roman" w:hAnsi="Times New Roman" w:cs="Times New Roman" w:hint="default"/>
        <w:b w:val="0"/>
        <w:i w:val="0"/>
        <w:color w:val="000000"/>
        <w:sz w:val="22"/>
        <w:szCs w:val="22"/>
      </w:rPr>
    </w:lvl>
    <w:lvl w:ilvl="2">
      <w:start w:val="1"/>
      <w:numFmt w:val="decimal"/>
      <w:lvlRestart w:val="1"/>
      <w:suff w:val="nothing"/>
      <w:lvlText w:val="Example %1.%3"/>
      <w:lvlJc w:val="left"/>
      <w:pPr>
        <w:ind w:left="1134" w:firstLine="0"/>
      </w:pPr>
      <w:rPr>
        <w:rFonts w:ascii="Times New Roman" w:hAnsi="Times New Roman" w:cs="Times New Roman" w:hint="default"/>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hint="default"/>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hint="default"/>
        <w:b/>
        <w:i w:val="0"/>
        <w:color w:val="000000"/>
        <w:sz w:val="22"/>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24">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4281CEB"/>
    <w:multiLevelType w:val="multilevel"/>
    <w:tmpl w:val="AA8C5F64"/>
    <w:numStyleLink w:val="ChapterList"/>
  </w:abstractNum>
  <w:abstractNum w:abstractNumId="26">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26"/>
  </w:num>
  <w:num w:numId="14">
    <w:abstractNumId w:val="27"/>
  </w:num>
  <w:num w:numId="15">
    <w:abstractNumId w:val="22"/>
  </w:num>
  <w:num w:numId="16">
    <w:abstractNumId w:val="24"/>
  </w:num>
  <w:num w:numId="17">
    <w:abstractNumId w:val="14"/>
  </w:num>
  <w:num w:numId="18">
    <w:abstractNumId w:val="16"/>
  </w:num>
  <w:num w:numId="19">
    <w:abstractNumId w:val="11"/>
  </w:num>
  <w:num w:numId="20">
    <w:abstractNumId w:val="19"/>
  </w:num>
  <w:num w:numId="21">
    <w:abstractNumId w:val="1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2269"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12"/>
    <w:lvlOverride w:ilvl="0">
      <w:lvl w:ilvl="0">
        <w:start w:val="1"/>
        <w:numFmt w:val="decimal"/>
        <w:pStyle w:val="ChapterHeading"/>
        <w:lvlText w:val=""/>
        <w:lvlJc w:val="left"/>
        <w:pPr>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ascii="Times New Roman" w:hAnsi="Times New Roman" w:cs="Times New Roman"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2269"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12"/>
    <w:lvlOverride w:ilvl="0">
      <w:startOverride w:val="1"/>
      <w:lvl w:ilvl="0">
        <w:start w:val="1"/>
        <w:numFmt w:val="decimal"/>
        <w:pStyle w:val="ChapterHeading"/>
        <w:lvlText w:val=""/>
        <w:lvlJc w:val="left"/>
        <w:pPr>
          <w:ind w:left="0" w:firstLine="0"/>
        </w:pPr>
        <w:rPr>
          <w:rFonts w:hint="default"/>
        </w:rPr>
      </w:lvl>
    </w:lvlOverride>
    <w:lvlOverride w:ilvl="1">
      <w:startOverride w:val="6"/>
      <w:lvl w:ilvl="1">
        <w:start w:val="6"/>
        <w:numFmt w:val="decimal"/>
        <w:pStyle w:val="base-text-paragraph"/>
        <w:lvlText w:val="%1.%2"/>
        <w:lvlJc w:val="left"/>
        <w:pPr>
          <w:tabs>
            <w:tab w:val="num" w:pos="1985"/>
          </w:tabs>
          <w:ind w:left="1134" w:firstLine="0"/>
        </w:pPr>
        <w:rPr>
          <w:rFonts w:ascii="Times New Roman" w:hAnsi="Times New Roman" w:cs="Times New Roman" w:hint="default"/>
          <w:b w:val="0"/>
          <w:i w:val="0"/>
          <w:sz w:val="22"/>
          <w:szCs w:val="22"/>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2269"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720"/>
  <w:evenAndOddHeaders/>
  <w:noPunctuationKerning/>
  <w:characterSpacingControl w:val="doNotCompress"/>
  <w:hdrShapeDefaults>
    <o:shapedefaults v:ext="edit" spidmax="98305"/>
  </w:hdrShapeDefaults>
  <w:footnotePr>
    <w:footnote w:id="-1"/>
    <w:footnote w:id="0"/>
  </w:footnotePr>
  <w:endnotePr>
    <w:endnote w:id="-1"/>
    <w:endnote w:id="0"/>
  </w:endnotePr>
  <w:compat>
    <w:noTabHangInd/>
    <w:noColumnBalance/>
    <w:suppressBottomSpacing/>
    <w:suppressTopSpacing/>
    <w:suppressSpBfAfterPgBrk/>
    <w:noSpaceRaiseLower/>
    <w:doNotUseHTMLParagraphAutoSpacing/>
    <w:growAutofit/>
  </w:compat>
  <w:rsids>
    <w:rsidRoot w:val="00252C86"/>
    <w:rsid w:val="00007BAE"/>
    <w:rsid w:val="00012F2D"/>
    <w:rsid w:val="00012F66"/>
    <w:rsid w:val="0003057D"/>
    <w:rsid w:val="0003305A"/>
    <w:rsid w:val="00034BE8"/>
    <w:rsid w:val="00044D12"/>
    <w:rsid w:val="0005600E"/>
    <w:rsid w:val="000669FF"/>
    <w:rsid w:val="00066D31"/>
    <w:rsid w:val="00067E1D"/>
    <w:rsid w:val="000725C0"/>
    <w:rsid w:val="00074B4F"/>
    <w:rsid w:val="00075250"/>
    <w:rsid w:val="000756FA"/>
    <w:rsid w:val="00076543"/>
    <w:rsid w:val="00076679"/>
    <w:rsid w:val="000806FC"/>
    <w:rsid w:val="000835C7"/>
    <w:rsid w:val="00085C5D"/>
    <w:rsid w:val="0009055D"/>
    <w:rsid w:val="00093C54"/>
    <w:rsid w:val="000960B7"/>
    <w:rsid w:val="000A0AFD"/>
    <w:rsid w:val="000A2094"/>
    <w:rsid w:val="000A5B26"/>
    <w:rsid w:val="000A6DBE"/>
    <w:rsid w:val="000A7A56"/>
    <w:rsid w:val="000B52DA"/>
    <w:rsid w:val="000B7FBA"/>
    <w:rsid w:val="000C06D9"/>
    <w:rsid w:val="000C65C6"/>
    <w:rsid w:val="000D77FA"/>
    <w:rsid w:val="000D7DA6"/>
    <w:rsid w:val="000E089D"/>
    <w:rsid w:val="000E569F"/>
    <w:rsid w:val="000E5B9A"/>
    <w:rsid w:val="000E6AB3"/>
    <w:rsid w:val="000F3381"/>
    <w:rsid w:val="000F51C2"/>
    <w:rsid w:val="000F62C3"/>
    <w:rsid w:val="00105121"/>
    <w:rsid w:val="00105CA6"/>
    <w:rsid w:val="001114E6"/>
    <w:rsid w:val="00121EB0"/>
    <w:rsid w:val="00123D96"/>
    <w:rsid w:val="00131E0C"/>
    <w:rsid w:val="00134C13"/>
    <w:rsid w:val="0014197C"/>
    <w:rsid w:val="00146880"/>
    <w:rsid w:val="00156D97"/>
    <w:rsid w:val="0015779B"/>
    <w:rsid w:val="001605EB"/>
    <w:rsid w:val="001642E2"/>
    <w:rsid w:val="00174A29"/>
    <w:rsid w:val="00184079"/>
    <w:rsid w:val="0018641B"/>
    <w:rsid w:val="00194402"/>
    <w:rsid w:val="001970F4"/>
    <w:rsid w:val="001A1251"/>
    <w:rsid w:val="001A37A3"/>
    <w:rsid w:val="001A607A"/>
    <w:rsid w:val="001B0C58"/>
    <w:rsid w:val="001B4833"/>
    <w:rsid w:val="001E3884"/>
    <w:rsid w:val="001E6545"/>
    <w:rsid w:val="001F00FC"/>
    <w:rsid w:val="00200E96"/>
    <w:rsid w:val="00200F12"/>
    <w:rsid w:val="002017EF"/>
    <w:rsid w:val="00201B36"/>
    <w:rsid w:val="00207126"/>
    <w:rsid w:val="002121B5"/>
    <w:rsid w:val="00212DB9"/>
    <w:rsid w:val="00220D6C"/>
    <w:rsid w:val="00222D57"/>
    <w:rsid w:val="00231394"/>
    <w:rsid w:val="00231CBA"/>
    <w:rsid w:val="00236A1C"/>
    <w:rsid w:val="00237815"/>
    <w:rsid w:val="00240D5B"/>
    <w:rsid w:val="00252C86"/>
    <w:rsid w:val="00265193"/>
    <w:rsid w:val="00266048"/>
    <w:rsid w:val="00267FD4"/>
    <w:rsid w:val="00272FD3"/>
    <w:rsid w:val="00273024"/>
    <w:rsid w:val="002857E2"/>
    <w:rsid w:val="00296C91"/>
    <w:rsid w:val="002A4144"/>
    <w:rsid w:val="002A4F1C"/>
    <w:rsid w:val="002A64A2"/>
    <w:rsid w:val="002B7887"/>
    <w:rsid w:val="002C43E8"/>
    <w:rsid w:val="002D2436"/>
    <w:rsid w:val="002D6555"/>
    <w:rsid w:val="002F2161"/>
    <w:rsid w:val="002F2244"/>
    <w:rsid w:val="002F3991"/>
    <w:rsid w:val="002F75B0"/>
    <w:rsid w:val="00302C73"/>
    <w:rsid w:val="00325E95"/>
    <w:rsid w:val="00330665"/>
    <w:rsid w:val="00331BE4"/>
    <w:rsid w:val="00341725"/>
    <w:rsid w:val="00345CCB"/>
    <w:rsid w:val="0034625E"/>
    <w:rsid w:val="00346BEB"/>
    <w:rsid w:val="003505E3"/>
    <w:rsid w:val="00365E97"/>
    <w:rsid w:val="003675E0"/>
    <w:rsid w:val="00370AE1"/>
    <w:rsid w:val="00370CF4"/>
    <w:rsid w:val="003719A4"/>
    <w:rsid w:val="003723ED"/>
    <w:rsid w:val="00376FAF"/>
    <w:rsid w:val="00377CD4"/>
    <w:rsid w:val="00384B3B"/>
    <w:rsid w:val="00387BAB"/>
    <w:rsid w:val="00393937"/>
    <w:rsid w:val="00393F09"/>
    <w:rsid w:val="0039400F"/>
    <w:rsid w:val="003A12BE"/>
    <w:rsid w:val="003A311E"/>
    <w:rsid w:val="003A5D7E"/>
    <w:rsid w:val="003B2C77"/>
    <w:rsid w:val="003B550D"/>
    <w:rsid w:val="003B55E1"/>
    <w:rsid w:val="003C1301"/>
    <w:rsid w:val="003C3D97"/>
    <w:rsid w:val="003C5BA3"/>
    <w:rsid w:val="003D3486"/>
    <w:rsid w:val="003D6FD9"/>
    <w:rsid w:val="003D7D6B"/>
    <w:rsid w:val="003D7F02"/>
    <w:rsid w:val="003E3FFF"/>
    <w:rsid w:val="003E68F7"/>
    <w:rsid w:val="003F096C"/>
    <w:rsid w:val="0040463E"/>
    <w:rsid w:val="00404B8F"/>
    <w:rsid w:val="0043366C"/>
    <w:rsid w:val="00433B1D"/>
    <w:rsid w:val="00435C44"/>
    <w:rsid w:val="00436054"/>
    <w:rsid w:val="00441D38"/>
    <w:rsid w:val="00442FB9"/>
    <w:rsid w:val="0044391B"/>
    <w:rsid w:val="0044677F"/>
    <w:rsid w:val="00447FD6"/>
    <w:rsid w:val="00453DAE"/>
    <w:rsid w:val="00454EEE"/>
    <w:rsid w:val="00457BC3"/>
    <w:rsid w:val="00460019"/>
    <w:rsid w:val="00461364"/>
    <w:rsid w:val="00465A34"/>
    <w:rsid w:val="00470181"/>
    <w:rsid w:val="004709EF"/>
    <w:rsid w:val="004710EB"/>
    <w:rsid w:val="00475D9F"/>
    <w:rsid w:val="004760AD"/>
    <w:rsid w:val="00476FA2"/>
    <w:rsid w:val="00480AF8"/>
    <w:rsid w:val="00483461"/>
    <w:rsid w:val="004836D2"/>
    <w:rsid w:val="0049373D"/>
    <w:rsid w:val="00497318"/>
    <w:rsid w:val="004B2B21"/>
    <w:rsid w:val="004B755A"/>
    <w:rsid w:val="004C0286"/>
    <w:rsid w:val="004C1468"/>
    <w:rsid w:val="004C1640"/>
    <w:rsid w:val="004D3F88"/>
    <w:rsid w:val="004D6B85"/>
    <w:rsid w:val="004D7C77"/>
    <w:rsid w:val="004E161F"/>
    <w:rsid w:val="004E35BD"/>
    <w:rsid w:val="004F0A16"/>
    <w:rsid w:val="00500291"/>
    <w:rsid w:val="00502551"/>
    <w:rsid w:val="0050530D"/>
    <w:rsid w:val="0050652E"/>
    <w:rsid w:val="00512C73"/>
    <w:rsid w:val="00513C32"/>
    <w:rsid w:val="00515E69"/>
    <w:rsid w:val="005174E8"/>
    <w:rsid w:val="005177DF"/>
    <w:rsid w:val="00517B68"/>
    <w:rsid w:val="00523617"/>
    <w:rsid w:val="00526C05"/>
    <w:rsid w:val="005408E6"/>
    <w:rsid w:val="0054284D"/>
    <w:rsid w:val="00555D38"/>
    <w:rsid w:val="00580A1A"/>
    <w:rsid w:val="00580C19"/>
    <w:rsid w:val="00581702"/>
    <w:rsid w:val="005A5BB3"/>
    <w:rsid w:val="005A76CC"/>
    <w:rsid w:val="005B22C7"/>
    <w:rsid w:val="005B546F"/>
    <w:rsid w:val="005C0475"/>
    <w:rsid w:val="005C2B1A"/>
    <w:rsid w:val="005C6FB4"/>
    <w:rsid w:val="005D0F90"/>
    <w:rsid w:val="005E2E1E"/>
    <w:rsid w:val="005E3823"/>
    <w:rsid w:val="005E77E1"/>
    <w:rsid w:val="0060211C"/>
    <w:rsid w:val="006071CA"/>
    <w:rsid w:val="006071E9"/>
    <w:rsid w:val="00617A64"/>
    <w:rsid w:val="006412C3"/>
    <w:rsid w:val="00653DA2"/>
    <w:rsid w:val="00660568"/>
    <w:rsid w:val="006655F9"/>
    <w:rsid w:val="006671E6"/>
    <w:rsid w:val="006677E1"/>
    <w:rsid w:val="00667A47"/>
    <w:rsid w:val="0067054F"/>
    <w:rsid w:val="00670B9B"/>
    <w:rsid w:val="006712FD"/>
    <w:rsid w:val="006723E8"/>
    <w:rsid w:val="00674115"/>
    <w:rsid w:val="00676AC8"/>
    <w:rsid w:val="006916A8"/>
    <w:rsid w:val="00697347"/>
    <w:rsid w:val="006B7041"/>
    <w:rsid w:val="006C3CEB"/>
    <w:rsid w:val="006C3E98"/>
    <w:rsid w:val="006D4184"/>
    <w:rsid w:val="006E01A2"/>
    <w:rsid w:val="006E08FB"/>
    <w:rsid w:val="006F7AFB"/>
    <w:rsid w:val="007001D0"/>
    <w:rsid w:val="0070090A"/>
    <w:rsid w:val="00703C25"/>
    <w:rsid w:val="007044BA"/>
    <w:rsid w:val="00707D39"/>
    <w:rsid w:val="00712C79"/>
    <w:rsid w:val="007155B4"/>
    <w:rsid w:val="00725B4F"/>
    <w:rsid w:val="007329C5"/>
    <w:rsid w:val="00734EA4"/>
    <w:rsid w:val="00736240"/>
    <w:rsid w:val="007438FE"/>
    <w:rsid w:val="007454F8"/>
    <w:rsid w:val="00753239"/>
    <w:rsid w:val="00754BE8"/>
    <w:rsid w:val="007652BC"/>
    <w:rsid w:val="00770034"/>
    <w:rsid w:val="00774214"/>
    <w:rsid w:val="007871CD"/>
    <w:rsid w:val="00790795"/>
    <w:rsid w:val="00792ECD"/>
    <w:rsid w:val="00793F75"/>
    <w:rsid w:val="007A1BCB"/>
    <w:rsid w:val="007A457B"/>
    <w:rsid w:val="007A4C99"/>
    <w:rsid w:val="007B23EE"/>
    <w:rsid w:val="007B5646"/>
    <w:rsid w:val="007B567C"/>
    <w:rsid w:val="007C59EB"/>
    <w:rsid w:val="007D1821"/>
    <w:rsid w:val="007D3360"/>
    <w:rsid w:val="007D521D"/>
    <w:rsid w:val="007D613E"/>
    <w:rsid w:val="007E25E0"/>
    <w:rsid w:val="007E2D20"/>
    <w:rsid w:val="007E3C31"/>
    <w:rsid w:val="007E511D"/>
    <w:rsid w:val="00800189"/>
    <w:rsid w:val="00813210"/>
    <w:rsid w:val="008147F1"/>
    <w:rsid w:val="008205D8"/>
    <w:rsid w:val="008212B5"/>
    <w:rsid w:val="00821379"/>
    <w:rsid w:val="00826EC8"/>
    <w:rsid w:val="00827930"/>
    <w:rsid w:val="00830A28"/>
    <w:rsid w:val="00832743"/>
    <w:rsid w:val="00835001"/>
    <w:rsid w:val="00840323"/>
    <w:rsid w:val="00844687"/>
    <w:rsid w:val="00847BF7"/>
    <w:rsid w:val="00855D57"/>
    <w:rsid w:val="0086049D"/>
    <w:rsid w:val="00860ED2"/>
    <w:rsid w:val="00866FFA"/>
    <w:rsid w:val="00867F0F"/>
    <w:rsid w:val="00872C89"/>
    <w:rsid w:val="008752F1"/>
    <w:rsid w:val="00885BE8"/>
    <w:rsid w:val="00890245"/>
    <w:rsid w:val="00893F53"/>
    <w:rsid w:val="008A0EE2"/>
    <w:rsid w:val="008A509C"/>
    <w:rsid w:val="008A594B"/>
    <w:rsid w:val="008A6181"/>
    <w:rsid w:val="008B0747"/>
    <w:rsid w:val="008B095D"/>
    <w:rsid w:val="008B56B5"/>
    <w:rsid w:val="008C359D"/>
    <w:rsid w:val="008C51F4"/>
    <w:rsid w:val="008C5D9E"/>
    <w:rsid w:val="008C6583"/>
    <w:rsid w:val="008C708A"/>
    <w:rsid w:val="008D0AE4"/>
    <w:rsid w:val="008D1FC5"/>
    <w:rsid w:val="008D75E9"/>
    <w:rsid w:val="008F1A67"/>
    <w:rsid w:val="008F5423"/>
    <w:rsid w:val="008F726E"/>
    <w:rsid w:val="00901ED2"/>
    <w:rsid w:val="009163C3"/>
    <w:rsid w:val="00917DED"/>
    <w:rsid w:val="00920963"/>
    <w:rsid w:val="00921ECF"/>
    <w:rsid w:val="00922787"/>
    <w:rsid w:val="00923DA1"/>
    <w:rsid w:val="00926E36"/>
    <w:rsid w:val="00934BBA"/>
    <w:rsid w:val="00935C6B"/>
    <w:rsid w:val="00937B71"/>
    <w:rsid w:val="00944D10"/>
    <w:rsid w:val="0095290C"/>
    <w:rsid w:val="009530DE"/>
    <w:rsid w:val="00953F17"/>
    <w:rsid w:val="00957C92"/>
    <w:rsid w:val="009615B2"/>
    <w:rsid w:val="0096411E"/>
    <w:rsid w:val="00973550"/>
    <w:rsid w:val="009759C8"/>
    <w:rsid w:val="00982C09"/>
    <w:rsid w:val="00985E4A"/>
    <w:rsid w:val="009977B4"/>
    <w:rsid w:val="00997812"/>
    <w:rsid w:val="009A2B11"/>
    <w:rsid w:val="009A7D63"/>
    <w:rsid w:val="009B2AD6"/>
    <w:rsid w:val="009B6B91"/>
    <w:rsid w:val="009C380E"/>
    <w:rsid w:val="009E1B51"/>
    <w:rsid w:val="009E6C76"/>
    <w:rsid w:val="009F59A5"/>
    <w:rsid w:val="00A07DDF"/>
    <w:rsid w:val="00A155F4"/>
    <w:rsid w:val="00A22C72"/>
    <w:rsid w:val="00A25DFE"/>
    <w:rsid w:val="00A27B13"/>
    <w:rsid w:val="00A27B94"/>
    <w:rsid w:val="00A32143"/>
    <w:rsid w:val="00A332EA"/>
    <w:rsid w:val="00A37F77"/>
    <w:rsid w:val="00A43E63"/>
    <w:rsid w:val="00A44E9C"/>
    <w:rsid w:val="00A516CB"/>
    <w:rsid w:val="00A53EB2"/>
    <w:rsid w:val="00A56F64"/>
    <w:rsid w:val="00A57274"/>
    <w:rsid w:val="00A572E2"/>
    <w:rsid w:val="00A575AE"/>
    <w:rsid w:val="00A65D09"/>
    <w:rsid w:val="00A70A0B"/>
    <w:rsid w:val="00A722B0"/>
    <w:rsid w:val="00A76B0E"/>
    <w:rsid w:val="00A834B8"/>
    <w:rsid w:val="00A865FA"/>
    <w:rsid w:val="00A86F1A"/>
    <w:rsid w:val="00A915F4"/>
    <w:rsid w:val="00A9275F"/>
    <w:rsid w:val="00A93921"/>
    <w:rsid w:val="00A96322"/>
    <w:rsid w:val="00A9686A"/>
    <w:rsid w:val="00AA20C9"/>
    <w:rsid w:val="00AA2141"/>
    <w:rsid w:val="00AA50D8"/>
    <w:rsid w:val="00AD1AAD"/>
    <w:rsid w:val="00AD4ABE"/>
    <w:rsid w:val="00AD52C7"/>
    <w:rsid w:val="00AD6DC4"/>
    <w:rsid w:val="00AD6E17"/>
    <w:rsid w:val="00AE23F9"/>
    <w:rsid w:val="00AE7202"/>
    <w:rsid w:val="00AF0EB2"/>
    <w:rsid w:val="00AF3340"/>
    <w:rsid w:val="00AF3365"/>
    <w:rsid w:val="00AF520E"/>
    <w:rsid w:val="00AF5979"/>
    <w:rsid w:val="00B00C37"/>
    <w:rsid w:val="00B05846"/>
    <w:rsid w:val="00B05ED4"/>
    <w:rsid w:val="00B07898"/>
    <w:rsid w:val="00B07DB9"/>
    <w:rsid w:val="00B11C60"/>
    <w:rsid w:val="00B131A5"/>
    <w:rsid w:val="00B175A1"/>
    <w:rsid w:val="00B41980"/>
    <w:rsid w:val="00B4622D"/>
    <w:rsid w:val="00B52ACA"/>
    <w:rsid w:val="00B64794"/>
    <w:rsid w:val="00B654ED"/>
    <w:rsid w:val="00B67600"/>
    <w:rsid w:val="00B71362"/>
    <w:rsid w:val="00B721C7"/>
    <w:rsid w:val="00B725B1"/>
    <w:rsid w:val="00B7388C"/>
    <w:rsid w:val="00B7408F"/>
    <w:rsid w:val="00B74A3A"/>
    <w:rsid w:val="00B75DB6"/>
    <w:rsid w:val="00B82166"/>
    <w:rsid w:val="00B83229"/>
    <w:rsid w:val="00B93631"/>
    <w:rsid w:val="00B94871"/>
    <w:rsid w:val="00B94FB4"/>
    <w:rsid w:val="00BA20F9"/>
    <w:rsid w:val="00BA2235"/>
    <w:rsid w:val="00BA2903"/>
    <w:rsid w:val="00BB3947"/>
    <w:rsid w:val="00BC3DB1"/>
    <w:rsid w:val="00BC4E6D"/>
    <w:rsid w:val="00BE681A"/>
    <w:rsid w:val="00BF1C59"/>
    <w:rsid w:val="00BF2B49"/>
    <w:rsid w:val="00C03AF3"/>
    <w:rsid w:val="00C05595"/>
    <w:rsid w:val="00C06980"/>
    <w:rsid w:val="00C1738A"/>
    <w:rsid w:val="00C26CB0"/>
    <w:rsid w:val="00C27414"/>
    <w:rsid w:val="00C31F6E"/>
    <w:rsid w:val="00C32240"/>
    <w:rsid w:val="00C40D5A"/>
    <w:rsid w:val="00C44703"/>
    <w:rsid w:val="00C44D85"/>
    <w:rsid w:val="00C55D39"/>
    <w:rsid w:val="00C56F4A"/>
    <w:rsid w:val="00C643DF"/>
    <w:rsid w:val="00C727BB"/>
    <w:rsid w:val="00C744BC"/>
    <w:rsid w:val="00C77A0D"/>
    <w:rsid w:val="00C85AEF"/>
    <w:rsid w:val="00C8648B"/>
    <w:rsid w:val="00CA5F63"/>
    <w:rsid w:val="00CB007F"/>
    <w:rsid w:val="00CB6473"/>
    <w:rsid w:val="00CC09C5"/>
    <w:rsid w:val="00CC341C"/>
    <w:rsid w:val="00CC5343"/>
    <w:rsid w:val="00CC5A10"/>
    <w:rsid w:val="00CD1FA8"/>
    <w:rsid w:val="00CE1CB4"/>
    <w:rsid w:val="00CE4136"/>
    <w:rsid w:val="00CE5590"/>
    <w:rsid w:val="00CF1DBF"/>
    <w:rsid w:val="00CF3913"/>
    <w:rsid w:val="00CF5226"/>
    <w:rsid w:val="00CF5EE9"/>
    <w:rsid w:val="00CF670E"/>
    <w:rsid w:val="00D01826"/>
    <w:rsid w:val="00D01E95"/>
    <w:rsid w:val="00D02C4D"/>
    <w:rsid w:val="00D15430"/>
    <w:rsid w:val="00D22699"/>
    <w:rsid w:val="00D363E1"/>
    <w:rsid w:val="00D372B4"/>
    <w:rsid w:val="00D4029F"/>
    <w:rsid w:val="00D5076F"/>
    <w:rsid w:val="00D522E9"/>
    <w:rsid w:val="00D75FB3"/>
    <w:rsid w:val="00D85B38"/>
    <w:rsid w:val="00D90D9C"/>
    <w:rsid w:val="00D963F2"/>
    <w:rsid w:val="00DA0110"/>
    <w:rsid w:val="00DA2D5E"/>
    <w:rsid w:val="00DA72C6"/>
    <w:rsid w:val="00DB1F26"/>
    <w:rsid w:val="00DB36FF"/>
    <w:rsid w:val="00DB3797"/>
    <w:rsid w:val="00DB6032"/>
    <w:rsid w:val="00DC00CE"/>
    <w:rsid w:val="00DC18BE"/>
    <w:rsid w:val="00DD1C5A"/>
    <w:rsid w:val="00DD2EC4"/>
    <w:rsid w:val="00DD6306"/>
    <w:rsid w:val="00DE2E40"/>
    <w:rsid w:val="00DE7BC7"/>
    <w:rsid w:val="00DF21B8"/>
    <w:rsid w:val="00E01A29"/>
    <w:rsid w:val="00E0436E"/>
    <w:rsid w:val="00E04461"/>
    <w:rsid w:val="00E07E30"/>
    <w:rsid w:val="00E1065B"/>
    <w:rsid w:val="00E10BDD"/>
    <w:rsid w:val="00E110EE"/>
    <w:rsid w:val="00E12F81"/>
    <w:rsid w:val="00E2061C"/>
    <w:rsid w:val="00E21C6F"/>
    <w:rsid w:val="00E31B34"/>
    <w:rsid w:val="00E42780"/>
    <w:rsid w:val="00E47DF5"/>
    <w:rsid w:val="00E509B6"/>
    <w:rsid w:val="00E54185"/>
    <w:rsid w:val="00E55072"/>
    <w:rsid w:val="00E61131"/>
    <w:rsid w:val="00E74BDE"/>
    <w:rsid w:val="00E80C57"/>
    <w:rsid w:val="00E85785"/>
    <w:rsid w:val="00E87729"/>
    <w:rsid w:val="00E91A7C"/>
    <w:rsid w:val="00EA72E6"/>
    <w:rsid w:val="00EC55EB"/>
    <w:rsid w:val="00ED492F"/>
    <w:rsid w:val="00ED50A3"/>
    <w:rsid w:val="00EE7884"/>
    <w:rsid w:val="00EF1B57"/>
    <w:rsid w:val="00EF4954"/>
    <w:rsid w:val="00EF521D"/>
    <w:rsid w:val="00EF789C"/>
    <w:rsid w:val="00F013F8"/>
    <w:rsid w:val="00F02832"/>
    <w:rsid w:val="00F05754"/>
    <w:rsid w:val="00F15C72"/>
    <w:rsid w:val="00F2085F"/>
    <w:rsid w:val="00F22A25"/>
    <w:rsid w:val="00F303AB"/>
    <w:rsid w:val="00F37E67"/>
    <w:rsid w:val="00F4492D"/>
    <w:rsid w:val="00F51A71"/>
    <w:rsid w:val="00F605D2"/>
    <w:rsid w:val="00F627A3"/>
    <w:rsid w:val="00F66AF4"/>
    <w:rsid w:val="00F71FAD"/>
    <w:rsid w:val="00F853D1"/>
    <w:rsid w:val="00F87253"/>
    <w:rsid w:val="00F92FE2"/>
    <w:rsid w:val="00F938DE"/>
    <w:rsid w:val="00F95B90"/>
    <w:rsid w:val="00FA129E"/>
    <w:rsid w:val="00FA3792"/>
    <w:rsid w:val="00FB53AE"/>
    <w:rsid w:val="00FC2F54"/>
    <w:rsid w:val="00FC3EDB"/>
    <w:rsid w:val="00FC604E"/>
    <w:rsid w:val="00FD2B8C"/>
    <w:rsid w:val="00FD4B5C"/>
    <w:rsid w:val="00FD646F"/>
    <w:rsid w:val="00FD7E2D"/>
    <w:rsid w:val="00FE2ED4"/>
    <w:rsid w:val="00FE6597"/>
    <w:rsid w:val="00FF0747"/>
    <w:rsid w:val="00FF431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98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155B4"/>
    <w:pPr>
      <w:spacing w:before="120" w:after="120"/>
    </w:pPr>
    <w:rPr>
      <w:sz w:val="22"/>
    </w:rPr>
  </w:style>
  <w:style w:type="paragraph" w:styleId="Heading1">
    <w:name w:val="heading 1"/>
    <w:basedOn w:val="Normal"/>
    <w:next w:val="base-text-paragraph"/>
    <w:link w:val="Heading1Char"/>
    <w:qFormat/>
    <w:rsid w:val="00832743"/>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8C359D"/>
    <w:pPr>
      <w:spacing w:before="480"/>
      <w:outlineLvl w:val="1"/>
    </w:pPr>
    <w:rPr>
      <w:caps w:val="0"/>
      <w:sz w:val="26"/>
    </w:rPr>
  </w:style>
  <w:style w:type="paragraph" w:styleId="Heading3">
    <w:name w:val="heading 3"/>
    <w:basedOn w:val="Heading2"/>
    <w:next w:val="base-text-paragraph"/>
    <w:link w:val="Heading3Char"/>
    <w:qFormat/>
    <w:rsid w:val="00DA72C6"/>
    <w:pPr>
      <w:spacing w:before="240"/>
      <w:outlineLvl w:val="2"/>
    </w:pPr>
    <w:rPr>
      <w:sz w:val="22"/>
    </w:rPr>
  </w:style>
  <w:style w:type="paragraph" w:styleId="Heading4">
    <w:name w:val="heading 4"/>
    <w:basedOn w:val="Heading3"/>
    <w:next w:val="base-text-paragraph"/>
    <w:link w:val="Heading4Char"/>
    <w:qFormat/>
    <w:rsid w:val="00231CBA"/>
    <w:pPr>
      <w:spacing w:before="120"/>
      <w:ind w:left="1134"/>
      <w:outlineLvl w:val="3"/>
    </w:pPr>
    <w:rPr>
      <w:rFonts w:ascii="Times New Roman" w:hAnsi="Times New Roman"/>
      <w:i/>
    </w:rPr>
  </w:style>
  <w:style w:type="paragraph" w:styleId="Heading5">
    <w:name w:val="heading 5"/>
    <w:basedOn w:val="Heading4"/>
    <w:next w:val="Normal"/>
    <w:qFormat/>
    <w:rsid w:val="00231CBA"/>
    <w:pPr>
      <w:spacing w:after="60"/>
      <w:outlineLvl w:val="4"/>
    </w:pPr>
    <w:rPr>
      <w:b w:val="0"/>
      <w:bCs/>
      <w:iCs/>
      <w:szCs w:val="26"/>
    </w:rPr>
  </w:style>
  <w:style w:type="paragraph" w:styleId="Heading6">
    <w:name w:val="heading 6"/>
    <w:basedOn w:val="Heading5"/>
    <w:next w:val="Normal"/>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B4622D"/>
    <w:pPr>
      <w:numPr>
        <w:numId w:val="22"/>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B4622D"/>
    <w:pPr>
      <w:numPr>
        <w:ilvl w:val="4"/>
        <w:numId w:val="22"/>
      </w:numPr>
    </w:pPr>
    <w:rPr>
      <w:i w:val="0"/>
    </w:rPr>
  </w:style>
  <w:style w:type="paragraph" w:customStyle="1" w:styleId="base-text-paragraph">
    <w:name w:val="base-text-paragraph"/>
    <w:basedOn w:val="Normal"/>
    <w:link w:val="base-text-paragraphChar"/>
    <w:rsid w:val="00B4622D"/>
    <w:pPr>
      <w:numPr>
        <w:ilvl w:val="1"/>
        <w:numId w:val="22"/>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B4622D"/>
    <w:pPr>
      <w:keepNext/>
      <w:numPr>
        <w:ilvl w:val="3"/>
        <w:numId w:val="22"/>
      </w:numPr>
    </w:pPr>
    <w:rPr>
      <w:b/>
    </w:rPr>
  </w:style>
  <w:style w:type="paragraph" w:customStyle="1" w:styleId="Diagram">
    <w:name w:val="Diagram"/>
    <w:basedOn w:val="Normal"/>
    <w:next w:val="base-text-paragraphnonumbers"/>
    <w:rsid w:val="00B4622D"/>
    <w:pPr>
      <w:keepNext/>
      <w:numPr>
        <w:ilvl w:val="2"/>
        <w:numId w:val="22"/>
      </w:numPr>
      <w:spacing w:before="0" w:after="0"/>
    </w:pPr>
    <w:rPr>
      <w:b/>
    </w:rPr>
  </w:style>
  <w:style w:type="paragraph" w:customStyle="1" w:styleId="dotpoint">
    <w:name w:val="dot point"/>
    <w:basedOn w:val="Normal"/>
    <w:rsid w:val="008C51F4"/>
    <w:pPr>
      <w:numPr>
        <w:numId w:val="15"/>
      </w:numPr>
    </w:pPr>
  </w:style>
  <w:style w:type="paragraph" w:customStyle="1" w:styleId="dotpoint2">
    <w:name w:val="dot point 2"/>
    <w:basedOn w:val="Normal"/>
    <w:rsid w:val="008C51F4"/>
    <w:pPr>
      <w:numPr>
        <w:ilvl w:val="1"/>
        <w:numId w:val="15"/>
      </w:numPr>
    </w:pPr>
  </w:style>
  <w:style w:type="paragraph" w:customStyle="1" w:styleId="exampledotpoint1">
    <w:name w:val="example dot point 1"/>
    <w:basedOn w:val="exampletext"/>
    <w:rsid w:val="008C51F4"/>
    <w:pPr>
      <w:numPr>
        <w:numId w:val="16"/>
      </w:numPr>
    </w:pPr>
  </w:style>
  <w:style w:type="paragraph" w:customStyle="1" w:styleId="exampledotpoint2">
    <w:name w:val="example dot point 2"/>
    <w:basedOn w:val="exampletext"/>
    <w:rsid w:val="008C51F4"/>
    <w:pPr>
      <w:numPr>
        <w:ilvl w:val="1"/>
        <w:numId w:val="16"/>
      </w:numPr>
    </w:pPr>
  </w:style>
  <w:style w:type="paragraph" w:customStyle="1" w:styleId="tabletext">
    <w:name w:val="table text"/>
    <w:basedOn w:val="Normal"/>
    <w:link w:val="tabletextChar"/>
    <w:rsid w:val="00832743"/>
    <w:pPr>
      <w:spacing w:before="40" w:after="40"/>
    </w:pPr>
    <w:rPr>
      <w:sz w:val="20"/>
    </w:rPr>
  </w:style>
  <w:style w:type="paragraph" w:customStyle="1" w:styleId="tabledotpoint">
    <w:name w:val="table dot point"/>
    <w:basedOn w:val="tabletext"/>
    <w:rsid w:val="00A37F77"/>
    <w:pPr>
      <w:numPr>
        <w:numId w:val="18"/>
      </w:numPr>
    </w:pPr>
  </w:style>
  <w:style w:type="paragraph" w:customStyle="1" w:styleId="tabledotpoint2">
    <w:name w:val="table dot point 2"/>
    <w:basedOn w:val="tabletext"/>
    <w:rsid w:val="00A37F77"/>
    <w:pPr>
      <w:numPr>
        <w:ilvl w:val="1"/>
        <w:numId w:val="18"/>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link w:val="tableheaderwithintableChar"/>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2"/>
      </w:numPr>
    </w:pPr>
  </w:style>
  <w:style w:type="numbering" w:styleId="1ai">
    <w:name w:val="Outline List 1"/>
    <w:basedOn w:val="NoList"/>
    <w:semiHidden/>
    <w:rsid w:val="003D6FD9"/>
    <w:pPr>
      <w:numPr>
        <w:numId w:val="13"/>
      </w:numPr>
    </w:pPr>
  </w:style>
  <w:style w:type="numbering" w:styleId="ArticleSection">
    <w:name w:val="Outline List 3"/>
    <w:basedOn w:val="NoList"/>
    <w:semiHidden/>
    <w:rsid w:val="003D6FD9"/>
    <w:pPr>
      <w:numPr>
        <w:numId w:val="14"/>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2"/>
      </w:numPr>
    </w:pPr>
  </w:style>
  <w:style w:type="paragraph" w:styleId="ListBullet2">
    <w:name w:val="List Bullet 2"/>
    <w:basedOn w:val="Normal"/>
    <w:semiHidden/>
    <w:rsid w:val="003D6FD9"/>
    <w:pPr>
      <w:numPr>
        <w:numId w:val="3"/>
      </w:numPr>
    </w:pPr>
  </w:style>
  <w:style w:type="paragraph" w:styleId="ListBullet3">
    <w:name w:val="List Bullet 3"/>
    <w:basedOn w:val="Normal"/>
    <w:semiHidden/>
    <w:rsid w:val="003D6FD9"/>
    <w:pPr>
      <w:numPr>
        <w:numId w:val="4"/>
      </w:numPr>
    </w:pPr>
  </w:style>
  <w:style w:type="paragraph" w:styleId="ListBullet4">
    <w:name w:val="List Bullet 4"/>
    <w:basedOn w:val="Normal"/>
    <w:semiHidden/>
    <w:rsid w:val="003D6FD9"/>
    <w:pPr>
      <w:numPr>
        <w:numId w:val="5"/>
      </w:numPr>
    </w:pPr>
  </w:style>
  <w:style w:type="paragraph" w:styleId="ListBullet5">
    <w:name w:val="List Bullet 5"/>
    <w:basedOn w:val="Normal"/>
    <w:semiHidden/>
    <w:rsid w:val="003D6FD9"/>
    <w:pPr>
      <w:numPr>
        <w:numId w:val="6"/>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7"/>
      </w:numPr>
    </w:pPr>
  </w:style>
  <w:style w:type="paragraph" w:styleId="ListNumber2">
    <w:name w:val="List Number 2"/>
    <w:basedOn w:val="Normal"/>
    <w:semiHidden/>
    <w:rsid w:val="003D6FD9"/>
    <w:pPr>
      <w:numPr>
        <w:numId w:val="8"/>
      </w:numPr>
    </w:pPr>
  </w:style>
  <w:style w:type="paragraph" w:styleId="ListNumber3">
    <w:name w:val="List Number 3"/>
    <w:basedOn w:val="Normal"/>
    <w:semiHidden/>
    <w:rsid w:val="003D6FD9"/>
    <w:pPr>
      <w:numPr>
        <w:numId w:val="9"/>
      </w:numPr>
    </w:pPr>
  </w:style>
  <w:style w:type="paragraph" w:styleId="ListNumber4">
    <w:name w:val="List Number 4"/>
    <w:basedOn w:val="Normal"/>
    <w:semiHidden/>
    <w:rsid w:val="003D6FD9"/>
    <w:pPr>
      <w:numPr>
        <w:numId w:val="10"/>
      </w:numPr>
    </w:pPr>
  </w:style>
  <w:style w:type="paragraph" w:styleId="ListNumber5">
    <w:name w:val="List Number 5"/>
    <w:basedOn w:val="Normal"/>
    <w:semiHidden/>
    <w:rsid w:val="003D6FD9"/>
    <w:pPr>
      <w:numPr>
        <w:numId w:val="11"/>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D6FD9"/>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character" w:customStyle="1" w:styleId="Font15point">
    <w:name w:val="Font 15 point"/>
    <w:basedOn w:val="DefaultParagraphFont"/>
    <w:rsid w:val="00B654ED"/>
    <w:rPr>
      <w:sz w:val="30"/>
    </w:rPr>
  </w:style>
  <w:style w:type="character" w:customStyle="1" w:styleId="Font30point">
    <w:name w:val="Font 30 point"/>
    <w:basedOn w:val="DefaultParagraphFont"/>
    <w:rsid w:val="00B654ED"/>
    <w:rPr>
      <w:sz w:val="60"/>
    </w:rPr>
  </w:style>
  <w:style w:type="paragraph" w:customStyle="1" w:styleId="Glossarytabletext">
    <w:name w:val="Glossary table text"/>
    <w:basedOn w:val="Normal"/>
    <w:rsid w:val="00123D96"/>
    <w:pPr>
      <w:spacing w:before="60" w:after="60"/>
    </w:pPr>
    <w:rPr>
      <w:sz w:val="20"/>
    </w:rPr>
  </w:style>
  <w:style w:type="character" w:customStyle="1" w:styleId="Font19point">
    <w:name w:val="Font 19 point"/>
    <w:basedOn w:val="DefaultParagraphFont"/>
    <w:rsid w:val="00FD4B5C"/>
    <w:rPr>
      <w:sz w:val="38"/>
    </w:rPr>
  </w:style>
  <w:style w:type="character" w:customStyle="1" w:styleId="base-text-paragraphChar">
    <w:name w:val="base-text-paragraph Char"/>
    <w:basedOn w:val="DefaultParagraphFont"/>
    <w:link w:val="base-text-paragraph"/>
    <w:rsid w:val="00B4622D"/>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B4622D"/>
    <w:pPr>
      <w:numPr>
        <w:numId w:val="20"/>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15"/>
      </w:numPr>
    </w:pPr>
  </w:style>
  <w:style w:type="numbering" w:customStyle="1" w:styleId="ExampleDotPointList">
    <w:name w:val="Example Dot Point List"/>
    <w:uiPriority w:val="99"/>
    <w:rsid w:val="008C51F4"/>
    <w:pPr>
      <w:numPr>
        <w:numId w:val="16"/>
      </w:numPr>
    </w:pPr>
  </w:style>
  <w:style w:type="numbering" w:customStyle="1" w:styleId="TableDotPointList">
    <w:name w:val="Table Dot Point List"/>
    <w:uiPriority w:val="99"/>
    <w:rsid w:val="00A37F77"/>
    <w:pPr>
      <w:numPr>
        <w:numId w:val="17"/>
      </w:numPr>
    </w:pPr>
  </w:style>
  <w:style w:type="character" w:customStyle="1" w:styleId="tableheaderwithintableChar">
    <w:name w:val="table header (within table) Char"/>
    <w:basedOn w:val="DefaultParagraphFont"/>
    <w:link w:val="tableheaderwithintable"/>
    <w:rsid w:val="00483461"/>
    <w:rPr>
      <w:b/>
      <w:i/>
    </w:rPr>
  </w:style>
  <w:style w:type="character" w:customStyle="1" w:styleId="Heading2Char">
    <w:name w:val="Heading 2 Char"/>
    <w:basedOn w:val="DefaultParagraphFont"/>
    <w:link w:val="Heading2"/>
    <w:rsid w:val="00483461"/>
    <w:rPr>
      <w:rFonts w:ascii="Helvetica" w:hAnsi="Helvetica"/>
      <w:b/>
      <w:sz w:val="26"/>
    </w:rPr>
  </w:style>
  <w:style w:type="character" w:customStyle="1" w:styleId="Heading3Char">
    <w:name w:val="Heading 3 Char"/>
    <w:basedOn w:val="DefaultParagraphFont"/>
    <w:link w:val="Heading3"/>
    <w:rsid w:val="00483461"/>
    <w:rPr>
      <w:rFonts w:ascii="Helvetica" w:hAnsi="Helvetica"/>
      <w:b/>
      <w:sz w:val="22"/>
    </w:rPr>
  </w:style>
  <w:style w:type="character" w:customStyle="1" w:styleId="Heading4Char">
    <w:name w:val="Heading 4 Char"/>
    <w:basedOn w:val="DefaultParagraphFont"/>
    <w:link w:val="Heading4"/>
    <w:locked/>
    <w:rsid w:val="00483461"/>
    <w:rPr>
      <w:b/>
      <w:i/>
      <w:sz w:val="22"/>
    </w:rPr>
  </w:style>
  <w:style w:type="character" w:styleId="CommentReference">
    <w:name w:val="annotation reference"/>
    <w:basedOn w:val="DefaultParagraphFont"/>
    <w:rsid w:val="00325E95"/>
    <w:rPr>
      <w:sz w:val="16"/>
      <w:szCs w:val="16"/>
    </w:rPr>
  </w:style>
  <w:style w:type="paragraph" w:styleId="CommentText">
    <w:name w:val="annotation text"/>
    <w:basedOn w:val="Normal"/>
    <w:link w:val="CommentTextChar"/>
    <w:rsid w:val="00325E95"/>
    <w:pPr>
      <w:spacing w:before="0" w:after="0"/>
    </w:pPr>
    <w:rPr>
      <w:sz w:val="20"/>
    </w:rPr>
  </w:style>
  <w:style w:type="character" w:customStyle="1" w:styleId="CommentTextChar">
    <w:name w:val="Comment Text Char"/>
    <w:basedOn w:val="DefaultParagraphFont"/>
    <w:link w:val="CommentText"/>
    <w:rsid w:val="00325E95"/>
  </w:style>
  <w:style w:type="paragraph" w:styleId="BalloonText">
    <w:name w:val="Balloon Text"/>
    <w:basedOn w:val="Normal"/>
    <w:link w:val="BalloonTextChar"/>
    <w:rsid w:val="00325E95"/>
    <w:rPr>
      <w:rFonts w:ascii="Tahoma" w:hAnsi="Tahoma"/>
      <w:sz w:val="16"/>
      <w:szCs w:val="16"/>
    </w:rPr>
  </w:style>
  <w:style w:type="character" w:customStyle="1" w:styleId="BalloonTextChar">
    <w:name w:val="Balloon Text Char"/>
    <w:basedOn w:val="DefaultParagraphFont"/>
    <w:link w:val="BalloonText"/>
    <w:rsid w:val="00325E95"/>
    <w:rPr>
      <w:rFonts w:ascii="Tahoma" w:hAnsi="Tahoma"/>
      <w:sz w:val="16"/>
      <w:szCs w:val="16"/>
    </w:rPr>
  </w:style>
  <w:style w:type="character" w:customStyle="1" w:styleId="Heading1Char">
    <w:name w:val="Heading 1 Char"/>
    <w:basedOn w:val="DefaultParagraphFont"/>
    <w:link w:val="Heading1"/>
    <w:rsid w:val="00325E95"/>
    <w:rPr>
      <w:rFonts w:ascii="Helvetica" w:hAnsi="Helvetica"/>
      <w:b/>
      <w:caps/>
      <w:sz w:val="28"/>
    </w:rPr>
  </w:style>
  <w:style w:type="character" w:customStyle="1" w:styleId="tabletextChar">
    <w:name w:val="table text Char"/>
    <w:basedOn w:val="DefaultParagraphFont"/>
    <w:link w:val="tabletext"/>
    <w:rsid w:val="00325E95"/>
  </w:style>
  <w:style w:type="paragraph" w:styleId="CommentSubject">
    <w:name w:val="annotation subject"/>
    <w:basedOn w:val="CommentText"/>
    <w:next w:val="CommentText"/>
    <w:link w:val="CommentSubjectChar"/>
    <w:rsid w:val="00325E95"/>
    <w:pPr>
      <w:spacing w:before="120" w:after="120"/>
    </w:pPr>
    <w:rPr>
      <w:b/>
      <w:bCs/>
    </w:rPr>
  </w:style>
  <w:style w:type="character" w:customStyle="1" w:styleId="CommentSubjectChar">
    <w:name w:val="Comment Subject Char"/>
    <w:basedOn w:val="CommentTextChar"/>
    <w:link w:val="CommentSubject"/>
    <w:rsid w:val="00325E95"/>
    <w:rPr>
      <w:b/>
      <w:bCs/>
    </w:rPr>
  </w:style>
  <w:style w:type="paragraph" w:customStyle="1" w:styleId="Bullet">
    <w:name w:val="Bullet"/>
    <w:basedOn w:val="Normal"/>
    <w:rsid w:val="00325E95"/>
    <w:pPr>
      <w:numPr>
        <w:numId w:val="19"/>
      </w:numPr>
    </w:pPr>
  </w:style>
  <w:style w:type="paragraph" w:customStyle="1" w:styleId="Dash">
    <w:name w:val="Dash"/>
    <w:basedOn w:val="Normal"/>
    <w:rsid w:val="00325E95"/>
    <w:pPr>
      <w:numPr>
        <w:ilvl w:val="1"/>
        <w:numId w:val="19"/>
      </w:numPr>
    </w:pPr>
    <w:rPr>
      <w:sz w:val="18"/>
      <w:szCs w:val="18"/>
    </w:rPr>
  </w:style>
  <w:style w:type="paragraph" w:customStyle="1" w:styleId="DoubleDot">
    <w:name w:val="Double Dot"/>
    <w:basedOn w:val="Normal"/>
    <w:rsid w:val="00325E95"/>
    <w:pPr>
      <w:numPr>
        <w:ilvl w:val="2"/>
        <w:numId w:val="19"/>
      </w:numPr>
    </w:pPr>
    <w:rPr>
      <w:sz w:val="18"/>
      <w:szCs w:val="18"/>
    </w:rPr>
  </w:style>
  <w:style w:type="paragraph" w:customStyle="1" w:styleId="tabletext0">
    <w:name w:val="tabletext"/>
    <w:basedOn w:val="Normal"/>
    <w:rsid w:val="00325E95"/>
    <w:pPr>
      <w:spacing w:before="100" w:beforeAutospacing="1" w:after="100" w:afterAutospacing="1"/>
    </w:pPr>
    <w:rPr>
      <w:rFonts w:eastAsia="Calibri"/>
      <w:sz w:val="24"/>
      <w:szCs w:val="24"/>
    </w:rPr>
  </w:style>
  <w:style w:type="character" w:customStyle="1" w:styleId="charparttext">
    <w:name w:val="charparttext"/>
    <w:basedOn w:val="DefaultParagraphFont"/>
    <w:rsid w:val="00325E95"/>
  </w:style>
</w:styles>
</file>

<file path=word/webSettings.xml><?xml version="1.0" encoding="utf-8"?>
<w:webSettings xmlns:r="http://schemas.openxmlformats.org/officeDocument/2006/relationships" xmlns:w="http://schemas.openxmlformats.org/wordprocessingml/2006/main">
  <w:relyOnVML/>
  <w:allowPNG/>
  <w:doNotRelyOnCSS/>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10.xml"/><Relationship Id="rId39" Type="http://schemas.openxmlformats.org/officeDocument/2006/relationships/header" Target="header15.xml"/><Relationship Id="rId21" Type="http://schemas.openxmlformats.org/officeDocument/2006/relationships/footer" Target="footer7.xml"/><Relationship Id="rId34" Type="http://schemas.openxmlformats.org/officeDocument/2006/relationships/header" Target="header13.xml"/><Relationship Id="rId42" Type="http://schemas.openxmlformats.org/officeDocument/2006/relationships/footer" Target="footer20.xml"/><Relationship Id="rId47" Type="http://schemas.openxmlformats.org/officeDocument/2006/relationships/footer" Target="footer23.xml"/><Relationship Id="rId50" Type="http://schemas.openxmlformats.org/officeDocument/2006/relationships/footer" Target="footer24.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header" Target="header14.xml"/><Relationship Id="rId46" Type="http://schemas.openxmlformats.org/officeDocument/2006/relationships/footer" Target="footer2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19.xml"/><Relationship Id="rId54"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4.xml"/><Relationship Id="rId37" Type="http://schemas.openxmlformats.org/officeDocument/2006/relationships/footer" Target="footer17.xml"/><Relationship Id="rId40" Type="http://schemas.openxmlformats.org/officeDocument/2006/relationships/footer" Target="footer18.xml"/><Relationship Id="rId45" Type="http://schemas.openxmlformats.org/officeDocument/2006/relationships/footer" Target="footer21.xml"/><Relationship Id="rId53"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6.xml"/><Relationship Id="rId49"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13.xml"/><Relationship Id="rId44" Type="http://schemas.openxmlformats.org/officeDocument/2006/relationships/header" Target="header17.xml"/><Relationship Id="rId52" Type="http://schemas.openxmlformats.org/officeDocument/2006/relationships/footer" Target="footer2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header" Target="header16.xml"/><Relationship Id="rId48" Type="http://schemas.openxmlformats.org/officeDocument/2006/relationships/header" Target="header18.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25.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arliamentary\Explanatory%20Memorandu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D5E85-1140-4B11-8829-CAE8C48F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Explanatory Memorandum.dotm</Template>
  <TotalTime>2</TotalTime>
  <Pages>85</Pages>
  <Words>18902</Words>
  <Characters>97917</Characters>
  <Application>Microsoft Office Word</Application>
  <DocSecurity>0</DocSecurity>
  <Lines>2175</Lines>
  <Paragraphs>721</Paragraphs>
  <ScaleCrop>false</ScaleCrop>
  <HeadingPairs>
    <vt:vector size="2" baseType="variant">
      <vt:variant>
        <vt:lpstr>Title</vt:lpstr>
      </vt:variant>
      <vt:variant>
        <vt:i4>1</vt:i4>
      </vt:variant>
    </vt:vector>
  </HeadingPairs>
  <TitlesOfParts>
    <vt:vector size="1" baseType="lpstr">
      <vt:lpstr/>
    </vt:vector>
  </TitlesOfParts>
  <Company>The Treasury</Company>
  <LinksUpToDate>false</LinksUpToDate>
  <CharactersWithSpaces>116098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 Warren</dc:creator>
  <cp:lastModifiedBy>italit</cp:lastModifiedBy>
  <cp:revision>4</cp:revision>
  <cp:lastPrinted>2011-03-22T22:49:00Z</cp:lastPrinted>
  <dcterms:created xsi:type="dcterms:W3CDTF">2011-03-24T08:47:00Z</dcterms:created>
  <dcterms:modified xsi:type="dcterms:W3CDTF">2011-03-24T08:52:00Z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1695674268</vt:i4>
  </property>
  <property fmtid="{D5CDD505-2E9C-101B-9397-08002B2CF9AE}" pid="3" name="_NewReviewCycle">
    <vt:lpwstr/>
  </property>
  <property fmtid="{D5CDD505-2E9C-101B-9397-08002B2CF9AE}" pid="4" name="_EmailSubject">
    <vt:lpwstr>TLAB 2 and Alternative Fuels Bills 2011 explanatory memorandums</vt:lpwstr>
  </property>
  <property fmtid="{D5CDD505-2E9C-101B-9397-08002B2CF9AE}" pid="5" name="_AuthorEmail">
    <vt:lpwstr>Warren.Weiss@TREASURY.GOV.AU</vt:lpwstr>
  </property>
  <property fmtid="{D5CDD505-2E9C-101B-9397-08002B2CF9AE}" pid="6" name="_AuthorEmailDisplayName">
    <vt:lpwstr>Weiss, Warren</vt:lpwstr>
  </property>
  <property fmtid="{D5CDD505-2E9C-101B-9397-08002B2CF9AE}" pid="7" name="_ReviewingToolsShownOnce">
    <vt:lpwstr/>
  </property>
</Properties>
</file>