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9B" w:rsidRPr="0080049D" w:rsidRDefault="00604C33" w:rsidP="0049489B">
      <w:pPr>
        <w:spacing w:after="120"/>
        <w:jc w:val="center"/>
        <w:outlineLvl w:val="0"/>
      </w:pPr>
      <w:r>
        <w:t>2010-</w:t>
      </w:r>
      <w:r w:rsidR="005F09B4">
        <w:t>2011</w:t>
      </w:r>
    </w:p>
    <w:p w:rsidR="0049489B" w:rsidRPr="0080049D" w:rsidRDefault="0049489B" w:rsidP="0049489B">
      <w:pPr>
        <w:spacing w:after="120"/>
        <w:jc w:val="center"/>
        <w:outlineLvl w:val="0"/>
      </w:pPr>
    </w:p>
    <w:p w:rsidR="0049489B" w:rsidRPr="0080049D" w:rsidRDefault="0049489B" w:rsidP="0049489B">
      <w:pPr>
        <w:spacing w:after="120"/>
        <w:outlineLvl w:val="0"/>
      </w:pPr>
    </w:p>
    <w:p w:rsidR="0049489B" w:rsidRPr="0080049D" w:rsidRDefault="0049489B" w:rsidP="0049489B">
      <w:pPr>
        <w:spacing w:after="120"/>
        <w:outlineLvl w:val="0"/>
      </w:pPr>
    </w:p>
    <w:p w:rsidR="0049489B" w:rsidRPr="0080049D" w:rsidRDefault="0049489B" w:rsidP="0049489B">
      <w:pPr>
        <w:spacing w:after="120"/>
        <w:jc w:val="center"/>
        <w:outlineLvl w:val="0"/>
      </w:pPr>
      <w:r w:rsidRPr="0080049D">
        <w:t xml:space="preserve">THE PARLIAMENT OF THE COMMONWEALTH OF </w:t>
      </w:r>
      <w:smartTag w:uri="urn:schemas-microsoft-com:office:smarttags" w:element="place">
        <w:smartTag w:uri="urn:schemas-microsoft-com:office:smarttags" w:element="country-region">
          <w:r w:rsidRPr="0080049D">
            <w:t>AUSTRALIA</w:t>
          </w:r>
        </w:smartTag>
      </w:smartTag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EC0A67" w:rsidP="0049489B">
      <w:pPr>
        <w:spacing w:after="120"/>
        <w:jc w:val="center"/>
        <w:outlineLvl w:val="0"/>
      </w:pPr>
      <w:r>
        <w:t>HOUSE OF REPRESENTATIVES</w:t>
      </w: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BA6BD9" w:rsidRDefault="00BA6BD9" w:rsidP="0049489B">
      <w:pPr>
        <w:spacing w:after="120"/>
        <w:jc w:val="center"/>
        <w:rPr>
          <w:b/>
        </w:rPr>
      </w:pPr>
      <w:r>
        <w:rPr>
          <w:b/>
        </w:rPr>
        <w:t>S</w:t>
      </w:r>
      <w:r w:rsidR="009E1A9A">
        <w:rPr>
          <w:b/>
        </w:rPr>
        <w:t>AFETY</w:t>
      </w:r>
      <w:r w:rsidR="005F09B4">
        <w:rPr>
          <w:b/>
        </w:rPr>
        <w:t>, REHABILITATION AND COMPENSATION</w:t>
      </w:r>
      <w:r>
        <w:rPr>
          <w:b/>
        </w:rPr>
        <w:t xml:space="preserve"> </w:t>
      </w:r>
      <w:r w:rsidR="009E1A9A">
        <w:rPr>
          <w:b/>
        </w:rPr>
        <w:t>AND</w:t>
      </w:r>
      <w:r>
        <w:rPr>
          <w:b/>
        </w:rPr>
        <w:t xml:space="preserve"> O</w:t>
      </w:r>
      <w:r w:rsidR="009E1A9A">
        <w:rPr>
          <w:b/>
        </w:rPr>
        <w:t>THER</w:t>
      </w:r>
      <w:r>
        <w:rPr>
          <w:b/>
        </w:rPr>
        <w:t xml:space="preserve"> L</w:t>
      </w:r>
      <w:r w:rsidR="009E1A9A">
        <w:rPr>
          <w:b/>
        </w:rPr>
        <w:t>EGISLATION</w:t>
      </w:r>
      <w:r>
        <w:rPr>
          <w:b/>
        </w:rPr>
        <w:t xml:space="preserve"> A</w:t>
      </w:r>
      <w:r w:rsidR="009E1A9A">
        <w:rPr>
          <w:b/>
        </w:rPr>
        <w:t>MENDMENT</w:t>
      </w:r>
      <w:r>
        <w:rPr>
          <w:b/>
        </w:rPr>
        <w:t xml:space="preserve"> B</w:t>
      </w:r>
      <w:r w:rsidR="009E1A9A">
        <w:rPr>
          <w:b/>
        </w:rPr>
        <w:t>ILL</w:t>
      </w:r>
      <w:r>
        <w:rPr>
          <w:b/>
        </w:rPr>
        <w:t xml:space="preserve"> 20</w:t>
      </w:r>
      <w:r w:rsidR="005F09B4">
        <w:rPr>
          <w:b/>
        </w:rPr>
        <w:t>11</w:t>
      </w:r>
      <w:r>
        <w:rPr>
          <w:b/>
        </w:rPr>
        <w:t xml:space="preserve"> </w:t>
      </w: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  <w:outlineLvl w:val="0"/>
      </w:pPr>
      <w:r w:rsidRPr="0080049D">
        <w:t>EXPLANATORY MEMORANDUM</w:t>
      </w: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</w:pPr>
    </w:p>
    <w:p w:rsidR="0049489B" w:rsidRPr="0080049D" w:rsidRDefault="0049489B" w:rsidP="0049489B">
      <w:pPr>
        <w:spacing w:after="120"/>
        <w:jc w:val="center"/>
        <w:rPr>
          <w:sz w:val="20"/>
        </w:rPr>
      </w:pPr>
    </w:p>
    <w:p w:rsidR="0049489B" w:rsidRPr="0080049D" w:rsidRDefault="0049489B" w:rsidP="0049489B">
      <w:pPr>
        <w:spacing w:after="120"/>
        <w:jc w:val="center"/>
        <w:rPr>
          <w:sz w:val="20"/>
        </w:rPr>
      </w:pPr>
    </w:p>
    <w:p w:rsidR="0049489B" w:rsidRPr="0080049D" w:rsidRDefault="0049489B" w:rsidP="0049489B">
      <w:pPr>
        <w:spacing w:after="120"/>
        <w:jc w:val="center"/>
        <w:rPr>
          <w:sz w:val="20"/>
        </w:rPr>
      </w:pPr>
    </w:p>
    <w:p w:rsidR="0049489B" w:rsidRPr="0080049D" w:rsidRDefault="0049489B" w:rsidP="0049489B">
      <w:pPr>
        <w:spacing w:after="120"/>
        <w:jc w:val="center"/>
        <w:rPr>
          <w:sz w:val="20"/>
        </w:rPr>
      </w:pPr>
    </w:p>
    <w:p w:rsidR="0049489B" w:rsidRPr="0080049D" w:rsidRDefault="0049489B" w:rsidP="0049489B">
      <w:pPr>
        <w:spacing w:after="120"/>
        <w:jc w:val="center"/>
        <w:rPr>
          <w:sz w:val="20"/>
        </w:rPr>
      </w:pPr>
    </w:p>
    <w:p w:rsidR="0049489B" w:rsidRPr="0080049D" w:rsidRDefault="0049489B" w:rsidP="0049489B">
      <w:pPr>
        <w:spacing w:after="120"/>
        <w:rPr>
          <w:sz w:val="20"/>
        </w:rPr>
      </w:pPr>
    </w:p>
    <w:p w:rsidR="0049489B" w:rsidRPr="0080049D" w:rsidRDefault="0049489B" w:rsidP="0049489B">
      <w:pPr>
        <w:spacing w:after="120"/>
        <w:jc w:val="center"/>
      </w:pPr>
      <w:r w:rsidRPr="0080049D">
        <w:t xml:space="preserve">(Circulated by authority of the Minister for </w:t>
      </w:r>
      <w:r w:rsidR="00887CD9">
        <w:t>Ter</w:t>
      </w:r>
      <w:r w:rsidRPr="0080049D">
        <w:t>t</w:t>
      </w:r>
      <w:r w:rsidR="00887CD9">
        <w:t>iary Education, Skills, Jobs</w:t>
      </w:r>
      <w:r w:rsidRPr="0080049D">
        <w:t xml:space="preserve"> and </w:t>
      </w:r>
      <w:r w:rsidR="00887CD9">
        <w:br/>
      </w:r>
      <w:r w:rsidRPr="0080049D">
        <w:t xml:space="preserve">Workplace Relations, the Honourable </w:t>
      </w:r>
      <w:r w:rsidR="005F09B4">
        <w:t>Chris Evans</w:t>
      </w:r>
      <w:r w:rsidRPr="0080049D">
        <w:t xml:space="preserve"> MP)</w:t>
      </w:r>
    </w:p>
    <w:p w:rsidR="003D3052" w:rsidRPr="0080049D" w:rsidRDefault="003D3052" w:rsidP="00FF478A">
      <w:pPr>
        <w:pStyle w:val="EMPartHeading"/>
        <w:sectPr w:rsidR="003D3052" w:rsidRPr="0080049D" w:rsidSect="0044203F"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p w:rsidR="005F09B4" w:rsidRDefault="005F09B4" w:rsidP="005F09B4">
      <w:pPr>
        <w:spacing w:after="120"/>
        <w:jc w:val="center"/>
        <w:rPr>
          <w:b/>
        </w:rPr>
      </w:pPr>
      <w:r>
        <w:rPr>
          <w:b/>
        </w:rPr>
        <w:lastRenderedPageBreak/>
        <w:t xml:space="preserve">SAFETY, REHABILITATION AND COMPENSATION AND OTHER LEGISLATION AMENDMENT BILL 2011 </w:t>
      </w:r>
    </w:p>
    <w:p w:rsidR="009E1A9A" w:rsidRDefault="009E1A9A" w:rsidP="009F70B4">
      <w:pPr>
        <w:pStyle w:val="EMHeading"/>
      </w:pPr>
    </w:p>
    <w:p w:rsidR="0098321D" w:rsidRPr="001305A2" w:rsidRDefault="0098321D" w:rsidP="009F70B4">
      <w:pPr>
        <w:pStyle w:val="EMHeading"/>
      </w:pPr>
      <w:r w:rsidRPr="001305A2">
        <w:t>OUTLINE</w:t>
      </w:r>
    </w:p>
    <w:p w:rsidR="001305A2" w:rsidRPr="0080049D" w:rsidRDefault="001305A2" w:rsidP="009F70B4">
      <w:pPr>
        <w:pStyle w:val="EMHeading"/>
      </w:pPr>
    </w:p>
    <w:p w:rsidR="00EA0DC7" w:rsidRDefault="004F6EEC" w:rsidP="009C0315">
      <w:r>
        <w:t xml:space="preserve">The Bill amends the </w:t>
      </w:r>
      <w:r w:rsidRPr="008E6CCE">
        <w:rPr>
          <w:i/>
        </w:rPr>
        <w:t>Safety, Rehabilitation and Compensation Act</w:t>
      </w:r>
      <w:r w:rsidR="003824E3" w:rsidRPr="008E6CCE">
        <w:rPr>
          <w:i/>
        </w:rPr>
        <w:t xml:space="preserve"> 1988</w:t>
      </w:r>
      <w:r w:rsidR="00B8674B">
        <w:t xml:space="preserve"> </w:t>
      </w:r>
      <w:r w:rsidR="00E54ABE">
        <w:t>to:</w:t>
      </w:r>
    </w:p>
    <w:p w:rsidR="009C0315" w:rsidRDefault="009C0315" w:rsidP="009C0315"/>
    <w:p w:rsidR="00514B9B" w:rsidRPr="0080049D" w:rsidRDefault="00514B9B" w:rsidP="00DC6EA0">
      <w:pPr>
        <w:pStyle w:val="ListBullet"/>
        <w:numPr>
          <w:ilvl w:val="0"/>
          <w:numId w:val="39"/>
        </w:numPr>
      </w:pPr>
      <w:r>
        <w:t xml:space="preserve">enable Comcare to access the Consolidated Revenue Fund (CRF) to pay compensation claims in respect of diseases with </w:t>
      </w:r>
      <w:r w:rsidR="00EA0DC7">
        <w:t xml:space="preserve">a </w:t>
      </w:r>
      <w:r>
        <w:t>long latency period (such as asbestos related disease</w:t>
      </w:r>
      <w:r w:rsidR="00EA0DC7">
        <w:t>s</w:t>
      </w:r>
      <w:r>
        <w:t xml:space="preserve">) where the employment period was </w:t>
      </w:r>
      <w:r w:rsidRPr="00AA3F99">
        <w:t>pre</w:t>
      </w:r>
      <w:r>
        <w:noBreakHyphen/>
        <w:t>1 December 1988 but where the condition did not manife</w:t>
      </w:r>
      <w:r w:rsidR="00EA0DC7">
        <w:t>st itself until after that date;</w:t>
      </w:r>
    </w:p>
    <w:p w:rsidR="00E54ABE" w:rsidRDefault="00E54ABE" w:rsidP="00E54ABE">
      <w:pPr>
        <w:pStyle w:val="ListBullet"/>
        <w:numPr>
          <w:ilvl w:val="0"/>
          <w:numId w:val="39"/>
        </w:numPr>
      </w:pPr>
      <w:r>
        <w:rPr>
          <w:szCs w:val="24"/>
        </w:rPr>
        <w:t>allow for continuous workers’ compensation coverage for employees while overseas and who are in a declared place, or who belong to a declared class of employee. An example of the latter might be members of the Australian Civilian Corps;</w:t>
      </w:r>
    </w:p>
    <w:p w:rsidR="00B8674B" w:rsidRPr="0080049D" w:rsidRDefault="00B8674B" w:rsidP="00DC6EA0">
      <w:pPr>
        <w:pStyle w:val="ListBullet"/>
        <w:numPr>
          <w:ilvl w:val="0"/>
          <w:numId w:val="39"/>
        </w:numPr>
      </w:pPr>
      <w:r>
        <w:t>re-instate claims arising from off</w:t>
      </w:r>
      <w:r w:rsidR="00D24DCE">
        <w:noBreakHyphen/>
      </w:r>
      <w:r>
        <w:t>site recess injuries;</w:t>
      </w:r>
    </w:p>
    <w:p w:rsidR="00994F68" w:rsidRDefault="00B8674B" w:rsidP="00DC6EA0">
      <w:pPr>
        <w:pStyle w:val="ListBullet"/>
        <w:numPr>
          <w:ilvl w:val="0"/>
          <w:numId w:val="39"/>
        </w:numPr>
      </w:pPr>
      <w:r>
        <w:t xml:space="preserve">allow </w:t>
      </w:r>
      <w:r w:rsidR="00994F68">
        <w:t xml:space="preserve">compensation for medical expenses </w:t>
      </w:r>
      <w:r>
        <w:t>to be paid, where payment of other compensation is suspended</w:t>
      </w:r>
      <w:r w:rsidR="00994F68">
        <w:t xml:space="preserve">; </w:t>
      </w:r>
      <w:r w:rsidR="00E54ABE">
        <w:t>and</w:t>
      </w:r>
    </w:p>
    <w:p w:rsidR="005F09B4" w:rsidRDefault="00DE1288" w:rsidP="00DC6EA0">
      <w:pPr>
        <w:pStyle w:val="ListBullet"/>
        <w:numPr>
          <w:ilvl w:val="0"/>
          <w:numId w:val="39"/>
        </w:numPr>
      </w:pPr>
      <w:r>
        <w:t>allow for</w:t>
      </w:r>
      <w:r w:rsidR="00B8674B">
        <w:t xml:space="preserve"> time limits for claim determination</w:t>
      </w:r>
      <w:r w:rsidR="005F09B4">
        <w:t>;</w:t>
      </w:r>
    </w:p>
    <w:p w:rsidR="00B8674B" w:rsidRDefault="00B8674B" w:rsidP="009C0315"/>
    <w:p w:rsidR="004F6EEC" w:rsidRDefault="00272714" w:rsidP="009C0315">
      <w:r>
        <w:t>The Bill also makes a number of</w:t>
      </w:r>
      <w:r w:rsidR="004F6EEC">
        <w:t xml:space="preserve"> minor technical amendments to the </w:t>
      </w:r>
      <w:r w:rsidR="00E54ABE" w:rsidRPr="008E6CCE">
        <w:rPr>
          <w:i/>
        </w:rPr>
        <w:t>Occupational Health and Safety (Maritime Industry) Act 1993</w:t>
      </w:r>
      <w:r w:rsidR="00E54ABE">
        <w:t xml:space="preserve"> </w:t>
      </w:r>
      <w:r w:rsidR="00E54ABE" w:rsidRPr="0050688E">
        <w:t>and</w:t>
      </w:r>
      <w:r w:rsidR="00E54ABE">
        <w:t xml:space="preserve"> the </w:t>
      </w:r>
      <w:r w:rsidR="00E54ABE" w:rsidRPr="00EA0DC7">
        <w:rPr>
          <w:i/>
        </w:rPr>
        <w:t>Seafarers Rehabilitation and Compensation Act 1992</w:t>
      </w:r>
      <w:r w:rsidR="004F6EEC">
        <w:t xml:space="preserve"> which are consequential on the commencement of the </w:t>
      </w:r>
      <w:r w:rsidR="004F6EEC" w:rsidRPr="00272714">
        <w:rPr>
          <w:i/>
        </w:rPr>
        <w:t>Legislative Instruments Act 2003</w:t>
      </w:r>
      <w:r w:rsidR="004F6EEC">
        <w:t>. The amendments do not in any</w:t>
      </w:r>
      <w:r w:rsidR="005E0896">
        <w:t xml:space="preserve"> </w:t>
      </w:r>
      <w:r w:rsidR="004F6EEC">
        <w:t xml:space="preserve">way </w:t>
      </w:r>
      <w:r w:rsidR="003824E3">
        <w:t>affect</w:t>
      </w:r>
      <w:r w:rsidR="004F6EEC">
        <w:t xml:space="preserve"> the operation of the amended Acts.</w:t>
      </w:r>
    </w:p>
    <w:p w:rsidR="007F3903" w:rsidRPr="0080049D" w:rsidRDefault="007F3903" w:rsidP="009C0315">
      <w:pPr>
        <w:sectPr w:rsidR="007F3903" w:rsidRPr="0080049D" w:rsidSect="0049489B">
          <w:headerReference w:type="default" r:id="rId12"/>
          <w:footerReference w:type="default" r:id="rId13"/>
          <w:pgSz w:w="11906" w:h="16838" w:code="9"/>
          <w:pgMar w:top="1418" w:right="1134" w:bottom="1418" w:left="1418" w:header="567" w:footer="567" w:gutter="0"/>
          <w:pgNumType w:start="1"/>
          <w:cols w:space="708"/>
          <w:docGrid w:linePitch="360"/>
        </w:sectPr>
      </w:pPr>
    </w:p>
    <w:p w:rsidR="00167794" w:rsidRPr="00167794" w:rsidRDefault="00167794" w:rsidP="00FF478A">
      <w:pPr>
        <w:pStyle w:val="EMPartHeading"/>
      </w:pPr>
      <w:r w:rsidRPr="00167794">
        <w:lastRenderedPageBreak/>
        <w:t xml:space="preserve">FINANCIAL IMPACT STATEMENT </w:t>
      </w:r>
    </w:p>
    <w:p w:rsidR="007F3903" w:rsidRPr="00167794" w:rsidRDefault="007F3903" w:rsidP="009F70B4">
      <w:pPr>
        <w:pStyle w:val="EMHeading"/>
      </w:pPr>
    </w:p>
    <w:p w:rsidR="00AA3F99" w:rsidRDefault="00167794" w:rsidP="00AA3F99">
      <w:r w:rsidRPr="00AA3F99">
        <w:t xml:space="preserve">It is estimated that the amendments to the </w:t>
      </w:r>
      <w:r w:rsidRPr="00AA3F99">
        <w:rPr>
          <w:i/>
          <w:iCs/>
        </w:rPr>
        <w:t>Safety,</w:t>
      </w:r>
      <w:r w:rsidR="00D24DCE">
        <w:rPr>
          <w:i/>
          <w:iCs/>
        </w:rPr>
        <w:t> </w:t>
      </w:r>
      <w:r w:rsidRPr="00AA3F99">
        <w:rPr>
          <w:i/>
          <w:iCs/>
        </w:rPr>
        <w:t>Rehabilitation</w:t>
      </w:r>
      <w:r w:rsidR="00D24DCE">
        <w:rPr>
          <w:i/>
          <w:iCs/>
        </w:rPr>
        <w:t> </w:t>
      </w:r>
      <w:r w:rsidRPr="00AA3F99">
        <w:rPr>
          <w:i/>
          <w:iCs/>
        </w:rPr>
        <w:t>and</w:t>
      </w:r>
      <w:r w:rsidR="00D24DCE">
        <w:rPr>
          <w:i/>
          <w:iCs/>
        </w:rPr>
        <w:t> </w:t>
      </w:r>
      <w:r w:rsidRPr="00AA3F99">
        <w:rPr>
          <w:i/>
          <w:iCs/>
        </w:rPr>
        <w:t>Compensation</w:t>
      </w:r>
      <w:r w:rsidR="00D24DCE">
        <w:rPr>
          <w:i/>
          <w:iCs/>
        </w:rPr>
        <w:t> </w:t>
      </w:r>
      <w:r w:rsidRPr="00AA3F99">
        <w:rPr>
          <w:i/>
          <w:iCs/>
        </w:rPr>
        <w:t>Act</w:t>
      </w:r>
      <w:r w:rsidR="00D24DCE">
        <w:rPr>
          <w:i/>
          <w:iCs/>
        </w:rPr>
        <w:t> </w:t>
      </w:r>
      <w:r w:rsidRPr="00AA3F99">
        <w:rPr>
          <w:i/>
          <w:iCs/>
        </w:rPr>
        <w:t>1988</w:t>
      </w:r>
      <w:r w:rsidRPr="00AA3F99">
        <w:t xml:space="preserve"> (SRC Act) </w:t>
      </w:r>
      <w:r w:rsidR="00AA3F99">
        <w:t>reinstating coverage for off</w:t>
      </w:r>
      <w:r w:rsidR="00D24DCE">
        <w:noBreakHyphen/>
      </w:r>
      <w:r w:rsidR="00AA3F99">
        <w:t xml:space="preserve">site recess breaks will </w:t>
      </w:r>
      <w:r w:rsidR="00AA3F99" w:rsidRPr="005D0A65">
        <w:t>cost</w:t>
      </w:r>
      <w:r w:rsidRPr="005D0A65">
        <w:t xml:space="preserve"> </w:t>
      </w:r>
      <w:r w:rsidR="005D0A65" w:rsidRPr="005D0A65">
        <w:t>Comcare $1.7m for 2010/11</w:t>
      </w:r>
      <w:r w:rsidR="00AA3F99">
        <w:t xml:space="preserve"> and the same for the forward years (adjusted for indexation of 4.5% p.a.). It is estimated that some 23% of medical costs (which are 25% of total claim costs) would otherwise be claimable through either Medicare or the</w:t>
      </w:r>
      <w:r w:rsidR="005D0A65">
        <w:t xml:space="preserve"> Pharmaceutical Benefits Scheme</w:t>
      </w:r>
      <w:r w:rsidR="00AA3F99">
        <w:t xml:space="preserve"> </w:t>
      </w:r>
      <w:r w:rsidR="005D0A65">
        <w:t>(</w:t>
      </w:r>
      <w:r w:rsidR="00AA3F99">
        <w:t>PBS</w:t>
      </w:r>
      <w:r w:rsidR="005D0A65">
        <w:t>)</w:t>
      </w:r>
      <w:r w:rsidR="00AA3F99">
        <w:t>.</w:t>
      </w:r>
    </w:p>
    <w:p w:rsidR="00AA3F99" w:rsidRDefault="00AA3F99" w:rsidP="00AA3F99"/>
    <w:p w:rsidR="00AA3F99" w:rsidRDefault="00AA3F99" w:rsidP="00AA3F99">
      <w:r>
        <w:t xml:space="preserve">Therefore the proposal would result in a net savings to the </w:t>
      </w:r>
      <w:r w:rsidR="005D0A65" w:rsidRPr="005D0A65">
        <w:t>PBS of $136,000 for 20</w:t>
      </w:r>
      <w:r w:rsidRPr="005D0A65">
        <w:t>10</w:t>
      </w:r>
      <w:r w:rsidR="005D0A65">
        <w:t>/11</w:t>
      </w:r>
      <w:r>
        <w:t xml:space="preserve"> and the same amount indexed for medical cost inflation over the forward years.</w:t>
      </w:r>
    </w:p>
    <w:p w:rsidR="005D0A65" w:rsidRDefault="005D0A65" w:rsidP="00AA3F99"/>
    <w:p w:rsidR="005D0A65" w:rsidRPr="0080049D" w:rsidRDefault="005D0A65" w:rsidP="00AA3F99">
      <w:r>
        <w:t xml:space="preserve">It is estimated that the amendments to the SRC Act that </w:t>
      </w:r>
      <w:r w:rsidR="00723341">
        <w:t>will allow the payment</w:t>
      </w:r>
      <w:r>
        <w:t xml:space="preserve"> of medical costs </w:t>
      </w:r>
      <w:r w:rsidR="00723341">
        <w:t>while an employee’s other benefits are suspended,</w:t>
      </w:r>
      <w:r>
        <w:t xml:space="preserve"> will cost Comcare’s premiums pool $24,000 for 2010/11 and the same for the forward years (adjusted for indexation of 4.5% p.a.).</w:t>
      </w:r>
    </w:p>
    <w:p w:rsidR="007F3903" w:rsidRDefault="007F3903" w:rsidP="009C0315"/>
    <w:p w:rsidR="00A564D5" w:rsidRDefault="00680E8F" w:rsidP="009C0315">
      <w:r>
        <w:t>It is estimated that the cost of introducing continuous coverage for employees who are injured while overseas and are in a declared place or who belong to a declared class of employee, would be in the order of $2 million p</w:t>
      </w:r>
      <w:r w:rsidR="003D34B6">
        <w:t>.</w:t>
      </w:r>
      <w:r>
        <w:t>a.</w:t>
      </w:r>
    </w:p>
    <w:p w:rsidR="00A564D5" w:rsidRDefault="00A564D5" w:rsidP="009C0315"/>
    <w:p w:rsidR="00AA3F99" w:rsidRPr="0080049D" w:rsidRDefault="00AA3F99" w:rsidP="009C0315">
      <w:r>
        <w:t>The remaining amendments are expected to have a nil financial impact.</w:t>
      </w:r>
    </w:p>
    <w:p w:rsidR="007F3903" w:rsidRPr="0080049D" w:rsidRDefault="007F3903" w:rsidP="009C0315"/>
    <w:p w:rsidR="007F3903" w:rsidRPr="0080049D" w:rsidRDefault="007F3903" w:rsidP="009C0315">
      <w:pPr>
        <w:sectPr w:rsidR="007F3903" w:rsidRPr="0080049D" w:rsidSect="0044203F">
          <w:headerReference w:type="default" r:id="rId14"/>
          <w:footerReference w:type="default" r:id="rId15"/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p w:rsidR="0098321D" w:rsidRDefault="004C33C3" w:rsidP="009F70B4">
      <w:pPr>
        <w:pStyle w:val="EMHeading"/>
      </w:pPr>
      <w:r w:rsidRPr="0080049D">
        <w:lastRenderedPageBreak/>
        <w:t>NOTES ON CLAUSES</w:t>
      </w:r>
    </w:p>
    <w:p w:rsidR="00B34E00" w:rsidRPr="00B34E00" w:rsidRDefault="00B34E00" w:rsidP="009F70B4">
      <w:pPr>
        <w:pStyle w:val="EMHeading"/>
      </w:pPr>
    </w:p>
    <w:p w:rsidR="00B34E00" w:rsidRPr="0080049D" w:rsidRDefault="00B34E00" w:rsidP="009F70B4">
      <w:pPr>
        <w:pStyle w:val="EMHeading"/>
      </w:pPr>
      <w:r>
        <w:t>Part 1</w:t>
      </w:r>
      <w:r w:rsidR="00D24DCE">
        <w:t>—</w:t>
      </w:r>
      <w:r>
        <w:t>Preliminary</w:t>
      </w:r>
    </w:p>
    <w:p w:rsidR="001305A2" w:rsidRDefault="001305A2" w:rsidP="009F70B4">
      <w:pPr>
        <w:pStyle w:val="EMHeading"/>
      </w:pPr>
    </w:p>
    <w:p w:rsidR="003549A2" w:rsidRPr="004E6BD2" w:rsidRDefault="003549A2" w:rsidP="009F70B4">
      <w:pPr>
        <w:pStyle w:val="EMHeading"/>
      </w:pPr>
      <w:r w:rsidRPr="004E6BD2">
        <w:t>Clause 1</w:t>
      </w:r>
      <w:r w:rsidR="00D24DCE">
        <w:t>—</w:t>
      </w:r>
      <w:r w:rsidRPr="004E6BD2">
        <w:t>Short title</w:t>
      </w:r>
    </w:p>
    <w:p w:rsidR="001305A2" w:rsidRDefault="001305A2" w:rsidP="009C0315">
      <w:pPr>
        <w:pStyle w:val="EMTExtPrelim"/>
      </w:pPr>
    </w:p>
    <w:p w:rsidR="003549A2" w:rsidRPr="0080049D" w:rsidRDefault="003549A2" w:rsidP="009C0315">
      <w:pPr>
        <w:pStyle w:val="EMTExtPrelim"/>
      </w:pPr>
      <w:r w:rsidRPr="0080049D">
        <w:t>This is a formal provision specifying the short title of the Act</w:t>
      </w:r>
      <w:r w:rsidR="00490D8C" w:rsidRPr="00490D8C">
        <w:t xml:space="preserve">.  </w:t>
      </w:r>
    </w:p>
    <w:p w:rsidR="001305A2" w:rsidRDefault="001305A2" w:rsidP="009F70B4">
      <w:pPr>
        <w:pStyle w:val="EMHeading"/>
      </w:pPr>
    </w:p>
    <w:p w:rsidR="003549A2" w:rsidRPr="0080049D" w:rsidRDefault="003549A2" w:rsidP="009F70B4">
      <w:pPr>
        <w:pStyle w:val="EMHeading"/>
      </w:pPr>
      <w:r w:rsidRPr="0080049D">
        <w:t>Clause 2</w:t>
      </w:r>
      <w:r w:rsidR="00D24DCE">
        <w:t>—</w:t>
      </w:r>
      <w:r w:rsidRPr="0080049D">
        <w:t>Commencement </w:t>
      </w:r>
    </w:p>
    <w:p w:rsidR="001305A2" w:rsidRDefault="001305A2" w:rsidP="009C0315">
      <w:pPr>
        <w:pStyle w:val="EMTExtPrelim"/>
      </w:pPr>
    </w:p>
    <w:p w:rsidR="003549A2" w:rsidRPr="0080049D" w:rsidRDefault="003824E3" w:rsidP="009C0315">
      <w:pPr>
        <w:pStyle w:val="EMTExtPrelim"/>
      </w:pPr>
      <w:r>
        <w:t>This clause specifies when the Act commence</w:t>
      </w:r>
      <w:r w:rsidR="0028604C">
        <w:t>s.</w:t>
      </w:r>
    </w:p>
    <w:p w:rsidR="001305A2" w:rsidRDefault="001305A2" w:rsidP="009F70B4">
      <w:pPr>
        <w:pStyle w:val="EMHeading"/>
      </w:pPr>
    </w:p>
    <w:p w:rsidR="003549A2" w:rsidRPr="0080049D" w:rsidRDefault="003549A2" w:rsidP="009F70B4">
      <w:pPr>
        <w:pStyle w:val="EMHeading"/>
      </w:pPr>
      <w:r w:rsidRPr="0080049D">
        <w:t>Clause 3</w:t>
      </w:r>
      <w:r w:rsidR="00D24DCE">
        <w:t>—</w:t>
      </w:r>
      <w:r w:rsidRPr="0080049D">
        <w:t>Schedule(s)</w:t>
      </w:r>
    </w:p>
    <w:p w:rsidR="001305A2" w:rsidRDefault="001305A2" w:rsidP="009C0315">
      <w:pPr>
        <w:pStyle w:val="EMTExtPrelim"/>
        <w:keepNext/>
        <w:keepLines/>
      </w:pPr>
    </w:p>
    <w:p w:rsidR="0035717C" w:rsidRDefault="003549A2" w:rsidP="00A31EBA">
      <w:pPr>
        <w:pStyle w:val="EMTExtPrelim"/>
        <w:keepNext/>
        <w:keepLines/>
      </w:pPr>
      <w:r w:rsidRPr="0080049D">
        <w:t>This clause provide</w:t>
      </w:r>
      <w:r w:rsidR="00A31EBA">
        <w:t>s</w:t>
      </w:r>
      <w:r w:rsidRPr="0080049D">
        <w:t xml:space="preserve"> that an Act that is specified in a Schedule is amended or repealed as set out in that Schedule</w:t>
      </w:r>
      <w:r w:rsidR="003824E3">
        <w:t xml:space="preserve">. The Schedule contains amendments to the </w:t>
      </w:r>
      <w:r w:rsidR="003824E3" w:rsidRPr="00A31EBA">
        <w:rPr>
          <w:i/>
        </w:rPr>
        <w:t>Occupational Health and Safety (Maritime Industry) Act 1993</w:t>
      </w:r>
      <w:r w:rsidR="003824E3">
        <w:t xml:space="preserve">; </w:t>
      </w:r>
      <w:r w:rsidR="003824E3" w:rsidRPr="00A31EBA">
        <w:rPr>
          <w:i/>
        </w:rPr>
        <w:t>Safety, Rehabilitation and</w:t>
      </w:r>
      <w:r w:rsidR="003824E3">
        <w:t xml:space="preserve"> </w:t>
      </w:r>
      <w:r w:rsidR="003824E3" w:rsidRPr="00A31EBA">
        <w:rPr>
          <w:i/>
        </w:rPr>
        <w:t>Compensation Act 1988</w:t>
      </w:r>
      <w:r w:rsidR="00A31EBA">
        <w:rPr>
          <w:i/>
        </w:rPr>
        <w:t>;</w:t>
      </w:r>
      <w:r w:rsidR="003824E3">
        <w:t xml:space="preserve"> and </w:t>
      </w:r>
      <w:r w:rsidR="00B748A2">
        <w:br/>
      </w:r>
      <w:r w:rsidR="003824E3" w:rsidRPr="00A31EBA">
        <w:rPr>
          <w:i/>
        </w:rPr>
        <w:t>Seafarers Rehabilita</w:t>
      </w:r>
      <w:r w:rsidR="00994F68" w:rsidRPr="00A31EBA">
        <w:rPr>
          <w:i/>
        </w:rPr>
        <w:t>tion and Compensation Act 1992</w:t>
      </w:r>
      <w:r w:rsidR="00994F68">
        <w:t>.</w:t>
      </w:r>
    </w:p>
    <w:p w:rsidR="00A31EBA" w:rsidRDefault="00A31EBA" w:rsidP="00A31EBA">
      <w:pPr>
        <w:pStyle w:val="EMTExtPrelim"/>
        <w:keepNext/>
        <w:keepLines/>
      </w:pPr>
    </w:p>
    <w:p w:rsidR="00A31EBA" w:rsidRDefault="00A31EBA" w:rsidP="00A31EBA">
      <w:pPr>
        <w:pStyle w:val="EMTExtPrelim"/>
        <w:keepNext/>
        <w:keepLines/>
      </w:pPr>
      <w:r>
        <w:t>Any</w:t>
      </w:r>
      <w:r w:rsidRPr="0080049D">
        <w:t xml:space="preserve"> other item in a Schedule operates according to its terms</w:t>
      </w:r>
      <w:r w:rsidR="009C2EAD">
        <w:t>.</w:t>
      </w:r>
    </w:p>
    <w:p w:rsidR="006D4FA4" w:rsidRPr="0080049D" w:rsidRDefault="006D4FA4" w:rsidP="00FF478A">
      <w:pPr>
        <w:pStyle w:val="EMPartHeading"/>
        <w:sectPr w:rsidR="006D4FA4" w:rsidRPr="0080049D" w:rsidSect="00B73F56">
          <w:headerReference w:type="default" r:id="rId16"/>
          <w:footerReference w:type="default" r:id="rId17"/>
          <w:pgSz w:w="11906" w:h="16838" w:code="9"/>
          <w:pgMar w:top="1418" w:right="1134" w:bottom="1418" w:left="1418" w:header="567" w:footer="567" w:gutter="0"/>
          <w:pgNumType w:start="1"/>
          <w:cols w:space="708"/>
          <w:docGrid w:linePitch="360"/>
        </w:sectPr>
      </w:pPr>
    </w:p>
    <w:p w:rsidR="00B27E33" w:rsidRPr="009F70B4" w:rsidRDefault="00B27E33" w:rsidP="00FF478A">
      <w:pPr>
        <w:pStyle w:val="EMPartHeading"/>
      </w:pPr>
      <w:r w:rsidRPr="009F70B4">
        <w:lastRenderedPageBreak/>
        <w:t xml:space="preserve">Schedule </w:t>
      </w:r>
      <w:r w:rsidR="00A4627D">
        <w:t>1</w:t>
      </w:r>
      <w:r w:rsidR="00AA3181">
        <w:t>—</w:t>
      </w:r>
      <w:r w:rsidRPr="009F70B4">
        <w:t>Amendment of the Occupational Health and Safety</w:t>
      </w:r>
      <w:r w:rsidR="0050688E" w:rsidRPr="009F70B4">
        <w:t xml:space="preserve"> </w:t>
      </w:r>
      <w:r w:rsidR="009A698D" w:rsidRPr="009F70B4">
        <w:t>(Maritime Industry) Act 1993</w:t>
      </w:r>
    </w:p>
    <w:p w:rsidR="00B27E33" w:rsidRPr="009F70B4" w:rsidRDefault="00B27E33" w:rsidP="009F70B4">
      <w:pPr>
        <w:pStyle w:val="EMHeading"/>
        <w:rPr>
          <w:b w:val="0"/>
        </w:rPr>
      </w:pPr>
    </w:p>
    <w:p w:rsidR="00B27E33" w:rsidRPr="009F70B4" w:rsidRDefault="00B27E33" w:rsidP="009F70B4">
      <w:pPr>
        <w:pStyle w:val="EMHeading"/>
        <w:rPr>
          <w:b w:val="0"/>
        </w:rPr>
      </w:pPr>
      <w:r w:rsidRPr="009F70B4">
        <w:rPr>
          <w:b w:val="0"/>
        </w:rPr>
        <w:t xml:space="preserve">Schedule </w:t>
      </w:r>
      <w:r w:rsidR="00037E2C">
        <w:rPr>
          <w:b w:val="0"/>
        </w:rPr>
        <w:t>1</w:t>
      </w:r>
      <w:r w:rsidRPr="009F70B4">
        <w:rPr>
          <w:b w:val="0"/>
        </w:rPr>
        <w:t xml:space="preserve"> of the Bill makes a number of technical amendments to the </w:t>
      </w:r>
      <w:r w:rsidR="00834711" w:rsidRPr="00F35764">
        <w:rPr>
          <w:b w:val="0"/>
          <w:i/>
        </w:rPr>
        <w:t>Occupational Health and Safety (Maritime Industry) Act 1993</w:t>
      </w:r>
      <w:r w:rsidR="00834711" w:rsidRPr="009F70B4">
        <w:rPr>
          <w:b w:val="0"/>
        </w:rPr>
        <w:t xml:space="preserve"> (</w:t>
      </w:r>
      <w:r w:rsidRPr="009F70B4">
        <w:rPr>
          <w:b w:val="0"/>
        </w:rPr>
        <w:t>OHS</w:t>
      </w:r>
      <w:r w:rsidR="00834711" w:rsidRPr="009F70B4">
        <w:rPr>
          <w:b w:val="0"/>
        </w:rPr>
        <w:t>MI</w:t>
      </w:r>
      <w:r w:rsidRPr="009F70B4">
        <w:rPr>
          <w:b w:val="0"/>
        </w:rPr>
        <w:t xml:space="preserve"> Act</w:t>
      </w:r>
      <w:r w:rsidR="00834711" w:rsidRPr="009F70B4">
        <w:rPr>
          <w:b w:val="0"/>
        </w:rPr>
        <w:t>)</w:t>
      </w:r>
      <w:r w:rsidRPr="009F70B4">
        <w:rPr>
          <w:b w:val="0"/>
        </w:rPr>
        <w:t xml:space="preserve"> as a consequence of the commencement of the </w:t>
      </w:r>
      <w:r w:rsidRPr="00F35764">
        <w:rPr>
          <w:b w:val="0"/>
          <w:i/>
        </w:rPr>
        <w:t>Legislative Instruments Act 2003</w:t>
      </w:r>
      <w:r w:rsidRPr="009F70B4">
        <w:rPr>
          <w:b w:val="0"/>
        </w:rPr>
        <w:t>. These amendments do not in any way affect the operation of the provisions of the OHS</w:t>
      </w:r>
      <w:r w:rsidR="00834711" w:rsidRPr="009F70B4">
        <w:rPr>
          <w:b w:val="0"/>
        </w:rPr>
        <w:t>MI</w:t>
      </w:r>
      <w:r w:rsidRPr="009F70B4">
        <w:rPr>
          <w:b w:val="0"/>
        </w:rPr>
        <w:t xml:space="preserve"> Act.</w:t>
      </w:r>
    </w:p>
    <w:p w:rsidR="00B27E33" w:rsidRPr="009F70B4" w:rsidRDefault="00B27E33" w:rsidP="009F70B4">
      <w:pPr>
        <w:pStyle w:val="EMHeading"/>
        <w:rPr>
          <w:b w:val="0"/>
        </w:rPr>
      </w:pPr>
    </w:p>
    <w:p w:rsidR="00B27E33" w:rsidRPr="009F70B4" w:rsidRDefault="00B27E33" w:rsidP="009F70B4">
      <w:pPr>
        <w:pStyle w:val="EMHeading"/>
      </w:pPr>
      <w:r w:rsidRPr="009F70B4">
        <w:t>Item 1</w:t>
      </w:r>
      <w:r w:rsidR="00AA3181">
        <w:t>—</w:t>
      </w:r>
      <w:r w:rsidRPr="009F70B4">
        <w:t>Subsection</w:t>
      </w:r>
      <w:r w:rsidR="00A4627D">
        <w:t>s</w:t>
      </w:r>
      <w:r w:rsidRPr="009F70B4">
        <w:t xml:space="preserve"> 109(5)</w:t>
      </w:r>
      <w:r w:rsidR="00A4627D">
        <w:t xml:space="preserve"> and (6)</w:t>
      </w:r>
    </w:p>
    <w:p w:rsidR="00B27E33" w:rsidRPr="009F70B4" w:rsidRDefault="00B27E33" w:rsidP="009F70B4">
      <w:pPr>
        <w:pStyle w:val="EMHeading"/>
        <w:rPr>
          <w:b w:val="0"/>
        </w:rPr>
      </w:pPr>
    </w:p>
    <w:p w:rsidR="00037E2C" w:rsidRDefault="009938B8" w:rsidP="009F70B4">
      <w:pPr>
        <w:pStyle w:val="EMHeading"/>
        <w:rPr>
          <w:b w:val="0"/>
        </w:rPr>
      </w:pPr>
      <w:r w:rsidRPr="009F70B4">
        <w:rPr>
          <w:b w:val="0"/>
        </w:rPr>
        <w:t>Proposed ite</w:t>
      </w:r>
      <w:r w:rsidR="00F133F7" w:rsidRPr="009F70B4">
        <w:rPr>
          <w:b w:val="0"/>
        </w:rPr>
        <w:t>m 1 will repeal subsection</w:t>
      </w:r>
      <w:r w:rsidR="00037E2C">
        <w:rPr>
          <w:b w:val="0"/>
        </w:rPr>
        <w:t>s</w:t>
      </w:r>
      <w:r w:rsidR="00E54ABE">
        <w:rPr>
          <w:b w:val="0"/>
        </w:rPr>
        <w:t xml:space="preserve"> 109(5) and (6) and substitute a new subsection 109(5)</w:t>
      </w:r>
      <w:r w:rsidR="00037E2C">
        <w:rPr>
          <w:b w:val="0"/>
        </w:rPr>
        <w:t>.</w:t>
      </w:r>
    </w:p>
    <w:p w:rsidR="00037E2C" w:rsidRDefault="00037E2C" w:rsidP="009F70B4">
      <w:pPr>
        <w:pStyle w:val="EMHeading"/>
        <w:rPr>
          <w:b w:val="0"/>
        </w:rPr>
      </w:pPr>
    </w:p>
    <w:p w:rsidR="00037E2C" w:rsidRDefault="00037E2C" w:rsidP="009F70B4">
      <w:pPr>
        <w:pStyle w:val="EMHeading"/>
        <w:rPr>
          <w:b w:val="0"/>
        </w:rPr>
      </w:pPr>
      <w:r>
        <w:rPr>
          <w:b w:val="0"/>
        </w:rPr>
        <w:t xml:space="preserve">The proposed new subsection will clarify that a </w:t>
      </w:r>
      <w:r w:rsidR="00CF0B99">
        <w:rPr>
          <w:b w:val="0"/>
        </w:rPr>
        <w:t xml:space="preserve">new </w:t>
      </w:r>
      <w:r>
        <w:rPr>
          <w:b w:val="0"/>
        </w:rPr>
        <w:t xml:space="preserve">code of practice or the variation or revocation of a code, approved by the Minister, is a legislative instrument and accordingly, the provisions of the </w:t>
      </w:r>
      <w:r w:rsidRPr="009F70B4">
        <w:rPr>
          <w:b w:val="0"/>
          <w:i/>
        </w:rPr>
        <w:t>Legislative Instrument</w:t>
      </w:r>
      <w:r w:rsidR="00E54ABE">
        <w:rPr>
          <w:b w:val="0"/>
          <w:i/>
        </w:rPr>
        <w:t>s</w:t>
      </w:r>
      <w:r w:rsidRPr="009F70B4">
        <w:rPr>
          <w:b w:val="0"/>
          <w:i/>
        </w:rPr>
        <w:t xml:space="preserve"> Act 2003</w:t>
      </w:r>
      <w:r>
        <w:rPr>
          <w:b w:val="0"/>
        </w:rPr>
        <w:t xml:space="preserve"> will apply.</w:t>
      </w:r>
    </w:p>
    <w:p w:rsidR="00037E2C" w:rsidRPr="00FF478A" w:rsidRDefault="00037E2C" w:rsidP="009F70B4">
      <w:pPr>
        <w:pStyle w:val="EMHeading"/>
        <w:rPr>
          <w:b w:val="0"/>
        </w:rPr>
      </w:pPr>
    </w:p>
    <w:p w:rsidR="00BC44A1" w:rsidRDefault="00CF0B99" w:rsidP="00FF478A">
      <w:pPr>
        <w:pStyle w:val="EMPartHeading"/>
        <w:rPr>
          <w:b w:val="0"/>
        </w:rPr>
      </w:pPr>
      <w:r w:rsidRPr="00FF478A">
        <w:rPr>
          <w:b w:val="0"/>
        </w:rPr>
        <w:t>It also clarifies that the code of practice is made, varied or revoked by the Minister, and not some other body, on his or her approval.</w:t>
      </w:r>
    </w:p>
    <w:p w:rsidR="002D112E" w:rsidRDefault="002D112E" w:rsidP="00FF478A">
      <w:pPr>
        <w:pStyle w:val="EMPartHeading"/>
        <w:rPr>
          <w:b w:val="0"/>
        </w:rPr>
      </w:pPr>
    </w:p>
    <w:p w:rsidR="002D112E" w:rsidRPr="00B1265B" w:rsidRDefault="002D112E" w:rsidP="002D112E">
      <w:r w:rsidRPr="00B1265B">
        <w:t xml:space="preserve">Notwithstanding that the legislative instrument is made on the day of Ministerial approval, the legislative instrument takes effect in accordance with section 12 of the </w:t>
      </w:r>
      <w:r w:rsidRPr="00305C29">
        <w:rPr>
          <w:i/>
        </w:rPr>
        <w:t>Legislative Instrument</w:t>
      </w:r>
      <w:r w:rsidR="00E54ABE">
        <w:rPr>
          <w:i/>
        </w:rPr>
        <w:t>s</w:t>
      </w:r>
      <w:r w:rsidRPr="00305C29">
        <w:rPr>
          <w:i/>
        </w:rPr>
        <w:t xml:space="preserve"> Act 2003</w:t>
      </w:r>
      <w:r w:rsidRPr="00B1265B">
        <w:t>.</w:t>
      </w:r>
    </w:p>
    <w:p w:rsidR="002D112E" w:rsidRPr="00FF478A" w:rsidRDefault="002D112E" w:rsidP="00FF478A">
      <w:pPr>
        <w:pStyle w:val="EMPartHeading"/>
        <w:rPr>
          <w:b w:val="0"/>
        </w:rPr>
      </w:pPr>
    </w:p>
    <w:p w:rsidR="00B27E33" w:rsidRPr="002B6206" w:rsidRDefault="00B27E33" w:rsidP="001305A2"/>
    <w:p w:rsidR="009A698D" w:rsidRDefault="009A698D" w:rsidP="00FF478A">
      <w:pPr>
        <w:pStyle w:val="EMPartHeading"/>
        <w:sectPr w:rsidR="009A698D" w:rsidSect="0044203F">
          <w:headerReference w:type="default" r:id="rId18"/>
          <w:footerReference w:type="default" r:id="rId19"/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p w:rsidR="009A698D" w:rsidRPr="00FF478A" w:rsidRDefault="00A4627D" w:rsidP="00FF478A">
      <w:pPr>
        <w:pStyle w:val="EMPartHeading"/>
      </w:pPr>
      <w:r w:rsidRPr="00FF478A">
        <w:lastRenderedPageBreak/>
        <w:t>Schedule 2</w:t>
      </w:r>
      <w:r w:rsidR="00AA3181" w:rsidRPr="00FF478A">
        <w:t>—</w:t>
      </w:r>
      <w:r w:rsidR="009A698D" w:rsidRPr="00FF478A">
        <w:t>Amendment of the Safety, Rehabilitation and Compensation Act 1988</w:t>
      </w:r>
    </w:p>
    <w:p w:rsidR="000646C7" w:rsidRDefault="000646C7" w:rsidP="00FF478A">
      <w:pPr>
        <w:pStyle w:val="EMPartHeading"/>
      </w:pPr>
    </w:p>
    <w:p w:rsidR="00514B9B" w:rsidRPr="00514B9B" w:rsidRDefault="00FF478A" w:rsidP="00514B9B">
      <w:pPr>
        <w:pStyle w:val="ListBullet"/>
      </w:pPr>
      <w:r>
        <w:t>Schedule 2</w:t>
      </w:r>
      <w:r w:rsidR="00514B9B" w:rsidRPr="00514B9B">
        <w:t xml:space="preserve"> of the Bill contains amendments to the </w:t>
      </w:r>
      <w:r w:rsidR="00514B9B" w:rsidRPr="00514B9B">
        <w:rPr>
          <w:i/>
        </w:rPr>
        <w:t>Safety, Rehabilitation and Compensation Act 1988</w:t>
      </w:r>
      <w:r w:rsidR="00514B9B" w:rsidRPr="00514B9B">
        <w:t xml:space="preserve"> (SRC Act). </w:t>
      </w:r>
      <w:r w:rsidR="00F30381">
        <w:t xml:space="preserve"> </w:t>
      </w:r>
      <w:r w:rsidR="00514B9B" w:rsidRPr="00514B9B">
        <w:t>The principal amendment</w:t>
      </w:r>
      <w:r>
        <w:t>s</w:t>
      </w:r>
      <w:r w:rsidR="00514B9B" w:rsidRPr="00514B9B">
        <w:t xml:space="preserve"> will:</w:t>
      </w:r>
    </w:p>
    <w:p w:rsidR="00E54ABE" w:rsidRDefault="00E54ABE" w:rsidP="00E54ABE">
      <w:pPr>
        <w:pStyle w:val="ListBullet"/>
        <w:numPr>
          <w:ilvl w:val="0"/>
          <w:numId w:val="38"/>
        </w:numPr>
      </w:pPr>
      <w:r>
        <w:t>re-instate claims arising from off</w:t>
      </w:r>
      <w:r>
        <w:noBreakHyphen/>
        <w:t>site recess injuries (item 1);</w:t>
      </w:r>
    </w:p>
    <w:p w:rsidR="00E54ABE" w:rsidRPr="0080049D" w:rsidRDefault="00E54ABE" w:rsidP="00E54ABE">
      <w:pPr>
        <w:pStyle w:val="ListBullet"/>
        <w:numPr>
          <w:ilvl w:val="0"/>
          <w:numId w:val="38"/>
        </w:numPr>
      </w:pPr>
      <w:r>
        <w:t>allow for continuous coverage for employees who are overseas and are working in a declared place, or who belong to a declared class of employee (item 2);</w:t>
      </w:r>
    </w:p>
    <w:p w:rsidR="00E54ABE" w:rsidRDefault="00E54ABE" w:rsidP="00E54ABE">
      <w:pPr>
        <w:pStyle w:val="ListBullet"/>
        <w:numPr>
          <w:ilvl w:val="0"/>
          <w:numId w:val="38"/>
        </w:numPr>
      </w:pPr>
      <w:r>
        <w:t xml:space="preserve">allow for compensation for medical expenses to be paid, where payment of other compensation is suspended (items 3-5); </w:t>
      </w:r>
    </w:p>
    <w:p w:rsidR="00E54ABE" w:rsidRDefault="00E54ABE" w:rsidP="00514B9B">
      <w:pPr>
        <w:pStyle w:val="ListBullet"/>
        <w:numPr>
          <w:ilvl w:val="0"/>
          <w:numId w:val="38"/>
        </w:numPr>
      </w:pPr>
      <w:r>
        <w:t>allow for time limits for claim determination (items 6 and 7);</w:t>
      </w:r>
    </w:p>
    <w:p w:rsidR="00514B9B" w:rsidRDefault="00514B9B" w:rsidP="00514B9B">
      <w:pPr>
        <w:pStyle w:val="ListBullet"/>
        <w:numPr>
          <w:ilvl w:val="0"/>
          <w:numId w:val="38"/>
        </w:numPr>
      </w:pPr>
      <w:r>
        <w:t xml:space="preserve">enable Comcare to access the Consolidated Revenue Fund (CRF) to pay compensation claims in respect of diseases with </w:t>
      </w:r>
      <w:r w:rsidR="00FF478A">
        <w:t xml:space="preserve">a </w:t>
      </w:r>
      <w:r>
        <w:t>long latency period (such as asbestos related disease</w:t>
      </w:r>
      <w:r w:rsidR="00FF478A">
        <w:t>s</w:t>
      </w:r>
      <w:r>
        <w:t xml:space="preserve">) </w:t>
      </w:r>
      <w:r w:rsidR="00A801D7">
        <w:t>+</w:t>
      </w:r>
      <w:r>
        <w:t xml:space="preserve">where the employment period was </w:t>
      </w:r>
      <w:r w:rsidRPr="00AA3F99">
        <w:t>pre</w:t>
      </w:r>
      <w:r>
        <w:noBreakHyphen/>
        <w:t>1 December 1988 but where the condition did not manife</w:t>
      </w:r>
      <w:r w:rsidR="00FF478A">
        <w:t>st itself until after that date</w:t>
      </w:r>
      <w:r w:rsidR="00E54ABE">
        <w:t xml:space="preserve"> (item</w:t>
      </w:r>
      <w:r w:rsidR="00F30381">
        <w:t>s</w:t>
      </w:r>
      <w:r w:rsidR="00E54ABE">
        <w:t xml:space="preserve"> 8</w:t>
      </w:r>
      <w:r w:rsidR="00F30381">
        <w:t>-12</w:t>
      </w:r>
      <w:r w:rsidR="00E54ABE">
        <w:t>).</w:t>
      </w:r>
    </w:p>
    <w:p w:rsidR="00514B9B" w:rsidRPr="00514B9B" w:rsidRDefault="00514B9B" w:rsidP="00FF478A">
      <w:pPr>
        <w:pStyle w:val="EMPartHeading"/>
      </w:pPr>
    </w:p>
    <w:p w:rsidR="000646C7" w:rsidRPr="009F70B4" w:rsidRDefault="000646C7" w:rsidP="00FF478A">
      <w:pPr>
        <w:pStyle w:val="EMPartHeading"/>
      </w:pPr>
      <w:r w:rsidRPr="009F70B4">
        <w:t>Part 1</w:t>
      </w:r>
      <w:r w:rsidR="00E42E7F">
        <w:t>—</w:t>
      </w:r>
      <w:r w:rsidRPr="009F70B4">
        <w:t xml:space="preserve">Amendments </w:t>
      </w:r>
    </w:p>
    <w:p w:rsidR="009A698D" w:rsidRPr="009F70B4" w:rsidRDefault="009A698D" w:rsidP="00750B49">
      <w:pPr>
        <w:rPr>
          <w:b/>
        </w:rPr>
      </w:pPr>
    </w:p>
    <w:p w:rsidR="009A698D" w:rsidRPr="009F70B4" w:rsidRDefault="009A698D" w:rsidP="00750B49">
      <w:pPr>
        <w:rPr>
          <w:b/>
        </w:rPr>
      </w:pPr>
      <w:r w:rsidRPr="009F70B4">
        <w:rPr>
          <w:b/>
        </w:rPr>
        <w:t>Item 1</w:t>
      </w:r>
      <w:r w:rsidR="00AA3181">
        <w:rPr>
          <w:b/>
        </w:rPr>
        <w:t>—</w:t>
      </w:r>
      <w:r w:rsidRPr="009F70B4">
        <w:rPr>
          <w:b/>
        </w:rPr>
        <w:t>Paragraph 6(1)(b)</w:t>
      </w:r>
    </w:p>
    <w:p w:rsidR="009A698D" w:rsidRPr="00750B49" w:rsidRDefault="009A698D" w:rsidP="00750B49"/>
    <w:p w:rsidR="009A698D" w:rsidRDefault="009A698D" w:rsidP="00750B49">
      <w:r w:rsidRPr="00750B49">
        <w:t xml:space="preserve">Proposed item 1 will amend paragraph 6(1)(b) to allow claims to be made under the SRC Act which arise from injuries that occurred off-site </w:t>
      </w:r>
      <w:r w:rsidR="0079154B" w:rsidRPr="00750B49">
        <w:t xml:space="preserve">during </w:t>
      </w:r>
      <w:r w:rsidRPr="00750B49">
        <w:t xml:space="preserve">recess breaks. This </w:t>
      </w:r>
      <w:r w:rsidR="0085298F" w:rsidRPr="00750B49">
        <w:t xml:space="preserve">type of </w:t>
      </w:r>
      <w:r w:rsidRPr="00750B49">
        <w:t xml:space="preserve">coverage was provided prior to </w:t>
      </w:r>
      <w:r w:rsidR="0085298F" w:rsidRPr="00750B49">
        <w:t xml:space="preserve">13 </w:t>
      </w:r>
      <w:r w:rsidRPr="00750B49">
        <w:t>April 2007 and is now being reinstated.</w:t>
      </w:r>
    </w:p>
    <w:p w:rsidR="00A4627D" w:rsidRDefault="00A4627D" w:rsidP="00750B49"/>
    <w:p w:rsidR="00F30381" w:rsidRDefault="00F30381" w:rsidP="00F30381">
      <w:r>
        <w:t xml:space="preserve">Reinstatement of claims arising from off-site recess injuries was </w:t>
      </w:r>
      <w:r w:rsidRPr="00C909AF">
        <w:t>recommended by the ‘2008 Review of Self-insurance Arrangements under the Comcare Scheme’</w:t>
      </w:r>
      <w:r>
        <w:t>.</w:t>
      </w:r>
      <w:r w:rsidRPr="00C909AF">
        <w:t xml:space="preserve"> </w:t>
      </w:r>
    </w:p>
    <w:p w:rsidR="00F30381" w:rsidRDefault="00F30381" w:rsidP="00750B49">
      <w:pPr>
        <w:rPr>
          <w:b/>
        </w:rPr>
      </w:pPr>
    </w:p>
    <w:p w:rsidR="00A4627D" w:rsidRDefault="00D9214A" w:rsidP="00750B49">
      <w:pPr>
        <w:rPr>
          <w:b/>
        </w:rPr>
      </w:pPr>
      <w:r>
        <w:rPr>
          <w:b/>
        </w:rPr>
        <w:t>Item 2</w:t>
      </w:r>
      <w:r w:rsidR="00A4627D" w:rsidRPr="00A4627D">
        <w:rPr>
          <w:b/>
        </w:rPr>
        <w:t xml:space="preserve"> – At the end of subsection 6(1)</w:t>
      </w:r>
    </w:p>
    <w:p w:rsidR="00A4627D" w:rsidRDefault="00A4627D" w:rsidP="00750B49"/>
    <w:p w:rsidR="00FF478A" w:rsidRDefault="00F417DF" w:rsidP="00750B49">
      <w:r>
        <w:t>Subsection 6(1) provides</w:t>
      </w:r>
      <w:r w:rsidR="00E54ABE">
        <w:t xml:space="preserve"> for the </w:t>
      </w:r>
      <w:r>
        <w:t>circumstances</w:t>
      </w:r>
      <w:r w:rsidR="00E54ABE">
        <w:t xml:space="preserve"> in which </w:t>
      </w:r>
      <w:r>
        <w:t xml:space="preserve">an injury to an employee may be treated as having arisen out of, or in the course of, his or her employment </w:t>
      </w:r>
      <w:r w:rsidR="00E54ABE">
        <w:t xml:space="preserve">for the purposes of payment of compensation under the Act.  </w:t>
      </w:r>
    </w:p>
    <w:p w:rsidR="00F417DF" w:rsidRPr="00FF478A" w:rsidRDefault="00F417DF" w:rsidP="00750B49"/>
    <w:p w:rsidR="00F417DF" w:rsidRDefault="00620BE8" w:rsidP="00750B49">
      <w:r>
        <w:t>Proposed item 2</w:t>
      </w:r>
      <w:r w:rsidR="00A4627D">
        <w:t xml:space="preserve"> will amend subsection 6(1) to include </w:t>
      </w:r>
      <w:r w:rsidR="00F417DF">
        <w:t xml:space="preserve">two new situations where there will be a rebuttable presumption that </w:t>
      </w:r>
      <w:r w:rsidR="00F30381">
        <w:t>an</w:t>
      </w:r>
      <w:r w:rsidR="00F417DF">
        <w:t xml:space="preserve"> injury occurred in compensable circumstances.</w:t>
      </w:r>
      <w:r w:rsidR="003C7EA3">
        <w:t xml:space="preserve">  </w:t>
      </w:r>
    </w:p>
    <w:p w:rsidR="00F417DF" w:rsidRDefault="00F417DF" w:rsidP="00750B49"/>
    <w:p w:rsidR="003C7EA3" w:rsidRDefault="00F417DF" w:rsidP="00750B49">
      <w:r>
        <w:t xml:space="preserve">New paragraph (h) will provide that </w:t>
      </w:r>
      <w:r w:rsidR="00A4627D">
        <w:t>injuries which occurred while an employee was at a declared overseas place</w:t>
      </w:r>
      <w:r w:rsidR="00C873BD">
        <w:t>,</w:t>
      </w:r>
      <w:r w:rsidR="00A4627D">
        <w:t xml:space="preserve"> at the direction or request of the Commonwealth or a licensee,</w:t>
      </w:r>
      <w:r w:rsidR="00C873BD">
        <w:t xml:space="preserve"> will </w:t>
      </w:r>
      <w:r w:rsidR="0024612E">
        <w:t xml:space="preserve">automatically </w:t>
      </w:r>
      <w:r w:rsidR="00C873BD">
        <w:t xml:space="preserve">be presumed to be compensable.  </w:t>
      </w:r>
      <w:r w:rsidR="003C7EA3" w:rsidRPr="003C7EA3">
        <w:t>This means that so long as an employee is doing something that is reasonable</w:t>
      </w:r>
      <w:r w:rsidR="0024612E">
        <w:t xml:space="preserve"> (including outside normal working hours)</w:t>
      </w:r>
      <w:r w:rsidR="003C7EA3" w:rsidRPr="003C7EA3">
        <w:t>, in the circumstances of the overseas posting, he or she will be covered for compensation purposes.</w:t>
      </w:r>
      <w:r w:rsidR="0024612E">
        <w:t xml:space="preserve">  This presumption would still be subject to the existing exceptions around submission</w:t>
      </w:r>
      <w:r w:rsidR="006F3E16">
        <w:t xml:space="preserve"> to an abnormal risk of injury, an injury that is intentionally self-inflicted</w:t>
      </w:r>
      <w:r w:rsidR="0024612E">
        <w:t xml:space="preserve"> and </w:t>
      </w:r>
      <w:r w:rsidR="006F3E16">
        <w:t xml:space="preserve">injuries arising out of </w:t>
      </w:r>
      <w:r w:rsidR="0024612E">
        <w:t>serious and wilful misconduct.</w:t>
      </w:r>
    </w:p>
    <w:p w:rsidR="003C7EA3" w:rsidRDefault="003C7EA3" w:rsidP="00750B49"/>
    <w:p w:rsidR="00C873BD" w:rsidRDefault="00C873BD" w:rsidP="00750B49">
      <w:r>
        <w:t>It is anticipated that</w:t>
      </w:r>
      <w:r w:rsidR="00D87EC6">
        <w:t xml:space="preserve"> the Minister’s </w:t>
      </w:r>
      <w:r w:rsidR="00811E48">
        <w:t>declaration</w:t>
      </w:r>
      <w:r>
        <w:t xml:space="preserve"> </w:t>
      </w:r>
      <w:r w:rsidR="00D87EC6">
        <w:t xml:space="preserve">of places to which this new paragraph would apply </w:t>
      </w:r>
      <w:r>
        <w:t xml:space="preserve">would be limited to </w:t>
      </w:r>
      <w:r w:rsidR="00D87EC6">
        <w:t>areas</w:t>
      </w:r>
      <w:r>
        <w:t xml:space="preserve"> which are </w:t>
      </w:r>
      <w:r w:rsidR="008C3FE8">
        <w:t>significantly</w:t>
      </w:r>
      <w:r>
        <w:t xml:space="preserve"> dangerous and have a hig</w:t>
      </w:r>
      <w:r w:rsidR="00811E48">
        <w:t>her risk of injury, for example,</w:t>
      </w:r>
      <w:r>
        <w:t xml:space="preserve"> Iraq and Afghanistan. </w:t>
      </w:r>
    </w:p>
    <w:p w:rsidR="009A698D" w:rsidRDefault="009A698D" w:rsidP="00750B49"/>
    <w:p w:rsidR="00F5051E" w:rsidRDefault="00EA3E8F" w:rsidP="00750B49">
      <w:r>
        <w:t>New paragraph (</w:t>
      </w:r>
      <w:proofErr w:type="spellStart"/>
      <w:r>
        <w:t>i</w:t>
      </w:r>
      <w:proofErr w:type="spellEnd"/>
      <w:r>
        <w:t xml:space="preserve">) will operate in a similar way to </w:t>
      </w:r>
      <w:r w:rsidR="00F30381">
        <w:t xml:space="preserve">paragraph </w:t>
      </w:r>
      <w:r>
        <w:t>(h), but here the Minister may declare a class of employees, such as the proposed Australian Civilian Corps</w:t>
      </w:r>
      <w:r w:rsidR="00F5051E">
        <w:t xml:space="preserve"> (ACC)</w:t>
      </w:r>
      <w:r w:rsidR="00BE112C">
        <w:t>,</w:t>
      </w:r>
      <w:r w:rsidR="004C2F2E">
        <w:t xml:space="preserve"> to be </w:t>
      </w:r>
      <w:r w:rsidR="004C2F2E">
        <w:lastRenderedPageBreak/>
        <w:t>covered for the whole time they are overseas</w:t>
      </w:r>
      <w:r w:rsidR="00F5051E">
        <w:t xml:space="preserve">. Members of the ACC will be working in high risk environments and </w:t>
      </w:r>
      <w:r w:rsidR="00BE112C">
        <w:t>so</w:t>
      </w:r>
      <w:r w:rsidR="00F5051E">
        <w:t xml:space="preserve"> it is appropriate that, </w:t>
      </w:r>
      <w:r w:rsidR="00BE112C">
        <w:t>so long as</w:t>
      </w:r>
      <w:r w:rsidR="00F5051E">
        <w:t xml:space="preserve"> an ACC member is overseas</w:t>
      </w:r>
      <w:r w:rsidR="004C2F2E">
        <w:t>,</w:t>
      </w:r>
      <w:r w:rsidR="00F5051E">
        <w:t xml:space="preserve"> he or she is covered by the SRC Act.</w:t>
      </w:r>
    </w:p>
    <w:p w:rsidR="00FF5831" w:rsidRDefault="00FF5831" w:rsidP="00750B49"/>
    <w:p w:rsidR="00FF5831" w:rsidRDefault="00FF5831" w:rsidP="00FF5831">
      <w:r>
        <w:t>As with proposed paragraph (h), t</w:t>
      </w:r>
      <w:r w:rsidRPr="003C7EA3">
        <w:t>his means that so long as an employee is doing something that is reasonable</w:t>
      </w:r>
      <w:r>
        <w:t xml:space="preserve"> (including outside normal working hours)</w:t>
      </w:r>
      <w:r w:rsidRPr="003C7EA3">
        <w:t>, in the circumstances of the overseas posting, he or she will be covered for compensation purposes.</w:t>
      </w:r>
      <w:r>
        <w:t xml:space="preserve">  This presumption would still be subject to the existing exceptions around submission to an abnormal risk of injury, an injury that is intentionally self-inflicted and injuries arising out of serious and wilful misconduct.</w:t>
      </w:r>
    </w:p>
    <w:p w:rsidR="00FF5831" w:rsidRDefault="00FF5831" w:rsidP="00750B49"/>
    <w:p w:rsidR="00EA3E8F" w:rsidRDefault="00F5051E" w:rsidP="00750B49">
      <w:r>
        <w:t xml:space="preserve">These amendments </w:t>
      </w:r>
      <w:r w:rsidR="00F30381">
        <w:t>will provide a mechanism which can g</w:t>
      </w:r>
      <w:r>
        <w:t xml:space="preserve">ive those employees who are working overseas in dangerous situations some comfort from </w:t>
      </w:r>
      <w:r w:rsidR="00BE112C">
        <w:t>the fact</w:t>
      </w:r>
      <w:r>
        <w:t xml:space="preserve"> that they </w:t>
      </w:r>
      <w:r w:rsidR="004C2F2E">
        <w:t>have what is colloqu</w:t>
      </w:r>
      <w:r w:rsidR="008C3FE8">
        <w:t xml:space="preserve">ially known as “24/7 </w:t>
      </w:r>
      <w:r w:rsidR="004C2F2E">
        <w:t>coverage”.</w:t>
      </w:r>
      <w:r w:rsidR="004C4B01">
        <w:t xml:space="preserve"> </w:t>
      </w:r>
    </w:p>
    <w:p w:rsidR="004C4B01" w:rsidRDefault="004C4B01" w:rsidP="00750B49"/>
    <w:p w:rsidR="009A698D" w:rsidRPr="00750B49" w:rsidRDefault="00C25677" w:rsidP="00750B49">
      <w:pPr>
        <w:rPr>
          <w:b/>
        </w:rPr>
      </w:pPr>
      <w:r>
        <w:rPr>
          <w:b/>
        </w:rPr>
        <w:t>Item 3</w:t>
      </w:r>
      <w:r w:rsidR="00AA3181">
        <w:rPr>
          <w:b/>
        </w:rPr>
        <w:t>—</w:t>
      </w:r>
      <w:r w:rsidR="00EB24C6" w:rsidRPr="00750B49">
        <w:rPr>
          <w:b/>
        </w:rPr>
        <w:t>After subsection 36(4)</w:t>
      </w:r>
    </w:p>
    <w:p w:rsidR="00EB24C6" w:rsidRPr="00750B49" w:rsidRDefault="00C25677" w:rsidP="00750B49">
      <w:pPr>
        <w:rPr>
          <w:b/>
        </w:rPr>
      </w:pPr>
      <w:r>
        <w:rPr>
          <w:b/>
        </w:rPr>
        <w:t>Item 4</w:t>
      </w:r>
      <w:r w:rsidR="00AA3181">
        <w:rPr>
          <w:b/>
        </w:rPr>
        <w:t>—</w:t>
      </w:r>
      <w:r w:rsidR="00EB24C6" w:rsidRPr="00750B49">
        <w:rPr>
          <w:b/>
        </w:rPr>
        <w:t>After subsection 37(7)</w:t>
      </w:r>
    </w:p>
    <w:p w:rsidR="00EB24C6" w:rsidRPr="00750B49" w:rsidRDefault="00C25677" w:rsidP="00750B49">
      <w:pPr>
        <w:rPr>
          <w:b/>
        </w:rPr>
      </w:pPr>
      <w:r>
        <w:rPr>
          <w:b/>
        </w:rPr>
        <w:t>Item 5</w:t>
      </w:r>
      <w:r w:rsidR="00AA3181">
        <w:rPr>
          <w:b/>
        </w:rPr>
        <w:t>—</w:t>
      </w:r>
      <w:r w:rsidR="00EB24C6" w:rsidRPr="00750B49">
        <w:rPr>
          <w:b/>
        </w:rPr>
        <w:t>After subsection 50(5)</w:t>
      </w:r>
    </w:p>
    <w:p w:rsidR="009A698D" w:rsidRPr="00C909AF" w:rsidRDefault="009A698D" w:rsidP="00C909AF"/>
    <w:p w:rsidR="009A698D" w:rsidRPr="00C909AF" w:rsidRDefault="009A698D" w:rsidP="00C909AF">
      <w:r w:rsidRPr="00C909AF">
        <w:t>Proposed item</w:t>
      </w:r>
      <w:r w:rsidR="00EB24C6" w:rsidRPr="00C909AF">
        <w:t>s</w:t>
      </w:r>
      <w:r w:rsidRPr="00C909AF">
        <w:t xml:space="preserve"> </w:t>
      </w:r>
      <w:r w:rsidR="00EB24C6" w:rsidRPr="00C909AF">
        <w:t>2, 3,</w:t>
      </w:r>
      <w:r w:rsidR="0079154B" w:rsidRPr="00C909AF">
        <w:t xml:space="preserve"> and</w:t>
      </w:r>
      <w:r w:rsidR="00EB24C6" w:rsidRPr="00C909AF">
        <w:t xml:space="preserve"> 4, </w:t>
      </w:r>
      <w:r w:rsidRPr="00C909AF">
        <w:t xml:space="preserve">will amend </w:t>
      </w:r>
      <w:r w:rsidR="00CE1DB6" w:rsidRPr="00C909AF">
        <w:t>sub</w:t>
      </w:r>
      <w:r w:rsidR="00EB24C6" w:rsidRPr="00C909AF">
        <w:t>s</w:t>
      </w:r>
      <w:r w:rsidRPr="00C909AF">
        <w:t>ection</w:t>
      </w:r>
      <w:r w:rsidR="00EB24C6" w:rsidRPr="00C909AF">
        <w:t>s 36</w:t>
      </w:r>
      <w:r w:rsidR="00CE1DB6" w:rsidRPr="00C909AF">
        <w:t>(4)</w:t>
      </w:r>
      <w:r w:rsidR="00EB24C6" w:rsidRPr="00C909AF">
        <w:t>, 37</w:t>
      </w:r>
      <w:r w:rsidR="00CE1DB6" w:rsidRPr="00C909AF">
        <w:t>(7)</w:t>
      </w:r>
      <w:r w:rsidR="00EB24C6" w:rsidRPr="00C909AF">
        <w:t xml:space="preserve">, </w:t>
      </w:r>
      <w:r w:rsidR="0079154B" w:rsidRPr="00C909AF">
        <w:t xml:space="preserve">and </w:t>
      </w:r>
      <w:r w:rsidR="00EB24C6" w:rsidRPr="00C909AF">
        <w:t>50</w:t>
      </w:r>
      <w:r w:rsidR="00CE1DB6" w:rsidRPr="00C909AF">
        <w:t>(5)</w:t>
      </w:r>
      <w:r w:rsidR="00EB24C6" w:rsidRPr="00C909AF">
        <w:t xml:space="preserve">, to exclude from the suspension provisions a </w:t>
      </w:r>
      <w:r w:rsidR="0085298F" w:rsidRPr="00C909AF">
        <w:t>claimant’s</w:t>
      </w:r>
      <w:r w:rsidR="00EB24C6" w:rsidRPr="00C909AF">
        <w:t xml:space="preserve"> right to compensation for med</w:t>
      </w:r>
      <w:r w:rsidR="00B447CC" w:rsidRPr="00C909AF">
        <w:t>ical treatment under section 16.</w:t>
      </w:r>
    </w:p>
    <w:p w:rsidR="00EB24C6" w:rsidRPr="00C909AF" w:rsidRDefault="00EB24C6" w:rsidP="00C909AF"/>
    <w:p w:rsidR="00EB24C6" w:rsidRPr="00C909AF" w:rsidRDefault="00706B8B" w:rsidP="00C909AF">
      <w:r w:rsidRPr="00C909AF">
        <w:t>Currently, the right to compensation under the SRC Act is suspended if a claimant refuses or fails without a reasonable excuse to undertake a rehabilitation program</w:t>
      </w:r>
      <w:r w:rsidR="00A23A0F" w:rsidRPr="00C909AF">
        <w:t>. C</w:t>
      </w:r>
      <w:r w:rsidR="00C509D1" w:rsidRPr="00C909AF">
        <w:t>ompensation</w:t>
      </w:r>
      <w:r w:rsidR="00A23A0F" w:rsidRPr="00C909AF">
        <w:t xml:space="preserve"> under the SRC Act</w:t>
      </w:r>
      <w:r w:rsidR="00C509D1" w:rsidRPr="00C909AF">
        <w:t xml:space="preserve"> includes medical and related benefits. The suspension of </w:t>
      </w:r>
      <w:r w:rsidR="00D46DF0" w:rsidRPr="00C909AF">
        <w:t>medical</w:t>
      </w:r>
      <w:r w:rsidR="00C509D1" w:rsidRPr="00C909AF">
        <w:t xml:space="preserve"> benefits</w:t>
      </w:r>
      <w:r w:rsidR="00D46DF0" w:rsidRPr="00C909AF">
        <w:t xml:space="preserve"> under the Act</w:t>
      </w:r>
      <w:r w:rsidR="00C509D1" w:rsidRPr="00C909AF">
        <w:t xml:space="preserve"> can have counterproductive effects to early rehabilitation and return to work. The purpose of this amendment is to remove such counterproductive effects.</w:t>
      </w:r>
    </w:p>
    <w:p w:rsidR="00C509D1" w:rsidRPr="00C909AF" w:rsidRDefault="00C509D1" w:rsidP="00C909AF"/>
    <w:p w:rsidR="00A23A0F" w:rsidRDefault="00706B8B" w:rsidP="00C909AF">
      <w:r w:rsidRPr="00C909AF">
        <w:t xml:space="preserve">Excluding compensation for medical treatment </w:t>
      </w:r>
      <w:r w:rsidR="00B447CC" w:rsidRPr="00C909AF">
        <w:t>was recommended by the</w:t>
      </w:r>
      <w:r w:rsidR="00A23A0F" w:rsidRPr="00C909AF">
        <w:t xml:space="preserve"> </w:t>
      </w:r>
      <w:r w:rsidR="00237333" w:rsidRPr="00C909AF">
        <w:t>‘</w:t>
      </w:r>
      <w:r w:rsidR="00A23A0F" w:rsidRPr="00C909AF">
        <w:t xml:space="preserve">2008 </w:t>
      </w:r>
      <w:r w:rsidR="00B447CC" w:rsidRPr="00C909AF">
        <w:t xml:space="preserve">Review of </w:t>
      </w:r>
      <w:r w:rsidR="00B447CC" w:rsidRPr="00C909AF">
        <w:br/>
        <w:t>S</w:t>
      </w:r>
      <w:r w:rsidR="00237333" w:rsidRPr="00C909AF">
        <w:t>elf-insurance A</w:t>
      </w:r>
      <w:r w:rsidR="00A23A0F" w:rsidRPr="00C909AF">
        <w:t>rrangements under the Comcare Scheme</w:t>
      </w:r>
      <w:r w:rsidR="00237333" w:rsidRPr="00C909AF">
        <w:t>’</w:t>
      </w:r>
      <w:r w:rsidR="00F30381">
        <w:t>.</w:t>
      </w:r>
      <w:r w:rsidR="00A23A0F" w:rsidRPr="00C909AF">
        <w:t xml:space="preserve"> </w:t>
      </w:r>
    </w:p>
    <w:p w:rsidR="0042321E" w:rsidRDefault="0042321E" w:rsidP="00C909AF"/>
    <w:p w:rsidR="0042321E" w:rsidRPr="003F2455" w:rsidRDefault="00C25677" w:rsidP="00C909AF">
      <w:pPr>
        <w:rPr>
          <w:b/>
        </w:rPr>
      </w:pPr>
      <w:r>
        <w:rPr>
          <w:b/>
        </w:rPr>
        <w:t>Item 6</w:t>
      </w:r>
      <w:r w:rsidR="006604ED" w:rsidRPr="003F2455">
        <w:rPr>
          <w:b/>
        </w:rPr>
        <w:t>—Before subsection 61(1)</w:t>
      </w:r>
    </w:p>
    <w:p w:rsidR="006604ED" w:rsidRPr="003F2455" w:rsidRDefault="006604ED" w:rsidP="00C909AF">
      <w:pPr>
        <w:rPr>
          <w:b/>
        </w:rPr>
      </w:pPr>
      <w:r w:rsidRPr="003F2455">
        <w:rPr>
          <w:b/>
        </w:rPr>
        <w:t xml:space="preserve">Item </w:t>
      </w:r>
      <w:r w:rsidR="00C25677">
        <w:rPr>
          <w:b/>
        </w:rPr>
        <w:t>7</w:t>
      </w:r>
      <w:r w:rsidRPr="003F2455">
        <w:rPr>
          <w:b/>
        </w:rPr>
        <w:t>—At the end of section 62</w:t>
      </w:r>
    </w:p>
    <w:p w:rsidR="006604ED" w:rsidRPr="003F2455" w:rsidRDefault="006604ED" w:rsidP="00C909AF"/>
    <w:p w:rsidR="0042321E" w:rsidRPr="003F2455" w:rsidRDefault="006604ED" w:rsidP="00C909AF">
      <w:r w:rsidRPr="003F2455">
        <w:t>These</w:t>
      </w:r>
      <w:r w:rsidR="0042321E" w:rsidRPr="003F2455">
        <w:t xml:space="preserve"> item</w:t>
      </w:r>
      <w:r w:rsidRPr="003F2455">
        <w:t>s</w:t>
      </w:r>
      <w:r w:rsidR="0042321E" w:rsidRPr="003F2455">
        <w:t xml:space="preserve"> </w:t>
      </w:r>
      <w:r w:rsidRPr="003F2455">
        <w:t>would</w:t>
      </w:r>
      <w:r w:rsidR="0042321E" w:rsidRPr="003F2455">
        <w:t xml:space="preserve"> </w:t>
      </w:r>
      <w:r w:rsidRPr="003F2455">
        <w:t>allow for the</w:t>
      </w:r>
      <w:r w:rsidR="00A53379" w:rsidRPr="003F2455">
        <w:t xml:space="preserve"> setting of time limits for the</w:t>
      </w:r>
      <w:r w:rsidRPr="003F2455">
        <w:t xml:space="preserve"> determination of a claim and for the making of a reconsideration of a determination.</w:t>
      </w:r>
    </w:p>
    <w:p w:rsidR="00A53379" w:rsidRPr="003F2455" w:rsidRDefault="00A53379" w:rsidP="00C909AF"/>
    <w:p w:rsidR="00A53379" w:rsidRDefault="00C25677" w:rsidP="00C909AF">
      <w:r>
        <w:t>Item 6</w:t>
      </w:r>
      <w:r w:rsidR="00A53379" w:rsidRPr="003F2455">
        <w:t xml:space="preserve"> would provide that a determining authority must consider and determine a claim under section 14 of the SRC Act, within the period prescribed by the regulations.  A claim under section 14</w:t>
      </w:r>
      <w:r w:rsidR="00EF005A" w:rsidRPr="003F2455">
        <w:t xml:space="preserve"> is a claim that relates to initial liability.</w:t>
      </w:r>
    </w:p>
    <w:p w:rsidR="00EF005A" w:rsidRDefault="00EF005A" w:rsidP="00C909AF"/>
    <w:p w:rsidR="00EF005A" w:rsidRDefault="00C25677" w:rsidP="00C909AF">
      <w:r>
        <w:t>Item 7</w:t>
      </w:r>
      <w:r w:rsidR="00EF005A">
        <w:t xml:space="preserve"> would provide</w:t>
      </w:r>
      <w:r w:rsidR="003F2455">
        <w:t xml:space="preserve"> </w:t>
      </w:r>
      <w:r w:rsidR="003860E2">
        <w:t xml:space="preserve">that </w:t>
      </w:r>
      <w:r w:rsidR="003F2455">
        <w:t>decisions in relation to a claimant’s request for a reconsideration of a determination must be made within the prescribed time limits.</w:t>
      </w:r>
    </w:p>
    <w:p w:rsidR="003F2455" w:rsidRDefault="003F2455" w:rsidP="00C909AF"/>
    <w:p w:rsidR="003F2455" w:rsidRDefault="003F2455" w:rsidP="00C909AF">
      <w:r>
        <w:t>The actual time limits will be set by regulation.</w:t>
      </w:r>
    </w:p>
    <w:p w:rsidR="00F30381" w:rsidRDefault="00F30381" w:rsidP="00C909AF"/>
    <w:p w:rsidR="00F30381" w:rsidRDefault="00F30381" w:rsidP="00F30381">
      <w:r>
        <w:t xml:space="preserve">Inclusion of time limits for the determinations under the SRC Act </w:t>
      </w:r>
      <w:r w:rsidRPr="00C909AF">
        <w:t xml:space="preserve">was recommended by the ‘2008 Review of Self-insurance Arrangements under the Comcare Scheme’. </w:t>
      </w:r>
    </w:p>
    <w:p w:rsidR="00F30381" w:rsidRPr="0042321E" w:rsidRDefault="00F30381" w:rsidP="00C909AF"/>
    <w:p w:rsidR="00A23A0F" w:rsidRPr="00C909AF" w:rsidRDefault="009C2EAD" w:rsidP="00C909AF">
      <w:pPr>
        <w:rPr>
          <w:b/>
        </w:rPr>
      </w:pPr>
      <w:r>
        <w:rPr>
          <w:b/>
        </w:rPr>
        <w:br w:type="page"/>
      </w:r>
      <w:r w:rsidR="00237333" w:rsidRPr="006604ED">
        <w:rPr>
          <w:b/>
        </w:rPr>
        <w:lastRenderedPageBreak/>
        <w:t xml:space="preserve">Item </w:t>
      </w:r>
      <w:r w:rsidR="00C25677">
        <w:rPr>
          <w:b/>
        </w:rPr>
        <w:t>8</w:t>
      </w:r>
      <w:r w:rsidR="00AA3181" w:rsidRPr="006604ED">
        <w:rPr>
          <w:b/>
        </w:rPr>
        <w:t>—</w:t>
      </w:r>
      <w:r w:rsidR="00237333" w:rsidRPr="006604ED">
        <w:rPr>
          <w:b/>
        </w:rPr>
        <w:t>After paragraph 90B(a</w:t>
      </w:r>
      <w:r w:rsidR="00A23A0F" w:rsidRPr="006604ED">
        <w:rPr>
          <w:b/>
        </w:rPr>
        <w:t>)</w:t>
      </w:r>
    </w:p>
    <w:p w:rsidR="00A23A0F" w:rsidRPr="00C909AF" w:rsidRDefault="00A23A0F" w:rsidP="00C909AF"/>
    <w:p w:rsidR="00F458EF" w:rsidRPr="00C909AF" w:rsidRDefault="00F458EF" w:rsidP="00C909AF">
      <w:r w:rsidRPr="00C909AF">
        <w:t xml:space="preserve">This item </w:t>
      </w:r>
      <w:r w:rsidR="0042321E">
        <w:t>will amend</w:t>
      </w:r>
      <w:r w:rsidRPr="00C909AF">
        <w:t xml:space="preserve"> section 90B of the SRC Act </w:t>
      </w:r>
      <w:r w:rsidR="00C909AF">
        <w:t>by inserting new paragraph (ab).</w:t>
      </w:r>
    </w:p>
    <w:p w:rsidR="00F458EF" w:rsidRPr="00C909AF" w:rsidRDefault="00F458EF" w:rsidP="00C909AF"/>
    <w:p w:rsidR="00F458EF" w:rsidRPr="00C909AF" w:rsidRDefault="00F35764" w:rsidP="00C909AF">
      <w:r>
        <w:t>S</w:t>
      </w:r>
      <w:r w:rsidR="00F458EF" w:rsidRPr="00C909AF">
        <w:t xml:space="preserve">ection 90B was intended to give Comcare access to the </w:t>
      </w:r>
      <w:r w:rsidR="00DF1140" w:rsidRPr="00C909AF">
        <w:t>Consolidated Revenue Fund (</w:t>
      </w:r>
      <w:r w:rsidR="00F458EF" w:rsidRPr="00C909AF">
        <w:t>CRF</w:t>
      </w:r>
      <w:r w:rsidR="00DF1140" w:rsidRPr="00C909AF">
        <w:t>)</w:t>
      </w:r>
      <w:r>
        <w:t xml:space="preserve"> to</w:t>
      </w:r>
      <w:r w:rsidR="00F458EF" w:rsidRPr="00C909AF">
        <w:t xml:space="preserve"> pay for all of its undischarged liabilities</w:t>
      </w:r>
      <w:r>
        <w:t>,</w:t>
      </w:r>
      <w:r w:rsidR="00F458EF" w:rsidRPr="00C909AF">
        <w:t xml:space="preserve"> and associated expenses</w:t>
      </w:r>
      <w:r>
        <w:t>,</w:t>
      </w:r>
      <w:r w:rsidR="00F458EF" w:rsidRPr="00C909AF">
        <w:t xml:space="preserve"> for claims attributable to em</w:t>
      </w:r>
      <w:r w:rsidR="00C909AF">
        <w:t>ployment before 1 December 1988</w:t>
      </w:r>
      <w:r w:rsidR="00F458EF" w:rsidRPr="00C909AF">
        <w:t xml:space="preserve">. These liabilities are described in paragraph 90B(a) as ‘any liability that is taken, by section 128, to have been incurred by Comcare’. </w:t>
      </w:r>
    </w:p>
    <w:p w:rsidR="00F458EF" w:rsidRPr="00C909AF" w:rsidRDefault="00F458EF" w:rsidP="00C909AF"/>
    <w:p w:rsidR="00F458EF" w:rsidRPr="00C909AF" w:rsidRDefault="00F458EF" w:rsidP="00C909AF">
      <w:r w:rsidRPr="00C909AF">
        <w:t xml:space="preserve">As an indirect result of references to section 128 by the Full Federal Court in </w:t>
      </w:r>
      <w:r w:rsidRPr="00C909AF">
        <w:rPr>
          <w:i/>
        </w:rPr>
        <w:t>Comcare v Etheridge</w:t>
      </w:r>
      <w:r w:rsidRPr="00C909AF">
        <w:t xml:space="preserve"> [2006] FCAFC 27 (15 March 2006), Comcare’s access to the CRF under section 90B to discharge its liabilities for long</w:t>
      </w:r>
      <w:r w:rsidR="00F35764">
        <w:noBreakHyphen/>
      </w:r>
      <w:r w:rsidR="004327A2">
        <w:t>latency injury</w:t>
      </w:r>
      <w:r w:rsidRPr="00C909AF">
        <w:t xml:space="preserve"> claims was closed off. The amendments in new paragraph 90B(ab) </w:t>
      </w:r>
      <w:r w:rsidR="0042321E">
        <w:t>would</w:t>
      </w:r>
      <w:r w:rsidRPr="00C909AF">
        <w:t xml:space="preserve"> restore Comcare’s access to the CRF to pay for these claims. </w:t>
      </w:r>
    </w:p>
    <w:p w:rsidR="00F458EF" w:rsidRPr="00C909AF" w:rsidRDefault="00F458EF" w:rsidP="00C909AF"/>
    <w:p w:rsidR="00F458EF" w:rsidRPr="00C909AF" w:rsidRDefault="00F458EF" w:rsidP="00C909AF">
      <w:r w:rsidRPr="00C909AF">
        <w:t>The sorts of long</w:t>
      </w:r>
      <w:r w:rsidR="00F35764">
        <w:noBreakHyphen/>
      </w:r>
      <w:r w:rsidRPr="00C909AF">
        <w:t>latency injuries envisaged by paragraph 90B(ab), are those which would be attributable to an event or process occurring during an employee’s employment before 1</w:t>
      </w:r>
      <w:r w:rsidR="00F35764">
        <w:t> </w:t>
      </w:r>
      <w:r w:rsidRPr="00C909AF">
        <w:t>December</w:t>
      </w:r>
      <w:r w:rsidR="00F35764">
        <w:t> </w:t>
      </w:r>
      <w:r w:rsidRPr="00C909AF">
        <w:t xml:space="preserve">1988 but would not have manifested </w:t>
      </w:r>
      <w:r w:rsidR="00F35764">
        <w:t>themselves</w:t>
      </w:r>
      <w:r w:rsidR="00F35764" w:rsidRPr="00C909AF">
        <w:t xml:space="preserve"> </w:t>
      </w:r>
      <w:r w:rsidRPr="00C909AF">
        <w:t>or caused impairment or death until after that date. The example in paragraph 90B(ab) refers to mesothelioma arising from the inhalation of asbestos fibres. While asbestos</w:t>
      </w:r>
      <w:r w:rsidR="00F35764">
        <w:noBreakHyphen/>
      </w:r>
      <w:r w:rsidRPr="00C909AF">
        <w:t xml:space="preserve">related diseases would typically fall within the </w:t>
      </w:r>
      <w:r w:rsidR="004327A2">
        <w:t>proposed</w:t>
      </w:r>
      <w:r w:rsidRPr="00C909AF">
        <w:t xml:space="preserve"> paragraph 90B(ab), the amendment is intended to cover a </w:t>
      </w:r>
      <w:r w:rsidR="00C909AF">
        <w:t>broad</w:t>
      </w:r>
      <w:r w:rsidRPr="00C909AF">
        <w:t xml:space="preserve"> spectrum of injuries. (Note that ‘injury’ in the SRC Act </w:t>
      </w:r>
      <w:r w:rsidR="00333E3F">
        <w:t xml:space="preserve">also </w:t>
      </w:r>
      <w:r w:rsidRPr="00C909AF">
        <w:t>covers diseases.)</w:t>
      </w:r>
    </w:p>
    <w:p w:rsidR="00237333" w:rsidRPr="00C909AF" w:rsidRDefault="00237333" w:rsidP="00C909AF"/>
    <w:p w:rsidR="005468D9" w:rsidRPr="000B74DA" w:rsidRDefault="005468D9" w:rsidP="000B74DA">
      <w:pPr>
        <w:rPr>
          <w:b/>
        </w:rPr>
      </w:pPr>
      <w:r w:rsidRPr="000B74DA">
        <w:rPr>
          <w:b/>
        </w:rPr>
        <w:t>Item</w:t>
      </w:r>
      <w:r w:rsidR="008E6CCE" w:rsidRPr="000B74DA">
        <w:rPr>
          <w:b/>
        </w:rPr>
        <w:t xml:space="preserve"> </w:t>
      </w:r>
      <w:r w:rsidR="004327A2">
        <w:rPr>
          <w:b/>
        </w:rPr>
        <w:t>9</w:t>
      </w:r>
      <w:r w:rsidR="00AA3181">
        <w:rPr>
          <w:b/>
        </w:rPr>
        <w:t>—</w:t>
      </w:r>
      <w:r w:rsidR="00F458EF" w:rsidRPr="000B74DA">
        <w:rPr>
          <w:b/>
        </w:rPr>
        <w:t>Paragraph 90B(b)</w:t>
      </w:r>
    </w:p>
    <w:p w:rsidR="005468D9" w:rsidRPr="00FF478A" w:rsidRDefault="005468D9" w:rsidP="00FF478A">
      <w:pPr>
        <w:pStyle w:val="EMPartHeading"/>
        <w:rPr>
          <w:b w:val="0"/>
        </w:rPr>
      </w:pPr>
    </w:p>
    <w:p w:rsidR="00F458EF" w:rsidRPr="00FF478A" w:rsidRDefault="00F458EF" w:rsidP="00FF478A">
      <w:pPr>
        <w:pStyle w:val="EMPartHeading"/>
        <w:rPr>
          <w:b w:val="0"/>
        </w:rPr>
      </w:pPr>
      <w:r w:rsidRPr="00FF478A">
        <w:rPr>
          <w:b w:val="0"/>
        </w:rPr>
        <w:t xml:space="preserve">This </w:t>
      </w:r>
      <w:r w:rsidR="0042321E" w:rsidRPr="00FF478A">
        <w:rPr>
          <w:b w:val="0"/>
        </w:rPr>
        <w:t xml:space="preserve">proposed </w:t>
      </w:r>
      <w:r w:rsidRPr="00FF478A">
        <w:rPr>
          <w:b w:val="0"/>
        </w:rPr>
        <w:t xml:space="preserve">amendment is consequential </w:t>
      </w:r>
      <w:r w:rsidR="00DF1140" w:rsidRPr="00FF478A">
        <w:rPr>
          <w:b w:val="0"/>
        </w:rPr>
        <w:t xml:space="preserve">on item </w:t>
      </w:r>
      <w:r w:rsidR="004327A2">
        <w:rPr>
          <w:b w:val="0"/>
        </w:rPr>
        <w:t>8</w:t>
      </w:r>
      <w:r w:rsidR="00E42E7F" w:rsidRPr="00FF478A">
        <w:rPr>
          <w:b w:val="0"/>
        </w:rPr>
        <w:t xml:space="preserve"> </w:t>
      </w:r>
      <w:r w:rsidRPr="00FF478A">
        <w:rPr>
          <w:b w:val="0"/>
        </w:rPr>
        <w:t xml:space="preserve">and </w:t>
      </w:r>
      <w:r w:rsidR="0042321E" w:rsidRPr="00FF478A">
        <w:rPr>
          <w:b w:val="0"/>
        </w:rPr>
        <w:t>would</w:t>
      </w:r>
      <w:r w:rsidRPr="00FF478A">
        <w:rPr>
          <w:b w:val="0"/>
        </w:rPr>
        <w:t xml:space="preserve"> provide for the payment, from the CRF, of Comcare’s administrative expenses associated with its liabilities referred to in paragraphs</w:t>
      </w:r>
      <w:r w:rsidR="00E42E7F" w:rsidRPr="00FF478A">
        <w:rPr>
          <w:b w:val="0"/>
        </w:rPr>
        <w:t> </w:t>
      </w:r>
      <w:r w:rsidRPr="00FF478A">
        <w:rPr>
          <w:b w:val="0"/>
        </w:rPr>
        <w:t>90B(a)</w:t>
      </w:r>
      <w:r w:rsidR="00E42E7F" w:rsidRPr="00FF478A">
        <w:rPr>
          <w:b w:val="0"/>
        </w:rPr>
        <w:t> </w:t>
      </w:r>
      <w:r w:rsidRPr="00FF478A">
        <w:rPr>
          <w:b w:val="0"/>
        </w:rPr>
        <w:t>and</w:t>
      </w:r>
      <w:r w:rsidR="00E42E7F" w:rsidRPr="00FF478A">
        <w:rPr>
          <w:b w:val="0"/>
        </w:rPr>
        <w:t> </w:t>
      </w:r>
      <w:r w:rsidRPr="00FF478A">
        <w:rPr>
          <w:b w:val="0"/>
        </w:rPr>
        <w:t>(ab).</w:t>
      </w:r>
    </w:p>
    <w:p w:rsidR="00F458EF" w:rsidRPr="008C6114" w:rsidRDefault="00F458EF" w:rsidP="00FF478A">
      <w:pPr>
        <w:pStyle w:val="EMPartHeading"/>
      </w:pPr>
    </w:p>
    <w:p w:rsidR="00F458EF" w:rsidRPr="000B74DA" w:rsidRDefault="00F458EF" w:rsidP="000B74DA">
      <w:pPr>
        <w:rPr>
          <w:b/>
        </w:rPr>
      </w:pPr>
      <w:r w:rsidRPr="000B74DA">
        <w:rPr>
          <w:b/>
        </w:rPr>
        <w:t xml:space="preserve">Item </w:t>
      </w:r>
      <w:r w:rsidR="004327A2">
        <w:rPr>
          <w:b/>
        </w:rPr>
        <w:t>10</w:t>
      </w:r>
      <w:r w:rsidR="00AA3181">
        <w:rPr>
          <w:b/>
        </w:rPr>
        <w:t>—</w:t>
      </w:r>
      <w:r w:rsidRPr="000B74DA">
        <w:rPr>
          <w:b/>
        </w:rPr>
        <w:t>Subparagraph 90C(1)(a)(</w:t>
      </w:r>
      <w:proofErr w:type="spellStart"/>
      <w:r w:rsidRPr="000B74DA">
        <w:rPr>
          <w:b/>
        </w:rPr>
        <w:t>i</w:t>
      </w:r>
      <w:proofErr w:type="spellEnd"/>
      <w:r w:rsidRPr="000B74DA">
        <w:rPr>
          <w:b/>
        </w:rPr>
        <w:t>)</w:t>
      </w:r>
    </w:p>
    <w:p w:rsidR="00F458EF" w:rsidRDefault="00F458EF" w:rsidP="00FF478A">
      <w:pPr>
        <w:pStyle w:val="EMPartHeading"/>
      </w:pPr>
    </w:p>
    <w:p w:rsidR="00F458EF" w:rsidRDefault="00E55FB3" w:rsidP="00E55FB3">
      <w:pPr>
        <w:autoSpaceDE w:val="0"/>
        <w:autoSpaceDN w:val="0"/>
        <w:adjustRightInd w:val="0"/>
      </w:pPr>
      <w:r>
        <w:t xml:space="preserve">This </w:t>
      </w:r>
      <w:r w:rsidR="0042321E">
        <w:t xml:space="preserve">proposed </w:t>
      </w:r>
      <w:r>
        <w:t xml:space="preserve">amendment is consequential </w:t>
      </w:r>
      <w:r w:rsidR="00DF1140">
        <w:t xml:space="preserve">on item </w:t>
      </w:r>
      <w:r w:rsidR="004327A2">
        <w:t>8</w:t>
      </w:r>
      <w:r>
        <w:t xml:space="preserve"> and provides that subparagraph</w:t>
      </w:r>
      <w:r w:rsidR="00E42E7F">
        <w:t> </w:t>
      </w:r>
      <w:r>
        <w:t>90C(1)(a)(i) refers to paragraph</w:t>
      </w:r>
      <w:r w:rsidR="00E42E7F">
        <w:t> </w:t>
      </w:r>
      <w:r>
        <w:t>90B(ab) in addition to paragraph</w:t>
      </w:r>
      <w:r w:rsidR="00E42E7F">
        <w:t> </w:t>
      </w:r>
      <w:r>
        <w:t>90B(a).</w:t>
      </w:r>
    </w:p>
    <w:p w:rsidR="00C8403A" w:rsidRDefault="00C8403A" w:rsidP="00E55FB3">
      <w:pPr>
        <w:autoSpaceDE w:val="0"/>
        <w:autoSpaceDN w:val="0"/>
        <w:adjustRightInd w:val="0"/>
      </w:pPr>
    </w:p>
    <w:p w:rsidR="00C8403A" w:rsidRDefault="00C8403A" w:rsidP="00E55FB3">
      <w:pPr>
        <w:autoSpaceDE w:val="0"/>
        <w:autoSpaceDN w:val="0"/>
        <w:adjustRightInd w:val="0"/>
        <w:rPr>
          <w:b/>
        </w:rPr>
      </w:pPr>
      <w:r w:rsidRPr="000B74DA">
        <w:rPr>
          <w:b/>
        </w:rPr>
        <w:t xml:space="preserve">Item </w:t>
      </w:r>
      <w:r w:rsidR="004327A2">
        <w:rPr>
          <w:b/>
        </w:rPr>
        <w:t>11</w:t>
      </w:r>
      <w:r>
        <w:rPr>
          <w:b/>
        </w:rPr>
        <w:t>—Subsection 92(3)</w:t>
      </w:r>
    </w:p>
    <w:p w:rsidR="00C8403A" w:rsidRPr="00C8403A" w:rsidRDefault="00C8403A" w:rsidP="00E55FB3">
      <w:pPr>
        <w:autoSpaceDE w:val="0"/>
        <w:autoSpaceDN w:val="0"/>
        <w:adjustRightInd w:val="0"/>
      </w:pPr>
    </w:p>
    <w:p w:rsidR="00C8403A" w:rsidRPr="00C8403A" w:rsidRDefault="00C8403A" w:rsidP="00E55FB3">
      <w:pPr>
        <w:autoSpaceDE w:val="0"/>
        <w:autoSpaceDN w:val="0"/>
        <w:adjustRightInd w:val="0"/>
      </w:pPr>
      <w:r>
        <w:t xml:space="preserve">This proposed amendment will </w:t>
      </w:r>
      <w:r w:rsidR="00A5797D">
        <w:t>remove</w:t>
      </w:r>
      <w:r>
        <w:t xml:space="preserve"> a </w:t>
      </w:r>
      <w:r w:rsidR="003A23AF">
        <w:t xml:space="preserve">redundant </w:t>
      </w:r>
      <w:r>
        <w:t xml:space="preserve">reference to subsection </w:t>
      </w:r>
      <w:r w:rsidR="00A5797D">
        <w:t>number ‘</w:t>
      </w:r>
      <w:r>
        <w:t>(3)</w:t>
      </w:r>
      <w:r w:rsidR="00A5797D">
        <w:t>’</w:t>
      </w:r>
      <w:r>
        <w:t>.</w:t>
      </w:r>
    </w:p>
    <w:p w:rsidR="00500952" w:rsidRPr="00C8403A" w:rsidRDefault="00500952" w:rsidP="0055236D"/>
    <w:p w:rsidR="00500952" w:rsidRPr="0055236D" w:rsidRDefault="003C1465" w:rsidP="0055236D">
      <w:pPr>
        <w:rPr>
          <w:b/>
        </w:rPr>
      </w:pPr>
      <w:r w:rsidRPr="0042321E">
        <w:rPr>
          <w:b/>
        </w:rPr>
        <w:t xml:space="preserve">Part </w:t>
      </w:r>
      <w:r w:rsidR="00E42E7F" w:rsidRPr="0042321E">
        <w:rPr>
          <w:b/>
        </w:rPr>
        <w:t>2—</w:t>
      </w:r>
      <w:r w:rsidRPr="0042321E">
        <w:rPr>
          <w:b/>
        </w:rPr>
        <w:t>Saving provision</w:t>
      </w:r>
    </w:p>
    <w:p w:rsidR="00500952" w:rsidRPr="0055236D" w:rsidRDefault="00500952" w:rsidP="0055236D"/>
    <w:p w:rsidR="00500952" w:rsidRPr="0055236D" w:rsidRDefault="004327A2" w:rsidP="0055236D">
      <w:pPr>
        <w:rPr>
          <w:b/>
        </w:rPr>
      </w:pPr>
      <w:r>
        <w:rPr>
          <w:b/>
        </w:rPr>
        <w:t>Item 12</w:t>
      </w:r>
      <w:r w:rsidR="00E42E7F" w:rsidRPr="0042321E">
        <w:rPr>
          <w:b/>
        </w:rPr>
        <w:t>—</w:t>
      </w:r>
      <w:r w:rsidR="006B3312" w:rsidRPr="007F6769">
        <w:rPr>
          <w:b/>
        </w:rPr>
        <w:t>Saving</w:t>
      </w:r>
      <w:r w:rsidR="00E42E7F" w:rsidRPr="007F6769">
        <w:rPr>
          <w:b/>
        </w:rPr>
        <w:t>—</w:t>
      </w:r>
      <w:r w:rsidR="00500952" w:rsidRPr="007F6769">
        <w:rPr>
          <w:b/>
        </w:rPr>
        <w:t>Payments under section 90B</w:t>
      </w:r>
    </w:p>
    <w:p w:rsidR="00500952" w:rsidRPr="0055236D" w:rsidRDefault="00500952" w:rsidP="0055236D"/>
    <w:p w:rsidR="00500952" w:rsidRPr="0055236D" w:rsidRDefault="00500952" w:rsidP="0055236D">
      <w:r w:rsidRPr="0055236D">
        <w:t xml:space="preserve">The Court decision in </w:t>
      </w:r>
      <w:r w:rsidRPr="00E42E7F">
        <w:rPr>
          <w:i/>
        </w:rPr>
        <w:t>Comcare v Etheridge</w:t>
      </w:r>
      <w:r w:rsidRPr="0055236D">
        <w:t xml:space="preserve"> had the indirect result </w:t>
      </w:r>
      <w:r w:rsidR="00F1141F">
        <w:t xml:space="preserve">of finding </w:t>
      </w:r>
      <w:r w:rsidRPr="0055236D">
        <w:t xml:space="preserve">that section 90B could not be interpreted as giving Comcare access to the CRF to pay for its liabilities arising from disease claims attributable to employment before 1 December 1988 </w:t>
      </w:r>
      <w:r w:rsidR="006B3312" w:rsidRPr="0055236D">
        <w:t>but not manifesting until after that date</w:t>
      </w:r>
      <w:r w:rsidRPr="0055236D">
        <w:t xml:space="preserve">. </w:t>
      </w:r>
    </w:p>
    <w:p w:rsidR="00500952" w:rsidRPr="0055236D" w:rsidRDefault="00500952" w:rsidP="0055236D"/>
    <w:p w:rsidR="00500952" w:rsidRPr="0055236D" w:rsidRDefault="00500952" w:rsidP="0055236D">
      <w:r w:rsidRPr="0055236D">
        <w:t xml:space="preserve">This meant that Comcare’s drawings on the CRF to pay for liabilities were retrospectively invalidated. </w:t>
      </w:r>
    </w:p>
    <w:p w:rsidR="00500952" w:rsidRPr="006B3312" w:rsidRDefault="00500952" w:rsidP="00FF478A">
      <w:pPr>
        <w:pStyle w:val="EMPartHeading"/>
      </w:pPr>
    </w:p>
    <w:p w:rsidR="00500952" w:rsidRPr="0077778F" w:rsidRDefault="006B3312" w:rsidP="0077778F">
      <w:r>
        <w:lastRenderedPageBreak/>
        <w:t xml:space="preserve">The </w:t>
      </w:r>
      <w:r w:rsidR="00FD2539">
        <w:t xml:space="preserve">proposed </w:t>
      </w:r>
      <w:r>
        <w:t>amend</w:t>
      </w:r>
      <w:r w:rsidR="000F0549">
        <w:t xml:space="preserve">ments in </w:t>
      </w:r>
      <w:r w:rsidR="0093139B">
        <w:t>this item</w:t>
      </w:r>
      <w:r>
        <w:t xml:space="preserve"> </w:t>
      </w:r>
      <w:r w:rsidR="00E42E7F">
        <w:t xml:space="preserve">set up a mechanism </w:t>
      </w:r>
      <w:r>
        <w:t>for the</w:t>
      </w:r>
      <w:r w:rsidR="00500952" w:rsidRPr="0077778F">
        <w:t xml:space="preserve"> recovery </w:t>
      </w:r>
      <w:r w:rsidR="0093139B">
        <w:t xml:space="preserve">and off setting </w:t>
      </w:r>
      <w:r w:rsidR="00E42E7F">
        <w:t>of the CRF drawings.</w:t>
      </w:r>
      <w:r w:rsidR="00500952" w:rsidRPr="0077778F">
        <w:t xml:space="preserve"> </w:t>
      </w:r>
    </w:p>
    <w:p w:rsidR="00500952" w:rsidRPr="0077778F" w:rsidRDefault="00500952" w:rsidP="0077778F"/>
    <w:p w:rsidR="00500952" w:rsidRDefault="00500952" w:rsidP="0077778F">
      <w:r w:rsidRPr="0077778F">
        <w:t xml:space="preserve">Paragraphs (1)(a) and (b) provide that the section applies </w:t>
      </w:r>
      <w:r w:rsidR="00E76414">
        <w:t>in relation to</w:t>
      </w:r>
      <w:r w:rsidR="00E76414" w:rsidRPr="0077778F">
        <w:t xml:space="preserve"> </w:t>
      </w:r>
      <w:r w:rsidRPr="0077778F">
        <w:t xml:space="preserve">amounts paid out of the CRF to Comcare under section 90B which were invalidly paid at the time </w:t>
      </w:r>
      <w:r w:rsidR="00E76414">
        <w:t xml:space="preserve">(the relevant amounts) </w:t>
      </w:r>
      <w:r w:rsidRPr="0077778F">
        <w:t xml:space="preserve">but which, if the </w:t>
      </w:r>
      <w:r w:rsidR="00FD2539">
        <w:t xml:space="preserve">proposed </w:t>
      </w:r>
      <w:r w:rsidRPr="0077778F">
        <w:t xml:space="preserve">amendments </w:t>
      </w:r>
      <w:r w:rsidRPr="006B3312">
        <w:t xml:space="preserve">in </w:t>
      </w:r>
      <w:r w:rsidR="003C1465">
        <w:t xml:space="preserve">Item </w:t>
      </w:r>
      <w:r w:rsidR="00BF6DFF">
        <w:t>8</w:t>
      </w:r>
      <w:r w:rsidRPr="006B3312">
        <w:t xml:space="preserve"> above had been in force, would have been validly paid.</w:t>
      </w:r>
    </w:p>
    <w:p w:rsidR="006B3312" w:rsidRPr="0077778F" w:rsidRDefault="006B3312" w:rsidP="0077778F"/>
    <w:p w:rsidR="006B3312" w:rsidRPr="0077778F" w:rsidRDefault="006B3312" w:rsidP="006B3312">
      <w:r>
        <w:t>S</w:t>
      </w:r>
      <w:r w:rsidR="00383AFA">
        <w:t>ubs</w:t>
      </w:r>
      <w:r>
        <w:t>ection (2</w:t>
      </w:r>
      <w:r w:rsidRPr="0077778F">
        <w:t xml:space="preserve">) </w:t>
      </w:r>
      <w:r w:rsidR="00FD2539">
        <w:t>proposes</w:t>
      </w:r>
      <w:r w:rsidRPr="0077778F">
        <w:t xml:space="preserve"> that </w:t>
      </w:r>
      <w:r w:rsidR="00E76414">
        <w:t xml:space="preserve">the relevant </w:t>
      </w:r>
      <w:r w:rsidRPr="0077778F">
        <w:t>amounts already paid to Comcare may be recovered by the Commonwealth as a debt.</w:t>
      </w:r>
    </w:p>
    <w:p w:rsidR="00500952" w:rsidRPr="0077778F" w:rsidRDefault="00500952" w:rsidP="0077778F"/>
    <w:p w:rsidR="00500952" w:rsidRPr="0077778F" w:rsidRDefault="006B3312" w:rsidP="0077778F">
      <w:r>
        <w:t>S</w:t>
      </w:r>
      <w:r w:rsidR="00383AFA">
        <w:t>ubs</w:t>
      </w:r>
      <w:r>
        <w:t>ection (3</w:t>
      </w:r>
      <w:r w:rsidR="00500952" w:rsidRPr="0077778F">
        <w:t xml:space="preserve">) </w:t>
      </w:r>
      <w:r w:rsidR="00FD2539">
        <w:t>proposes</w:t>
      </w:r>
      <w:r w:rsidR="00500952" w:rsidRPr="0077778F">
        <w:t xml:space="preserve"> that Comcare is entitled to be paid </w:t>
      </w:r>
      <w:r w:rsidR="00E76414">
        <w:t>an amount, equal to the relevant</w:t>
      </w:r>
      <w:r w:rsidR="00500952" w:rsidRPr="0077778F">
        <w:t xml:space="preserve"> amounts </w:t>
      </w:r>
      <w:r>
        <w:t xml:space="preserve">referred to in </w:t>
      </w:r>
      <w:r w:rsidR="00E76414">
        <w:t>paragraphs (1)(a) and (b)</w:t>
      </w:r>
      <w:r>
        <w:t xml:space="preserve"> above, </w:t>
      </w:r>
      <w:r w:rsidR="00500952" w:rsidRPr="0077778F">
        <w:t>out of the CRF.</w:t>
      </w:r>
    </w:p>
    <w:p w:rsidR="00500952" w:rsidRPr="0077778F" w:rsidRDefault="00500952" w:rsidP="0077778F"/>
    <w:p w:rsidR="00500952" w:rsidRPr="0077778F" w:rsidRDefault="00500952" w:rsidP="0077778F">
      <w:r w:rsidRPr="0077778F">
        <w:t>S</w:t>
      </w:r>
      <w:r w:rsidR="00383AFA">
        <w:t>ubs</w:t>
      </w:r>
      <w:r w:rsidRPr="0077778F">
        <w:t>ection (4)</w:t>
      </w:r>
      <w:r w:rsidR="00F66A47">
        <w:t xml:space="preserve"> </w:t>
      </w:r>
      <w:r w:rsidR="00FD2539">
        <w:t>proposes</w:t>
      </w:r>
      <w:r w:rsidR="00E76414">
        <w:t xml:space="preserve"> that the Commonwealth may</w:t>
      </w:r>
      <w:r w:rsidR="00F66A47">
        <w:t xml:space="preserve"> off</w:t>
      </w:r>
      <w:r w:rsidR="00E76414">
        <w:noBreakHyphen/>
        <w:t>set</w:t>
      </w:r>
      <w:r w:rsidR="00F66A47">
        <w:t xml:space="preserve"> the debt in s</w:t>
      </w:r>
      <w:r w:rsidR="00383AFA">
        <w:t>ubs</w:t>
      </w:r>
      <w:r w:rsidR="00F66A47">
        <w:t>ection (2</w:t>
      </w:r>
      <w:r w:rsidRPr="0077778F">
        <w:t>) against Comcar</w:t>
      </w:r>
      <w:r w:rsidR="00F66A47">
        <w:t>e’s entitlement under s</w:t>
      </w:r>
      <w:r w:rsidR="00383AFA">
        <w:t>ubs</w:t>
      </w:r>
      <w:r w:rsidR="00F66A47">
        <w:t>ection (3</w:t>
      </w:r>
      <w:r w:rsidRPr="0077778F">
        <w:t xml:space="preserve">). </w:t>
      </w:r>
    </w:p>
    <w:p w:rsidR="00500952" w:rsidRPr="0077778F" w:rsidRDefault="00500952" w:rsidP="0077778F"/>
    <w:p w:rsidR="00500952" w:rsidRPr="0077778F" w:rsidRDefault="00500952" w:rsidP="0077778F">
      <w:r w:rsidRPr="0077778F">
        <w:t>S</w:t>
      </w:r>
      <w:r w:rsidR="00383AFA">
        <w:t>ubs</w:t>
      </w:r>
      <w:r w:rsidRPr="0077778F">
        <w:t xml:space="preserve">ection (5) </w:t>
      </w:r>
      <w:r w:rsidR="00FD2539">
        <w:t xml:space="preserve">would </w:t>
      </w:r>
      <w:r w:rsidR="00383AFA">
        <w:t>appropriate</w:t>
      </w:r>
      <w:r w:rsidR="00F66A47">
        <w:t xml:space="preserve"> </w:t>
      </w:r>
      <w:r w:rsidRPr="0077778F">
        <w:t xml:space="preserve">funds from the CRF for the purposes of the </w:t>
      </w:r>
      <w:r w:rsidR="00F66A47">
        <w:t>proposed item</w:t>
      </w:r>
      <w:r w:rsidRPr="0077778F">
        <w:t>.</w:t>
      </w:r>
    </w:p>
    <w:p w:rsidR="00500952" w:rsidRPr="0077778F" w:rsidRDefault="00500952" w:rsidP="0077778F"/>
    <w:p w:rsidR="00F14BD3" w:rsidRDefault="00F14BD3" w:rsidP="00FF478A">
      <w:pPr>
        <w:pStyle w:val="EMPartHeading"/>
        <w:sectPr w:rsidR="00F14BD3" w:rsidSect="0044203F">
          <w:headerReference w:type="default" r:id="rId20"/>
          <w:footerReference w:type="default" r:id="rId21"/>
          <w:pgSz w:w="11906" w:h="16838" w:code="9"/>
          <w:pgMar w:top="1418" w:right="1134" w:bottom="1418" w:left="1418" w:header="567" w:footer="567" w:gutter="0"/>
          <w:cols w:space="708"/>
          <w:docGrid w:linePitch="360"/>
        </w:sectPr>
      </w:pPr>
    </w:p>
    <w:p w:rsidR="008E6CCE" w:rsidRPr="00AA3181" w:rsidRDefault="00C8403A" w:rsidP="00FF478A">
      <w:pPr>
        <w:pStyle w:val="EMPartHeading"/>
      </w:pPr>
      <w:r>
        <w:lastRenderedPageBreak/>
        <w:t>Schedule 3</w:t>
      </w:r>
      <w:r w:rsidR="00E76414" w:rsidRPr="00AA3181">
        <w:t>—</w:t>
      </w:r>
      <w:r w:rsidR="008E6CCE" w:rsidRPr="00AA3181">
        <w:t>Amendment of the Seafarers Rehabilitation and Compensation Act 1992</w:t>
      </w:r>
    </w:p>
    <w:p w:rsidR="008E6CCE" w:rsidRPr="00E76414" w:rsidRDefault="008E6CCE" w:rsidP="009F70B4">
      <w:pPr>
        <w:pStyle w:val="EMHeading"/>
        <w:rPr>
          <w:b w:val="0"/>
        </w:rPr>
      </w:pPr>
    </w:p>
    <w:p w:rsidR="008E6CCE" w:rsidRPr="00E76414" w:rsidRDefault="00C8403A" w:rsidP="009F70B4">
      <w:pPr>
        <w:pStyle w:val="EMHeading"/>
        <w:rPr>
          <w:b w:val="0"/>
        </w:rPr>
      </w:pPr>
      <w:r>
        <w:rPr>
          <w:b w:val="0"/>
        </w:rPr>
        <w:t>Schedule 3</w:t>
      </w:r>
      <w:r w:rsidR="008E6CCE" w:rsidRPr="00E76414">
        <w:rPr>
          <w:b w:val="0"/>
        </w:rPr>
        <w:t xml:space="preserve"> of the Bill makes a number of technical amendments to the </w:t>
      </w:r>
      <w:r w:rsidR="00882DDC" w:rsidRPr="00E76414">
        <w:rPr>
          <w:b w:val="0"/>
          <w:i/>
        </w:rPr>
        <w:t>Seafarers Rehabilitation and Compensation Act 1992</w:t>
      </w:r>
      <w:r w:rsidR="00882DDC" w:rsidRPr="00E76414">
        <w:rPr>
          <w:b w:val="0"/>
        </w:rPr>
        <w:t xml:space="preserve"> (‘the Seafarers Act’)</w:t>
      </w:r>
      <w:r w:rsidR="008E6CCE" w:rsidRPr="00E76414">
        <w:rPr>
          <w:b w:val="0"/>
        </w:rPr>
        <w:t xml:space="preserve"> as a consequence of the commencement of the </w:t>
      </w:r>
      <w:r w:rsidR="008E6CCE" w:rsidRPr="00E76414">
        <w:rPr>
          <w:b w:val="0"/>
          <w:i/>
        </w:rPr>
        <w:t>Legislative Instruments Act 2003</w:t>
      </w:r>
      <w:r w:rsidR="008E6CCE" w:rsidRPr="00E76414">
        <w:rPr>
          <w:b w:val="0"/>
        </w:rPr>
        <w:t>. These amendments do not in any way affect the operat</w:t>
      </w:r>
      <w:r w:rsidR="00882DDC" w:rsidRPr="00E76414">
        <w:rPr>
          <w:b w:val="0"/>
        </w:rPr>
        <w:t>ion of the provisions of the Seafarers</w:t>
      </w:r>
      <w:r w:rsidR="008E6CCE" w:rsidRPr="00E76414">
        <w:rPr>
          <w:b w:val="0"/>
        </w:rPr>
        <w:t xml:space="preserve"> Act.</w:t>
      </w:r>
    </w:p>
    <w:p w:rsidR="008E6CCE" w:rsidRPr="00E76414" w:rsidRDefault="008E6CCE" w:rsidP="009F70B4">
      <w:pPr>
        <w:pStyle w:val="EMHeading"/>
        <w:rPr>
          <w:b w:val="0"/>
        </w:rPr>
      </w:pPr>
    </w:p>
    <w:p w:rsidR="008E6CCE" w:rsidRPr="00E76414" w:rsidRDefault="008E6CCE" w:rsidP="009F70B4">
      <w:pPr>
        <w:pStyle w:val="EMHeading"/>
      </w:pPr>
      <w:r w:rsidRPr="00E76414">
        <w:t>Item 1</w:t>
      </w:r>
      <w:r w:rsidR="00E76414">
        <w:t>—</w:t>
      </w:r>
      <w:r w:rsidR="00882DDC" w:rsidRPr="00E76414">
        <w:t xml:space="preserve">Paragraph </w:t>
      </w:r>
      <w:r w:rsidRPr="00E76414">
        <w:t>10(</w:t>
      </w:r>
      <w:r w:rsidR="00882DDC" w:rsidRPr="00E76414">
        <w:t>1</w:t>
      </w:r>
      <w:r w:rsidRPr="00E76414">
        <w:t>)</w:t>
      </w:r>
      <w:r w:rsidR="00882DDC" w:rsidRPr="00E76414">
        <w:t>(b)</w:t>
      </w:r>
    </w:p>
    <w:p w:rsidR="008E6CCE" w:rsidRPr="00D148C7" w:rsidRDefault="008E6CCE" w:rsidP="009F70B4">
      <w:pPr>
        <w:pStyle w:val="EMHeading"/>
      </w:pPr>
    </w:p>
    <w:p w:rsidR="00882DDC" w:rsidRPr="00D148C7" w:rsidRDefault="00882DDC" w:rsidP="00D148C7">
      <w:pPr>
        <w:pStyle w:val="EMText"/>
        <w:numPr>
          <w:ilvl w:val="0"/>
          <w:numId w:val="0"/>
        </w:numPr>
        <w:spacing w:after="0" w:line="240" w:lineRule="auto"/>
      </w:pPr>
      <w:r w:rsidRPr="00D148C7">
        <w:t xml:space="preserve">Proposed item 1 will amend the paragraph by omitting the reference to </w:t>
      </w:r>
      <w:r w:rsidR="00F35764">
        <w:t>‘</w:t>
      </w:r>
      <w:r w:rsidRPr="00D148C7">
        <w:t>written notice</w:t>
      </w:r>
      <w:r w:rsidR="00F35764">
        <w:t>’</w:t>
      </w:r>
      <w:r w:rsidRPr="00D148C7">
        <w:t xml:space="preserve"> and substituting a reference to </w:t>
      </w:r>
      <w:r w:rsidR="00F35764">
        <w:t>‘</w:t>
      </w:r>
      <w:r w:rsidRPr="00D148C7">
        <w:t>legislative instrument</w:t>
      </w:r>
      <w:r w:rsidR="00F35764">
        <w:t>’</w:t>
      </w:r>
      <w:r w:rsidRPr="00D148C7">
        <w:t>.</w:t>
      </w:r>
    </w:p>
    <w:p w:rsidR="00882DDC" w:rsidRPr="00F645A2" w:rsidRDefault="00882DDC" w:rsidP="00F645A2"/>
    <w:p w:rsidR="00882DDC" w:rsidRPr="00F645A2" w:rsidRDefault="00882DDC" w:rsidP="00F645A2">
      <w:r w:rsidRPr="00F645A2">
        <w:t xml:space="preserve">This is a technical amendment as a consequence of the commencement of the </w:t>
      </w:r>
      <w:r w:rsidRPr="00E76414">
        <w:rPr>
          <w:i/>
        </w:rPr>
        <w:t>Legislative Instruments Act 2003</w:t>
      </w:r>
      <w:r w:rsidRPr="00F645A2">
        <w:t>. This amendment does not in any way affect the operation of the provisions of the Seafarers Act.</w:t>
      </w:r>
    </w:p>
    <w:p w:rsidR="008E6CCE" w:rsidRPr="00F645A2" w:rsidRDefault="008E6CCE" w:rsidP="00F645A2"/>
    <w:p w:rsidR="00AE0143" w:rsidRPr="00B1265B" w:rsidRDefault="008E6CCE" w:rsidP="00F645A2">
      <w:pPr>
        <w:rPr>
          <w:b/>
        </w:rPr>
      </w:pPr>
      <w:r w:rsidRPr="00B1265B">
        <w:rPr>
          <w:b/>
        </w:rPr>
        <w:t>Item 2</w:t>
      </w:r>
      <w:r w:rsidR="00AA3181">
        <w:rPr>
          <w:b/>
        </w:rPr>
        <w:t>—</w:t>
      </w:r>
      <w:r w:rsidR="00882DDC" w:rsidRPr="00B1265B">
        <w:rPr>
          <w:b/>
        </w:rPr>
        <w:t>Paragraph 10(1)(b)</w:t>
      </w:r>
    </w:p>
    <w:p w:rsidR="00AE0143" w:rsidRPr="00F645A2" w:rsidRDefault="00AE0143" w:rsidP="00F645A2"/>
    <w:p w:rsidR="00AE0143" w:rsidRPr="00F645A2" w:rsidRDefault="00882DDC" w:rsidP="00F645A2">
      <w:r w:rsidRPr="00F645A2">
        <w:t>Proposed item 2 is similar to item</w:t>
      </w:r>
      <w:r w:rsidR="00C465DD" w:rsidRPr="00F645A2">
        <w:t xml:space="preserve"> 1 and will amend the paragraph</w:t>
      </w:r>
      <w:r w:rsidRPr="00F645A2">
        <w:t xml:space="preserve"> by omitting the reference to </w:t>
      </w:r>
      <w:r w:rsidR="00F35764">
        <w:t>‘</w:t>
      </w:r>
      <w:r w:rsidRPr="00F645A2">
        <w:t>the notice</w:t>
      </w:r>
      <w:r w:rsidR="00F35764">
        <w:t>’</w:t>
      </w:r>
      <w:r w:rsidRPr="00F645A2">
        <w:t xml:space="preserve"> and substituting a reference to </w:t>
      </w:r>
      <w:r w:rsidR="00F35764">
        <w:t>‘</w:t>
      </w:r>
      <w:r w:rsidRPr="00F645A2">
        <w:t>the</w:t>
      </w:r>
      <w:r w:rsidR="00AE0143" w:rsidRPr="00F645A2">
        <w:t xml:space="preserve"> instrument</w:t>
      </w:r>
      <w:r w:rsidR="00F35764">
        <w:t>’</w:t>
      </w:r>
      <w:r w:rsidR="00AE0143" w:rsidRPr="00F645A2">
        <w:t>.</w:t>
      </w:r>
    </w:p>
    <w:p w:rsidR="00AE0143" w:rsidRPr="00F645A2" w:rsidRDefault="00AE0143" w:rsidP="00F645A2"/>
    <w:p w:rsidR="00AE0143" w:rsidRPr="00B1265B" w:rsidRDefault="00AE0143" w:rsidP="00F645A2">
      <w:pPr>
        <w:rPr>
          <w:b/>
        </w:rPr>
      </w:pPr>
      <w:r w:rsidRPr="00B1265B">
        <w:rPr>
          <w:b/>
        </w:rPr>
        <w:t>Item 3</w:t>
      </w:r>
      <w:r w:rsidR="00E76414">
        <w:rPr>
          <w:b/>
        </w:rPr>
        <w:t>—</w:t>
      </w:r>
      <w:r w:rsidRPr="00B1265B">
        <w:rPr>
          <w:b/>
        </w:rPr>
        <w:t xml:space="preserve">Paragraph 28(6A)(b) (definition of </w:t>
      </w:r>
      <w:r w:rsidRPr="00BB0E81">
        <w:rPr>
          <w:b/>
          <w:i/>
        </w:rPr>
        <w:t>Specified rate per kilometre</w:t>
      </w:r>
      <w:r w:rsidRPr="00B1265B">
        <w:rPr>
          <w:b/>
        </w:rPr>
        <w:t>)</w:t>
      </w:r>
    </w:p>
    <w:p w:rsidR="00C465DD" w:rsidRPr="00F645A2" w:rsidRDefault="00C465DD" w:rsidP="00F645A2"/>
    <w:p w:rsidR="00C465DD" w:rsidRPr="00F645A2" w:rsidRDefault="00C465DD" w:rsidP="00F645A2">
      <w:r w:rsidRPr="00F645A2">
        <w:t xml:space="preserve">Proposed item 3 is similar to item 1 and will amend the paragraph by omitting the reference to </w:t>
      </w:r>
      <w:r w:rsidR="00F35764">
        <w:t>‘</w:t>
      </w:r>
      <w:r w:rsidRPr="00F645A2">
        <w:t>by written notice</w:t>
      </w:r>
      <w:r w:rsidR="00F35764">
        <w:t>’</w:t>
      </w:r>
      <w:r w:rsidRPr="00F645A2">
        <w:t xml:space="preserve"> and substituting a reference to </w:t>
      </w:r>
      <w:r w:rsidR="00F35764">
        <w:t>‘</w:t>
      </w:r>
      <w:r w:rsidRPr="00F645A2">
        <w:t>by legislative instrument</w:t>
      </w:r>
      <w:r w:rsidR="00F35764">
        <w:t>’</w:t>
      </w:r>
      <w:r w:rsidRPr="00F645A2">
        <w:t>.</w:t>
      </w:r>
    </w:p>
    <w:p w:rsidR="00C465DD" w:rsidRPr="00F645A2" w:rsidRDefault="00C465DD" w:rsidP="009F70B4">
      <w:pPr>
        <w:pStyle w:val="EMHeading"/>
      </w:pPr>
    </w:p>
    <w:p w:rsidR="00C465DD" w:rsidRPr="000C2623" w:rsidRDefault="00C41517" w:rsidP="009F70B4">
      <w:pPr>
        <w:pStyle w:val="EMHeading"/>
      </w:pPr>
      <w:r w:rsidRPr="000C2623">
        <w:t>Item 4</w:t>
      </w:r>
      <w:r w:rsidR="00E76414">
        <w:t>—</w:t>
      </w:r>
      <w:r w:rsidR="00BB0E81">
        <w:t>After s</w:t>
      </w:r>
      <w:r w:rsidRPr="000C2623">
        <w:t>ubsection 42(3)</w:t>
      </w:r>
    </w:p>
    <w:p w:rsidR="00C41517" w:rsidRPr="00D148C7" w:rsidRDefault="00164ECC" w:rsidP="009F70B4">
      <w:pPr>
        <w:pStyle w:val="EMHeading"/>
      </w:pPr>
      <w:r w:rsidRPr="000C2623">
        <w:t>Item 5</w:t>
      </w:r>
      <w:r w:rsidR="00E76414">
        <w:t>—</w:t>
      </w:r>
      <w:r w:rsidRPr="000C2623">
        <w:t>Subsection</w:t>
      </w:r>
      <w:r w:rsidR="00AA3181">
        <w:t>s</w:t>
      </w:r>
      <w:r w:rsidRPr="000C2623">
        <w:t xml:space="preserve"> 42(7), (9) and (10)</w:t>
      </w:r>
    </w:p>
    <w:p w:rsidR="00164ECC" w:rsidRPr="00B1265B" w:rsidRDefault="00164ECC" w:rsidP="00B1265B"/>
    <w:p w:rsidR="003473AE" w:rsidRPr="00B1265B" w:rsidRDefault="00C41517" w:rsidP="00B1265B">
      <w:r w:rsidRPr="00B1265B">
        <w:t>Proposed item</w:t>
      </w:r>
      <w:r w:rsidR="00164ECC" w:rsidRPr="00B1265B">
        <w:t>s</w:t>
      </w:r>
      <w:r w:rsidRPr="00B1265B">
        <w:t xml:space="preserve"> 4</w:t>
      </w:r>
      <w:r w:rsidR="00164ECC" w:rsidRPr="00B1265B">
        <w:t xml:space="preserve"> and 5</w:t>
      </w:r>
      <w:r w:rsidRPr="00B1265B">
        <w:t xml:space="preserve"> </w:t>
      </w:r>
      <w:r w:rsidR="003473AE" w:rsidRPr="00B1265B">
        <w:t xml:space="preserve">deal with the application of the </w:t>
      </w:r>
      <w:r w:rsidR="003473AE" w:rsidRPr="00B1265B">
        <w:rPr>
          <w:i/>
        </w:rPr>
        <w:t>Legislative Instruments Act 20</w:t>
      </w:r>
      <w:r w:rsidR="009C0315" w:rsidRPr="00B1265B">
        <w:rPr>
          <w:i/>
        </w:rPr>
        <w:t>03</w:t>
      </w:r>
      <w:r w:rsidR="003473AE" w:rsidRPr="00B1265B">
        <w:t xml:space="preserve"> to the </w:t>
      </w:r>
      <w:r w:rsidR="00B1265B">
        <w:t>Seacare Authority’s</w:t>
      </w:r>
      <w:r w:rsidR="003473AE" w:rsidRPr="00B1265B">
        <w:t xml:space="preserve"> </w:t>
      </w:r>
      <w:r w:rsidR="00F35764">
        <w:t>‘</w:t>
      </w:r>
      <w:r w:rsidR="003473AE" w:rsidRPr="00B1265B">
        <w:t>Guide to the Assessment of the Degree of Permanent Impairment</w:t>
      </w:r>
      <w:r w:rsidR="00F35764">
        <w:t>’</w:t>
      </w:r>
      <w:r w:rsidR="00BE4811">
        <w:br/>
      </w:r>
      <w:r w:rsidR="00B1265B">
        <w:t>(the Guide)</w:t>
      </w:r>
      <w:r w:rsidR="003473AE" w:rsidRPr="00B1265B">
        <w:t>.</w:t>
      </w:r>
    </w:p>
    <w:p w:rsidR="00305C29" w:rsidRPr="00B1265B" w:rsidRDefault="00305C29" w:rsidP="00B1265B"/>
    <w:p w:rsidR="00305C29" w:rsidRDefault="00305C29" w:rsidP="00B1265B">
      <w:r>
        <w:t>New s</w:t>
      </w:r>
      <w:r w:rsidR="003473AE" w:rsidRPr="00B1265B">
        <w:t>ubsection 42(3A) makes it clear</w:t>
      </w:r>
      <w:r w:rsidR="00BB0E81">
        <w:t xml:space="preserve"> that the Guide, or variation or</w:t>
      </w:r>
      <w:r w:rsidR="003473AE" w:rsidRPr="00B1265B">
        <w:t xml:space="preserve"> revocation of the Guide</w:t>
      </w:r>
      <w:r w:rsidR="00BB0E81">
        <w:t>, on approval by the Minister, is a legislative instrument</w:t>
      </w:r>
      <w:r w:rsidR="003473AE" w:rsidRPr="00B1265B">
        <w:t xml:space="preserve">. </w:t>
      </w:r>
    </w:p>
    <w:p w:rsidR="00305C29" w:rsidRDefault="00305C29" w:rsidP="00B1265B"/>
    <w:p w:rsidR="003473AE" w:rsidRPr="00B1265B" w:rsidRDefault="003473AE" w:rsidP="00B1265B">
      <w:r w:rsidRPr="00B1265B">
        <w:t xml:space="preserve">Notwithstanding that the legislative instrument is made on the day of Ministerial approval, the legislative instrument takes effect in accordance with section 12 of the </w:t>
      </w:r>
      <w:r w:rsidRPr="00305C29">
        <w:rPr>
          <w:i/>
        </w:rPr>
        <w:t>Legi</w:t>
      </w:r>
      <w:r w:rsidR="00164ECC" w:rsidRPr="00305C29">
        <w:rPr>
          <w:i/>
        </w:rPr>
        <w:t>slative Instrument</w:t>
      </w:r>
      <w:r w:rsidR="00F30381">
        <w:rPr>
          <w:i/>
        </w:rPr>
        <w:t>s</w:t>
      </w:r>
      <w:r w:rsidR="00164ECC" w:rsidRPr="00305C29">
        <w:rPr>
          <w:i/>
        </w:rPr>
        <w:t xml:space="preserve"> Act 2003</w:t>
      </w:r>
      <w:r w:rsidR="00164ECC" w:rsidRPr="00B1265B">
        <w:t>.</w:t>
      </w:r>
    </w:p>
    <w:p w:rsidR="00164ECC" w:rsidRPr="00B1265B" w:rsidRDefault="00164ECC" w:rsidP="00B1265B"/>
    <w:p w:rsidR="008E6CCE" w:rsidRDefault="00164ECC" w:rsidP="00B1265B">
      <w:r w:rsidRPr="00B1265B">
        <w:t>Proposed item 5 is a consequential amendment to proposed item 4. It repeals subsections 42(7), (9) and</w:t>
      </w:r>
      <w:r w:rsidR="009C0315" w:rsidRPr="00B1265B">
        <w:t xml:space="preserve"> (10) because, as the approved G</w:t>
      </w:r>
      <w:r w:rsidRPr="00B1265B">
        <w:t>uide is held to be a legislative instrument, these subsections are redundant.</w:t>
      </w:r>
    </w:p>
    <w:p w:rsidR="008431C3" w:rsidRPr="00B1265B" w:rsidRDefault="008431C3" w:rsidP="00B1265B"/>
    <w:p w:rsidR="00164ECC" w:rsidRPr="00B1265B" w:rsidRDefault="00FF2B10" w:rsidP="00B1265B">
      <w:pPr>
        <w:rPr>
          <w:b/>
        </w:rPr>
      </w:pPr>
      <w:r w:rsidRPr="00B1265B">
        <w:rPr>
          <w:b/>
        </w:rPr>
        <w:t>Item 6</w:t>
      </w:r>
      <w:r w:rsidR="008C6114">
        <w:rPr>
          <w:b/>
        </w:rPr>
        <w:t>—</w:t>
      </w:r>
      <w:r w:rsidRPr="00B1265B">
        <w:rPr>
          <w:b/>
        </w:rPr>
        <w:t>Subsection 44(3)</w:t>
      </w:r>
    </w:p>
    <w:p w:rsidR="00FF2B10" w:rsidRPr="00B1265B" w:rsidRDefault="00FF2B10" w:rsidP="00B1265B"/>
    <w:p w:rsidR="00FF2B10" w:rsidRPr="00B1265B" w:rsidRDefault="00FF2B10" w:rsidP="00B1265B">
      <w:r w:rsidRPr="00B1265B">
        <w:t xml:space="preserve">Proposed item 6 is similar to item 1 and will amend the subsection by omitting the reference to </w:t>
      </w:r>
      <w:r w:rsidR="00F35764">
        <w:t>‘</w:t>
      </w:r>
      <w:r w:rsidRPr="00B1265B">
        <w:t>notice in writing</w:t>
      </w:r>
      <w:r w:rsidR="00F35764">
        <w:t>’</w:t>
      </w:r>
      <w:r w:rsidRPr="00B1265B">
        <w:t xml:space="preserve"> and substituting </w:t>
      </w:r>
      <w:r w:rsidR="00F35764">
        <w:t>‘</w:t>
      </w:r>
      <w:r w:rsidRPr="00B1265B">
        <w:t>legislative instrument</w:t>
      </w:r>
      <w:r w:rsidR="00F35764">
        <w:t>’</w:t>
      </w:r>
      <w:r w:rsidRPr="00B1265B">
        <w:t>.</w:t>
      </w:r>
    </w:p>
    <w:p w:rsidR="00FF2B10" w:rsidRPr="00B1265B" w:rsidRDefault="008431C3" w:rsidP="00B1265B">
      <w:pPr>
        <w:rPr>
          <w:b/>
        </w:rPr>
      </w:pPr>
      <w:r>
        <w:br w:type="page"/>
      </w:r>
      <w:r w:rsidR="00FF2B10" w:rsidRPr="00B1265B">
        <w:rPr>
          <w:b/>
        </w:rPr>
        <w:lastRenderedPageBreak/>
        <w:t>Item 7</w:t>
      </w:r>
      <w:r w:rsidR="008C6114">
        <w:rPr>
          <w:b/>
        </w:rPr>
        <w:t>—</w:t>
      </w:r>
      <w:r w:rsidR="00FF2B10" w:rsidRPr="00B1265B">
        <w:rPr>
          <w:b/>
        </w:rPr>
        <w:t>Para</w:t>
      </w:r>
      <w:r w:rsidR="00045FC5">
        <w:rPr>
          <w:b/>
        </w:rPr>
        <w:t xml:space="preserve">graph 49(6B)(b) (definition of </w:t>
      </w:r>
      <w:r w:rsidR="00045FC5" w:rsidRPr="00045FC5">
        <w:rPr>
          <w:b/>
          <w:i/>
        </w:rPr>
        <w:t>s</w:t>
      </w:r>
      <w:r w:rsidR="00FF2B10" w:rsidRPr="00045FC5">
        <w:rPr>
          <w:b/>
          <w:i/>
        </w:rPr>
        <w:t>pecified rate per kilometre</w:t>
      </w:r>
      <w:r w:rsidR="00FF2B10" w:rsidRPr="00B1265B">
        <w:rPr>
          <w:b/>
        </w:rPr>
        <w:t>)</w:t>
      </w:r>
    </w:p>
    <w:p w:rsidR="00FF2B10" w:rsidRPr="00B1265B" w:rsidRDefault="00FF2B10" w:rsidP="00B1265B">
      <w:pPr>
        <w:rPr>
          <w:b/>
        </w:rPr>
      </w:pPr>
      <w:r w:rsidRPr="00B1265B">
        <w:rPr>
          <w:b/>
        </w:rPr>
        <w:t>Item 8</w:t>
      </w:r>
      <w:r w:rsidR="008C6114">
        <w:rPr>
          <w:b/>
        </w:rPr>
        <w:t>—</w:t>
      </w:r>
      <w:r w:rsidRPr="00B1265B">
        <w:rPr>
          <w:b/>
        </w:rPr>
        <w:t>Para</w:t>
      </w:r>
      <w:r w:rsidR="00045FC5">
        <w:rPr>
          <w:b/>
        </w:rPr>
        <w:t xml:space="preserve">graph 50(2B)(b) (definition of </w:t>
      </w:r>
      <w:r w:rsidR="00045FC5" w:rsidRPr="00045FC5">
        <w:rPr>
          <w:b/>
          <w:i/>
        </w:rPr>
        <w:t>s</w:t>
      </w:r>
      <w:r w:rsidRPr="00045FC5">
        <w:rPr>
          <w:b/>
          <w:i/>
        </w:rPr>
        <w:t>pecified rate per kilometre</w:t>
      </w:r>
      <w:r w:rsidRPr="00B1265B">
        <w:rPr>
          <w:b/>
        </w:rPr>
        <w:t>)</w:t>
      </w:r>
    </w:p>
    <w:p w:rsidR="00FF2B10" w:rsidRPr="00B1265B" w:rsidRDefault="00FF2B10" w:rsidP="00B1265B">
      <w:pPr>
        <w:rPr>
          <w:b/>
        </w:rPr>
      </w:pPr>
      <w:r w:rsidRPr="00B1265B">
        <w:rPr>
          <w:b/>
        </w:rPr>
        <w:t>Item 9</w:t>
      </w:r>
      <w:r w:rsidR="008C6114">
        <w:rPr>
          <w:b/>
        </w:rPr>
        <w:t>—</w:t>
      </w:r>
      <w:r w:rsidRPr="00B1265B">
        <w:rPr>
          <w:b/>
        </w:rPr>
        <w:t>P</w:t>
      </w:r>
      <w:r w:rsidR="00045FC5">
        <w:rPr>
          <w:b/>
        </w:rPr>
        <w:t xml:space="preserve">aragraph 66(4B) (definition of </w:t>
      </w:r>
      <w:r w:rsidR="00045FC5" w:rsidRPr="00045FC5">
        <w:rPr>
          <w:b/>
          <w:i/>
        </w:rPr>
        <w:t>s</w:t>
      </w:r>
      <w:r w:rsidRPr="00045FC5">
        <w:rPr>
          <w:b/>
          <w:i/>
        </w:rPr>
        <w:t>pecified rate per kilometre</w:t>
      </w:r>
      <w:r w:rsidRPr="00B1265B">
        <w:rPr>
          <w:b/>
        </w:rPr>
        <w:t>)</w:t>
      </w:r>
    </w:p>
    <w:p w:rsidR="00FF2B10" w:rsidRPr="00B1265B" w:rsidRDefault="00FF2B10" w:rsidP="00B1265B"/>
    <w:p w:rsidR="00FF2B10" w:rsidRPr="00B1265B" w:rsidRDefault="00FF2B10" w:rsidP="00B1265B">
      <w:r w:rsidRPr="00B1265B">
        <w:t>Proposed items 7, 8 a</w:t>
      </w:r>
      <w:r w:rsidR="00E930A6" w:rsidRPr="00B1265B">
        <w:t xml:space="preserve">nd 9 are similar to item 1 and will amend paragraphs 49(6B)(b), 50(2B)(b) and 66(4B) by omitting references to </w:t>
      </w:r>
      <w:r w:rsidR="00C64976">
        <w:t>‘</w:t>
      </w:r>
      <w:r w:rsidR="00045FC5">
        <w:t>by written notice</w:t>
      </w:r>
      <w:r w:rsidR="00F35764">
        <w:t>’</w:t>
      </w:r>
      <w:r w:rsidR="00E930A6" w:rsidRPr="00B1265B">
        <w:t xml:space="preserve"> and substituting references to </w:t>
      </w:r>
      <w:r w:rsidR="00F35764">
        <w:t>‘</w:t>
      </w:r>
      <w:r w:rsidR="00045FC5">
        <w:t xml:space="preserve">by </w:t>
      </w:r>
      <w:r w:rsidR="00E930A6" w:rsidRPr="00B1265B">
        <w:t>legislative instrument</w:t>
      </w:r>
      <w:r w:rsidR="00F35764">
        <w:t>’</w:t>
      </w:r>
      <w:r w:rsidR="00E930A6" w:rsidRPr="00B1265B">
        <w:t>.</w:t>
      </w:r>
    </w:p>
    <w:p w:rsidR="00E930A6" w:rsidRPr="00B1265B" w:rsidRDefault="00E930A6" w:rsidP="00B1265B"/>
    <w:p w:rsidR="00E930A6" w:rsidRPr="00B1265B" w:rsidRDefault="00E930A6" w:rsidP="00B1265B">
      <w:pPr>
        <w:rPr>
          <w:b/>
        </w:rPr>
      </w:pPr>
      <w:r w:rsidRPr="00B1265B">
        <w:rPr>
          <w:b/>
        </w:rPr>
        <w:t>Item 10</w:t>
      </w:r>
      <w:r w:rsidR="008C6114">
        <w:rPr>
          <w:b/>
        </w:rPr>
        <w:t>—</w:t>
      </w:r>
      <w:r w:rsidRPr="00B1265B">
        <w:rPr>
          <w:b/>
        </w:rPr>
        <w:t>Subsection 66(6)</w:t>
      </w:r>
    </w:p>
    <w:p w:rsidR="00E930A6" w:rsidRPr="00B1265B" w:rsidRDefault="00E930A6" w:rsidP="00B1265B"/>
    <w:p w:rsidR="00E930A6" w:rsidRPr="00B1265B" w:rsidRDefault="00E930A6" w:rsidP="00B1265B">
      <w:r w:rsidRPr="00B1265B">
        <w:t xml:space="preserve">Proposed item 10 is similar to item 1 and will amend the subsection by omitting the reference to </w:t>
      </w:r>
      <w:r w:rsidR="00F35764">
        <w:t>‘</w:t>
      </w:r>
      <w:r w:rsidRPr="00B1265B">
        <w:t>written notice</w:t>
      </w:r>
      <w:r w:rsidR="00F35764">
        <w:t>’</w:t>
      </w:r>
      <w:r w:rsidRPr="00B1265B">
        <w:t xml:space="preserve"> and substituting a reference to </w:t>
      </w:r>
      <w:r w:rsidR="00E94826">
        <w:t>‘</w:t>
      </w:r>
      <w:r w:rsidRPr="00B1265B">
        <w:t>legislative instrument</w:t>
      </w:r>
      <w:r w:rsidR="00F35764">
        <w:t>’</w:t>
      </w:r>
      <w:r w:rsidRPr="00B1265B">
        <w:t>.</w:t>
      </w:r>
    </w:p>
    <w:p w:rsidR="00FF2B10" w:rsidRPr="00B1265B" w:rsidRDefault="00FF2B10" w:rsidP="00B1265B"/>
    <w:p w:rsidR="00E930A6" w:rsidRDefault="00E930A6" w:rsidP="00B1265B">
      <w:pPr>
        <w:rPr>
          <w:b/>
        </w:rPr>
      </w:pPr>
      <w:r w:rsidRPr="00B1265B">
        <w:rPr>
          <w:b/>
        </w:rPr>
        <w:t>Item 11</w:t>
      </w:r>
      <w:r w:rsidR="008C6114">
        <w:rPr>
          <w:b/>
        </w:rPr>
        <w:t>—</w:t>
      </w:r>
      <w:r w:rsidRPr="00B1265B">
        <w:rPr>
          <w:b/>
        </w:rPr>
        <w:t>Su</w:t>
      </w:r>
      <w:r w:rsidR="00B953ED">
        <w:rPr>
          <w:b/>
        </w:rPr>
        <w:t xml:space="preserve">bsection 83A(5) (definition of </w:t>
      </w:r>
      <w:r w:rsidR="00B953ED" w:rsidRPr="00B953ED">
        <w:rPr>
          <w:b/>
          <w:i/>
        </w:rPr>
        <w:t>s</w:t>
      </w:r>
      <w:r w:rsidRPr="00B953ED">
        <w:rPr>
          <w:b/>
          <w:i/>
        </w:rPr>
        <w:t>pecified rate per kilometre</w:t>
      </w:r>
      <w:r w:rsidRPr="00B1265B">
        <w:rPr>
          <w:b/>
        </w:rPr>
        <w:t>)</w:t>
      </w:r>
    </w:p>
    <w:p w:rsidR="00B953ED" w:rsidRDefault="00B953ED" w:rsidP="00B1265B"/>
    <w:p w:rsidR="00B953ED" w:rsidRPr="00B1265B" w:rsidRDefault="00B953ED" w:rsidP="00B953ED">
      <w:r w:rsidRPr="00B1265B">
        <w:t xml:space="preserve">Proposed item 11 </w:t>
      </w:r>
      <w:r>
        <w:t xml:space="preserve">is </w:t>
      </w:r>
      <w:r w:rsidRPr="00B1265B">
        <w:t>similar to item 1 and amend</w:t>
      </w:r>
      <w:r>
        <w:t>s</w:t>
      </w:r>
      <w:r w:rsidRPr="00B1265B">
        <w:t xml:space="preserve"> the subsection</w:t>
      </w:r>
      <w:r>
        <w:t xml:space="preserve"> by omitting reference</w:t>
      </w:r>
      <w:r w:rsidRPr="00B1265B">
        <w:t xml:space="preserve"> to </w:t>
      </w:r>
      <w:r w:rsidR="00BB34E8">
        <w:br/>
      </w:r>
      <w:r>
        <w:t>‘by written notice’</w:t>
      </w:r>
      <w:r w:rsidRPr="00B1265B">
        <w:t xml:space="preserve"> </w:t>
      </w:r>
      <w:r>
        <w:t>and substituting ‘, by legislative instrument,</w:t>
      </w:r>
      <w:r w:rsidR="00C64976">
        <w:t>’</w:t>
      </w:r>
      <w:r w:rsidRPr="00B1265B">
        <w:t>.</w:t>
      </w:r>
    </w:p>
    <w:p w:rsidR="00B953ED" w:rsidRDefault="00B953ED" w:rsidP="00B1265B"/>
    <w:p w:rsidR="006C40BC" w:rsidRPr="00B1265B" w:rsidRDefault="006C40BC" w:rsidP="006C40BC">
      <w:pPr>
        <w:rPr>
          <w:b/>
        </w:rPr>
      </w:pPr>
      <w:r w:rsidRPr="00B1265B">
        <w:rPr>
          <w:b/>
        </w:rPr>
        <w:t>Item 12</w:t>
      </w:r>
      <w:r w:rsidR="008C6114">
        <w:rPr>
          <w:b/>
        </w:rPr>
        <w:t>—</w:t>
      </w:r>
      <w:r w:rsidRPr="00B1265B">
        <w:rPr>
          <w:b/>
        </w:rPr>
        <w:t>Subsection 83A(9)</w:t>
      </w:r>
    </w:p>
    <w:p w:rsidR="00E930A6" w:rsidRPr="00B1265B" w:rsidRDefault="00E930A6" w:rsidP="00B1265B"/>
    <w:p w:rsidR="00E930A6" w:rsidRPr="00B1265B" w:rsidRDefault="00E930A6" w:rsidP="00B1265B">
      <w:r w:rsidRPr="00B1265B">
        <w:t xml:space="preserve">Proposed item </w:t>
      </w:r>
      <w:r w:rsidR="006C40BC">
        <w:t xml:space="preserve">12 </w:t>
      </w:r>
      <w:r w:rsidR="00B953ED">
        <w:t>is</w:t>
      </w:r>
      <w:r w:rsidR="006C40BC">
        <w:t xml:space="preserve"> </w:t>
      </w:r>
      <w:r w:rsidRPr="00B1265B">
        <w:t>similar to item 1 and amend</w:t>
      </w:r>
      <w:r w:rsidR="00B953ED">
        <w:t>s</w:t>
      </w:r>
      <w:r w:rsidRPr="00B1265B">
        <w:t xml:space="preserve"> the subsection</w:t>
      </w:r>
      <w:r w:rsidR="00B953ED">
        <w:t xml:space="preserve"> by omitting reference to</w:t>
      </w:r>
      <w:r w:rsidR="006C40BC">
        <w:t xml:space="preserve"> </w:t>
      </w:r>
      <w:r w:rsidR="00F35764">
        <w:t>‘</w:t>
      </w:r>
      <w:r w:rsidR="006C40BC" w:rsidRPr="00B1265B">
        <w:t>written notice</w:t>
      </w:r>
      <w:r w:rsidR="00F35764">
        <w:t>’</w:t>
      </w:r>
      <w:r w:rsidR="006C40BC">
        <w:t xml:space="preserve"> and substituting </w:t>
      </w:r>
      <w:r w:rsidR="00F35764">
        <w:t>‘</w:t>
      </w:r>
      <w:r w:rsidRPr="00B1265B">
        <w:t>legislative instrument</w:t>
      </w:r>
      <w:r w:rsidR="00F35764">
        <w:t>’</w:t>
      </w:r>
      <w:r w:rsidRPr="00B1265B">
        <w:t>.</w:t>
      </w:r>
    </w:p>
    <w:p w:rsidR="00E930A6" w:rsidRPr="00B1265B" w:rsidRDefault="00E930A6" w:rsidP="00B1265B"/>
    <w:p w:rsidR="00E930A6" w:rsidRPr="00B1265B" w:rsidRDefault="00E930A6" w:rsidP="00B1265B">
      <w:pPr>
        <w:rPr>
          <w:b/>
        </w:rPr>
      </w:pPr>
      <w:r w:rsidRPr="00B1265B">
        <w:rPr>
          <w:b/>
        </w:rPr>
        <w:t>Item 13</w:t>
      </w:r>
      <w:r w:rsidR="008C6114">
        <w:rPr>
          <w:b/>
        </w:rPr>
        <w:t>—</w:t>
      </w:r>
      <w:r w:rsidRPr="00B1265B">
        <w:rPr>
          <w:b/>
        </w:rPr>
        <w:t>Subsection 130(3)</w:t>
      </w:r>
    </w:p>
    <w:p w:rsidR="00E930A6" w:rsidRPr="00B1265B" w:rsidRDefault="00E930A6" w:rsidP="00B1265B"/>
    <w:p w:rsidR="00E930A6" w:rsidRDefault="00E930A6" w:rsidP="00B1265B">
      <w:r w:rsidRPr="00B1265B">
        <w:t xml:space="preserve">Proposed item 13 is similar to item 1 and will amend the subsection by omitting the reference to </w:t>
      </w:r>
      <w:r w:rsidR="00F35764">
        <w:t>‘</w:t>
      </w:r>
      <w:r w:rsidRPr="00B1265B">
        <w:t>notice in writing</w:t>
      </w:r>
      <w:r w:rsidR="00F35764">
        <w:t>’</w:t>
      </w:r>
      <w:r w:rsidRPr="00B1265B">
        <w:t xml:space="preserve"> and substituting a reference to </w:t>
      </w:r>
      <w:r w:rsidR="00F35764">
        <w:t>‘</w:t>
      </w:r>
      <w:r w:rsidRPr="00B1265B">
        <w:t>legislative instrument</w:t>
      </w:r>
      <w:r w:rsidR="00F35764">
        <w:t>’</w:t>
      </w:r>
      <w:r w:rsidRPr="00B1265B">
        <w:t>.</w:t>
      </w:r>
    </w:p>
    <w:p w:rsidR="00EE53E7" w:rsidRDefault="00EE53E7" w:rsidP="00B1265B"/>
    <w:p w:rsidR="00EE53E7" w:rsidRPr="00B1265B" w:rsidRDefault="00EE53E7" w:rsidP="00EE53E7">
      <w:pPr>
        <w:rPr>
          <w:b/>
        </w:rPr>
      </w:pPr>
      <w:r>
        <w:rPr>
          <w:b/>
        </w:rPr>
        <w:t>Item 14—</w:t>
      </w:r>
      <w:r w:rsidRPr="00B1265B">
        <w:rPr>
          <w:b/>
        </w:rPr>
        <w:t>Subsection 13</w:t>
      </w:r>
      <w:r>
        <w:rPr>
          <w:b/>
        </w:rPr>
        <w:t>5(2)</w:t>
      </w:r>
    </w:p>
    <w:p w:rsidR="00EE53E7" w:rsidRPr="00183E90" w:rsidRDefault="00EE53E7" w:rsidP="00B1265B"/>
    <w:p w:rsidR="00EE53E7" w:rsidRPr="00183E90" w:rsidRDefault="00183E90" w:rsidP="00B1265B">
      <w:r w:rsidRPr="00183E90">
        <w:t>This</w:t>
      </w:r>
      <w:r>
        <w:t xml:space="preserve"> item corrects a misspelling, so that it now reads “set off”.</w:t>
      </w:r>
    </w:p>
    <w:p w:rsidR="00E930A6" w:rsidRPr="00183E90" w:rsidRDefault="00E930A6" w:rsidP="00B1265B"/>
    <w:p w:rsidR="00CE1DB6" w:rsidRPr="00B1265B" w:rsidRDefault="00EE53E7" w:rsidP="00B1265B">
      <w:pPr>
        <w:rPr>
          <w:b/>
        </w:rPr>
      </w:pPr>
      <w:r>
        <w:rPr>
          <w:b/>
        </w:rPr>
        <w:t>Item 15</w:t>
      </w:r>
      <w:r w:rsidR="008C6114">
        <w:rPr>
          <w:b/>
        </w:rPr>
        <w:t>—</w:t>
      </w:r>
      <w:r w:rsidR="00CE1DB6" w:rsidRPr="00B1265B">
        <w:rPr>
          <w:b/>
        </w:rPr>
        <w:t xml:space="preserve">Subsection 139(7) (definition of </w:t>
      </w:r>
      <w:r w:rsidR="00CE1DB6" w:rsidRPr="000C22D7">
        <w:rPr>
          <w:b/>
          <w:i/>
        </w:rPr>
        <w:t>specified law</w:t>
      </w:r>
      <w:r w:rsidR="00CE1DB6" w:rsidRPr="00B1265B">
        <w:rPr>
          <w:b/>
        </w:rPr>
        <w:t>)</w:t>
      </w:r>
    </w:p>
    <w:p w:rsidR="00CE1DB6" w:rsidRPr="00B1265B" w:rsidRDefault="00CE1DB6" w:rsidP="00B1265B"/>
    <w:p w:rsidR="00CE1DB6" w:rsidRPr="00B1265B" w:rsidRDefault="00CE1DB6" w:rsidP="00B1265B">
      <w:r w:rsidRPr="00B1265B">
        <w:t xml:space="preserve">Proposed item 14 is similar to item 1 and will amend the subsection by omitting the reference to </w:t>
      </w:r>
      <w:r w:rsidR="00F35764">
        <w:t>‘</w:t>
      </w:r>
      <w:r w:rsidRPr="00B1265B">
        <w:t>written notice</w:t>
      </w:r>
      <w:r w:rsidR="00F35764">
        <w:t>’</w:t>
      </w:r>
      <w:r w:rsidRPr="00B1265B">
        <w:t xml:space="preserve"> and substituting a reference to </w:t>
      </w:r>
      <w:r w:rsidR="00F35764">
        <w:t>‘</w:t>
      </w:r>
      <w:r w:rsidRPr="00B1265B">
        <w:t>legislative instrument</w:t>
      </w:r>
      <w:r w:rsidR="00F35764">
        <w:t>’</w:t>
      </w:r>
      <w:r w:rsidRPr="00B1265B">
        <w:t>.</w:t>
      </w:r>
    </w:p>
    <w:p w:rsidR="00CE1DB6" w:rsidRPr="00B1265B" w:rsidRDefault="00CE1DB6" w:rsidP="00B1265B"/>
    <w:p w:rsidR="00E930A6" w:rsidRPr="00B1265B" w:rsidRDefault="00EE53E7" w:rsidP="00B1265B">
      <w:pPr>
        <w:rPr>
          <w:b/>
        </w:rPr>
      </w:pPr>
      <w:r>
        <w:rPr>
          <w:b/>
        </w:rPr>
        <w:t>Item 16</w:t>
      </w:r>
      <w:r w:rsidR="008C6114">
        <w:rPr>
          <w:b/>
        </w:rPr>
        <w:t>—</w:t>
      </w:r>
      <w:r w:rsidR="00CE1DB6" w:rsidRPr="00B1265B">
        <w:rPr>
          <w:b/>
        </w:rPr>
        <w:t>Section 142</w:t>
      </w:r>
    </w:p>
    <w:p w:rsidR="00CE1DB6" w:rsidRPr="00B1265B" w:rsidRDefault="00CE1DB6" w:rsidP="00B1265B"/>
    <w:p w:rsidR="00A649F1" w:rsidRPr="00B1265B" w:rsidRDefault="00A649F1" w:rsidP="00B1265B">
      <w:r w:rsidRPr="00B1265B">
        <w:t xml:space="preserve">Proposed item 15 will repeal the section as the </w:t>
      </w:r>
      <w:r w:rsidRPr="002360F6">
        <w:rPr>
          <w:i/>
        </w:rPr>
        <w:t>Legislative Instrument</w:t>
      </w:r>
      <w:r w:rsidR="008C6114">
        <w:rPr>
          <w:i/>
        </w:rPr>
        <w:t>s</w:t>
      </w:r>
      <w:r w:rsidRPr="002360F6">
        <w:rPr>
          <w:i/>
        </w:rPr>
        <w:t xml:space="preserve"> Act 2003</w:t>
      </w:r>
      <w:r w:rsidRPr="00B1265B">
        <w:t xml:space="preserve"> has made the section </w:t>
      </w:r>
      <w:r w:rsidR="002360F6">
        <w:t>redundant</w:t>
      </w:r>
      <w:r w:rsidRPr="00B1265B">
        <w:t>.</w:t>
      </w:r>
    </w:p>
    <w:p w:rsidR="00A649F1" w:rsidRPr="00B1265B" w:rsidRDefault="00A649F1" w:rsidP="00B1265B"/>
    <w:sectPr w:rsidR="00A649F1" w:rsidRPr="00B1265B" w:rsidSect="0044203F">
      <w:headerReference w:type="default" r:id="rId22"/>
      <w:pgSz w:w="11906" w:h="16838" w:code="9"/>
      <w:pgMar w:top="1418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539" w:rsidRDefault="00C13539">
      <w:r>
        <w:separator/>
      </w:r>
    </w:p>
  </w:endnote>
  <w:endnote w:type="continuationSeparator" w:id="0">
    <w:p w:rsidR="00C13539" w:rsidRDefault="00C1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B7160F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napToGrid w:val="0"/>
        <w:sz w:val="20"/>
      </w:rPr>
    </w:pPr>
    <w:r>
      <w:rPr>
        <w:i/>
        <w:iCs/>
        <w:sz w:val="20"/>
      </w:rPr>
      <w:t>House of Representatives</w:t>
    </w:r>
    <w:r>
      <w:rPr>
        <w:i/>
        <w:iCs/>
        <w:sz w:val="20"/>
      </w:rPr>
      <w:tab/>
      <w:t xml:space="preserve">page </w:t>
    </w:r>
    <w:proofErr w:type="spellStart"/>
    <w:r>
      <w:rPr>
        <w:i/>
        <w:iCs/>
        <w:sz w:val="20"/>
      </w:rPr>
      <w:t>i</w:t>
    </w:r>
    <w:proofErr w:type="spellEnd"/>
    <w:r>
      <w:rPr>
        <w:i/>
        <w:iCs/>
        <w:snapToGrid w:val="0"/>
        <w:sz w:val="20"/>
      </w:rPr>
      <w:tab/>
    </w:r>
    <w:r>
      <w:rPr>
        <w:i/>
        <w:iCs/>
        <w:snapToGrid w:val="0"/>
        <w:sz w:val="20"/>
      </w:rPr>
      <w:tab/>
      <w:t>Safety, Rehabilitation and Compensation and</w:t>
    </w:r>
  </w:p>
  <w:p w:rsidR="00B73F56" w:rsidRDefault="00B73F56" w:rsidP="00B7160F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z w:val="20"/>
      </w:rPr>
    </w:pPr>
    <w:r>
      <w:rPr>
        <w:i/>
        <w:iCs/>
        <w:snapToGrid w:val="0"/>
        <w:sz w:val="20"/>
      </w:rPr>
      <w:t>Other Legislation Amendment Bill 2011</w:t>
    </w:r>
  </w:p>
  <w:p w:rsidR="00B73F56" w:rsidRDefault="00B73F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752A7B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napToGrid w:val="0"/>
        <w:sz w:val="20"/>
      </w:rPr>
    </w:pPr>
    <w:r>
      <w:rPr>
        <w:i/>
        <w:iCs/>
        <w:sz w:val="20"/>
      </w:rPr>
      <w:t>House of Representatives</w:t>
    </w:r>
    <w:r>
      <w:rPr>
        <w:i/>
        <w:iCs/>
        <w:sz w:val="20"/>
      </w:rPr>
      <w:tab/>
      <w:t>page ii</w:t>
    </w:r>
    <w:r>
      <w:rPr>
        <w:i/>
        <w:iCs/>
        <w:snapToGrid w:val="0"/>
        <w:sz w:val="20"/>
      </w:rPr>
      <w:tab/>
    </w:r>
    <w:r>
      <w:rPr>
        <w:i/>
        <w:iCs/>
        <w:snapToGrid w:val="0"/>
        <w:sz w:val="20"/>
      </w:rPr>
      <w:tab/>
      <w:t>Safety, Rehabilitation and Compensation and</w:t>
    </w:r>
  </w:p>
  <w:p w:rsidR="00B73F56" w:rsidRDefault="00B73F56" w:rsidP="00752A7B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z w:val="20"/>
      </w:rPr>
    </w:pPr>
    <w:r>
      <w:rPr>
        <w:i/>
        <w:iCs/>
        <w:snapToGrid w:val="0"/>
        <w:sz w:val="20"/>
      </w:rPr>
      <w:t>Other Legislation Amendment Bill 2011</w:t>
    </w:r>
  </w:p>
  <w:p w:rsidR="00B73F56" w:rsidRDefault="00B73F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752A7B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napToGrid w:val="0"/>
        <w:sz w:val="20"/>
      </w:rPr>
    </w:pPr>
    <w:r>
      <w:rPr>
        <w:i/>
        <w:iCs/>
        <w:sz w:val="20"/>
      </w:rPr>
      <w:t>House of Representatives</w:t>
    </w:r>
    <w:r>
      <w:rPr>
        <w:i/>
        <w:iCs/>
        <w:sz w:val="20"/>
      </w:rPr>
      <w:tab/>
    </w:r>
    <w:r w:rsidR="001D541C">
      <w:rPr>
        <w:i/>
        <w:iCs/>
        <w:sz w:val="20"/>
      </w:rPr>
      <w:t>Page</w:t>
    </w:r>
    <w:r w:rsidRPr="00B73F56">
      <w:rPr>
        <w:i/>
        <w:iCs/>
        <w:sz w:val="20"/>
      </w:rPr>
      <w:t xml:space="preserve"> </w:t>
    </w:r>
    <w:r w:rsidR="002617DE" w:rsidRPr="00B73F56">
      <w:rPr>
        <w:i/>
        <w:iCs/>
        <w:sz w:val="20"/>
      </w:rPr>
      <w:fldChar w:fldCharType="begin"/>
    </w:r>
    <w:r w:rsidRPr="00B73F56">
      <w:rPr>
        <w:i/>
        <w:iCs/>
        <w:sz w:val="20"/>
      </w:rPr>
      <w:instrText xml:space="preserve"> PAGE   \* MERGEFORMAT </w:instrText>
    </w:r>
    <w:r w:rsidR="002617DE" w:rsidRPr="00B73F56">
      <w:rPr>
        <w:i/>
        <w:iCs/>
        <w:sz w:val="20"/>
      </w:rPr>
      <w:fldChar w:fldCharType="separate"/>
    </w:r>
    <w:r w:rsidR="00231C82">
      <w:rPr>
        <w:i/>
        <w:iCs/>
        <w:noProof/>
        <w:sz w:val="20"/>
      </w:rPr>
      <w:t>1</w:t>
    </w:r>
    <w:r w:rsidR="002617DE" w:rsidRPr="00B73F56">
      <w:rPr>
        <w:i/>
        <w:iCs/>
        <w:sz w:val="20"/>
      </w:rPr>
      <w:fldChar w:fldCharType="end"/>
    </w:r>
    <w:r>
      <w:rPr>
        <w:i/>
        <w:iCs/>
        <w:snapToGrid w:val="0"/>
        <w:sz w:val="20"/>
      </w:rPr>
      <w:tab/>
    </w:r>
    <w:r>
      <w:rPr>
        <w:i/>
        <w:iCs/>
        <w:snapToGrid w:val="0"/>
        <w:sz w:val="20"/>
      </w:rPr>
      <w:tab/>
      <w:t>Safety, Rehabilitation and Compensation and</w:t>
    </w:r>
  </w:p>
  <w:p w:rsidR="00B73F56" w:rsidRDefault="00B73F56" w:rsidP="00752A7B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z w:val="20"/>
      </w:rPr>
    </w:pPr>
    <w:r>
      <w:rPr>
        <w:i/>
        <w:iCs/>
        <w:snapToGrid w:val="0"/>
        <w:sz w:val="20"/>
      </w:rPr>
      <w:t>Other Legislation Amendment Bill 2011</w:t>
    </w:r>
  </w:p>
  <w:p w:rsidR="00B73F56" w:rsidRDefault="00B73F5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B7160F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napToGrid w:val="0"/>
        <w:sz w:val="20"/>
      </w:rPr>
    </w:pPr>
    <w:r w:rsidRPr="000D0413">
      <w:rPr>
        <w:i/>
        <w:iCs/>
        <w:sz w:val="20"/>
      </w:rPr>
      <w:t>House of Representatives</w:t>
    </w:r>
    <w:r w:rsidRPr="000D0413">
      <w:rPr>
        <w:i/>
        <w:iCs/>
        <w:sz w:val="20"/>
      </w:rPr>
      <w:tab/>
    </w:r>
    <w:r w:rsidR="00250C22">
      <w:rPr>
        <w:i/>
        <w:iCs/>
        <w:sz w:val="20"/>
      </w:rPr>
      <w:t>Page</w:t>
    </w:r>
    <w:r w:rsidR="00B623A0" w:rsidRPr="00B623A0">
      <w:rPr>
        <w:i/>
        <w:iCs/>
        <w:sz w:val="20"/>
      </w:rPr>
      <w:t xml:space="preserve"> </w:t>
    </w:r>
    <w:r w:rsidR="002617DE" w:rsidRPr="00B623A0">
      <w:rPr>
        <w:i/>
        <w:iCs/>
        <w:sz w:val="20"/>
      </w:rPr>
      <w:fldChar w:fldCharType="begin"/>
    </w:r>
    <w:r w:rsidR="00B623A0" w:rsidRPr="00B623A0">
      <w:rPr>
        <w:i/>
        <w:iCs/>
        <w:sz w:val="20"/>
      </w:rPr>
      <w:instrText xml:space="preserve"> PAGE   \* MERGEFORMAT </w:instrText>
    </w:r>
    <w:r w:rsidR="002617DE" w:rsidRPr="00B623A0">
      <w:rPr>
        <w:i/>
        <w:iCs/>
        <w:sz w:val="20"/>
      </w:rPr>
      <w:fldChar w:fldCharType="separate"/>
    </w:r>
    <w:r w:rsidR="00231C82">
      <w:rPr>
        <w:i/>
        <w:iCs/>
        <w:noProof/>
        <w:sz w:val="20"/>
      </w:rPr>
      <w:t>2</w:t>
    </w:r>
    <w:r w:rsidR="002617DE" w:rsidRPr="00B623A0">
      <w:rPr>
        <w:i/>
        <w:iCs/>
        <w:sz w:val="20"/>
      </w:rPr>
      <w:fldChar w:fldCharType="end"/>
    </w:r>
    <w:r w:rsidRPr="000D0413">
      <w:rPr>
        <w:i/>
        <w:iCs/>
        <w:snapToGrid w:val="0"/>
        <w:sz w:val="20"/>
      </w:rPr>
      <w:tab/>
    </w:r>
    <w:r w:rsidRPr="000D0413">
      <w:rPr>
        <w:i/>
        <w:iCs/>
        <w:snapToGrid w:val="0"/>
        <w:sz w:val="20"/>
      </w:rPr>
      <w:tab/>
    </w:r>
    <w:r>
      <w:rPr>
        <w:i/>
        <w:iCs/>
        <w:snapToGrid w:val="0"/>
        <w:sz w:val="20"/>
      </w:rPr>
      <w:t>Safety, Rehabilitation and Compensation and</w:t>
    </w:r>
  </w:p>
  <w:p w:rsidR="00B73F56" w:rsidRPr="000D0413" w:rsidRDefault="00B73F56" w:rsidP="00B7160F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z w:val="20"/>
      </w:rPr>
    </w:pPr>
    <w:r>
      <w:rPr>
        <w:i/>
        <w:iCs/>
        <w:snapToGrid w:val="0"/>
        <w:sz w:val="20"/>
      </w:rPr>
      <w:t>Other Legislation Amendment Bill 2011</w:t>
    </w:r>
  </w:p>
  <w:p w:rsidR="00B73F56" w:rsidRPr="000D0413" w:rsidRDefault="00B73F56">
    <w:pPr>
      <w:pStyle w:val="Footer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B7160F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napToGrid w:val="0"/>
        <w:sz w:val="20"/>
      </w:rPr>
    </w:pPr>
    <w:r w:rsidRPr="000D0413">
      <w:rPr>
        <w:i/>
        <w:iCs/>
        <w:sz w:val="20"/>
      </w:rPr>
      <w:t>House of Representatives</w:t>
    </w:r>
    <w:r w:rsidRPr="000D0413">
      <w:rPr>
        <w:i/>
        <w:iCs/>
        <w:sz w:val="20"/>
      </w:rPr>
      <w:tab/>
    </w:r>
    <w:r w:rsidR="00250C22">
      <w:rPr>
        <w:i/>
        <w:iCs/>
        <w:sz w:val="20"/>
      </w:rPr>
      <w:t>Page</w:t>
    </w:r>
    <w:r w:rsidR="00B623A0" w:rsidRPr="00B623A0">
      <w:rPr>
        <w:i/>
        <w:iCs/>
        <w:sz w:val="20"/>
      </w:rPr>
      <w:t xml:space="preserve"> </w:t>
    </w:r>
    <w:r w:rsidR="002617DE" w:rsidRPr="00B623A0">
      <w:rPr>
        <w:i/>
        <w:iCs/>
        <w:sz w:val="20"/>
      </w:rPr>
      <w:fldChar w:fldCharType="begin"/>
    </w:r>
    <w:r w:rsidR="00B623A0" w:rsidRPr="00B623A0">
      <w:rPr>
        <w:i/>
        <w:iCs/>
        <w:sz w:val="20"/>
      </w:rPr>
      <w:instrText xml:space="preserve"> PAGE   \* MERGEFORMAT </w:instrText>
    </w:r>
    <w:r w:rsidR="002617DE" w:rsidRPr="00B623A0">
      <w:rPr>
        <w:i/>
        <w:iCs/>
        <w:sz w:val="20"/>
      </w:rPr>
      <w:fldChar w:fldCharType="separate"/>
    </w:r>
    <w:r w:rsidR="00231C82">
      <w:rPr>
        <w:i/>
        <w:iCs/>
        <w:noProof/>
        <w:sz w:val="20"/>
      </w:rPr>
      <w:t>8</w:t>
    </w:r>
    <w:r w:rsidR="002617DE" w:rsidRPr="00B623A0">
      <w:rPr>
        <w:i/>
        <w:iCs/>
        <w:sz w:val="20"/>
      </w:rPr>
      <w:fldChar w:fldCharType="end"/>
    </w:r>
    <w:r w:rsidRPr="000D0413">
      <w:rPr>
        <w:i/>
        <w:iCs/>
        <w:snapToGrid w:val="0"/>
        <w:sz w:val="20"/>
      </w:rPr>
      <w:tab/>
    </w:r>
    <w:r w:rsidRPr="000D0413">
      <w:rPr>
        <w:i/>
        <w:iCs/>
        <w:snapToGrid w:val="0"/>
        <w:sz w:val="20"/>
      </w:rPr>
      <w:tab/>
    </w:r>
    <w:r>
      <w:rPr>
        <w:i/>
        <w:iCs/>
        <w:snapToGrid w:val="0"/>
        <w:sz w:val="20"/>
      </w:rPr>
      <w:t>Safety, Rehabilitation and Compensation and</w:t>
    </w:r>
  </w:p>
  <w:p w:rsidR="00B73F56" w:rsidRPr="000D0413" w:rsidRDefault="00B73F56" w:rsidP="00B7160F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left="4820" w:hanging="4820"/>
      <w:jc w:val="right"/>
      <w:rPr>
        <w:i/>
        <w:iCs/>
        <w:sz w:val="20"/>
      </w:rPr>
    </w:pPr>
    <w:r>
      <w:rPr>
        <w:i/>
        <w:iCs/>
        <w:snapToGrid w:val="0"/>
        <w:sz w:val="20"/>
      </w:rPr>
      <w:t>Other Legislation Amendment Bill 2011</w:t>
    </w:r>
  </w:p>
  <w:p w:rsidR="00B73F56" w:rsidRPr="000D0413" w:rsidRDefault="00B73F56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539" w:rsidRDefault="00C13539">
      <w:r>
        <w:separator/>
      </w:r>
    </w:p>
  </w:footnote>
  <w:footnote w:type="continuationSeparator" w:id="0">
    <w:p w:rsidR="00C13539" w:rsidRDefault="00C13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3D3052">
    <w:pPr>
      <w:pBdr>
        <w:bottom w:val="single" w:sz="4" w:space="1" w:color="auto"/>
      </w:pBdr>
      <w:spacing w:line="240" w:lineRule="exact"/>
    </w:pPr>
    <w:r>
      <w:rPr>
        <w:i/>
        <w:iCs/>
        <w:sz w:val="20"/>
      </w:rPr>
      <w:t xml:space="preserve">Outline </w:t>
    </w:r>
  </w:p>
  <w:p w:rsidR="00B73F56" w:rsidRPr="008E4BE2" w:rsidRDefault="00B73F56" w:rsidP="003D3052">
    <w:pPr>
      <w:pStyle w:val="Header"/>
    </w:pPr>
  </w:p>
  <w:p w:rsidR="00B73F56" w:rsidRDefault="00B73F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3D3052">
    <w:pPr>
      <w:pBdr>
        <w:bottom w:val="single" w:sz="4" w:space="1" w:color="auto"/>
      </w:pBdr>
      <w:spacing w:line="240" w:lineRule="exact"/>
    </w:pPr>
    <w:r>
      <w:rPr>
        <w:i/>
        <w:iCs/>
        <w:sz w:val="20"/>
      </w:rPr>
      <w:t xml:space="preserve">Financial Impact Statement </w:t>
    </w:r>
  </w:p>
  <w:p w:rsidR="00B73F56" w:rsidRPr="008E4BE2" w:rsidRDefault="00B73F56" w:rsidP="003D3052">
    <w:pPr>
      <w:pStyle w:val="Header"/>
    </w:pPr>
  </w:p>
  <w:p w:rsidR="00B73F56" w:rsidRDefault="00B73F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3D3052">
    <w:pPr>
      <w:pBdr>
        <w:bottom w:val="single" w:sz="4" w:space="1" w:color="auto"/>
      </w:pBdr>
      <w:spacing w:line="240" w:lineRule="exact"/>
    </w:pPr>
    <w:r>
      <w:rPr>
        <w:i/>
        <w:iCs/>
        <w:sz w:val="20"/>
      </w:rPr>
      <w:t>Notes on Clauses</w:t>
    </w:r>
  </w:p>
  <w:p w:rsidR="00B73F56" w:rsidRPr="008E4BE2" w:rsidRDefault="00B73F56" w:rsidP="003D3052">
    <w:pPr>
      <w:pStyle w:val="Header"/>
    </w:pPr>
  </w:p>
  <w:p w:rsidR="00B73F56" w:rsidRDefault="00B73F5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3D3052">
    <w:pPr>
      <w:pBdr>
        <w:bottom w:val="single" w:sz="4" w:space="1" w:color="auto"/>
      </w:pBdr>
      <w:spacing w:line="240" w:lineRule="exact"/>
    </w:pPr>
    <w:r>
      <w:rPr>
        <w:i/>
        <w:iCs/>
        <w:sz w:val="20"/>
      </w:rPr>
      <w:t>Schedule 1 ~ Amendment of the Occupational Health and Safety (Maritime Industry) Act 1993</w:t>
    </w:r>
  </w:p>
  <w:p w:rsidR="00B73F56" w:rsidRPr="008E4BE2" w:rsidRDefault="00B73F56" w:rsidP="003D3052">
    <w:pPr>
      <w:pStyle w:val="Header"/>
    </w:pPr>
  </w:p>
  <w:p w:rsidR="00B73F56" w:rsidRDefault="00B73F5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3D3052">
    <w:pPr>
      <w:pBdr>
        <w:bottom w:val="single" w:sz="4" w:space="1" w:color="auto"/>
      </w:pBdr>
      <w:spacing w:line="240" w:lineRule="exact"/>
    </w:pPr>
    <w:r>
      <w:rPr>
        <w:i/>
        <w:iCs/>
        <w:sz w:val="20"/>
      </w:rPr>
      <w:t>Schedule 2 ~ Amendment of the Safety, Rehabilitation and Compensation Act 1988</w:t>
    </w:r>
  </w:p>
  <w:p w:rsidR="00B73F56" w:rsidRPr="008E4BE2" w:rsidRDefault="00B73F56" w:rsidP="003D3052">
    <w:pPr>
      <w:pStyle w:val="Header"/>
    </w:pPr>
  </w:p>
  <w:p w:rsidR="00B73F56" w:rsidRDefault="00B73F5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56" w:rsidRDefault="00B73F56" w:rsidP="003D3052">
    <w:pPr>
      <w:pBdr>
        <w:bottom w:val="single" w:sz="4" w:space="1" w:color="auto"/>
      </w:pBdr>
      <w:spacing w:line="240" w:lineRule="exact"/>
    </w:pPr>
    <w:r>
      <w:rPr>
        <w:i/>
        <w:iCs/>
        <w:sz w:val="20"/>
      </w:rPr>
      <w:t>Schedule 3 ~ Amendment of the Seafarers Rehabilitation and Compensation Act 1992</w:t>
    </w:r>
  </w:p>
  <w:p w:rsidR="00B73F56" w:rsidRPr="008E4BE2" w:rsidRDefault="00B73F56" w:rsidP="003D3052">
    <w:pPr>
      <w:pStyle w:val="Header"/>
    </w:pPr>
  </w:p>
  <w:p w:rsidR="00B73F56" w:rsidRDefault="00B73F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400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C6039"/>
    <w:multiLevelType w:val="singleLevel"/>
    <w:tmpl w:val="25B02A3E"/>
    <w:lvl w:ilvl="0">
      <w:start w:val="1"/>
      <w:numFmt w:val="decimal"/>
      <w:pStyle w:val="NumberedPara"/>
      <w:lvlText w:val="[%1]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2">
    <w:nsid w:val="02634DC1"/>
    <w:multiLevelType w:val="multilevel"/>
    <w:tmpl w:val="3590460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bullet"/>
      <w:lvlText w:val="–"/>
      <w:lvlJc w:val="left"/>
      <w:pPr>
        <w:tabs>
          <w:tab w:val="num" w:pos="1369"/>
        </w:tabs>
        <w:ind w:left="1369" w:hanging="289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7C66FD"/>
    <w:multiLevelType w:val="hybridMultilevel"/>
    <w:tmpl w:val="193EDD28"/>
    <w:lvl w:ilvl="0" w:tplc="87B0E5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168C5"/>
    <w:multiLevelType w:val="hybridMultilevel"/>
    <w:tmpl w:val="D93C7AE4"/>
    <w:lvl w:ilvl="0" w:tplc="1FE8837E">
      <w:start w:val="2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D6205"/>
    <w:multiLevelType w:val="hybridMultilevel"/>
    <w:tmpl w:val="472E1114"/>
    <w:lvl w:ilvl="0" w:tplc="334C4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444ED"/>
    <w:multiLevelType w:val="multilevel"/>
    <w:tmpl w:val="01B498F6"/>
    <w:styleLink w:val="StyleBulletedSymbolsymbo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70689"/>
    <w:multiLevelType w:val="hybridMultilevel"/>
    <w:tmpl w:val="CB2CE34A"/>
    <w:lvl w:ilvl="0" w:tplc="F58E0F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1AC5A7B"/>
    <w:multiLevelType w:val="hybridMultilevel"/>
    <w:tmpl w:val="E6DC3B5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86529"/>
    <w:multiLevelType w:val="multilevel"/>
    <w:tmpl w:val="3120EB88"/>
    <w:lvl w:ilvl="0">
      <w:start w:val="1"/>
      <w:numFmt w:val="decimal"/>
      <w:pStyle w:val="NumberedParagraphs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(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lvlText w:val="(%3)"/>
      <w:lvlJc w:val="left"/>
      <w:pPr>
        <w:tabs>
          <w:tab w:val="num" w:pos="1446"/>
        </w:tabs>
        <w:ind w:left="1089" w:hanging="363"/>
      </w:pPr>
    </w:lvl>
    <w:lvl w:ilvl="3">
      <w:start w:val="1"/>
      <w:numFmt w:val="upperLetter"/>
      <w:lvlText w:val="(%4)"/>
      <w:lvlJc w:val="left"/>
      <w:pPr>
        <w:tabs>
          <w:tab w:val="num" w:pos="1452"/>
        </w:tabs>
        <w:ind w:left="1452" w:hanging="363"/>
      </w:pPr>
    </w:lvl>
    <w:lvl w:ilvl="4">
      <w:start w:val="1"/>
      <w:numFmt w:val="decimal"/>
      <w:lvlText w:val="(%5)"/>
      <w:lvlJc w:val="left"/>
      <w:pPr>
        <w:tabs>
          <w:tab w:val="num" w:pos="1814"/>
        </w:tabs>
        <w:ind w:left="1814" w:hanging="362"/>
      </w:pPr>
    </w:lvl>
    <w:lvl w:ilvl="5">
      <w:start w:val="1"/>
      <w:numFmt w:val="lowerRoman"/>
      <w:lvlText w:val="(%6)"/>
      <w:lvlJc w:val="left"/>
      <w:pPr>
        <w:tabs>
          <w:tab w:val="num" w:pos="2534"/>
        </w:tabs>
        <w:ind w:left="2160" w:hanging="346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>
    <w:nsid w:val="3B8359A7"/>
    <w:multiLevelType w:val="hybridMultilevel"/>
    <w:tmpl w:val="33EC3A46"/>
    <w:lvl w:ilvl="0" w:tplc="334C4F4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E0611"/>
    <w:multiLevelType w:val="singleLevel"/>
    <w:tmpl w:val="327654E6"/>
    <w:lvl w:ilvl="0">
      <w:start w:val="2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A71BEF"/>
    <w:multiLevelType w:val="hybridMultilevel"/>
    <w:tmpl w:val="C448B0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014BC3"/>
    <w:multiLevelType w:val="hybridMultilevel"/>
    <w:tmpl w:val="196E184A"/>
    <w:lvl w:ilvl="0" w:tplc="FA2ADFF4">
      <w:start w:val="1"/>
      <w:numFmt w:val="decimal"/>
      <w:pStyle w:val="paragraph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45258E"/>
    <w:multiLevelType w:val="hybridMultilevel"/>
    <w:tmpl w:val="C4905964"/>
    <w:lvl w:ilvl="0" w:tplc="EAE4F572">
      <w:start w:val="1"/>
      <w:numFmt w:val="bullet"/>
      <w:pStyle w:val="ListBulletSub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9CC11CF"/>
    <w:multiLevelType w:val="multilevel"/>
    <w:tmpl w:val="E03CE48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592FAE"/>
    <w:multiLevelType w:val="multilevel"/>
    <w:tmpl w:val="E0EA1C28"/>
    <w:lvl w:ilvl="0">
      <w:start w:val="1"/>
      <w:numFmt w:val="lowerLetter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1369"/>
        </w:tabs>
        <w:ind w:left="1369" w:hanging="289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eastAsia="Times New Roman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7">
    <w:nsid w:val="6B0C670D"/>
    <w:multiLevelType w:val="hybridMultilevel"/>
    <w:tmpl w:val="ED7E86F2"/>
    <w:lvl w:ilvl="0" w:tplc="0C09000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62161"/>
    <w:multiLevelType w:val="hybridMultilevel"/>
    <w:tmpl w:val="7B5AAC52"/>
    <w:lvl w:ilvl="0" w:tplc="36AEF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4E64B6"/>
    <w:multiLevelType w:val="hybridMultilevel"/>
    <w:tmpl w:val="D034F744"/>
    <w:lvl w:ilvl="0" w:tplc="932C7CA6">
      <w:start w:val="1"/>
      <w:numFmt w:val="decimal"/>
      <w:pStyle w:val="EMText"/>
      <w:lvlText w:val="%1.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16"/>
  </w:num>
  <w:num w:numId="17">
    <w:abstractNumId w:val="2"/>
  </w:num>
  <w:num w:numId="18">
    <w:abstractNumId w:val="19"/>
  </w:num>
  <w:num w:numId="19">
    <w:abstractNumId w:val="19"/>
  </w:num>
  <w:num w:numId="20">
    <w:abstractNumId w:val="19"/>
  </w:num>
  <w:num w:numId="21">
    <w:abstractNumId w:val="18"/>
  </w:num>
  <w:num w:numId="22">
    <w:abstractNumId w:val="18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8"/>
  </w:num>
  <w:num w:numId="30">
    <w:abstractNumId w:val="19"/>
  </w:num>
  <w:num w:numId="31">
    <w:abstractNumId w:val="18"/>
  </w:num>
  <w:num w:numId="32">
    <w:abstractNumId w:val="0"/>
  </w:num>
  <w:num w:numId="33">
    <w:abstractNumId w:val="18"/>
  </w:num>
  <w:num w:numId="34">
    <w:abstractNumId w:val="18"/>
  </w:num>
  <w:num w:numId="35">
    <w:abstractNumId w:val="14"/>
  </w:num>
  <w:num w:numId="36">
    <w:abstractNumId w:val="14"/>
  </w:num>
  <w:num w:numId="37">
    <w:abstractNumId w:val="14"/>
  </w:num>
  <w:num w:numId="38">
    <w:abstractNumId w:val="12"/>
  </w:num>
  <w:num w:numId="39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03F"/>
    <w:rsid w:val="000037A0"/>
    <w:rsid w:val="000067B4"/>
    <w:rsid w:val="00011CD6"/>
    <w:rsid w:val="000130EE"/>
    <w:rsid w:val="00013A9A"/>
    <w:rsid w:val="000155C0"/>
    <w:rsid w:val="0001575C"/>
    <w:rsid w:val="0002604C"/>
    <w:rsid w:val="00033926"/>
    <w:rsid w:val="00037E2C"/>
    <w:rsid w:val="0004403D"/>
    <w:rsid w:val="000441B5"/>
    <w:rsid w:val="00045297"/>
    <w:rsid w:val="00045FC5"/>
    <w:rsid w:val="000646C7"/>
    <w:rsid w:val="00070C36"/>
    <w:rsid w:val="00074145"/>
    <w:rsid w:val="000744DC"/>
    <w:rsid w:val="00076C25"/>
    <w:rsid w:val="00083A8D"/>
    <w:rsid w:val="00096287"/>
    <w:rsid w:val="000B4092"/>
    <w:rsid w:val="000B4743"/>
    <w:rsid w:val="000B5809"/>
    <w:rsid w:val="000B74DA"/>
    <w:rsid w:val="000C04D6"/>
    <w:rsid w:val="000C22D7"/>
    <w:rsid w:val="000C2623"/>
    <w:rsid w:val="000C3F8A"/>
    <w:rsid w:val="000C42F4"/>
    <w:rsid w:val="000D0413"/>
    <w:rsid w:val="000E03E5"/>
    <w:rsid w:val="000E263F"/>
    <w:rsid w:val="000E49BB"/>
    <w:rsid w:val="000E63BD"/>
    <w:rsid w:val="000F01CA"/>
    <w:rsid w:val="000F0549"/>
    <w:rsid w:val="000F1E14"/>
    <w:rsid w:val="000F4061"/>
    <w:rsid w:val="000F43E7"/>
    <w:rsid w:val="001050A3"/>
    <w:rsid w:val="00112EAD"/>
    <w:rsid w:val="00124D22"/>
    <w:rsid w:val="00126834"/>
    <w:rsid w:val="001305A2"/>
    <w:rsid w:val="001305F2"/>
    <w:rsid w:val="0013455E"/>
    <w:rsid w:val="0013496B"/>
    <w:rsid w:val="00137AED"/>
    <w:rsid w:val="00140EC1"/>
    <w:rsid w:val="00147F8E"/>
    <w:rsid w:val="00156249"/>
    <w:rsid w:val="00162109"/>
    <w:rsid w:val="00164ECC"/>
    <w:rsid w:val="00166FAB"/>
    <w:rsid w:val="001670B9"/>
    <w:rsid w:val="00167734"/>
    <w:rsid w:val="00167794"/>
    <w:rsid w:val="00167EFB"/>
    <w:rsid w:val="00180820"/>
    <w:rsid w:val="00183E90"/>
    <w:rsid w:val="00190C4E"/>
    <w:rsid w:val="001C44BE"/>
    <w:rsid w:val="001C514C"/>
    <w:rsid w:val="001D2D54"/>
    <w:rsid w:val="001D3A1C"/>
    <w:rsid w:val="001D4F44"/>
    <w:rsid w:val="001D541C"/>
    <w:rsid w:val="001E2596"/>
    <w:rsid w:val="001E56DF"/>
    <w:rsid w:val="00201BAC"/>
    <w:rsid w:val="00210202"/>
    <w:rsid w:val="00215245"/>
    <w:rsid w:val="002155C4"/>
    <w:rsid w:val="0022574F"/>
    <w:rsid w:val="00227938"/>
    <w:rsid w:val="00231C82"/>
    <w:rsid w:val="002360F6"/>
    <w:rsid w:val="00237333"/>
    <w:rsid w:val="00245583"/>
    <w:rsid w:val="00245B6C"/>
    <w:rsid w:val="0024612E"/>
    <w:rsid w:val="00250C22"/>
    <w:rsid w:val="00253ADE"/>
    <w:rsid w:val="002617DE"/>
    <w:rsid w:val="00272714"/>
    <w:rsid w:val="00276AA1"/>
    <w:rsid w:val="0028604C"/>
    <w:rsid w:val="00295492"/>
    <w:rsid w:val="002A4578"/>
    <w:rsid w:val="002B0B4B"/>
    <w:rsid w:val="002B1770"/>
    <w:rsid w:val="002B7582"/>
    <w:rsid w:val="002C5AEA"/>
    <w:rsid w:val="002D112E"/>
    <w:rsid w:val="002D39A2"/>
    <w:rsid w:val="002E3BF9"/>
    <w:rsid w:val="002E45B3"/>
    <w:rsid w:val="002F1FE6"/>
    <w:rsid w:val="002F6318"/>
    <w:rsid w:val="002F7FB2"/>
    <w:rsid w:val="0030023D"/>
    <w:rsid w:val="0030325D"/>
    <w:rsid w:val="00305C29"/>
    <w:rsid w:val="0031714F"/>
    <w:rsid w:val="003173AD"/>
    <w:rsid w:val="00333E3F"/>
    <w:rsid w:val="00340B2F"/>
    <w:rsid w:val="003437A8"/>
    <w:rsid w:val="00343893"/>
    <w:rsid w:val="003442FB"/>
    <w:rsid w:val="003466B1"/>
    <w:rsid w:val="003473AE"/>
    <w:rsid w:val="00352CA7"/>
    <w:rsid w:val="003549A2"/>
    <w:rsid w:val="0035717C"/>
    <w:rsid w:val="0035791C"/>
    <w:rsid w:val="00357B58"/>
    <w:rsid w:val="00360636"/>
    <w:rsid w:val="00365404"/>
    <w:rsid w:val="0036722B"/>
    <w:rsid w:val="00371643"/>
    <w:rsid w:val="003824E3"/>
    <w:rsid w:val="00383AFA"/>
    <w:rsid w:val="003860E2"/>
    <w:rsid w:val="003910AE"/>
    <w:rsid w:val="0039478D"/>
    <w:rsid w:val="003A23AF"/>
    <w:rsid w:val="003B3CEF"/>
    <w:rsid w:val="003B5C81"/>
    <w:rsid w:val="003B6220"/>
    <w:rsid w:val="003B7DCE"/>
    <w:rsid w:val="003C1465"/>
    <w:rsid w:val="003C271E"/>
    <w:rsid w:val="003C7EA3"/>
    <w:rsid w:val="003D17BA"/>
    <w:rsid w:val="003D3052"/>
    <w:rsid w:val="003D34B6"/>
    <w:rsid w:val="003E3A48"/>
    <w:rsid w:val="003E6723"/>
    <w:rsid w:val="003F007E"/>
    <w:rsid w:val="003F0D42"/>
    <w:rsid w:val="003F2455"/>
    <w:rsid w:val="003F57C8"/>
    <w:rsid w:val="003F7AAF"/>
    <w:rsid w:val="00402545"/>
    <w:rsid w:val="00403E71"/>
    <w:rsid w:val="00404164"/>
    <w:rsid w:val="00411565"/>
    <w:rsid w:val="00420D47"/>
    <w:rsid w:val="0042321E"/>
    <w:rsid w:val="00427FF5"/>
    <w:rsid w:val="004327A2"/>
    <w:rsid w:val="0043361E"/>
    <w:rsid w:val="00433CD3"/>
    <w:rsid w:val="00436955"/>
    <w:rsid w:val="0044203F"/>
    <w:rsid w:val="004456C0"/>
    <w:rsid w:val="0045191D"/>
    <w:rsid w:val="00454222"/>
    <w:rsid w:val="00465B87"/>
    <w:rsid w:val="00465BB1"/>
    <w:rsid w:val="00465CF0"/>
    <w:rsid w:val="00466F2D"/>
    <w:rsid w:val="0047029D"/>
    <w:rsid w:val="00473818"/>
    <w:rsid w:val="00477EC1"/>
    <w:rsid w:val="00480F9B"/>
    <w:rsid w:val="00484871"/>
    <w:rsid w:val="00490D8C"/>
    <w:rsid w:val="004912D5"/>
    <w:rsid w:val="00493306"/>
    <w:rsid w:val="0049489B"/>
    <w:rsid w:val="004954BA"/>
    <w:rsid w:val="004A5B2F"/>
    <w:rsid w:val="004A5DD0"/>
    <w:rsid w:val="004B52FF"/>
    <w:rsid w:val="004B5FF2"/>
    <w:rsid w:val="004B6F42"/>
    <w:rsid w:val="004B7F4A"/>
    <w:rsid w:val="004C2F2E"/>
    <w:rsid w:val="004C33C3"/>
    <w:rsid w:val="004C4B01"/>
    <w:rsid w:val="004C7A2D"/>
    <w:rsid w:val="004D548E"/>
    <w:rsid w:val="004E6BD2"/>
    <w:rsid w:val="004F1ED3"/>
    <w:rsid w:val="004F6EEC"/>
    <w:rsid w:val="004F782B"/>
    <w:rsid w:val="00500952"/>
    <w:rsid w:val="0050688E"/>
    <w:rsid w:val="00507A82"/>
    <w:rsid w:val="0051300A"/>
    <w:rsid w:val="00513A64"/>
    <w:rsid w:val="00514B9B"/>
    <w:rsid w:val="00515B02"/>
    <w:rsid w:val="005250F2"/>
    <w:rsid w:val="005351F2"/>
    <w:rsid w:val="00541FB4"/>
    <w:rsid w:val="005466D6"/>
    <w:rsid w:val="005468D9"/>
    <w:rsid w:val="0055236D"/>
    <w:rsid w:val="00555320"/>
    <w:rsid w:val="00561C53"/>
    <w:rsid w:val="005652D7"/>
    <w:rsid w:val="00570D85"/>
    <w:rsid w:val="005737C6"/>
    <w:rsid w:val="005818C2"/>
    <w:rsid w:val="005851F0"/>
    <w:rsid w:val="00587C86"/>
    <w:rsid w:val="00587ECA"/>
    <w:rsid w:val="00591DFB"/>
    <w:rsid w:val="00593C26"/>
    <w:rsid w:val="005A42E7"/>
    <w:rsid w:val="005B1F4D"/>
    <w:rsid w:val="005C11B2"/>
    <w:rsid w:val="005C3C54"/>
    <w:rsid w:val="005C7418"/>
    <w:rsid w:val="005C77C8"/>
    <w:rsid w:val="005C7865"/>
    <w:rsid w:val="005D0A65"/>
    <w:rsid w:val="005D3F7C"/>
    <w:rsid w:val="005D4F18"/>
    <w:rsid w:val="005D620A"/>
    <w:rsid w:val="005D6EC8"/>
    <w:rsid w:val="005E0896"/>
    <w:rsid w:val="005F08AA"/>
    <w:rsid w:val="005F09B4"/>
    <w:rsid w:val="005F4DB9"/>
    <w:rsid w:val="005F5F61"/>
    <w:rsid w:val="00604C33"/>
    <w:rsid w:val="00613B61"/>
    <w:rsid w:val="00615800"/>
    <w:rsid w:val="00620BE8"/>
    <w:rsid w:val="00622E02"/>
    <w:rsid w:val="00627A9F"/>
    <w:rsid w:val="00630671"/>
    <w:rsid w:val="00633425"/>
    <w:rsid w:val="00646718"/>
    <w:rsid w:val="006502F1"/>
    <w:rsid w:val="006604ED"/>
    <w:rsid w:val="006606CC"/>
    <w:rsid w:val="00661DB1"/>
    <w:rsid w:val="00662E97"/>
    <w:rsid w:val="00671367"/>
    <w:rsid w:val="00673144"/>
    <w:rsid w:val="0067685D"/>
    <w:rsid w:val="00680E8F"/>
    <w:rsid w:val="006934DE"/>
    <w:rsid w:val="00697A86"/>
    <w:rsid w:val="00697F3F"/>
    <w:rsid w:val="006A39B4"/>
    <w:rsid w:val="006A6801"/>
    <w:rsid w:val="006B3312"/>
    <w:rsid w:val="006B5FCD"/>
    <w:rsid w:val="006B7378"/>
    <w:rsid w:val="006C40BC"/>
    <w:rsid w:val="006C4A2A"/>
    <w:rsid w:val="006C7100"/>
    <w:rsid w:val="006D463E"/>
    <w:rsid w:val="006D4FA4"/>
    <w:rsid w:val="006D61D6"/>
    <w:rsid w:val="006E4E3F"/>
    <w:rsid w:val="006E6427"/>
    <w:rsid w:val="006F3E16"/>
    <w:rsid w:val="00702CB9"/>
    <w:rsid w:val="0070490D"/>
    <w:rsid w:val="00706B8B"/>
    <w:rsid w:val="00713527"/>
    <w:rsid w:val="00716FEB"/>
    <w:rsid w:val="00723341"/>
    <w:rsid w:val="00727EEA"/>
    <w:rsid w:val="00750B49"/>
    <w:rsid w:val="00752A7B"/>
    <w:rsid w:val="00753141"/>
    <w:rsid w:val="00754869"/>
    <w:rsid w:val="00760DEC"/>
    <w:rsid w:val="007610FD"/>
    <w:rsid w:val="0076209D"/>
    <w:rsid w:val="00776D18"/>
    <w:rsid w:val="0077778F"/>
    <w:rsid w:val="007859B8"/>
    <w:rsid w:val="0079154B"/>
    <w:rsid w:val="00794302"/>
    <w:rsid w:val="007A1ABC"/>
    <w:rsid w:val="007A2491"/>
    <w:rsid w:val="007A3DE3"/>
    <w:rsid w:val="007A72CF"/>
    <w:rsid w:val="007B22B9"/>
    <w:rsid w:val="007B2D32"/>
    <w:rsid w:val="007B4861"/>
    <w:rsid w:val="007B577F"/>
    <w:rsid w:val="007D1981"/>
    <w:rsid w:val="007D262B"/>
    <w:rsid w:val="007D609D"/>
    <w:rsid w:val="007E2FFF"/>
    <w:rsid w:val="007F3903"/>
    <w:rsid w:val="007F6769"/>
    <w:rsid w:val="0080049D"/>
    <w:rsid w:val="0080368D"/>
    <w:rsid w:val="008043EF"/>
    <w:rsid w:val="00811E48"/>
    <w:rsid w:val="0082073D"/>
    <w:rsid w:val="00824AA0"/>
    <w:rsid w:val="00827F51"/>
    <w:rsid w:val="00832A2D"/>
    <w:rsid w:val="00834711"/>
    <w:rsid w:val="00835221"/>
    <w:rsid w:val="00841613"/>
    <w:rsid w:val="008431C3"/>
    <w:rsid w:val="0085298F"/>
    <w:rsid w:val="00855AA5"/>
    <w:rsid w:val="0086047D"/>
    <w:rsid w:val="00866B25"/>
    <w:rsid w:val="008757BA"/>
    <w:rsid w:val="00880938"/>
    <w:rsid w:val="00880DD5"/>
    <w:rsid w:val="0088132C"/>
    <w:rsid w:val="00882DDC"/>
    <w:rsid w:val="00884D71"/>
    <w:rsid w:val="00887CD9"/>
    <w:rsid w:val="00891BD2"/>
    <w:rsid w:val="0089232D"/>
    <w:rsid w:val="008A347A"/>
    <w:rsid w:val="008A43C6"/>
    <w:rsid w:val="008A58AE"/>
    <w:rsid w:val="008A79F0"/>
    <w:rsid w:val="008B3A38"/>
    <w:rsid w:val="008C15C3"/>
    <w:rsid w:val="008C3FE8"/>
    <w:rsid w:val="008C6114"/>
    <w:rsid w:val="008D14F7"/>
    <w:rsid w:val="008D55FA"/>
    <w:rsid w:val="008E53FD"/>
    <w:rsid w:val="008E54D4"/>
    <w:rsid w:val="008E670B"/>
    <w:rsid w:val="008E6CCE"/>
    <w:rsid w:val="008F56CD"/>
    <w:rsid w:val="008F777A"/>
    <w:rsid w:val="00900B7E"/>
    <w:rsid w:val="00916426"/>
    <w:rsid w:val="00921026"/>
    <w:rsid w:val="00923156"/>
    <w:rsid w:val="00924258"/>
    <w:rsid w:val="0093139B"/>
    <w:rsid w:val="00931D3B"/>
    <w:rsid w:val="0093558D"/>
    <w:rsid w:val="00936C89"/>
    <w:rsid w:val="0094166F"/>
    <w:rsid w:val="00942450"/>
    <w:rsid w:val="00944D50"/>
    <w:rsid w:val="009570A4"/>
    <w:rsid w:val="00957B22"/>
    <w:rsid w:val="0097456C"/>
    <w:rsid w:val="0098321D"/>
    <w:rsid w:val="0098462D"/>
    <w:rsid w:val="00984B6D"/>
    <w:rsid w:val="009855B4"/>
    <w:rsid w:val="00990C45"/>
    <w:rsid w:val="00991DCB"/>
    <w:rsid w:val="009938B8"/>
    <w:rsid w:val="009942DB"/>
    <w:rsid w:val="00994F68"/>
    <w:rsid w:val="0099654F"/>
    <w:rsid w:val="009A6331"/>
    <w:rsid w:val="009A698D"/>
    <w:rsid w:val="009A746E"/>
    <w:rsid w:val="009B3707"/>
    <w:rsid w:val="009C0315"/>
    <w:rsid w:val="009C2EAD"/>
    <w:rsid w:val="009C7CA6"/>
    <w:rsid w:val="009D2B87"/>
    <w:rsid w:val="009E137B"/>
    <w:rsid w:val="009E1A9A"/>
    <w:rsid w:val="009E53E3"/>
    <w:rsid w:val="009F07AF"/>
    <w:rsid w:val="009F1F6C"/>
    <w:rsid w:val="009F478B"/>
    <w:rsid w:val="009F70B4"/>
    <w:rsid w:val="00A039EB"/>
    <w:rsid w:val="00A05E5F"/>
    <w:rsid w:val="00A167D8"/>
    <w:rsid w:val="00A23A0F"/>
    <w:rsid w:val="00A24995"/>
    <w:rsid w:val="00A25062"/>
    <w:rsid w:val="00A26D27"/>
    <w:rsid w:val="00A31BB4"/>
    <w:rsid w:val="00A31EBA"/>
    <w:rsid w:val="00A35A94"/>
    <w:rsid w:val="00A41932"/>
    <w:rsid w:val="00A43BEB"/>
    <w:rsid w:val="00A45106"/>
    <w:rsid w:val="00A4627D"/>
    <w:rsid w:val="00A53379"/>
    <w:rsid w:val="00A535E0"/>
    <w:rsid w:val="00A544A8"/>
    <w:rsid w:val="00A564D5"/>
    <w:rsid w:val="00A5797D"/>
    <w:rsid w:val="00A649F1"/>
    <w:rsid w:val="00A735FB"/>
    <w:rsid w:val="00A73B7C"/>
    <w:rsid w:val="00A7626F"/>
    <w:rsid w:val="00A77354"/>
    <w:rsid w:val="00A801D7"/>
    <w:rsid w:val="00A84895"/>
    <w:rsid w:val="00A96D4C"/>
    <w:rsid w:val="00AA05EA"/>
    <w:rsid w:val="00AA3181"/>
    <w:rsid w:val="00AA3F99"/>
    <w:rsid w:val="00AA6BDE"/>
    <w:rsid w:val="00AB1227"/>
    <w:rsid w:val="00AC1BB9"/>
    <w:rsid w:val="00AD0480"/>
    <w:rsid w:val="00AD0DB8"/>
    <w:rsid w:val="00AD2E07"/>
    <w:rsid w:val="00AE0143"/>
    <w:rsid w:val="00AF5326"/>
    <w:rsid w:val="00B00551"/>
    <w:rsid w:val="00B06E21"/>
    <w:rsid w:val="00B07B3E"/>
    <w:rsid w:val="00B1265B"/>
    <w:rsid w:val="00B126BC"/>
    <w:rsid w:val="00B135F3"/>
    <w:rsid w:val="00B16C21"/>
    <w:rsid w:val="00B17866"/>
    <w:rsid w:val="00B234D6"/>
    <w:rsid w:val="00B253CE"/>
    <w:rsid w:val="00B27E33"/>
    <w:rsid w:val="00B32278"/>
    <w:rsid w:val="00B33470"/>
    <w:rsid w:val="00B34E00"/>
    <w:rsid w:val="00B4454A"/>
    <w:rsid w:val="00B447CC"/>
    <w:rsid w:val="00B47247"/>
    <w:rsid w:val="00B623A0"/>
    <w:rsid w:val="00B65105"/>
    <w:rsid w:val="00B6655C"/>
    <w:rsid w:val="00B7160F"/>
    <w:rsid w:val="00B73F56"/>
    <w:rsid w:val="00B748A2"/>
    <w:rsid w:val="00B77820"/>
    <w:rsid w:val="00B853AD"/>
    <w:rsid w:val="00B8542B"/>
    <w:rsid w:val="00B8674B"/>
    <w:rsid w:val="00B90355"/>
    <w:rsid w:val="00B923AB"/>
    <w:rsid w:val="00B9289E"/>
    <w:rsid w:val="00B93675"/>
    <w:rsid w:val="00B953ED"/>
    <w:rsid w:val="00BA6BD9"/>
    <w:rsid w:val="00BB0E81"/>
    <w:rsid w:val="00BB14A7"/>
    <w:rsid w:val="00BB34E8"/>
    <w:rsid w:val="00BC118A"/>
    <w:rsid w:val="00BC2912"/>
    <w:rsid w:val="00BC44A1"/>
    <w:rsid w:val="00BC6D95"/>
    <w:rsid w:val="00BC7CAE"/>
    <w:rsid w:val="00BD0CAB"/>
    <w:rsid w:val="00BD690A"/>
    <w:rsid w:val="00BE112C"/>
    <w:rsid w:val="00BE4811"/>
    <w:rsid w:val="00BE5645"/>
    <w:rsid w:val="00BE6D65"/>
    <w:rsid w:val="00BF6A51"/>
    <w:rsid w:val="00BF6DFF"/>
    <w:rsid w:val="00C112BA"/>
    <w:rsid w:val="00C13539"/>
    <w:rsid w:val="00C2069B"/>
    <w:rsid w:val="00C25677"/>
    <w:rsid w:val="00C31727"/>
    <w:rsid w:val="00C33A74"/>
    <w:rsid w:val="00C41517"/>
    <w:rsid w:val="00C4290C"/>
    <w:rsid w:val="00C465DD"/>
    <w:rsid w:val="00C509D1"/>
    <w:rsid w:val="00C51A8A"/>
    <w:rsid w:val="00C53C81"/>
    <w:rsid w:val="00C53F66"/>
    <w:rsid w:val="00C6263C"/>
    <w:rsid w:val="00C63F57"/>
    <w:rsid w:val="00C64976"/>
    <w:rsid w:val="00C653AD"/>
    <w:rsid w:val="00C82014"/>
    <w:rsid w:val="00C82F2A"/>
    <w:rsid w:val="00C8403A"/>
    <w:rsid w:val="00C873BD"/>
    <w:rsid w:val="00C909AF"/>
    <w:rsid w:val="00C91CA7"/>
    <w:rsid w:val="00CA1308"/>
    <w:rsid w:val="00CA6219"/>
    <w:rsid w:val="00CB3577"/>
    <w:rsid w:val="00CB6508"/>
    <w:rsid w:val="00CB6D16"/>
    <w:rsid w:val="00CC103B"/>
    <w:rsid w:val="00CC2220"/>
    <w:rsid w:val="00CE1DB6"/>
    <w:rsid w:val="00CE1E77"/>
    <w:rsid w:val="00CF0B99"/>
    <w:rsid w:val="00CF512C"/>
    <w:rsid w:val="00CF63EF"/>
    <w:rsid w:val="00D0664F"/>
    <w:rsid w:val="00D06783"/>
    <w:rsid w:val="00D120BF"/>
    <w:rsid w:val="00D148C7"/>
    <w:rsid w:val="00D16FCF"/>
    <w:rsid w:val="00D21596"/>
    <w:rsid w:val="00D24DCE"/>
    <w:rsid w:val="00D252F2"/>
    <w:rsid w:val="00D350E5"/>
    <w:rsid w:val="00D36422"/>
    <w:rsid w:val="00D46DF0"/>
    <w:rsid w:val="00D47E44"/>
    <w:rsid w:val="00D508BE"/>
    <w:rsid w:val="00D52ACD"/>
    <w:rsid w:val="00D53626"/>
    <w:rsid w:val="00D548B5"/>
    <w:rsid w:val="00D622E3"/>
    <w:rsid w:val="00D652B2"/>
    <w:rsid w:val="00D722E8"/>
    <w:rsid w:val="00D74E4B"/>
    <w:rsid w:val="00D768CF"/>
    <w:rsid w:val="00D87EC6"/>
    <w:rsid w:val="00D9214A"/>
    <w:rsid w:val="00DA0304"/>
    <w:rsid w:val="00DA3D71"/>
    <w:rsid w:val="00DA4B38"/>
    <w:rsid w:val="00DB2061"/>
    <w:rsid w:val="00DC0F8D"/>
    <w:rsid w:val="00DC1B16"/>
    <w:rsid w:val="00DC2B2B"/>
    <w:rsid w:val="00DC6EA0"/>
    <w:rsid w:val="00DE1288"/>
    <w:rsid w:val="00DE2144"/>
    <w:rsid w:val="00DF1140"/>
    <w:rsid w:val="00DF2F76"/>
    <w:rsid w:val="00E020D6"/>
    <w:rsid w:val="00E1364F"/>
    <w:rsid w:val="00E42E7F"/>
    <w:rsid w:val="00E43626"/>
    <w:rsid w:val="00E443C2"/>
    <w:rsid w:val="00E4450B"/>
    <w:rsid w:val="00E47836"/>
    <w:rsid w:val="00E54ABE"/>
    <w:rsid w:val="00E55FB3"/>
    <w:rsid w:val="00E57612"/>
    <w:rsid w:val="00E576CC"/>
    <w:rsid w:val="00E63EDA"/>
    <w:rsid w:val="00E75140"/>
    <w:rsid w:val="00E76414"/>
    <w:rsid w:val="00E81835"/>
    <w:rsid w:val="00E837D4"/>
    <w:rsid w:val="00E84290"/>
    <w:rsid w:val="00E9134E"/>
    <w:rsid w:val="00E930A6"/>
    <w:rsid w:val="00E93874"/>
    <w:rsid w:val="00E94826"/>
    <w:rsid w:val="00EA0DC7"/>
    <w:rsid w:val="00EA3E8F"/>
    <w:rsid w:val="00EB24C6"/>
    <w:rsid w:val="00EB33AE"/>
    <w:rsid w:val="00EB5E7E"/>
    <w:rsid w:val="00EB7B99"/>
    <w:rsid w:val="00EC0A67"/>
    <w:rsid w:val="00ED6468"/>
    <w:rsid w:val="00ED7732"/>
    <w:rsid w:val="00EE53E7"/>
    <w:rsid w:val="00EF005A"/>
    <w:rsid w:val="00EF157E"/>
    <w:rsid w:val="00EF2A72"/>
    <w:rsid w:val="00EF5B83"/>
    <w:rsid w:val="00F01C67"/>
    <w:rsid w:val="00F10C6A"/>
    <w:rsid w:val="00F1141F"/>
    <w:rsid w:val="00F133F7"/>
    <w:rsid w:val="00F14BD3"/>
    <w:rsid w:val="00F20AA6"/>
    <w:rsid w:val="00F23065"/>
    <w:rsid w:val="00F2324F"/>
    <w:rsid w:val="00F30381"/>
    <w:rsid w:val="00F347BF"/>
    <w:rsid w:val="00F35764"/>
    <w:rsid w:val="00F35D4C"/>
    <w:rsid w:val="00F40306"/>
    <w:rsid w:val="00F417DF"/>
    <w:rsid w:val="00F458EF"/>
    <w:rsid w:val="00F4679A"/>
    <w:rsid w:val="00F5051E"/>
    <w:rsid w:val="00F538CC"/>
    <w:rsid w:val="00F612F5"/>
    <w:rsid w:val="00F6184D"/>
    <w:rsid w:val="00F63E12"/>
    <w:rsid w:val="00F645A2"/>
    <w:rsid w:val="00F66A47"/>
    <w:rsid w:val="00F70183"/>
    <w:rsid w:val="00F70443"/>
    <w:rsid w:val="00F70B5F"/>
    <w:rsid w:val="00F764D8"/>
    <w:rsid w:val="00F92703"/>
    <w:rsid w:val="00F92D9D"/>
    <w:rsid w:val="00F942CB"/>
    <w:rsid w:val="00F96DD3"/>
    <w:rsid w:val="00F97E62"/>
    <w:rsid w:val="00F97E78"/>
    <w:rsid w:val="00FA0044"/>
    <w:rsid w:val="00FA1980"/>
    <w:rsid w:val="00FA640B"/>
    <w:rsid w:val="00FC044C"/>
    <w:rsid w:val="00FD2539"/>
    <w:rsid w:val="00FD52D9"/>
    <w:rsid w:val="00FD60F7"/>
    <w:rsid w:val="00FE1F11"/>
    <w:rsid w:val="00FF24CC"/>
    <w:rsid w:val="00FF2B10"/>
    <w:rsid w:val="00FF3722"/>
    <w:rsid w:val="00FF3E0B"/>
    <w:rsid w:val="00FF478A"/>
    <w:rsid w:val="00FF4E9B"/>
    <w:rsid w:val="00FF5831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05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C7CAE"/>
    <w:pPr>
      <w:keepNext/>
      <w:spacing w:line="36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82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2014"/>
    <w:pPr>
      <w:keepNext/>
      <w:autoSpaceDE w:val="0"/>
      <w:autoSpaceDN w:val="0"/>
      <w:jc w:val="center"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82014"/>
    <w:pPr>
      <w:keepNext/>
      <w:widowControl w:val="0"/>
      <w:autoSpaceDE w:val="0"/>
      <w:autoSpaceDN w:val="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Text">
    <w:name w:val="EM Text"/>
    <w:basedOn w:val="Normal"/>
    <w:link w:val="EMTextChar"/>
    <w:autoRedefine/>
    <w:rsid w:val="0001575C"/>
    <w:pPr>
      <w:numPr>
        <w:numId w:val="10"/>
      </w:numPr>
      <w:tabs>
        <w:tab w:val="clear" w:pos="947"/>
        <w:tab w:val="num" w:pos="720"/>
      </w:tabs>
      <w:spacing w:after="300" w:line="300" w:lineRule="atLeast"/>
      <w:ind w:left="0" w:firstLine="0"/>
    </w:pPr>
    <w:rPr>
      <w:bCs/>
      <w:iCs/>
    </w:rPr>
  </w:style>
  <w:style w:type="paragraph" w:customStyle="1" w:styleId="EMHeading">
    <w:name w:val="EM Heading"/>
    <w:basedOn w:val="EMText"/>
    <w:link w:val="EMHeadingChar"/>
    <w:autoRedefine/>
    <w:rsid w:val="009F70B4"/>
    <w:pPr>
      <w:numPr>
        <w:numId w:val="0"/>
      </w:numPr>
      <w:spacing w:after="0" w:line="240" w:lineRule="auto"/>
    </w:pPr>
    <w:rPr>
      <w:rFonts w:ascii="Times New (W1)" w:hAnsi="Times New (W1)"/>
      <w:b/>
      <w:iCs w:val="0"/>
    </w:rPr>
  </w:style>
  <w:style w:type="character" w:styleId="Emphasis">
    <w:name w:val="Emphasis"/>
    <w:basedOn w:val="DefaultParagraphFont"/>
    <w:qFormat/>
    <w:rsid w:val="00A167D8"/>
    <w:rPr>
      <w:i/>
      <w:iCs/>
    </w:rPr>
  </w:style>
  <w:style w:type="numbering" w:customStyle="1" w:styleId="StyleBulletedSymbolsymbol">
    <w:name w:val="Style Bulleted Symbol (symbol)"/>
    <w:rsid w:val="00493306"/>
    <w:pPr>
      <w:numPr>
        <w:numId w:val="2"/>
      </w:numPr>
    </w:pPr>
  </w:style>
  <w:style w:type="paragraph" w:customStyle="1" w:styleId="Style1">
    <w:name w:val="Style1"/>
    <w:basedOn w:val="EMText"/>
    <w:autoRedefine/>
    <w:rsid w:val="005D4F18"/>
    <w:pPr>
      <w:spacing w:after="120"/>
    </w:pPr>
  </w:style>
  <w:style w:type="paragraph" w:customStyle="1" w:styleId="EMHeadingitalics">
    <w:name w:val="EM Heading italics"/>
    <w:basedOn w:val="EMHeading"/>
    <w:rsid w:val="007D609D"/>
    <w:pPr>
      <w:spacing w:before="120"/>
    </w:pPr>
    <w:rPr>
      <w:b w:val="0"/>
      <w:i/>
    </w:rPr>
  </w:style>
  <w:style w:type="paragraph" w:customStyle="1" w:styleId="Box1">
    <w:name w:val="Box 1"/>
    <w:basedOn w:val="Normal"/>
    <w:autoRedefine/>
    <w:rsid w:val="00FD52D9"/>
    <w:pPr>
      <w:pBdr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Bdr>
      <w:shd w:val="clear" w:color="auto" w:fill="E0E0E0"/>
      <w:spacing w:before="240"/>
    </w:pPr>
  </w:style>
  <w:style w:type="paragraph" w:customStyle="1" w:styleId="ListBulletSub">
    <w:name w:val="List Bullet (Sub)"/>
    <w:basedOn w:val="ListBullet"/>
    <w:link w:val="ListBulletSubChar"/>
    <w:autoRedefine/>
    <w:rsid w:val="004912D5"/>
    <w:pPr>
      <w:numPr>
        <w:numId w:val="3"/>
      </w:numPr>
    </w:pPr>
  </w:style>
  <w:style w:type="paragraph" w:styleId="ListBullet">
    <w:name w:val="List Bullet"/>
    <w:basedOn w:val="Normal"/>
    <w:link w:val="ListBulletChar"/>
    <w:autoRedefine/>
    <w:rsid w:val="00514B9B"/>
    <w:rPr>
      <w:lang w:val="en-US"/>
    </w:rPr>
  </w:style>
  <w:style w:type="paragraph" w:styleId="Footer">
    <w:name w:val="footer"/>
    <w:basedOn w:val="Normal"/>
    <w:rsid w:val="005C77C8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5C77C8"/>
    <w:rPr>
      <w:sz w:val="16"/>
      <w:szCs w:val="16"/>
    </w:rPr>
  </w:style>
  <w:style w:type="paragraph" w:styleId="CommentText">
    <w:name w:val="annotation text"/>
    <w:basedOn w:val="Normal"/>
    <w:semiHidden/>
    <w:rsid w:val="005C77C8"/>
    <w:rPr>
      <w:sz w:val="20"/>
      <w:lang w:val="en-US"/>
    </w:rPr>
  </w:style>
  <w:style w:type="paragraph" w:styleId="BalloonText">
    <w:name w:val="Balloon Text"/>
    <w:basedOn w:val="Normal"/>
    <w:semiHidden/>
    <w:rsid w:val="005C7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C77C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7C8"/>
  </w:style>
  <w:style w:type="paragraph" w:styleId="CommentSubject">
    <w:name w:val="annotation subject"/>
    <w:basedOn w:val="CommentText"/>
    <w:next w:val="CommentText"/>
    <w:semiHidden/>
    <w:rsid w:val="005C77C8"/>
    <w:rPr>
      <w:b/>
      <w:bCs/>
      <w:lang w:val="en-AU" w:eastAsia="en-AU"/>
    </w:rPr>
  </w:style>
  <w:style w:type="paragraph" w:customStyle="1" w:styleId="Tabletext">
    <w:name w:val="Tabletext"/>
    <w:aliases w:val="tt"/>
    <w:rsid w:val="00C82014"/>
    <w:pPr>
      <w:spacing w:before="60" w:line="240" w:lineRule="atLeast"/>
    </w:pPr>
    <w:rPr>
      <w:szCs w:val="24"/>
    </w:rPr>
  </w:style>
  <w:style w:type="paragraph" w:customStyle="1" w:styleId="NumberedPara">
    <w:name w:val="Numbered Para"/>
    <w:basedOn w:val="Normal"/>
    <w:next w:val="Normal"/>
    <w:rsid w:val="00C82014"/>
    <w:pPr>
      <w:numPr>
        <w:numId w:val="4"/>
      </w:numPr>
      <w:tabs>
        <w:tab w:val="clear" w:pos="360"/>
        <w:tab w:val="left" w:pos="709"/>
      </w:tabs>
      <w:jc w:val="both"/>
    </w:pPr>
    <w:rPr>
      <w:lang w:val="en-GB"/>
    </w:rPr>
  </w:style>
  <w:style w:type="paragraph" w:customStyle="1" w:styleId="Paragraph">
    <w:name w:val="Paragraph"/>
    <w:basedOn w:val="Normal"/>
    <w:rsid w:val="00C82014"/>
    <w:pPr>
      <w:spacing w:before="240"/>
    </w:pPr>
  </w:style>
  <w:style w:type="paragraph" w:styleId="NormalWeb">
    <w:name w:val="Normal (Web)"/>
    <w:basedOn w:val="Normal"/>
    <w:rsid w:val="00C82014"/>
    <w:pPr>
      <w:spacing w:before="100" w:beforeAutospacing="1" w:after="100" w:afterAutospacing="1" w:line="240" w:lineRule="atLeast"/>
    </w:pPr>
    <w:rPr>
      <w:rFonts w:ascii="Times" w:eastAsia="Batang" w:hAnsi="Times" w:cs="Times"/>
      <w:color w:val="000000"/>
      <w:sz w:val="20"/>
    </w:rPr>
  </w:style>
  <w:style w:type="paragraph" w:customStyle="1" w:styleId="paragraph0">
    <w:name w:val="paragraph"/>
    <w:aliases w:val="a"/>
    <w:rsid w:val="00C82014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paragraphsub">
    <w:name w:val="paragraph(sub)"/>
    <w:aliases w:val="aa"/>
    <w:basedOn w:val="paragraph0"/>
    <w:rsid w:val="00C82014"/>
    <w:pPr>
      <w:tabs>
        <w:tab w:val="clear" w:pos="1531"/>
        <w:tab w:val="right" w:pos="1985"/>
      </w:tabs>
      <w:ind w:left="2098" w:hanging="2098"/>
    </w:pPr>
  </w:style>
  <w:style w:type="paragraph" w:customStyle="1" w:styleId="numberlist">
    <w:name w:val="number_list"/>
    <w:basedOn w:val="Normal"/>
    <w:rsid w:val="00C82014"/>
    <w:pPr>
      <w:numPr>
        <w:numId w:val="5"/>
      </w:numPr>
      <w:spacing w:after="120"/>
    </w:pPr>
  </w:style>
  <w:style w:type="character" w:customStyle="1" w:styleId="CharSectno">
    <w:name w:val="CharSectno"/>
    <w:basedOn w:val="DefaultParagraphFont"/>
    <w:rsid w:val="00C82014"/>
  </w:style>
  <w:style w:type="table" w:styleId="TableGrid">
    <w:name w:val="Table Grid"/>
    <w:basedOn w:val="TableNormal"/>
    <w:rsid w:val="00C82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82014"/>
    <w:pPr>
      <w:autoSpaceDE w:val="0"/>
      <w:autoSpaceDN w:val="0"/>
      <w:jc w:val="center"/>
    </w:pPr>
    <w:rPr>
      <w:b/>
      <w:bCs/>
    </w:rPr>
  </w:style>
  <w:style w:type="paragraph" w:customStyle="1" w:styleId="Heading10">
    <w:name w:val="Heading_1"/>
    <w:basedOn w:val="Normal"/>
    <w:rsid w:val="00C82014"/>
    <w:pPr>
      <w:autoSpaceDE w:val="0"/>
      <w:autoSpaceDN w:val="0"/>
    </w:pPr>
    <w:rPr>
      <w:b/>
      <w:bCs/>
    </w:rPr>
  </w:style>
  <w:style w:type="paragraph" w:customStyle="1" w:styleId="NumberedParagraphs">
    <w:name w:val="Numbered Paragraphs"/>
    <w:basedOn w:val="Normal"/>
    <w:rsid w:val="00C82014"/>
    <w:pPr>
      <w:numPr>
        <w:numId w:val="6"/>
      </w:numPr>
      <w:tabs>
        <w:tab w:val="left" w:pos="726"/>
        <w:tab w:val="left" w:pos="1089"/>
        <w:tab w:val="left" w:pos="1452"/>
        <w:tab w:val="left" w:pos="1814"/>
      </w:tabs>
      <w:spacing w:line="360" w:lineRule="auto"/>
    </w:pPr>
  </w:style>
  <w:style w:type="paragraph" w:styleId="BodyTextIndent">
    <w:name w:val="Body Text Indent"/>
    <w:basedOn w:val="Normal"/>
    <w:rsid w:val="00C82014"/>
    <w:pPr>
      <w:autoSpaceDE w:val="0"/>
      <w:autoSpaceDN w:val="0"/>
    </w:pPr>
    <w:rPr>
      <w:i/>
      <w:iCs/>
    </w:rPr>
  </w:style>
  <w:style w:type="paragraph" w:customStyle="1" w:styleId="description">
    <w:name w:val="description"/>
    <w:basedOn w:val="Normal"/>
    <w:rsid w:val="00C82014"/>
    <w:pPr>
      <w:autoSpaceDE w:val="0"/>
      <w:autoSpaceDN w:val="0"/>
      <w:ind w:left="397" w:hanging="397"/>
    </w:pPr>
    <w:rPr>
      <w:lang w:val="en-US"/>
    </w:rPr>
  </w:style>
  <w:style w:type="paragraph" w:customStyle="1" w:styleId="nonumber">
    <w:name w:val="no_number"/>
    <w:basedOn w:val="Normal"/>
    <w:next w:val="Normal"/>
    <w:rsid w:val="00C82014"/>
    <w:pPr>
      <w:autoSpaceDE w:val="0"/>
      <w:autoSpaceDN w:val="0"/>
      <w:spacing w:after="120"/>
    </w:pPr>
  </w:style>
  <w:style w:type="character" w:customStyle="1" w:styleId="ListBulletChar">
    <w:name w:val="List Bullet Char"/>
    <w:basedOn w:val="DefaultParagraphFont"/>
    <w:link w:val="ListBullet"/>
    <w:rsid w:val="00514B9B"/>
    <w:rPr>
      <w:sz w:val="24"/>
      <w:lang w:val="en-US" w:eastAsia="en-US" w:bidi="ar-SA"/>
    </w:rPr>
  </w:style>
  <w:style w:type="paragraph" w:customStyle="1" w:styleId="text">
    <w:name w:val="text"/>
    <w:basedOn w:val="Normal"/>
    <w:rsid w:val="00C82014"/>
    <w:pPr>
      <w:autoSpaceDE w:val="0"/>
      <w:autoSpaceDN w:val="0"/>
      <w:spacing w:after="120"/>
    </w:pPr>
  </w:style>
  <w:style w:type="paragraph" w:customStyle="1" w:styleId="subsection">
    <w:name w:val="subsection"/>
    <w:aliases w:val="ss"/>
    <w:link w:val="subsectionChar"/>
    <w:rsid w:val="00C82014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CharChapNo">
    <w:name w:val="CharChapNo"/>
    <w:basedOn w:val="DefaultParagraphFont"/>
    <w:rsid w:val="00C82014"/>
  </w:style>
  <w:style w:type="character" w:customStyle="1" w:styleId="CharChapText">
    <w:name w:val="CharChapText"/>
    <w:basedOn w:val="DefaultParagraphFont"/>
    <w:rsid w:val="00C82014"/>
  </w:style>
  <w:style w:type="character" w:customStyle="1" w:styleId="CharDivNo">
    <w:name w:val="CharDivNo"/>
    <w:basedOn w:val="DefaultParagraphFont"/>
    <w:rsid w:val="00C82014"/>
  </w:style>
  <w:style w:type="character" w:customStyle="1" w:styleId="CharDivText">
    <w:name w:val="CharDivText"/>
    <w:basedOn w:val="DefaultParagraphFont"/>
    <w:rsid w:val="00C82014"/>
  </w:style>
  <w:style w:type="character" w:customStyle="1" w:styleId="CharPartNo">
    <w:name w:val="CharPartNo"/>
    <w:basedOn w:val="DefaultParagraphFont"/>
    <w:rsid w:val="00C82014"/>
  </w:style>
  <w:style w:type="character" w:customStyle="1" w:styleId="CharPartText">
    <w:name w:val="CharPartText"/>
    <w:basedOn w:val="DefaultParagraphFont"/>
    <w:rsid w:val="00C82014"/>
  </w:style>
  <w:style w:type="character" w:customStyle="1" w:styleId="Subjecttext">
    <w:name w:val="Subject_text"/>
    <w:rsid w:val="00C82014"/>
    <w:rPr>
      <w:b/>
    </w:rPr>
  </w:style>
  <w:style w:type="character" w:customStyle="1" w:styleId="Hyperlink4">
    <w:name w:val="Hyperlink4"/>
    <w:basedOn w:val="DefaultParagraphFont"/>
    <w:rsid w:val="00C82014"/>
    <w:rPr>
      <w:color w:val="0000FF"/>
      <w:u w:val="single"/>
    </w:rPr>
  </w:style>
  <w:style w:type="character" w:customStyle="1" w:styleId="CharAmSchText">
    <w:name w:val="CharAmSchText"/>
    <w:basedOn w:val="DefaultParagraphFont"/>
    <w:rsid w:val="00C82014"/>
  </w:style>
  <w:style w:type="character" w:styleId="Strong">
    <w:name w:val="Strong"/>
    <w:basedOn w:val="DefaultParagraphFont"/>
    <w:qFormat/>
    <w:rsid w:val="00EB5E7E"/>
    <w:rPr>
      <w:b/>
      <w:bCs/>
    </w:rPr>
  </w:style>
  <w:style w:type="character" w:customStyle="1" w:styleId="subsectionChar">
    <w:name w:val="subsection Char"/>
    <w:aliases w:val="ss Char"/>
    <w:basedOn w:val="DefaultParagraphFont"/>
    <w:link w:val="subsection"/>
    <w:rsid w:val="00EB5E7E"/>
    <w:rPr>
      <w:sz w:val="22"/>
      <w:szCs w:val="24"/>
      <w:lang w:val="en-AU" w:eastAsia="en-AU" w:bidi="ar-SA"/>
    </w:rPr>
  </w:style>
  <w:style w:type="character" w:customStyle="1" w:styleId="ListBulletSubChar">
    <w:name w:val="List Bullet (Sub) Char"/>
    <w:basedOn w:val="ListBulletChar"/>
    <w:link w:val="ListBulletSub"/>
    <w:rsid w:val="004912D5"/>
  </w:style>
  <w:style w:type="paragraph" w:customStyle="1" w:styleId="subsection2">
    <w:name w:val="subsection2"/>
    <w:aliases w:val="ss2"/>
    <w:basedOn w:val="subsection"/>
    <w:next w:val="subsection"/>
    <w:rsid w:val="00B33470"/>
    <w:pPr>
      <w:tabs>
        <w:tab w:val="clear" w:pos="1021"/>
      </w:tabs>
      <w:spacing w:before="40"/>
      <w:ind w:firstLine="0"/>
    </w:pPr>
  </w:style>
  <w:style w:type="character" w:customStyle="1" w:styleId="charsectno0">
    <w:name w:val="charsectno"/>
    <w:basedOn w:val="DefaultParagraphFont"/>
    <w:rsid w:val="00B33470"/>
  </w:style>
  <w:style w:type="paragraph" w:styleId="BodyText">
    <w:name w:val="Body Text"/>
    <w:basedOn w:val="Normal"/>
    <w:rsid w:val="003549A2"/>
    <w:pPr>
      <w:spacing w:after="120"/>
    </w:pPr>
  </w:style>
  <w:style w:type="paragraph" w:customStyle="1" w:styleId="EMTExtPrelim">
    <w:name w:val="EM TExt Prelim"/>
    <w:basedOn w:val="Normal"/>
    <w:rsid w:val="00754869"/>
  </w:style>
  <w:style w:type="paragraph" w:styleId="BodyText2">
    <w:name w:val="Body Text 2"/>
    <w:basedOn w:val="Normal"/>
    <w:rsid w:val="00D0664F"/>
    <w:pPr>
      <w:spacing w:after="120" w:line="480" w:lineRule="auto"/>
    </w:pPr>
  </w:style>
  <w:style w:type="character" w:styleId="Hyperlink">
    <w:name w:val="Hyperlink"/>
    <w:basedOn w:val="DefaultParagraphFont"/>
    <w:rsid w:val="00D0664F"/>
    <w:rPr>
      <w:color w:val="0000FF"/>
      <w:u w:val="single"/>
    </w:rPr>
  </w:style>
  <w:style w:type="character" w:styleId="FollowedHyperlink">
    <w:name w:val="FollowedHyperlink"/>
    <w:basedOn w:val="DefaultParagraphFont"/>
    <w:rsid w:val="00D0664F"/>
    <w:rPr>
      <w:color w:val="800080"/>
      <w:u w:val="single"/>
    </w:rPr>
  </w:style>
  <w:style w:type="paragraph" w:customStyle="1" w:styleId="EMHeadingUnderline">
    <w:name w:val="EM Heading Underline"/>
    <w:basedOn w:val="EMHeadingitalics"/>
    <w:autoRedefine/>
    <w:rsid w:val="00404164"/>
    <w:pPr>
      <w:spacing w:before="240"/>
    </w:pPr>
    <w:rPr>
      <w:i w:val="0"/>
      <w:u w:val="single"/>
    </w:rPr>
  </w:style>
  <w:style w:type="paragraph" w:customStyle="1" w:styleId="EMPartHeading">
    <w:name w:val="EM Part Heading"/>
    <w:basedOn w:val="EMHeading"/>
    <w:link w:val="EMPartHeadingChar"/>
    <w:autoRedefine/>
    <w:rsid w:val="00FF478A"/>
    <w:rPr>
      <w:lang w:val="en-US"/>
    </w:rPr>
  </w:style>
  <w:style w:type="character" w:customStyle="1" w:styleId="EMTextChar">
    <w:name w:val="EM Text Char"/>
    <w:basedOn w:val="DefaultParagraphFont"/>
    <w:link w:val="EMText"/>
    <w:rsid w:val="0001575C"/>
    <w:rPr>
      <w:bCs/>
      <w:iCs/>
      <w:sz w:val="24"/>
      <w:lang w:val="en-AU" w:eastAsia="en-US" w:bidi="ar-SA"/>
    </w:rPr>
  </w:style>
  <w:style w:type="character" w:customStyle="1" w:styleId="EMHeadingChar">
    <w:name w:val="EM Heading Char"/>
    <w:basedOn w:val="EMTextChar"/>
    <w:link w:val="EMHeading"/>
    <w:rsid w:val="009F70B4"/>
    <w:rPr>
      <w:rFonts w:ascii="Times New (W1)" w:hAnsi="Times New (W1)"/>
      <w:b/>
    </w:rPr>
  </w:style>
  <w:style w:type="paragraph" w:styleId="FootnoteText">
    <w:name w:val="footnote text"/>
    <w:basedOn w:val="Normal"/>
    <w:semiHidden/>
    <w:rsid w:val="007F3903"/>
    <w:rPr>
      <w:sz w:val="20"/>
    </w:rPr>
  </w:style>
  <w:style w:type="character" w:styleId="FootnoteReference">
    <w:name w:val="footnote reference"/>
    <w:basedOn w:val="DefaultParagraphFont"/>
    <w:semiHidden/>
    <w:rsid w:val="007F3903"/>
    <w:rPr>
      <w:vertAlign w:val="superscript"/>
    </w:rPr>
  </w:style>
  <w:style w:type="paragraph" w:customStyle="1" w:styleId="paragraphs">
    <w:name w:val="paragraphs"/>
    <w:basedOn w:val="Normal"/>
    <w:rsid w:val="007F3903"/>
    <w:pPr>
      <w:numPr>
        <w:numId w:val="14"/>
      </w:numPr>
      <w:spacing w:after="120"/>
    </w:pPr>
  </w:style>
  <w:style w:type="paragraph" w:customStyle="1" w:styleId="numberlist0">
    <w:name w:val="numberlist"/>
    <w:basedOn w:val="Normal"/>
    <w:rsid w:val="00F2324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StyleEMHeadinglessspace">
    <w:name w:val="Style EM Heading less space"/>
    <w:basedOn w:val="EMHeadingitalics"/>
    <w:rsid w:val="002B0B4B"/>
    <w:rPr>
      <w:b/>
      <w:i w:val="0"/>
      <w:iCs/>
    </w:rPr>
  </w:style>
  <w:style w:type="character" w:customStyle="1" w:styleId="EMPartHeadingChar">
    <w:name w:val="EM Part Heading Char"/>
    <w:basedOn w:val="EMHeadingChar"/>
    <w:link w:val="EMPartHeading"/>
    <w:rsid w:val="00FF478A"/>
    <w:rPr>
      <w:lang w:val="en-US"/>
    </w:rPr>
  </w:style>
  <w:style w:type="paragraph" w:customStyle="1" w:styleId="StyleEMHeadingitalicsBoldNotItalic">
    <w:name w:val="Style EM Heading italics + Bold Not Italic"/>
    <w:basedOn w:val="EMHeadingitalics"/>
    <w:autoRedefine/>
    <w:rsid w:val="00EF2A72"/>
    <w:rPr>
      <w:b/>
      <w:i w:val="0"/>
      <w:iCs/>
    </w:rPr>
  </w:style>
  <w:style w:type="paragraph" w:customStyle="1" w:styleId="emheadingitalics0">
    <w:name w:val="emheadingitalics"/>
    <w:basedOn w:val="Normal"/>
    <w:rsid w:val="0004403D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emtext0">
    <w:name w:val="emtext"/>
    <w:basedOn w:val="Normal"/>
    <w:rsid w:val="0004403D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ob">
    <w:name w:val="tob"/>
    <w:basedOn w:val="BodyTextIndent2"/>
    <w:rsid w:val="00C112BA"/>
    <w:pPr>
      <w:spacing w:before="120" w:line="240" w:lineRule="auto"/>
      <w:ind w:left="284"/>
    </w:pPr>
    <w:rPr>
      <w:i/>
    </w:rPr>
  </w:style>
  <w:style w:type="paragraph" w:customStyle="1" w:styleId="ItemHead">
    <w:name w:val="ItemHead"/>
    <w:aliases w:val="ih"/>
    <w:basedOn w:val="Normal"/>
    <w:next w:val="Normal"/>
    <w:rsid w:val="005F5F61"/>
    <w:pPr>
      <w:keepLines/>
      <w:spacing w:before="220"/>
      <w:ind w:left="709" w:hanging="709"/>
    </w:pPr>
    <w:rPr>
      <w:rFonts w:ascii="Arial" w:hAnsi="Arial"/>
      <w:b/>
      <w:kern w:val="28"/>
      <w:lang w:eastAsia="en-AU"/>
    </w:rPr>
  </w:style>
  <w:style w:type="paragraph" w:styleId="BodyTextIndent2">
    <w:name w:val="Body Text Indent 2"/>
    <w:basedOn w:val="Normal"/>
    <w:rsid w:val="00C112BA"/>
    <w:pPr>
      <w:spacing w:after="120" w:line="480" w:lineRule="auto"/>
      <w:ind w:left="283"/>
    </w:pPr>
  </w:style>
  <w:style w:type="paragraph" w:customStyle="1" w:styleId="Item">
    <w:name w:val="Item"/>
    <w:aliases w:val="i"/>
    <w:basedOn w:val="Normal"/>
    <w:next w:val="ItemHead"/>
    <w:rsid w:val="005F5F61"/>
    <w:pPr>
      <w:keepLines/>
      <w:spacing w:before="80"/>
      <w:ind w:left="709"/>
    </w:pPr>
    <w:rPr>
      <w:sz w:val="22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73F56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C99851850DBED5479E3993248FB8F88C" ma:contentTypeVersion="8" ma:contentTypeDescription="Ddocs' Word Content Type" ma:contentTypeScope="" ma:versionID="793a7a22477a239c553a583959da4cf0">
  <xsd:schema xmlns:xsd="http://www.w3.org/2001/XMLSchema" xmlns:p="http://schemas.microsoft.com/office/2006/metadata/properties" xmlns:ns2="http://schemas.microsoft.com/sharepoint/v3/fields" xmlns:ns3="aa4207c7-5642-493f-9786-e265201cbb14" targetNamespace="http://schemas.microsoft.com/office/2006/metadata/properties" ma:root="true" ma:fieldsID="da3708b4646010876a46c632f3dab662" ns2:_="" ns3:_=""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ternalName="DNetUniqueId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aa4207c7-5642-493f-9786-e265201cbb14" elementFormDefault="qualified">
    <xsd:import namespace="http://schemas.microsoft.com/office/2006/documentManagement/type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docsSearchTerms xmlns="http://schemas.microsoft.com/sharepoint/v3/fields" xsi:nil="true"/>
  </documentManagement>
</p:properties>
</file>

<file path=customXml/item5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Props1.xml><?xml version="1.0" encoding="utf-8"?>
<ds:datastoreItem xmlns:ds="http://schemas.openxmlformats.org/officeDocument/2006/customXml" ds:itemID="{D7D09988-F4CE-4772-B7C4-4EE2C6DD5C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1BF75F-D52A-43CE-9CF6-B7AAF9815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399691C-CBC9-4402-B3BC-63D0A932CD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9E08AD-7F07-46DD-9A87-D22535238A06}">
  <ds:schemaRefs>
    <ds:schemaRef ds:uri="http://schemas.microsoft.com/office/2006/metadata/properties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1A9E749B-3B90-4750-BC06-DF47B78F707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2748</Words>
  <Characters>14642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221 – Part XIV (heading)</vt:lpstr>
    </vt:vector>
  </TitlesOfParts>
  <Company>DEWR</Company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221 – Part XIV (heading)</dc:title>
  <dc:creator>RUSHALL,Richard</dc:creator>
  <cp:lastModifiedBy>italit</cp:lastModifiedBy>
  <cp:revision>2</cp:revision>
  <cp:lastPrinted>2011-03-21T04:44:00Z</cp:lastPrinted>
  <dcterms:created xsi:type="dcterms:W3CDTF">2011-03-23T01:20:00Z</dcterms:created>
  <dcterms:modified xsi:type="dcterms:W3CDTF">2011-03-23T01:20:00Z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0x0101009EDC4876AF524A70BD125A9D2C0D191E0C00C99851850DBED5479E3993248FB8F88C</vt:lpwstr>
  </property>
  <property fmtid="{D5CDD505-2E9C-101B-9397-08002B2CF9AE}" pid="3" name="_dlc_ExpireDate">
    <vt:lpwstr>2016-02-02T09:49:49Z</vt:lpwstr>
  </property>
  <property fmtid="{D5CDD505-2E9C-101B-9397-08002B2CF9AE}" pid="4" name="DNetUniqueId">
    <vt:lpwstr>D08-5725289</vt:lpwstr>
  </property>
</Properties>
</file>