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97FF" w14:textId="0533C3F2" w:rsidR="00584C92" w:rsidRPr="00EB58D4" w:rsidRDefault="008467D1" w:rsidP="00584C92">
      <w:pPr>
        <w:spacing w:after="80"/>
        <w:rPr>
          <w:rFonts w:cs="Arial"/>
          <w:b/>
        </w:rPr>
      </w:pPr>
      <w:r w:rsidRPr="00EB58D4">
        <w:rPr>
          <w:noProof/>
          <w:lang w:eastAsia="en-AU"/>
        </w:rPr>
        <w:drawing>
          <wp:inline distT="0" distB="0" distL="0" distR="0" wp14:anchorId="58096CA2" wp14:editId="010E2032">
            <wp:extent cx="2409825" cy="704850"/>
            <wp:effectExtent l="0" t="0" r="9525" b="0"/>
            <wp:docPr id="3" name="Picture 3" descr="Australian Taxation Office logo, includes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Taxation Office logo, includes the 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704850"/>
                    </a:xfrm>
                    <a:prstGeom prst="rect">
                      <a:avLst/>
                    </a:prstGeom>
                    <a:noFill/>
                    <a:ln>
                      <a:noFill/>
                    </a:ln>
                  </pic:spPr>
                </pic:pic>
              </a:graphicData>
            </a:graphic>
          </wp:inline>
        </w:drawing>
      </w:r>
    </w:p>
    <w:p w14:paraId="608463A5" w14:textId="77777777" w:rsidR="00584C92" w:rsidRPr="00EB58D4" w:rsidRDefault="00584C92" w:rsidP="00584C92">
      <w:pPr>
        <w:spacing w:after="80"/>
        <w:rPr>
          <w:rFonts w:cs="Arial"/>
          <w:bCs/>
          <w:sz w:val="18"/>
          <w:szCs w:val="18"/>
        </w:rPr>
      </w:pPr>
    </w:p>
    <w:p w14:paraId="09EDBE82" w14:textId="61751E84" w:rsidR="00BB4D13" w:rsidRPr="00EB58D4" w:rsidRDefault="00BB4D13" w:rsidP="00BB4D13">
      <w:pPr>
        <w:spacing w:after="80"/>
        <w:rPr>
          <w:rFonts w:cs="Arial"/>
          <w:b/>
          <w:sz w:val="28"/>
          <w:szCs w:val="28"/>
        </w:rPr>
      </w:pPr>
      <w:r w:rsidRPr="00EB58D4">
        <w:rPr>
          <w:rFonts w:cs="Arial"/>
          <w:b/>
          <w:sz w:val="28"/>
          <w:szCs w:val="28"/>
        </w:rPr>
        <w:t>Notice of Withdrawal of Ruling</w:t>
      </w:r>
      <w:r w:rsidR="009A497A">
        <w:rPr>
          <w:rFonts w:cs="Arial"/>
          <w:b/>
          <w:sz w:val="28"/>
          <w:szCs w:val="28"/>
        </w:rPr>
        <w:t xml:space="preserve">s </w:t>
      </w:r>
      <w:r w:rsidR="00C61305">
        <w:rPr>
          <w:rFonts w:cs="Arial"/>
          <w:b/>
          <w:sz w:val="28"/>
          <w:szCs w:val="28"/>
        </w:rPr>
        <w:t>30 October</w:t>
      </w:r>
      <w:r w:rsidR="009A497A">
        <w:rPr>
          <w:rFonts w:cs="Arial"/>
          <w:b/>
          <w:sz w:val="28"/>
          <w:szCs w:val="28"/>
        </w:rPr>
        <w:t xml:space="preserve"> 2025</w:t>
      </w:r>
    </w:p>
    <w:p w14:paraId="054D3AA5" w14:textId="65209D72" w:rsidR="00AE1163" w:rsidRPr="00EB58D4" w:rsidRDefault="00AE1163" w:rsidP="00AE1163">
      <w:pPr>
        <w:rPr>
          <w:rFonts w:cs="Arial"/>
          <w:sz w:val="18"/>
          <w:szCs w:val="18"/>
        </w:rPr>
      </w:pPr>
      <w:r w:rsidRPr="00EB58D4">
        <w:rPr>
          <w:rFonts w:cs="Arial"/>
          <w:sz w:val="18"/>
          <w:szCs w:val="18"/>
        </w:rPr>
        <w:br/>
        <w:t xml:space="preserve">The Commissioner of Taxation, </w:t>
      </w:r>
      <w:r w:rsidR="0074090E">
        <w:rPr>
          <w:rFonts w:cs="Arial"/>
          <w:sz w:val="18"/>
          <w:szCs w:val="18"/>
        </w:rPr>
        <w:t xml:space="preserve">Rob </w:t>
      </w:r>
      <w:proofErr w:type="spellStart"/>
      <w:r w:rsidR="0074090E">
        <w:rPr>
          <w:rFonts w:cs="Arial"/>
          <w:sz w:val="18"/>
          <w:szCs w:val="18"/>
        </w:rPr>
        <w:t>Heferen</w:t>
      </w:r>
      <w:proofErr w:type="spellEnd"/>
      <w:r w:rsidRPr="00EB58D4">
        <w:rPr>
          <w:rFonts w:cs="Arial"/>
          <w:sz w:val="18"/>
          <w:szCs w:val="18"/>
        </w:rPr>
        <w:t>, gives notice by notifiable instrument under subsection 358-20(</w:t>
      </w:r>
      <w:r w:rsidR="001C3060">
        <w:rPr>
          <w:rFonts w:cs="Arial"/>
          <w:sz w:val="18"/>
          <w:szCs w:val="18"/>
        </w:rPr>
        <w:t>1</w:t>
      </w:r>
      <w:r w:rsidRPr="00EB58D4">
        <w:rPr>
          <w:rFonts w:cs="Arial"/>
          <w:sz w:val="18"/>
          <w:szCs w:val="18"/>
        </w:rPr>
        <w:t xml:space="preserve">) of Schedule 1 to the </w:t>
      </w:r>
      <w:r w:rsidRPr="00EB58D4">
        <w:rPr>
          <w:rFonts w:cs="Arial"/>
          <w:i/>
          <w:iCs/>
          <w:sz w:val="18"/>
          <w:szCs w:val="18"/>
        </w:rPr>
        <w:t>Taxation Admin</w:t>
      </w:r>
      <w:r w:rsidR="00162794" w:rsidRPr="00EB58D4">
        <w:rPr>
          <w:rFonts w:cs="Arial"/>
          <w:i/>
          <w:iCs/>
          <w:sz w:val="18"/>
          <w:szCs w:val="18"/>
        </w:rPr>
        <w:t>i</w:t>
      </w:r>
      <w:r w:rsidRPr="00EB58D4">
        <w:rPr>
          <w:rFonts w:cs="Arial"/>
          <w:i/>
          <w:iCs/>
          <w:sz w:val="18"/>
          <w:szCs w:val="18"/>
        </w:rPr>
        <w:t>stration Act 1953</w:t>
      </w:r>
      <w:r w:rsidRPr="00EB58D4">
        <w:rPr>
          <w:rFonts w:cs="Arial"/>
          <w:sz w:val="18"/>
          <w:szCs w:val="18"/>
        </w:rPr>
        <w:t xml:space="preserve"> of the withdrawal of the following public ruling, copies of which can be obtained from </w:t>
      </w:r>
      <w:r w:rsidR="008D2AB9" w:rsidRPr="00D4626D">
        <w:rPr>
          <w:rFonts w:cs="Arial"/>
          <w:sz w:val="18"/>
          <w:szCs w:val="18"/>
        </w:rPr>
        <w:t>ato.gov.au/law</w:t>
      </w:r>
    </w:p>
    <w:p w14:paraId="21869EB1" w14:textId="77777777" w:rsidR="00AE1163" w:rsidRPr="00EB58D4" w:rsidRDefault="00AE1163" w:rsidP="00D61839">
      <w:pPr>
        <w:rPr>
          <w:rFonts w:cs="Arial"/>
          <w:sz w:val="18"/>
          <w:szCs w:val="18"/>
        </w:rPr>
      </w:pPr>
    </w:p>
    <w:p w14:paraId="36FBC308" w14:textId="77777777" w:rsidR="00874399" w:rsidRPr="00EB58D4" w:rsidRDefault="00874399"/>
    <w:tbl>
      <w:tblPr>
        <w:tblW w:w="9923" w:type="dxa"/>
        <w:tblLayout w:type="fixed"/>
        <w:tblLook w:val="0000" w:firstRow="0" w:lastRow="0" w:firstColumn="0" w:lastColumn="0" w:noHBand="0" w:noVBand="0"/>
      </w:tblPr>
      <w:tblGrid>
        <w:gridCol w:w="1984"/>
        <w:gridCol w:w="3686"/>
        <w:gridCol w:w="4253"/>
      </w:tblGrid>
      <w:tr w:rsidR="008D0A06" w:rsidRPr="00EB58D4" w14:paraId="74124813" w14:textId="77777777" w:rsidTr="00B4789B">
        <w:tc>
          <w:tcPr>
            <w:tcW w:w="9923" w:type="dxa"/>
            <w:gridSpan w:val="3"/>
            <w:tcBorders>
              <w:top w:val="single" w:sz="6" w:space="0" w:color="auto"/>
              <w:left w:val="single" w:sz="6" w:space="0" w:color="auto"/>
              <w:bottom w:val="single" w:sz="6" w:space="0" w:color="auto"/>
              <w:right w:val="single" w:sz="6" w:space="0" w:color="auto"/>
            </w:tcBorders>
          </w:tcPr>
          <w:p w14:paraId="66D42813" w14:textId="7A4CA5BC" w:rsidR="008D0A06" w:rsidRPr="009A497A" w:rsidRDefault="008D0A06" w:rsidP="009A497A">
            <w:pPr>
              <w:pStyle w:val="Heading3"/>
              <w:keepLines/>
              <w:spacing w:before="60"/>
              <w:jc w:val="center"/>
              <w:rPr>
                <w:sz w:val="20"/>
                <w:szCs w:val="20"/>
              </w:rPr>
            </w:pPr>
            <w:r w:rsidRPr="009A497A">
              <w:rPr>
                <w:sz w:val="20"/>
                <w:szCs w:val="20"/>
              </w:rPr>
              <w:t>NOTICE OF WITHDRAWAL</w:t>
            </w:r>
          </w:p>
        </w:tc>
      </w:tr>
      <w:tr w:rsidR="008D0A06" w:rsidRPr="00851F51" w14:paraId="5B71555E" w14:textId="77777777" w:rsidTr="00B4789B">
        <w:tc>
          <w:tcPr>
            <w:tcW w:w="1984" w:type="dxa"/>
            <w:tcBorders>
              <w:top w:val="single" w:sz="6" w:space="0" w:color="auto"/>
              <w:left w:val="single" w:sz="6" w:space="0" w:color="auto"/>
              <w:bottom w:val="single" w:sz="6" w:space="0" w:color="auto"/>
              <w:right w:val="single" w:sz="6" w:space="0" w:color="auto"/>
            </w:tcBorders>
            <w:vAlign w:val="center"/>
          </w:tcPr>
          <w:p w14:paraId="7C6405AC" w14:textId="77777777" w:rsidR="008D0A06" w:rsidRPr="009A497A" w:rsidRDefault="004242FC" w:rsidP="009A497A">
            <w:pPr>
              <w:pStyle w:val="Heading3"/>
              <w:keepLines/>
              <w:spacing w:before="60"/>
              <w:jc w:val="center"/>
              <w:rPr>
                <w:sz w:val="20"/>
                <w:szCs w:val="20"/>
              </w:rPr>
            </w:pPr>
            <w:r w:rsidRPr="009A497A">
              <w:rPr>
                <w:sz w:val="20"/>
                <w:szCs w:val="20"/>
              </w:rPr>
              <w:t>Ruling n</w:t>
            </w:r>
            <w:r w:rsidR="008D0A06" w:rsidRPr="009A497A">
              <w:rPr>
                <w:sz w:val="20"/>
                <w:szCs w:val="20"/>
              </w:rPr>
              <w:t>umber</w:t>
            </w:r>
          </w:p>
        </w:tc>
        <w:tc>
          <w:tcPr>
            <w:tcW w:w="3686" w:type="dxa"/>
            <w:tcBorders>
              <w:top w:val="single" w:sz="6" w:space="0" w:color="auto"/>
              <w:left w:val="single" w:sz="6" w:space="0" w:color="auto"/>
              <w:bottom w:val="single" w:sz="6" w:space="0" w:color="auto"/>
              <w:right w:val="single" w:sz="6" w:space="0" w:color="auto"/>
            </w:tcBorders>
            <w:vAlign w:val="center"/>
          </w:tcPr>
          <w:p w14:paraId="243A9298" w14:textId="77777777" w:rsidR="008D0A06" w:rsidRPr="009A497A" w:rsidRDefault="008D0A06" w:rsidP="009A497A">
            <w:pPr>
              <w:pStyle w:val="Heading3"/>
              <w:keepLines/>
              <w:spacing w:before="60"/>
              <w:jc w:val="center"/>
              <w:rPr>
                <w:sz w:val="20"/>
                <w:szCs w:val="20"/>
              </w:rPr>
            </w:pPr>
            <w:r w:rsidRPr="009A497A">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14:paraId="7616957A" w14:textId="77777777" w:rsidR="008D0A06" w:rsidRPr="009A497A" w:rsidRDefault="004242FC" w:rsidP="009A497A">
            <w:pPr>
              <w:pStyle w:val="Heading3"/>
              <w:keepLines/>
              <w:spacing w:before="60"/>
              <w:jc w:val="center"/>
              <w:rPr>
                <w:sz w:val="20"/>
                <w:szCs w:val="20"/>
              </w:rPr>
            </w:pPr>
            <w:r w:rsidRPr="009A497A">
              <w:rPr>
                <w:sz w:val="20"/>
                <w:szCs w:val="20"/>
              </w:rPr>
              <w:t>Brief d</w:t>
            </w:r>
            <w:r w:rsidR="008D0A06" w:rsidRPr="009A497A">
              <w:rPr>
                <w:sz w:val="20"/>
                <w:szCs w:val="20"/>
              </w:rPr>
              <w:t>escription</w:t>
            </w:r>
          </w:p>
        </w:tc>
      </w:tr>
      <w:tr w:rsidR="00F278A7" w:rsidRPr="00C33FB6" w14:paraId="7CB6B13D" w14:textId="77777777" w:rsidTr="00B4789B">
        <w:tc>
          <w:tcPr>
            <w:tcW w:w="1984" w:type="dxa"/>
            <w:tcBorders>
              <w:top w:val="single" w:sz="6" w:space="0" w:color="auto"/>
              <w:left w:val="single" w:sz="6" w:space="0" w:color="auto"/>
              <w:bottom w:val="single" w:sz="6" w:space="0" w:color="auto"/>
              <w:right w:val="single" w:sz="6" w:space="0" w:color="auto"/>
            </w:tcBorders>
          </w:tcPr>
          <w:p w14:paraId="25E4CE4B" w14:textId="510A8B36" w:rsidR="00F278A7" w:rsidRPr="009A497A" w:rsidRDefault="009A497A" w:rsidP="009A497A">
            <w:pPr>
              <w:pStyle w:val="Header"/>
              <w:spacing w:before="60" w:after="60"/>
              <w:rPr>
                <w:rFonts w:cs="Arial"/>
                <w:sz w:val="20"/>
                <w:szCs w:val="20"/>
              </w:rPr>
            </w:pPr>
            <w:r w:rsidRPr="009A497A">
              <w:rPr>
                <w:rFonts w:cs="Arial"/>
                <w:sz w:val="20"/>
                <w:szCs w:val="20"/>
              </w:rPr>
              <w:t>TR 2022/1</w:t>
            </w:r>
          </w:p>
        </w:tc>
        <w:tc>
          <w:tcPr>
            <w:tcW w:w="3686" w:type="dxa"/>
            <w:tcBorders>
              <w:top w:val="single" w:sz="6" w:space="0" w:color="auto"/>
              <w:left w:val="single" w:sz="6" w:space="0" w:color="auto"/>
              <w:bottom w:val="single" w:sz="6" w:space="0" w:color="auto"/>
              <w:right w:val="single" w:sz="6" w:space="0" w:color="auto"/>
            </w:tcBorders>
          </w:tcPr>
          <w:p w14:paraId="55CAD03D" w14:textId="2E27028B" w:rsidR="00F278A7" w:rsidRPr="009A497A" w:rsidRDefault="009A497A" w:rsidP="009A497A">
            <w:pPr>
              <w:pStyle w:val="Header"/>
              <w:spacing w:before="60" w:after="60"/>
              <w:rPr>
                <w:rFonts w:cs="Arial"/>
                <w:sz w:val="20"/>
                <w:szCs w:val="20"/>
              </w:rPr>
            </w:pPr>
            <w:r w:rsidRPr="009A497A">
              <w:rPr>
                <w:rFonts w:cs="Arial"/>
                <w:sz w:val="20"/>
                <w:szCs w:val="20"/>
              </w:rPr>
              <w:t>Income tax: effective life of depreciating assets (applicable from 1 July 2022)</w:t>
            </w:r>
          </w:p>
        </w:tc>
        <w:tc>
          <w:tcPr>
            <w:tcW w:w="4253" w:type="dxa"/>
            <w:tcBorders>
              <w:top w:val="single" w:sz="6" w:space="0" w:color="auto"/>
              <w:left w:val="single" w:sz="6" w:space="0" w:color="auto"/>
              <w:bottom w:val="single" w:sz="6" w:space="0" w:color="auto"/>
              <w:right w:val="single" w:sz="6" w:space="0" w:color="auto"/>
            </w:tcBorders>
          </w:tcPr>
          <w:p w14:paraId="093D8DA7" w14:textId="2F451A0C" w:rsidR="009A497A" w:rsidRPr="009A497A" w:rsidRDefault="009A497A" w:rsidP="009A497A">
            <w:pPr>
              <w:spacing w:before="60" w:after="60"/>
              <w:rPr>
                <w:rFonts w:cs="Arial"/>
                <w:sz w:val="20"/>
                <w:szCs w:val="20"/>
              </w:rPr>
            </w:pPr>
            <w:r w:rsidRPr="009A497A">
              <w:rPr>
                <w:rFonts w:cs="Arial"/>
                <w:sz w:val="20"/>
                <w:szCs w:val="20"/>
              </w:rPr>
              <w:t xml:space="preserve">Taxation Ruling TR 2022/1 is withdrawn with effect from </w:t>
            </w:r>
            <w:r w:rsidR="00C61305">
              <w:rPr>
                <w:rFonts w:cs="Arial"/>
                <w:sz w:val="20"/>
                <w:szCs w:val="20"/>
              </w:rPr>
              <w:t>31 October</w:t>
            </w:r>
            <w:r w:rsidRPr="009A497A">
              <w:rPr>
                <w:rFonts w:cs="Arial"/>
                <w:sz w:val="20"/>
                <w:szCs w:val="20"/>
              </w:rPr>
              <w:t xml:space="preserve"> 2025.</w:t>
            </w:r>
          </w:p>
          <w:p w14:paraId="60A38874" w14:textId="73239432" w:rsidR="009A497A" w:rsidRPr="009A497A" w:rsidRDefault="009A497A" w:rsidP="009A497A">
            <w:pPr>
              <w:pStyle w:val="Numberedpara"/>
              <w:numPr>
                <w:ilvl w:val="0"/>
                <w:numId w:val="0"/>
              </w:numPr>
              <w:spacing w:before="60" w:after="60"/>
              <w:rPr>
                <w:sz w:val="20"/>
                <w:szCs w:val="20"/>
              </w:rPr>
            </w:pPr>
          </w:p>
        </w:tc>
      </w:tr>
    </w:tbl>
    <w:p w14:paraId="340251D0" w14:textId="77777777" w:rsidR="00FA0A9F" w:rsidRPr="008D0A06" w:rsidRDefault="00FA0A9F" w:rsidP="008D0A06">
      <w:pPr>
        <w:spacing w:after="60"/>
        <w:rPr>
          <w:sz w:val="18"/>
          <w:szCs w:val="18"/>
        </w:rPr>
      </w:pPr>
    </w:p>
    <w:sectPr w:rsidR="00FA0A9F" w:rsidRPr="008D0A06"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8187C" w14:textId="77777777" w:rsidR="00114CB2" w:rsidRDefault="00114CB2" w:rsidP="003A707F">
      <w:pPr>
        <w:spacing w:after="0"/>
      </w:pPr>
      <w:r>
        <w:separator/>
      </w:r>
    </w:p>
  </w:endnote>
  <w:endnote w:type="continuationSeparator" w:id="0">
    <w:p w14:paraId="1DA9CA9C" w14:textId="77777777" w:rsidR="00114CB2" w:rsidRDefault="00114CB2" w:rsidP="003A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FAEB" w14:textId="77777777" w:rsidR="005E6A30" w:rsidRDefault="005E6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1593" w14:textId="77777777" w:rsidR="005E6A30" w:rsidRDefault="005E6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C81D" w14:textId="77777777" w:rsidR="005E6A30" w:rsidRDefault="005E6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0912B" w14:textId="77777777" w:rsidR="00114CB2" w:rsidRDefault="00114CB2" w:rsidP="003A707F">
      <w:pPr>
        <w:spacing w:after="0"/>
      </w:pPr>
      <w:r>
        <w:separator/>
      </w:r>
    </w:p>
  </w:footnote>
  <w:footnote w:type="continuationSeparator" w:id="0">
    <w:p w14:paraId="77115E5F" w14:textId="77777777" w:rsidR="00114CB2" w:rsidRDefault="00114CB2" w:rsidP="003A70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B2E8" w14:textId="77777777" w:rsidR="005E6A30" w:rsidRDefault="005E6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0893" w14:textId="77777777" w:rsidR="005E6A30" w:rsidRDefault="005E6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AA3" w14:textId="77777777" w:rsidR="00114CB2" w:rsidRPr="003A707F" w:rsidRDefault="00114CB2" w:rsidP="00F40885">
    <w:pPr>
      <w:pStyle w:val="Header"/>
      <w:rPr>
        <w:sz w:val="2"/>
        <w:szCs w:val="2"/>
      </w:rPr>
    </w:pPr>
  </w:p>
  <w:p w14:paraId="6B6CD8FB" w14:textId="77777777" w:rsidR="00114CB2" w:rsidRPr="00F40885" w:rsidRDefault="00114CB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E2E94"/>
    <w:multiLevelType w:val="hybridMultilevel"/>
    <w:tmpl w:val="C9A8F0A0"/>
    <w:lvl w:ilvl="0" w:tplc="C78AA61A">
      <w:start w:val="1"/>
      <w:numFmt w:val="decimal"/>
      <w:pStyle w:val="Numberedpara"/>
      <w:lvlText w:val="%1."/>
      <w:lvlJc w:val="left"/>
      <w:pPr>
        <w:tabs>
          <w:tab w:val="num" w:pos="720"/>
        </w:tabs>
        <w:ind w:left="720" w:hanging="360"/>
      </w:pPr>
      <w:rPr>
        <w:rFonts w:ascii="Arial" w:hAnsi="Arial" w:cs="Arial" w:hint="default"/>
        <w:b w:val="0"/>
        <w:bCs/>
        <w:i w:val="0"/>
        <w:color w:val="auto"/>
        <w:sz w:val="22"/>
        <w:szCs w:val="22"/>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1580943143">
    <w:abstractNumId w:val="1"/>
  </w:num>
  <w:num w:numId="2" w16cid:durableId="131761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ocumentProtection w:edit="forms"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07360"/>
    <w:rsid w:val="00084784"/>
    <w:rsid w:val="000970F2"/>
    <w:rsid w:val="000E1F2B"/>
    <w:rsid w:val="00105CCA"/>
    <w:rsid w:val="00114CB2"/>
    <w:rsid w:val="00141103"/>
    <w:rsid w:val="00141674"/>
    <w:rsid w:val="00151647"/>
    <w:rsid w:val="00160BA0"/>
    <w:rsid w:val="00162794"/>
    <w:rsid w:val="00171690"/>
    <w:rsid w:val="00174BD4"/>
    <w:rsid w:val="00180A9A"/>
    <w:rsid w:val="001A3BA1"/>
    <w:rsid w:val="001C2725"/>
    <w:rsid w:val="001C2AAD"/>
    <w:rsid w:val="001C3060"/>
    <w:rsid w:val="001F6E54"/>
    <w:rsid w:val="00237961"/>
    <w:rsid w:val="00247F6C"/>
    <w:rsid w:val="00280BCD"/>
    <w:rsid w:val="002C0CCE"/>
    <w:rsid w:val="002D493C"/>
    <w:rsid w:val="002E1A8C"/>
    <w:rsid w:val="002F3FFB"/>
    <w:rsid w:val="0036599C"/>
    <w:rsid w:val="00372678"/>
    <w:rsid w:val="0039702D"/>
    <w:rsid w:val="003A707F"/>
    <w:rsid w:val="003B0EC1"/>
    <w:rsid w:val="003B573B"/>
    <w:rsid w:val="003D05C0"/>
    <w:rsid w:val="003D34CB"/>
    <w:rsid w:val="003F2CBD"/>
    <w:rsid w:val="004242FC"/>
    <w:rsid w:val="00424B97"/>
    <w:rsid w:val="00456620"/>
    <w:rsid w:val="004B2753"/>
    <w:rsid w:val="004C502D"/>
    <w:rsid w:val="004C5A5D"/>
    <w:rsid w:val="004E56BF"/>
    <w:rsid w:val="00520873"/>
    <w:rsid w:val="005645AF"/>
    <w:rsid w:val="00573D44"/>
    <w:rsid w:val="00584C92"/>
    <w:rsid w:val="005C6E7E"/>
    <w:rsid w:val="005D7EFC"/>
    <w:rsid w:val="005E6A30"/>
    <w:rsid w:val="005E7AE5"/>
    <w:rsid w:val="00616661"/>
    <w:rsid w:val="00636F01"/>
    <w:rsid w:val="006B1A9D"/>
    <w:rsid w:val="006B38CC"/>
    <w:rsid w:val="006C6E52"/>
    <w:rsid w:val="006E745A"/>
    <w:rsid w:val="00735017"/>
    <w:rsid w:val="0074090E"/>
    <w:rsid w:val="00750365"/>
    <w:rsid w:val="00773255"/>
    <w:rsid w:val="007C490F"/>
    <w:rsid w:val="007D3DD1"/>
    <w:rsid w:val="007E2CA6"/>
    <w:rsid w:val="007F191A"/>
    <w:rsid w:val="008049FE"/>
    <w:rsid w:val="00827D16"/>
    <w:rsid w:val="00840A06"/>
    <w:rsid w:val="008439B7"/>
    <w:rsid w:val="008467D1"/>
    <w:rsid w:val="00851F51"/>
    <w:rsid w:val="008639C6"/>
    <w:rsid w:val="0087253F"/>
    <w:rsid w:val="00874074"/>
    <w:rsid w:val="00874399"/>
    <w:rsid w:val="008A25CE"/>
    <w:rsid w:val="008C0B69"/>
    <w:rsid w:val="008D0A06"/>
    <w:rsid w:val="008D17C9"/>
    <w:rsid w:val="008D2AB9"/>
    <w:rsid w:val="008D30A5"/>
    <w:rsid w:val="008E4F6C"/>
    <w:rsid w:val="00930E40"/>
    <w:rsid w:val="0094219E"/>
    <w:rsid w:val="00943B8D"/>
    <w:rsid w:val="009539C7"/>
    <w:rsid w:val="0095650D"/>
    <w:rsid w:val="009641EC"/>
    <w:rsid w:val="009A497A"/>
    <w:rsid w:val="009D1CB0"/>
    <w:rsid w:val="009F72D9"/>
    <w:rsid w:val="00A00F21"/>
    <w:rsid w:val="00A045B8"/>
    <w:rsid w:val="00A41F5C"/>
    <w:rsid w:val="00A60CE8"/>
    <w:rsid w:val="00A83BCC"/>
    <w:rsid w:val="00A85D11"/>
    <w:rsid w:val="00AD0943"/>
    <w:rsid w:val="00AE1163"/>
    <w:rsid w:val="00B04E06"/>
    <w:rsid w:val="00B37626"/>
    <w:rsid w:val="00B37D13"/>
    <w:rsid w:val="00B4706B"/>
    <w:rsid w:val="00B4789B"/>
    <w:rsid w:val="00B6495D"/>
    <w:rsid w:val="00B84226"/>
    <w:rsid w:val="00BB405E"/>
    <w:rsid w:val="00BB4D13"/>
    <w:rsid w:val="00BC3F4D"/>
    <w:rsid w:val="00BE2C61"/>
    <w:rsid w:val="00BF2DF1"/>
    <w:rsid w:val="00C33FB6"/>
    <w:rsid w:val="00C51D3C"/>
    <w:rsid w:val="00C61305"/>
    <w:rsid w:val="00C63C4E"/>
    <w:rsid w:val="00CF7558"/>
    <w:rsid w:val="00D4639E"/>
    <w:rsid w:val="00D61839"/>
    <w:rsid w:val="00D77A88"/>
    <w:rsid w:val="00DC142B"/>
    <w:rsid w:val="00E4496C"/>
    <w:rsid w:val="00E6384F"/>
    <w:rsid w:val="00E823AE"/>
    <w:rsid w:val="00EB3C1D"/>
    <w:rsid w:val="00EB58D4"/>
    <w:rsid w:val="00ED2E52"/>
    <w:rsid w:val="00F232E7"/>
    <w:rsid w:val="00F278A7"/>
    <w:rsid w:val="00F40885"/>
    <w:rsid w:val="00F44FF5"/>
    <w:rsid w:val="00F831F5"/>
    <w:rsid w:val="00FA0A9F"/>
    <w:rsid w:val="00FB199F"/>
    <w:rsid w:val="00FF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06AC0731"/>
  <w15:docId w15:val="{6A0526B9-403D-4ED8-B019-B329228A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06"/>
    <w:pPr>
      <w:spacing w:after="120"/>
    </w:pPr>
    <w:rPr>
      <w:rFonts w:ascii="Arial" w:hAnsi="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rFonts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 w:type="character" w:styleId="CommentReference">
    <w:name w:val="annotation reference"/>
    <w:basedOn w:val="DefaultParagraphFont"/>
    <w:uiPriority w:val="99"/>
    <w:semiHidden/>
    <w:unhideWhenUsed/>
    <w:rsid w:val="00BE2C61"/>
    <w:rPr>
      <w:sz w:val="16"/>
      <w:szCs w:val="16"/>
    </w:rPr>
  </w:style>
  <w:style w:type="paragraph" w:styleId="CommentText">
    <w:name w:val="annotation text"/>
    <w:basedOn w:val="Normal"/>
    <w:link w:val="CommentTextChar"/>
    <w:uiPriority w:val="99"/>
    <w:unhideWhenUsed/>
    <w:rsid w:val="00BE2C61"/>
    <w:rPr>
      <w:sz w:val="20"/>
      <w:szCs w:val="20"/>
    </w:rPr>
  </w:style>
  <w:style w:type="character" w:customStyle="1" w:styleId="CommentTextChar">
    <w:name w:val="Comment Text Char"/>
    <w:basedOn w:val="DefaultParagraphFont"/>
    <w:link w:val="CommentText"/>
    <w:uiPriority w:val="99"/>
    <w:rsid w:val="00BE2C61"/>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BE2C61"/>
    <w:rPr>
      <w:b/>
      <w:bCs/>
    </w:rPr>
  </w:style>
  <w:style w:type="character" w:customStyle="1" w:styleId="CommentSubjectChar">
    <w:name w:val="Comment Subject Char"/>
    <w:basedOn w:val="CommentTextChar"/>
    <w:link w:val="CommentSubject"/>
    <w:uiPriority w:val="99"/>
    <w:semiHidden/>
    <w:rsid w:val="00BE2C61"/>
    <w:rPr>
      <w:rFonts w:ascii="Arial" w:hAnsi="Arial"/>
      <w:b/>
      <w:bCs/>
      <w:sz w:val="20"/>
      <w:szCs w:val="20"/>
      <w:lang w:eastAsia="en-US"/>
    </w:rPr>
  </w:style>
  <w:style w:type="character" w:styleId="FollowedHyperlink">
    <w:name w:val="FollowedHyperlink"/>
    <w:basedOn w:val="DefaultParagraphFont"/>
    <w:uiPriority w:val="99"/>
    <w:semiHidden/>
    <w:unhideWhenUsed/>
    <w:rsid w:val="009D1CB0"/>
    <w:rPr>
      <w:color w:val="800080" w:themeColor="followedHyperlink"/>
      <w:u w:val="single"/>
    </w:rPr>
  </w:style>
  <w:style w:type="paragraph" w:customStyle="1" w:styleId="Numberedpara">
    <w:name w:val="Numbered para"/>
    <w:basedOn w:val="Normal"/>
    <w:qFormat/>
    <w:rsid w:val="009A497A"/>
    <w:pPr>
      <w:numPr>
        <w:numId w:val="2"/>
      </w:numPr>
      <w:tabs>
        <w:tab w:val="clear" w:pos="720"/>
        <w:tab w:val="left" w:pos="709"/>
      </w:tabs>
      <w:ind w:left="0" w:firstLine="0"/>
    </w:pPr>
    <w:rPr>
      <w:rFonts w:eastAsia="Times New Roman" w:cs="Arial"/>
      <w:bCs/>
      <w:lang w:eastAsia="en-AU"/>
    </w:rPr>
  </w:style>
  <w:style w:type="character" w:customStyle="1" w:styleId="cf01">
    <w:name w:val="cf01"/>
    <w:basedOn w:val="DefaultParagraphFont"/>
    <w:rsid w:val="009A497A"/>
    <w:rPr>
      <w:rFonts w:ascii="Segoe UI" w:hAnsi="Segoe UI" w:cs="Segoe UI" w:hint="default"/>
      <w:sz w:val="18"/>
      <w:szCs w:val="18"/>
    </w:rPr>
  </w:style>
  <w:style w:type="paragraph" w:styleId="Revision">
    <w:name w:val="Revision"/>
    <w:hidden/>
    <w:uiPriority w:val="99"/>
    <w:semiHidden/>
    <w:rsid w:val="005E6A30"/>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39506">
      <w:bodyDiv w:val="1"/>
      <w:marLeft w:val="0"/>
      <w:marRight w:val="0"/>
      <w:marTop w:val="0"/>
      <w:marBottom w:val="0"/>
      <w:divBdr>
        <w:top w:val="none" w:sz="0" w:space="0" w:color="auto"/>
        <w:left w:val="none" w:sz="0" w:space="0" w:color="auto"/>
        <w:bottom w:val="none" w:sz="0" w:space="0" w:color="auto"/>
        <w:right w:val="none" w:sz="0" w:space="0" w:color="auto"/>
      </w:divBdr>
    </w:div>
    <w:div w:id="522474549">
      <w:bodyDiv w:val="1"/>
      <w:marLeft w:val="0"/>
      <w:marRight w:val="0"/>
      <w:marTop w:val="0"/>
      <w:marBottom w:val="0"/>
      <w:divBdr>
        <w:top w:val="none" w:sz="0" w:space="0" w:color="auto"/>
        <w:left w:val="none" w:sz="0" w:space="0" w:color="auto"/>
        <w:bottom w:val="none" w:sz="0" w:space="0" w:color="auto"/>
        <w:right w:val="none" w:sz="0" w:space="0" w:color="auto"/>
      </w:divBdr>
    </w:div>
    <w:div w:id="759521024">
      <w:bodyDiv w:val="1"/>
      <w:marLeft w:val="0"/>
      <w:marRight w:val="0"/>
      <w:marTop w:val="0"/>
      <w:marBottom w:val="0"/>
      <w:divBdr>
        <w:top w:val="none" w:sz="0" w:space="0" w:color="auto"/>
        <w:left w:val="none" w:sz="0" w:space="0" w:color="auto"/>
        <w:bottom w:val="none" w:sz="0" w:space="0" w:color="auto"/>
        <w:right w:val="none" w:sz="0" w:space="0" w:color="auto"/>
      </w:divBdr>
    </w:div>
    <w:div w:id="973369356">
      <w:bodyDiv w:val="1"/>
      <w:marLeft w:val="0"/>
      <w:marRight w:val="0"/>
      <w:marTop w:val="0"/>
      <w:marBottom w:val="0"/>
      <w:divBdr>
        <w:top w:val="none" w:sz="0" w:space="0" w:color="auto"/>
        <w:left w:val="none" w:sz="0" w:space="0" w:color="auto"/>
        <w:bottom w:val="none" w:sz="0" w:space="0" w:color="auto"/>
        <w:right w:val="none" w:sz="0" w:space="0" w:color="auto"/>
      </w:divBdr>
    </w:div>
    <w:div w:id="1327780788">
      <w:bodyDiv w:val="1"/>
      <w:marLeft w:val="0"/>
      <w:marRight w:val="0"/>
      <w:marTop w:val="0"/>
      <w:marBottom w:val="0"/>
      <w:divBdr>
        <w:top w:val="none" w:sz="0" w:space="0" w:color="auto"/>
        <w:left w:val="none" w:sz="0" w:space="0" w:color="auto"/>
        <w:bottom w:val="none" w:sz="0" w:space="0" w:color="auto"/>
        <w:right w:val="none" w:sz="0" w:space="0" w:color="auto"/>
      </w:divBdr>
    </w:div>
    <w:div w:id="1499226494">
      <w:bodyDiv w:val="1"/>
      <w:marLeft w:val="0"/>
      <w:marRight w:val="0"/>
      <w:marTop w:val="0"/>
      <w:marBottom w:val="0"/>
      <w:divBdr>
        <w:top w:val="none" w:sz="0" w:space="0" w:color="auto"/>
        <w:left w:val="none" w:sz="0" w:space="0" w:color="auto"/>
        <w:bottom w:val="none" w:sz="0" w:space="0" w:color="auto"/>
        <w:right w:val="none" w:sz="0" w:space="0" w:color="auto"/>
      </w:divBdr>
    </w:div>
    <w:div w:id="1507672094">
      <w:bodyDiv w:val="1"/>
      <w:marLeft w:val="0"/>
      <w:marRight w:val="0"/>
      <w:marTop w:val="0"/>
      <w:marBottom w:val="0"/>
      <w:divBdr>
        <w:top w:val="none" w:sz="0" w:space="0" w:color="auto"/>
        <w:left w:val="none" w:sz="0" w:space="0" w:color="auto"/>
        <w:bottom w:val="none" w:sz="0" w:space="0" w:color="auto"/>
        <w:right w:val="none" w:sz="0" w:space="0" w:color="auto"/>
      </w:divBdr>
    </w:div>
    <w:div w:id="1955020270">
      <w:bodyDiv w:val="1"/>
      <w:marLeft w:val="0"/>
      <w:marRight w:val="0"/>
      <w:marTop w:val="0"/>
      <w:marBottom w:val="0"/>
      <w:divBdr>
        <w:top w:val="none" w:sz="0" w:space="0" w:color="auto"/>
        <w:left w:val="none" w:sz="0" w:space="0" w:color="auto"/>
        <w:bottom w:val="none" w:sz="0" w:space="0" w:color="auto"/>
        <w:right w:val="none" w:sz="0" w:space="0" w:color="auto"/>
      </w:divBdr>
    </w:div>
    <w:div w:id="201110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E138-2C00-4357-B25A-463475C0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Del Mortyne</cp:lastModifiedBy>
  <cp:revision>6</cp:revision>
  <cp:lastPrinted>2013-06-24T01:35:00Z</cp:lastPrinted>
  <dcterms:created xsi:type="dcterms:W3CDTF">2025-09-15T02:34:00Z</dcterms:created>
  <dcterms:modified xsi:type="dcterms:W3CDTF">2025-10-28T02:01:00Z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f77f88-0a92-4c4a-b92a-f7fdfe5127c7_Enabled">
    <vt:lpwstr>true</vt:lpwstr>
  </property>
  <property fmtid="{D5CDD505-2E9C-101B-9397-08002B2CF9AE}" pid="3" name="MSIP_Label_1ff77f88-0a92-4c4a-b92a-f7fdfe5127c7_SetDate">
    <vt:lpwstr>2025-06-26T23:09:21Z</vt:lpwstr>
  </property>
  <property fmtid="{D5CDD505-2E9C-101B-9397-08002B2CF9AE}" pid="4" name="MSIP_Label_1ff77f88-0a92-4c4a-b92a-f7fdfe5127c7_Method">
    <vt:lpwstr>Privileged</vt:lpwstr>
  </property>
  <property fmtid="{D5CDD505-2E9C-101B-9397-08002B2CF9AE}" pid="5" name="MSIP_Label_1ff77f88-0a92-4c4a-b92a-f7fdfe5127c7_Name">
    <vt:lpwstr>OFFICIAL - Letterhead</vt:lpwstr>
  </property>
  <property fmtid="{D5CDD505-2E9C-101B-9397-08002B2CF9AE}" pid="6" name="MSIP_Label_1ff77f88-0a92-4c4a-b92a-f7fdfe5127c7_SiteId">
    <vt:lpwstr>8e823e99-cbcb-430f-a0f6-af1365c21e22</vt:lpwstr>
  </property>
  <property fmtid="{D5CDD505-2E9C-101B-9397-08002B2CF9AE}" pid="7" name="MSIP_Label_1ff77f88-0a92-4c4a-b92a-f7fdfe5127c7_ActionId">
    <vt:lpwstr>42fb9bdc-4cd0-4713-8571-5d887e1d9efb</vt:lpwstr>
  </property>
  <property fmtid="{D5CDD505-2E9C-101B-9397-08002B2CF9AE}" pid="8" name="MSIP_Label_1ff77f88-0a92-4c4a-b92a-f7fdfe5127c7_ContentBits">
    <vt:lpwstr>0</vt:lpwstr>
  </property>
  <property fmtid="{D5CDD505-2E9C-101B-9397-08002B2CF9AE}" pid="9" name="IsABRSLetter">
    <vt:bool>false</vt:bool>
  </property>
</Properties>
</file>