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8F11E" w14:textId="77777777" w:rsidR="0054669E" w:rsidRPr="001276CB" w:rsidRDefault="0054669E" w:rsidP="0054669E">
      <w:pPr>
        <w:jc w:val="center"/>
        <w:rPr>
          <w:b/>
        </w:rPr>
      </w:pPr>
      <w:r w:rsidRPr="001276CB">
        <w:rPr>
          <w:b/>
        </w:rPr>
        <w:t>AUSTRALIAN GOVERNMENT</w:t>
      </w:r>
    </w:p>
    <w:p w14:paraId="5126E25D" w14:textId="3C7B789E" w:rsidR="0054669E" w:rsidRPr="001276CB" w:rsidRDefault="0054669E" w:rsidP="0054669E">
      <w:pPr>
        <w:spacing w:line="240" w:lineRule="auto"/>
        <w:jc w:val="center"/>
        <w:rPr>
          <w:b/>
        </w:rPr>
      </w:pPr>
      <w:r w:rsidRPr="001276CB">
        <w:rPr>
          <w:b/>
        </w:rPr>
        <w:t>DEPARTMENT OF HEALTH</w:t>
      </w:r>
      <w:r w:rsidR="00A56142" w:rsidRPr="001276CB">
        <w:rPr>
          <w:b/>
        </w:rPr>
        <w:t>, DISABILITY</w:t>
      </w:r>
      <w:r w:rsidRPr="001276CB">
        <w:rPr>
          <w:b/>
        </w:rPr>
        <w:t xml:space="preserve"> AND AGE</w:t>
      </w:r>
      <w:r w:rsidR="00A56142" w:rsidRPr="001276CB">
        <w:rPr>
          <w:b/>
        </w:rPr>
        <w:t>ING</w:t>
      </w:r>
    </w:p>
    <w:p w14:paraId="5BC6FB26" w14:textId="77777777" w:rsidR="0054669E" w:rsidRPr="001276CB" w:rsidRDefault="0054669E" w:rsidP="0054669E">
      <w:pPr>
        <w:spacing w:line="240" w:lineRule="auto"/>
        <w:jc w:val="center"/>
        <w:rPr>
          <w:bCs/>
        </w:rPr>
      </w:pPr>
    </w:p>
    <w:p w14:paraId="7B9DDA2F" w14:textId="77777777" w:rsidR="0054669E" w:rsidRPr="001276CB" w:rsidRDefault="0054669E" w:rsidP="0054669E">
      <w:pPr>
        <w:jc w:val="center"/>
        <w:rPr>
          <w:b/>
          <w:i/>
        </w:rPr>
      </w:pPr>
      <w:r w:rsidRPr="001276CB">
        <w:rPr>
          <w:b/>
          <w:i/>
        </w:rPr>
        <w:t>HEALTH INSURANCE ACT 1973</w:t>
      </w:r>
    </w:p>
    <w:p w14:paraId="71C8472A" w14:textId="67CF0EE7" w:rsidR="0054669E" w:rsidRPr="001276CB" w:rsidRDefault="0054669E" w:rsidP="0054669E">
      <w:pPr>
        <w:jc w:val="center"/>
        <w:rPr>
          <w:b/>
          <w:bCs/>
        </w:rPr>
      </w:pPr>
      <w:r w:rsidRPr="001276CB">
        <w:rPr>
          <w:b/>
          <w:bCs/>
        </w:rPr>
        <w:t xml:space="preserve">Health Insurance (Medicare Benefits Payable in Respect of Professional Services – Commonwealth Medicare Urgent Care Clinic Program – New South Wales Urgent Care Services) Direction (No. </w:t>
      </w:r>
      <w:r w:rsidR="00890445" w:rsidRPr="001276CB">
        <w:rPr>
          <w:b/>
          <w:bCs/>
        </w:rPr>
        <w:t>2</w:t>
      </w:r>
      <w:r w:rsidRPr="001276CB">
        <w:rPr>
          <w:b/>
          <w:bCs/>
        </w:rPr>
        <w:t>) 2025</w:t>
      </w:r>
    </w:p>
    <w:p w14:paraId="2B5F0D78" w14:textId="0D7B9507" w:rsidR="0054669E" w:rsidRPr="001276CB" w:rsidRDefault="0054669E" w:rsidP="0054669E">
      <w:pPr>
        <w:spacing w:line="240" w:lineRule="auto"/>
      </w:pPr>
      <w:r w:rsidRPr="001276CB">
        <w:t>I, Nigel Murray, Assistant Secretary, MBS Policy and Specialist Programs Branch, Medicare Benefits and Digital Health Division, Health Resourcing Group, delegate for the Minister for Health and Age</w:t>
      </w:r>
      <w:r w:rsidR="00EB594F" w:rsidRPr="001276CB">
        <w:t>ing</w:t>
      </w:r>
      <w:r w:rsidRPr="001276CB">
        <w:t xml:space="preserve">, acting under subsection 19(2) of the </w:t>
      </w:r>
      <w:r w:rsidRPr="001276CB">
        <w:rPr>
          <w:i/>
          <w:iCs/>
        </w:rPr>
        <w:t>Health Insurance Act 1973</w:t>
      </w:r>
      <w:r w:rsidRPr="001276CB">
        <w:t xml:space="preserve"> (the Act), hereby: </w:t>
      </w:r>
    </w:p>
    <w:p w14:paraId="78948E21" w14:textId="4F26F40F" w:rsidR="0054669E" w:rsidRPr="001276CB" w:rsidRDefault="0054669E" w:rsidP="0054669E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bookmarkStart w:id="0" w:name="_Hlk165444174"/>
      <w:r w:rsidRPr="001276CB">
        <w:t xml:space="preserve">REPEAL the </w:t>
      </w:r>
      <w:r w:rsidR="00890445" w:rsidRPr="001276CB">
        <w:rPr>
          <w:i/>
          <w:iCs/>
        </w:rPr>
        <w:t>Health Insurance (Medicare Benefits Payable in Respect of Professional Services – Commonwealth Medicare Urgent Care Clinic Program – New South Wales Urgent Care Services) Direction (No. 1) 2025</w:t>
      </w:r>
      <w:r w:rsidRPr="001276CB">
        <w:t>; and</w:t>
      </w:r>
      <w:bookmarkEnd w:id="0"/>
    </w:p>
    <w:p w14:paraId="761D8A83" w14:textId="77777777" w:rsidR="0054669E" w:rsidRPr="001276CB" w:rsidRDefault="0054669E" w:rsidP="0054669E">
      <w:pPr>
        <w:pStyle w:val="ListParagraph"/>
        <w:numPr>
          <w:ilvl w:val="0"/>
          <w:numId w:val="3"/>
        </w:numPr>
        <w:spacing w:line="240" w:lineRule="auto"/>
        <w:ind w:left="567" w:hanging="425"/>
        <w:contextualSpacing w:val="0"/>
      </w:pPr>
      <w:r w:rsidRPr="001276CB">
        <w:t>DIRECT that Medicare Benefits shall be payable in respect of:</w:t>
      </w:r>
    </w:p>
    <w:p w14:paraId="6657AD9D" w14:textId="77777777" w:rsidR="0054669E" w:rsidRPr="001276CB" w:rsidRDefault="0054669E" w:rsidP="0054669E">
      <w:pPr>
        <w:pStyle w:val="ListParagraph"/>
        <w:numPr>
          <w:ilvl w:val="0"/>
          <w:numId w:val="1"/>
        </w:numPr>
        <w:spacing w:line="240" w:lineRule="auto"/>
        <w:ind w:left="851" w:hanging="425"/>
        <w:contextualSpacing w:val="0"/>
      </w:pPr>
      <w:r w:rsidRPr="001276CB">
        <w:t>A professional service (as defined in section 3 of the Act) which has been agreed to be provided:</w:t>
      </w:r>
    </w:p>
    <w:p w14:paraId="4CAC3AC6" w14:textId="2B2DBCFB" w:rsidR="0054669E" w:rsidRPr="001276CB" w:rsidRDefault="0054669E" w:rsidP="0054669E">
      <w:pPr>
        <w:pStyle w:val="ListParagraph"/>
        <w:numPr>
          <w:ilvl w:val="1"/>
          <w:numId w:val="1"/>
        </w:numPr>
        <w:spacing w:line="240" w:lineRule="auto"/>
        <w:ind w:left="1276" w:hanging="425"/>
        <w:contextualSpacing w:val="0"/>
      </w:pPr>
      <w:r w:rsidRPr="001276CB">
        <w:t>between the Commonwealth (represented by the Department of Health</w:t>
      </w:r>
      <w:r w:rsidR="000018EB" w:rsidRPr="001276CB">
        <w:t>, Disability</w:t>
      </w:r>
      <w:r w:rsidRPr="001276CB">
        <w:t xml:space="preserve"> and Age</w:t>
      </w:r>
      <w:r w:rsidR="000018EB" w:rsidRPr="001276CB">
        <w:t>ing</w:t>
      </w:r>
      <w:r w:rsidRPr="001276CB">
        <w:t>, ABN: 83 605 426 759) and the State of New South Wales (represented by the New South Wales Department of Health, ABN: 92 697 899 630) by New South Wales Urgent Care Services that have been assessed as meeting the requirements of the Commonwealth Urgent Care Clinic program; and</w:t>
      </w:r>
    </w:p>
    <w:p w14:paraId="06579680" w14:textId="77777777" w:rsidR="0054669E" w:rsidRPr="001276CB" w:rsidRDefault="0054669E" w:rsidP="0054669E">
      <w:pPr>
        <w:pStyle w:val="ListParagraph"/>
        <w:numPr>
          <w:ilvl w:val="1"/>
          <w:numId w:val="1"/>
        </w:numPr>
        <w:spacing w:line="240" w:lineRule="auto"/>
        <w:ind w:left="1276" w:hanging="425"/>
        <w:contextualSpacing w:val="0"/>
      </w:pPr>
      <w:r w:rsidRPr="001276CB">
        <w:t xml:space="preserve">for which items specified in Schedules A, B and C of this Direction and of the </w:t>
      </w:r>
      <w:bookmarkStart w:id="1" w:name="_Hlk167445400"/>
      <w:bookmarkStart w:id="2" w:name="_Hlk167446357"/>
      <w:r w:rsidRPr="001276CB">
        <w:t xml:space="preserve">general medical services table (means the table prescribed under subsection 4(1) of the Act) and pathology service table </w:t>
      </w:r>
      <w:bookmarkStart w:id="3" w:name="_Hlk167445425"/>
      <w:bookmarkEnd w:id="1"/>
      <w:r w:rsidRPr="001276CB">
        <w:t>(means the table prescribed under section 4A of the Act) and diagnostic imaging table (means the table prescribed under 4AA of the Act) relate</w:t>
      </w:r>
      <w:bookmarkEnd w:id="3"/>
      <w:r w:rsidRPr="001276CB">
        <w:t>s</w:t>
      </w:r>
      <w:bookmarkEnd w:id="2"/>
      <w:r w:rsidRPr="001276CB">
        <w:t>; and</w:t>
      </w:r>
    </w:p>
    <w:p w14:paraId="6935546F" w14:textId="77777777" w:rsidR="0054669E" w:rsidRPr="001276CB" w:rsidRDefault="0054669E" w:rsidP="0054669E">
      <w:pPr>
        <w:pStyle w:val="ListParagraph"/>
        <w:numPr>
          <w:ilvl w:val="0"/>
          <w:numId w:val="1"/>
        </w:numPr>
        <w:spacing w:line="240" w:lineRule="auto"/>
        <w:ind w:left="851" w:hanging="425"/>
        <w:contextualSpacing w:val="0"/>
      </w:pPr>
      <w:bookmarkStart w:id="4" w:name="_Hlk167445599"/>
      <w:r w:rsidRPr="001276CB">
        <w:t>Where the professional service is provided to:</w:t>
      </w:r>
    </w:p>
    <w:p w14:paraId="3DF51F69" w14:textId="472BC527" w:rsidR="0054669E" w:rsidRPr="001276CB" w:rsidRDefault="0054669E" w:rsidP="0054669E">
      <w:pPr>
        <w:pStyle w:val="ListParagraph"/>
        <w:numPr>
          <w:ilvl w:val="0"/>
          <w:numId w:val="2"/>
        </w:numPr>
        <w:spacing w:line="240" w:lineRule="auto"/>
        <w:ind w:left="1276" w:hanging="425"/>
        <w:contextualSpacing w:val="0"/>
      </w:pPr>
      <w:r w:rsidRPr="001276CB">
        <w:t>an eligible person (as defined in section 3 of the Act);</w:t>
      </w:r>
      <w:r w:rsidR="008A571E" w:rsidRPr="001276CB">
        <w:t xml:space="preserve"> and</w:t>
      </w:r>
    </w:p>
    <w:p w14:paraId="6E592C41" w14:textId="7570606B" w:rsidR="0054669E" w:rsidRPr="001276CB" w:rsidRDefault="0054669E" w:rsidP="0054669E">
      <w:pPr>
        <w:pStyle w:val="ListParagraph"/>
        <w:numPr>
          <w:ilvl w:val="0"/>
          <w:numId w:val="2"/>
        </w:numPr>
        <w:spacing w:line="240" w:lineRule="auto"/>
        <w:ind w:left="1276" w:hanging="425"/>
        <w:contextualSpacing w:val="0"/>
      </w:pPr>
      <w:r w:rsidRPr="001276CB">
        <w:t>a patient who also is not receiving a service which attracts a payment through</w:t>
      </w:r>
      <w:r w:rsidR="00EB594F" w:rsidRPr="001276CB">
        <w:t xml:space="preserve"> Schedule K of</w:t>
      </w:r>
      <w:r w:rsidRPr="001276CB">
        <w:t xml:space="preserve"> the 2020-2025 Addendum to the National Health Reform Agreement for a service rendered to a public patient; and</w:t>
      </w:r>
    </w:p>
    <w:p w14:paraId="6E03B11F" w14:textId="77777777" w:rsidR="0054669E" w:rsidRPr="001276CB" w:rsidRDefault="0054669E" w:rsidP="0054669E">
      <w:pPr>
        <w:pStyle w:val="ListParagraph"/>
        <w:numPr>
          <w:ilvl w:val="0"/>
          <w:numId w:val="1"/>
        </w:numPr>
        <w:spacing w:line="240" w:lineRule="auto"/>
        <w:ind w:left="851" w:hanging="425"/>
        <w:contextualSpacing w:val="0"/>
      </w:pPr>
      <w:bookmarkStart w:id="5" w:name="_Hlk167444815"/>
      <w:r w:rsidRPr="001276CB">
        <w:t>The professional services referred to in paragraph (2)(a) must be provided:</w:t>
      </w:r>
    </w:p>
    <w:p w14:paraId="1EAEE7AD" w14:textId="77777777" w:rsidR="0054669E" w:rsidRPr="001276CB" w:rsidRDefault="0054669E" w:rsidP="0054669E">
      <w:pPr>
        <w:pStyle w:val="ListParagraph"/>
        <w:numPr>
          <w:ilvl w:val="1"/>
          <w:numId w:val="1"/>
        </w:numPr>
        <w:spacing w:line="240" w:lineRule="auto"/>
        <w:ind w:left="1276" w:hanging="425"/>
        <w:contextualSpacing w:val="0"/>
      </w:pPr>
      <w:r w:rsidRPr="001276CB">
        <w:t>if the service is specified in Schedule A:</w:t>
      </w:r>
    </w:p>
    <w:p w14:paraId="36FAA39A" w14:textId="77777777" w:rsidR="0054669E" w:rsidRPr="001276CB" w:rsidRDefault="0054669E" w:rsidP="0054669E">
      <w:pPr>
        <w:pStyle w:val="ListParagraph"/>
        <w:numPr>
          <w:ilvl w:val="2"/>
          <w:numId w:val="4"/>
        </w:numPr>
        <w:spacing w:line="240" w:lineRule="auto"/>
        <w:ind w:left="1701" w:hanging="425"/>
        <w:contextualSpacing w:val="0"/>
      </w:pPr>
      <w:r w:rsidRPr="001276CB">
        <w:t>at a practice location specified in Schedule D or E of this Direction; and</w:t>
      </w:r>
    </w:p>
    <w:p w14:paraId="486316EC" w14:textId="77777777" w:rsidR="0054669E" w:rsidRPr="001276CB" w:rsidRDefault="0054669E" w:rsidP="0054669E">
      <w:pPr>
        <w:pStyle w:val="ListParagraph"/>
        <w:numPr>
          <w:ilvl w:val="2"/>
          <w:numId w:val="4"/>
        </w:numPr>
        <w:spacing w:line="240" w:lineRule="auto"/>
        <w:ind w:left="1701" w:hanging="425"/>
        <w:contextualSpacing w:val="0"/>
      </w:pPr>
      <w:r w:rsidRPr="001276CB">
        <w:t>by a general practitioner, prescribed medical practitioner or participating nurse practitioner who is registered to provide services with Services Australia under the Commonwealth Urgent Care Clinic program mentioned in paragraph (2)(a).</w:t>
      </w:r>
    </w:p>
    <w:p w14:paraId="1C733C9F" w14:textId="77777777" w:rsidR="0054669E" w:rsidRPr="001276CB" w:rsidRDefault="0054669E" w:rsidP="0054669E">
      <w:pPr>
        <w:pStyle w:val="ListParagraph"/>
        <w:numPr>
          <w:ilvl w:val="1"/>
          <w:numId w:val="1"/>
        </w:numPr>
        <w:spacing w:line="240" w:lineRule="auto"/>
        <w:ind w:left="1276" w:hanging="425"/>
        <w:contextualSpacing w:val="0"/>
      </w:pPr>
      <w:r w:rsidRPr="001276CB">
        <w:lastRenderedPageBreak/>
        <w:t>if the service is specified in Schedule B:</w:t>
      </w:r>
    </w:p>
    <w:p w14:paraId="0BE94DEC" w14:textId="77777777" w:rsidR="0054669E" w:rsidRPr="001276CB" w:rsidRDefault="0054669E" w:rsidP="0054669E">
      <w:pPr>
        <w:pStyle w:val="ListParagraph"/>
        <w:numPr>
          <w:ilvl w:val="2"/>
          <w:numId w:val="5"/>
        </w:numPr>
        <w:spacing w:line="240" w:lineRule="auto"/>
        <w:ind w:left="1701" w:hanging="425"/>
        <w:contextualSpacing w:val="0"/>
      </w:pPr>
      <w:r w:rsidRPr="001276CB">
        <w:t>at a practice location specified in Schedule D of this Direction; and</w:t>
      </w:r>
    </w:p>
    <w:p w14:paraId="105F0604" w14:textId="77777777" w:rsidR="0054669E" w:rsidRPr="001276CB" w:rsidRDefault="0054669E" w:rsidP="0054669E">
      <w:pPr>
        <w:pStyle w:val="ListParagraph"/>
        <w:numPr>
          <w:ilvl w:val="2"/>
          <w:numId w:val="5"/>
        </w:numPr>
        <w:spacing w:line="240" w:lineRule="auto"/>
        <w:ind w:left="1701" w:hanging="425"/>
        <w:contextualSpacing w:val="0"/>
      </w:pPr>
      <w:r w:rsidRPr="001276CB">
        <w:t>by a prescribed medical practitioner who is registered to provide services with Services Australia under the Commonwealth Urgent Care Clinic program mentioned in paragraph (2)(a).</w:t>
      </w:r>
    </w:p>
    <w:p w14:paraId="28769288" w14:textId="77777777" w:rsidR="0054669E" w:rsidRPr="001276CB" w:rsidRDefault="0054669E" w:rsidP="0054669E">
      <w:pPr>
        <w:pStyle w:val="ListParagraph"/>
        <w:numPr>
          <w:ilvl w:val="1"/>
          <w:numId w:val="1"/>
        </w:numPr>
        <w:spacing w:line="240" w:lineRule="auto"/>
        <w:ind w:left="1276" w:hanging="425"/>
        <w:contextualSpacing w:val="0"/>
      </w:pPr>
      <w:r w:rsidRPr="001276CB">
        <w:t>if the service is specified in Schedule C:</w:t>
      </w:r>
    </w:p>
    <w:p w14:paraId="67E04565" w14:textId="77777777" w:rsidR="0054669E" w:rsidRPr="001276CB" w:rsidRDefault="0054669E" w:rsidP="0054669E">
      <w:pPr>
        <w:pStyle w:val="ListParagraph"/>
        <w:numPr>
          <w:ilvl w:val="1"/>
          <w:numId w:val="6"/>
        </w:numPr>
        <w:spacing w:line="240" w:lineRule="auto"/>
        <w:ind w:left="1701" w:hanging="425"/>
        <w:contextualSpacing w:val="0"/>
      </w:pPr>
      <w:r w:rsidRPr="001276CB">
        <w:t>at a practice location specified in Schedule E of this Direction; and</w:t>
      </w:r>
    </w:p>
    <w:p w14:paraId="21D3134D" w14:textId="77777777" w:rsidR="0054669E" w:rsidRPr="001276CB" w:rsidRDefault="0054669E" w:rsidP="0054669E">
      <w:pPr>
        <w:pStyle w:val="ListParagraph"/>
        <w:numPr>
          <w:ilvl w:val="1"/>
          <w:numId w:val="6"/>
        </w:numPr>
        <w:spacing w:line="240" w:lineRule="auto"/>
        <w:ind w:left="1701" w:hanging="425"/>
        <w:contextualSpacing w:val="0"/>
      </w:pPr>
      <w:r w:rsidRPr="001276CB">
        <w:t>by a prescribed medical practitioner who is registered to provide services with Services Australia under the Commonwealth Urgent Care Clinic program mentioned in paragraph (2)(a).</w:t>
      </w:r>
    </w:p>
    <w:bookmarkEnd w:id="4"/>
    <w:bookmarkEnd w:id="5"/>
    <w:p w14:paraId="3998421F" w14:textId="6163DA99" w:rsidR="0054669E" w:rsidRPr="001276CB" w:rsidRDefault="0054669E" w:rsidP="0054669E">
      <w:pPr>
        <w:pStyle w:val="ListParagraph"/>
        <w:numPr>
          <w:ilvl w:val="0"/>
          <w:numId w:val="3"/>
        </w:numPr>
        <w:spacing w:line="240" w:lineRule="auto"/>
        <w:ind w:left="567" w:hanging="425"/>
      </w:pPr>
      <w:r w:rsidRPr="001276CB">
        <w:t xml:space="preserve">DECLARE that this Direction commences </w:t>
      </w:r>
      <w:r w:rsidR="007723E1" w:rsidRPr="001276CB">
        <w:t>from</w:t>
      </w:r>
      <w:r w:rsidRPr="001276CB">
        <w:t xml:space="preserve"> </w:t>
      </w:r>
      <w:r w:rsidR="00FD43D8" w:rsidRPr="001276CB">
        <w:t>1 November 2025</w:t>
      </w:r>
      <w:r w:rsidRPr="001276CB">
        <w:t xml:space="preserve"> and ceases to have effect at the end of 30 June 2026 unless earlier revoked.</w:t>
      </w:r>
    </w:p>
    <w:p w14:paraId="212D6E3D" w14:textId="052E0CF3" w:rsidR="0054669E" w:rsidRPr="001276CB" w:rsidRDefault="0054669E" w:rsidP="0054669E">
      <w:pPr>
        <w:mirrorIndents/>
        <w:rPr>
          <w:sz w:val="20"/>
          <w:szCs w:val="20"/>
        </w:rPr>
      </w:pPr>
      <w:r w:rsidRPr="001276CB">
        <w:rPr>
          <w:sz w:val="20"/>
          <w:szCs w:val="20"/>
        </w:rPr>
        <w:t>Note</w:t>
      </w:r>
      <w:r w:rsidR="008A55CE" w:rsidRPr="001276CB">
        <w:rPr>
          <w:sz w:val="20"/>
          <w:szCs w:val="20"/>
        </w:rPr>
        <w:t xml:space="preserve">: </w:t>
      </w:r>
      <w:proofErr w:type="gramStart"/>
      <w:r w:rsidR="008A55CE" w:rsidRPr="001276CB">
        <w:rPr>
          <w:sz w:val="20"/>
          <w:szCs w:val="20"/>
        </w:rPr>
        <w:t>A</w:t>
      </w:r>
      <w:r w:rsidRPr="001276CB">
        <w:rPr>
          <w:sz w:val="20"/>
          <w:szCs w:val="20"/>
        </w:rPr>
        <w:t xml:space="preserve"> number of</w:t>
      </w:r>
      <w:proofErr w:type="gramEnd"/>
      <w:r w:rsidRPr="001276CB">
        <w:rPr>
          <w:sz w:val="20"/>
          <w:szCs w:val="20"/>
        </w:rPr>
        <w:t xml:space="preserve"> expressions used in this direction are defined in the below instruments:</w:t>
      </w:r>
    </w:p>
    <w:p w14:paraId="66EADEDE" w14:textId="77777777" w:rsidR="0054669E" w:rsidRPr="001276CB" w:rsidRDefault="0054669E" w:rsidP="0054669E">
      <w:pPr>
        <w:pStyle w:val="ListParagraph"/>
        <w:numPr>
          <w:ilvl w:val="0"/>
          <w:numId w:val="7"/>
        </w:numPr>
        <w:mirrorIndents/>
        <w:rPr>
          <w:sz w:val="20"/>
          <w:szCs w:val="20"/>
        </w:rPr>
      </w:pPr>
      <w:r w:rsidRPr="001276CB">
        <w:rPr>
          <w:i/>
          <w:iCs/>
          <w:sz w:val="20"/>
          <w:szCs w:val="20"/>
        </w:rPr>
        <w:t xml:space="preserve">Health Insurance Act 1973: </w:t>
      </w:r>
      <w:r w:rsidRPr="001276CB">
        <w:rPr>
          <w:sz w:val="20"/>
          <w:szCs w:val="20"/>
        </w:rPr>
        <w:t>the meaning of general practitioner, participating nurse practitioner and professional service; and</w:t>
      </w:r>
    </w:p>
    <w:p w14:paraId="5B74DA24" w14:textId="77777777" w:rsidR="0054669E" w:rsidRPr="001276CB" w:rsidRDefault="0054669E" w:rsidP="0054669E">
      <w:pPr>
        <w:pStyle w:val="ListParagraph"/>
        <w:numPr>
          <w:ilvl w:val="0"/>
          <w:numId w:val="7"/>
        </w:numPr>
        <w:mirrorIndents/>
        <w:rPr>
          <w:sz w:val="20"/>
          <w:szCs w:val="20"/>
        </w:rPr>
      </w:pPr>
      <w:r w:rsidRPr="001276CB">
        <w:rPr>
          <w:i/>
          <w:iCs/>
          <w:sz w:val="20"/>
          <w:szCs w:val="20"/>
        </w:rPr>
        <w:t>Health Insurance (General Medical Services Table) Regulations 2021</w:t>
      </w:r>
      <w:r w:rsidRPr="001276CB">
        <w:rPr>
          <w:sz w:val="20"/>
          <w:szCs w:val="20"/>
        </w:rPr>
        <w:t>: the meaning of prescribed medical practitioner.</w:t>
      </w:r>
    </w:p>
    <w:p w14:paraId="2CE17BB5" w14:textId="77777777" w:rsidR="0054669E" w:rsidRPr="001276CB" w:rsidRDefault="0054669E" w:rsidP="0054669E"/>
    <w:p w14:paraId="6153A66B" w14:textId="77777777" w:rsidR="0054669E" w:rsidRPr="001276CB" w:rsidRDefault="0054669E" w:rsidP="0054669E"/>
    <w:p w14:paraId="612444A4" w14:textId="512E601F" w:rsidR="0054669E" w:rsidRPr="001276CB" w:rsidRDefault="0054669E" w:rsidP="0054669E">
      <w:r w:rsidRPr="001276CB">
        <w:t>Date</w:t>
      </w:r>
      <w:r w:rsidR="00851121" w:rsidRPr="001276CB">
        <w:t>:</w:t>
      </w:r>
      <w:r w:rsidR="00CD7A2C" w:rsidRPr="001276CB">
        <w:t xml:space="preserve"> </w:t>
      </w:r>
      <w:r w:rsidR="00A56142" w:rsidRPr="001276CB">
        <w:tab/>
      </w:r>
      <w:r w:rsidR="00BD3839" w:rsidRPr="001276CB">
        <w:t xml:space="preserve"> </w:t>
      </w:r>
      <w:r w:rsidR="0059682E" w:rsidRPr="001276CB">
        <w:t xml:space="preserve">24 </w:t>
      </w:r>
      <w:r w:rsidR="00A56142" w:rsidRPr="001276CB">
        <w:t>October 2025</w:t>
      </w:r>
    </w:p>
    <w:p w14:paraId="4E2930B0" w14:textId="58F3F206" w:rsidR="0054669E" w:rsidRPr="001276CB" w:rsidRDefault="0054669E" w:rsidP="0054669E">
      <w:pPr>
        <w:rPr>
          <w:noProof/>
          <w:lang w:val="en-US"/>
        </w:rPr>
      </w:pPr>
    </w:p>
    <w:p w14:paraId="791B4F59" w14:textId="77777777" w:rsidR="00EB7A96" w:rsidRPr="001276CB" w:rsidRDefault="00EB7A96" w:rsidP="0054669E">
      <w:pPr>
        <w:rPr>
          <w:noProof/>
          <w:lang w:val="en-US"/>
        </w:rPr>
      </w:pPr>
    </w:p>
    <w:p w14:paraId="0B983B84" w14:textId="77777777" w:rsidR="006B4697" w:rsidRPr="001276CB" w:rsidRDefault="006B4697" w:rsidP="0054669E"/>
    <w:p w14:paraId="1D3DB518" w14:textId="77777777" w:rsidR="0054669E" w:rsidRPr="001276CB" w:rsidRDefault="0054669E" w:rsidP="0054669E">
      <w:pPr>
        <w:spacing w:after="0"/>
      </w:pPr>
      <w:r w:rsidRPr="001276CB">
        <w:t>Nigel Murray</w:t>
      </w:r>
    </w:p>
    <w:p w14:paraId="6359156F" w14:textId="77777777" w:rsidR="0054669E" w:rsidRPr="001276CB" w:rsidRDefault="0054669E" w:rsidP="0054669E">
      <w:pPr>
        <w:spacing w:after="0"/>
      </w:pPr>
      <w:r w:rsidRPr="001276CB">
        <w:t xml:space="preserve">Assistant Secretary </w:t>
      </w:r>
    </w:p>
    <w:p w14:paraId="6B983A9C" w14:textId="77777777" w:rsidR="0054669E" w:rsidRPr="001276CB" w:rsidRDefault="0054669E" w:rsidP="0054669E">
      <w:pPr>
        <w:spacing w:after="0"/>
      </w:pPr>
      <w:r w:rsidRPr="001276CB">
        <w:t>MBS Policy and Specialist Programs Branch</w:t>
      </w:r>
    </w:p>
    <w:p w14:paraId="4A0D531B" w14:textId="77777777" w:rsidR="0054669E" w:rsidRPr="001276CB" w:rsidRDefault="0054669E" w:rsidP="0054669E">
      <w:pPr>
        <w:spacing w:after="0"/>
      </w:pPr>
      <w:r w:rsidRPr="001276CB">
        <w:t>Medicare Benefits and Digital Health Division</w:t>
      </w:r>
    </w:p>
    <w:p w14:paraId="7C3A03F4" w14:textId="77777777" w:rsidR="0054669E" w:rsidRPr="001276CB" w:rsidRDefault="0054669E" w:rsidP="0054669E">
      <w:pPr>
        <w:spacing w:after="0"/>
      </w:pPr>
      <w:r w:rsidRPr="001276CB">
        <w:t xml:space="preserve">Health Resourcing Group </w:t>
      </w:r>
    </w:p>
    <w:p w14:paraId="58B69CFA" w14:textId="671118B9" w:rsidR="0054669E" w:rsidRPr="001276CB" w:rsidRDefault="0054669E" w:rsidP="0054669E">
      <w:pPr>
        <w:spacing w:after="0"/>
      </w:pPr>
      <w:r w:rsidRPr="001276CB">
        <w:t>Department of Health</w:t>
      </w:r>
      <w:r w:rsidR="00A56142" w:rsidRPr="001276CB">
        <w:t>, Disability</w:t>
      </w:r>
      <w:r w:rsidRPr="001276CB">
        <w:t xml:space="preserve"> and Age</w:t>
      </w:r>
      <w:r w:rsidR="00A56142" w:rsidRPr="001276CB">
        <w:t>ing</w:t>
      </w:r>
      <w:r w:rsidRPr="001276CB">
        <w:t xml:space="preserve">  </w:t>
      </w:r>
    </w:p>
    <w:p w14:paraId="70B10E0A" w14:textId="77777777" w:rsidR="0054669E" w:rsidRPr="001276CB" w:rsidRDefault="0054669E" w:rsidP="0054669E">
      <w:r w:rsidRPr="001276CB">
        <w:br w:type="page"/>
      </w:r>
    </w:p>
    <w:p w14:paraId="53749310" w14:textId="77777777" w:rsidR="0054669E" w:rsidRPr="001276CB" w:rsidRDefault="0054669E" w:rsidP="0054669E">
      <w:pPr>
        <w:rPr>
          <w:b/>
        </w:rPr>
      </w:pPr>
      <w:bookmarkStart w:id="6" w:name="_Hlk167444942"/>
      <w:r w:rsidRPr="001276CB">
        <w:rPr>
          <w:b/>
        </w:rPr>
        <w:lastRenderedPageBreak/>
        <w:t>SCHEDULE A</w:t>
      </w:r>
    </w:p>
    <w:p w14:paraId="3A3AA95A" w14:textId="77777777" w:rsidR="0054669E" w:rsidRPr="001276CB" w:rsidRDefault="0054669E" w:rsidP="0054669E">
      <w:r w:rsidRPr="001276CB">
        <w:rPr>
          <w:b/>
          <w:caps/>
        </w:rPr>
        <w:t xml:space="preserve">MEDICARE BENEFITS SCHEDULE ITEMS AS AGREED under the Urgent care clinic program </w:t>
      </w:r>
    </w:p>
    <w:p w14:paraId="777FA1AE" w14:textId="77777777" w:rsidR="0054669E" w:rsidRPr="001276CB" w:rsidRDefault="0054669E" w:rsidP="0054669E">
      <w:r w:rsidRPr="001276CB">
        <w:t>For services listed in the below tables, all provisions of the Act</w:t>
      </w:r>
      <w:r w:rsidRPr="001276CB" w:rsidDel="00361262">
        <w:rPr>
          <w:i/>
        </w:rPr>
        <w:t xml:space="preserve"> </w:t>
      </w:r>
      <w:r w:rsidRPr="001276CB">
        <w:t>and regulations made under the Act, and the </w:t>
      </w:r>
      <w:r w:rsidRPr="001276CB">
        <w:rPr>
          <w:i/>
          <w:iCs/>
        </w:rPr>
        <w:t xml:space="preserve">National Health Act 1953 </w:t>
      </w:r>
      <w:r w:rsidRPr="001276CB">
        <w:t>and regulations made under the</w:t>
      </w:r>
      <w:r w:rsidRPr="001276CB">
        <w:rPr>
          <w:i/>
          <w:iCs/>
        </w:rPr>
        <w:t xml:space="preserve"> National Health Act 1953</w:t>
      </w:r>
      <w:r w:rsidRPr="001276CB">
        <w:t xml:space="preserve">, relating to medical </w:t>
      </w:r>
      <w:bookmarkStart w:id="7" w:name="_Hlk167960019"/>
      <w:r w:rsidRPr="001276CB">
        <w:t xml:space="preserve">services, professional services or items apply. </w:t>
      </w:r>
    </w:p>
    <w:p w14:paraId="766A950E" w14:textId="77777777" w:rsidR="0054669E" w:rsidRPr="001276CB" w:rsidRDefault="0054669E" w:rsidP="0054669E">
      <w:pPr>
        <w:rPr>
          <w:b/>
          <w:i/>
        </w:rPr>
      </w:pPr>
      <w:bookmarkStart w:id="8" w:name="_Hlk167960084"/>
      <w:bookmarkStart w:id="9" w:name="_Hlk167962299"/>
      <w:bookmarkStart w:id="10" w:name="_Hlk167962006"/>
      <w:r w:rsidRPr="001276CB">
        <w:rPr>
          <w:b/>
          <w:i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54669E" w:rsidRPr="001276CB" w14:paraId="756FAF18" w14:textId="77777777" w:rsidTr="00E66E24">
        <w:trPr>
          <w:trHeight w:val="20"/>
          <w:tblHeader/>
        </w:trPr>
        <w:tc>
          <w:tcPr>
            <w:tcW w:w="789" w:type="dxa"/>
            <w:noWrap/>
            <w:hideMark/>
          </w:tcPr>
          <w:p w14:paraId="71E53C3C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25" w:type="dxa"/>
            <w:hideMark/>
          </w:tcPr>
          <w:p w14:paraId="0244B745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noWrap/>
            <w:hideMark/>
          </w:tcPr>
          <w:p w14:paraId="21379415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59" w:type="dxa"/>
            <w:hideMark/>
          </w:tcPr>
          <w:p w14:paraId="6C389E14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53155BCD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Item Number</w:t>
            </w:r>
          </w:p>
        </w:tc>
      </w:tr>
      <w:tr w:rsidR="0054669E" w:rsidRPr="001276CB" w14:paraId="5C85D0AF" w14:textId="77777777" w:rsidTr="00E66E24">
        <w:trPr>
          <w:trHeight w:val="20"/>
        </w:trPr>
        <w:tc>
          <w:tcPr>
            <w:tcW w:w="789" w:type="dxa"/>
            <w:noWrap/>
          </w:tcPr>
          <w:p w14:paraId="589D33F0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bookmarkStart w:id="11" w:name="_Hlk167959787"/>
            <w:r w:rsidRPr="001276CB">
              <w:rPr>
                <w:rFonts w:eastAsia="Times New Roman"/>
                <w:sz w:val="20"/>
                <w:szCs w:val="20"/>
                <w:lang w:eastAsia="en-AU"/>
              </w:rPr>
              <w:t>A1</w:t>
            </w:r>
          </w:p>
        </w:tc>
        <w:tc>
          <w:tcPr>
            <w:tcW w:w="5867" w:type="dxa"/>
            <w:gridSpan w:val="3"/>
          </w:tcPr>
          <w:p w14:paraId="21DE60B8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General practitioner attendances to which no other item applies</w:t>
            </w:r>
          </w:p>
        </w:tc>
        <w:tc>
          <w:tcPr>
            <w:tcW w:w="2360" w:type="dxa"/>
          </w:tcPr>
          <w:p w14:paraId="6B31473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3, 23, 36, 44, 123</w:t>
            </w:r>
          </w:p>
        </w:tc>
      </w:tr>
      <w:tr w:rsidR="0054669E" w:rsidRPr="001276CB" w14:paraId="59375286" w14:textId="77777777" w:rsidTr="00E66E24">
        <w:trPr>
          <w:trHeight w:val="20"/>
        </w:trPr>
        <w:tc>
          <w:tcPr>
            <w:tcW w:w="789" w:type="dxa"/>
            <w:noWrap/>
          </w:tcPr>
          <w:p w14:paraId="14A3C35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A5</w:t>
            </w:r>
          </w:p>
        </w:tc>
        <w:tc>
          <w:tcPr>
            <w:tcW w:w="8227" w:type="dxa"/>
            <w:gridSpan w:val="4"/>
          </w:tcPr>
          <w:p w14:paraId="6989741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Prolonged attendances to which no other item applies</w:t>
            </w:r>
          </w:p>
        </w:tc>
      </w:tr>
      <w:tr w:rsidR="0054669E" w:rsidRPr="001276CB" w14:paraId="2B465FF7" w14:textId="77777777" w:rsidTr="00E66E24">
        <w:trPr>
          <w:trHeight w:val="20"/>
        </w:trPr>
        <w:tc>
          <w:tcPr>
            <w:tcW w:w="789" w:type="dxa"/>
            <w:noWrap/>
          </w:tcPr>
          <w:p w14:paraId="3A65B30D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A7</w:t>
            </w:r>
          </w:p>
        </w:tc>
        <w:tc>
          <w:tcPr>
            <w:tcW w:w="2325" w:type="dxa"/>
          </w:tcPr>
          <w:p w14:paraId="6A92C16D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Acupuncture and non-specialist practitioner items</w:t>
            </w:r>
          </w:p>
        </w:tc>
        <w:tc>
          <w:tcPr>
            <w:tcW w:w="1183" w:type="dxa"/>
            <w:noWrap/>
          </w:tcPr>
          <w:p w14:paraId="1B136C49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59" w:type="dxa"/>
          </w:tcPr>
          <w:p w14:paraId="532DDF65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Prescribed medical practitioner mental health care</w:t>
            </w:r>
          </w:p>
        </w:tc>
        <w:tc>
          <w:tcPr>
            <w:tcW w:w="2360" w:type="dxa"/>
          </w:tcPr>
          <w:p w14:paraId="21E00C58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279</w:t>
            </w:r>
          </w:p>
        </w:tc>
      </w:tr>
      <w:tr w:rsidR="0054669E" w:rsidRPr="001276CB" w14:paraId="45F63F0B" w14:textId="77777777" w:rsidTr="00E66E24">
        <w:trPr>
          <w:trHeight w:val="20"/>
        </w:trPr>
        <w:tc>
          <w:tcPr>
            <w:tcW w:w="789" w:type="dxa"/>
            <w:noWrap/>
          </w:tcPr>
          <w:p w14:paraId="4FDAB862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A22</w:t>
            </w:r>
          </w:p>
        </w:tc>
        <w:tc>
          <w:tcPr>
            <w:tcW w:w="5867" w:type="dxa"/>
            <w:gridSpan w:val="3"/>
          </w:tcPr>
          <w:p w14:paraId="14E06F88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General practitioner after-hours attendances to which no other item applies</w:t>
            </w:r>
          </w:p>
        </w:tc>
        <w:tc>
          <w:tcPr>
            <w:tcW w:w="2360" w:type="dxa"/>
          </w:tcPr>
          <w:p w14:paraId="0123656A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5000, 5020, 5040, 5060, 5071</w:t>
            </w:r>
          </w:p>
        </w:tc>
      </w:tr>
      <w:tr w:rsidR="0054669E" w:rsidRPr="001276CB" w14:paraId="4B01DE03" w14:textId="77777777" w:rsidTr="00E66E24">
        <w:trPr>
          <w:trHeight w:val="20"/>
        </w:trPr>
        <w:tc>
          <w:tcPr>
            <w:tcW w:w="789" w:type="dxa"/>
            <w:noWrap/>
          </w:tcPr>
          <w:p w14:paraId="12DD50EE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bookmarkStart w:id="12" w:name="_Hlk165370496"/>
            <w:bookmarkStart w:id="13" w:name="_Hlk167959866"/>
            <w:bookmarkEnd w:id="11"/>
            <w:r w:rsidRPr="001276CB">
              <w:rPr>
                <w:rFonts w:eastAsia="Times New Roman"/>
                <w:sz w:val="20"/>
                <w:szCs w:val="20"/>
                <w:lang w:eastAsia="en-AU"/>
              </w:rPr>
              <w:t>D1</w:t>
            </w:r>
          </w:p>
        </w:tc>
        <w:tc>
          <w:tcPr>
            <w:tcW w:w="2325" w:type="dxa"/>
          </w:tcPr>
          <w:p w14:paraId="4F7687C9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Miscellaneous diagnostic procedures and investigations</w:t>
            </w:r>
          </w:p>
        </w:tc>
        <w:tc>
          <w:tcPr>
            <w:tcW w:w="1183" w:type="dxa"/>
            <w:noWrap/>
          </w:tcPr>
          <w:p w14:paraId="1144153F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359" w:type="dxa"/>
          </w:tcPr>
          <w:p w14:paraId="7BEFC29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Cardiovascular</w:t>
            </w:r>
          </w:p>
        </w:tc>
        <w:tc>
          <w:tcPr>
            <w:tcW w:w="2360" w:type="dxa"/>
          </w:tcPr>
          <w:p w14:paraId="3808F73E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11707</w:t>
            </w:r>
          </w:p>
        </w:tc>
      </w:tr>
      <w:bookmarkEnd w:id="12"/>
      <w:tr w:rsidR="0054669E" w:rsidRPr="001276CB" w14:paraId="788AEFFB" w14:textId="77777777" w:rsidTr="00E66E24">
        <w:trPr>
          <w:trHeight w:val="20"/>
        </w:trPr>
        <w:tc>
          <w:tcPr>
            <w:tcW w:w="789" w:type="dxa"/>
            <w:noWrap/>
          </w:tcPr>
          <w:p w14:paraId="21AF06C9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T4</w:t>
            </w:r>
          </w:p>
        </w:tc>
        <w:tc>
          <w:tcPr>
            <w:tcW w:w="5867" w:type="dxa"/>
            <w:gridSpan w:val="3"/>
          </w:tcPr>
          <w:p w14:paraId="52A423DC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Obstetrics</w:t>
            </w:r>
          </w:p>
        </w:tc>
        <w:tc>
          <w:tcPr>
            <w:tcW w:w="2360" w:type="dxa"/>
          </w:tcPr>
          <w:p w14:paraId="7E009CC3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16500</w:t>
            </w:r>
          </w:p>
        </w:tc>
      </w:tr>
      <w:tr w:rsidR="0054669E" w:rsidRPr="001276CB" w14:paraId="540E47A5" w14:textId="77777777" w:rsidTr="00E66E24">
        <w:trPr>
          <w:trHeight w:val="20"/>
        </w:trPr>
        <w:tc>
          <w:tcPr>
            <w:tcW w:w="789" w:type="dxa"/>
            <w:noWrap/>
          </w:tcPr>
          <w:p w14:paraId="052555DD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T7</w:t>
            </w:r>
          </w:p>
        </w:tc>
        <w:tc>
          <w:tcPr>
            <w:tcW w:w="5867" w:type="dxa"/>
            <w:gridSpan w:val="3"/>
          </w:tcPr>
          <w:p w14:paraId="045BC57F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Regional or field nerve blocks</w:t>
            </w:r>
          </w:p>
        </w:tc>
        <w:tc>
          <w:tcPr>
            <w:tcW w:w="2360" w:type="dxa"/>
          </w:tcPr>
          <w:p w14:paraId="4FB4542E" w14:textId="77777777" w:rsidR="0054669E" w:rsidRPr="001276CB" w:rsidRDefault="0054669E" w:rsidP="00E66E24">
            <w:pPr>
              <w:rPr>
                <w:sz w:val="20"/>
                <w:szCs w:val="20"/>
              </w:rPr>
            </w:pPr>
            <w:r w:rsidRPr="001276CB">
              <w:rPr>
                <w:sz w:val="20"/>
                <w:szCs w:val="20"/>
              </w:rPr>
              <w:t>18213</w:t>
            </w:r>
          </w:p>
        </w:tc>
      </w:tr>
      <w:tr w:rsidR="0054669E" w:rsidRPr="001276CB" w14:paraId="18110264" w14:textId="77777777" w:rsidTr="00E66E24">
        <w:trPr>
          <w:trHeight w:val="20"/>
        </w:trPr>
        <w:tc>
          <w:tcPr>
            <w:tcW w:w="789" w:type="dxa"/>
            <w:vMerge w:val="restart"/>
            <w:noWrap/>
          </w:tcPr>
          <w:p w14:paraId="42DF641A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T8</w:t>
            </w:r>
          </w:p>
        </w:tc>
        <w:tc>
          <w:tcPr>
            <w:tcW w:w="2325" w:type="dxa"/>
            <w:vMerge w:val="restart"/>
          </w:tcPr>
          <w:p w14:paraId="0F10072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Surgical operations</w:t>
            </w:r>
          </w:p>
        </w:tc>
        <w:tc>
          <w:tcPr>
            <w:tcW w:w="1183" w:type="dxa"/>
          </w:tcPr>
          <w:p w14:paraId="74EEFE24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</w:tcPr>
          <w:p w14:paraId="0F9893E8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General</w:t>
            </w:r>
          </w:p>
        </w:tc>
        <w:tc>
          <w:tcPr>
            <w:tcW w:w="2360" w:type="dxa"/>
          </w:tcPr>
          <w:p w14:paraId="6B6EE340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30003, 30006, 30026, 30029, 30032, 30035, 30038, 30042, 30045, 30049, 30061, 30064, 30099, 30216, 30219</w:t>
            </w:r>
          </w:p>
        </w:tc>
      </w:tr>
      <w:tr w:rsidR="0054669E" w:rsidRPr="001276CB" w14:paraId="7C3F5E84" w14:textId="77777777" w:rsidTr="00E66E24">
        <w:trPr>
          <w:trHeight w:val="20"/>
        </w:trPr>
        <w:tc>
          <w:tcPr>
            <w:tcW w:w="789" w:type="dxa"/>
            <w:vMerge/>
            <w:noWrap/>
          </w:tcPr>
          <w:p w14:paraId="5F957EC8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</w:tcPr>
          <w:p w14:paraId="052DB14D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</w:tcPr>
          <w:p w14:paraId="44F78700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</w:tcPr>
          <w:p w14:paraId="6702F565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Colorectal</w:t>
            </w:r>
          </w:p>
        </w:tc>
        <w:tc>
          <w:tcPr>
            <w:tcW w:w="2360" w:type="dxa"/>
          </w:tcPr>
          <w:p w14:paraId="778D2131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32147</w:t>
            </w:r>
          </w:p>
        </w:tc>
      </w:tr>
      <w:tr w:rsidR="0054669E" w:rsidRPr="001276CB" w14:paraId="5F50D624" w14:textId="77777777" w:rsidTr="00E66E24">
        <w:trPr>
          <w:trHeight w:val="20"/>
        </w:trPr>
        <w:tc>
          <w:tcPr>
            <w:tcW w:w="789" w:type="dxa"/>
            <w:vMerge/>
            <w:noWrap/>
          </w:tcPr>
          <w:p w14:paraId="2619E8C3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</w:tcPr>
          <w:p w14:paraId="4B034F97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</w:tcPr>
          <w:p w14:paraId="59112A0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359" w:type="dxa"/>
          </w:tcPr>
          <w:p w14:paraId="0285FDAD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Urological</w:t>
            </w:r>
          </w:p>
        </w:tc>
        <w:tc>
          <w:tcPr>
            <w:tcW w:w="2360" w:type="dxa"/>
          </w:tcPr>
          <w:p w14:paraId="696192FD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36800</w:t>
            </w:r>
          </w:p>
        </w:tc>
      </w:tr>
      <w:tr w:rsidR="0054669E" w:rsidRPr="001276CB" w14:paraId="32596D93" w14:textId="77777777" w:rsidTr="00E66E24">
        <w:trPr>
          <w:trHeight w:val="20"/>
        </w:trPr>
        <w:tc>
          <w:tcPr>
            <w:tcW w:w="789" w:type="dxa"/>
            <w:vMerge/>
            <w:noWrap/>
          </w:tcPr>
          <w:p w14:paraId="3B3418F1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</w:tcPr>
          <w:p w14:paraId="58ADA4AD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</w:tcPr>
          <w:p w14:paraId="1893537F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359" w:type="dxa"/>
          </w:tcPr>
          <w:p w14:paraId="66F6F00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Ear, nose and throat</w:t>
            </w:r>
          </w:p>
        </w:tc>
        <w:tc>
          <w:tcPr>
            <w:tcW w:w="2360" w:type="dxa"/>
          </w:tcPr>
          <w:p w14:paraId="2A62FB8F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 xml:space="preserve">41500, 41659, 41677 </w:t>
            </w:r>
          </w:p>
        </w:tc>
      </w:tr>
      <w:tr w:rsidR="0054669E" w:rsidRPr="001276CB" w14:paraId="54C69428" w14:textId="77777777" w:rsidTr="00E66E24">
        <w:trPr>
          <w:trHeight w:val="20"/>
        </w:trPr>
        <w:tc>
          <w:tcPr>
            <w:tcW w:w="789" w:type="dxa"/>
            <w:vMerge/>
            <w:noWrap/>
          </w:tcPr>
          <w:p w14:paraId="2BCD64F7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</w:tcPr>
          <w:p w14:paraId="01A712EE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</w:tcPr>
          <w:p w14:paraId="018DD49C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359" w:type="dxa"/>
          </w:tcPr>
          <w:p w14:paraId="3922153A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Ophthalmology</w:t>
            </w:r>
          </w:p>
        </w:tc>
        <w:tc>
          <w:tcPr>
            <w:tcW w:w="2360" w:type="dxa"/>
          </w:tcPr>
          <w:p w14:paraId="6B952C04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42644, 42650</w:t>
            </w:r>
          </w:p>
        </w:tc>
      </w:tr>
      <w:tr w:rsidR="0054669E" w:rsidRPr="001276CB" w14:paraId="17DF6579" w14:textId="77777777" w:rsidTr="00E66E24">
        <w:trPr>
          <w:trHeight w:val="20"/>
        </w:trPr>
        <w:tc>
          <w:tcPr>
            <w:tcW w:w="789" w:type="dxa"/>
            <w:vMerge/>
            <w:noWrap/>
          </w:tcPr>
          <w:p w14:paraId="612EA25D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</w:tcPr>
          <w:p w14:paraId="5517AFD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</w:tcPr>
          <w:p w14:paraId="08C18DB8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14</w:t>
            </w:r>
          </w:p>
        </w:tc>
        <w:tc>
          <w:tcPr>
            <w:tcW w:w="2359" w:type="dxa"/>
          </w:tcPr>
          <w:p w14:paraId="046691AE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Hand or wrist surgery</w:t>
            </w:r>
          </w:p>
        </w:tc>
        <w:tc>
          <w:tcPr>
            <w:tcW w:w="2360" w:type="dxa"/>
          </w:tcPr>
          <w:p w14:paraId="6DEF7EC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46513, 46528, 46531</w:t>
            </w:r>
          </w:p>
        </w:tc>
      </w:tr>
      <w:tr w:rsidR="0054669E" w:rsidRPr="001276CB" w14:paraId="47BD19AE" w14:textId="77777777" w:rsidTr="00E66E24">
        <w:trPr>
          <w:trHeight w:val="20"/>
        </w:trPr>
        <w:tc>
          <w:tcPr>
            <w:tcW w:w="789" w:type="dxa"/>
            <w:vMerge/>
            <w:noWrap/>
          </w:tcPr>
          <w:p w14:paraId="70448A07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</w:tcPr>
          <w:p w14:paraId="10701BCB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</w:tcPr>
          <w:p w14:paraId="37E6E7EE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15</w:t>
            </w:r>
          </w:p>
        </w:tc>
        <w:tc>
          <w:tcPr>
            <w:tcW w:w="2359" w:type="dxa"/>
          </w:tcPr>
          <w:p w14:paraId="305C5D3E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Orthopaedic</w:t>
            </w:r>
          </w:p>
        </w:tc>
        <w:tc>
          <w:tcPr>
            <w:tcW w:w="2360" w:type="dxa"/>
          </w:tcPr>
          <w:p w14:paraId="6271EDCF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47904, 47915, 47916, 47015, 47030, 47042, 47057, 47063, 47069, 47301, 47348, 47354, 47361, 47387, 47423, 47444, 47453, 47462, 47466, 47471, 47543, 47561, 47579, 47595, 47637, 47663, 47735</w:t>
            </w:r>
          </w:p>
        </w:tc>
      </w:tr>
      <w:tr w:rsidR="0054669E" w:rsidRPr="001276CB" w14:paraId="6B666692" w14:textId="77777777" w:rsidTr="00E66E24">
        <w:trPr>
          <w:trHeight w:val="20"/>
        </w:trPr>
        <w:tc>
          <w:tcPr>
            <w:tcW w:w="789" w:type="dxa"/>
            <w:vMerge w:val="restart"/>
            <w:noWrap/>
          </w:tcPr>
          <w:p w14:paraId="3C8F0F3D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bookmarkStart w:id="14" w:name="_Hlk167959899"/>
            <w:r w:rsidRPr="001276CB">
              <w:rPr>
                <w:rFonts w:eastAsia="Times New Roman"/>
                <w:sz w:val="20"/>
                <w:szCs w:val="20"/>
                <w:lang w:eastAsia="en-AU"/>
              </w:rPr>
              <w:t>M1</w:t>
            </w:r>
          </w:p>
        </w:tc>
        <w:tc>
          <w:tcPr>
            <w:tcW w:w="2325" w:type="dxa"/>
            <w:vMerge w:val="restart"/>
          </w:tcPr>
          <w:p w14:paraId="574867A2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Management of bulk-billed services</w:t>
            </w:r>
          </w:p>
        </w:tc>
        <w:tc>
          <w:tcPr>
            <w:tcW w:w="1183" w:type="dxa"/>
          </w:tcPr>
          <w:p w14:paraId="0FBC8ED7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</w:tcPr>
          <w:p w14:paraId="4FC0918A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Management of general bulk-billed services</w:t>
            </w:r>
          </w:p>
        </w:tc>
        <w:tc>
          <w:tcPr>
            <w:tcW w:w="2360" w:type="dxa"/>
          </w:tcPr>
          <w:p w14:paraId="299C4742" w14:textId="77777777" w:rsidR="0054669E" w:rsidRPr="001276CB" w:rsidRDefault="0054669E" w:rsidP="00E66E24">
            <w:pPr>
              <w:rPr>
                <w:sz w:val="20"/>
                <w:szCs w:val="20"/>
              </w:rPr>
            </w:pPr>
            <w:r w:rsidRPr="001276CB">
              <w:rPr>
                <w:sz w:val="20"/>
                <w:szCs w:val="20"/>
              </w:rPr>
              <w:t>10990, 10991, 10992, 75855, 75856, 75857, 75858</w:t>
            </w:r>
          </w:p>
        </w:tc>
      </w:tr>
      <w:bookmarkEnd w:id="13"/>
      <w:tr w:rsidR="0054669E" w:rsidRPr="001276CB" w14:paraId="672B0570" w14:textId="77777777" w:rsidTr="00E66E24">
        <w:trPr>
          <w:trHeight w:val="20"/>
        </w:trPr>
        <w:tc>
          <w:tcPr>
            <w:tcW w:w="789" w:type="dxa"/>
            <w:vMerge/>
            <w:noWrap/>
          </w:tcPr>
          <w:p w14:paraId="5279E6B3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</w:tcPr>
          <w:p w14:paraId="29943E04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</w:tcPr>
          <w:p w14:paraId="371BE2E4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</w:tcPr>
          <w:p w14:paraId="43DC0A9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General support service</w:t>
            </w:r>
          </w:p>
        </w:tc>
        <w:tc>
          <w:tcPr>
            <w:tcW w:w="2360" w:type="dxa"/>
          </w:tcPr>
          <w:p w14:paraId="6B8EFA73" w14:textId="77777777" w:rsidR="0054669E" w:rsidRPr="001276CB" w:rsidRDefault="0054669E" w:rsidP="00E66E24">
            <w:pPr>
              <w:rPr>
                <w:sz w:val="20"/>
                <w:szCs w:val="20"/>
              </w:rPr>
            </w:pPr>
            <w:r w:rsidRPr="001276CB">
              <w:rPr>
                <w:rFonts w:eastAsia="Times New Roman"/>
                <w:sz w:val="20"/>
                <w:szCs w:val="20"/>
              </w:rPr>
              <w:t>75870, 75871, 75872, 75873, 75874, 75875, 75876</w:t>
            </w:r>
          </w:p>
        </w:tc>
      </w:tr>
      <w:tr w:rsidR="0054669E" w:rsidRPr="001276CB" w14:paraId="7AF3070E" w14:textId="77777777" w:rsidTr="00E66E24">
        <w:trPr>
          <w:trHeight w:val="20"/>
        </w:trPr>
        <w:tc>
          <w:tcPr>
            <w:tcW w:w="789" w:type="dxa"/>
            <w:noWrap/>
          </w:tcPr>
          <w:p w14:paraId="787C76AC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 xml:space="preserve">M14 </w:t>
            </w:r>
          </w:p>
        </w:tc>
        <w:tc>
          <w:tcPr>
            <w:tcW w:w="2325" w:type="dxa"/>
          </w:tcPr>
          <w:p w14:paraId="59E18E48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sz w:val="20"/>
                <w:szCs w:val="20"/>
              </w:rPr>
              <w:t>Nurse practitioners</w:t>
            </w:r>
          </w:p>
        </w:tc>
        <w:tc>
          <w:tcPr>
            <w:tcW w:w="1183" w:type="dxa"/>
          </w:tcPr>
          <w:p w14:paraId="3D1C4C47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</w:tcPr>
          <w:p w14:paraId="01A71DC2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Nurse practitioners</w:t>
            </w:r>
          </w:p>
        </w:tc>
        <w:tc>
          <w:tcPr>
            <w:tcW w:w="2360" w:type="dxa"/>
          </w:tcPr>
          <w:p w14:paraId="032D466A" w14:textId="77777777" w:rsidR="0054669E" w:rsidRPr="001276CB" w:rsidRDefault="0054669E" w:rsidP="00E66E24">
            <w:pPr>
              <w:rPr>
                <w:sz w:val="20"/>
                <w:szCs w:val="20"/>
              </w:rPr>
            </w:pPr>
            <w:r w:rsidRPr="001276CB">
              <w:rPr>
                <w:sz w:val="20"/>
                <w:szCs w:val="20"/>
              </w:rPr>
              <w:t>82200, 82205, 82210, 82215</w:t>
            </w:r>
          </w:p>
        </w:tc>
      </w:tr>
    </w:tbl>
    <w:p w14:paraId="5862926A" w14:textId="77777777" w:rsidR="0054669E" w:rsidRPr="001276CB" w:rsidRDefault="0054669E" w:rsidP="0054669E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bookmarkStart w:id="15" w:name="_Hlk165370523"/>
      <w:bookmarkStart w:id="16" w:name="_Hlk165443866"/>
      <w:bookmarkEnd w:id="14"/>
    </w:p>
    <w:p w14:paraId="5897D46F" w14:textId="77777777" w:rsidR="0054669E" w:rsidRPr="001276CB" w:rsidRDefault="0054669E" w:rsidP="0054669E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r w:rsidRPr="001276CB">
        <w:rPr>
          <w:i/>
          <w:iCs/>
          <w:sz w:val="18"/>
          <w:szCs w:val="18"/>
        </w:rPr>
        <w:t>*Note: Claims under any item in Group A7 in the General Medical Services Table may only be exempt from subsection 19(2) of the Act</w:t>
      </w:r>
      <w:r w:rsidRPr="001276CB" w:rsidDel="00361262">
        <w:rPr>
          <w:i/>
          <w:iCs/>
          <w:sz w:val="18"/>
          <w:szCs w:val="18"/>
        </w:rPr>
        <w:t xml:space="preserve"> </w:t>
      </w:r>
      <w:r w:rsidRPr="001276CB">
        <w:rPr>
          <w:i/>
          <w:iCs/>
          <w:sz w:val="18"/>
          <w:szCs w:val="18"/>
        </w:rPr>
        <w:t>when the services are claimed by a Prescribed Medical Practitioner operating under the Medicare Urgent Care Clinic Program.</w:t>
      </w:r>
    </w:p>
    <w:p w14:paraId="53BD7DB1" w14:textId="77777777" w:rsidR="0054669E" w:rsidRPr="001276CB" w:rsidRDefault="0054669E" w:rsidP="0054669E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</w:p>
    <w:p w14:paraId="278BC133" w14:textId="77777777" w:rsidR="0054669E" w:rsidRPr="001276CB" w:rsidRDefault="0054669E" w:rsidP="0054669E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</w:p>
    <w:p w14:paraId="377F8976" w14:textId="77777777" w:rsidR="0054669E" w:rsidRPr="001276CB" w:rsidRDefault="0054669E" w:rsidP="0054669E">
      <w:pPr>
        <w:rPr>
          <w:b/>
          <w:i/>
        </w:rPr>
      </w:pPr>
      <w:r w:rsidRPr="001276CB">
        <w:rPr>
          <w:b/>
          <w:i/>
        </w:rPr>
        <w:t xml:space="preserve">Diagnostic Imaging Services Table </w:t>
      </w:r>
    </w:p>
    <w:tbl>
      <w:tblPr>
        <w:tblW w:w="90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299"/>
        <w:gridCol w:w="1111"/>
        <w:gridCol w:w="2247"/>
        <w:gridCol w:w="3512"/>
      </w:tblGrid>
      <w:tr w:rsidR="0054669E" w:rsidRPr="001276CB" w14:paraId="6B457945" w14:textId="77777777" w:rsidTr="00E66E24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2C935BB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 xml:space="preserve">Group 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C1F13C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 xml:space="preserve">Group Name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47D3F9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 xml:space="preserve">Subgroup 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9BE75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Subgroup Name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063C5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Item Number</w:t>
            </w:r>
          </w:p>
        </w:tc>
      </w:tr>
      <w:tr w:rsidR="0054669E" w:rsidRPr="001276CB" w14:paraId="6BEB1764" w14:textId="77777777" w:rsidTr="00E66E24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34A430D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I1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2FB34A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 xml:space="preserve">Ultrasound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A1F7F7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6B1802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 xml:space="preserve">General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884DBA6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55028, 55032, 55036, 55038, 55048, 55054, 55065, 55066, 55070, 55071, 55076</w:t>
            </w:r>
          </w:p>
        </w:tc>
      </w:tr>
      <w:tr w:rsidR="0054669E" w:rsidRPr="001276CB" w14:paraId="2CE3850A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37FD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A4AD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A7F4A6E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0571FAC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 xml:space="preserve">Cardiac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966EEC9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55118</w:t>
            </w:r>
          </w:p>
        </w:tc>
      </w:tr>
      <w:tr w:rsidR="0054669E" w:rsidRPr="001276CB" w14:paraId="121D95AA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9951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7340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CB01EA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155988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 xml:space="preserve">Vascular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D188E72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55238, 55244, 55246, 55252, 55274, 55276, 55278</w:t>
            </w:r>
          </w:p>
        </w:tc>
      </w:tr>
      <w:tr w:rsidR="0054669E" w:rsidRPr="001276CB" w14:paraId="3E84FD29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63F7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BFF6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B73A46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7437D93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proofErr w:type="spellStart"/>
            <w:r w:rsidRPr="001276CB">
              <w:rPr>
                <w:rFonts w:eastAsia="Helvetica"/>
                <w:sz w:val="20"/>
                <w:szCs w:val="20"/>
                <w:lang w:val="en-US"/>
              </w:rPr>
              <w:t>Urologicals</w:t>
            </w:r>
            <w:proofErr w:type="spellEnd"/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3354AD7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55600</w:t>
            </w:r>
          </w:p>
        </w:tc>
      </w:tr>
      <w:tr w:rsidR="0054669E" w:rsidRPr="001276CB" w14:paraId="04BB8DB2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ECAF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4A06F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7B984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8D4FA7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 xml:space="preserve">Obstetric And </w:t>
            </w:r>
            <w:proofErr w:type="spellStart"/>
            <w:r w:rsidRPr="001276CB">
              <w:rPr>
                <w:rFonts w:eastAsia="Helvetica"/>
                <w:sz w:val="20"/>
                <w:szCs w:val="20"/>
                <w:lang w:val="en-US"/>
              </w:rPr>
              <w:t>Gynaecological</w:t>
            </w:r>
            <w:proofErr w:type="spellEnd"/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35A9A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55700, 55704, 55706, 55707, 55712, 55718, 55721</w:t>
            </w:r>
          </w:p>
        </w:tc>
      </w:tr>
      <w:tr w:rsidR="0054669E" w:rsidRPr="001276CB" w14:paraId="4E755972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7A787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2B2EC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236C926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CF803B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>Musculoskeletal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7757F1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55812, 55844, 55848, 55850, 55856, 55858, 55860, 55862, 55864, 55866, 55868, 55870, 55872, 55874, 55876, 55878, 55880, 55882, 55884, 55886, 55888, 55890, 55892, 55894</w:t>
            </w:r>
          </w:p>
        </w:tc>
      </w:tr>
      <w:tr w:rsidR="0054669E" w:rsidRPr="001276CB" w14:paraId="34991EA0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53A4B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9F47D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B51D7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37ADE7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>Transthoracic Echocardiogram and Stress Echocardiogram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174AB0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55126, 55132, 55133, 55141</w:t>
            </w:r>
          </w:p>
        </w:tc>
      </w:tr>
      <w:tr w:rsidR="0054669E" w:rsidRPr="001276CB" w14:paraId="001C44C1" w14:textId="77777777" w:rsidTr="00E66E24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138AE0C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 xml:space="preserve">I2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679FEF8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 xml:space="preserve">Computed Tomography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37264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C3E50F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 xml:space="preserve">Head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37289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56001, 56007, 56013, 56016, 56022, 56028, 56030, 56036,</w:t>
            </w:r>
          </w:p>
        </w:tc>
      </w:tr>
      <w:tr w:rsidR="0054669E" w:rsidRPr="001276CB" w14:paraId="2E144B03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786602D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592483CD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E1357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CC5EC9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>Neck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5D0EFA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56101, 56107</w:t>
            </w:r>
          </w:p>
        </w:tc>
      </w:tr>
      <w:tr w:rsidR="0054669E" w:rsidRPr="001276CB" w14:paraId="5824257F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B8E82C9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053C4AEA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12AA1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13AE82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 xml:space="preserve">Spine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1AAB22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56220, 56221, 56223, 56226, 56233, 56237,</w:t>
            </w:r>
          </w:p>
        </w:tc>
      </w:tr>
      <w:tr w:rsidR="0054669E" w:rsidRPr="001276CB" w14:paraId="5ABCEFF6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DBF536C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2FF051B8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7BC082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950BB2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>Chest and upper abdomen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EEAF0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56301, 56307</w:t>
            </w:r>
          </w:p>
        </w:tc>
      </w:tr>
      <w:tr w:rsidR="0054669E" w:rsidRPr="001276CB" w14:paraId="3CC1BB53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D4EA376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6CE19957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5C496A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1D3EB1F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>Upper abdomen only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9EFBA10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56401, 56407, 56409, 56412</w:t>
            </w:r>
          </w:p>
        </w:tc>
      </w:tr>
      <w:tr w:rsidR="0054669E" w:rsidRPr="001276CB" w14:paraId="1637A9F9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F3C42E1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75DEA8D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016C0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99E325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>Upper abdomen and pelvis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1ABC87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56501, 56507</w:t>
            </w:r>
          </w:p>
        </w:tc>
      </w:tr>
      <w:tr w:rsidR="0054669E" w:rsidRPr="001276CB" w14:paraId="29D9239D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0807644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0B46137B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A660411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B6C45C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>Extremities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C97E280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56620, 56622, 56623, 56627, 56629,</w:t>
            </w:r>
          </w:p>
        </w:tc>
      </w:tr>
      <w:tr w:rsidR="0054669E" w:rsidRPr="001276CB" w14:paraId="0581D55F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A381315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2440C65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0532B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78A600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 xml:space="preserve">Chest, abdomen, pelvis and neck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8514F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56801, 56807</w:t>
            </w:r>
          </w:p>
        </w:tc>
      </w:tr>
      <w:tr w:rsidR="0054669E" w:rsidRPr="001276CB" w14:paraId="4439926C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0E3533C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0BFD07B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1D553E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15BDEA0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>Brain, chest and upper abdomen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787551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57001, 57007</w:t>
            </w:r>
          </w:p>
        </w:tc>
      </w:tr>
      <w:tr w:rsidR="0054669E" w:rsidRPr="001276CB" w14:paraId="30C226D8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FB30595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</w:tcBorders>
            <w:tcMar>
              <w:left w:w="90" w:type="dxa"/>
              <w:right w:w="90" w:type="dxa"/>
            </w:tcMar>
          </w:tcPr>
          <w:p w14:paraId="41EA28DA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2E199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99CE37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>Interventional techniques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588EB92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57341</w:t>
            </w:r>
          </w:p>
        </w:tc>
      </w:tr>
      <w:tr w:rsidR="0054669E" w:rsidRPr="001276CB" w14:paraId="0EB939F1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358E80A" w14:textId="77777777" w:rsidR="0054669E" w:rsidRPr="001276CB" w:rsidRDefault="0054669E" w:rsidP="00E66E2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90" w:type="dxa"/>
              <w:right w:w="90" w:type="dxa"/>
            </w:tcMar>
          </w:tcPr>
          <w:p w14:paraId="24CA8A9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934B81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686813A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  <w:lang w:val="en-US"/>
              </w:rPr>
              <w:t>Spiral angiography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185D1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57352, 57353, 57354, 57357</w:t>
            </w:r>
          </w:p>
        </w:tc>
      </w:tr>
      <w:tr w:rsidR="0054669E" w:rsidRPr="001276CB" w14:paraId="75B05597" w14:textId="77777777" w:rsidTr="00E66E24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2F0978F" w14:textId="77777777" w:rsidR="0054669E" w:rsidRPr="001276CB" w:rsidRDefault="0054669E" w:rsidP="00E66E24">
            <w:pPr>
              <w:rPr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I3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2F32DF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</w:rPr>
              <w:t>Diagnostic Radiology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36BDCA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1BA12F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  <w:lang w:val="en-US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Extremities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0367C2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57509, 57515, 57521, 57523, 57527</w:t>
            </w:r>
          </w:p>
        </w:tc>
      </w:tr>
      <w:tr w:rsidR="0054669E" w:rsidRPr="001276CB" w14:paraId="51D5F2F9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8D0731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FDB6510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EC0E36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8E03F3B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 Radiographic Examination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Shoulder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Pelvis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DE69459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57703, 57709, 57712, 57715</w:t>
            </w:r>
          </w:p>
        </w:tc>
      </w:tr>
      <w:tr w:rsidR="0054669E" w:rsidRPr="001276CB" w14:paraId="39AB9E12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7D70FBA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083212C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9C5D37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B0E4B7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Head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43233C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</w:rPr>
              <w:t>57901, 57907, 57915, 57921, 57924, 57927, 57945, 57960, 57963, 57969</w:t>
            </w:r>
          </w:p>
        </w:tc>
      </w:tr>
      <w:tr w:rsidR="0054669E" w:rsidRPr="001276CB" w14:paraId="3ADA05FB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7DBFA40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D1C175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9B7E68D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4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14A4C8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Spine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6028CA2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58100, 58103, 58106, 58109, 58112, 58115</w:t>
            </w:r>
          </w:p>
        </w:tc>
      </w:tr>
      <w:tr w:rsidR="0054669E" w:rsidRPr="001276CB" w14:paraId="7A71788D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92453E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1B4EB49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4B34C3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D7F23F6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Thoracic Region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934958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58503, 58509, 58521, 58524</w:t>
            </w:r>
          </w:p>
        </w:tc>
      </w:tr>
      <w:tr w:rsidR="0054669E" w:rsidRPr="001276CB" w14:paraId="379DCE0D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E2AB347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72CA6F2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0D915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8E9BF1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Urinary Tract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001296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58700</w:t>
            </w:r>
          </w:p>
        </w:tc>
      </w:tr>
      <w:tr w:rsidR="0054669E" w:rsidRPr="001276CB" w14:paraId="6C11665E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BF691B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D407D1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0B6E8A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79C6ACB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Alimentary Tract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And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Biliary System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B9AC3D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58903, 58909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4669E" w:rsidRPr="001276CB" w14:paraId="5AB799FB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291058D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08EF78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7BA888D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155DE4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For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Localisation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Foreign Bodies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0BFD769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59103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4669E" w:rsidRPr="001276CB" w14:paraId="66BA58E4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09B0CEC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74B9DC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F02E7C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B34336C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Of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Breasts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CA5910D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59300, 59302, 59303, 59305, 59314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4669E" w:rsidRPr="001276CB" w14:paraId="7F46A3F6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5F11360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C80F69B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818301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58BB061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Radiographic Examination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With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Opaque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Contrast Media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FA4C1C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59751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4669E" w:rsidRPr="001276CB" w14:paraId="396D3812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40D13B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4BB582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30F0B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A8F4038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>Angiography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9F96E9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60078</w:t>
            </w:r>
          </w:p>
        </w:tc>
      </w:tr>
      <w:tr w:rsidR="0054669E" w:rsidRPr="001276CB" w14:paraId="13AAF0E3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E0CD2B2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CFBCD6E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304DBD7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17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7289A5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>Interventional Techniques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1173DC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61109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4669E" w:rsidRPr="001276CB" w14:paraId="233AC150" w14:textId="77777777" w:rsidTr="00E66E24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FE8014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I4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2856E8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</w:rPr>
              <w:t>Nuclear Medicine Imaging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3ED652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4DEFD7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Nuclear medicine-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non PET</w:t>
            </w:r>
            <w:proofErr w:type="gramEnd"/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F6FC52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61329, 61345, 61357</w:t>
            </w:r>
            <w:r w:rsidRPr="001276CB">
              <w:rPr>
                <w:rFonts w:eastAsia="Calibri"/>
                <w:sz w:val="20"/>
                <w:szCs w:val="20"/>
              </w:rPr>
              <w:t xml:space="preserve">, </w:t>
            </w:r>
            <w:r w:rsidRPr="001276CB">
              <w:rPr>
                <w:rFonts w:eastAsia="Calibri"/>
                <w:sz w:val="20"/>
                <w:szCs w:val="20"/>
                <w:lang w:val="en-US"/>
              </w:rPr>
              <w:t>61421, 61425, 61473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4669E" w:rsidRPr="001276CB" w14:paraId="4D072392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016E6A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99AED7B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7956199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CE0338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>Adjunctive services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25E76FB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61505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4669E" w:rsidRPr="001276CB" w14:paraId="4940AFC3" w14:textId="77777777" w:rsidTr="00E66E24">
        <w:trPr>
          <w:trHeight w:val="30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25EC6E3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 xml:space="preserve">I5 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7A4CBCBE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Calibri"/>
                <w:sz w:val="20"/>
                <w:szCs w:val="20"/>
              </w:rPr>
              <w:t>Magnetic Resonance Imaging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CF1CEE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9AE310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Scan Of Head – For Specified Conditions 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8059562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63001, 63007</w:t>
            </w:r>
          </w:p>
        </w:tc>
      </w:tr>
      <w:tr w:rsidR="0054669E" w:rsidRPr="001276CB" w14:paraId="191B87FE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1A3998A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C462AD6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AE6163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7EEA726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>Scan Of Head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8F4A20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63040, 63049, 63058, 63064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4669E" w:rsidRPr="001276CB" w14:paraId="0FF833F3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03CD0F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82AA98B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7B70A58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14AB6F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Scan Of Spine - One Region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Two Contiguous Regions - For Infection or Tumour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8019685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63151</w:t>
            </w:r>
          </w:p>
        </w:tc>
      </w:tr>
      <w:tr w:rsidR="0054669E" w:rsidRPr="001276CB" w14:paraId="7227FC9E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FEDBDA1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E90A6DA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E5DB91C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C933EB0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Scan Of Spine - One Region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Two </w:t>
            </w:r>
            <w:r w:rsidRPr="001276CB">
              <w:rPr>
                <w:rFonts w:eastAsia="Helvetica"/>
                <w:sz w:val="20"/>
                <w:szCs w:val="20"/>
              </w:rPr>
              <w:lastRenderedPageBreak/>
              <w:t>Contiguous Regions - For Other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7D8C5C6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lastRenderedPageBreak/>
              <w:t>63161, 63167, 63173, 63176, 63179, 63182, 63185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4669E" w:rsidRPr="001276CB" w14:paraId="2E5E2F62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3132261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01A82C9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4181E8E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C590DA6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Scan Of Spine - Three Contiguous Regions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Two Non-Contiguous Regions - For Infection or Tumour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6D4789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63201</w:t>
            </w:r>
          </w:p>
        </w:tc>
      </w:tr>
      <w:tr w:rsidR="0054669E" w:rsidRPr="001276CB" w14:paraId="04E8899B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E4C898E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9460D51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F79924C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EE5E73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Scan Of Spine - Three Contiguous Regions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Or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Two Non-Contiguous Regions - For Other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4AA50B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63219, 63228</w:t>
            </w:r>
          </w:p>
        </w:tc>
      </w:tr>
      <w:tr w:rsidR="0054669E" w:rsidRPr="001276CB" w14:paraId="00914FB0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7F3A718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95E2ED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D38CABE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11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6C6E1E6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>Scan Of Musculoskeletal System - For Tumour, Infection or Osteonecrosis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6D4E63C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63301</w:t>
            </w:r>
          </w:p>
        </w:tc>
      </w:tr>
      <w:tr w:rsidR="0054669E" w:rsidRPr="001276CB" w14:paraId="282566EF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1AAB5C7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D0C7EE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36CCFD7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12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06E2ADE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>Scan Of Musculoskeletal System - For Joint Derangement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D6F7698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63322, 63325, 63328, 63331, 63334, 63337, 63340</w:t>
            </w:r>
          </w:p>
        </w:tc>
      </w:tr>
      <w:tr w:rsidR="0054669E" w:rsidRPr="001276CB" w14:paraId="11F6C2E9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3DEA9DC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6CB331DB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18C8D9B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19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8212E46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>Scan Of Body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BF931C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63461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4669E" w:rsidRPr="001276CB" w14:paraId="40F204ED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42A0198B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300CC7B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0B13C23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20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A5CE00F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 xml:space="preserve">Scans Of Pelvis </w:t>
            </w:r>
            <w:proofErr w:type="gramStart"/>
            <w:r w:rsidRPr="001276CB">
              <w:rPr>
                <w:rFonts w:eastAsia="Helvetica"/>
                <w:sz w:val="20"/>
                <w:szCs w:val="20"/>
              </w:rPr>
              <w:t>And</w:t>
            </w:r>
            <w:proofErr w:type="gramEnd"/>
            <w:r w:rsidRPr="001276CB">
              <w:rPr>
                <w:rFonts w:eastAsia="Helvetica"/>
                <w:sz w:val="20"/>
                <w:szCs w:val="20"/>
              </w:rPr>
              <w:t xml:space="preserve"> Upper Abdomen - For Specified Conditions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80C750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63740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  <w:tr w:rsidR="0054669E" w:rsidRPr="001276CB" w14:paraId="04E675DD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FB3D636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512D8E7D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BC02614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33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581B0D8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>Scan of Body - Person Under the Age of 16 Years - General Practice Requests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B6A37AC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63507, 63513, 63522</w:t>
            </w:r>
          </w:p>
        </w:tc>
      </w:tr>
      <w:tr w:rsidR="0054669E" w:rsidRPr="001276CB" w14:paraId="7623561F" w14:textId="77777777" w:rsidTr="00E66E24">
        <w:trPr>
          <w:trHeight w:val="30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1844517D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90" w:type="dxa"/>
              <w:right w:w="90" w:type="dxa"/>
            </w:tcMar>
          </w:tcPr>
          <w:p w14:paraId="0FF6F6B7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06376D7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34</w:t>
            </w:r>
          </w:p>
        </w:tc>
        <w:tc>
          <w:tcPr>
            <w:tcW w:w="2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2D2DDF6" w14:textId="77777777" w:rsidR="0054669E" w:rsidRPr="001276CB" w:rsidRDefault="0054669E" w:rsidP="00E66E24">
            <w:pPr>
              <w:rPr>
                <w:rFonts w:eastAsia="Helvetica"/>
                <w:sz w:val="20"/>
                <w:szCs w:val="20"/>
              </w:rPr>
            </w:pPr>
            <w:r w:rsidRPr="001276CB">
              <w:rPr>
                <w:rFonts w:eastAsia="Helvetica"/>
                <w:sz w:val="20"/>
                <w:szCs w:val="20"/>
              </w:rPr>
              <w:t>Scan of Body - Person Over the Age of 16 Years - General Practice Requests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E9A079F" w14:textId="77777777" w:rsidR="0054669E" w:rsidRPr="001276CB" w:rsidRDefault="0054669E" w:rsidP="00E66E24">
            <w:pPr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Calibri"/>
                <w:sz w:val="20"/>
                <w:szCs w:val="20"/>
                <w:lang w:val="en-US"/>
              </w:rPr>
              <w:t>63551, 63554, 63557, 63560</w:t>
            </w:r>
            <w:r w:rsidRPr="001276CB">
              <w:rPr>
                <w:rFonts w:eastAsia="Calibri"/>
                <w:sz w:val="20"/>
                <w:szCs w:val="20"/>
              </w:rPr>
              <w:t> </w:t>
            </w:r>
          </w:p>
        </w:tc>
      </w:tr>
    </w:tbl>
    <w:p w14:paraId="44ABCABD" w14:textId="77777777" w:rsidR="0054669E" w:rsidRPr="001276CB" w:rsidRDefault="0054669E" w:rsidP="0054669E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</w:p>
    <w:p w14:paraId="09C06043" w14:textId="77777777" w:rsidR="0054669E" w:rsidRPr="001276CB" w:rsidRDefault="0054669E" w:rsidP="0054669E">
      <w:pPr>
        <w:rPr>
          <w:bCs/>
          <w:caps/>
        </w:rPr>
      </w:pPr>
    </w:p>
    <w:p w14:paraId="3439ABE7" w14:textId="77777777" w:rsidR="0054669E" w:rsidRPr="001276CB" w:rsidRDefault="0054669E" w:rsidP="0054669E">
      <w:pPr>
        <w:rPr>
          <w:b/>
          <w:i/>
        </w:rPr>
      </w:pPr>
      <w:bookmarkStart w:id="17" w:name="_Hlk167959937"/>
      <w:r w:rsidRPr="001276CB">
        <w:rPr>
          <w:b/>
          <w:i/>
        </w:rPr>
        <w:t xml:space="preserve">Pathology Services Table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2496"/>
        <w:gridCol w:w="5121"/>
      </w:tblGrid>
      <w:tr w:rsidR="0054669E" w:rsidRPr="001276CB" w14:paraId="0A9B66B4" w14:textId="77777777" w:rsidTr="00E66E24">
        <w:trPr>
          <w:trHeight w:val="20"/>
          <w:tblHeader/>
        </w:trPr>
        <w:tc>
          <w:tcPr>
            <w:tcW w:w="776" w:type="pct"/>
            <w:noWrap/>
            <w:hideMark/>
          </w:tcPr>
          <w:p w14:paraId="23849449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1384" w:type="pct"/>
            <w:hideMark/>
          </w:tcPr>
          <w:p w14:paraId="3039866B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2840" w:type="pct"/>
          </w:tcPr>
          <w:p w14:paraId="29E67ECE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Item Number</w:t>
            </w:r>
          </w:p>
        </w:tc>
      </w:tr>
      <w:tr w:rsidR="0054669E" w:rsidRPr="001276CB" w14:paraId="46A57BB4" w14:textId="77777777" w:rsidTr="00E66E24">
        <w:trPr>
          <w:trHeight w:val="20"/>
        </w:trPr>
        <w:tc>
          <w:tcPr>
            <w:tcW w:w="776" w:type="pct"/>
            <w:noWrap/>
          </w:tcPr>
          <w:p w14:paraId="2D720CE2" w14:textId="77777777" w:rsidR="0054669E" w:rsidRPr="001276CB" w:rsidRDefault="0054669E" w:rsidP="00E66E24">
            <w:pPr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P9</w:t>
            </w:r>
          </w:p>
        </w:tc>
        <w:tc>
          <w:tcPr>
            <w:tcW w:w="1384" w:type="pct"/>
          </w:tcPr>
          <w:p w14:paraId="0B651179" w14:textId="51012F99" w:rsidR="0054669E" w:rsidRPr="001276CB" w:rsidRDefault="0054669E" w:rsidP="00E66E24">
            <w:pPr>
              <w:spacing w:after="0" w:line="240" w:lineRule="auto"/>
              <w:rPr>
                <w:rFonts w:eastAsia="Calibri"/>
                <w:sz w:val="20"/>
                <w:szCs w:val="20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Simple basic pathology tests</w:t>
            </w:r>
          </w:p>
        </w:tc>
        <w:tc>
          <w:tcPr>
            <w:tcW w:w="2840" w:type="pct"/>
          </w:tcPr>
          <w:p w14:paraId="3F5BFA7E" w14:textId="77777777" w:rsidR="0054669E" w:rsidRPr="001276CB" w:rsidRDefault="0054669E" w:rsidP="00E66E24">
            <w:pPr>
              <w:spacing w:after="0" w:line="240" w:lineRule="auto"/>
              <w:rPr>
                <w:rFonts w:eastAsia="Calibri"/>
                <w:sz w:val="20"/>
                <w:szCs w:val="20"/>
                <w:lang w:val="en-US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73806</w:t>
            </w:r>
          </w:p>
        </w:tc>
      </w:tr>
      <w:bookmarkEnd w:id="7"/>
      <w:bookmarkEnd w:id="8"/>
      <w:bookmarkEnd w:id="15"/>
      <w:bookmarkEnd w:id="16"/>
      <w:bookmarkEnd w:id="17"/>
    </w:tbl>
    <w:p w14:paraId="42A11CEA" w14:textId="77777777" w:rsidR="0054669E" w:rsidRPr="001276CB" w:rsidRDefault="0054669E" w:rsidP="0054669E">
      <w:pPr>
        <w:rPr>
          <w:b/>
          <w:caps/>
        </w:rPr>
      </w:pPr>
      <w:r w:rsidRPr="001276CB">
        <w:rPr>
          <w:b/>
          <w:caps/>
        </w:rPr>
        <w:br w:type="page"/>
      </w:r>
    </w:p>
    <w:p w14:paraId="39DF2622" w14:textId="77777777" w:rsidR="0054669E" w:rsidRPr="001276CB" w:rsidRDefault="0054669E" w:rsidP="0054669E">
      <w:pPr>
        <w:rPr>
          <w:b/>
        </w:rPr>
      </w:pPr>
      <w:r w:rsidRPr="001276CB">
        <w:rPr>
          <w:b/>
        </w:rPr>
        <w:lastRenderedPageBreak/>
        <w:t>SCHEDULE B</w:t>
      </w:r>
    </w:p>
    <w:p w14:paraId="40C6BA1F" w14:textId="77777777" w:rsidR="0054669E" w:rsidRPr="001276CB" w:rsidRDefault="0054669E" w:rsidP="0054669E">
      <w:pPr>
        <w:rPr>
          <w:b/>
        </w:rPr>
      </w:pPr>
      <w:r w:rsidRPr="001276CB">
        <w:rPr>
          <w:b/>
        </w:rPr>
        <w:t>MEDICARE BENEFITS SCHEDULE ITEMS WHERE A CLINIC IS LOCATED IN MMM 1 LOCATIONS</w:t>
      </w:r>
    </w:p>
    <w:p w14:paraId="22DF13F3" w14:textId="77777777" w:rsidR="0054669E" w:rsidRPr="001276CB" w:rsidRDefault="0054669E" w:rsidP="0054669E">
      <w:pPr>
        <w:rPr>
          <w:bCs/>
        </w:rPr>
      </w:pPr>
      <w:r w:rsidRPr="001276CB">
        <w:rPr>
          <w:bCs/>
        </w:rPr>
        <w:t>For services listed in the below tables, all provisions of the Act and regulations made under the Act, and the </w:t>
      </w:r>
      <w:r w:rsidRPr="001276CB">
        <w:rPr>
          <w:bCs/>
          <w:i/>
          <w:iCs/>
        </w:rPr>
        <w:t>National Health Act 1953</w:t>
      </w:r>
      <w:r w:rsidRPr="001276CB">
        <w:rPr>
          <w:bCs/>
        </w:rPr>
        <w:t xml:space="preserve"> and regulations made under the </w:t>
      </w:r>
      <w:r w:rsidRPr="001276CB">
        <w:rPr>
          <w:bCs/>
          <w:i/>
          <w:iCs/>
        </w:rPr>
        <w:t>National Health Act 1953</w:t>
      </w:r>
      <w:r w:rsidRPr="001276CB">
        <w:rPr>
          <w:bCs/>
        </w:rPr>
        <w:t xml:space="preserve">, relating to medical services, professional services or items apply. </w:t>
      </w:r>
    </w:p>
    <w:p w14:paraId="630D1F33" w14:textId="77777777" w:rsidR="0054669E" w:rsidRPr="001276CB" w:rsidRDefault="0054669E" w:rsidP="0054669E">
      <w:pPr>
        <w:rPr>
          <w:b/>
          <w:i/>
          <w:iCs/>
        </w:rPr>
      </w:pPr>
      <w:r w:rsidRPr="001276CB">
        <w:rPr>
          <w:b/>
          <w:i/>
          <w:iCs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54669E" w:rsidRPr="001276CB" w14:paraId="67D745B0" w14:textId="77777777" w:rsidTr="00E66E24">
        <w:trPr>
          <w:trHeight w:val="411"/>
          <w:tblHeader/>
        </w:trPr>
        <w:tc>
          <w:tcPr>
            <w:tcW w:w="789" w:type="dxa"/>
            <w:noWrap/>
            <w:hideMark/>
          </w:tcPr>
          <w:p w14:paraId="0972E423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25" w:type="dxa"/>
            <w:hideMark/>
          </w:tcPr>
          <w:p w14:paraId="17A6C8D1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noWrap/>
            <w:hideMark/>
          </w:tcPr>
          <w:p w14:paraId="7472B2F1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59" w:type="dxa"/>
            <w:hideMark/>
          </w:tcPr>
          <w:p w14:paraId="6F47D084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311759A8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Item Number</w:t>
            </w:r>
          </w:p>
        </w:tc>
      </w:tr>
      <w:tr w:rsidR="0054669E" w:rsidRPr="001276CB" w14:paraId="695FE32C" w14:textId="77777777" w:rsidTr="00E66E24">
        <w:trPr>
          <w:trHeight w:val="175"/>
        </w:trPr>
        <w:tc>
          <w:tcPr>
            <w:tcW w:w="789" w:type="dxa"/>
            <w:noWrap/>
          </w:tcPr>
          <w:p w14:paraId="489971F7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bookmarkStart w:id="18" w:name="_Hlk167959822"/>
            <w:r w:rsidRPr="001276CB">
              <w:rPr>
                <w:rFonts w:eastAsia="Times New Roman"/>
                <w:sz w:val="20"/>
                <w:szCs w:val="20"/>
                <w:lang w:eastAsia="en-AU"/>
              </w:rPr>
              <w:t>A2</w:t>
            </w:r>
          </w:p>
        </w:tc>
        <w:tc>
          <w:tcPr>
            <w:tcW w:w="2325" w:type="dxa"/>
          </w:tcPr>
          <w:p w14:paraId="41B5E254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Other non-referred attendances to which no other item applies</w:t>
            </w:r>
          </w:p>
        </w:tc>
        <w:tc>
          <w:tcPr>
            <w:tcW w:w="1183" w:type="dxa"/>
            <w:noWrap/>
          </w:tcPr>
          <w:p w14:paraId="79B882EF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359" w:type="dxa"/>
          </w:tcPr>
          <w:p w14:paraId="36840389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Other medical practitioner attendances</w:t>
            </w:r>
          </w:p>
        </w:tc>
        <w:tc>
          <w:tcPr>
            <w:tcW w:w="2360" w:type="dxa"/>
          </w:tcPr>
          <w:p w14:paraId="01886A3A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52, 53, 54, 57</w:t>
            </w:r>
          </w:p>
        </w:tc>
      </w:tr>
      <w:tr w:rsidR="0054669E" w:rsidRPr="001276CB" w14:paraId="32B148AA" w14:textId="77777777" w:rsidTr="00E66E24">
        <w:trPr>
          <w:trHeight w:val="175"/>
        </w:trPr>
        <w:tc>
          <w:tcPr>
            <w:tcW w:w="789" w:type="dxa"/>
            <w:noWrap/>
          </w:tcPr>
          <w:p w14:paraId="1E9B005B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bookmarkStart w:id="19" w:name="_Hlk167959854"/>
            <w:bookmarkEnd w:id="18"/>
            <w:r w:rsidRPr="001276CB">
              <w:rPr>
                <w:rFonts w:eastAsia="Times New Roman"/>
                <w:sz w:val="20"/>
                <w:szCs w:val="20"/>
                <w:lang w:eastAsia="en-AU"/>
              </w:rPr>
              <w:t>A23</w:t>
            </w:r>
          </w:p>
        </w:tc>
        <w:tc>
          <w:tcPr>
            <w:tcW w:w="5867" w:type="dxa"/>
            <w:gridSpan w:val="3"/>
          </w:tcPr>
          <w:p w14:paraId="3B695B2E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Other non-referred after-hours attendances to which no other item applies</w:t>
            </w:r>
          </w:p>
        </w:tc>
        <w:tc>
          <w:tcPr>
            <w:tcW w:w="2360" w:type="dxa"/>
          </w:tcPr>
          <w:p w14:paraId="53DBCF6C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5200, 5203, 5207, 5208</w:t>
            </w:r>
          </w:p>
        </w:tc>
      </w:tr>
    </w:tbl>
    <w:bookmarkEnd w:id="19"/>
    <w:p w14:paraId="563D60D9" w14:textId="77777777" w:rsidR="0054669E" w:rsidRPr="001276CB" w:rsidRDefault="0054669E" w:rsidP="0054669E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r w:rsidRPr="001276CB">
        <w:rPr>
          <w:i/>
          <w:iCs/>
          <w:sz w:val="18"/>
          <w:szCs w:val="18"/>
        </w:rPr>
        <w:t>*Note: Claims under any item in Group A2 and A23 in the General Medical Services Table may only be exempt from subsection 19(2) of the Act</w:t>
      </w:r>
      <w:r w:rsidRPr="001276CB" w:rsidDel="00361262">
        <w:rPr>
          <w:i/>
          <w:iCs/>
          <w:sz w:val="18"/>
          <w:szCs w:val="18"/>
        </w:rPr>
        <w:t xml:space="preserve"> </w:t>
      </w:r>
      <w:r w:rsidRPr="001276CB">
        <w:rPr>
          <w:i/>
          <w:iCs/>
          <w:sz w:val="18"/>
          <w:szCs w:val="18"/>
        </w:rPr>
        <w:t>when the services are claimed by a Prescribed Medical Practitioner operating under the Medicare Urgent Care Clinic Program.</w:t>
      </w:r>
    </w:p>
    <w:p w14:paraId="0BB93C6D" w14:textId="77777777" w:rsidR="0054669E" w:rsidRPr="001276CB" w:rsidRDefault="0054669E" w:rsidP="0054669E">
      <w:pPr>
        <w:rPr>
          <w:bCs/>
          <w:caps/>
        </w:rPr>
      </w:pPr>
    </w:p>
    <w:p w14:paraId="5C4FE209" w14:textId="77777777" w:rsidR="0054669E" w:rsidRPr="001276CB" w:rsidRDefault="0054669E" w:rsidP="0054669E">
      <w:pPr>
        <w:rPr>
          <w:b/>
          <w:caps/>
        </w:rPr>
      </w:pPr>
      <w:r w:rsidRPr="001276CB">
        <w:rPr>
          <w:b/>
          <w:caps/>
        </w:rPr>
        <w:br w:type="page"/>
      </w:r>
    </w:p>
    <w:p w14:paraId="7F9F5532" w14:textId="77777777" w:rsidR="0054669E" w:rsidRPr="001276CB" w:rsidRDefault="0054669E" w:rsidP="0054669E">
      <w:pPr>
        <w:rPr>
          <w:b/>
        </w:rPr>
      </w:pPr>
      <w:r w:rsidRPr="001276CB">
        <w:rPr>
          <w:b/>
        </w:rPr>
        <w:lastRenderedPageBreak/>
        <w:t>SCHEDULE C</w:t>
      </w:r>
    </w:p>
    <w:p w14:paraId="1E946EE1" w14:textId="77777777" w:rsidR="0054669E" w:rsidRPr="001276CB" w:rsidRDefault="0054669E" w:rsidP="0054669E">
      <w:pPr>
        <w:rPr>
          <w:b/>
        </w:rPr>
      </w:pPr>
      <w:r w:rsidRPr="001276CB">
        <w:rPr>
          <w:b/>
        </w:rPr>
        <w:t>MEDICARE BENEFITS SCHEDULE ITEMS WHERE A CLINIC IS LOCATED IN MMM 2-7 LOCATIONS</w:t>
      </w:r>
    </w:p>
    <w:p w14:paraId="3F6E7033" w14:textId="77777777" w:rsidR="0054669E" w:rsidRPr="001276CB" w:rsidRDefault="0054669E" w:rsidP="0054669E">
      <w:pPr>
        <w:rPr>
          <w:bCs/>
        </w:rPr>
      </w:pPr>
      <w:r w:rsidRPr="001276CB">
        <w:rPr>
          <w:bCs/>
        </w:rPr>
        <w:t>For services listed in the below tables, all provisions of the Act and regulations made under the Act, and the </w:t>
      </w:r>
      <w:r w:rsidRPr="001276CB">
        <w:rPr>
          <w:bCs/>
          <w:i/>
          <w:iCs/>
        </w:rPr>
        <w:t>National Health Act 1953</w:t>
      </w:r>
      <w:r w:rsidRPr="001276CB">
        <w:rPr>
          <w:bCs/>
        </w:rPr>
        <w:t xml:space="preserve"> and regulations made under the </w:t>
      </w:r>
      <w:r w:rsidRPr="001276CB">
        <w:rPr>
          <w:bCs/>
          <w:i/>
          <w:iCs/>
        </w:rPr>
        <w:t>National Health Act 1953</w:t>
      </w:r>
      <w:r w:rsidRPr="001276CB">
        <w:rPr>
          <w:bCs/>
        </w:rPr>
        <w:t xml:space="preserve">, relating to medical services, professional services or items apply. </w:t>
      </w:r>
    </w:p>
    <w:p w14:paraId="0AD332CA" w14:textId="77777777" w:rsidR="0054669E" w:rsidRPr="001276CB" w:rsidRDefault="0054669E" w:rsidP="0054669E">
      <w:pPr>
        <w:rPr>
          <w:b/>
          <w:i/>
          <w:iCs/>
        </w:rPr>
      </w:pPr>
      <w:r w:rsidRPr="001276CB">
        <w:rPr>
          <w:b/>
          <w:i/>
          <w:iCs/>
        </w:rPr>
        <w:t xml:space="preserve">General Medical Services Table </w:t>
      </w:r>
    </w:p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9"/>
        <w:gridCol w:w="2325"/>
        <w:gridCol w:w="1183"/>
        <w:gridCol w:w="2359"/>
        <w:gridCol w:w="2360"/>
      </w:tblGrid>
      <w:tr w:rsidR="0054669E" w:rsidRPr="001276CB" w14:paraId="2CBD388A" w14:textId="77777777" w:rsidTr="00E66E24">
        <w:trPr>
          <w:trHeight w:val="411"/>
          <w:tblHeader/>
        </w:trPr>
        <w:tc>
          <w:tcPr>
            <w:tcW w:w="789" w:type="dxa"/>
            <w:noWrap/>
            <w:hideMark/>
          </w:tcPr>
          <w:p w14:paraId="63503630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</w:t>
            </w:r>
          </w:p>
        </w:tc>
        <w:tc>
          <w:tcPr>
            <w:tcW w:w="2325" w:type="dxa"/>
            <w:hideMark/>
          </w:tcPr>
          <w:p w14:paraId="173BC23B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Group Name </w:t>
            </w:r>
          </w:p>
        </w:tc>
        <w:tc>
          <w:tcPr>
            <w:tcW w:w="1183" w:type="dxa"/>
            <w:noWrap/>
            <w:hideMark/>
          </w:tcPr>
          <w:p w14:paraId="6A970F6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 xml:space="preserve">Subgroup </w:t>
            </w:r>
          </w:p>
        </w:tc>
        <w:tc>
          <w:tcPr>
            <w:tcW w:w="2359" w:type="dxa"/>
            <w:hideMark/>
          </w:tcPr>
          <w:p w14:paraId="40369E3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Subgroup Name</w:t>
            </w:r>
          </w:p>
        </w:tc>
        <w:tc>
          <w:tcPr>
            <w:tcW w:w="2360" w:type="dxa"/>
          </w:tcPr>
          <w:p w14:paraId="0A605583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b/>
                <w:bCs/>
                <w:sz w:val="20"/>
                <w:szCs w:val="20"/>
                <w:lang w:eastAsia="en-AU"/>
              </w:rPr>
              <w:t>Item Number</w:t>
            </w:r>
          </w:p>
        </w:tc>
      </w:tr>
      <w:tr w:rsidR="0054669E" w:rsidRPr="001276CB" w14:paraId="4D558568" w14:textId="77777777" w:rsidTr="00E66E24">
        <w:trPr>
          <w:trHeight w:val="175"/>
        </w:trPr>
        <w:tc>
          <w:tcPr>
            <w:tcW w:w="789" w:type="dxa"/>
            <w:vMerge w:val="restart"/>
            <w:noWrap/>
          </w:tcPr>
          <w:p w14:paraId="722ED794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A7</w:t>
            </w:r>
          </w:p>
        </w:tc>
        <w:tc>
          <w:tcPr>
            <w:tcW w:w="2325" w:type="dxa"/>
            <w:vMerge w:val="restart"/>
          </w:tcPr>
          <w:p w14:paraId="0A11339E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Acupuncture and non-specialist practitioner items</w:t>
            </w:r>
          </w:p>
        </w:tc>
        <w:tc>
          <w:tcPr>
            <w:tcW w:w="1183" w:type="dxa"/>
            <w:noWrap/>
          </w:tcPr>
          <w:p w14:paraId="50F5E8C6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359" w:type="dxa"/>
          </w:tcPr>
          <w:p w14:paraId="04EFCC80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Prescribed medical practitioner attendance to which no other item applies</w:t>
            </w:r>
          </w:p>
        </w:tc>
        <w:tc>
          <w:tcPr>
            <w:tcW w:w="2360" w:type="dxa"/>
          </w:tcPr>
          <w:p w14:paraId="7E84F26F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179, 185, 189, 203</w:t>
            </w:r>
          </w:p>
        </w:tc>
      </w:tr>
      <w:tr w:rsidR="0054669E" w:rsidRPr="001276CB" w14:paraId="24CB22C2" w14:textId="77777777" w:rsidTr="00E66E24">
        <w:trPr>
          <w:trHeight w:val="175"/>
        </w:trPr>
        <w:tc>
          <w:tcPr>
            <w:tcW w:w="789" w:type="dxa"/>
            <w:vMerge/>
            <w:noWrap/>
          </w:tcPr>
          <w:p w14:paraId="64EBD500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2325" w:type="dxa"/>
            <w:vMerge/>
          </w:tcPr>
          <w:p w14:paraId="46574242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</w:p>
        </w:tc>
        <w:tc>
          <w:tcPr>
            <w:tcW w:w="1183" w:type="dxa"/>
            <w:noWrap/>
          </w:tcPr>
          <w:p w14:paraId="1C95AEFA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359" w:type="dxa"/>
          </w:tcPr>
          <w:p w14:paraId="35666DDC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Prescribed Medical Practitioner after‑hours attendances to which no other item applies</w:t>
            </w:r>
          </w:p>
        </w:tc>
        <w:tc>
          <w:tcPr>
            <w:tcW w:w="2360" w:type="dxa"/>
          </w:tcPr>
          <w:p w14:paraId="35915DE0" w14:textId="77777777" w:rsidR="0054669E" w:rsidRPr="001276CB" w:rsidRDefault="0054669E" w:rsidP="00E66E2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en-AU"/>
              </w:rPr>
            </w:pPr>
            <w:r w:rsidRPr="001276CB">
              <w:rPr>
                <w:rFonts w:eastAsia="Times New Roman"/>
                <w:sz w:val="20"/>
                <w:szCs w:val="20"/>
                <w:lang w:eastAsia="en-AU"/>
              </w:rPr>
              <w:t>733, 737, 741, 745</w:t>
            </w:r>
          </w:p>
        </w:tc>
      </w:tr>
    </w:tbl>
    <w:p w14:paraId="200131CA" w14:textId="77777777" w:rsidR="0054669E" w:rsidRPr="001276CB" w:rsidRDefault="0054669E" w:rsidP="0054669E">
      <w:pPr>
        <w:pStyle w:val="NormalWeb"/>
        <w:spacing w:before="0" w:beforeAutospacing="0" w:after="0" w:afterAutospacing="0"/>
        <w:rPr>
          <w:i/>
          <w:iCs/>
          <w:sz w:val="18"/>
          <w:szCs w:val="18"/>
        </w:rPr>
      </w:pPr>
      <w:r w:rsidRPr="001276CB">
        <w:rPr>
          <w:i/>
          <w:iCs/>
          <w:sz w:val="18"/>
          <w:szCs w:val="18"/>
        </w:rPr>
        <w:t>*Note: Claims under any item in Group A7 in the General Medical Services Table may only be exempt from subsection 19(2) of the Act</w:t>
      </w:r>
      <w:r w:rsidRPr="001276CB" w:rsidDel="00361262">
        <w:rPr>
          <w:i/>
          <w:iCs/>
          <w:sz w:val="18"/>
          <w:szCs w:val="18"/>
        </w:rPr>
        <w:t xml:space="preserve"> </w:t>
      </w:r>
      <w:r w:rsidRPr="001276CB">
        <w:rPr>
          <w:i/>
          <w:iCs/>
          <w:sz w:val="18"/>
          <w:szCs w:val="18"/>
        </w:rPr>
        <w:t>when the services are claimed by a Prescribed Medical Practitioner operating under the Medicare Urgent Care Clinic Program.</w:t>
      </w:r>
    </w:p>
    <w:bookmarkEnd w:id="9"/>
    <w:p w14:paraId="68DFC688" w14:textId="77777777" w:rsidR="0054669E" w:rsidRPr="001276CB" w:rsidRDefault="0054669E" w:rsidP="0054669E">
      <w:pPr>
        <w:spacing w:after="0"/>
        <w:rPr>
          <w:bCs/>
          <w:caps/>
        </w:rPr>
      </w:pPr>
    </w:p>
    <w:bookmarkEnd w:id="10"/>
    <w:p w14:paraId="6BD0396D" w14:textId="77777777" w:rsidR="0054669E" w:rsidRPr="001276CB" w:rsidRDefault="0054669E" w:rsidP="0054669E">
      <w:pPr>
        <w:rPr>
          <w:b/>
          <w:caps/>
        </w:rPr>
      </w:pPr>
      <w:r w:rsidRPr="001276CB">
        <w:rPr>
          <w:b/>
          <w:caps/>
        </w:rPr>
        <w:br w:type="page"/>
      </w:r>
    </w:p>
    <w:p w14:paraId="2E380BA0" w14:textId="77777777" w:rsidR="0054669E" w:rsidRPr="001276CB" w:rsidRDefault="0054669E" w:rsidP="0054669E">
      <w:pPr>
        <w:rPr>
          <w:b/>
        </w:rPr>
      </w:pPr>
      <w:bookmarkStart w:id="20" w:name="_Hlk167444987"/>
      <w:bookmarkStart w:id="21" w:name="_Hlk167446175"/>
      <w:bookmarkEnd w:id="6"/>
      <w:r w:rsidRPr="001276CB">
        <w:rPr>
          <w:b/>
        </w:rPr>
        <w:lastRenderedPageBreak/>
        <w:t>SCHEDULE D</w:t>
      </w:r>
    </w:p>
    <w:p w14:paraId="3722CADF" w14:textId="77777777" w:rsidR="0054669E" w:rsidRPr="001276CB" w:rsidRDefault="0054669E" w:rsidP="0054669E">
      <w:pPr>
        <w:rPr>
          <w:b/>
        </w:rPr>
      </w:pPr>
      <w:r w:rsidRPr="001276CB">
        <w:rPr>
          <w:b/>
        </w:rPr>
        <w:t xml:space="preserve">APPROVED MMM 1 PRACTICE LOCATIONS AS AGREED UNDER THE URGENT CARE SERVICES AGREEMENT BETWEEN THE COMMONWEALTH AND THE STATE OF NEW SOUTH WALES </w:t>
      </w:r>
      <w:bookmarkEnd w:id="20"/>
    </w:p>
    <w:p w14:paraId="4CCDAD5E" w14:textId="77777777" w:rsidR="0054669E" w:rsidRPr="001276CB" w:rsidRDefault="0054669E" w:rsidP="0054669E">
      <w:pPr>
        <w:rPr>
          <w:bCs/>
        </w:rPr>
      </w:pPr>
      <w:r w:rsidRPr="001276CB">
        <w:rPr>
          <w:bCs/>
        </w:rPr>
        <w:t>Approved primary care locations: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2126"/>
        <w:gridCol w:w="2217"/>
      </w:tblGrid>
      <w:tr w:rsidR="0054669E" w:rsidRPr="001276CB" w14:paraId="7EC8C0F8" w14:textId="77777777" w:rsidTr="00E66E24">
        <w:trPr>
          <w:trHeight w:val="624"/>
        </w:trPr>
        <w:tc>
          <w:tcPr>
            <w:tcW w:w="851" w:type="dxa"/>
          </w:tcPr>
          <w:bookmarkEnd w:id="21"/>
          <w:p w14:paraId="0980DF9F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276CB">
              <w:rPr>
                <w:b/>
              </w:rPr>
              <w:t xml:space="preserve">State </w:t>
            </w:r>
          </w:p>
        </w:tc>
        <w:tc>
          <w:tcPr>
            <w:tcW w:w="1701" w:type="dxa"/>
          </w:tcPr>
          <w:p w14:paraId="300F7C87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276CB">
              <w:rPr>
                <w:b/>
              </w:rPr>
              <w:t>MMM 1 Location</w:t>
            </w:r>
          </w:p>
        </w:tc>
        <w:tc>
          <w:tcPr>
            <w:tcW w:w="2126" w:type="dxa"/>
          </w:tcPr>
          <w:p w14:paraId="5D290F7F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276CB">
              <w:rPr>
                <w:b/>
              </w:rPr>
              <w:t>Practice Name</w:t>
            </w:r>
          </w:p>
        </w:tc>
        <w:tc>
          <w:tcPr>
            <w:tcW w:w="2126" w:type="dxa"/>
          </w:tcPr>
          <w:p w14:paraId="0B446DC8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276CB">
              <w:rPr>
                <w:b/>
              </w:rPr>
              <w:t>Legal Name</w:t>
            </w:r>
          </w:p>
        </w:tc>
        <w:tc>
          <w:tcPr>
            <w:tcW w:w="2217" w:type="dxa"/>
          </w:tcPr>
          <w:p w14:paraId="5B3441AF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276CB">
              <w:rPr>
                <w:b/>
              </w:rPr>
              <w:t>Street Address</w:t>
            </w:r>
          </w:p>
        </w:tc>
      </w:tr>
      <w:tr w:rsidR="0054669E" w:rsidRPr="001276CB" w14:paraId="74F1D631" w14:textId="77777777" w:rsidTr="00E66E24">
        <w:trPr>
          <w:trHeight w:val="624"/>
        </w:trPr>
        <w:tc>
          <w:tcPr>
            <w:tcW w:w="851" w:type="dxa"/>
          </w:tcPr>
          <w:p w14:paraId="769FE798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NSW</w:t>
            </w:r>
          </w:p>
        </w:tc>
        <w:tc>
          <w:tcPr>
            <w:tcW w:w="1701" w:type="dxa"/>
          </w:tcPr>
          <w:p w14:paraId="6F84BC02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Auburn</w:t>
            </w:r>
          </w:p>
        </w:tc>
        <w:tc>
          <w:tcPr>
            <w:tcW w:w="2126" w:type="dxa"/>
          </w:tcPr>
          <w:p w14:paraId="522D9A6D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NAS Advance Medical Centre Auburn</w:t>
            </w:r>
          </w:p>
        </w:tc>
        <w:tc>
          <w:tcPr>
            <w:tcW w:w="2126" w:type="dxa"/>
          </w:tcPr>
          <w:p w14:paraId="3A8A319F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</w:pPr>
            <w:r w:rsidRPr="001276CB">
              <w:t>NOUSSAIR &amp; NOSIR PTY LTD &amp; RAOUL SELIM PTY LTD</w:t>
            </w:r>
          </w:p>
        </w:tc>
        <w:tc>
          <w:tcPr>
            <w:tcW w:w="2217" w:type="dxa"/>
          </w:tcPr>
          <w:p w14:paraId="629E7B6C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 xml:space="preserve">79 Auburn Road, Auburn NSW 2144, </w:t>
            </w:r>
          </w:p>
        </w:tc>
      </w:tr>
      <w:tr w:rsidR="00CE499E" w:rsidRPr="001276CB" w14:paraId="72C86AD6" w14:textId="77777777" w:rsidTr="00E66E24">
        <w:trPr>
          <w:trHeight w:val="624"/>
        </w:trPr>
        <w:tc>
          <w:tcPr>
            <w:tcW w:w="851" w:type="dxa"/>
          </w:tcPr>
          <w:p w14:paraId="3A188234" w14:textId="59DD16A1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NSW</w:t>
            </w:r>
          </w:p>
        </w:tc>
        <w:tc>
          <w:tcPr>
            <w:tcW w:w="1701" w:type="dxa"/>
          </w:tcPr>
          <w:p w14:paraId="5947E552" w14:textId="11BA0CF0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 xml:space="preserve">Belmore </w:t>
            </w:r>
          </w:p>
        </w:tc>
        <w:tc>
          <w:tcPr>
            <w:tcW w:w="2126" w:type="dxa"/>
          </w:tcPr>
          <w:p w14:paraId="3635723A" w14:textId="298EFCA0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 xml:space="preserve">Belmore Medical Services </w:t>
            </w:r>
          </w:p>
        </w:tc>
        <w:tc>
          <w:tcPr>
            <w:tcW w:w="2126" w:type="dxa"/>
          </w:tcPr>
          <w:p w14:paraId="3B6BE314" w14:textId="6D7E4AC2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</w:pPr>
            <w:r w:rsidRPr="001276CB">
              <w:rPr>
                <w:bCs/>
              </w:rPr>
              <w:t>Belmore Medical Services Pty Ltd</w:t>
            </w:r>
          </w:p>
        </w:tc>
        <w:tc>
          <w:tcPr>
            <w:tcW w:w="2217" w:type="dxa"/>
          </w:tcPr>
          <w:p w14:paraId="34F33F19" w14:textId="2106DD01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479 Burwood Road, Belmore NSW 2192</w:t>
            </w:r>
          </w:p>
        </w:tc>
      </w:tr>
      <w:tr w:rsidR="00CE499E" w:rsidRPr="001276CB" w14:paraId="7B04EA48" w14:textId="77777777" w:rsidTr="00E66E24">
        <w:trPr>
          <w:trHeight w:val="624"/>
        </w:trPr>
        <w:tc>
          <w:tcPr>
            <w:tcW w:w="851" w:type="dxa"/>
          </w:tcPr>
          <w:p w14:paraId="7CB30E95" w14:textId="77777777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NSW</w:t>
            </w:r>
          </w:p>
        </w:tc>
        <w:tc>
          <w:tcPr>
            <w:tcW w:w="1701" w:type="dxa"/>
          </w:tcPr>
          <w:p w14:paraId="7C4362D6" w14:textId="77777777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Caringbah</w:t>
            </w:r>
          </w:p>
        </w:tc>
        <w:tc>
          <w:tcPr>
            <w:tcW w:w="2126" w:type="dxa"/>
          </w:tcPr>
          <w:p w14:paraId="40339D8F" w14:textId="77777777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Caringbah Medical and Dental Centre</w:t>
            </w:r>
          </w:p>
        </w:tc>
        <w:tc>
          <w:tcPr>
            <w:tcW w:w="2126" w:type="dxa"/>
          </w:tcPr>
          <w:p w14:paraId="17304D7F" w14:textId="77777777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</w:pPr>
            <w:r w:rsidRPr="001276CB">
              <w:t>The Trustee for ARTLU UNIT TRUST</w:t>
            </w:r>
          </w:p>
        </w:tc>
        <w:tc>
          <w:tcPr>
            <w:tcW w:w="2217" w:type="dxa"/>
          </w:tcPr>
          <w:p w14:paraId="3319ACBF" w14:textId="77777777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42 President Avenue, Caringbah NSW 2229</w:t>
            </w:r>
          </w:p>
        </w:tc>
      </w:tr>
      <w:tr w:rsidR="00CE499E" w:rsidRPr="001276CB" w14:paraId="23DA845C" w14:textId="77777777" w:rsidTr="00E66E24">
        <w:trPr>
          <w:trHeight w:val="624"/>
        </w:trPr>
        <w:tc>
          <w:tcPr>
            <w:tcW w:w="851" w:type="dxa"/>
          </w:tcPr>
          <w:p w14:paraId="069CD6A1" w14:textId="77777777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NSW</w:t>
            </w:r>
          </w:p>
        </w:tc>
        <w:tc>
          <w:tcPr>
            <w:tcW w:w="1701" w:type="dxa"/>
          </w:tcPr>
          <w:p w14:paraId="49E28560" w14:textId="77777777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Castle Hill</w:t>
            </w:r>
          </w:p>
        </w:tc>
        <w:tc>
          <w:tcPr>
            <w:tcW w:w="2126" w:type="dxa"/>
          </w:tcPr>
          <w:p w14:paraId="12239822" w14:textId="77777777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Health Zone Barwell Medical Centre</w:t>
            </w:r>
          </w:p>
        </w:tc>
        <w:tc>
          <w:tcPr>
            <w:tcW w:w="2126" w:type="dxa"/>
          </w:tcPr>
          <w:p w14:paraId="7A90052C" w14:textId="77777777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Health Zone Pty Ltd</w:t>
            </w:r>
          </w:p>
        </w:tc>
        <w:tc>
          <w:tcPr>
            <w:tcW w:w="2217" w:type="dxa"/>
          </w:tcPr>
          <w:p w14:paraId="02236B5D" w14:textId="77777777" w:rsidR="00CE499E" w:rsidRPr="001276CB" w:rsidRDefault="00CE499E" w:rsidP="00CE499E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16, 7-9 Barwell Avenue, Castle Hill NSW 2154</w:t>
            </w:r>
          </w:p>
        </w:tc>
      </w:tr>
      <w:tr w:rsidR="00A40259" w:rsidRPr="001276CB" w14:paraId="5B5D6256" w14:textId="77777777" w:rsidTr="00E66E24">
        <w:trPr>
          <w:trHeight w:val="624"/>
        </w:trPr>
        <w:tc>
          <w:tcPr>
            <w:tcW w:w="851" w:type="dxa"/>
          </w:tcPr>
          <w:p w14:paraId="12B13DB3" w14:textId="2E2CF6B5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NSW</w:t>
            </w:r>
          </w:p>
        </w:tc>
        <w:tc>
          <w:tcPr>
            <w:tcW w:w="1701" w:type="dxa"/>
          </w:tcPr>
          <w:p w14:paraId="3498BE31" w14:textId="0E0159FE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Green Square</w:t>
            </w:r>
          </w:p>
        </w:tc>
        <w:tc>
          <w:tcPr>
            <w:tcW w:w="2126" w:type="dxa"/>
          </w:tcPr>
          <w:p w14:paraId="62C5202F" w14:textId="64E62FC0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Green Square Health</w:t>
            </w:r>
          </w:p>
        </w:tc>
        <w:tc>
          <w:tcPr>
            <w:tcW w:w="2126" w:type="dxa"/>
          </w:tcPr>
          <w:p w14:paraId="3F70A8BB" w14:textId="6DC2C7B7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Core Clinical Solution Pty Ltd</w:t>
            </w:r>
          </w:p>
        </w:tc>
        <w:tc>
          <w:tcPr>
            <w:tcW w:w="2217" w:type="dxa"/>
          </w:tcPr>
          <w:p w14:paraId="6005D8DC" w14:textId="6474B80E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4/965 Bourke Street, Waterloo NSW 2017</w:t>
            </w:r>
          </w:p>
        </w:tc>
      </w:tr>
      <w:tr w:rsidR="00A40259" w:rsidRPr="001276CB" w14:paraId="2FF67B79" w14:textId="77777777" w:rsidTr="00E66E24">
        <w:trPr>
          <w:trHeight w:val="624"/>
        </w:trPr>
        <w:tc>
          <w:tcPr>
            <w:tcW w:w="851" w:type="dxa"/>
          </w:tcPr>
          <w:p w14:paraId="11149265" w14:textId="77777777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NSW</w:t>
            </w:r>
          </w:p>
        </w:tc>
        <w:tc>
          <w:tcPr>
            <w:tcW w:w="1701" w:type="dxa"/>
          </w:tcPr>
          <w:p w14:paraId="5D40F66B" w14:textId="77777777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Gregory Hills</w:t>
            </w:r>
          </w:p>
        </w:tc>
        <w:tc>
          <w:tcPr>
            <w:tcW w:w="2126" w:type="dxa"/>
          </w:tcPr>
          <w:p w14:paraId="203A5CE3" w14:textId="77777777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My Family Health Medical Centre</w:t>
            </w:r>
          </w:p>
        </w:tc>
        <w:tc>
          <w:tcPr>
            <w:tcW w:w="2126" w:type="dxa"/>
          </w:tcPr>
          <w:p w14:paraId="7A0A2729" w14:textId="77777777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</w:pPr>
            <w:r w:rsidRPr="001276CB">
              <w:t xml:space="preserve">The Trustee for </w:t>
            </w:r>
            <w:proofErr w:type="spellStart"/>
            <w:r w:rsidRPr="001276CB">
              <w:t>ak</w:t>
            </w:r>
            <w:proofErr w:type="spellEnd"/>
            <w:r w:rsidRPr="001276CB">
              <w:t xml:space="preserve"> and ds unit trust</w:t>
            </w:r>
          </w:p>
        </w:tc>
        <w:tc>
          <w:tcPr>
            <w:tcW w:w="2217" w:type="dxa"/>
          </w:tcPr>
          <w:p w14:paraId="728D40A9" w14:textId="77777777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Unit 2, 3 Rodeo Road, Gregory Hills NSW 2557</w:t>
            </w:r>
          </w:p>
        </w:tc>
      </w:tr>
      <w:tr w:rsidR="00A40259" w:rsidRPr="001276CB" w14:paraId="634471CD" w14:textId="77777777" w:rsidTr="00E66E24">
        <w:trPr>
          <w:trHeight w:val="624"/>
        </w:trPr>
        <w:tc>
          <w:tcPr>
            <w:tcW w:w="851" w:type="dxa"/>
          </w:tcPr>
          <w:p w14:paraId="538B4440" w14:textId="7AD9E0A2" w:rsidR="00A40259" w:rsidRPr="001276CB" w:rsidDel="00A40259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NSW</w:t>
            </w:r>
          </w:p>
        </w:tc>
        <w:tc>
          <w:tcPr>
            <w:tcW w:w="1701" w:type="dxa"/>
          </w:tcPr>
          <w:p w14:paraId="20C61C40" w14:textId="37BA42AA" w:rsidR="00A40259" w:rsidRPr="001276CB" w:rsidDel="00A40259" w:rsidRDefault="00920FB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Marsden Park</w:t>
            </w:r>
          </w:p>
        </w:tc>
        <w:tc>
          <w:tcPr>
            <w:tcW w:w="2126" w:type="dxa"/>
          </w:tcPr>
          <w:p w14:paraId="6B368449" w14:textId="4AA0541A" w:rsidR="00A40259" w:rsidRPr="001276CB" w:rsidDel="00A40259" w:rsidRDefault="00920FB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Castle Medical Marsden Park</w:t>
            </w:r>
          </w:p>
        </w:tc>
        <w:tc>
          <w:tcPr>
            <w:tcW w:w="2126" w:type="dxa"/>
          </w:tcPr>
          <w:p w14:paraId="257DD7D6" w14:textId="23861306" w:rsidR="00A40259" w:rsidRPr="001276CB" w:rsidDel="00A40259" w:rsidRDefault="008342CC" w:rsidP="00006B44">
            <w:pPr>
              <w:pStyle w:val="NormalWeb"/>
              <w:spacing w:after="240" w:line="281" w:lineRule="atLeast"/>
              <w:rPr>
                <w:bCs/>
                <w:lang w:val="en-GB"/>
              </w:rPr>
            </w:pPr>
            <w:r w:rsidRPr="001276CB">
              <w:rPr>
                <w:bCs/>
                <w:lang w:val="en-GB"/>
              </w:rPr>
              <w:t>Castle Medical Centre Marsden Park PTY LTD</w:t>
            </w:r>
          </w:p>
        </w:tc>
        <w:tc>
          <w:tcPr>
            <w:tcW w:w="2217" w:type="dxa"/>
          </w:tcPr>
          <w:p w14:paraId="67CDF532" w14:textId="2B88DAEF" w:rsidR="00A40259" w:rsidRPr="001276CB" w:rsidDel="00A40259" w:rsidRDefault="00061384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5/101 Elara Blvd, Marsden Park NSW 2765</w:t>
            </w:r>
          </w:p>
        </w:tc>
      </w:tr>
      <w:tr w:rsidR="00A40259" w:rsidRPr="001276CB" w14:paraId="202F0DB7" w14:textId="77777777" w:rsidTr="00E66E24">
        <w:trPr>
          <w:trHeight w:val="624"/>
        </w:trPr>
        <w:tc>
          <w:tcPr>
            <w:tcW w:w="851" w:type="dxa"/>
          </w:tcPr>
          <w:p w14:paraId="79088DCF" w14:textId="77777777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NSW</w:t>
            </w:r>
          </w:p>
        </w:tc>
        <w:tc>
          <w:tcPr>
            <w:tcW w:w="1701" w:type="dxa"/>
          </w:tcPr>
          <w:p w14:paraId="58353569" w14:textId="77777777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North Richmond</w:t>
            </w:r>
          </w:p>
        </w:tc>
        <w:tc>
          <w:tcPr>
            <w:tcW w:w="2126" w:type="dxa"/>
          </w:tcPr>
          <w:p w14:paraId="0C4ED6B0" w14:textId="77777777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proofErr w:type="spellStart"/>
            <w:r w:rsidRPr="001276CB">
              <w:rPr>
                <w:bCs/>
              </w:rPr>
              <w:t>MyHealth</w:t>
            </w:r>
            <w:proofErr w:type="spellEnd"/>
            <w:r w:rsidRPr="001276CB">
              <w:rPr>
                <w:bCs/>
              </w:rPr>
              <w:t xml:space="preserve"> North Richmond</w:t>
            </w:r>
          </w:p>
        </w:tc>
        <w:tc>
          <w:tcPr>
            <w:tcW w:w="2126" w:type="dxa"/>
          </w:tcPr>
          <w:p w14:paraId="478ED3BC" w14:textId="77777777" w:rsidR="00A40259" w:rsidRPr="001276CB" w:rsidRDefault="00A40259" w:rsidP="00A40259">
            <w:pPr>
              <w:pStyle w:val="NormalWeb"/>
              <w:spacing w:before="0" w:beforeAutospacing="0" w:after="240" w:afterAutospacing="0" w:line="281" w:lineRule="atLeast"/>
            </w:pPr>
            <w:proofErr w:type="spellStart"/>
            <w:r w:rsidRPr="001276CB">
              <w:t>MyHealth</w:t>
            </w:r>
            <w:proofErr w:type="spellEnd"/>
            <w:r w:rsidRPr="001276CB">
              <w:t xml:space="preserve"> North Richmond Pty Ltd</w:t>
            </w:r>
          </w:p>
        </w:tc>
        <w:tc>
          <w:tcPr>
            <w:tcW w:w="2217" w:type="dxa"/>
          </w:tcPr>
          <w:p w14:paraId="4D5DBD2C" w14:textId="77777777" w:rsidR="00A40259" w:rsidRPr="001276CB" w:rsidRDefault="00A40259" w:rsidP="00A40259">
            <w:pPr>
              <w:pStyle w:val="NormalWeb"/>
              <w:spacing w:before="0" w:beforeAutospacing="0" w:after="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North Richmond Village Level 1, 6-16 Riverview Street, North Richmond NSW 2754</w:t>
            </w:r>
          </w:p>
        </w:tc>
      </w:tr>
    </w:tbl>
    <w:p w14:paraId="0EA01CD5" w14:textId="77777777" w:rsidR="0054669E" w:rsidRPr="001276CB" w:rsidRDefault="0054669E" w:rsidP="0054669E">
      <w:r w:rsidRPr="001276CB">
        <w:br w:type="page"/>
      </w:r>
    </w:p>
    <w:p w14:paraId="2F7EE275" w14:textId="77777777" w:rsidR="0054669E" w:rsidRPr="001276CB" w:rsidRDefault="0054669E" w:rsidP="0054669E">
      <w:pPr>
        <w:rPr>
          <w:b/>
        </w:rPr>
      </w:pPr>
      <w:bookmarkStart w:id="22" w:name="_Hlk167444995"/>
      <w:bookmarkStart w:id="23" w:name="_Hlk167446184"/>
      <w:r w:rsidRPr="001276CB">
        <w:rPr>
          <w:b/>
        </w:rPr>
        <w:lastRenderedPageBreak/>
        <w:t>SCHEDULE E</w:t>
      </w:r>
    </w:p>
    <w:p w14:paraId="31C27C7E" w14:textId="77777777" w:rsidR="0054669E" w:rsidRPr="001276CB" w:rsidRDefault="0054669E" w:rsidP="0054669E">
      <w:pPr>
        <w:rPr>
          <w:b/>
        </w:rPr>
      </w:pPr>
      <w:r w:rsidRPr="001276CB">
        <w:rPr>
          <w:b/>
        </w:rPr>
        <w:t xml:space="preserve">APPROVED MMM 2-7 PRACTICE LOCATIONS AS AGREED UNDER THE URGENT CARE SERVICES AGREEMENT BETWEEN THE COMMONWEALTH AND THE STATE OF NEW SOUTH WALES </w:t>
      </w:r>
    </w:p>
    <w:bookmarkEnd w:id="22"/>
    <w:p w14:paraId="0D2ECD63" w14:textId="77777777" w:rsidR="0054669E" w:rsidRPr="001276CB" w:rsidRDefault="0054669E" w:rsidP="0054669E">
      <w:pPr>
        <w:rPr>
          <w:bCs/>
        </w:rPr>
      </w:pPr>
      <w:r w:rsidRPr="001276CB">
        <w:rPr>
          <w:bCs/>
        </w:rPr>
        <w:t>Approved primary care locations:</w:t>
      </w: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851"/>
        <w:gridCol w:w="1701"/>
        <w:gridCol w:w="2126"/>
        <w:gridCol w:w="2126"/>
        <w:gridCol w:w="2217"/>
      </w:tblGrid>
      <w:tr w:rsidR="0054669E" w:rsidRPr="001276CB" w14:paraId="4D62E278" w14:textId="77777777" w:rsidTr="00E66E24">
        <w:trPr>
          <w:trHeight w:val="624"/>
          <w:tblHeader/>
        </w:trPr>
        <w:tc>
          <w:tcPr>
            <w:tcW w:w="851" w:type="dxa"/>
          </w:tcPr>
          <w:bookmarkEnd w:id="23"/>
          <w:p w14:paraId="5789F9BF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276CB">
              <w:rPr>
                <w:b/>
              </w:rPr>
              <w:t xml:space="preserve">State </w:t>
            </w:r>
          </w:p>
        </w:tc>
        <w:tc>
          <w:tcPr>
            <w:tcW w:w="1701" w:type="dxa"/>
          </w:tcPr>
          <w:p w14:paraId="633F09B9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276CB">
              <w:rPr>
                <w:b/>
              </w:rPr>
              <w:t>MMM 3 Location</w:t>
            </w:r>
          </w:p>
        </w:tc>
        <w:tc>
          <w:tcPr>
            <w:tcW w:w="2126" w:type="dxa"/>
          </w:tcPr>
          <w:p w14:paraId="0464E949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276CB">
              <w:rPr>
                <w:b/>
              </w:rPr>
              <w:t>Practice Name</w:t>
            </w:r>
          </w:p>
        </w:tc>
        <w:tc>
          <w:tcPr>
            <w:tcW w:w="2126" w:type="dxa"/>
          </w:tcPr>
          <w:p w14:paraId="2E56384A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276CB">
              <w:rPr>
                <w:b/>
              </w:rPr>
              <w:t>Legal Name</w:t>
            </w:r>
          </w:p>
        </w:tc>
        <w:tc>
          <w:tcPr>
            <w:tcW w:w="2217" w:type="dxa"/>
          </w:tcPr>
          <w:p w14:paraId="3CBA2D26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jc w:val="center"/>
              <w:rPr>
                <w:b/>
              </w:rPr>
            </w:pPr>
            <w:r w:rsidRPr="001276CB">
              <w:rPr>
                <w:b/>
              </w:rPr>
              <w:t>Street Address</w:t>
            </w:r>
          </w:p>
        </w:tc>
      </w:tr>
      <w:tr w:rsidR="0054669E" w:rsidRPr="001276CB" w14:paraId="56E9F1A4" w14:textId="77777777" w:rsidTr="00E66E24">
        <w:trPr>
          <w:trHeight w:val="624"/>
          <w:tblHeader/>
        </w:trPr>
        <w:tc>
          <w:tcPr>
            <w:tcW w:w="851" w:type="dxa"/>
          </w:tcPr>
          <w:p w14:paraId="6597035D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</w:pPr>
            <w:r w:rsidRPr="001276CB">
              <w:rPr>
                <w:bCs/>
              </w:rPr>
              <w:t>NSW</w:t>
            </w:r>
          </w:p>
        </w:tc>
        <w:tc>
          <w:tcPr>
            <w:tcW w:w="1701" w:type="dxa"/>
          </w:tcPr>
          <w:p w14:paraId="6D68E498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Goulburn</w:t>
            </w:r>
          </w:p>
        </w:tc>
        <w:tc>
          <w:tcPr>
            <w:tcW w:w="2126" w:type="dxa"/>
          </w:tcPr>
          <w:p w14:paraId="6C1684F1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Marima Medical Clinic</w:t>
            </w:r>
          </w:p>
        </w:tc>
        <w:tc>
          <w:tcPr>
            <w:tcW w:w="2126" w:type="dxa"/>
          </w:tcPr>
          <w:p w14:paraId="36F6F6C8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Medical Seventh Group Pty Ltd</w:t>
            </w:r>
          </w:p>
        </w:tc>
        <w:tc>
          <w:tcPr>
            <w:tcW w:w="2217" w:type="dxa"/>
          </w:tcPr>
          <w:p w14:paraId="3B66196B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</w:pPr>
            <w:r w:rsidRPr="001276CB">
              <w:rPr>
                <w:bCs/>
              </w:rPr>
              <w:t>152 Auburn St, Goulburn NSW 2580</w:t>
            </w:r>
          </w:p>
        </w:tc>
      </w:tr>
      <w:tr w:rsidR="0054669E" w:rsidRPr="00661D71" w14:paraId="09F30C41" w14:textId="77777777" w:rsidTr="00E66E24">
        <w:trPr>
          <w:trHeight w:val="624"/>
          <w:tblHeader/>
        </w:trPr>
        <w:tc>
          <w:tcPr>
            <w:tcW w:w="851" w:type="dxa"/>
          </w:tcPr>
          <w:p w14:paraId="67E7FD43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NSW</w:t>
            </w:r>
          </w:p>
        </w:tc>
        <w:tc>
          <w:tcPr>
            <w:tcW w:w="1701" w:type="dxa"/>
          </w:tcPr>
          <w:p w14:paraId="49EBE7A1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Orange</w:t>
            </w:r>
          </w:p>
        </w:tc>
        <w:tc>
          <w:tcPr>
            <w:tcW w:w="2126" w:type="dxa"/>
          </w:tcPr>
          <w:p w14:paraId="7A21E1BA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Bloomfield Medical Group</w:t>
            </w:r>
          </w:p>
        </w:tc>
        <w:tc>
          <w:tcPr>
            <w:tcW w:w="2126" w:type="dxa"/>
          </w:tcPr>
          <w:p w14:paraId="00DD9F66" w14:textId="77777777" w:rsidR="0054669E" w:rsidRPr="001276CB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The Trustee for BMG Service Trust</w:t>
            </w:r>
          </w:p>
        </w:tc>
        <w:tc>
          <w:tcPr>
            <w:tcW w:w="2217" w:type="dxa"/>
          </w:tcPr>
          <w:p w14:paraId="5138C539" w14:textId="77777777" w:rsidR="0054669E" w:rsidRPr="00661D71" w:rsidRDefault="0054669E" w:rsidP="00E66E24">
            <w:pPr>
              <w:pStyle w:val="NormalWeb"/>
              <w:spacing w:before="0" w:beforeAutospacing="0" w:after="240" w:afterAutospacing="0" w:line="281" w:lineRule="atLeast"/>
              <w:rPr>
                <w:bCs/>
              </w:rPr>
            </w:pPr>
            <w:r w:rsidRPr="001276CB">
              <w:rPr>
                <w:bCs/>
              </w:rPr>
              <w:t>Level 2, 1521 Forest Road, Orange NSW 2800</w:t>
            </w:r>
          </w:p>
        </w:tc>
      </w:tr>
    </w:tbl>
    <w:p w14:paraId="4C29D1CF" w14:textId="77777777" w:rsidR="0054669E" w:rsidRPr="00661D71" w:rsidRDefault="0054669E" w:rsidP="0054669E"/>
    <w:p w14:paraId="0BC5404C" w14:textId="77777777" w:rsidR="0054669E" w:rsidRDefault="0054669E"/>
    <w:sectPr w:rsidR="005466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4C90C" w14:textId="77777777" w:rsidR="00AA501F" w:rsidRDefault="00AA501F" w:rsidP="00841F24">
      <w:pPr>
        <w:spacing w:after="0" w:line="240" w:lineRule="auto"/>
      </w:pPr>
      <w:r>
        <w:separator/>
      </w:r>
    </w:p>
  </w:endnote>
  <w:endnote w:type="continuationSeparator" w:id="0">
    <w:p w14:paraId="4D7A2A68" w14:textId="77777777" w:rsidR="00AA501F" w:rsidRDefault="00AA501F" w:rsidP="0084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2BAE" w14:textId="0B2A84E7" w:rsidR="00841F24" w:rsidRDefault="00841F2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93945D7" wp14:editId="7AD863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3370727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B5FC9" w14:textId="21E6A55F" w:rsidR="00841F24" w:rsidRPr="00841F24" w:rsidRDefault="00841F24" w:rsidP="00841F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41F2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3945D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ymlN1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748B5FC9" w14:textId="21E6A55F" w:rsidR="00841F24" w:rsidRPr="00841F24" w:rsidRDefault="00841F24" w:rsidP="00841F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41F2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6A47A" w14:textId="5342EE01" w:rsidR="00841F24" w:rsidRDefault="00841F2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9B17753" wp14:editId="414EDF12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260525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51DDA7" w14:textId="149AF41F" w:rsidR="00841F24" w:rsidRPr="00AC7F10" w:rsidRDefault="00841F24" w:rsidP="00841F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177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7951DDA7" w14:textId="149AF41F" w:rsidR="00841F24" w:rsidRPr="00AC7F10" w:rsidRDefault="00841F24" w:rsidP="00841F24">
                    <w:pPr>
                      <w:spacing w:after="0"/>
                      <w:rPr>
                        <w:rFonts w:ascii="Calibri" w:eastAsia="Calibri" w:hAnsi="Calibri" w:cs="Calibri"/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E7218" w14:textId="43ECB748" w:rsidR="00841F24" w:rsidRDefault="00841F24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40285C" wp14:editId="277FBA3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76315855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1817CD" w14:textId="6E55C8E5" w:rsidR="00841F24" w:rsidRPr="00841F24" w:rsidRDefault="00841F24" w:rsidP="00841F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41F2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40285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textbox style="mso-fit-shape-to-text:t" inset="0,0,0,15pt">
                <w:txbxContent>
                  <w:p w14:paraId="231817CD" w14:textId="6E55C8E5" w:rsidR="00841F24" w:rsidRPr="00841F24" w:rsidRDefault="00841F24" w:rsidP="00841F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41F2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C445" w14:textId="77777777" w:rsidR="00AA501F" w:rsidRDefault="00AA501F" w:rsidP="00841F24">
      <w:pPr>
        <w:spacing w:after="0" w:line="240" w:lineRule="auto"/>
      </w:pPr>
      <w:r>
        <w:separator/>
      </w:r>
    </w:p>
  </w:footnote>
  <w:footnote w:type="continuationSeparator" w:id="0">
    <w:p w14:paraId="1AF97A2E" w14:textId="77777777" w:rsidR="00AA501F" w:rsidRDefault="00AA501F" w:rsidP="0084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52A40" w14:textId="384E8CDC" w:rsidR="00841F24" w:rsidRDefault="00841F2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87EA213" wp14:editId="3B2DB8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887475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9F18DA" w14:textId="0F894248" w:rsidR="00841F24" w:rsidRPr="00841F24" w:rsidRDefault="00841F24" w:rsidP="00841F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41F2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EA21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textbox style="mso-fit-shape-to-text:t" inset="0,15pt,0,0">
                <w:txbxContent>
                  <w:p w14:paraId="419F18DA" w14:textId="0F894248" w:rsidR="00841F24" w:rsidRPr="00841F24" w:rsidRDefault="00841F24" w:rsidP="00841F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41F2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63EB" w14:textId="7AADE522" w:rsidR="00841F24" w:rsidRDefault="00841F2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3C3AB7" wp14:editId="24011B23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38907140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1EDCFE" w14:textId="6EAF7F44" w:rsidR="00841F24" w:rsidRPr="00AC7F10" w:rsidRDefault="00841F24" w:rsidP="00841F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C3AB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textbox style="mso-fit-shape-to-text:t" inset="0,15pt,0,0">
                <w:txbxContent>
                  <w:p w14:paraId="061EDCFE" w14:textId="6EAF7F44" w:rsidR="00841F24" w:rsidRPr="00AC7F10" w:rsidRDefault="00841F24" w:rsidP="00841F24">
                    <w:pPr>
                      <w:spacing w:after="0"/>
                      <w:rPr>
                        <w:rFonts w:ascii="Calibri" w:eastAsia="Calibri" w:hAnsi="Calibri" w:cs="Calibri"/>
                        <w:noProof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8ED5D" w14:textId="0F950AC6" w:rsidR="00841F24" w:rsidRDefault="00841F24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3CB0526" wp14:editId="1E13A5B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59941849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D2CD9" w14:textId="330E3CED" w:rsidR="00841F24" w:rsidRPr="00841F24" w:rsidRDefault="00841F24" w:rsidP="00841F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841F24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B05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ILerUwOAgAAHAQA&#10;AA4AAAAAAAAAAAAAAAAALgIAAGRycy9lMm9Eb2MueG1sUEsBAi0AFAAGAAgAAAAhAChQUq/ZAAAA&#10;AwEAAA8AAAAAAAAAAAAAAAAAaAQAAGRycy9kb3ducmV2LnhtbFBLBQYAAAAABAAEAPMAAABuBQAA&#10;AAA=&#10;" filled="f" stroked="f">
              <v:textbox style="mso-fit-shape-to-text:t" inset="0,15pt,0,0">
                <w:txbxContent>
                  <w:p w14:paraId="0FDD2CD9" w14:textId="330E3CED" w:rsidR="00841F24" w:rsidRPr="00841F24" w:rsidRDefault="00841F24" w:rsidP="00841F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841F24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E5C"/>
    <w:multiLevelType w:val="hybridMultilevel"/>
    <w:tmpl w:val="B82E64A4"/>
    <w:lvl w:ilvl="0" w:tplc="C5CCC804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65854"/>
    <w:multiLevelType w:val="hybridMultilevel"/>
    <w:tmpl w:val="3464638C"/>
    <w:lvl w:ilvl="0" w:tplc="266C7A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43AF"/>
    <w:multiLevelType w:val="hybridMultilevel"/>
    <w:tmpl w:val="C972A0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D70A8"/>
    <w:multiLevelType w:val="hybridMultilevel"/>
    <w:tmpl w:val="FF32B048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124A0402">
      <w:start w:val="1"/>
      <w:numFmt w:val="upperLetter"/>
      <w:lvlText w:val="(%2)"/>
      <w:lvlJc w:val="left"/>
      <w:pPr>
        <w:ind w:left="23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4824A3"/>
    <w:multiLevelType w:val="hybridMultilevel"/>
    <w:tmpl w:val="1BBEA5A4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FFFFFFFF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124A0402">
      <w:start w:val="1"/>
      <w:numFmt w:val="upperLetter"/>
      <w:lvlText w:val="(%3)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3157A4"/>
    <w:multiLevelType w:val="hybridMultilevel"/>
    <w:tmpl w:val="53124CC0"/>
    <w:lvl w:ilvl="0" w:tplc="FFFFFFFF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FFFFFFFF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124A0402">
      <w:start w:val="1"/>
      <w:numFmt w:val="upperLetter"/>
      <w:lvlText w:val="(%3)"/>
      <w:lvlJc w:val="left"/>
      <w:pPr>
        <w:ind w:left="270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BC246E1"/>
    <w:multiLevelType w:val="hybridMultilevel"/>
    <w:tmpl w:val="FE301B76"/>
    <w:lvl w:ilvl="0" w:tplc="4E0CBB24">
      <w:start w:val="1"/>
      <w:numFmt w:val="lowerLetter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C5CCC804">
      <w:start w:val="1"/>
      <w:numFmt w:val="lowerRoman"/>
      <w:lvlText w:val="(%2)"/>
      <w:lvlJc w:val="left"/>
      <w:pPr>
        <w:ind w:left="180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0907361">
    <w:abstractNumId w:val="6"/>
  </w:num>
  <w:num w:numId="2" w16cid:durableId="1188059239">
    <w:abstractNumId w:val="0"/>
  </w:num>
  <w:num w:numId="3" w16cid:durableId="1741828564">
    <w:abstractNumId w:val="1"/>
  </w:num>
  <w:num w:numId="4" w16cid:durableId="149949514">
    <w:abstractNumId w:val="5"/>
  </w:num>
  <w:num w:numId="5" w16cid:durableId="696809253">
    <w:abstractNumId w:val="4"/>
  </w:num>
  <w:num w:numId="6" w16cid:durableId="728962956">
    <w:abstractNumId w:val="3"/>
  </w:num>
  <w:num w:numId="7" w16cid:durableId="367338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69E"/>
    <w:rsid w:val="000018EB"/>
    <w:rsid w:val="00006B44"/>
    <w:rsid w:val="0001183F"/>
    <w:rsid w:val="00061384"/>
    <w:rsid w:val="000D3244"/>
    <w:rsid w:val="00103B22"/>
    <w:rsid w:val="001276CB"/>
    <w:rsid w:val="00235C89"/>
    <w:rsid w:val="00276BF7"/>
    <w:rsid w:val="002D7ADC"/>
    <w:rsid w:val="003F185B"/>
    <w:rsid w:val="004908EF"/>
    <w:rsid w:val="004919C4"/>
    <w:rsid w:val="00503460"/>
    <w:rsid w:val="00517377"/>
    <w:rsid w:val="00543F46"/>
    <w:rsid w:val="0054669E"/>
    <w:rsid w:val="00572CC3"/>
    <w:rsid w:val="0059682E"/>
    <w:rsid w:val="005A2EA6"/>
    <w:rsid w:val="00651827"/>
    <w:rsid w:val="00655B26"/>
    <w:rsid w:val="00674AC2"/>
    <w:rsid w:val="00693381"/>
    <w:rsid w:val="006B4697"/>
    <w:rsid w:val="006C560A"/>
    <w:rsid w:val="00757053"/>
    <w:rsid w:val="007723E1"/>
    <w:rsid w:val="0078564E"/>
    <w:rsid w:val="00830A06"/>
    <w:rsid w:val="008342CC"/>
    <w:rsid w:val="00841F24"/>
    <w:rsid w:val="00851121"/>
    <w:rsid w:val="00853C77"/>
    <w:rsid w:val="00890445"/>
    <w:rsid w:val="008A55CE"/>
    <w:rsid w:val="008A571E"/>
    <w:rsid w:val="008B4538"/>
    <w:rsid w:val="008C374A"/>
    <w:rsid w:val="00920FB9"/>
    <w:rsid w:val="00934F98"/>
    <w:rsid w:val="009662BB"/>
    <w:rsid w:val="00973071"/>
    <w:rsid w:val="00A40259"/>
    <w:rsid w:val="00A42DBB"/>
    <w:rsid w:val="00A56142"/>
    <w:rsid w:val="00A70B1D"/>
    <w:rsid w:val="00AA501F"/>
    <w:rsid w:val="00AC7F10"/>
    <w:rsid w:val="00B32188"/>
    <w:rsid w:val="00B4471B"/>
    <w:rsid w:val="00BD3839"/>
    <w:rsid w:val="00C22166"/>
    <w:rsid w:val="00C4724F"/>
    <w:rsid w:val="00C62BD3"/>
    <w:rsid w:val="00CD7A2C"/>
    <w:rsid w:val="00CE499E"/>
    <w:rsid w:val="00D7213F"/>
    <w:rsid w:val="00DF4505"/>
    <w:rsid w:val="00E36B54"/>
    <w:rsid w:val="00EA61D0"/>
    <w:rsid w:val="00EB594F"/>
    <w:rsid w:val="00EB7A96"/>
    <w:rsid w:val="00EC53BE"/>
    <w:rsid w:val="00EE6747"/>
    <w:rsid w:val="00EF4E71"/>
    <w:rsid w:val="00F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ED9AF"/>
  <w15:chartTrackingRefBased/>
  <w15:docId w15:val="{1150B6E4-7B71-411D-A656-9F9427D1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69E"/>
    <w:pPr>
      <w:spacing w:line="259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6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6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6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6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6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6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6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6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6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6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6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6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66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66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66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66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66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66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6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6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6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6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6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669E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dot point 1,Body text,Bullet Point,Bullet point,Bulletr List Paragraph,Content descriptions,FooterText,L,List Bullet 1,List Bullet Cab,List Paragraph2,List Paragraph21,Listeafsnit1,リスト段落,列"/>
    <w:basedOn w:val="Normal"/>
    <w:link w:val="ListParagraphChar"/>
    <w:uiPriority w:val="34"/>
    <w:qFormat/>
    <w:rsid w:val="005466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66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6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66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66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669E"/>
    <w:pPr>
      <w:spacing w:before="100" w:beforeAutospacing="1" w:after="100" w:afterAutospacing="1" w:line="240" w:lineRule="auto"/>
    </w:pPr>
    <w:rPr>
      <w:rFonts w:eastAsia="Times New Roman"/>
      <w:lang w:eastAsia="en-AU"/>
    </w:rPr>
  </w:style>
  <w:style w:type="table" w:styleId="TableGrid">
    <w:name w:val="Table Grid"/>
    <w:basedOn w:val="TableNormal"/>
    <w:uiPriority w:val="39"/>
    <w:rsid w:val="0054669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Recommendation Char,List Paragraph11 Char,dot point 1 Char,Body text Char,Bullet Point Char,Bullet point Char,Bulletr List Paragraph Char,Content descriptions Char,FooterText Char,L Char,List Bullet 1 Char,列 Char"/>
    <w:link w:val="ListParagraph"/>
    <w:uiPriority w:val="34"/>
    <w:qFormat/>
    <w:locked/>
    <w:rsid w:val="0054669E"/>
  </w:style>
  <w:style w:type="paragraph" w:styleId="Header">
    <w:name w:val="header"/>
    <w:basedOn w:val="Normal"/>
    <w:link w:val="HeaderChar"/>
    <w:uiPriority w:val="99"/>
    <w:unhideWhenUsed/>
    <w:rsid w:val="00841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F24"/>
    <w:rPr>
      <w:rFonts w:ascii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41F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F24"/>
    <w:rPr>
      <w:rFonts w:ascii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89044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42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42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42DBB"/>
    <w:rPr>
      <w:rFonts w:ascii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DBB"/>
    <w:rPr>
      <w:rFonts w:ascii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1985</Words>
  <Characters>10742</Characters>
  <Application>Microsoft Office Word</Application>
  <DocSecurity>0</DocSecurity>
  <Lines>716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</Company>
  <LinksUpToDate>false</LinksUpToDate>
  <CharactersWithSpaces>12303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STEENSEL VAN DER AA, Annamiek</dc:creator>
  <cp:keywords/>
  <dc:description/>
  <cp:lastModifiedBy>BELACIC, Diana</cp:lastModifiedBy>
  <cp:revision>8</cp:revision>
  <cp:lastPrinted>2025-10-27T01:05:00Z</cp:lastPrinted>
  <dcterms:created xsi:type="dcterms:W3CDTF">2025-10-27T03:26:00Z</dcterms:created>
  <dcterms:modified xsi:type="dcterms:W3CDTF">2025-10-27T03:32:00Z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23ba667c,54a2df5,1730c22c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6917aa17,19d9d906,ddd4646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2025-10-06T23:09:47Z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481149ac-0eaf-473c-8e53-4feb73c07e6d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