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8DE7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965908C" wp14:editId="2E1AB6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AB5B3" w14:textId="77777777" w:rsidR="00FA06CA" w:rsidRPr="00E500D4" w:rsidRDefault="00FA06CA" w:rsidP="00FA06CA">
      <w:pPr>
        <w:rPr>
          <w:sz w:val="19"/>
        </w:rPr>
      </w:pPr>
    </w:p>
    <w:p w14:paraId="7A398B9C" w14:textId="72802729" w:rsidR="00FA06CA" w:rsidRPr="00E500D4" w:rsidRDefault="00AB506D" w:rsidP="00FA06CA">
      <w:pPr>
        <w:pStyle w:val="ShortT"/>
      </w:pPr>
      <w:r>
        <w:t>Australian Financial Security Authority (Standing Acting Arrangements) Appointment 2025</w:t>
      </w:r>
    </w:p>
    <w:p w14:paraId="0CADDBFB" w14:textId="0BB07B45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AB506D" w:rsidRPr="00982107">
        <w:rPr>
          <w:szCs w:val="22"/>
        </w:rPr>
        <w:t xml:space="preserve">Andrew Leigh, Assistant Minister for </w:t>
      </w:r>
      <w:r w:rsidR="00AB506D">
        <w:rPr>
          <w:szCs w:val="22"/>
        </w:rPr>
        <w:t xml:space="preserve">Productivity, </w:t>
      </w:r>
      <w:r w:rsidR="00AB506D" w:rsidRPr="00982107">
        <w:rPr>
          <w:szCs w:val="22"/>
        </w:rPr>
        <w:t>Competition, Charities and Treasury,</w:t>
      </w:r>
      <w:r w:rsidR="00AB506D">
        <w:rPr>
          <w:szCs w:val="22"/>
        </w:rPr>
        <w:t xml:space="preserve"> make the following appointments</w:t>
      </w:r>
      <w:r w:rsidRPr="00BC5754">
        <w:rPr>
          <w:szCs w:val="22"/>
        </w:rPr>
        <w:t>.</w:t>
      </w:r>
    </w:p>
    <w:p w14:paraId="04DCECDA" w14:textId="5A5EC284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E71246">
        <w:rPr>
          <w:szCs w:val="22"/>
        </w:rPr>
        <w:t xml:space="preserve">11 August </w:t>
      </w:r>
      <w:r w:rsidR="00AB506D">
        <w:rPr>
          <w:szCs w:val="22"/>
        </w:rPr>
        <w:t>2025</w:t>
      </w:r>
    </w:p>
    <w:p w14:paraId="05FBC597" w14:textId="6F23DE2B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6D7F79E" w14:textId="548A279E" w:rsidR="00FA06CA" w:rsidRPr="00BC5754" w:rsidRDefault="00AB506D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6994B182" w14:textId="77777777" w:rsidR="00AB506D" w:rsidRDefault="00AB506D" w:rsidP="00AB506D">
      <w:pPr>
        <w:pStyle w:val="SignCoverPageEnd"/>
        <w:ind w:right="794"/>
        <w:rPr>
          <w:szCs w:val="22"/>
        </w:rPr>
      </w:pPr>
      <w:r>
        <w:rPr>
          <w:szCs w:val="22"/>
        </w:rPr>
        <w:t>Assistant Minister for Productivity, Competition, Charities and Treasury</w:t>
      </w:r>
      <w:r>
        <w:rPr>
          <w:szCs w:val="22"/>
        </w:rPr>
        <w:br/>
        <w:t>Parliamentary Secretary to the Treasurer</w:t>
      </w:r>
    </w:p>
    <w:p w14:paraId="182F4AF0" w14:textId="77777777" w:rsidR="00FA06CA" w:rsidRPr="00BC5754" w:rsidRDefault="00FA06CA" w:rsidP="00FA06CA">
      <w:pPr>
        <w:rPr>
          <w:rStyle w:val="CharAmSchNo"/>
        </w:rPr>
      </w:pPr>
    </w:p>
    <w:p w14:paraId="695A8FBC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2490220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55E375DE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122DA33D" w14:textId="77777777" w:rsidR="00FA06CA" w:rsidRDefault="00FA06CA" w:rsidP="00FA06CA">
      <w:pPr>
        <w:sectPr w:rsidR="00FA06CA" w:rsidSect="00FA1E52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BDC099D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2A4E3DE" w14:textId="2556F5C0" w:rsidR="004411E3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4411E3">
        <w:fldChar w:fldCharType="begin"/>
      </w:r>
      <w:r>
        <w:instrText xml:space="preserve"> TOC \o "1-9" </w:instrText>
      </w:r>
      <w:r w:rsidRPr="004411E3">
        <w:fldChar w:fldCharType="separate"/>
      </w:r>
      <w:r w:rsidR="004411E3">
        <w:rPr>
          <w:noProof/>
        </w:rPr>
        <w:t>Part 1—Preliminary</w:t>
      </w:r>
      <w:r w:rsidR="004411E3">
        <w:rPr>
          <w:noProof/>
        </w:rPr>
        <w:tab/>
      </w:r>
      <w:r w:rsidR="004411E3" w:rsidRPr="004411E3">
        <w:rPr>
          <w:b w:val="0"/>
          <w:noProof/>
          <w:sz w:val="18"/>
        </w:rPr>
        <w:fldChar w:fldCharType="begin"/>
      </w:r>
      <w:r w:rsidR="004411E3" w:rsidRPr="004411E3">
        <w:rPr>
          <w:b w:val="0"/>
          <w:noProof/>
          <w:sz w:val="18"/>
        </w:rPr>
        <w:instrText xml:space="preserve"> PAGEREF _Toc205385828 \h </w:instrText>
      </w:r>
      <w:r w:rsidR="004411E3" w:rsidRPr="004411E3">
        <w:rPr>
          <w:b w:val="0"/>
          <w:noProof/>
          <w:sz w:val="18"/>
        </w:rPr>
      </w:r>
      <w:r w:rsidR="004411E3" w:rsidRPr="004411E3">
        <w:rPr>
          <w:b w:val="0"/>
          <w:noProof/>
          <w:sz w:val="18"/>
        </w:rPr>
        <w:fldChar w:fldCharType="separate"/>
      </w:r>
      <w:r w:rsidR="006F6573">
        <w:rPr>
          <w:b w:val="0"/>
          <w:noProof/>
          <w:sz w:val="18"/>
        </w:rPr>
        <w:t>1</w:t>
      </w:r>
      <w:r w:rsidR="004411E3" w:rsidRPr="004411E3">
        <w:rPr>
          <w:b w:val="0"/>
          <w:noProof/>
          <w:sz w:val="18"/>
        </w:rPr>
        <w:fldChar w:fldCharType="end"/>
      </w:r>
    </w:p>
    <w:p w14:paraId="2AC68647" w14:textId="756E1940" w:rsidR="004411E3" w:rsidRDefault="004411E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4411E3">
        <w:rPr>
          <w:noProof/>
        </w:rPr>
        <w:fldChar w:fldCharType="begin"/>
      </w:r>
      <w:r w:rsidRPr="004411E3">
        <w:rPr>
          <w:noProof/>
        </w:rPr>
        <w:instrText xml:space="preserve"> PAGEREF _Toc205385829 \h </w:instrText>
      </w:r>
      <w:r w:rsidRPr="004411E3">
        <w:rPr>
          <w:noProof/>
        </w:rPr>
      </w:r>
      <w:r w:rsidRPr="004411E3">
        <w:rPr>
          <w:noProof/>
        </w:rPr>
        <w:fldChar w:fldCharType="separate"/>
      </w:r>
      <w:r w:rsidR="006F6573">
        <w:rPr>
          <w:noProof/>
        </w:rPr>
        <w:t>1</w:t>
      </w:r>
      <w:r w:rsidRPr="004411E3">
        <w:rPr>
          <w:noProof/>
        </w:rPr>
        <w:fldChar w:fldCharType="end"/>
      </w:r>
    </w:p>
    <w:p w14:paraId="1D1A2856" w14:textId="6D310C14" w:rsidR="004411E3" w:rsidRDefault="004411E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4411E3">
        <w:rPr>
          <w:noProof/>
        </w:rPr>
        <w:fldChar w:fldCharType="begin"/>
      </w:r>
      <w:r w:rsidRPr="004411E3">
        <w:rPr>
          <w:noProof/>
        </w:rPr>
        <w:instrText xml:space="preserve"> PAGEREF _Toc205385830 \h </w:instrText>
      </w:r>
      <w:r w:rsidRPr="004411E3">
        <w:rPr>
          <w:noProof/>
        </w:rPr>
      </w:r>
      <w:r w:rsidRPr="004411E3">
        <w:rPr>
          <w:noProof/>
        </w:rPr>
        <w:fldChar w:fldCharType="separate"/>
      </w:r>
      <w:r w:rsidR="006F6573">
        <w:rPr>
          <w:noProof/>
        </w:rPr>
        <w:t>1</w:t>
      </w:r>
      <w:r w:rsidRPr="004411E3">
        <w:rPr>
          <w:noProof/>
        </w:rPr>
        <w:fldChar w:fldCharType="end"/>
      </w:r>
    </w:p>
    <w:p w14:paraId="0F8A3D38" w14:textId="32C8578E" w:rsidR="004411E3" w:rsidRDefault="004411E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4411E3">
        <w:rPr>
          <w:noProof/>
        </w:rPr>
        <w:fldChar w:fldCharType="begin"/>
      </w:r>
      <w:r w:rsidRPr="004411E3">
        <w:rPr>
          <w:noProof/>
        </w:rPr>
        <w:instrText xml:space="preserve"> PAGEREF _Toc205385831 \h </w:instrText>
      </w:r>
      <w:r w:rsidRPr="004411E3">
        <w:rPr>
          <w:noProof/>
        </w:rPr>
      </w:r>
      <w:r w:rsidRPr="004411E3">
        <w:rPr>
          <w:noProof/>
        </w:rPr>
        <w:fldChar w:fldCharType="separate"/>
      </w:r>
      <w:r w:rsidR="006F6573">
        <w:rPr>
          <w:noProof/>
        </w:rPr>
        <w:t>1</w:t>
      </w:r>
      <w:r w:rsidRPr="004411E3">
        <w:rPr>
          <w:noProof/>
        </w:rPr>
        <w:fldChar w:fldCharType="end"/>
      </w:r>
    </w:p>
    <w:p w14:paraId="455B35E1" w14:textId="35F3AA29" w:rsidR="004411E3" w:rsidRDefault="004411E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4411E3">
        <w:rPr>
          <w:noProof/>
        </w:rPr>
        <w:fldChar w:fldCharType="begin"/>
      </w:r>
      <w:r w:rsidRPr="004411E3">
        <w:rPr>
          <w:noProof/>
        </w:rPr>
        <w:instrText xml:space="preserve"> PAGEREF _Toc205385832 \h </w:instrText>
      </w:r>
      <w:r w:rsidRPr="004411E3">
        <w:rPr>
          <w:noProof/>
        </w:rPr>
      </w:r>
      <w:r w:rsidRPr="004411E3">
        <w:rPr>
          <w:noProof/>
        </w:rPr>
        <w:fldChar w:fldCharType="separate"/>
      </w:r>
      <w:r w:rsidR="006F6573">
        <w:rPr>
          <w:noProof/>
        </w:rPr>
        <w:t>1</w:t>
      </w:r>
      <w:r w:rsidRPr="004411E3">
        <w:rPr>
          <w:noProof/>
        </w:rPr>
        <w:fldChar w:fldCharType="end"/>
      </w:r>
    </w:p>
    <w:p w14:paraId="572EDCD7" w14:textId="59989DD7" w:rsidR="004411E3" w:rsidRDefault="004411E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Definition</w:t>
      </w:r>
      <w:r>
        <w:rPr>
          <w:noProof/>
        </w:rPr>
        <w:tab/>
      </w:r>
      <w:r w:rsidRPr="004411E3">
        <w:rPr>
          <w:noProof/>
        </w:rPr>
        <w:fldChar w:fldCharType="begin"/>
      </w:r>
      <w:r w:rsidRPr="004411E3">
        <w:rPr>
          <w:noProof/>
        </w:rPr>
        <w:instrText xml:space="preserve"> PAGEREF _Toc205385833 \h </w:instrText>
      </w:r>
      <w:r w:rsidRPr="004411E3">
        <w:rPr>
          <w:noProof/>
        </w:rPr>
      </w:r>
      <w:r w:rsidRPr="004411E3">
        <w:rPr>
          <w:noProof/>
        </w:rPr>
        <w:fldChar w:fldCharType="separate"/>
      </w:r>
      <w:r w:rsidR="006F6573">
        <w:rPr>
          <w:noProof/>
        </w:rPr>
        <w:t>1</w:t>
      </w:r>
      <w:r w:rsidRPr="004411E3">
        <w:rPr>
          <w:noProof/>
        </w:rPr>
        <w:fldChar w:fldCharType="end"/>
      </w:r>
    </w:p>
    <w:p w14:paraId="3BDB17B8" w14:textId="52232F79" w:rsidR="004411E3" w:rsidRDefault="004411E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2—Standing acting arrangements</w:t>
      </w:r>
      <w:r>
        <w:rPr>
          <w:noProof/>
        </w:rPr>
        <w:tab/>
      </w:r>
      <w:r w:rsidRPr="004411E3">
        <w:rPr>
          <w:b w:val="0"/>
          <w:noProof/>
          <w:sz w:val="18"/>
        </w:rPr>
        <w:fldChar w:fldCharType="begin"/>
      </w:r>
      <w:r w:rsidRPr="004411E3">
        <w:rPr>
          <w:b w:val="0"/>
          <w:noProof/>
          <w:sz w:val="18"/>
        </w:rPr>
        <w:instrText xml:space="preserve"> PAGEREF _Toc205385834 \h </w:instrText>
      </w:r>
      <w:r w:rsidRPr="004411E3">
        <w:rPr>
          <w:b w:val="0"/>
          <w:noProof/>
          <w:sz w:val="18"/>
        </w:rPr>
      </w:r>
      <w:r w:rsidRPr="004411E3">
        <w:rPr>
          <w:b w:val="0"/>
          <w:noProof/>
          <w:sz w:val="18"/>
        </w:rPr>
        <w:fldChar w:fldCharType="separate"/>
      </w:r>
      <w:r w:rsidR="006F6573">
        <w:rPr>
          <w:b w:val="0"/>
          <w:noProof/>
          <w:sz w:val="18"/>
        </w:rPr>
        <w:t>3</w:t>
      </w:r>
      <w:r w:rsidRPr="004411E3">
        <w:rPr>
          <w:b w:val="0"/>
          <w:noProof/>
          <w:sz w:val="18"/>
        </w:rPr>
        <w:fldChar w:fldCharType="end"/>
      </w:r>
    </w:p>
    <w:p w14:paraId="5F29D219" w14:textId="1A1DB5F6" w:rsidR="004411E3" w:rsidRDefault="004411E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Standing acting arrangements for Chief Executive of the Australian Financial Security Authority</w:t>
      </w:r>
      <w:r>
        <w:rPr>
          <w:noProof/>
        </w:rPr>
        <w:tab/>
      </w:r>
      <w:r w:rsidRPr="004411E3">
        <w:rPr>
          <w:noProof/>
        </w:rPr>
        <w:fldChar w:fldCharType="begin"/>
      </w:r>
      <w:r w:rsidRPr="004411E3">
        <w:rPr>
          <w:noProof/>
        </w:rPr>
        <w:instrText xml:space="preserve"> PAGEREF _Toc205385835 \h </w:instrText>
      </w:r>
      <w:r w:rsidRPr="004411E3">
        <w:rPr>
          <w:noProof/>
        </w:rPr>
      </w:r>
      <w:r w:rsidRPr="004411E3">
        <w:rPr>
          <w:noProof/>
        </w:rPr>
        <w:fldChar w:fldCharType="separate"/>
      </w:r>
      <w:r w:rsidR="006F6573">
        <w:rPr>
          <w:noProof/>
        </w:rPr>
        <w:t>3</w:t>
      </w:r>
      <w:r w:rsidRPr="004411E3">
        <w:rPr>
          <w:noProof/>
        </w:rPr>
        <w:fldChar w:fldCharType="end"/>
      </w:r>
    </w:p>
    <w:p w14:paraId="626DE445" w14:textId="53D8ADC0" w:rsidR="004411E3" w:rsidRDefault="004411E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  Standing acting arrangements for the Inspector-General in Bankruptcy</w:t>
      </w:r>
      <w:r>
        <w:rPr>
          <w:noProof/>
        </w:rPr>
        <w:tab/>
      </w:r>
      <w:r w:rsidRPr="004411E3">
        <w:rPr>
          <w:noProof/>
        </w:rPr>
        <w:fldChar w:fldCharType="begin"/>
      </w:r>
      <w:r w:rsidRPr="004411E3">
        <w:rPr>
          <w:noProof/>
        </w:rPr>
        <w:instrText xml:space="preserve"> PAGEREF _Toc205385836 \h </w:instrText>
      </w:r>
      <w:r w:rsidRPr="004411E3">
        <w:rPr>
          <w:noProof/>
        </w:rPr>
      </w:r>
      <w:r w:rsidRPr="004411E3">
        <w:rPr>
          <w:noProof/>
        </w:rPr>
        <w:fldChar w:fldCharType="separate"/>
      </w:r>
      <w:r w:rsidR="006F6573">
        <w:rPr>
          <w:noProof/>
        </w:rPr>
        <w:t>3</w:t>
      </w:r>
      <w:r w:rsidRPr="004411E3">
        <w:rPr>
          <w:noProof/>
        </w:rPr>
        <w:fldChar w:fldCharType="end"/>
      </w:r>
    </w:p>
    <w:p w14:paraId="2CDB0714" w14:textId="07E2E86A" w:rsidR="004411E3" w:rsidRDefault="004411E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8  Standing acting arrangements for Registrar of Personal Property Securities</w:t>
      </w:r>
      <w:r>
        <w:rPr>
          <w:noProof/>
        </w:rPr>
        <w:tab/>
      </w:r>
      <w:r w:rsidRPr="004411E3">
        <w:rPr>
          <w:noProof/>
        </w:rPr>
        <w:fldChar w:fldCharType="begin"/>
      </w:r>
      <w:r w:rsidRPr="004411E3">
        <w:rPr>
          <w:noProof/>
        </w:rPr>
        <w:instrText xml:space="preserve"> PAGEREF _Toc205385837 \h </w:instrText>
      </w:r>
      <w:r w:rsidRPr="004411E3">
        <w:rPr>
          <w:noProof/>
        </w:rPr>
      </w:r>
      <w:r w:rsidRPr="004411E3">
        <w:rPr>
          <w:noProof/>
        </w:rPr>
        <w:fldChar w:fldCharType="separate"/>
      </w:r>
      <w:r w:rsidR="006F6573">
        <w:rPr>
          <w:noProof/>
        </w:rPr>
        <w:t>4</w:t>
      </w:r>
      <w:r w:rsidRPr="004411E3">
        <w:rPr>
          <w:noProof/>
        </w:rPr>
        <w:fldChar w:fldCharType="end"/>
      </w:r>
    </w:p>
    <w:p w14:paraId="69AB6633" w14:textId="0402BD1E" w:rsidR="004411E3" w:rsidRDefault="004411E3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4411E3">
        <w:rPr>
          <w:b w:val="0"/>
          <w:noProof/>
          <w:sz w:val="18"/>
        </w:rPr>
        <w:fldChar w:fldCharType="begin"/>
      </w:r>
      <w:r w:rsidRPr="004411E3">
        <w:rPr>
          <w:b w:val="0"/>
          <w:noProof/>
          <w:sz w:val="18"/>
        </w:rPr>
        <w:instrText xml:space="preserve"> PAGEREF _Toc205385838 \h </w:instrText>
      </w:r>
      <w:r w:rsidRPr="004411E3">
        <w:rPr>
          <w:b w:val="0"/>
          <w:noProof/>
          <w:sz w:val="18"/>
        </w:rPr>
      </w:r>
      <w:r w:rsidRPr="004411E3">
        <w:rPr>
          <w:b w:val="0"/>
          <w:noProof/>
          <w:sz w:val="18"/>
        </w:rPr>
        <w:fldChar w:fldCharType="separate"/>
      </w:r>
      <w:r w:rsidR="006F6573">
        <w:rPr>
          <w:b w:val="0"/>
          <w:noProof/>
          <w:sz w:val="18"/>
        </w:rPr>
        <w:t>5</w:t>
      </w:r>
      <w:r w:rsidRPr="004411E3">
        <w:rPr>
          <w:b w:val="0"/>
          <w:noProof/>
          <w:sz w:val="18"/>
        </w:rPr>
        <w:fldChar w:fldCharType="end"/>
      </w:r>
    </w:p>
    <w:p w14:paraId="6F7CADDB" w14:textId="2984A56F" w:rsidR="004411E3" w:rsidRDefault="004411E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Australian Financial Security Authority Head Acting Appointment 2025</w:t>
      </w:r>
      <w:r>
        <w:rPr>
          <w:noProof/>
        </w:rPr>
        <w:tab/>
      </w:r>
      <w:r w:rsidRPr="004411E3">
        <w:rPr>
          <w:i w:val="0"/>
          <w:iCs/>
          <w:noProof/>
          <w:sz w:val="18"/>
        </w:rPr>
        <w:fldChar w:fldCharType="begin"/>
      </w:r>
      <w:r w:rsidRPr="004411E3">
        <w:rPr>
          <w:i w:val="0"/>
          <w:iCs/>
          <w:noProof/>
          <w:sz w:val="18"/>
        </w:rPr>
        <w:instrText xml:space="preserve"> PAGEREF _Toc205385839 \h </w:instrText>
      </w:r>
      <w:r w:rsidRPr="004411E3">
        <w:rPr>
          <w:i w:val="0"/>
          <w:iCs/>
          <w:noProof/>
          <w:sz w:val="18"/>
        </w:rPr>
      </w:r>
      <w:r w:rsidRPr="004411E3">
        <w:rPr>
          <w:i w:val="0"/>
          <w:iCs/>
          <w:noProof/>
          <w:sz w:val="18"/>
        </w:rPr>
        <w:fldChar w:fldCharType="separate"/>
      </w:r>
      <w:r w:rsidR="006F6573">
        <w:rPr>
          <w:i w:val="0"/>
          <w:iCs/>
          <w:noProof/>
          <w:sz w:val="18"/>
        </w:rPr>
        <w:t>5</w:t>
      </w:r>
      <w:r w:rsidRPr="004411E3">
        <w:rPr>
          <w:i w:val="0"/>
          <w:iCs/>
          <w:noProof/>
          <w:sz w:val="18"/>
        </w:rPr>
        <w:fldChar w:fldCharType="end"/>
      </w:r>
    </w:p>
    <w:p w14:paraId="1D26AA04" w14:textId="722B6F59" w:rsidR="004411E3" w:rsidRDefault="004411E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Inspector-General in Bankruptcy Acting Appointment 2025</w:t>
      </w:r>
      <w:r>
        <w:rPr>
          <w:noProof/>
        </w:rPr>
        <w:tab/>
      </w:r>
      <w:r w:rsidRPr="004411E3">
        <w:rPr>
          <w:i w:val="0"/>
          <w:iCs/>
          <w:noProof/>
          <w:sz w:val="18"/>
        </w:rPr>
        <w:fldChar w:fldCharType="begin"/>
      </w:r>
      <w:r w:rsidRPr="004411E3">
        <w:rPr>
          <w:i w:val="0"/>
          <w:iCs/>
          <w:noProof/>
          <w:sz w:val="18"/>
        </w:rPr>
        <w:instrText xml:space="preserve"> PAGEREF _Toc205385840 \h </w:instrText>
      </w:r>
      <w:r w:rsidRPr="004411E3">
        <w:rPr>
          <w:i w:val="0"/>
          <w:iCs/>
          <w:noProof/>
          <w:sz w:val="18"/>
        </w:rPr>
      </w:r>
      <w:r w:rsidRPr="004411E3">
        <w:rPr>
          <w:i w:val="0"/>
          <w:iCs/>
          <w:noProof/>
          <w:sz w:val="18"/>
        </w:rPr>
        <w:fldChar w:fldCharType="separate"/>
      </w:r>
      <w:r w:rsidR="006F6573">
        <w:rPr>
          <w:i w:val="0"/>
          <w:iCs/>
          <w:noProof/>
          <w:sz w:val="18"/>
        </w:rPr>
        <w:t>5</w:t>
      </w:r>
      <w:r w:rsidRPr="004411E3">
        <w:rPr>
          <w:i w:val="0"/>
          <w:iCs/>
          <w:noProof/>
          <w:sz w:val="18"/>
        </w:rPr>
        <w:fldChar w:fldCharType="end"/>
      </w:r>
    </w:p>
    <w:p w14:paraId="6F550DE1" w14:textId="60B21377" w:rsidR="004411E3" w:rsidRPr="004411E3" w:rsidRDefault="004411E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18"/>
          <w:szCs w:val="24"/>
          <w14:ligatures w14:val="standardContextual"/>
        </w:rPr>
      </w:pPr>
      <w:r>
        <w:rPr>
          <w:noProof/>
        </w:rPr>
        <w:t>Registrar of Personal Property Securities Acting Appointment 2025</w:t>
      </w:r>
      <w:r>
        <w:rPr>
          <w:noProof/>
        </w:rPr>
        <w:tab/>
      </w:r>
      <w:r w:rsidRPr="004411E3">
        <w:rPr>
          <w:i w:val="0"/>
          <w:iCs/>
          <w:noProof/>
          <w:sz w:val="18"/>
        </w:rPr>
        <w:fldChar w:fldCharType="begin"/>
      </w:r>
      <w:r w:rsidRPr="004411E3">
        <w:rPr>
          <w:i w:val="0"/>
          <w:iCs/>
          <w:noProof/>
          <w:sz w:val="18"/>
        </w:rPr>
        <w:instrText xml:space="preserve"> PAGEREF _Toc205385841 \h </w:instrText>
      </w:r>
      <w:r w:rsidRPr="004411E3">
        <w:rPr>
          <w:i w:val="0"/>
          <w:iCs/>
          <w:noProof/>
          <w:sz w:val="18"/>
        </w:rPr>
      </w:r>
      <w:r w:rsidRPr="004411E3">
        <w:rPr>
          <w:i w:val="0"/>
          <w:iCs/>
          <w:noProof/>
          <w:sz w:val="18"/>
        </w:rPr>
        <w:fldChar w:fldCharType="separate"/>
      </w:r>
      <w:r w:rsidR="006F6573">
        <w:rPr>
          <w:i w:val="0"/>
          <w:iCs/>
          <w:noProof/>
          <w:sz w:val="18"/>
        </w:rPr>
        <w:t>5</w:t>
      </w:r>
      <w:r w:rsidRPr="004411E3">
        <w:rPr>
          <w:i w:val="0"/>
          <w:iCs/>
          <w:noProof/>
          <w:sz w:val="18"/>
        </w:rPr>
        <w:fldChar w:fldCharType="end"/>
      </w:r>
    </w:p>
    <w:p w14:paraId="5F16732F" w14:textId="2D0253F2" w:rsidR="00FA06CA" w:rsidRDefault="00FA06CA" w:rsidP="00FA06CA">
      <w:r w:rsidRPr="004411E3">
        <w:rPr>
          <w:sz w:val="18"/>
        </w:rPr>
        <w:fldChar w:fldCharType="end"/>
      </w:r>
    </w:p>
    <w:p w14:paraId="7B4DAED5" w14:textId="77777777" w:rsidR="00FA06CA" w:rsidRDefault="00FA06CA" w:rsidP="00FA06CA">
      <w:pPr>
        <w:sectPr w:rsidR="00FA06CA" w:rsidSect="0024301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CD5C75" w14:textId="1AF3C30D" w:rsidR="00FD4963" w:rsidRPr="00FD4963" w:rsidRDefault="00FD4963" w:rsidP="00FD4963">
      <w:pPr>
        <w:pStyle w:val="ActHead2"/>
        <w:pageBreakBefore/>
        <w:rPr>
          <w:lang w:eastAsia="en-US"/>
        </w:rPr>
      </w:pPr>
      <w:bookmarkStart w:id="16" w:name="_Toc205385828"/>
      <w:r w:rsidRPr="00FD4963">
        <w:rPr>
          <w:rStyle w:val="CharPartNo"/>
        </w:rPr>
        <w:lastRenderedPageBreak/>
        <w:t>Part 1</w:t>
      </w:r>
      <w:r>
        <w:t>—</w:t>
      </w:r>
      <w:r w:rsidRPr="00FD4963">
        <w:rPr>
          <w:rStyle w:val="CharPartText"/>
        </w:rPr>
        <w:t>Preliminary</w:t>
      </w:r>
      <w:bookmarkEnd w:id="16"/>
    </w:p>
    <w:p w14:paraId="200C6B6A" w14:textId="77777777" w:rsidR="00FA06CA" w:rsidRDefault="00FA06CA" w:rsidP="00FA06CA">
      <w:pPr>
        <w:pStyle w:val="Header"/>
      </w:pPr>
      <w:r>
        <w:t xml:space="preserve">  </w:t>
      </w:r>
    </w:p>
    <w:p w14:paraId="17817F07" w14:textId="77777777" w:rsidR="00FA06CA" w:rsidRDefault="00FA06CA" w:rsidP="00FA06CA">
      <w:pPr>
        <w:pStyle w:val="ActHead5"/>
      </w:pPr>
      <w:bookmarkStart w:id="17" w:name="_Toc205385829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5DF2E7E3" w14:textId="4412BCAB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AB506D" w:rsidRPr="00AB506D">
        <w:rPr>
          <w:i/>
          <w:noProof/>
        </w:rPr>
        <w:t>Australian Financial Security Authority (Standing Acting Arrangements) Appointment 2025</w:t>
      </w:r>
      <w:r w:rsidRPr="009A038B">
        <w:t>.</w:t>
      </w:r>
    </w:p>
    <w:p w14:paraId="4AB6E015" w14:textId="77777777" w:rsidR="00FA06CA" w:rsidRDefault="00FA06CA" w:rsidP="00FA06CA">
      <w:pPr>
        <w:pStyle w:val="ActHead5"/>
      </w:pPr>
      <w:bookmarkStart w:id="18" w:name="_Toc205385830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64BF5FB1" w14:textId="13A35393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AB506D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1CC6EFE1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2A4CC98E" w14:textId="77777777" w:rsidTr="00AB506D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6ED57C4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01481106" w14:textId="77777777" w:rsidTr="00AB506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EDD0DC6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1663FD1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AAB1B6E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170287DD" w14:textId="77777777" w:rsidTr="00AB506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4C1C049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FA97B2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9A718A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3350EF0C" w14:textId="77777777" w:rsidTr="00AB506D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EC00DD1" w14:textId="0AF8E554" w:rsidR="00FA06CA" w:rsidRDefault="00AB506D" w:rsidP="0048252E">
            <w:pPr>
              <w:pStyle w:val="Tabletext"/>
            </w:pPr>
            <w:r>
              <w:t>1</w:t>
            </w:r>
            <w:r w:rsidR="00FA06CA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8DEE750" w14:textId="0C563096" w:rsidR="00FA06CA" w:rsidRDefault="00AB506D" w:rsidP="0048252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A5CC07A" w14:textId="77777777" w:rsidR="00FA06CA" w:rsidRDefault="00FA06CA" w:rsidP="0048252E">
            <w:pPr>
              <w:pStyle w:val="Tabletext"/>
            </w:pPr>
          </w:p>
        </w:tc>
      </w:tr>
    </w:tbl>
    <w:p w14:paraId="42EF7A53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78348942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12829148" w14:textId="77777777" w:rsidR="00FA06CA" w:rsidRDefault="00FA06CA" w:rsidP="00FA06CA">
      <w:pPr>
        <w:pStyle w:val="ActHead5"/>
      </w:pPr>
      <w:bookmarkStart w:id="19" w:name="_Toc205385831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360C24A3" w14:textId="34FEC629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4963">
        <w:rPr>
          <w:iCs/>
        </w:rPr>
        <w:t xml:space="preserve"> </w:t>
      </w:r>
      <w:r w:rsidR="00FD4963" w:rsidRPr="00FD4963">
        <w:rPr>
          <w:iCs/>
        </w:rPr>
        <w:t>following</w:t>
      </w:r>
      <w:r w:rsidR="00FD4963">
        <w:t>:</w:t>
      </w:r>
    </w:p>
    <w:p w14:paraId="1977DE21" w14:textId="2B2AFC1B" w:rsidR="00FD4963" w:rsidRDefault="00FD4963" w:rsidP="00FD4963">
      <w:pPr>
        <w:pStyle w:val="paragraph"/>
      </w:pPr>
      <w:r>
        <w:tab/>
        <w:t>(a)</w:t>
      </w:r>
      <w:r>
        <w:tab/>
      </w:r>
      <w:r w:rsidR="003A550C">
        <w:t xml:space="preserve">the </w:t>
      </w:r>
      <w:r w:rsidR="003A550C" w:rsidRPr="003A550C">
        <w:rPr>
          <w:i/>
          <w:iCs/>
        </w:rPr>
        <w:t>Bankruptcy Act 1966</w:t>
      </w:r>
      <w:r w:rsidR="003A550C">
        <w:t>; and</w:t>
      </w:r>
    </w:p>
    <w:p w14:paraId="7863B7B2" w14:textId="49B7970D" w:rsidR="003A550C" w:rsidRDefault="003A550C" w:rsidP="00FD4963">
      <w:pPr>
        <w:pStyle w:val="paragraph"/>
      </w:pPr>
      <w:r>
        <w:tab/>
        <w:t>(b)</w:t>
      </w:r>
      <w:r>
        <w:tab/>
        <w:t xml:space="preserve">the </w:t>
      </w:r>
      <w:r w:rsidRPr="003A550C">
        <w:rPr>
          <w:i/>
          <w:iCs/>
        </w:rPr>
        <w:t>Personal Property Securities Act 2009</w:t>
      </w:r>
      <w:r>
        <w:t>; and</w:t>
      </w:r>
    </w:p>
    <w:p w14:paraId="33801ECD" w14:textId="58795CCC" w:rsidR="00FD4963" w:rsidRPr="00FD4963" w:rsidRDefault="00FD4963" w:rsidP="00FD4963">
      <w:pPr>
        <w:pStyle w:val="paragraph"/>
      </w:pPr>
      <w:r>
        <w:tab/>
        <w:t>(</w:t>
      </w:r>
      <w:r w:rsidR="003A550C">
        <w:t>c</w:t>
      </w:r>
      <w:r>
        <w:t>)</w:t>
      </w:r>
      <w:r>
        <w:tab/>
      </w:r>
      <w:r w:rsidR="003A550C">
        <w:t xml:space="preserve">the </w:t>
      </w:r>
      <w:r w:rsidRPr="003A550C">
        <w:rPr>
          <w:i/>
          <w:iCs/>
        </w:rPr>
        <w:t>Public Service Act 1999</w:t>
      </w:r>
      <w:r>
        <w:t>.</w:t>
      </w:r>
    </w:p>
    <w:p w14:paraId="3A69F815" w14:textId="77777777" w:rsidR="00AB506D" w:rsidRDefault="00AB506D" w:rsidP="00AB506D">
      <w:pPr>
        <w:pStyle w:val="ActHead5"/>
      </w:pPr>
      <w:bookmarkStart w:id="20" w:name="_Toc489621897"/>
      <w:bookmarkStart w:id="21" w:name="_Toc205385832"/>
      <w:r>
        <w:t>4  Schedules</w:t>
      </w:r>
      <w:bookmarkEnd w:id="20"/>
      <w:bookmarkEnd w:id="21"/>
    </w:p>
    <w:p w14:paraId="0E5F08DC" w14:textId="77777777" w:rsidR="00AB506D" w:rsidRDefault="00AB506D" w:rsidP="00AB506D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0AE664DF" w14:textId="35BD54B8" w:rsidR="00FA06CA" w:rsidRPr="001C4EDB" w:rsidRDefault="00AB506D" w:rsidP="00FA06CA">
      <w:pPr>
        <w:pStyle w:val="ActHead5"/>
      </w:pPr>
      <w:bookmarkStart w:id="22" w:name="_Toc205385833"/>
      <w:r w:rsidRPr="001C4EDB">
        <w:rPr>
          <w:rStyle w:val="CharSectno"/>
        </w:rPr>
        <w:t>5</w:t>
      </w:r>
      <w:r w:rsidR="00FA06CA" w:rsidRPr="001C4EDB">
        <w:t xml:space="preserve">  </w:t>
      </w:r>
      <w:r w:rsidR="007708FA">
        <w:t>Definition</w:t>
      </w:r>
      <w:bookmarkEnd w:id="22"/>
    </w:p>
    <w:p w14:paraId="43B888D1" w14:textId="6FE4C773" w:rsidR="00FA06CA" w:rsidRDefault="00FA06CA" w:rsidP="00FA06CA">
      <w:pPr>
        <w:pStyle w:val="subsection"/>
      </w:pPr>
      <w:r w:rsidRPr="001C4EDB">
        <w:tab/>
      </w:r>
      <w:r w:rsidRPr="001C4EDB">
        <w:tab/>
      </w:r>
      <w:r w:rsidR="007708FA">
        <w:t>In this instrument:</w:t>
      </w:r>
    </w:p>
    <w:p w14:paraId="2DCA00BB" w14:textId="3AFA0E4C" w:rsidR="00FF0887" w:rsidRDefault="00A20B22" w:rsidP="007708FA">
      <w:pPr>
        <w:pStyle w:val="Definition"/>
      </w:pPr>
      <w:r>
        <w:rPr>
          <w:b/>
          <w:bCs/>
          <w:i/>
          <w:iCs/>
        </w:rPr>
        <w:t>Chief Executive</w:t>
      </w:r>
      <w:r w:rsidR="00FF0887">
        <w:t xml:space="preserve"> means the </w:t>
      </w:r>
      <w:r>
        <w:t>Chief Executive</w:t>
      </w:r>
      <w:r w:rsidR="00FF0887">
        <w:t xml:space="preserve"> of the </w:t>
      </w:r>
      <w:r w:rsidR="00FF0887" w:rsidRPr="00655AEF">
        <w:t>Australian Financial Security Authority</w:t>
      </w:r>
      <w:r w:rsidR="00FF0887">
        <w:t>.</w:t>
      </w:r>
    </w:p>
    <w:p w14:paraId="285EC7FF" w14:textId="2429D64D" w:rsidR="00326DA1" w:rsidRPr="00326DA1" w:rsidRDefault="00326DA1" w:rsidP="00326DA1">
      <w:pPr>
        <w:pStyle w:val="notetext"/>
      </w:pPr>
      <w:r>
        <w:t>Note:</w:t>
      </w:r>
      <w:r>
        <w:tab/>
        <w:t xml:space="preserve">The Chief Executive of the </w:t>
      </w:r>
      <w:r w:rsidRPr="00655AEF">
        <w:t>Australian Financial Security Authority</w:t>
      </w:r>
      <w:r>
        <w:t xml:space="preserve"> is the Head of the </w:t>
      </w:r>
      <w:r w:rsidR="00C31677" w:rsidRPr="00655AEF">
        <w:t>Australian Financial Security Authority</w:t>
      </w:r>
      <w:r w:rsidR="00C31677">
        <w:t>.</w:t>
      </w:r>
    </w:p>
    <w:p w14:paraId="589B0020" w14:textId="7498CB85" w:rsidR="009D3F37" w:rsidRPr="00016016" w:rsidRDefault="00016016" w:rsidP="007708FA">
      <w:pPr>
        <w:pStyle w:val="Definition"/>
      </w:pPr>
      <w:r>
        <w:rPr>
          <w:b/>
          <w:bCs/>
          <w:i/>
          <w:iCs/>
        </w:rPr>
        <w:lastRenderedPageBreak/>
        <w:t>Inspector-General</w:t>
      </w:r>
      <w:r>
        <w:t xml:space="preserve"> means the </w:t>
      </w:r>
      <w:r w:rsidRPr="00016016">
        <w:t>Inspector</w:t>
      </w:r>
      <w:r w:rsidRPr="00016016">
        <w:noBreakHyphen/>
        <w:t>General in Bankruptcy</w:t>
      </w:r>
      <w:r>
        <w:t>.</w:t>
      </w:r>
    </w:p>
    <w:p w14:paraId="087DC1D4" w14:textId="785EE092" w:rsidR="00F2088F" w:rsidRPr="00F2088F" w:rsidRDefault="00F2088F" w:rsidP="007708FA">
      <w:pPr>
        <w:pStyle w:val="Definition"/>
      </w:pPr>
      <w:r>
        <w:rPr>
          <w:b/>
          <w:bCs/>
          <w:i/>
          <w:iCs/>
        </w:rPr>
        <w:t>Registrar</w:t>
      </w:r>
      <w:r>
        <w:t xml:space="preserve"> means the </w:t>
      </w:r>
      <w:r w:rsidRPr="00F2088F">
        <w:t>Registrar of Personal Property Securities</w:t>
      </w:r>
      <w:r>
        <w:t>.</w:t>
      </w:r>
    </w:p>
    <w:p w14:paraId="73CED1B7" w14:textId="46617B11" w:rsidR="007708FA" w:rsidRPr="007708FA" w:rsidRDefault="007708FA" w:rsidP="007708FA">
      <w:pPr>
        <w:pStyle w:val="Definition"/>
      </w:pPr>
      <w:r w:rsidRPr="007708FA">
        <w:rPr>
          <w:b/>
          <w:bCs/>
          <w:i/>
          <w:iCs/>
        </w:rPr>
        <w:t xml:space="preserve">senior available </w:t>
      </w:r>
      <w:r>
        <w:rPr>
          <w:b/>
          <w:bCs/>
          <w:i/>
          <w:iCs/>
        </w:rPr>
        <w:t>appointee</w:t>
      </w:r>
      <w:r>
        <w:t>: see subsection</w:t>
      </w:r>
      <w:r w:rsidR="0035616D">
        <w:t>s</w:t>
      </w:r>
      <w:r>
        <w:t xml:space="preserve"> 6(2), </w:t>
      </w:r>
      <w:r w:rsidR="0035616D">
        <w:t>7(2)</w:t>
      </w:r>
      <w:r w:rsidR="0024273C">
        <w:t>, and 8(2).</w:t>
      </w:r>
    </w:p>
    <w:p w14:paraId="54D8963C" w14:textId="6660E844" w:rsidR="001C4EDB" w:rsidRPr="00D06244" w:rsidRDefault="001C4EDB" w:rsidP="001C4EDB">
      <w:pPr>
        <w:pStyle w:val="ActHead2"/>
        <w:pageBreakBefore/>
        <w:rPr>
          <w:lang w:eastAsia="en-US"/>
        </w:rPr>
      </w:pPr>
      <w:bookmarkStart w:id="23" w:name="_Toc205385834"/>
      <w:r w:rsidRPr="00D06244">
        <w:rPr>
          <w:rStyle w:val="CharPartNo"/>
        </w:rPr>
        <w:lastRenderedPageBreak/>
        <w:t>Part 2</w:t>
      </w:r>
      <w:r w:rsidRPr="00D06244">
        <w:t>—</w:t>
      </w:r>
      <w:r w:rsidRPr="00D06244">
        <w:rPr>
          <w:rStyle w:val="CharPartText"/>
        </w:rPr>
        <w:t>Standing acting arrangements</w:t>
      </w:r>
      <w:bookmarkEnd w:id="23"/>
    </w:p>
    <w:p w14:paraId="36A9D14C" w14:textId="23A52906" w:rsidR="00A83933" w:rsidRDefault="00A83933" w:rsidP="00A83933">
      <w:pPr>
        <w:pStyle w:val="ActHead5"/>
      </w:pPr>
      <w:bookmarkStart w:id="24" w:name="_Toc205385835"/>
      <w:r w:rsidRPr="00A83933">
        <w:rPr>
          <w:rStyle w:val="CharSectno"/>
        </w:rPr>
        <w:t>6</w:t>
      </w:r>
      <w:r>
        <w:t xml:space="preserve">  Standing acting arrangements for </w:t>
      </w:r>
      <w:r w:rsidR="0075016F">
        <w:t>Chief Executive</w:t>
      </w:r>
      <w:r w:rsidRPr="00D06244">
        <w:t xml:space="preserve"> of the Australian Financial Security </w:t>
      </w:r>
      <w:r w:rsidRPr="00D06244">
        <w:rPr>
          <w:rStyle w:val="CharSectno"/>
        </w:rPr>
        <w:t>A</w:t>
      </w:r>
      <w:r w:rsidRPr="00D06244">
        <w:t>uthority</w:t>
      </w:r>
      <w:bookmarkEnd w:id="24"/>
    </w:p>
    <w:p w14:paraId="1870B147" w14:textId="5C021E4F" w:rsidR="00B61467" w:rsidRDefault="00B61467" w:rsidP="00B61467">
      <w:pPr>
        <w:pStyle w:val="subsection"/>
      </w:pPr>
      <w:r>
        <w:tab/>
        <w:t>(1)</w:t>
      </w:r>
      <w:r>
        <w:tab/>
        <w:t xml:space="preserve">Under section </w:t>
      </w:r>
      <w:r w:rsidR="00815F10">
        <w:t>69</w:t>
      </w:r>
      <w:r>
        <w:t xml:space="preserve"> of the </w:t>
      </w:r>
      <w:r w:rsidR="004937E7" w:rsidRPr="004937E7">
        <w:rPr>
          <w:i/>
          <w:iCs/>
        </w:rPr>
        <w:t xml:space="preserve">Public Service </w:t>
      </w:r>
      <w:r w:rsidRPr="004937E7">
        <w:rPr>
          <w:i/>
          <w:iCs/>
        </w:rPr>
        <w:t>Act</w:t>
      </w:r>
      <w:r w:rsidR="004937E7" w:rsidRPr="004937E7">
        <w:rPr>
          <w:i/>
          <w:iCs/>
        </w:rPr>
        <w:t xml:space="preserve"> 1999</w:t>
      </w:r>
      <w:r>
        <w:t xml:space="preserve">, during all periods </w:t>
      </w:r>
      <w:r w:rsidR="00EC3F24" w:rsidRPr="00EC3F24">
        <w:t>when the</w:t>
      </w:r>
      <w:r w:rsidR="00CE73E7">
        <w:t xml:space="preserve">re is a vacancy in the office of the </w:t>
      </w:r>
      <w:r w:rsidR="0075016F">
        <w:t>Chief Executive</w:t>
      </w:r>
      <w:r w:rsidR="006233FC">
        <w:t>,</w:t>
      </w:r>
      <w:r w:rsidR="00CE73E7" w:rsidRPr="00EC3F24">
        <w:t xml:space="preserve"> </w:t>
      </w:r>
      <w:r w:rsidR="00CE73E7">
        <w:t xml:space="preserve">or </w:t>
      </w:r>
      <w:r w:rsidR="006233FC">
        <w:t xml:space="preserve">the </w:t>
      </w:r>
      <w:r w:rsidR="0075016F">
        <w:t>Chief Executive</w:t>
      </w:r>
      <w:r w:rsidR="0075016F" w:rsidRPr="00EC3F24">
        <w:t xml:space="preserve"> </w:t>
      </w:r>
      <w:r w:rsidR="00EC3F24" w:rsidRPr="00EC3F24">
        <w:t>is absent from duty or from Australia or is, for any reason, unable to perform the duties of the office</w:t>
      </w:r>
      <w:r>
        <w:t xml:space="preserve">, the person determined in accordance with subsections (2), (3) and (4) is appointed to act as </w:t>
      </w:r>
      <w:r w:rsidR="0075016F">
        <w:t>Chief Executive</w:t>
      </w:r>
      <w:r>
        <w:t>.</w:t>
      </w:r>
    </w:p>
    <w:p w14:paraId="7C59A6BE" w14:textId="31B66870" w:rsidR="004C592B" w:rsidRPr="004C592B" w:rsidRDefault="004C592B" w:rsidP="004C592B">
      <w:pPr>
        <w:pStyle w:val="notetext"/>
      </w:pPr>
      <w:r>
        <w:t>Note:</w:t>
      </w:r>
      <w:r>
        <w:tab/>
        <w:t xml:space="preserve">The </w:t>
      </w:r>
      <w:r w:rsidRPr="00D06244">
        <w:t xml:space="preserve">Australian Financial Security </w:t>
      </w:r>
      <w:r w:rsidRPr="00D06244">
        <w:rPr>
          <w:rStyle w:val="CharSectno"/>
        </w:rPr>
        <w:t>A</w:t>
      </w:r>
      <w:r w:rsidRPr="00D06244">
        <w:t>uthority</w:t>
      </w:r>
      <w:r>
        <w:t xml:space="preserve"> was established </w:t>
      </w:r>
      <w:r w:rsidR="00315578">
        <w:t>on 1 July 200</w:t>
      </w:r>
      <w:r w:rsidR="00EC5929">
        <w:t>0</w:t>
      </w:r>
      <w:r w:rsidR="006D493C">
        <w:t>,</w:t>
      </w:r>
      <w:r w:rsidR="00315578">
        <w:t xml:space="preserve"> </w:t>
      </w:r>
      <w:r>
        <w:t>by order of the Governor</w:t>
      </w:r>
      <w:r>
        <w:noBreakHyphen/>
        <w:t>General</w:t>
      </w:r>
      <w:r w:rsidR="00315578">
        <w:t xml:space="preserve"> made on 7 June 2000</w:t>
      </w:r>
      <w:r w:rsidR="006D493C">
        <w:t>,</w:t>
      </w:r>
      <w:r w:rsidR="00315578">
        <w:t xml:space="preserve"> </w:t>
      </w:r>
      <w:r w:rsidR="00EC5929">
        <w:t>and p</w:t>
      </w:r>
      <w:r w:rsidR="00513652">
        <w:t>ublished</w:t>
      </w:r>
      <w:r w:rsidR="00315578">
        <w:t xml:space="preserve"> in the </w:t>
      </w:r>
      <w:r w:rsidR="00513652">
        <w:t>Gazette No. GN23 on 14 June 2000</w:t>
      </w:r>
      <w:r w:rsidR="00EC5929">
        <w:t>.</w:t>
      </w:r>
    </w:p>
    <w:p w14:paraId="5C8282B7" w14:textId="00FBCD82" w:rsidR="00B61467" w:rsidRDefault="00B61467" w:rsidP="00B61467">
      <w:pPr>
        <w:pStyle w:val="subsection"/>
      </w:pPr>
      <w:r>
        <w:tab/>
        <w:t>(2)</w:t>
      </w:r>
      <w:r>
        <w:tab/>
        <w:t xml:space="preserve">For the purposes of this </w:t>
      </w:r>
      <w:r w:rsidR="0035616D">
        <w:t>section</w:t>
      </w:r>
      <w:r>
        <w:t xml:space="preserve">, the </w:t>
      </w:r>
      <w:r w:rsidRPr="007708FA">
        <w:rPr>
          <w:b/>
          <w:bCs/>
          <w:i/>
          <w:iCs/>
        </w:rPr>
        <w:t>senior available appointee</w:t>
      </w:r>
      <w:r>
        <w:t xml:space="preserve"> at a particular time is a person who, at that time, satisfies all of the following:</w:t>
      </w:r>
    </w:p>
    <w:p w14:paraId="6E7F30B9" w14:textId="41702365" w:rsidR="00B61467" w:rsidRPr="003B6B5A" w:rsidRDefault="003B6B5A" w:rsidP="003B6B5A">
      <w:pPr>
        <w:pStyle w:val="paragraph"/>
      </w:pPr>
      <w:r>
        <w:tab/>
      </w:r>
      <w:r w:rsidR="00B61467">
        <w:t>(a)</w:t>
      </w:r>
      <w:r>
        <w:tab/>
      </w:r>
      <w:r w:rsidR="001D6DB7" w:rsidRPr="001D6DB7">
        <w:t>is engaged under the </w:t>
      </w:r>
      <w:r w:rsidR="001D6DB7" w:rsidRPr="001D6DB7">
        <w:rPr>
          <w:i/>
          <w:iCs/>
        </w:rPr>
        <w:t>Public Service Act 1999</w:t>
      </w:r>
      <w:r w:rsidR="001D6DB7" w:rsidRPr="001D6DB7">
        <w:t xml:space="preserve"> by the </w:t>
      </w:r>
      <w:r w:rsidR="0075016F">
        <w:t>Chief Executive</w:t>
      </w:r>
      <w:r w:rsidR="0075016F" w:rsidRPr="001D6DB7">
        <w:t xml:space="preserve"> </w:t>
      </w:r>
      <w:r w:rsidR="001D6DB7" w:rsidRPr="001D6DB7">
        <w:t xml:space="preserve">for the purposes of the </w:t>
      </w:r>
      <w:r w:rsidR="00655AEF" w:rsidRPr="00655AEF">
        <w:t>Australian Financial Security Authority</w:t>
      </w:r>
      <w:r w:rsidR="001D6DB7" w:rsidRPr="001D6DB7">
        <w:t>;</w:t>
      </w:r>
    </w:p>
    <w:p w14:paraId="7D14CE07" w14:textId="2C141F90" w:rsidR="00B61467" w:rsidRPr="003B6B5A" w:rsidRDefault="003B6B5A" w:rsidP="003B6B5A">
      <w:pPr>
        <w:pStyle w:val="paragraph"/>
      </w:pPr>
      <w:r>
        <w:tab/>
      </w:r>
      <w:r w:rsidR="00B61467" w:rsidRPr="003B6B5A">
        <w:t>(b)</w:t>
      </w:r>
      <w:r>
        <w:tab/>
      </w:r>
      <w:r w:rsidR="00B61467" w:rsidRPr="003B6B5A">
        <w:t xml:space="preserve">is </w:t>
      </w:r>
      <w:r w:rsidR="00B61467" w:rsidRPr="00525263">
        <w:rPr>
          <w:i/>
          <w:iCs/>
        </w:rPr>
        <w:t>not</w:t>
      </w:r>
      <w:r w:rsidR="00B61467" w:rsidRPr="003B6B5A">
        <w:t xml:space="preserve"> absent from duty or from Australia;</w:t>
      </w:r>
    </w:p>
    <w:p w14:paraId="488BAA4E" w14:textId="3F51A529" w:rsidR="00B61467" w:rsidRPr="003B6B5A" w:rsidRDefault="003B6B5A" w:rsidP="003B6B5A">
      <w:pPr>
        <w:pStyle w:val="paragraph"/>
      </w:pPr>
      <w:r>
        <w:tab/>
      </w:r>
      <w:r w:rsidR="00B61467" w:rsidRPr="003B6B5A">
        <w:t>(c)</w:t>
      </w:r>
      <w:r>
        <w:tab/>
      </w:r>
      <w:r w:rsidR="00B61467" w:rsidRPr="003B6B5A">
        <w:t xml:space="preserve">has </w:t>
      </w:r>
      <w:r w:rsidR="00B61467" w:rsidRPr="00525263">
        <w:rPr>
          <w:i/>
          <w:iCs/>
        </w:rPr>
        <w:t>not</w:t>
      </w:r>
      <w:r w:rsidR="00B61467" w:rsidRPr="003B6B5A">
        <w:t xml:space="preserve">, during a vacancy in the office of </w:t>
      </w:r>
      <w:r w:rsidR="0075016F">
        <w:t>Chief Executive</w:t>
      </w:r>
      <w:r w:rsidR="0075016F" w:rsidRPr="003B6B5A">
        <w:t xml:space="preserve"> </w:t>
      </w:r>
      <w:r w:rsidR="00B61467" w:rsidRPr="003B6B5A">
        <w:t xml:space="preserve">or absence of the </w:t>
      </w:r>
      <w:r w:rsidR="0075016F">
        <w:t>Chief Executive</w:t>
      </w:r>
      <w:r w:rsidR="00B61467" w:rsidRPr="003B6B5A">
        <w:t xml:space="preserve">, continued to act </w:t>
      </w:r>
      <w:r w:rsidR="0008011D" w:rsidRPr="003B6B5A">
        <w:t>a</w:t>
      </w:r>
      <w:r w:rsidR="00B61467" w:rsidRPr="003B6B5A">
        <w:t xml:space="preserve">s </w:t>
      </w:r>
      <w:r w:rsidR="0075016F">
        <w:t>Chief Executive</w:t>
      </w:r>
      <w:r w:rsidR="0075016F" w:rsidRPr="003B6B5A">
        <w:t xml:space="preserve"> </w:t>
      </w:r>
      <w:r w:rsidR="00B61467" w:rsidRPr="003B6B5A">
        <w:t>for a period of more than 12 months;</w:t>
      </w:r>
    </w:p>
    <w:p w14:paraId="7D56E687" w14:textId="6C6DA8AE" w:rsidR="00B61467" w:rsidRPr="003B6B5A" w:rsidRDefault="003B6B5A" w:rsidP="003B6B5A">
      <w:pPr>
        <w:pStyle w:val="paragraph"/>
      </w:pPr>
      <w:r>
        <w:tab/>
      </w:r>
      <w:r w:rsidR="00B61467" w:rsidRPr="003B6B5A">
        <w:t>(</w:t>
      </w:r>
      <w:r w:rsidRPr="003B6B5A">
        <w:t>d</w:t>
      </w:r>
      <w:r w:rsidR="00B61467" w:rsidRPr="003B6B5A">
        <w:t>)</w:t>
      </w:r>
      <w:r>
        <w:tab/>
      </w:r>
      <w:r w:rsidR="00B61467" w:rsidRPr="003B6B5A">
        <w:t xml:space="preserve">has advised that they are available to act as </w:t>
      </w:r>
      <w:r w:rsidR="005B2205">
        <w:t>Chief Executive</w:t>
      </w:r>
      <w:r w:rsidR="00B61467" w:rsidRPr="003B6B5A">
        <w:t>;</w:t>
      </w:r>
    </w:p>
    <w:p w14:paraId="1001A6EA" w14:textId="583E5058" w:rsidR="00B61467" w:rsidRPr="003B6B5A" w:rsidRDefault="003B6B5A" w:rsidP="003B6B5A">
      <w:pPr>
        <w:pStyle w:val="paragraph"/>
      </w:pPr>
      <w:r>
        <w:tab/>
      </w:r>
      <w:r w:rsidR="00B61467" w:rsidRPr="003B6B5A">
        <w:t>(</w:t>
      </w:r>
      <w:r w:rsidRPr="003B6B5A">
        <w:t>e</w:t>
      </w:r>
      <w:r w:rsidR="00B61467" w:rsidRPr="003B6B5A">
        <w:t>)</w:t>
      </w:r>
      <w:r>
        <w:tab/>
      </w:r>
      <w:r w:rsidR="00B61467" w:rsidRPr="003B6B5A">
        <w:t>is highest in the following list:</w:t>
      </w:r>
    </w:p>
    <w:p w14:paraId="3802F2D8" w14:textId="0A219218" w:rsidR="00B61467" w:rsidRPr="003B6B5A" w:rsidRDefault="0008011D" w:rsidP="003B6B5A">
      <w:pPr>
        <w:pStyle w:val="paragraphsub"/>
      </w:pPr>
      <w:r w:rsidRPr="003B6B5A">
        <w:tab/>
      </w:r>
      <w:r w:rsidR="00B61467" w:rsidRPr="003B6B5A">
        <w:t>(</w:t>
      </w:r>
      <w:proofErr w:type="spellStart"/>
      <w:r w:rsidR="00B61467" w:rsidRPr="003B6B5A">
        <w:t>i</w:t>
      </w:r>
      <w:proofErr w:type="spellEnd"/>
      <w:r w:rsidR="00B61467" w:rsidRPr="003B6B5A">
        <w:t>)</w:t>
      </w:r>
      <w:r w:rsidR="003B6B5A" w:rsidRPr="003B6B5A">
        <w:tab/>
      </w:r>
      <w:r w:rsidR="009F0010" w:rsidRPr="009F0010">
        <w:t>Jennifer Dobell</w:t>
      </w:r>
      <w:r w:rsidR="00B61467" w:rsidRPr="003B6B5A">
        <w:t>;</w:t>
      </w:r>
    </w:p>
    <w:p w14:paraId="66CFD6DC" w14:textId="6B9F9564" w:rsidR="00B61467" w:rsidRPr="003B6B5A" w:rsidRDefault="003B6B5A" w:rsidP="003B6B5A">
      <w:pPr>
        <w:pStyle w:val="paragraphsub"/>
      </w:pPr>
      <w:r w:rsidRPr="003B6B5A">
        <w:tab/>
      </w:r>
      <w:r w:rsidR="00B61467" w:rsidRPr="003B6B5A">
        <w:t>(ii)</w:t>
      </w:r>
      <w:r w:rsidRPr="003B6B5A">
        <w:tab/>
      </w:r>
      <w:r w:rsidR="00642660" w:rsidRPr="00642660">
        <w:t>Emma Greenwood</w:t>
      </w:r>
      <w:r w:rsidR="00B61467" w:rsidRPr="003B6B5A">
        <w:t>;</w:t>
      </w:r>
    </w:p>
    <w:p w14:paraId="1E778131" w14:textId="7028177E" w:rsidR="00B61467" w:rsidRDefault="003B6B5A" w:rsidP="003B6B5A">
      <w:pPr>
        <w:pStyle w:val="paragraphsub"/>
      </w:pPr>
      <w:r w:rsidRPr="003B6B5A">
        <w:tab/>
      </w:r>
      <w:r w:rsidR="00B61467" w:rsidRPr="003B6B5A">
        <w:t>(iii)</w:t>
      </w:r>
      <w:r w:rsidRPr="003B6B5A">
        <w:tab/>
      </w:r>
      <w:r w:rsidR="00642660" w:rsidRPr="00642660">
        <w:t>Neville Matthew</w:t>
      </w:r>
      <w:r w:rsidR="00642660">
        <w:t>;</w:t>
      </w:r>
    </w:p>
    <w:p w14:paraId="27FE78B4" w14:textId="07ED8D9D" w:rsidR="00642660" w:rsidRPr="003B6B5A" w:rsidRDefault="00642660" w:rsidP="003B6B5A">
      <w:pPr>
        <w:pStyle w:val="paragraphsub"/>
      </w:pPr>
      <w:r>
        <w:tab/>
        <w:t>(iv)</w:t>
      </w:r>
      <w:r>
        <w:tab/>
      </w:r>
      <w:r w:rsidR="0035104F" w:rsidRPr="0035104F">
        <w:t>Joshua Smith</w:t>
      </w:r>
      <w:r w:rsidR="0035104F">
        <w:t>.</w:t>
      </w:r>
    </w:p>
    <w:p w14:paraId="52BBFED0" w14:textId="5B1E232A" w:rsidR="00B61467" w:rsidRDefault="0008011D" w:rsidP="00B61467">
      <w:pPr>
        <w:pStyle w:val="subsection"/>
      </w:pPr>
      <w:r>
        <w:tab/>
      </w:r>
      <w:r w:rsidR="00B61467">
        <w:t>(3)</w:t>
      </w:r>
      <w:r>
        <w:tab/>
      </w:r>
      <w:r w:rsidR="00B61467">
        <w:t xml:space="preserve">The senior available appointee at the start of a period when the </w:t>
      </w:r>
      <w:r w:rsidR="003A5002">
        <w:t xml:space="preserve">office of </w:t>
      </w:r>
      <w:r w:rsidR="005B2205">
        <w:t xml:space="preserve">Chief Executive </w:t>
      </w:r>
      <w:r w:rsidR="003A5002">
        <w:t xml:space="preserve">is vacant or the </w:t>
      </w:r>
      <w:r w:rsidR="005B2205">
        <w:t xml:space="preserve">Chief Executive </w:t>
      </w:r>
      <w:r w:rsidR="00B61467">
        <w:t xml:space="preserve">is absent from duty or from Australia, or is, for any reason, unable to perform the functions of his or her office, is to act as </w:t>
      </w:r>
      <w:r w:rsidR="005B2205">
        <w:t xml:space="preserve">Chief Executive </w:t>
      </w:r>
      <w:r w:rsidR="00B61467">
        <w:t>during that period.</w:t>
      </w:r>
    </w:p>
    <w:p w14:paraId="48037D0B" w14:textId="31CE8CD8" w:rsidR="00B61467" w:rsidRDefault="0008011D" w:rsidP="00B61467">
      <w:pPr>
        <w:pStyle w:val="subsection"/>
      </w:pPr>
      <w:r>
        <w:tab/>
      </w:r>
      <w:r w:rsidR="00B61467">
        <w:t>(4)</w:t>
      </w:r>
      <w:r>
        <w:tab/>
      </w:r>
      <w:r w:rsidR="00B61467">
        <w:t xml:space="preserve">However, if a person who is acting as </w:t>
      </w:r>
      <w:r w:rsidR="005B2205">
        <w:t xml:space="preserve">Chief Executive </w:t>
      </w:r>
      <w:r w:rsidR="00B61467">
        <w:t xml:space="preserve">during a period (under subsection (3) or a previous application of this subsection) ceases at a particular time to be the senior available appointee, the senior available appointee at that time is to act as </w:t>
      </w:r>
      <w:r w:rsidR="005B2205">
        <w:t xml:space="preserve">Chief Executive </w:t>
      </w:r>
      <w:r w:rsidR="00B61467">
        <w:t>during the remainder of that period.</w:t>
      </w:r>
    </w:p>
    <w:p w14:paraId="2D935C94" w14:textId="3E9EED92" w:rsidR="00D06244" w:rsidRDefault="0008011D" w:rsidP="00B61467">
      <w:pPr>
        <w:pStyle w:val="subsection"/>
      </w:pPr>
      <w:r>
        <w:tab/>
      </w:r>
      <w:r w:rsidR="00B61467">
        <w:t>(5)</w:t>
      </w:r>
      <w:r>
        <w:tab/>
      </w:r>
      <w:r w:rsidR="00B61467">
        <w:t xml:space="preserve">Under subsection 33A(1) of the </w:t>
      </w:r>
      <w:r w:rsidR="00B61467" w:rsidRPr="0008011D">
        <w:rPr>
          <w:i/>
          <w:iCs/>
        </w:rPr>
        <w:t>Acts Interpretation Act 1901</w:t>
      </w:r>
      <w:r w:rsidR="00B61467">
        <w:t xml:space="preserve">, each appointment under subsection (1) is determined to be on the same terms and conditions that apply to the </w:t>
      </w:r>
      <w:r w:rsidR="005B2205">
        <w:t xml:space="preserve">Chief Executive </w:t>
      </w:r>
      <w:r w:rsidR="00B61467">
        <w:t xml:space="preserve">under section </w:t>
      </w:r>
      <w:r w:rsidR="003509AE">
        <w:t>68</w:t>
      </w:r>
      <w:r w:rsidR="00B61467">
        <w:t xml:space="preserve"> of the </w:t>
      </w:r>
      <w:r w:rsidR="003509AE" w:rsidRPr="003509AE">
        <w:rPr>
          <w:i/>
          <w:iCs/>
        </w:rPr>
        <w:t xml:space="preserve">Public Service </w:t>
      </w:r>
      <w:r w:rsidR="00B61467" w:rsidRPr="003509AE">
        <w:rPr>
          <w:i/>
          <w:iCs/>
        </w:rPr>
        <w:t>Act</w:t>
      </w:r>
      <w:r w:rsidR="003509AE" w:rsidRPr="003509AE">
        <w:rPr>
          <w:i/>
          <w:iCs/>
        </w:rPr>
        <w:t xml:space="preserve"> 1999</w:t>
      </w:r>
      <w:r w:rsidR="00B61467">
        <w:t>.</w:t>
      </w:r>
    </w:p>
    <w:p w14:paraId="0BFEAA18" w14:textId="29AD1EC1" w:rsidR="00873CDC" w:rsidRDefault="004751E0" w:rsidP="004751E0">
      <w:pPr>
        <w:pStyle w:val="ActHead5"/>
      </w:pPr>
      <w:bookmarkStart w:id="25" w:name="_Toc205385836"/>
      <w:r>
        <w:rPr>
          <w:rStyle w:val="CharSectno"/>
        </w:rPr>
        <w:t>7</w:t>
      </w:r>
      <w:r>
        <w:t xml:space="preserve">  Standing acting arrangements for the Inspector-General in Bankruptcy</w:t>
      </w:r>
      <w:bookmarkEnd w:id="25"/>
    </w:p>
    <w:p w14:paraId="1AFFB9F0" w14:textId="741F67F5" w:rsidR="004751E0" w:rsidRDefault="004751E0" w:rsidP="004751E0">
      <w:pPr>
        <w:pStyle w:val="subsection"/>
      </w:pPr>
      <w:r>
        <w:tab/>
        <w:t>(1)</w:t>
      </w:r>
      <w:r>
        <w:tab/>
        <w:t xml:space="preserve">Under </w:t>
      </w:r>
      <w:r w:rsidR="008A0457">
        <w:t>subsection 17(1)</w:t>
      </w:r>
      <w:r>
        <w:t xml:space="preserve"> of the </w:t>
      </w:r>
      <w:r w:rsidR="008A0457">
        <w:rPr>
          <w:i/>
          <w:iCs/>
        </w:rPr>
        <w:t>Bankruptcy Act 1966</w:t>
      </w:r>
      <w:r>
        <w:t xml:space="preserve">, during all periods </w:t>
      </w:r>
      <w:r w:rsidRPr="00EC3F24">
        <w:t>when the</w:t>
      </w:r>
      <w:r>
        <w:t xml:space="preserve">re is a vacancy in the office of the </w:t>
      </w:r>
      <w:bookmarkStart w:id="26" w:name="_Hlk204605179"/>
      <w:r w:rsidR="008A0457">
        <w:t>Inspector-General</w:t>
      </w:r>
      <w:bookmarkEnd w:id="26"/>
      <w:r>
        <w:t>,</w:t>
      </w:r>
      <w:r w:rsidRPr="00EC3F24">
        <w:t xml:space="preserve"> </w:t>
      </w:r>
      <w:r>
        <w:t xml:space="preserve">or the </w:t>
      </w:r>
      <w:r w:rsidR="008A0457">
        <w:t>Inspector</w:t>
      </w:r>
      <w:r w:rsidR="008A0457">
        <w:noBreakHyphen/>
        <w:t>General</w:t>
      </w:r>
      <w:r>
        <w:t xml:space="preserve"> </w:t>
      </w:r>
      <w:r w:rsidRPr="00EC3F24">
        <w:t>is absent from duty or from Australia or is, for any reason, unable to perform the duties of the office</w:t>
      </w:r>
      <w:r>
        <w:t xml:space="preserve">, the person determined in accordance with subsections (2), (3) and (4) is appointed to act as </w:t>
      </w:r>
      <w:r w:rsidR="00DB04F5">
        <w:t>Inspector</w:t>
      </w:r>
      <w:r w:rsidR="00DB04F5">
        <w:noBreakHyphen/>
        <w:t>Genera</w:t>
      </w:r>
      <w:r w:rsidR="0071286C">
        <w:t>l</w:t>
      </w:r>
      <w:r>
        <w:t>.</w:t>
      </w:r>
    </w:p>
    <w:p w14:paraId="1C15E01D" w14:textId="681F106C" w:rsidR="004751E0" w:rsidRPr="003B6B5A" w:rsidRDefault="004751E0" w:rsidP="008E1CBA">
      <w:pPr>
        <w:pStyle w:val="subsection"/>
      </w:pPr>
      <w:r>
        <w:lastRenderedPageBreak/>
        <w:tab/>
      </w:r>
      <w:r w:rsidRPr="0035616D">
        <w:t>(2)</w:t>
      </w:r>
      <w:r w:rsidRPr="0035616D">
        <w:tab/>
        <w:t xml:space="preserve">For the purposes of this </w:t>
      </w:r>
      <w:r w:rsidR="0024273C">
        <w:t>section</w:t>
      </w:r>
      <w:r w:rsidRPr="0035616D">
        <w:t xml:space="preserve">, the </w:t>
      </w:r>
      <w:r w:rsidRPr="0035616D">
        <w:rPr>
          <w:b/>
          <w:bCs/>
          <w:i/>
          <w:iCs/>
        </w:rPr>
        <w:t>senior available appointee</w:t>
      </w:r>
      <w:r w:rsidRPr="0035616D">
        <w:t xml:space="preserve"> at a particular time is a person who, at that time</w:t>
      </w:r>
      <w:r w:rsidR="008E1CBA" w:rsidRPr="0035616D">
        <w:t>, is the senior ava</w:t>
      </w:r>
      <w:r w:rsidR="0035616D" w:rsidRPr="0035616D">
        <w:t>ilable appointee under subsection 6(2).</w:t>
      </w:r>
    </w:p>
    <w:p w14:paraId="0E437096" w14:textId="2838DF9F" w:rsidR="004751E0" w:rsidRDefault="004751E0" w:rsidP="004751E0">
      <w:pPr>
        <w:pStyle w:val="subsection"/>
      </w:pPr>
      <w:r>
        <w:tab/>
        <w:t>(3)</w:t>
      </w:r>
      <w:r>
        <w:tab/>
        <w:t xml:space="preserve">The senior available appointee at the start of a period when the office of </w:t>
      </w:r>
      <w:r w:rsidR="00DB04F5">
        <w:t xml:space="preserve">Inspector-General </w:t>
      </w:r>
      <w:r>
        <w:t xml:space="preserve">is vacant or the </w:t>
      </w:r>
      <w:r w:rsidR="00DB04F5">
        <w:t xml:space="preserve">Inspector-General </w:t>
      </w:r>
      <w:r>
        <w:t xml:space="preserve">is absent from duty or from Australia, or is, for any reason, unable to perform the functions of his or her office, is to act as </w:t>
      </w:r>
      <w:r w:rsidR="00494E62">
        <w:t>Inspector-General</w:t>
      </w:r>
      <w:r>
        <w:t xml:space="preserve"> during that period.</w:t>
      </w:r>
    </w:p>
    <w:p w14:paraId="4C42D8DF" w14:textId="56241CA6" w:rsidR="004751E0" w:rsidRDefault="004751E0" w:rsidP="004751E0">
      <w:pPr>
        <w:pStyle w:val="subsection"/>
      </w:pPr>
      <w:r>
        <w:tab/>
        <w:t>(4)</w:t>
      </w:r>
      <w:r>
        <w:tab/>
        <w:t xml:space="preserve">However, if a person who is acting as </w:t>
      </w:r>
      <w:r w:rsidR="00DB04F5">
        <w:t xml:space="preserve">Inspector-General </w:t>
      </w:r>
      <w:r>
        <w:t xml:space="preserve">during a period (under subsection (3) or a previous application of this subsection) ceases at a particular time to be the senior available appointee, the senior available appointee at that time is to act as </w:t>
      </w:r>
      <w:r w:rsidR="00DB04F5">
        <w:t xml:space="preserve">Inspector-General </w:t>
      </w:r>
      <w:r>
        <w:t>during the remainder of that period.</w:t>
      </w:r>
    </w:p>
    <w:p w14:paraId="339C6FF5" w14:textId="68325AB1" w:rsidR="00685A5F" w:rsidRDefault="00930E00" w:rsidP="00930E00">
      <w:pPr>
        <w:pStyle w:val="ActHead5"/>
      </w:pPr>
      <w:bookmarkStart w:id="27" w:name="_Toc205385837"/>
      <w:r w:rsidRPr="00930E00">
        <w:rPr>
          <w:rStyle w:val="CharSectno"/>
        </w:rPr>
        <w:t>8</w:t>
      </w:r>
      <w:r>
        <w:t xml:space="preserve">  Standing acting arrangements for Registrar o</w:t>
      </w:r>
      <w:r w:rsidR="008D5B46">
        <w:t>f</w:t>
      </w:r>
      <w:r>
        <w:t xml:space="preserve"> Personal Property Securities</w:t>
      </w:r>
      <w:bookmarkEnd w:id="27"/>
    </w:p>
    <w:p w14:paraId="09E0884C" w14:textId="23878FAD" w:rsidR="00930E00" w:rsidRDefault="00930E00" w:rsidP="00930E00">
      <w:pPr>
        <w:pStyle w:val="subsection"/>
      </w:pPr>
      <w:r>
        <w:tab/>
        <w:t>(1)</w:t>
      </w:r>
      <w:r>
        <w:tab/>
        <w:t xml:space="preserve">Under section </w:t>
      </w:r>
      <w:r w:rsidR="00631D9D">
        <w:t>196</w:t>
      </w:r>
      <w:r>
        <w:t xml:space="preserve"> of the </w:t>
      </w:r>
      <w:r w:rsidR="0071286C" w:rsidRPr="0071286C">
        <w:rPr>
          <w:i/>
          <w:iCs/>
        </w:rPr>
        <w:t>Personal Property Securities Act 2009</w:t>
      </w:r>
      <w:r>
        <w:t xml:space="preserve">, during all periods </w:t>
      </w:r>
      <w:r w:rsidRPr="00EC3F24">
        <w:t>when the</w:t>
      </w:r>
      <w:r>
        <w:t xml:space="preserve">re is a vacancy in the office of the </w:t>
      </w:r>
      <w:r w:rsidR="00F2088F">
        <w:t>Registrar</w:t>
      </w:r>
      <w:r>
        <w:t>,</w:t>
      </w:r>
      <w:r w:rsidRPr="00EC3F24">
        <w:t xml:space="preserve"> </w:t>
      </w:r>
      <w:r>
        <w:t xml:space="preserve">or the </w:t>
      </w:r>
      <w:r w:rsidR="00F2088F">
        <w:t>Registrar</w:t>
      </w:r>
      <w:r w:rsidR="00F2088F" w:rsidRPr="00EC3F24">
        <w:t xml:space="preserve"> </w:t>
      </w:r>
      <w:r w:rsidRPr="00EC3F24">
        <w:t>is absent from duty or from Australia or is, for any reason, unable to perform the duties of the office</w:t>
      </w:r>
      <w:r>
        <w:t xml:space="preserve">, the person determined in accordance with subsections (2), (3) and (4) is appointed to act as </w:t>
      </w:r>
      <w:r w:rsidR="00F2088F">
        <w:t>Registrar</w:t>
      </w:r>
      <w:r>
        <w:t>.</w:t>
      </w:r>
    </w:p>
    <w:p w14:paraId="05D97E44" w14:textId="170A3EBE" w:rsidR="00930E00" w:rsidRDefault="00930E00" w:rsidP="00930E00">
      <w:pPr>
        <w:pStyle w:val="subsection"/>
      </w:pPr>
      <w:r>
        <w:tab/>
        <w:t>(2)</w:t>
      </w:r>
      <w:r>
        <w:tab/>
        <w:t xml:space="preserve">For the purposes of this </w:t>
      </w:r>
      <w:r w:rsidR="0024273C">
        <w:t>section</w:t>
      </w:r>
      <w:r>
        <w:t xml:space="preserve">, the </w:t>
      </w:r>
      <w:r w:rsidRPr="007708FA">
        <w:rPr>
          <w:b/>
          <w:bCs/>
          <w:i/>
          <w:iCs/>
        </w:rPr>
        <w:t>senior available appointee</w:t>
      </w:r>
      <w:r>
        <w:t xml:space="preserve"> at a particular time is a person who, at that time, satisfies all of the following:</w:t>
      </w:r>
    </w:p>
    <w:p w14:paraId="03CDA217" w14:textId="43B08CEF" w:rsidR="00930E00" w:rsidRPr="003B6B5A" w:rsidRDefault="00930E00" w:rsidP="00930E00">
      <w:pPr>
        <w:pStyle w:val="paragraph"/>
      </w:pPr>
      <w:r>
        <w:tab/>
        <w:t>(a)</w:t>
      </w:r>
      <w:r>
        <w:tab/>
      </w:r>
      <w:r w:rsidRPr="001D6DB7">
        <w:t>is engaged under the </w:t>
      </w:r>
      <w:r w:rsidRPr="001D6DB7">
        <w:rPr>
          <w:i/>
          <w:iCs/>
        </w:rPr>
        <w:t>Public Service Act 1999</w:t>
      </w:r>
      <w:r w:rsidRPr="001D6DB7">
        <w:t xml:space="preserve"> by the </w:t>
      </w:r>
      <w:r w:rsidR="005B2205">
        <w:t>Chief Executive</w:t>
      </w:r>
      <w:r w:rsidR="005B2205" w:rsidRPr="001D6DB7">
        <w:t xml:space="preserve"> </w:t>
      </w:r>
      <w:r w:rsidRPr="001D6DB7">
        <w:t xml:space="preserve">for the purposes of the </w:t>
      </w:r>
      <w:r w:rsidRPr="00655AEF">
        <w:t>Australian Financial Security Authority</w:t>
      </w:r>
      <w:r w:rsidRPr="001D6DB7">
        <w:t>;</w:t>
      </w:r>
    </w:p>
    <w:p w14:paraId="02D0065B" w14:textId="77777777" w:rsidR="00930E00" w:rsidRPr="003B6B5A" w:rsidRDefault="00930E00" w:rsidP="00930E00">
      <w:pPr>
        <w:pStyle w:val="paragraph"/>
      </w:pPr>
      <w:r>
        <w:tab/>
      </w:r>
      <w:r w:rsidRPr="003B6B5A">
        <w:t>(b)</w:t>
      </w:r>
      <w:r>
        <w:tab/>
      </w:r>
      <w:r w:rsidRPr="003B6B5A">
        <w:t xml:space="preserve">is </w:t>
      </w:r>
      <w:r w:rsidRPr="00525263">
        <w:rPr>
          <w:i/>
          <w:iCs/>
        </w:rPr>
        <w:t>not</w:t>
      </w:r>
      <w:r w:rsidRPr="003B6B5A">
        <w:t xml:space="preserve"> absent from duty or from Australia;</w:t>
      </w:r>
    </w:p>
    <w:p w14:paraId="019074CE" w14:textId="1A1F7206" w:rsidR="00930E00" w:rsidRPr="003B6B5A" w:rsidRDefault="00930E00" w:rsidP="00930E00">
      <w:pPr>
        <w:pStyle w:val="paragraph"/>
      </w:pPr>
      <w:r>
        <w:tab/>
      </w:r>
      <w:r w:rsidRPr="003B6B5A">
        <w:t>(c)</w:t>
      </w:r>
      <w:r>
        <w:tab/>
      </w:r>
      <w:r w:rsidRPr="003B6B5A">
        <w:t xml:space="preserve">has </w:t>
      </w:r>
      <w:r w:rsidRPr="00525263">
        <w:rPr>
          <w:i/>
          <w:iCs/>
        </w:rPr>
        <w:t>not</w:t>
      </w:r>
      <w:r w:rsidRPr="003B6B5A">
        <w:t xml:space="preserve">, during a vacancy in the office of </w:t>
      </w:r>
      <w:r w:rsidR="00F2088F">
        <w:t>Registrar</w:t>
      </w:r>
      <w:r w:rsidR="00F2088F" w:rsidRPr="003B6B5A">
        <w:t xml:space="preserve"> </w:t>
      </w:r>
      <w:r w:rsidRPr="003B6B5A">
        <w:t xml:space="preserve">or absence of the </w:t>
      </w:r>
      <w:r w:rsidR="00F2088F">
        <w:t>Registrar</w:t>
      </w:r>
      <w:r w:rsidRPr="003B6B5A">
        <w:t xml:space="preserve">, continued to act as </w:t>
      </w:r>
      <w:r w:rsidR="00F2088F">
        <w:t>Registrar</w:t>
      </w:r>
      <w:r w:rsidR="00F2088F" w:rsidRPr="003B6B5A">
        <w:t xml:space="preserve"> </w:t>
      </w:r>
      <w:r w:rsidRPr="003B6B5A">
        <w:t>for a period of more than 12</w:t>
      </w:r>
      <w:r w:rsidR="00F2088F">
        <w:t> </w:t>
      </w:r>
      <w:r w:rsidRPr="003B6B5A">
        <w:t>months;</w:t>
      </w:r>
    </w:p>
    <w:p w14:paraId="1DDDA89B" w14:textId="2189DEF0" w:rsidR="00930E00" w:rsidRPr="003B6B5A" w:rsidRDefault="00930E00" w:rsidP="00930E00">
      <w:pPr>
        <w:pStyle w:val="paragraph"/>
      </w:pPr>
      <w:r>
        <w:tab/>
      </w:r>
      <w:r w:rsidRPr="003B6B5A">
        <w:t>(d)</w:t>
      </w:r>
      <w:r>
        <w:tab/>
      </w:r>
      <w:r w:rsidRPr="003B6B5A">
        <w:t xml:space="preserve">has advised that they are available to act as </w:t>
      </w:r>
      <w:r w:rsidR="00F2088F">
        <w:t>Registrar</w:t>
      </w:r>
      <w:r w:rsidRPr="003B6B5A">
        <w:t>;</w:t>
      </w:r>
    </w:p>
    <w:p w14:paraId="5B99FB66" w14:textId="77777777" w:rsidR="00930E00" w:rsidRPr="003B6B5A" w:rsidRDefault="00930E00" w:rsidP="00930E00">
      <w:pPr>
        <w:pStyle w:val="paragraph"/>
      </w:pPr>
      <w:r>
        <w:tab/>
      </w:r>
      <w:r w:rsidRPr="003B6B5A">
        <w:t>(e)</w:t>
      </w:r>
      <w:r>
        <w:tab/>
      </w:r>
      <w:r w:rsidRPr="003B6B5A">
        <w:t>is highest in the following list:</w:t>
      </w:r>
    </w:p>
    <w:p w14:paraId="4521752F" w14:textId="492FB9B9" w:rsidR="00672166" w:rsidRPr="003B6B5A" w:rsidRDefault="00672166" w:rsidP="00672166">
      <w:pPr>
        <w:pStyle w:val="paragraphsub"/>
      </w:pPr>
      <w:r w:rsidRPr="003B6B5A">
        <w:tab/>
        <w:t>(</w:t>
      </w:r>
      <w:proofErr w:type="spellStart"/>
      <w:r w:rsidRPr="003B6B5A">
        <w:t>i</w:t>
      </w:r>
      <w:proofErr w:type="spellEnd"/>
      <w:r w:rsidRPr="003B6B5A">
        <w:t>)</w:t>
      </w:r>
      <w:r w:rsidRPr="003B6B5A">
        <w:tab/>
      </w:r>
      <w:r w:rsidRPr="00642660">
        <w:t>Emma Greenwood</w:t>
      </w:r>
      <w:r w:rsidRPr="003B6B5A">
        <w:t>;</w:t>
      </w:r>
    </w:p>
    <w:p w14:paraId="3D4E4E7C" w14:textId="7A0A0AA1" w:rsidR="00930E00" w:rsidRPr="003B6B5A" w:rsidRDefault="00930E00" w:rsidP="00930E00">
      <w:pPr>
        <w:pStyle w:val="paragraphsub"/>
      </w:pPr>
      <w:r w:rsidRPr="003B6B5A">
        <w:tab/>
        <w:t>(i</w:t>
      </w:r>
      <w:r w:rsidR="00672166">
        <w:t>i</w:t>
      </w:r>
      <w:r w:rsidRPr="003B6B5A">
        <w:t>)</w:t>
      </w:r>
      <w:r w:rsidRPr="003B6B5A">
        <w:tab/>
      </w:r>
      <w:r w:rsidRPr="009F0010">
        <w:t>Jennifer Dobell</w:t>
      </w:r>
      <w:r w:rsidRPr="003B6B5A">
        <w:t>;</w:t>
      </w:r>
    </w:p>
    <w:p w14:paraId="441EA8B7" w14:textId="27B835B6" w:rsidR="00930E00" w:rsidRDefault="00930E00" w:rsidP="00930E00">
      <w:pPr>
        <w:pStyle w:val="paragraphsub"/>
      </w:pPr>
      <w:r w:rsidRPr="003B6B5A">
        <w:tab/>
        <w:t>(iii)</w:t>
      </w:r>
      <w:r w:rsidRPr="003B6B5A">
        <w:tab/>
      </w:r>
      <w:r w:rsidRPr="00642660">
        <w:t>Neville Matthew</w:t>
      </w:r>
      <w:r w:rsidR="007A7783">
        <w:t>.</w:t>
      </w:r>
    </w:p>
    <w:p w14:paraId="681BECA6" w14:textId="12EA0C92" w:rsidR="00930E00" w:rsidRDefault="00930E00" w:rsidP="00672166">
      <w:pPr>
        <w:pStyle w:val="subsection"/>
      </w:pPr>
      <w:r>
        <w:tab/>
        <w:t>(3)</w:t>
      </w:r>
      <w:r>
        <w:tab/>
        <w:t xml:space="preserve">The senior available appointee at the start of a period when the office of </w:t>
      </w:r>
      <w:r w:rsidR="00F2088F">
        <w:t xml:space="preserve">Registrar </w:t>
      </w:r>
      <w:r>
        <w:t xml:space="preserve">is vacant or the </w:t>
      </w:r>
      <w:r w:rsidR="00F2088F">
        <w:t xml:space="preserve">Registrar </w:t>
      </w:r>
      <w:r>
        <w:t xml:space="preserve">is absent from duty or from Australia, or is, for any reason, unable to perform the functions of his or her office, is to act as </w:t>
      </w:r>
      <w:r w:rsidR="00F2088F">
        <w:t xml:space="preserve">Registrar </w:t>
      </w:r>
      <w:r>
        <w:t>during that period.</w:t>
      </w:r>
    </w:p>
    <w:p w14:paraId="1F33BCB1" w14:textId="77777777" w:rsidR="00142DA1" w:rsidRDefault="00930E00" w:rsidP="00930E00">
      <w:pPr>
        <w:pStyle w:val="subsection"/>
        <w:sectPr w:rsidR="00142DA1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>
        <w:tab/>
        <w:t>(4)</w:t>
      </w:r>
      <w:r>
        <w:tab/>
        <w:t xml:space="preserve">However, if a person who is acting as </w:t>
      </w:r>
      <w:r w:rsidR="0005441C">
        <w:t xml:space="preserve">Registrar </w:t>
      </w:r>
      <w:r>
        <w:t xml:space="preserve">during a period (under subsection (3) or a previous application of this subsection) ceases at a particular time to be the senior available appointee, the senior available appointee at that time is to act as </w:t>
      </w:r>
      <w:r w:rsidR="0005441C">
        <w:t xml:space="preserve">Registrar </w:t>
      </w:r>
      <w:r>
        <w:t>during the remainder of that period.</w:t>
      </w:r>
    </w:p>
    <w:p w14:paraId="79594CBB" w14:textId="2C02C637" w:rsidR="00663B32" w:rsidRPr="00663B32" w:rsidRDefault="00663B32" w:rsidP="00663B32">
      <w:pPr>
        <w:pStyle w:val="ActHead1"/>
        <w:pageBreakBefore/>
        <w:rPr>
          <w:lang w:eastAsia="en-US"/>
        </w:rPr>
      </w:pPr>
      <w:bookmarkStart w:id="40" w:name="_Toc205385838"/>
      <w:r w:rsidRPr="00663B32">
        <w:rPr>
          <w:rStyle w:val="CharChapNo"/>
        </w:rPr>
        <w:lastRenderedPageBreak/>
        <w:t>Schedule 1</w:t>
      </w:r>
      <w:r>
        <w:t>—</w:t>
      </w:r>
      <w:r w:rsidRPr="00663B32">
        <w:rPr>
          <w:rStyle w:val="CharChapText"/>
        </w:rPr>
        <w:t>Repeals</w:t>
      </w:r>
      <w:bookmarkEnd w:id="40"/>
    </w:p>
    <w:p w14:paraId="09BC5060" w14:textId="5EC6E310" w:rsidR="00663B32" w:rsidRDefault="00AC3023" w:rsidP="00142DA1">
      <w:pPr>
        <w:pStyle w:val="ActHead9"/>
      </w:pPr>
      <w:bookmarkStart w:id="41" w:name="_Toc205385839"/>
      <w:r>
        <w:t xml:space="preserve">Australian Financial Security Authority Head </w:t>
      </w:r>
      <w:r w:rsidR="00D42501">
        <w:t>Acting Appointment 2025</w:t>
      </w:r>
      <w:bookmarkEnd w:id="41"/>
    </w:p>
    <w:p w14:paraId="69C17519" w14:textId="58664012" w:rsidR="00D42501" w:rsidRDefault="00D42501" w:rsidP="00D42501">
      <w:pPr>
        <w:pStyle w:val="ItemHead"/>
      </w:pPr>
      <w:r>
        <w:t>1  The whole of the instrument</w:t>
      </w:r>
    </w:p>
    <w:p w14:paraId="081FEDDD" w14:textId="34B733A0" w:rsidR="00D42501" w:rsidRDefault="00D42501" w:rsidP="00D42501">
      <w:pPr>
        <w:pStyle w:val="Item"/>
      </w:pPr>
      <w:r>
        <w:t>Repeal the instrument.</w:t>
      </w:r>
    </w:p>
    <w:p w14:paraId="72DEDA6C" w14:textId="022498DA" w:rsidR="00675CBF" w:rsidRPr="0028247A" w:rsidRDefault="00675CBF" w:rsidP="00675CBF">
      <w:pPr>
        <w:pStyle w:val="notetext"/>
      </w:pPr>
      <w:r>
        <w:t>Note:</w:t>
      </w:r>
      <w:r>
        <w:tab/>
        <w:t xml:space="preserve">The </w:t>
      </w:r>
      <w:r w:rsidRPr="00675CBF">
        <w:rPr>
          <w:i/>
          <w:iCs/>
        </w:rPr>
        <w:t>Australian Financial Security Authority Head Acting Appointment 2025</w:t>
      </w:r>
      <w:r>
        <w:t xml:space="preserve"> was not registered on the Federal Register of Legislation.</w:t>
      </w:r>
    </w:p>
    <w:p w14:paraId="5F744690" w14:textId="110106F0" w:rsidR="00D42501" w:rsidRDefault="00D04258" w:rsidP="00D04258">
      <w:pPr>
        <w:pStyle w:val="ActHead9"/>
      </w:pPr>
      <w:bookmarkStart w:id="42" w:name="_Toc205385840"/>
      <w:r>
        <w:t>Inspector-General in Bankruptcy Acting Appointment 2025</w:t>
      </w:r>
      <w:bookmarkEnd w:id="42"/>
    </w:p>
    <w:p w14:paraId="58CAAE62" w14:textId="7C6DC9DB" w:rsidR="00D04258" w:rsidRDefault="00D04258" w:rsidP="00D04258">
      <w:pPr>
        <w:pStyle w:val="ItemHead"/>
      </w:pPr>
      <w:r>
        <w:t>2  The whole of the instrument</w:t>
      </w:r>
    </w:p>
    <w:p w14:paraId="48A865E8" w14:textId="6812EFAC" w:rsidR="00D04258" w:rsidRDefault="00D04258" w:rsidP="00D04258">
      <w:pPr>
        <w:pStyle w:val="Item"/>
      </w:pPr>
      <w:r>
        <w:t>Repeal the instrument.</w:t>
      </w:r>
    </w:p>
    <w:p w14:paraId="1BAB4361" w14:textId="173EDDD9" w:rsidR="00675CBF" w:rsidRPr="0028247A" w:rsidRDefault="00675CBF" w:rsidP="00675CBF">
      <w:pPr>
        <w:pStyle w:val="notetext"/>
      </w:pPr>
      <w:r>
        <w:t>Note:</w:t>
      </w:r>
      <w:r>
        <w:tab/>
        <w:t xml:space="preserve">The </w:t>
      </w:r>
      <w:r w:rsidRPr="00675CBF">
        <w:rPr>
          <w:i/>
          <w:iCs/>
        </w:rPr>
        <w:t>Inspector-General in Bankruptcy Acting Appointment 2025</w:t>
      </w:r>
      <w:r>
        <w:t xml:space="preserve"> was not registered on the Federal Register of Legislation.</w:t>
      </w:r>
    </w:p>
    <w:p w14:paraId="71D8A98D" w14:textId="3F13A30B" w:rsidR="00D04258" w:rsidRDefault="00D04258" w:rsidP="00D04258">
      <w:pPr>
        <w:pStyle w:val="ActHead9"/>
      </w:pPr>
      <w:bookmarkStart w:id="43" w:name="_Hlk204953825"/>
      <w:bookmarkStart w:id="44" w:name="_Toc205385841"/>
      <w:r>
        <w:t>Registrar of Personal Property Securities Acting Appointment 2025</w:t>
      </w:r>
      <w:bookmarkEnd w:id="43"/>
      <w:bookmarkEnd w:id="44"/>
    </w:p>
    <w:p w14:paraId="35F5B702" w14:textId="3181C061" w:rsidR="00D04258" w:rsidRDefault="00D04258" w:rsidP="00D04258">
      <w:pPr>
        <w:pStyle w:val="ItemHead"/>
      </w:pPr>
      <w:r>
        <w:t>3  The whole of the instrument</w:t>
      </w:r>
    </w:p>
    <w:p w14:paraId="2E7A8ACA" w14:textId="77777777" w:rsidR="00D04258" w:rsidRDefault="00D04258" w:rsidP="00D04258">
      <w:pPr>
        <w:pStyle w:val="Item"/>
      </w:pPr>
      <w:r>
        <w:t>Repeal the instrument.</w:t>
      </w:r>
    </w:p>
    <w:p w14:paraId="0A68CF70" w14:textId="040D8E18" w:rsidR="00675CBF" w:rsidRPr="0028247A" w:rsidRDefault="00675CBF" w:rsidP="00675CBF">
      <w:pPr>
        <w:pStyle w:val="notetext"/>
      </w:pPr>
      <w:r>
        <w:t>Note:</w:t>
      </w:r>
      <w:r>
        <w:tab/>
        <w:t xml:space="preserve">The </w:t>
      </w:r>
      <w:r w:rsidRPr="00675CBF">
        <w:rPr>
          <w:i/>
          <w:iCs/>
        </w:rPr>
        <w:t>Registrar of Personal Property Securities Acting Appointment 2025</w:t>
      </w:r>
      <w:r>
        <w:t xml:space="preserve"> was not registered on the Federal Register of Legislation.</w:t>
      </w:r>
    </w:p>
    <w:sectPr w:rsidR="00675CBF" w:rsidRPr="0028247A" w:rsidSect="00114BD4">
      <w:headerReference w:type="default" r:id="rId25"/>
      <w:type w:val="oddPage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B6003" w14:textId="77777777" w:rsidR="005F6A94" w:rsidRDefault="005F6A94" w:rsidP="00FA06CA">
      <w:pPr>
        <w:spacing w:line="240" w:lineRule="auto"/>
      </w:pPr>
      <w:r>
        <w:separator/>
      </w:r>
    </w:p>
  </w:endnote>
  <w:endnote w:type="continuationSeparator" w:id="0">
    <w:p w14:paraId="1958E4E2" w14:textId="77777777" w:rsidR="005F6A94" w:rsidRDefault="005F6A94" w:rsidP="00FA06CA">
      <w:pPr>
        <w:spacing w:line="240" w:lineRule="auto"/>
      </w:pPr>
      <w:r>
        <w:continuationSeparator/>
      </w:r>
    </w:p>
  </w:endnote>
  <w:endnote w:type="continuationNotice" w:id="1">
    <w:p w14:paraId="0898A618" w14:textId="77777777" w:rsidR="005F6A94" w:rsidRDefault="005F6A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6615B" w14:textId="41BB5377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002EC526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F89B3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CAE38" w14:textId="5BDCCC29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6117C223" w14:textId="77777777" w:rsidTr="00AB50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145444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F177D8" w14:textId="652CADCB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F6573">
            <w:rPr>
              <w:i/>
              <w:noProof/>
              <w:sz w:val="18"/>
            </w:rPr>
            <w:t>Australian Financial Security Authority (Standing Acting Arrangements) Appointment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8F435B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A1BCF0A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181C" w14:textId="7E596B63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4779EF4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99B519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6C5727F" w14:textId="43B53C90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67C96">
            <w:rPr>
              <w:i/>
              <w:noProof/>
              <w:sz w:val="18"/>
            </w:rPr>
            <w:t>Australian Financial Security Authority (Standing Acting Arrangements) Appointment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C65A11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17746560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3677" w14:textId="42DD9FD7" w:rsidR="006D6BD5" w:rsidRPr="00E33C1C" w:rsidRDefault="006D6BD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6CACCCE" w14:textId="77777777" w:rsidTr="00AB50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FE1DB7" w14:textId="77777777" w:rsidR="006D6BD5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C6CEF3" w14:textId="5C3CBCB4" w:rsidR="006D6BD5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67C96">
            <w:rPr>
              <w:i/>
              <w:noProof/>
              <w:sz w:val="18"/>
            </w:rPr>
            <w:t>Australian Financial Security Authority (Standing Acting Arrangements) Appointment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FDEF1C" w14:textId="77777777" w:rsidR="006D6BD5" w:rsidRDefault="006D6BD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866CD8A" w14:textId="77777777" w:rsidR="006D6BD5" w:rsidRPr="00ED79B6" w:rsidRDefault="006D6BD5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AD02B" w14:textId="6F348B64" w:rsidR="006D6BD5" w:rsidRPr="00E33C1C" w:rsidRDefault="006D6BD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2" w:name="_Hlk26286453"/>
    <w:bookmarkStart w:id="33" w:name="_Hlk26286454"/>
    <w:bookmarkStart w:id="34" w:name="_Hlk26286457"/>
    <w:bookmarkStart w:id="35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717D4D3C" w14:textId="77777777" w:rsidTr="00AB506D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4B90E473" w14:textId="77777777" w:rsidR="006D6BD5" w:rsidRDefault="006D6BD5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10990006" w14:textId="2ED7E481" w:rsidR="006D6BD5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67C96">
            <w:rPr>
              <w:i/>
              <w:noProof/>
              <w:sz w:val="18"/>
            </w:rPr>
            <w:t>Australian Financial Security Authority (Standing Acting Arrangements) Appointment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58A29D67" w14:textId="77777777" w:rsidR="006D6BD5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  <w:bookmarkEnd w:id="34"/>
    <w:bookmarkEnd w:id="35"/>
  </w:tbl>
  <w:p w14:paraId="7D53493F" w14:textId="77777777" w:rsidR="006D6BD5" w:rsidRPr="00ED79B6" w:rsidRDefault="006D6BD5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6D6E7" w14:textId="77777777" w:rsidR="006D6BD5" w:rsidRPr="00E33C1C" w:rsidRDefault="006D6BD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8" w:name="_Hlk26286455"/>
    <w:bookmarkStart w:id="39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093DEA20" w14:textId="77777777" w:rsidTr="00AB506D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7A3F18D5" w14:textId="77777777" w:rsidR="006D6BD5" w:rsidRDefault="006D6BD5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61A89711" w14:textId="041167AD" w:rsidR="006D6BD5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573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BB85267" w14:textId="77777777" w:rsidR="006D6BD5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8"/>
    <w:bookmarkEnd w:id="39"/>
  </w:tbl>
  <w:p w14:paraId="682D2C91" w14:textId="77777777" w:rsidR="006D6BD5" w:rsidRPr="00ED79B6" w:rsidRDefault="006D6BD5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BD1B" w14:textId="77777777" w:rsidR="005F6A94" w:rsidRDefault="005F6A94" w:rsidP="00FA06CA">
      <w:pPr>
        <w:spacing w:line="240" w:lineRule="auto"/>
      </w:pPr>
      <w:r>
        <w:separator/>
      </w:r>
    </w:p>
  </w:footnote>
  <w:footnote w:type="continuationSeparator" w:id="0">
    <w:p w14:paraId="20C31548" w14:textId="77777777" w:rsidR="005F6A94" w:rsidRDefault="005F6A94" w:rsidP="00FA06CA">
      <w:pPr>
        <w:spacing w:line="240" w:lineRule="auto"/>
      </w:pPr>
      <w:r>
        <w:continuationSeparator/>
      </w:r>
    </w:p>
  </w:footnote>
  <w:footnote w:type="continuationNotice" w:id="1">
    <w:p w14:paraId="5EF58453" w14:textId="77777777" w:rsidR="005F6A94" w:rsidRDefault="005F6A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A41E1" w14:textId="79646D1C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3745" w14:textId="0DBCA8CE" w:rsidR="00142DA1" w:rsidRPr="007A1328" w:rsidRDefault="00142DA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167C96">
      <w:rPr>
        <w:noProof/>
        <w:sz w:val="20"/>
      </w:rPr>
      <w:t>Repeals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167C9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8483D5D" w14:textId="0BA79FCB" w:rsidR="00142DA1" w:rsidRPr="007A1328" w:rsidRDefault="00142DA1" w:rsidP="00715914">
    <w:pPr>
      <w:jc w:val="right"/>
      <w:rPr>
        <w:sz w:val="20"/>
      </w:rPr>
    </w:pPr>
  </w:p>
  <w:p w14:paraId="3666F6D2" w14:textId="4C84866D" w:rsidR="00142DA1" w:rsidRPr="007A1328" w:rsidRDefault="00142DA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717AE8E" w14:textId="77777777" w:rsidR="00142DA1" w:rsidRPr="007A1328" w:rsidRDefault="00142DA1" w:rsidP="00715914">
    <w:pPr>
      <w:jc w:val="right"/>
      <w:rPr>
        <w:b/>
        <w:sz w:val="24"/>
      </w:rPr>
    </w:pPr>
  </w:p>
  <w:p w14:paraId="52905660" w14:textId="6C62032A" w:rsidR="00142DA1" w:rsidRPr="007A1328" w:rsidRDefault="00142DA1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EA82" w14:textId="778BEEA1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6AD4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4DBD" w14:textId="2BF4DA3D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226E" w14:textId="57AC821E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F39B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EB92" w14:textId="2396EE19" w:rsidR="006D6BD5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612ECEB" w14:textId="2A5E219A" w:rsidR="006D6BD5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167C96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167C96">
      <w:rPr>
        <w:noProof/>
        <w:sz w:val="20"/>
      </w:rPr>
      <w:t>Standing acting arrangements</w:t>
    </w:r>
    <w:r>
      <w:rPr>
        <w:sz w:val="20"/>
      </w:rPr>
      <w:fldChar w:fldCharType="end"/>
    </w:r>
  </w:p>
  <w:p w14:paraId="4F17EC01" w14:textId="1776042F" w:rsidR="006D6BD5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3C5CD49" w14:textId="77777777" w:rsidR="006D6BD5" w:rsidRPr="007A1328" w:rsidRDefault="006D6BD5" w:rsidP="00715914">
    <w:pPr>
      <w:rPr>
        <w:b/>
        <w:sz w:val="24"/>
      </w:rPr>
    </w:pPr>
  </w:p>
  <w:p w14:paraId="36614B14" w14:textId="67EB5F38" w:rsidR="006D6BD5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F657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67C96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8" w:name="_Hlk26286447"/>
  <w:bookmarkStart w:id="29" w:name="_Hlk26286448"/>
  <w:bookmarkStart w:id="30" w:name="_Hlk26286451"/>
  <w:bookmarkStart w:id="31" w:name="_Hlk26286452"/>
  <w:p w14:paraId="42E5F6D9" w14:textId="193EBB72" w:rsidR="006D6BD5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B3BB149" w14:textId="03055924" w:rsidR="006D6BD5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167C96">
      <w:rPr>
        <w:sz w:val="20"/>
      </w:rPr>
      <w:fldChar w:fldCharType="separate"/>
    </w:r>
    <w:r w:rsidR="00167C96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167C96">
      <w:rPr>
        <w:b/>
        <w:sz w:val="20"/>
      </w:rPr>
      <w:fldChar w:fldCharType="separate"/>
    </w:r>
    <w:r w:rsidR="00167C96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C0CF7D1" w14:textId="733C3886" w:rsidR="006D6BD5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88BCC8A" w14:textId="77777777" w:rsidR="006D6BD5" w:rsidRPr="007A1328" w:rsidRDefault="006D6BD5" w:rsidP="00715914">
    <w:pPr>
      <w:jc w:val="right"/>
      <w:rPr>
        <w:b/>
        <w:sz w:val="24"/>
      </w:rPr>
    </w:pPr>
  </w:p>
  <w:p w14:paraId="5632AC23" w14:textId="1799E28A" w:rsidR="006D6BD5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F657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67C96">
      <w:rPr>
        <w:noProof/>
        <w:sz w:val="24"/>
      </w:rPr>
      <w:t>1</w:t>
    </w:r>
    <w:r w:rsidRPr="007A1328">
      <w:rPr>
        <w:sz w:val="24"/>
      </w:rPr>
      <w:fldChar w:fldCharType="end"/>
    </w:r>
    <w:bookmarkEnd w:id="28"/>
    <w:bookmarkEnd w:id="29"/>
    <w:bookmarkEnd w:id="30"/>
    <w:bookmarkEnd w:id="31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4CB9F" w14:textId="77777777" w:rsidR="006D6BD5" w:rsidRPr="007A1328" w:rsidRDefault="006D6BD5" w:rsidP="00715914">
    <w:bookmarkStart w:id="36" w:name="_Hlk26286449"/>
    <w:bookmarkStart w:id="37" w:name="_Hlk26286450"/>
    <w:bookmarkEnd w:id="36"/>
    <w:bookmarkEnd w:id="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584462828">
    <w:abstractNumId w:val="9"/>
  </w:num>
  <w:num w:numId="2" w16cid:durableId="1869876946">
    <w:abstractNumId w:val="7"/>
  </w:num>
  <w:num w:numId="3" w16cid:durableId="1609695951">
    <w:abstractNumId w:val="6"/>
  </w:num>
  <w:num w:numId="4" w16cid:durableId="2080669154">
    <w:abstractNumId w:val="5"/>
  </w:num>
  <w:num w:numId="5" w16cid:durableId="1497114990">
    <w:abstractNumId w:val="4"/>
  </w:num>
  <w:num w:numId="6" w16cid:durableId="174659206">
    <w:abstractNumId w:val="8"/>
  </w:num>
  <w:num w:numId="7" w16cid:durableId="1563179587">
    <w:abstractNumId w:val="3"/>
  </w:num>
  <w:num w:numId="8" w16cid:durableId="1458766702">
    <w:abstractNumId w:val="2"/>
  </w:num>
  <w:num w:numId="9" w16cid:durableId="183321957">
    <w:abstractNumId w:val="1"/>
  </w:num>
  <w:num w:numId="10" w16cid:durableId="1570771611">
    <w:abstractNumId w:val="0"/>
  </w:num>
  <w:num w:numId="11" w16cid:durableId="1169562957">
    <w:abstractNumId w:val="11"/>
  </w:num>
  <w:num w:numId="12" w16cid:durableId="468477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readOnly" w:enforcement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6D"/>
    <w:rsid w:val="00016016"/>
    <w:rsid w:val="000162CB"/>
    <w:rsid w:val="0005441C"/>
    <w:rsid w:val="00075904"/>
    <w:rsid w:val="00076754"/>
    <w:rsid w:val="0008011D"/>
    <w:rsid w:val="0009158B"/>
    <w:rsid w:val="00093585"/>
    <w:rsid w:val="000A10F0"/>
    <w:rsid w:val="000F7DEA"/>
    <w:rsid w:val="0010217B"/>
    <w:rsid w:val="00114BD4"/>
    <w:rsid w:val="00142DA1"/>
    <w:rsid w:val="0016760C"/>
    <w:rsid w:val="00167C96"/>
    <w:rsid w:val="001756F5"/>
    <w:rsid w:val="001858C5"/>
    <w:rsid w:val="001A585E"/>
    <w:rsid w:val="001C4EDB"/>
    <w:rsid w:val="001D6DB7"/>
    <w:rsid w:val="00230B59"/>
    <w:rsid w:val="0024273C"/>
    <w:rsid w:val="002A5E6C"/>
    <w:rsid w:val="002E2D5D"/>
    <w:rsid w:val="002F01B6"/>
    <w:rsid w:val="00315578"/>
    <w:rsid w:val="00326DA1"/>
    <w:rsid w:val="003507D6"/>
    <w:rsid w:val="003509AE"/>
    <w:rsid w:val="0035104F"/>
    <w:rsid w:val="0035591D"/>
    <w:rsid w:val="0035616D"/>
    <w:rsid w:val="0036357D"/>
    <w:rsid w:val="0038050C"/>
    <w:rsid w:val="003957AE"/>
    <w:rsid w:val="003A5002"/>
    <w:rsid w:val="003A550C"/>
    <w:rsid w:val="003B6B5A"/>
    <w:rsid w:val="004411E3"/>
    <w:rsid w:val="00443048"/>
    <w:rsid w:val="00452D04"/>
    <w:rsid w:val="00473295"/>
    <w:rsid w:val="004751E0"/>
    <w:rsid w:val="004826B2"/>
    <w:rsid w:val="00492282"/>
    <w:rsid w:val="004937E7"/>
    <w:rsid w:val="00494E62"/>
    <w:rsid w:val="004B0FD9"/>
    <w:rsid w:val="004C592B"/>
    <w:rsid w:val="004E39EB"/>
    <w:rsid w:val="004E56CF"/>
    <w:rsid w:val="004E673B"/>
    <w:rsid w:val="004F0548"/>
    <w:rsid w:val="00513652"/>
    <w:rsid w:val="00525263"/>
    <w:rsid w:val="0053328A"/>
    <w:rsid w:val="005355DA"/>
    <w:rsid w:val="005608B3"/>
    <w:rsid w:val="00560B99"/>
    <w:rsid w:val="005A4CB6"/>
    <w:rsid w:val="005B2205"/>
    <w:rsid w:val="005F6A94"/>
    <w:rsid w:val="006233FC"/>
    <w:rsid w:val="00631D9D"/>
    <w:rsid w:val="00636078"/>
    <w:rsid w:val="00642660"/>
    <w:rsid w:val="00655AEF"/>
    <w:rsid w:val="00663113"/>
    <w:rsid w:val="00663B32"/>
    <w:rsid w:val="00672166"/>
    <w:rsid w:val="00675CBF"/>
    <w:rsid w:val="00685746"/>
    <w:rsid w:val="00685A5F"/>
    <w:rsid w:val="006C1D9C"/>
    <w:rsid w:val="006D493C"/>
    <w:rsid w:val="006D5832"/>
    <w:rsid w:val="006D6BD5"/>
    <w:rsid w:val="006E35F3"/>
    <w:rsid w:val="006F6573"/>
    <w:rsid w:val="007058CA"/>
    <w:rsid w:val="00712850"/>
    <w:rsid w:val="0071286C"/>
    <w:rsid w:val="00734A7F"/>
    <w:rsid w:val="0075016F"/>
    <w:rsid w:val="007708FA"/>
    <w:rsid w:val="007A1BCC"/>
    <w:rsid w:val="007A7783"/>
    <w:rsid w:val="007E4CB0"/>
    <w:rsid w:val="00804499"/>
    <w:rsid w:val="00815F10"/>
    <w:rsid w:val="00855ACA"/>
    <w:rsid w:val="00863D0A"/>
    <w:rsid w:val="008675AB"/>
    <w:rsid w:val="00873CDC"/>
    <w:rsid w:val="008756BA"/>
    <w:rsid w:val="008915B6"/>
    <w:rsid w:val="008A0457"/>
    <w:rsid w:val="008B0C07"/>
    <w:rsid w:val="008C62C1"/>
    <w:rsid w:val="008D5B46"/>
    <w:rsid w:val="008E1CBA"/>
    <w:rsid w:val="00905626"/>
    <w:rsid w:val="00930E00"/>
    <w:rsid w:val="009D3F37"/>
    <w:rsid w:val="009F0010"/>
    <w:rsid w:val="00A20B22"/>
    <w:rsid w:val="00A24522"/>
    <w:rsid w:val="00A44974"/>
    <w:rsid w:val="00A8038F"/>
    <w:rsid w:val="00A83933"/>
    <w:rsid w:val="00AB01D0"/>
    <w:rsid w:val="00AB3F12"/>
    <w:rsid w:val="00AB506D"/>
    <w:rsid w:val="00AC3023"/>
    <w:rsid w:val="00AC3BEE"/>
    <w:rsid w:val="00AE16FB"/>
    <w:rsid w:val="00AE2AA3"/>
    <w:rsid w:val="00B068D7"/>
    <w:rsid w:val="00B61467"/>
    <w:rsid w:val="00B72664"/>
    <w:rsid w:val="00B86F63"/>
    <w:rsid w:val="00BA3F84"/>
    <w:rsid w:val="00C21304"/>
    <w:rsid w:val="00C26DD1"/>
    <w:rsid w:val="00C31677"/>
    <w:rsid w:val="00C34A87"/>
    <w:rsid w:val="00C53081"/>
    <w:rsid w:val="00C9209D"/>
    <w:rsid w:val="00C9500F"/>
    <w:rsid w:val="00CC27D2"/>
    <w:rsid w:val="00CE73E7"/>
    <w:rsid w:val="00CF4116"/>
    <w:rsid w:val="00D04258"/>
    <w:rsid w:val="00D06244"/>
    <w:rsid w:val="00D0689B"/>
    <w:rsid w:val="00D42501"/>
    <w:rsid w:val="00D66FAE"/>
    <w:rsid w:val="00D86D41"/>
    <w:rsid w:val="00DB04F5"/>
    <w:rsid w:val="00DD716F"/>
    <w:rsid w:val="00E12B9C"/>
    <w:rsid w:val="00E54880"/>
    <w:rsid w:val="00E71246"/>
    <w:rsid w:val="00EA1547"/>
    <w:rsid w:val="00EC3F24"/>
    <w:rsid w:val="00EC5929"/>
    <w:rsid w:val="00EE7182"/>
    <w:rsid w:val="00F108C0"/>
    <w:rsid w:val="00F2088F"/>
    <w:rsid w:val="00FA06CA"/>
    <w:rsid w:val="00FD4963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8E51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7b4332ef475eac13c704909a3e0428c9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1eecccd11df578f39a682f0c1634ec57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  <xsd:element ref="ns2:TSY_CreatedByDivision" minOccurs="0"/>
                <xsd:element ref="ns2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7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8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S574FYTY5PW6-969949929-2903</_dlc_DocI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_dlc_DocIdUrl xmlns="fe39d773-a83d-4623-ae74-f25711a76616">
      <Url>https://austreasury.sharepoint.com/sites/leg-cord-function/_layouts/15/DocIdRedir.aspx?ID=S574FYTY5PW6-969949929-2903</Url>
      <Description>S574FYTY5PW6-969949929-2903</Description>
    </_dlc_DocIdUrl>
    <ge25bdd0d6464e36b066695d9e81d63d xmlns="fe39d773-a83d-4623-ae74-f25711a76616">
      <Terms xmlns="http://schemas.microsoft.com/office/infopath/2007/PartnerControls"/>
    </ge25bdd0d6464e36b066695d9e81d63d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lcf76f155ced4ddcb4097134ff3c332f xmlns="30b813c2-29e2-43aa-bac2-1ed67b791ce7">
      <Terms xmlns="http://schemas.microsoft.com/office/infopath/2007/PartnerControls"/>
    </lcf76f155ced4ddcb4097134ff3c332f>
    <TaxCatchAll xmlns="ff38c824-6e29-4496-8487-69f397e7ed29">
      <Value>35</Value>
      <Value>36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TSY_ModifiedByDivision xmlns="ff38c824-6e29-4496-8487-69f397e7ed29">Small Business Corporate and Law Group - Law Division</TSY_ModifiedByDivision>
    <TSY_CreatedByDivision xmlns="ff38c824-6e29-4496-8487-69f397e7ed29">Small Business Corporate and Law Group - Law Division</TSY_CreatedByDivision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</documentManagement>
</p:properties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AE93E8-AD88-427E-A5DA-21BAEC90BA82}"/>
</file>

<file path=customXml/itemProps3.xml><?xml version="1.0" encoding="utf-8"?>
<ds:datastoreItem xmlns:ds="http://schemas.openxmlformats.org/officeDocument/2006/customXml" ds:itemID="{BBA17614-7600-4285-8FC8-DCEE2D298D32}"/>
</file>

<file path=customXml/itemProps4.xml><?xml version="1.0" encoding="utf-8"?>
<ds:datastoreItem xmlns:ds="http://schemas.openxmlformats.org/officeDocument/2006/customXml" ds:itemID="{0960879E-5A99-4DFF-9960-B7C59FFA7B02}"/>
</file>

<file path=customXml/itemProps5.xml><?xml version="1.0" encoding="utf-8"?>
<ds:datastoreItem xmlns:ds="http://schemas.openxmlformats.org/officeDocument/2006/customXml" ds:itemID="{68113A7B-8897-460C-BF05-FB0FFC5FD7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2025-08-12T03:20:00Z</dcterms:created>
  <dcterms:modified xsi:type="dcterms:W3CDTF">2025-08-12T03:20:00Z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2025-08-12T03:20:39Z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9f9b52df-9d7c-43c9-aa10-d1f1ab38ea8f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  <property fmtid="{D5CDD505-2E9C-101B-9397-08002B2CF9AE}" pid="10" name="TSYStatus">
    <vt:lpwstr/>
  </property>
  <property fmtid="{D5CDD505-2E9C-101B-9397-08002B2CF9AE}" pid="11" name="Document_x0020_Type">
    <vt:lpwstr>42;#Legislation|25c35cca-98fe-4d3e-a63c-3dda1c39f3ec</vt:lpwstr>
  </property>
  <property fmtid="{D5CDD505-2E9C-101B-9397-08002B2CF9AE}" pid="12" name="Topic">
    <vt:lpwstr>36;#Legislation Coordination|58c6712e-e847-48f4-81ab-b25e2bbd3986</vt:lpwstr>
  </property>
  <property fmtid="{D5CDD505-2E9C-101B-9397-08002B2CF9AE}" pid="13" name="ActNo">
    <vt:lpwstr>No.      , 2017</vt:lpwstr>
  </property>
  <property fmtid="{D5CDD505-2E9C-101B-9397-08002B2CF9AE}" pid="14" name="Activity">
    <vt:lpwstr>35;#Legislation management|cb630f2f-9155-496b-ad0f-d960eb1bf90c</vt:lpwstr>
  </property>
  <property fmtid="{D5CDD505-2E9C-101B-9397-08002B2CF9AE}" pid="15" name="Class">
    <vt:lpwstr>Instrument</vt:lpwstr>
  </property>
  <property fmtid="{D5CDD505-2E9C-101B-9397-08002B2CF9AE}" pid="16" name="MediaServiceImageTags">
    <vt:lpwstr/>
  </property>
  <property fmtid="{D5CDD505-2E9C-101B-9397-08002B2CF9AE}" pid="17" name="ContentTypeId">
    <vt:lpwstr>0x010100B569D256E75E71428C72445DFBB99E7A</vt:lpwstr>
  </property>
  <property fmtid="{D5CDD505-2E9C-101B-9397-08002B2CF9AE}" pid="18" name="eTheme">
    <vt:lpwstr>1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DateMade">
    <vt:lpwstr>2017</vt:lpwstr>
  </property>
  <property fmtid="{D5CDD505-2E9C-101B-9397-08002B2CF9AE}" pid="21" name="Classification">
    <vt:lpwstr> </vt:lpwstr>
  </property>
  <property fmtid="{D5CDD505-2E9C-101B-9397-08002B2CF9AE}" pid="22" name="ID">
    <vt:lpwstr> </vt:lpwstr>
  </property>
  <property fmtid="{D5CDD505-2E9C-101B-9397-08002B2CF9AE}" pid="23" name="DLM">
    <vt:lpwstr> </vt:lpwstr>
  </property>
  <property fmtid="{D5CDD505-2E9C-101B-9397-08002B2CF9AE}" pid="24" name="Document Type">
    <vt:lpwstr>42;#Legislation|25c35cca-98fe-4d3e-a63c-3dda1c39f3ec</vt:lpwstr>
  </property>
  <property fmtid="{D5CDD505-2E9C-101B-9397-08002B2CF9AE}" pid="25" name="ShortT">
    <vt:lpwstr>[title] 2017</vt:lpwstr>
  </property>
  <property fmtid="{D5CDD505-2E9C-101B-9397-08002B2CF9AE}" pid="26" name="Authority">
    <vt:lpwstr>Unk</vt:lpwstr>
  </property>
  <property fmtid="{D5CDD505-2E9C-101B-9397-08002B2CF9AE}" pid="27" name="LMDivision">
    <vt:lpwstr/>
  </property>
  <property fmtid="{D5CDD505-2E9C-101B-9397-08002B2CF9AE}" pid="28" name="eActivity">
    <vt:lpwstr>35</vt:lpwstr>
  </property>
  <property fmtid="{D5CDD505-2E9C-101B-9397-08002B2CF9AE}" pid="29" name="Type">
    <vt:lpwstr>LI</vt:lpwstr>
  </property>
  <property fmtid="{D5CDD505-2E9C-101B-9397-08002B2CF9AE}" pid="30" name="k8424359e03846678cc4a99dd97e9705">
    <vt:lpwstr/>
  </property>
  <property fmtid="{D5CDD505-2E9C-101B-9397-08002B2CF9AE}" pid="31" name="TSYRecordClass">
    <vt:lpwstr>1;#AE-20260-Destroy 7 years after action completed|623f5ec9-ec5d-4824-8e13-9c9bfc51fe7e</vt:lpwstr>
  </property>
  <property fmtid="{D5CDD505-2E9C-101B-9397-08002B2CF9AE}" pid="32" name="Exco">
    <vt:lpwstr>No</vt:lpwstr>
  </property>
  <property fmtid="{D5CDD505-2E9C-101B-9397-08002B2CF9AE}" pid="33" name="Header">
    <vt:lpwstr>Section</vt:lpwstr>
  </property>
  <property fmtid="{D5CDD505-2E9C-101B-9397-08002B2CF9AE}" pid="34" name="_dlc_DocIdItemGuid">
    <vt:lpwstr>8126c69f-384e-4738-9017-fae2a299c84b</vt:lpwstr>
  </property>
  <property fmtid="{D5CDD505-2E9C-101B-9397-08002B2CF9AE}" pid="35" name="DocType">
    <vt:lpwstr>NEW</vt:lpwstr>
  </property>
  <property fmtid="{D5CDD505-2E9C-101B-9397-08002B2CF9AE}" pid="36" name="eTopic">
    <vt:lpwstr>36;#Legislation Coordination|58c6712e-e847-48f4-81ab-b25e2bbd3986</vt:lpwstr>
  </property>
</Properties>
</file>