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6AEA" w14:textId="4940C89E" w:rsidR="003E015E" w:rsidRPr="003E015E" w:rsidRDefault="00B023F9" w:rsidP="003E015E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3E015E" w:rsidRPr="003E015E">
        <w:rPr>
          <w:rFonts w:cs="Arial"/>
          <w:noProof/>
          <w:lang w:eastAsia="en-AU"/>
        </w:rPr>
        <w:drawing>
          <wp:inline distT="0" distB="0" distL="0" distR="0" wp14:anchorId="77986B20" wp14:editId="717DCE54">
            <wp:extent cx="1419225" cy="1104900"/>
            <wp:effectExtent l="0" t="0" r="9525" b="0"/>
            <wp:docPr id="2" name="Picture 2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86AEB" w14:textId="6B4D2E2B" w:rsidR="003E015E" w:rsidRPr="001C5A68" w:rsidRDefault="00A701C1" w:rsidP="001C5A68">
      <w:pPr>
        <w:spacing w:before="480" w:after="120"/>
        <w:jc w:val="left"/>
        <w:rPr>
          <w:rFonts w:cs="Arial"/>
          <w:b/>
          <w:sz w:val="40"/>
          <w:szCs w:val="40"/>
        </w:rPr>
      </w:pPr>
      <w:r w:rsidRPr="001C5A68">
        <w:rPr>
          <w:rFonts w:cs="Arial"/>
          <w:b/>
          <w:sz w:val="40"/>
          <w:szCs w:val="40"/>
        </w:rPr>
        <w:t>Approval</w:t>
      </w:r>
      <w:r w:rsidR="00235E1B" w:rsidRPr="001C5A68">
        <w:rPr>
          <w:rFonts w:cs="Arial"/>
          <w:b/>
          <w:sz w:val="40"/>
          <w:szCs w:val="40"/>
        </w:rPr>
        <w:t xml:space="preserve"> to hold a stake </w:t>
      </w:r>
      <w:r w:rsidR="003517A4" w:rsidRPr="001C5A68">
        <w:rPr>
          <w:rFonts w:cs="Arial"/>
          <w:b/>
          <w:sz w:val="40"/>
          <w:szCs w:val="40"/>
        </w:rPr>
        <w:t xml:space="preserve">of more than 20% </w:t>
      </w:r>
      <w:r w:rsidR="00235E1B" w:rsidRPr="001C5A68">
        <w:rPr>
          <w:rFonts w:cs="Arial"/>
          <w:b/>
          <w:sz w:val="40"/>
          <w:szCs w:val="40"/>
        </w:rPr>
        <w:t xml:space="preserve">in a financial sector company </w:t>
      </w:r>
      <w:r w:rsidR="003E015E" w:rsidRPr="001C5A68">
        <w:rPr>
          <w:rFonts w:cs="Arial"/>
          <w:b/>
          <w:sz w:val="40"/>
          <w:szCs w:val="40"/>
        </w:rPr>
        <w:t xml:space="preserve">No. </w:t>
      </w:r>
      <w:r w:rsidR="001635F0">
        <w:rPr>
          <w:rFonts w:cs="Arial"/>
          <w:b/>
          <w:sz w:val="40"/>
          <w:szCs w:val="40"/>
        </w:rPr>
        <w:t>6</w:t>
      </w:r>
      <w:r w:rsidR="003E015E" w:rsidRPr="001C5A68">
        <w:rPr>
          <w:rFonts w:cs="Arial"/>
          <w:b/>
          <w:sz w:val="40"/>
          <w:szCs w:val="40"/>
        </w:rPr>
        <w:t xml:space="preserve"> of 20</w:t>
      </w:r>
      <w:r w:rsidR="0082601D" w:rsidRPr="001C5A68">
        <w:rPr>
          <w:rFonts w:cs="Arial"/>
          <w:b/>
          <w:sz w:val="40"/>
          <w:szCs w:val="40"/>
        </w:rPr>
        <w:t>25</w:t>
      </w:r>
    </w:p>
    <w:p w14:paraId="77986AEC" w14:textId="10FA920B" w:rsidR="003E015E" w:rsidRPr="003E015E" w:rsidRDefault="003D4467" w:rsidP="001C5A68">
      <w:pPr>
        <w:pStyle w:val="ActTitle"/>
        <w:spacing w:before="360"/>
        <w:rPr>
          <w:rFonts w:cs="Arial"/>
        </w:rPr>
      </w:pPr>
      <w:r>
        <w:rPr>
          <w:rFonts w:cs="Arial"/>
        </w:rPr>
        <w:t>Financial Sector (Shareholdings) Act 1998</w:t>
      </w:r>
    </w:p>
    <w:p w14:paraId="77986AEE" w14:textId="3B04D7B0" w:rsidR="003E015E" w:rsidRPr="00E43AA2" w:rsidRDefault="003E015E" w:rsidP="003E015E">
      <w:pPr>
        <w:pStyle w:val="IntroTo"/>
        <w:ind w:left="0" w:firstLine="0"/>
        <w:rPr>
          <w:rFonts w:ascii="Arial" w:hAnsi="Arial" w:cs="Arial"/>
          <w:sz w:val="22"/>
          <w:szCs w:val="22"/>
        </w:rPr>
      </w:pPr>
      <w:r w:rsidRPr="00E43AA2">
        <w:rPr>
          <w:rFonts w:ascii="Arial" w:hAnsi="Arial" w:cs="Arial"/>
          <w:sz w:val="22"/>
          <w:szCs w:val="22"/>
        </w:rPr>
        <w:t>T</w:t>
      </w:r>
      <w:r w:rsidR="00D27E8F">
        <w:rPr>
          <w:rFonts w:ascii="Arial" w:hAnsi="Arial" w:cs="Arial"/>
          <w:sz w:val="22"/>
          <w:szCs w:val="22"/>
        </w:rPr>
        <w:t>o</w:t>
      </w:r>
      <w:r w:rsidRPr="00E43AA2">
        <w:rPr>
          <w:rFonts w:ascii="Arial" w:hAnsi="Arial" w:cs="Arial"/>
          <w:sz w:val="22"/>
          <w:szCs w:val="22"/>
        </w:rPr>
        <w:t xml:space="preserve">: </w:t>
      </w:r>
      <w:r w:rsidR="00494E5C">
        <w:rPr>
          <w:rFonts w:ascii="Arial" w:hAnsi="Arial" w:cs="Arial"/>
          <w:sz w:val="22"/>
          <w:szCs w:val="22"/>
        </w:rPr>
        <w:t xml:space="preserve">Banking Circle S.A. </w:t>
      </w:r>
      <w:r w:rsidR="00435406">
        <w:rPr>
          <w:rFonts w:ascii="Arial" w:hAnsi="Arial" w:cs="Arial"/>
          <w:sz w:val="22"/>
          <w:szCs w:val="22"/>
        </w:rPr>
        <w:t xml:space="preserve">and </w:t>
      </w:r>
      <w:r w:rsidR="002E2030">
        <w:rPr>
          <w:rFonts w:ascii="Arial" w:hAnsi="Arial" w:cs="Arial"/>
          <w:sz w:val="22"/>
          <w:szCs w:val="22"/>
        </w:rPr>
        <w:t>t</w:t>
      </w:r>
      <w:r w:rsidR="004F787D">
        <w:rPr>
          <w:rFonts w:ascii="Arial" w:hAnsi="Arial" w:cs="Arial"/>
          <w:sz w:val="22"/>
          <w:szCs w:val="22"/>
        </w:rPr>
        <w:t xml:space="preserve">he </w:t>
      </w:r>
      <w:r w:rsidR="005D648A">
        <w:rPr>
          <w:rFonts w:ascii="Arial" w:hAnsi="Arial" w:cs="Arial"/>
          <w:sz w:val="22"/>
          <w:szCs w:val="22"/>
        </w:rPr>
        <w:t xml:space="preserve">persons </w:t>
      </w:r>
      <w:r w:rsidR="00442AF2">
        <w:rPr>
          <w:rFonts w:ascii="Arial" w:hAnsi="Arial" w:cs="Arial"/>
          <w:sz w:val="22"/>
          <w:szCs w:val="22"/>
        </w:rPr>
        <w:t>specified</w:t>
      </w:r>
      <w:r w:rsidR="00456670">
        <w:rPr>
          <w:rFonts w:ascii="Arial" w:hAnsi="Arial" w:cs="Arial"/>
          <w:sz w:val="22"/>
          <w:szCs w:val="22"/>
        </w:rPr>
        <w:t xml:space="preserve"> </w:t>
      </w:r>
      <w:r w:rsidR="004F787D">
        <w:rPr>
          <w:rFonts w:ascii="Arial" w:hAnsi="Arial" w:cs="Arial"/>
          <w:sz w:val="22"/>
          <w:szCs w:val="22"/>
        </w:rPr>
        <w:t>in column</w:t>
      </w:r>
      <w:r w:rsidR="00E06CFF">
        <w:rPr>
          <w:rFonts w:ascii="Arial" w:hAnsi="Arial" w:cs="Arial"/>
          <w:sz w:val="22"/>
          <w:szCs w:val="22"/>
        </w:rPr>
        <w:t xml:space="preserve"> 1 of the </w:t>
      </w:r>
      <w:r w:rsidR="00000034">
        <w:rPr>
          <w:rFonts w:ascii="Arial" w:hAnsi="Arial" w:cs="Arial"/>
          <w:sz w:val="22"/>
          <w:szCs w:val="22"/>
        </w:rPr>
        <w:t>T</w:t>
      </w:r>
      <w:r w:rsidR="00E06CFF">
        <w:rPr>
          <w:rFonts w:ascii="Arial" w:hAnsi="Arial" w:cs="Arial"/>
          <w:sz w:val="22"/>
          <w:szCs w:val="22"/>
        </w:rPr>
        <w:t xml:space="preserve">able </w:t>
      </w:r>
      <w:r w:rsidR="00A701C1" w:rsidRPr="00F55F8C">
        <w:rPr>
          <w:rFonts w:ascii="Arial" w:hAnsi="Arial" w:cs="Arial"/>
          <w:sz w:val="22"/>
          <w:szCs w:val="22"/>
        </w:rPr>
        <w:t>(</w:t>
      </w:r>
      <w:r w:rsidR="00C96EDB">
        <w:rPr>
          <w:rFonts w:ascii="Arial" w:hAnsi="Arial" w:cs="Arial"/>
          <w:sz w:val="22"/>
          <w:szCs w:val="22"/>
        </w:rPr>
        <w:t xml:space="preserve">together, </w:t>
      </w:r>
      <w:r w:rsidR="00A701C1" w:rsidRPr="00F55F8C">
        <w:rPr>
          <w:rFonts w:ascii="Arial" w:hAnsi="Arial" w:cs="Arial"/>
          <w:sz w:val="22"/>
          <w:szCs w:val="22"/>
        </w:rPr>
        <w:t xml:space="preserve">the </w:t>
      </w:r>
      <w:r w:rsidR="001D6F90">
        <w:rPr>
          <w:rFonts w:ascii="Arial" w:hAnsi="Arial" w:cs="Arial"/>
          <w:sz w:val="22"/>
          <w:szCs w:val="22"/>
        </w:rPr>
        <w:t>a</w:t>
      </w:r>
      <w:r w:rsidR="00A701C1" w:rsidRPr="00F55F8C">
        <w:rPr>
          <w:rFonts w:ascii="Arial" w:hAnsi="Arial" w:cs="Arial"/>
          <w:sz w:val="22"/>
          <w:szCs w:val="22"/>
        </w:rPr>
        <w:t>pplicant</w:t>
      </w:r>
      <w:r w:rsidR="00B672A7">
        <w:rPr>
          <w:rFonts w:ascii="Arial" w:hAnsi="Arial" w:cs="Arial"/>
          <w:sz w:val="22"/>
          <w:szCs w:val="22"/>
        </w:rPr>
        <w:t>s</w:t>
      </w:r>
      <w:r w:rsidR="00A701C1" w:rsidRPr="00F55F8C">
        <w:rPr>
          <w:rFonts w:ascii="Arial" w:hAnsi="Arial" w:cs="Arial"/>
          <w:sz w:val="22"/>
          <w:szCs w:val="22"/>
        </w:rPr>
        <w:t>)</w:t>
      </w:r>
    </w:p>
    <w:p w14:paraId="77986AEF" w14:textId="77777777" w:rsidR="003E015E" w:rsidRPr="00E43AA2" w:rsidRDefault="003E015E" w:rsidP="003E015E">
      <w:pPr>
        <w:pStyle w:val="IntroTo"/>
        <w:ind w:left="0" w:firstLine="0"/>
        <w:rPr>
          <w:rFonts w:ascii="Arial" w:hAnsi="Arial" w:cs="Arial"/>
          <w:sz w:val="22"/>
          <w:szCs w:val="22"/>
        </w:rPr>
      </w:pPr>
    </w:p>
    <w:p w14:paraId="12755120" w14:textId="1D6364D2" w:rsidR="00D720C4" w:rsidRPr="00E43AA2" w:rsidRDefault="007D6B82" w:rsidP="00D720C4">
      <w:pPr>
        <w:pStyle w:val="CM5"/>
        <w:tabs>
          <w:tab w:val="clear" w:pos="851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43AA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INCE</w:t>
      </w:r>
      <w:r w:rsidR="00D720C4" w:rsidRPr="00E43AA2">
        <w:rPr>
          <w:rFonts w:ascii="Arial" w:hAnsi="Arial" w:cs="Arial"/>
          <w:sz w:val="22"/>
          <w:szCs w:val="22"/>
        </w:rPr>
        <w:t>:</w:t>
      </w:r>
    </w:p>
    <w:p w14:paraId="39B60115" w14:textId="77777777" w:rsidR="00D720C4" w:rsidRPr="00E43AA2" w:rsidRDefault="00D720C4" w:rsidP="00D720C4">
      <w:pPr>
        <w:pStyle w:val="Default"/>
        <w:rPr>
          <w:sz w:val="22"/>
          <w:szCs w:val="22"/>
        </w:rPr>
      </w:pPr>
    </w:p>
    <w:p w14:paraId="27AFCEE1" w14:textId="1182D43A" w:rsidR="00D720C4" w:rsidRPr="00470D4C" w:rsidRDefault="00AF242C" w:rsidP="00470D4C">
      <w:pPr>
        <w:pStyle w:val="CM5"/>
        <w:numPr>
          <w:ilvl w:val="0"/>
          <w:numId w:val="15"/>
        </w:numPr>
        <w:tabs>
          <w:tab w:val="clear" w:pos="851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Banking Circle S.A</w:t>
      </w:r>
      <w:r w:rsidR="00964669">
        <w:rPr>
          <w:rFonts w:ascii="Arial" w:hAnsi="Arial" w:cs="Arial"/>
          <w:sz w:val="22"/>
          <w:szCs w:val="22"/>
        </w:rPr>
        <w:t>.</w:t>
      </w:r>
      <w:r w:rsidR="0021595E">
        <w:rPr>
          <w:rFonts w:ascii="Arial" w:hAnsi="Arial" w:cs="Arial"/>
          <w:sz w:val="22"/>
          <w:szCs w:val="22"/>
        </w:rPr>
        <w:t xml:space="preserve"> </w:t>
      </w:r>
      <w:r w:rsidR="007C114E">
        <w:rPr>
          <w:rFonts w:ascii="Arial" w:hAnsi="Arial" w:cs="Arial"/>
          <w:sz w:val="22"/>
          <w:szCs w:val="22"/>
        </w:rPr>
        <w:t xml:space="preserve">has </w:t>
      </w:r>
      <w:r w:rsidR="00D720C4" w:rsidRPr="00470D4C">
        <w:rPr>
          <w:rFonts w:ascii="Arial" w:hAnsi="Arial" w:cs="Arial"/>
          <w:sz w:val="22"/>
          <w:szCs w:val="22"/>
        </w:rPr>
        <w:t xml:space="preserve">applied to the Treasurer under </w:t>
      </w:r>
      <w:r w:rsidR="007C114E">
        <w:rPr>
          <w:rFonts w:ascii="Arial" w:hAnsi="Arial" w:cs="Arial"/>
          <w:sz w:val="22"/>
          <w:szCs w:val="22"/>
        </w:rPr>
        <w:t>sub</w:t>
      </w:r>
      <w:r w:rsidR="00D720C4" w:rsidRPr="00470D4C">
        <w:rPr>
          <w:rFonts w:ascii="Arial" w:hAnsi="Arial" w:cs="Arial"/>
          <w:sz w:val="22"/>
          <w:szCs w:val="22"/>
        </w:rPr>
        <w:t>section 13</w:t>
      </w:r>
      <w:r w:rsidR="007C114E">
        <w:rPr>
          <w:rFonts w:ascii="Arial" w:hAnsi="Arial" w:cs="Arial"/>
          <w:sz w:val="22"/>
          <w:szCs w:val="22"/>
        </w:rPr>
        <w:t>(1)</w:t>
      </w:r>
      <w:r w:rsidR="00D720C4" w:rsidRPr="00470D4C">
        <w:rPr>
          <w:rFonts w:ascii="Arial" w:hAnsi="Arial" w:cs="Arial"/>
          <w:sz w:val="22"/>
          <w:szCs w:val="22"/>
        </w:rPr>
        <w:t xml:space="preserve"> of the Act for approval to hold </w:t>
      </w:r>
      <w:r w:rsidR="00EC4C5F">
        <w:rPr>
          <w:rFonts w:ascii="Arial" w:hAnsi="Arial" w:cs="Arial"/>
          <w:sz w:val="22"/>
          <w:szCs w:val="22"/>
        </w:rPr>
        <w:t xml:space="preserve">a stake of </w:t>
      </w:r>
      <w:r w:rsidR="00244869">
        <w:rPr>
          <w:rFonts w:ascii="Arial" w:hAnsi="Arial" w:cs="Arial"/>
          <w:sz w:val="22"/>
          <w:szCs w:val="22"/>
        </w:rPr>
        <w:t>more than 20%</w:t>
      </w:r>
      <w:r w:rsidR="00B673F7">
        <w:rPr>
          <w:rFonts w:ascii="Arial" w:hAnsi="Arial" w:cs="Arial"/>
          <w:sz w:val="22"/>
          <w:szCs w:val="22"/>
        </w:rPr>
        <w:t xml:space="preserve"> </w:t>
      </w:r>
      <w:r w:rsidR="00D720C4" w:rsidRPr="00470D4C">
        <w:rPr>
          <w:rFonts w:ascii="Arial" w:hAnsi="Arial" w:cs="Arial"/>
          <w:sz w:val="22"/>
          <w:szCs w:val="22"/>
        </w:rPr>
        <w:t>in</w:t>
      </w:r>
      <w:r w:rsidR="00A701C1" w:rsidRPr="00470D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Australian Settlements Limited</w:t>
      </w:r>
      <w:r w:rsidR="00156793" w:rsidRPr="00156793">
        <w:rPr>
          <w:rFonts w:ascii="Arial" w:hAnsi="Arial" w:cs="Arial"/>
          <w:sz w:val="22"/>
          <w:szCs w:val="22"/>
        </w:rPr>
        <w:t xml:space="preserve"> </w:t>
      </w:r>
      <w:r w:rsidR="00156793">
        <w:rPr>
          <w:rFonts w:ascii="Arial" w:hAnsi="Arial" w:cs="Arial"/>
          <w:sz w:val="22"/>
          <w:szCs w:val="22"/>
        </w:rPr>
        <w:t>ABN 14 087 822 491</w:t>
      </w:r>
      <w:r w:rsidR="00DF6982">
        <w:rPr>
          <w:rFonts w:ascii="Arial" w:hAnsi="Arial" w:cs="Arial"/>
          <w:sz w:val="22"/>
          <w:szCs w:val="22"/>
        </w:rPr>
        <w:t xml:space="preserve"> (the ADI)</w:t>
      </w:r>
      <w:r w:rsidR="00D14BD9" w:rsidRPr="00470D4C">
        <w:rPr>
          <w:rFonts w:ascii="Arial" w:hAnsi="Arial" w:cs="Arial"/>
          <w:sz w:val="22"/>
          <w:szCs w:val="22"/>
        </w:rPr>
        <w:t xml:space="preserve">, </w:t>
      </w:r>
      <w:r w:rsidR="00A701C1" w:rsidRPr="00470D4C">
        <w:rPr>
          <w:rFonts w:ascii="Arial" w:hAnsi="Arial" w:cs="Arial"/>
          <w:sz w:val="22"/>
          <w:szCs w:val="22"/>
        </w:rPr>
        <w:t>a financial sector</w:t>
      </w:r>
      <w:r w:rsidR="00D720C4" w:rsidRPr="00470D4C">
        <w:rPr>
          <w:rFonts w:ascii="Arial" w:hAnsi="Arial" w:cs="Arial"/>
          <w:sz w:val="22"/>
          <w:szCs w:val="22"/>
        </w:rPr>
        <w:t xml:space="preserve"> company</w:t>
      </w:r>
      <w:r w:rsidR="000F66DB">
        <w:rPr>
          <w:rFonts w:ascii="Arial" w:hAnsi="Arial" w:cs="Arial"/>
          <w:sz w:val="22"/>
          <w:szCs w:val="22"/>
        </w:rPr>
        <w:t xml:space="preserve"> </w:t>
      </w:r>
      <w:r w:rsidR="00A701C1" w:rsidRPr="00470D4C">
        <w:rPr>
          <w:rFonts w:ascii="Arial" w:hAnsi="Arial" w:cs="Arial"/>
          <w:sz w:val="22"/>
          <w:szCs w:val="22"/>
        </w:rPr>
        <w:t xml:space="preserve">under the </w:t>
      </w:r>
      <w:proofErr w:type="gramStart"/>
      <w:r w:rsidR="00A701C1" w:rsidRPr="00470D4C">
        <w:rPr>
          <w:rFonts w:ascii="Arial" w:hAnsi="Arial" w:cs="Arial"/>
          <w:sz w:val="22"/>
          <w:szCs w:val="22"/>
        </w:rPr>
        <w:t>Act</w:t>
      </w:r>
      <w:r w:rsidR="00D720C4" w:rsidRPr="00470D4C">
        <w:rPr>
          <w:rFonts w:ascii="Arial" w:hAnsi="Arial" w:cs="Arial"/>
          <w:sz w:val="22"/>
          <w:szCs w:val="22"/>
        </w:rPr>
        <w:t>;</w:t>
      </w:r>
      <w:proofErr w:type="gramEnd"/>
    </w:p>
    <w:p w14:paraId="1EA06209" w14:textId="77777777" w:rsidR="00D720C4" w:rsidRPr="003F7BBF" w:rsidRDefault="00D720C4" w:rsidP="008D3B5E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</w:p>
    <w:p w14:paraId="42DFD150" w14:textId="5E6F7901" w:rsidR="002443FD" w:rsidRPr="00470D4C" w:rsidRDefault="00E178DF" w:rsidP="002443FD">
      <w:pPr>
        <w:pStyle w:val="CM5"/>
        <w:numPr>
          <w:ilvl w:val="0"/>
          <w:numId w:val="15"/>
        </w:numPr>
        <w:tabs>
          <w:tab w:val="clear" w:pos="851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each of </w:t>
      </w:r>
      <w:r w:rsidR="002443FD">
        <w:rPr>
          <w:rFonts w:ascii="Arial" w:hAnsi="Arial" w:cs="Arial"/>
          <w:sz w:val="22"/>
          <w:szCs w:val="22"/>
        </w:rPr>
        <w:t xml:space="preserve">the applicants </w:t>
      </w:r>
      <w:r w:rsidR="00E56A20">
        <w:rPr>
          <w:rFonts w:ascii="Arial" w:hAnsi="Arial" w:cs="Arial"/>
          <w:sz w:val="22"/>
          <w:szCs w:val="22"/>
        </w:rPr>
        <w:t xml:space="preserve">specified </w:t>
      </w:r>
      <w:r w:rsidR="002443FD">
        <w:rPr>
          <w:rFonts w:ascii="Arial" w:hAnsi="Arial" w:cs="Arial"/>
          <w:sz w:val="22"/>
          <w:szCs w:val="22"/>
        </w:rPr>
        <w:t xml:space="preserve">in column 1 of the Table </w:t>
      </w:r>
      <w:r w:rsidR="000266E1">
        <w:rPr>
          <w:rFonts w:ascii="Arial" w:hAnsi="Arial" w:cs="Arial"/>
          <w:sz w:val="22"/>
          <w:szCs w:val="22"/>
        </w:rPr>
        <w:t xml:space="preserve">have </w:t>
      </w:r>
      <w:r w:rsidR="00435406">
        <w:rPr>
          <w:rFonts w:ascii="Arial" w:hAnsi="Arial" w:cs="Arial"/>
          <w:sz w:val="22"/>
          <w:szCs w:val="22"/>
        </w:rPr>
        <w:t xml:space="preserve">also </w:t>
      </w:r>
      <w:r w:rsidR="002443FD" w:rsidRPr="00470D4C">
        <w:rPr>
          <w:rFonts w:ascii="Arial" w:hAnsi="Arial" w:cs="Arial"/>
          <w:sz w:val="22"/>
          <w:szCs w:val="22"/>
        </w:rPr>
        <w:t xml:space="preserve">applied to the Treasurer under </w:t>
      </w:r>
      <w:r w:rsidR="00211DC4">
        <w:rPr>
          <w:rFonts w:ascii="Arial" w:hAnsi="Arial" w:cs="Arial"/>
          <w:sz w:val="22"/>
          <w:szCs w:val="22"/>
        </w:rPr>
        <w:t>sub</w:t>
      </w:r>
      <w:r w:rsidR="002443FD" w:rsidRPr="00470D4C">
        <w:rPr>
          <w:rFonts w:ascii="Arial" w:hAnsi="Arial" w:cs="Arial"/>
          <w:sz w:val="22"/>
          <w:szCs w:val="22"/>
        </w:rPr>
        <w:t>section 13</w:t>
      </w:r>
      <w:r w:rsidR="00211DC4">
        <w:rPr>
          <w:rFonts w:ascii="Arial" w:hAnsi="Arial" w:cs="Arial"/>
          <w:sz w:val="22"/>
          <w:szCs w:val="22"/>
        </w:rPr>
        <w:t>(1)</w:t>
      </w:r>
      <w:r w:rsidR="002443FD" w:rsidRPr="00470D4C">
        <w:rPr>
          <w:rFonts w:ascii="Arial" w:hAnsi="Arial" w:cs="Arial"/>
          <w:sz w:val="22"/>
          <w:szCs w:val="22"/>
        </w:rPr>
        <w:t xml:space="preserve"> of the Act for approval to hold </w:t>
      </w:r>
      <w:r w:rsidR="00A14C6E">
        <w:rPr>
          <w:rFonts w:ascii="Arial" w:hAnsi="Arial" w:cs="Arial"/>
          <w:sz w:val="22"/>
          <w:szCs w:val="22"/>
        </w:rPr>
        <w:t xml:space="preserve">a stake of </w:t>
      </w:r>
      <w:r w:rsidR="002443FD">
        <w:rPr>
          <w:rFonts w:ascii="Arial" w:hAnsi="Arial" w:cs="Arial"/>
          <w:sz w:val="22"/>
          <w:szCs w:val="22"/>
        </w:rPr>
        <w:t xml:space="preserve">more than 20% </w:t>
      </w:r>
      <w:r w:rsidR="002443FD" w:rsidRPr="00470D4C">
        <w:rPr>
          <w:rFonts w:ascii="Arial" w:hAnsi="Arial" w:cs="Arial"/>
          <w:sz w:val="22"/>
          <w:szCs w:val="22"/>
        </w:rPr>
        <w:t xml:space="preserve">in </w:t>
      </w:r>
      <w:r w:rsidR="002443FD">
        <w:rPr>
          <w:rFonts w:ascii="Arial" w:hAnsi="Arial" w:cs="Arial"/>
          <w:sz w:val="22"/>
          <w:szCs w:val="22"/>
        </w:rPr>
        <w:t xml:space="preserve">the company </w:t>
      </w:r>
      <w:r w:rsidR="002443FD" w:rsidRPr="00470D4C">
        <w:rPr>
          <w:rFonts w:ascii="Arial" w:hAnsi="Arial" w:cs="Arial"/>
          <w:sz w:val="22"/>
          <w:szCs w:val="22"/>
        </w:rPr>
        <w:t xml:space="preserve">specified </w:t>
      </w:r>
      <w:r w:rsidR="002443FD">
        <w:rPr>
          <w:rFonts w:ascii="Arial" w:hAnsi="Arial" w:cs="Arial"/>
          <w:sz w:val="22"/>
          <w:szCs w:val="22"/>
        </w:rPr>
        <w:t xml:space="preserve">in the same row </w:t>
      </w:r>
      <w:r w:rsidR="002443FD" w:rsidRPr="00470D4C">
        <w:rPr>
          <w:rFonts w:ascii="Arial" w:hAnsi="Arial" w:cs="Arial"/>
          <w:sz w:val="22"/>
          <w:szCs w:val="22"/>
        </w:rPr>
        <w:t xml:space="preserve">in column </w:t>
      </w:r>
      <w:r w:rsidR="002443FD">
        <w:rPr>
          <w:rFonts w:ascii="Arial" w:hAnsi="Arial" w:cs="Arial"/>
          <w:sz w:val="22"/>
          <w:szCs w:val="22"/>
        </w:rPr>
        <w:t>2</w:t>
      </w:r>
      <w:r w:rsidR="002443FD" w:rsidRPr="00470D4C">
        <w:rPr>
          <w:rFonts w:ascii="Arial" w:hAnsi="Arial" w:cs="Arial"/>
          <w:sz w:val="22"/>
          <w:szCs w:val="22"/>
        </w:rPr>
        <w:t xml:space="preserve"> of the </w:t>
      </w:r>
      <w:r w:rsidR="002443FD">
        <w:rPr>
          <w:rFonts w:ascii="Arial" w:hAnsi="Arial" w:cs="Arial"/>
          <w:sz w:val="22"/>
          <w:szCs w:val="22"/>
        </w:rPr>
        <w:t>T</w:t>
      </w:r>
      <w:r w:rsidR="002443FD" w:rsidRPr="00470D4C">
        <w:rPr>
          <w:rFonts w:ascii="Arial" w:hAnsi="Arial" w:cs="Arial"/>
          <w:sz w:val="22"/>
          <w:szCs w:val="22"/>
        </w:rPr>
        <w:t>able</w:t>
      </w:r>
      <w:r w:rsidR="00553C9F">
        <w:rPr>
          <w:rFonts w:ascii="Arial" w:hAnsi="Arial" w:cs="Arial"/>
          <w:sz w:val="22"/>
          <w:szCs w:val="22"/>
        </w:rPr>
        <w:t xml:space="preserve"> </w:t>
      </w:r>
      <w:r w:rsidR="00FC25B0">
        <w:rPr>
          <w:rFonts w:ascii="Arial" w:hAnsi="Arial" w:cs="Arial"/>
          <w:sz w:val="22"/>
          <w:szCs w:val="22"/>
        </w:rPr>
        <w:t>which</w:t>
      </w:r>
      <w:r w:rsidR="00E262D7">
        <w:rPr>
          <w:rFonts w:ascii="Arial" w:hAnsi="Arial" w:cs="Arial"/>
          <w:sz w:val="22"/>
          <w:szCs w:val="22"/>
        </w:rPr>
        <w:t>,</w:t>
      </w:r>
      <w:r w:rsidR="00FC25B0">
        <w:rPr>
          <w:rFonts w:ascii="Arial" w:hAnsi="Arial" w:cs="Arial"/>
          <w:sz w:val="22"/>
          <w:szCs w:val="22"/>
        </w:rPr>
        <w:t xml:space="preserve"> </w:t>
      </w:r>
      <w:r w:rsidR="00E262D7">
        <w:rPr>
          <w:rFonts w:ascii="Arial" w:hAnsi="Arial" w:cs="Arial"/>
          <w:sz w:val="22"/>
          <w:szCs w:val="22"/>
        </w:rPr>
        <w:t xml:space="preserve">following Banking Circle S.A.’s acquisition of 100% of the shares in </w:t>
      </w:r>
      <w:r w:rsidR="00CB0D09">
        <w:rPr>
          <w:rFonts w:ascii="Arial" w:hAnsi="Arial" w:cs="Arial"/>
          <w:sz w:val="22"/>
          <w:szCs w:val="22"/>
        </w:rPr>
        <w:t>the ADI</w:t>
      </w:r>
      <w:r w:rsidR="00E262D7">
        <w:rPr>
          <w:rFonts w:ascii="Arial" w:hAnsi="Arial" w:cs="Arial"/>
          <w:sz w:val="22"/>
          <w:szCs w:val="22"/>
        </w:rPr>
        <w:t xml:space="preserve">, </w:t>
      </w:r>
      <w:r w:rsidR="00FC25B0">
        <w:rPr>
          <w:rFonts w:ascii="Arial" w:hAnsi="Arial" w:cs="Arial"/>
          <w:sz w:val="22"/>
          <w:szCs w:val="22"/>
        </w:rPr>
        <w:t xml:space="preserve">will be </w:t>
      </w:r>
      <w:r w:rsidR="002443FD">
        <w:rPr>
          <w:rFonts w:ascii="Arial" w:hAnsi="Arial" w:cs="Arial"/>
          <w:sz w:val="22"/>
          <w:szCs w:val="22"/>
        </w:rPr>
        <w:t>a financial sector company</w:t>
      </w:r>
      <w:r w:rsidR="002443FD" w:rsidRPr="00470D4C">
        <w:rPr>
          <w:rFonts w:ascii="Arial" w:hAnsi="Arial" w:cs="Arial"/>
          <w:sz w:val="22"/>
          <w:szCs w:val="22"/>
        </w:rPr>
        <w:t xml:space="preserve"> under the Act;</w:t>
      </w:r>
    </w:p>
    <w:p w14:paraId="36EF1881" w14:textId="77777777" w:rsidR="002443FD" w:rsidRDefault="002443FD" w:rsidP="00F55F8C">
      <w:pPr>
        <w:pStyle w:val="CM5"/>
        <w:tabs>
          <w:tab w:val="clear" w:pos="851"/>
          <w:tab w:val="left" w:pos="567"/>
        </w:tabs>
        <w:ind w:left="567" w:firstLine="0"/>
        <w:jc w:val="both"/>
        <w:rPr>
          <w:rFonts w:ascii="Arial" w:hAnsi="Arial" w:cs="Arial"/>
          <w:sz w:val="22"/>
          <w:szCs w:val="22"/>
        </w:rPr>
      </w:pPr>
    </w:p>
    <w:p w14:paraId="09DDB403" w14:textId="7309FB7F" w:rsidR="00D720C4" w:rsidRPr="003F7BBF" w:rsidRDefault="00D720C4" w:rsidP="008D3B5E">
      <w:pPr>
        <w:pStyle w:val="CM5"/>
        <w:numPr>
          <w:ilvl w:val="0"/>
          <w:numId w:val="15"/>
        </w:numPr>
        <w:tabs>
          <w:tab w:val="clear" w:pos="851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F7BBF">
        <w:rPr>
          <w:rFonts w:ascii="Arial" w:hAnsi="Arial" w:cs="Arial"/>
          <w:sz w:val="22"/>
          <w:szCs w:val="22"/>
        </w:rPr>
        <w:t xml:space="preserve">I am satisfied it is in the national interest for </w:t>
      </w:r>
      <w:r w:rsidR="00D76E24">
        <w:rPr>
          <w:rFonts w:ascii="Arial" w:hAnsi="Arial" w:cs="Arial"/>
          <w:sz w:val="22"/>
          <w:szCs w:val="22"/>
        </w:rPr>
        <w:t>Banking Circle S.A</w:t>
      </w:r>
      <w:r w:rsidR="00964669">
        <w:rPr>
          <w:rFonts w:ascii="Arial" w:hAnsi="Arial" w:cs="Arial"/>
          <w:sz w:val="22"/>
          <w:szCs w:val="22"/>
        </w:rPr>
        <w:t>.</w:t>
      </w:r>
      <w:r w:rsidR="00D76E24">
        <w:rPr>
          <w:rFonts w:ascii="Arial" w:hAnsi="Arial" w:cs="Arial"/>
          <w:sz w:val="22"/>
          <w:szCs w:val="22"/>
        </w:rPr>
        <w:t xml:space="preserve"> </w:t>
      </w:r>
      <w:r w:rsidR="003D01B1">
        <w:rPr>
          <w:rFonts w:ascii="Arial" w:hAnsi="Arial" w:cs="Arial"/>
          <w:sz w:val="22"/>
          <w:szCs w:val="22"/>
        </w:rPr>
        <w:t xml:space="preserve">to hold </w:t>
      </w:r>
      <w:r w:rsidR="00604264">
        <w:rPr>
          <w:rFonts w:ascii="Arial" w:hAnsi="Arial" w:cs="Arial"/>
          <w:sz w:val="22"/>
          <w:szCs w:val="22"/>
        </w:rPr>
        <w:t xml:space="preserve">a stake of </w:t>
      </w:r>
      <w:r w:rsidR="003D01B1">
        <w:rPr>
          <w:rFonts w:ascii="Arial" w:hAnsi="Arial" w:cs="Arial"/>
          <w:sz w:val="22"/>
          <w:szCs w:val="22"/>
        </w:rPr>
        <w:t xml:space="preserve">more than 20% </w:t>
      </w:r>
      <w:r w:rsidR="003D01B1" w:rsidRPr="00470D4C">
        <w:rPr>
          <w:rFonts w:ascii="Arial" w:hAnsi="Arial" w:cs="Arial"/>
          <w:sz w:val="22"/>
          <w:szCs w:val="22"/>
        </w:rPr>
        <w:t xml:space="preserve">in </w:t>
      </w:r>
      <w:r w:rsidR="00CB0D09">
        <w:rPr>
          <w:rFonts w:ascii="Arial" w:hAnsi="Arial" w:cs="Arial"/>
          <w:sz w:val="22"/>
          <w:szCs w:val="22"/>
        </w:rPr>
        <w:t xml:space="preserve">the ADI </w:t>
      </w:r>
      <w:r w:rsidR="003D01B1">
        <w:rPr>
          <w:rFonts w:ascii="Arial" w:hAnsi="Arial" w:cs="Arial"/>
          <w:sz w:val="22"/>
          <w:szCs w:val="22"/>
        </w:rPr>
        <w:t xml:space="preserve">and </w:t>
      </w:r>
      <w:r w:rsidR="00163BAC">
        <w:rPr>
          <w:rFonts w:ascii="Arial" w:hAnsi="Arial" w:cs="Arial"/>
          <w:sz w:val="22"/>
          <w:szCs w:val="22"/>
        </w:rPr>
        <w:t xml:space="preserve">for </w:t>
      </w:r>
      <w:r w:rsidR="003D01B1">
        <w:rPr>
          <w:rFonts w:ascii="Arial" w:hAnsi="Arial" w:cs="Arial"/>
          <w:sz w:val="22"/>
          <w:szCs w:val="22"/>
        </w:rPr>
        <w:t xml:space="preserve">the applicants </w:t>
      </w:r>
      <w:r w:rsidR="00E56A20">
        <w:rPr>
          <w:rFonts w:ascii="Arial" w:hAnsi="Arial" w:cs="Arial"/>
          <w:sz w:val="22"/>
          <w:szCs w:val="22"/>
        </w:rPr>
        <w:t>specified</w:t>
      </w:r>
      <w:r w:rsidR="004E2AAD">
        <w:rPr>
          <w:rFonts w:ascii="Arial" w:hAnsi="Arial" w:cs="Arial"/>
          <w:sz w:val="22"/>
          <w:szCs w:val="22"/>
        </w:rPr>
        <w:t xml:space="preserve"> in column 1 of the Table </w:t>
      </w:r>
      <w:r w:rsidR="003D01B1">
        <w:rPr>
          <w:rFonts w:ascii="Arial" w:hAnsi="Arial" w:cs="Arial"/>
          <w:sz w:val="22"/>
          <w:szCs w:val="22"/>
        </w:rPr>
        <w:t xml:space="preserve">to hold </w:t>
      </w:r>
      <w:r w:rsidR="00766DC1">
        <w:rPr>
          <w:rFonts w:ascii="Arial" w:hAnsi="Arial" w:cs="Arial"/>
          <w:sz w:val="22"/>
          <w:szCs w:val="22"/>
        </w:rPr>
        <w:t xml:space="preserve">a stake of </w:t>
      </w:r>
      <w:r w:rsidR="004E2AAD">
        <w:rPr>
          <w:rFonts w:ascii="Arial" w:hAnsi="Arial" w:cs="Arial"/>
          <w:sz w:val="22"/>
          <w:szCs w:val="22"/>
        </w:rPr>
        <w:t xml:space="preserve">more than 20% </w:t>
      </w:r>
      <w:r w:rsidR="004E2AAD" w:rsidRPr="00470D4C">
        <w:rPr>
          <w:rFonts w:ascii="Arial" w:hAnsi="Arial" w:cs="Arial"/>
          <w:sz w:val="22"/>
          <w:szCs w:val="22"/>
        </w:rPr>
        <w:t xml:space="preserve">in </w:t>
      </w:r>
      <w:r w:rsidR="003D01B1">
        <w:rPr>
          <w:rFonts w:ascii="Arial" w:hAnsi="Arial" w:cs="Arial"/>
          <w:sz w:val="22"/>
          <w:szCs w:val="22"/>
        </w:rPr>
        <w:t xml:space="preserve">the company </w:t>
      </w:r>
      <w:r w:rsidR="003D01B1" w:rsidRPr="00470D4C">
        <w:rPr>
          <w:rFonts w:ascii="Arial" w:hAnsi="Arial" w:cs="Arial"/>
          <w:sz w:val="22"/>
          <w:szCs w:val="22"/>
        </w:rPr>
        <w:t xml:space="preserve">specified </w:t>
      </w:r>
      <w:r w:rsidR="003D01B1">
        <w:rPr>
          <w:rFonts w:ascii="Arial" w:hAnsi="Arial" w:cs="Arial"/>
          <w:sz w:val="22"/>
          <w:szCs w:val="22"/>
        </w:rPr>
        <w:t xml:space="preserve">in the same row </w:t>
      </w:r>
      <w:r w:rsidR="003D01B1" w:rsidRPr="00470D4C">
        <w:rPr>
          <w:rFonts w:ascii="Arial" w:hAnsi="Arial" w:cs="Arial"/>
          <w:sz w:val="22"/>
          <w:szCs w:val="22"/>
        </w:rPr>
        <w:t xml:space="preserve">in column </w:t>
      </w:r>
      <w:r w:rsidR="003D01B1">
        <w:rPr>
          <w:rFonts w:ascii="Arial" w:hAnsi="Arial" w:cs="Arial"/>
          <w:sz w:val="22"/>
          <w:szCs w:val="22"/>
        </w:rPr>
        <w:t>2</w:t>
      </w:r>
      <w:r w:rsidR="003D01B1" w:rsidRPr="00470D4C">
        <w:rPr>
          <w:rFonts w:ascii="Arial" w:hAnsi="Arial" w:cs="Arial"/>
          <w:sz w:val="22"/>
          <w:szCs w:val="22"/>
        </w:rPr>
        <w:t xml:space="preserve"> of the </w:t>
      </w:r>
      <w:r w:rsidR="003D01B1">
        <w:rPr>
          <w:rFonts w:ascii="Arial" w:hAnsi="Arial" w:cs="Arial"/>
          <w:sz w:val="22"/>
          <w:szCs w:val="22"/>
        </w:rPr>
        <w:t>T</w:t>
      </w:r>
      <w:r w:rsidR="003D01B1" w:rsidRPr="00470D4C">
        <w:rPr>
          <w:rFonts w:ascii="Arial" w:hAnsi="Arial" w:cs="Arial"/>
          <w:sz w:val="22"/>
          <w:szCs w:val="22"/>
        </w:rPr>
        <w:t>able</w:t>
      </w:r>
      <w:r w:rsidRPr="003F7BBF">
        <w:rPr>
          <w:rFonts w:ascii="Arial" w:hAnsi="Arial" w:cs="Arial"/>
          <w:sz w:val="22"/>
          <w:szCs w:val="22"/>
        </w:rPr>
        <w:t xml:space="preserve">, </w:t>
      </w:r>
    </w:p>
    <w:p w14:paraId="194F882C" w14:textId="77777777" w:rsidR="00D720C4" w:rsidRPr="003F7BBF" w:rsidRDefault="00D720C4" w:rsidP="00D720C4">
      <w:pPr>
        <w:pStyle w:val="Default"/>
        <w:rPr>
          <w:sz w:val="22"/>
          <w:szCs w:val="22"/>
        </w:rPr>
      </w:pPr>
    </w:p>
    <w:p w14:paraId="7C950922" w14:textId="61022A86" w:rsidR="00CC28B8" w:rsidRDefault="00151983" w:rsidP="00151983">
      <w:pPr>
        <w:pStyle w:val="CM5"/>
        <w:tabs>
          <w:tab w:val="clear" w:pos="851"/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F7BBF">
        <w:rPr>
          <w:rFonts w:ascii="Arial" w:hAnsi="Arial" w:cs="Arial"/>
          <w:sz w:val="22"/>
          <w:szCs w:val="22"/>
        </w:rPr>
        <w:t xml:space="preserve">I, </w:t>
      </w:r>
      <w:r w:rsidR="0082601D">
        <w:rPr>
          <w:rFonts w:ascii="Arial" w:hAnsi="Arial" w:cs="Arial"/>
          <w:sz w:val="22"/>
          <w:szCs w:val="22"/>
        </w:rPr>
        <w:t>Peter Diamond</w:t>
      </w:r>
      <w:r w:rsidRPr="003F7BBF">
        <w:rPr>
          <w:rFonts w:ascii="Arial" w:hAnsi="Arial" w:cs="Arial"/>
          <w:sz w:val="22"/>
          <w:szCs w:val="22"/>
        </w:rPr>
        <w:t xml:space="preserve">, a delegate of the Treasurer, under </w:t>
      </w:r>
      <w:r w:rsidR="001F23C0">
        <w:rPr>
          <w:rFonts w:ascii="Arial" w:hAnsi="Arial" w:cs="Arial"/>
          <w:sz w:val="22"/>
          <w:szCs w:val="22"/>
        </w:rPr>
        <w:t xml:space="preserve">paragraph </w:t>
      </w:r>
      <w:r w:rsidRPr="003F7BBF">
        <w:rPr>
          <w:rFonts w:ascii="Arial" w:hAnsi="Arial" w:cs="Arial"/>
          <w:sz w:val="22"/>
          <w:szCs w:val="22"/>
        </w:rPr>
        <w:t>14(1)</w:t>
      </w:r>
      <w:r w:rsidR="001F23C0">
        <w:rPr>
          <w:rFonts w:ascii="Arial" w:hAnsi="Arial" w:cs="Arial"/>
          <w:sz w:val="22"/>
          <w:szCs w:val="22"/>
        </w:rPr>
        <w:t>(a)</w:t>
      </w:r>
      <w:r w:rsidRPr="003F7BBF">
        <w:rPr>
          <w:rFonts w:ascii="Arial" w:hAnsi="Arial" w:cs="Arial"/>
          <w:sz w:val="22"/>
          <w:szCs w:val="22"/>
        </w:rPr>
        <w:t xml:space="preserve"> of the Act, </w:t>
      </w:r>
      <w:r w:rsidR="00430ED0" w:rsidRPr="003F7BBF">
        <w:rPr>
          <w:rFonts w:ascii="Arial" w:hAnsi="Arial" w:cs="Arial"/>
          <w:sz w:val="22"/>
          <w:szCs w:val="22"/>
        </w:rPr>
        <w:t>APPROVE</w:t>
      </w:r>
      <w:r w:rsidR="00CC28B8">
        <w:rPr>
          <w:rFonts w:ascii="Arial" w:hAnsi="Arial" w:cs="Arial"/>
          <w:sz w:val="22"/>
          <w:szCs w:val="22"/>
        </w:rPr>
        <w:t>:</w:t>
      </w:r>
      <w:r w:rsidRPr="003F7BBF">
        <w:rPr>
          <w:rFonts w:ascii="Arial" w:hAnsi="Arial" w:cs="Arial"/>
          <w:sz w:val="22"/>
          <w:szCs w:val="22"/>
        </w:rPr>
        <w:t xml:space="preserve"> </w:t>
      </w:r>
    </w:p>
    <w:p w14:paraId="2902B891" w14:textId="77777777" w:rsidR="00CC28B8" w:rsidRDefault="00CC28B8" w:rsidP="00151983">
      <w:pPr>
        <w:pStyle w:val="CM5"/>
        <w:tabs>
          <w:tab w:val="clear" w:pos="851"/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3539D7A9" w14:textId="2B264C65" w:rsidR="00CC28B8" w:rsidRDefault="00CC28B8" w:rsidP="00CC28B8">
      <w:pPr>
        <w:pStyle w:val="CM5"/>
        <w:numPr>
          <w:ilvl w:val="0"/>
          <w:numId w:val="18"/>
        </w:numPr>
        <w:tabs>
          <w:tab w:val="clear" w:pos="851"/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Banking Circle S.A</w:t>
      </w:r>
      <w:r w:rsidR="0096466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to hold </w:t>
      </w:r>
      <w:r w:rsidR="00971AF1">
        <w:rPr>
          <w:rFonts w:ascii="Arial" w:hAnsi="Arial" w:cs="Arial"/>
          <w:sz w:val="22"/>
          <w:szCs w:val="22"/>
        </w:rPr>
        <w:t>a 100%</w:t>
      </w:r>
      <w:r>
        <w:rPr>
          <w:rFonts w:ascii="Arial" w:hAnsi="Arial" w:cs="Arial"/>
          <w:sz w:val="22"/>
          <w:szCs w:val="22"/>
        </w:rPr>
        <w:t xml:space="preserve"> </w:t>
      </w:r>
      <w:r w:rsidRPr="00470D4C">
        <w:rPr>
          <w:rFonts w:ascii="Arial" w:hAnsi="Arial" w:cs="Arial"/>
          <w:sz w:val="22"/>
          <w:szCs w:val="22"/>
        </w:rPr>
        <w:t>stake</w:t>
      </w:r>
      <w:r>
        <w:rPr>
          <w:rFonts w:ascii="Arial" w:hAnsi="Arial" w:cs="Arial"/>
          <w:sz w:val="22"/>
          <w:szCs w:val="22"/>
        </w:rPr>
        <w:t xml:space="preserve"> </w:t>
      </w:r>
      <w:r w:rsidRPr="00470D4C">
        <w:rPr>
          <w:rFonts w:ascii="Arial" w:hAnsi="Arial" w:cs="Arial"/>
          <w:sz w:val="22"/>
          <w:szCs w:val="22"/>
        </w:rPr>
        <w:t xml:space="preserve">in </w:t>
      </w:r>
      <w:r w:rsidR="000C4371">
        <w:rPr>
          <w:rFonts w:ascii="Arial" w:hAnsi="Arial" w:cs="Arial"/>
          <w:sz w:val="22"/>
          <w:szCs w:val="22"/>
        </w:rPr>
        <w:t>the ADI</w:t>
      </w:r>
      <w:r>
        <w:rPr>
          <w:rFonts w:ascii="Arial" w:hAnsi="Arial" w:cs="Arial"/>
          <w:sz w:val="22"/>
          <w:szCs w:val="22"/>
        </w:rPr>
        <w:t>; and</w:t>
      </w:r>
    </w:p>
    <w:p w14:paraId="2838B5A8" w14:textId="77777777" w:rsidR="00CC28B8" w:rsidRDefault="00CC28B8" w:rsidP="00F55F8C">
      <w:pPr>
        <w:pStyle w:val="CM5"/>
        <w:tabs>
          <w:tab w:val="clear" w:pos="851"/>
          <w:tab w:val="left" w:pos="0"/>
        </w:tabs>
        <w:ind w:left="567" w:firstLine="0"/>
        <w:jc w:val="both"/>
        <w:rPr>
          <w:rFonts w:ascii="Arial" w:hAnsi="Arial" w:cs="Arial"/>
          <w:sz w:val="22"/>
          <w:szCs w:val="22"/>
        </w:rPr>
      </w:pPr>
    </w:p>
    <w:p w14:paraId="4182E755" w14:textId="0BEC171A" w:rsidR="00151983" w:rsidRDefault="00A235ED" w:rsidP="00F55F8C">
      <w:pPr>
        <w:pStyle w:val="CM5"/>
        <w:numPr>
          <w:ilvl w:val="0"/>
          <w:numId w:val="18"/>
        </w:numPr>
        <w:tabs>
          <w:tab w:val="clear" w:pos="851"/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F00F0">
        <w:rPr>
          <w:rFonts w:ascii="Arial" w:hAnsi="Arial" w:cs="Arial"/>
          <w:sz w:val="22"/>
          <w:szCs w:val="22"/>
        </w:rPr>
        <w:t xml:space="preserve">ach of </w:t>
      </w:r>
      <w:r w:rsidR="00151983" w:rsidRPr="003F7BBF">
        <w:rPr>
          <w:rFonts w:ascii="Arial" w:hAnsi="Arial" w:cs="Arial"/>
          <w:sz w:val="22"/>
          <w:szCs w:val="22"/>
        </w:rPr>
        <w:t xml:space="preserve">the </w:t>
      </w:r>
      <w:r w:rsidR="00151983">
        <w:rPr>
          <w:rFonts w:ascii="Arial" w:hAnsi="Arial" w:cs="Arial"/>
          <w:sz w:val="22"/>
          <w:szCs w:val="22"/>
        </w:rPr>
        <w:t>a</w:t>
      </w:r>
      <w:r w:rsidR="00151983" w:rsidRPr="003F7BBF">
        <w:rPr>
          <w:rFonts w:ascii="Arial" w:hAnsi="Arial" w:cs="Arial"/>
          <w:sz w:val="22"/>
          <w:szCs w:val="22"/>
        </w:rPr>
        <w:t>pplicants</w:t>
      </w:r>
      <w:r w:rsidR="00151983">
        <w:rPr>
          <w:rFonts w:ascii="Arial" w:hAnsi="Arial" w:cs="Arial"/>
          <w:sz w:val="22"/>
          <w:szCs w:val="22"/>
        </w:rPr>
        <w:t xml:space="preserve"> </w:t>
      </w:r>
      <w:r w:rsidR="00CD7FA4">
        <w:rPr>
          <w:rFonts w:ascii="Arial" w:hAnsi="Arial" w:cs="Arial"/>
          <w:sz w:val="22"/>
          <w:szCs w:val="22"/>
        </w:rPr>
        <w:t>specified</w:t>
      </w:r>
      <w:r>
        <w:rPr>
          <w:rFonts w:ascii="Arial" w:hAnsi="Arial" w:cs="Arial"/>
          <w:sz w:val="22"/>
          <w:szCs w:val="22"/>
        </w:rPr>
        <w:t xml:space="preserve"> in column 1 of the Table to hold </w:t>
      </w:r>
      <w:r w:rsidR="00151983" w:rsidRPr="00364079">
        <w:rPr>
          <w:rFonts w:ascii="Arial" w:hAnsi="Arial" w:cs="Arial"/>
          <w:sz w:val="22"/>
          <w:szCs w:val="22"/>
        </w:rPr>
        <w:t xml:space="preserve">the stake </w:t>
      </w:r>
      <w:r w:rsidR="00DE3048">
        <w:rPr>
          <w:rFonts w:ascii="Arial" w:hAnsi="Arial" w:cs="Arial"/>
          <w:sz w:val="22"/>
          <w:szCs w:val="22"/>
        </w:rPr>
        <w:t xml:space="preserve">specified in the same row </w:t>
      </w:r>
      <w:r w:rsidR="00DE3048" w:rsidRPr="00470D4C">
        <w:rPr>
          <w:rFonts w:ascii="Arial" w:hAnsi="Arial" w:cs="Arial"/>
          <w:sz w:val="22"/>
          <w:szCs w:val="22"/>
        </w:rPr>
        <w:t xml:space="preserve">in column </w:t>
      </w:r>
      <w:r w:rsidR="00DE3048">
        <w:rPr>
          <w:rFonts w:ascii="Arial" w:hAnsi="Arial" w:cs="Arial"/>
          <w:sz w:val="22"/>
          <w:szCs w:val="22"/>
        </w:rPr>
        <w:t>3</w:t>
      </w:r>
      <w:r w:rsidR="00DE3048" w:rsidRPr="00470D4C">
        <w:rPr>
          <w:rFonts w:ascii="Arial" w:hAnsi="Arial" w:cs="Arial"/>
          <w:sz w:val="22"/>
          <w:szCs w:val="22"/>
        </w:rPr>
        <w:t xml:space="preserve"> of the </w:t>
      </w:r>
      <w:r w:rsidR="00DE3048">
        <w:rPr>
          <w:rFonts w:ascii="Arial" w:hAnsi="Arial" w:cs="Arial"/>
          <w:sz w:val="22"/>
          <w:szCs w:val="22"/>
        </w:rPr>
        <w:t>T</w:t>
      </w:r>
      <w:r w:rsidR="00DE3048" w:rsidRPr="00470D4C">
        <w:rPr>
          <w:rFonts w:ascii="Arial" w:hAnsi="Arial" w:cs="Arial"/>
          <w:sz w:val="22"/>
          <w:szCs w:val="22"/>
        </w:rPr>
        <w:t>able</w:t>
      </w:r>
      <w:r w:rsidR="00DE3048">
        <w:rPr>
          <w:rFonts w:ascii="Arial" w:hAnsi="Arial" w:cs="Arial"/>
          <w:sz w:val="22"/>
          <w:szCs w:val="22"/>
        </w:rPr>
        <w:t xml:space="preserve"> </w:t>
      </w:r>
      <w:r w:rsidR="00DE3048" w:rsidRPr="00470D4C">
        <w:rPr>
          <w:rFonts w:ascii="Arial" w:hAnsi="Arial" w:cs="Arial"/>
          <w:sz w:val="22"/>
          <w:szCs w:val="22"/>
        </w:rPr>
        <w:t xml:space="preserve">in </w:t>
      </w:r>
      <w:r w:rsidR="00DE3048">
        <w:rPr>
          <w:rFonts w:ascii="Arial" w:hAnsi="Arial" w:cs="Arial"/>
          <w:sz w:val="22"/>
          <w:szCs w:val="22"/>
        </w:rPr>
        <w:t xml:space="preserve">the company </w:t>
      </w:r>
      <w:r w:rsidR="00DE3048" w:rsidRPr="00470D4C">
        <w:rPr>
          <w:rFonts w:ascii="Arial" w:hAnsi="Arial" w:cs="Arial"/>
          <w:sz w:val="22"/>
          <w:szCs w:val="22"/>
        </w:rPr>
        <w:t xml:space="preserve">specified </w:t>
      </w:r>
      <w:r w:rsidR="00DE3048">
        <w:rPr>
          <w:rFonts w:ascii="Arial" w:hAnsi="Arial" w:cs="Arial"/>
          <w:sz w:val="22"/>
          <w:szCs w:val="22"/>
        </w:rPr>
        <w:t xml:space="preserve">in the same row </w:t>
      </w:r>
      <w:r w:rsidR="00DE3048" w:rsidRPr="00470D4C">
        <w:rPr>
          <w:rFonts w:ascii="Arial" w:hAnsi="Arial" w:cs="Arial"/>
          <w:sz w:val="22"/>
          <w:szCs w:val="22"/>
        </w:rPr>
        <w:t xml:space="preserve">in column </w:t>
      </w:r>
      <w:r w:rsidR="00DE3048">
        <w:rPr>
          <w:rFonts w:ascii="Arial" w:hAnsi="Arial" w:cs="Arial"/>
          <w:sz w:val="22"/>
          <w:szCs w:val="22"/>
        </w:rPr>
        <w:t>2</w:t>
      </w:r>
      <w:r w:rsidR="00DE3048" w:rsidRPr="00470D4C">
        <w:rPr>
          <w:rFonts w:ascii="Arial" w:hAnsi="Arial" w:cs="Arial"/>
          <w:sz w:val="22"/>
          <w:szCs w:val="22"/>
        </w:rPr>
        <w:t xml:space="preserve"> of the </w:t>
      </w:r>
      <w:r w:rsidR="00DE3048">
        <w:rPr>
          <w:rFonts w:ascii="Arial" w:hAnsi="Arial" w:cs="Arial"/>
          <w:sz w:val="22"/>
          <w:szCs w:val="22"/>
        </w:rPr>
        <w:t>T</w:t>
      </w:r>
      <w:r w:rsidR="00DE3048" w:rsidRPr="00470D4C">
        <w:rPr>
          <w:rFonts w:ascii="Arial" w:hAnsi="Arial" w:cs="Arial"/>
          <w:sz w:val="22"/>
          <w:szCs w:val="22"/>
        </w:rPr>
        <w:t>able</w:t>
      </w:r>
      <w:r w:rsidR="00151983" w:rsidRPr="003F7BBF">
        <w:rPr>
          <w:rFonts w:ascii="Arial" w:hAnsi="Arial" w:cs="Arial"/>
          <w:sz w:val="22"/>
          <w:szCs w:val="22"/>
        </w:rPr>
        <w:t>.</w:t>
      </w:r>
    </w:p>
    <w:p w14:paraId="4CAC2DF9" w14:textId="77777777" w:rsidR="00B40E1F" w:rsidRPr="00F55F8C" w:rsidRDefault="00B40E1F" w:rsidP="00F55F8C">
      <w:pPr>
        <w:pStyle w:val="Default"/>
      </w:pPr>
    </w:p>
    <w:p w14:paraId="77986AF2" w14:textId="64C32B86" w:rsidR="003E015E" w:rsidRPr="003F7BBF" w:rsidRDefault="003E015E" w:rsidP="003E015E">
      <w:pPr>
        <w:pStyle w:val="IntroTo"/>
        <w:ind w:left="0" w:firstLine="0"/>
        <w:rPr>
          <w:rFonts w:ascii="Arial" w:hAnsi="Arial" w:cs="Arial"/>
          <w:sz w:val="22"/>
          <w:szCs w:val="22"/>
        </w:rPr>
      </w:pPr>
      <w:r w:rsidRPr="003F7BBF">
        <w:rPr>
          <w:rFonts w:ascii="Arial" w:hAnsi="Arial" w:cs="Arial"/>
          <w:sz w:val="22"/>
          <w:szCs w:val="22"/>
        </w:rPr>
        <w:t>T</w:t>
      </w:r>
      <w:r w:rsidR="007A4E7C" w:rsidRPr="003F7BBF">
        <w:rPr>
          <w:rFonts w:ascii="Arial" w:hAnsi="Arial" w:cs="Arial"/>
          <w:sz w:val="22"/>
          <w:szCs w:val="22"/>
        </w:rPr>
        <w:t>his</w:t>
      </w:r>
      <w:r w:rsidRPr="003F7BBF">
        <w:rPr>
          <w:rFonts w:ascii="Arial" w:hAnsi="Arial" w:cs="Arial"/>
          <w:sz w:val="22"/>
          <w:szCs w:val="22"/>
        </w:rPr>
        <w:t xml:space="preserve"> </w:t>
      </w:r>
      <w:r w:rsidR="006170E8" w:rsidRPr="003F7BBF">
        <w:rPr>
          <w:rFonts w:ascii="Arial" w:hAnsi="Arial" w:cs="Arial"/>
          <w:sz w:val="22"/>
          <w:szCs w:val="22"/>
        </w:rPr>
        <w:t>approval</w:t>
      </w:r>
      <w:r w:rsidRPr="003F7BBF">
        <w:rPr>
          <w:rFonts w:ascii="Arial" w:hAnsi="Arial" w:cs="Arial"/>
          <w:sz w:val="22"/>
          <w:szCs w:val="22"/>
        </w:rPr>
        <w:t xml:space="preserve"> commences on the da</w:t>
      </w:r>
      <w:r w:rsidR="007A4E7C" w:rsidRPr="003F7BBF">
        <w:rPr>
          <w:rFonts w:ascii="Arial" w:hAnsi="Arial" w:cs="Arial"/>
          <w:sz w:val="22"/>
          <w:szCs w:val="22"/>
        </w:rPr>
        <w:t xml:space="preserve">y it is </w:t>
      </w:r>
      <w:r w:rsidR="00340B0B" w:rsidRPr="003F7BBF">
        <w:rPr>
          <w:rFonts w:ascii="Arial" w:hAnsi="Arial" w:cs="Arial"/>
          <w:sz w:val="22"/>
          <w:szCs w:val="22"/>
        </w:rPr>
        <w:t>made</w:t>
      </w:r>
      <w:r w:rsidR="00D720C4" w:rsidRPr="003F7BBF">
        <w:rPr>
          <w:rFonts w:ascii="Arial" w:hAnsi="Arial" w:cs="Arial"/>
          <w:sz w:val="22"/>
          <w:szCs w:val="22"/>
        </w:rPr>
        <w:t xml:space="preserve"> and remains in force indefinitely</w:t>
      </w:r>
      <w:r w:rsidR="009E0C65" w:rsidRPr="003F7BBF">
        <w:rPr>
          <w:rFonts w:ascii="Arial" w:hAnsi="Arial" w:cs="Arial"/>
          <w:sz w:val="22"/>
          <w:szCs w:val="22"/>
        </w:rPr>
        <w:t>.</w:t>
      </w:r>
    </w:p>
    <w:p w14:paraId="77986AF3" w14:textId="77777777" w:rsidR="003E015E" w:rsidRPr="003F7BBF" w:rsidRDefault="003E015E" w:rsidP="003E015E">
      <w:pPr>
        <w:pStyle w:val="IntroTo"/>
        <w:ind w:left="0" w:firstLine="0"/>
        <w:rPr>
          <w:rFonts w:ascii="Arial" w:hAnsi="Arial" w:cs="Arial"/>
          <w:sz w:val="22"/>
          <w:szCs w:val="22"/>
        </w:rPr>
      </w:pPr>
    </w:p>
    <w:p w14:paraId="77986AF4" w14:textId="21B58AB5" w:rsidR="003E015E" w:rsidRPr="00E43AA2" w:rsidRDefault="003E015E" w:rsidP="003E015E">
      <w:pPr>
        <w:pStyle w:val="IntroTo"/>
        <w:ind w:left="0" w:firstLine="0"/>
        <w:rPr>
          <w:rFonts w:ascii="Arial" w:hAnsi="Arial" w:cs="Arial"/>
          <w:sz w:val="22"/>
          <w:szCs w:val="22"/>
        </w:rPr>
      </w:pPr>
      <w:r w:rsidRPr="00F55F8C">
        <w:rPr>
          <w:rFonts w:ascii="Arial" w:hAnsi="Arial" w:cs="Arial"/>
          <w:sz w:val="22"/>
          <w:szCs w:val="22"/>
        </w:rPr>
        <w:t>Date:</w:t>
      </w:r>
      <w:r w:rsidR="0011654B" w:rsidRPr="00F55F8C">
        <w:rPr>
          <w:rFonts w:ascii="Arial" w:hAnsi="Arial" w:cs="Arial"/>
          <w:sz w:val="22"/>
          <w:szCs w:val="22"/>
        </w:rPr>
        <w:t xml:space="preserve"> </w:t>
      </w:r>
      <w:r w:rsidR="000555D0">
        <w:rPr>
          <w:rFonts w:ascii="Arial" w:hAnsi="Arial" w:cs="Arial"/>
          <w:sz w:val="22"/>
          <w:szCs w:val="22"/>
        </w:rPr>
        <w:t>23 July 2025</w:t>
      </w:r>
    </w:p>
    <w:p w14:paraId="77986AF5" w14:textId="062576E3" w:rsidR="003E015E" w:rsidRDefault="003E015E" w:rsidP="003E015E">
      <w:pPr>
        <w:pStyle w:val="IntroTo"/>
        <w:ind w:left="0" w:firstLine="0"/>
        <w:rPr>
          <w:rFonts w:ascii="Arial" w:hAnsi="Arial" w:cs="Arial"/>
          <w:sz w:val="22"/>
          <w:szCs w:val="22"/>
        </w:rPr>
      </w:pPr>
    </w:p>
    <w:p w14:paraId="0E95B308" w14:textId="1CC5B817" w:rsidR="00DC5462" w:rsidRDefault="00DC5462" w:rsidP="003E015E">
      <w:pPr>
        <w:pStyle w:val="IntroTo"/>
        <w:ind w:left="0" w:firstLine="0"/>
        <w:rPr>
          <w:rFonts w:ascii="Arial" w:hAnsi="Arial" w:cs="Arial"/>
          <w:sz w:val="22"/>
          <w:szCs w:val="22"/>
        </w:rPr>
      </w:pPr>
    </w:p>
    <w:p w14:paraId="3FA6DB9B" w14:textId="7F439ECC" w:rsidR="008D3B5E" w:rsidRDefault="008D3B5E" w:rsidP="003E015E">
      <w:pPr>
        <w:pStyle w:val="IntroTo"/>
        <w:ind w:left="0" w:firstLine="0"/>
        <w:rPr>
          <w:rFonts w:ascii="Arial" w:hAnsi="Arial" w:cs="Arial"/>
          <w:sz w:val="22"/>
          <w:szCs w:val="22"/>
        </w:rPr>
      </w:pPr>
    </w:p>
    <w:p w14:paraId="77986AF8" w14:textId="5EE9E5BA" w:rsidR="003E015E" w:rsidRPr="00E43AA2" w:rsidRDefault="0082601D" w:rsidP="007A4E7C">
      <w:pPr>
        <w:spacing w:after="0"/>
        <w:jc w:val="left"/>
        <w:rPr>
          <w:rFonts w:cs="Arial"/>
          <w:highlight w:val="yellow"/>
        </w:rPr>
      </w:pPr>
      <w:r w:rsidRPr="0082601D">
        <w:rPr>
          <w:rFonts w:cs="Arial"/>
        </w:rPr>
        <w:t>Peter Diamond</w:t>
      </w:r>
      <w:r w:rsidR="003E015E" w:rsidRPr="0082601D">
        <w:rPr>
          <w:rFonts w:cs="Arial"/>
        </w:rPr>
        <w:t xml:space="preserve"> </w:t>
      </w:r>
      <w:r w:rsidR="003E015E" w:rsidRPr="0082601D">
        <w:rPr>
          <w:rFonts w:cs="Arial"/>
        </w:rPr>
        <w:br/>
      </w:r>
      <w:r w:rsidR="00E9340B" w:rsidRPr="00E9340B">
        <w:rPr>
          <w:rFonts w:cs="Arial"/>
        </w:rPr>
        <w:t>General Manager</w:t>
      </w:r>
    </w:p>
    <w:p w14:paraId="77986AF9" w14:textId="0266965A" w:rsidR="003E015E" w:rsidRPr="00E43AA2" w:rsidRDefault="003F7D74" w:rsidP="007A4E7C">
      <w:pPr>
        <w:spacing w:after="0"/>
        <w:jc w:val="left"/>
        <w:rPr>
          <w:rFonts w:cs="Arial"/>
        </w:rPr>
      </w:pPr>
      <w:r>
        <w:rPr>
          <w:rFonts w:cs="Arial"/>
        </w:rPr>
        <w:t xml:space="preserve">General </w:t>
      </w:r>
      <w:r w:rsidR="007A4E7C" w:rsidRPr="00E43AA2">
        <w:rPr>
          <w:rFonts w:cs="Arial"/>
        </w:rPr>
        <w:t>Insurance</w:t>
      </w:r>
      <w:r w:rsidR="00B96587" w:rsidRPr="00E43AA2">
        <w:rPr>
          <w:rFonts w:cs="Arial"/>
        </w:rPr>
        <w:t xml:space="preserve"> </w:t>
      </w:r>
      <w:r>
        <w:rPr>
          <w:rFonts w:cs="Arial"/>
        </w:rPr>
        <w:t xml:space="preserve">and Banking </w:t>
      </w:r>
      <w:r w:rsidR="00B96587" w:rsidRPr="00E43AA2">
        <w:rPr>
          <w:rFonts w:cs="Arial"/>
        </w:rPr>
        <w:t>Division</w:t>
      </w:r>
    </w:p>
    <w:p w14:paraId="77986AFA" w14:textId="77777777" w:rsidR="003E015E" w:rsidRPr="00E43AA2" w:rsidRDefault="003E015E" w:rsidP="003E015E">
      <w:pPr>
        <w:jc w:val="left"/>
        <w:rPr>
          <w:rFonts w:cs="Arial"/>
        </w:rPr>
      </w:pPr>
    </w:p>
    <w:p w14:paraId="77986AFB" w14:textId="7F1AF6F2" w:rsidR="007A4E7C" w:rsidRPr="00E43AA2" w:rsidRDefault="005D3704" w:rsidP="000555D0">
      <w:pPr>
        <w:numPr>
          <w:ilvl w:val="0"/>
          <w:numId w:val="0"/>
        </w:numPr>
        <w:rPr>
          <w:rFonts w:cs="Arial"/>
        </w:rPr>
      </w:pPr>
      <w:r>
        <w:rPr>
          <w:rFonts w:cs="Arial"/>
          <w:b/>
        </w:rPr>
        <w:br w:type="page"/>
      </w:r>
      <w:r w:rsidR="003E015E" w:rsidRPr="00E43AA2">
        <w:rPr>
          <w:rFonts w:cs="Arial"/>
          <w:b/>
        </w:rPr>
        <w:lastRenderedPageBreak/>
        <w:t xml:space="preserve">Interpretation </w:t>
      </w:r>
    </w:p>
    <w:p w14:paraId="399AC1F8" w14:textId="77777777" w:rsidR="00167F3F" w:rsidRDefault="00167F3F" w:rsidP="001C5A68">
      <w:pPr>
        <w:pStyle w:val="CM5"/>
        <w:tabs>
          <w:tab w:val="clear" w:pos="851"/>
        </w:tabs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this instrument:</w:t>
      </w:r>
    </w:p>
    <w:p w14:paraId="54A3C686" w14:textId="788FA430" w:rsidR="00D720C4" w:rsidRPr="00E43AA2" w:rsidRDefault="00D720C4" w:rsidP="001C5A68">
      <w:pPr>
        <w:pStyle w:val="CM5"/>
        <w:tabs>
          <w:tab w:val="clear" w:pos="851"/>
        </w:tabs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E43AA2">
        <w:rPr>
          <w:rFonts w:ascii="Arial" w:hAnsi="Arial" w:cs="Arial"/>
          <w:b/>
          <w:i/>
          <w:sz w:val="22"/>
          <w:szCs w:val="22"/>
        </w:rPr>
        <w:t xml:space="preserve">Act </w:t>
      </w:r>
      <w:r w:rsidRPr="00E43AA2">
        <w:rPr>
          <w:rFonts w:ascii="Arial" w:hAnsi="Arial" w:cs="Arial"/>
          <w:sz w:val="22"/>
          <w:szCs w:val="22"/>
        </w:rPr>
        <w:t xml:space="preserve">means the </w:t>
      </w:r>
      <w:r w:rsidRPr="00E43AA2">
        <w:rPr>
          <w:rFonts w:ascii="Arial" w:hAnsi="Arial" w:cs="Arial"/>
          <w:i/>
          <w:sz w:val="22"/>
          <w:szCs w:val="22"/>
        </w:rPr>
        <w:t>Financial Sector (Shareholdings) Act 1998</w:t>
      </w:r>
      <w:r w:rsidRPr="00E43AA2">
        <w:rPr>
          <w:rFonts w:ascii="Arial" w:hAnsi="Arial" w:cs="Arial"/>
          <w:sz w:val="22"/>
          <w:szCs w:val="22"/>
        </w:rPr>
        <w:t>.</w:t>
      </w:r>
    </w:p>
    <w:p w14:paraId="2A03EE34" w14:textId="77777777" w:rsidR="00D720C4" w:rsidRPr="00E43AA2" w:rsidRDefault="00D720C4" w:rsidP="001C5A68">
      <w:pPr>
        <w:pStyle w:val="CM5"/>
        <w:spacing w:before="120"/>
        <w:ind w:left="567"/>
        <w:rPr>
          <w:rFonts w:ascii="Arial" w:hAnsi="Arial" w:cs="Arial"/>
          <w:sz w:val="22"/>
          <w:szCs w:val="22"/>
        </w:rPr>
      </w:pPr>
      <w:r w:rsidRPr="00E43AA2">
        <w:rPr>
          <w:rFonts w:ascii="Arial" w:hAnsi="Arial" w:cs="Arial"/>
          <w:b/>
          <w:i/>
          <w:sz w:val="22"/>
          <w:szCs w:val="22"/>
        </w:rPr>
        <w:t>APRA</w:t>
      </w:r>
      <w:r w:rsidRPr="00E43AA2">
        <w:rPr>
          <w:rFonts w:ascii="Arial" w:hAnsi="Arial" w:cs="Arial"/>
          <w:sz w:val="22"/>
          <w:szCs w:val="22"/>
        </w:rPr>
        <w:t xml:space="preserve"> means the Australian Prudential Regulation Authority.</w:t>
      </w:r>
    </w:p>
    <w:p w14:paraId="73D60D77" w14:textId="77777777" w:rsidR="00D720C4" w:rsidRPr="00E43AA2" w:rsidRDefault="00D720C4" w:rsidP="001C5A68">
      <w:pPr>
        <w:pStyle w:val="Default"/>
        <w:spacing w:before="120"/>
        <w:rPr>
          <w:b/>
          <w:i/>
          <w:sz w:val="22"/>
          <w:szCs w:val="22"/>
        </w:rPr>
      </w:pPr>
      <w:r w:rsidRPr="00E43AA2">
        <w:rPr>
          <w:b/>
          <w:i/>
          <w:sz w:val="22"/>
          <w:szCs w:val="22"/>
        </w:rPr>
        <w:t xml:space="preserve">financial sector company </w:t>
      </w:r>
      <w:r w:rsidRPr="00E43AA2">
        <w:rPr>
          <w:sz w:val="22"/>
          <w:szCs w:val="22"/>
        </w:rPr>
        <w:t>has the meaning given in section 3 of the Act.</w:t>
      </w:r>
    </w:p>
    <w:p w14:paraId="75CF807E" w14:textId="77777777" w:rsidR="00D720C4" w:rsidRDefault="00D720C4" w:rsidP="001C5A68">
      <w:pPr>
        <w:pStyle w:val="Default"/>
        <w:spacing w:before="120"/>
        <w:rPr>
          <w:sz w:val="22"/>
          <w:szCs w:val="22"/>
        </w:rPr>
      </w:pPr>
      <w:r w:rsidRPr="00E43AA2">
        <w:rPr>
          <w:b/>
          <w:i/>
          <w:sz w:val="22"/>
          <w:szCs w:val="22"/>
        </w:rPr>
        <w:t xml:space="preserve">stake </w:t>
      </w:r>
      <w:r w:rsidRPr="00E43AA2">
        <w:rPr>
          <w:sz w:val="22"/>
          <w:szCs w:val="22"/>
        </w:rPr>
        <w:t>in relation to a company, has the meaning given in clause 10 of Schedule 1 to the Act.</w:t>
      </w:r>
    </w:p>
    <w:p w14:paraId="5C353AD4" w14:textId="3E6F2252" w:rsidR="001D75FD" w:rsidRPr="00E43AA2" w:rsidRDefault="001D75FD" w:rsidP="001C5A68">
      <w:pPr>
        <w:pStyle w:val="Default"/>
        <w:spacing w:before="120"/>
        <w:rPr>
          <w:sz w:val="22"/>
          <w:szCs w:val="22"/>
        </w:rPr>
      </w:pPr>
      <w:r w:rsidRPr="00F55F8C">
        <w:rPr>
          <w:b/>
          <w:i/>
          <w:sz w:val="22"/>
          <w:szCs w:val="22"/>
        </w:rPr>
        <w:t>Table</w:t>
      </w:r>
      <w:r>
        <w:rPr>
          <w:sz w:val="22"/>
          <w:szCs w:val="22"/>
        </w:rPr>
        <w:t xml:space="preserve"> </w:t>
      </w:r>
      <w:r w:rsidR="006377DE">
        <w:rPr>
          <w:sz w:val="22"/>
          <w:szCs w:val="22"/>
        </w:rPr>
        <w:t xml:space="preserve">means the </w:t>
      </w:r>
      <w:r w:rsidR="00AF5E89">
        <w:rPr>
          <w:sz w:val="22"/>
          <w:szCs w:val="22"/>
        </w:rPr>
        <w:t xml:space="preserve">approvals of applications </w:t>
      </w:r>
      <w:r w:rsidR="006377DE">
        <w:rPr>
          <w:sz w:val="22"/>
          <w:szCs w:val="22"/>
        </w:rPr>
        <w:t xml:space="preserve">table in the </w:t>
      </w:r>
      <w:r w:rsidR="00D33D6C">
        <w:rPr>
          <w:sz w:val="22"/>
          <w:szCs w:val="22"/>
        </w:rPr>
        <w:t>s</w:t>
      </w:r>
      <w:r w:rsidR="006377DE">
        <w:rPr>
          <w:sz w:val="22"/>
          <w:szCs w:val="22"/>
        </w:rPr>
        <w:t>chedule.</w:t>
      </w:r>
    </w:p>
    <w:p w14:paraId="710358C4" w14:textId="287149D8" w:rsidR="00E43AA2" w:rsidRPr="001C5A68" w:rsidRDefault="00E43AA2" w:rsidP="001C5A68">
      <w:pPr>
        <w:autoSpaceDE w:val="0"/>
        <w:autoSpaceDN w:val="0"/>
        <w:adjustRightInd w:val="0"/>
        <w:spacing w:before="240" w:after="0"/>
        <w:jc w:val="left"/>
        <w:rPr>
          <w:rFonts w:cs="Arial"/>
          <w:b/>
          <w:sz w:val="18"/>
          <w:szCs w:val="18"/>
        </w:rPr>
      </w:pPr>
      <w:r w:rsidRPr="001C5A68">
        <w:rPr>
          <w:rFonts w:cs="Arial"/>
          <w:b/>
          <w:iCs/>
          <w:sz w:val="18"/>
          <w:szCs w:val="18"/>
        </w:rPr>
        <w:t>Notes</w:t>
      </w:r>
    </w:p>
    <w:p w14:paraId="7C9DD74B" w14:textId="7048900E" w:rsidR="00862303" w:rsidRDefault="00862303" w:rsidP="005C7460">
      <w:pPr>
        <w:autoSpaceDE w:val="0"/>
        <w:autoSpaceDN w:val="0"/>
        <w:adjustRightInd w:val="0"/>
        <w:spacing w:before="120" w:after="0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This instrument will be registered on the Federal Register of Legislation as a notifiable instrument.</w:t>
      </w:r>
    </w:p>
    <w:p w14:paraId="5F2C7FC7" w14:textId="6D251CFD" w:rsidR="00D720C4" w:rsidRPr="001C5A68" w:rsidRDefault="009501FB" w:rsidP="001C5A68">
      <w:pPr>
        <w:autoSpaceDE w:val="0"/>
        <w:autoSpaceDN w:val="0"/>
        <w:adjustRightInd w:val="0"/>
        <w:spacing w:before="120" w:after="0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</w:t>
      </w:r>
      <w:r w:rsidR="00D720C4" w:rsidRPr="001C5A68">
        <w:rPr>
          <w:rFonts w:cs="Arial"/>
          <w:sz w:val="18"/>
          <w:szCs w:val="18"/>
        </w:rPr>
        <w:t xml:space="preserve">he Treasurer </w:t>
      </w:r>
      <w:r>
        <w:rPr>
          <w:rFonts w:cs="Arial"/>
          <w:sz w:val="18"/>
          <w:szCs w:val="18"/>
        </w:rPr>
        <w:t xml:space="preserve">or the Treasurer’s delegate is required to </w:t>
      </w:r>
      <w:r w:rsidR="00D720C4" w:rsidRPr="001C5A68">
        <w:rPr>
          <w:rFonts w:cs="Arial"/>
          <w:sz w:val="18"/>
          <w:szCs w:val="18"/>
        </w:rPr>
        <w:t xml:space="preserve">give </w:t>
      </w:r>
      <w:r>
        <w:rPr>
          <w:rFonts w:cs="Arial"/>
          <w:sz w:val="18"/>
          <w:szCs w:val="18"/>
        </w:rPr>
        <w:t xml:space="preserve">a copy </w:t>
      </w:r>
      <w:r w:rsidR="00D720C4" w:rsidRPr="001C5A68">
        <w:rPr>
          <w:rFonts w:cs="Arial"/>
          <w:sz w:val="18"/>
          <w:szCs w:val="18"/>
        </w:rPr>
        <w:t xml:space="preserve">of </w:t>
      </w:r>
      <w:r w:rsidR="00F30BCB">
        <w:rPr>
          <w:rFonts w:cs="Arial"/>
          <w:sz w:val="18"/>
          <w:szCs w:val="18"/>
        </w:rPr>
        <w:t xml:space="preserve">this instrument </w:t>
      </w:r>
      <w:r w:rsidR="00D720C4" w:rsidRPr="001C5A68">
        <w:rPr>
          <w:rFonts w:cs="Arial"/>
          <w:sz w:val="18"/>
          <w:szCs w:val="18"/>
        </w:rPr>
        <w:t>to the</w:t>
      </w:r>
      <w:r w:rsidR="008D3B5E" w:rsidRPr="001C5A68">
        <w:rPr>
          <w:rFonts w:cs="Arial"/>
          <w:sz w:val="18"/>
          <w:szCs w:val="18"/>
        </w:rPr>
        <w:t xml:space="preserve"> </w:t>
      </w:r>
      <w:r w:rsidR="00D720C4" w:rsidRPr="001C5A68">
        <w:rPr>
          <w:rFonts w:cs="Arial"/>
          <w:sz w:val="18"/>
          <w:szCs w:val="18"/>
        </w:rPr>
        <w:t>financial sector company.</w:t>
      </w:r>
    </w:p>
    <w:p w14:paraId="27305D67" w14:textId="48C9BED3" w:rsidR="00D720C4" w:rsidRPr="001C5A68" w:rsidRDefault="00D720C4" w:rsidP="001C5A68">
      <w:pPr>
        <w:autoSpaceDE w:val="0"/>
        <w:autoSpaceDN w:val="0"/>
        <w:adjustRightInd w:val="0"/>
        <w:spacing w:before="120" w:after="0"/>
        <w:jc w:val="left"/>
        <w:rPr>
          <w:rFonts w:cs="Arial"/>
          <w:sz w:val="18"/>
          <w:szCs w:val="18"/>
        </w:rPr>
      </w:pPr>
      <w:r w:rsidRPr="001C5A68">
        <w:rPr>
          <w:rFonts w:cs="Arial"/>
          <w:sz w:val="18"/>
          <w:szCs w:val="18"/>
        </w:rPr>
        <w:t>Section 19 of the Act provides for flow-on approvals</w:t>
      </w:r>
      <w:r w:rsidR="00E72559">
        <w:rPr>
          <w:rFonts w:cs="Arial"/>
          <w:sz w:val="18"/>
          <w:szCs w:val="18"/>
        </w:rPr>
        <w:t xml:space="preserve"> for an approval under paragraph 14(1)(a) of the Act</w:t>
      </w:r>
      <w:r w:rsidRPr="001C5A68">
        <w:rPr>
          <w:rFonts w:cs="Arial"/>
          <w:sz w:val="18"/>
          <w:szCs w:val="18"/>
        </w:rPr>
        <w:t xml:space="preserve">. If </w:t>
      </w:r>
      <w:r w:rsidR="00E72559">
        <w:rPr>
          <w:rFonts w:cs="Arial"/>
          <w:sz w:val="18"/>
          <w:szCs w:val="18"/>
        </w:rPr>
        <w:t xml:space="preserve">the </w:t>
      </w:r>
      <w:r w:rsidR="008D3B5E" w:rsidRPr="001C5A68">
        <w:rPr>
          <w:rFonts w:cs="Arial"/>
          <w:sz w:val="18"/>
          <w:szCs w:val="18"/>
        </w:rPr>
        <w:t>a</w:t>
      </w:r>
      <w:r w:rsidRPr="001C5A68">
        <w:rPr>
          <w:rFonts w:cs="Arial"/>
          <w:sz w:val="18"/>
          <w:szCs w:val="18"/>
        </w:rPr>
        <w:t xml:space="preserve">pproval </w:t>
      </w:r>
      <w:r w:rsidR="00BB446E">
        <w:rPr>
          <w:rFonts w:cs="Arial"/>
          <w:sz w:val="18"/>
          <w:szCs w:val="18"/>
        </w:rPr>
        <w:t xml:space="preserve">relates to </w:t>
      </w:r>
      <w:r w:rsidRPr="001C5A68">
        <w:rPr>
          <w:rFonts w:cs="Arial"/>
          <w:sz w:val="18"/>
          <w:szCs w:val="18"/>
        </w:rPr>
        <w:t xml:space="preserve">a financial sector company </w:t>
      </w:r>
      <w:r w:rsidR="00BB446E">
        <w:rPr>
          <w:rFonts w:cs="Arial"/>
          <w:sz w:val="18"/>
          <w:szCs w:val="18"/>
        </w:rPr>
        <w:t xml:space="preserve">that </w:t>
      </w:r>
      <w:r w:rsidRPr="001C5A68">
        <w:rPr>
          <w:rFonts w:cs="Arial"/>
          <w:sz w:val="18"/>
          <w:szCs w:val="18"/>
        </w:rPr>
        <w:t>is a holding company for an</w:t>
      </w:r>
      <w:r w:rsidR="008D3B5E" w:rsidRPr="001C5A68">
        <w:rPr>
          <w:rFonts w:cs="Arial"/>
          <w:sz w:val="18"/>
          <w:szCs w:val="18"/>
        </w:rPr>
        <w:t xml:space="preserve"> </w:t>
      </w:r>
      <w:r w:rsidRPr="001C5A68">
        <w:rPr>
          <w:rFonts w:cs="Arial"/>
          <w:sz w:val="18"/>
          <w:szCs w:val="18"/>
        </w:rPr>
        <w:t xml:space="preserve">authorised deposit-taking institution or an authorised insurance company, </w:t>
      </w:r>
      <w:r w:rsidR="00220470">
        <w:rPr>
          <w:rFonts w:cs="Arial"/>
          <w:sz w:val="18"/>
          <w:szCs w:val="18"/>
        </w:rPr>
        <w:t xml:space="preserve">subsection 19(1) provides for flow-on </w:t>
      </w:r>
      <w:r w:rsidRPr="001C5A68">
        <w:rPr>
          <w:rFonts w:cs="Arial"/>
          <w:sz w:val="18"/>
          <w:szCs w:val="18"/>
        </w:rPr>
        <w:t>approval</w:t>
      </w:r>
      <w:r w:rsidR="00220470">
        <w:rPr>
          <w:rFonts w:cs="Arial"/>
          <w:sz w:val="18"/>
          <w:szCs w:val="18"/>
        </w:rPr>
        <w:t xml:space="preserve">s that relate to </w:t>
      </w:r>
      <w:r w:rsidRPr="001C5A68">
        <w:rPr>
          <w:rFonts w:cs="Arial"/>
          <w:sz w:val="18"/>
          <w:szCs w:val="18"/>
        </w:rPr>
        <w:t>each financial sector company that is a 100% subsidiary of the</w:t>
      </w:r>
      <w:r w:rsidR="008D3B5E" w:rsidRPr="001C5A68">
        <w:rPr>
          <w:rFonts w:cs="Arial"/>
          <w:sz w:val="18"/>
          <w:szCs w:val="18"/>
        </w:rPr>
        <w:t xml:space="preserve"> </w:t>
      </w:r>
      <w:r w:rsidRPr="001C5A68">
        <w:rPr>
          <w:rFonts w:cs="Arial"/>
          <w:sz w:val="18"/>
          <w:szCs w:val="18"/>
        </w:rPr>
        <w:t>holding company.</w:t>
      </w:r>
      <w:r w:rsidR="003C32E5">
        <w:rPr>
          <w:rFonts w:cs="Arial"/>
          <w:sz w:val="18"/>
          <w:szCs w:val="18"/>
        </w:rPr>
        <w:t xml:space="preserve"> If the approval is held by a company, subsection 19(3</w:t>
      </w:r>
      <w:r w:rsidR="00137928">
        <w:rPr>
          <w:rFonts w:cs="Arial"/>
          <w:sz w:val="18"/>
          <w:szCs w:val="18"/>
        </w:rPr>
        <w:t>) provides for flow-on approvals to be held by each officer of the company.</w:t>
      </w:r>
    </w:p>
    <w:p w14:paraId="1BE8F155" w14:textId="1802B6CB" w:rsidR="00340B0B" w:rsidRPr="00F55F8C" w:rsidRDefault="00B46432" w:rsidP="001E6A7B">
      <w:pPr>
        <w:numPr>
          <w:ilvl w:val="0"/>
          <w:numId w:val="0"/>
        </w:numPr>
        <w:rPr>
          <w:rFonts w:cs="Arial"/>
          <w:sz w:val="32"/>
          <w:szCs w:val="32"/>
        </w:rPr>
      </w:pPr>
      <w:r>
        <w:rPr>
          <w:rFonts w:cs="Arial"/>
          <w:sz w:val="18"/>
          <w:szCs w:val="18"/>
        </w:rPr>
        <w:br/>
      </w:r>
    </w:p>
    <w:p w14:paraId="7A7CDE84" w14:textId="3B2B40F8" w:rsidR="0011654B" w:rsidRDefault="0011654B" w:rsidP="001C5A68">
      <w:pPr>
        <w:numPr>
          <w:ilvl w:val="0"/>
          <w:numId w:val="0"/>
        </w:numPr>
        <w:rPr>
          <w:rFonts w:cs="Arial"/>
          <w:b/>
          <w:sz w:val="32"/>
          <w:szCs w:val="32"/>
        </w:rPr>
      </w:pPr>
      <w:r w:rsidRPr="0011654B">
        <w:rPr>
          <w:rFonts w:cs="Arial"/>
          <w:b/>
          <w:sz w:val="32"/>
          <w:szCs w:val="32"/>
        </w:rPr>
        <w:t xml:space="preserve">Schedule  </w:t>
      </w:r>
    </w:p>
    <w:p w14:paraId="476D609E" w14:textId="77777777" w:rsidR="00BD3CB6" w:rsidRPr="003605F3" w:rsidRDefault="00BD3CB6" w:rsidP="0011654B">
      <w:pPr>
        <w:numPr>
          <w:ilvl w:val="0"/>
          <w:numId w:val="0"/>
        </w:numPr>
        <w:autoSpaceDE w:val="0"/>
        <w:autoSpaceDN w:val="0"/>
        <w:adjustRightInd w:val="0"/>
        <w:spacing w:after="0"/>
        <w:jc w:val="left"/>
        <w:rPr>
          <w:rFonts w:cs="Arial"/>
          <w:b/>
          <w:sz w:val="32"/>
          <w:szCs w:val="32"/>
        </w:rPr>
      </w:pPr>
    </w:p>
    <w:p w14:paraId="4853818D" w14:textId="645C02C2" w:rsidR="00BD3CB6" w:rsidRPr="001C5A68" w:rsidRDefault="00BD3CB6" w:rsidP="00BD3CB6">
      <w:pPr>
        <w:numPr>
          <w:ilvl w:val="0"/>
          <w:numId w:val="0"/>
        </w:numPr>
        <w:autoSpaceDE w:val="0"/>
        <w:autoSpaceDN w:val="0"/>
        <w:adjustRightInd w:val="0"/>
        <w:spacing w:after="0"/>
        <w:jc w:val="left"/>
        <w:rPr>
          <w:rFonts w:cs="Arial"/>
          <w:b/>
        </w:rPr>
      </w:pPr>
      <w:r w:rsidRPr="001C5A68">
        <w:rPr>
          <w:rFonts w:cs="Arial"/>
          <w:b/>
        </w:rPr>
        <w:t>Table</w:t>
      </w:r>
      <w:r w:rsidR="00F61769" w:rsidRPr="001C5A68">
        <w:rPr>
          <w:rFonts w:cs="Arial"/>
          <w:b/>
        </w:rPr>
        <w:tab/>
      </w:r>
      <w:r w:rsidR="00762D76" w:rsidRPr="001C5A68">
        <w:rPr>
          <w:rFonts w:cs="Arial"/>
          <w:b/>
        </w:rPr>
        <w:t>Approvals of applications</w:t>
      </w:r>
    </w:p>
    <w:p w14:paraId="469DDD75" w14:textId="77777777" w:rsidR="00BD3CB6" w:rsidRDefault="00BD3CB6" w:rsidP="00BD3CB6">
      <w:pPr>
        <w:numPr>
          <w:ilvl w:val="0"/>
          <w:numId w:val="0"/>
        </w:numPr>
        <w:autoSpaceDE w:val="0"/>
        <w:autoSpaceDN w:val="0"/>
        <w:adjustRightInd w:val="0"/>
        <w:spacing w:after="0"/>
        <w:jc w:val="left"/>
        <w:rPr>
          <w:rFonts w:cs="Arial"/>
          <w:sz w:val="18"/>
          <w:szCs w:val="18"/>
        </w:rPr>
      </w:pPr>
    </w:p>
    <w:tbl>
      <w:tblPr>
        <w:tblStyle w:val="TableGrid"/>
        <w:tblW w:w="9498" w:type="dxa"/>
        <w:tblInd w:w="-142" w:type="dxa"/>
        <w:tblBorders>
          <w:bottom w:val="none" w:sz="0" w:space="0" w:color="auto"/>
          <w:insideH w:val="single" w:sz="4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969"/>
        <w:gridCol w:w="2976"/>
        <w:gridCol w:w="2553"/>
      </w:tblGrid>
      <w:tr w:rsidR="00F2424B" w:rsidRPr="003605F3" w14:paraId="0D44B6A4" w14:textId="77777777" w:rsidTr="001C5A68"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828765B" w14:textId="3E9E24B9" w:rsidR="004A2EF6" w:rsidRPr="001C5A68" w:rsidRDefault="004A2EF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1C5A68">
              <w:rPr>
                <w:rFonts w:cs="Arial"/>
                <w:b/>
              </w:rPr>
              <w:t xml:space="preserve">Column 1 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08998B6" w14:textId="09F3274D" w:rsidR="004A2EF6" w:rsidRPr="001C5A68" w:rsidRDefault="004A2EF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1C5A68">
              <w:rPr>
                <w:rFonts w:cs="Arial"/>
                <w:b/>
              </w:rPr>
              <w:t xml:space="preserve">Column 2 </w:t>
            </w:r>
          </w:p>
        </w:tc>
        <w:tc>
          <w:tcPr>
            <w:tcW w:w="25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9625ADE" w14:textId="71666613" w:rsidR="004A2EF6" w:rsidRPr="001C5A68" w:rsidRDefault="004A2EF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1C5A68">
              <w:rPr>
                <w:rFonts w:cs="Arial"/>
                <w:b/>
              </w:rPr>
              <w:t xml:space="preserve">Column 3 </w:t>
            </w:r>
          </w:p>
        </w:tc>
      </w:tr>
      <w:tr w:rsidR="00F2424B" w:rsidRPr="004A7124" w14:paraId="305CB654" w14:textId="77777777" w:rsidTr="001C5A68"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145A62D" w14:textId="41A97BB3" w:rsidR="00BD3CB6" w:rsidRPr="001C5A68" w:rsidRDefault="00BD3CB6" w:rsidP="00BF009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1C5A68">
              <w:rPr>
                <w:rFonts w:cs="Arial"/>
                <w:b/>
              </w:rPr>
              <w:t>Applicant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804C990" w14:textId="3D075A3D" w:rsidR="00BD3CB6" w:rsidRPr="001C5A68" w:rsidRDefault="00BD3CB6" w:rsidP="00BF009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1C5A68">
              <w:rPr>
                <w:rFonts w:cs="Arial"/>
                <w:b/>
              </w:rPr>
              <w:t>Company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AB58283" w14:textId="1F2C90A7" w:rsidR="00BD3CB6" w:rsidRPr="001C5A68" w:rsidRDefault="00BD3CB6" w:rsidP="00BF009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1C5A68">
              <w:rPr>
                <w:rFonts w:cs="Arial"/>
                <w:b/>
              </w:rPr>
              <w:t xml:space="preserve">Approved holding of stake in the company </w:t>
            </w:r>
          </w:p>
        </w:tc>
      </w:tr>
      <w:tr w:rsidR="004A7124" w:rsidRPr="003941ED" w14:paraId="251ED428" w14:textId="77777777" w:rsidTr="001C5A68">
        <w:tc>
          <w:tcPr>
            <w:tcW w:w="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8FBDBEF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1C5A68">
              <w:rPr>
                <w:rFonts w:cs="Arial"/>
              </w:rPr>
              <w:t>B Circle Holding S.A.</w:t>
            </w:r>
          </w:p>
        </w:tc>
        <w:tc>
          <w:tcPr>
            <w:tcW w:w="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1314414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1C5A68">
              <w:rPr>
                <w:rFonts w:cs="Arial"/>
              </w:rPr>
              <w:t>Banking Circle S.A.</w:t>
            </w:r>
          </w:p>
        </w:tc>
        <w:tc>
          <w:tcPr>
            <w:tcW w:w="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A0D8E73" w14:textId="77777777" w:rsidR="00BD3CB6" w:rsidRPr="001C5A68" w:rsidRDefault="00BD3CB6" w:rsidP="001C5A6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ind w:right="886"/>
              <w:jc w:val="right"/>
              <w:rPr>
                <w:rFonts w:cs="Arial"/>
              </w:rPr>
            </w:pPr>
            <w:r w:rsidRPr="001C5A68">
              <w:rPr>
                <w:rFonts w:cs="Arial"/>
              </w:rPr>
              <w:t>100%</w:t>
            </w:r>
          </w:p>
        </w:tc>
      </w:tr>
      <w:tr w:rsidR="004A7124" w:rsidRPr="003941ED" w14:paraId="5A121F51" w14:textId="77777777" w:rsidTr="001C5A68"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BDB81B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1C5A68">
              <w:rPr>
                <w:rFonts w:cs="Arial"/>
              </w:rPr>
              <w:t>Moneyball Bidco SARL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CB8C7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1C5A68">
              <w:rPr>
                <w:rFonts w:cs="Arial"/>
              </w:rPr>
              <w:t>B Circle Holding S.A.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98362" w14:textId="77777777" w:rsidR="00BD3CB6" w:rsidRPr="001C5A68" w:rsidRDefault="00BD3CB6" w:rsidP="001C5A6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ind w:right="886"/>
              <w:jc w:val="right"/>
              <w:rPr>
                <w:rFonts w:cs="Arial"/>
              </w:rPr>
            </w:pPr>
            <w:r w:rsidRPr="001C5A68">
              <w:rPr>
                <w:rFonts w:cs="Arial"/>
              </w:rPr>
              <w:t>100%</w:t>
            </w:r>
          </w:p>
        </w:tc>
      </w:tr>
      <w:tr w:rsidR="004A2EF6" w:rsidRPr="003941ED" w14:paraId="6F61A36A" w14:textId="77777777" w:rsidTr="001C5A68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842AB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1C5A68">
              <w:rPr>
                <w:rFonts w:cs="Arial"/>
              </w:rPr>
              <w:t>BC Midco PTE. Ltd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23E3C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1C5A68">
              <w:rPr>
                <w:rFonts w:cs="Arial"/>
              </w:rPr>
              <w:t>Moneyball Bidco SARL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A72C5" w14:textId="77777777" w:rsidR="00BD3CB6" w:rsidRPr="001C5A68" w:rsidRDefault="00BD3CB6" w:rsidP="001C5A6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ind w:right="886"/>
              <w:jc w:val="right"/>
              <w:rPr>
                <w:rFonts w:cs="Arial"/>
              </w:rPr>
            </w:pPr>
            <w:r w:rsidRPr="001C5A68">
              <w:rPr>
                <w:rFonts w:cs="Arial"/>
              </w:rPr>
              <w:t>100%</w:t>
            </w:r>
          </w:p>
        </w:tc>
      </w:tr>
      <w:tr w:rsidR="004A7124" w:rsidRPr="003941ED" w14:paraId="55EE766A" w14:textId="77777777" w:rsidTr="001C5A68"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70E06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bookmarkStart w:id="0" w:name="_Hlk201916043"/>
            <w:r w:rsidRPr="001C5A68">
              <w:rPr>
                <w:rFonts w:cs="Arial"/>
              </w:rPr>
              <w:t>Moneyball Topco PTE. Ltd</w:t>
            </w:r>
            <w:bookmarkEnd w:id="0"/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1C109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bookmarkStart w:id="1" w:name="_Hlk201916065"/>
            <w:r w:rsidRPr="001C5A68">
              <w:rPr>
                <w:rFonts w:cs="Arial"/>
              </w:rPr>
              <w:t>Moneyball Bidco SARL</w:t>
            </w:r>
            <w:bookmarkEnd w:id="1"/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773B3" w14:textId="77777777" w:rsidR="00BD3CB6" w:rsidRPr="001C5A68" w:rsidRDefault="00BD3CB6" w:rsidP="001C5A6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ind w:right="886"/>
              <w:jc w:val="right"/>
              <w:rPr>
                <w:rFonts w:cs="Arial"/>
              </w:rPr>
            </w:pPr>
            <w:r w:rsidRPr="001C5A68">
              <w:rPr>
                <w:rFonts w:cs="Arial"/>
              </w:rPr>
              <w:t>100%</w:t>
            </w:r>
          </w:p>
        </w:tc>
      </w:tr>
      <w:tr w:rsidR="004A2EF6" w:rsidRPr="003941ED" w14:paraId="54BBD37C" w14:textId="77777777" w:rsidTr="001C5A68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198ED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1C5A68">
              <w:rPr>
                <w:rFonts w:cs="Arial"/>
              </w:rPr>
              <w:t>Moneyball Topco PTE. Ltd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47C76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bookmarkStart w:id="2" w:name="_Hlk201916078"/>
            <w:r w:rsidRPr="001C5A68">
              <w:rPr>
                <w:rFonts w:cs="Arial"/>
              </w:rPr>
              <w:t>BC Midco PTE. Ltd</w:t>
            </w:r>
            <w:bookmarkEnd w:id="2"/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795D5" w14:textId="77777777" w:rsidR="00BD3CB6" w:rsidRPr="001C5A68" w:rsidRDefault="00BD3CB6" w:rsidP="001C5A6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ind w:right="886"/>
              <w:jc w:val="right"/>
              <w:rPr>
                <w:rFonts w:cs="Arial"/>
              </w:rPr>
            </w:pPr>
            <w:r w:rsidRPr="001C5A68">
              <w:rPr>
                <w:rFonts w:cs="Arial"/>
              </w:rPr>
              <w:t>78.61%</w:t>
            </w:r>
          </w:p>
        </w:tc>
      </w:tr>
      <w:tr w:rsidR="004A7124" w:rsidRPr="003941ED" w14:paraId="1149782C" w14:textId="77777777" w:rsidTr="001C5A68"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D2459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bookmarkStart w:id="3" w:name="_Hlk201916089"/>
            <w:r w:rsidRPr="001C5A68">
              <w:rPr>
                <w:rFonts w:cs="Arial"/>
              </w:rPr>
              <w:t xml:space="preserve">EQT Ventures Investments </w:t>
            </w:r>
            <w:proofErr w:type="spellStart"/>
            <w:r w:rsidRPr="001C5A68">
              <w:rPr>
                <w:rFonts w:cs="Arial"/>
              </w:rPr>
              <w:t>S.à</w:t>
            </w:r>
            <w:proofErr w:type="spellEnd"/>
            <w:r w:rsidRPr="001C5A68">
              <w:rPr>
                <w:rFonts w:cs="Arial"/>
              </w:rPr>
              <w:t xml:space="preserve"> </w:t>
            </w:r>
            <w:proofErr w:type="spellStart"/>
            <w:proofErr w:type="gramStart"/>
            <w:r w:rsidRPr="001C5A68">
              <w:rPr>
                <w:rFonts w:cs="Arial"/>
              </w:rPr>
              <w:t>r.l</w:t>
            </w:r>
            <w:proofErr w:type="spellEnd"/>
            <w:proofErr w:type="gramEnd"/>
            <w:r w:rsidRPr="001C5A68">
              <w:rPr>
                <w:rFonts w:cs="Arial"/>
              </w:rPr>
              <w:t> </w:t>
            </w:r>
            <w:bookmarkEnd w:id="3"/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83E2D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1C5A68">
              <w:rPr>
                <w:rFonts w:cs="Arial"/>
              </w:rPr>
              <w:t>Moneyball Bidco SARL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62800" w14:textId="77777777" w:rsidR="00BD3CB6" w:rsidRPr="001C5A68" w:rsidRDefault="00BD3CB6" w:rsidP="001C5A6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ind w:right="886"/>
              <w:jc w:val="right"/>
              <w:rPr>
                <w:rFonts w:cs="Arial"/>
              </w:rPr>
            </w:pPr>
            <w:r w:rsidRPr="001C5A68">
              <w:rPr>
                <w:rFonts w:cs="Arial"/>
              </w:rPr>
              <w:t>100%</w:t>
            </w:r>
          </w:p>
        </w:tc>
      </w:tr>
      <w:tr w:rsidR="004A2EF6" w:rsidRPr="003941ED" w14:paraId="4C81B463" w14:textId="77777777" w:rsidTr="001C5A68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3E050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1C5A68">
              <w:rPr>
                <w:rFonts w:cs="Arial"/>
              </w:rPr>
              <w:t xml:space="preserve">EQT Ventures Investments </w:t>
            </w:r>
            <w:proofErr w:type="spellStart"/>
            <w:r w:rsidRPr="001C5A68">
              <w:rPr>
                <w:rFonts w:cs="Arial"/>
              </w:rPr>
              <w:t>S.à</w:t>
            </w:r>
            <w:proofErr w:type="spellEnd"/>
            <w:r w:rsidRPr="001C5A68">
              <w:rPr>
                <w:rFonts w:cs="Arial"/>
              </w:rPr>
              <w:t xml:space="preserve"> </w:t>
            </w:r>
            <w:proofErr w:type="spellStart"/>
            <w:proofErr w:type="gramStart"/>
            <w:r w:rsidRPr="001C5A68">
              <w:rPr>
                <w:rFonts w:cs="Arial"/>
              </w:rPr>
              <w:t>r.l</w:t>
            </w:r>
            <w:proofErr w:type="spellEnd"/>
            <w:proofErr w:type="gramEnd"/>
            <w:r w:rsidRPr="001C5A68">
              <w:rPr>
                <w:rFonts w:cs="Aria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13CF9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1C5A68">
              <w:rPr>
                <w:rFonts w:cs="Arial"/>
              </w:rPr>
              <w:t>BC Midco PTE. Ltd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CE31C" w14:textId="77777777" w:rsidR="00BD3CB6" w:rsidRPr="001C5A68" w:rsidRDefault="00BD3CB6" w:rsidP="001C5A6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ind w:right="886"/>
              <w:jc w:val="right"/>
              <w:rPr>
                <w:rFonts w:cs="Arial"/>
              </w:rPr>
            </w:pPr>
            <w:r w:rsidRPr="001C5A68">
              <w:rPr>
                <w:rFonts w:cs="Arial"/>
              </w:rPr>
              <w:t>78.61%</w:t>
            </w:r>
          </w:p>
        </w:tc>
      </w:tr>
      <w:tr w:rsidR="004A7124" w:rsidRPr="003941ED" w14:paraId="09025CDE" w14:textId="77777777" w:rsidTr="001C5A68"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2F6EB" w14:textId="21723235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bookmarkStart w:id="4" w:name="_Hlk201916105"/>
            <w:r w:rsidRPr="001C5A68">
              <w:rPr>
                <w:rFonts w:cs="Arial"/>
              </w:rPr>
              <w:t xml:space="preserve">EQT Ventures RFA </w:t>
            </w:r>
            <w:proofErr w:type="spellStart"/>
            <w:r w:rsidRPr="001C5A68">
              <w:rPr>
                <w:rFonts w:cs="Arial"/>
              </w:rPr>
              <w:t>S.à</w:t>
            </w:r>
            <w:proofErr w:type="spellEnd"/>
            <w:r w:rsidRPr="001C5A68">
              <w:rPr>
                <w:rFonts w:cs="Arial"/>
              </w:rPr>
              <w:t xml:space="preserve"> </w:t>
            </w:r>
            <w:proofErr w:type="spellStart"/>
            <w:proofErr w:type="gramStart"/>
            <w:r w:rsidRPr="001C5A68">
              <w:rPr>
                <w:rFonts w:cs="Arial"/>
              </w:rPr>
              <w:t>r.l</w:t>
            </w:r>
            <w:proofErr w:type="spellEnd"/>
            <w:proofErr w:type="gramEnd"/>
            <w:r w:rsidRPr="001C5A68">
              <w:rPr>
                <w:rFonts w:cs="Arial"/>
              </w:rPr>
              <w:t> </w:t>
            </w:r>
            <w:bookmarkEnd w:id="4"/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76C0F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1C5A68">
              <w:rPr>
                <w:rFonts w:cs="Arial"/>
              </w:rPr>
              <w:t>Moneyball Bidco SARL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981B8" w14:textId="77777777" w:rsidR="00BD3CB6" w:rsidRPr="001C5A68" w:rsidRDefault="00BD3CB6" w:rsidP="001C5A6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ind w:right="886"/>
              <w:jc w:val="right"/>
              <w:rPr>
                <w:rFonts w:cs="Arial"/>
              </w:rPr>
            </w:pPr>
            <w:r w:rsidRPr="001C5A68">
              <w:rPr>
                <w:rFonts w:cs="Arial"/>
              </w:rPr>
              <w:t>100%</w:t>
            </w:r>
          </w:p>
        </w:tc>
      </w:tr>
      <w:tr w:rsidR="004A2EF6" w:rsidRPr="003941ED" w14:paraId="536C6F6F" w14:textId="77777777" w:rsidTr="001C5A68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45E28" w14:textId="35A4ADBF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1C5A68">
              <w:rPr>
                <w:rFonts w:cs="Arial"/>
              </w:rPr>
              <w:t>EQT Ventures RFA </w:t>
            </w:r>
            <w:proofErr w:type="spellStart"/>
            <w:r w:rsidRPr="001C5A68">
              <w:rPr>
                <w:rFonts w:cs="Arial"/>
              </w:rPr>
              <w:t>S.à</w:t>
            </w:r>
            <w:proofErr w:type="spellEnd"/>
            <w:r w:rsidRPr="001C5A68">
              <w:rPr>
                <w:rFonts w:cs="Arial"/>
              </w:rPr>
              <w:t xml:space="preserve"> </w:t>
            </w:r>
            <w:proofErr w:type="spellStart"/>
            <w:proofErr w:type="gramStart"/>
            <w:r w:rsidRPr="001C5A68">
              <w:rPr>
                <w:rFonts w:cs="Arial"/>
              </w:rPr>
              <w:t>r.l</w:t>
            </w:r>
            <w:proofErr w:type="spellEnd"/>
            <w:proofErr w:type="gramEnd"/>
            <w:r w:rsidRPr="001C5A68">
              <w:rPr>
                <w:rFonts w:cs="Aria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D01D0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1C5A68">
              <w:rPr>
                <w:rFonts w:cs="Arial"/>
              </w:rPr>
              <w:t>BC Midco PTE. Ltd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B8E3D" w14:textId="77777777" w:rsidR="00BD3CB6" w:rsidRPr="001C5A68" w:rsidRDefault="00BD3CB6" w:rsidP="001C5A6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ind w:right="886"/>
              <w:jc w:val="right"/>
              <w:rPr>
                <w:rFonts w:cs="Arial"/>
              </w:rPr>
            </w:pPr>
            <w:r w:rsidRPr="001C5A68">
              <w:rPr>
                <w:rFonts w:cs="Arial"/>
              </w:rPr>
              <w:t>78.61%</w:t>
            </w:r>
          </w:p>
        </w:tc>
      </w:tr>
      <w:tr w:rsidR="004A7124" w:rsidRPr="003941ED" w14:paraId="7DBA18A3" w14:textId="77777777" w:rsidTr="001C5A68"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BD4CA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bookmarkStart w:id="5" w:name="_Hlk201916121"/>
            <w:r w:rsidRPr="001C5A68">
              <w:rPr>
                <w:rFonts w:cs="Arial"/>
              </w:rPr>
              <w:t xml:space="preserve">EQT Fund Management </w:t>
            </w:r>
            <w:proofErr w:type="spellStart"/>
            <w:r w:rsidRPr="001C5A68">
              <w:rPr>
                <w:rFonts w:cs="Arial"/>
              </w:rPr>
              <w:t>S.à</w:t>
            </w:r>
            <w:proofErr w:type="spellEnd"/>
            <w:r w:rsidRPr="001C5A68">
              <w:rPr>
                <w:rFonts w:cs="Arial"/>
              </w:rPr>
              <w:t xml:space="preserve"> </w:t>
            </w:r>
            <w:proofErr w:type="spellStart"/>
            <w:proofErr w:type="gramStart"/>
            <w:r w:rsidRPr="001C5A68">
              <w:rPr>
                <w:rFonts w:cs="Arial"/>
              </w:rPr>
              <w:t>r.l</w:t>
            </w:r>
            <w:proofErr w:type="spellEnd"/>
            <w:proofErr w:type="gramEnd"/>
            <w:r w:rsidRPr="001C5A68">
              <w:rPr>
                <w:rFonts w:cs="Arial"/>
              </w:rPr>
              <w:t xml:space="preserve"> </w:t>
            </w:r>
            <w:bookmarkEnd w:id="5"/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EF49E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1C5A68">
              <w:rPr>
                <w:rFonts w:cs="Arial"/>
              </w:rPr>
              <w:t>Moneyball Bidco SARL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B23D1" w14:textId="77777777" w:rsidR="00BD3CB6" w:rsidRPr="001C5A68" w:rsidRDefault="00BD3CB6" w:rsidP="001C5A6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ind w:right="886"/>
              <w:jc w:val="right"/>
              <w:rPr>
                <w:rFonts w:cs="Arial"/>
              </w:rPr>
            </w:pPr>
            <w:r w:rsidRPr="001C5A68">
              <w:rPr>
                <w:rFonts w:cs="Arial"/>
              </w:rPr>
              <w:t>100%</w:t>
            </w:r>
          </w:p>
        </w:tc>
      </w:tr>
      <w:tr w:rsidR="004A7124" w:rsidRPr="003941ED" w14:paraId="3C6F3951" w14:textId="77777777" w:rsidTr="004A7124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00E0A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1C5A68">
              <w:rPr>
                <w:rFonts w:cs="Arial"/>
              </w:rPr>
              <w:t xml:space="preserve">EQT Fund Management </w:t>
            </w:r>
            <w:proofErr w:type="spellStart"/>
            <w:r w:rsidRPr="001C5A68">
              <w:rPr>
                <w:rFonts w:cs="Arial"/>
              </w:rPr>
              <w:t>S.à</w:t>
            </w:r>
            <w:proofErr w:type="spellEnd"/>
            <w:r w:rsidRPr="001C5A68">
              <w:rPr>
                <w:rFonts w:cs="Arial"/>
              </w:rPr>
              <w:t xml:space="preserve"> </w:t>
            </w:r>
            <w:proofErr w:type="spellStart"/>
            <w:proofErr w:type="gramStart"/>
            <w:r w:rsidRPr="001C5A68">
              <w:rPr>
                <w:rFonts w:cs="Arial"/>
              </w:rPr>
              <w:t>r.l</w:t>
            </w:r>
            <w:proofErr w:type="spellEnd"/>
            <w:proofErr w:type="gramEnd"/>
            <w:r w:rsidRPr="001C5A68">
              <w:rPr>
                <w:rFonts w:cs="Arial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773F9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1C5A68">
              <w:rPr>
                <w:rFonts w:cs="Arial"/>
              </w:rPr>
              <w:t>BC Midco PTE. Ltd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8BEDF" w14:textId="77777777" w:rsidR="00BD3CB6" w:rsidRPr="001C5A68" w:rsidRDefault="00BD3CB6" w:rsidP="001C5A6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ind w:right="886"/>
              <w:jc w:val="right"/>
              <w:rPr>
                <w:rFonts w:cs="Arial"/>
              </w:rPr>
            </w:pPr>
            <w:r w:rsidRPr="001C5A68">
              <w:rPr>
                <w:rFonts w:cs="Arial"/>
              </w:rPr>
              <w:t>78.61%</w:t>
            </w:r>
          </w:p>
        </w:tc>
      </w:tr>
      <w:tr w:rsidR="00AA5435" w:rsidRPr="003941ED" w14:paraId="67894454" w14:textId="77777777" w:rsidTr="001C5A68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6BD22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bookmarkStart w:id="6" w:name="_Hlk201916132"/>
            <w:r w:rsidRPr="001C5A68">
              <w:rPr>
                <w:rFonts w:cs="Arial"/>
              </w:rPr>
              <w:t>EQT AB </w:t>
            </w:r>
            <w:bookmarkEnd w:id="6"/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2799F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1C5A68">
              <w:rPr>
                <w:rFonts w:cs="Arial"/>
              </w:rPr>
              <w:t>Moneyball Bidco SARL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0B269" w14:textId="77777777" w:rsidR="00BD3CB6" w:rsidRPr="001C5A68" w:rsidRDefault="00BD3CB6" w:rsidP="001C5A6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ind w:right="886"/>
              <w:jc w:val="right"/>
              <w:rPr>
                <w:rFonts w:cs="Arial"/>
              </w:rPr>
            </w:pPr>
            <w:r w:rsidRPr="001C5A68">
              <w:rPr>
                <w:rFonts w:cs="Arial"/>
              </w:rPr>
              <w:t>100%</w:t>
            </w:r>
          </w:p>
        </w:tc>
      </w:tr>
      <w:tr w:rsidR="00F2424B" w:rsidRPr="003941ED" w14:paraId="7E10BAD5" w14:textId="77777777" w:rsidTr="001C5A68"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80F30B8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1C5A68">
              <w:rPr>
                <w:rFonts w:cs="Arial"/>
              </w:rPr>
              <w:t>EQT AB 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9CCD365" w14:textId="77777777" w:rsidR="00BD3CB6" w:rsidRPr="001C5A68" w:rsidRDefault="00BD3CB6" w:rsidP="00EA35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1C5A68">
              <w:rPr>
                <w:rFonts w:cs="Arial"/>
              </w:rPr>
              <w:t>BC Midco PTE. Ltd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1D68748" w14:textId="77777777" w:rsidR="00BD3CB6" w:rsidRPr="001C5A68" w:rsidRDefault="00BD3CB6" w:rsidP="001C5A6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/>
              <w:ind w:right="886"/>
              <w:jc w:val="right"/>
              <w:rPr>
                <w:rFonts w:cs="Arial"/>
              </w:rPr>
            </w:pPr>
            <w:r w:rsidRPr="001C5A68">
              <w:rPr>
                <w:rFonts w:cs="Arial"/>
              </w:rPr>
              <w:t>78.61%</w:t>
            </w:r>
          </w:p>
        </w:tc>
      </w:tr>
    </w:tbl>
    <w:p w14:paraId="313BA007" w14:textId="06121844" w:rsidR="00BD3CB6" w:rsidRPr="00F55F8C" w:rsidRDefault="00BD3CB6" w:rsidP="0011654B">
      <w:pPr>
        <w:numPr>
          <w:ilvl w:val="0"/>
          <w:numId w:val="0"/>
        </w:numPr>
        <w:autoSpaceDE w:val="0"/>
        <w:autoSpaceDN w:val="0"/>
        <w:adjustRightInd w:val="0"/>
        <w:spacing w:after="0"/>
        <w:jc w:val="left"/>
        <w:rPr>
          <w:rFonts w:cs="Arial"/>
          <w:sz w:val="18"/>
          <w:szCs w:val="18"/>
        </w:rPr>
      </w:pPr>
    </w:p>
    <w:sectPr w:rsidR="00BD3CB6" w:rsidRPr="00F55F8C" w:rsidSect="00D041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93" w:right="1440" w:bottom="851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F5FF" w14:textId="77777777" w:rsidR="00F9117F" w:rsidRPr="000D4EDE" w:rsidRDefault="00F9117F" w:rsidP="000D4EDE">
      <w:r>
        <w:separator/>
      </w:r>
    </w:p>
  </w:endnote>
  <w:endnote w:type="continuationSeparator" w:id="0">
    <w:p w14:paraId="00EE8435" w14:textId="77777777" w:rsidR="00F9117F" w:rsidRPr="000D4EDE" w:rsidRDefault="00F9117F" w:rsidP="000D4EDE">
      <w:r>
        <w:continuationSeparator/>
      </w:r>
    </w:p>
  </w:endnote>
  <w:endnote w:type="continuationNotice" w:id="1">
    <w:p w14:paraId="51412987" w14:textId="77777777" w:rsidR="00F9117F" w:rsidRDefault="00F911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E85B" w14:textId="77777777" w:rsidR="00463D6F" w:rsidRDefault="00463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38973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986B26" w14:textId="580F9B66" w:rsidR="004D1388" w:rsidRDefault="003F7D74">
            <w:pPr>
              <w:pStyle w:val="Footer"/>
              <w:jc w:val="right"/>
            </w:pPr>
            <w:r>
              <w:t xml:space="preserve">                                                                                                                                                                 </w:t>
            </w:r>
            <w:r w:rsidR="004D1388">
              <w:t xml:space="preserve">Page </w:t>
            </w:r>
            <w:r w:rsidR="004D1388">
              <w:rPr>
                <w:b/>
                <w:bCs/>
                <w:sz w:val="24"/>
                <w:szCs w:val="24"/>
              </w:rPr>
              <w:fldChar w:fldCharType="begin"/>
            </w:r>
            <w:r w:rsidR="004D1388">
              <w:rPr>
                <w:b/>
                <w:bCs/>
              </w:rPr>
              <w:instrText xml:space="preserve"> PAGE </w:instrText>
            </w:r>
            <w:r w:rsidR="004D1388">
              <w:rPr>
                <w:b/>
                <w:bCs/>
                <w:sz w:val="24"/>
                <w:szCs w:val="24"/>
              </w:rPr>
              <w:fldChar w:fldCharType="separate"/>
            </w:r>
            <w:r w:rsidR="004D1388">
              <w:rPr>
                <w:b/>
                <w:bCs/>
                <w:noProof/>
              </w:rPr>
              <w:t>2</w:t>
            </w:r>
            <w:r w:rsidR="004D1388">
              <w:rPr>
                <w:b/>
                <w:bCs/>
                <w:sz w:val="24"/>
                <w:szCs w:val="24"/>
              </w:rPr>
              <w:fldChar w:fldCharType="end"/>
            </w:r>
            <w:r w:rsidR="004D1388">
              <w:t xml:space="preserve"> of </w:t>
            </w:r>
            <w:r w:rsidR="004D1388">
              <w:rPr>
                <w:b/>
                <w:bCs/>
                <w:sz w:val="24"/>
                <w:szCs w:val="24"/>
              </w:rPr>
              <w:fldChar w:fldCharType="begin"/>
            </w:r>
            <w:r w:rsidR="004D1388">
              <w:rPr>
                <w:b/>
                <w:bCs/>
              </w:rPr>
              <w:instrText xml:space="preserve"> NUMPAGES  </w:instrText>
            </w:r>
            <w:r w:rsidR="004D1388">
              <w:rPr>
                <w:b/>
                <w:bCs/>
                <w:sz w:val="24"/>
                <w:szCs w:val="24"/>
              </w:rPr>
              <w:fldChar w:fldCharType="separate"/>
            </w:r>
            <w:r w:rsidR="004D1388">
              <w:rPr>
                <w:b/>
                <w:bCs/>
                <w:noProof/>
              </w:rPr>
              <w:t>2</w:t>
            </w:r>
            <w:r w:rsidR="004D138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986B27" w14:textId="77777777" w:rsidR="00B54CBC" w:rsidRDefault="00B54C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2F68" w14:textId="77777777" w:rsidR="00463D6F" w:rsidRDefault="00463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970F" w14:textId="77777777" w:rsidR="00F9117F" w:rsidRPr="000D4EDE" w:rsidRDefault="00F9117F" w:rsidP="000D4EDE">
      <w:r>
        <w:separator/>
      </w:r>
    </w:p>
  </w:footnote>
  <w:footnote w:type="continuationSeparator" w:id="0">
    <w:p w14:paraId="7E0D20AB" w14:textId="77777777" w:rsidR="00F9117F" w:rsidRPr="000D4EDE" w:rsidRDefault="00F9117F" w:rsidP="000D4EDE">
      <w:r>
        <w:continuationSeparator/>
      </w:r>
    </w:p>
  </w:footnote>
  <w:footnote w:type="continuationNotice" w:id="1">
    <w:p w14:paraId="3E6A8F7B" w14:textId="77777777" w:rsidR="00F9117F" w:rsidRDefault="00F911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C758" w14:textId="24D654BF" w:rsidR="00B83FD4" w:rsidRDefault="004556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0" allowOverlap="1" wp14:anchorId="4D7DE6F9" wp14:editId="60725EA4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2865755" cy="273050"/>
              <wp:effectExtent l="0" t="0" r="0" b="0"/>
              <wp:wrapNone/>
              <wp:docPr id="7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575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B88476" w14:textId="5165BDEC" w:rsidR="0045562E" w:rsidRPr="007F35B6" w:rsidRDefault="0045562E" w:rsidP="00463D6F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</w:pPr>
                          <w:r w:rsidRPr="007F35B6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7F35B6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7F35B6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463D6F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7F35B6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DE6F9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left:0;text-align:left;margin-left:0;margin-top:0;width:225.65pt;height:21.5pt;z-index:251658243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" o:allowincell="f" filled="f" stroked="f" strokeweight=".5pt">
              <v:textbox style="mso-fit-shape-to-text:t">
                <w:txbxContent>
                  <w:p w14:paraId="18B88476" w14:textId="5165BDEC" w:rsidR="0045562E" w:rsidRPr="007F35B6" w:rsidRDefault="0045562E" w:rsidP="00463D6F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</w:pPr>
                    <w:r w:rsidRPr="007F35B6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begin"/>
                    </w:r>
                    <w:r w:rsidRPr="007F35B6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instrText xml:space="preserve"> DOCPROPERTY PM_ProtectiveMarkingValue_Header \* MERGEFORMAT </w:instrText>
                    </w:r>
                    <w:r w:rsidRPr="007F35B6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separate"/>
                    </w:r>
                    <w:r w:rsidR="00463D6F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t>OFFICIAL</w:t>
                    </w:r>
                    <w:r w:rsidRPr="007F35B6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B83FD4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70B696D0" wp14:editId="65CCF388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2865755" cy="2730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575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926A16" w14:textId="147D349B" w:rsidR="00B83FD4" w:rsidRPr="00E1084E" w:rsidRDefault="00B83FD4" w:rsidP="00E1149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</w:pPr>
                          <w:r w:rsidRPr="00E1084E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E11490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E1084E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463D6F" w:rsidRPr="00463D6F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E1084E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B696D0" id="Text Box 4" o:spid="_x0000_s1027" type="#_x0000_t202" style="position:absolute;left:0;text-align:left;margin-left:0;margin-top:0;width:225.65pt;height:21.5pt;z-index:251658241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" o:allowincell="f" filled="f" stroked="f" strokeweight=".5pt">
              <v:textbox style="mso-fit-shape-to-text:t">
                <w:txbxContent>
                  <w:p w14:paraId="2C926A16" w14:textId="147D349B" w:rsidR="00B83FD4" w:rsidRPr="00E1084E" w:rsidRDefault="00B83FD4" w:rsidP="00E11490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</w:pPr>
                    <w:r w:rsidRPr="00E1084E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begin"/>
                    </w:r>
                    <w:r w:rsidRPr="00E11490">
                      <w:rPr>
                        <w:rFonts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E1084E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separate"/>
                    </w:r>
                    <w:r w:rsidR="00463D6F" w:rsidRPr="00463D6F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t>OFFICIAL</w:t>
                    </w:r>
                    <w:r w:rsidRPr="00E1084E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6220" w14:textId="77777777" w:rsidR="00463D6F" w:rsidRDefault="00463D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00C5" w14:textId="58FBEA93" w:rsidR="00B83FD4" w:rsidRDefault="004556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5362F2AD" wp14:editId="66A67608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2865755" cy="273050"/>
              <wp:effectExtent l="0" t="0" r="0" b="0"/>
              <wp:wrapNone/>
              <wp:docPr id="6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575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26A595" w14:textId="0E6C0116" w:rsidR="0045562E" w:rsidRPr="007F35B6" w:rsidRDefault="0045562E" w:rsidP="00463D6F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</w:pPr>
                          <w:r w:rsidRPr="007F35B6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7F35B6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7F35B6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463D6F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7F35B6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2F2AD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28" type="#_x0000_t202" style="position:absolute;left:0;text-align:left;margin-left:0;margin-top:0;width:225.65pt;height:21.5pt;z-index:25165824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" o:allowincell="f" filled="f" stroked="f" strokeweight=".5pt">
              <v:textbox style="mso-fit-shape-to-text:t">
                <w:txbxContent>
                  <w:p w14:paraId="1426A595" w14:textId="0E6C0116" w:rsidR="0045562E" w:rsidRPr="007F35B6" w:rsidRDefault="0045562E" w:rsidP="00463D6F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</w:pPr>
                    <w:r w:rsidRPr="007F35B6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begin"/>
                    </w:r>
                    <w:r w:rsidRPr="007F35B6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instrText xml:space="preserve"> DOCPROPERTY PM_ProtectiveMarkingValue_Header \* MERGEFORMAT </w:instrText>
                    </w:r>
                    <w:r w:rsidRPr="007F35B6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separate"/>
                    </w:r>
                    <w:r w:rsidR="00463D6F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t>OFFICIAL</w:t>
                    </w:r>
                    <w:r w:rsidRPr="007F35B6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B83FD4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301585FE" wp14:editId="5F6842AB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2865755" cy="27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575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EC9D5E" w14:textId="311E5061" w:rsidR="00B83FD4" w:rsidRPr="00E1084E" w:rsidRDefault="00B83FD4" w:rsidP="00E1149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</w:pPr>
                          <w:r w:rsidRPr="00E1084E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E11490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E1084E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463D6F" w:rsidRPr="00463D6F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E1084E">
                            <w:rPr>
                              <w:rFonts w:ascii="Times New Roman" w:hAnsi="Times New Roman" w:cs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1585FE" id="Text Box 3" o:spid="_x0000_s1029" type="#_x0000_t202" style="position:absolute;left:0;text-align:left;margin-left:0;margin-top:0;width:225.65pt;height:21.5pt;z-index: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" o:allowincell="f" filled="f" stroked="f" strokeweight=".5pt">
              <v:textbox style="mso-fit-shape-to-text:t">
                <w:txbxContent>
                  <w:p w14:paraId="69EC9D5E" w14:textId="311E5061" w:rsidR="00B83FD4" w:rsidRPr="00E1084E" w:rsidRDefault="00B83FD4" w:rsidP="00E11490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</w:pPr>
                    <w:r w:rsidRPr="00E1084E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begin"/>
                    </w:r>
                    <w:r w:rsidRPr="00E11490">
                      <w:rPr>
                        <w:rFonts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E1084E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separate"/>
                    </w:r>
                    <w:r w:rsidR="00463D6F" w:rsidRPr="00463D6F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t>OFFICIAL</w:t>
                    </w:r>
                    <w:r w:rsidRPr="00E1084E">
                      <w:rPr>
                        <w:rFonts w:ascii="Times New Roman" w:hAnsi="Times New Roman" w:cs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C16E2F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AC92E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E93595"/>
    <w:multiLevelType w:val="multilevel"/>
    <w:tmpl w:val="44EEB5B2"/>
    <w:lvl w:ilvl="0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3A5CAE"/>
    <w:multiLevelType w:val="multilevel"/>
    <w:tmpl w:val="845645BE"/>
    <w:lvl w:ilvl="0">
      <w:start w:val="1"/>
      <w:numFmt w:val="decimal"/>
      <w:pStyle w:val="Heading1Number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Numbers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Numbers"/>
      <w:lvlText w:val="%1.%2.%3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3">
      <w:start w:val="1"/>
      <w:numFmt w:val="decimal"/>
      <w:pStyle w:val="Heading4NoNumber"/>
      <w:lvlText w:val="%1.%2.%3.%4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11566A"/>
    <w:multiLevelType w:val="hybridMultilevel"/>
    <w:tmpl w:val="33F47F9C"/>
    <w:lvl w:ilvl="0" w:tplc="B4A82A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4551E"/>
    <w:multiLevelType w:val="hybridMultilevel"/>
    <w:tmpl w:val="896C8FD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E2E20"/>
    <w:multiLevelType w:val="hybridMultilevel"/>
    <w:tmpl w:val="53A2E68C"/>
    <w:lvl w:ilvl="0" w:tplc="1C60E128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F50AC"/>
    <w:multiLevelType w:val="multilevel"/>
    <w:tmpl w:val="AC5E151C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ListBullet3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11" w15:restartNumberingAfterBreak="0">
    <w:nsid w:val="40FE1B54"/>
    <w:multiLevelType w:val="multilevel"/>
    <w:tmpl w:val="03EA69FC"/>
    <w:styleLink w:val="HeadingList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0E5588"/>
    <w:multiLevelType w:val="multilevel"/>
    <w:tmpl w:val="060A2B94"/>
    <w:styleLink w:val="111111"/>
    <w:lvl w:ilvl="0">
      <w:start w:val="1"/>
      <w:numFmt w:val="decimal"/>
      <w:lvlText w:val="%1."/>
      <w:lvlJc w:val="left"/>
      <w:pPr>
        <w:tabs>
          <w:tab w:val="num" w:pos="851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62E7D1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0002896"/>
    <w:multiLevelType w:val="hybridMultilevel"/>
    <w:tmpl w:val="D206ADC2"/>
    <w:lvl w:ilvl="0" w:tplc="8AAC7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17A3F"/>
    <w:multiLevelType w:val="multilevel"/>
    <w:tmpl w:val="8EA00C60"/>
    <w:styleLink w:val="1ai"/>
    <w:lvl w:ilvl="0">
      <w:start w:val="1"/>
      <w:numFmt w:val="none"/>
      <w:pStyle w:val="Norma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ist3"/>
      <w:lvlText w:val="%4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2450E2B"/>
    <w:multiLevelType w:val="hybridMultilevel"/>
    <w:tmpl w:val="02B8C936"/>
    <w:lvl w:ilvl="0" w:tplc="9A3EA4A4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428605">
    <w:abstractNumId w:val="1"/>
  </w:num>
  <w:num w:numId="2" w16cid:durableId="1095369991">
    <w:abstractNumId w:val="0"/>
  </w:num>
  <w:num w:numId="3" w16cid:durableId="594095048">
    <w:abstractNumId w:val="5"/>
  </w:num>
  <w:num w:numId="4" w16cid:durableId="1634675796">
    <w:abstractNumId w:val="12"/>
  </w:num>
  <w:num w:numId="5" w16cid:durableId="1207720131">
    <w:abstractNumId w:val="15"/>
  </w:num>
  <w:num w:numId="6" w16cid:durableId="151143191">
    <w:abstractNumId w:val="11"/>
  </w:num>
  <w:num w:numId="7" w16cid:durableId="13553048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816102">
    <w:abstractNumId w:val="10"/>
  </w:num>
  <w:num w:numId="9" w16cid:durableId="1250500773">
    <w:abstractNumId w:val="3"/>
  </w:num>
  <w:num w:numId="10" w16cid:durableId="176969279">
    <w:abstractNumId w:val="6"/>
  </w:num>
  <w:num w:numId="11" w16cid:durableId="1309700011">
    <w:abstractNumId w:val="4"/>
  </w:num>
  <w:num w:numId="12" w16cid:durableId="1028607118">
    <w:abstractNumId w:val="13"/>
  </w:num>
  <w:num w:numId="13" w16cid:durableId="1785878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3886841">
    <w:abstractNumId w:val="9"/>
  </w:num>
  <w:num w:numId="15" w16cid:durableId="2017072619">
    <w:abstractNumId w:val="8"/>
  </w:num>
  <w:num w:numId="16" w16cid:durableId="1741370021">
    <w:abstractNumId w:val="16"/>
  </w:num>
  <w:num w:numId="17" w16cid:durableId="828598006">
    <w:abstractNumId w:val="14"/>
  </w:num>
  <w:num w:numId="18" w16cid:durableId="886912705">
    <w:abstractNumId w:val="7"/>
  </w:num>
  <w:num w:numId="19" w16cid:durableId="95814844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styleLockTheme/>
  <w:styleLockQFSet/>
  <w:defaultTabStop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5E"/>
    <w:rsid w:val="00000034"/>
    <w:rsid w:val="00004360"/>
    <w:rsid w:val="00004ED1"/>
    <w:rsid w:val="00005D98"/>
    <w:rsid w:val="00005F96"/>
    <w:rsid w:val="00007262"/>
    <w:rsid w:val="00011C96"/>
    <w:rsid w:val="000141B9"/>
    <w:rsid w:val="00016F61"/>
    <w:rsid w:val="00017056"/>
    <w:rsid w:val="00017544"/>
    <w:rsid w:val="000266E1"/>
    <w:rsid w:val="0003340C"/>
    <w:rsid w:val="00034A19"/>
    <w:rsid w:val="00036F9E"/>
    <w:rsid w:val="0003779A"/>
    <w:rsid w:val="000413B3"/>
    <w:rsid w:val="000453D9"/>
    <w:rsid w:val="000555D0"/>
    <w:rsid w:val="000573E5"/>
    <w:rsid w:val="00057B71"/>
    <w:rsid w:val="00070DB0"/>
    <w:rsid w:val="0007202C"/>
    <w:rsid w:val="00072B30"/>
    <w:rsid w:val="0007319C"/>
    <w:rsid w:val="000732AA"/>
    <w:rsid w:val="000767DD"/>
    <w:rsid w:val="0008011A"/>
    <w:rsid w:val="00084F8B"/>
    <w:rsid w:val="000851D0"/>
    <w:rsid w:val="00086D07"/>
    <w:rsid w:val="00086F71"/>
    <w:rsid w:val="00093915"/>
    <w:rsid w:val="00093F4E"/>
    <w:rsid w:val="000949AD"/>
    <w:rsid w:val="00095109"/>
    <w:rsid w:val="00096B0F"/>
    <w:rsid w:val="000A118A"/>
    <w:rsid w:val="000A21E9"/>
    <w:rsid w:val="000A490E"/>
    <w:rsid w:val="000A79D0"/>
    <w:rsid w:val="000B04C5"/>
    <w:rsid w:val="000B0618"/>
    <w:rsid w:val="000B63CA"/>
    <w:rsid w:val="000B752A"/>
    <w:rsid w:val="000C14D9"/>
    <w:rsid w:val="000C15C7"/>
    <w:rsid w:val="000C4371"/>
    <w:rsid w:val="000C6F1D"/>
    <w:rsid w:val="000D01AC"/>
    <w:rsid w:val="000D19EC"/>
    <w:rsid w:val="000D4EDE"/>
    <w:rsid w:val="000E08D1"/>
    <w:rsid w:val="000E2460"/>
    <w:rsid w:val="000E43AC"/>
    <w:rsid w:val="000E6E37"/>
    <w:rsid w:val="000F0E6F"/>
    <w:rsid w:val="000F66DB"/>
    <w:rsid w:val="0010185D"/>
    <w:rsid w:val="001018A5"/>
    <w:rsid w:val="00106F56"/>
    <w:rsid w:val="00115A39"/>
    <w:rsid w:val="0011654B"/>
    <w:rsid w:val="00117479"/>
    <w:rsid w:val="00117AE8"/>
    <w:rsid w:val="00123576"/>
    <w:rsid w:val="001241CB"/>
    <w:rsid w:val="00124B21"/>
    <w:rsid w:val="00131F98"/>
    <w:rsid w:val="001327B8"/>
    <w:rsid w:val="0013471B"/>
    <w:rsid w:val="00134F8D"/>
    <w:rsid w:val="001352D4"/>
    <w:rsid w:val="00137928"/>
    <w:rsid w:val="0014772C"/>
    <w:rsid w:val="00150491"/>
    <w:rsid w:val="00151983"/>
    <w:rsid w:val="0015424E"/>
    <w:rsid w:val="00155789"/>
    <w:rsid w:val="00156793"/>
    <w:rsid w:val="00157C98"/>
    <w:rsid w:val="0016166E"/>
    <w:rsid w:val="001635F0"/>
    <w:rsid w:val="00163BAC"/>
    <w:rsid w:val="001653B6"/>
    <w:rsid w:val="00165BF6"/>
    <w:rsid w:val="00167F3F"/>
    <w:rsid w:val="00174B0F"/>
    <w:rsid w:val="001772D0"/>
    <w:rsid w:val="00181B1D"/>
    <w:rsid w:val="0018235E"/>
    <w:rsid w:val="00184187"/>
    <w:rsid w:val="00192BEF"/>
    <w:rsid w:val="00195202"/>
    <w:rsid w:val="001A467A"/>
    <w:rsid w:val="001A4EA4"/>
    <w:rsid w:val="001A664F"/>
    <w:rsid w:val="001B2DB7"/>
    <w:rsid w:val="001B3A9F"/>
    <w:rsid w:val="001B4CDA"/>
    <w:rsid w:val="001C1BB6"/>
    <w:rsid w:val="001C5A68"/>
    <w:rsid w:val="001D0C02"/>
    <w:rsid w:val="001D3D43"/>
    <w:rsid w:val="001D6F90"/>
    <w:rsid w:val="001D75FD"/>
    <w:rsid w:val="001E0F51"/>
    <w:rsid w:val="001E4576"/>
    <w:rsid w:val="001E55BF"/>
    <w:rsid w:val="001E5B9B"/>
    <w:rsid w:val="001E6A7B"/>
    <w:rsid w:val="001F23C0"/>
    <w:rsid w:val="001F6E1A"/>
    <w:rsid w:val="001F780A"/>
    <w:rsid w:val="001F7917"/>
    <w:rsid w:val="00200613"/>
    <w:rsid w:val="00207929"/>
    <w:rsid w:val="00211DC4"/>
    <w:rsid w:val="00214883"/>
    <w:rsid w:val="002156F6"/>
    <w:rsid w:val="0021595E"/>
    <w:rsid w:val="00217560"/>
    <w:rsid w:val="00220470"/>
    <w:rsid w:val="00220550"/>
    <w:rsid w:val="00220D39"/>
    <w:rsid w:val="002246D6"/>
    <w:rsid w:val="002301A2"/>
    <w:rsid w:val="00235E1B"/>
    <w:rsid w:val="00236C2D"/>
    <w:rsid w:val="002374B7"/>
    <w:rsid w:val="00240126"/>
    <w:rsid w:val="0024057F"/>
    <w:rsid w:val="00240FDB"/>
    <w:rsid w:val="00241D16"/>
    <w:rsid w:val="00242384"/>
    <w:rsid w:val="0024304D"/>
    <w:rsid w:val="002443FD"/>
    <w:rsid w:val="00244826"/>
    <w:rsid w:val="00244869"/>
    <w:rsid w:val="00247ACA"/>
    <w:rsid w:val="00252E6A"/>
    <w:rsid w:val="00255A20"/>
    <w:rsid w:val="0025782A"/>
    <w:rsid w:val="00263414"/>
    <w:rsid w:val="002661A6"/>
    <w:rsid w:val="00266C23"/>
    <w:rsid w:val="002709FB"/>
    <w:rsid w:val="00273497"/>
    <w:rsid w:val="00277D6C"/>
    <w:rsid w:val="00286EAD"/>
    <w:rsid w:val="00292A60"/>
    <w:rsid w:val="002932B9"/>
    <w:rsid w:val="002937A9"/>
    <w:rsid w:val="0029389B"/>
    <w:rsid w:val="00294551"/>
    <w:rsid w:val="002963F8"/>
    <w:rsid w:val="002A1894"/>
    <w:rsid w:val="002A2188"/>
    <w:rsid w:val="002A36F2"/>
    <w:rsid w:val="002A498B"/>
    <w:rsid w:val="002A5878"/>
    <w:rsid w:val="002A7D14"/>
    <w:rsid w:val="002B0913"/>
    <w:rsid w:val="002B28E4"/>
    <w:rsid w:val="002B4AEC"/>
    <w:rsid w:val="002B7504"/>
    <w:rsid w:val="002C0D97"/>
    <w:rsid w:val="002C66D1"/>
    <w:rsid w:val="002C7065"/>
    <w:rsid w:val="002C7F4A"/>
    <w:rsid w:val="002D2804"/>
    <w:rsid w:val="002D4B6C"/>
    <w:rsid w:val="002D5274"/>
    <w:rsid w:val="002D73E6"/>
    <w:rsid w:val="002E1EE3"/>
    <w:rsid w:val="002E2030"/>
    <w:rsid w:val="002E25CF"/>
    <w:rsid w:val="002E60B3"/>
    <w:rsid w:val="002F0135"/>
    <w:rsid w:val="002F0C2C"/>
    <w:rsid w:val="00300655"/>
    <w:rsid w:val="00300A57"/>
    <w:rsid w:val="00301CC6"/>
    <w:rsid w:val="00303D18"/>
    <w:rsid w:val="00305FDD"/>
    <w:rsid w:val="00307ADD"/>
    <w:rsid w:val="00307C21"/>
    <w:rsid w:val="00307E55"/>
    <w:rsid w:val="00311B6D"/>
    <w:rsid w:val="00311DD6"/>
    <w:rsid w:val="00312A66"/>
    <w:rsid w:val="003130CA"/>
    <w:rsid w:val="0032180D"/>
    <w:rsid w:val="003219C8"/>
    <w:rsid w:val="003255AC"/>
    <w:rsid w:val="003306A5"/>
    <w:rsid w:val="0033089C"/>
    <w:rsid w:val="00333872"/>
    <w:rsid w:val="00340B0B"/>
    <w:rsid w:val="00346E44"/>
    <w:rsid w:val="003517A4"/>
    <w:rsid w:val="00355057"/>
    <w:rsid w:val="003553FF"/>
    <w:rsid w:val="00355D40"/>
    <w:rsid w:val="003567D4"/>
    <w:rsid w:val="003605F3"/>
    <w:rsid w:val="00371AAC"/>
    <w:rsid w:val="00371F54"/>
    <w:rsid w:val="00372DAD"/>
    <w:rsid w:val="0037648D"/>
    <w:rsid w:val="0037770C"/>
    <w:rsid w:val="00377C8B"/>
    <w:rsid w:val="00383A95"/>
    <w:rsid w:val="00385CA0"/>
    <w:rsid w:val="0038788B"/>
    <w:rsid w:val="003941ED"/>
    <w:rsid w:val="00397797"/>
    <w:rsid w:val="003977AF"/>
    <w:rsid w:val="003A1FC0"/>
    <w:rsid w:val="003A2733"/>
    <w:rsid w:val="003A3021"/>
    <w:rsid w:val="003A627E"/>
    <w:rsid w:val="003A79EE"/>
    <w:rsid w:val="003B0324"/>
    <w:rsid w:val="003B6E16"/>
    <w:rsid w:val="003C180A"/>
    <w:rsid w:val="003C1E25"/>
    <w:rsid w:val="003C32E5"/>
    <w:rsid w:val="003C58D2"/>
    <w:rsid w:val="003C6269"/>
    <w:rsid w:val="003D01B1"/>
    <w:rsid w:val="003D27CB"/>
    <w:rsid w:val="003D329D"/>
    <w:rsid w:val="003D4467"/>
    <w:rsid w:val="003E015E"/>
    <w:rsid w:val="003E6BF6"/>
    <w:rsid w:val="003F0F0D"/>
    <w:rsid w:val="003F3B8A"/>
    <w:rsid w:val="003F7BBF"/>
    <w:rsid w:val="003F7D74"/>
    <w:rsid w:val="0040173E"/>
    <w:rsid w:val="0040247F"/>
    <w:rsid w:val="00407562"/>
    <w:rsid w:val="0041283F"/>
    <w:rsid w:val="00416E99"/>
    <w:rsid w:val="00417A8A"/>
    <w:rsid w:val="00430ED0"/>
    <w:rsid w:val="00431822"/>
    <w:rsid w:val="00435339"/>
    <w:rsid w:val="00435406"/>
    <w:rsid w:val="004410DC"/>
    <w:rsid w:val="00442AF2"/>
    <w:rsid w:val="0044447D"/>
    <w:rsid w:val="00450C67"/>
    <w:rsid w:val="00454127"/>
    <w:rsid w:val="0045562E"/>
    <w:rsid w:val="00456670"/>
    <w:rsid w:val="00460CF7"/>
    <w:rsid w:val="00463D6F"/>
    <w:rsid w:val="00463FA8"/>
    <w:rsid w:val="00466648"/>
    <w:rsid w:val="0046714E"/>
    <w:rsid w:val="00470D4C"/>
    <w:rsid w:val="00472CBC"/>
    <w:rsid w:val="004741AE"/>
    <w:rsid w:val="004765B3"/>
    <w:rsid w:val="00477C6C"/>
    <w:rsid w:val="00480FED"/>
    <w:rsid w:val="004843CA"/>
    <w:rsid w:val="004866B6"/>
    <w:rsid w:val="00493DAA"/>
    <w:rsid w:val="00494335"/>
    <w:rsid w:val="00494E5C"/>
    <w:rsid w:val="00495A4C"/>
    <w:rsid w:val="004967A1"/>
    <w:rsid w:val="004A2EF6"/>
    <w:rsid w:val="004A30D8"/>
    <w:rsid w:val="004A7124"/>
    <w:rsid w:val="004B28DE"/>
    <w:rsid w:val="004B2D5D"/>
    <w:rsid w:val="004B5730"/>
    <w:rsid w:val="004B584E"/>
    <w:rsid w:val="004B5FE4"/>
    <w:rsid w:val="004C1106"/>
    <w:rsid w:val="004C6D4B"/>
    <w:rsid w:val="004C766B"/>
    <w:rsid w:val="004D1388"/>
    <w:rsid w:val="004D33E3"/>
    <w:rsid w:val="004D712B"/>
    <w:rsid w:val="004D76C1"/>
    <w:rsid w:val="004D7AEA"/>
    <w:rsid w:val="004D7C22"/>
    <w:rsid w:val="004E2269"/>
    <w:rsid w:val="004E2AAD"/>
    <w:rsid w:val="004E451A"/>
    <w:rsid w:val="004E6F28"/>
    <w:rsid w:val="004F2C2B"/>
    <w:rsid w:val="004F3339"/>
    <w:rsid w:val="004F72A2"/>
    <w:rsid w:val="004F787D"/>
    <w:rsid w:val="004F78E5"/>
    <w:rsid w:val="005026D4"/>
    <w:rsid w:val="00503A51"/>
    <w:rsid w:val="00506774"/>
    <w:rsid w:val="00512309"/>
    <w:rsid w:val="005132AB"/>
    <w:rsid w:val="00515590"/>
    <w:rsid w:val="0051705A"/>
    <w:rsid w:val="00517AED"/>
    <w:rsid w:val="00541D54"/>
    <w:rsid w:val="00542522"/>
    <w:rsid w:val="00542D8D"/>
    <w:rsid w:val="0054526E"/>
    <w:rsid w:val="00545CE1"/>
    <w:rsid w:val="005476B5"/>
    <w:rsid w:val="00553C9F"/>
    <w:rsid w:val="005549D7"/>
    <w:rsid w:val="005602DA"/>
    <w:rsid w:val="00562087"/>
    <w:rsid w:val="005678FC"/>
    <w:rsid w:val="0057138A"/>
    <w:rsid w:val="00573327"/>
    <w:rsid w:val="00580B10"/>
    <w:rsid w:val="00586826"/>
    <w:rsid w:val="00591509"/>
    <w:rsid w:val="00592D3F"/>
    <w:rsid w:val="00592D5F"/>
    <w:rsid w:val="00592F64"/>
    <w:rsid w:val="005A374E"/>
    <w:rsid w:val="005A37EE"/>
    <w:rsid w:val="005A3F63"/>
    <w:rsid w:val="005A59D0"/>
    <w:rsid w:val="005B073E"/>
    <w:rsid w:val="005B16D1"/>
    <w:rsid w:val="005B227F"/>
    <w:rsid w:val="005B2B2C"/>
    <w:rsid w:val="005B3718"/>
    <w:rsid w:val="005B7801"/>
    <w:rsid w:val="005C44B9"/>
    <w:rsid w:val="005C4FBF"/>
    <w:rsid w:val="005C5891"/>
    <w:rsid w:val="005C7460"/>
    <w:rsid w:val="005D04CC"/>
    <w:rsid w:val="005D3704"/>
    <w:rsid w:val="005D5526"/>
    <w:rsid w:val="005D5FAE"/>
    <w:rsid w:val="005D648A"/>
    <w:rsid w:val="005E1141"/>
    <w:rsid w:val="005E454C"/>
    <w:rsid w:val="005E4BC9"/>
    <w:rsid w:val="005E77F4"/>
    <w:rsid w:val="005E7F26"/>
    <w:rsid w:val="005F00F0"/>
    <w:rsid w:val="005F1795"/>
    <w:rsid w:val="005F21AB"/>
    <w:rsid w:val="005F29B7"/>
    <w:rsid w:val="005F335E"/>
    <w:rsid w:val="005F3CD9"/>
    <w:rsid w:val="005F65A1"/>
    <w:rsid w:val="0060281D"/>
    <w:rsid w:val="00604264"/>
    <w:rsid w:val="00604E22"/>
    <w:rsid w:val="00606EB5"/>
    <w:rsid w:val="00606FC8"/>
    <w:rsid w:val="00616C90"/>
    <w:rsid w:val="006170E8"/>
    <w:rsid w:val="00617FDA"/>
    <w:rsid w:val="0062116F"/>
    <w:rsid w:val="00623B19"/>
    <w:rsid w:val="00623FD7"/>
    <w:rsid w:val="0062532F"/>
    <w:rsid w:val="00626087"/>
    <w:rsid w:val="00634E4C"/>
    <w:rsid w:val="0063692E"/>
    <w:rsid w:val="00636B8B"/>
    <w:rsid w:val="006377DE"/>
    <w:rsid w:val="00641EAA"/>
    <w:rsid w:val="006427FE"/>
    <w:rsid w:val="006506C1"/>
    <w:rsid w:val="00657459"/>
    <w:rsid w:val="0065747A"/>
    <w:rsid w:val="00662E28"/>
    <w:rsid w:val="0066669F"/>
    <w:rsid w:val="0066674D"/>
    <w:rsid w:val="00666A78"/>
    <w:rsid w:val="006709CA"/>
    <w:rsid w:val="00676C12"/>
    <w:rsid w:val="00683095"/>
    <w:rsid w:val="0068380A"/>
    <w:rsid w:val="00684678"/>
    <w:rsid w:val="00684EC2"/>
    <w:rsid w:val="0069092A"/>
    <w:rsid w:val="0069375D"/>
    <w:rsid w:val="0069407C"/>
    <w:rsid w:val="0069574E"/>
    <w:rsid w:val="006969C0"/>
    <w:rsid w:val="006A1921"/>
    <w:rsid w:val="006A1943"/>
    <w:rsid w:val="006A2303"/>
    <w:rsid w:val="006A2C82"/>
    <w:rsid w:val="006A48AE"/>
    <w:rsid w:val="006B77BE"/>
    <w:rsid w:val="006C2273"/>
    <w:rsid w:val="006C6A6E"/>
    <w:rsid w:val="006D2A45"/>
    <w:rsid w:val="006D315C"/>
    <w:rsid w:val="006D503A"/>
    <w:rsid w:val="006D71B8"/>
    <w:rsid w:val="006E4272"/>
    <w:rsid w:val="006E5CC2"/>
    <w:rsid w:val="006F145A"/>
    <w:rsid w:val="006F27CB"/>
    <w:rsid w:val="006F359B"/>
    <w:rsid w:val="006F5865"/>
    <w:rsid w:val="00701EC6"/>
    <w:rsid w:val="007053C0"/>
    <w:rsid w:val="00706179"/>
    <w:rsid w:val="00707088"/>
    <w:rsid w:val="00714F78"/>
    <w:rsid w:val="007152B0"/>
    <w:rsid w:val="007170F7"/>
    <w:rsid w:val="00717589"/>
    <w:rsid w:val="00722F9F"/>
    <w:rsid w:val="007253B8"/>
    <w:rsid w:val="0072715D"/>
    <w:rsid w:val="00736E7D"/>
    <w:rsid w:val="007509A6"/>
    <w:rsid w:val="00753F83"/>
    <w:rsid w:val="007541B0"/>
    <w:rsid w:val="0075469B"/>
    <w:rsid w:val="00754BD6"/>
    <w:rsid w:val="00755163"/>
    <w:rsid w:val="00756AAB"/>
    <w:rsid w:val="00757F63"/>
    <w:rsid w:val="0076153E"/>
    <w:rsid w:val="00762D76"/>
    <w:rsid w:val="007645AE"/>
    <w:rsid w:val="00764992"/>
    <w:rsid w:val="00765749"/>
    <w:rsid w:val="00766DC1"/>
    <w:rsid w:val="00770653"/>
    <w:rsid w:val="007726D9"/>
    <w:rsid w:val="00775AA0"/>
    <w:rsid w:val="007770FA"/>
    <w:rsid w:val="00791738"/>
    <w:rsid w:val="00791780"/>
    <w:rsid w:val="00792C47"/>
    <w:rsid w:val="00792D37"/>
    <w:rsid w:val="007979C5"/>
    <w:rsid w:val="007A0EB7"/>
    <w:rsid w:val="007A193B"/>
    <w:rsid w:val="007A4E7C"/>
    <w:rsid w:val="007A71F3"/>
    <w:rsid w:val="007B007D"/>
    <w:rsid w:val="007B292F"/>
    <w:rsid w:val="007B6871"/>
    <w:rsid w:val="007B7899"/>
    <w:rsid w:val="007C0852"/>
    <w:rsid w:val="007C08B1"/>
    <w:rsid w:val="007C114E"/>
    <w:rsid w:val="007C2CC2"/>
    <w:rsid w:val="007C38BD"/>
    <w:rsid w:val="007C54C3"/>
    <w:rsid w:val="007C79AA"/>
    <w:rsid w:val="007D074E"/>
    <w:rsid w:val="007D31DA"/>
    <w:rsid w:val="007D6B82"/>
    <w:rsid w:val="007D72C5"/>
    <w:rsid w:val="007D7BE0"/>
    <w:rsid w:val="007E334A"/>
    <w:rsid w:val="007E525D"/>
    <w:rsid w:val="007F0323"/>
    <w:rsid w:val="007F35B6"/>
    <w:rsid w:val="007F379E"/>
    <w:rsid w:val="007F471C"/>
    <w:rsid w:val="00800C90"/>
    <w:rsid w:val="00800F3D"/>
    <w:rsid w:val="00802651"/>
    <w:rsid w:val="008042E2"/>
    <w:rsid w:val="008060FF"/>
    <w:rsid w:val="008077A9"/>
    <w:rsid w:val="008125F8"/>
    <w:rsid w:val="008205FA"/>
    <w:rsid w:val="008208A8"/>
    <w:rsid w:val="00826012"/>
    <w:rsid w:val="0082601D"/>
    <w:rsid w:val="00834CE0"/>
    <w:rsid w:val="00836E92"/>
    <w:rsid w:val="00836EE3"/>
    <w:rsid w:val="0084110F"/>
    <w:rsid w:val="00844B1D"/>
    <w:rsid w:val="00844F5C"/>
    <w:rsid w:val="00845843"/>
    <w:rsid w:val="00846D34"/>
    <w:rsid w:val="00850ECF"/>
    <w:rsid w:val="00853302"/>
    <w:rsid w:val="00862303"/>
    <w:rsid w:val="00862713"/>
    <w:rsid w:val="00863020"/>
    <w:rsid w:val="008637EC"/>
    <w:rsid w:val="00870BC6"/>
    <w:rsid w:val="00875DAD"/>
    <w:rsid w:val="00877B84"/>
    <w:rsid w:val="00877E5F"/>
    <w:rsid w:val="0088036D"/>
    <w:rsid w:val="00881155"/>
    <w:rsid w:val="00882892"/>
    <w:rsid w:val="00885A14"/>
    <w:rsid w:val="0088689B"/>
    <w:rsid w:val="00887553"/>
    <w:rsid w:val="00890FA0"/>
    <w:rsid w:val="00891162"/>
    <w:rsid w:val="00891DBE"/>
    <w:rsid w:val="008947BF"/>
    <w:rsid w:val="00894D96"/>
    <w:rsid w:val="008A0CBE"/>
    <w:rsid w:val="008A1CA8"/>
    <w:rsid w:val="008A214D"/>
    <w:rsid w:val="008A72D2"/>
    <w:rsid w:val="008A74A3"/>
    <w:rsid w:val="008B0742"/>
    <w:rsid w:val="008B662F"/>
    <w:rsid w:val="008B6868"/>
    <w:rsid w:val="008B6D24"/>
    <w:rsid w:val="008B7661"/>
    <w:rsid w:val="008C0E0A"/>
    <w:rsid w:val="008C34F7"/>
    <w:rsid w:val="008C4A16"/>
    <w:rsid w:val="008C6A43"/>
    <w:rsid w:val="008D080C"/>
    <w:rsid w:val="008D1867"/>
    <w:rsid w:val="008D3B5E"/>
    <w:rsid w:val="008D6437"/>
    <w:rsid w:val="008D6EDF"/>
    <w:rsid w:val="008E3EF5"/>
    <w:rsid w:val="008F33B5"/>
    <w:rsid w:val="00901414"/>
    <w:rsid w:val="0090335D"/>
    <w:rsid w:val="00906799"/>
    <w:rsid w:val="00907366"/>
    <w:rsid w:val="00922193"/>
    <w:rsid w:val="0092314F"/>
    <w:rsid w:val="00924152"/>
    <w:rsid w:val="00930998"/>
    <w:rsid w:val="0093194D"/>
    <w:rsid w:val="00934C3F"/>
    <w:rsid w:val="009417AE"/>
    <w:rsid w:val="00945B3F"/>
    <w:rsid w:val="009501FB"/>
    <w:rsid w:val="00950DCB"/>
    <w:rsid w:val="00952D47"/>
    <w:rsid w:val="00952D4C"/>
    <w:rsid w:val="00955C55"/>
    <w:rsid w:val="00960246"/>
    <w:rsid w:val="00964669"/>
    <w:rsid w:val="00970AD5"/>
    <w:rsid w:val="00971AF1"/>
    <w:rsid w:val="009720E1"/>
    <w:rsid w:val="00973B78"/>
    <w:rsid w:val="00974F0E"/>
    <w:rsid w:val="00975CD7"/>
    <w:rsid w:val="009762DA"/>
    <w:rsid w:val="00980CA1"/>
    <w:rsid w:val="0098148F"/>
    <w:rsid w:val="00985E70"/>
    <w:rsid w:val="0098783B"/>
    <w:rsid w:val="00993C2B"/>
    <w:rsid w:val="009979F4"/>
    <w:rsid w:val="009A246D"/>
    <w:rsid w:val="009A45B2"/>
    <w:rsid w:val="009A5585"/>
    <w:rsid w:val="009A59D5"/>
    <w:rsid w:val="009B058D"/>
    <w:rsid w:val="009B2CB7"/>
    <w:rsid w:val="009B3B73"/>
    <w:rsid w:val="009C0C22"/>
    <w:rsid w:val="009C2198"/>
    <w:rsid w:val="009D2634"/>
    <w:rsid w:val="009D2DDD"/>
    <w:rsid w:val="009E0C10"/>
    <w:rsid w:val="009E0C65"/>
    <w:rsid w:val="009E1EE0"/>
    <w:rsid w:val="009E4116"/>
    <w:rsid w:val="009E472B"/>
    <w:rsid w:val="009E529F"/>
    <w:rsid w:val="009F45BB"/>
    <w:rsid w:val="00A013F5"/>
    <w:rsid w:val="00A02079"/>
    <w:rsid w:val="00A03D93"/>
    <w:rsid w:val="00A07E0B"/>
    <w:rsid w:val="00A10DA6"/>
    <w:rsid w:val="00A14C6E"/>
    <w:rsid w:val="00A151E9"/>
    <w:rsid w:val="00A15DBB"/>
    <w:rsid w:val="00A235ED"/>
    <w:rsid w:val="00A23DEE"/>
    <w:rsid w:val="00A259F2"/>
    <w:rsid w:val="00A2758A"/>
    <w:rsid w:val="00A279FB"/>
    <w:rsid w:val="00A33802"/>
    <w:rsid w:val="00A34ADD"/>
    <w:rsid w:val="00A35778"/>
    <w:rsid w:val="00A37162"/>
    <w:rsid w:val="00A37E51"/>
    <w:rsid w:val="00A42DBE"/>
    <w:rsid w:val="00A44085"/>
    <w:rsid w:val="00A503B5"/>
    <w:rsid w:val="00A51E2D"/>
    <w:rsid w:val="00A5319F"/>
    <w:rsid w:val="00A533A9"/>
    <w:rsid w:val="00A53690"/>
    <w:rsid w:val="00A62D31"/>
    <w:rsid w:val="00A63380"/>
    <w:rsid w:val="00A701C1"/>
    <w:rsid w:val="00A746E5"/>
    <w:rsid w:val="00A8129D"/>
    <w:rsid w:val="00A817CA"/>
    <w:rsid w:val="00A82141"/>
    <w:rsid w:val="00A82188"/>
    <w:rsid w:val="00A835AD"/>
    <w:rsid w:val="00A865C7"/>
    <w:rsid w:val="00A87610"/>
    <w:rsid w:val="00A909CC"/>
    <w:rsid w:val="00A964A5"/>
    <w:rsid w:val="00A97E3B"/>
    <w:rsid w:val="00AA00CB"/>
    <w:rsid w:val="00AA20A1"/>
    <w:rsid w:val="00AA41F2"/>
    <w:rsid w:val="00AA5435"/>
    <w:rsid w:val="00AB039E"/>
    <w:rsid w:val="00AB27DD"/>
    <w:rsid w:val="00AB3927"/>
    <w:rsid w:val="00AB4206"/>
    <w:rsid w:val="00AB692B"/>
    <w:rsid w:val="00AC04A9"/>
    <w:rsid w:val="00AC7E54"/>
    <w:rsid w:val="00AD1B1E"/>
    <w:rsid w:val="00AE6A4E"/>
    <w:rsid w:val="00AE6C63"/>
    <w:rsid w:val="00AE7B98"/>
    <w:rsid w:val="00AF129F"/>
    <w:rsid w:val="00AF143D"/>
    <w:rsid w:val="00AF242C"/>
    <w:rsid w:val="00AF444F"/>
    <w:rsid w:val="00AF5E89"/>
    <w:rsid w:val="00B023F9"/>
    <w:rsid w:val="00B05BAE"/>
    <w:rsid w:val="00B12DC9"/>
    <w:rsid w:val="00B13F84"/>
    <w:rsid w:val="00B14604"/>
    <w:rsid w:val="00B15ABA"/>
    <w:rsid w:val="00B20FA0"/>
    <w:rsid w:val="00B24DD4"/>
    <w:rsid w:val="00B34339"/>
    <w:rsid w:val="00B35F8B"/>
    <w:rsid w:val="00B40A44"/>
    <w:rsid w:val="00B40B7D"/>
    <w:rsid w:val="00B40D12"/>
    <w:rsid w:val="00B40E1F"/>
    <w:rsid w:val="00B42B2F"/>
    <w:rsid w:val="00B4384D"/>
    <w:rsid w:val="00B44900"/>
    <w:rsid w:val="00B46432"/>
    <w:rsid w:val="00B467F6"/>
    <w:rsid w:val="00B472E1"/>
    <w:rsid w:val="00B511C7"/>
    <w:rsid w:val="00B52821"/>
    <w:rsid w:val="00B54CBC"/>
    <w:rsid w:val="00B56C63"/>
    <w:rsid w:val="00B62848"/>
    <w:rsid w:val="00B664C7"/>
    <w:rsid w:val="00B672A7"/>
    <w:rsid w:val="00B673F7"/>
    <w:rsid w:val="00B67402"/>
    <w:rsid w:val="00B71170"/>
    <w:rsid w:val="00B80BCE"/>
    <w:rsid w:val="00B81524"/>
    <w:rsid w:val="00B81740"/>
    <w:rsid w:val="00B83542"/>
    <w:rsid w:val="00B83FD4"/>
    <w:rsid w:val="00B85D7B"/>
    <w:rsid w:val="00B900EA"/>
    <w:rsid w:val="00B91069"/>
    <w:rsid w:val="00B9133C"/>
    <w:rsid w:val="00B922DE"/>
    <w:rsid w:val="00B92842"/>
    <w:rsid w:val="00B95FE7"/>
    <w:rsid w:val="00B96587"/>
    <w:rsid w:val="00BA09EA"/>
    <w:rsid w:val="00BA2713"/>
    <w:rsid w:val="00BA2941"/>
    <w:rsid w:val="00BA4C61"/>
    <w:rsid w:val="00BA627A"/>
    <w:rsid w:val="00BB22FA"/>
    <w:rsid w:val="00BB446E"/>
    <w:rsid w:val="00BC3937"/>
    <w:rsid w:val="00BD12A1"/>
    <w:rsid w:val="00BD1B0E"/>
    <w:rsid w:val="00BD1D09"/>
    <w:rsid w:val="00BD3CB6"/>
    <w:rsid w:val="00BD7B83"/>
    <w:rsid w:val="00BE2F36"/>
    <w:rsid w:val="00BF0091"/>
    <w:rsid w:val="00BF17C6"/>
    <w:rsid w:val="00BF226E"/>
    <w:rsid w:val="00BF3339"/>
    <w:rsid w:val="00BF6F09"/>
    <w:rsid w:val="00C00FDA"/>
    <w:rsid w:val="00C02EB9"/>
    <w:rsid w:val="00C0373C"/>
    <w:rsid w:val="00C0446A"/>
    <w:rsid w:val="00C04E4B"/>
    <w:rsid w:val="00C11531"/>
    <w:rsid w:val="00C11B56"/>
    <w:rsid w:val="00C14C04"/>
    <w:rsid w:val="00C1529E"/>
    <w:rsid w:val="00C16045"/>
    <w:rsid w:val="00C21E27"/>
    <w:rsid w:val="00C2332A"/>
    <w:rsid w:val="00C3008F"/>
    <w:rsid w:val="00C33E2E"/>
    <w:rsid w:val="00C42EA5"/>
    <w:rsid w:val="00C50717"/>
    <w:rsid w:val="00C607BD"/>
    <w:rsid w:val="00C62BF5"/>
    <w:rsid w:val="00C636DA"/>
    <w:rsid w:val="00C66637"/>
    <w:rsid w:val="00C67E22"/>
    <w:rsid w:val="00C70535"/>
    <w:rsid w:val="00C72271"/>
    <w:rsid w:val="00C72A17"/>
    <w:rsid w:val="00C74F60"/>
    <w:rsid w:val="00C80886"/>
    <w:rsid w:val="00C81356"/>
    <w:rsid w:val="00C813CD"/>
    <w:rsid w:val="00C858D9"/>
    <w:rsid w:val="00C87DA0"/>
    <w:rsid w:val="00C96EDB"/>
    <w:rsid w:val="00CA1264"/>
    <w:rsid w:val="00CA34F0"/>
    <w:rsid w:val="00CA4E4D"/>
    <w:rsid w:val="00CA6FF9"/>
    <w:rsid w:val="00CB0D09"/>
    <w:rsid w:val="00CB4238"/>
    <w:rsid w:val="00CB4956"/>
    <w:rsid w:val="00CB5938"/>
    <w:rsid w:val="00CB5B27"/>
    <w:rsid w:val="00CC13F5"/>
    <w:rsid w:val="00CC1A64"/>
    <w:rsid w:val="00CC28B8"/>
    <w:rsid w:val="00CC34EB"/>
    <w:rsid w:val="00CC6240"/>
    <w:rsid w:val="00CC66EA"/>
    <w:rsid w:val="00CD14AD"/>
    <w:rsid w:val="00CD3C17"/>
    <w:rsid w:val="00CD7454"/>
    <w:rsid w:val="00CD7FA4"/>
    <w:rsid w:val="00CE1F9C"/>
    <w:rsid w:val="00CE2E48"/>
    <w:rsid w:val="00CF0184"/>
    <w:rsid w:val="00CF1285"/>
    <w:rsid w:val="00CF55F6"/>
    <w:rsid w:val="00CF59E0"/>
    <w:rsid w:val="00CF6672"/>
    <w:rsid w:val="00D021F7"/>
    <w:rsid w:val="00D041B0"/>
    <w:rsid w:val="00D069C7"/>
    <w:rsid w:val="00D073FD"/>
    <w:rsid w:val="00D078A2"/>
    <w:rsid w:val="00D14BD9"/>
    <w:rsid w:val="00D15AD4"/>
    <w:rsid w:val="00D21123"/>
    <w:rsid w:val="00D26BB7"/>
    <w:rsid w:val="00D27E8F"/>
    <w:rsid w:val="00D33B4E"/>
    <w:rsid w:val="00D33D6C"/>
    <w:rsid w:val="00D367EB"/>
    <w:rsid w:val="00D36C91"/>
    <w:rsid w:val="00D41871"/>
    <w:rsid w:val="00D44860"/>
    <w:rsid w:val="00D45954"/>
    <w:rsid w:val="00D461C2"/>
    <w:rsid w:val="00D61AAE"/>
    <w:rsid w:val="00D64CB8"/>
    <w:rsid w:val="00D6561F"/>
    <w:rsid w:val="00D7089F"/>
    <w:rsid w:val="00D720AE"/>
    <w:rsid w:val="00D720C4"/>
    <w:rsid w:val="00D72FD8"/>
    <w:rsid w:val="00D76A5F"/>
    <w:rsid w:val="00D76E24"/>
    <w:rsid w:val="00D7770C"/>
    <w:rsid w:val="00D862EE"/>
    <w:rsid w:val="00D90004"/>
    <w:rsid w:val="00D92A45"/>
    <w:rsid w:val="00D93224"/>
    <w:rsid w:val="00D953C5"/>
    <w:rsid w:val="00D9697A"/>
    <w:rsid w:val="00DA1CF9"/>
    <w:rsid w:val="00DA3023"/>
    <w:rsid w:val="00DA4C48"/>
    <w:rsid w:val="00DA727D"/>
    <w:rsid w:val="00DB00C6"/>
    <w:rsid w:val="00DB53A7"/>
    <w:rsid w:val="00DC5462"/>
    <w:rsid w:val="00DC65F3"/>
    <w:rsid w:val="00DC7EE0"/>
    <w:rsid w:val="00DD170F"/>
    <w:rsid w:val="00DE0A8A"/>
    <w:rsid w:val="00DE3048"/>
    <w:rsid w:val="00DF2F8B"/>
    <w:rsid w:val="00DF6837"/>
    <w:rsid w:val="00DF68E4"/>
    <w:rsid w:val="00DF6982"/>
    <w:rsid w:val="00DF6E54"/>
    <w:rsid w:val="00E005D9"/>
    <w:rsid w:val="00E04228"/>
    <w:rsid w:val="00E04457"/>
    <w:rsid w:val="00E04BBC"/>
    <w:rsid w:val="00E06CFF"/>
    <w:rsid w:val="00E10450"/>
    <w:rsid w:val="00E1084E"/>
    <w:rsid w:val="00E11490"/>
    <w:rsid w:val="00E1478E"/>
    <w:rsid w:val="00E14D4B"/>
    <w:rsid w:val="00E159D7"/>
    <w:rsid w:val="00E178DF"/>
    <w:rsid w:val="00E2090E"/>
    <w:rsid w:val="00E213AB"/>
    <w:rsid w:val="00E21653"/>
    <w:rsid w:val="00E21C9B"/>
    <w:rsid w:val="00E2414E"/>
    <w:rsid w:val="00E262D7"/>
    <w:rsid w:val="00E26830"/>
    <w:rsid w:val="00E26FAF"/>
    <w:rsid w:val="00E309FF"/>
    <w:rsid w:val="00E315BF"/>
    <w:rsid w:val="00E33836"/>
    <w:rsid w:val="00E3742F"/>
    <w:rsid w:val="00E40B36"/>
    <w:rsid w:val="00E43AA2"/>
    <w:rsid w:val="00E4413E"/>
    <w:rsid w:val="00E4447C"/>
    <w:rsid w:val="00E51672"/>
    <w:rsid w:val="00E522FC"/>
    <w:rsid w:val="00E5341D"/>
    <w:rsid w:val="00E55EE5"/>
    <w:rsid w:val="00E56366"/>
    <w:rsid w:val="00E56A20"/>
    <w:rsid w:val="00E56FC5"/>
    <w:rsid w:val="00E612EF"/>
    <w:rsid w:val="00E61784"/>
    <w:rsid w:val="00E625B3"/>
    <w:rsid w:val="00E64743"/>
    <w:rsid w:val="00E7116B"/>
    <w:rsid w:val="00E72559"/>
    <w:rsid w:val="00E7257D"/>
    <w:rsid w:val="00E728CB"/>
    <w:rsid w:val="00E7336F"/>
    <w:rsid w:val="00E74F3B"/>
    <w:rsid w:val="00E76262"/>
    <w:rsid w:val="00E76448"/>
    <w:rsid w:val="00E84498"/>
    <w:rsid w:val="00E84A6B"/>
    <w:rsid w:val="00E92385"/>
    <w:rsid w:val="00E9340B"/>
    <w:rsid w:val="00E93F74"/>
    <w:rsid w:val="00E96848"/>
    <w:rsid w:val="00E96DEA"/>
    <w:rsid w:val="00EA1585"/>
    <w:rsid w:val="00EA35DB"/>
    <w:rsid w:val="00EA48AE"/>
    <w:rsid w:val="00EA4C04"/>
    <w:rsid w:val="00EA609D"/>
    <w:rsid w:val="00EB09E2"/>
    <w:rsid w:val="00EB1BDE"/>
    <w:rsid w:val="00EB74A5"/>
    <w:rsid w:val="00EC0DE9"/>
    <w:rsid w:val="00EC4C5F"/>
    <w:rsid w:val="00EC5B58"/>
    <w:rsid w:val="00ED091C"/>
    <w:rsid w:val="00EE0126"/>
    <w:rsid w:val="00EE0C89"/>
    <w:rsid w:val="00EE47FE"/>
    <w:rsid w:val="00EE50C6"/>
    <w:rsid w:val="00EE5D41"/>
    <w:rsid w:val="00EE6367"/>
    <w:rsid w:val="00EE766D"/>
    <w:rsid w:val="00EF2A15"/>
    <w:rsid w:val="00EF35D7"/>
    <w:rsid w:val="00EF5BFD"/>
    <w:rsid w:val="00EF7B33"/>
    <w:rsid w:val="00F00470"/>
    <w:rsid w:val="00F01C6F"/>
    <w:rsid w:val="00F041BA"/>
    <w:rsid w:val="00F04276"/>
    <w:rsid w:val="00F0509B"/>
    <w:rsid w:val="00F05859"/>
    <w:rsid w:val="00F06EE2"/>
    <w:rsid w:val="00F074DC"/>
    <w:rsid w:val="00F14490"/>
    <w:rsid w:val="00F15632"/>
    <w:rsid w:val="00F17535"/>
    <w:rsid w:val="00F20949"/>
    <w:rsid w:val="00F21644"/>
    <w:rsid w:val="00F2424B"/>
    <w:rsid w:val="00F24F8F"/>
    <w:rsid w:val="00F303B2"/>
    <w:rsid w:val="00F307E0"/>
    <w:rsid w:val="00F30BCB"/>
    <w:rsid w:val="00F34D63"/>
    <w:rsid w:val="00F35204"/>
    <w:rsid w:val="00F4568D"/>
    <w:rsid w:val="00F47D59"/>
    <w:rsid w:val="00F50AD2"/>
    <w:rsid w:val="00F532CD"/>
    <w:rsid w:val="00F55F8C"/>
    <w:rsid w:val="00F57F7A"/>
    <w:rsid w:val="00F61769"/>
    <w:rsid w:val="00F62D33"/>
    <w:rsid w:val="00F64AB3"/>
    <w:rsid w:val="00F6570B"/>
    <w:rsid w:val="00F67615"/>
    <w:rsid w:val="00F67A4C"/>
    <w:rsid w:val="00F76A07"/>
    <w:rsid w:val="00F76C98"/>
    <w:rsid w:val="00F804CD"/>
    <w:rsid w:val="00F80750"/>
    <w:rsid w:val="00F85E45"/>
    <w:rsid w:val="00F85F59"/>
    <w:rsid w:val="00F86538"/>
    <w:rsid w:val="00F86717"/>
    <w:rsid w:val="00F86DD4"/>
    <w:rsid w:val="00F9117F"/>
    <w:rsid w:val="00F95B57"/>
    <w:rsid w:val="00F97C7A"/>
    <w:rsid w:val="00FA2909"/>
    <w:rsid w:val="00FA3CEC"/>
    <w:rsid w:val="00FB4CF2"/>
    <w:rsid w:val="00FC2312"/>
    <w:rsid w:val="00FC25B0"/>
    <w:rsid w:val="00FC4845"/>
    <w:rsid w:val="00FC5B4B"/>
    <w:rsid w:val="00FC6B03"/>
    <w:rsid w:val="00FD06D5"/>
    <w:rsid w:val="00FD28FF"/>
    <w:rsid w:val="00FD64E3"/>
    <w:rsid w:val="00FD68A1"/>
    <w:rsid w:val="00FD6FAF"/>
    <w:rsid w:val="00FD71D0"/>
    <w:rsid w:val="00FE2E0C"/>
    <w:rsid w:val="00FE419E"/>
    <w:rsid w:val="00FF2484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86AEA"/>
  <w15:chartTrackingRefBased/>
  <w15:docId w15:val="{72B0C482-18C8-4DCE-B6B2-04CCEE18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/>
        <w:sz w:val="22"/>
        <w:szCs w:val="22"/>
        <w:lang w:val="en-AU" w:eastAsia="en-US" w:bidi="ar-SA"/>
      </w:rPr>
    </w:rPrDefault>
    <w:pPrDefault>
      <w:pPr>
        <w:spacing w:after="240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7" w:unhideWhenUsed="1" w:qFormat="1"/>
    <w:lsdException w:name="List Bullet" w:unhideWhenUsed="1" w:qFormat="1"/>
    <w:lsdException w:name="List Number" w:qFormat="1"/>
    <w:lsdException w:name="List 2" w:semiHidden="1" w:uiPriority="17" w:unhideWhenUsed="1" w:qFormat="1"/>
    <w:lsdException w:name="List 3" w:semiHidden="1" w:uiPriority="17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4D76C1"/>
    <w:pPr>
      <w:numPr>
        <w:numId w:val="5"/>
      </w:numPr>
    </w:pPr>
  </w:style>
  <w:style w:type="paragraph" w:styleId="Heading1">
    <w:name w:val="heading 1"/>
    <w:basedOn w:val="Normal"/>
    <w:next w:val="Normal"/>
    <w:link w:val="Heading1Char"/>
    <w:uiPriority w:val="9"/>
    <w:qFormat/>
    <w:rsid w:val="00004ED1"/>
    <w:pPr>
      <w:keepNext/>
      <w:keepLines/>
      <w:numPr>
        <w:numId w:val="0"/>
      </w:numPr>
      <w:spacing w:before="3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4ED1"/>
    <w:pPr>
      <w:keepNext/>
      <w:keepLines/>
      <w:numPr>
        <w:numId w:val="0"/>
      </w:numPr>
      <w:spacing w:before="360"/>
      <w:outlineLvl w:val="1"/>
    </w:pPr>
    <w:rPr>
      <w:rFonts w:asciiTheme="majorHAnsi" w:eastAsiaTheme="majorEastAsia" w:hAnsiTheme="majorHAnsi" w:cstheme="majorBidi"/>
      <w:b/>
      <w:bCs/>
      <w:i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529F"/>
    <w:pPr>
      <w:keepNext/>
      <w:keepLines/>
      <w:numPr>
        <w:numId w:val="0"/>
      </w:numPr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D04CC"/>
    <w:pPr>
      <w:keepNext/>
      <w:keepLines/>
      <w:numPr>
        <w:numId w:val="0"/>
      </w:numPr>
      <w:spacing w:before="240" w:after="12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9E529F"/>
    <w:pPr>
      <w:keepNext/>
      <w:keepLines/>
      <w:numPr>
        <w:numId w:val="0"/>
      </w:numPr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qFormat/>
    <w:rsid w:val="00E522FC"/>
    <w:pPr>
      <w:keepNext/>
      <w:keepLines/>
      <w:numPr>
        <w:numId w:val="0"/>
      </w:numPr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7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ED1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4ED1"/>
    <w:rPr>
      <w:rFonts w:asciiTheme="majorHAnsi" w:eastAsiaTheme="majorEastAsia" w:hAnsiTheme="majorHAnsi" w:cstheme="majorBidi"/>
      <w:b/>
      <w:bCs/>
      <w:i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529F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customStyle="1" w:styleId="CoverSubtitle">
    <w:name w:val="Cover Subtitle"/>
    <w:basedOn w:val="Normal"/>
    <w:next w:val="Normal"/>
    <w:uiPriority w:val="21"/>
    <w:semiHidden/>
    <w:locked/>
    <w:rsid w:val="00072B30"/>
    <w:pPr>
      <w:numPr>
        <w:numId w:val="0"/>
      </w:numPr>
      <w:spacing w:after="0"/>
    </w:pPr>
    <w:rPr>
      <w:rFonts w:asciiTheme="majorHAnsi" w:hAnsiTheme="majorHAnsi"/>
      <w:b/>
      <w:color w:val="000000" w:themeColor="text1"/>
      <w:sz w:val="48"/>
    </w:rPr>
  </w:style>
  <w:style w:type="paragraph" w:customStyle="1" w:styleId="SubHeadingNoTOC">
    <w:name w:val="Sub Heading (No TOC)"/>
    <w:basedOn w:val="Normal"/>
    <w:next w:val="Normal"/>
    <w:uiPriority w:val="9"/>
    <w:qFormat/>
    <w:rsid w:val="00F64AB3"/>
    <w:pPr>
      <w:keepNext/>
      <w:keepLines/>
      <w:numPr>
        <w:numId w:val="0"/>
      </w:numPr>
      <w:spacing w:before="240" w:after="120"/>
    </w:pPr>
    <w:rPr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D04C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ListBullet">
    <w:name w:val="List Bullet"/>
    <w:basedOn w:val="Normal"/>
    <w:uiPriority w:val="13"/>
    <w:qFormat/>
    <w:rsid w:val="00641EAA"/>
    <w:pPr>
      <w:numPr>
        <w:numId w:val="8"/>
      </w:numPr>
    </w:pPr>
  </w:style>
  <w:style w:type="paragraph" w:styleId="ListBullet2">
    <w:name w:val="List Bullet 2"/>
    <w:basedOn w:val="ListBullet"/>
    <w:uiPriority w:val="13"/>
    <w:qFormat/>
    <w:rsid w:val="00641EAA"/>
    <w:pPr>
      <w:numPr>
        <w:ilvl w:val="1"/>
      </w:numPr>
    </w:pPr>
  </w:style>
  <w:style w:type="paragraph" w:styleId="ListNumber">
    <w:name w:val="List Number"/>
    <w:basedOn w:val="Normal"/>
    <w:uiPriority w:val="15"/>
    <w:qFormat/>
    <w:rsid w:val="00662E28"/>
    <w:pPr>
      <w:numPr>
        <w:numId w:val="11"/>
      </w:numPr>
    </w:pPr>
  </w:style>
  <w:style w:type="paragraph" w:styleId="ListNumber2">
    <w:name w:val="List Number 2"/>
    <w:basedOn w:val="Normal"/>
    <w:uiPriority w:val="16"/>
    <w:qFormat/>
    <w:rsid w:val="00662E28"/>
    <w:pPr>
      <w:numPr>
        <w:ilvl w:val="1"/>
        <w:numId w:val="11"/>
      </w:numPr>
    </w:pPr>
  </w:style>
  <w:style w:type="numbering" w:customStyle="1" w:styleId="HeadingList">
    <w:name w:val="Heading List"/>
    <w:uiPriority w:val="99"/>
    <w:rsid w:val="001241CB"/>
    <w:pPr>
      <w:numPr>
        <w:numId w:val="6"/>
      </w:numPr>
    </w:pPr>
  </w:style>
  <w:style w:type="paragraph" w:styleId="ListNumber3">
    <w:name w:val="List Number 3"/>
    <w:basedOn w:val="Normal"/>
    <w:uiPriority w:val="16"/>
    <w:qFormat/>
    <w:rsid w:val="00662E28"/>
    <w:pPr>
      <w:numPr>
        <w:ilvl w:val="2"/>
        <w:numId w:val="11"/>
      </w:numPr>
    </w:pPr>
  </w:style>
  <w:style w:type="paragraph" w:styleId="Title">
    <w:name w:val="Title"/>
    <w:basedOn w:val="Normal"/>
    <w:next w:val="Normal"/>
    <w:link w:val="TitleChar"/>
    <w:uiPriority w:val="1"/>
    <w:rsid w:val="0057138A"/>
    <w:pPr>
      <w:numPr>
        <w:numId w:val="0"/>
      </w:numPr>
    </w:pPr>
    <w:rPr>
      <w:rFonts w:asciiTheme="majorHAnsi" w:eastAsiaTheme="majorEastAsia" w:hAnsiTheme="majorHAnsi" w:cstheme="majorBidi"/>
      <w:b/>
      <w:caps/>
      <w:color w:val="000000" w:themeColor="text1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57138A"/>
    <w:rPr>
      <w:rFonts w:asciiTheme="majorHAnsi" w:eastAsiaTheme="majorEastAsia" w:hAnsiTheme="majorHAnsi" w:cstheme="majorBidi"/>
      <w:b/>
      <w:caps/>
      <w:color w:val="000000" w:themeColor="text1"/>
      <w:sz w:val="40"/>
      <w:szCs w:val="52"/>
    </w:rPr>
  </w:style>
  <w:style w:type="numbering" w:styleId="111111">
    <w:name w:val="Outline List 2"/>
    <w:basedOn w:val="NoList"/>
    <w:uiPriority w:val="99"/>
    <w:semiHidden/>
    <w:unhideWhenUsed/>
    <w:locked/>
    <w:rsid w:val="00466648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0453D9"/>
    <w:pPr>
      <w:numPr>
        <w:numId w:val="0"/>
      </w:numPr>
      <w:tabs>
        <w:tab w:val="left" w:pos="851"/>
        <w:tab w:val="right" w:pos="9027"/>
      </w:tabs>
      <w:ind w:left="851" w:hanging="851"/>
      <w:jc w:val="left"/>
    </w:pPr>
    <w:rPr>
      <w:i/>
      <w:sz w:val="28"/>
    </w:rPr>
  </w:style>
  <w:style w:type="paragraph" w:styleId="TOCHeading">
    <w:name w:val="TOC Heading"/>
    <w:basedOn w:val="Heading1"/>
    <w:next w:val="Normal"/>
    <w:uiPriority w:val="38"/>
    <w:unhideWhenUsed/>
    <w:rsid w:val="000453D9"/>
    <w:pPr>
      <w:outlineLvl w:val="9"/>
    </w:pPr>
    <w:rPr>
      <w:b w:val="0"/>
      <w:i/>
    </w:rPr>
  </w:style>
  <w:style w:type="paragraph" w:styleId="Footer">
    <w:name w:val="footer"/>
    <w:basedOn w:val="Normal"/>
    <w:link w:val="FooterChar"/>
    <w:uiPriority w:val="99"/>
    <w:rsid w:val="00722F9F"/>
    <w:pPr>
      <w:numPr>
        <w:numId w:val="0"/>
      </w:numPr>
      <w:tabs>
        <w:tab w:val="right" w:pos="9639"/>
      </w:tabs>
      <w:spacing w:after="0" w:line="200" w:lineRule="exact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14F78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3"/>
    <w:qFormat/>
    <w:rsid w:val="00641EAA"/>
    <w:pPr>
      <w:numPr>
        <w:ilvl w:val="2"/>
        <w:numId w:val="8"/>
      </w:numPr>
    </w:pPr>
  </w:style>
  <w:style w:type="table" w:styleId="TableGrid">
    <w:name w:val="Table Grid"/>
    <w:basedOn w:val="TableNormal"/>
    <w:uiPriority w:val="59"/>
    <w:rsid w:val="00826012"/>
    <w:pPr>
      <w:spacing w:before="60" w:after="60"/>
      <w:jc w:val="left"/>
    </w:p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AECEE" w:themeFill="accent4" w:themeFillTint="33"/>
    </w:tcPr>
    <w:tblStylePr w:type="firstRow">
      <w:rPr>
        <w:b w:val="0"/>
        <w:color w:val="FFFFFF" w:themeColor="background1"/>
      </w:rPr>
      <w:tblPr/>
      <w:trPr>
        <w:cantSplit/>
        <w:tblHeader/>
      </w:trPr>
      <w:tcPr>
        <w:shd w:val="clear" w:color="auto" w:fill="012169" w:themeFill="accent1"/>
      </w:tcPr>
    </w:tblStylePr>
    <w:tblStylePr w:type="lastRow">
      <w:rPr>
        <w:b/>
      </w:rPr>
      <w:tblPr/>
      <w:tcPr>
        <w:shd w:val="clear" w:color="auto" w:fill="EAECEE" w:themeFill="accent4" w:themeFillTint="33"/>
      </w:tcPr>
    </w:tblStylePr>
    <w:tblStylePr w:type="firstCol">
      <w:rPr>
        <w:b/>
        <w:color w:val="auto"/>
      </w:rPr>
    </w:tblStylePr>
    <w:tblStylePr w:type="lastCol">
      <w:pPr>
        <w:jc w:val="right"/>
      </w:pPr>
      <w:rPr>
        <w:b/>
      </w:rPr>
    </w:tblStylePr>
    <w:tblStylePr w:type="band1Horz">
      <w:tblPr/>
      <w:tcPr>
        <w:shd w:val="clear" w:color="auto" w:fill="EAECEE" w:themeFill="accent4" w:themeFillTint="33"/>
      </w:tcPr>
    </w:tblStylePr>
    <w:tblStylePr w:type="band2Horz">
      <w:tblPr/>
      <w:tcPr>
        <w:shd w:val="clear" w:color="auto" w:fill="C1C8CE" w:themeFill="accent4" w:themeFillTint="99"/>
      </w:tcPr>
    </w:tblStylePr>
  </w:style>
  <w:style w:type="paragraph" w:styleId="Caption">
    <w:name w:val="caption"/>
    <w:next w:val="Normal"/>
    <w:uiPriority w:val="34"/>
    <w:qFormat/>
    <w:rsid w:val="00F15632"/>
    <w:pPr>
      <w:spacing w:before="60" w:after="360"/>
    </w:pPr>
    <w:rPr>
      <w:bCs/>
      <w:i/>
      <w:sz w:val="16"/>
      <w:szCs w:val="18"/>
    </w:rPr>
  </w:style>
  <w:style w:type="paragraph" w:styleId="Header">
    <w:name w:val="header"/>
    <w:basedOn w:val="Normal"/>
    <w:link w:val="HeaderChar"/>
    <w:uiPriority w:val="99"/>
    <w:rsid w:val="00722F9F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E93F74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0C10"/>
    <w:rPr>
      <w:noProof w:val="0"/>
      <w:color w:val="000000" w:themeColor="text1"/>
      <w:sz w:val="22"/>
      <w:lang w:val="en-AU"/>
    </w:rPr>
  </w:style>
  <w:style w:type="paragraph" w:styleId="ListNumber4">
    <w:name w:val="List Number 4"/>
    <w:basedOn w:val="Normal"/>
    <w:uiPriority w:val="16"/>
    <w:semiHidden/>
    <w:qFormat/>
    <w:locked/>
    <w:rsid w:val="00A909CC"/>
    <w:pPr>
      <w:numPr>
        <w:numId w:val="0"/>
      </w:numPr>
    </w:pPr>
  </w:style>
  <w:style w:type="character" w:styleId="Hyperlink">
    <w:name w:val="Hyperlink"/>
    <w:basedOn w:val="DefaultParagraphFont"/>
    <w:uiPriority w:val="99"/>
    <w:rsid w:val="00616C90"/>
    <w:rPr>
      <w:noProof w:val="0"/>
      <w:color w:val="0000FF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012169" w:themeColor="accent1"/>
        <w:left w:val="single" w:sz="2" w:space="10" w:color="012169" w:themeColor="accent1"/>
        <w:bottom w:val="single" w:sz="2" w:space="10" w:color="012169" w:themeColor="accent1"/>
        <w:right w:val="single" w:sz="2" w:space="10" w:color="012169" w:themeColor="accent1"/>
      </w:pBdr>
      <w:ind w:left="1152" w:right="1152"/>
    </w:pPr>
    <w:rPr>
      <w:rFonts w:asciiTheme="minorHAnsi" w:eastAsiaTheme="minorEastAsia" w:hAnsiTheme="minorHAnsi"/>
      <w:i/>
      <w:iCs/>
      <w:color w:val="01216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C7FE" w:themeFill="accent1" w:themeFillTint="33"/>
    </w:tcPr>
    <w:tblStylePr w:type="firstRow">
      <w:rPr>
        <w:b/>
        <w:bCs/>
      </w:rPr>
      <w:tblPr/>
      <w:tcPr>
        <w:shd w:val="clear" w:color="auto" w:fill="5E8F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E8F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0FF" w:themeFill="accent2" w:themeFillTint="33"/>
    </w:tcPr>
    <w:tblStylePr w:type="firstRow">
      <w:rPr>
        <w:b/>
        <w:bCs/>
      </w:rPr>
      <w:tblPr/>
      <w:tcPr>
        <w:shd w:val="clear" w:color="auto" w:fill="8CE2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2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3" w:themeFillTint="33"/>
    </w:tcPr>
    <w:tblStylePr w:type="firstRow">
      <w:rPr>
        <w:b/>
        <w:bCs/>
      </w:rPr>
      <w:tblPr/>
      <w:tcPr>
        <w:shd w:val="clear" w:color="auto" w:fill="85C8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C8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3" w:themeFillShade="BF"/>
      </w:tc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CEE" w:themeFill="accent4" w:themeFillTint="33"/>
    </w:tcPr>
    <w:tblStylePr w:type="firstRow">
      <w:rPr>
        <w:b/>
        <w:bCs/>
      </w:rPr>
      <w:tblPr/>
      <w:tcPr>
        <w:shd w:val="clear" w:color="auto" w:fill="D5DA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A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B7B8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B7B88" w:themeFill="accent4" w:themeFillShade="BF"/>
      </w:tc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shd w:val="clear" w:color="auto" w:fill="CBD1D6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3E9" w:themeFill="accent5" w:themeFillTint="33"/>
    </w:tcPr>
    <w:tblStylePr w:type="firstRow">
      <w:rPr>
        <w:b/>
        <w:bCs/>
      </w:rPr>
      <w:tblPr/>
      <w:tcPr>
        <w:shd w:val="clear" w:color="auto" w:fill="B4C8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8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B576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B5767" w:themeFill="accent5" w:themeFillShade="BF"/>
      </w:tc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shd w:val="clear" w:color="auto" w:fill="A2BBC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3FA" w:themeFill="accent6" w:themeFillTint="33"/>
    </w:tcPr>
    <w:tblStylePr w:type="firstRow">
      <w:rPr>
        <w:b/>
        <w:bCs/>
      </w:rPr>
      <w:tblPr/>
      <w:tcPr>
        <w:shd w:val="clear" w:color="auto" w:fill="C6E7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E7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6A6D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6A6DC" w:themeFill="accent6" w:themeFillShade="BF"/>
      </w:tc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shd w:val="clear" w:color="auto" w:fill="B8E2F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7E3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2F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shd w:val="clear" w:color="auto" w:fill="C5F0FF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8391" w:themeFill="accent4" w:themeFillShade="CC"/>
      </w:tcPr>
    </w:tblStylePr>
    <w:tblStylePr w:type="lastRow">
      <w:rPr>
        <w:b/>
        <w:bCs/>
        <w:color w:val="73839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shd w:val="clear" w:color="auto" w:fill="C2E3FF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A4" w:themeFill="accent3" w:themeFillShade="CC"/>
      </w:tcPr>
    </w:tblStylePr>
    <w:tblStylePr w:type="lastRow">
      <w:rPr>
        <w:b/>
        <w:bCs/>
        <w:color w:val="005B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shd w:val="clear" w:color="auto" w:fill="EAECEE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CF1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ACDE" w:themeFill="accent6" w:themeFillShade="CC"/>
      </w:tcPr>
    </w:tblStylePr>
    <w:tblStylePr w:type="lastRow">
      <w:rPr>
        <w:b/>
        <w:bCs/>
        <w:color w:val="35ACD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shd w:val="clear" w:color="auto" w:fill="D9E3E9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0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5D6F" w:themeFill="accent5" w:themeFillShade="CC"/>
      </w:tcPr>
    </w:tblStylePr>
    <w:tblStylePr w:type="lastRow">
      <w:rPr>
        <w:b/>
        <w:bCs/>
        <w:color w:val="3F5D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shd w:val="clear" w:color="auto" w:fill="E2F3FA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12169" w:themeColor="accent1"/>
        <w:bottom w:val="single" w:sz="4" w:space="0" w:color="012169" w:themeColor="accent1"/>
        <w:right w:val="single" w:sz="4" w:space="0" w:color="01216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3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E" w:themeColor="accent1" w:themeShade="99"/>
          <w:insideV w:val="nil"/>
        </w:tcBorders>
        <w:shd w:val="clear" w:color="auto" w:fill="00133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33E" w:themeFill="accent1" w:themeFillShade="99"/>
      </w:tcPr>
    </w:tblStylePr>
    <w:tblStylePr w:type="band1Vert">
      <w:tblPr/>
      <w:tcPr>
        <w:shd w:val="clear" w:color="auto" w:fill="5E8FFD" w:themeFill="accent1" w:themeFillTint="66"/>
      </w:tcPr>
    </w:tblStylePr>
    <w:tblStylePr w:type="band1Horz">
      <w:tblPr/>
      <w:tcPr>
        <w:shd w:val="clear" w:color="auto" w:fill="3773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A9E0" w:themeColor="accent2"/>
        <w:bottom w:val="single" w:sz="4" w:space="0" w:color="00A9E0" w:themeColor="accent2"/>
        <w:right w:val="single" w:sz="4" w:space="0" w:color="00A9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86" w:themeColor="accent2" w:themeShade="99"/>
          <w:insideV w:val="nil"/>
        </w:tcBorders>
        <w:shd w:val="clear" w:color="auto" w:fill="0065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86" w:themeFill="accent2" w:themeFillShade="99"/>
      </w:tcPr>
    </w:tblStylePr>
    <w:tblStylePr w:type="band1Vert">
      <w:tblPr/>
      <w:tcPr>
        <w:shd w:val="clear" w:color="auto" w:fill="8CE2FF" w:themeFill="accent2" w:themeFillTint="66"/>
      </w:tcPr>
    </w:tblStylePr>
    <w:tblStylePr w:type="band1Horz">
      <w:tblPr/>
      <w:tcPr>
        <w:shd w:val="clear" w:color="auto" w:fill="70DB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98A4AE" w:themeColor="accent4"/>
        <w:left w:val="single" w:sz="4" w:space="0" w:color="0072CE" w:themeColor="accent3"/>
        <w:bottom w:val="single" w:sz="4" w:space="0" w:color="0072CE" w:themeColor="accent3"/>
        <w:right w:val="single" w:sz="4" w:space="0" w:color="0072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A4A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3" w:themeShade="99"/>
          <w:insideV w:val="nil"/>
        </w:tcBorders>
        <w:shd w:val="clear" w:color="auto" w:fill="0044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3" w:themeFillShade="99"/>
      </w:tcPr>
    </w:tblStylePr>
    <w:tblStylePr w:type="band1Vert">
      <w:tblPr/>
      <w:tcPr>
        <w:shd w:val="clear" w:color="auto" w:fill="85C8FF" w:themeFill="accent3" w:themeFillTint="66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72CE" w:themeColor="accent3"/>
        <w:left w:val="single" w:sz="4" w:space="0" w:color="98A4AE" w:themeColor="accent4"/>
        <w:bottom w:val="single" w:sz="4" w:space="0" w:color="98A4AE" w:themeColor="accent4"/>
        <w:right w:val="single" w:sz="4" w:space="0" w:color="98A4A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626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626D" w:themeColor="accent4" w:themeShade="99"/>
          <w:insideV w:val="nil"/>
        </w:tcBorders>
        <w:shd w:val="clear" w:color="auto" w:fill="56626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26D" w:themeFill="accent4" w:themeFillShade="99"/>
      </w:tcPr>
    </w:tblStylePr>
    <w:tblStylePr w:type="band1Vert">
      <w:tblPr/>
      <w:tcPr>
        <w:shd w:val="clear" w:color="auto" w:fill="D5DADE" w:themeFill="accent4" w:themeFillTint="66"/>
      </w:tcPr>
    </w:tblStylePr>
    <w:tblStylePr w:type="band1Horz">
      <w:tblPr/>
      <w:tcPr>
        <w:shd w:val="clear" w:color="auto" w:fill="CBD1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1C5E8" w:themeColor="accent6"/>
        <w:left w:val="single" w:sz="4" w:space="0" w:color="4F758B" w:themeColor="accent5"/>
        <w:bottom w:val="single" w:sz="4" w:space="0" w:color="4F758B" w:themeColor="accent5"/>
        <w:right w:val="single" w:sz="4" w:space="0" w:color="4F75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C5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6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653" w:themeColor="accent5" w:themeShade="99"/>
          <w:insideV w:val="nil"/>
        </w:tcBorders>
        <w:shd w:val="clear" w:color="auto" w:fill="2F46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653" w:themeFill="accent5" w:themeFillShade="99"/>
      </w:tcPr>
    </w:tblStylePr>
    <w:tblStylePr w:type="band1Vert">
      <w:tblPr/>
      <w:tcPr>
        <w:shd w:val="clear" w:color="auto" w:fill="B4C8D4" w:themeFill="accent5" w:themeFillTint="66"/>
      </w:tcPr>
    </w:tblStylePr>
    <w:tblStylePr w:type="band1Horz">
      <w:tblPr/>
      <w:tcPr>
        <w:shd w:val="clear" w:color="auto" w:fill="A2BB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4F758B" w:themeColor="accent5"/>
        <w:left w:val="single" w:sz="4" w:space="0" w:color="71C5E8" w:themeColor="accent6"/>
        <w:bottom w:val="single" w:sz="4" w:space="0" w:color="71C5E8" w:themeColor="accent6"/>
        <w:right w:val="single" w:sz="4" w:space="0" w:color="71C5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5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86B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86B2" w:themeColor="accent6" w:themeShade="99"/>
          <w:insideV w:val="nil"/>
        </w:tcBorders>
        <w:shd w:val="clear" w:color="auto" w:fill="1D86B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6B2" w:themeFill="accent6" w:themeFillShade="99"/>
      </w:tcPr>
    </w:tblStylePr>
    <w:tblStylePr w:type="band1Vert">
      <w:tblPr/>
      <w:tcPr>
        <w:shd w:val="clear" w:color="auto" w:fill="C6E7F5" w:themeFill="accent6" w:themeFillTint="66"/>
      </w:tcPr>
    </w:tblStylePr>
    <w:tblStylePr w:type="band1Horz">
      <w:tblPr/>
      <w:tcPr>
        <w:shd w:val="clear" w:color="auto" w:fill="B8E2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rsid w:val="00F80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216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0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84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9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3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8A4A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525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7B8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75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A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76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1C5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6F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A6D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F80750"/>
  </w:style>
  <w:style w:type="character" w:customStyle="1" w:styleId="DateChar">
    <w:name w:val="Date Char"/>
    <w:basedOn w:val="DefaultParagraphFont"/>
    <w:link w:val="Date"/>
    <w:uiPriority w:val="99"/>
    <w:semiHidden/>
    <w:rsid w:val="00F80750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semiHidden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semiHidden/>
    <w:rsid w:val="00722F9F"/>
    <w:pPr>
      <w:numPr>
        <w:numId w:val="0"/>
      </w:num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73E5"/>
    <w:rPr>
      <w:sz w:val="16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rsid w:val="00355D40"/>
    <w:rPr>
      <w:noProof w:val="0"/>
      <w:color w:val="7030A0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0573E5"/>
    <w:rPr>
      <w:noProof w:val="0"/>
      <w:sz w:val="18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C0373C"/>
    <w:pPr>
      <w:numPr>
        <w:numId w:val="0"/>
      </w:numPr>
      <w:tabs>
        <w:tab w:val="left" w:pos="170"/>
      </w:tabs>
      <w:spacing w:after="120"/>
      <w:ind w:left="170" w:hanging="17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373C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E52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004ED1"/>
    <w:rPr>
      <w:rFonts w:asciiTheme="majorHAnsi" w:eastAsiaTheme="majorEastAsia" w:hAnsiTheme="majorHAnsi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C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C63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C6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01216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012169" w:themeColor="accent1"/>
      </w:pBdr>
      <w:spacing w:before="200" w:after="280"/>
      <w:ind w:left="936" w:right="936"/>
    </w:pPr>
    <w:rPr>
      <w:b/>
      <w:bCs/>
      <w:i/>
      <w:iCs/>
      <w:color w:val="01216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color w:val="012169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00A9E0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  <w:insideH w:val="single" w:sz="8" w:space="0" w:color="012169" w:themeColor="accent1"/>
        <w:insideV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18" w:space="0" w:color="012169" w:themeColor="accent1"/>
          <w:right w:val="single" w:sz="8" w:space="0" w:color="012169" w:themeColor="accent1"/>
          <w:insideH w:val="nil"/>
          <w:insideV w:val="single" w:sz="8" w:space="0" w:color="01216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H w:val="nil"/>
          <w:insideV w:val="single" w:sz="8" w:space="0" w:color="01216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band1Vert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V w:val="single" w:sz="8" w:space="0" w:color="012169" w:themeColor="accent1"/>
        </w:tcBorders>
        <w:shd w:val="clear" w:color="auto" w:fill="9BB9FE" w:themeFill="accent1" w:themeFillTint="3F"/>
      </w:tcPr>
    </w:tblStylePr>
    <w:tblStylePr w:type="band2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V w:val="single" w:sz="8" w:space="0" w:color="01216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1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  <w:shd w:val="clear" w:color="auto" w:fill="B8EDFF" w:themeFill="accent2" w:themeFillTint="3F"/>
      </w:tcPr>
    </w:tblStylePr>
    <w:tblStylePr w:type="band2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  <w:insideH w:val="single" w:sz="8" w:space="0" w:color="0072CE" w:themeColor="accent3"/>
        <w:insideV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18" w:space="0" w:color="0072CE" w:themeColor="accent3"/>
          <w:right w:val="single" w:sz="8" w:space="0" w:color="0072CE" w:themeColor="accent3"/>
          <w:insideH w:val="nil"/>
          <w:insideV w:val="single" w:sz="8" w:space="0" w:color="0072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H w:val="nil"/>
          <w:insideV w:val="single" w:sz="8" w:space="0" w:color="0072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band1Vert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  <w:shd w:val="clear" w:color="auto" w:fill="B3DDFF" w:themeFill="accent3" w:themeFillTint="3F"/>
      </w:tcPr>
    </w:tblStylePr>
    <w:tblStylePr w:type="band1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V w:val="single" w:sz="8" w:space="0" w:color="0072CE" w:themeColor="accent3"/>
        </w:tcBorders>
        <w:shd w:val="clear" w:color="auto" w:fill="B3DDFF" w:themeFill="accent3" w:themeFillTint="3F"/>
      </w:tcPr>
    </w:tblStylePr>
    <w:tblStylePr w:type="band2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V w:val="single" w:sz="8" w:space="0" w:color="0072CE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  <w:insideH w:val="single" w:sz="8" w:space="0" w:color="98A4AE" w:themeColor="accent4"/>
        <w:insideV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18" w:space="0" w:color="98A4AE" w:themeColor="accent4"/>
          <w:right w:val="single" w:sz="8" w:space="0" w:color="98A4AE" w:themeColor="accent4"/>
          <w:insideH w:val="nil"/>
          <w:insideV w:val="single" w:sz="8" w:space="0" w:color="98A4A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H w:val="nil"/>
          <w:insideV w:val="single" w:sz="8" w:space="0" w:color="98A4A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band1Vert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  <w:shd w:val="clear" w:color="auto" w:fill="E5E8EB" w:themeFill="accent4" w:themeFillTint="3F"/>
      </w:tcPr>
    </w:tblStylePr>
    <w:tblStylePr w:type="band1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V w:val="single" w:sz="8" w:space="0" w:color="98A4AE" w:themeColor="accent4"/>
        </w:tcBorders>
        <w:shd w:val="clear" w:color="auto" w:fill="E5E8EB" w:themeFill="accent4" w:themeFillTint="3F"/>
      </w:tcPr>
    </w:tblStylePr>
    <w:tblStylePr w:type="band2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V w:val="single" w:sz="8" w:space="0" w:color="98A4AE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  <w:insideH w:val="single" w:sz="8" w:space="0" w:color="4F758B" w:themeColor="accent5"/>
        <w:insideV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18" w:space="0" w:color="4F758B" w:themeColor="accent5"/>
          <w:right w:val="single" w:sz="8" w:space="0" w:color="4F758B" w:themeColor="accent5"/>
          <w:insideH w:val="nil"/>
          <w:insideV w:val="single" w:sz="8" w:space="0" w:color="4F75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H w:val="nil"/>
          <w:insideV w:val="single" w:sz="8" w:space="0" w:color="4F75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band1Vert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  <w:shd w:val="clear" w:color="auto" w:fill="D0DDE4" w:themeFill="accent5" w:themeFillTint="3F"/>
      </w:tcPr>
    </w:tblStylePr>
    <w:tblStylePr w:type="band1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V w:val="single" w:sz="8" w:space="0" w:color="4F758B" w:themeColor="accent5"/>
        </w:tcBorders>
        <w:shd w:val="clear" w:color="auto" w:fill="D0DDE4" w:themeFill="accent5" w:themeFillTint="3F"/>
      </w:tcPr>
    </w:tblStylePr>
    <w:tblStylePr w:type="band2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V w:val="single" w:sz="8" w:space="0" w:color="4F758B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  <w:insideH w:val="single" w:sz="8" w:space="0" w:color="71C5E8" w:themeColor="accent6"/>
        <w:insideV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18" w:space="0" w:color="71C5E8" w:themeColor="accent6"/>
          <w:right w:val="single" w:sz="8" w:space="0" w:color="71C5E8" w:themeColor="accent6"/>
          <w:insideH w:val="nil"/>
          <w:insideV w:val="single" w:sz="8" w:space="0" w:color="71C5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H w:val="nil"/>
          <w:insideV w:val="single" w:sz="8" w:space="0" w:color="71C5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band1Vert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  <w:shd w:val="clear" w:color="auto" w:fill="DBF0F9" w:themeFill="accent6" w:themeFillTint="3F"/>
      </w:tcPr>
    </w:tblStylePr>
    <w:tblStylePr w:type="band1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V w:val="single" w:sz="8" w:space="0" w:color="71C5E8" w:themeColor="accent6"/>
        </w:tcBorders>
        <w:shd w:val="clear" w:color="auto" w:fill="DBF0F9" w:themeFill="accent6" w:themeFillTint="3F"/>
      </w:tcPr>
    </w:tblStylePr>
    <w:tblStylePr w:type="band2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V w:val="single" w:sz="8" w:space="0" w:color="71C5E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band1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band1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band1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band1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band1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00184E" w:themeColor="accent1" w:themeShade="BF"/>
    </w:rPr>
    <w:tblPr>
      <w:tblStyleRowBandSize w:val="1"/>
      <w:tblStyleColBandSize w:val="1"/>
      <w:tblBorders>
        <w:top w:val="single" w:sz="8" w:space="0" w:color="012169" w:themeColor="accent1"/>
        <w:bottom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2169" w:themeColor="accent1"/>
          <w:left w:val="nil"/>
          <w:bottom w:val="single" w:sz="8" w:space="0" w:color="01216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2169" w:themeColor="accent1"/>
          <w:left w:val="nil"/>
          <w:bottom w:val="single" w:sz="8" w:space="0" w:color="01216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007EA7" w:themeColor="accent2" w:themeShade="BF"/>
    </w:r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00559A" w:themeColor="accent3" w:themeShade="BF"/>
    </w:rPr>
    <w:tblPr>
      <w:tblStyleRowBandSize w:val="1"/>
      <w:tblStyleColBandSize w:val="1"/>
      <w:tblBorders>
        <w:top w:val="single" w:sz="8" w:space="0" w:color="0072CE" w:themeColor="accent3"/>
        <w:bottom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3"/>
          <w:left w:val="nil"/>
          <w:bottom w:val="single" w:sz="8" w:space="0" w:color="0072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3"/>
          <w:left w:val="nil"/>
          <w:bottom w:val="single" w:sz="8" w:space="0" w:color="0072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6B7B88" w:themeColor="accent4" w:themeShade="BF"/>
    </w:rPr>
    <w:tblPr>
      <w:tblStyleRowBandSize w:val="1"/>
      <w:tblStyleColBandSize w:val="1"/>
      <w:tblBorders>
        <w:top w:val="single" w:sz="8" w:space="0" w:color="98A4AE" w:themeColor="accent4"/>
        <w:bottom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A4AE" w:themeColor="accent4"/>
          <w:left w:val="nil"/>
          <w:bottom w:val="single" w:sz="8" w:space="0" w:color="98A4A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A4AE" w:themeColor="accent4"/>
          <w:left w:val="nil"/>
          <w:bottom w:val="single" w:sz="8" w:space="0" w:color="98A4A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3B5767" w:themeColor="accent5" w:themeShade="BF"/>
    </w:rPr>
    <w:tblPr>
      <w:tblStyleRowBandSize w:val="1"/>
      <w:tblStyleColBandSize w:val="1"/>
      <w:tblBorders>
        <w:top w:val="single" w:sz="8" w:space="0" w:color="4F758B" w:themeColor="accent5"/>
        <w:bottom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58B" w:themeColor="accent5"/>
          <w:left w:val="nil"/>
          <w:bottom w:val="single" w:sz="8" w:space="0" w:color="4F75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58B" w:themeColor="accent5"/>
          <w:left w:val="nil"/>
          <w:bottom w:val="single" w:sz="8" w:space="0" w:color="4F75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26A6DC" w:themeColor="accent6" w:themeShade="BF"/>
    </w:rPr>
    <w:tblPr>
      <w:tblStyleRowBandSize w:val="1"/>
      <w:tblStyleColBandSize w:val="1"/>
      <w:tblBorders>
        <w:top w:val="single" w:sz="8" w:space="0" w:color="71C5E8" w:themeColor="accent6"/>
        <w:bottom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C5E8" w:themeColor="accent6"/>
          <w:left w:val="nil"/>
          <w:bottom w:val="single" w:sz="8" w:space="0" w:color="71C5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C5E8" w:themeColor="accent6"/>
          <w:left w:val="nil"/>
          <w:bottom w:val="single" w:sz="8" w:space="0" w:color="71C5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7"/>
    <w:qFormat/>
    <w:rsid w:val="00A8129D"/>
    <w:pPr>
      <w:numPr>
        <w:ilvl w:val="1"/>
      </w:numPr>
    </w:pPr>
  </w:style>
  <w:style w:type="paragraph" w:styleId="List2">
    <w:name w:val="List 2"/>
    <w:basedOn w:val="Normal"/>
    <w:uiPriority w:val="17"/>
    <w:qFormat/>
    <w:rsid w:val="00A8129D"/>
    <w:pPr>
      <w:numPr>
        <w:ilvl w:val="2"/>
      </w:numPr>
    </w:pPr>
  </w:style>
  <w:style w:type="paragraph" w:styleId="List3">
    <w:name w:val="List 3"/>
    <w:basedOn w:val="Normal"/>
    <w:uiPriority w:val="17"/>
    <w:qFormat/>
    <w:rsid w:val="00A8129D"/>
    <w:pPr>
      <w:numPr>
        <w:ilvl w:val="3"/>
      </w:numPr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"/>
      </w:numPr>
      <w:contextualSpacing/>
    </w:pPr>
  </w:style>
  <w:style w:type="paragraph" w:styleId="ListParagraph">
    <w:name w:val="List Paragraph"/>
    <w:uiPriority w:val="17"/>
    <w:qFormat/>
    <w:rsid w:val="006D315C"/>
    <w:pPr>
      <w:tabs>
        <w:tab w:val="left" w:pos="425"/>
        <w:tab w:val="left" w:pos="851"/>
      </w:tabs>
      <w:ind w:left="425"/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240CD" w:themeColor="accent1" w:themeTint="BF"/>
        <w:left w:val="single" w:sz="8" w:space="0" w:color="0240CD" w:themeColor="accent1" w:themeTint="BF"/>
        <w:bottom w:val="single" w:sz="8" w:space="0" w:color="0240CD" w:themeColor="accent1" w:themeTint="BF"/>
        <w:right w:val="single" w:sz="8" w:space="0" w:color="0240CD" w:themeColor="accent1" w:themeTint="BF"/>
        <w:insideH w:val="single" w:sz="8" w:space="0" w:color="0240CD" w:themeColor="accent1" w:themeTint="BF"/>
        <w:insideV w:val="single" w:sz="8" w:space="0" w:color="0240CD" w:themeColor="accent1" w:themeTint="BF"/>
      </w:tblBorders>
    </w:tblPr>
    <w:tcPr>
      <w:shd w:val="clear" w:color="auto" w:fill="9BB9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4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  <w:insideV w:val="single" w:sz="8" w:space="0" w:color="28CAFF" w:themeColor="accent2" w:themeTint="BF"/>
      </w:tblBorders>
    </w:tblPr>
    <w:tcPr>
      <w:shd w:val="clear" w:color="auto" w:fill="B8E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B99FF" w:themeColor="accent3" w:themeTint="BF"/>
        <w:left w:val="single" w:sz="8" w:space="0" w:color="1B99FF" w:themeColor="accent3" w:themeTint="BF"/>
        <w:bottom w:val="single" w:sz="8" w:space="0" w:color="1B99FF" w:themeColor="accent3" w:themeTint="BF"/>
        <w:right w:val="single" w:sz="8" w:space="0" w:color="1B99FF" w:themeColor="accent3" w:themeTint="BF"/>
        <w:insideH w:val="single" w:sz="8" w:space="0" w:color="1B99FF" w:themeColor="accent3" w:themeTint="BF"/>
        <w:insideV w:val="single" w:sz="8" w:space="0" w:color="1B99FF" w:themeColor="accent3" w:themeTint="BF"/>
      </w:tblBorders>
    </w:tblPr>
    <w:tcPr>
      <w:shd w:val="clear" w:color="auto" w:fill="B3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B1BAC2" w:themeColor="accent4" w:themeTint="BF"/>
        <w:left w:val="single" w:sz="8" w:space="0" w:color="B1BAC2" w:themeColor="accent4" w:themeTint="BF"/>
        <w:bottom w:val="single" w:sz="8" w:space="0" w:color="B1BAC2" w:themeColor="accent4" w:themeTint="BF"/>
        <w:right w:val="single" w:sz="8" w:space="0" w:color="B1BAC2" w:themeColor="accent4" w:themeTint="BF"/>
        <w:insideH w:val="single" w:sz="8" w:space="0" w:color="B1BAC2" w:themeColor="accent4" w:themeTint="BF"/>
        <w:insideV w:val="single" w:sz="8" w:space="0" w:color="B1BAC2" w:themeColor="accent4" w:themeTint="BF"/>
      </w:tblBorders>
    </w:tblPr>
    <w:tcPr>
      <w:shd w:val="clear" w:color="auto" w:fill="E5E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BA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shd w:val="clear" w:color="auto" w:fill="CBD1D6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399AF" w:themeColor="accent5" w:themeTint="BF"/>
        <w:left w:val="single" w:sz="8" w:space="0" w:color="7399AF" w:themeColor="accent5" w:themeTint="BF"/>
        <w:bottom w:val="single" w:sz="8" w:space="0" w:color="7399AF" w:themeColor="accent5" w:themeTint="BF"/>
        <w:right w:val="single" w:sz="8" w:space="0" w:color="7399AF" w:themeColor="accent5" w:themeTint="BF"/>
        <w:insideH w:val="single" w:sz="8" w:space="0" w:color="7399AF" w:themeColor="accent5" w:themeTint="BF"/>
        <w:insideV w:val="single" w:sz="8" w:space="0" w:color="7399AF" w:themeColor="accent5" w:themeTint="BF"/>
      </w:tblBorders>
    </w:tblPr>
    <w:tcPr>
      <w:shd w:val="clear" w:color="auto" w:fill="D0DD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99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shd w:val="clear" w:color="auto" w:fill="A2BBC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4D3ED" w:themeColor="accent6" w:themeTint="BF"/>
        <w:left w:val="single" w:sz="8" w:space="0" w:color="94D3ED" w:themeColor="accent6" w:themeTint="BF"/>
        <w:bottom w:val="single" w:sz="8" w:space="0" w:color="94D3ED" w:themeColor="accent6" w:themeTint="BF"/>
        <w:right w:val="single" w:sz="8" w:space="0" w:color="94D3ED" w:themeColor="accent6" w:themeTint="BF"/>
        <w:insideH w:val="single" w:sz="8" w:space="0" w:color="94D3ED" w:themeColor="accent6" w:themeTint="BF"/>
        <w:insideV w:val="single" w:sz="8" w:space="0" w:color="94D3ED" w:themeColor="accent6" w:themeTint="BF"/>
      </w:tblBorders>
    </w:tblPr>
    <w:tcPr>
      <w:shd w:val="clear" w:color="auto" w:fill="DBF0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D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shd w:val="clear" w:color="auto" w:fill="B8E2F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  <w:insideH w:val="single" w:sz="8" w:space="0" w:color="012169" w:themeColor="accent1"/>
        <w:insideV w:val="single" w:sz="8" w:space="0" w:color="012169" w:themeColor="accent1"/>
      </w:tblBorders>
    </w:tblPr>
    <w:tcPr>
      <w:shd w:val="clear" w:color="auto" w:fill="9BB9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E3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C7FE" w:themeFill="accent1" w:themeFillTint="33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tcBorders>
          <w:insideH w:val="single" w:sz="6" w:space="0" w:color="012169" w:themeColor="accent1"/>
          <w:insideV w:val="single" w:sz="6" w:space="0" w:color="012169" w:themeColor="accent1"/>
        </w:tcBorders>
        <w:shd w:val="clear" w:color="auto" w:fill="3773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cPr>
      <w:shd w:val="clear" w:color="auto" w:fill="B8E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0FF" w:themeFill="accent2" w:themeFillTint="33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tcBorders>
          <w:insideH w:val="single" w:sz="6" w:space="0" w:color="00A9E0" w:themeColor="accent2"/>
          <w:insideV w:val="single" w:sz="6" w:space="0" w:color="00A9E0" w:themeColor="accent2"/>
        </w:tcBorders>
        <w:shd w:val="clear" w:color="auto" w:fill="70DB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  <w:insideH w:val="single" w:sz="8" w:space="0" w:color="0072CE" w:themeColor="accent3"/>
        <w:insideV w:val="single" w:sz="8" w:space="0" w:color="0072CE" w:themeColor="accent3"/>
      </w:tblBorders>
    </w:tblPr>
    <w:tcPr>
      <w:shd w:val="clear" w:color="auto" w:fill="B3D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3" w:themeFillTint="33"/>
      </w:tc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tcBorders>
          <w:insideH w:val="single" w:sz="6" w:space="0" w:color="0072CE" w:themeColor="accent3"/>
          <w:insideV w:val="single" w:sz="6" w:space="0" w:color="0072CE" w:themeColor="accent3"/>
        </w:tcBorders>
        <w:shd w:val="clear" w:color="auto" w:fill="67B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  <w:insideH w:val="single" w:sz="8" w:space="0" w:color="98A4AE" w:themeColor="accent4"/>
        <w:insideV w:val="single" w:sz="8" w:space="0" w:color="98A4AE" w:themeColor="accent4"/>
      </w:tblBorders>
    </w:tblPr>
    <w:tcPr>
      <w:shd w:val="clear" w:color="auto" w:fill="E5E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CEE" w:themeFill="accent4" w:themeFillTint="33"/>
      </w:tc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tcBorders>
          <w:insideH w:val="single" w:sz="6" w:space="0" w:color="98A4AE" w:themeColor="accent4"/>
          <w:insideV w:val="single" w:sz="6" w:space="0" w:color="98A4AE" w:themeColor="accent4"/>
        </w:tcBorders>
        <w:shd w:val="clear" w:color="auto" w:fill="CBD1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  <w:insideH w:val="single" w:sz="8" w:space="0" w:color="4F758B" w:themeColor="accent5"/>
        <w:insideV w:val="single" w:sz="8" w:space="0" w:color="4F758B" w:themeColor="accent5"/>
      </w:tblBorders>
    </w:tblPr>
    <w:tcPr>
      <w:shd w:val="clear" w:color="auto" w:fill="D0DD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3E9" w:themeFill="accent5" w:themeFillTint="33"/>
      </w:tc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tcBorders>
          <w:insideH w:val="single" w:sz="6" w:space="0" w:color="4F758B" w:themeColor="accent5"/>
          <w:insideV w:val="single" w:sz="6" w:space="0" w:color="4F758B" w:themeColor="accent5"/>
        </w:tcBorders>
        <w:shd w:val="clear" w:color="auto" w:fill="A2BB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  <w:insideH w:val="single" w:sz="8" w:space="0" w:color="71C5E8" w:themeColor="accent6"/>
        <w:insideV w:val="single" w:sz="8" w:space="0" w:color="71C5E8" w:themeColor="accent6"/>
      </w:tblBorders>
    </w:tblPr>
    <w:tcPr>
      <w:shd w:val="clear" w:color="auto" w:fill="DBF0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 w:themeFill="accent6" w:themeFillTint="33"/>
      </w:tc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tcBorders>
          <w:insideH w:val="single" w:sz="6" w:space="0" w:color="71C5E8" w:themeColor="accent6"/>
          <w:insideV w:val="single" w:sz="6" w:space="0" w:color="71C5E8" w:themeColor="accent6"/>
        </w:tcBorders>
        <w:shd w:val="clear" w:color="auto" w:fill="B8E2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B9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216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216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773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773FD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B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BF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A4A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A4A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A4A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A4A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D1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D1D6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D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5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5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5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5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B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BC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0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C5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C5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C5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C5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E2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E2F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bottom w:val="single" w:sz="8" w:space="0" w:color="01216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2169" w:themeColor="accent1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12169" w:themeColor="accent1"/>
          <w:bottom w:val="single" w:sz="8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2169" w:themeColor="accent1"/>
          <w:bottom w:val="single" w:sz="8" w:space="0" w:color="012169" w:themeColor="accent1"/>
        </w:tcBorders>
      </w:tc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shd w:val="clear" w:color="auto" w:fill="9BB9FE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E0" w:themeColor="accent2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shd w:val="clear" w:color="auto" w:fill="B8EDFF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bottom w:val="single" w:sz="8" w:space="0" w:color="0072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3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72CE" w:themeColor="accent3"/>
          <w:bottom w:val="single" w:sz="8" w:space="0" w:color="0072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3"/>
          <w:bottom w:val="single" w:sz="8" w:space="0" w:color="0072CE" w:themeColor="accent3"/>
        </w:tcBorders>
      </w:tcPr>
    </w:tblStylePr>
    <w:tblStylePr w:type="band1Vert">
      <w:tblPr/>
      <w:tcPr>
        <w:shd w:val="clear" w:color="auto" w:fill="B3DDFF" w:themeFill="accent3" w:themeFillTint="3F"/>
      </w:tcPr>
    </w:tblStylePr>
    <w:tblStylePr w:type="band1Horz">
      <w:tblPr/>
      <w:tcPr>
        <w:shd w:val="clear" w:color="auto" w:fill="B3DDFF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bottom w:val="single" w:sz="8" w:space="0" w:color="98A4A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A4AE" w:themeColor="accent4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98A4AE" w:themeColor="accent4"/>
          <w:bottom w:val="single" w:sz="8" w:space="0" w:color="98A4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A4AE" w:themeColor="accent4"/>
          <w:bottom w:val="single" w:sz="8" w:space="0" w:color="98A4AE" w:themeColor="accent4"/>
        </w:tcBorders>
      </w:tcPr>
    </w:tblStylePr>
    <w:tblStylePr w:type="band1Vert">
      <w:tblPr/>
      <w:tcPr>
        <w:shd w:val="clear" w:color="auto" w:fill="E5E8EB" w:themeFill="accent4" w:themeFillTint="3F"/>
      </w:tcPr>
    </w:tblStylePr>
    <w:tblStylePr w:type="band1Horz">
      <w:tblPr/>
      <w:tcPr>
        <w:shd w:val="clear" w:color="auto" w:fill="E5E8EB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bottom w:val="single" w:sz="8" w:space="0" w:color="4F75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58B" w:themeColor="accent5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4F758B" w:themeColor="accent5"/>
          <w:bottom w:val="single" w:sz="8" w:space="0" w:color="4F75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58B" w:themeColor="accent5"/>
          <w:bottom w:val="single" w:sz="8" w:space="0" w:color="4F758B" w:themeColor="accent5"/>
        </w:tcBorders>
      </w:tcPr>
    </w:tblStylePr>
    <w:tblStylePr w:type="band1Vert">
      <w:tblPr/>
      <w:tcPr>
        <w:shd w:val="clear" w:color="auto" w:fill="D0DDE4" w:themeFill="accent5" w:themeFillTint="3F"/>
      </w:tcPr>
    </w:tblStylePr>
    <w:tblStylePr w:type="band1Horz">
      <w:tblPr/>
      <w:tcPr>
        <w:shd w:val="clear" w:color="auto" w:fill="D0DDE4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bottom w:val="single" w:sz="8" w:space="0" w:color="71C5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C5E8" w:themeColor="accent6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71C5E8" w:themeColor="accent6"/>
          <w:bottom w:val="single" w:sz="8" w:space="0" w:color="71C5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C5E8" w:themeColor="accent6"/>
          <w:bottom w:val="single" w:sz="8" w:space="0" w:color="71C5E8" w:themeColor="accent6"/>
        </w:tcBorders>
      </w:tcPr>
    </w:tblStylePr>
    <w:tblStylePr w:type="band1Vert">
      <w:tblPr/>
      <w:tcPr>
        <w:shd w:val="clear" w:color="auto" w:fill="DBF0F9" w:themeFill="accent6" w:themeFillTint="3F"/>
      </w:tcPr>
    </w:tblStylePr>
    <w:tblStylePr w:type="band1Horz">
      <w:tblPr/>
      <w:tcPr>
        <w:shd w:val="clear" w:color="auto" w:fill="DBF0F9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216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1216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216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216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B9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9E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A4A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A4A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A4A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A4A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5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58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5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5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D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C5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1C5E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C5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C5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0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240CD" w:themeColor="accent1" w:themeTint="BF"/>
        <w:left w:val="single" w:sz="8" w:space="0" w:color="0240CD" w:themeColor="accent1" w:themeTint="BF"/>
        <w:bottom w:val="single" w:sz="8" w:space="0" w:color="0240CD" w:themeColor="accent1" w:themeTint="BF"/>
        <w:right w:val="single" w:sz="8" w:space="0" w:color="0240CD" w:themeColor="accent1" w:themeTint="BF"/>
        <w:insideH w:val="single" w:sz="8" w:space="0" w:color="024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40CD" w:themeColor="accent1" w:themeTint="BF"/>
          <w:left w:val="single" w:sz="8" w:space="0" w:color="0240CD" w:themeColor="accent1" w:themeTint="BF"/>
          <w:bottom w:val="single" w:sz="8" w:space="0" w:color="0240CD" w:themeColor="accent1" w:themeTint="BF"/>
          <w:right w:val="single" w:sz="8" w:space="0" w:color="0240CD" w:themeColor="accent1" w:themeTint="BF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40CD" w:themeColor="accent1" w:themeTint="BF"/>
          <w:left w:val="single" w:sz="8" w:space="0" w:color="0240CD" w:themeColor="accent1" w:themeTint="BF"/>
          <w:bottom w:val="single" w:sz="8" w:space="0" w:color="0240CD" w:themeColor="accent1" w:themeTint="BF"/>
          <w:right w:val="single" w:sz="8" w:space="0" w:color="024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B9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B99FF" w:themeColor="accent3" w:themeTint="BF"/>
        <w:left w:val="single" w:sz="8" w:space="0" w:color="1B99FF" w:themeColor="accent3" w:themeTint="BF"/>
        <w:bottom w:val="single" w:sz="8" w:space="0" w:color="1B99FF" w:themeColor="accent3" w:themeTint="BF"/>
        <w:right w:val="single" w:sz="8" w:space="0" w:color="1B99FF" w:themeColor="accent3" w:themeTint="BF"/>
        <w:insideH w:val="single" w:sz="8" w:space="0" w:color="1B99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3" w:themeTint="BF"/>
          <w:left w:val="single" w:sz="8" w:space="0" w:color="1B99FF" w:themeColor="accent3" w:themeTint="BF"/>
          <w:bottom w:val="single" w:sz="8" w:space="0" w:color="1B99FF" w:themeColor="accent3" w:themeTint="BF"/>
          <w:right w:val="single" w:sz="8" w:space="0" w:color="1B99FF" w:themeColor="accent3" w:themeTint="BF"/>
          <w:insideH w:val="nil"/>
          <w:insideV w:val="nil"/>
        </w:tcBorders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3" w:themeTint="BF"/>
          <w:left w:val="single" w:sz="8" w:space="0" w:color="1B99FF" w:themeColor="accent3" w:themeTint="BF"/>
          <w:bottom w:val="single" w:sz="8" w:space="0" w:color="1B99FF" w:themeColor="accent3" w:themeTint="BF"/>
          <w:right w:val="single" w:sz="8" w:space="0" w:color="1B99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B1BAC2" w:themeColor="accent4" w:themeTint="BF"/>
        <w:left w:val="single" w:sz="8" w:space="0" w:color="B1BAC2" w:themeColor="accent4" w:themeTint="BF"/>
        <w:bottom w:val="single" w:sz="8" w:space="0" w:color="B1BAC2" w:themeColor="accent4" w:themeTint="BF"/>
        <w:right w:val="single" w:sz="8" w:space="0" w:color="B1BAC2" w:themeColor="accent4" w:themeTint="BF"/>
        <w:insideH w:val="single" w:sz="8" w:space="0" w:color="B1BA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BAC2" w:themeColor="accent4" w:themeTint="BF"/>
          <w:left w:val="single" w:sz="8" w:space="0" w:color="B1BAC2" w:themeColor="accent4" w:themeTint="BF"/>
          <w:bottom w:val="single" w:sz="8" w:space="0" w:color="B1BAC2" w:themeColor="accent4" w:themeTint="BF"/>
          <w:right w:val="single" w:sz="8" w:space="0" w:color="B1BAC2" w:themeColor="accent4" w:themeTint="BF"/>
          <w:insideH w:val="nil"/>
          <w:insideV w:val="nil"/>
        </w:tcBorders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AC2" w:themeColor="accent4" w:themeTint="BF"/>
          <w:left w:val="single" w:sz="8" w:space="0" w:color="B1BAC2" w:themeColor="accent4" w:themeTint="BF"/>
          <w:bottom w:val="single" w:sz="8" w:space="0" w:color="B1BAC2" w:themeColor="accent4" w:themeTint="BF"/>
          <w:right w:val="single" w:sz="8" w:space="0" w:color="B1BA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399AF" w:themeColor="accent5" w:themeTint="BF"/>
        <w:left w:val="single" w:sz="8" w:space="0" w:color="7399AF" w:themeColor="accent5" w:themeTint="BF"/>
        <w:bottom w:val="single" w:sz="8" w:space="0" w:color="7399AF" w:themeColor="accent5" w:themeTint="BF"/>
        <w:right w:val="single" w:sz="8" w:space="0" w:color="7399AF" w:themeColor="accent5" w:themeTint="BF"/>
        <w:insideH w:val="single" w:sz="8" w:space="0" w:color="7399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99AF" w:themeColor="accent5" w:themeTint="BF"/>
          <w:left w:val="single" w:sz="8" w:space="0" w:color="7399AF" w:themeColor="accent5" w:themeTint="BF"/>
          <w:bottom w:val="single" w:sz="8" w:space="0" w:color="7399AF" w:themeColor="accent5" w:themeTint="BF"/>
          <w:right w:val="single" w:sz="8" w:space="0" w:color="7399AF" w:themeColor="accent5" w:themeTint="BF"/>
          <w:insideH w:val="nil"/>
          <w:insideV w:val="nil"/>
        </w:tcBorders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99AF" w:themeColor="accent5" w:themeTint="BF"/>
          <w:left w:val="single" w:sz="8" w:space="0" w:color="7399AF" w:themeColor="accent5" w:themeTint="BF"/>
          <w:bottom w:val="single" w:sz="8" w:space="0" w:color="7399AF" w:themeColor="accent5" w:themeTint="BF"/>
          <w:right w:val="single" w:sz="8" w:space="0" w:color="7399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D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4D3ED" w:themeColor="accent6" w:themeTint="BF"/>
        <w:left w:val="single" w:sz="8" w:space="0" w:color="94D3ED" w:themeColor="accent6" w:themeTint="BF"/>
        <w:bottom w:val="single" w:sz="8" w:space="0" w:color="94D3ED" w:themeColor="accent6" w:themeTint="BF"/>
        <w:right w:val="single" w:sz="8" w:space="0" w:color="94D3ED" w:themeColor="accent6" w:themeTint="BF"/>
        <w:insideH w:val="single" w:sz="8" w:space="0" w:color="94D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D3ED" w:themeColor="accent6" w:themeTint="BF"/>
          <w:left w:val="single" w:sz="8" w:space="0" w:color="94D3ED" w:themeColor="accent6" w:themeTint="BF"/>
          <w:bottom w:val="single" w:sz="8" w:space="0" w:color="94D3ED" w:themeColor="accent6" w:themeTint="BF"/>
          <w:right w:val="single" w:sz="8" w:space="0" w:color="94D3ED" w:themeColor="accent6" w:themeTint="BF"/>
          <w:insideH w:val="nil"/>
          <w:insideV w:val="nil"/>
        </w:tcBorders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D3ED" w:themeColor="accent6" w:themeTint="BF"/>
          <w:left w:val="single" w:sz="8" w:space="0" w:color="94D3ED" w:themeColor="accent6" w:themeTint="BF"/>
          <w:bottom w:val="single" w:sz="8" w:space="0" w:color="94D3ED" w:themeColor="accent6" w:themeTint="BF"/>
          <w:right w:val="single" w:sz="8" w:space="0" w:color="94D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0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A4A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A4A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5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5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C5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C5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F80750"/>
    <w:pPr>
      <w:spacing w:after="0"/>
    </w:pPr>
  </w:style>
  <w:style w:type="paragraph" w:styleId="NormalWeb">
    <w:name w:val="Normal (Web)"/>
    <w:basedOn w:val="Normal"/>
    <w:uiPriority w:val="20"/>
    <w:rsid w:val="00606FC8"/>
    <w:pPr>
      <w:numPr>
        <w:numId w:val="0"/>
      </w:numPr>
    </w:pPr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19"/>
    <w:qFormat/>
    <w:rsid w:val="005D04CC"/>
    <w:pPr>
      <w:numPr>
        <w:numId w:val="0"/>
      </w:numPr>
      <w:ind w:left="425" w:right="425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9"/>
    <w:rsid w:val="005D04CC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</w:style>
  <w:style w:type="paragraph" w:styleId="Signature">
    <w:name w:val="Signature"/>
    <w:basedOn w:val="Normal"/>
    <w:link w:val="SignatureChar"/>
    <w:uiPriority w:val="29"/>
    <w:semiHidden/>
    <w:locked/>
    <w:rsid w:val="00F00470"/>
    <w:pPr>
      <w:numPr>
        <w:numId w:val="0"/>
      </w:numPr>
      <w:contextualSpacing/>
      <w:jc w:val="left"/>
    </w:pPr>
  </w:style>
  <w:style w:type="character" w:customStyle="1" w:styleId="SignatureChar">
    <w:name w:val="Signature Char"/>
    <w:basedOn w:val="DefaultParagraphFont"/>
    <w:link w:val="Signature"/>
    <w:uiPriority w:val="29"/>
    <w:semiHidden/>
    <w:rsid w:val="00EE50C6"/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01216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01216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00A9E0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0453D9"/>
    <w:pPr>
      <w:numPr>
        <w:numId w:val="0"/>
      </w:numPr>
      <w:tabs>
        <w:tab w:val="left" w:pos="851"/>
        <w:tab w:val="right" w:pos="9027"/>
      </w:tabs>
      <w:ind w:left="851" w:hanging="851"/>
      <w:jc w:val="left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21C9B"/>
    <w:pPr>
      <w:numPr>
        <w:numId w:val="0"/>
      </w:numPr>
      <w:tabs>
        <w:tab w:val="left" w:pos="851"/>
        <w:tab w:val="right" w:pos="9038"/>
      </w:tabs>
      <w:ind w:left="851" w:hanging="851"/>
      <w:jc w:val="left"/>
    </w:pPr>
    <w:rPr>
      <w:b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0453D9"/>
    <w:pPr>
      <w:numPr>
        <w:numId w:val="0"/>
      </w:numPr>
      <w:tabs>
        <w:tab w:val="left" w:pos="851"/>
        <w:tab w:val="right" w:pos="9027"/>
      </w:tabs>
    </w:pPr>
    <w:rPr>
      <w:i/>
      <w:sz w:val="28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0453D9"/>
    <w:pPr>
      <w:numPr>
        <w:numId w:val="0"/>
      </w:numPr>
      <w:tabs>
        <w:tab w:val="left" w:pos="851"/>
        <w:tab w:val="right" w:pos="9027"/>
      </w:tabs>
    </w:pPr>
    <w:rPr>
      <w:b/>
      <w:sz w:val="24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E21C9B"/>
    <w:pPr>
      <w:numPr>
        <w:numId w:val="0"/>
      </w:numPr>
      <w:tabs>
        <w:tab w:val="left" w:pos="851"/>
        <w:tab w:val="right" w:pos="9027"/>
      </w:tabs>
    </w:pPr>
    <w:rPr>
      <w:b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ai">
    <w:name w:val="Outline List 1"/>
    <w:basedOn w:val="NoList"/>
    <w:uiPriority w:val="99"/>
    <w:semiHidden/>
    <w:unhideWhenUsed/>
    <w:rsid w:val="00A8129D"/>
    <w:pPr>
      <w:numPr>
        <w:numId w:val="5"/>
      </w:numPr>
    </w:pPr>
  </w:style>
  <w:style w:type="numbering" w:customStyle="1" w:styleId="BulletList">
    <w:name w:val="Bullet List"/>
    <w:uiPriority w:val="99"/>
    <w:rsid w:val="00641EAA"/>
    <w:pPr>
      <w:numPr>
        <w:numId w:val="8"/>
      </w:numPr>
    </w:pPr>
  </w:style>
  <w:style w:type="paragraph" w:customStyle="1" w:styleId="Introduction">
    <w:name w:val="Introduction"/>
    <w:basedOn w:val="Normal"/>
    <w:uiPriority w:val="11"/>
    <w:semiHidden/>
    <w:qFormat/>
    <w:rsid w:val="00072B30"/>
    <w:pPr>
      <w:numPr>
        <w:numId w:val="0"/>
      </w:numPr>
    </w:pPr>
    <w:rPr>
      <w:b/>
      <w:color w:val="000000" w:themeColor="text1"/>
    </w:rPr>
  </w:style>
  <w:style w:type="table" w:styleId="TableGridLight">
    <w:name w:val="Grid Table Light"/>
    <w:aliases w:val="Hidden"/>
    <w:basedOn w:val="TableNormal"/>
    <w:uiPriority w:val="40"/>
    <w:locked/>
    <w:rsid w:val="00592F64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495A4C"/>
    <w:pPr>
      <w:numPr>
        <w:numId w:val="3"/>
      </w:numPr>
    </w:pPr>
  </w:style>
  <w:style w:type="paragraph" w:customStyle="1" w:styleId="AppendixHeading">
    <w:name w:val="Appendix Heading"/>
    <w:basedOn w:val="Heading1"/>
    <w:uiPriority w:val="10"/>
    <w:semiHidden/>
    <w:qFormat/>
    <w:rsid w:val="003A2733"/>
    <w:pPr>
      <w:numPr>
        <w:numId w:val="3"/>
      </w:numPr>
    </w:pPr>
  </w:style>
  <w:style w:type="paragraph" w:customStyle="1" w:styleId="AppendixSubHeading">
    <w:name w:val="Appendix Sub Heading"/>
    <w:basedOn w:val="Heading2"/>
    <w:uiPriority w:val="10"/>
    <w:semiHidden/>
    <w:qFormat/>
    <w:rsid w:val="003A2733"/>
  </w:style>
  <w:style w:type="paragraph" w:customStyle="1" w:styleId="Heading1Numbers">
    <w:name w:val="Heading 1 Numbers"/>
    <w:basedOn w:val="Heading1"/>
    <w:next w:val="Normal"/>
    <w:uiPriority w:val="9"/>
    <w:qFormat/>
    <w:rsid w:val="00BA627A"/>
    <w:pPr>
      <w:numPr>
        <w:numId w:val="10"/>
      </w:numPr>
    </w:pPr>
  </w:style>
  <w:style w:type="paragraph" w:customStyle="1" w:styleId="Heading2Numbers">
    <w:name w:val="Heading 2 Numbers"/>
    <w:basedOn w:val="Heading2"/>
    <w:next w:val="Normal"/>
    <w:uiPriority w:val="9"/>
    <w:qFormat/>
    <w:rsid w:val="00E61784"/>
    <w:pPr>
      <w:numPr>
        <w:ilvl w:val="1"/>
        <w:numId w:val="10"/>
      </w:numPr>
    </w:pPr>
    <w:rPr>
      <w:bCs w:val="0"/>
    </w:rPr>
  </w:style>
  <w:style w:type="paragraph" w:customStyle="1" w:styleId="Heading3Numbers">
    <w:name w:val="Heading 3 Numbers"/>
    <w:basedOn w:val="Heading3"/>
    <w:next w:val="Normal"/>
    <w:uiPriority w:val="9"/>
    <w:qFormat/>
    <w:rsid w:val="00BA627A"/>
    <w:pPr>
      <w:numPr>
        <w:ilvl w:val="2"/>
        <w:numId w:val="10"/>
      </w:numPr>
    </w:pPr>
  </w:style>
  <w:style w:type="paragraph" w:customStyle="1" w:styleId="Heading4NoNumber">
    <w:name w:val="Heading 4 No Number"/>
    <w:basedOn w:val="Heading4"/>
    <w:uiPriority w:val="9"/>
    <w:qFormat/>
    <w:rsid w:val="00BA627A"/>
    <w:pPr>
      <w:numPr>
        <w:ilvl w:val="3"/>
        <w:numId w:val="10"/>
      </w:numPr>
    </w:pPr>
  </w:style>
  <w:style w:type="paragraph" w:customStyle="1" w:styleId="JanusSeal">
    <w:name w:val="Janus Seal"/>
    <w:basedOn w:val="Normal"/>
    <w:uiPriority w:val="18"/>
    <w:qFormat/>
    <w:rsid w:val="00877B84"/>
    <w:pPr>
      <w:jc w:val="center"/>
    </w:pPr>
    <w:rPr>
      <w:b/>
      <w:color w:val="FF0000"/>
      <w:sz w:val="24"/>
    </w:rPr>
  </w:style>
  <w:style w:type="paragraph" w:customStyle="1" w:styleId="LetterCAPSTitle">
    <w:name w:val="Letter CAPS Title"/>
    <w:basedOn w:val="Normal"/>
    <w:uiPriority w:val="19"/>
    <w:qFormat/>
    <w:rsid w:val="00722F9F"/>
    <w:pPr>
      <w:numPr>
        <w:numId w:val="0"/>
      </w:numPr>
    </w:pPr>
    <w:rPr>
      <w:b/>
      <w:caps/>
      <w:shd w:val="clear" w:color="auto" w:fill="FFFFFF"/>
    </w:rPr>
  </w:style>
  <w:style w:type="table" w:styleId="PlainTable5">
    <w:name w:val="Plain Table 5"/>
    <w:basedOn w:val="TableNormal"/>
    <w:uiPriority w:val="45"/>
    <w:locked/>
    <w:rsid w:val="00F0509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overdate">
    <w:name w:val="Cover date"/>
    <w:basedOn w:val="Address"/>
    <w:uiPriority w:val="29"/>
    <w:semiHidden/>
    <w:qFormat/>
    <w:rsid w:val="00592F64"/>
  </w:style>
  <w:style w:type="paragraph" w:customStyle="1" w:styleId="Address">
    <w:name w:val="Address"/>
    <w:basedOn w:val="Normal"/>
    <w:uiPriority w:val="19"/>
    <w:qFormat/>
    <w:rsid w:val="00592F64"/>
    <w:pPr>
      <w:numPr>
        <w:numId w:val="0"/>
      </w:numPr>
      <w:spacing w:after="840"/>
      <w:contextualSpacing/>
    </w:pPr>
  </w:style>
  <w:style w:type="paragraph" w:customStyle="1" w:styleId="Sincerely">
    <w:name w:val="Sincerely"/>
    <w:basedOn w:val="Normal"/>
    <w:uiPriority w:val="29"/>
    <w:semiHidden/>
    <w:qFormat/>
    <w:rsid w:val="00592F64"/>
    <w:pPr>
      <w:numPr>
        <w:numId w:val="0"/>
      </w:numPr>
      <w:spacing w:before="720" w:after="600"/>
    </w:pPr>
  </w:style>
  <w:style w:type="paragraph" w:customStyle="1" w:styleId="Subject">
    <w:name w:val="Subject"/>
    <w:basedOn w:val="Normal"/>
    <w:uiPriority w:val="29"/>
    <w:semiHidden/>
    <w:qFormat/>
    <w:rsid w:val="00592F64"/>
    <w:pPr>
      <w:numPr>
        <w:numId w:val="0"/>
      </w:numPr>
      <w:spacing w:before="480" w:after="480"/>
    </w:pPr>
    <w:rPr>
      <w:b/>
    </w:rPr>
  </w:style>
  <w:style w:type="table" w:customStyle="1" w:styleId="TableOption2">
    <w:name w:val="Table Option 2"/>
    <w:basedOn w:val="TableGrid"/>
    <w:uiPriority w:val="99"/>
    <w:rsid w:val="00826012"/>
    <w:tblPr/>
    <w:tcPr>
      <w:shd w:val="clear" w:color="auto" w:fill="EAECEE" w:themeFill="accent4" w:themeFillTint="33"/>
    </w:tcPr>
    <w:tblStylePr w:type="firstRow">
      <w:rPr>
        <w:b w:val="0"/>
        <w:color w:val="FFFFFF" w:themeColor="background1"/>
      </w:rPr>
      <w:tblPr/>
      <w:trPr>
        <w:cantSplit/>
        <w:tblHeader/>
      </w:trPr>
      <w:tcPr>
        <w:shd w:val="clear" w:color="auto" w:fill="012169" w:themeFill="accent1"/>
      </w:tcPr>
    </w:tblStylePr>
    <w:tblStylePr w:type="lastRow">
      <w:rPr>
        <w:b/>
      </w:rPr>
      <w:tblPr/>
      <w:tcPr>
        <w:shd w:val="clear" w:color="auto" w:fill="EAECEE" w:themeFill="accent4" w:themeFillTint="33"/>
      </w:tcPr>
    </w:tblStylePr>
    <w:tblStylePr w:type="firstCol">
      <w:rPr>
        <w:b w:val="0"/>
        <w:color w:val="auto"/>
      </w:rPr>
      <w:tblPr/>
      <w:tcPr>
        <w:shd w:val="clear" w:color="auto" w:fill="012169" w:themeFill="accent1"/>
      </w:tcPr>
    </w:tblStylePr>
    <w:tblStylePr w:type="lastCol">
      <w:pPr>
        <w:jc w:val="right"/>
      </w:pPr>
      <w:rPr>
        <w:b/>
      </w:rPr>
    </w:tblStylePr>
    <w:tblStylePr w:type="band1Horz">
      <w:tblPr/>
      <w:tcPr>
        <w:shd w:val="clear" w:color="auto" w:fill="EAECEE" w:themeFill="accent4" w:themeFillTint="33"/>
      </w:tcPr>
    </w:tblStylePr>
    <w:tblStylePr w:type="band2Horz">
      <w:tblPr/>
      <w:tcPr>
        <w:shd w:val="clear" w:color="auto" w:fill="C1C8CE" w:themeFill="accent4" w:themeFillTint="99"/>
      </w:tcPr>
    </w:tblStylePr>
  </w:style>
  <w:style w:type="paragraph" w:customStyle="1" w:styleId="TableHeading">
    <w:name w:val="Table Heading"/>
    <w:basedOn w:val="Normal"/>
    <w:next w:val="Normal"/>
    <w:uiPriority w:val="10"/>
    <w:qFormat/>
    <w:rsid w:val="004C766B"/>
    <w:pPr>
      <w:keepNext/>
      <w:numPr>
        <w:numId w:val="0"/>
      </w:numPr>
      <w:spacing w:before="240" w:after="120"/>
    </w:pPr>
    <w:rPr>
      <w:b/>
      <w:i/>
    </w:rPr>
  </w:style>
  <w:style w:type="paragraph" w:customStyle="1" w:styleId="NameTitleDivision">
    <w:name w:val="Name/Title/Division"/>
    <w:basedOn w:val="Normal"/>
    <w:uiPriority w:val="18"/>
    <w:qFormat/>
    <w:rsid w:val="000573E5"/>
    <w:pPr>
      <w:numPr>
        <w:numId w:val="0"/>
      </w:numPr>
      <w:contextualSpacing/>
    </w:pPr>
    <w:rPr>
      <w:i/>
    </w:rPr>
  </w:style>
  <w:style w:type="paragraph" w:customStyle="1" w:styleId="TableText">
    <w:name w:val="Table Text"/>
    <w:basedOn w:val="Normal"/>
    <w:uiPriority w:val="10"/>
    <w:qFormat/>
    <w:rsid w:val="009E529F"/>
    <w:pPr>
      <w:numPr>
        <w:numId w:val="0"/>
      </w:numPr>
      <w:spacing w:before="60" w:after="60"/>
      <w:jc w:val="left"/>
    </w:pPr>
  </w:style>
  <w:style w:type="paragraph" w:customStyle="1" w:styleId="Postscript">
    <w:name w:val="Postscript"/>
    <w:basedOn w:val="Normal"/>
    <w:uiPriority w:val="19"/>
    <w:qFormat/>
    <w:rsid w:val="00B40B7D"/>
    <w:pPr>
      <w:numPr>
        <w:numId w:val="0"/>
      </w:numPr>
    </w:pPr>
    <w:rPr>
      <w:sz w:val="20"/>
    </w:rPr>
  </w:style>
  <w:style w:type="paragraph" w:customStyle="1" w:styleId="ActTitle">
    <w:name w:val="Act Title"/>
    <w:basedOn w:val="Normal"/>
    <w:next w:val="Normal"/>
    <w:rsid w:val="003E015E"/>
    <w:pPr>
      <w:numPr>
        <w:numId w:val="0"/>
      </w:numPr>
      <w:pBdr>
        <w:bottom w:val="single" w:sz="4" w:space="3" w:color="auto"/>
      </w:pBdr>
      <w:spacing w:before="480"/>
      <w:jc w:val="left"/>
    </w:pPr>
    <w:rPr>
      <w:rFonts w:eastAsia="Times New Roman" w:cs="Times New Roman"/>
      <w:i/>
      <w:iCs/>
      <w:color w:val="auto"/>
      <w:sz w:val="28"/>
      <w:szCs w:val="20"/>
      <w:lang w:eastAsia="en-AU"/>
    </w:rPr>
  </w:style>
  <w:style w:type="paragraph" w:customStyle="1" w:styleId="IntroTo">
    <w:name w:val="IntroTo:"/>
    <w:basedOn w:val="Normal"/>
    <w:rsid w:val="003E015E"/>
    <w:pPr>
      <w:numPr>
        <w:numId w:val="0"/>
      </w:numPr>
      <w:spacing w:after="0"/>
      <w:ind w:left="720" w:hanging="72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BULLET1">
    <w:name w:val="BULLET 1"/>
    <w:basedOn w:val="Normal"/>
    <w:qFormat/>
    <w:rsid w:val="00D720C4"/>
    <w:pPr>
      <w:numPr>
        <w:numId w:val="14"/>
      </w:numPr>
    </w:pPr>
    <w:rPr>
      <w:rFonts w:eastAsiaTheme="minorEastAsia"/>
      <w:color w:val="auto"/>
      <w:lang w:eastAsia="en-AU"/>
    </w:rPr>
  </w:style>
  <w:style w:type="paragraph" w:customStyle="1" w:styleId="Default">
    <w:name w:val="Default"/>
    <w:rsid w:val="00D720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 w:cs="Arial"/>
      <w:sz w:val="24"/>
      <w:szCs w:val="24"/>
      <w:lang w:eastAsia="en-AU"/>
    </w:rPr>
  </w:style>
  <w:style w:type="paragraph" w:customStyle="1" w:styleId="CM5">
    <w:name w:val="CM5"/>
    <w:basedOn w:val="Default"/>
    <w:next w:val="Default"/>
    <w:uiPriority w:val="99"/>
    <w:rsid w:val="00D720C4"/>
    <w:pPr>
      <w:tabs>
        <w:tab w:val="left" w:pos="851"/>
      </w:tabs>
      <w:ind w:left="851" w:hanging="567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00A57"/>
    <w:pPr>
      <w:spacing w:after="0"/>
      <w:jc w:val="left"/>
    </w:pPr>
  </w:style>
  <w:style w:type="character" w:customStyle="1" w:styleId="normaltextrun">
    <w:name w:val="normaltextrun"/>
    <w:basedOn w:val="DefaultParagraphFont"/>
    <w:rsid w:val="00294551"/>
  </w:style>
  <w:style w:type="character" w:customStyle="1" w:styleId="eop">
    <w:name w:val="eop"/>
    <w:basedOn w:val="DefaultParagraphFont"/>
    <w:rsid w:val="00294551"/>
  </w:style>
  <w:style w:type="paragraph" w:customStyle="1" w:styleId="paragraph">
    <w:name w:val="paragraph"/>
    <w:basedOn w:val="Normal"/>
    <w:rsid w:val="008B0742"/>
    <w:pPr>
      <w:numPr>
        <w:numId w:val="0"/>
      </w:num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cf01">
    <w:name w:val="cf01"/>
    <w:basedOn w:val="DefaultParagraphFont"/>
    <w:rsid w:val="00891DBE"/>
    <w:rPr>
      <w:rFonts w:ascii="Segoe UI" w:hAnsi="Segoe UI" w:cs="Segoe UI" w:hint="default"/>
      <w:sz w:val="18"/>
      <w:szCs w:val="18"/>
    </w:rPr>
  </w:style>
  <w:style w:type="paragraph" w:styleId="ListBullet4">
    <w:name w:val="List Bullet 4"/>
    <w:basedOn w:val="Normal"/>
    <w:uiPriority w:val="99"/>
    <w:semiHidden/>
    <w:qFormat/>
    <w:locked/>
    <w:rsid w:val="00463D6F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RA">
      <a:dk1>
        <a:sysClr val="windowText" lastClr="000000"/>
      </a:dk1>
      <a:lt1>
        <a:sysClr val="window" lastClr="FFFFFF"/>
      </a:lt1>
      <a:dk2>
        <a:srgbClr val="012169"/>
      </a:dk2>
      <a:lt2>
        <a:srgbClr val="00A9E0"/>
      </a:lt2>
      <a:accent1>
        <a:srgbClr val="012169"/>
      </a:accent1>
      <a:accent2>
        <a:srgbClr val="00A9E0"/>
      </a:accent2>
      <a:accent3>
        <a:srgbClr val="0072CE"/>
      </a:accent3>
      <a:accent4>
        <a:srgbClr val="98A4AE"/>
      </a:accent4>
      <a:accent5>
        <a:srgbClr val="4F758B"/>
      </a:accent5>
      <a:accent6>
        <a:srgbClr val="71C5E8"/>
      </a:accent6>
      <a:hlink>
        <a:srgbClr val="0000FF"/>
      </a:hlink>
      <a:folHlink>
        <a:srgbClr val="7030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8a7e8-49a1-4017-acf0-0edc7cce208b">
      <Value>12</Value>
      <Value>368</Value>
      <Value>197</Value>
      <Value>93</Value>
      <Value>279</Value>
      <Value>95</Value>
      <Value>28</Value>
    </TaxCatchAll>
    <APRASecurityClassification xmlns="92a8a7e8-49a1-4017-acf0-0edc7cce208b">OFFICIAL: Sensitive</APRASecurityClassification>
    <k4bcc0d734474fea9fb713d9c415b4b0 xmlns="92a8a7e8-49a1-4017-acf0-0edc7cce208b">
      <Terms xmlns="http://schemas.microsoft.com/office/infopath/2007/PartnerControls"/>
    </k4bcc0d734474fea9fb713d9c415b4b0>
    <i05115a133414b4dabee2531e4b46b67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b42a91f5-fceb-4fbb-955b-19409a9e4079</TermId>
        </TermInfo>
      </Terms>
    </i05115a133414b4dabee2531e4b46b67>
    <h67caa35a4114acd8e15fe89b3f29f9e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l003ee8eff60461aa1bd0027aba92ea4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GI</TermName>
          <TermId xmlns="http://schemas.microsoft.com/office/infopath/2007/PartnerControls">9e6b8d6f-8851-e311-9e2e-005056b54f10</TermId>
        </TermInfo>
        <TermInfo xmlns="http://schemas.microsoft.com/office/infopath/2007/PartnerControls">
          <TermName xmlns="http://schemas.microsoft.com/office/infopath/2007/PartnerControls">LI</TermName>
          <TermId xmlns="http://schemas.microsoft.com/office/infopath/2007/PartnerControls">aa6b8d6f-8851-e311-9e2e-005056b54f10</TermId>
        </TermInfo>
        <TermInfo xmlns="http://schemas.microsoft.com/office/infopath/2007/PartnerControls">
          <TermName xmlns="http://schemas.microsoft.com/office/infopath/2007/PartnerControls">PHI</TermName>
          <TermId xmlns="http://schemas.microsoft.com/office/infopath/2007/PartnerControls">10657f9d-7e9a-e511-8d41-005056b54f10</TermId>
        </TermInfo>
        <TermInfo xmlns="http://schemas.microsoft.com/office/infopath/2007/PartnerControls">
          <TermName xmlns="http://schemas.microsoft.com/office/infopath/2007/PartnerControls">Cross Industry</TermName>
          <TermId xmlns="http://schemas.microsoft.com/office/infopath/2007/PartnerControls">72fe5b41-a18b-4402-ad9b-cffc85b73640</TermId>
        </TermInfo>
      </Terms>
    </l003ee8eff60461aa1bd0027aba92ea4>
    <_ExtendedDescription xmlns="http://schemas.microsoft.com/sharepoint/v3" xsi:nil="true"/>
    <j163382b748246d3b6e7caae71dbeeb0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b37d8d7e823543f58f89056343a9035c xmlns="92a8a7e8-49a1-4017-acf0-0edc7cce208b">
      <Terms xmlns="http://schemas.microsoft.com/office/infopath/2007/PartnerControls"/>
    </b37d8d7e823543f58f89056343a9035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63DB4DEE504FAB457909715FEC45" ma:contentTypeVersion="18" ma:contentTypeDescription="Create a new document." ma:contentTypeScope="" ma:versionID="fb7ce1f03ce4c1fabd0381438dd73fd7">
  <xsd:schema xmlns:xsd="http://www.w3.org/2001/XMLSchema" xmlns:xs="http://www.w3.org/2001/XMLSchema" xmlns:p="http://schemas.microsoft.com/office/2006/metadata/properties" xmlns:ns1="http://schemas.microsoft.com/sharepoint/v3" xmlns:ns2="92a8a7e8-49a1-4017-acf0-0edc7cce208b" xmlns:ns3="f4148c6b-f494-43bd-afec-4c4bbfd3890b" targetNamespace="http://schemas.microsoft.com/office/2006/metadata/properties" ma:root="true" ma:fieldsID="86ecc07fea6d9d8a7e9d30e0fae43028" ns1:_="" ns2:_="" ns3:_="">
    <xsd:import namespace="http://schemas.microsoft.com/sharepoint/v3"/>
    <xsd:import namespace="92a8a7e8-49a1-4017-acf0-0edc7cce208b"/>
    <xsd:import namespace="f4148c6b-f494-43bd-afec-4c4bbfd3890b"/>
    <xsd:element name="properties">
      <xsd:complexType>
        <xsd:sequence>
          <xsd:element name="documentManagement">
            <xsd:complexType>
              <xsd:all>
                <xsd:element ref="ns2:i05115a133414b4dabee2531e4b46b67" minOccurs="0"/>
                <xsd:element ref="ns2:TaxCatchAll" minOccurs="0"/>
                <xsd:element ref="ns2:h67caa35a4114acd8e15fe89b3f29f9e" minOccurs="0"/>
                <xsd:element ref="ns2:k4bcc0d734474fea9fb713d9c415b4b0" minOccurs="0"/>
                <xsd:element ref="ns2:l003ee8eff60461aa1bd0027aba92ea4" minOccurs="0"/>
                <xsd:element ref="ns2:b37d8d7e823543f58f89056343a9035c" minOccurs="0"/>
                <xsd:element ref="ns2:j163382b748246d3b6e7caae71dbeeb0" minOccurs="0"/>
                <xsd:element ref="ns1:_ExtendedDescription" minOccurs="0"/>
                <xsd:element ref="ns2:APRASecurityClassifica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7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a7e8-49a1-4017-acf0-0edc7cce208b" elementFormDefault="qualified">
    <xsd:import namespace="http://schemas.microsoft.com/office/2006/documentManagement/types"/>
    <xsd:import namespace="http://schemas.microsoft.com/office/infopath/2007/PartnerControls"/>
    <xsd:element name="i05115a133414b4dabee2531e4b46b67" ma:index="8" nillable="true" ma:taxonomy="true" ma:internalName="i05115a133414b4dabee2531e4b46b67" ma:taxonomyFieldName="APRAActivity" ma:displayName="Activity" ma:readOnly="false" ma:fieldId="{205115a1-3341-4b4d-abee-2531e4b46b67}" ma:taxonomyMulti="true" ma:sspId="4ff776a0-f2ac-455d-9889-a581410000f1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0a7764-7edc-438b-b2cf-51576a8fe6f7}" ma:internalName="TaxCatchAll" ma:showField="CatchAllData" ma:web="92a8a7e8-49a1-4017-acf0-0edc7cce2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7caa35a4114acd8e15fe89b3f29f9e" ma:index="10" nillable="true" ma:taxonomy="true" ma:internalName="h67caa35a4114acd8e15fe89b3f29f9e" ma:taxonomyFieldName="APRADocumentType" ma:displayName="Document type" ma:readOnly="false" ma:fieldId="{167caa35-a411-4acd-8e15-fe89b3f29f9e}" ma:taxonomyMulti="true" ma:sspId="4ff776a0-f2ac-455d-9889-a581410000f1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11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4ff776a0-f2ac-455d-9889-a581410000f1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12" nillable="true" ma:taxonomy="true" ma:internalName="l003ee8eff60461aa1bd0027aba92ea4" ma:taxonomyFieldName="APRAIndustry" ma:displayName="Industry/Sector" ma:readOnly="false" ma:fieldId="{5003ee8e-ff60-461a-a1bd-0027aba92ea4}" ma:taxonomyMulti="true" ma:sspId="4ff776a0-f2ac-455d-9889-a581410000f1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13" nillable="true" ma:taxonomy="true" ma:internalName="b37d8d7e823543f58f89056343a9035c" ma:taxonomyFieldName="APRALegislation" ma:displayName="Legislation" ma:readOnly="false" ma:fieldId="{b37d8d7e-8235-43f5-8f89-056343a9035c}" ma:taxonomyMulti="true" ma:sspId="4ff776a0-f2ac-455d-9889-a581410000f1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3382b748246d3b6e7caae71dbeeb0" ma:index="14" ma:taxonomy="true" ma:internalName="j163382b748246d3b6e7caae71dbeeb0" ma:taxonomyFieldName="APRAStatus" ma:displayName="Status" ma:readOnly="false" ma:default="1;#Draft|0e1556d2-3fe8-443a-ada7-3620563b46b3" ma:fieldId="{3163382b-7482-46d3-b6e7-caae71dbeeb0}" ma:sspId="4ff776a0-f2ac-455d-9889-a581410000f1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SecurityClassification" ma:index="21" nillable="true" ma:displayName="Security classification" ma:default="OFFICIAL: Sensitive" ma:format="Dropdown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8c6b-f494-43bd-afec-4c4bbfd3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578F6-636E-4DFE-B31E-2B4E24600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BC62D-492B-42B5-B255-C6E08DA8AB97}">
  <ds:schemaRefs>
    <ds:schemaRef ds:uri="http://purl.org/dc/elements/1.1/"/>
    <ds:schemaRef ds:uri="http://www.w3.org/XML/1998/namespace"/>
    <ds:schemaRef ds:uri="http://purl.org/dc/dcmitype/"/>
    <ds:schemaRef ds:uri="29be12ea-a431-4eaf-8ccf-e0f2bc6e5ab8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b800a64b-9db0-4acb-ab82-405f792204ac"/>
    <ds:schemaRef ds:uri="1352f80d-c6e1-421b-804d-1539dc2080a8"/>
  </ds:schemaRefs>
</ds:datastoreItem>
</file>

<file path=customXml/itemProps3.xml><?xml version="1.0" encoding="utf-8"?>
<ds:datastoreItem xmlns:ds="http://schemas.openxmlformats.org/officeDocument/2006/customXml" ds:itemID="{DFCC6476-2BE8-42BF-88EA-5860EBDE26E2}"/>
</file>

<file path=customXml/itemProps4.xml><?xml version="1.0" encoding="utf-8"?>
<ds:datastoreItem xmlns:ds="http://schemas.openxmlformats.org/officeDocument/2006/customXml" ds:itemID="{AE4189CC-F1B3-4877-B3BD-2411DAFA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FSSA Approval</vt:lpstr>
    </vt:vector>
  </TitlesOfParts>
  <Company>APRA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FSSA Approval</dc:title>
  <dc:subject/>
  <dc:creator>El-Asmar, Ha</dc:creator>
  <cp:keywords>[SEC=OFFICIAL]</cp:keywords>
  <dc:description/>
  <cp:lastModifiedBy>Toni Michalis</cp:lastModifiedBy>
  <cp:revision>3</cp:revision>
  <cp:lastPrinted>2025-07-23T06:09:00Z</cp:lastPrinted>
  <dcterms:created xsi:type="dcterms:W3CDTF">2025-07-23T06:55:00Z</dcterms:created>
  <dcterms:modified xsi:type="dcterms:W3CDTF">2025-07-23T06:55:00Z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Qualifier">
    <vt:lpwstr/>
  </property>
  <property fmtid="{D5CDD505-2E9C-101B-9397-08002B2CF9AE}" pid="4" name="PM_ProtectiveMarkingImage_Header">
    <vt:lpwstr>C:\Program Files\Common Files\janusNET Shared\janusSEAL\Images\DocumentSlashBlue.png</vt:lpwstr>
  </property>
  <property fmtid="{D5CDD505-2E9C-101B-9397-08002B2CF9AE}" pid="5" name="PM_ProtectiveMarkingImage_Footer">
    <vt:lpwstr>C:\Program Files\Common Files\janusNET Shared\janusSEAL\Images\DocumentSlashBlue.png</vt:lpwstr>
  </property>
  <property fmtid="{D5CDD505-2E9C-101B-9397-08002B2CF9AE}" pid="6" name="PM_Namespace">
    <vt:lpwstr>gov.au</vt:lpwstr>
  </property>
  <property fmtid="{D5CDD505-2E9C-101B-9397-08002B2CF9AE}" pid="7" name="PM_Version">
    <vt:lpwstr>2018.4</vt:lpwstr>
  </property>
  <property fmtid="{D5CDD505-2E9C-101B-9397-08002B2CF9AE}" pid="8" name="PM_Originating_FileId">
    <vt:lpwstr>1A64E0B4B3A44BA9A557D85AF7A5E2FD</vt:lpwstr>
  </property>
  <property fmtid="{D5CDD505-2E9C-101B-9397-08002B2CF9AE}" pid="9" name="PM_Hash_Version">
    <vt:lpwstr>2022.1</vt:lpwstr>
  </property>
  <property fmtid="{D5CDD505-2E9C-101B-9397-08002B2CF9AE}" pid="10" name="ContentTypeId">
    <vt:lpwstr>0x01010080D163DB4DEE504FAB457909715FEC45</vt:lpwstr>
  </property>
  <property fmtid="{D5CDD505-2E9C-101B-9397-08002B2CF9AE}" pid="11" name="PM_Qualifier_Prev">
    <vt:lpwstr/>
  </property>
  <property fmtid="{D5CDD505-2E9C-101B-9397-08002B2CF9AE}" pid="12" name="PM_Note">
    <vt:lpwstr/>
  </property>
  <property fmtid="{D5CDD505-2E9C-101B-9397-08002B2CF9AE}" pid="13" name="APRAPeriod">
    <vt:lpwstr/>
  </property>
  <property fmtid="{D5CDD505-2E9C-101B-9397-08002B2CF9AE}" pid="14" name="APRACostCentre">
    <vt:lpwstr/>
  </property>
  <property fmtid="{D5CDD505-2E9C-101B-9397-08002B2CF9AE}" pid="15" name="APRAPRSG">
    <vt:lpwstr/>
  </property>
  <property fmtid="{D5CDD505-2E9C-101B-9397-08002B2CF9AE}" pid="16" name="APRAStatus">
    <vt:lpwstr>28;#Draft|0e1556d2-3fe8-443a-ada7-3620563b46b3</vt:lpwstr>
  </property>
  <property fmtid="{D5CDD505-2E9C-101B-9397-08002B2CF9AE}" pid="17" name="APRADocumentType">
    <vt:lpwstr>197;#Legal instrument|71fd6ed3-d6d6-4975-ba99-bfe45802e734</vt:lpwstr>
  </property>
  <property fmtid="{D5CDD505-2E9C-101B-9397-08002B2CF9AE}" pid="18" name="APRAActivity">
    <vt:lpwstr>12;#Legal|b42a91f5-fceb-4fbb-955b-19409a9e4079</vt:lpwstr>
  </property>
  <property fmtid="{D5CDD505-2E9C-101B-9397-08002B2CF9AE}" pid="19" name="APRAYear">
    <vt:lpwstr/>
  </property>
  <property fmtid="{D5CDD505-2E9C-101B-9397-08002B2CF9AE}" pid="20" name="APRAIndustry">
    <vt:lpwstr>93;#GI|9e6b8d6f-8851-e311-9e2e-005056b54f10;#95;#LI|aa6b8d6f-8851-e311-9e2e-005056b54f10;#279;#PHI|10657f9d-7e9a-e511-8d41-005056b54f10;#368;#Cross Industry|72fe5b41-a18b-4402-ad9b-cffc85b73640</vt:lpwstr>
  </property>
  <property fmtid="{D5CDD505-2E9C-101B-9397-08002B2CF9AE}" pid="21" name="_dlc_DocIdItemGuid">
    <vt:lpwstr>317ed1b0-c315-46a9-b6de-c84eb151f6d9</vt:lpwstr>
  </property>
  <property fmtid="{D5CDD505-2E9C-101B-9397-08002B2CF9AE}" pid="22" name="IsLocked">
    <vt:lpwstr>False</vt:lpwstr>
  </property>
  <property fmtid="{D5CDD505-2E9C-101B-9397-08002B2CF9AE}" pid="23" name="IT system type">
    <vt:lpwstr/>
  </property>
  <property fmtid="{D5CDD505-2E9C-101B-9397-08002B2CF9AE}" pid="24" name="APRACategory">
    <vt:lpwstr/>
  </property>
  <property fmtid="{D5CDD505-2E9C-101B-9397-08002B2CF9AE}" pid="25" name="APRAEntityAdviceSupport">
    <vt:lpwstr/>
  </property>
  <property fmtid="{D5CDD505-2E9C-101B-9397-08002B2CF9AE}" pid="26" name="APRALegislation">
    <vt:lpwstr/>
  </property>
  <property fmtid="{D5CDD505-2E9C-101B-9397-08002B2CF9AE}" pid="27" name="APRAExternalOrganisation">
    <vt:lpwstr/>
  </property>
  <property fmtid="{D5CDD505-2E9C-101B-9397-08002B2CF9AE}" pid="28" name="APRAIRTR">
    <vt:lpwstr/>
  </property>
  <property fmtid="{D5CDD505-2E9C-101B-9397-08002B2CF9AE}" pid="29" name="RecordPoint_WorkflowType">
    <vt:lpwstr>ActiveSubmitStub</vt:lpwstr>
  </property>
  <property fmtid="{D5CDD505-2E9C-101B-9397-08002B2CF9AE}" pid="30" name="RecordPoint_ActiveItemWebId">
    <vt:lpwstr>{75a71c27-8d66-4282-ae60-1bfc22a83be1}</vt:lpwstr>
  </property>
  <property fmtid="{D5CDD505-2E9C-101B-9397-08002B2CF9AE}" pid="31" name="RecordPoint_ActiveItemSiteId">
    <vt:lpwstr>{88691c01-5bbb-4215-adc0-66cb7065b0af}</vt:lpwstr>
  </property>
  <property fmtid="{D5CDD505-2E9C-101B-9397-08002B2CF9AE}" pid="32" name="RecordPoint_ActiveItemListId">
    <vt:lpwstr>{7581fac4-a124-41f2-aad0-cece8f3c4590}</vt:lpwstr>
  </property>
  <property fmtid="{D5CDD505-2E9C-101B-9397-08002B2CF9AE}" pid="33" name="RecordPoint_ActiveItemUniqueId">
    <vt:lpwstr>{b7ef5095-8b59-4ff6-b877-f5c438df8fc9}</vt:lpwstr>
  </property>
  <property fmtid="{D5CDD505-2E9C-101B-9397-08002B2CF9AE}" pid="34" name="RecordPoint_RecordNumberSubmitted">
    <vt:lpwstr>R0001367429</vt:lpwstr>
  </property>
  <property fmtid="{D5CDD505-2E9C-101B-9397-08002B2CF9AE}" pid="35" name="RecordPoint_SubmissionCompleted">
    <vt:lpwstr>2022-05-13T23:11:50.2914822+10:00</vt:lpwstr>
  </property>
  <property fmtid="{D5CDD505-2E9C-101B-9397-08002B2CF9AE}" pid="36" name="RecordPoint_SubmissionDate">
    <vt:lpwstr/>
  </property>
  <property fmtid="{D5CDD505-2E9C-101B-9397-08002B2CF9AE}" pid="37" name="RecordPoint_ActiveItemMoved">
    <vt:lpwstr/>
  </property>
  <property fmtid="{D5CDD505-2E9C-101B-9397-08002B2CF9AE}" pid="38" name="RecordPoint_RecordFormat">
    <vt:lpwstr/>
  </property>
  <property fmtid="{D5CDD505-2E9C-101B-9397-08002B2CF9AE}" pid="39" name="_docset_NoMedatataSyncRequired">
    <vt:lpwstr>False</vt:lpwstr>
  </property>
  <property fmtid="{D5CDD505-2E9C-101B-9397-08002B2CF9AE}" pid="40" name="PM_OriginatorDomainName_SHA256">
    <vt:lpwstr>ECBDE2B44A971754412B3FB70606937A119CC0D4B6C1B658A40FBD41C30BE3EC</vt:lpwstr>
  </property>
  <property fmtid="{D5CDD505-2E9C-101B-9397-08002B2CF9AE}" pid="41" name="APRALIAct">
    <vt:lpwstr>12;#Financial Sector (Shareholdings) Act 1998|109bbaee-1c47-454d-a3d3-e355373787b6</vt:lpwstr>
  </property>
  <property fmtid="{D5CDD505-2E9C-101B-9397-08002B2CF9AE}" pid="42" name="APRATemplateType">
    <vt:lpwstr>341;#Legal Instruments - FSSA Act|eda123d5-5619-4910-9569-3443adfb5893</vt:lpwstr>
  </property>
  <property fmtid="{D5CDD505-2E9C-101B-9397-08002B2CF9AE}" pid="43" name="i05115a133414b4dabee2531e4b46b67">
    <vt:lpwstr>Legal|b42a91f5-fceb-4fbb-955b-19409a9e4079</vt:lpwstr>
  </property>
  <property fmtid="{D5CDD505-2E9C-101B-9397-08002B2CF9AE}" pid="44" name="p10c80fc2da942ae8f2ea9b33b6ea0ba">
    <vt:lpwstr/>
  </property>
  <property fmtid="{D5CDD505-2E9C-101B-9397-08002B2CF9AE}" pid="45" name="pa005173035e41c3986b37b8e650f3ef">
    <vt:lpwstr/>
  </property>
  <property fmtid="{D5CDD505-2E9C-101B-9397-08002B2CF9AE}" pid="46" name="ka2715b9eb154114a4f57d7fbf82ec75">
    <vt:lpwstr/>
  </property>
  <property fmtid="{D5CDD505-2E9C-101B-9397-08002B2CF9AE}" pid="47" name="i08e72d8ce2b4ffa9361f9f4e0a63abc">
    <vt:lpwstr/>
  </property>
  <property fmtid="{D5CDD505-2E9C-101B-9397-08002B2CF9AE}" pid="48" name="ic4067bd02f14cf3a95ad35878404a71">
    <vt:lpwstr/>
  </property>
  <property fmtid="{D5CDD505-2E9C-101B-9397-08002B2CF9AE}" pid="49" name="k4bcc0d734474fea9fb713d9c415b4b0">
    <vt:lpwstr/>
  </property>
  <property fmtid="{D5CDD505-2E9C-101B-9397-08002B2CF9AE}" pid="50" name="j724204a644741eb9f777fcb03fe8840">
    <vt:lpwstr/>
  </property>
  <property fmtid="{D5CDD505-2E9C-101B-9397-08002B2CF9AE}" pid="51" name="aa36a5a650d54f768f171f4d17b8b238">
    <vt:lpwstr/>
  </property>
  <property fmtid="{D5CDD505-2E9C-101B-9397-08002B2CF9AE}" pid="52" name="b37d8d7e823543f58f89056343a9035c">
    <vt:lpwstr/>
  </property>
  <property fmtid="{D5CDD505-2E9C-101B-9397-08002B2CF9AE}" pid="53" name="d9a849fd1b8e46ada0321eb0681a10ee">
    <vt:lpwstr/>
  </property>
  <property fmtid="{D5CDD505-2E9C-101B-9397-08002B2CF9AE}" pid="54" name="APRADelegate">
    <vt:lpwstr/>
  </property>
  <property fmtid="{D5CDD505-2E9C-101B-9397-08002B2CF9AE}" pid="55" name="APRAPeerReviewer">
    <vt:lpwstr/>
  </property>
  <property fmtid="{D5CDD505-2E9C-101B-9397-08002B2CF9AE}" pid="56" name="APRAStaff">
    <vt:lpwstr/>
  </property>
  <property fmtid="{D5CDD505-2E9C-101B-9397-08002B2CF9AE}" pid="57" name="APRANotifyRegistrar">
    <vt:bool>false</vt:bool>
  </property>
  <property fmtid="{D5CDD505-2E9C-101B-9397-08002B2CF9AE}" pid="58" name="APRAReviewer">
    <vt:lpwstr/>
  </property>
  <property fmtid="{D5CDD505-2E9C-101B-9397-08002B2CF9AE}" pid="59" name="APRALegislationRef">
    <vt:lpwstr>s14(1)</vt:lpwstr>
  </property>
  <property fmtid="{D5CDD505-2E9C-101B-9397-08002B2CF9AE}" pid="60" name="APRAToBeGazetted">
    <vt:bool>false</vt:bool>
  </property>
  <property fmtid="{D5CDD505-2E9C-101B-9397-08002B2CF9AE}" pid="61" name="pd5eb3932cdc44769efe1cf62794c8b4">
    <vt:lpwstr>Financial Sector (Shareholdings) Act 1998|0411bec2-38d3-4680-b195-d76a3cb7e00e</vt:lpwstr>
  </property>
  <property fmtid="{D5CDD505-2E9C-101B-9397-08002B2CF9AE}" pid="62" name="Sensitivity">
    <vt:lpwstr>OFFICIAL</vt:lpwstr>
  </property>
  <property fmtid="{D5CDD505-2E9C-101B-9397-08002B2CF9AE}" pid="63" name="jd7c79d217dc479b911f3961464794aa">
    <vt:lpwstr>Financial Sector (Shareholdings) Act 1998|0411bec2-38d3-4680-b195-d76a3cb7e00e</vt:lpwstr>
  </property>
  <property fmtid="{D5CDD505-2E9C-101B-9397-08002B2CF9AE}" pid="64" name="Approved By">
    <vt:lpwstr/>
  </property>
  <property fmtid="{D5CDD505-2E9C-101B-9397-08002B2CF9AE}" pid="65" name="Owner">
    <vt:lpwstr/>
  </property>
  <property fmtid="{D5CDD505-2E9C-101B-9397-08002B2CF9AE}" pid="66" name="Reviewer">
    <vt:lpwstr/>
  </property>
  <property fmtid="{D5CDD505-2E9C-101B-9397-08002B2CF9AE}" pid="67" name="TaxCatchAll">
    <vt:lpwstr>28;#;#45;#</vt:lpwstr>
  </property>
  <property fmtid="{D5CDD505-2E9C-101B-9397-08002B2CF9AE}" pid="68" name="ApprovedBy">
    <vt:lpwstr/>
  </property>
  <property fmtid="{D5CDD505-2E9C-101B-9397-08002B2CF9AE}" pid="69" name="Delegate">
    <vt:lpwstr/>
  </property>
  <property fmtid="{D5CDD505-2E9C-101B-9397-08002B2CF9AE}" pid="70" name="ga29a0036bd848f3be04e8a72e0ff975">
    <vt:lpwstr>Draft|0e1556d2-3fe8-443a-ada7-3620563b46b3</vt:lpwstr>
  </property>
  <property fmtid="{D5CDD505-2E9C-101B-9397-08002B2CF9AE}" pid="71" name="LinkToDocumentPack">
    <vt:lpwstr>, </vt:lpwstr>
  </property>
  <property fmtid="{D5CDD505-2E9C-101B-9397-08002B2CF9AE}" pid="72" name="Security classification">
    <vt:lpwstr>OFFICIAL: Sensitive (Legal privilege)</vt:lpwstr>
  </property>
  <property fmtid="{D5CDD505-2E9C-101B-9397-08002B2CF9AE}" pid="73" name="Peer Reviewer">
    <vt:lpwstr/>
  </property>
  <property fmtid="{D5CDD505-2E9C-101B-9397-08002B2CF9AE}" pid="74" name="ComplianceAssetId">
    <vt:lpwstr/>
  </property>
  <property fmtid="{D5CDD505-2E9C-101B-9397-08002B2CF9AE}" pid="75" name="TemplateUrl">
    <vt:lpwstr/>
  </property>
  <property fmtid="{D5CDD505-2E9C-101B-9397-08002B2CF9AE}" pid="76" name="xd_Signature">
    <vt:bool>false</vt:bool>
  </property>
  <property fmtid="{D5CDD505-2E9C-101B-9397-08002B2CF9AE}" pid="77" name="TriggerFlowInfo">
    <vt:lpwstr/>
  </property>
  <property fmtid="{D5CDD505-2E9C-101B-9397-08002B2CF9AE}" pid="78" name="xd_ProgID">
    <vt:lpwstr/>
  </property>
  <property fmtid="{D5CDD505-2E9C-101B-9397-08002B2CF9AE}" pid="79" name="PM_ProtectiveMarkingValue_Footer">
    <vt:lpwstr>OFFICIAL</vt:lpwstr>
  </property>
  <property fmtid="{D5CDD505-2E9C-101B-9397-08002B2CF9AE}" pid="80" name="PM_Originator_Hash_SHA1">
    <vt:lpwstr>CAEDD6FFD39C9B956310BA787F629BF93517C580</vt:lpwstr>
  </property>
  <property fmtid="{D5CDD505-2E9C-101B-9397-08002B2CF9AE}" pid="81" name="PM_SecurityClassification">
    <vt:lpwstr>OFFICIAL</vt:lpwstr>
  </property>
  <property fmtid="{D5CDD505-2E9C-101B-9397-08002B2CF9AE}" pid="82" name="PM_DisplayValueSecClassificationWithQualifier">
    <vt:lpwstr>OFFICIAL</vt:lpwstr>
  </property>
  <property fmtid="{D5CDD505-2E9C-101B-9397-08002B2CF9AE}" pid="83" name="PM_InsertionValue">
    <vt:lpwstr>OFFICIAL</vt:lpwstr>
  </property>
  <property fmtid="{D5CDD505-2E9C-101B-9397-08002B2CF9AE}" pid="84" name="PM_ProtectiveMarkingValue_Header">
    <vt:lpwstr>OFFICIAL</vt:lpwstr>
  </property>
  <property fmtid="{D5CDD505-2E9C-101B-9397-08002B2CF9AE}" pid="85" name="PM_OriginationTimeStamp">
    <vt:lpwstr>2023-09-03T02:08:26Z</vt:lpwstr>
  </property>
  <property fmtid="{D5CDD505-2E9C-101B-9397-08002B2CF9AE}" pid="86" name="PM_SecurityClassification_Prev">
    <vt:lpwstr>OFFICIAL</vt:lpwstr>
  </property>
  <property fmtid="{D5CDD505-2E9C-101B-9397-08002B2CF9AE}" pid="87" name="PM_Markers">
    <vt:lpwstr/>
  </property>
  <property fmtid="{D5CDD505-2E9C-101B-9397-08002B2CF9AE}" pid="88" name="PM_Display">
    <vt:lpwstr>OFFICIAL</vt:lpwstr>
  </property>
  <property fmtid="{D5CDD505-2E9C-101B-9397-08002B2CF9AE}" pid="89" name="PM_OriginatorUserAccountName_SHA256">
    <vt:lpwstr>62E5891C955EC4E3D7BAB2E0E8CA0BA56073FCE2592D093D13968D9858664423</vt:lpwstr>
  </property>
  <property fmtid="{D5CDD505-2E9C-101B-9397-08002B2CF9AE}" pid="90" name="PMUuid">
    <vt:lpwstr>v=2022.2;d=gov.au;g=46DD6D7C-8107-577B-BC6E-F348953B2E44</vt:lpwstr>
  </property>
  <property fmtid="{D5CDD505-2E9C-101B-9397-08002B2CF9AE}" pid="91" name="MSIP_Label_c0129afb-6481-4f92-bc9f-5a4a6346364d_Enabled">
    <vt:lpwstr>true</vt:lpwstr>
  </property>
  <property fmtid="{D5CDD505-2E9C-101B-9397-08002B2CF9AE}" pid="92" name="MSIP_Label_c0129afb-6481-4f92-bc9f-5a4a6346364d_Extended_MSFT_Method">
    <vt:lpwstr>Privileged</vt:lpwstr>
  </property>
  <property fmtid="{D5CDD505-2E9C-101B-9397-08002B2CF9AE}" pid="93" name="MSIP_Label_c0129afb-6481-4f92-bc9f-5a4a6346364d_Removed">
    <vt:lpwstr>False</vt:lpwstr>
  </property>
  <property fmtid="{D5CDD505-2E9C-101B-9397-08002B2CF9AE}" pid="94" name="MSIP_Label_c0129afb-6481-4f92-bc9f-5a4a6346364d_Name">
    <vt:lpwstr>OFFICIAL</vt:lpwstr>
  </property>
  <property fmtid="{D5CDD505-2E9C-101B-9397-08002B2CF9AE}" pid="95" name="MSIP_Label_c0129afb-6481-4f92-bc9f-5a4a6346364d_SetDate">
    <vt:lpwstr>2023-09-03T02:08:26Z</vt:lpwstr>
  </property>
  <property fmtid="{D5CDD505-2E9C-101B-9397-08002B2CF9AE}" pid="96" name="MSIP_Label_c0129afb-6481-4f92-bc9f-5a4a6346364d_SiteId">
    <vt:lpwstr>c05e3ffd-b491-4431-9809-e61d4dc78816</vt:lpwstr>
  </property>
  <property fmtid="{D5CDD505-2E9C-101B-9397-08002B2CF9AE}" pid="97" name="MSIP_Label_c0129afb-6481-4f92-bc9f-5a4a6346364d_Method">
    <vt:lpwstr>Privileged</vt:lpwstr>
  </property>
  <property fmtid="{D5CDD505-2E9C-101B-9397-08002B2CF9AE}" pid="98" name="MSIP_Label_c0129afb-6481-4f92-bc9f-5a4a6346364d_ContentBits">
    <vt:lpwstr>0</vt:lpwstr>
  </property>
  <property fmtid="{D5CDD505-2E9C-101B-9397-08002B2CF9AE}" pid="99" name="MSIP_Label_979e419e-e8b2-4040-9aa9-4bb9c70090d7_Extended_MSFT_Method">
    <vt:lpwstr>Standard</vt:lpwstr>
  </property>
  <property fmtid="{D5CDD505-2E9C-101B-9397-08002B2CF9AE}" pid="100" name="MSIP_Label_979e419e-e8b2-4040-9aa9-4bb9c70090d7_SetDate">
    <vt:lpwstr>2023-04-05T01:46:37Z</vt:lpwstr>
  </property>
  <property fmtid="{D5CDD505-2E9C-101B-9397-08002B2CF9AE}" pid="101" name="MSIP_Label_979e419e-e8b2-4040-9aa9-4bb9c70090d7_SiteId">
    <vt:lpwstr>c05e3ffd-b491-4431-9809-e61d4dc78816</vt:lpwstr>
  </property>
  <property fmtid="{D5CDD505-2E9C-101B-9397-08002B2CF9AE}" pid="102" name="MSIP_Label_979e419e-e8b2-4040-9aa9-4bb9c70090d7_ActionId">
    <vt:lpwstr>04af7d4b-3324-4b3d-aea5-740592e504a8</vt:lpwstr>
  </property>
  <property fmtid="{D5CDD505-2E9C-101B-9397-08002B2CF9AE}" pid="103" name="MSIP_Label_979e419e-e8b2-4040-9aa9-4bb9c70090d7_Enabled">
    <vt:lpwstr>True</vt:lpwstr>
  </property>
  <property fmtid="{D5CDD505-2E9C-101B-9397-08002B2CF9AE}" pid="104" name="MSIP_Label_979e419e-e8b2-4040-9aa9-4bb9c70090d7_Name">
    <vt:lpwstr>OFFICIAL - Sensitive</vt:lpwstr>
  </property>
  <property fmtid="{D5CDD505-2E9C-101B-9397-08002B2CF9AE}" pid="105" name="MediaServiceImageTags">
    <vt:lpwstr/>
  </property>
  <property fmtid="{D5CDD505-2E9C-101B-9397-08002B2CF9AE}" pid="106" name="PM_Hash_SHA1">
    <vt:lpwstr>9842268F793BEDD33513994EF053D4BDAB5B0536</vt:lpwstr>
  </property>
  <property fmtid="{D5CDD505-2E9C-101B-9397-08002B2CF9AE}" pid="107" name="PM_Hash_Salt_Prev">
    <vt:lpwstr>878A7B1AFE177554B66307493238F959</vt:lpwstr>
  </property>
  <property fmtid="{D5CDD505-2E9C-101B-9397-08002B2CF9AE}" pid="108" name="PM_Hash_Salt">
    <vt:lpwstr>EF53FAF3E0F610E5A3F899B897C7FD7F</vt:lpwstr>
  </property>
  <property fmtid="{D5CDD505-2E9C-101B-9397-08002B2CF9AE}" pid="109" name="PMHMAC">
    <vt:lpwstr>v=2022.1;a=SHA256;h=E690E91555FD00929A796AD9F2AD956E4B6594777BFFBCF784BEA021BB69E3C0</vt:lpwstr>
  </property>
  <property fmtid="{D5CDD505-2E9C-101B-9397-08002B2CF9AE}" pid="110" name="MSIP_Label_c0129afb-6481-4f92-bc9f-5a4a6346364d_ActionId">
    <vt:lpwstr>c9ab29de14fe4d3a9830869c3ca506e7</vt:lpwstr>
  </property>
  <property fmtid="{D5CDD505-2E9C-101B-9397-08002B2CF9AE}" pid="111" name="Legislation">
    <vt:lpwstr/>
  </property>
</Properties>
</file>