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1359A6" w:rsidRDefault="008467D1" w:rsidP="00584C92">
      <w:pPr>
        <w:spacing w:after="80"/>
        <w:rPr>
          <w:rFonts w:cs="Arial"/>
          <w:b/>
        </w:rPr>
      </w:pPr>
      <w:r w:rsidRPr="001359A6">
        <w:rPr>
          <w:noProof/>
          <w:lang w:eastAsia="en-AU"/>
        </w:rPr>
        <w:drawing>
          <wp:inline distT="0" distB="0" distL="0" distR="0" wp14:anchorId="58096CA2" wp14:editId="010E2032">
            <wp:extent cx="2409825" cy="704850"/>
            <wp:effectExtent l="0" t="0" r="9525" b="0"/>
            <wp:docPr id="3" name="Picture 3" descr="Australian Taxation Office logo, includes 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Taxation Office logo, includes the 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1359A6" w:rsidRDefault="00584C92" w:rsidP="00584C92">
      <w:pPr>
        <w:spacing w:after="80"/>
        <w:rPr>
          <w:rFonts w:cs="Arial"/>
          <w:bCs/>
          <w:sz w:val="18"/>
          <w:szCs w:val="18"/>
        </w:rPr>
      </w:pPr>
    </w:p>
    <w:p w14:paraId="486E620F" w14:textId="6E876BC4" w:rsidR="00584C92" w:rsidRPr="001359A6" w:rsidRDefault="00584C92" w:rsidP="00584C92">
      <w:pPr>
        <w:spacing w:after="80"/>
        <w:rPr>
          <w:rFonts w:cs="Arial"/>
          <w:b/>
          <w:sz w:val="28"/>
          <w:szCs w:val="28"/>
        </w:rPr>
      </w:pPr>
      <w:r w:rsidRPr="001359A6">
        <w:rPr>
          <w:rFonts w:cs="Arial"/>
          <w:b/>
          <w:sz w:val="28"/>
          <w:szCs w:val="28"/>
        </w:rPr>
        <w:t xml:space="preserve">Notice of Rulings </w:t>
      </w:r>
      <w:r w:rsidR="00003D9B" w:rsidRPr="001359A6">
        <w:rPr>
          <w:rFonts w:cs="Arial"/>
          <w:b/>
          <w:sz w:val="28"/>
          <w:szCs w:val="28"/>
        </w:rPr>
        <w:t>9 July 2025</w:t>
      </w:r>
    </w:p>
    <w:p w14:paraId="029B1A8C" w14:textId="0A469858" w:rsidR="009D1CB0" w:rsidRPr="001359A6" w:rsidRDefault="00AE1163" w:rsidP="00AE1163">
      <w:pPr>
        <w:rPr>
          <w:rFonts w:cs="Arial"/>
          <w:sz w:val="18"/>
          <w:szCs w:val="18"/>
          <w:u w:val="single"/>
        </w:rPr>
      </w:pPr>
      <w:r w:rsidRPr="001359A6">
        <w:br/>
      </w:r>
      <w:r w:rsidRPr="001359A6">
        <w:rPr>
          <w:rFonts w:cs="Arial"/>
          <w:sz w:val="18"/>
          <w:szCs w:val="18"/>
        </w:rPr>
        <w:t xml:space="preserve">The Commissioner of Taxation, </w:t>
      </w:r>
      <w:r w:rsidR="005C6E7E" w:rsidRPr="001359A6">
        <w:rPr>
          <w:rFonts w:cs="Arial"/>
          <w:sz w:val="18"/>
          <w:szCs w:val="18"/>
        </w:rPr>
        <w:t>Rob Heferen</w:t>
      </w:r>
      <w:r w:rsidRPr="001359A6">
        <w:rPr>
          <w:rFonts w:cs="Arial"/>
          <w:sz w:val="18"/>
          <w:szCs w:val="18"/>
        </w:rPr>
        <w:t xml:space="preserve">, gives notice by notifiable instrument under subsection 358-5(4) of Schedule 1 to the </w:t>
      </w:r>
      <w:r w:rsidRPr="001359A6">
        <w:rPr>
          <w:rFonts w:cs="Arial"/>
          <w:i/>
          <w:iCs/>
          <w:sz w:val="18"/>
          <w:szCs w:val="18"/>
        </w:rPr>
        <w:t>Taxation Administration Act 1953</w:t>
      </w:r>
      <w:r w:rsidRPr="001359A6">
        <w:rPr>
          <w:rFonts w:cs="Arial"/>
          <w:sz w:val="18"/>
          <w:szCs w:val="18"/>
        </w:rPr>
        <w:t xml:space="preserve"> of the following public rulings, copies of which can be obtained from </w:t>
      </w:r>
      <w:r w:rsidR="008D2AB9" w:rsidRPr="001359A6">
        <w:rPr>
          <w:rFonts w:cs="Arial"/>
          <w:sz w:val="18"/>
          <w:szCs w:val="18"/>
        </w:rPr>
        <w:t>ato.gov.au/law</w:t>
      </w:r>
    </w:p>
    <w:p w14:paraId="3E9F6E0A" w14:textId="0276A663" w:rsidR="00AE1163" w:rsidRPr="001359A6" w:rsidRDefault="00AE1163" w:rsidP="00AE1163">
      <w:pPr>
        <w:rPr>
          <w:rFonts w:cs="Arial"/>
          <w:sz w:val="18"/>
          <w:szCs w:val="18"/>
        </w:rPr>
      </w:pPr>
    </w:p>
    <w:tbl>
      <w:tblPr>
        <w:tblW w:w="9923" w:type="dxa"/>
        <w:tblLayout w:type="fixed"/>
        <w:tblLook w:val="0000" w:firstRow="0" w:lastRow="0" w:firstColumn="0" w:lastColumn="0" w:noHBand="0" w:noVBand="0"/>
      </w:tblPr>
      <w:tblGrid>
        <w:gridCol w:w="1984"/>
        <w:gridCol w:w="3686"/>
        <w:gridCol w:w="4253"/>
      </w:tblGrid>
      <w:tr w:rsidR="001359A6" w:rsidRPr="001359A6" w14:paraId="60962CF4" w14:textId="77777777" w:rsidTr="00B4789B">
        <w:tc>
          <w:tcPr>
            <w:tcW w:w="9923" w:type="dxa"/>
            <w:gridSpan w:val="3"/>
            <w:tcBorders>
              <w:top w:val="single" w:sz="6" w:space="0" w:color="auto"/>
              <w:left w:val="single" w:sz="6" w:space="0" w:color="auto"/>
              <w:bottom w:val="single" w:sz="6" w:space="0" w:color="auto"/>
              <w:right w:val="single" w:sz="6" w:space="0" w:color="auto"/>
            </w:tcBorders>
          </w:tcPr>
          <w:p w14:paraId="1ED4B0FA" w14:textId="0187F590" w:rsidR="008D0A06" w:rsidRPr="001359A6" w:rsidRDefault="008D0A06" w:rsidP="001359A6">
            <w:pPr>
              <w:pStyle w:val="Heading3"/>
              <w:keepLines/>
              <w:spacing w:before="60"/>
              <w:jc w:val="center"/>
              <w:rPr>
                <w:sz w:val="20"/>
                <w:szCs w:val="20"/>
              </w:rPr>
            </w:pPr>
            <w:r w:rsidRPr="001359A6">
              <w:rPr>
                <w:sz w:val="20"/>
                <w:szCs w:val="20"/>
              </w:rPr>
              <w:t xml:space="preserve">NOTICE OF </w:t>
            </w:r>
            <w:r w:rsidR="00874074" w:rsidRPr="001359A6">
              <w:rPr>
                <w:sz w:val="20"/>
                <w:szCs w:val="20"/>
              </w:rPr>
              <w:t>RULINGS</w:t>
            </w:r>
          </w:p>
        </w:tc>
      </w:tr>
      <w:tr w:rsidR="001359A6" w:rsidRPr="001359A6" w14:paraId="616B955D" w14:textId="77777777" w:rsidTr="00B4789B">
        <w:tc>
          <w:tcPr>
            <w:tcW w:w="1984" w:type="dxa"/>
            <w:tcBorders>
              <w:top w:val="single" w:sz="6" w:space="0" w:color="auto"/>
              <w:left w:val="single" w:sz="6" w:space="0" w:color="auto"/>
              <w:bottom w:val="single" w:sz="6" w:space="0" w:color="auto"/>
              <w:right w:val="single" w:sz="6" w:space="0" w:color="auto"/>
            </w:tcBorders>
            <w:vAlign w:val="center"/>
          </w:tcPr>
          <w:p w14:paraId="7C476713" w14:textId="77777777" w:rsidR="00114CB2" w:rsidRPr="001359A6" w:rsidRDefault="004242FC" w:rsidP="001359A6">
            <w:pPr>
              <w:pStyle w:val="Heading3"/>
              <w:keepLines/>
              <w:spacing w:before="60"/>
              <w:jc w:val="center"/>
              <w:rPr>
                <w:sz w:val="20"/>
                <w:szCs w:val="20"/>
              </w:rPr>
            </w:pPr>
            <w:r w:rsidRPr="001359A6">
              <w:rPr>
                <w:sz w:val="20"/>
                <w:szCs w:val="20"/>
              </w:rPr>
              <w:t>Ruling n</w:t>
            </w:r>
            <w:r w:rsidR="00114CB2" w:rsidRPr="001359A6">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5A4A4D52" w14:textId="77777777" w:rsidR="00114CB2" w:rsidRPr="001359A6" w:rsidRDefault="00114CB2" w:rsidP="001359A6">
            <w:pPr>
              <w:pStyle w:val="Heading3"/>
              <w:keepLines/>
              <w:spacing w:before="60"/>
              <w:jc w:val="center"/>
              <w:rPr>
                <w:sz w:val="20"/>
                <w:szCs w:val="20"/>
              </w:rPr>
            </w:pPr>
            <w:r w:rsidRPr="001359A6">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6F8521B8" w14:textId="77777777" w:rsidR="00114CB2" w:rsidRPr="001359A6" w:rsidRDefault="004242FC" w:rsidP="001359A6">
            <w:pPr>
              <w:pStyle w:val="Heading3"/>
              <w:keepLines/>
              <w:spacing w:before="60"/>
              <w:jc w:val="center"/>
              <w:rPr>
                <w:sz w:val="20"/>
                <w:szCs w:val="20"/>
              </w:rPr>
            </w:pPr>
            <w:r w:rsidRPr="001359A6">
              <w:rPr>
                <w:sz w:val="20"/>
                <w:szCs w:val="20"/>
              </w:rPr>
              <w:t>Brief d</w:t>
            </w:r>
            <w:r w:rsidR="00114CB2" w:rsidRPr="001359A6">
              <w:rPr>
                <w:sz w:val="20"/>
                <w:szCs w:val="20"/>
              </w:rPr>
              <w:t>escription</w:t>
            </w:r>
          </w:p>
        </w:tc>
      </w:tr>
      <w:tr w:rsidR="001359A6" w:rsidRPr="001359A6" w14:paraId="74D3D7D6" w14:textId="77777777" w:rsidTr="00B4789B">
        <w:tc>
          <w:tcPr>
            <w:tcW w:w="1984" w:type="dxa"/>
            <w:tcBorders>
              <w:top w:val="single" w:sz="6" w:space="0" w:color="auto"/>
              <w:left w:val="single" w:sz="6" w:space="0" w:color="auto"/>
              <w:bottom w:val="single" w:sz="6" w:space="0" w:color="auto"/>
              <w:right w:val="single" w:sz="6" w:space="0" w:color="auto"/>
            </w:tcBorders>
          </w:tcPr>
          <w:p w14:paraId="774E04FF" w14:textId="3A6AABC1" w:rsidR="00F278A7" w:rsidRPr="001359A6" w:rsidRDefault="001359A6" w:rsidP="001359A6">
            <w:pPr>
              <w:pStyle w:val="Header"/>
              <w:spacing w:before="60" w:after="60"/>
              <w:rPr>
                <w:rFonts w:cs="Arial"/>
                <w:sz w:val="20"/>
                <w:szCs w:val="20"/>
              </w:rPr>
            </w:pPr>
            <w:r w:rsidRPr="001359A6">
              <w:rPr>
                <w:rFonts w:cs="Arial"/>
                <w:sz w:val="20"/>
                <w:szCs w:val="20"/>
              </w:rPr>
              <w:t>CR 2025/45</w:t>
            </w:r>
          </w:p>
        </w:tc>
        <w:tc>
          <w:tcPr>
            <w:tcW w:w="3686" w:type="dxa"/>
            <w:tcBorders>
              <w:top w:val="single" w:sz="6" w:space="0" w:color="auto"/>
              <w:left w:val="single" w:sz="6" w:space="0" w:color="auto"/>
              <w:bottom w:val="single" w:sz="6" w:space="0" w:color="auto"/>
              <w:right w:val="single" w:sz="6" w:space="0" w:color="auto"/>
            </w:tcBorders>
          </w:tcPr>
          <w:p w14:paraId="0722A047" w14:textId="1AB3341D" w:rsidR="00F278A7" w:rsidRPr="001359A6" w:rsidRDefault="001359A6" w:rsidP="001359A6">
            <w:pPr>
              <w:pStyle w:val="Header"/>
              <w:spacing w:before="60" w:after="60"/>
              <w:rPr>
                <w:rFonts w:cs="Arial"/>
                <w:sz w:val="20"/>
                <w:szCs w:val="20"/>
              </w:rPr>
            </w:pPr>
            <w:r w:rsidRPr="001359A6">
              <w:rPr>
                <w:rFonts w:cs="Arial"/>
                <w:sz w:val="20"/>
                <w:szCs w:val="20"/>
              </w:rPr>
              <w:t>ACARP – research and development membership funding</w:t>
            </w:r>
          </w:p>
        </w:tc>
        <w:tc>
          <w:tcPr>
            <w:tcW w:w="4253" w:type="dxa"/>
            <w:tcBorders>
              <w:top w:val="single" w:sz="6" w:space="0" w:color="auto"/>
              <w:left w:val="single" w:sz="6" w:space="0" w:color="auto"/>
              <w:bottom w:val="single" w:sz="6" w:space="0" w:color="auto"/>
              <w:right w:val="single" w:sz="6" w:space="0" w:color="auto"/>
            </w:tcBorders>
          </w:tcPr>
          <w:p w14:paraId="5E769FFC" w14:textId="256E0FF0" w:rsidR="001359A6" w:rsidRPr="001359A6" w:rsidRDefault="001359A6" w:rsidP="001359A6">
            <w:pPr>
              <w:pStyle w:val="Numberedparagraph"/>
              <w:numPr>
                <w:ilvl w:val="0"/>
                <w:numId w:val="0"/>
              </w:numPr>
              <w:spacing w:before="60" w:after="60"/>
              <w:rPr>
                <w:sz w:val="20"/>
                <w:szCs w:val="20"/>
              </w:rPr>
            </w:pPr>
            <w:r w:rsidRPr="001359A6">
              <w:rPr>
                <w:sz w:val="20"/>
                <w:szCs w:val="20"/>
              </w:rPr>
              <w:t>This Ruling sets out tax consequences for research and development entities who are liable for levy contributions under ACARP to Australian Coal Research Limited</w:t>
            </w:r>
            <w:r w:rsidRPr="001359A6">
              <w:rPr>
                <w:i/>
                <w:sz w:val="20"/>
                <w:szCs w:val="20"/>
              </w:rPr>
              <w:t>.</w:t>
            </w:r>
          </w:p>
          <w:p w14:paraId="566B7E29" w14:textId="664AF272" w:rsidR="00F278A7" w:rsidRPr="001359A6" w:rsidRDefault="001359A6" w:rsidP="001359A6">
            <w:pPr>
              <w:pStyle w:val="Numberedparagraph"/>
              <w:numPr>
                <w:ilvl w:val="0"/>
                <w:numId w:val="0"/>
              </w:numPr>
              <w:spacing w:before="60" w:after="60"/>
              <w:rPr>
                <w:sz w:val="20"/>
                <w:szCs w:val="20"/>
              </w:rPr>
            </w:pPr>
            <w:r w:rsidRPr="001359A6">
              <w:rPr>
                <w:sz w:val="20"/>
                <w:szCs w:val="20"/>
              </w:rPr>
              <w:t>This Ruling applies to entities that enter into the scheme from 1 July 2025 to 30 June 2030.</w:t>
            </w:r>
          </w:p>
        </w:tc>
      </w:tr>
      <w:tr w:rsidR="001359A6" w:rsidRPr="001359A6" w14:paraId="535F6109" w14:textId="77777777" w:rsidTr="00B4789B">
        <w:tc>
          <w:tcPr>
            <w:tcW w:w="1984" w:type="dxa"/>
            <w:tcBorders>
              <w:top w:val="single" w:sz="6" w:space="0" w:color="auto"/>
              <w:left w:val="single" w:sz="6" w:space="0" w:color="auto"/>
              <w:bottom w:val="single" w:sz="6" w:space="0" w:color="auto"/>
              <w:right w:val="single" w:sz="6" w:space="0" w:color="auto"/>
            </w:tcBorders>
          </w:tcPr>
          <w:p w14:paraId="7E0C30FD" w14:textId="6DF3BB70" w:rsidR="00F278A7" w:rsidRPr="001359A6" w:rsidRDefault="001359A6" w:rsidP="001359A6">
            <w:pPr>
              <w:pStyle w:val="Header"/>
              <w:spacing w:before="60" w:after="60"/>
              <w:rPr>
                <w:rFonts w:cs="Arial"/>
                <w:sz w:val="20"/>
                <w:szCs w:val="20"/>
              </w:rPr>
            </w:pPr>
            <w:r w:rsidRPr="001359A6">
              <w:rPr>
                <w:rFonts w:cs="Arial"/>
                <w:sz w:val="20"/>
                <w:szCs w:val="20"/>
              </w:rPr>
              <w:t>CR 2025/46</w:t>
            </w:r>
          </w:p>
        </w:tc>
        <w:tc>
          <w:tcPr>
            <w:tcW w:w="3686" w:type="dxa"/>
            <w:tcBorders>
              <w:top w:val="single" w:sz="6" w:space="0" w:color="auto"/>
              <w:left w:val="single" w:sz="6" w:space="0" w:color="auto"/>
              <w:bottom w:val="single" w:sz="6" w:space="0" w:color="auto"/>
              <w:right w:val="single" w:sz="6" w:space="0" w:color="auto"/>
            </w:tcBorders>
          </w:tcPr>
          <w:p w14:paraId="34C04AAE" w14:textId="7614E572" w:rsidR="00F278A7" w:rsidRPr="001359A6" w:rsidRDefault="001359A6" w:rsidP="001359A6">
            <w:pPr>
              <w:pStyle w:val="Header"/>
              <w:spacing w:before="60" w:after="60"/>
              <w:rPr>
                <w:rFonts w:cs="Arial"/>
                <w:sz w:val="20"/>
                <w:szCs w:val="20"/>
              </w:rPr>
            </w:pPr>
            <w:r w:rsidRPr="001359A6">
              <w:rPr>
                <w:rFonts w:cs="Arial"/>
                <w:sz w:val="20"/>
                <w:szCs w:val="20"/>
              </w:rPr>
              <w:t>Eumundi Group Limited – scheme of arrangement and interim dividend</w:t>
            </w:r>
          </w:p>
        </w:tc>
        <w:tc>
          <w:tcPr>
            <w:tcW w:w="4253" w:type="dxa"/>
            <w:tcBorders>
              <w:top w:val="single" w:sz="6" w:space="0" w:color="auto"/>
              <w:left w:val="single" w:sz="6" w:space="0" w:color="auto"/>
              <w:bottom w:val="single" w:sz="6" w:space="0" w:color="auto"/>
              <w:right w:val="single" w:sz="6" w:space="0" w:color="auto"/>
            </w:tcBorders>
          </w:tcPr>
          <w:p w14:paraId="6C2874C0" w14:textId="487104C7" w:rsidR="001359A6" w:rsidRPr="001359A6" w:rsidRDefault="001359A6" w:rsidP="001359A6">
            <w:pPr>
              <w:pStyle w:val="Numberedparagraph"/>
              <w:numPr>
                <w:ilvl w:val="0"/>
                <w:numId w:val="0"/>
              </w:numPr>
              <w:spacing w:before="60" w:after="60"/>
              <w:rPr>
                <w:sz w:val="20"/>
                <w:szCs w:val="20"/>
              </w:rPr>
            </w:pPr>
            <w:r w:rsidRPr="001359A6">
              <w:rPr>
                <w:sz w:val="20"/>
                <w:szCs w:val="20"/>
              </w:rPr>
              <w:t>This Ruling sets out the income tax consequences for the interim dividend paid by Eumundi Group Limited on 13 January 2025 and the scheme of arrangement whereby SEQ Hospitality Group Pty Ltd acquired all the ordinary shares in Eumundi on 14 February 2025.</w:t>
            </w:r>
          </w:p>
          <w:p w14:paraId="4FFDB6EC" w14:textId="2024F69E" w:rsidR="00F278A7" w:rsidRPr="001359A6" w:rsidRDefault="001359A6" w:rsidP="001359A6">
            <w:pPr>
              <w:pStyle w:val="Numberedparagraph"/>
              <w:numPr>
                <w:ilvl w:val="0"/>
                <w:numId w:val="0"/>
              </w:numPr>
              <w:spacing w:before="60" w:after="60"/>
              <w:rPr>
                <w:sz w:val="20"/>
                <w:szCs w:val="20"/>
              </w:rPr>
            </w:pPr>
            <w:r w:rsidRPr="001359A6">
              <w:rPr>
                <w:sz w:val="20"/>
                <w:szCs w:val="20"/>
              </w:rPr>
              <w:t>This Ruling applies to shareholders specified in the Ruling from 1 July 2024 to 30 June 2025.</w:t>
            </w:r>
          </w:p>
        </w:tc>
      </w:tr>
    </w:tbl>
    <w:p w14:paraId="15C24E07" w14:textId="77777777" w:rsidR="00114CB2" w:rsidRPr="001359A6" w:rsidRDefault="00114CB2" w:rsidP="008D0A06">
      <w:pPr>
        <w:spacing w:after="60"/>
        <w:rPr>
          <w:sz w:val="18"/>
          <w:szCs w:val="18"/>
        </w:rPr>
      </w:pPr>
    </w:p>
    <w:sectPr w:rsidR="00114CB2" w:rsidRPr="001359A6"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4262"/>
    <w:multiLevelType w:val="hybridMultilevel"/>
    <w:tmpl w:val="02BA16E4"/>
    <w:lvl w:ilvl="0" w:tplc="69FA2028">
      <w:start w:val="1"/>
      <w:numFmt w:val="decimal"/>
      <w:pStyle w:val="Numberedparagraph"/>
      <w:lvlText w:val="%1."/>
      <w:lvlJc w:val="left"/>
      <w:pPr>
        <w:tabs>
          <w:tab w:val="num" w:pos="709"/>
        </w:tabs>
        <w:ind w:left="0" w:firstLine="0"/>
      </w:pPr>
      <w:rPr>
        <w:rFonts w:ascii="Arial" w:hAnsi="Arial" w:cs="Arial" w:hint="default"/>
        <w:i w:val="0"/>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580943143">
    <w:abstractNumId w:val="1"/>
  </w:num>
  <w:num w:numId="2" w16cid:durableId="115267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3D9B"/>
    <w:rsid w:val="00007360"/>
    <w:rsid w:val="00084784"/>
    <w:rsid w:val="000970F2"/>
    <w:rsid w:val="000E1F2B"/>
    <w:rsid w:val="000F1037"/>
    <w:rsid w:val="00105CCA"/>
    <w:rsid w:val="00114CB2"/>
    <w:rsid w:val="001359A6"/>
    <w:rsid w:val="00141674"/>
    <w:rsid w:val="00151647"/>
    <w:rsid w:val="00160BA0"/>
    <w:rsid w:val="00162794"/>
    <w:rsid w:val="00174BD4"/>
    <w:rsid w:val="00180A9A"/>
    <w:rsid w:val="001C2AAD"/>
    <w:rsid w:val="001C3060"/>
    <w:rsid w:val="001F6E54"/>
    <w:rsid w:val="00237961"/>
    <w:rsid w:val="00280BCD"/>
    <w:rsid w:val="002C0CCE"/>
    <w:rsid w:val="002D493C"/>
    <w:rsid w:val="002E1A8C"/>
    <w:rsid w:val="002F3FFB"/>
    <w:rsid w:val="00340F45"/>
    <w:rsid w:val="0036599C"/>
    <w:rsid w:val="00372678"/>
    <w:rsid w:val="0039702D"/>
    <w:rsid w:val="003A707F"/>
    <w:rsid w:val="003B0EC1"/>
    <w:rsid w:val="003B573B"/>
    <w:rsid w:val="003D05C0"/>
    <w:rsid w:val="003E648F"/>
    <w:rsid w:val="003F2CBD"/>
    <w:rsid w:val="004242FC"/>
    <w:rsid w:val="00424B97"/>
    <w:rsid w:val="00456620"/>
    <w:rsid w:val="004B2753"/>
    <w:rsid w:val="004C5A5D"/>
    <w:rsid w:val="004E56BF"/>
    <w:rsid w:val="00520873"/>
    <w:rsid w:val="00573D44"/>
    <w:rsid w:val="00584C92"/>
    <w:rsid w:val="005C6E7E"/>
    <w:rsid w:val="005D7EFC"/>
    <w:rsid w:val="005E7AE5"/>
    <w:rsid w:val="00616661"/>
    <w:rsid w:val="00636F01"/>
    <w:rsid w:val="00687158"/>
    <w:rsid w:val="006B1A9D"/>
    <w:rsid w:val="006B38CC"/>
    <w:rsid w:val="006E745A"/>
    <w:rsid w:val="00735017"/>
    <w:rsid w:val="00773255"/>
    <w:rsid w:val="007C490F"/>
    <w:rsid w:val="007E2CA6"/>
    <w:rsid w:val="007F191A"/>
    <w:rsid w:val="00827D16"/>
    <w:rsid w:val="00840A06"/>
    <w:rsid w:val="008439B7"/>
    <w:rsid w:val="008467D1"/>
    <w:rsid w:val="00851F51"/>
    <w:rsid w:val="008639C6"/>
    <w:rsid w:val="0087253F"/>
    <w:rsid w:val="00874074"/>
    <w:rsid w:val="00874399"/>
    <w:rsid w:val="008A0265"/>
    <w:rsid w:val="008A25CE"/>
    <w:rsid w:val="008D0A06"/>
    <w:rsid w:val="008D17C9"/>
    <w:rsid w:val="008D2AB9"/>
    <w:rsid w:val="008D30A5"/>
    <w:rsid w:val="008E22E3"/>
    <w:rsid w:val="008E4F6C"/>
    <w:rsid w:val="00930E40"/>
    <w:rsid w:val="0094219E"/>
    <w:rsid w:val="00943B8D"/>
    <w:rsid w:val="009539C7"/>
    <w:rsid w:val="0095650D"/>
    <w:rsid w:val="009641EC"/>
    <w:rsid w:val="009D1CB0"/>
    <w:rsid w:val="009F0F5E"/>
    <w:rsid w:val="009F72D9"/>
    <w:rsid w:val="00A00F21"/>
    <w:rsid w:val="00A41F5C"/>
    <w:rsid w:val="00A60CE8"/>
    <w:rsid w:val="00A83BCC"/>
    <w:rsid w:val="00A85D11"/>
    <w:rsid w:val="00AD0943"/>
    <w:rsid w:val="00AE1163"/>
    <w:rsid w:val="00AF7DAC"/>
    <w:rsid w:val="00B04E06"/>
    <w:rsid w:val="00B37626"/>
    <w:rsid w:val="00B4706B"/>
    <w:rsid w:val="00B4789B"/>
    <w:rsid w:val="00B6495D"/>
    <w:rsid w:val="00B84226"/>
    <w:rsid w:val="00B94593"/>
    <w:rsid w:val="00BB4D13"/>
    <w:rsid w:val="00BC3F4D"/>
    <w:rsid w:val="00BE2C61"/>
    <w:rsid w:val="00BF2DF1"/>
    <w:rsid w:val="00C33FB6"/>
    <w:rsid w:val="00C51D3C"/>
    <w:rsid w:val="00C63C4E"/>
    <w:rsid w:val="00CF7558"/>
    <w:rsid w:val="00D4639E"/>
    <w:rsid w:val="00D61839"/>
    <w:rsid w:val="00D77A88"/>
    <w:rsid w:val="00DC142B"/>
    <w:rsid w:val="00E4496C"/>
    <w:rsid w:val="00E6384F"/>
    <w:rsid w:val="00E823AE"/>
    <w:rsid w:val="00EB3C1D"/>
    <w:rsid w:val="00EB58D4"/>
    <w:rsid w:val="00ED2E52"/>
    <w:rsid w:val="00F232E7"/>
    <w:rsid w:val="00F278A7"/>
    <w:rsid w:val="00F40885"/>
    <w:rsid w:val="00F44FF5"/>
    <w:rsid w:val="00F831F5"/>
    <w:rsid w:val="00FA0A9F"/>
    <w:rsid w:val="00FB199F"/>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06AC0731"/>
  <w15:docId w15:val="{6A0526B9-403D-4ED8-B019-B329228A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customStyle="1" w:styleId="Numberedparagraph">
    <w:name w:val="Numbered paragraph"/>
    <w:basedOn w:val="Normal"/>
    <w:uiPriority w:val="6"/>
    <w:qFormat/>
    <w:rsid w:val="001359A6"/>
    <w:pPr>
      <w:numPr>
        <w:numId w:val="2"/>
      </w:numPr>
    </w:pPr>
    <w:rPr>
      <w:rFonts w:eastAsia="Times New Roman" w:cs="Arial"/>
      <w:lang w:eastAsia="en-AU"/>
    </w:rPr>
  </w:style>
  <w:style w:type="paragraph" w:styleId="Revision">
    <w:name w:val="Revision"/>
    <w:hidden/>
    <w:uiPriority w:val="99"/>
    <w:semiHidden/>
    <w:rsid w:val="008E22E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171</Words>
  <Characters>908</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Kai Ferguson</cp:lastModifiedBy>
  <cp:revision>6</cp:revision>
  <cp:lastPrinted>2013-06-24T01:35:00Z</cp:lastPrinted>
  <dcterms:created xsi:type="dcterms:W3CDTF">2025-07-04T00:34:00Z</dcterms:created>
  <dcterms:modified xsi:type="dcterms:W3CDTF">2025-07-04T04:27:00Z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f77f88-0a92-4c4a-b92a-f7fdfe5127c7_Enabled">
    <vt:lpwstr>true</vt:lpwstr>
  </property>
  <property fmtid="{D5CDD505-2E9C-101B-9397-08002B2CF9AE}" pid="3" name="MSIP_Label_1ff77f88-0a92-4c4a-b92a-f7fdfe5127c7_SetDate">
    <vt:lpwstr>2025-06-26T23:09:21Z</vt:lpwstr>
  </property>
  <property fmtid="{D5CDD505-2E9C-101B-9397-08002B2CF9AE}" pid="4" name="MSIP_Label_1ff77f88-0a92-4c4a-b92a-f7fdfe5127c7_Method">
    <vt:lpwstr>Privileged</vt:lpwstr>
  </property>
  <property fmtid="{D5CDD505-2E9C-101B-9397-08002B2CF9AE}" pid="5" name="MSIP_Label_1ff77f88-0a92-4c4a-b92a-f7fdfe5127c7_Name">
    <vt:lpwstr>OFFICIAL - Letterhead</vt:lpwstr>
  </property>
  <property fmtid="{D5CDD505-2E9C-101B-9397-08002B2CF9AE}" pid="6" name="MSIP_Label_1ff77f88-0a92-4c4a-b92a-f7fdfe5127c7_SiteId">
    <vt:lpwstr>8e823e99-cbcb-430f-a0f6-af1365c21e22</vt:lpwstr>
  </property>
  <property fmtid="{D5CDD505-2E9C-101B-9397-08002B2CF9AE}" pid="7" name="MSIP_Label_1ff77f88-0a92-4c4a-b92a-f7fdfe5127c7_ActionId">
    <vt:lpwstr>42fb9bdc-4cd0-4713-8571-5d887e1d9efb</vt:lpwstr>
  </property>
  <property fmtid="{D5CDD505-2E9C-101B-9397-08002B2CF9AE}" pid="8" name="MSIP_Label_1ff77f88-0a92-4c4a-b92a-f7fdfe5127c7_ContentBits">
    <vt:lpwstr>0</vt:lpwstr>
  </property>
</Properties>
</file>