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010E2032">
            <wp:extent cx="2409825" cy="704850"/>
            <wp:effectExtent l="0" t="0" r="9525" b="0"/>
            <wp:docPr id="3" name="Picture 3"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Taxation Office logo, includes the 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09EDBE82" w14:textId="0EFF714D" w:rsidR="00BB4D13" w:rsidRPr="00EB58D4" w:rsidRDefault="00BB4D13" w:rsidP="00BB4D13">
      <w:pPr>
        <w:spacing w:after="80"/>
        <w:rPr>
          <w:rFonts w:cs="Arial"/>
          <w:b/>
          <w:sz w:val="28"/>
          <w:szCs w:val="28"/>
        </w:rPr>
      </w:pPr>
      <w:r w:rsidRPr="00EB58D4">
        <w:rPr>
          <w:rFonts w:cs="Arial"/>
          <w:b/>
          <w:sz w:val="28"/>
          <w:szCs w:val="28"/>
        </w:rPr>
        <w:t xml:space="preserve">Notice of Rulings and Withdrawal of Rulings </w:t>
      </w:r>
      <w:r w:rsidR="00705A91">
        <w:rPr>
          <w:rFonts w:cs="Arial"/>
          <w:b/>
          <w:sz w:val="28"/>
          <w:szCs w:val="28"/>
        </w:rPr>
        <w:t>2 July 2025</w:t>
      </w:r>
    </w:p>
    <w:p w14:paraId="054D3AA5" w14:textId="38583EA4" w:rsidR="00AE1163" w:rsidRPr="00EB58D4" w:rsidRDefault="00AE1163" w:rsidP="00AE1163">
      <w:pPr>
        <w:rPr>
          <w:rFonts w:cs="Arial"/>
          <w:sz w:val="18"/>
          <w:szCs w:val="18"/>
        </w:rPr>
      </w:pPr>
      <w:r w:rsidRPr="00EB58D4">
        <w:rPr>
          <w:rFonts w:cs="Arial"/>
          <w:sz w:val="18"/>
          <w:szCs w:val="18"/>
        </w:rPr>
        <w:br/>
        <w:t xml:space="preserve">The Commissioner of Taxation, </w:t>
      </w:r>
      <w:r w:rsidR="00705A91">
        <w:rPr>
          <w:rFonts w:cs="Arial"/>
          <w:sz w:val="18"/>
          <w:szCs w:val="18"/>
        </w:rPr>
        <w:t xml:space="preserve">Rob </w:t>
      </w:r>
      <w:proofErr w:type="spellStart"/>
      <w:r w:rsidR="00705A91">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rulings, and under subsection 358-20(</w:t>
      </w:r>
      <w:r w:rsidR="001C3060">
        <w:rPr>
          <w:rFonts w:cs="Arial"/>
          <w:sz w:val="18"/>
          <w:szCs w:val="18"/>
        </w:rPr>
        <w:t>1</w:t>
      </w:r>
      <w:r w:rsidRPr="00EB58D4">
        <w:rPr>
          <w:rFonts w:cs="Arial"/>
          <w:sz w:val="18"/>
          <w:szCs w:val="18"/>
        </w:rPr>
        <w:t xml:space="preserve">) of Schedule 1 to the </w:t>
      </w:r>
      <w:r w:rsidRPr="00EB58D4">
        <w:rPr>
          <w:rFonts w:cs="Arial"/>
          <w:i/>
          <w:iCs/>
          <w:sz w:val="18"/>
          <w:szCs w:val="18"/>
        </w:rPr>
        <w:t>Taxation Admin</w:t>
      </w:r>
      <w:r w:rsidR="00162794" w:rsidRPr="00EB58D4">
        <w:rPr>
          <w:rFonts w:cs="Arial"/>
          <w:i/>
          <w:iCs/>
          <w:sz w:val="18"/>
          <w:szCs w:val="18"/>
        </w:rPr>
        <w:t>i</w:t>
      </w:r>
      <w:r w:rsidRPr="00EB58D4">
        <w:rPr>
          <w:rFonts w:cs="Arial"/>
          <w:i/>
          <w:iCs/>
          <w:sz w:val="18"/>
          <w:szCs w:val="18"/>
        </w:rPr>
        <w:t>stration Act 1953</w:t>
      </w:r>
      <w:r w:rsidRPr="00EB58D4">
        <w:rPr>
          <w:rFonts w:cs="Arial"/>
          <w:sz w:val="18"/>
          <w:szCs w:val="18"/>
        </w:rPr>
        <w:t xml:space="preserve"> of the withdrawal of the following public rulings, copies of which can be obtained from </w:t>
      </w:r>
      <w:r w:rsidR="008D2AB9" w:rsidRPr="00D4626D">
        <w:rPr>
          <w:rFonts w:cs="Arial"/>
          <w:sz w:val="18"/>
          <w:szCs w:val="18"/>
        </w:rPr>
        <w:t>ato.gov.au/law</w:t>
      </w:r>
    </w:p>
    <w:p w14:paraId="21869EB1" w14:textId="77777777" w:rsidR="00AE1163" w:rsidRPr="00EB58D4" w:rsidRDefault="00AE1163" w:rsidP="00D61839">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0943E4" w14:paraId="60962CF4" w14:textId="77777777" w:rsidTr="000943E4">
        <w:tc>
          <w:tcPr>
            <w:tcW w:w="9923" w:type="dxa"/>
            <w:gridSpan w:val="3"/>
            <w:tcBorders>
              <w:top w:val="single" w:sz="6" w:space="0" w:color="auto"/>
              <w:left w:val="single" w:sz="6" w:space="0" w:color="auto"/>
              <w:bottom w:val="single" w:sz="6" w:space="0" w:color="auto"/>
              <w:right w:val="single" w:sz="6" w:space="0" w:color="auto"/>
            </w:tcBorders>
          </w:tcPr>
          <w:p w14:paraId="1ED4B0FA" w14:textId="3520426B" w:rsidR="008D0A06" w:rsidRPr="000943E4" w:rsidRDefault="008D0A06" w:rsidP="000943E4">
            <w:pPr>
              <w:pStyle w:val="Heading3"/>
              <w:keepLines/>
              <w:spacing w:before="60"/>
              <w:jc w:val="center"/>
              <w:rPr>
                <w:sz w:val="20"/>
                <w:szCs w:val="20"/>
              </w:rPr>
            </w:pPr>
            <w:r w:rsidRPr="000943E4">
              <w:rPr>
                <w:sz w:val="20"/>
                <w:szCs w:val="20"/>
              </w:rPr>
              <w:t>NOTICE OF RULING</w:t>
            </w:r>
            <w:r w:rsidR="00874074" w:rsidRPr="000943E4">
              <w:rPr>
                <w:sz w:val="20"/>
                <w:szCs w:val="20"/>
              </w:rPr>
              <w:t>S</w:t>
            </w:r>
          </w:p>
        </w:tc>
      </w:tr>
      <w:tr w:rsidR="00114CB2" w:rsidRPr="000943E4" w14:paraId="616B955D" w14:textId="77777777" w:rsidTr="000943E4">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0943E4" w:rsidRDefault="004242FC" w:rsidP="000943E4">
            <w:pPr>
              <w:pStyle w:val="Heading3"/>
              <w:keepLines/>
              <w:spacing w:before="60"/>
              <w:jc w:val="center"/>
              <w:rPr>
                <w:sz w:val="20"/>
                <w:szCs w:val="20"/>
              </w:rPr>
            </w:pPr>
            <w:r w:rsidRPr="000943E4">
              <w:rPr>
                <w:sz w:val="20"/>
                <w:szCs w:val="20"/>
              </w:rPr>
              <w:t>Ruling n</w:t>
            </w:r>
            <w:r w:rsidR="00114CB2" w:rsidRPr="000943E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0943E4" w:rsidRDefault="00114CB2" w:rsidP="000943E4">
            <w:pPr>
              <w:pStyle w:val="Heading3"/>
              <w:keepLines/>
              <w:spacing w:before="60"/>
              <w:jc w:val="center"/>
              <w:rPr>
                <w:sz w:val="20"/>
                <w:szCs w:val="20"/>
              </w:rPr>
            </w:pPr>
            <w:r w:rsidRPr="000943E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0943E4" w:rsidRDefault="004242FC" w:rsidP="000943E4">
            <w:pPr>
              <w:pStyle w:val="Heading3"/>
              <w:keepLines/>
              <w:spacing w:before="60"/>
              <w:jc w:val="center"/>
              <w:rPr>
                <w:sz w:val="20"/>
                <w:szCs w:val="20"/>
              </w:rPr>
            </w:pPr>
            <w:r w:rsidRPr="000943E4">
              <w:rPr>
                <w:sz w:val="20"/>
                <w:szCs w:val="20"/>
              </w:rPr>
              <w:t>Brief d</w:t>
            </w:r>
            <w:r w:rsidR="00114CB2" w:rsidRPr="000943E4">
              <w:rPr>
                <w:sz w:val="20"/>
                <w:szCs w:val="20"/>
              </w:rPr>
              <w:t>escription</w:t>
            </w:r>
          </w:p>
        </w:tc>
      </w:tr>
      <w:tr w:rsidR="00F278A7" w:rsidRPr="000943E4" w14:paraId="74D3D7D6" w14:textId="77777777" w:rsidTr="000943E4">
        <w:tc>
          <w:tcPr>
            <w:tcW w:w="1984" w:type="dxa"/>
            <w:tcBorders>
              <w:top w:val="single" w:sz="6" w:space="0" w:color="auto"/>
              <w:left w:val="single" w:sz="6" w:space="0" w:color="auto"/>
              <w:bottom w:val="single" w:sz="6" w:space="0" w:color="auto"/>
              <w:right w:val="single" w:sz="6" w:space="0" w:color="auto"/>
            </w:tcBorders>
          </w:tcPr>
          <w:p w14:paraId="774E04FF" w14:textId="50B1A2E8" w:rsidR="00F278A7" w:rsidRPr="000943E4" w:rsidRDefault="00705A91" w:rsidP="000943E4">
            <w:pPr>
              <w:pStyle w:val="Header"/>
              <w:spacing w:before="60" w:after="60"/>
              <w:rPr>
                <w:rFonts w:cs="Arial"/>
                <w:sz w:val="20"/>
                <w:szCs w:val="20"/>
              </w:rPr>
            </w:pPr>
            <w:r w:rsidRPr="000943E4">
              <w:rPr>
                <w:rFonts w:cs="Arial"/>
                <w:sz w:val="20"/>
                <w:szCs w:val="20"/>
              </w:rPr>
              <w:t>CR 2025/43</w:t>
            </w:r>
          </w:p>
        </w:tc>
        <w:tc>
          <w:tcPr>
            <w:tcW w:w="3686" w:type="dxa"/>
            <w:tcBorders>
              <w:top w:val="single" w:sz="6" w:space="0" w:color="auto"/>
              <w:left w:val="single" w:sz="6" w:space="0" w:color="auto"/>
              <w:bottom w:val="single" w:sz="6" w:space="0" w:color="auto"/>
              <w:right w:val="single" w:sz="6" w:space="0" w:color="auto"/>
            </w:tcBorders>
          </w:tcPr>
          <w:p w14:paraId="0722A047" w14:textId="1ED37675" w:rsidR="00F278A7" w:rsidRPr="000943E4" w:rsidRDefault="00705A91" w:rsidP="000943E4">
            <w:pPr>
              <w:spacing w:before="60" w:after="60"/>
              <w:rPr>
                <w:rFonts w:cs="Arial"/>
                <w:sz w:val="20"/>
                <w:szCs w:val="20"/>
              </w:rPr>
            </w:pPr>
            <w:r w:rsidRPr="000943E4">
              <w:rPr>
                <w:rFonts w:cs="Arial"/>
                <w:sz w:val="20"/>
                <w:szCs w:val="20"/>
              </w:rPr>
              <w:t>Otto Energy Limited – return of capital and dividend</w:t>
            </w:r>
          </w:p>
        </w:tc>
        <w:tc>
          <w:tcPr>
            <w:tcW w:w="4253" w:type="dxa"/>
            <w:tcBorders>
              <w:top w:val="single" w:sz="6" w:space="0" w:color="auto"/>
              <w:left w:val="single" w:sz="6" w:space="0" w:color="auto"/>
              <w:bottom w:val="single" w:sz="6" w:space="0" w:color="auto"/>
              <w:right w:val="single" w:sz="6" w:space="0" w:color="auto"/>
            </w:tcBorders>
          </w:tcPr>
          <w:p w14:paraId="12D16BB1" w14:textId="3378B72E" w:rsidR="000943E4" w:rsidRPr="000943E4" w:rsidRDefault="000943E4" w:rsidP="000943E4">
            <w:pPr>
              <w:spacing w:before="60" w:after="60"/>
              <w:rPr>
                <w:rFonts w:cs="Arial"/>
                <w:sz w:val="20"/>
                <w:szCs w:val="20"/>
              </w:rPr>
            </w:pPr>
            <w:r w:rsidRPr="000943E4">
              <w:rPr>
                <w:rFonts w:cs="Arial"/>
                <w:sz w:val="20"/>
                <w:szCs w:val="20"/>
              </w:rPr>
              <w:t>This Ruling sets out the income tax consequences of the return of capital and dividend distribution to shareholders of Otto Energy Limited on 16 June 2025.</w:t>
            </w:r>
          </w:p>
          <w:p w14:paraId="566B7E29" w14:textId="4DEEB6F9" w:rsidR="00F278A7" w:rsidRPr="000943E4" w:rsidRDefault="000943E4" w:rsidP="000943E4">
            <w:pPr>
              <w:spacing w:before="60" w:after="60"/>
              <w:rPr>
                <w:rFonts w:cs="Arial"/>
                <w:sz w:val="20"/>
                <w:szCs w:val="20"/>
              </w:rPr>
            </w:pPr>
            <w:r w:rsidRPr="000943E4">
              <w:rPr>
                <w:rFonts w:cs="Arial"/>
                <w:sz w:val="20"/>
                <w:szCs w:val="20"/>
              </w:rPr>
              <w:t>This Ruling applies to shareholders specified in the Ruling from 1 July 2024 to 30 June 2025.</w:t>
            </w:r>
          </w:p>
        </w:tc>
      </w:tr>
      <w:tr w:rsidR="00F278A7" w:rsidRPr="000943E4" w14:paraId="535F6109" w14:textId="77777777" w:rsidTr="000943E4">
        <w:tc>
          <w:tcPr>
            <w:tcW w:w="1984" w:type="dxa"/>
            <w:tcBorders>
              <w:top w:val="single" w:sz="6" w:space="0" w:color="auto"/>
              <w:left w:val="single" w:sz="6" w:space="0" w:color="auto"/>
              <w:bottom w:val="single" w:sz="6" w:space="0" w:color="auto"/>
              <w:right w:val="single" w:sz="6" w:space="0" w:color="auto"/>
            </w:tcBorders>
          </w:tcPr>
          <w:p w14:paraId="7E0C30FD" w14:textId="551CF210" w:rsidR="00F278A7" w:rsidRPr="000943E4" w:rsidRDefault="00705A91" w:rsidP="000943E4">
            <w:pPr>
              <w:pStyle w:val="Header"/>
              <w:spacing w:before="60" w:after="60"/>
              <w:rPr>
                <w:rFonts w:cs="Arial"/>
                <w:sz w:val="20"/>
                <w:szCs w:val="20"/>
              </w:rPr>
            </w:pPr>
            <w:r w:rsidRPr="000943E4">
              <w:rPr>
                <w:rFonts w:cs="Arial"/>
                <w:sz w:val="20"/>
                <w:szCs w:val="20"/>
              </w:rPr>
              <w:t>CR 2025/44</w:t>
            </w:r>
          </w:p>
        </w:tc>
        <w:tc>
          <w:tcPr>
            <w:tcW w:w="3686" w:type="dxa"/>
            <w:tcBorders>
              <w:top w:val="single" w:sz="6" w:space="0" w:color="auto"/>
              <w:left w:val="single" w:sz="6" w:space="0" w:color="auto"/>
              <w:bottom w:val="single" w:sz="6" w:space="0" w:color="auto"/>
              <w:right w:val="single" w:sz="6" w:space="0" w:color="auto"/>
            </w:tcBorders>
          </w:tcPr>
          <w:p w14:paraId="34C04AAE" w14:textId="65A471F0" w:rsidR="00F278A7" w:rsidRPr="000943E4" w:rsidRDefault="00705A91" w:rsidP="000943E4">
            <w:pPr>
              <w:spacing w:before="60" w:after="60"/>
              <w:rPr>
                <w:rFonts w:cs="Arial"/>
                <w:sz w:val="20"/>
                <w:szCs w:val="20"/>
              </w:rPr>
            </w:pPr>
            <w:r w:rsidRPr="000943E4">
              <w:rPr>
                <w:rFonts w:cs="Arial"/>
                <w:sz w:val="20"/>
                <w:szCs w:val="20"/>
              </w:rPr>
              <w:t>FAR Ltd – return of capital</w:t>
            </w:r>
          </w:p>
        </w:tc>
        <w:tc>
          <w:tcPr>
            <w:tcW w:w="4253" w:type="dxa"/>
            <w:tcBorders>
              <w:top w:val="single" w:sz="6" w:space="0" w:color="auto"/>
              <w:left w:val="single" w:sz="6" w:space="0" w:color="auto"/>
              <w:bottom w:val="single" w:sz="6" w:space="0" w:color="auto"/>
              <w:right w:val="single" w:sz="6" w:space="0" w:color="auto"/>
            </w:tcBorders>
          </w:tcPr>
          <w:p w14:paraId="735A9170" w14:textId="392E2586" w:rsidR="000943E4" w:rsidRPr="000943E4" w:rsidRDefault="000943E4" w:rsidP="000943E4">
            <w:pPr>
              <w:pStyle w:val="Numberedparagraph"/>
              <w:numPr>
                <w:ilvl w:val="0"/>
                <w:numId w:val="0"/>
              </w:numPr>
              <w:spacing w:before="60" w:after="60"/>
              <w:rPr>
                <w:sz w:val="20"/>
                <w:szCs w:val="20"/>
              </w:rPr>
            </w:pPr>
            <w:r w:rsidRPr="000943E4">
              <w:rPr>
                <w:sz w:val="20"/>
                <w:szCs w:val="20"/>
              </w:rPr>
              <w:t>This Ruling sets out the income tax consequences for shareholders of FAR Ltd who received a return of capital payment 12 June 2025.</w:t>
            </w:r>
          </w:p>
          <w:p w14:paraId="4FFDB6EC" w14:textId="311D120F" w:rsidR="00F278A7" w:rsidRPr="000943E4" w:rsidRDefault="000943E4" w:rsidP="000943E4">
            <w:pPr>
              <w:pStyle w:val="Numberedparagraph"/>
              <w:numPr>
                <w:ilvl w:val="0"/>
                <w:numId w:val="0"/>
              </w:numPr>
              <w:spacing w:before="60" w:after="60"/>
              <w:rPr>
                <w:sz w:val="20"/>
                <w:szCs w:val="20"/>
              </w:rPr>
            </w:pPr>
            <w:r w:rsidRPr="000943E4">
              <w:rPr>
                <w:sz w:val="20"/>
                <w:szCs w:val="20"/>
              </w:rPr>
              <w:t>This Ruling applies to shareholders specified in the Ruling from 1 July 2024 to 30 June 2025.</w:t>
            </w:r>
          </w:p>
        </w:tc>
      </w:tr>
    </w:tbl>
    <w:p w14:paraId="15C24E07" w14:textId="77777777" w:rsidR="00114CB2" w:rsidRPr="00EB58D4" w:rsidRDefault="00114CB2"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0943E4" w14:paraId="3712F412"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5A3825E7" w14:textId="317E4442" w:rsidR="008D0A06" w:rsidRPr="000943E4" w:rsidRDefault="008D0A06" w:rsidP="000943E4">
            <w:pPr>
              <w:pStyle w:val="Heading3"/>
              <w:keepLines/>
              <w:spacing w:before="60"/>
              <w:jc w:val="center"/>
              <w:rPr>
                <w:sz w:val="20"/>
                <w:szCs w:val="20"/>
              </w:rPr>
            </w:pPr>
            <w:r w:rsidRPr="000943E4">
              <w:rPr>
                <w:sz w:val="20"/>
                <w:szCs w:val="20"/>
              </w:rPr>
              <w:t>NOTICE OF ADDEND</w:t>
            </w:r>
            <w:r w:rsidR="00CF7558" w:rsidRPr="000943E4">
              <w:rPr>
                <w:sz w:val="20"/>
                <w:szCs w:val="20"/>
              </w:rPr>
              <w:t>UM</w:t>
            </w:r>
          </w:p>
        </w:tc>
      </w:tr>
      <w:tr w:rsidR="008D0A06" w:rsidRPr="000943E4" w14:paraId="44896BC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6D2A389E" w14:textId="77777777" w:rsidR="008D0A06" w:rsidRPr="000943E4" w:rsidRDefault="004242FC" w:rsidP="000943E4">
            <w:pPr>
              <w:pStyle w:val="Heading3"/>
              <w:keepLines/>
              <w:spacing w:before="60"/>
              <w:jc w:val="center"/>
              <w:rPr>
                <w:sz w:val="20"/>
                <w:szCs w:val="20"/>
              </w:rPr>
            </w:pPr>
            <w:r w:rsidRPr="000943E4">
              <w:rPr>
                <w:sz w:val="20"/>
                <w:szCs w:val="20"/>
              </w:rPr>
              <w:t>Ruling n</w:t>
            </w:r>
            <w:r w:rsidR="008D0A06" w:rsidRPr="000943E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07CAFCB0" w14:textId="77777777" w:rsidR="008D0A06" w:rsidRPr="000943E4" w:rsidRDefault="008D0A06" w:rsidP="000943E4">
            <w:pPr>
              <w:pStyle w:val="Heading3"/>
              <w:keepLines/>
              <w:spacing w:before="60"/>
              <w:jc w:val="center"/>
              <w:rPr>
                <w:sz w:val="20"/>
                <w:szCs w:val="20"/>
              </w:rPr>
            </w:pPr>
            <w:r w:rsidRPr="000943E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114CA603" w14:textId="77777777" w:rsidR="008D0A06" w:rsidRPr="000943E4" w:rsidRDefault="004242FC" w:rsidP="000943E4">
            <w:pPr>
              <w:pStyle w:val="Heading3"/>
              <w:keepLines/>
              <w:spacing w:before="60"/>
              <w:jc w:val="center"/>
              <w:rPr>
                <w:sz w:val="20"/>
                <w:szCs w:val="20"/>
              </w:rPr>
            </w:pPr>
            <w:r w:rsidRPr="000943E4">
              <w:rPr>
                <w:sz w:val="20"/>
                <w:szCs w:val="20"/>
              </w:rPr>
              <w:t>Brief d</w:t>
            </w:r>
            <w:r w:rsidR="008D0A06" w:rsidRPr="000943E4">
              <w:rPr>
                <w:sz w:val="20"/>
                <w:szCs w:val="20"/>
              </w:rPr>
              <w:t>escription</w:t>
            </w:r>
          </w:p>
        </w:tc>
      </w:tr>
      <w:tr w:rsidR="00F278A7" w:rsidRPr="000943E4" w14:paraId="4D9061E7" w14:textId="77777777" w:rsidTr="00B4789B">
        <w:tc>
          <w:tcPr>
            <w:tcW w:w="1984" w:type="dxa"/>
            <w:tcBorders>
              <w:top w:val="single" w:sz="6" w:space="0" w:color="auto"/>
              <w:left w:val="single" w:sz="6" w:space="0" w:color="auto"/>
              <w:bottom w:val="single" w:sz="6" w:space="0" w:color="auto"/>
              <w:right w:val="single" w:sz="6" w:space="0" w:color="auto"/>
            </w:tcBorders>
          </w:tcPr>
          <w:p w14:paraId="66F95F7A" w14:textId="27370DD1" w:rsidR="00F278A7" w:rsidRPr="000943E4" w:rsidRDefault="00705A91" w:rsidP="000943E4">
            <w:pPr>
              <w:pStyle w:val="Header"/>
              <w:spacing w:before="60" w:after="60"/>
              <w:rPr>
                <w:rFonts w:cs="Arial"/>
                <w:sz w:val="20"/>
                <w:szCs w:val="20"/>
              </w:rPr>
            </w:pPr>
            <w:r w:rsidRPr="000943E4">
              <w:rPr>
                <w:rFonts w:cs="Arial"/>
                <w:sz w:val="20"/>
                <w:szCs w:val="20"/>
              </w:rPr>
              <w:t>TR 97/7</w:t>
            </w:r>
          </w:p>
        </w:tc>
        <w:tc>
          <w:tcPr>
            <w:tcW w:w="3686" w:type="dxa"/>
            <w:tcBorders>
              <w:top w:val="single" w:sz="6" w:space="0" w:color="auto"/>
              <w:left w:val="single" w:sz="6" w:space="0" w:color="auto"/>
              <w:bottom w:val="single" w:sz="6" w:space="0" w:color="auto"/>
              <w:right w:val="single" w:sz="6" w:space="0" w:color="auto"/>
            </w:tcBorders>
          </w:tcPr>
          <w:p w14:paraId="07D0BA85" w14:textId="440E86DE" w:rsidR="00F278A7" w:rsidRPr="000943E4" w:rsidRDefault="00705A91" w:rsidP="000943E4">
            <w:pPr>
              <w:spacing w:before="60" w:after="60"/>
              <w:rPr>
                <w:rFonts w:cs="Arial"/>
                <w:sz w:val="20"/>
                <w:szCs w:val="20"/>
              </w:rPr>
            </w:pPr>
            <w:r w:rsidRPr="000943E4">
              <w:rPr>
                <w:rFonts w:cs="Arial"/>
                <w:sz w:val="20"/>
                <w:szCs w:val="20"/>
              </w:rPr>
              <w:t>Income tax:</w:t>
            </w:r>
            <w:r w:rsidR="008F3494">
              <w:rPr>
                <w:rFonts w:cs="Arial"/>
                <w:sz w:val="20"/>
                <w:szCs w:val="20"/>
              </w:rPr>
              <w:t xml:space="preserve"> </w:t>
            </w:r>
            <w:r w:rsidRPr="000943E4">
              <w:rPr>
                <w:rFonts w:cs="Arial"/>
                <w:sz w:val="20"/>
                <w:szCs w:val="20"/>
              </w:rPr>
              <w:t xml:space="preserve"> </w:t>
            </w:r>
            <w:r w:rsidR="008F3494">
              <w:rPr>
                <w:rFonts w:cs="Arial"/>
                <w:sz w:val="20"/>
                <w:szCs w:val="20"/>
              </w:rPr>
              <w:t>s</w:t>
            </w:r>
            <w:r w:rsidRPr="000943E4">
              <w:rPr>
                <w:rFonts w:cs="Arial"/>
                <w:sz w:val="20"/>
                <w:szCs w:val="20"/>
              </w:rPr>
              <w:t>ection 8-1 – meaning of ‘incurred’ – timing of deductions</w:t>
            </w:r>
          </w:p>
        </w:tc>
        <w:tc>
          <w:tcPr>
            <w:tcW w:w="4253" w:type="dxa"/>
            <w:tcBorders>
              <w:top w:val="single" w:sz="6" w:space="0" w:color="auto"/>
              <w:left w:val="single" w:sz="6" w:space="0" w:color="auto"/>
              <w:bottom w:val="single" w:sz="6" w:space="0" w:color="auto"/>
              <w:right w:val="single" w:sz="6" w:space="0" w:color="auto"/>
            </w:tcBorders>
          </w:tcPr>
          <w:p w14:paraId="4592786D" w14:textId="7B55FB75" w:rsidR="000943E4" w:rsidRPr="000943E4" w:rsidRDefault="000943E4" w:rsidP="000943E4">
            <w:pPr>
              <w:spacing w:before="60" w:after="60"/>
              <w:rPr>
                <w:rFonts w:cs="Arial"/>
                <w:sz w:val="20"/>
                <w:szCs w:val="20"/>
              </w:rPr>
            </w:pPr>
            <w:r w:rsidRPr="000943E4">
              <w:rPr>
                <w:rFonts w:cs="Arial"/>
                <w:sz w:val="20"/>
                <w:szCs w:val="20"/>
              </w:rPr>
              <w:t>This addendum amends</w:t>
            </w:r>
            <w:bookmarkStart w:id="0" w:name="_Hlk59107639"/>
            <w:r w:rsidRPr="000943E4">
              <w:rPr>
                <w:rFonts w:cs="Arial"/>
                <w:sz w:val="20"/>
                <w:szCs w:val="20"/>
              </w:rPr>
              <w:t xml:space="preserve"> </w:t>
            </w:r>
            <w:bookmarkEnd w:id="0"/>
            <w:r w:rsidRPr="000943E4">
              <w:rPr>
                <w:rFonts w:cs="Arial"/>
                <w:sz w:val="20"/>
                <w:szCs w:val="20"/>
              </w:rPr>
              <w:t xml:space="preserve">Taxation Ruling TR 97/7 to clarify when a loss is incurred, and to draw the distinction between losses and outgoings, following the decision in </w:t>
            </w:r>
            <w:r w:rsidRPr="000943E4">
              <w:rPr>
                <w:rFonts w:cs="Arial"/>
                <w:i/>
                <w:iCs/>
                <w:sz w:val="20"/>
                <w:szCs w:val="20"/>
              </w:rPr>
              <w:t>Bowerman and Commissioner of Taxation</w:t>
            </w:r>
            <w:r w:rsidRPr="000943E4">
              <w:rPr>
                <w:rFonts w:cs="Arial"/>
                <w:sz w:val="20"/>
                <w:szCs w:val="20"/>
              </w:rPr>
              <w:t xml:space="preserve"> [2023] AATA 3547.</w:t>
            </w:r>
          </w:p>
          <w:p w14:paraId="6D9022B5" w14:textId="4EBD45B6" w:rsidR="00F278A7" w:rsidRPr="000943E4" w:rsidRDefault="000943E4" w:rsidP="000943E4">
            <w:pPr>
              <w:spacing w:before="60" w:after="60"/>
              <w:rPr>
                <w:rFonts w:cs="Arial"/>
                <w:sz w:val="20"/>
                <w:szCs w:val="20"/>
              </w:rPr>
            </w:pPr>
            <w:r w:rsidRPr="000943E4">
              <w:rPr>
                <w:rFonts w:cs="Arial"/>
                <w:sz w:val="20"/>
                <w:szCs w:val="20"/>
              </w:rPr>
              <w:t>This Addendum applies before and after date of issue.</w:t>
            </w:r>
          </w:p>
        </w:tc>
      </w:tr>
    </w:tbl>
    <w:p w14:paraId="3708C757" w14:textId="68532D4D" w:rsidR="008D0A06" w:rsidRPr="00EB58D4" w:rsidRDefault="008D0A06"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0943E4" w14:paraId="74124813"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66D42813" w14:textId="03707A66" w:rsidR="008D0A06" w:rsidRPr="000943E4" w:rsidRDefault="008D0A06" w:rsidP="000943E4">
            <w:pPr>
              <w:pStyle w:val="Heading3"/>
              <w:keepLines/>
              <w:spacing w:before="60"/>
              <w:jc w:val="center"/>
              <w:rPr>
                <w:sz w:val="20"/>
                <w:szCs w:val="20"/>
              </w:rPr>
            </w:pPr>
            <w:r w:rsidRPr="000943E4">
              <w:rPr>
                <w:sz w:val="20"/>
                <w:szCs w:val="20"/>
              </w:rPr>
              <w:t>NOTICE OF WITHDRAWAL</w:t>
            </w:r>
          </w:p>
        </w:tc>
      </w:tr>
      <w:tr w:rsidR="008D0A06" w:rsidRPr="000943E4" w14:paraId="5B71555E"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6405AC" w14:textId="77777777" w:rsidR="008D0A06" w:rsidRPr="000943E4" w:rsidRDefault="004242FC" w:rsidP="000943E4">
            <w:pPr>
              <w:pStyle w:val="Heading3"/>
              <w:keepLines/>
              <w:spacing w:before="60"/>
              <w:jc w:val="center"/>
              <w:rPr>
                <w:sz w:val="20"/>
                <w:szCs w:val="20"/>
              </w:rPr>
            </w:pPr>
            <w:r w:rsidRPr="000943E4">
              <w:rPr>
                <w:sz w:val="20"/>
                <w:szCs w:val="20"/>
              </w:rPr>
              <w:t>Ruling n</w:t>
            </w:r>
            <w:r w:rsidR="008D0A06" w:rsidRPr="000943E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243A9298" w14:textId="77777777" w:rsidR="008D0A06" w:rsidRPr="000943E4" w:rsidRDefault="008D0A06" w:rsidP="000943E4">
            <w:pPr>
              <w:pStyle w:val="Heading3"/>
              <w:keepLines/>
              <w:spacing w:before="60"/>
              <w:jc w:val="center"/>
              <w:rPr>
                <w:sz w:val="20"/>
                <w:szCs w:val="20"/>
              </w:rPr>
            </w:pPr>
            <w:r w:rsidRPr="000943E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7616957A" w14:textId="77777777" w:rsidR="008D0A06" w:rsidRPr="000943E4" w:rsidRDefault="004242FC" w:rsidP="000943E4">
            <w:pPr>
              <w:pStyle w:val="Heading3"/>
              <w:keepLines/>
              <w:spacing w:before="60"/>
              <w:jc w:val="center"/>
              <w:rPr>
                <w:sz w:val="20"/>
                <w:szCs w:val="20"/>
              </w:rPr>
            </w:pPr>
            <w:r w:rsidRPr="000943E4">
              <w:rPr>
                <w:sz w:val="20"/>
                <w:szCs w:val="20"/>
              </w:rPr>
              <w:t>Brief d</w:t>
            </w:r>
            <w:r w:rsidR="008D0A06" w:rsidRPr="000943E4">
              <w:rPr>
                <w:sz w:val="20"/>
                <w:szCs w:val="20"/>
              </w:rPr>
              <w:t>escription</w:t>
            </w:r>
          </w:p>
        </w:tc>
      </w:tr>
      <w:tr w:rsidR="00F278A7" w:rsidRPr="000943E4" w14:paraId="7CB6B13D" w14:textId="77777777" w:rsidTr="00B4789B">
        <w:tc>
          <w:tcPr>
            <w:tcW w:w="1984" w:type="dxa"/>
            <w:tcBorders>
              <w:top w:val="single" w:sz="6" w:space="0" w:color="auto"/>
              <w:left w:val="single" w:sz="6" w:space="0" w:color="auto"/>
              <w:bottom w:val="single" w:sz="6" w:space="0" w:color="auto"/>
              <w:right w:val="single" w:sz="6" w:space="0" w:color="auto"/>
            </w:tcBorders>
          </w:tcPr>
          <w:p w14:paraId="25E4CE4B" w14:textId="5987B9FB" w:rsidR="00F278A7" w:rsidRPr="000943E4" w:rsidRDefault="00705A91" w:rsidP="000943E4">
            <w:pPr>
              <w:pStyle w:val="Header"/>
              <w:spacing w:before="60" w:after="60"/>
              <w:rPr>
                <w:rFonts w:cs="Arial"/>
                <w:sz w:val="20"/>
                <w:szCs w:val="20"/>
              </w:rPr>
            </w:pPr>
            <w:r w:rsidRPr="000943E4">
              <w:rPr>
                <w:rFonts w:cs="Arial"/>
                <w:sz w:val="20"/>
                <w:szCs w:val="20"/>
              </w:rPr>
              <w:t>TD 2019/11W</w:t>
            </w:r>
          </w:p>
        </w:tc>
        <w:tc>
          <w:tcPr>
            <w:tcW w:w="3686" w:type="dxa"/>
            <w:tcBorders>
              <w:top w:val="single" w:sz="6" w:space="0" w:color="auto"/>
              <w:left w:val="single" w:sz="6" w:space="0" w:color="auto"/>
              <w:bottom w:val="single" w:sz="6" w:space="0" w:color="auto"/>
              <w:right w:val="single" w:sz="6" w:space="0" w:color="auto"/>
            </w:tcBorders>
          </w:tcPr>
          <w:p w14:paraId="55CAD03D" w14:textId="72E55C50" w:rsidR="00F278A7" w:rsidRPr="000943E4" w:rsidRDefault="00705A91" w:rsidP="000943E4">
            <w:pPr>
              <w:pStyle w:val="Header"/>
              <w:spacing w:before="60" w:after="60"/>
              <w:rPr>
                <w:rFonts w:cs="Arial"/>
                <w:sz w:val="20"/>
                <w:szCs w:val="20"/>
              </w:rPr>
            </w:pPr>
            <w:r w:rsidRPr="000943E4">
              <w:rPr>
                <w:rFonts w:cs="Arial"/>
                <w:sz w:val="20"/>
                <w:szCs w:val="20"/>
              </w:rPr>
              <w:t>Income tax:  what are the reasonable travel and overtime meal allowance expense amounts for the 2019-20 income year?</w:t>
            </w:r>
          </w:p>
        </w:tc>
        <w:tc>
          <w:tcPr>
            <w:tcW w:w="4253" w:type="dxa"/>
            <w:tcBorders>
              <w:top w:val="single" w:sz="6" w:space="0" w:color="auto"/>
              <w:left w:val="single" w:sz="6" w:space="0" w:color="auto"/>
              <w:bottom w:val="single" w:sz="6" w:space="0" w:color="auto"/>
              <w:right w:val="single" w:sz="6" w:space="0" w:color="auto"/>
            </w:tcBorders>
          </w:tcPr>
          <w:p w14:paraId="60A38874" w14:textId="4BFDBEF5" w:rsidR="000943E4" w:rsidRPr="000943E4" w:rsidRDefault="000943E4" w:rsidP="000943E4">
            <w:pPr>
              <w:pStyle w:val="Numberedpara"/>
              <w:numPr>
                <w:ilvl w:val="0"/>
                <w:numId w:val="0"/>
              </w:numPr>
              <w:spacing w:before="60" w:after="60"/>
              <w:rPr>
                <w:sz w:val="20"/>
                <w:szCs w:val="20"/>
              </w:rPr>
            </w:pPr>
            <w:r w:rsidRPr="000943E4">
              <w:rPr>
                <w:sz w:val="20"/>
                <w:szCs w:val="20"/>
              </w:rPr>
              <w:t>TD 2019/11 is being withdrawn as its date of effect has ceased. The Determination will continue to be legally binding on the Commissioner for the relevant period to which it relates.</w:t>
            </w:r>
          </w:p>
        </w:tc>
      </w:tr>
    </w:tbl>
    <w:p w14:paraId="340251D0" w14:textId="77777777" w:rsidR="00FA0A9F" w:rsidRPr="008D0A06" w:rsidRDefault="00FA0A9F" w:rsidP="008D0A06">
      <w:pPr>
        <w:spacing w:after="60"/>
        <w:rPr>
          <w:sz w:val="18"/>
          <w:szCs w:val="18"/>
        </w:rPr>
      </w:pPr>
    </w:p>
    <w:sectPr w:rsidR="00FA0A9F" w:rsidRPr="008D0A06"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065F" w14:textId="77777777" w:rsidR="008F3494" w:rsidRDefault="008F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42A0" w14:textId="77777777" w:rsidR="008F3494" w:rsidRDefault="008F3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40F3" w14:textId="77777777" w:rsidR="008F3494" w:rsidRDefault="008F3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2885" w14:textId="77777777" w:rsidR="008F3494" w:rsidRDefault="008F3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CB1" w14:textId="77777777" w:rsidR="008F3494" w:rsidRDefault="008F3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4262"/>
    <w:multiLevelType w:val="hybridMultilevel"/>
    <w:tmpl w:val="D3061680"/>
    <w:lvl w:ilvl="0" w:tplc="69FA2028">
      <w:start w:val="1"/>
      <w:numFmt w:val="decimal"/>
      <w:pStyle w:val="Numberedparagraph"/>
      <w:lvlText w:val="%1."/>
      <w:lvlJc w:val="left"/>
      <w:pPr>
        <w:tabs>
          <w:tab w:val="num" w:pos="709"/>
        </w:tabs>
        <w:ind w:left="0" w:firstLine="0"/>
      </w:pPr>
      <w:rPr>
        <w:rFonts w:ascii="Arial" w:hAnsi="Arial" w:cs="Arial" w:hint="default"/>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2E2E94"/>
    <w:multiLevelType w:val="hybridMultilevel"/>
    <w:tmpl w:val="C9A8F0A0"/>
    <w:lvl w:ilvl="0" w:tplc="C78AA61A">
      <w:start w:val="1"/>
      <w:numFmt w:val="decimal"/>
      <w:pStyle w:val="Numberedpara"/>
      <w:lvlText w:val="%1."/>
      <w:lvlJc w:val="left"/>
      <w:pPr>
        <w:tabs>
          <w:tab w:val="num" w:pos="720"/>
        </w:tabs>
        <w:ind w:left="720" w:hanging="360"/>
      </w:pPr>
      <w:rPr>
        <w:rFonts w:ascii="Arial" w:hAnsi="Arial" w:cs="Arial" w:hint="default"/>
        <w:b w:val="0"/>
        <w:bCs/>
        <w:i w:val="0"/>
        <w:color w:val="auto"/>
        <w:sz w:val="22"/>
        <w:szCs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580943143">
    <w:abstractNumId w:val="2"/>
  </w:num>
  <w:num w:numId="2" w16cid:durableId="1317614286">
    <w:abstractNumId w:val="1"/>
  </w:num>
  <w:num w:numId="3" w16cid:durableId="115267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84784"/>
    <w:rsid w:val="000943E4"/>
    <w:rsid w:val="000970F2"/>
    <w:rsid w:val="000E1F2B"/>
    <w:rsid w:val="00105CCA"/>
    <w:rsid w:val="00114CB2"/>
    <w:rsid w:val="00141674"/>
    <w:rsid w:val="00151647"/>
    <w:rsid w:val="00160BA0"/>
    <w:rsid w:val="00162794"/>
    <w:rsid w:val="00174BD4"/>
    <w:rsid w:val="00180A9A"/>
    <w:rsid w:val="001C2AAD"/>
    <w:rsid w:val="001C3060"/>
    <w:rsid w:val="001F4B45"/>
    <w:rsid w:val="001F6E54"/>
    <w:rsid w:val="00237961"/>
    <w:rsid w:val="00280BCD"/>
    <w:rsid w:val="002C0CCE"/>
    <w:rsid w:val="002D493C"/>
    <w:rsid w:val="002E1A8C"/>
    <w:rsid w:val="002F3FFB"/>
    <w:rsid w:val="0036599C"/>
    <w:rsid w:val="00372678"/>
    <w:rsid w:val="003921B8"/>
    <w:rsid w:val="0039702D"/>
    <w:rsid w:val="003A707F"/>
    <w:rsid w:val="003B0EC1"/>
    <w:rsid w:val="003B573B"/>
    <w:rsid w:val="003D05C0"/>
    <w:rsid w:val="003F2CBD"/>
    <w:rsid w:val="004242FC"/>
    <w:rsid w:val="00424B97"/>
    <w:rsid w:val="00456620"/>
    <w:rsid w:val="004B2753"/>
    <w:rsid w:val="004C5A5D"/>
    <w:rsid w:val="004E56BF"/>
    <w:rsid w:val="00520873"/>
    <w:rsid w:val="00573D44"/>
    <w:rsid w:val="00584C92"/>
    <w:rsid w:val="005C6E7E"/>
    <w:rsid w:val="005D7EFC"/>
    <w:rsid w:val="005E7AE5"/>
    <w:rsid w:val="00616661"/>
    <w:rsid w:val="00636F01"/>
    <w:rsid w:val="006B1A9D"/>
    <w:rsid w:val="006B38CC"/>
    <w:rsid w:val="006E745A"/>
    <w:rsid w:val="00705A91"/>
    <w:rsid w:val="00735017"/>
    <w:rsid w:val="00742E08"/>
    <w:rsid w:val="00773255"/>
    <w:rsid w:val="007C490F"/>
    <w:rsid w:val="007E2CA6"/>
    <w:rsid w:val="007F191A"/>
    <w:rsid w:val="00827D16"/>
    <w:rsid w:val="00840A06"/>
    <w:rsid w:val="00841C3F"/>
    <w:rsid w:val="008439B7"/>
    <w:rsid w:val="008467D1"/>
    <w:rsid w:val="00851F51"/>
    <w:rsid w:val="008639C6"/>
    <w:rsid w:val="0087253F"/>
    <w:rsid w:val="00874074"/>
    <w:rsid w:val="00874399"/>
    <w:rsid w:val="008A25CE"/>
    <w:rsid w:val="008D0A06"/>
    <w:rsid w:val="008D17C9"/>
    <w:rsid w:val="008D2AB9"/>
    <w:rsid w:val="008D30A5"/>
    <w:rsid w:val="008E4F6C"/>
    <w:rsid w:val="008F3494"/>
    <w:rsid w:val="00930E40"/>
    <w:rsid w:val="0094219E"/>
    <w:rsid w:val="00943B8D"/>
    <w:rsid w:val="009539C7"/>
    <w:rsid w:val="0095650D"/>
    <w:rsid w:val="009641EC"/>
    <w:rsid w:val="00975030"/>
    <w:rsid w:val="009D1CB0"/>
    <w:rsid w:val="009F72D9"/>
    <w:rsid w:val="00A00F21"/>
    <w:rsid w:val="00A05054"/>
    <w:rsid w:val="00A41F5C"/>
    <w:rsid w:val="00A60CE8"/>
    <w:rsid w:val="00A83BCC"/>
    <w:rsid w:val="00A85D11"/>
    <w:rsid w:val="00AD0943"/>
    <w:rsid w:val="00AE1163"/>
    <w:rsid w:val="00B04E06"/>
    <w:rsid w:val="00B37626"/>
    <w:rsid w:val="00B4706B"/>
    <w:rsid w:val="00B4789B"/>
    <w:rsid w:val="00B6495D"/>
    <w:rsid w:val="00B84226"/>
    <w:rsid w:val="00BB4D13"/>
    <w:rsid w:val="00BC3F4D"/>
    <w:rsid w:val="00BE2C61"/>
    <w:rsid w:val="00BF2DF1"/>
    <w:rsid w:val="00C33FB6"/>
    <w:rsid w:val="00C51D3C"/>
    <w:rsid w:val="00C63C4E"/>
    <w:rsid w:val="00CF7558"/>
    <w:rsid w:val="00D4639E"/>
    <w:rsid w:val="00D61839"/>
    <w:rsid w:val="00D77A88"/>
    <w:rsid w:val="00DC142B"/>
    <w:rsid w:val="00E4496C"/>
    <w:rsid w:val="00E6384F"/>
    <w:rsid w:val="00E823AE"/>
    <w:rsid w:val="00EB2108"/>
    <w:rsid w:val="00EB3C1D"/>
    <w:rsid w:val="00EB58D4"/>
    <w:rsid w:val="00ED2E52"/>
    <w:rsid w:val="00F232E7"/>
    <w:rsid w:val="00F278A7"/>
    <w:rsid w:val="00F40885"/>
    <w:rsid w:val="00F44FF5"/>
    <w:rsid w:val="00F831F5"/>
    <w:rsid w:val="00FA0A9F"/>
    <w:rsid w:val="00FB19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customStyle="1" w:styleId="Numberedpara">
    <w:name w:val="Numbered para"/>
    <w:basedOn w:val="Normal"/>
    <w:qFormat/>
    <w:rsid w:val="000943E4"/>
    <w:pPr>
      <w:numPr>
        <w:numId w:val="2"/>
      </w:numPr>
      <w:tabs>
        <w:tab w:val="clear" w:pos="720"/>
        <w:tab w:val="left" w:pos="709"/>
      </w:tabs>
      <w:ind w:left="0" w:firstLine="0"/>
    </w:pPr>
    <w:rPr>
      <w:rFonts w:eastAsia="Times New Roman" w:cs="Arial"/>
      <w:bCs/>
      <w:lang w:eastAsia="en-AU"/>
    </w:rPr>
  </w:style>
  <w:style w:type="paragraph" w:customStyle="1" w:styleId="Numberedparagraph">
    <w:name w:val="Numbered paragraph"/>
    <w:basedOn w:val="Normal"/>
    <w:uiPriority w:val="6"/>
    <w:qFormat/>
    <w:rsid w:val="000943E4"/>
    <w:pPr>
      <w:numPr>
        <w:numId w:val="3"/>
      </w:numPr>
      <w:tabs>
        <w:tab w:val="left" w:pos="709"/>
      </w:tabs>
    </w:pPr>
    <w:rPr>
      <w:rFonts w:eastAsia="Times New Roman" w:cs="Arial"/>
      <w:lang w:eastAsia="en-AU"/>
    </w:rPr>
  </w:style>
  <w:style w:type="paragraph" w:styleId="Revision">
    <w:name w:val="Revision"/>
    <w:hidden/>
    <w:uiPriority w:val="99"/>
    <w:semiHidden/>
    <w:rsid w:val="008F34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6277">
      <w:bodyDiv w:val="1"/>
      <w:marLeft w:val="0"/>
      <w:marRight w:val="0"/>
      <w:marTop w:val="0"/>
      <w:marBottom w:val="0"/>
      <w:divBdr>
        <w:top w:val="none" w:sz="0" w:space="0" w:color="auto"/>
        <w:left w:val="none" w:sz="0" w:space="0" w:color="auto"/>
        <w:bottom w:val="none" w:sz="0" w:space="0" w:color="auto"/>
        <w:right w:val="none" w:sz="0" w:space="0" w:color="auto"/>
      </w:divBdr>
    </w:div>
    <w:div w:id="246501874">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52890242">
      <w:bodyDiv w:val="1"/>
      <w:marLeft w:val="0"/>
      <w:marRight w:val="0"/>
      <w:marTop w:val="0"/>
      <w:marBottom w:val="0"/>
      <w:divBdr>
        <w:top w:val="none" w:sz="0" w:space="0" w:color="auto"/>
        <w:left w:val="none" w:sz="0" w:space="0" w:color="auto"/>
        <w:bottom w:val="none" w:sz="0" w:space="0" w:color="auto"/>
        <w:right w:val="none" w:sz="0" w:space="0" w:color="auto"/>
      </w:divBdr>
    </w:div>
    <w:div w:id="67449837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839274059">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023091023">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64829669">
      <w:bodyDiv w:val="1"/>
      <w:marLeft w:val="0"/>
      <w:marRight w:val="0"/>
      <w:marTop w:val="0"/>
      <w:marBottom w:val="0"/>
      <w:divBdr>
        <w:top w:val="none" w:sz="0" w:space="0" w:color="auto"/>
        <w:left w:val="none" w:sz="0" w:space="0" w:color="auto"/>
        <w:bottom w:val="none" w:sz="0" w:space="0" w:color="auto"/>
        <w:right w:val="none" w:sz="0" w:space="0" w:color="auto"/>
      </w:divBdr>
    </w:div>
    <w:div w:id="1753888080">
      <w:bodyDiv w:val="1"/>
      <w:marLeft w:val="0"/>
      <w:marRight w:val="0"/>
      <w:marTop w:val="0"/>
      <w:marBottom w:val="0"/>
      <w:divBdr>
        <w:top w:val="none" w:sz="0" w:space="0" w:color="auto"/>
        <w:left w:val="none" w:sz="0" w:space="0" w:color="auto"/>
        <w:bottom w:val="none" w:sz="0" w:space="0" w:color="auto"/>
        <w:right w:val="none" w:sz="0" w:space="0" w:color="auto"/>
      </w:divBdr>
    </w:div>
    <w:div w:id="1866283486">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1985430472">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32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298</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De Pile</cp:lastModifiedBy>
  <cp:revision>6</cp:revision>
  <cp:lastPrinted>2013-06-24T01:35:00Z</cp:lastPrinted>
  <dcterms:created xsi:type="dcterms:W3CDTF">2025-06-26T23:09:00Z</dcterms:created>
  <dcterms:modified xsi:type="dcterms:W3CDTF">2025-06-27T04:07:00Z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f77f88-0a92-4c4a-b92a-f7fdfe5127c7_Enabled">
    <vt:lpwstr>true</vt:lpwstr>
  </property>
  <property fmtid="{D5CDD505-2E9C-101B-9397-08002B2CF9AE}" pid="3" name="MSIP_Label_1ff77f88-0a92-4c4a-b92a-f7fdfe5127c7_SetDate">
    <vt:lpwstr>2025-06-26T23:09:21Z</vt:lpwstr>
  </property>
  <property fmtid="{D5CDD505-2E9C-101B-9397-08002B2CF9AE}" pid="4" name="MSIP_Label_1ff77f88-0a92-4c4a-b92a-f7fdfe5127c7_Method">
    <vt:lpwstr>Privileged</vt:lpwstr>
  </property>
  <property fmtid="{D5CDD505-2E9C-101B-9397-08002B2CF9AE}" pid="5" name="MSIP_Label_1ff77f88-0a92-4c4a-b92a-f7fdfe5127c7_Name">
    <vt:lpwstr>OFFICIAL - Letterhead</vt:lpwstr>
  </property>
  <property fmtid="{D5CDD505-2E9C-101B-9397-08002B2CF9AE}" pid="6" name="MSIP_Label_1ff77f88-0a92-4c4a-b92a-f7fdfe5127c7_SiteId">
    <vt:lpwstr>8e823e99-cbcb-430f-a0f6-af1365c21e22</vt:lpwstr>
  </property>
  <property fmtid="{D5CDD505-2E9C-101B-9397-08002B2CF9AE}" pid="7" name="MSIP_Label_1ff77f88-0a92-4c4a-b92a-f7fdfe5127c7_ActionId">
    <vt:lpwstr>42fb9bdc-4cd0-4713-8571-5d887e1d9efb</vt:lpwstr>
  </property>
  <property fmtid="{D5CDD505-2E9C-101B-9397-08002B2CF9AE}" pid="8" name="MSIP_Label_1ff77f88-0a92-4c4a-b92a-f7fdfe5127c7_ContentBits">
    <vt:lpwstr>0</vt:lpwstr>
  </property>
  <property fmtid="{D5CDD505-2E9C-101B-9397-08002B2CF9AE}" pid="9" name="IsABRSLetter">
    <vt:bool>false</vt:bool>
  </property>
</Properties>
</file>