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B15444" w14:textId="304582D5" w:rsidR="00BC3821" w:rsidRDefault="00FB7F3F" w:rsidP="001D1E4F">
      <w:pPr>
        <w:keepNext/>
        <w:spacing w:after="120" w:line="276" w:lineRule="auto"/>
        <w:jc w:val="center"/>
        <w:outlineLvl w:val="4"/>
      </w:pPr>
      <w:r>
        <w:rPr>
          <w:noProof/>
        </w:rPr>
        <w:drawing>
          <wp:inline distT="0" distB="0" distL="0" distR="0" wp14:anchorId="4CB1546A" wp14:editId="5846D425">
            <wp:extent cx="1066800" cy="904875"/>
            <wp:effectExtent l="0" t="0" r="0"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of Australi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66800" cy="904875"/>
                    </a:xfrm>
                    <a:prstGeom prst="rect">
                      <a:avLst/>
                    </a:prstGeom>
                    <a:noFill/>
                    <a:ln>
                      <a:noFill/>
                    </a:ln>
                  </pic:spPr>
                </pic:pic>
              </a:graphicData>
            </a:graphic>
          </wp:inline>
        </w:drawing>
      </w:r>
    </w:p>
    <w:p w14:paraId="4CB15445" w14:textId="77777777" w:rsidR="00BC3821" w:rsidRDefault="00BC3821" w:rsidP="001D1E4F">
      <w:pPr>
        <w:pStyle w:val="Title"/>
        <w:keepNext/>
        <w:spacing w:after="120" w:line="276" w:lineRule="auto"/>
        <w:ind w:right="0"/>
        <w:outlineLvl w:val="4"/>
        <w:rPr>
          <w:sz w:val="24"/>
        </w:rPr>
      </w:pPr>
      <w:r>
        <w:rPr>
          <w:sz w:val="24"/>
        </w:rPr>
        <w:t>COMMONWEALTH OF AUSTRALIA</w:t>
      </w:r>
    </w:p>
    <w:p w14:paraId="4CB15446" w14:textId="77777777" w:rsidR="00BC3821" w:rsidRPr="00CF5312" w:rsidRDefault="00BC3821" w:rsidP="001D1E4F">
      <w:pPr>
        <w:pStyle w:val="Heading5"/>
        <w:spacing w:after="120" w:line="276" w:lineRule="auto"/>
        <w:ind w:left="0"/>
        <w:jc w:val="center"/>
        <w:rPr>
          <w:b/>
          <w:sz w:val="24"/>
        </w:rPr>
      </w:pPr>
      <w:r w:rsidRPr="00CF5312">
        <w:rPr>
          <w:b/>
          <w:sz w:val="24"/>
        </w:rPr>
        <w:t>Environment Protection and Biodiversity Conservation Act 1999</w:t>
      </w:r>
    </w:p>
    <w:p w14:paraId="4CB15448" w14:textId="24BF8146" w:rsidR="00BC3821" w:rsidRPr="00881248" w:rsidRDefault="00BC3821" w:rsidP="001D1E4F">
      <w:pPr>
        <w:pStyle w:val="Heading6"/>
        <w:spacing w:after="120" w:line="276" w:lineRule="auto"/>
        <w:jc w:val="center"/>
        <w:rPr>
          <w:sz w:val="24"/>
          <w:szCs w:val="24"/>
        </w:rPr>
      </w:pPr>
      <w:r w:rsidRPr="00881248">
        <w:rPr>
          <w:sz w:val="24"/>
          <w:szCs w:val="24"/>
        </w:rPr>
        <w:t>DECLARATION OF AN APPROVED WILDLIFE TRADE OPERATION</w:t>
      </w:r>
      <w:r w:rsidR="001437D5" w:rsidRPr="00881248">
        <w:rPr>
          <w:sz w:val="24"/>
          <w:szCs w:val="24"/>
        </w:rPr>
        <w:t xml:space="preserve"> </w:t>
      </w:r>
      <w:r w:rsidR="001437D5" w:rsidRPr="00881248">
        <w:rPr>
          <w:snapToGrid w:val="0"/>
          <w:sz w:val="24"/>
          <w:szCs w:val="24"/>
        </w:rPr>
        <w:t xml:space="preserve">– </w:t>
      </w:r>
      <w:r w:rsidR="002F7857" w:rsidRPr="002F7857">
        <w:rPr>
          <w:snapToGrid w:val="0"/>
          <w:sz w:val="24"/>
          <w:szCs w:val="24"/>
        </w:rPr>
        <w:t>COMMONWEALTH SOUTHERN AND EASTERN SCALEFISH AND SHARK FISHERY, JUNE 2025</w:t>
      </w:r>
    </w:p>
    <w:p w14:paraId="0B988075" w14:textId="0BC30F95" w:rsidR="004C3DEE" w:rsidRPr="009C5305" w:rsidRDefault="00BC3821" w:rsidP="009F2AA2">
      <w:pPr>
        <w:spacing w:after="120" w:line="276" w:lineRule="auto"/>
        <w:ind w:right="-327"/>
        <w:rPr>
          <w:sz w:val="22"/>
          <w:szCs w:val="22"/>
        </w:rPr>
      </w:pPr>
      <w:r w:rsidRPr="001D1E4F">
        <w:rPr>
          <w:sz w:val="22"/>
          <w:szCs w:val="22"/>
        </w:rPr>
        <w:t xml:space="preserve">I, </w:t>
      </w:r>
      <w:r w:rsidR="000F5EB9">
        <w:rPr>
          <w:sz w:val="22"/>
          <w:szCs w:val="22"/>
        </w:rPr>
        <w:t>MURRAY WATT,</w:t>
      </w:r>
      <w:r w:rsidR="00C8489C" w:rsidRPr="001D1E4F">
        <w:rPr>
          <w:sz w:val="22"/>
          <w:szCs w:val="22"/>
        </w:rPr>
        <w:t xml:space="preserve"> M</w:t>
      </w:r>
      <w:r w:rsidR="00581628" w:rsidRPr="001D1E4F">
        <w:rPr>
          <w:sz w:val="22"/>
          <w:szCs w:val="22"/>
        </w:rPr>
        <w:t xml:space="preserve">inister </w:t>
      </w:r>
      <w:r w:rsidR="004C3DEE" w:rsidRPr="001D1E4F">
        <w:rPr>
          <w:sz w:val="22"/>
          <w:szCs w:val="22"/>
        </w:rPr>
        <w:t>for the Environment</w:t>
      </w:r>
      <w:r w:rsidR="001D1E4F" w:rsidRPr="001D1E4F">
        <w:rPr>
          <w:sz w:val="22"/>
          <w:szCs w:val="22"/>
        </w:rPr>
        <w:t xml:space="preserve"> and Water</w:t>
      </w:r>
      <w:r w:rsidR="00FA278A" w:rsidRPr="009C5305">
        <w:rPr>
          <w:sz w:val="22"/>
          <w:szCs w:val="22"/>
        </w:rPr>
        <w:t>,</w:t>
      </w:r>
      <w:r w:rsidRPr="009C5305">
        <w:rPr>
          <w:snapToGrid w:val="0"/>
          <w:sz w:val="22"/>
          <w:szCs w:val="22"/>
        </w:rPr>
        <w:t xml:space="preserve"> </w:t>
      </w:r>
      <w:r w:rsidRPr="009C5305">
        <w:rPr>
          <w:sz w:val="22"/>
          <w:szCs w:val="22"/>
        </w:rPr>
        <w:t>have consid</w:t>
      </w:r>
      <w:r w:rsidR="009B0E50" w:rsidRPr="009C5305">
        <w:rPr>
          <w:sz w:val="22"/>
          <w:szCs w:val="22"/>
        </w:rPr>
        <w:t>ered in accordance with section </w:t>
      </w:r>
      <w:r w:rsidRPr="009C5305">
        <w:rPr>
          <w:sz w:val="22"/>
          <w:szCs w:val="22"/>
        </w:rPr>
        <w:t xml:space="preserve">303FN of the </w:t>
      </w:r>
      <w:r w:rsidRPr="009C5305">
        <w:rPr>
          <w:i/>
          <w:sz w:val="22"/>
          <w:szCs w:val="22"/>
        </w:rPr>
        <w:t>Environment Protection and</w:t>
      </w:r>
      <w:r w:rsidRPr="009C5305">
        <w:rPr>
          <w:sz w:val="22"/>
          <w:szCs w:val="22"/>
        </w:rPr>
        <w:t xml:space="preserve"> </w:t>
      </w:r>
      <w:r w:rsidR="009B0E50" w:rsidRPr="009C5305">
        <w:rPr>
          <w:i/>
          <w:sz w:val="22"/>
          <w:szCs w:val="22"/>
        </w:rPr>
        <w:t>Biodiversity Conservation Act </w:t>
      </w:r>
      <w:r w:rsidRPr="009C5305">
        <w:rPr>
          <w:i/>
          <w:sz w:val="22"/>
          <w:szCs w:val="22"/>
        </w:rPr>
        <w:t xml:space="preserve">1999 </w:t>
      </w:r>
      <w:r w:rsidR="009B0E50" w:rsidRPr="009C5305">
        <w:rPr>
          <w:sz w:val="22"/>
          <w:szCs w:val="22"/>
        </w:rPr>
        <w:t>(EPBC </w:t>
      </w:r>
      <w:r w:rsidRPr="009C5305">
        <w:rPr>
          <w:sz w:val="22"/>
          <w:szCs w:val="22"/>
        </w:rPr>
        <w:t>Act) the application from the</w:t>
      </w:r>
      <w:r w:rsidR="00A55586" w:rsidRPr="00A55586">
        <w:t xml:space="preserve"> </w:t>
      </w:r>
      <w:r w:rsidR="00FB7F3F">
        <w:rPr>
          <w:sz w:val="22"/>
          <w:szCs w:val="22"/>
        </w:rPr>
        <w:t>Australian Fisheries Management Authority</w:t>
      </w:r>
      <w:r w:rsidR="00AD2B46">
        <w:rPr>
          <w:sz w:val="22"/>
          <w:szCs w:val="22"/>
        </w:rPr>
        <w:t>,</w:t>
      </w:r>
      <w:r w:rsidRPr="009C5305">
        <w:rPr>
          <w:sz w:val="22"/>
          <w:szCs w:val="22"/>
        </w:rPr>
        <w:t xml:space="preserve"> public comments on the proposal </w:t>
      </w:r>
      <w:r w:rsidR="00693DD6" w:rsidRPr="009C5305">
        <w:rPr>
          <w:sz w:val="22"/>
          <w:szCs w:val="22"/>
        </w:rPr>
        <w:t>as required under section 303FR</w:t>
      </w:r>
      <w:r w:rsidR="00AD2B46">
        <w:rPr>
          <w:sz w:val="22"/>
          <w:szCs w:val="22"/>
        </w:rPr>
        <w:t>,</w:t>
      </w:r>
      <w:r w:rsidR="00693DD6" w:rsidRPr="009C5305">
        <w:rPr>
          <w:sz w:val="22"/>
          <w:szCs w:val="22"/>
        </w:rPr>
        <w:t xml:space="preserve"> </w:t>
      </w:r>
      <w:r w:rsidRPr="009C5305">
        <w:rPr>
          <w:sz w:val="22"/>
          <w:szCs w:val="22"/>
        </w:rPr>
        <w:t>and advice on the ecological sustainability of the operation. I</w:t>
      </w:r>
      <w:r w:rsidR="009B0E50" w:rsidRPr="009C5305">
        <w:rPr>
          <w:sz w:val="22"/>
          <w:szCs w:val="22"/>
        </w:rPr>
        <w:t> </w:t>
      </w:r>
      <w:r w:rsidRPr="009C5305">
        <w:rPr>
          <w:sz w:val="22"/>
          <w:szCs w:val="22"/>
        </w:rPr>
        <w:t>am satisfied on those matters specifi</w:t>
      </w:r>
      <w:r w:rsidR="009B0E50" w:rsidRPr="009C5305">
        <w:rPr>
          <w:sz w:val="22"/>
          <w:szCs w:val="22"/>
        </w:rPr>
        <w:t>ed in section </w:t>
      </w:r>
      <w:r w:rsidR="00C665C2" w:rsidRPr="009C5305">
        <w:rPr>
          <w:sz w:val="22"/>
          <w:szCs w:val="22"/>
        </w:rPr>
        <w:t>303FN of the EPBC </w:t>
      </w:r>
      <w:r w:rsidRPr="009C5305">
        <w:rPr>
          <w:sz w:val="22"/>
          <w:szCs w:val="22"/>
        </w:rPr>
        <w:t>Act. I</w:t>
      </w:r>
      <w:r w:rsidR="009B0E50" w:rsidRPr="009C5305">
        <w:rPr>
          <w:sz w:val="22"/>
          <w:szCs w:val="22"/>
        </w:rPr>
        <w:t> </w:t>
      </w:r>
      <w:r w:rsidRPr="009C5305">
        <w:rPr>
          <w:sz w:val="22"/>
          <w:szCs w:val="22"/>
        </w:rPr>
        <w:t xml:space="preserve">hereby declare the operations for the </w:t>
      </w:r>
      <w:r w:rsidRPr="001D1E4F">
        <w:rPr>
          <w:sz w:val="22"/>
          <w:szCs w:val="22"/>
        </w:rPr>
        <w:t xml:space="preserve">harvesting of </w:t>
      </w:r>
      <w:r w:rsidR="004C3DEE" w:rsidRPr="001D1E4F">
        <w:rPr>
          <w:sz w:val="22"/>
          <w:szCs w:val="22"/>
        </w:rPr>
        <w:t xml:space="preserve">specimens </w:t>
      </w:r>
      <w:r w:rsidR="004C3DEE" w:rsidRPr="001D1E4F">
        <w:rPr>
          <w:snapToGrid w:val="0"/>
          <w:sz w:val="22"/>
          <w:szCs w:val="22"/>
        </w:rPr>
        <w:t>that are or are derived from fish or invertebrates, taken in the</w:t>
      </w:r>
      <w:r w:rsidR="00A55586" w:rsidRPr="00A55586">
        <w:t xml:space="preserve"> </w:t>
      </w:r>
      <w:r w:rsidR="00A55586" w:rsidRPr="00A55586">
        <w:rPr>
          <w:snapToGrid w:val="0"/>
          <w:sz w:val="22"/>
          <w:szCs w:val="22"/>
        </w:rPr>
        <w:t>Commonwealth Southern and Eastern Scalefish and Shark Fishery</w:t>
      </w:r>
      <w:r w:rsidR="004C3DEE" w:rsidRPr="001D1E4F">
        <w:rPr>
          <w:snapToGrid w:val="0"/>
          <w:sz w:val="22"/>
          <w:szCs w:val="22"/>
        </w:rPr>
        <w:t xml:space="preserve"> as defined in the </w:t>
      </w:r>
      <w:r w:rsidR="004C3DEE" w:rsidRPr="001D1E4F">
        <w:rPr>
          <w:sz w:val="22"/>
          <w:szCs w:val="22"/>
        </w:rPr>
        <w:t>management regime</w:t>
      </w:r>
      <w:r w:rsidR="009C5305" w:rsidRPr="001D1E4F">
        <w:rPr>
          <w:sz w:val="22"/>
          <w:szCs w:val="22"/>
        </w:rPr>
        <w:t xml:space="preserve"> </w:t>
      </w:r>
      <w:r w:rsidR="004C3DEE" w:rsidRPr="001D1E4F">
        <w:rPr>
          <w:sz w:val="22"/>
          <w:szCs w:val="22"/>
        </w:rPr>
        <w:t xml:space="preserve">in force under </w:t>
      </w:r>
      <w:r w:rsidR="00923C5D" w:rsidRPr="001D1E4F">
        <w:rPr>
          <w:sz w:val="22"/>
          <w:szCs w:val="22"/>
        </w:rPr>
        <w:t>the</w:t>
      </w:r>
      <w:r w:rsidR="00E565B3" w:rsidRPr="00E565B3">
        <w:rPr>
          <w:i/>
          <w:iCs/>
          <w:sz w:val="22"/>
          <w:szCs w:val="22"/>
        </w:rPr>
        <w:t xml:space="preserve"> Fisheries Management Act 1991</w:t>
      </w:r>
      <w:r w:rsidR="00E565B3" w:rsidRPr="00E565B3">
        <w:rPr>
          <w:sz w:val="22"/>
          <w:szCs w:val="22"/>
        </w:rPr>
        <w:t xml:space="preserve"> (Cth), the</w:t>
      </w:r>
      <w:r w:rsidR="00E565B3" w:rsidRPr="00E565B3">
        <w:rPr>
          <w:i/>
          <w:sz w:val="22"/>
          <w:szCs w:val="22"/>
        </w:rPr>
        <w:t xml:space="preserve"> </w:t>
      </w:r>
      <w:r w:rsidR="00E565B3" w:rsidRPr="00E565B3">
        <w:rPr>
          <w:sz w:val="22"/>
          <w:szCs w:val="22"/>
        </w:rPr>
        <w:t xml:space="preserve">Fisheries Management Regulations 2019 (Cth), and the Southern and Eastern Scalefish and Shark Fishery Management Plan 2003, </w:t>
      </w:r>
      <w:r w:rsidR="00923C5D" w:rsidRPr="001D1E4F">
        <w:rPr>
          <w:snapToGrid w:val="0"/>
          <w:sz w:val="22"/>
          <w:szCs w:val="22"/>
        </w:rPr>
        <w:t>but not including</w:t>
      </w:r>
      <w:r w:rsidR="001D1E4F">
        <w:rPr>
          <w:snapToGrid w:val="0"/>
          <w:sz w:val="22"/>
          <w:szCs w:val="22"/>
        </w:rPr>
        <w:t>:</w:t>
      </w:r>
    </w:p>
    <w:p w14:paraId="5FD497D5" w14:textId="74B3FF44" w:rsidR="00D63915" w:rsidRPr="001D1E4F" w:rsidRDefault="00D63915" w:rsidP="009F2AA2">
      <w:pPr>
        <w:pStyle w:val="Stylea"/>
        <w:numPr>
          <w:ilvl w:val="0"/>
          <w:numId w:val="14"/>
        </w:numPr>
        <w:spacing w:line="276" w:lineRule="auto"/>
        <w:ind w:left="357" w:hanging="357"/>
        <w:rPr>
          <w:color w:val="auto"/>
          <w:sz w:val="22"/>
          <w:szCs w:val="22"/>
        </w:rPr>
      </w:pPr>
      <w:r w:rsidRPr="001D1E4F">
        <w:rPr>
          <w:color w:val="auto"/>
          <w:sz w:val="22"/>
          <w:szCs w:val="22"/>
        </w:rPr>
        <w:t>specimens that belong to taxa listed under section 209 of the EPBC Act (Australia’s List of Migratory Species), or</w:t>
      </w:r>
    </w:p>
    <w:p w14:paraId="79D1A65C" w14:textId="77777777" w:rsidR="00D63915" w:rsidRPr="001D1E4F" w:rsidRDefault="00D63915" w:rsidP="009F2AA2">
      <w:pPr>
        <w:pStyle w:val="Stylea"/>
        <w:numPr>
          <w:ilvl w:val="0"/>
          <w:numId w:val="14"/>
        </w:numPr>
        <w:spacing w:line="276" w:lineRule="auto"/>
        <w:ind w:left="357" w:hanging="357"/>
        <w:rPr>
          <w:color w:val="auto"/>
          <w:sz w:val="22"/>
          <w:szCs w:val="22"/>
        </w:rPr>
      </w:pPr>
      <w:r w:rsidRPr="001D1E4F">
        <w:rPr>
          <w:color w:val="auto"/>
          <w:sz w:val="22"/>
          <w:szCs w:val="22"/>
        </w:rPr>
        <w:t>specimens that belong to taxa listed under section 248 of the EPBC Act (Australia’s List of Marine Species), or</w:t>
      </w:r>
    </w:p>
    <w:p w14:paraId="7AE80B68" w14:textId="7B67A7BF" w:rsidR="00D63915" w:rsidRPr="001D1E4F" w:rsidRDefault="00D63915" w:rsidP="009F2AA2">
      <w:pPr>
        <w:pStyle w:val="Stylea"/>
        <w:numPr>
          <w:ilvl w:val="0"/>
          <w:numId w:val="14"/>
        </w:numPr>
        <w:spacing w:line="276" w:lineRule="auto"/>
        <w:ind w:left="357" w:hanging="357"/>
        <w:rPr>
          <w:color w:val="auto"/>
          <w:sz w:val="22"/>
          <w:szCs w:val="22"/>
        </w:rPr>
      </w:pPr>
      <w:r w:rsidRPr="001D1E4F">
        <w:rPr>
          <w:color w:val="auto"/>
          <w:sz w:val="22"/>
          <w:szCs w:val="22"/>
        </w:rPr>
        <w:t>specimens that belong to eligible listed threatened species, as defined under section</w:t>
      </w:r>
      <w:r w:rsidR="009C5305" w:rsidRPr="001D1E4F">
        <w:rPr>
          <w:color w:val="auto"/>
          <w:sz w:val="22"/>
          <w:szCs w:val="22"/>
        </w:rPr>
        <w:t> </w:t>
      </w:r>
      <w:r w:rsidRPr="001D1E4F">
        <w:rPr>
          <w:color w:val="auto"/>
          <w:sz w:val="22"/>
          <w:szCs w:val="22"/>
        </w:rPr>
        <w:t>303BC of the EPBC Act, or</w:t>
      </w:r>
    </w:p>
    <w:p w14:paraId="330A9BE1" w14:textId="53E9B0A8" w:rsidR="00D63915" w:rsidRPr="001D1E4F" w:rsidRDefault="00D63915" w:rsidP="001D1E4F">
      <w:pPr>
        <w:pStyle w:val="Stylea"/>
        <w:numPr>
          <w:ilvl w:val="0"/>
          <w:numId w:val="14"/>
        </w:numPr>
        <w:spacing w:after="120" w:line="276" w:lineRule="auto"/>
        <w:ind w:left="357" w:hanging="357"/>
        <w:rPr>
          <w:color w:val="auto"/>
          <w:sz w:val="22"/>
          <w:szCs w:val="22"/>
        </w:rPr>
      </w:pPr>
      <w:r w:rsidRPr="001D1E4F">
        <w:rPr>
          <w:color w:val="auto"/>
          <w:sz w:val="22"/>
          <w:szCs w:val="22"/>
        </w:rPr>
        <w:t>specimens that belong to taxa listed under section 303CA of the EPBC Act (Australia’s CITES List)</w:t>
      </w:r>
      <w:r w:rsidR="00070B6E">
        <w:rPr>
          <w:color w:val="auto"/>
          <w:sz w:val="22"/>
          <w:szCs w:val="22"/>
        </w:rPr>
        <w:t>, e</w:t>
      </w:r>
      <w:r w:rsidR="00070B6E" w:rsidRPr="00070B6E">
        <w:rPr>
          <w:color w:val="auto"/>
          <w:sz w:val="22"/>
          <w:szCs w:val="22"/>
          <w:lang w:val="en-US"/>
        </w:rPr>
        <w:t xml:space="preserve">xcept for </w:t>
      </w:r>
      <w:r w:rsidR="00070B6E">
        <w:rPr>
          <w:color w:val="auto"/>
          <w:sz w:val="22"/>
          <w:szCs w:val="22"/>
          <w:lang w:val="en-US"/>
        </w:rPr>
        <w:t>s</w:t>
      </w:r>
      <w:r w:rsidR="00070B6E" w:rsidRPr="00070B6E">
        <w:rPr>
          <w:color w:val="auto"/>
          <w:sz w:val="22"/>
          <w:szCs w:val="22"/>
          <w:lang w:val="en-US"/>
        </w:rPr>
        <w:t>ilvertip shark (</w:t>
      </w:r>
      <w:r w:rsidR="00070B6E" w:rsidRPr="00070B6E">
        <w:rPr>
          <w:i/>
          <w:iCs/>
          <w:color w:val="auto"/>
          <w:sz w:val="22"/>
          <w:szCs w:val="22"/>
          <w:lang w:val="en-US"/>
        </w:rPr>
        <w:t>Carcharhinus albmimarginatus</w:t>
      </w:r>
      <w:r w:rsidR="00070B6E" w:rsidRPr="00070B6E">
        <w:rPr>
          <w:color w:val="auto"/>
          <w:sz w:val="22"/>
          <w:szCs w:val="22"/>
          <w:lang w:val="en-US"/>
        </w:rPr>
        <w:t xml:space="preserve">), </w:t>
      </w:r>
      <w:r w:rsidR="00070B6E">
        <w:rPr>
          <w:color w:val="auto"/>
          <w:sz w:val="22"/>
          <w:szCs w:val="22"/>
          <w:lang w:val="en-US"/>
        </w:rPr>
        <w:t>g</w:t>
      </w:r>
      <w:r w:rsidR="00070B6E" w:rsidRPr="00070B6E">
        <w:rPr>
          <w:color w:val="auto"/>
          <w:sz w:val="22"/>
          <w:szCs w:val="22"/>
          <w:lang w:val="en-US"/>
        </w:rPr>
        <w:t>rey reef shark (</w:t>
      </w:r>
      <w:r w:rsidR="00070B6E" w:rsidRPr="00070B6E">
        <w:rPr>
          <w:i/>
          <w:iCs/>
          <w:color w:val="auto"/>
          <w:sz w:val="22"/>
          <w:szCs w:val="22"/>
          <w:lang w:val="en-US"/>
        </w:rPr>
        <w:t>Carcharhinus amblyrhynchos</w:t>
      </w:r>
      <w:r w:rsidR="00070B6E" w:rsidRPr="00070B6E">
        <w:rPr>
          <w:color w:val="auto"/>
          <w:sz w:val="22"/>
          <w:szCs w:val="22"/>
          <w:lang w:val="en-US"/>
        </w:rPr>
        <w:t xml:space="preserve">), </w:t>
      </w:r>
      <w:r w:rsidR="00070B6E">
        <w:rPr>
          <w:color w:val="auto"/>
          <w:sz w:val="22"/>
          <w:szCs w:val="22"/>
          <w:lang w:val="en-US"/>
        </w:rPr>
        <w:t>c</w:t>
      </w:r>
      <w:r w:rsidR="00070B6E" w:rsidRPr="00070B6E">
        <w:rPr>
          <w:color w:val="auto"/>
          <w:sz w:val="22"/>
          <w:szCs w:val="22"/>
          <w:lang w:val="en-US"/>
        </w:rPr>
        <w:t>opper shark (</w:t>
      </w:r>
      <w:r w:rsidR="00070B6E" w:rsidRPr="00070B6E">
        <w:rPr>
          <w:i/>
          <w:iCs/>
          <w:color w:val="auto"/>
          <w:sz w:val="22"/>
          <w:szCs w:val="22"/>
          <w:lang w:val="en-US"/>
        </w:rPr>
        <w:t>Carcharhinus brachyurus</w:t>
      </w:r>
      <w:r w:rsidR="00070B6E" w:rsidRPr="00070B6E">
        <w:rPr>
          <w:color w:val="auto"/>
          <w:sz w:val="22"/>
          <w:szCs w:val="22"/>
          <w:lang w:val="en-US"/>
        </w:rPr>
        <w:t xml:space="preserve">), </w:t>
      </w:r>
      <w:r w:rsidR="00070B6E">
        <w:rPr>
          <w:color w:val="auto"/>
          <w:sz w:val="22"/>
          <w:szCs w:val="22"/>
          <w:lang w:val="en-US"/>
        </w:rPr>
        <w:t>b</w:t>
      </w:r>
      <w:r w:rsidR="00070B6E" w:rsidRPr="00070B6E">
        <w:rPr>
          <w:color w:val="auto"/>
          <w:sz w:val="22"/>
          <w:szCs w:val="22"/>
          <w:lang w:val="en-US"/>
        </w:rPr>
        <w:t>ull shark (</w:t>
      </w:r>
      <w:r w:rsidR="00070B6E" w:rsidRPr="00070B6E">
        <w:rPr>
          <w:i/>
          <w:iCs/>
          <w:color w:val="auto"/>
          <w:sz w:val="22"/>
          <w:szCs w:val="22"/>
          <w:lang w:val="en-US"/>
        </w:rPr>
        <w:t>Carcharhinus leucas</w:t>
      </w:r>
      <w:r w:rsidR="00070B6E" w:rsidRPr="00070B6E">
        <w:rPr>
          <w:color w:val="auto"/>
          <w:sz w:val="22"/>
          <w:szCs w:val="22"/>
          <w:lang w:val="en-US"/>
        </w:rPr>
        <w:t xml:space="preserve">), </w:t>
      </w:r>
      <w:r w:rsidR="00070B6E">
        <w:rPr>
          <w:color w:val="auto"/>
          <w:sz w:val="22"/>
          <w:szCs w:val="22"/>
          <w:lang w:val="en-US"/>
        </w:rPr>
        <w:t>c</w:t>
      </w:r>
      <w:r w:rsidR="00070B6E" w:rsidRPr="00070B6E">
        <w:rPr>
          <w:color w:val="auto"/>
          <w:sz w:val="22"/>
          <w:szCs w:val="22"/>
          <w:lang w:val="en-US"/>
        </w:rPr>
        <w:t>ommon blacktip shark (</w:t>
      </w:r>
      <w:r w:rsidR="00070B6E" w:rsidRPr="00070B6E">
        <w:rPr>
          <w:i/>
          <w:iCs/>
          <w:color w:val="auto"/>
          <w:sz w:val="22"/>
          <w:szCs w:val="22"/>
          <w:lang w:val="en-US"/>
        </w:rPr>
        <w:t>Carcharhinus limbatus</w:t>
      </w:r>
      <w:r w:rsidR="00070B6E" w:rsidRPr="00070B6E">
        <w:rPr>
          <w:color w:val="auto"/>
          <w:sz w:val="22"/>
          <w:szCs w:val="22"/>
          <w:lang w:val="en-US"/>
        </w:rPr>
        <w:t xml:space="preserve">), </w:t>
      </w:r>
      <w:r w:rsidR="00070B6E">
        <w:rPr>
          <w:color w:val="auto"/>
          <w:sz w:val="22"/>
          <w:szCs w:val="22"/>
          <w:lang w:val="en-US"/>
        </w:rPr>
        <w:t>b</w:t>
      </w:r>
      <w:r w:rsidR="00070B6E" w:rsidRPr="00070B6E">
        <w:rPr>
          <w:color w:val="auto"/>
          <w:sz w:val="22"/>
          <w:szCs w:val="22"/>
          <w:lang w:val="en-US"/>
        </w:rPr>
        <w:t>lacktip reef shark (</w:t>
      </w:r>
      <w:r w:rsidR="00070B6E" w:rsidRPr="00070B6E">
        <w:rPr>
          <w:i/>
          <w:iCs/>
          <w:color w:val="auto"/>
          <w:sz w:val="22"/>
          <w:szCs w:val="22"/>
          <w:lang w:val="en-US"/>
        </w:rPr>
        <w:t>Carcharhinus melanopterus</w:t>
      </w:r>
      <w:r w:rsidR="00070B6E" w:rsidRPr="00070B6E">
        <w:rPr>
          <w:color w:val="auto"/>
          <w:sz w:val="22"/>
          <w:szCs w:val="22"/>
          <w:lang w:val="en-US"/>
        </w:rPr>
        <w:t xml:space="preserve">), </w:t>
      </w:r>
      <w:r w:rsidR="00070B6E">
        <w:rPr>
          <w:color w:val="auto"/>
          <w:sz w:val="22"/>
          <w:szCs w:val="22"/>
          <w:lang w:val="en-US"/>
        </w:rPr>
        <w:t>d</w:t>
      </w:r>
      <w:r w:rsidR="00070B6E" w:rsidRPr="00070B6E">
        <w:rPr>
          <w:color w:val="auto"/>
          <w:sz w:val="22"/>
          <w:szCs w:val="22"/>
          <w:lang w:val="en-US"/>
        </w:rPr>
        <w:t>usky shark (</w:t>
      </w:r>
      <w:r w:rsidR="00070B6E" w:rsidRPr="00070B6E">
        <w:rPr>
          <w:i/>
          <w:iCs/>
          <w:color w:val="auto"/>
          <w:sz w:val="22"/>
          <w:szCs w:val="22"/>
          <w:lang w:val="en-US"/>
        </w:rPr>
        <w:t>Carcharhinus obscurus</w:t>
      </w:r>
      <w:r w:rsidR="00070B6E" w:rsidRPr="00070B6E">
        <w:rPr>
          <w:color w:val="auto"/>
          <w:sz w:val="22"/>
          <w:szCs w:val="22"/>
          <w:lang w:val="en-US"/>
        </w:rPr>
        <w:t xml:space="preserve">), </w:t>
      </w:r>
      <w:r w:rsidR="00070B6E">
        <w:rPr>
          <w:color w:val="auto"/>
          <w:sz w:val="22"/>
          <w:szCs w:val="22"/>
          <w:lang w:val="en-US"/>
        </w:rPr>
        <w:t>s</w:t>
      </w:r>
      <w:r w:rsidR="00070B6E" w:rsidRPr="00070B6E">
        <w:rPr>
          <w:color w:val="auto"/>
          <w:sz w:val="22"/>
          <w:szCs w:val="22"/>
          <w:lang w:val="en-US"/>
        </w:rPr>
        <w:t>andbar shark (</w:t>
      </w:r>
      <w:r w:rsidR="00070B6E" w:rsidRPr="00070B6E">
        <w:rPr>
          <w:i/>
          <w:iCs/>
          <w:color w:val="auto"/>
          <w:sz w:val="22"/>
          <w:szCs w:val="22"/>
          <w:lang w:val="en-US"/>
        </w:rPr>
        <w:t>Carcharhinus plumbeus</w:t>
      </w:r>
      <w:r w:rsidR="00070B6E" w:rsidRPr="00070B6E">
        <w:rPr>
          <w:color w:val="auto"/>
          <w:sz w:val="22"/>
          <w:szCs w:val="22"/>
          <w:lang w:val="en-US"/>
        </w:rPr>
        <w:t>), Australian blacktip shark (</w:t>
      </w:r>
      <w:r w:rsidR="00070B6E" w:rsidRPr="00070B6E">
        <w:rPr>
          <w:i/>
          <w:iCs/>
          <w:color w:val="auto"/>
          <w:sz w:val="22"/>
          <w:szCs w:val="22"/>
          <w:lang w:val="en-US"/>
        </w:rPr>
        <w:t>Carcharhinus tilstoni</w:t>
      </w:r>
      <w:r w:rsidR="00070B6E" w:rsidRPr="00070B6E">
        <w:rPr>
          <w:color w:val="auto"/>
          <w:sz w:val="22"/>
          <w:szCs w:val="22"/>
          <w:lang w:val="en-US"/>
        </w:rPr>
        <w:t xml:space="preserve">), </w:t>
      </w:r>
      <w:r w:rsidR="00070B6E">
        <w:rPr>
          <w:color w:val="auto"/>
          <w:sz w:val="22"/>
          <w:szCs w:val="22"/>
          <w:lang w:val="en-US"/>
        </w:rPr>
        <w:t>b</w:t>
      </w:r>
      <w:r w:rsidR="00070B6E" w:rsidRPr="00070B6E">
        <w:rPr>
          <w:color w:val="auto"/>
          <w:sz w:val="22"/>
          <w:szCs w:val="22"/>
          <w:lang w:val="en-US"/>
        </w:rPr>
        <w:t>lue shark (</w:t>
      </w:r>
      <w:r w:rsidR="00070B6E" w:rsidRPr="00070B6E">
        <w:rPr>
          <w:i/>
          <w:iCs/>
          <w:color w:val="auto"/>
          <w:sz w:val="22"/>
          <w:szCs w:val="22"/>
          <w:lang w:val="en-US"/>
        </w:rPr>
        <w:t>Prionace glauca</w:t>
      </w:r>
      <w:r w:rsidR="00070B6E" w:rsidRPr="00070B6E">
        <w:rPr>
          <w:color w:val="auto"/>
          <w:sz w:val="22"/>
          <w:szCs w:val="22"/>
          <w:lang w:val="en-US"/>
        </w:rPr>
        <w:t xml:space="preserve">), </w:t>
      </w:r>
      <w:r w:rsidR="00070B6E">
        <w:rPr>
          <w:color w:val="auto"/>
          <w:sz w:val="22"/>
          <w:szCs w:val="22"/>
          <w:lang w:val="en-US"/>
        </w:rPr>
        <w:t>s</w:t>
      </w:r>
      <w:r w:rsidR="00070B6E" w:rsidRPr="00070B6E">
        <w:rPr>
          <w:color w:val="auto"/>
          <w:sz w:val="22"/>
          <w:szCs w:val="22"/>
          <w:lang w:val="en-US"/>
        </w:rPr>
        <w:t>calloped hammerhead (</w:t>
      </w:r>
      <w:r w:rsidR="00070B6E" w:rsidRPr="00070B6E">
        <w:rPr>
          <w:i/>
          <w:iCs/>
          <w:color w:val="auto"/>
          <w:sz w:val="22"/>
          <w:szCs w:val="22"/>
          <w:lang w:val="en-US"/>
        </w:rPr>
        <w:t>Sphyrna lewini</w:t>
      </w:r>
      <w:r w:rsidR="00070B6E" w:rsidRPr="00070B6E">
        <w:rPr>
          <w:color w:val="auto"/>
          <w:sz w:val="22"/>
          <w:szCs w:val="22"/>
          <w:lang w:val="en-US"/>
        </w:rPr>
        <w:t xml:space="preserve">) and </w:t>
      </w:r>
      <w:r w:rsidR="00070B6E">
        <w:rPr>
          <w:color w:val="auto"/>
          <w:sz w:val="22"/>
          <w:szCs w:val="22"/>
          <w:lang w:val="en-US"/>
        </w:rPr>
        <w:t>s</w:t>
      </w:r>
      <w:r w:rsidR="00070B6E" w:rsidRPr="00070B6E">
        <w:rPr>
          <w:color w:val="auto"/>
          <w:sz w:val="22"/>
          <w:szCs w:val="22"/>
          <w:lang w:val="en-US"/>
        </w:rPr>
        <w:t>mooth hammerhead (</w:t>
      </w:r>
      <w:r w:rsidR="00070B6E" w:rsidRPr="00070B6E">
        <w:rPr>
          <w:i/>
          <w:iCs/>
          <w:color w:val="auto"/>
          <w:sz w:val="22"/>
          <w:szCs w:val="22"/>
          <w:lang w:val="en-US"/>
        </w:rPr>
        <w:t>Sphyrna zygaena</w:t>
      </w:r>
      <w:r w:rsidR="00070B6E" w:rsidRPr="00070B6E">
        <w:rPr>
          <w:color w:val="auto"/>
          <w:sz w:val="22"/>
          <w:szCs w:val="22"/>
          <w:lang w:val="en-US"/>
        </w:rPr>
        <w:t>)</w:t>
      </w:r>
    </w:p>
    <w:p w14:paraId="4CB1544A" w14:textId="2F2DD030" w:rsidR="00BC3821" w:rsidRPr="009C5305" w:rsidRDefault="00BC3821" w:rsidP="001D1E4F">
      <w:pPr>
        <w:spacing w:after="120" w:line="276" w:lineRule="auto"/>
        <w:rPr>
          <w:sz w:val="22"/>
          <w:szCs w:val="22"/>
        </w:rPr>
      </w:pPr>
      <w:r w:rsidRPr="009C5305">
        <w:rPr>
          <w:sz w:val="22"/>
          <w:szCs w:val="22"/>
        </w:rPr>
        <w:t xml:space="preserve">to be an approved </w:t>
      </w:r>
      <w:r w:rsidR="00C665C2" w:rsidRPr="009C5305">
        <w:rPr>
          <w:sz w:val="22"/>
          <w:szCs w:val="22"/>
        </w:rPr>
        <w:t>w</w:t>
      </w:r>
      <w:r w:rsidRPr="009C5305">
        <w:rPr>
          <w:sz w:val="22"/>
          <w:szCs w:val="22"/>
        </w:rPr>
        <w:t xml:space="preserve">ildlife </w:t>
      </w:r>
      <w:r w:rsidR="00C665C2" w:rsidRPr="009C5305">
        <w:rPr>
          <w:sz w:val="22"/>
          <w:szCs w:val="22"/>
        </w:rPr>
        <w:t>t</w:t>
      </w:r>
      <w:r w:rsidRPr="009C5305">
        <w:rPr>
          <w:sz w:val="22"/>
          <w:szCs w:val="22"/>
        </w:rPr>
        <w:t xml:space="preserve">rade </w:t>
      </w:r>
      <w:r w:rsidR="00C665C2" w:rsidRPr="009C5305">
        <w:rPr>
          <w:sz w:val="22"/>
          <w:szCs w:val="22"/>
        </w:rPr>
        <w:t>o</w:t>
      </w:r>
      <w:r w:rsidRPr="009C5305">
        <w:rPr>
          <w:sz w:val="22"/>
          <w:szCs w:val="22"/>
        </w:rPr>
        <w:t>peration, in a</w:t>
      </w:r>
      <w:r w:rsidR="0067129A" w:rsidRPr="009C5305">
        <w:rPr>
          <w:sz w:val="22"/>
          <w:szCs w:val="22"/>
        </w:rPr>
        <w:t>ccordance with subsection 303FN(2) and paragraph </w:t>
      </w:r>
      <w:r w:rsidRPr="009C5305">
        <w:rPr>
          <w:sz w:val="22"/>
          <w:szCs w:val="22"/>
        </w:rPr>
        <w:t>303FN(10)(d</w:t>
      </w:r>
      <w:r w:rsidR="009132FA" w:rsidRPr="009C5305">
        <w:rPr>
          <w:sz w:val="22"/>
          <w:szCs w:val="22"/>
        </w:rPr>
        <w:t>), for the purposes of the EPBC </w:t>
      </w:r>
      <w:r w:rsidRPr="009C5305">
        <w:rPr>
          <w:sz w:val="22"/>
          <w:szCs w:val="22"/>
        </w:rPr>
        <w:t>Act.</w:t>
      </w:r>
    </w:p>
    <w:p w14:paraId="4CB1544C" w14:textId="77777777" w:rsidR="00BC3821" w:rsidRPr="009C5305" w:rsidRDefault="00BC3821" w:rsidP="001D1E4F">
      <w:pPr>
        <w:spacing w:after="120" w:line="276" w:lineRule="auto"/>
        <w:rPr>
          <w:sz w:val="22"/>
          <w:szCs w:val="22"/>
        </w:rPr>
      </w:pPr>
      <w:r w:rsidRPr="009C5305">
        <w:rPr>
          <w:sz w:val="22"/>
          <w:szCs w:val="22"/>
        </w:rPr>
        <w:t>Unless amended or revoked, this declaration:</w:t>
      </w:r>
    </w:p>
    <w:p w14:paraId="4CB1544D" w14:textId="6DE0D590" w:rsidR="00BC3821" w:rsidRPr="009C5305" w:rsidRDefault="00BC3821" w:rsidP="006450FC">
      <w:pPr>
        <w:numPr>
          <w:ilvl w:val="0"/>
          <w:numId w:val="1"/>
        </w:numPr>
        <w:tabs>
          <w:tab w:val="num" w:pos="567"/>
        </w:tabs>
        <w:spacing w:line="276" w:lineRule="auto"/>
        <w:ind w:left="0" w:firstLine="0"/>
        <w:rPr>
          <w:sz w:val="22"/>
          <w:szCs w:val="22"/>
        </w:rPr>
      </w:pPr>
      <w:r w:rsidRPr="009C5305">
        <w:rPr>
          <w:sz w:val="22"/>
          <w:szCs w:val="22"/>
        </w:rPr>
        <w:t xml:space="preserve">is valid until </w:t>
      </w:r>
      <w:r w:rsidR="0088464A">
        <w:rPr>
          <w:snapToGrid w:val="0"/>
          <w:sz w:val="22"/>
          <w:szCs w:val="22"/>
        </w:rPr>
        <w:t>30 June 2028</w:t>
      </w:r>
      <w:r w:rsidR="00680FEF">
        <w:rPr>
          <w:snapToGrid w:val="0"/>
          <w:sz w:val="22"/>
          <w:szCs w:val="22"/>
        </w:rPr>
        <w:t xml:space="preserve"> </w:t>
      </w:r>
      <w:r w:rsidRPr="009C5305">
        <w:rPr>
          <w:sz w:val="22"/>
          <w:szCs w:val="22"/>
        </w:rPr>
        <w:t>and;</w:t>
      </w:r>
    </w:p>
    <w:p w14:paraId="4CB1544E" w14:textId="18EC217E" w:rsidR="00BC3821" w:rsidRPr="009C5305" w:rsidRDefault="00BC3821" w:rsidP="006450FC">
      <w:pPr>
        <w:numPr>
          <w:ilvl w:val="0"/>
          <w:numId w:val="1"/>
        </w:numPr>
        <w:tabs>
          <w:tab w:val="num" w:pos="567"/>
        </w:tabs>
        <w:spacing w:line="276" w:lineRule="auto"/>
        <w:ind w:left="0" w:firstLine="0"/>
        <w:rPr>
          <w:sz w:val="22"/>
          <w:szCs w:val="22"/>
        </w:rPr>
      </w:pPr>
      <w:r w:rsidRPr="009C5305">
        <w:rPr>
          <w:sz w:val="22"/>
          <w:szCs w:val="22"/>
        </w:rPr>
        <w:t>is subject to the conditions applied under</w:t>
      </w:r>
      <w:r w:rsidR="00F96DC0" w:rsidRPr="009C5305">
        <w:rPr>
          <w:sz w:val="22"/>
          <w:szCs w:val="22"/>
        </w:rPr>
        <w:t xml:space="preserve"> section 303FT specified in </w:t>
      </w:r>
      <w:r w:rsidRPr="009C5305">
        <w:rPr>
          <w:sz w:val="22"/>
          <w:szCs w:val="22"/>
        </w:rPr>
        <w:t>Schedule</w:t>
      </w:r>
      <w:r w:rsidR="000F54BF">
        <w:rPr>
          <w:sz w:val="22"/>
          <w:szCs w:val="22"/>
        </w:rPr>
        <w:t> 1</w:t>
      </w:r>
      <w:r w:rsidRPr="009C5305">
        <w:rPr>
          <w:sz w:val="22"/>
          <w:szCs w:val="22"/>
        </w:rPr>
        <w:t>.</w:t>
      </w:r>
    </w:p>
    <w:p w14:paraId="725212AD" w14:textId="77777777" w:rsidR="00264A2F" w:rsidRPr="009C5305" w:rsidRDefault="00264A2F" w:rsidP="001D1E4F">
      <w:pPr>
        <w:spacing w:after="120" w:line="276" w:lineRule="auto"/>
        <w:jc w:val="center"/>
        <w:rPr>
          <w:sz w:val="22"/>
          <w:szCs w:val="22"/>
        </w:rPr>
      </w:pPr>
    </w:p>
    <w:p w14:paraId="4CB15451" w14:textId="020EE93F" w:rsidR="00BC3821" w:rsidRPr="009C5305" w:rsidRDefault="00AD5D3C" w:rsidP="001D1E4F">
      <w:pPr>
        <w:spacing w:after="120" w:line="276" w:lineRule="auto"/>
        <w:jc w:val="center"/>
        <w:rPr>
          <w:sz w:val="22"/>
          <w:szCs w:val="22"/>
        </w:rPr>
      </w:pPr>
      <w:r w:rsidRPr="009C5305">
        <w:rPr>
          <w:sz w:val="22"/>
          <w:szCs w:val="22"/>
        </w:rPr>
        <w:t>Dated this</w:t>
      </w:r>
      <w:r w:rsidR="000F54BF">
        <w:rPr>
          <w:sz w:val="22"/>
          <w:szCs w:val="22"/>
        </w:rPr>
        <w:t xml:space="preserve"> </w:t>
      </w:r>
      <w:r w:rsidR="00B20629">
        <w:rPr>
          <w:sz w:val="22"/>
          <w:szCs w:val="22"/>
        </w:rPr>
        <w:t>19</w:t>
      </w:r>
      <w:r w:rsidR="000F54BF">
        <w:rPr>
          <w:sz w:val="22"/>
          <w:szCs w:val="22"/>
        </w:rPr>
        <w:t xml:space="preserve"> </w:t>
      </w:r>
      <w:r w:rsidRPr="009C5305">
        <w:rPr>
          <w:sz w:val="22"/>
          <w:szCs w:val="22"/>
        </w:rPr>
        <w:t>day of</w:t>
      </w:r>
      <w:r w:rsidR="000F54BF">
        <w:rPr>
          <w:sz w:val="22"/>
          <w:szCs w:val="22"/>
        </w:rPr>
        <w:t xml:space="preserve"> </w:t>
      </w:r>
      <w:r w:rsidR="00B20629">
        <w:rPr>
          <w:sz w:val="22"/>
          <w:szCs w:val="22"/>
        </w:rPr>
        <w:t>June 2025</w:t>
      </w:r>
    </w:p>
    <w:p w14:paraId="4CB15456" w14:textId="641D0057" w:rsidR="00BC3821" w:rsidRPr="009C5305" w:rsidRDefault="00BC3821" w:rsidP="00E130FE">
      <w:pPr>
        <w:spacing w:before="1320" w:after="120" w:line="276" w:lineRule="auto"/>
        <w:jc w:val="center"/>
        <w:rPr>
          <w:sz w:val="22"/>
          <w:szCs w:val="22"/>
        </w:rPr>
      </w:pPr>
      <w:r w:rsidRPr="009C5305">
        <w:rPr>
          <w:sz w:val="22"/>
          <w:szCs w:val="22"/>
        </w:rPr>
        <w:t>………….…</w:t>
      </w:r>
      <w:r w:rsidR="00B20629">
        <w:rPr>
          <w:sz w:val="22"/>
          <w:szCs w:val="22"/>
        </w:rPr>
        <w:t>MURRAY WATT</w:t>
      </w:r>
      <w:r w:rsidRPr="009C5305">
        <w:rPr>
          <w:sz w:val="22"/>
          <w:szCs w:val="22"/>
        </w:rPr>
        <w:t>….…………</w:t>
      </w:r>
      <w:r w:rsidR="00BF533B" w:rsidRPr="009C5305">
        <w:rPr>
          <w:sz w:val="22"/>
          <w:szCs w:val="22"/>
        </w:rPr>
        <w:t>…</w:t>
      </w:r>
    </w:p>
    <w:p w14:paraId="4CB15457" w14:textId="0F49176E" w:rsidR="00BC3821" w:rsidRPr="009C5305" w:rsidRDefault="00BC3821" w:rsidP="001D1E4F">
      <w:pPr>
        <w:spacing w:after="120" w:line="276" w:lineRule="auto"/>
        <w:jc w:val="center"/>
        <w:rPr>
          <w:snapToGrid w:val="0"/>
          <w:sz w:val="22"/>
          <w:szCs w:val="22"/>
        </w:rPr>
      </w:pPr>
      <w:bookmarkStart w:id="0" w:name="_Hlk40258754"/>
      <w:r w:rsidRPr="009C5305">
        <w:rPr>
          <w:snapToGrid w:val="0"/>
          <w:sz w:val="22"/>
          <w:szCs w:val="22"/>
        </w:rPr>
        <w:t xml:space="preserve">Minister for </w:t>
      </w:r>
      <w:r w:rsidR="00614914" w:rsidRPr="009C5305">
        <w:rPr>
          <w:sz w:val="22"/>
          <w:szCs w:val="22"/>
        </w:rPr>
        <w:t xml:space="preserve">the </w:t>
      </w:r>
      <w:r w:rsidR="00BF533B" w:rsidRPr="009C5305">
        <w:rPr>
          <w:sz w:val="22"/>
          <w:szCs w:val="22"/>
        </w:rPr>
        <w:t>Environment</w:t>
      </w:r>
      <w:r w:rsidR="00B364D4" w:rsidRPr="009C5305">
        <w:rPr>
          <w:sz w:val="22"/>
          <w:szCs w:val="22"/>
        </w:rPr>
        <w:t xml:space="preserve"> </w:t>
      </w:r>
      <w:r w:rsidR="000F54BF">
        <w:rPr>
          <w:sz w:val="22"/>
          <w:szCs w:val="22"/>
        </w:rPr>
        <w:t>and Water</w:t>
      </w:r>
    </w:p>
    <w:bookmarkEnd w:id="0"/>
    <w:p w14:paraId="1C547B98" w14:textId="52727C34" w:rsidR="00AC559D" w:rsidRDefault="00B85719" w:rsidP="00E130FE">
      <w:pPr>
        <w:keepNext/>
        <w:spacing w:after="120" w:line="276" w:lineRule="auto"/>
        <w:rPr>
          <w:sz w:val="18"/>
          <w:szCs w:val="18"/>
        </w:rPr>
      </w:pPr>
      <w:r w:rsidRPr="009C5305">
        <w:rPr>
          <w:sz w:val="18"/>
          <w:szCs w:val="18"/>
        </w:rPr>
        <w:lastRenderedPageBreak/>
        <w:t>Notes:</w:t>
      </w:r>
    </w:p>
    <w:p w14:paraId="53419AC8" w14:textId="42CE2331" w:rsidR="00B85719" w:rsidRDefault="00B85719" w:rsidP="00AC559D">
      <w:pPr>
        <w:numPr>
          <w:ilvl w:val="0"/>
          <w:numId w:val="15"/>
        </w:numPr>
        <w:spacing w:after="120" w:line="276" w:lineRule="auto"/>
        <w:rPr>
          <w:sz w:val="18"/>
          <w:szCs w:val="18"/>
        </w:rPr>
      </w:pPr>
      <w:r w:rsidRPr="00764F14">
        <w:rPr>
          <w:sz w:val="18"/>
          <w:szCs w:val="18"/>
        </w:rPr>
        <w:t>Australia’s obligations under the Convention on International Trade in Endangered Species of Wild Fauna and Flora (CITES) are met through Part 13A of the EPBC Act. Specimens of species listed in Appendix II of Australia’s CITES list under section 303CA of the EPBC Act may only be exported, under a CITES export permit issued under the EPBC Act, if Australia’s CITES Scientific Authority has issued a non-detriment finding for that species. Further information</w:t>
      </w:r>
      <w:r w:rsidR="00AC559D">
        <w:rPr>
          <w:sz w:val="18"/>
          <w:szCs w:val="18"/>
        </w:rPr>
        <w:t xml:space="preserve"> </w:t>
      </w:r>
      <w:r w:rsidRPr="00764F14">
        <w:rPr>
          <w:sz w:val="18"/>
          <w:szCs w:val="18"/>
        </w:rPr>
        <w:t xml:space="preserve">is available from </w:t>
      </w:r>
      <w:r w:rsidR="00AC559D" w:rsidRPr="00AC559D">
        <w:rPr>
          <w:sz w:val="18"/>
          <w:szCs w:val="18"/>
        </w:rPr>
        <w:t>https://www.dcceew.gov.au/environment/wildlife-trade/cites</w:t>
      </w:r>
      <w:r w:rsidRPr="00764F14">
        <w:rPr>
          <w:sz w:val="18"/>
          <w:szCs w:val="18"/>
        </w:rPr>
        <w:t>.</w:t>
      </w:r>
    </w:p>
    <w:p w14:paraId="4249BFDC" w14:textId="76A3228D" w:rsidR="00680FEF" w:rsidRDefault="00B85719" w:rsidP="00680FEF">
      <w:pPr>
        <w:pStyle w:val="BlockText"/>
        <w:spacing w:after="120" w:line="276" w:lineRule="auto"/>
        <w:ind w:left="0" w:right="0"/>
        <w:jc w:val="right"/>
        <w:rPr>
          <w:szCs w:val="24"/>
        </w:rPr>
      </w:pPr>
      <w:r w:rsidRPr="009C5305">
        <w:rPr>
          <w:szCs w:val="24"/>
        </w:rPr>
        <w:br w:type="page"/>
      </w:r>
      <w:r w:rsidR="00680FEF">
        <w:rPr>
          <w:szCs w:val="24"/>
        </w:rPr>
        <w:lastRenderedPageBreak/>
        <w:t>Schedule 1</w:t>
      </w:r>
    </w:p>
    <w:p w14:paraId="4CB15463" w14:textId="7D52A14D" w:rsidR="00BC3821" w:rsidRPr="009C5305" w:rsidRDefault="00BC3821" w:rsidP="001D1E4F">
      <w:pPr>
        <w:pStyle w:val="BlockText"/>
        <w:spacing w:after="120" w:line="276" w:lineRule="auto"/>
        <w:ind w:left="0" w:right="0"/>
        <w:rPr>
          <w:szCs w:val="24"/>
        </w:rPr>
      </w:pPr>
      <w:r w:rsidRPr="009C5305">
        <w:rPr>
          <w:szCs w:val="24"/>
        </w:rPr>
        <w:t xml:space="preserve">Declaration of the </w:t>
      </w:r>
      <w:r w:rsidR="00D63915" w:rsidRPr="009C5305">
        <w:rPr>
          <w:szCs w:val="24"/>
        </w:rPr>
        <w:t>h</w:t>
      </w:r>
      <w:r w:rsidRPr="009C5305">
        <w:rPr>
          <w:szCs w:val="24"/>
        </w:rPr>
        <w:t xml:space="preserve">arvest </w:t>
      </w:r>
      <w:r w:rsidR="00D63915" w:rsidRPr="009C5305">
        <w:rPr>
          <w:szCs w:val="24"/>
        </w:rPr>
        <w:t>o</w:t>
      </w:r>
      <w:r w:rsidRPr="009C5305">
        <w:rPr>
          <w:szCs w:val="24"/>
        </w:rPr>
        <w:t>perations of the</w:t>
      </w:r>
      <w:r w:rsidR="00AC57EB" w:rsidRPr="00AC57EB">
        <w:t xml:space="preserve"> </w:t>
      </w:r>
      <w:r w:rsidR="00AC57EB" w:rsidRPr="00AC57EB">
        <w:rPr>
          <w:szCs w:val="24"/>
        </w:rPr>
        <w:t>Commonwealth Southern and Eastern Scalefish and Shark Fishery</w:t>
      </w:r>
      <w:r w:rsidR="00AC57EB">
        <w:rPr>
          <w:szCs w:val="24"/>
        </w:rPr>
        <w:t xml:space="preserve"> </w:t>
      </w:r>
      <w:r w:rsidRPr="009C5305">
        <w:rPr>
          <w:szCs w:val="24"/>
        </w:rPr>
        <w:t xml:space="preserve">as an approved </w:t>
      </w:r>
      <w:r w:rsidR="00C665C2" w:rsidRPr="009C5305">
        <w:rPr>
          <w:szCs w:val="24"/>
        </w:rPr>
        <w:t>w</w:t>
      </w:r>
      <w:r w:rsidRPr="009C5305">
        <w:rPr>
          <w:szCs w:val="24"/>
        </w:rPr>
        <w:t xml:space="preserve">ildlife </w:t>
      </w:r>
      <w:r w:rsidR="00C665C2" w:rsidRPr="009C5305">
        <w:rPr>
          <w:szCs w:val="24"/>
        </w:rPr>
        <w:t>t</w:t>
      </w:r>
      <w:r w:rsidRPr="009C5305">
        <w:rPr>
          <w:szCs w:val="24"/>
        </w:rPr>
        <w:t xml:space="preserve">rade </w:t>
      </w:r>
      <w:r w:rsidR="00C665C2" w:rsidRPr="009C5305">
        <w:rPr>
          <w:szCs w:val="24"/>
        </w:rPr>
        <w:t>o</w:t>
      </w:r>
      <w:r w:rsidRPr="009C5305">
        <w:rPr>
          <w:szCs w:val="24"/>
        </w:rPr>
        <w:t xml:space="preserve">peration, </w:t>
      </w:r>
      <w:r w:rsidR="00AC57EB">
        <w:rPr>
          <w:szCs w:val="24"/>
        </w:rPr>
        <w:t>June 2025</w:t>
      </w:r>
    </w:p>
    <w:p w14:paraId="4CB15464" w14:textId="77777777" w:rsidR="00BC3821" w:rsidRPr="00680FEF" w:rsidRDefault="00BC3821" w:rsidP="001D1E4F">
      <w:pPr>
        <w:spacing w:after="120" w:line="276" w:lineRule="auto"/>
        <w:jc w:val="center"/>
        <w:rPr>
          <w:sz w:val="22"/>
          <w:szCs w:val="22"/>
        </w:rPr>
      </w:pPr>
    </w:p>
    <w:p w14:paraId="4CB15465" w14:textId="77777777" w:rsidR="00BC3821" w:rsidRPr="00680FEF" w:rsidRDefault="00BC3821" w:rsidP="00170C96">
      <w:pPr>
        <w:spacing w:before="120" w:line="276" w:lineRule="auto"/>
        <w:rPr>
          <w:b/>
          <w:bCs/>
          <w:sz w:val="22"/>
          <w:szCs w:val="22"/>
        </w:rPr>
      </w:pPr>
      <w:r w:rsidRPr="00680FEF">
        <w:rPr>
          <w:b/>
          <w:bCs/>
          <w:sz w:val="22"/>
          <w:szCs w:val="22"/>
        </w:rPr>
        <w:t>ADDITIONAL PROVISIONS (section 303FT)</w:t>
      </w:r>
    </w:p>
    <w:p w14:paraId="4CB15467" w14:textId="0F1D387E" w:rsidR="00BC3821" w:rsidRPr="00680FEF" w:rsidRDefault="00BC3821" w:rsidP="00170C96">
      <w:pPr>
        <w:spacing w:before="120" w:line="276" w:lineRule="auto"/>
        <w:rPr>
          <w:sz w:val="22"/>
          <w:szCs w:val="22"/>
        </w:rPr>
      </w:pPr>
      <w:r w:rsidRPr="00680FEF">
        <w:rPr>
          <w:sz w:val="22"/>
          <w:szCs w:val="22"/>
        </w:rPr>
        <w:t xml:space="preserve">Relating to the harvesting of fish </w:t>
      </w:r>
      <w:r w:rsidRPr="00680FEF">
        <w:rPr>
          <w:snapToGrid w:val="0"/>
          <w:sz w:val="22"/>
          <w:szCs w:val="22"/>
        </w:rPr>
        <w:t xml:space="preserve">specimens that are, or are derived from, fish or invertebrates, other than </w:t>
      </w:r>
      <w:r w:rsidRPr="00680FEF">
        <w:rPr>
          <w:sz w:val="22"/>
          <w:szCs w:val="22"/>
        </w:rPr>
        <w:t xml:space="preserve">specimens of species listed under Part 13 </w:t>
      </w:r>
      <w:r w:rsidR="00CF5312" w:rsidRPr="00680FEF">
        <w:rPr>
          <w:sz w:val="22"/>
          <w:szCs w:val="22"/>
        </w:rPr>
        <w:t>and</w:t>
      </w:r>
      <w:r w:rsidR="00DA6600" w:rsidRPr="00680FEF">
        <w:rPr>
          <w:sz w:val="22"/>
          <w:szCs w:val="22"/>
        </w:rPr>
        <w:t xml:space="preserve"> Part 13A </w:t>
      </w:r>
      <w:r w:rsidRPr="00680FEF">
        <w:rPr>
          <w:sz w:val="22"/>
          <w:szCs w:val="22"/>
        </w:rPr>
        <w:t xml:space="preserve">of the </w:t>
      </w:r>
      <w:r w:rsidR="00C665C2" w:rsidRPr="00680FEF">
        <w:rPr>
          <w:i/>
          <w:sz w:val="22"/>
          <w:szCs w:val="22"/>
        </w:rPr>
        <w:t>Environment</w:t>
      </w:r>
      <w:r w:rsidR="001754B3" w:rsidRPr="00680FEF">
        <w:rPr>
          <w:i/>
          <w:sz w:val="22"/>
          <w:szCs w:val="22"/>
        </w:rPr>
        <w:t xml:space="preserve"> </w:t>
      </w:r>
      <w:r w:rsidRPr="00680FEF">
        <w:rPr>
          <w:i/>
          <w:sz w:val="22"/>
          <w:szCs w:val="22"/>
        </w:rPr>
        <w:t>Protection and Biodiversity Conservation Act 1999</w:t>
      </w:r>
      <w:r w:rsidRPr="00680FEF">
        <w:rPr>
          <w:sz w:val="22"/>
          <w:szCs w:val="22"/>
        </w:rPr>
        <w:t xml:space="preserve"> (EPBC Act)</w:t>
      </w:r>
      <w:r w:rsidR="00680FEF">
        <w:rPr>
          <w:sz w:val="22"/>
          <w:szCs w:val="22"/>
        </w:rPr>
        <w:t xml:space="preserve">, unless those </w:t>
      </w:r>
      <w:r w:rsidR="00E130FE">
        <w:rPr>
          <w:sz w:val="22"/>
          <w:szCs w:val="22"/>
        </w:rPr>
        <w:t>specimens</w:t>
      </w:r>
      <w:r w:rsidR="00680FEF">
        <w:rPr>
          <w:sz w:val="22"/>
          <w:szCs w:val="22"/>
        </w:rPr>
        <w:t xml:space="preserve"> are subject to any exceptions as outlined in this declaration</w:t>
      </w:r>
      <w:r w:rsidRPr="00680FEF">
        <w:rPr>
          <w:sz w:val="22"/>
          <w:szCs w:val="22"/>
        </w:rPr>
        <w:t>,</w:t>
      </w:r>
      <w:r w:rsidRPr="00680FEF">
        <w:rPr>
          <w:snapToGrid w:val="0"/>
          <w:sz w:val="22"/>
          <w:szCs w:val="22"/>
        </w:rPr>
        <w:t xml:space="preserve"> taken in the</w:t>
      </w:r>
      <w:r w:rsidR="00211F4E" w:rsidRPr="00211F4E">
        <w:t xml:space="preserve"> </w:t>
      </w:r>
      <w:r w:rsidR="00211F4E" w:rsidRPr="00211F4E">
        <w:rPr>
          <w:snapToGrid w:val="0"/>
          <w:sz w:val="22"/>
          <w:szCs w:val="22"/>
        </w:rPr>
        <w:t>Commonwealth Southern and Eastern Scalefish and Shark Fishery</w:t>
      </w:r>
      <w:r w:rsidRPr="00680FEF">
        <w:rPr>
          <w:sz w:val="22"/>
          <w:szCs w:val="22"/>
        </w:rPr>
        <w:t>:</w:t>
      </w:r>
    </w:p>
    <w:p w14:paraId="4CB15468" w14:textId="4DA01E0F" w:rsidR="00BC3821" w:rsidRPr="00211F4E" w:rsidRDefault="00680FEF" w:rsidP="00170C96">
      <w:pPr>
        <w:spacing w:before="120" w:line="276" w:lineRule="auto"/>
        <w:rPr>
          <w:b/>
          <w:bCs/>
          <w:iCs/>
          <w:sz w:val="22"/>
          <w:szCs w:val="22"/>
        </w:rPr>
      </w:pPr>
      <w:r w:rsidRPr="00211F4E">
        <w:rPr>
          <w:b/>
          <w:bCs/>
          <w:iCs/>
          <w:sz w:val="22"/>
          <w:szCs w:val="22"/>
        </w:rPr>
        <w:t>Condition 1</w:t>
      </w:r>
    </w:p>
    <w:p w14:paraId="5F2A12ED" w14:textId="77777777" w:rsidR="00D91457" w:rsidRPr="00D91457" w:rsidRDefault="00D91457" w:rsidP="00170C96">
      <w:pPr>
        <w:spacing w:before="120" w:line="276" w:lineRule="auto"/>
        <w:rPr>
          <w:rFonts w:eastAsia="Calibri"/>
          <w:sz w:val="22"/>
          <w:szCs w:val="22"/>
          <w:lang w:val="en-AU"/>
        </w:rPr>
      </w:pPr>
      <w:r w:rsidRPr="00D91457">
        <w:rPr>
          <w:rFonts w:eastAsia="Calibri"/>
          <w:sz w:val="22"/>
          <w:szCs w:val="22"/>
          <w:lang w:val="en-AU"/>
        </w:rPr>
        <w:t xml:space="preserve">Export approval for the Commonwealth Southern and Eastern Scalefish and Shark Fishery (the fishery) has been provided on the basis the fishery will be managed in accordance with the Southern and Eastern Scalefish and Shark Fishery Management Plan 2003, made under the </w:t>
      </w:r>
      <w:r w:rsidRPr="00D91457">
        <w:rPr>
          <w:rFonts w:eastAsia="Calibri"/>
          <w:i/>
          <w:iCs/>
          <w:sz w:val="22"/>
          <w:szCs w:val="22"/>
          <w:lang w:val="en-AU"/>
        </w:rPr>
        <w:t xml:space="preserve">Fisheries Management Act 1991 </w:t>
      </w:r>
      <w:r w:rsidRPr="00D91457">
        <w:rPr>
          <w:rFonts w:eastAsia="Calibri"/>
          <w:sz w:val="22"/>
          <w:szCs w:val="22"/>
          <w:lang w:val="en-AU"/>
        </w:rPr>
        <w:t xml:space="preserve">(Cth) and the Fisheries Management Regulations 2019 (Cth). </w:t>
      </w:r>
    </w:p>
    <w:p w14:paraId="6C24ECE1" w14:textId="77777777" w:rsidR="00D91457" w:rsidRPr="00D91457" w:rsidRDefault="00D91457" w:rsidP="00170C96">
      <w:pPr>
        <w:spacing w:before="120" w:line="276" w:lineRule="auto"/>
        <w:rPr>
          <w:rFonts w:eastAsia="Calibri"/>
          <w:sz w:val="22"/>
          <w:szCs w:val="22"/>
          <w:lang w:val="en-AU"/>
        </w:rPr>
      </w:pPr>
      <w:r w:rsidRPr="00D91457">
        <w:rPr>
          <w:rFonts w:eastAsia="Calibri"/>
          <w:sz w:val="22"/>
          <w:szCs w:val="22"/>
          <w:lang w:val="en-AU"/>
        </w:rPr>
        <w:t>During the term of the export approval, the Australian Fisheries Management Authority must:</w:t>
      </w:r>
    </w:p>
    <w:p w14:paraId="5FA06B52" w14:textId="7D1C7901" w:rsidR="00D91457" w:rsidRPr="00D91457" w:rsidRDefault="00D91457" w:rsidP="00582874">
      <w:pPr>
        <w:numPr>
          <w:ilvl w:val="0"/>
          <w:numId w:val="22"/>
        </w:numPr>
        <w:spacing w:before="120" w:line="276" w:lineRule="auto"/>
        <w:ind w:left="714" w:hanging="357"/>
        <w:rPr>
          <w:rFonts w:eastAsia="Aptos"/>
          <w:color w:val="000000"/>
          <w:sz w:val="22"/>
          <w:szCs w:val="22"/>
          <w:lang w:val="en-AU"/>
        </w:rPr>
      </w:pPr>
      <w:r w:rsidRPr="00D91457">
        <w:rPr>
          <w:rFonts w:eastAsia="Aptos"/>
          <w:color w:val="000000"/>
          <w:sz w:val="22"/>
          <w:szCs w:val="22"/>
          <w:lang w:val="en-AU"/>
        </w:rPr>
        <w:t xml:space="preserve">Consistent with Appendix B of the Guidelines for the Ecologically Sustainable Management of Fisheries, provide the Department of Climate Change, Energy, the Environment and Water (the department), with an annual report by </w:t>
      </w:r>
      <w:r w:rsidR="00663CC8">
        <w:rPr>
          <w:rFonts w:eastAsia="Aptos"/>
          <w:color w:val="000000"/>
          <w:sz w:val="22"/>
          <w:szCs w:val="22"/>
          <w:lang w:val="en-AU"/>
        </w:rPr>
        <w:t xml:space="preserve">29 </w:t>
      </w:r>
      <w:r w:rsidRPr="00D91457">
        <w:rPr>
          <w:rFonts w:eastAsia="Aptos"/>
          <w:color w:val="000000"/>
          <w:sz w:val="22"/>
          <w:szCs w:val="22"/>
          <w:lang w:val="en-AU"/>
        </w:rPr>
        <w:t>August each year.</w:t>
      </w:r>
    </w:p>
    <w:p w14:paraId="12C9D1F0" w14:textId="77777777" w:rsidR="00E50C2B" w:rsidRPr="00582874" w:rsidRDefault="00D91457" w:rsidP="00582874">
      <w:pPr>
        <w:spacing w:before="120" w:line="276" w:lineRule="auto"/>
        <w:ind w:left="714"/>
        <w:rPr>
          <w:rFonts w:eastAsia="Aptos"/>
          <w:color w:val="000000"/>
          <w:sz w:val="22"/>
          <w:szCs w:val="22"/>
          <w:lang w:val="en-AU"/>
        </w:rPr>
      </w:pPr>
      <w:r w:rsidRPr="00D91457">
        <w:rPr>
          <w:rFonts w:eastAsia="Aptos"/>
          <w:color w:val="000000"/>
          <w:sz w:val="22"/>
          <w:szCs w:val="22"/>
          <w:lang w:val="en-AU"/>
        </w:rPr>
        <w:t>Annual reports should include species-specific harvest data (including discards) for any species listed under the Convention on International Trade in Endangered Species of Wild Fauna and Flora (CITES).</w:t>
      </w:r>
    </w:p>
    <w:p w14:paraId="07437738" w14:textId="5C21ABD4" w:rsidR="00D91457" w:rsidRPr="00582874" w:rsidRDefault="00D91457" w:rsidP="00582874">
      <w:pPr>
        <w:numPr>
          <w:ilvl w:val="0"/>
          <w:numId w:val="22"/>
        </w:numPr>
        <w:spacing w:before="120" w:line="276" w:lineRule="auto"/>
        <w:ind w:left="714" w:hanging="357"/>
        <w:rPr>
          <w:rFonts w:eastAsia="Aptos"/>
          <w:color w:val="000000"/>
          <w:sz w:val="22"/>
          <w:szCs w:val="22"/>
          <w:lang w:val="en-AU"/>
        </w:rPr>
      </w:pPr>
      <w:r w:rsidRPr="00582874">
        <w:rPr>
          <w:rFonts w:eastAsia="Aptos"/>
          <w:color w:val="000000"/>
          <w:sz w:val="22"/>
          <w:szCs w:val="22"/>
          <w:lang w:val="en-AU"/>
        </w:rPr>
        <w:t>In the interim, if there are any intended changes to legislative instruments, or material changes to management arrangements, that may affect the basis on which the export accreditation was made for this fishery, the department must be notified.</w:t>
      </w:r>
    </w:p>
    <w:p w14:paraId="35D87B53" w14:textId="7FCC0CD6" w:rsidR="00180585" w:rsidRPr="003A11B1" w:rsidRDefault="001D7F39" w:rsidP="00170C96">
      <w:pPr>
        <w:spacing w:before="120" w:line="276" w:lineRule="auto"/>
        <w:rPr>
          <w:b/>
          <w:bCs/>
          <w:sz w:val="22"/>
          <w:szCs w:val="22"/>
          <w:lang w:val="en-AU"/>
        </w:rPr>
      </w:pPr>
      <w:r w:rsidRPr="003A11B1">
        <w:rPr>
          <w:b/>
          <w:bCs/>
          <w:sz w:val="22"/>
          <w:szCs w:val="22"/>
          <w:lang w:val="en-AU"/>
        </w:rPr>
        <w:t>Condition 2</w:t>
      </w:r>
    </w:p>
    <w:p w14:paraId="12FC87EA" w14:textId="77777777" w:rsidR="003C684B" w:rsidRPr="003C684B" w:rsidRDefault="003C684B" w:rsidP="00170C96">
      <w:pPr>
        <w:spacing w:before="120" w:line="276" w:lineRule="auto"/>
        <w:rPr>
          <w:rFonts w:eastAsia="Aptos"/>
          <w:sz w:val="22"/>
          <w:szCs w:val="22"/>
          <w:lang w:val="en-AU"/>
          <w14:ligatures w14:val="standardContextual"/>
        </w:rPr>
      </w:pPr>
      <w:r w:rsidRPr="003C684B">
        <w:rPr>
          <w:rFonts w:eastAsia="Aptos"/>
          <w:sz w:val="22"/>
          <w:szCs w:val="22"/>
          <w:lang w:val="en-AU"/>
          <w14:ligatures w14:val="standardContextual"/>
        </w:rPr>
        <w:t>To ensure there is a high degree of probability that overfished stocks in the fishery will recover, the Australian Fisheries Management Authority must continue to implement measures to address and end overfishing. In addressing overfishing, the Australian Fisheries Management Authority must:</w:t>
      </w:r>
    </w:p>
    <w:p w14:paraId="7CF6C584" w14:textId="0A25C5F4" w:rsidR="003C684B" w:rsidRPr="003C684B" w:rsidRDefault="00E95AE0" w:rsidP="00582874">
      <w:pPr>
        <w:numPr>
          <w:ilvl w:val="0"/>
          <w:numId w:val="27"/>
        </w:numPr>
        <w:spacing w:before="120" w:line="276" w:lineRule="auto"/>
        <w:rPr>
          <w:rFonts w:eastAsia="Aptos"/>
          <w:color w:val="000000"/>
          <w:sz w:val="22"/>
          <w:szCs w:val="22"/>
          <w:lang w:val="en-AU"/>
        </w:rPr>
      </w:pPr>
      <w:r w:rsidRPr="00E95AE0">
        <w:rPr>
          <w:rFonts w:eastAsia="Aptos"/>
          <w:color w:val="000000"/>
          <w:sz w:val="22"/>
          <w:szCs w:val="22"/>
          <w:lang w:val="en-AU"/>
        </w:rPr>
        <w:t>Develop and implement measures to improve confidence in the total mortality of blue warehou by 20 January 2028, to inform future management controls to reduce the incidental bycatch and discarding of blue warehou in the fishery</w:t>
      </w:r>
      <w:r w:rsidR="003C684B" w:rsidRPr="003C684B">
        <w:rPr>
          <w:rFonts w:eastAsia="Aptos"/>
          <w:color w:val="000000"/>
          <w:sz w:val="22"/>
          <w:szCs w:val="22"/>
          <w:lang w:val="en-AU"/>
        </w:rPr>
        <w:t>.</w:t>
      </w:r>
    </w:p>
    <w:p w14:paraId="7EA67737" w14:textId="77777777" w:rsidR="001D6E49" w:rsidRPr="00582874" w:rsidRDefault="003C684B" w:rsidP="00582874">
      <w:pPr>
        <w:numPr>
          <w:ilvl w:val="0"/>
          <w:numId w:val="27"/>
        </w:numPr>
        <w:spacing w:before="120" w:line="276" w:lineRule="auto"/>
        <w:rPr>
          <w:rFonts w:eastAsia="Aptos"/>
          <w:color w:val="000000"/>
          <w:sz w:val="22"/>
          <w:szCs w:val="22"/>
          <w:lang w:val="en-AU"/>
        </w:rPr>
      </w:pPr>
      <w:r w:rsidRPr="003C684B">
        <w:rPr>
          <w:rFonts w:eastAsia="Aptos"/>
          <w:color w:val="000000"/>
          <w:sz w:val="22"/>
          <w:szCs w:val="22"/>
          <w:lang w:val="en-AU"/>
        </w:rPr>
        <w:t>Investigate methods for providing an alternative primary index of abundance (relative or absolute) for blue warehou stocks in the fishery by 20 January 2028.</w:t>
      </w:r>
    </w:p>
    <w:p w14:paraId="32599F3A" w14:textId="77777777" w:rsidR="001D6E49" w:rsidRPr="00582874" w:rsidRDefault="003C684B" w:rsidP="00582874">
      <w:pPr>
        <w:numPr>
          <w:ilvl w:val="0"/>
          <w:numId w:val="27"/>
        </w:numPr>
        <w:spacing w:before="120" w:line="276" w:lineRule="auto"/>
        <w:rPr>
          <w:rFonts w:eastAsia="Aptos"/>
          <w:color w:val="000000"/>
          <w:sz w:val="22"/>
          <w:szCs w:val="22"/>
          <w:lang w:val="en-AU"/>
        </w:rPr>
      </w:pPr>
      <w:r w:rsidRPr="003C684B">
        <w:rPr>
          <w:rFonts w:eastAsia="Aptos"/>
          <w:color w:val="000000"/>
          <w:sz w:val="22"/>
          <w:szCs w:val="22"/>
          <w:lang w:val="en-AU"/>
        </w:rPr>
        <w:t>Develop and implement a rebuilding strategy for jackass morwong by 20 January 2028.</w:t>
      </w:r>
    </w:p>
    <w:p w14:paraId="3CCB9328" w14:textId="77777777" w:rsidR="001D6E49" w:rsidRPr="00582874" w:rsidRDefault="003C684B" w:rsidP="00582874">
      <w:pPr>
        <w:numPr>
          <w:ilvl w:val="0"/>
          <w:numId w:val="27"/>
        </w:numPr>
        <w:spacing w:before="120" w:line="276" w:lineRule="auto"/>
        <w:rPr>
          <w:rFonts w:eastAsia="Aptos"/>
          <w:color w:val="000000"/>
          <w:sz w:val="22"/>
          <w:szCs w:val="22"/>
          <w:lang w:val="en-AU"/>
        </w:rPr>
      </w:pPr>
      <w:r w:rsidRPr="003C684B">
        <w:rPr>
          <w:rFonts w:eastAsia="Aptos"/>
          <w:color w:val="000000"/>
          <w:sz w:val="22"/>
          <w:szCs w:val="22"/>
          <w:lang w:val="en-AU"/>
        </w:rPr>
        <w:t>Complete and publish a review of the School Shark Stock Rebuilding Strategy which incorporates the updated school shark population assessment and other relevant research by 20 January 2028.</w:t>
      </w:r>
    </w:p>
    <w:p w14:paraId="3D851CBF" w14:textId="276A870C" w:rsidR="003C684B" w:rsidRPr="003C684B" w:rsidRDefault="003C684B" w:rsidP="00582874">
      <w:pPr>
        <w:numPr>
          <w:ilvl w:val="0"/>
          <w:numId w:val="27"/>
        </w:numPr>
        <w:spacing w:before="120" w:line="276" w:lineRule="auto"/>
        <w:rPr>
          <w:rFonts w:eastAsia="Aptos"/>
          <w:color w:val="000000"/>
          <w:sz w:val="22"/>
          <w:szCs w:val="22"/>
          <w:lang w:val="en-AU"/>
        </w:rPr>
      </w:pPr>
      <w:r w:rsidRPr="003C684B">
        <w:rPr>
          <w:rFonts w:eastAsia="Aptos"/>
          <w:color w:val="000000"/>
          <w:sz w:val="22"/>
          <w:szCs w:val="22"/>
          <w:lang w:val="en-AU"/>
        </w:rPr>
        <w:t>During the term of this approval, engage with jurisdictions that share management responsibility for stocks subject to overfishing to ensure all forms of mortality are considered and effectively managed, particularly for school shark.</w:t>
      </w:r>
    </w:p>
    <w:p w14:paraId="70C803FD" w14:textId="77777777" w:rsidR="00C82CD8" w:rsidRDefault="00C82CD8" w:rsidP="00170C96">
      <w:pPr>
        <w:spacing w:before="120" w:line="276" w:lineRule="auto"/>
        <w:rPr>
          <w:sz w:val="22"/>
          <w:szCs w:val="22"/>
          <w:lang w:val="en-AU"/>
        </w:rPr>
      </w:pPr>
    </w:p>
    <w:p w14:paraId="7DE6FA37" w14:textId="77777777" w:rsidR="00C82CD8" w:rsidRDefault="00C82CD8" w:rsidP="00170C96">
      <w:pPr>
        <w:spacing w:before="120" w:line="276" w:lineRule="auto"/>
        <w:rPr>
          <w:sz w:val="22"/>
          <w:szCs w:val="22"/>
          <w:lang w:val="en-AU"/>
        </w:rPr>
      </w:pPr>
    </w:p>
    <w:p w14:paraId="6AC97773" w14:textId="211A07B8" w:rsidR="003A11B1" w:rsidRPr="00D91E37" w:rsidRDefault="003A11B1" w:rsidP="00170C96">
      <w:pPr>
        <w:spacing w:before="120" w:line="276" w:lineRule="auto"/>
        <w:rPr>
          <w:b/>
          <w:bCs/>
          <w:sz w:val="22"/>
          <w:szCs w:val="22"/>
          <w:lang w:val="en-AU"/>
        </w:rPr>
      </w:pPr>
      <w:r w:rsidRPr="00D91E37">
        <w:rPr>
          <w:b/>
          <w:bCs/>
          <w:sz w:val="22"/>
          <w:szCs w:val="22"/>
          <w:lang w:val="en-AU"/>
        </w:rPr>
        <w:lastRenderedPageBreak/>
        <w:t>Condition 3</w:t>
      </w:r>
    </w:p>
    <w:p w14:paraId="05A38DCB" w14:textId="23E0E79A" w:rsidR="00D10953" w:rsidRPr="00D10953" w:rsidRDefault="00D10953" w:rsidP="00170C96">
      <w:pPr>
        <w:spacing w:before="120" w:line="276" w:lineRule="auto"/>
        <w:rPr>
          <w:rFonts w:eastAsia="Aptos"/>
          <w:b/>
          <w:bCs/>
          <w:sz w:val="22"/>
          <w:szCs w:val="22"/>
          <w:u w:val="single"/>
          <w:lang w:val="en-AU"/>
        </w:rPr>
      </w:pPr>
      <w:r w:rsidRPr="00D10953">
        <w:rPr>
          <w:rFonts w:eastAsia="Aptos"/>
          <w:sz w:val="22"/>
          <w:szCs w:val="22"/>
          <w:lang w:val="en-AU"/>
        </w:rPr>
        <w:t xml:space="preserve">To ensure there is a high degree of probability overfished stocks in the fishery will recover, continue to recover species identified in Fisheries Status Reports as overfished. In addressing overfished stocks in the fishery, the Australian Fisheries Management Authority must: </w:t>
      </w:r>
    </w:p>
    <w:p w14:paraId="6E8362A2" w14:textId="77777777" w:rsidR="00D10953" w:rsidRPr="00D10953" w:rsidRDefault="00D10953" w:rsidP="00582874">
      <w:pPr>
        <w:numPr>
          <w:ilvl w:val="0"/>
          <w:numId w:val="28"/>
        </w:numPr>
        <w:spacing w:before="120" w:line="276" w:lineRule="auto"/>
        <w:rPr>
          <w:rFonts w:eastAsia="Aptos"/>
          <w:color w:val="000000"/>
          <w:sz w:val="22"/>
          <w:szCs w:val="22"/>
          <w:lang w:val="en-AU"/>
        </w:rPr>
      </w:pPr>
      <w:r w:rsidRPr="00D10953">
        <w:rPr>
          <w:rFonts w:eastAsia="Aptos"/>
          <w:color w:val="000000"/>
          <w:sz w:val="22"/>
          <w:szCs w:val="22"/>
          <w:lang w:val="en-AU"/>
        </w:rPr>
        <w:t>Review and where necessary revise the rebuilding strategies for eastern gemfish, upper-slope dogfish, orange roughy, and redfish stocks by 20 January 2028.</w:t>
      </w:r>
    </w:p>
    <w:p w14:paraId="56C399B9" w14:textId="77777777" w:rsidR="00D10953" w:rsidRPr="00D10953" w:rsidRDefault="00D10953" w:rsidP="00582874">
      <w:pPr>
        <w:numPr>
          <w:ilvl w:val="0"/>
          <w:numId w:val="28"/>
        </w:numPr>
        <w:spacing w:before="120" w:line="276" w:lineRule="auto"/>
        <w:rPr>
          <w:rFonts w:eastAsia="Aptos"/>
          <w:color w:val="000000"/>
          <w:sz w:val="22"/>
          <w:szCs w:val="22"/>
          <w:lang w:val="en-AU"/>
        </w:rPr>
      </w:pPr>
      <w:r w:rsidRPr="00D10953">
        <w:rPr>
          <w:rFonts w:eastAsia="Aptos"/>
          <w:color w:val="000000"/>
          <w:sz w:val="22"/>
          <w:szCs w:val="22"/>
          <w:lang w:val="en-AU"/>
        </w:rPr>
        <w:t>Develop and implement a rebuilding strategy to guide the recovery of John dory stocks in the fishery</w:t>
      </w:r>
      <w:r w:rsidRPr="00D10953">
        <w:rPr>
          <w:rFonts w:eastAsia="Calibri"/>
          <w:sz w:val="22"/>
          <w:szCs w:val="22"/>
          <w:lang w:val="en-AU"/>
        </w:rPr>
        <w:t xml:space="preserve"> b</w:t>
      </w:r>
      <w:r w:rsidRPr="00D10953">
        <w:rPr>
          <w:rFonts w:eastAsia="Aptos"/>
          <w:color w:val="000000"/>
          <w:sz w:val="22"/>
          <w:szCs w:val="22"/>
          <w:lang w:val="en-AU"/>
        </w:rPr>
        <w:t>y 20 January 2028.</w:t>
      </w:r>
    </w:p>
    <w:p w14:paraId="5875ABFF" w14:textId="03D48ED2" w:rsidR="00D10953" w:rsidRPr="00D10953" w:rsidRDefault="00D10953" w:rsidP="00582874">
      <w:pPr>
        <w:numPr>
          <w:ilvl w:val="0"/>
          <w:numId w:val="28"/>
        </w:numPr>
        <w:spacing w:before="120" w:line="276" w:lineRule="auto"/>
        <w:rPr>
          <w:rFonts w:eastAsia="Aptos"/>
          <w:color w:val="000000"/>
          <w:sz w:val="22"/>
          <w:szCs w:val="22"/>
          <w:lang w:val="en-AU"/>
        </w:rPr>
      </w:pPr>
      <w:r w:rsidRPr="00D10953">
        <w:rPr>
          <w:rFonts w:eastAsia="Aptos"/>
          <w:color w:val="000000"/>
          <w:sz w:val="22"/>
          <w:szCs w:val="22"/>
          <w:lang w:val="en-AU"/>
        </w:rPr>
        <w:t xml:space="preserve">Continue to </w:t>
      </w:r>
      <w:r w:rsidR="00663CC8">
        <w:rPr>
          <w:rFonts w:eastAsia="Aptos"/>
          <w:color w:val="000000"/>
          <w:sz w:val="22"/>
          <w:szCs w:val="22"/>
          <w:lang w:val="en-AU"/>
        </w:rPr>
        <w:t>develop</w:t>
      </w:r>
      <w:r w:rsidRPr="00D10953">
        <w:rPr>
          <w:rFonts w:eastAsia="Aptos"/>
          <w:color w:val="000000"/>
          <w:sz w:val="22"/>
          <w:szCs w:val="22"/>
          <w:lang w:val="en-AU"/>
        </w:rPr>
        <w:t xml:space="preserve"> the Climate Risk Framework to ensure the impacts of climate change on target and bycatch species are taken into account when making future management decisions in the fishery.</w:t>
      </w:r>
    </w:p>
    <w:p w14:paraId="43F6F99A" w14:textId="0621C455" w:rsidR="00D91E37" w:rsidRPr="00391AE8" w:rsidRDefault="00D91E37" w:rsidP="000E4468">
      <w:pPr>
        <w:spacing w:before="120" w:line="276" w:lineRule="auto"/>
        <w:rPr>
          <w:b/>
          <w:bCs/>
          <w:sz w:val="22"/>
          <w:szCs w:val="22"/>
          <w:lang w:val="en-AU"/>
        </w:rPr>
      </w:pPr>
      <w:r w:rsidRPr="00391AE8">
        <w:rPr>
          <w:b/>
          <w:bCs/>
          <w:sz w:val="22"/>
          <w:szCs w:val="22"/>
          <w:lang w:val="en-AU"/>
        </w:rPr>
        <w:t>Condition 4</w:t>
      </w:r>
    </w:p>
    <w:p w14:paraId="06A92191" w14:textId="21797ABD" w:rsidR="00170C96" w:rsidRPr="00170C96" w:rsidRDefault="00170C96" w:rsidP="000E4468">
      <w:pPr>
        <w:spacing w:before="120" w:line="276" w:lineRule="auto"/>
        <w:rPr>
          <w:rFonts w:eastAsia="Aptos"/>
          <w:sz w:val="22"/>
          <w:szCs w:val="22"/>
          <w:lang w:val="en-AU"/>
        </w:rPr>
      </w:pPr>
      <w:r w:rsidRPr="00170C96">
        <w:rPr>
          <w:rFonts w:eastAsia="Aptos"/>
          <w:sz w:val="22"/>
          <w:szCs w:val="22"/>
          <w:lang w:val="en-AU"/>
        </w:rPr>
        <w:t>The Australian Fisheries Management Authority must document how uncertainty in species stock assessments is accounted for within the fishery’s interim Harvest Strategy Framework by 30 August 2027. This should set out how uncertainty will be considered and reflected in future management decisions made during the transition to a new harvest strategy framework for the fishery.</w:t>
      </w:r>
    </w:p>
    <w:p w14:paraId="4F781126" w14:textId="487870FF" w:rsidR="008F6434" w:rsidRPr="000E4468" w:rsidRDefault="008F6434" w:rsidP="000E4468">
      <w:pPr>
        <w:spacing w:before="120" w:line="276" w:lineRule="auto"/>
        <w:rPr>
          <w:b/>
          <w:bCs/>
          <w:sz w:val="22"/>
          <w:szCs w:val="22"/>
          <w:lang w:val="en-AU"/>
        </w:rPr>
      </w:pPr>
      <w:r w:rsidRPr="000E4468">
        <w:rPr>
          <w:b/>
          <w:bCs/>
          <w:sz w:val="22"/>
          <w:szCs w:val="22"/>
          <w:lang w:val="en-AU"/>
        </w:rPr>
        <w:t>Condition 5</w:t>
      </w:r>
    </w:p>
    <w:p w14:paraId="55C57127" w14:textId="77777777" w:rsidR="000E4468" w:rsidRPr="000E4468" w:rsidRDefault="000E4468" w:rsidP="000E4468">
      <w:pPr>
        <w:spacing w:before="120" w:line="276" w:lineRule="auto"/>
        <w:rPr>
          <w:rFonts w:eastAsia="Aptos"/>
          <w:sz w:val="22"/>
          <w:szCs w:val="22"/>
          <w:lang w:val="en-AU"/>
          <w14:ligatures w14:val="standardContextual"/>
        </w:rPr>
      </w:pPr>
      <w:r w:rsidRPr="000E4468">
        <w:rPr>
          <w:rFonts w:eastAsia="Aptos"/>
          <w:sz w:val="22"/>
          <w:szCs w:val="22"/>
          <w:lang w:val="en-AU"/>
          <w14:ligatures w14:val="standardContextual"/>
        </w:rPr>
        <w:t>The Australian Fisheries Management Authority must provide the department with details of its revised and expanded independent monitoring and validation program for the fishery by 30 June 2026. This program must:</w:t>
      </w:r>
    </w:p>
    <w:p w14:paraId="1292BEEF" w14:textId="77777777" w:rsidR="000E4468" w:rsidRPr="000E4468" w:rsidRDefault="000E4468" w:rsidP="003970D4">
      <w:pPr>
        <w:numPr>
          <w:ilvl w:val="0"/>
          <w:numId w:val="29"/>
        </w:numPr>
        <w:spacing w:before="120" w:line="276" w:lineRule="auto"/>
        <w:rPr>
          <w:rFonts w:eastAsia="Aptos"/>
          <w:sz w:val="22"/>
          <w:szCs w:val="22"/>
          <w:lang w:val="en-AU"/>
          <w14:ligatures w14:val="standardContextual"/>
        </w:rPr>
      </w:pPr>
      <w:r w:rsidRPr="000E4468">
        <w:rPr>
          <w:rFonts w:eastAsia="Aptos"/>
          <w:sz w:val="22"/>
          <w:szCs w:val="22"/>
          <w:lang w:val="en-AU"/>
          <w14:ligatures w14:val="standardContextual"/>
        </w:rPr>
        <w:t>provide independent data that is reliable and representative across all sectors of the fishery; and</w:t>
      </w:r>
    </w:p>
    <w:p w14:paraId="22B3A188" w14:textId="77777777" w:rsidR="000E4468" w:rsidRPr="000E4468" w:rsidRDefault="000E4468" w:rsidP="003970D4">
      <w:pPr>
        <w:numPr>
          <w:ilvl w:val="0"/>
          <w:numId w:val="29"/>
        </w:numPr>
        <w:spacing w:before="120" w:line="276" w:lineRule="auto"/>
        <w:rPr>
          <w:rFonts w:eastAsia="Aptos"/>
          <w:sz w:val="22"/>
          <w:szCs w:val="22"/>
          <w:lang w:val="en-AU"/>
          <w14:ligatures w14:val="standardContextual"/>
        </w:rPr>
      </w:pPr>
      <w:r w:rsidRPr="000E4468">
        <w:rPr>
          <w:rFonts w:eastAsia="Aptos"/>
          <w:sz w:val="22"/>
          <w:szCs w:val="22"/>
          <w:lang w:val="en-AU"/>
          <w14:ligatures w14:val="standardContextual"/>
        </w:rPr>
        <w:t>be sufficient to provide a robust estimate of protected species interactions and discards in the fishery, in particular for depleted stocks</w:t>
      </w:r>
    </w:p>
    <w:p w14:paraId="6048958D" w14:textId="77777777" w:rsidR="000E4468" w:rsidRPr="000E4468" w:rsidRDefault="000E4468" w:rsidP="003970D4">
      <w:pPr>
        <w:numPr>
          <w:ilvl w:val="0"/>
          <w:numId w:val="29"/>
        </w:numPr>
        <w:spacing w:before="120" w:line="276" w:lineRule="auto"/>
        <w:rPr>
          <w:rFonts w:eastAsia="Aptos"/>
          <w:sz w:val="22"/>
          <w:szCs w:val="22"/>
          <w:lang w:val="en-AU"/>
          <w14:ligatures w14:val="standardContextual"/>
        </w:rPr>
      </w:pPr>
      <w:r w:rsidRPr="000E4468">
        <w:rPr>
          <w:rFonts w:eastAsia="Aptos"/>
          <w:sz w:val="22"/>
          <w:szCs w:val="22"/>
          <w:lang w:val="en-AU"/>
          <w14:ligatures w14:val="standardContextual"/>
        </w:rPr>
        <w:t>support the validation of, and confidence in, protected species and discard information recorded in catch and effort logbooks.</w:t>
      </w:r>
    </w:p>
    <w:p w14:paraId="5B9E366F" w14:textId="77777777" w:rsidR="000E4468" w:rsidRPr="000E4468" w:rsidRDefault="000E4468" w:rsidP="000E4468">
      <w:pPr>
        <w:spacing w:before="120" w:line="276" w:lineRule="auto"/>
        <w:rPr>
          <w:rFonts w:eastAsia="Aptos"/>
          <w:b/>
          <w:bCs/>
          <w:sz w:val="22"/>
          <w:szCs w:val="22"/>
          <w:lang w:val="en-AU"/>
          <w14:ligatures w14:val="standardContextual"/>
        </w:rPr>
      </w:pPr>
      <w:r w:rsidRPr="000E4468">
        <w:rPr>
          <w:rFonts w:eastAsia="Aptos"/>
          <w:b/>
          <w:bCs/>
          <w:sz w:val="22"/>
          <w:szCs w:val="22"/>
          <w:lang w:val="en-AU"/>
          <w14:ligatures w14:val="standardContextual"/>
        </w:rPr>
        <w:t>Condition 6</w:t>
      </w:r>
    </w:p>
    <w:p w14:paraId="5F9B35F6" w14:textId="77777777" w:rsidR="000E4468" w:rsidRPr="000E4468" w:rsidRDefault="000E4468" w:rsidP="000E4468">
      <w:pPr>
        <w:spacing w:before="120" w:line="276" w:lineRule="auto"/>
        <w:rPr>
          <w:rFonts w:eastAsia="Aptos"/>
          <w:sz w:val="22"/>
          <w:szCs w:val="22"/>
          <w:lang w:val="en-AU"/>
          <w14:ligatures w14:val="standardContextual"/>
        </w:rPr>
      </w:pPr>
      <w:r w:rsidRPr="000E4468">
        <w:rPr>
          <w:rFonts w:eastAsia="Aptos"/>
          <w:sz w:val="22"/>
          <w:szCs w:val="22"/>
          <w:lang w:val="en-AU"/>
          <w14:ligatures w14:val="standardContextual"/>
        </w:rPr>
        <w:t>The Australian Fisheries Management Authority must commence implementation of the expanded independent monitoring and validation program by 30 June 2027. This may involve the use of electronic monitoring, independent onboard observers, or other means.</w:t>
      </w:r>
    </w:p>
    <w:p w14:paraId="0B1DDA5D" w14:textId="1B202F73" w:rsidR="00391AE8" w:rsidRDefault="00391AE8" w:rsidP="00170C96">
      <w:pPr>
        <w:spacing w:before="120" w:line="276" w:lineRule="auto"/>
        <w:rPr>
          <w:b/>
          <w:bCs/>
          <w:sz w:val="22"/>
          <w:szCs w:val="22"/>
          <w:lang w:val="en-AU"/>
        </w:rPr>
      </w:pPr>
      <w:r w:rsidRPr="00391AE8">
        <w:rPr>
          <w:b/>
          <w:bCs/>
          <w:sz w:val="22"/>
          <w:szCs w:val="22"/>
          <w:lang w:val="en-AU"/>
        </w:rPr>
        <w:t>Condition 7</w:t>
      </w:r>
    </w:p>
    <w:p w14:paraId="430C3C8E" w14:textId="77777777" w:rsidR="007571F6" w:rsidRPr="007571F6" w:rsidRDefault="007571F6" w:rsidP="007571F6">
      <w:pPr>
        <w:spacing w:before="120" w:line="276" w:lineRule="auto"/>
        <w:rPr>
          <w:rFonts w:eastAsia="Aptos"/>
          <w:kern w:val="2"/>
          <w:sz w:val="22"/>
          <w:szCs w:val="22"/>
          <w:lang w:val="en-AU"/>
          <w14:ligatures w14:val="standardContextual"/>
        </w:rPr>
      </w:pPr>
      <w:r w:rsidRPr="007571F6">
        <w:rPr>
          <w:rFonts w:eastAsia="Aptos"/>
          <w:kern w:val="2"/>
          <w:sz w:val="22"/>
          <w:szCs w:val="22"/>
          <w:lang w:val="en-AU"/>
          <w14:ligatures w14:val="standardContextual"/>
        </w:rPr>
        <w:t>The Australian Fisheries Management Authority must:</w:t>
      </w:r>
    </w:p>
    <w:p w14:paraId="477BE542" w14:textId="77777777" w:rsidR="007571F6" w:rsidRPr="007571F6" w:rsidRDefault="007571F6" w:rsidP="007571F6">
      <w:pPr>
        <w:numPr>
          <w:ilvl w:val="0"/>
          <w:numId w:val="26"/>
        </w:numPr>
        <w:spacing w:before="120" w:after="120" w:line="278" w:lineRule="auto"/>
        <w:rPr>
          <w:rFonts w:eastAsia="Aptos"/>
          <w:sz w:val="22"/>
          <w:szCs w:val="22"/>
          <w:lang w:val="en-AU"/>
          <w14:ligatures w14:val="standardContextual"/>
        </w:rPr>
      </w:pPr>
      <w:r w:rsidRPr="007571F6">
        <w:rPr>
          <w:rFonts w:eastAsia="Aptos"/>
          <w:sz w:val="22"/>
          <w:szCs w:val="22"/>
          <w:lang w:val="en-AU"/>
          <w14:ligatures w14:val="standardContextual"/>
        </w:rPr>
        <w:t>Review and update all sector specific ecological risk assessments in the fishery by 30 June 2027.</w:t>
      </w:r>
    </w:p>
    <w:p w14:paraId="57787423" w14:textId="1491D572" w:rsidR="007571F6" w:rsidRPr="00735149" w:rsidRDefault="007571F6" w:rsidP="00735149">
      <w:pPr>
        <w:numPr>
          <w:ilvl w:val="0"/>
          <w:numId w:val="26"/>
        </w:numPr>
        <w:spacing w:before="120" w:after="120" w:line="278" w:lineRule="auto"/>
        <w:rPr>
          <w:rFonts w:eastAsia="Calibri"/>
          <w:sz w:val="22"/>
          <w:szCs w:val="22"/>
          <w:lang w:val="en-AU"/>
        </w:rPr>
      </w:pPr>
      <w:r w:rsidRPr="007571F6">
        <w:rPr>
          <w:rFonts w:eastAsia="Aptos"/>
          <w:sz w:val="22"/>
          <w:szCs w:val="22"/>
          <w:lang w:val="en-AU"/>
        </w:rPr>
        <w:t>During the term of this approval, investigate management actions to address and mitigate risks and impacts for species that are identified as high risk in ecological risk assessments, including data collection for species that are assessed as high-risk because of data deficiency.</w:t>
      </w:r>
    </w:p>
    <w:p w14:paraId="76C70CD4" w14:textId="1F9856EB" w:rsidR="00F91220" w:rsidRPr="00F91220" w:rsidRDefault="00F91220" w:rsidP="00735149">
      <w:pPr>
        <w:spacing w:before="120" w:line="276" w:lineRule="auto"/>
        <w:rPr>
          <w:b/>
          <w:bCs/>
          <w:sz w:val="22"/>
          <w:szCs w:val="22"/>
          <w:lang w:val="en-AU"/>
        </w:rPr>
      </w:pPr>
      <w:r w:rsidRPr="00F91220">
        <w:rPr>
          <w:b/>
          <w:bCs/>
          <w:sz w:val="22"/>
          <w:szCs w:val="22"/>
          <w:lang w:val="en-AU"/>
        </w:rPr>
        <w:t>Condition 8</w:t>
      </w:r>
    </w:p>
    <w:p w14:paraId="08EE9766" w14:textId="77777777" w:rsidR="00582874" w:rsidRPr="00582874" w:rsidRDefault="00582874" w:rsidP="00582874">
      <w:pPr>
        <w:spacing w:before="120" w:line="276" w:lineRule="auto"/>
        <w:rPr>
          <w:rFonts w:eastAsia="Aptos"/>
          <w:sz w:val="22"/>
          <w:szCs w:val="22"/>
          <w:lang w:val="en-AU"/>
          <w14:ligatures w14:val="standardContextual"/>
        </w:rPr>
      </w:pPr>
      <w:r w:rsidRPr="00582874">
        <w:rPr>
          <w:rFonts w:eastAsia="Aptos"/>
          <w:sz w:val="22"/>
          <w:szCs w:val="22"/>
          <w:lang w:val="en-AU"/>
          <w14:ligatures w14:val="standardContextual"/>
        </w:rPr>
        <w:t>The Australian Fisheries Management Authority must:</w:t>
      </w:r>
    </w:p>
    <w:p w14:paraId="4432D848" w14:textId="77777777" w:rsidR="00582874" w:rsidRPr="00582874" w:rsidRDefault="00582874" w:rsidP="003970D4">
      <w:pPr>
        <w:numPr>
          <w:ilvl w:val="0"/>
          <w:numId w:val="30"/>
        </w:numPr>
        <w:spacing w:before="120" w:after="120" w:line="278" w:lineRule="auto"/>
        <w:rPr>
          <w:rFonts w:eastAsia="Aptos"/>
          <w:sz w:val="22"/>
          <w:szCs w:val="22"/>
          <w:lang w:val="en-AU"/>
          <w14:ligatures w14:val="standardContextual"/>
        </w:rPr>
      </w:pPr>
      <w:r w:rsidRPr="00582874">
        <w:rPr>
          <w:rFonts w:eastAsia="Aptos"/>
          <w:sz w:val="22"/>
          <w:szCs w:val="22"/>
          <w:lang w:val="en-AU"/>
          <w14:ligatures w14:val="standardContextual"/>
        </w:rPr>
        <w:t>Develop and publish a seal management strategy to guide efforts to minimise seal interactions in the fishery by 30 June 2027.</w:t>
      </w:r>
    </w:p>
    <w:p w14:paraId="6A7026F0" w14:textId="77777777" w:rsidR="00663CC8" w:rsidRPr="00663CC8" w:rsidRDefault="00663CC8" w:rsidP="00663CC8">
      <w:pPr>
        <w:pStyle w:val="ListParagraph"/>
        <w:numPr>
          <w:ilvl w:val="0"/>
          <w:numId w:val="30"/>
        </w:numPr>
        <w:rPr>
          <w:rFonts w:eastAsia="Aptos"/>
          <w:snapToGrid/>
          <w14:ligatures w14:val="standardContextual"/>
        </w:rPr>
      </w:pPr>
      <w:r w:rsidRPr="00663CC8">
        <w:rPr>
          <w:rFonts w:eastAsia="Aptos"/>
          <w:snapToGrid/>
          <w14:ligatures w14:val="standardContextual"/>
        </w:rPr>
        <w:t>Continue to implement the Gillnet Dolphin Mitigation Strategy to ensure effective measures are in place to minimise interactions with dolphins.</w:t>
      </w:r>
    </w:p>
    <w:p w14:paraId="30175190" w14:textId="77777777" w:rsidR="00582874" w:rsidRPr="00582874" w:rsidRDefault="00582874" w:rsidP="003970D4">
      <w:pPr>
        <w:numPr>
          <w:ilvl w:val="0"/>
          <w:numId w:val="30"/>
        </w:numPr>
        <w:spacing w:before="120" w:after="120" w:line="278" w:lineRule="auto"/>
        <w:rPr>
          <w:rFonts w:eastAsia="Aptos"/>
          <w:sz w:val="22"/>
          <w:szCs w:val="22"/>
          <w:lang w:val="en-AU"/>
          <w14:ligatures w14:val="standardContextual"/>
        </w:rPr>
      </w:pPr>
      <w:r w:rsidRPr="00582874">
        <w:rPr>
          <w:rFonts w:eastAsia="Aptos"/>
          <w:sz w:val="22"/>
          <w:szCs w:val="22"/>
          <w:lang w:val="en-AU"/>
          <w14:ligatures w14:val="standardContextual"/>
        </w:rPr>
        <w:lastRenderedPageBreak/>
        <w:t>Continue to implement effective measures designed to minimise interactions with seabirds in all sectors of the fishery consistent with international best practice measures (including those described in the Agreement on the Conservation of Albatrosses and Petrels and other emerging scientific research).</w:t>
      </w:r>
    </w:p>
    <w:p w14:paraId="10097EAA" w14:textId="09A0D35D" w:rsidR="00F91220" w:rsidRPr="00582874" w:rsidRDefault="00582874" w:rsidP="00582874">
      <w:pPr>
        <w:spacing w:before="120" w:line="276" w:lineRule="auto"/>
        <w:ind w:left="360"/>
        <w:rPr>
          <w:sz w:val="22"/>
          <w:szCs w:val="22"/>
          <w:lang w:val="en-AU"/>
        </w:rPr>
      </w:pPr>
      <w:r w:rsidRPr="00582874">
        <w:rPr>
          <w:rFonts w:eastAsia="Aptos"/>
          <w:sz w:val="22"/>
          <w:szCs w:val="22"/>
          <w:lang w:val="en-AU"/>
          <w14:ligatures w14:val="standardContextual"/>
        </w:rPr>
        <w:t>An update on any new mitigation measures developed and implemented through these processes, and their effectiveness, should be provided to the department as part of the fishery’s next export application.</w:t>
      </w:r>
    </w:p>
    <w:sectPr w:rsidR="00F91220" w:rsidRPr="00582874" w:rsidSect="006450FC">
      <w:headerReference w:type="even" r:id="rId12"/>
      <w:headerReference w:type="default" r:id="rId13"/>
      <w:footerReference w:type="even" r:id="rId14"/>
      <w:footerReference w:type="default" r:id="rId15"/>
      <w:headerReference w:type="first" r:id="rId16"/>
      <w:footerReference w:type="first" r:id="rId17"/>
      <w:pgSz w:w="11909" w:h="16834"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B007A1" w14:textId="77777777" w:rsidR="006C212D" w:rsidRDefault="006C212D" w:rsidP="00025AAF">
      <w:r>
        <w:separator/>
      </w:r>
    </w:p>
  </w:endnote>
  <w:endnote w:type="continuationSeparator" w:id="0">
    <w:p w14:paraId="4AD9441B" w14:textId="77777777" w:rsidR="006C212D" w:rsidRDefault="006C212D" w:rsidP="00025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AAE1ED" w14:textId="77777777" w:rsidR="00025AAF" w:rsidRDefault="00025A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3FB635" w14:textId="77777777" w:rsidR="00025AAF" w:rsidRDefault="00025A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4EBA5C" w14:textId="77777777" w:rsidR="00025AAF" w:rsidRDefault="00025A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85C209" w14:textId="77777777" w:rsidR="006C212D" w:rsidRDefault="006C212D" w:rsidP="00025AAF">
      <w:r>
        <w:separator/>
      </w:r>
    </w:p>
  </w:footnote>
  <w:footnote w:type="continuationSeparator" w:id="0">
    <w:p w14:paraId="76D6C839" w14:textId="77777777" w:rsidR="006C212D" w:rsidRDefault="006C212D" w:rsidP="00025A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C48828" w14:textId="77777777" w:rsidR="00025AAF" w:rsidRDefault="00025A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C576A5" w14:textId="77777777" w:rsidR="00025AAF" w:rsidRDefault="00025A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715DAE" w14:textId="77777777" w:rsidR="00025AAF" w:rsidRDefault="00025A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73378"/>
    <w:multiLevelType w:val="hybridMultilevel"/>
    <w:tmpl w:val="E182D36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AAF0757"/>
    <w:multiLevelType w:val="multilevel"/>
    <w:tmpl w:val="E3420B0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15871AD9"/>
    <w:multiLevelType w:val="multilevel"/>
    <w:tmpl w:val="A15E1D18"/>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15:restartNumberingAfterBreak="0">
    <w:nsid w:val="18BE6B5D"/>
    <w:multiLevelType w:val="hybridMultilevel"/>
    <w:tmpl w:val="7BE2050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99E0554"/>
    <w:multiLevelType w:val="hybridMultilevel"/>
    <w:tmpl w:val="002E661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C290D7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BD96E32"/>
    <w:multiLevelType w:val="hybridMultilevel"/>
    <w:tmpl w:val="FA588F6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C7004A7"/>
    <w:multiLevelType w:val="hybridMultilevel"/>
    <w:tmpl w:val="34FC1698"/>
    <w:lvl w:ilvl="0" w:tplc="43BCECB6">
      <w:start w:val="1"/>
      <w:numFmt w:val="lowerLetter"/>
      <w:lvlText w:val="(%1)"/>
      <w:lvlJc w:val="left"/>
      <w:pPr>
        <w:ind w:left="-288" w:hanging="360"/>
      </w:pPr>
      <w:rPr>
        <w:rFonts w:hint="default"/>
      </w:rPr>
    </w:lvl>
    <w:lvl w:ilvl="1" w:tplc="0C090019" w:tentative="1">
      <w:start w:val="1"/>
      <w:numFmt w:val="lowerLetter"/>
      <w:lvlText w:val="%2."/>
      <w:lvlJc w:val="left"/>
      <w:pPr>
        <w:ind w:left="1308" w:hanging="360"/>
      </w:pPr>
    </w:lvl>
    <w:lvl w:ilvl="2" w:tplc="0C09001B" w:tentative="1">
      <w:start w:val="1"/>
      <w:numFmt w:val="lowerRoman"/>
      <w:lvlText w:val="%3."/>
      <w:lvlJc w:val="right"/>
      <w:pPr>
        <w:ind w:left="2028" w:hanging="180"/>
      </w:pPr>
    </w:lvl>
    <w:lvl w:ilvl="3" w:tplc="0C09000F" w:tentative="1">
      <w:start w:val="1"/>
      <w:numFmt w:val="decimal"/>
      <w:lvlText w:val="%4."/>
      <w:lvlJc w:val="left"/>
      <w:pPr>
        <w:ind w:left="2748" w:hanging="360"/>
      </w:pPr>
    </w:lvl>
    <w:lvl w:ilvl="4" w:tplc="0C090019" w:tentative="1">
      <w:start w:val="1"/>
      <w:numFmt w:val="lowerLetter"/>
      <w:lvlText w:val="%5."/>
      <w:lvlJc w:val="left"/>
      <w:pPr>
        <w:ind w:left="3468" w:hanging="360"/>
      </w:pPr>
    </w:lvl>
    <w:lvl w:ilvl="5" w:tplc="0C09001B" w:tentative="1">
      <w:start w:val="1"/>
      <w:numFmt w:val="lowerRoman"/>
      <w:lvlText w:val="%6."/>
      <w:lvlJc w:val="right"/>
      <w:pPr>
        <w:ind w:left="4188" w:hanging="180"/>
      </w:pPr>
    </w:lvl>
    <w:lvl w:ilvl="6" w:tplc="0C09000F" w:tentative="1">
      <w:start w:val="1"/>
      <w:numFmt w:val="decimal"/>
      <w:lvlText w:val="%7."/>
      <w:lvlJc w:val="left"/>
      <w:pPr>
        <w:ind w:left="4908" w:hanging="360"/>
      </w:pPr>
    </w:lvl>
    <w:lvl w:ilvl="7" w:tplc="0C090019" w:tentative="1">
      <w:start w:val="1"/>
      <w:numFmt w:val="lowerLetter"/>
      <w:lvlText w:val="%8."/>
      <w:lvlJc w:val="left"/>
      <w:pPr>
        <w:ind w:left="5628" w:hanging="360"/>
      </w:pPr>
    </w:lvl>
    <w:lvl w:ilvl="8" w:tplc="0C09001B" w:tentative="1">
      <w:start w:val="1"/>
      <w:numFmt w:val="lowerRoman"/>
      <w:lvlText w:val="%9."/>
      <w:lvlJc w:val="right"/>
      <w:pPr>
        <w:ind w:left="6348" w:hanging="180"/>
      </w:pPr>
    </w:lvl>
  </w:abstractNum>
  <w:abstractNum w:abstractNumId="8" w15:restartNumberingAfterBreak="0">
    <w:nsid w:val="33520799"/>
    <w:multiLevelType w:val="hybridMultilevel"/>
    <w:tmpl w:val="E182D36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41A7923"/>
    <w:multiLevelType w:val="hybridMultilevel"/>
    <w:tmpl w:val="F1284D6E"/>
    <w:lvl w:ilvl="0" w:tplc="78B63E30">
      <w:start w:val="4"/>
      <w:numFmt w:val="decimal"/>
      <w:lvlText w:val="%1."/>
      <w:lvlJc w:val="left"/>
      <w:pPr>
        <w:tabs>
          <w:tab w:val="num" w:pos="360"/>
        </w:tabs>
        <w:ind w:left="360" w:hanging="360"/>
      </w:pPr>
      <w:rPr>
        <w:rFonts w:hint="default"/>
      </w:rPr>
    </w:lvl>
    <w:lvl w:ilvl="1" w:tplc="0C090019" w:tentative="1">
      <w:start w:val="1"/>
      <w:numFmt w:val="lowerLetter"/>
      <w:lvlText w:val="%2."/>
      <w:lvlJc w:val="left"/>
      <w:pPr>
        <w:tabs>
          <w:tab w:val="num" w:pos="720"/>
        </w:tabs>
        <w:ind w:left="720" w:hanging="360"/>
      </w:pPr>
    </w:lvl>
    <w:lvl w:ilvl="2" w:tplc="0C09001B" w:tentative="1">
      <w:start w:val="1"/>
      <w:numFmt w:val="lowerRoman"/>
      <w:lvlText w:val="%3."/>
      <w:lvlJc w:val="right"/>
      <w:pPr>
        <w:tabs>
          <w:tab w:val="num" w:pos="1440"/>
        </w:tabs>
        <w:ind w:left="1440" w:hanging="180"/>
      </w:pPr>
    </w:lvl>
    <w:lvl w:ilvl="3" w:tplc="0C09000F" w:tentative="1">
      <w:start w:val="1"/>
      <w:numFmt w:val="decimal"/>
      <w:lvlText w:val="%4."/>
      <w:lvlJc w:val="left"/>
      <w:pPr>
        <w:tabs>
          <w:tab w:val="num" w:pos="2160"/>
        </w:tabs>
        <w:ind w:left="2160" w:hanging="360"/>
      </w:pPr>
    </w:lvl>
    <w:lvl w:ilvl="4" w:tplc="0C090019" w:tentative="1">
      <w:start w:val="1"/>
      <w:numFmt w:val="lowerLetter"/>
      <w:lvlText w:val="%5."/>
      <w:lvlJc w:val="left"/>
      <w:pPr>
        <w:tabs>
          <w:tab w:val="num" w:pos="2880"/>
        </w:tabs>
        <w:ind w:left="2880" w:hanging="360"/>
      </w:pPr>
    </w:lvl>
    <w:lvl w:ilvl="5" w:tplc="0C09001B" w:tentative="1">
      <w:start w:val="1"/>
      <w:numFmt w:val="lowerRoman"/>
      <w:lvlText w:val="%6."/>
      <w:lvlJc w:val="right"/>
      <w:pPr>
        <w:tabs>
          <w:tab w:val="num" w:pos="3600"/>
        </w:tabs>
        <w:ind w:left="3600" w:hanging="180"/>
      </w:pPr>
    </w:lvl>
    <w:lvl w:ilvl="6" w:tplc="0C09000F" w:tentative="1">
      <w:start w:val="1"/>
      <w:numFmt w:val="decimal"/>
      <w:lvlText w:val="%7."/>
      <w:lvlJc w:val="left"/>
      <w:pPr>
        <w:tabs>
          <w:tab w:val="num" w:pos="4320"/>
        </w:tabs>
        <w:ind w:left="4320" w:hanging="360"/>
      </w:pPr>
    </w:lvl>
    <w:lvl w:ilvl="7" w:tplc="0C090019" w:tentative="1">
      <w:start w:val="1"/>
      <w:numFmt w:val="lowerLetter"/>
      <w:lvlText w:val="%8."/>
      <w:lvlJc w:val="left"/>
      <w:pPr>
        <w:tabs>
          <w:tab w:val="num" w:pos="5040"/>
        </w:tabs>
        <w:ind w:left="5040" w:hanging="360"/>
      </w:pPr>
    </w:lvl>
    <w:lvl w:ilvl="8" w:tplc="0C09001B" w:tentative="1">
      <w:start w:val="1"/>
      <w:numFmt w:val="lowerRoman"/>
      <w:lvlText w:val="%9."/>
      <w:lvlJc w:val="right"/>
      <w:pPr>
        <w:tabs>
          <w:tab w:val="num" w:pos="5760"/>
        </w:tabs>
        <w:ind w:left="5760" w:hanging="180"/>
      </w:pPr>
    </w:lvl>
  </w:abstractNum>
  <w:abstractNum w:abstractNumId="10" w15:restartNumberingAfterBreak="0">
    <w:nsid w:val="382D5A33"/>
    <w:multiLevelType w:val="hybridMultilevel"/>
    <w:tmpl w:val="002E661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257346C"/>
    <w:multiLevelType w:val="hybridMultilevel"/>
    <w:tmpl w:val="C5DAC87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5E05CAF"/>
    <w:multiLevelType w:val="hybridMultilevel"/>
    <w:tmpl w:val="002E661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BAC5BBA"/>
    <w:multiLevelType w:val="hybridMultilevel"/>
    <w:tmpl w:val="816C8F38"/>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4" w15:restartNumberingAfterBreak="0">
    <w:nsid w:val="4C2A1B49"/>
    <w:multiLevelType w:val="singleLevel"/>
    <w:tmpl w:val="03B6DC94"/>
    <w:lvl w:ilvl="0">
      <w:start w:val="1"/>
      <w:numFmt w:val="lowerLetter"/>
      <w:lvlText w:val="%1)"/>
      <w:lvlJc w:val="left"/>
      <w:pPr>
        <w:tabs>
          <w:tab w:val="num" w:pos="1440"/>
        </w:tabs>
        <w:ind w:left="1440" w:hanging="720"/>
      </w:pPr>
      <w:rPr>
        <w:rFonts w:hint="default"/>
      </w:rPr>
    </w:lvl>
  </w:abstractNum>
  <w:abstractNum w:abstractNumId="15" w15:restartNumberingAfterBreak="0">
    <w:nsid w:val="4CA5294A"/>
    <w:multiLevelType w:val="hybridMultilevel"/>
    <w:tmpl w:val="5560A484"/>
    <w:lvl w:ilvl="0" w:tplc="43BCECB6">
      <w:start w:val="1"/>
      <w:numFmt w:val="lowerLetter"/>
      <w:lvlText w:val="(%1)"/>
      <w:lvlJc w:val="left"/>
      <w:pPr>
        <w:ind w:left="1267" w:hanging="360"/>
      </w:pPr>
    </w:lvl>
    <w:lvl w:ilvl="1" w:tplc="0C090019">
      <w:start w:val="1"/>
      <w:numFmt w:val="lowerLetter"/>
      <w:lvlText w:val="%2."/>
      <w:lvlJc w:val="left"/>
      <w:pPr>
        <w:ind w:left="1987" w:hanging="360"/>
      </w:pPr>
    </w:lvl>
    <w:lvl w:ilvl="2" w:tplc="0C09001B">
      <w:start w:val="1"/>
      <w:numFmt w:val="lowerRoman"/>
      <w:lvlText w:val="%3."/>
      <w:lvlJc w:val="right"/>
      <w:pPr>
        <w:ind w:left="2707" w:hanging="180"/>
      </w:pPr>
    </w:lvl>
    <w:lvl w:ilvl="3" w:tplc="0C09000F">
      <w:start w:val="1"/>
      <w:numFmt w:val="decimal"/>
      <w:lvlText w:val="%4."/>
      <w:lvlJc w:val="left"/>
      <w:pPr>
        <w:ind w:left="3427" w:hanging="360"/>
      </w:pPr>
    </w:lvl>
    <w:lvl w:ilvl="4" w:tplc="0C090019">
      <w:start w:val="1"/>
      <w:numFmt w:val="lowerLetter"/>
      <w:lvlText w:val="%5."/>
      <w:lvlJc w:val="left"/>
      <w:pPr>
        <w:ind w:left="4147" w:hanging="360"/>
      </w:pPr>
    </w:lvl>
    <w:lvl w:ilvl="5" w:tplc="0C09001B">
      <w:start w:val="1"/>
      <w:numFmt w:val="lowerRoman"/>
      <w:lvlText w:val="%6."/>
      <w:lvlJc w:val="right"/>
      <w:pPr>
        <w:ind w:left="4867" w:hanging="180"/>
      </w:pPr>
    </w:lvl>
    <w:lvl w:ilvl="6" w:tplc="0C09000F">
      <w:start w:val="1"/>
      <w:numFmt w:val="decimal"/>
      <w:lvlText w:val="%7."/>
      <w:lvlJc w:val="left"/>
      <w:pPr>
        <w:ind w:left="5587" w:hanging="360"/>
      </w:pPr>
    </w:lvl>
    <w:lvl w:ilvl="7" w:tplc="0C090019">
      <w:start w:val="1"/>
      <w:numFmt w:val="lowerLetter"/>
      <w:lvlText w:val="%8."/>
      <w:lvlJc w:val="left"/>
      <w:pPr>
        <w:ind w:left="6307" w:hanging="360"/>
      </w:pPr>
    </w:lvl>
    <w:lvl w:ilvl="8" w:tplc="0C09001B">
      <w:start w:val="1"/>
      <w:numFmt w:val="lowerRoman"/>
      <w:lvlText w:val="%9."/>
      <w:lvlJc w:val="right"/>
      <w:pPr>
        <w:ind w:left="7027" w:hanging="180"/>
      </w:pPr>
    </w:lvl>
  </w:abstractNum>
  <w:abstractNum w:abstractNumId="16" w15:restartNumberingAfterBreak="0">
    <w:nsid w:val="4D740FB4"/>
    <w:multiLevelType w:val="hybridMultilevel"/>
    <w:tmpl w:val="E182D36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F5F2F84"/>
    <w:multiLevelType w:val="hybridMultilevel"/>
    <w:tmpl w:val="1C68268E"/>
    <w:lvl w:ilvl="0" w:tplc="04090001">
      <w:start w:val="1"/>
      <w:numFmt w:val="bullet"/>
      <w:lvlText w:val=""/>
      <w:lvlJc w:val="left"/>
      <w:pPr>
        <w:tabs>
          <w:tab w:val="num" w:pos="1080"/>
        </w:tabs>
        <w:ind w:left="1080" w:hanging="360"/>
      </w:pPr>
      <w:rPr>
        <w:rFonts w:ascii="Symbol" w:hAnsi="Symbol" w:hint="default"/>
      </w:rPr>
    </w:lvl>
    <w:lvl w:ilvl="1" w:tplc="FA08C0C6">
      <w:start w:val="1"/>
      <w:numFmt w:val="decimal"/>
      <w:lvlText w:val="%2."/>
      <w:lvlJc w:val="left"/>
      <w:pPr>
        <w:tabs>
          <w:tab w:val="num" w:pos="1800"/>
        </w:tabs>
        <w:ind w:left="1800" w:hanging="360"/>
      </w:pPr>
      <w:rPr>
        <w:rFonts w:hint="default"/>
        <w:b w:val="0"/>
        <w:i w:val="0"/>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52037D38"/>
    <w:multiLevelType w:val="hybridMultilevel"/>
    <w:tmpl w:val="23B8CAB8"/>
    <w:lvl w:ilvl="0" w:tplc="98604B08">
      <w:start w:val="1"/>
      <w:numFmt w:val="decimal"/>
      <w:lvlText w:val="%1."/>
      <w:lvlJc w:val="left"/>
      <w:pPr>
        <w:tabs>
          <w:tab w:val="num" w:pos="360"/>
        </w:tabs>
        <w:ind w:left="360" w:hanging="360"/>
      </w:pPr>
    </w:lvl>
    <w:lvl w:ilvl="1" w:tplc="07E8D288">
      <w:start w:val="1"/>
      <w:numFmt w:val="lowerLetter"/>
      <w:lvlText w:val="%2)"/>
      <w:lvlJc w:val="left"/>
      <w:pPr>
        <w:tabs>
          <w:tab w:val="num" w:pos="1440"/>
        </w:tabs>
        <w:ind w:left="1440" w:hanging="360"/>
      </w:pPr>
      <w:rPr>
        <w:rFonts w:ascii="Times New Roman" w:hAnsi="Times New Roman" w:hint="default"/>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8945C3B"/>
    <w:multiLevelType w:val="hybridMultilevel"/>
    <w:tmpl w:val="FA588F6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1CA53F9"/>
    <w:multiLevelType w:val="hybridMultilevel"/>
    <w:tmpl w:val="FA588F6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3975BE0"/>
    <w:multiLevelType w:val="singleLevel"/>
    <w:tmpl w:val="AD9AA2AC"/>
    <w:lvl w:ilvl="0">
      <w:start w:val="1"/>
      <w:numFmt w:val="bullet"/>
      <w:pStyle w:val="normal-dot"/>
      <w:lvlText w:val=""/>
      <w:lvlJc w:val="left"/>
      <w:pPr>
        <w:tabs>
          <w:tab w:val="num" w:pos="360"/>
        </w:tabs>
        <w:ind w:left="360" w:hanging="360"/>
      </w:pPr>
      <w:rPr>
        <w:rFonts w:ascii="Symbol" w:hAnsi="Symbol" w:hint="default"/>
      </w:rPr>
    </w:lvl>
  </w:abstractNum>
  <w:abstractNum w:abstractNumId="22" w15:restartNumberingAfterBreak="0">
    <w:nsid w:val="65DC7D13"/>
    <w:multiLevelType w:val="hybridMultilevel"/>
    <w:tmpl w:val="25F0CB0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65647AE"/>
    <w:multiLevelType w:val="hybridMultilevel"/>
    <w:tmpl w:val="7FF088A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2810A9C"/>
    <w:multiLevelType w:val="hybridMultilevel"/>
    <w:tmpl w:val="CA10430A"/>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3A6036F"/>
    <w:multiLevelType w:val="hybridMultilevel"/>
    <w:tmpl w:val="A15E1D18"/>
    <w:lvl w:ilvl="0" w:tplc="42D2E114">
      <w:start w:val="2"/>
      <w:numFmt w:val="decimal"/>
      <w:lvlText w:val="%1."/>
      <w:lvlJc w:val="left"/>
      <w:pPr>
        <w:tabs>
          <w:tab w:val="num" w:pos="360"/>
        </w:tabs>
        <w:ind w:left="360" w:hanging="360"/>
      </w:pPr>
      <w:rPr>
        <w:rFonts w:hint="default"/>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6" w15:restartNumberingAfterBreak="0">
    <w:nsid w:val="78C44223"/>
    <w:multiLevelType w:val="hybridMultilevel"/>
    <w:tmpl w:val="16ECA17A"/>
    <w:lvl w:ilvl="0" w:tplc="6C36CD72">
      <w:start w:val="1"/>
      <w:numFmt w:val="bullet"/>
      <w:pStyle w:val="Stylea"/>
      <w:lvlText w:val=""/>
      <w:lvlJc w:val="left"/>
      <w:pPr>
        <w:ind w:left="-288" w:hanging="360"/>
      </w:pPr>
      <w:rPr>
        <w:rFonts w:ascii="Wingdings" w:hAnsi="Wingdings" w:hint="default"/>
      </w:rPr>
    </w:lvl>
    <w:lvl w:ilvl="1" w:tplc="0C090019" w:tentative="1">
      <w:start w:val="1"/>
      <w:numFmt w:val="lowerLetter"/>
      <w:lvlText w:val="%2."/>
      <w:lvlJc w:val="left"/>
      <w:pPr>
        <w:ind w:left="1308" w:hanging="360"/>
      </w:pPr>
    </w:lvl>
    <w:lvl w:ilvl="2" w:tplc="0C09001B" w:tentative="1">
      <w:start w:val="1"/>
      <w:numFmt w:val="lowerRoman"/>
      <w:lvlText w:val="%3."/>
      <w:lvlJc w:val="right"/>
      <w:pPr>
        <w:ind w:left="2028" w:hanging="180"/>
      </w:pPr>
    </w:lvl>
    <w:lvl w:ilvl="3" w:tplc="0C09000F" w:tentative="1">
      <w:start w:val="1"/>
      <w:numFmt w:val="decimal"/>
      <w:lvlText w:val="%4."/>
      <w:lvlJc w:val="left"/>
      <w:pPr>
        <w:ind w:left="2748" w:hanging="360"/>
      </w:pPr>
    </w:lvl>
    <w:lvl w:ilvl="4" w:tplc="0C090019" w:tentative="1">
      <w:start w:val="1"/>
      <w:numFmt w:val="lowerLetter"/>
      <w:lvlText w:val="%5."/>
      <w:lvlJc w:val="left"/>
      <w:pPr>
        <w:ind w:left="3468" w:hanging="360"/>
      </w:pPr>
    </w:lvl>
    <w:lvl w:ilvl="5" w:tplc="0C09001B" w:tentative="1">
      <w:start w:val="1"/>
      <w:numFmt w:val="lowerRoman"/>
      <w:lvlText w:val="%6."/>
      <w:lvlJc w:val="right"/>
      <w:pPr>
        <w:ind w:left="4188" w:hanging="180"/>
      </w:pPr>
    </w:lvl>
    <w:lvl w:ilvl="6" w:tplc="0C09000F" w:tentative="1">
      <w:start w:val="1"/>
      <w:numFmt w:val="decimal"/>
      <w:lvlText w:val="%7."/>
      <w:lvlJc w:val="left"/>
      <w:pPr>
        <w:ind w:left="4908" w:hanging="360"/>
      </w:pPr>
    </w:lvl>
    <w:lvl w:ilvl="7" w:tplc="0C090019" w:tentative="1">
      <w:start w:val="1"/>
      <w:numFmt w:val="lowerLetter"/>
      <w:lvlText w:val="%8."/>
      <w:lvlJc w:val="left"/>
      <w:pPr>
        <w:ind w:left="5628" w:hanging="360"/>
      </w:pPr>
    </w:lvl>
    <w:lvl w:ilvl="8" w:tplc="0C09001B" w:tentative="1">
      <w:start w:val="1"/>
      <w:numFmt w:val="lowerRoman"/>
      <w:lvlText w:val="%9."/>
      <w:lvlJc w:val="right"/>
      <w:pPr>
        <w:ind w:left="6348" w:hanging="180"/>
      </w:pPr>
    </w:lvl>
  </w:abstractNum>
  <w:abstractNum w:abstractNumId="27" w15:restartNumberingAfterBreak="0">
    <w:nsid w:val="7DB852FF"/>
    <w:multiLevelType w:val="hybridMultilevel"/>
    <w:tmpl w:val="798A3FB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034531918">
    <w:abstractNumId w:val="14"/>
  </w:num>
  <w:num w:numId="2" w16cid:durableId="74939498">
    <w:abstractNumId w:val="21"/>
  </w:num>
  <w:num w:numId="3" w16cid:durableId="1238709829">
    <w:abstractNumId w:val="17"/>
  </w:num>
  <w:num w:numId="4" w16cid:durableId="404496350">
    <w:abstractNumId w:val="18"/>
  </w:num>
  <w:num w:numId="5" w16cid:durableId="1566068874">
    <w:abstractNumId w:val="13"/>
  </w:num>
  <w:num w:numId="6" w16cid:durableId="408964214">
    <w:abstractNumId w:val="25"/>
  </w:num>
  <w:num w:numId="7" w16cid:durableId="822039019">
    <w:abstractNumId w:val="1"/>
  </w:num>
  <w:num w:numId="8" w16cid:durableId="811867202">
    <w:abstractNumId w:val="2"/>
  </w:num>
  <w:num w:numId="9" w16cid:durableId="2024476011">
    <w:abstractNumId w:val="9"/>
  </w:num>
  <w:num w:numId="10" w16cid:durableId="360595039">
    <w:abstractNumId w:val="5"/>
  </w:num>
  <w:num w:numId="11" w16cid:durableId="688064080">
    <w:abstractNumId w:val="26"/>
  </w:num>
  <w:num w:numId="12" w16cid:durableId="6260486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4573703">
    <w:abstractNumId w:val="15"/>
  </w:num>
  <w:num w:numId="14" w16cid:durableId="1271667914">
    <w:abstractNumId w:val="7"/>
  </w:num>
  <w:num w:numId="15" w16cid:durableId="1720546730">
    <w:abstractNumId w:val="23"/>
  </w:num>
  <w:num w:numId="16" w16cid:durableId="71509857">
    <w:abstractNumId w:val="0"/>
  </w:num>
  <w:num w:numId="17" w16cid:durableId="777143025">
    <w:abstractNumId w:val="22"/>
  </w:num>
  <w:num w:numId="18" w16cid:durableId="1624383100">
    <w:abstractNumId w:val="12"/>
  </w:num>
  <w:num w:numId="19" w16cid:durableId="518079834">
    <w:abstractNumId w:val="3"/>
  </w:num>
  <w:num w:numId="20" w16cid:durableId="1385906816">
    <w:abstractNumId w:val="27"/>
  </w:num>
  <w:num w:numId="21" w16cid:durableId="2146654467">
    <w:abstractNumId w:val="10"/>
  </w:num>
  <w:num w:numId="22" w16cid:durableId="1248885637">
    <w:abstractNumId w:val="20"/>
  </w:num>
  <w:num w:numId="23" w16cid:durableId="1394158933">
    <w:abstractNumId w:val="11"/>
  </w:num>
  <w:num w:numId="24" w16cid:durableId="1160683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31129820">
    <w:abstractNumId w:val="4"/>
  </w:num>
  <w:num w:numId="26" w16cid:durableId="571621896">
    <w:abstractNumId w:val="16"/>
  </w:num>
  <w:num w:numId="27" w16cid:durableId="846022322">
    <w:abstractNumId w:val="6"/>
  </w:num>
  <w:num w:numId="28" w16cid:durableId="391125574">
    <w:abstractNumId w:val="19"/>
  </w:num>
  <w:num w:numId="29" w16cid:durableId="1036808081">
    <w:abstractNumId w:val="24"/>
  </w:num>
  <w:num w:numId="30" w16cid:durableId="100289818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33B"/>
    <w:rsid w:val="00025AAF"/>
    <w:rsid w:val="0006351F"/>
    <w:rsid w:val="00070B6E"/>
    <w:rsid w:val="000944C5"/>
    <w:rsid w:val="0009559B"/>
    <w:rsid w:val="00097482"/>
    <w:rsid w:val="000C7FD3"/>
    <w:rsid w:val="000E4468"/>
    <w:rsid w:val="000F54BF"/>
    <w:rsid w:val="000F5EB9"/>
    <w:rsid w:val="00135A54"/>
    <w:rsid w:val="00137A53"/>
    <w:rsid w:val="001437D5"/>
    <w:rsid w:val="00170C96"/>
    <w:rsid w:val="001754B3"/>
    <w:rsid w:val="00180585"/>
    <w:rsid w:val="001903F6"/>
    <w:rsid w:val="001B30E9"/>
    <w:rsid w:val="001B4AC1"/>
    <w:rsid w:val="001C1983"/>
    <w:rsid w:val="001D1440"/>
    <w:rsid w:val="001D1E4F"/>
    <w:rsid w:val="001D6E49"/>
    <w:rsid w:val="001D7F39"/>
    <w:rsid w:val="001F5F57"/>
    <w:rsid w:val="00211F4E"/>
    <w:rsid w:val="00264A2F"/>
    <w:rsid w:val="00270AD3"/>
    <w:rsid w:val="00281A75"/>
    <w:rsid w:val="002F7857"/>
    <w:rsid w:val="0033473C"/>
    <w:rsid w:val="0034188A"/>
    <w:rsid w:val="0036450D"/>
    <w:rsid w:val="00375DD4"/>
    <w:rsid w:val="00391AE8"/>
    <w:rsid w:val="003970D4"/>
    <w:rsid w:val="00397B00"/>
    <w:rsid w:val="003A11B1"/>
    <w:rsid w:val="003B7508"/>
    <w:rsid w:val="003C684B"/>
    <w:rsid w:val="003E5BC9"/>
    <w:rsid w:val="004440C2"/>
    <w:rsid w:val="004A21DD"/>
    <w:rsid w:val="004C3DEE"/>
    <w:rsid w:val="004D79A6"/>
    <w:rsid w:val="00510612"/>
    <w:rsid w:val="005176C3"/>
    <w:rsid w:val="00560E35"/>
    <w:rsid w:val="00581628"/>
    <w:rsid w:val="00582874"/>
    <w:rsid w:val="005862E1"/>
    <w:rsid w:val="005A3DE7"/>
    <w:rsid w:val="005F60BA"/>
    <w:rsid w:val="00614914"/>
    <w:rsid w:val="0062178C"/>
    <w:rsid w:val="006450FC"/>
    <w:rsid w:val="00645729"/>
    <w:rsid w:val="00660E3A"/>
    <w:rsid w:val="00663CC8"/>
    <w:rsid w:val="00665B3F"/>
    <w:rsid w:val="0067129A"/>
    <w:rsid w:val="00680FEF"/>
    <w:rsid w:val="00693DD6"/>
    <w:rsid w:val="006A1AFC"/>
    <w:rsid w:val="006C212D"/>
    <w:rsid w:val="006F1595"/>
    <w:rsid w:val="006F7D75"/>
    <w:rsid w:val="00735149"/>
    <w:rsid w:val="00743EF5"/>
    <w:rsid w:val="00751274"/>
    <w:rsid w:val="007556B5"/>
    <w:rsid w:val="007571F6"/>
    <w:rsid w:val="00795D59"/>
    <w:rsid w:val="007E085C"/>
    <w:rsid w:val="00820264"/>
    <w:rsid w:val="00843673"/>
    <w:rsid w:val="0084723E"/>
    <w:rsid w:val="00854659"/>
    <w:rsid w:val="008716A9"/>
    <w:rsid w:val="00881248"/>
    <w:rsid w:val="0088464A"/>
    <w:rsid w:val="008A633D"/>
    <w:rsid w:val="008B57A5"/>
    <w:rsid w:val="008E0CF5"/>
    <w:rsid w:val="008F0150"/>
    <w:rsid w:val="008F2EEC"/>
    <w:rsid w:val="008F6434"/>
    <w:rsid w:val="009132FA"/>
    <w:rsid w:val="00916954"/>
    <w:rsid w:val="00923C5D"/>
    <w:rsid w:val="009500FD"/>
    <w:rsid w:val="00954040"/>
    <w:rsid w:val="00954478"/>
    <w:rsid w:val="009946F0"/>
    <w:rsid w:val="00995E72"/>
    <w:rsid w:val="009B0E50"/>
    <w:rsid w:val="009C5305"/>
    <w:rsid w:val="009D53C5"/>
    <w:rsid w:val="009F2AA2"/>
    <w:rsid w:val="00A1569D"/>
    <w:rsid w:val="00A33DED"/>
    <w:rsid w:val="00A52C02"/>
    <w:rsid w:val="00A55586"/>
    <w:rsid w:val="00A834C5"/>
    <w:rsid w:val="00AC559D"/>
    <w:rsid w:val="00AC57EB"/>
    <w:rsid w:val="00AD2B46"/>
    <w:rsid w:val="00AD5D3C"/>
    <w:rsid w:val="00B06522"/>
    <w:rsid w:val="00B11A13"/>
    <w:rsid w:val="00B20629"/>
    <w:rsid w:val="00B364D4"/>
    <w:rsid w:val="00B45ECF"/>
    <w:rsid w:val="00B677C8"/>
    <w:rsid w:val="00B73558"/>
    <w:rsid w:val="00B85719"/>
    <w:rsid w:val="00BC3821"/>
    <w:rsid w:val="00BD683D"/>
    <w:rsid w:val="00BE16F7"/>
    <w:rsid w:val="00BE4733"/>
    <w:rsid w:val="00BF533B"/>
    <w:rsid w:val="00BF7A83"/>
    <w:rsid w:val="00C1325A"/>
    <w:rsid w:val="00C2420B"/>
    <w:rsid w:val="00C26434"/>
    <w:rsid w:val="00C30237"/>
    <w:rsid w:val="00C40170"/>
    <w:rsid w:val="00C646AF"/>
    <w:rsid w:val="00C665C2"/>
    <w:rsid w:val="00C82CD8"/>
    <w:rsid w:val="00C8489C"/>
    <w:rsid w:val="00C97B2F"/>
    <w:rsid w:val="00CF5312"/>
    <w:rsid w:val="00D10953"/>
    <w:rsid w:val="00D43A3C"/>
    <w:rsid w:val="00D50212"/>
    <w:rsid w:val="00D545DE"/>
    <w:rsid w:val="00D63915"/>
    <w:rsid w:val="00D75ACB"/>
    <w:rsid w:val="00D91457"/>
    <w:rsid w:val="00D91E37"/>
    <w:rsid w:val="00DA6600"/>
    <w:rsid w:val="00DD274E"/>
    <w:rsid w:val="00E130FE"/>
    <w:rsid w:val="00E31663"/>
    <w:rsid w:val="00E409BB"/>
    <w:rsid w:val="00E442CE"/>
    <w:rsid w:val="00E46B14"/>
    <w:rsid w:val="00E50C2B"/>
    <w:rsid w:val="00E5487E"/>
    <w:rsid w:val="00E54D2E"/>
    <w:rsid w:val="00E565B3"/>
    <w:rsid w:val="00E95AE0"/>
    <w:rsid w:val="00ED1E08"/>
    <w:rsid w:val="00F0095E"/>
    <w:rsid w:val="00F02333"/>
    <w:rsid w:val="00F05A02"/>
    <w:rsid w:val="00F10DF4"/>
    <w:rsid w:val="00F21B53"/>
    <w:rsid w:val="00F67464"/>
    <w:rsid w:val="00F85821"/>
    <w:rsid w:val="00F91220"/>
    <w:rsid w:val="00F96D8E"/>
    <w:rsid w:val="00F96DC0"/>
    <w:rsid w:val="00FA278A"/>
    <w:rsid w:val="00FB3199"/>
    <w:rsid w:val="00FB7F3F"/>
    <w:rsid w:val="00FD3405"/>
    <w:rsid w:val="2E2688C3"/>
    <w:rsid w:val="5E8DA0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B15444"/>
  <w15:docId w15:val="{901979DE-5332-4ADE-BAAA-5CD35AB91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188A"/>
    <w:rPr>
      <w:sz w:val="24"/>
      <w:szCs w:val="24"/>
      <w:lang w:val="en-US" w:eastAsia="en-US"/>
    </w:rPr>
  </w:style>
  <w:style w:type="paragraph" w:styleId="Heading1">
    <w:name w:val="heading 1"/>
    <w:basedOn w:val="Normal"/>
    <w:next w:val="Normal"/>
    <w:autoRedefine/>
    <w:qFormat/>
    <w:rsid w:val="0034188A"/>
    <w:pPr>
      <w:keepNext/>
      <w:jc w:val="center"/>
      <w:outlineLvl w:val="0"/>
    </w:pPr>
    <w:rPr>
      <w:bCs/>
    </w:rPr>
  </w:style>
  <w:style w:type="paragraph" w:styleId="Heading3">
    <w:name w:val="heading 3"/>
    <w:basedOn w:val="Normal"/>
    <w:next w:val="Normal"/>
    <w:link w:val="Heading3Char"/>
    <w:semiHidden/>
    <w:unhideWhenUsed/>
    <w:qFormat/>
    <w:rsid w:val="006F7D75"/>
    <w:pPr>
      <w:keepNext/>
      <w:spacing w:before="240" w:after="60"/>
      <w:outlineLvl w:val="2"/>
    </w:pPr>
    <w:rPr>
      <w:rFonts w:ascii="Cambria" w:hAnsi="Cambria"/>
      <w:b/>
      <w:bCs/>
      <w:sz w:val="26"/>
      <w:szCs w:val="26"/>
    </w:rPr>
  </w:style>
  <w:style w:type="paragraph" w:styleId="Heading5">
    <w:name w:val="heading 5"/>
    <w:basedOn w:val="Normal"/>
    <w:next w:val="Normal"/>
    <w:qFormat/>
    <w:rsid w:val="0034188A"/>
    <w:pPr>
      <w:keepNext/>
      <w:ind w:left="720"/>
      <w:outlineLvl w:val="4"/>
    </w:pPr>
    <w:rPr>
      <w:i/>
      <w:sz w:val="20"/>
      <w:szCs w:val="20"/>
      <w:lang w:val="en-AU"/>
    </w:rPr>
  </w:style>
  <w:style w:type="paragraph" w:styleId="Heading6">
    <w:name w:val="heading 6"/>
    <w:basedOn w:val="Normal"/>
    <w:next w:val="Normal"/>
    <w:qFormat/>
    <w:rsid w:val="0034188A"/>
    <w:pPr>
      <w:keepNext/>
      <w:outlineLvl w:val="5"/>
    </w:pPr>
    <w:rPr>
      <w:b/>
      <w:sz w:val="20"/>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autoRedefine/>
    <w:rsid w:val="0034188A"/>
    <w:pPr>
      <w:jc w:val="both"/>
    </w:pPr>
    <w:rPr>
      <w:szCs w:val="20"/>
      <w:lang w:val="en-GB"/>
    </w:rPr>
  </w:style>
  <w:style w:type="paragraph" w:styleId="NormalWeb">
    <w:name w:val="Normal (Web)"/>
    <w:basedOn w:val="Normal"/>
    <w:rsid w:val="0034188A"/>
    <w:pPr>
      <w:spacing w:before="100" w:beforeAutospacing="1" w:after="100" w:afterAutospacing="1"/>
    </w:pPr>
    <w:rPr>
      <w:rFonts w:ascii="Arial Unicode MS" w:eastAsia="Arial Unicode MS" w:hAnsi="Arial Unicode MS" w:cs="Arial Unicode MS"/>
    </w:rPr>
  </w:style>
  <w:style w:type="paragraph" w:styleId="Title">
    <w:name w:val="Title"/>
    <w:basedOn w:val="Normal"/>
    <w:qFormat/>
    <w:rsid w:val="0034188A"/>
    <w:pPr>
      <w:ind w:right="890"/>
      <w:jc w:val="center"/>
    </w:pPr>
    <w:rPr>
      <w:b/>
      <w:sz w:val="20"/>
      <w:szCs w:val="20"/>
      <w:lang w:val="en-AU"/>
    </w:rPr>
  </w:style>
  <w:style w:type="paragraph" w:customStyle="1" w:styleId="indenta">
    <w:name w:val="indent(a)"/>
    <w:aliases w:val="a"/>
    <w:basedOn w:val="Normal"/>
    <w:rsid w:val="0034188A"/>
    <w:pPr>
      <w:tabs>
        <w:tab w:val="right" w:pos="1531"/>
      </w:tabs>
      <w:spacing w:before="40" w:line="260" w:lineRule="atLeast"/>
      <w:ind w:left="1644" w:hanging="1644"/>
    </w:pPr>
    <w:rPr>
      <w:rFonts w:ascii="Times" w:hAnsi="Times"/>
      <w:sz w:val="22"/>
      <w:szCs w:val="20"/>
      <w:lang w:val="en-AU"/>
    </w:rPr>
  </w:style>
  <w:style w:type="paragraph" w:styleId="FootnoteText">
    <w:name w:val="footnote text"/>
    <w:basedOn w:val="Normal"/>
    <w:semiHidden/>
    <w:rsid w:val="0034188A"/>
    <w:rPr>
      <w:sz w:val="20"/>
      <w:szCs w:val="20"/>
      <w:lang w:val="en-AU"/>
    </w:rPr>
  </w:style>
  <w:style w:type="paragraph" w:customStyle="1" w:styleId="normal-dot">
    <w:name w:val="normal-dot"/>
    <w:basedOn w:val="Normal"/>
    <w:rsid w:val="0034188A"/>
    <w:pPr>
      <w:numPr>
        <w:numId w:val="2"/>
      </w:numPr>
      <w:spacing w:before="120"/>
      <w:ind w:left="357" w:hanging="357"/>
    </w:pPr>
    <w:rPr>
      <w:sz w:val="22"/>
      <w:szCs w:val="20"/>
      <w:lang w:val="en-AU"/>
    </w:rPr>
  </w:style>
  <w:style w:type="paragraph" w:styleId="BlockText">
    <w:name w:val="Block Text"/>
    <w:basedOn w:val="Normal"/>
    <w:rsid w:val="0034188A"/>
    <w:pPr>
      <w:spacing w:line="220" w:lineRule="atLeast"/>
      <w:ind w:left="-567" w:right="-766"/>
      <w:jc w:val="center"/>
    </w:pPr>
    <w:rPr>
      <w:b/>
      <w:bCs/>
      <w:szCs w:val="20"/>
      <w:lang w:val="en-AU"/>
    </w:rPr>
  </w:style>
  <w:style w:type="character" w:styleId="HTMLAcronym">
    <w:name w:val="HTML Acronym"/>
    <w:basedOn w:val="DefaultParagraphFont"/>
    <w:rsid w:val="0034188A"/>
  </w:style>
  <w:style w:type="character" w:styleId="CommentReference">
    <w:name w:val="annotation reference"/>
    <w:uiPriority w:val="99"/>
    <w:semiHidden/>
    <w:rsid w:val="0034188A"/>
    <w:rPr>
      <w:sz w:val="16"/>
      <w:szCs w:val="16"/>
    </w:rPr>
  </w:style>
  <w:style w:type="paragraph" w:styleId="CommentText">
    <w:name w:val="annotation text"/>
    <w:basedOn w:val="Normal"/>
    <w:link w:val="CommentTextChar"/>
    <w:semiHidden/>
    <w:rsid w:val="0034188A"/>
    <w:rPr>
      <w:sz w:val="20"/>
      <w:szCs w:val="20"/>
    </w:rPr>
  </w:style>
  <w:style w:type="paragraph" w:styleId="CommentSubject">
    <w:name w:val="annotation subject"/>
    <w:basedOn w:val="CommentText"/>
    <w:next w:val="CommentText"/>
    <w:semiHidden/>
    <w:rsid w:val="0034188A"/>
    <w:rPr>
      <w:b/>
      <w:bCs/>
    </w:rPr>
  </w:style>
  <w:style w:type="paragraph" w:styleId="BalloonText">
    <w:name w:val="Balloon Text"/>
    <w:basedOn w:val="Normal"/>
    <w:semiHidden/>
    <w:rsid w:val="0034188A"/>
    <w:rPr>
      <w:rFonts w:ascii="Tahoma" w:hAnsi="Tahoma" w:cs="Tahoma"/>
      <w:sz w:val="16"/>
      <w:szCs w:val="16"/>
    </w:rPr>
  </w:style>
  <w:style w:type="character" w:customStyle="1" w:styleId="CommentTextChar">
    <w:name w:val="Comment Text Char"/>
    <w:link w:val="CommentText"/>
    <w:semiHidden/>
    <w:rsid w:val="006F1595"/>
    <w:rPr>
      <w:lang w:val="en-US" w:eastAsia="en-US"/>
    </w:rPr>
  </w:style>
  <w:style w:type="character" w:styleId="Hyperlink">
    <w:name w:val="Hyperlink"/>
    <w:rsid w:val="006F7D75"/>
    <w:rPr>
      <w:color w:val="0000FF"/>
      <w:u w:val="single"/>
    </w:rPr>
  </w:style>
  <w:style w:type="paragraph" w:customStyle="1" w:styleId="Legalclauselevel3alternate">
    <w:name w:val="Legal clause level 3 (alternate)"/>
    <w:basedOn w:val="Heading3"/>
    <w:qFormat/>
    <w:rsid w:val="006F7D75"/>
    <w:pPr>
      <w:keepNext w:val="0"/>
      <w:shd w:val="clear" w:color="auto" w:fill="B6DDE8"/>
      <w:tabs>
        <w:tab w:val="num" w:pos="964"/>
      </w:tabs>
      <w:spacing w:before="0" w:after="220"/>
    </w:pPr>
    <w:rPr>
      <w:rFonts w:ascii="Arial" w:hAnsi="Arial" w:cs="Arial"/>
      <w:b w:val="0"/>
      <w:sz w:val="22"/>
      <w:lang w:val="en-AU" w:eastAsia="en-AU"/>
    </w:rPr>
  </w:style>
  <w:style w:type="character" w:customStyle="1" w:styleId="Heading3Char">
    <w:name w:val="Heading 3 Char"/>
    <w:link w:val="Heading3"/>
    <w:semiHidden/>
    <w:rsid w:val="006F7D75"/>
    <w:rPr>
      <w:rFonts w:ascii="Cambria" w:eastAsia="Times New Roman" w:hAnsi="Cambria" w:cs="Times New Roman"/>
      <w:b/>
      <w:bCs/>
      <w:sz w:val="26"/>
      <w:szCs w:val="26"/>
      <w:lang w:val="en-US" w:eastAsia="en-US"/>
    </w:rPr>
  </w:style>
  <w:style w:type="paragraph" w:customStyle="1" w:styleId="Stylea">
    <w:name w:val="Style (a)"/>
    <w:basedOn w:val="Normal"/>
    <w:qFormat/>
    <w:rsid w:val="004C3DEE"/>
    <w:pPr>
      <w:numPr>
        <w:numId w:val="11"/>
      </w:numPr>
      <w:ind w:left="714" w:hanging="357"/>
    </w:pPr>
    <w:rPr>
      <w:snapToGrid w:val="0"/>
      <w:color w:val="FF0000"/>
      <w:lang w:val="en-AU"/>
    </w:rPr>
  </w:style>
  <w:style w:type="paragraph" w:styleId="ListParagraph">
    <w:name w:val="List Paragraph"/>
    <w:basedOn w:val="Normal"/>
    <w:uiPriority w:val="34"/>
    <w:qFormat/>
    <w:rsid w:val="00D63915"/>
    <w:pPr>
      <w:tabs>
        <w:tab w:val="left" w:pos="1096"/>
      </w:tabs>
      <w:spacing w:before="60" w:after="60"/>
      <w:ind w:firstLine="181"/>
    </w:pPr>
    <w:rPr>
      <w:rFonts w:eastAsia="Calibri"/>
      <w:snapToGrid w:val="0"/>
      <w:sz w:val="22"/>
      <w:szCs w:val="22"/>
      <w:lang w:val="en-AU"/>
    </w:rPr>
  </w:style>
  <w:style w:type="paragraph" w:styleId="Header">
    <w:name w:val="header"/>
    <w:basedOn w:val="Normal"/>
    <w:link w:val="HeaderChar"/>
    <w:unhideWhenUsed/>
    <w:rsid w:val="00025AAF"/>
    <w:pPr>
      <w:tabs>
        <w:tab w:val="center" w:pos="4513"/>
        <w:tab w:val="right" w:pos="9026"/>
      </w:tabs>
    </w:pPr>
  </w:style>
  <w:style w:type="character" w:customStyle="1" w:styleId="HeaderChar">
    <w:name w:val="Header Char"/>
    <w:basedOn w:val="DefaultParagraphFont"/>
    <w:link w:val="Header"/>
    <w:rsid w:val="00025AAF"/>
    <w:rPr>
      <w:sz w:val="24"/>
      <w:szCs w:val="24"/>
      <w:lang w:val="en-US" w:eastAsia="en-US"/>
    </w:rPr>
  </w:style>
  <w:style w:type="paragraph" w:styleId="Footer">
    <w:name w:val="footer"/>
    <w:basedOn w:val="Normal"/>
    <w:link w:val="FooterChar"/>
    <w:unhideWhenUsed/>
    <w:rsid w:val="00025AAF"/>
    <w:pPr>
      <w:tabs>
        <w:tab w:val="center" w:pos="4513"/>
        <w:tab w:val="right" w:pos="9026"/>
      </w:tabs>
    </w:pPr>
  </w:style>
  <w:style w:type="character" w:customStyle="1" w:styleId="FooterChar">
    <w:name w:val="Footer Char"/>
    <w:basedOn w:val="DefaultParagraphFont"/>
    <w:link w:val="Footer"/>
    <w:rsid w:val="00025AAF"/>
    <w:rPr>
      <w:sz w:val="24"/>
      <w:szCs w:val="24"/>
      <w:lang w:val="en-US" w:eastAsia="en-US"/>
    </w:rPr>
  </w:style>
  <w:style w:type="character" w:styleId="UnresolvedMention">
    <w:name w:val="Unresolved Mention"/>
    <w:basedOn w:val="DefaultParagraphFont"/>
    <w:uiPriority w:val="99"/>
    <w:semiHidden/>
    <w:unhideWhenUsed/>
    <w:rsid w:val="00FD34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7B2648D107DEB44185B7B315EAF419CE" ma:contentTypeVersion="" ma:contentTypeDescription="PDMS Document Site Content Type" ma:contentTypeScope="" ma:versionID="27f92417be5910a809ad5a25842caf33">
  <xsd:schema xmlns:xsd="http://www.w3.org/2001/XMLSchema" xmlns:xs="http://www.w3.org/2001/XMLSchema" xmlns:p="http://schemas.microsoft.com/office/2006/metadata/properties" xmlns:ns2="2BDE4A94-B942-457E-B4CC-E87BCC4A6483" targetNamespace="http://schemas.microsoft.com/office/2006/metadata/properties" ma:root="true" ma:fieldsID="b0cac4c774dfb069bf016f1070359e31" ns2:_="">
    <xsd:import namespace="2BDE4A94-B942-457E-B4CC-E87BCC4A6483"/>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DE4A94-B942-457E-B4CC-E87BCC4A6483"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ecurityClassification xmlns="2BDE4A94-B942-457E-B4CC-E87BCC4A6483" xsi:nil="true"/>
  </documentManagement>
</p:properties>
</file>

<file path=customXml/itemProps1.xml><?xml version="1.0" encoding="utf-8"?>
<ds:datastoreItem xmlns:ds="http://schemas.openxmlformats.org/officeDocument/2006/customXml" ds:itemID="{D52C88B8-730D-42C1-B2AC-E93B065AE757}">
  <ds:schemaRefs>
    <ds:schemaRef ds:uri="http://schemas.microsoft.com/sharepoint/v3/contenttype/forms"/>
  </ds:schemaRefs>
</ds:datastoreItem>
</file>

<file path=customXml/itemProps2.xml><?xml version="1.0" encoding="utf-8"?>
<ds:datastoreItem xmlns:ds="http://schemas.openxmlformats.org/officeDocument/2006/customXml" ds:itemID="{8AA86513-26ED-46F7-8DAF-99625331E85E}">
  <ds:schemaRefs>
    <ds:schemaRef ds:uri="http://schemas.openxmlformats.org/officeDocument/2006/bibliography"/>
  </ds:schemaRefs>
</ds:datastoreItem>
</file>

<file path=customXml/itemProps3.xml><?xml version="1.0" encoding="utf-8"?>
<ds:datastoreItem xmlns:ds="http://schemas.openxmlformats.org/officeDocument/2006/customXml" ds:itemID="{911BFDEB-B8CB-4E9E-ADC6-F1EEB950A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DE4A94-B942-457E-B4CC-E87BCC4A64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54F61E2-7DE1-4B0F-A4B3-6DD7DF5A9E1B}">
  <ds:schemaRefs>
    <ds:schemaRef ds:uri="http://schemas.microsoft.com/office/2006/metadata/properties"/>
    <ds:schemaRef ds:uri="http://schemas.microsoft.com/office/infopath/2007/PartnerControls"/>
    <ds:schemaRef ds:uri="2BDE4A94-B942-457E-B4CC-E87BCC4A6483"/>
  </ds:schemaRefs>
</ds:datastoreItem>
</file>

<file path=docMetadata/LabelInfo.xml><?xml version="1.0" encoding="utf-8"?>
<clbl:labelList xmlns:clbl="http://schemas.microsoft.com/office/2020/mipLabelMetadata">
  <clbl:label id="{938c5fd4-19f6-4faf-97a6-4805fefb2c9e}" enabled="1" method="Privileged" siteId="{8c3c81bc-2b3c-44af-b3f7-6f620b3910ee}" removed="0"/>
</clbl:labelList>
</file>

<file path=docProps/app.xml><?xml version="1.0" encoding="utf-8"?>
<Properties xmlns="http://schemas.openxmlformats.org/officeDocument/2006/extended-properties" xmlns:vt="http://schemas.openxmlformats.org/officeDocument/2006/docPropsVTypes">
  <Template>Normal</Template>
  <TotalTime>3</TotalTime>
  <Pages>5</Pages>
  <Words>1382</Words>
  <Characters>7883</Characters>
  <Application>Microsoft Office Word</Application>
  <DocSecurity>0</DocSecurity>
  <Lines>65</Lines>
  <Paragraphs>18</Paragraphs>
  <ScaleCrop>false</ScaleCrop>
  <Company>EA</Company>
  <LinksUpToDate>false</LinksUpToDate>
  <CharactersWithSpaces>9247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Wildlife Trade Operation instrument</dc:title>
  <dc:creator>a12990</dc:creator>
  <cp:lastModifiedBy>DCCEEW Sustainable Fisheries</cp:lastModifiedBy>
  <cp:revision>3</cp:revision>
  <cp:lastPrinted>2015-02-25T00:12:00Z</cp:lastPrinted>
  <dcterms:created xsi:type="dcterms:W3CDTF">2025-06-19T02:55:00Z</dcterms:created>
  <dcterms:modified xsi:type="dcterms:W3CDTF">2025-06-19T02:57:00Z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0x010100266966F133664895A6EE3632470D45F5007B2648D107DEB44185B7B315EAF419CE</vt:lpwstr>
  </property>
  <property fmtid="{D5CDD505-2E9C-101B-9397-08002B2CF9AE}" pid="3" name="RecordPoint_SubmissionDate">
    <vt:lpwstr/>
  </property>
  <property fmtid="{D5CDD505-2E9C-101B-9397-08002B2CF9AE}" pid="4" name="RecordPoint_RecordNumberSubmitted">
    <vt:lpwstr>000109706</vt:lpwstr>
  </property>
  <property fmtid="{D5CDD505-2E9C-101B-9397-08002B2CF9AE}" pid="5" name="RecordPoint_ActiveItemSiteId">
    <vt:lpwstr>{8003c3b3-d20c-4e9a-bee9-0e2243d810ee}</vt:lpwstr>
  </property>
  <property fmtid="{D5CDD505-2E9C-101B-9397-08002B2CF9AE}" pid="6" name="RecordPoint_ActiveItemListId">
    <vt:lpwstr>{1e6972ed-ffb6-46ac-aa83-9a9ed43e9fad}</vt:lpwstr>
  </property>
  <property fmtid="{D5CDD505-2E9C-101B-9397-08002B2CF9AE}" pid="7" name="RecordPoint_ActiveItemMoved">
    <vt:lpwstr/>
  </property>
  <property fmtid="{D5CDD505-2E9C-101B-9397-08002B2CF9AE}" pid="8" name="RecordPoint_RecordFormat">
    <vt:lpwstr/>
  </property>
  <property fmtid="{D5CDD505-2E9C-101B-9397-08002B2CF9AE}" pid="9" name="RecordPoint_SubmissionCompleted">
    <vt:lpwstr>2021-01-17T17:15:04.3832744+11:00</vt:lpwstr>
  </property>
  <property fmtid="{D5CDD505-2E9C-101B-9397-08002B2CF9AE}" pid="10" name="RecordPoint_ActiveItemUniqueId">
    <vt:lpwstr>{705ac55a-14b8-4483-862e-34df0376b3da}</vt:lpwstr>
  </property>
  <property fmtid="{D5CDD505-2E9C-101B-9397-08002B2CF9AE}" pid="11" name="RecordPoint_ActiveItemWebId">
    <vt:lpwstr>{ce0940a8-fbdd-4d61-aa5f-5fccf7e3a693}</vt:lpwstr>
  </property>
  <property fmtid="{D5CDD505-2E9C-101B-9397-08002B2CF9AE}" pid="12" name="RecordPoint_WorkflowType">
    <vt:lpwstr>ActiveSubmitStub</vt:lpwstr>
  </property>
  <property fmtid="{D5CDD505-2E9C-101B-9397-08002B2CF9AE}" pid="13" name="MediaServiceImageTags">
    <vt:lpwstr/>
  </property>
</Properties>
</file>