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0917" w14:textId="77777777" w:rsidR="00BB015C" w:rsidRDefault="00DF57F4">
      <w:pPr>
        <w:pStyle w:val="BodyText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BF0938" wp14:editId="268B2901">
            <wp:extent cx="1383828" cy="1065276"/>
            <wp:effectExtent l="0" t="0" r="0" b="0"/>
            <wp:docPr id="1" name="image1.png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Coat of Arms of Austral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828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0918" w14:textId="77777777" w:rsidR="00BB015C" w:rsidRDefault="00BB015C">
      <w:pPr>
        <w:pStyle w:val="BodyText"/>
        <w:spacing w:before="7"/>
        <w:rPr>
          <w:rFonts w:ascii="Times New Roman"/>
          <w:sz w:val="14"/>
        </w:rPr>
      </w:pPr>
    </w:p>
    <w:p w14:paraId="77BF0919" w14:textId="77777777" w:rsidR="00BB015C" w:rsidRDefault="00DF57F4">
      <w:pPr>
        <w:spacing w:before="89"/>
        <w:ind w:left="140" w:right="472"/>
        <w:rPr>
          <w:b/>
          <w:sz w:val="32"/>
        </w:rPr>
      </w:pPr>
      <w:r>
        <w:rPr>
          <w:b/>
          <w:sz w:val="32"/>
        </w:rPr>
        <w:t>Approval to hold a stake in a financial sector company of more than 20% No. 5 of 2025</w:t>
      </w:r>
    </w:p>
    <w:p w14:paraId="77BF091A" w14:textId="0D64AE15" w:rsidR="00BB015C" w:rsidRDefault="00DF57F4">
      <w:pPr>
        <w:pBdr>
          <w:bottom w:val="single" w:sz="6" w:space="1" w:color="auto"/>
        </w:pBdr>
        <w:spacing w:before="238"/>
        <w:ind w:left="140"/>
        <w:rPr>
          <w:i/>
          <w:sz w:val="28"/>
        </w:rPr>
      </w:pPr>
      <w:r>
        <w:rPr>
          <w:i/>
          <w:sz w:val="28"/>
        </w:rPr>
        <w:t>Financial Sector (Shareholdings) Act 1998</w:t>
      </w:r>
    </w:p>
    <w:p w14:paraId="77BF091B" w14:textId="77777777" w:rsidR="00BB015C" w:rsidRDefault="00BB015C">
      <w:pPr>
        <w:pStyle w:val="BodyText"/>
        <w:spacing w:before="2"/>
        <w:rPr>
          <w:i/>
          <w:sz w:val="10"/>
        </w:rPr>
      </w:pPr>
    </w:p>
    <w:p w14:paraId="77BF091C" w14:textId="77777777" w:rsidR="00BB015C" w:rsidRDefault="00DF57F4">
      <w:pPr>
        <w:pStyle w:val="BodyText"/>
        <w:tabs>
          <w:tab w:val="left" w:pos="989"/>
        </w:tabs>
        <w:spacing w:before="94"/>
        <w:ind w:left="140"/>
      </w:pPr>
      <w:r>
        <w:t>To:</w:t>
      </w:r>
      <w:r>
        <w:tab/>
        <w:t>Allianz SE</w:t>
      </w:r>
    </w:p>
    <w:p w14:paraId="77BF091D" w14:textId="77777777" w:rsidR="00BB015C" w:rsidRDefault="00DF57F4">
      <w:pPr>
        <w:pStyle w:val="BodyText"/>
        <w:spacing w:before="38" w:line="276" w:lineRule="auto"/>
        <w:ind w:left="990" w:right="4607"/>
      </w:pPr>
      <w:r>
        <w:t xml:space="preserve">Allianz Financial II Luxembourg </w:t>
      </w:r>
      <w:proofErr w:type="spellStart"/>
      <w:r>
        <w:t>S.à.r.l</w:t>
      </w:r>
      <w:proofErr w:type="spellEnd"/>
      <w:r>
        <w:t xml:space="preserve"> Allianz Europe BV</w:t>
      </w:r>
    </w:p>
    <w:p w14:paraId="77BF091E" w14:textId="77777777" w:rsidR="00BB015C" w:rsidRDefault="00DF57F4">
      <w:pPr>
        <w:pStyle w:val="BodyText"/>
        <w:spacing w:line="252" w:lineRule="exact"/>
        <w:ind w:left="990"/>
      </w:pPr>
      <w:r>
        <w:t>Allianz Asia Holding Pte. Ltd</w:t>
      </w:r>
    </w:p>
    <w:p w14:paraId="77BF091F" w14:textId="77777777" w:rsidR="00BB015C" w:rsidRDefault="00DF57F4">
      <w:pPr>
        <w:pStyle w:val="BodyText"/>
        <w:spacing w:before="39"/>
        <w:ind w:left="990"/>
      </w:pPr>
      <w:r>
        <w:t>Allianz Australia Limited ABN 21 000 006 226</w:t>
      </w:r>
    </w:p>
    <w:p w14:paraId="77BF0920" w14:textId="77777777" w:rsidR="00BB015C" w:rsidRDefault="00DF57F4">
      <w:pPr>
        <w:pStyle w:val="BodyText"/>
        <w:spacing w:before="38" w:line="513" w:lineRule="auto"/>
        <w:ind w:left="990" w:right="2833"/>
      </w:pPr>
      <w:r>
        <w:t>Allianz Australia Insurance Limited ABN 15 000 122 850 (together the Applicants)</w:t>
      </w:r>
    </w:p>
    <w:p w14:paraId="77BF0921" w14:textId="77777777" w:rsidR="00BB015C" w:rsidRDefault="00DF57F4">
      <w:pPr>
        <w:pStyle w:val="BodyText"/>
        <w:spacing w:line="219" w:lineRule="exact"/>
        <w:ind w:left="140"/>
      </w:pPr>
      <w:r>
        <w:t>Since:</w:t>
      </w:r>
    </w:p>
    <w:p w14:paraId="77BF0922" w14:textId="77777777" w:rsidR="00BB015C" w:rsidRDefault="00BB015C">
      <w:pPr>
        <w:pStyle w:val="BodyText"/>
      </w:pPr>
    </w:p>
    <w:p w14:paraId="77BF0923" w14:textId="77777777" w:rsidR="00BB015C" w:rsidRDefault="00DF57F4">
      <w:pPr>
        <w:pStyle w:val="ListParagraph"/>
        <w:numPr>
          <w:ilvl w:val="0"/>
          <w:numId w:val="1"/>
        </w:numPr>
        <w:tabs>
          <w:tab w:val="left" w:pos="707"/>
        </w:tabs>
        <w:jc w:val="both"/>
      </w:pPr>
      <w:r>
        <w:t>On</w:t>
      </w:r>
      <w:r>
        <w:rPr>
          <w:spacing w:val="-8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January</w:t>
      </w:r>
      <w:r>
        <w:rPr>
          <w:spacing w:val="-10"/>
        </w:rPr>
        <w:t xml:space="preserve"> </w:t>
      </w:r>
      <w:r>
        <w:t>2025,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 for approval to hold a 100% stake in RAA Insurance Holdings Limited ABN 52 008 210 062 and RAA Insurance Limited ABN 14 007 872 602, each a financial sector</w:t>
      </w:r>
      <w:r>
        <w:rPr>
          <w:spacing w:val="-31"/>
        </w:rPr>
        <w:t xml:space="preserve"> </w:t>
      </w:r>
      <w:r>
        <w:t>company under the Act (the financial sector companies);</w:t>
      </w:r>
      <w:r>
        <w:rPr>
          <w:spacing w:val="-3"/>
        </w:rPr>
        <w:t xml:space="preserve"> </w:t>
      </w:r>
      <w:r>
        <w:t>and</w:t>
      </w:r>
    </w:p>
    <w:p w14:paraId="77BF0924" w14:textId="77777777" w:rsidR="00BB015C" w:rsidRDefault="00BB015C">
      <w:pPr>
        <w:pStyle w:val="BodyText"/>
      </w:pPr>
    </w:p>
    <w:p w14:paraId="77BF0925" w14:textId="77777777" w:rsidR="00BB015C" w:rsidRDefault="00DF57F4">
      <w:pPr>
        <w:pStyle w:val="ListParagraph"/>
        <w:numPr>
          <w:ilvl w:val="0"/>
          <w:numId w:val="1"/>
        </w:numPr>
        <w:tabs>
          <w:tab w:val="left" w:pos="707"/>
        </w:tabs>
        <w:spacing w:before="1"/>
        <w:jc w:val="both"/>
      </w:pPr>
      <w:r>
        <w:t>I am satisfied it is in the national interest for the Applicants to hold a 100% stake in the financial sector</w:t>
      </w:r>
      <w:r>
        <w:rPr>
          <w:spacing w:val="-1"/>
        </w:rPr>
        <w:t xml:space="preserve"> </w:t>
      </w:r>
      <w:r>
        <w:t>companies,</w:t>
      </w:r>
    </w:p>
    <w:p w14:paraId="77BF0926" w14:textId="77777777" w:rsidR="00BB015C" w:rsidRDefault="00BB015C">
      <w:pPr>
        <w:pStyle w:val="BodyText"/>
        <w:spacing w:before="10"/>
        <w:rPr>
          <w:sz w:val="21"/>
        </w:rPr>
      </w:pPr>
    </w:p>
    <w:p w14:paraId="77BF0927" w14:textId="77777777" w:rsidR="00BB015C" w:rsidRDefault="00DF57F4">
      <w:pPr>
        <w:pStyle w:val="BodyText"/>
        <w:spacing w:before="1"/>
        <w:ind w:left="140"/>
      </w:pPr>
      <w:r>
        <w:t>I, John Huijsen a delegate of the Treasurer, under subsection 14(1) of the Act, approve the Applicants holding a 100% stake in each of the financial sector companies.</w:t>
      </w:r>
    </w:p>
    <w:p w14:paraId="77BF0928" w14:textId="77777777" w:rsidR="00BB015C" w:rsidRDefault="00BB015C">
      <w:pPr>
        <w:pStyle w:val="BodyText"/>
        <w:spacing w:before="1"/>
      </w:pPr>
    </w:p>
    <w:p w14:paraId="77BF0929" w14:textId="1D426CCE" w:rsidR="00BB015C" w:rsidRDefault="00DF57F4">
      <w:pPr>
        <w:pStyle w:val="BodyText"/>
        <w:spacing w:line="477" w:lineRule="auto"/>
        <w:ind w:left="140" w:right="1275"/>
      </w:pPr>
      <w:r>
        <w:t>This approval commences on the day it is made and remains in force indefinitely. Date: 12 June 2025</w:t>
      </w:r>
    </w:p>
    <w:p w14:paraId="77BF092A" w14:textId="77777777" w:rsidR="00BB015C" w:rsidRDefault="00BB015C">
      <w:pPr>
        <w:pStyle w:val="BodyText"/>
        <w:rPr>
          <w:sz w:val="24"/>
        </w:rPr>
      </w:pPr>
    </w:p>
    <w:p w14:paraId="77BF092B" w14:textId="77777777" w:rsidR="00BB015C" w:rsidRDefault="00BB015C">
      <w:pPr>
        <w:pStyle w:val="BodyText"/>
        <w:spacing w:before="5"/>
        <w:rPr>
          <w:sz w:val="20"/>
        </w:rPr>
      </w:pPr>
    </w:p>
    <w:p w14:paraId="77BF092C" w14:textId="77777777" w:rsidR="00BB015C" w:rsidRDefault="00DF57F4">
      <w:pPr>
        <w:pStyle w:val="BodyText"/>
        <w:ind w:left="140" w:right="7437"/>
      </w:pPr>
      <w:r>
        <w:t>John Huijsen General Manager</w:t>
      </w:r>
    </w:p>
    <w:p w14:paraId="77BF092D" w14:textId="77777777" w:rsidR="00BB015C" w:rsidRDefault="00DF57F4">
      <w:pPr>
        <w:pStyle w:val="BodyText"/>
        <w:ind w:left="140" w:right="5077"/>
      </w:pPr>
      <w:r>
        <w:t>General Insurance and Banking Division Australian Prudential Regulation Authority</w:t>
      </w:r>
    </w:p>
    <w:p w14:paraId="77BF092E" w14:textId="77777777" w:rsidR="00BB015C" w:rsidRDefault="00BB015C">
      <w:pPr>
        <w:pStyle w:val="BodyText"/>
        <w:rPr>
          <w:sz w:val="24"/>
        </w:rPr>
      </w:pPr>
    </w:p>
    <w:p w14:paraId="77BF092F" w14:textId="77777777" w:rsidR="00BB015C" w:rsidRDefault="00BB015C">
      <w:pPr>
        <w:pStyle w:val="BodyText"/>
        <w:spacing w:before="9"/>
        <w:rPr>
          <w:sz w:val="18"/>
        </w:rPr>
      </w:pPr>
    </w:p>
    <w:p w14:paraId="77BF0930" w14:textId="77777777" w:rsidR="00BB015C" w:rsidRDefault="00DF57F4">
      <w:pPr>
        <w:ind w:left="140"/>
        <w:rPr>
          <w:b/>
          <w:sz w:val="20"/>
        </w:rPr>
      </w:pPr>
      <w:r>
        <w:rPr>
          <w:b/>
          <w:sz w:val="20"/>
        </w:rPr>
        <w:t>Interpretation</w:t>
      </w:r>
    </w:p>
    <w:p w14:paraId="77BF0931" w14:textId="77777777" w:rsidR="00BB015C" w:rsidRDefault="00BB015C">
      <w:pPr>
        <w:pStyle w:val="BodyText"/>
        <w:spacing w:before="1"/>
        <w:rPr>
          <w:b/>
          <w:sz w:val="20"/>
        </w:rPr>
      </w:pPr>
    </w:p>
    <w:p w14:paraId="77BF0932" w14:textId="77777777" w:rsidR="00BB015C" w:rsidRDefault="00DF57F4">
      <w:pPr>
        <w:spacing w:line="229" w:lineRule="exact"/>
        <w:ind w:left="140"/>
        <w:rPr>
          <w:sz w:val="20"/>
        </w:rPr>
      </w:pPr>
      <w:r>
        <w:rPr>
          <w:b/>
          <w:i/>
          <w:sz w:val="20"/>
        </w:rPr>
        <w:t xml:space="preserve">Act </w:t>
      </w:r>
      <w:r>
        <w:rPr>
          <w:sz w:val="20"/>
        </w:rPr>
        <w:t xml:space="preserve">means the </w:t>
      </w:r>
      <w:r>
        <w:rPr>
          <w:i/>
          <w:sz w:val="20"/>
        </w:rPr>
        <w:t>Financial Sector (Shareholdings) Act 1998</w:t>
      </w:r>
      <w:r>
        <w:rPr>
          <w:sz w:val="20"/>
        </w:rPr>
        <w:t>.</w:t>
      </w:r>
    </w:p>
    <w:p w14:paraId="77BF0933" w14:textId="77777777" w:rsidR="00BB015C" w:rsidRDefault="00DF57F4">
      <w:pPr>
        <w:spacing w:line="229" w:lineRule="exact"/>
        <w:ind w:left="140"/>
        <w:rPr>
          <w:sz w:val="20"/>
        </w:rPr>
      </w:pPr>
      <w:r>
        <w:rPr>
          <w:b/>
          <w:i/>
          <w:sz w:val="20"/>
        </w:rPr>
        <w:t xml:space="preserve">financial sector company </w:t>
      </w:r>
      <w:r>
        <w:rPr>
          <w:sz w:val="20"/>
        </w:rPr>
        <w:t>has the meaning given in section 3 of the Act.</w:t>
      </w:r>
    </w:p>
    <w:p w14:paraId="77BF0934" w14:textId="77777777" w:rsidR="00BB015C" w:rsidRDefault="00DF57F4">
      <w:pPr>
        <w:spacing w:before="1"/>
        <w:ind w:left="140"/>
        <w:rPr>
          <w:sz w:val="20"/>
        </w:rPr>
      </w:pPr>
      <w:r>
        <w:rPr>
          <w:b/>
          <w:i/>
          <w:sz w:val="20"/>
        </w:rPr>
        <w:t xml:space="preserve">stake </w:t>
      </w:r>
      <w:r>
        <w:rPr>
          <w:sz w:val="20"/>
        </w:rPr>
        <w:t>in relation to a company, has the meaning given in clause 10 of Schedule 1 of the Act.</w:t>
      </w:r>
    </w:p>
    <w:p w14:paraId="77BF0935" w14:textId="77777777" w:rsidR="00BB015C" w:rsidRDefault="00DF57F4">
      <w:pPr>
        <w:spacing w:before="186"/>
        <w:ind w:left="140" w:right="140"/>
        <w:jc w:val="both"/>
        <w:rPr>
          <w:sz w:val="14"/>
        </w:rPr>
      </w:pPr>
      <w:r>
        <w:rPr>
          <w:i/>
          <w:sz w:val="14"/>
        </w:rPr>
        <w:t>Note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4"/>
          <w:sz w:val="14"/>
        </w:rPr>
        <w:t xml:space="preserve"> </w:t>
      </w:r>
      <w:r>
        <w:rPr>
          <w:sz w:val="14"/>
        </w:rPr>
        <w:t>Under</w:t>
      </w:r>
      <w:r>
        <w:rPr>
          <w:spacing w:val="-3"/>
          <w:sz w:val="14"/>
        </w:rPr>
        <w:t xml:space="preserve"> </w:t>
      </w:r>
      <w:r>
        <w:rPr>
          <w:sz w:val="14"/>
        </w:rPr>
        <w:t>section</w:t>
      </w:r>
      <w:r>
        <w:rPr>
          <w:spacing w:val="-4"/>
          <w:sz w:val="14"/>
        </w:rPr>
        <w:t xml:space="preserve"> </w:t>
      </w:r>
      <w:r>
        <w:rPr>
          <w:sz w:val="14"/>
        </w:rPr>
        <w:t>14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Act,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Treasurer</w:t>
      </w:r>
      <w:r>
        <w:rPr>
          <w:spacing w:val="-3"/>
          <w:sz w:val="14"/>
        </w:rPr>
        <w:t xml:space="preserve"> </w:t>
      </w:r>
      <w:r>
        <w:rPr>
          <w:sz w:val="14"/>
        </w:rPr>
        <w:t>must</w:t>
      </w:r>
      <w:r>
        <w:rPr>
          <w:spacing w:val="-3"/>
          <w:sz w:val="14"/>
        </w:rPr>
        <w:t xml:space="preserve"> </w:t>
      </w:r>
      <w:r>
        <w:rPr>
          <w:sz w:val="14"/>
        </w:rPr>
        <w:t>give</w:t>
      </w:r>
      <w:r>
        <w:rPr>
          <w:spacing w:val="-5"/>
          <w:sz w:val="14"/>
        </w:rPr>
        <w:t xml:space="preserve"> </w:t>
      </w:r>
      <w:r>
        <w:rPr>
          <w:sz w:val="14"/>
        </w:rPr>
        <w:t>written</w:t>
      </w:r>
      <w:r>
        <w:rPr>
          <w:spacing w:val="-4"/>
          <w:sz w:val="14"/>
        </w:rPr>
        <w:t xml:space="preserve"> </w:t>
      </w:r>
      <w:r>
        <w:rPr>
          <w:sz w:val="14"/>
        </w:rPr>
        <w:t>notice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approval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applicant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-3"/>
          <w:sz w:val="14"/>
        </w:rPr>
        <w:t xml:space="preserve"> </w:t>
      </w:r>
      <w:r>
        <w:rPr>
          <w:sz w:val="14"/>
        </w:rPr>
        <w:t>financial</w:t>
      </w:r>
      <w:r>
        <w:rPr>
          <w:spacing w:val="-5"/>
          <w:sz w:val="14"/>
        </w:rPr>
        <w:t xml:space="preserve"> </w:t>
      </w:r>
      <w:r>
        <w:rPr>
          <w:sz w:val="14"/>
        </w:rPr>
        <w:t>sector</w:t>
      </w:r>
      <w:r>
        <w:rPr>
          <w:spacing w:val="-3"/>
          <w:sz w:val="14"/>
        </w:rPr>
        <w:t xml:space="preserve"> </w:t>
      </w:r>
      <w:r>
        <w:rPr>
          <w:sz w:val="14"/>
        </w:rPr>
        <w:t>company</w:t>
      </w:r>
      <w:r>
        <w:rPr>
          <w:spacing w:val="-3"/>
          <w:sz w:val="14"/>
        </w:rPr>
        <w:t xml:space="preserve"> </w:t>
      </w:r>
      <w:r>
        <w:rPr>
          <w:sz w:val="14"/>
        </w:rPr>
        <w:t>concerned and this instrument will be registered on the Federal Register of Legislation as a notifiable</w:t>
      </w:r>
      <w:r>
        <w:rPr>
          <w:spacing w:val="1"/>
          <w:sz w:val="14"/>
        </w:rPr>
        <w:t xml:space="preserve"> </w:t>
      </w:r>
      <w:r>
        <w:rPr>
          <w:sz w:val="14"/>
        </w:rPr>
        <w:t>instrument.</w:t>
      </w:r>
    </w:p>
    <w:p w14:paraId="77BF0936" w14:textId="77777777" w:rsidR="00BB015C" w:rsidRDefault="00BB015C">
      <w:pPr>
        <w:pStyle w:val="BodyText"/>
        <w:spacing w:before="11"/>
        <w:rPr>
          <w:sz w:val="13"/>
        </w:rPr>
      </w:pPr>
    </w:p>
    <w:p w14:paraId="77BF0937" w14:textId="77777777" w:rsidR="00BB015C" w:rsidRDefault="00DF57F4">
      <w:pPr>
        <w:ind w:left="140" w:right="140"/>
        <w:jc w:val="both"/>
        <w:rPr>
          <w:sz w:val="14"/>
        </w:rPr>
      </w:pPr>
      <w:r>
        <w:rPr>
          <w:i/>
          <w:sz w:val="14"/>
        </w:rPr>
        <w:t>Note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-6"/>
          <w:sz w:val="14"/>
        </w:rPr>
        <w:t xml:space="preserve"> </w:t>
      </w:r>
      <w:r>
        <w:rPr>
          <w:sz w:val="14"/>
        </w:rPr>
        <w:t>Section</w:t>
      </w:r>
      <w:r>
        <w:rPr>
          <w:spacing w:val="-6"/>
          <w:sz w:val="14"/>
        </w:rPr>
        <w:t xml:space="preserve"> </w:t>
      </w:r>
      <w:r>
        <w:rPr>
          <w:sz w:val="14"/>
        </w:rPr>
        <w:t>19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Act</w:t>
      </w:r>
      <w:r>
        <w:rPr>
          <w:spacing w:val="-6"/>
          <w:sz w:val="14"/>
        </w:rPr>
        <w:t xml:space="preserve"> </w:t>
      </w:r>
      <w:r>
        <w:rPr>
          <w:sz w:val="14"/>
        </w:rPr>
        <w:t>provides</w:t>
      </w:r>
      <w:r>
        <w:rPr>
          <w:spacing w:val="-5"/>
          <w:sz w:val="14"/>
        </w:rPr>
        <w:t xml:space="preserve"> </w:t>
      </w:r>
      <w:r>
        <w:rPr>
          <w:sz w:val="14"/>
        </w:rPr>
        <w:t>for</w:t>
      </w:r>
      <w:r>
        <w:rPr>
          <w:spacing w:val="-6"/>
          <w:sz w:val="14"/>
        </w:rPr>
        <w:t xml:space="preserve"> </w:t>
      </w:r>
      <w:r>
        <w:rPr>
          <w:sz w:val="14"/>
        </w:rPr>
        <w:t>flow-on</w:t>
      </w:r>
      <w:r>
        <w:rPr>
          <w:spacing w:val="-6"/>
          <w:sz w:val="14"/>
        </w:rPr>
        <w:t xml:space="preserve"> </w:t>
      </w:r>
      <w:r>
        <w:rPr>
          <w:sz w:val="14"/>
        </w:rPr>
        <w:t>approvals.</w:t>
      </w:r>
      <w:r>
        <w:rPr>
          <w:spacing w:val="-5"/>
          <w:sz w:val="14"/>
        </w:rPr>
        <w:t xml:space="preserve"> </w:t>
      </w:r>
      <w:r>
        <w:rPr>
          <w:sz w:val="14"/>
        </w:rPr>
        <w:t>If</w:t>
      </w:r>
      <w:r>
        <w:rPr>
          <w:spacing w:val="-5"/>
          <w:sz w:val="14"/>
        </w:rPr>
        <w:t xml:space="preserve"> </w:t>
      </w:r>
      <w:r>
        <w:rPr>
          <w:sz w:val="14"/>
        </w:rPr>
        <w:t>an</w:t>
      </w:r>
      <w:r>
        <w:rPr>
          <w:spacing w:val="-6"/>
          <w:sz w:val="14"/>
        </w:rPr>
        <w:t xml:space="preserve"> </w:t>
      </w:r>
      <w:r>
        <w:rPr>
          <w:sz w:val="14"/>
        </w:rPr>
        <w:t>approval</w:t>
      </w:r>
      <w:r>
        <w:rPr>
          <w:spacing w:val="-3"/>
          <w:sz w:val="14"/>
        </w:rPr>
        <w:t xml:space="preserve"> </w:t>
      </w:r>
      <w:r>
        <w:rPr>
          <w:sz w:val="14"/>
        </w:rPr>
        <w:t>has</w:t>
      </w:r>
      <w:r>
        <w:rPr>
          <w:spacing w:val="-3"/>
          <w:sz w:val="14"/>
        </w:rPr>
        <w:t xml:space="preserve"> </w:t>
      </w:r>
      <w:r>
        <w:rPr>
          <w:sz w:val="14"/>
        </w:rPr>
        <w:t>been</w:t>
      </w:r>
      <w:r>
        <w:rPr>
          <w:spacing w:val="-6"/>
          <w:sz w:val="14"/>
        </w:rPr>
        <w:t xml:space="preserve"> </w:t>
      </w:r>
      <w:r>
        <w:rPr>
          <w:sz w:val="14"/>
        </w:rPr>
        <w:t>granted</w:t>
      </w:r>
      <w:r>
        <w:rPr>
          <w:spacing w:val="-6"/>
          <w:sz w:val="14"/>
        </w:rPr>
        <w:t xml:space="preserve"> </w:t>
      </w:r>
      <w:r>
        <w:rPr>
          <w:sz w:val="14"/>
        </w:rPr>
        <w:t>for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holding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stake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financial</w:t>
      </w:r>
      <w:r>
        <w:rPr>
          <w:spacing w:val="-5"/>
          <w:sz w:val="14"/>
        </w:rPr>
        <w:t xml:space="preserve"> </w:t>
      </w:r>
      <w:r>
        <w:rPr>
          <w:sz w:val="14"/>
        </w:rPr>
        <w:t>sector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company and the financial sector company is a holding company for an </w:t>
      </w:r>
      <w:proofErr w:type="spellStart"/>
      <w:r>
        <w:rPr>
          <w:sz w:val="14"/>
        </w:rPr>
        <w:t>authorised</w:t>
      </w:r>
      <w:proofErr w:type="spellEnd"/>
      <w:r>
        <w:rPr>
          <w:sz w:val="14"/>
        </w:rPr>
        <w:t xml:space="preserve"> deposit-taking institution or an </w:t>
      </w:r>
      <w:proofErr w:type="spellStart"/>
      <w:r>
        <w:rPr>
          <w:sz w:val="14"/>
        </w:rPr>
        <w:t>authorised</w:t>
      </w:r>
      <w:proofErr w:type="spellEnd"/>
      <w:r>
        <w:rPr>
          <w:sz w:val="14"/>
        </w:rPr>
        <w:t xml:space="preserve"> insurance company, then an approval</w:t>
      </w:r>
      <w:r>
        <w:rPr>
          <w:spacing w:val="-10"/>
          <w:sz w:val="14"/>
        </w:rPr>
        <w:t xml:space="preserve"> </w:t>
      </w:r>
      <w:r>
        <w:rPr>
          <w:sz w:val="14"/>
        </w:rPr>
        <w:t>is</w:t>
      </w:r>
      <w:r>
        <w:rPr>
          <w:spacing w:val="-8"/>
          <w:sz w:val="14"/>
        </w:rPr>
        <w:t xml:space="preserve"> </w:t>
      </w:r>
      <w:r>
        <w:rPr>
          <w:sz w:val="14"/>
        </w:rPr>
        <w:t>taken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9"/>
          <w:sz w:val="14"/>
        </w:rPr>
        <w:t xml:space="preserve"> </w:t>
      </w:r>
      <w:r>
        <w:rPr>
          <w:sz w:val="14"/>
        </w:rPr>
        <w:t>exist</w:t>
      </w:r>
      <w:r>
        <w:rPr>
          <w:spacing w:val="-8"/>
          <w:sz w:val="14"/>
        </w:rPr>
        <w:t xml:space="preserve"> </w:t>
      </w:r>
      <w:r>
        <w:rPr>
          <w:sz w:val="14"/>
        </w:rPr>
        <w:t>for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holding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stake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equal</w:t>
      </w:r>
      <w:r>
        <w:rPr>
          <w:spacing w:val="-7"/>
          <w:sz w:val="14"/>
        </w:rPr>
        <w:t xml:space="preserve"> </w:t>
      </w:r>
      <w:r>
        <w:rPr>
          <w:sz w:val="14"/>
        </w:rPr>
        <w:t>value</w:t>
      </w:r>
      <w:r>
        <w:rPr>
          <w:spacing w:val="-11"/>
          <w:sz w:val="14"/>
        </w:rPr>
        <w:t xml:space="preserve"> </w:t>
      </w:r>
      <w:r>
        <w:rPr>
          <w:sz w:val="14"/>
        </w:rPr>
        <w:t>in</w:t>
      </w:r>
      <w:r>
        <w:rPr>
          <w:spacing w:val="-11"/>
          <w:sz w:val="14"/>
        </w:rPr>
        <w:t xml:space="preserve"> </w:t>
      </w:r>
      <w:r>
        <w:rPr>
          <w:sz w:val="14"/>
        </w:rPr>
        <w:t>each</w:t>
      </w:r>
      <w:r>
        <w:rPr>
          <w:spacing w:val="-8"/>
          <w:sz w:val="14"/>
        </w:rPr>
        <w:t xml:space="preserve"> </w:t>
      </w:r>
      <w:r>
        <w:rPr>
          <w:sz w:val="14"/>
        </w:rPr>
        <w:t>financial</w:t>
      </w:r>
      <w:r>
        <w:rPr>
          <w:spacing w:val="-10"/>
          <w:sz w:val="14"/>
        </w:rPr>
        <w:t xml:space="preserve"> </w:t>
      </w:r>
      <w:r>
        <w:rPr>
          <w:sz w:val="14"/>
        </w:rPr>
        <w:t>sector</w:t>
      </w:r>
      <w:r>
        <w:rPr>
          <w:spacing w:val="-11"/>
          <w:sz w:val="14"/>
        </w:rPr>
        <w:t xml:space="preserve"> </w:t>
      </w:r>
      <w:r>
        <w:rPr>
          <w:sz w:val="14"/>
        </w:rPr>
        <w:t>company</w:t>
      </w:r>
      <w:r>
        <w:rPr>
          <w:spacing w:val="-10"/>
          <w:sz w:val="14"/>
        </w:rPr>
        <w:t xml:space="preserve"> </w:t>
      </w:r>
      <w:r>
        <w:rPr>
          <w:sz w:val="14"/>
        </w:rPr>
        <w:t>that</w:t>
      </w:r>
      <w:r>
        <w:rPr>
          <w:spacing w:val="-9"/>
          <w:sz w:val="14"/>
        </w:rPr>
        <w:t xml:space="preserve"> </w:t>
      </w:r>
      <w:r>
        <w:rPr>
          <w:sz w:val="14"/>
        </w:rPr>
        <w:t>is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100%</w:t>
      </w:r>
      <w:r>
        <w:rPr>
          <w:spacing w:val="-9"/>
          <w:sz w:val="14"/>
        </w:rPr>
        <w:t xml:space="preserve"> </w:t>
      </w:r>
      <w:r>
        <w:rPr>
          <w:sz w:val="14"/>
        </w:rPr>
        <w:t>subsidiary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4"/>
          <w:sz w:val="14"/>
        </w:rPr>
        <w:t xml:space="preserve"> </w:t>
      </w:r>
      <w:r>
        <w:rPr>
          <w:sz w:val="14"/>
        </w:rPr>
        <w:t>holding</w:t>
      </w:r>
      <w:r>
        <w:rPr>
          <w:spacing w:val="-8"/>
          <w:sz w:val="14"/>
        </w:rPr>
        <w:t xml:space="preserve"> </w:t>
      </w:r>
      <w:r>
        <w:rPr>
          <w:sz w:val="14"/>
        </w:rPr>
        <w:t>company.</w:t>
      </w:r>
    </w:p>
    <w:sectPr w:rsidR="00BB015C">
      <w:type w:val="continuous"/>
      <w:pgSz w:w="11910" w:h="16840"/>
      <w:pgMar w:top="10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B13B" w14:textId="77777777" w:rsidR="000F7F96" w:rsidRDefault="000F7F96" w:rsidP="000F7F96">
      <w:r>
        <w:separator/>
      </w:r>
    </w:p>
  </w:endnote>
  <w:endnote w:type="continuationSeparator" w:id="0">
    <w:p w14:paraId="698B75A3" w14:textId="77777777" w:rsidR="000F7F96" w:rsidRDefault="000F7F96" w:rsidP="000F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77D0" w14:textId="77777777" w:rsidR="000F7F96" w:rsidRDefault="000F7F96" w:rsidP="000F7F96">
      <w:r>
        <w:separator/>
      </w:r>
    </w:p>
  </w:footnote>
  <w:footnote w:type="continuationSeparator" w:id="0">
    <w:p w14:paraId="50268423" w14:textId="77777777" w:rsidR="000F7F96" w:rsidRDefault="000F7F96" w:rsidP="000F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B2440"/>
    <w:multiLevelType w:val="hybridMultilevel"/>
    <w:tmpl w:val="C344A2B8"/>
    <w:lvl w:ilvl="0" w:tplc="F3C2EE94">
      <w:start w:val="1"/>
      <w:numFmt w:val="upperLetter"/>
      <w:lvlText w:val="%1."/>
      <w:lvlJc w:val="left"/>
      <w:pPr>
        <w:ind w:left="706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28E66438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en-US"/>
      </w:rPr>
    </w:lvl>
    <w:lvl w:ilvl="2" w:tplc="0CE87C64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en-US"/>
      </w:rPr>
    </w:lvl>
    <w:lvl w:ilvl="3" w:tplc="9C90B218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en-US"/>
      </w:rPr>
    </w:lvl>
    <w:lvl w:ilvl="4" w:tplc="F5AEDE0C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en-US"/>
      </w:rPr>
    </w:lvl>
    <w:lvl w:ilvl="5" w:tplc="F990D654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en-US"/>
      </w:rPr>
    </w:lvl>
    <w:lvl w:ilvl="6" w:tplc="D07CE09E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en-US"/>
      </w:rPr>
    </w:lvl>
    <w:lvl w:ilvl="7" w:tplc="A60A6306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en-US"/>
      </w:rPr>
    </w:lvl>
    <w:lvl w:ilvl="8" w:tplc="55AAC314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en-US"/>
      </w:rPr>
    </w:lvl>
  </w:abstractNum>
  <w:num w:numId="1" w16cid:durableId="9351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5C"/>
    <w:rsid w:val="000F7F96"/>
    <w:rsid w:val="00125615"/>
    <w:rsid w:val="00810A1E"/>
    <w:rsid w:val="00B47B57"/>
    <w:rsid w:val="00BB015C"/>
    <w:rsid w:val="00D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F0917"/>
  <w15:docId w15:val="{B54EC836-550B-469E-964F-AD3AD6F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6" w:right="13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TaxCatchAll xmlns="92a8a7e8-49a1-4017-acf0-0edc7cce208b">
      <Value>1</Value>
    </TaxCatchAll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Props1.xml><?xml version="1.0" encoding="utf-8"?>
<ds:datastoreItem xmlns:ds="http://schemas.openxmlformats.org/officeDocument/2006/customXml" ds:itemID="{CAB84BC6-8A33-4B32-A083-A0CEF24B8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BC22E-64A5-4958-A4F1-927A68E4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AC36A-559F-45C1-B934-AEBCB6667278}">
  <ds:schemaRefs>
    <ds:schemaRef ds:uri="http://schemas.microsoft.com/office/2006/metadata/properties"/>
    <ds:schemaRef ds:uri="http://schemas.microsoft.com/office/infopath/2007/PartnerControls"/>
    <ds:schemaRef ds:uri="92a8a7e8-49a1-4017-acf0-0edc7cce20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1752</Characters>
  <Application>Microsoft Office Word</Application>
  <DocSecurity>0</DocSecurity>
  <Lines>47</Lines>
  <Paragraphs>20</Paragraphs>
  <ScaleCrop>false</ScaleCrop>
  <Company>APRA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[SEC=OFFICIAL]</cp:keywords>
  <cp:lastModifiedBy>Toni Michalis</cp:lastModifiedBy>
  <cp:revision>5</cp:revision>
  <dcterms:created xsi:type="dcterms:W3CDTF">2025-06-12T04:09:00Z</dcterms:created>
  <dcterms:modified xsi:type="dcterms:W3CDTF">2025-06-12T04:11:00Z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2025-06-12T00:00:00Z</vt:filetime>
  </property>
  <property fmtid="{D5CDD505-2E9C-101B-9397-08002B2CF9AE}" pid="4" name="ContentTypeId">
    <vt:lpwstr>0x01010080D163DB4DEE504FAB457909715FEC45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v=2022.1;a=SHA256;h=333E7433CBAA96010F07F66A73CC308A53F420C839B1802276BABA296428ABDB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2025-06-12T04:10:52Z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E5AAD065570E1B74A9931E9A68F7E7D4</vt:lpwstr>
  </property>
  <property fmtid="{D5CDD505-2E9C-101B-9397-08002B2CF9AE}" pid="21" name="MSIP_Label_c0129afb-6481-4f92-bc9f-5a4a6346364d_SetDate">
    <vt:lpwstr>2025-06-12T04:10:52Z</vt:lpwstr>
  </property>
  <property fmtid="{D5CDD505-2E9C-101B-9397-08002B2CF9AE}" pid="22" name="MSIP_Label_c0129afb-6481-4f92-bc9f-5a4a6346364d_ActionId">
    <vt:lpwstr>e49435b935c848fd9649538cff5d9265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96EDDE066BD741D9AAC100FC21A8675A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98A2ADBB1EF9879F21C4AC5B4D776049</vt:lpwstr>
  </property>
  <property fmtid="{D5CDD505-2E9C-101B-9397-08002B2CF9AE}" pid="36" name="PM_Hash_SHA1">
    <vt:lpwstr>4D92E323B33F53F2A1472919894756ADA7B9D237</vt:lpwstr>
  </property>
</Properties>
</file>