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79C24" w14:textId="7C3D7137" w:rsidR="00A804F5" w:rsidRDefault="00D555CC" w:rsidP="00A804F5">
      <w:pPr>
        <w:jc w:val="center"/>
        <w:rPr>
          <w:b/>
          <w:u w:val="single"/>
        </w:rPr>
      </w:pPr>
      <w:r>
        <w:rPr>
          <w:b/>
          <w:u w:val="single"/>
        </w:rPr>
        <w:t>EXPLANATORY STATEMENT</w:t>
      </w:r>
    </w:p>
    <w:p w14:paraId="1A1DFF3A" w14:textId="77777777" w:rsidR="00A804F5" w:rsidRDefault="00A804F5" w:rsidP="00A804F5">
      <w:pPr>
        <w:jc w:val="center"/>
        <w:rPr>
          <w:b/>
          <w:u w:val="single"/>
        </w:rPr>
      </w:pPr>
    </w:p>
    <w:p w14:paraId="0BD50800" w14:textId="77777777" w:rsidR="00A804F5" w:rsidRPr="00B827BD" w:rsidRDefault="00B827BD" w:rsidP="00A804F5">
      <w:pPr>
        <w:jc w:val="center"/>
      </w:pPr>
      <w:r w:rsidRPr="00B827BD">
        <w:t>Issued by the Authority of the Minister for Foreign Affairs</w:t>
      </w:r>
    </w:p>
    <w:p w14:paraId="06A096C2" w14:textId="77777777" w:rsidR="00A804F5" w:rsidRDefault="00A804F5" w:rsidP="00A804F5">
      <w:pPr>
        <w:jc w:val="center"/>
      </w:pPr>
    </w:p>
    <w:p w14:paraId="59C45123" w14:textId="77777777" w:rsidR="00A804F5" w:rsidRDefault="00A804F5" w:rsidP="00A804F5">
      <w:pPr>
        <w:jc w:val="center"/>
        <w:rPr>
          <w:i/>
        </w:rPr>
      </w:pPr>
      <w:r>
        <w:rPr>
          <w:i/>
        </w:rPr>
        <w:t>Charter of the United Nations Act 1945</w:t>
      </w:r>
    </w:p>
    <w:p w14:paraId="5B69A28D" w14:textId="77777777" w:rsidR="00A804F5" w:rsidRDefault="00A804F5" w:rsidP="00A804F5">
      <w:pPr>
        <w:jc w:val="center"/>
        <w:rPr>
          <w:i/>
        </w:rPr>
      </w:pPr>
    </w:p>
    <w:p w14:paraId="7E8DD835" w14:textId="15054962" w:rsidR="00A804F5" w:rsidRDefault="0039335A" w:rsidP="00A804F5">
      <w:pPr>
        <w:jc w:val="center"/>
        <w:rPr>
          <w:i/>
        </w:rPr>
      </w:pPr>
      <w:r w:rsidRPr="00D51F2A">
        <w:rPr>
          <w:i/>
        </w:rPr>
        <w:t>Charter of the United Nations (Dealing with Assets) Amendment (Haiti) Regulations 2025</w:t>
      </w:r>
    </w:p>
    <w:p w14:paraId="22AC530E" w14:textId="77777777" w:rsidR="00A804F5" w:rsidRDefault="00A804F5" w:rsidP="00A804F5">
      <w:pPr>
        <w:jc w:val="center"/>
        <w:rPr>
          <w:i/>
        </w:rPr>
      </w:pPr>
    </w:p>
    <w:p w14:paraId="5FA68E78" w14:textId="77777777" w:rsidR="00D65370" w:rsidRDefault="00B827BD" w:rsidP="00283004">
      <w:r>
        <w:t xml:space="preserve">The </w:t>
      </w:r>
      <w:r w:rsidRPr="00DA57F5">
        <w:rPr>
          <w:i/>
        </w:rPr>
        <w:t>Charter of the United Nations Act 1945</w:t>
      </w:r>
      <w:r>
        <w:t xml:space="preserve"> (the Act) provides legislative approval for the Charter of the United Nations (the Charter) in Australian law. </w:t>
      </w:r>
    </w:p>
    <w:p w14:paraId="746995F4" w14:textId="77777777" w:rsidR="00D65370" w:rsidRDefault="00D65370" w:rsidP="00283004"/>
    <w:p w14:paraId="47FB05D8" w14:textId="4EBAEED7" w:rsidR="00B827BD" w:rsidRDefault="00B827BD" w:rsidP="00283004">
      <w:r>
        <w:t>Section 6 of the Act</w:t>
      </w:r>
      <w:r w:rsidRPr="00F647DC">
        <w:t xml:space="preserve"> </w:t>
      </w:r>
      <w:r>
        <w:t>provides that the Governor-General may make regulations to give effect to decisions of the United Nations Security Council (UNSC) under Chapter VII of the Charter that Article 25 of the Charter requ</w:t>
      </w:r>
      <w:r w:rsidR="00822ADB">
        <w:t>ires Australia to carry out, inso</w:t>
      </w:r>
      <w:r>
        <w:t>far as those decisions require Australia to apply measures not involving the use of armed force.</w:t>
      </w:r>
    </w:p>
    <w:p w14:paraId="041C0D6F" w14:textId="77777777" w:rsidR="00B827BD" w:rsidRDefault="00B827BD" w:rsidP="00283004"/>
    <w:p w14:paraId="064179BC" w14:textId="16B3E456" w:rsidR="00A92D3D" w:rsidRDefault="00B827BD" w:rsidP="00E30BC7">
      <w:r>
        <w:t xml:space="preserve">The </w:t>
      </w:r>
      <w:r w:rsidR="00CA38A3" w:rsidRPr="0079682A">
        <w:rPr>
          <w:i/>
        </w:rPr>
        <w:t>Charter of the United Nations (Dealing with Assets) Amendment (Haiti) Regulations 2025</w:t>
      </w:r>
      <w:r w:rsidRPr="0079682A">
        <w:rPr>
          <w:i/>
        </w:rPr>
        <w:t xml:space="preserve"> </w:t>
      </w:r>
      <w:r w:rsidR="00283004" w:rsidRPr="0079682A">
        <w:t>(the Amendment Regulation</w:t>
      </w:r>
      <w:r w:rsidRPr="0079682A">
        <w:t>s</w:t>
      </w:r>
      <w:r w:rsidR="00283004" w:rsidRPr="0079682A">
        <w:t xml:space="preserve">) </w:t>
      </w:r>
      <w:r w:rsidR="00AE2905">
        <w:t>amend</w:t>
      </w:r>
      <w:r w:rsidR="00AE2905" w:rsidRPr="0079682A">
        <w:t xml:space="preserve"> </w:t>
      </w:r>
      <w:r w:rsidR="00283004" w:rsidRPr="0079682A">
        <w:t xml:space="preserve">the </w:t>
      </w:r>
      <w:r w:rsidR="000357E0" w:rsidRPr="0079682A">
        <w:rPr>
          <w:i/>
        </w:rPr>
        <w:t>Charter </w:t>
      </w:r>
      <w:r w:rsidR="00283004" w:rsidRPr="0079682A">
        <w:rPr>
          <w:i/>
        </w:rPr>
        <w:t>of the United Nations (</w:t>
      </w:r>
      <w:r w:rsidR="00283004" w:rsidRPr="00C216D1">
        <w:rPr>
          <w:i/>
        </w:rPr>
        <w:t xml:space="preserve">Dealing with Assets) Regulations 2008 </w:t>
      </w:r>
      <w:r w:rsidR="00283004" w:rsidRPr="00C216D1">
        <w:t xml:space="preserve">(the Principal Regulations) in order to bring them into conformity </w:t>
      </w:r>
      <w:r w:rsidR="00A92D3D" w:rsidRPr="00C216D1">
        <w:t>with the decisions of the UNSC as set out in UNSC Resolution 2653 (</w:t>
      </w:r>
      <w:r w:rsidR="00A92D3D" w:rsidRPr="00B00A1E">
        <w:t xml:space="preserve">2022) (UNSCR 2653), </w:t>
      </w:r>
      <w:r w:rsidR="00477BAD" w:rsidRPr="00B00A1E">
        <w:t xml:space="preserve">as extended by subsequent relevant resolutions, </w:t>
      </w:r>
      <w:r w:rsidR="00A92D3D" w:rsidRPr="00B00A1E">
        <w:t>imposin</w:t>
      </w:r>
      <w:r w:rsidR="00A92D3D">
        <w:t>g financial transaction sanctions in relation to Haiti.</w:t>
      </w:r>
    </w:p>
    <w:p w14:paraId="70C8EEE3" w14:textId="77777777" w:rsidR="00B827BD" w:rsidRDefault="00B827BD" w:rsidP="00B827BD"/>
    <w:p w14:paraId="3F607808" w14:textId="07C15ED0" w:rsidR="00822ADB" w:rsidRDefault="00822ADB" w:rsidP="00822ADB">
      <w:r>
        <w:t>The preamble to UNSCR</w:t>
      </w:r>
      <w:r w:rsidR="00A92D3D">
        <w:t xml:space="preserve"> 2653</w:t>
      </w:r>
      <w:r>
        <w:t xml:space="preserve"> note</w:t>
      </w:r>
      <w:r w:rsidR="00A92D3D">
        <w:t>s</w:t>
      </w:r>
      <w:r>
        <w:t xml:space="preserve"> that the </w:t>
      </w:r>
      <w:r w:rsidR="00AA68A1">
        <w:t>UNSC</w:t>
      </w:r>
      <w:r>
        <w:t xml:space="preserve"> was acting under Chapter VII of the Charter. Decisions of the </w:t>
      </w:r>
      <w:r w:rsidR="00AA68A1">
        <w:t>UNSC</w:t>
      </w:r>
      <w:r>
        <w:t xml:space="preserve"> contained in </w:t>
      </w:r>
      <w:r w:rsidR="00A5722E">
        <w:t xml:space="preserve">UNSCR 2653 </w:t>
      </w:r>
      <w:r>
        <w:t>are therefore binding on Australia.</w:t>
      </w:r>
      <w:r w:rsidR="000F6CCB">
        <w:t xml:space="preserve"> </w:t>
      </w:r>
    </w:p>
    <w:p w14:paraId="68E4F690" w14:textId="77777777" w:rsidR="00283004" w:rsidRDefault="00283004" w:rsidP="00283004"/>
    <w:p w14:paraId="32D3D6DE" w14:textId="49E2998E" w:rsidR="00283004" w:rsidRDefault="00E30BC7" w:rsidP="00283004">
      <w:r>
        <w:t>The</w:t>
      </w:r>
      <w:r w:rsidR="00283004">
        <w:t xml:space="preserve"> Principal Regulations implement Australia’s obligations to freeze assets and prevent assets being made available to all persons and entities designated by the UNSC as being subject to such measures.</w:t>
      </w:r>
      <w:r w:rsidR="000F6CCB">
        <w:t xml:space="preserve"> </w:t>
      </w:r>
      <w:r w:rsidR="00283004">
        <w:t>Regulation 4 of the Principal Regulations includes a definition of “Sanctions Regulations” which lists all relevant regulations made under the Act to which the Principal Regulations apply.</w:t>
      </w:r>
      <w:r w:rsidR="000A5C73">
        <w:t xml:space="preserve"> The Principal Regulations define various permissible dealings for the “Sanctions Regulations” listed at regulation 4.</w:t>
      </w:r>
    </w:p>
    <w:p w14:paraId="03E6D35A" w14:textId="77777777" w:rsidR="00283004" w:rsidRDefault="00283004" w:rsidP="00283004"/>
    <w:p w14:paraId="0DC17861" w14:textId="609D2236" w:rsidR="00156206" w:rsidRDefault="00283004" w:rsidP="00243504">
      <w:r>
        <w:t>The Amendment Regulation</w:t>
      </w:r>
      <w:r w:rsidR="00243504">
        <w:t xml:space="preserve">s </w:t>
      </w:r>
      <w:r>
        <w:t>ensure the "Sanctions Regulations" definition in</w:t>
      </w:r>
      <w:r w:rsidR="008253CD">
        <w:t xml:space="preserve"> the Principal Regulations applies</w:t>
      </w:r>
      <w:r>
        <w:t xml:space="preserve"> to the</w:t>
      </w:r>
      <w:r w:rsidRPr="00283004">
        <w:rPr>
          <w:i/>
        </w:rPr>
        <w:t xml:space="preserve"> </w:t>
      </w:r>
      <w:r w:rsidR="00AC512E">
        <w:rPr>
          <w:i/>
        </w:rPr>
        <w:t>Charter of the United Nations (Sanctions</w:t>
      </w:r>
      <w:r w:rsidR="00AC512E">
        <w:t>—</w:t>
      </w:r>
      <w:r w:rsidR="00AC512E">
        <w:rPr>
          <w:i/>
        </w:rPr>
        <w:t>Haiti) Regulations 2025</w:t>
      </w:r>
      <w:r w:rsidR="00B86258">
        <w:t>,</w:t>
      </w:r>
      <w:r w:rsidR="00B86258">
        <w:rPr>
          <w:i/>
        </w:rPr>
        <w:t xml:space="preserve"> </w:t>
      </w:r>
      <w:r w:rsidR="00B86258">
        <w:t xml:space="preserve">by including these regulations in those listed at regulation </w:t>
      </w:r>
      <w:r w:rsidR="00B86258" w:rsidRPr="00FB365D">
        <w:t>4 of the Principal Regulations.</w:t>
      </w:r>
      <w:r w:rsidR="000F6CCB">
        <w:t xml:space="preserve"> </w:t>
      </w:r>
    </w:p>
    <w:p w14:paraId="4FB530BA" w14:textId="77777777" w:rsidR="00CA681A" w:rsidRDefault="00CA681A" w:rsidP="00243504"/>
    <w:p w14:paraId="21403A91" w14:textId="37AEEEB4" w:rsidR="00B65B5D" w:rsidRPr="00B65B5D" w:rsidRDefault="00B86258" w:rsidP="00B65B5D">
      <w:pPr>
        <w:widowControl w:val="0"/>
        <w:autoSpaceDE w:val="0"/>
        <w:autoSpaceDN w:val="0"/>
        <w:adjustRightInd w:val="0"/>
      </w:pPr>
      <w:r>
        <w:rPr>
          <w:rFonts w:ascii="Times" w:hAnsi="Times" w:cs="Times"/>
          <w:noProof/>
          <w:color w:val="000000"/>
          <w:lang w:eastAsia="zh-CN"/>
        </w:rPr>
        <w:t>UNSC r</w:t>
      </w:r>
      <w:r w:rsidR="00B65B5D">
        <w:rPr>
          <w:rFonts w:ascii="Times" w:hAnsi="Times" w:cs="Times"/>
          <w:noProof/>
          <w:color w:val="000000"/>
          <w:lang w:eastAsia="zh-CN"/>
        </w:rPr>
        <w:t xml:space="preserve">esolutions, including those </w:t>
      </w:r>
      <w:r w:rsidR="00E11E2A">
        <w:rPr>
          <w:rFonts w:ascii="Times" w:hAnsi="Times" w:cs="Times"/>
          <w:noProof/>
          <w:color w:val="000000"/>
          <w:lang w:eastAsia="zh-CN"/>
        </w:rPr>
        <w:t>of relevance</w:t>
      </w:r>
      <w:r w:rsidR="00B65B5D">
        <w:rPr>
          <w:rFonts w:ascii="Times" w:hAnsi="Times" w:cs="Times"/>
          <w:noProof/>
          <w:color w:val="000000"/>
          <w:lang w:eastAsia="zh-CN"/>
        </w:rPr>
        <w:t xml:space="preserve"> to the </w:t>
      </w:r>
      <w:r w:rsidR="00552896">
        <w:rPr>
          <w:rFonts w:ascii="Times" w:hAnsi="Times" w:cs="Times"/>
          <w:noProof/>
          <w:color w:val="000000"/>
          <w:lang w:eastAsia="zh-CN"/>
        </w:rPr>
        <w:t xml:space="preserve">Amendment </w:t>
      </w:r>
      <w:r w:rsidR="00B65B5D">
        <w:rPr>
          <w:rFonts w:ascii="Times" w:hAnsi="Times" w:cs="Times"/>
          <w:noProof/>
          <w:color w:val="000000"/>
          <w:lang w:eastAsia="zh-CN"/>
        </w:rPr>
        <w:t xml:space="preserve">Regulations, can be </w:t>
      </w:r>
      <w:r w:rsidR="00B65B5D">
        <w:t>found on the United Nations website.</w:t>
      </w:r>
    </w:p>
    <w:p w14:paraId="61728F75" w14:textId="77777777" w:rsidR="00B65B5D" w:rsidRDefault="00B65B5D" w:rsidP="00B65B5D">
      <w:pPr>
        <w:pStyle w:val="notedraft"/>
        <w:spacing w:before="0"/>
        <w:ind w:left="0" w:firstLine="0"/>
        <w:rPr>
          <w:i w:val="0"/>
        </w:rPr>
      </w:pPr>
    </w:p>
    <w:p w14:paraId="0000BADE" w14:textId="77777777" w:rsidR="005E522F" w:rsidRDefault="005E522F" w:rsidP="005E522F">
      <w:pPr>
        <w:autoSpaceDE w:val="0"/>
        <w:autoSpaceDN w:val="0"/>
        <w:adjustRightInd w:val="0"/>
        <w:spacing w:after="200"/>
      </w:pPr>
      <w:r w:rsidRPr="001A6D7F">
        <w:t xml:space="preserve">No public consultation was undertaken in relation to the </w:t>
      </w:r>
      <w:r>
        <w:rPr>
          <w:rFonts w:ascii="Times" w:hAnsi="Times" w:cs="Times"/>
          <w:noProof/>
          <w:color w:val="000000"/>
          <w:lang w:eastAsia="zh-CN"/>
        </w:rPr>
        <w:t xml:space="preserve">Amendment </w:t>
      </w:r>
      <w:r w:rsidRPr="001A6D7F">
        <w:t>Regulation</w:t>
      </w:r>
      <w:r>
        <w:rPr>
          <w:i/>
        </w:rPr>
        <w:t xml:space="preserve">s </w:t>
      </w:r>
      <w:r w:rsidRPr="0037639B">
        <w:t>under section 17 of the</w:t>
      </w:r>
      <w:r w:rsidRPr="00C0190D">
        <w:rPr>
          <w:i/>
        </w:rPr>
        <w:t xml:space="preserve"> </w:t>
      </w:r>
      <w:r w:rsidRPr="007319EB">
        <w:rPr>
          <w:i/>
        </w:rPr>
        <w:t>Legislation Act 2003</w:t>
      </w:r>
      <w:r>
        <w:t xml:space="preserve"> </w:t>
      </w:r>
      <w:r w:rsidRPr="001A6D7F">
        <w:t xml:space="preserve">because </w:t>
      </w:r>
      <w:r w:rsidRPr="0037639B">
        <w:t>the instrument</w:t>
      </w:r>
      <w:r w:rsidRPr="001A6D7F">
        <w:t xml:space="preserve"> implements Australia’s international legal obligations arising from decisions of the UNSC. The Department of Foreign Affairs and Trade conducts regular outreach to the Australian </w:t>
      </w:r>
      <w:r w:rsidRPr="001A6D7F">
        <w:lastRenderedPageBreak/>
        <w:t>business community to explain Australian sanction laws implementing UNSC sanctions.</w:t>
      </w:r>
      <w:r w:rsidRPr="00C0190D">
        <w:t xml:space="preserve"> </w:t>
      </w:r>
    </w:p>
    <w:p w14:paraId="329EB5A2" w14:textId="6A99F764" w:rsidR="004A2D90" w:rsidRPr="004A2D90" w:rsidRDefault="004A2D90" w:rsidP="004A2D90">
      <w:pPr>
        <w:autoSpaceDE w:val="0"/>
        <w:autoSpaceDN w:val="0"/>
        <w:adjustRightInd w:val="0"/>
        <w:spacing w:after="200"/>
      </w:pPr>
      <w:r>
        <w:t>The Act specifies no conditions that need to be satisfied before the power to make the Amendment Regulations may be exercised.</w:t>
      </w:r>
    </w:p>
    <w:p w14:paraId="14A15A99" w14:textId="7F751C8A" w:rsidR="00B65B5D" w:rsidRPr="00B65B5D" w:rsidRDefault="00B65B5D" w:rsidP="00B65B5D">
      <w:pPr>
        <w:pStyle w:val="notedraft"/>
        <w:spacing w:before="0"/>
        <w:ind w:left="0" w:firstLine="0"/>
        <w:rPr>
          <w:i w:val="0"/>
        </w:rPr>
      </w:pPr>
      <w:r w:rsidRPr="00D0758C">
        <w:rPr>
          <w:i w:val="0"/>
        </w:rPr>
        <w:t xml:space="preserve">The </w:t>
      </w:r>
      <w:r>
        <w:rPr>
          <w:i w:val="0"/>
        </w:rPr>
        <w:t xml:space="preserve">Amendment </w:t>
      </w:r>
      <w:r w:rsidRPr="00D0758C">
        <w:rPr>
          <w:i w:val="0"/>
        </w:rPr>
        <w:t xml:space="preserve">Regulations are a legislative instrument for the purpose of the </w:t>
      </w:r>
      <w:r w:rsidR="001D6D21">
        <w:rPr>
          <w:iCs/>
        </w:rPr>
        <w:t>Legislation</w:t>
      </w:r>
      <w:r w:rsidRPr="00D0758C">
        <w:rPr>
          <w:iCs/>
        </w:rPr>
        <w:t xml:space="preserve"> Act 2003</w:t>
      </w:r>
      <w:r w:rsidRPr="00D0758C">
        <w:rPr>
          <w:i w:val="0"/>
        </w:rPr>
        <w:t xml:space="preserve">. </w:t>
      </w:r>
    </w:p>
    <w:p w14:paraId="73B743D5" w14:textId="77777777" w:rsidR="00147281" w:rsidRPr="00243504" w:rsidRDefault="00147281" w:rsidP="00243504"/>
    <w:p w14:paraId="0B769723" w14:textId="108F692D" w:rsidR="002E2E36" w:rsidRDefault="002E2E36" w:rsidP="002E2E36">
      <w:pPr>
        <w:autoSpaceDE w:val="0"/>
        <w:autoSpaceDN w:val="0"/>
        <w:adjustRightInd w:val="0"/>
        <w:spacing w:after="200"/>
      </w:pPr>
      <w:r>
        <w:t xml:space="preserve">The Amendment </w:t>
      </w:r>
      <w:r w:rsidRPr="00A76CF7">
        <w:t xml:space="preserve">Regulations commence </w:t>
      </w:r>
      <w:r w:rsidR="009403C8">
        <w:t xml:space="preserve">on the day after registration. </w:t>
      </w:r>
    </w:p>
    <w:p w14:paraId="3E21C3B6" w14:textId="77777777" w:rsidR="005A050B" w:rsidRDefault="005A050B" w:rsidP="005A050B">
      <w:pPr>
        <w:tabs>
          <w:tab w:val="left" w:pos="6521"/>
        </w:tabs>
        <w:ind w:right="91"/>
      </w:pPr>
      <w:r w:rsidRPr="005B1E94">
        <w:t xml:space="preserve">Details of the </w:t>
      </w:r>
      <w:r w:rsidR="008253CD">
        <w:t xml:space="preserve">Amendment </w:t>
      </w:r>
      <w:r w:rsidRPr="005B1E94">
        <w:t>Regulation</w:t>
      </w:r>
      <w:r>
        <w:t>s</w:t>
      </w:r>
      <w:r w:rsidRPr="005B1E94">
        <w:t xml:space="preserve"> are set out in </w:t>
      </w:r>
      <w:r w:rsidRPr="005B1E94">
        <w:rPr>
          <w:u w:val="single"/>
        </w:rPr>
        <w:t>Attachment</w:t>
      </w:r>
      <w:r>
        <w:rPr>
          <w:u w:val="single"/>
        </w:rPr>
        <w:t xml:space="preserve"> A</w:t>
      </w:r>
      <w:r w:rsidRPr="005B1E94">
        <w:t>.</w:t>
      </w:r>
    </w:p>
    <w:p w14:paraId="305DF65C" w14:textId="498E68C0" w:rsidR="005A050B" w:rsidRDefault="005A050B" w:rsidP="005A050B">
      <w:pPr>
        <w:spacing w:before="120"/>
      </w:pPr>
      <w:r>
        <w:t xml:space="preserve">The </w:t>
      </w:r>
      <w:r w:rsidR="008253CD">
        <w:t xml:space="preserve">Amendment </w:t>
      </w:r>
      <w:r>
        <w:t xml:space="preserve">Regulations are compatible with the human rights and freedoms recognised or declared in the international instruments listed in section 3 of the </w:t>
      </w:r>
      <w:r>
        <w:rPr>
          <w:i/>
        </w:rPr>
        <w:t>Human Rights (Parliamentary Scrutiny) Act 2011</w:t>
      </w:r>
      <w:r>
        <w:t xml:space="preserve"> as set out in </w:t>
      </w:r>
      <w:r w:rsidRPr="004841B8">
        <w:rPr>
          <w:u w:val="single"/>
        </w:rPr>
        <w:t>Attachment B</w:t>
      </w:r>
      <w:r>
        <w:t xml:space="preserve">. </w:t>
      </w:r>
    </w:p>
    <w:p w14:paraId="77555F0B" w14:textId="77777777" w:rsidR="004B7CEB" w:rsidRDefault="004B7CEB" w:rsidP="005A050B">
      <w:pPr>
        <w:spacing w:before="120"/>
      </w:pPr>
    </w:p>
    <w:p w14:paraId="1FC0E7B6" w14:textId="2FACC513" w:rsidR="005A050B" w:rsidRDefault="005A050B" w:rsidP="00283004"/>
    <w:p w14:paraId="12112CF7" w14:textId="6C01260B" w:rsidR="006167C4" w:rsidRDefault="006167C4" w:rsidP="00283004"/>
    <w:p w14:paraId="4686051D" w14:textId="77777777" w:rsidR="004D274C" w:rsidRDefault="004D274C" w:rsidP="004D274C"/>
    <w:p w14:paraId="1E7EF4C4" w14:textId="77777777" w:rsidR="00104168" w:rsidRDefault="00104168" w:rsidP="00A402EA"/>
    <w:p w14:paraId="0780C4C5" w14:textId="77777777" w:rsidR="00104168" w:rsidRDefault="00104168">
      <w:r>
        <w:br w:type="page"/>
      </w:r>
    </w:p>
    <w:p w14:paraId="72096A91" w14:textId="77777777" w:rsidR="00DE3D9B" w:rsidRDefault="005A050B" w:rsidP="00DE3D9B">
      <w:pPr>
        <w:jc w:val="right"/>
        <w:rPr>
          <w:b/>
          <w:u w:val="single"/>
        </w:rPr>
      </w:pPr>
      <w:r>
        <w:rPr>
          <w:b/>
          <w:u w:val="single"/>
        </w:rPr>
        <w:lastRenderedPageBreak/>
        <w:t>ATTACHMENT A</w:t>
      </w:r>
    </w:p>
    <w:p w14:paraId="6E4A34EF" w14:textId="77777777" w:rsidR="00DE3D9B" w:rsidRDefault="00DE3D9B" w:rsidP="00DE3D9B">
      <w:pPr>
        <w:rPr>
          <w:b/>
          <w:u w:val="single"/>
        </w:rPr>
      </w:pPr>
    </w:p>
    <w:p w14:paraId="2FDDA332" w14:textId="2E4214E1" w:rsidR="00DE3D9B" w:rsidRPr="007B4D32" w:rsidRDefault="00BA454A" w:rsidP="00DE3D9B">
      <w:pPr>
        <w:rPr>
          <w:b/>
          <w:u w:val="single"/>
        </w:rPr>
      </w:pPr>
      <w:r w:rsidRPr="00046445">
        <w:rPr>
          <w:b/>
          <w:u w:val="single"/>
        </w:rPr>
        <w:t xml:space="preserve">Details of </w:t>
      </w:r>
      <w:r w:rsidRPr="00E73A86">
        <w:rPr>
          <w:b/>
          <w:u w:val="single"/>
        </w:rPr>
        <w:t xml:space="preserve">the </w:t>
      </w:r>
      <w:r w:rsidR="00C52FD2" w:rsidRPr="007242CC">
        <w:rPr>
          <w:b/>
          <w:i/>
          <w:u w:val="single"/>
        </w:rPr>
        <w:t>Charter of the United Nations (Dealing with Assets) Amendment (Haiti) Regulations</w:t>
      </w:r>
      <w:r w:rsidR="00C52FD2" w:rsidRPr="007242CC">
        <w:rPr>
          <w:i/>
        </w:rPr>
        <w:t xml:space="preserve"> </w:t>
      </w:r>
      <w:r w:rsidR="007B4D32" w:rsidRPr="007242CC">
        <w:rPr>
          <w:b/>
          <w:i/>
          <w:iCs/>
          <w:u w:val="single"/>
        </w:rPr>
        <w:t>2025</w:t>
      </w:r>
    </w:p>
    <w:p w14:paraId="64CA7E11" w14:textId="77777777" w:rsidR="00046445" w:rsidRDefault="00046445" w:rsidP="00DE3D9B">
      <w:pPr>
        <w:rPr>
          <w:b/>
          <w:i/>
          <w:u w:val="single"/>
        </w:rPr>
      </w:pPr>
    </w:p>
    <w:p w14:paraId="47534843" w14:textId="3F0A6B51" w:rsidR="00DE3D9B" w:rsidRDefault="00DE3D9B" w:rsidP="00DE3D9B">
      <w:pPr>
        <w:rPr>
          <w:u w:val="single"/>
        </w:rPr>
      </w:pPr>
      <w:r>
        <w:rPr>
          <w:u w:val="single"/>
        </w:rPr>
        <w:t>Section 1 – Name</w:t>
      </w:r>
      <w:r w:rsidR="00F0417F">
        <w:rPr>
          <w:u w:val="single"/>
        </w:rPr>
        <w:t xml:space="preserve"> </w:t>
      </w:r>
    </w:p>
    <w:p w14:paraId="6108165E" w14:textId="092B27CC" w:rsidR="00DE3D9B" w:rsidRDefault="00DE3D9B" w:rsidP="00DE3D9B">
      <w:r>
        <w:t xml:space="preserve">Section 1 provides that the name of the </w:t>
      </w:r>
      <w:r w:rsidR="00F62561">
        <w:t xml:space="preserve">instrument </w:t>
      </w:r>
      <w:r w:rsidR="00046445" w:rsidRPr="00DE2D97">
        <w:t>is</w:t>
      </w:r>
      <w:r w:rsidRPr="00DE2D97">
        <w:t xml:space="preserve"> the</w:t>
      </w:r>
      <w:r w:rsidRPr="00DE2D97">
        <w:rPr>
          <w:i/>
        </w:rPr>
        <w:t xml:space="preserve"> </w:t>
      </w:r>
      <w:r w:rsidR="00D755E8" w:rsidRPr="00DE2D97">
        <w:rPr>
          <w:i/>
        </w:rPr>
        <w:t>Charter of the United Nations (Dealing with Assets) Amendment (Haiti) Regulations 2025</w:t>
      </w:r>
      <w:r w:rsidR="00F62561">
        <w:rPr>
          <w:i/>
        </w:rPr>
        <w:t xml:space="preserve"> </w:t>
      </w:r>
      <w:r w:rsidR="00F62561">
        <w:rPr>
          <w:iCs/>
        </w:rPr>
        <w:t>(</w:t>
      </w:r>
      <w:r w:rsidR="00773BAF">
        <w:rPr>
          <w:iCs/>
        </w:rPr>
        <w:t xml:space="preserve">the </w:t>
      </w:r>
      <w:r w:rsidR="00F62561">
        <w:t xml:space="preserve">Amendment </w:t>
      </w:r>
      <w:r w:rsidR="00F62561" w:rsidRPr="00DE2D97">
        <w:t>Regulations</w:t>
      </w:r>
      <w:r w:rsidR="000C616C">
        <w:t>)</w:t>
      </w:r>
      <w:r w:rsidRPr="00DE2D97">
        <w:t>.</w:t>
      </w:r>
    </w:p>
    <w:p w14:paraId="0E4F00CC" w14:textId="77777777" w:rsidR="00DE3D9B" w:rsidRDefault="00DE3D9B" w:rsidP="00DE3D9B"/>
    <w:p w14:paraId="07DE5420" w14:textId="77777777" w:rsidR="00DE3D9B" w:rsidRDefault="00DE3D9B" w:rsidP="00DE3D9B">
      <w:r>
        <w:rPr>
          <w:u w:val="single"/>
        </w:rPr>
        <w:t>Section 2 – Commencement</w:t>
      </w:r>
    </w:p>
    <w:p w14:paraId="774E0412" w14:textId="37DB8A6E" w:rsidR="00DE3D9B" w:rsidRPr="008B287D" w:rsidRDefault="00DE3D9B" w:rsidP="00DE3D9B">
      <w:r>
        <w:t xml:space="preserve">Section 2 provides </w:t>
      </w:r>
      <w:r w:rsidRPr="008B287D">
        <w:t xml:space="preserve">that the </w:t>
      </w:r>
      <w:r w:rsidR="00046445" w:rsidRPr="008B287D">
        <w:t xml:space="preserve">Amendment </w:t>
      </w:r>
      <w:r w:rsidRPr="008B287D">
        <w:t>Regulation</w:t>
      </w:r>
      <w:r w:rsidR="00046445" w:rsidRPr="008B287D">
        <w:t xml:space="preserve">s commence the day </w:t>
      </w:r>
      <w:r w:rsidR="00C327DC" w:rsidRPr="008B287D">
        <w:t xml:space="preserve">after </w:t>
      </w:r>
      <w:r w:rsidR="00046445" w:rsidRPr="008B287D">
        <w:t>they are registered.</w:t>
      </w:r>
    </w:p>
    <w:p w14:paraId="06FF2C71" w14:textId="77777777" w:rsidR="00DE3D9B" w:rsidRPr="008B287D" w:rsidRDefault="00DE3D9B" w:rsidP="00DE3D9B"/>
    <w:p w14:paraId="06588EF2" w14:textId="77777777" w:rsidR="00DE3D9B" w:rsidRDefault="00DE3D9B" w:rsidP="00DE3D9B">
      <w:r>
        <w:rPr>
          <w:u w:val="single"/>
        </w:rPr>
        <w:t>Section 3 – Authority</w:t>
      </w:r>
    </w:p>
    <w:p w14:paraId="0E708D9E" w14:textId="77777777" w:rsidR="00DE3D9B" w:rsidRDefault="00DE3D9B" w:rsidP="00DE3D9B">
      <w:r>
        <w:t xml:space="preserve">Section 3 provides that the </w:t>
      </w:r>
      <w:r w:rsidR="00046445">
        <w:t xml:space="preserve">Amendment </w:t>
      </w:r>
      <w:r>
        <w:t>Regulation</w:t>
      </w:r>
      <w:r w:rsidR="00046445">
        <w:t>s</w:t>
      </w:r>
      <w:r>
        <w:t xml:space="preserve"> </w:t>
      </w:r>
      <w:r w:rsidR="00046445">
        <w:t>are</w:t>
      </w:r>
      <w:r>
        <w:t xml:space="preserve"> made under the </w:t>
      </w:r>
      <w:r>
        <w:rPr>
          <w:i/>
        </w:rPr>
        <w:t>Charter of the United Nations Act 1945</w:t>
      </w:r>
      <w:r>
        <w:t>.</w:t>
      </w:r>
    </w:p>
    <w:p w14:paraId="0EF5A69E" w14:textId="77777777" w:rsidR="00DE3D9B" w:rsidRDefault="00DE3D9B" w:rsidP="00DE3D9B"/>
    <w:p w14:paraId="0105A211" w14:textId="77777777" w:rsidR="00DE3D9B" w:rsidRDefault="00DE3D9B" w:rsidP="00DE3D9B">
      <w:pPr>
        <w:rPr>
          <w:u w:val="single"/>
        </w:rPr>
      </w:pPr>
      <w:r>
        <w:rPr>
          <w:u w:val="single"/>
        </w:rPr>
        <w:t>Section 4 – Schedules</w:t>
      </w:r>
    </w:p>
    <w:p w14:paraId="50270F29" w14:textId="77777777" w:rsidR="00DE3D9B" w:rsidRDefault="00DE3D9B" w:rsidP="00DE3D9B">
      <w:r>
        <w:t xml:space="preserve">Section 4 provides that </w:t>
      </w:r>
      <w:r w:rsidR="00EA7FAF" w:rsidRPr="00F6239F">
        <w:t xml:space="preserve">each instrument that is specified in a Schedule to the </w:t>
      </w:r>
      <w:r w:rsidR="00046445">
        <w:t>Amendment Regulations</w:t>
      </w:r>
      <w:r w:rsidR="00EA7FAF" w:rsidRPr="00F6239F">
        <w:t xml:space="preserve"> is amended or repealed as set out in the Schedule.</w:t>
      </w:r>
    </w:p>
    <w:p w14:paraId="057D7F73" w14:textId="77777777" w:rsidR="00EA7FAF" w:rsidRPr="00CE0E4F" w:rsidRDefault="00EA7FAF" w:rsidP="00DE3D9B"/>
    <w:p w14:paraId="3A8F1EC4" w14:textId="77777777" w:rsidR="00EA7FAF" w:rsidRPr="00CE0E4F" w:rsidRDefault="00EA7FAF" w:rsidP="00EA7FAF">
      <w:pPr>
        <w:rPr>
          <w:u w:val="single"/>
        </w:rPr>
      </w:pPr>
      <w:r w:rsidRPr="00CE0E4F">
        <w:rPr>
          <w:u w:val="single"/>
        </w:rPr>
        <w:t xml:space="preserve">Schedule 1 – Amendments </w:t>
      </w:r>
    </w:p>
    <w:p w14:paraId="1F9C23B1" w14:textId="77777777" w:rsidR="00EA7FAF" w:rsidRPr="00CE0E4F" w:rsidRDefault="00EA7FAF" w:rsidP="00EA7FAF">
      <w:pPr>
        <w:rPr>
          <w:u w:val="single"/>
        </w:rPr>
      </w:pPr>
    </w:p>
    <w:p w14:paraId="4411F2A6" w14:textId="77777777" w:rsidR="00EA7FAF" w:rsidRPr="002A42EC" w:rsidRDefault="00EA7FAF" w:rsidP="00EA7FAF">
      <w:r w:rsidRPr="002A42EC">
        <w:rPr>
          <w:i/>
          <w:iCs/>
        </w:rPr>
        <w:t>Charter of the United Nations (Dealing with Assets) Regulations 2008</w:t>
      </w:r>
    </w:p>
    <w:p w14:paraId="7F96B0BA" w14:textId="77777777" w:rsidR="00EA7FAF" w:rsidRPr="00CE0E4F" w:rsidRDefault="00EA7FAF" w:rsidP="00EA7FAF"/>
    <w:p w14:paraId="491B3CB5" w14:textId="073B4857" w:rsidR="00EA7FAF" w:rsidRPr="00583075" w:rsidRDefault="00657F3B" w:rsidP="00EA7FAF">
      <w:pPr>
        <w:rPr>
          <w:u w:val="single"/>
        </w:rPr>
      </w:pPr>
      <w:r w:rsidRPr="00A8519C">
        <w:rPr>
          <w:u w:val="single"/>
        </w:rPr>
        <w:t xml:space="preserve">Item </w:t>
      </w:r>
      <w:r w:rsidRPr="0001377B">
        <w:rPr>
          <w:u w:val="single"/>
        </w:rPr>
        <w:t xml:space="preserve">1 </w:t>
      </w:r>
      <w:r w:rsidR="00836DDA" w:rsidRPr="0001377B">
        <w:rPr>
          <w:u w:val="single"/>
        </w:rPr>
        <w:t>–</w:t>
      </w:r>
      <w:r w:rsidRPr="0001377B">
        <w:rPr>
          <w:u w:val="single"/>
        </w:rPr>
        <w:t xml:space="preserve"> </w:t>
      </w:r>
      <w:r w:rsidR="00E63441" w:rsidRPr="0001377B">
        <w:rPr>
          <w:u w:val="single"/>
        </w:rPr>
        <w:t>Regulation</w:t>
      </w:r>
      <w:r w:rsidR="00EA7FAF" w:rsidRPr="0001377B">
        <w:rPr>
          <w:u w:val="single"/>
        </w:rPr>
        <w:t xml:space="preserve"> 4 (</w:t>
      </w:r>
      <w:r w:rsidR="00FB1285" w:rsidRPr="0001377B">
        <w:rPr>
          <w:u w:val="single"/>
        </w:rPr>
        <w:t xml:space="preserve">after </w:t>
      </w:r>
      <w:r w:rsidR="00046445" w:rsidRPr="0001377B">
        <w:rPr>
          <w:u w:val="single"/>
        </w:rPr>
        <w:t>paragraph (</w:t>
      </w:r>
      <w:r w:rsidR="00FB1285" w:rsidRPr="0001377B">
        <w:rPr>
          <w:u w:val="single"/>
        </w:rPr>
        <w:t>d</w:t>
      </w:r>
      <w:r w:rsidR="00046445" w:rsidRPr="0001377B">
        <w:rPr>
          <w:u w:val="single"/>
        </w:rPr>
        <w:t xml:space="preserve">) of the definition of </w:t>
      </w:r>
      <w:r w:rsidRPr="007658C4">
        <w:rPr>
          <w:i/>
          <w:iCs/>
          <w:u w:val="single"/>
        </w:rPr>
        <w:t>Sanctions Regulations</w:t>
      </w:r>
      <w:r w:rsidRPr="00A8519C">
        <w:rPr>
          <w:u w:val="single"/>
        </w:rPr>
        <w:t>)</w:t>
      </w:r>
    </w:p>
    <w:p w14:paraId="2E0A6B98" w14:textId="45BB10AB" w:rsidR="00DB04D7" w:rsidRPr="00CE0E4F" w:rsidRDefault="00657F3B" w:rsidP="00DB04D7">
      <w:r w:rsidRPr="00CE0E4F">
        <w:t>Item</w:t>
      </w:r>
      <w:r w:rsidR="004B70E0">
        <w:t xml:space="preserve"> </w:t>
      </w:r>
      <w:r w:rsidRPr="00CE0E4F">
        <w:t xml:space="preserve">1 </w:t>
      </w:r>
      <w:r w:rsidR="00105A6E" w:rsidRPr="00CE0E4F">
        <w:t>inserts</w:t>
      </w:r>
      <w:r w:rsidRPr="00CE0E4F">
        <w:t xml:space="preserve"> paragraph (</w:t>
      </w:r>
      <w:r w:rsidR="007E5FCE" w:rsidRPr="00CE0E4F">
        <w:t>e</w:t>
      </w:r>
      <w:r w:rsidRPr="00CE0E4F">
        <w:t xml:space="preserve">) </w:t>
      </w:r>
      <w:r w:rsidR="00105A6E" w:rsidRPr="00CE0E4F">
        <w:t>in</w:t>
      </w:r>
      <w:r w:rsidRPr="00CE0E4F">
        <w:t xml:space="preserve"> the definition of “Sanctions Regulations”</w:t>
      </w:r>
      <w:r w:rsidR="00E072A0">
        <w:t xml:space="preserve"> in </w:t>
      </w:r>
      <w:r w:rsidR="00E63441">
        <w:t>regulation</w:t>
      </w:r>
      <w:r w:rsidR="000A7DC4">
        <w:t> </w:t>
      </w:r>
      <w:r w:rsidR="00E072A0">
        <w:t xml:space="preserve">4 of the </w:t>
      </w:r>
      <w:r w:rsidR="00E072A0" w:rsidRPr="00E072A0">
        <w:rPr>
          <w:i/>
          <w:iCs/>
        </w:rPr>
        <w:t>Charter of the United Nations (Dealing with Assets) Regulations 2008</w:t>
      </w:r>
      <w:r w:rsidR="00DB04D7" w:rsidRPr="00CE0E4F">
        <w:t xml:space="preserve">, adding a reference to the </w:t>
      </w:r>
      <w:r w:rsidR="00DB04D7" w:rsidRPr="00CE0E4F">
        <w:rPr>
          <w:i/>
        </w:rPr>
        <w:t>Charter of the United Nations (Sanctions</w:t>
      </w:r>
      <w:r w:rsidR="00DB04D7" w:rsidRPr="00CE0E4F">
        <w:t>—</w:t>
      </w:r>
      <w:r w:rsidR="00DB04D7" w:rsidRPr="00CE0E4F">
        <w:rPr>
          <w:i/>
        </w:rPr>
        <w:t>Haiti) Regulations 2025</w:t>
      </w:r>
      <w:r w:rsidR="00DB04D7" w:rsidRPr="00CE0E4F">
        <w:t>.</w:t>
      </w:r>
    </w:p>
    <w:p w14:paraId="34F4BA21" w14:textId="0B3F1D6E" w:rsidR="00657F3B" w:rsidRPr="00CE0E4F" w:rsidRDefault="00657F3B" w:rsidP="00657F3B"/>
    <w:p w14:paraId="2B955DAE" w14:textId="77777777" w:rsidR="00657F3B" w:rsidRPr="00E456E2" w:rsidRDefault="00657F3B" w:rsidP="00657F3B">
      <w:pPr>
        <w:rPr>
          <w:color w:val="FF0000"/>
        </w:rPr>
      </w:pPr>
    </w:p>
    <w:p w14:paraId="374C46F1" w14:textId="75FAE978" w:rsidR="005A050B" w:rsidRPr="00B44DAB" w:rsidRDefault="005A050B">
      <w:r w:rsidRPr="00B44DAB">
        <w:br w:type="page"/>
      </w:r>
    </w:p>
    <w:p w14:paraId="044A616C" w14:textId="77777777" w:rsidR="005A050B" w:rsidRDefault="005A050B" w:rsidP="005A050B">
      <w:pPr>
        <w:jc w:val="right"/>
        <w:rPr>
          <w:b/>
          <w:u w:val="single"/>
        </w:rPr>
      </w:pPr>
      <w:r>
        <w:rPr>
          <w:b/>
          <w:u w:val="single"/>
        </w:rPr>
        <w:lastRenderedPageBreak/>
        <w:t>ATTACHMENT B</w:t>
      </w:r>
    </w:p>
    <w:p w14:paraId="348825DB" w14:textId="77777777" w:rsidR="005A050B" w:rsidRDefault="005A050B" w:rsidP="005A050B">
      <w:pPr>
        <w:autoSpaceDE w:val="0"/>
        <w:autoSpaceDN w:val="0"/>
        <w:adjustRightInd w:val="0"/>
        <w:spacing w:line="240" w:lineRule="atLeast"/>
        <w:jc w:val="center"/>
        <w:rPr>
          <w:b/>
          <w:color w:val="000000"/>
        </w:rPr>
      </w:pPr>
    </w:p>
    <w:p w14:paraId="6621102F" w14:textId="218B3252" w:rsidR="00B71212" w:rsidRDefault="00B71212" w:rsidP="00B71212">
      <w:pPr>
        <w:jc w:val="center"/>
        <w:rPr>
          <w:b/>
          <w:bCs/>
          <w:u w:val="single"/>
          <w:lang w:eastAsia="en-AU"/>
        </w:rPr>
      </w:pPr>
      <w:r w:rsidRPr="005E7157">
        <w:rPr>
          <w:b/>
          <w:bCs/>
          <w:u w:val="single"/>
          <w:lang w:eastAsia="en-AU"/>
        </w:rPr>
        <w:t>Statement of Compatibility with Human Rights</w:t>
      </w:r>
    </w:p>
    <w:p w14:paraId="1D76BBCF" w14:textId="77777777" w:rsidR="00B71212" w:rsidRPr="005E7157" w:rsidRDefault="00B71212" w:rsidP="00B71212">
      <w:pPr>
        <w:widowControl w:val="0"/>
        <w:jc w:val="center"/>
        <w:rPr>
          <w:noProof/>
          <w:color w:val="000000"/>
          <w:lang w:eastAsia="en-AU"/>
        </w:rPr>
      </w:pPr>
    </w:p>
    <w:p w14:paraId="6F0FBAC7" w14:textId="77777777" w:rsidR="00B71212" w:rsidRPr="00AF6765" w:rsidRDefault="00B71212" w:rsidP="00B71212">
      <w:pPr>
        <w:widowControl w:val="0"/>
        <w:jc w:val="center"/>
        <w:rPr>
          <w:noProof/>
          <w:color w:val="000000"/>
          <w:lang w:eastAsia="en-AU"/>
        </w:rPr>
      </w:pPr>
      <w:r w:rsidRPr="005E7157">
        <w:rPr>
          <w:noProof/>
          <w:color w:val="000000"/>
          <w:lang w:eastAsia="en-AU"/>
        </w:rPr>
        <w:t xml:space="preserve">Prepared in accordance with Part 3 of the </w:t>
      </w:r>
      <w:r w:rsidRPr="005E7157">
        <w:rPr>
          <w:i/>
          <w:noProof/>
          <w:color w:val="000000"/>
          <w:lang w:eastAsia="en-AU"/>
        </w:rPr>
        <w:t xml:space="preserve">Human Rights (Parliamentary Scrutiny) Act </w:t>
      </w:r>
      <w:r w:rsidRPr="00AF6765">
        <w:rPr>
          <w:i/>
          <w:noProof/>
          <w:color w:val="000000"/>
          <w:lang w:eastAsia="en-AU"/>
        </w:rPr>
        <w:t>2011</w:t>
      </w:r>
    </w:p>
    <w:p w14:paraId="497D688B" w14:textId="77777777" w:rsidR="00B71212" w:rsidRPr="00AF6765" w:rsidRDefault="00B71212" w:rsidP="00B71212">
      <w:pPr>
        <w:widowControl w:val="0"/>
        <w:jc w:val="center"/>
        <w:rPr>
          <w:bCs/>
          <w:noProof/>
          <w:color w:val="000000"/>
          <w:lang w:eastAsia="zh-CN"/>
        </w:rPr>
      </w:pPr>
    </w:p>
    <w:p w14:paraId="4D99EDD0" w14:textId="20D0E846" w:rsidR="00AB6D36" w:rsidRPr="00AF6765" w:rsidRDefault="00FC1F0C" w:rsidP="00B71212">
      <w:pPr>
        <w:jc w:val="center"/>
        <w:rPr>
          <w:i/>
        </w:rPr>
      </w:pPr>
      <w:r w:rsidRPr="00AF6765">
        <w:rPr>
          <w:i/>
        </w:rPr>
        <w:t xml:space="preserve">Charter of the United Nations (Dealing with Assets) Amendment (Haiti) Regulations </w:t>
      </w:r>
      <w:r w:rsidR="00AB6D36" w:rsidRPr="00AF6765">
        <w:rPr>
          <w:i/>
        </w:rPr>
        <w:t>2025</w:t>
      </w:r>
    </w:p>
    <w:p w14:paraId="55186D8E" w14:textId="18FD8E6F" w:rsidR="00B71212" w:rsidRPr="00AF6765" w:rsidRDefault="00B71212" w:rsidP="00B71212">
      <w:pPr>
        <w:jc w:val="center"/>
        <w:rPr>
          <w:i/>
          <w:iCs/>
          <w:noProof/>
          <w:color w:val="000000"/>
          <w:lang w:eastAsia="zh-CN"/>
        </w:rPr>
      </w:pPr>
    </w:p>
    <w:p w14:paraId="252FBEEC" w14:textId="2DEF8A28" w:rsidR="00B71212" w:rsidRPr="005E7157" w:rsidRDefault="00B71212" w:rsidP="00B71212">
      <w:pPr>
        <w:rPr>
          <w:bCs/>
          <w:noProof/>
          <w:color w:val="000000"/>
          <w:lang w:eastAsia="zh-CN"/>
        </w:rPr>
      </w:pPr>
      <w:r w:rsidRPr="00AF6765">
        <w:rPr>
          <w:bCs/>
          <w:noProof/>
          <w:color w:val="000000"/>
          <w:lang w:eastAsia="zh-CN"/>
        </w:rPr>
        <w:t xml:space="preserve">The </w:t>
      </w:r>
      <w:r w:rsidR="007E66F0" w:rsidRPr="00AF6765">
        <w:rPr>
          <w:i/>
        </w:rPr>
        <w:t>Charter of the United Nations (Dealing with Assets) Amendment (Haiti) Regulations 2025</w:t>
      </w:r>
      <w:r w:rsidR="007E66F0" w:rsidRPr="00AF6765">
        <w:rPr>
          <w:bCs/>
          <w:noProof/>
          <w:color w:val="000000"/>
          <w:lang w:eastAsia="zh-CN"/>
        </w:rPr>
        <w:t xml:space="preserve"> </w:t>
      </w:r>
      <w:r w:rsidRPr="00AF6765">
        <w:rPr>
          <w:bCs/>
          <w:noProof/>
          <w:color w:val="000000"/>
          <w:lang w:eastAsia="zh-CN"/>
        </w:rPr>
        <w:t>(the</w:t>
      </w:r>
      <w:r w:rsidRPr="005E7157">
        <w:rPr>
          <w:bCs/>
          <w:noProof/>
          <w:color w:val="000000"/>
          <w:lang w:eastAsia="zh-CN"/>
        </w:rPr>
        <w:t xml:space="preserve"> </w:t>
      </w:r>
      <w:r>
        <w:rPr>
          <w:bCs/>
          <w:noProof/>
          <w:color w:val="000000"/>
          <w:lang w:eastAsia="zh-CN"/>
        </w:rPr>
        <w:t xml:space="preserve">Amendment </w:t>
      </w:r>
      <w:r w:rsidRPr="005E7157">
        <w:rPr>
          <w:bCs/>
          <w:noProof/>
          <w:color w:val="000000"/>
          <w:lang w:eastAsia="zh-CN"/>
        </w:rPr>
        <w:t xml:space="preserve">Regulations) </w:t>
      </w:r>
      <w:r w:rsidR="00AF6765">
        <w:rPr>
          <w:bCs/>
          <w:noProof/>
          <w:color w:val="000000"/>
          <w:lang w:eastAsia="zh-CN"/>
        </w:rPr>
        <w:t>are</w:t>
      </w:r>
      <w:r w:rsidRPr="005E7157">
        <w:rPr>
          <w:bCs/>
          <w:noProof/>
          <w:color w:val="000000"/>
          <w:lang w:eastAsia="zh-CN"/>
        </w:rPr>
        <w:t xml:space="preserve"> compatible with the human rights and freedoms recognised or declared in the international instruments listed in section</w:t>
      </w:r>
      <w:r w:rsidR="00521001">
        <w:rPr>
          <w:bCs/>
          <w:noProof/>
          <w:color w:val="000000"/>
          <w:lang w:eastAsia="zh-CN"/>
        </w:rPr>
        <w:t> </w:t>
      </w:r>
      <w:r w:rsidRPr="005E7157">
        <w:rPr>
          <w:bCs/>
          <w:noProof/>
          <w:color w:val="000000"/>
          <w:lang w:eastAsia="zh-CN"/>
        </w:rPr>
        <w:t xml:space="preserve">3 of the </w:t>
      </w:r>
      <w:r w:rsidRPr="005E7157">
        <w:rPr>
          <w:bCs/>
          <w:i/>
          <w:noProof/>
          <w:color w:val="000000"/>
          <w:lang w:eastAsia="zh-CN"/>
        </w:rPr>
        <w:t>Human Rights (Parliamentary Scrutiny) Act 2011.</w:t>
      </w:r>
      <w:r w:rsidRPr="005E7157">
        <w:rPr>
          <w:bCs/>
          <w:noProof/>
          <w:color w:val="000000"/>
          <w:lang w:eastAsia="zh-CN"/>
        </w:rPr>
        <w:t xml:space="preserve"> </w:t>
      </w:r>
    </w:p>
    <w:p w14:paraId="33BC3183" w14:textId="77777777" w:rsidR="00B71212" w:rsidRPr="005E7157" w:rsidRDefault="00B71212" w:rsidP="00B71212">
      <w:pPr>
        <w:rPr>
          <w:bCs/>
          <w:noProof/>
          <w:color w:val="000000"/>
          <w:lang w:eastAsia="zh-CN"/>
        </w:rPr>
      </w:pPr>
    </w:p>
    <w:p w14:paraId="613D7AC7" w14:textId="0A3C959A" w:rsidR="00B770DC" w:rsidRDefault="00B71212" w:rsidP="00B770DC">
      <w:r>
        <w:t xml:space="preserve">The </w:t>
      </w:r>
      <w:r w:rsidRPr="00B71212">
        <w:t xml:space="preserve">Amendment Regulations </w:t>
      </w:r>
      <w:r w:rsidR="00AE2905">
        <w:t xml:space="preserve">amend </w:t>
      </w:r>
      <w:r>
        <w:t xml:space="preserve">the </w:t>
      </w:r>
      <w:r>
        <w:rPr>
          <w:i/>
        </w:rPr>
        <w:t xml:space="preserve">Charter of the United Nations (Dealing with Assets) Regulations 2008 </w:t>
      </w:r>
      <w:r>
        <w:t>(the Principal Regulations</w:t>
      </w:r>
      <w:r w:rsidR="00AF1E2C">
        <w:t xml:space="preserve">) </w:t>
      </w:r>
      <w:proofErr w:type="gramStart"/>
      <w:r w:rsidR="00B770DC" w:rsidRPr="00C216D1">
        <w:t>in order to</w:t>
      </w:r>
      <w:proofErr w:type="gramEnd"/>
      <w:r w:rsidR="00B770DC" w:rsidRPr="00C216D1">
        <w:t xml:space="preserve"> bring them into conformity with the decisions of the </w:t>
      </w:r>
      <w:r w:rsidR="00B770DC">
        <w:t xml:space="preserve">United Nations Security Council (UNSC) </w:t>
      </w:r>
      <w:r w:rsidR="00B770DC" w:rsidRPr="00C216D1">
        <w:t>as set out in UNSC Resolution 2653 (</w:t>
      </w:r>
      <w:r w:rsidR="00B770DC" w:rsidRPr="00B00A1E">
        <w:t>2022) (UNSCR 2653), as extended by subsequent relevant resolutions, imposin</w:t>
      </w:r>
      <w:r w:rsidR="00B770DC">
        <w:t>g financial transaction sanctions in relation to Haiti.</w:t>
      </w:r>
    </w:p>
    <w:p w14:paraId="52EEEA38" w14:textId="77777777" w:rsidR="004461D8" w:rsidRDefault="004461D8" w:rsidP="00B71212"/>
    <w:p w14:paraId="5415C696" w14:textId="705AFF64" w:rsidR="00A42DD6" w:rsidRPr="00E27CF4" w:rsidRDefault="004464D2" w:rsidP="00BC64FD">
      <w:r>
        <w:t xml:space="preserve">The Principal Regulations implement Australia’s obligations to freeze assets and prevent assets being made available to all persons and entities designated by the UNSC as being subject to such </w:t>
      </w:r>
      <w:r w:rsidRPr="00E27CF4">
        <w:t>measures.</w:t>
      </w:r>
      <w:r w:rsidR="000F6CCB">
        <w:t xml:space="preserve"> </w:t>
      </w:r>
      <w:r w:rsidRPr="00E27CF4">
        <w:t>Regulation 4 of the Principal Regulations includes a definition of “Sanctions Regulations” which lists all relevant regulations made under the Act to which the Principal Regulations are to apply.</w:t>
      </w:r>
      <w:r w:rsidR="000F6CCB">
        <w:t xml:space="preserve"> </w:t>
      </w:r>
      <w:r w:rsidRPr="00E27CF4">
        <w:t xml:space="preserve">The Principal Regulations define various permissible dealings for the “Sanctions Regulations” listed at regulation </w:t>
      </w:r>
      <w:r w:rsidR="00DF340B" w:rsidRPr="00E27CF4">
        <w:t>4</w:t>
      </w:r>
      <w:r w:rsidRPr="00E27CF4">
        <w:t>.</w:t>
      </w:r>
    </w:p>
    <w:p w14:paraId="3757FACD" w14:textId="77777777" w:rsidR="00BC64FD" w:rsidRPr="00E27CF4" w:rsidRDefault="00BC64FD" w:rsidP="00BC64FD">
      <w:pPr>
        <w:rPr>
          <w:b/>
        </w:rPr>
      </w:pPr>
    </w:p>
    <w:p w14:paraId="579657B6" w14:textId="77777777" w:rsidR="00147281" w:rsidRPr="006C38EA" w:rsidRDefault="00147281" w:rsidP="00147281">
      <w:pPr>
        <w:rPr>
          <w:b/>
        </w:rPr>
      </w:pPr>
      <w:r>
        <w:rPr>
          <w:b/>
        </w:rPr>
        <w:t>H</w:t>
      </w:r>
      <w:r w:rsidRPr="006C38EA">
        <w:rPr>
          <w:b/>
        </w:rPr>
        <w:t>uman rights</w:t>
      </w:r>
      <w:r>
        <w:rPr>
          <w:b/>
        </w:rPr>
        <w:t xml:space="preserve"> compatibility</w:t>
      </w:r>
    </w:p>
    <w:p w14:paraId="3DAFD795" w14:textId="77777777" w:rsidR="00147281" w:rsidRPr="006C38EA" w:rsidRDefault="00147281" w:rsidP="00147281"/>
    <w:p w14:paraId="05B0ABC8" w14:textId="6505488C" w:rsidR="00147281" w:rsidRPr="006C38EA" w:rsidRDefault="00147281" w:rsidP="00147281">
      <w:r w:rsidRPr="004461D8">
        <w:t xml:space="preserve">The </w:t>
      </w:r>
      <w:r w:rsidR="005E17B8" w:rsidRPr="004461D8">
        <w:t xml:space="preserve">Amendment </w:t>
      </w:r>
      <w:r w:rsidRPr="004461D8">
        <w:t xml:space="preserve">Regulations ensure that persons and entities </w:t>
      </w:r>
      <w:r w:rsidR="0075287D">
        <w:t>who are</w:t>
      </w:r>
      <w:r w:rsidR="006B3E2B" w:rsidRPr="00082966">
        <w:t xml:space="preserve"> responsible for, or complicit in, or who have directly or indirectly engaged in actions that threaten the peace, security or stability of Haiti</w:t>
      </w:r>
      <w:r w:rsidR="0075287D">
        <w:t>,</w:t>
      </w:r>
      <w:r w:rsidR="004461D8">
        <w:t xml:space="preserve"> </w:t>
      </w:r>
      <w:r w:rsidRPr="004461D8">
        <w:t>will be subject to UNSC sanctions measures.</w:t>
      </w:r>
    </w:p>
    <w:p w14:paraId="5EC1D1B2" w14:textId="1A5D90ED" w:rsidR="00147281" w:rsidRDefault="00147281" w:rsidP="00147281"/>
    <w:p w14:paraId="4C96838A" w14:textId="45EB60B4" w:rsidR="00147281" w:rsidRPr="006C38EA" w:rsidRDefault="00147281" w:rsidP="00147281">
      <w:r>
        <w:t>T</w:t>
      </w:r>
      <w:r w:rsidRPr="006C38EA">
        <w:t>he Parliamentary Joint Committee on Human Rights (</w:t>
      </w:r>
      <w:r w:rsidR="00112C29">
        <w:t>PJCHR</w:t>
      </w:r>
      <w:r w:rsidRPr="006C38EA">
        <w:t xml:space="preserve">) </w:t>
      </w:r>
      <w:r>
        <w:t xml:space="preserve">has </w:t>
      </w:r>
      <w:r w:rsidRPr="006C38EA">
        <w:t>accept</w:t>
      </w:r>
      <w:r>
        <w:t>ed</w:t>
      </w:r>
      <w:r w:rsidRPr="006C38EA">
        <w:t xml:space="preserve"> that the use of sanctions to apply pressure to regimes and individuals </w:t>
      </w:r>
      <w:proofErr w:type="gramStart"/>
      <w:r w:rsidRPr="006C38EA">
        <w:t>in order to</w:t>
      </w:r>
      <w:proofErr w:type="gramEnd"/>
      <w:r w:rsidRPr="006C38EA">
        <w:t xml:space="preserve"> end the repression of human rights may be regarded as a legitimate objective for the purposes of international human rights law</w:t>
      </w:r>
      <w:r>
        <w:t>.</w:t>
      </w:r>
      <w:r w:rsidRPr="006C38EA">
        <w:t xml:space="preserve"> </w:t>
      </w:r>
      <w:r>
        <w:t xml:space="preserve">It has also expressed </w:t>
      </w:r>
      <w:r w:rsidRPr="006C38EA">
        <w:t>concern th</w:t>
      </w:r>
      <w:r>
        <w:t xml:space="preserve">at Australia’s </w:t>
      </w:r>
      <w:r w:rsidRPr="006C38EA">
        <w:t xml:space="preserve">sanctions </w:t>
      </w:r>
      <w:r w:rsidR="00BC4316">
        <w:t>frameworks</w:t>
      </w:r>
      <w:r w:rsidRPr="006C38EA">
        <w:t xml:space="preserve"> may not be proportionate to their stated objective.</w:t>
      </w:r>
      <w:r w:rsidR="000F6CCB">
        <w:t xml:space="preserve"> </w:t>
      </w:r>
    </w:p>
    <w:p w14:paraId="454111DC" w14:textId="77777777" w:rsidR="00147281" w:rsidRPr="006C38EA" w:rsidRDefault="00147281" w:rsidP="00147281"/>
    <w:p w14:paraId="32022A84" w14:textId="4F00ECF3" w:rsidR="00147281" w:rsidRPr="00147281" w:rsidRDefault="00147281" w:rsidP="00BC64FD">
      <w:r w:rsidRPr="006C38EA">
        <w:t xml:space="preserve">The </w:t>
      </w:r>
      <w:r>
        <w:t xml:space="preserve">human rights compatibility of the </w:t>
      </w:r>
      <w:r w:rsidR="00511C8F">
        <w:t xml:space="preserve">Amendment </w:t>
      </w:r>
      <w:r>
        <w:t xml:space="preserve">Regulations is addressed by reference to each of </w:t>
      </w:r>
      <w:r w:rsidRPr="006C38EA">
        <w:t>the human rights engaged below.</w:t>
      </w:r>
    </w:p>
    <w:p w14:paraId="2AAA6D1E" w14:textId="77777777" w:rsidR="00351771" w:rsidRDefault="00351771" w:rsidP="00BC64FD">
      <w:pPr>
        <w:rPr>
          <w:b/>
        </w:rPr>
      </w:pPr>
    </w:p>
    <w:p w14:paraId="1D39A5A1" w14:textId="77777777" w:rsidR="00D05B2E" w:rsidRPr="006C38EA" w:rsidRDefault="00D05B2E" w:rsidP="00D05B2E">
      <w:pPr>
        <w:rPr>
          <w:b/>
        </w:rPr>
      </w:pPr>
      <w:r w:rsidRPr="006C38EA">
        <w:rPr>
          <w:b/>
        </w:rPr>
        <w:t>Right to privacy</w:t>
      </w:r>
    </w:p>
    <w:p w14:paraId="5F5DC14F" w14:textId="77777777" w:rsidR="00BC64FD" w:rsidRPr="006C38EA" w:rsidRDefault="00BC64FD" w:rsidP="00351771">
      <w:pPr>
        <w:keepNext/>
        <w:rPr>
          <w:b/>
        </w:rPr>
      </w:pPr>
    </w:p>
    <w:p w14:paraId="2ACDEC7C" w14:textId="77777777" w:rsidR="00BC64FD" w:rsidRPr="006C38EA" w:rsidRDefault="00BC64FD" w:rsidP="00351771">
      <w:pPr>
        <w:keepNext/>
        <w:rPr>
          <w:u w:val="single"/>
        </w:rPr>
      </w:pPr>
      <w:r w:rsidRPr="006C38EA">
        <w:rPr>
          <w:u w:val="single"/>
        </w:rPr>
        <w:t>Right</w:t>
      </w:r>
    </w:p>
    <w:p w14:paraId="38F62365" w14:textId="77777777" w:rsidR="00BC64FD" w:rsidRPr="006C38EA" w:rsidRDefault="00BC64FD" w:rsidP="00351771">
      <w:pPr>
        <w:keepNext/>
        <w:rPr>
          <w:u w:val="single"/>
        </w:rPr>
      </w:pPr>
    </w:p>
    <w:p w14:paraId="2CE7E725" w14:textId="2057881D" w:rsidR="00D05B2E" w:rsidRDefault="00F3044D" w:rsidP="00D05B2E">
      <w:r w:rsidRPr="006C38EA">
        <w:t>Article 17 of the International Covenant on Civil and Political Rights (the ICCPR) prohibits unlawful or arbitrary interferences with a person</w:t>
      </w:r>
      <w:r w:rsidR="00AE2905">
        <w:t>’</w:t>
      </w:r>
      <w:r w:rsidRPr="006C38EA">
        <w:t>s privacy, family, home and correspondence</w:t>
      </w:r>
      <w:r w:rsidR="00D05B2E" w:rsidRPr="00D05B2E">
        <w:t xml:space="preserve"> </w:t>
      </w:r>
      <w:r w:rsidR="00D05B2E">
        <w:t xml:space="preserve">and unlawful attacks on </w:t>
      </w:r>
      <w:r w:rsidR="00FA300D">
        <w:t>a person’s</w:t>
      </w:r>
      <w:r w:rsidR="00D05B2E">
        <w:t xml:space="preserve"> honour and reputation</w:t>
      </w:r>
      <w:r w:rsidR="00D05B2E" w:rsidRPr="006C38EA">
        <w:t xml:space="preserve">. </w:t>
      </w:r>
    </w:p>
    <w:p w14:paraId="18C902CD" w14:textId="1A424572" w:rsidR="00F3044D" w:rsidRDefault="00F3044D" w:rsidP="00351771">
      <w:pPr>
        <w:keepNext/>
      </w:pPr>
    </w:p>
    <w:p w14:paraId="47D7B96C" w14:textId="02B553BE" w:rsidR="00F3044D" w:rsidRPr="006C38EA" w:rsidRDefault="00F3044D" w:rsidP="00F3044D">
      <w:r w:rsidRPr="006C38EA">
        <w:t xml:space="preserve">The use of the term ‘arbitrary’ in the ICCPR </w:t>
      </w:r>
      <w:r w:rsidR="00D02A00" w:rsidRPr="009C0114">
        <w:t xml:space="preserve">indicates that circumstances may justify </w:t>
      </w:r>
      <w:r w:rsidR="00D02A00">
        <w:t>interference</w:t>
      </w:r>
      <w:r w:rsidR="00D02A00" w:rsidRPr="009C0114">
        <w:t>, where necessary, reasonable and proportionate</w:t>
      </w:r>
      <w:r w:rsidR="00D02A00">
        <w:t xml:space="preserve"> with a person’s right to privacy</w:t>
      </w:r>
      <w:r w:rsidR="00D02A00" w:rsidRPr="009C0114">
        <w:t>.</w:t>
      </w:r>
      <w:r w:rsidR="00FA300D">
        <w:t xml:space="preserve"> </w:t>
      </w:r>
      <w:r w:rsidR="00D02A00">
        <w:t>A</w:t>
      </w:r>
      <w:r w:rsidRPr="006C38EA">
        <w:t xml:space="preserve">ny interferences with privacy must </w:t>
      </w:r>
      <w:r w:rsidR="00D02A00">
        <w:t xml:space="preserve">therefore </w:t>
      </w:r>
      <w:r w:rsidRPr="006C38EA">
        <w:t xml:space="preserve">be </w:t>
      </w:r>
      <w:r w:rsidR="00D02A00">
        <w:t xml:space="preserve">consistent </w:t>
      </w:r>
      <w:r w:rsidRPr="006C38EA">
        <w:t>with the provisions, aims and objectives of the ICCPR and should be reasonable</w:t>
      </w:r>
      <w:r w:rsidR="00AD0369">
        <w:t>, proportionate and necessary</w:t>
      </w:r>
      <w:r w:rsidRPr="006C38EA">
        <w:t xml:space="preserve"> in the individual circumstances. Arbitrariness connotes elements of injustice, unpredictability, unreasonableness, capriciousness and </w:t>
      </w:r>
      <w:r>
        <w:t>‘</w:t>
      </w:r>
      <w:proofErr w:type="spellStart"/>
      <w:r w:rsidRPr="006C38EA">
        <w:t>unproportionality</w:t>
      </w:r>
      <w:proofErr w:type="spellEnd"/>
      <w:r>
        <w:t>’</w:t>
      </w:r>
      <w:r w:rsidRPr="006C38EA">
        <w:t>.</w:t>
      </w:r>
      <w:r w:rsidR="004836FB">
        <w:rPr>
          <w:rStyle w:val="FootnoteReference"/>
        </w:rPr>
        <w:footnoteReference w:id="1"/>
      </w:r>
    </w:p>
    <w:p w14:paraId="39F1353C" w14:textId="77777777" w:rsidR="00F3044D" w:rsidRPr="006C38EA" w:rsidRDefault="00F3044D" w:rsidP="00F3044D"/>
    <w:p w14:paraId="3E55F3AD" w14:textId="77777777" w:rsidR="00F3044D" w:rsidRPr="006C38EA" w:rsidRDefault="00F3044D" w:rsidP="00F3044D">
      <w:pPr>
        <w:rPr>
          <w:u w:val="single"/>
        </w:rPr>
      </w:pPr>
      <w:r w:rsidRPr="006C38EA">
        <w:rPr>
          <w:u w:val="single"/>
        </w:rPr>
        <w:t>Permissible limitations</w:t>
      </w:r>
    </w:p>
    <w:p w14:paraId="186FD93D" w14:textId="77777777" w:rsidR="00BC64FD" w:rsidRPr="006C38EA" w:rsidRDefault="00BC64FD" w:rsidP="00BC64FD">
      <w:pPr>
        <w:rPr>
          <w:u w:val="single"/>
        </w:rPr>
      </w:pPr>
    </w:p>
    <w:p w14:paraId="5B65D617" w14:textId="7A0CD005" w:rsidR="00F3044D" w:rsidRPr="006F5778" w:rsidRDefault="00F3044D" w:rsidP="00F3044D">
      <w:r>
        <w:t xml:space="preserve">The </w:t>
      </w:r>
      <w:r w:rsidR="005E17B8">
        <w:t xml:space="preserve">Amendment </w:t>
      </w:r>
      <w:r>
        <w:t>Regulations are not an unlawful interference with an individual’s right to privacy.</w:t>
      </w:r>
      <w:r w:rsidR="000F6CCB">
        <w:t xml:space="preserve"> </w:t>
      </w:r>
      <w:r>
        <w:t xml:space="preserve">The </w:t>
      </w:r>
      <w:r w:rsidR="005E17B8">
        <w:t>Am</w:t>
      </w:r>
      <w:r w:rsidR="00C01FE3">
        <w:t>e</w:t>
      </w:r>
      <w:r w:rsidR="005E17B8">
        <w:t xml:space="preserve">ndment </w:t>
      </w:r>
      <w:r>
        <w:t xml:space="preserve">Regulations are made pursuant to section 6 of the </w:t>
      </w:r>
      <w:r w:rsidRPr="00123D9F">
        <w:rPr>
          <w:i/>
        </w:rPr>
        <w:t xml:space="preserve">Charter of the United Nations Act </w:t>
      </w:r>
      <w:r>
        <w:rPr>
          <w:i/>
        </w:rPr>
        <w:t>1945</w:t>
      </w:r>
      <w:r w:rsidR="00C71940">
        <w:rPr>
          <w:i/>
        </w:rPr>
        <w:t xml:space="preserve"> </w:t>
      </w:r>
      <w:r w:rsidR="00C71940">
        <w:rPr>
          <w:iCs/>
        </w:rPr>
        <w:t>(the Act)</w:t>
      </w:r>
      <w:r>
        <w:t>, which states that the Governor</w:t>
      </w:r>
      <w:r>
        <w:rPr>
          <w:rFonts w:ascii="Cambria Math" w:hAnsi="Cambria Math" w:cs="Cambria Math"/>
        </w:rPr>
        <w:t>‑</w:t>
      </w:r>
      <w:r>
        <w:t>General may make regulations for and in relation to giving effect to decisions that the Security Council makes under Chapter VII of the Charter of the United Nations and Article 25 of the Charter requires Australia to carry out.</w:t>
      </w:r>
    </w:p>
    <w:p w14:paraId="6CD30CAA" w14:textId="77777777" w:rsidR="00F3044D" w:rsidRPr="006C38EA" w:rsidRDefault="00F3044D" w:rsidP="00F3044D"/>
    <w:p w14:paraId="7799CD91" w14:textId="4EB25C17" w:rsidR="00F3044D" w:rsidRDefault="00F3044D" w:rsidP="00F3044D">
      <w:r w:rsidRPr="006C38EA">
        <w:t xml:space="preserve">The measures contained in the </w:t>
      </w:r>
      <w:r w:rsidR="005E17B8">
        <w:t xml:space="preserve">Amendment </w:t>
      </w:r>
      <w:r w:rsidRPr="006C38EA">
        <w:t>Regulations are not an arbitrary interference with an individual’s right to privacy. An interference with privacy will not be arbitrary where it is reasonable, necessary and proportionate in the individual circumstances.</w:t>
      </w:r>
      <w:r w:rsidR="000F6CCB">
        <w:t xml:space="preserve"> </w:t>
      </w:r>
    </w:p>
    <w:p w14:paraId="62701E99" w14:textId="77777777" w:rsidR="00F3044D" w:rsidRDefault="00F3044D" w:rsidP="00F3044D"/>
    <w:p w14:paraId="5E6C91CD" w14:textId="5FE3384D" w:rsidR="00A23B68" w:rsidRDefault="005241D4" w:rsidP="00A23B68">
      <w:r>
        <w:t>To the extent it is limited, t</w:t>
      </w:r>
      <w:r w:rsidR="00CF1BBB">
        <w:t>he imposition of t</w:t>
      </w:r>
      <w:r w:rsidR="00C01FE3" w:rsidRPr="006C38EA">
        <w:t xml:space="preserve">argeted financial sanctions </w:t>
      </w:r>
      <w:r w:rsidR="00C01FE3">
        <w:t xml:space="preserve">in </w:t>
      </w:r>
      <w:r w:rsidR="00C01FE3" w:rsidRPr="008B2C21">
        <w:t xml:space="preserve">relation to </w:t>
      </w:r>
      <w:r w:rsidR="00CF1BBB" w:rsidRPr="008B2C21">
        <w:t>Haiti</w:t>
      </w:r>
      <w:r w:rsidR="004461D8" w:rsidRPr="008B2C21">
        <w:t xml:space="preserve"> constitute</w:t>
      </w:r>
      <w:r w:rsidR="00CF1BBB" w:rsidRPr="008B2C21">
        <w:t>s</w:t>
      </w:r>
      <w:r w:rsidR="00C01FE3" w:rsidRPr="008B2C21">
        <w:t xml:space="preserve"> a reasonable limitation on the right to privacy. </w:t>
      </w:r>
      <w:r w:rsidR="00102317" w:rsidRPr="008B2C21">
        <w:t xml:space="preserve">Pursuant to section 4 of the </w:t>
      </w:r>
      <w:r w:rsidR="00E25BCB" w:rsidRPr="008B2C21">
        <w:rPr>
          <w:i/>
        </w:rPr>
        <w:t>Charter of the United Nations (Sanctions</w:t>
      </w:r>
      <w:r w:rsidR="00E25BCB" w:rsidRPr="008B2C21">
        <w:t>—</w:t>
      </w:r>
      <w:r w:rsidR="00E25BCB" w:rsidRPr="008B2C21">
        <w:rPr>
          <w:i/>
        </w:rPr>
        <w:t xml:space="preserve">Haiti) Regulations </w:t>
      </w:r>
      <w:r w:rsidR="00E25BCB" w:rsidRPr="00D1626B">
        <w:rPr>
          <w:i/>
        </w:rPr>
        <w:t>2025</w:t>
      </w:r>
      <w:r w:rsidR="00102317" w:rsidRPr="00D1626B">
        <w:rPr>
          <w:i/>
        </w:rPr>
        <w:t xml:space="preserve">, </w:t>
      </w:r>
      <w:r w:rsidR="00102317" w:rsidRPr="00D1626B">
        <w:rPr>
          <w:iCs/>
        </w:rPr>
        <w:t xml:space="preserve">the </w:t>
      </w:r>
      <w:r w:rsidR="00F82F6B" w:rsidRPr="00D1626B">
        <w:t xml:space="preserve">United Nations Committee established under paragraph 19 of UNSCR 2653 (the Haiti Sanctions Committee) is responsible for designating people for the imposition of targeted financial sanctions. </w:t>
      </w:r>
      <w:r w:rsidR="00A23B68" w:rsidRPr="00D1626B">
        <w:t xml:space="preserve">The Haiti Sanctions </w:t>
      </w:r>
      <w:r w:rsidR="00A23B68">
        <w:t xml:space="preserve">Committee uses predictable, publicly available criteria when designating a person as being subjected to such measures. These criteria capture only those persons who the Haiti Sanctions Committee is satisfied are </w:t>
      </w:r>
      <w:r w:rsidR="00A23B68" w:rsidRPr="00216645">
        <w:t>responsible for, or complicit in, or hav</w:t>
      </w:r>
      <w:r w:rsidR="00A23B68">
        <w:t>e</w:t>
      </w:r>
      <w:r w:rsidR="00A23B68" w:rsidRPr="00216645">
        <w:t xml:space="preserve"> directly or indirectly engaged in actions that threaten the peace, security, and stability of Haiti</w:t>
      </w:r>
      <w:r w:rsidR="00A23B68">
        <w:t>.</w:t>
      </w:r>
    </w:p>
    <w:p w14:paraId="642E94C2" w14:textId="77777777" w:rsidR="00C01FE3" w:rsidRDefault="00C01FE3" w:rsidP="00BC64FD">
      <w:pPr>
        <w:rPr>
          <w:highlight w:val="yellow"/>
        </w:rPr>
      </w:pPr>
    </w:p>
    <w:p w14:paraId="7915AB64" w14:textId="79203BBA" w:rsidR="00BC64FD" w:rsidRDefault="00BB4419" w:rsidP="00BC64FD">
      <w:r>
        <w:t>The imposition of targeted financial sanctions in relation to Haiti</w:t>
      </w:r>
      <w:r w:rsidRPr="00292E5F">
        <w:t xml:space="preserve"> is necessary and proportionate.</w:t>
      </w:r>
      <w:r w:rsidR="000F6CCB">
        <w:t xml:space="preserve"> </w:t>
      </w:r>
      <w:r w:rsidRPr="00441960">
        <w:t xml:space="preserve">They are only imposed, pursuant to the Charter, in response to </w:t>
      </w:r>
      <w:r w:rsidRPr="00441960">
        <w:rPr>
          <w:lang w:eastAsia="en-AU"/>
        </w:rPr>
        <w:t>actions that threaten Haiti’s peace, security, and stability</w:t>
      </w:r>
      <w:r w:rsidRPr="00441960">
        <w:t xml:space="preserve">, as outlined in </w:t>
      </w:r>
      <w:r w:rsidRPr="00441960">
        <w:rPr>
          <w:lang w:eastAsia="en-AU"/>
        </w:rPr>
        <w:t xml:space="preserve">UNSCR </w:t>
      </w:r>
      <w:r w:rsidRPr="00441960">
        <w:t>2653. Noting the seriousness of this situation</w:t>
      </w:r>
      <w:r w:rsidRPr="00292E5F">
        <w:t xml:space="preserve">, </w:t>
      </w:r>
      <w:r w:rsidRPr="00326F20">
        <w:t xml:space="preserve">which includes high levels of gang violence, human rights abuses and other criminal activity, the targeting of specific individuals for </w:t>
      </w:r>
      <w:r>
        <w:t xml:space="preserve">financial sanctions is </w:t>
      </w:r>
      <w:r w:rsidRPr="006C38EA">
        <w:t xml:space="preserve">the least rights-restrictive way to </w:t>
      </w:r>
      <w:r w:rsidRPr="0092221A">
        <w:t>respond.</w:t>
      </w:r>
      <w:r w:rsidR="000F6CCB">
        <w:t xml:space="preserve"> </w:t>
      </w:r>
      <w:r w:rsidRPr="0092221A">
        <w:t xml:space="preserve"> </w:t>
      </w:r>
    </w:p>
    <w:p w14:paraId="1F78E12E" w14:textId="77777777" w:rsidR="00DD163F" w:rsidRDefault="00DD163F" w:rsidP="00BC64FD"/>
    <w:p w14:paraId="66A94500" w14:textId="73109FF2" w:rsidR="00387AA5" w:rsidRPr="002F729F" w:rsidRDefault="00387AA5" w:rsidP="00387AA5">
      <w:r w:rsidRPr="002F729F">
        <w:lastRenderedPageBreak/>
        <w:t xml:space="preserve">Accordingly, the imposition of targeted financial sanctions </w:t>
      </w:r>
      <w:r>
        <w:t>in relation to Haiti</w:t>
      </w:r>
      <w:r w:rsidRPr="002F729F">
        <w:t xml:space="preserve"> is reasonable, necessary and proportionate to the individual circumstances that the sanctions seek to address. Any interference with the right to privacy </w:t>
      </w:r>
      <w:proofErr w:type="gramStart"/>
      <w:r w:rsidRPr="002F729F">
        <w:t>as a consequence of</w:t>
      </w:r>
      <w:proofErr w:type="gramEnd"/>
      <w:r w:rsidRPr="002F729F">
        <w:t xml:space="preserve"> the operation of the </w:t>
      </w:r>
      <w:r w:rsidR="00DD163F">
        <w:t xml:space="preserve">Amendment </w:t>
      </w:r>
      <w:r w:rsidRPr="002F729F">
        <w:t xml:space="preserve">Regulations is not arbitrary or unlawful and is consistent with Australia’s obligations under Article 17 of the ICCPR. </w:t>
      </w:r>
    </w:p>
    <w:p w14:paraId="37BCF254" w14:textId="77777777" w:rsidR="00387AA5" w:rsidRPr="006C38EA" w:rsidRDefault="00387AA5" w:rsidP="00BC64FD"/>
    <w:p w14:paraId="6B7733D8" w14:textId="77777777" w:rsidR="00E86282" w:rsidRPr="006C38EA" w:rsidRDefault="00E86282" w:rsidP="00E86282">
      <w:pPr>
        <w:rPr>
          <w:b/>
        </w:rPr>
      </w:pPr>
      <w:r w:rsidRPr="006C38EA">
        <w:rPr>
          <w:b/>
        </w:rPr>
        <w:t>Right to an adequate standard of living</w:t>
      </w:r>
    </w:p>
    <w:p w14:paraId="5A890B76" w14:textId="77777777" w:rsidR="003110FF" w:rsidRDefault="003110FF" w:rsidP="003110FF">
      <w:pPr>
        <w:rPr>
          <w:u w:val="single"/>
        </w:rPr>
      </w:pPr>
    </w:p>
    <w:p w14:paraId="5689957E" w14:textId="77777777" w:rsidR="003110FF" w:rsidRPr="006C38EA" w:rsidRDefault="003110FF" w:rsidP="003110FF">
      <w:pPr>
        <w:rPr>
          <w:u w:val="single"/>
        </w:rPr>
      </w:pPr>
      <w:r w:rsidRPr="006C38EA">
        <w:rPr>
          <w:u w:val="single"/>
        </w:rPr>
        <w:t>Right</w:t>
      </w:r>
    </w:p>
    <w:p w14:paraId="7738E4A0" w14:textId="77777777" w:rsidR="003110FF" w:rsidRDefault="003110FF" w:rsidP="003110FF"/>
    <w:p w14:paraId="5CA7D6DE" w14:textId="132A7D36" w:rsidR="003110FF" w:rsidRDefault="003110FF" w:rsidP="003110FF">
      <w:r w:rsidRPr="006C38EA">
        <w:t xml:space="preserve">The right to an adequate standard of living is contained in Article 11(1) of the </w:t>
      </w:r>
      <w:r w:rsidRPr="006C38EA">
        <w:rPr>
          <w:i/>
        </w:rPr>
        <w:t>International Covenant on Economic, Social and Cultural Rights</w:t>
      </w:r>
      <w:r w:rsidRPr="006C38EA">
        <w:t xml:space="preserve"> (the ICESCR) and</w:t>
      </w:r>
      <w:r w:rsidRPr="006C38EA">
        <w:rPr>
          <w:i/>
        </w:rPr>
        <w:t xml:space="preserve"> </w:t>
      </w:r>
      <w:r w:rsidRPr="006C38EA">
        <w:t xml:space="preserve">requires States to ensure the availability and accessibility of the resources that are essential to the realisation of the right, </w:t>
      </w:r>
      <w:r>
        <w:t xml:space="preserve">including </w:t>
      </w:r>
      <w:r w:rsidRPr="006C38EA">
        <w:t xml:space="preserve">food, water, </w:t>
      </w:r>
      <w:r>
        <w:t xml:space="preserve">clothing </w:t>
      </w:r>
      <w:r w:rsidRPr="006C38EA">
        <w:t>and housing.</w:t>
      </w:r>
      <w:r w:rsidR="00720CE1">
        <w:t xml:space="preserve"> Under article 2(1) of the </w:t>
      </w:r>
      <w:proofErr w:type="gramStart"/>
      <w:r w:rsidR="00720CE1">
        <w:t>ICESCR</w:t>
      </w:r>
      <w:r w:rsidR="00FA300D">
        <w:t>,</w:t>
      </w:r>
      <w:r w:rsidR="00720CE1">
        <w:t xml:space="preserve"> </w:t>
      </w:r>
      <w:r w:rsidR="00AE2905">
        <w:t xml:space="preserve"> a</w:t>
      </w:r>
      <w:proofErr w:type="gramEnd"/>
      <w:r w:rsidR="00AE2905">
        <w:t xml:space="preserve"> </w:t>
      </w:r>
      <w:r w:rsidR="00720CE1">
        <w:t xml:space="preserve">State </w:t>
      </w:r>
      <w:r w:rsidR="00AE2905">
        <w:t>is</w:t>
      </w:r>
      <w:r w:rsidR="00720CE1">
        <w:t xml:space="preserve"> required to </w:t>
      </w:r>
      <w:r w:rsidR="00720CE1" w:rsidRPr="00720CE1">
        <w:t xml:space="preserve">take steps </w:t>
      </w:r>
      <w:r w:rsidR="00AE2905">
        <w:t>‘</w:t>
      </w:r>
      <w:r w:rsidR="00720CE1" w:rsidRPr="00720CE1">
        <w:t>to the maximum of its available resources, with a view to achieving progressively the full realisation</w:t>
      </w:r>
      <w:r w:rsidR="00AE2905">
        <w:t>’</w:t>
      </w:r>
      <w:r w:rsidR="00720CE1" w:rsidRPr="00720CE1">
        <w:t xml:space="preserve"> of the rights recognised in ICESCR.</w:t>
      </w:r>
    </w:p>
    <w:p w14:paraId="2DEAEF85" w14:textId="77777777" w:rsidR="003110FF" w:rsidRPr="006C38EA" w:rsidRDefault="003110FF" w:rsidP="003110FF"/>
    <w:p w14:paraId="28F3983C" w14:textId="6EF4CC77" w:rsidR="003110FF" w:rsidRPr="006C38EA" w:rsidRDefault="003110FF" w:rsidP="003110FF">
      <w:r w:rsidRPr="006C38EA">
        <w:t xml:space="preserve">Article 4 of ICESCR provides that this right may be subject to such limitations ‘as are determined by law only in so far as this may be compatible with the nature of these rights and solely for the purpose of promoting the general welfare in a democratic society’. </w:t>
      </w:r>
      <w:r w:rsidR="00F06B4D">
        <w:t>The</w:t>
      </w:r>
      <w:r w:rsidRPr="006C38EA">
        <w:t xml:space="preserve"> limitations must be proportionate</w:t>
      </w:r>
      <w:r w:rsidR="00F06B4D">
        <w:t xml:space="preserve"> </w:t>
      </w:r>
      <w:r w:rsidR="00F06B4D" w:rsidRPr="0001539D">
        <w:t>and must be the least restrictive alternative where several types of limitations are available</w:t>
      </w:r>
      <w:r w:rsidRPr="006C38EA">
        <w:t>.</w:t>
      </w:r>
    </w:p>
    <w:p w14:paraId="6C48D2E5" w14:textId="77777777" w:rsidR="00BB0FFF" w:rsidRDefault="00BB0FFF" w:rsidP="00BC64FD">
      <w:pPr>
        <w:rPr>
          <w:u w:val="single"/>
        </w:rPr>
      </w:pPr>
    </w:p>
    <w:p w14:paraId="70555A67" w14:textId="77777777" w:rsidR="00180BAB" w:rsidRDefault="00BC64FD" w:rsidP="00180BAB">
      <w:pPr>
        <w:rPr>
          <w:u w:val="single"/>
        </w:rPr>
      </w:pPr>
      <w:r w:rsidRPr="006C38EA">
        <w:rPr>
          <w:u w:val="single"/>
        </w:rPr>
        <w:t>Permissible limitations</w:t>
      </w:r>
    </w:p>
    <w:p w14:paraId="07DED44E" w14:textId="77777777" w:rsidR="00180BAB" w:rsidRDefault="00180BAB" w:rsidP="00180BAB">
      <w:pPr>
        <w:rPr>
          <w:u w:val="single"/>
        </w:rPr>
      </w:pPr>
    </w:p>
    <w:p w14:paraId="4A77B272" w14:textId="0002F3DE" w:rsidR="00180BAB" w:rsidRPr="008B6DA8" w:rsidRDefault="003A6184" w:rsidP="00180BAB">
      <w:r>
        <w:t>A</w:t>
      </w:r>
      <w:r w:rsidR="00BC64FD" w:rsidRPr="006C38EA">
        <w:t xml:space="preserve">ny limitation on the enjoyment of </w:t>
      </w:r>
      <w:r w:rsidR="00AE2905">
        <w:t xml:space="preserve">the right in </w:t>
      </w:r>
      <w:r w:rsidR="00BC64FD" w:rsidRPr="006C38EA">
        <w:t xml:space="preserve">Article 11(1), to the extent that it occurs, is </w:t>
      </w:r>
      <w:r w:rsidR="00C55DBD">
        <w:t xml:space="preserve">reasonable and necessary to achieve the objective sought and is proportionate due to the targeted nature of the financial </w:t>
      </w:r>
      <w:r w:rsidR="00C55DBD" w:rsidRPr="00C91C9D">
        <w:t>sanctions imposed.</w:t>
      </w:r>
      <w:r w:rsidR="00BC64FD" w:rsidRPr="00C91C9D">
        <w:t xml:space="preserve"> </w:t>
      </w:r>
      <w:r w:rsidR="00790C41" w:rsidRPr="00C91C9D">
        <w:t xml:space="preserve">The </w:t>
      </w:r>
      <w:r w:rsidR="003162C4">
        <w:t xml:space="preserve">Amendment </w:t>
      </w:r>
      <w:r w:rsidR="00790C41" w:rsidRPr="00C91C9D">
        <w:t xml:space="preserve">Regulations also provide sufficient flexibility to </w:t>
      </w:r>
      <w:r w:rsidR="004558E9">
        <w:t>allow</w:t>
      </w:r>
      <w:r w:rsidR="00790C41" w:rsidRPr="00C91C9D">
        <w:t xml:space="preserve"> for any adverse impacts on family members </w:t>
      </w:r>
      <w:proofErr w:type="gramStart"/>
      <w:r w:rsidR="00790C41" w:rsidRPr="00C91C9D">
        <w:t>as a consequence of</w:t>
      </w:r>
      <w:proofErr w:type="gramEnd"/>
      <w:r w:rsidR="00790C41" w:rsidRPr="00C91C9D">
        <w:t xml:space="preserve"> </w:t>
      </w:r>
      <w:r w:rsidR="00790C41" w:rsidRPr="00363416">
        <w:t xml:space="preserve">targeted financial sanctions to be mitigated. </w:t>
      </w:r>
      <w:r w:rsidR="00BC64FD" w:rsidRPr="00363416">
        <w:t xml:space="preserve">The </w:t>
      </w:r>
      <w:r w:rsidR="00BB0FFF" w:rsidRPr="00363416">
        <w:t xml:space="preserve">Amendment </w:t>
      </w:r>
      <w:r w:rsidR="00BC64FD" w:rsidRPr="00363416">
        <w:t xml:space="preserve">Regulations </w:t>
      </w:r>
      <w:r w:rsidR="00522EE1" w:rsidRPr="00363416">
        <w:t>provide</w:t>
      </w:r>
      <w:r w:rsidR="00BC64FD" w:rsidRPr="00363416">
        <w:t xml:space="preserve"> for the payment of b</w:t>
      </w:r>
      <w:r w:rsidR="00522EE1" w:rsidRPr="00363416">
        <w:t xml:space="preserve">asic expenses (among others) </w:t>
      </w:r>
      <w:r w:rsidR="00BC64FD" w:rsidRPr="00363416">
        <w:t>in certain circumstances</w:t>
      </w:r>
      <w:r w:rsidR="00370C33" w:rsidRPr="00363416">
        <w:t xml:space="preserve">, </w:t>
      </w:r>
      <w:r w:rsidR="00B641FC" w:rsidRPr="00363416">
        <w:t xml:space="preserve">notably where </w:t>
      </w:r>
      <w:r w:rsidR="009F0431" w:rsidRPr="00363416">
        <w:t>the Minister grants</w:t>
      </w:r>
      <w:r w:rsidR="000C39CF" w:rsidRPr="00363416">
        <w:t xml:space="preserve"> a</w:t>
      </w:r>
      <w:r w:rsidR="009F0431" w:rsidRPr="00363416">
        <w:t xml:space="preserve"> </w:t>
      </w:r>
      <w:r w:rsidR="00B641FC" w:rsidRPr="00363416">
        <w:t xml:space="preserve">permit </w:t>
      </w:r>
      <w:r w:rsidR="000C39CF" w:rsidRPr="00363416">
        <w:t xml:space="preserve">on application </w:t>
      </w:r>
      <w:r w:rsidR="00A61F90" w:rsidRPr="00363416">
        <w:t xml:space="preserve">under the </w:t>
      </w:r>
      <w:r w:rsidR="00A61F90" w:rsidRPr="00363416">
        <w:rPr>
          <w:i/>
        </w:rPr>
        <w:t>Charter of the United Nations (Sanctions</w:t>
      </w:r>
      <w:r w:rsidR="00A61F90" w:rsidRPr="00363416">
        <w:t>—</w:t>
      </w:r>
      <w:r w:rsidR="00A61F90" w:rsidRPr="00363416">
        <w:rPr>
          <w:i/>
        </w:rPr>
        <w:t>Haiti) Regulations 2025</w:t>
      </w:r>
      <w:r w:rsidR="00BC64FD" w:rsidRPr="00363416">
        <w:t xml:space="preserve">. The objective of the </w:t>
      </w:r>
      <w:r w:rsidR="000E5812" w:rsidRPr="00363416">
        <w:t xml:space="preserve">provisions allowing for the </w:t>
      </w:r>
      <w:r w:rsidR="000E5812" w:rsidRPr="00C91C9D">
        <w:t xml:space="preserve">payment of basic expenses </w:t>
      </w:r>
      <w:r w:rsidR="000E5812">
        <w:t xml:space="preserve">in certain circumstances </w:t>
      </w:r>
      <w:r w:rsidR="00BC64FD" w:rsidRPr="00C91C9D">
        <w:t xml:space="preserve">is, in part, to enable the Australian Government to administer </w:t>
      </w:r>
      <w:r w:rsidR="00C91C9D" w:rsidRPr="00C91C9D">
        <w:t>its</w:t>
      </w:r>
      <w:r w:rsidR="00BC64FD" w:rsidRPr="00C91C9D">
        <w:t xml:space="preserve"> sanctions </w:t>
      </w:r>
      <w:r w:rsidR="00CE1EB5" w:rsidRPr="00C91C9D">
        <w:t>frameworks</w:t>
      </w:r>
      <w:r w:rsidR="00BC64FD" w:rsidRPr="00C91C9D">
        <w:t xml:space="preserve"> in a manner compatible with relevant human rights standards. </w:t>
      </w:r>
    </w:p>
    <w:p w14:paraId="6E9703B5" w14:textId="5CF0363C" w:rsidR="00180BAB" w:rsidRDefault="00180BAB" w:rsidP="008B6DA8"/>
    <w:p w14:paraId="25837963" w14:textId="1606B33D" w:rsidR="00BC64FD" w:rsidRPr="006C38EA" w:rsidRDefault="008B6DA8" w:rsidP="008B6DA8">
      <w:r>
        <w:t>The</w:t>
      </w:r>
      <w:r w:rsidR="00BC64FD" w:rsidRPr="006C38EA">
        <w:t xml:space="preserve"> permit process is a flexible and effective safeguard on any limitation to the enjoyment of </w:t>
      </w:r>
      <w:r w:rsidR="00AE2905">
        <w:t xml:space="preserve">the right in </w:t>
      </w:r>
      <w:r w:rsidR="00BC64FD" w:rsidRPr="006C38EA">
        <w:t>Article 11(1).</w:t>
      </w:r>
    </w:p>
    <w:p w14:paraId="7E930202" w14:textId="683E864A" w:rsidR="001472DE" w:rsidRPr="008B6DA8" w:rsidRDefault="001472DE" w:rsidP="008B6DA8"/>
    <w:p w14:paraId="40CAAE71" w14:textId="23773DA4" w:rsidR="00AA567A" w:rsidRPr="006C38EA" w:rsidRDefault="00BC64FD" w:rsidP="00AA567A">
      <w:pPr>
        <w:rPr>
          <w:b/>
        </w:rPr>
      </w:pPr>
      <w:r w:rsidRPr="006C38EA">
        <w:rPr>
          <w:b/>
        </w:rPr>
        <w:t>Right</w:t>
      </w:r>
      <w:r w:rsidR="00651459">
        <w:rPr>
          <w:b/>
        </w:rPr>
        <w:t>s of</w:t>
      </w:r>
      <w:r w:rsidRPr="006C38EA">
        <w:rPr>
          <w:b/>
        </w:rPr>
        <w:t xml:space="preserve"> equality and </w:t>
      </w:r>
      <w:r w:rsidR="00AA567A" w:rsidRPr="006C38EA">
        <w:rPr>
          <w:b/>
        </w:rPr>
        <w:t>non-discrimination</w:t>
      </w:r>
    </w:p>
    <w:p w14:paraId="6A852EDD" w14:textId="3A9301AA" w:rsidR="00BC64FD" w:rsidRPr="006C38EA" w:rsidRDefault="00BC64FD" w:rsidP="001472DE">
      <w:pPr>
        <w:keepNext/>
        <w:keepLines/>
        <w:rPr>
          <w:b/>
        </w:rPr>
      </w:pPr>
    </w:p>
    <w:p w14:paraId="5702773D" w14:textId="77777777" w:rsidR="00023614" w:rsidRDefault="00023614" w:rsidP="00023614">
      <w:pPr>
        <w:rPr>
          <w:u w:val="single"/>
        </w:rPr>
      </w:pPr>
      <w:r w:rsidRPr="006C38EA">
        <w:rPr>
          <w:u w:val="single"/>
        </w:rPr>
        <w:t>Right</w:t>
      </w:r>
    </w:p>
    <w:p w14:paraId="1263C7E7" w14:textId="77777777" w:rsidR="00BC64FD" w:rsidRPr="006C38EA" w:rsidRDefault="00BC64FD" w:rsidP="00BC64FD">
      <w:pPr>
        <w:rPr>
          <w:b/>
        </w:rPr>
      </w:pPr>
    </w:p>
    <w:p w14:paraId="18F8A6D0" w14:textId="6F1D7C25" w:rsidR="00BC64FD" w:rsidRPr="006C38EA" w:rsidRDefault="00BC64FD" w:rsidP="00BC64FD">
      <w:r w:rsidRPr="006C38EA">
        <w:t xml:space="preserve">The right to equality and non-discrimination under </w:t>
      </w:r>
      <w:r w:rsidR="006F1B58" w:rsidRPr="006C38EA">
        <w:t>Article</w:t>
      </w:r>
      <w:r w:rsidR="006F1B58">
        <w:t>s 2, 16 and</w:t>
      </w:r>
      <w:r w:rsidR="006F1B58" w:rsidRPr="006C38EA">
        <w:t xml:space="preserve"> 26 </w:t>
      </w:r>
      <w:r w:rsidRPr="006C38EA">
        <w:t>of the ICCPR provide that everyone is entitled to enjoy their rights without discrimination o</w:t>
      </w:r>
      <w:r w:rsidR="00722840">
        <w:t>n</w:t>
      </w:r>
      <w:r w:rsidRPr="006C38EA">
        <w:t xml:space="preserve"> any </w:t>
      </w:r>
      <w:r w:rsidR="00722840">
        <w:t>grounds</w:t>
      </w:r>
      <w:r w:rsidRPr="006C38EA">
        <w:t>, and that people are equal before the law and are entitled to the equal and non-</w:t>
      </w:r>
      <w:r w:rsidR="00722840" w:rsidRPr="006C38EA">
        <w:t>discriminat</w:t>
      </w:r>
      <w:r w:rsidR="00722840">
        <w:t>e</w:t>
      </w:r>
      <w:r w:rsidR="00722840" w:rsidRPr="006C38EA">
        <w:t xml:space="preserve"> </w:t>
      </w:r>
      <w:r w:rsidRPr="006C38EA">
        <w:t>protection of the law.</w:t>
      </w:r>
    </w:p>
    <w:p w14:paraId="16242E64" w14:textId="77777777" w:rsidR="00BC64FD" w:rsidRPr="006C38EA" w:rsidRDefault="00BC64FD" w:rsidP="00BC64FD"/>
    <w:p w14:paraId="051467FB" w14:textId="758D6725" w:rsidR="00BC64FD" w:rsidRPr="006C38EA" w:rsidRDefault="00416590" w:rsidP="00BC64FD">
      <w:r w:rsidRPr="009C6786">
        <w:t>Discrimination is impermissible differential treatment among persons or groups that result</w:t>
      </w:r>
      <w:r w:rsidR="00AE2905">
        <w:t>s</w:t>
      </w:r>
      <w:r w:rsidRPr="009C6786">
        <w:t xml:space="preserve"> in a person or a group being treated less favourably than others, based on one of the prohibited grounds for discrimination. </w:t>
      </w:r>
      <w:r>
        <w:t>However, d</w:t>
      </w:r>
      <w:r w:rsidR="00BC64FD" w:rsidRPr="006C38EA">
        <w:t xml:space="preserve">ifferential treatment (including the differential effect of a measure that is neutral on its face) will not constitute unlawful discrimination if the differential treatment is based on reasonable and objective criteria, serves a legitimate </w:t>
      </w:r>
      <w:r w:rsidR="00EA3D14">
        <w:t>purpose</w:t>
      </w:r>
      <w:r w:rsidR="00BC64FD" w:rsidRPr="006C38EA">
        <w:t xml:space="preserve">, and is a proportionate means of achieving that </w:t>
      </w:r>
      <w:r w:rsidR="00EA3D14">
        <w:t>purpose</w:t>
      </w:r>
      <w:r w:rsidR="00BC64FD" w:rsidRPr="006C38EA">
        <w:t>.</w:t>
      </w:r>
    </w:p>
    <w:p w14:paraId="1C27E4C9" w14:textId="77777777" w:rsidR="00BC64FD" w:rsidRPr="006C38EA" w:rsidRDefault="00BC64FD" w:rsidP="00BC64FD"/>
    <w:p w14:paraId="4180BE3F" w14:textId="77777777" w:rsidR="00BC64FD" w:rsidRPr="006C38EA" w:rsidRDefault="00BC64FD" w:rsidP="00BC64FD">
      <w:pPr>
        <w:rPr>
          <w:u w:val="single"/>
        </w:rPr>
      </w:pPr>
      <w:r w:rsidRPr="006C38EA">
        <w:rPr>
          <w:u w:val="single"/>
        </w:rPr>
        <w:t>Permissible limitations</w:t>
      </w:r>
    </w:p>
    <w:p w14:paraId="030F5ED1" w14:textId="77777777" w:rsidR="00BC64FD" w:rsidRPr="006C38EA" w:rsidRDefault="00BC64FD" w:rsidP="00BC64FD"/>
    <w:p w14:paraId="7FB528ED" w14:textId="32B057E7" w:rsidR="00BC64FD" w:rsidRPr="006C38EA" w:rsidRDefault="0074367F" w:rsidP="00BC64FD">
      <w:r>
        <w:t>A</w:t>
      </w:r>
      <w:r w:rsidR="00BC64FD" w:rsidRPr="006C38EA">
        <w:t xml:space="preserve">ny differential treatment of people </w:t>
      </w:r>
      <w:proofErr w:type="gramStart"/>
      <w:r w:rsidR="00BC64FD" w:rsidRPr="006C38EA">
        <w:t>as a consequence of</w:t>
      </w:r>
      <w:proofErr w:type="gramEnd"/>
      <w:r w:rsidR="00BC64FD" w:rsidRPr="006C38EA">
        <w:t xml:space="preserve"> the application of the </w:t>
      </w:r>
      <w:r w:rsidR="00BB0FFF">
        <w:t xml:space="preserve">Amendment </w:t>
      </w:r>
      <w:r w:rsidR="00BC64FD" w:rsidRPr="006C38EA">
        <w:t>Regulations does not amount to discrimination pursuant to Article 26 of the ICCPR.</w:t>
      </w:r>
      <w:r w:rsidR="000F6CCB">
        <w:t xml:space="preserve"> </w:t>
      </w:r>
    </w:p>
    <w:p w14:paraId="63F0045C" w14:textId="77777777" w:rsidR="00BC64FD" w:rsidRPr="006C38EA" w:rsidRDefault="00BC64FD" w:rsidP="00BC64FD"/>
    <w:p w14:paraId="5C7A1BA3" w14:textId="4572F996" w:rsidR="00BB711E" w:rsidRDefault="00BB0FFF" w:rsidP="00BB711E">
      <w:pPr>
        <w:rPr>
          <w:color w:val="FF0000"/>
          <w:lang w:val="en-US"/>
        </w:rPr>
      </w:pPr>
      <w:r>
        <w:t>T</w:t>
      </w:r>
      <w:r w:rsidRPr="006914DF">
        <w:t xml:space="preserve">he objective of the </w:t>
      </w:r>
      <w:r>
        <w:t xml:space="preserve">Amendment </w:t>
      </w:r>
      <w:r w:rsidRPr="006914DF">
        <w:t xml:space="preserve">Regulations is </w:t>
      </w:r>
      <w:r w:rsidR="00BB711E">
        <w:t>to give</w:t>
      </w:r>
      <w:r w:rsidR="00BB711E" w:rsidRPr="00B872A4">
        <w:rPr>
          <w:lang w:val="en-US"/>
        </w:rPr>
        <w:t xml:space="preserve"> effect to sanctions-related decisions of the UNSC</w:t>
      </w:r>
      <w:r w:rsidR="00BB711E" w:rsidRPr="00B872A4">
        <w:t xml:space="preserve"> in </w:t>
      </w:r>
      <w:r w:rsidR="00BB711E" w:rsidRPr="00767B2E">
        <w:t>response to high levels of gang violence, human rights abuses and other criminal activities</w:t>
      </w:r>
      <w:r w:rsidR="00BB711E">
        <w:t>,</w:t>
      </w:r>
      <w:r w:rsidR="00BB711E" w:rsidRPr="00767B2E">
        <w:t xml:space="preserve"> </w:t>
      </w:r>
      <w:r w:rsidR="00BB711E">
        <w:t>undermining the</w:t>
      </w:r>
      <w:r w:rsidR="00BB711E" w:rsidRPr="00082966">
        <w:t xml:space="preserve"> peace, stability and security of Haiti and its regi</w:t>
      </w:r>
      <w:r w:rsidR="00BB711E">
        <w:t>on</w:t>
      </w:r>
      <w:r w:rsidR="00BB711E" w:rsidRPr="00123D9F">
        <w:t>.</w:t>
      </w:r>
      <w:r w:rsidR="00BB711E" w:rsidRPr="00B45D22">
        <w:rPr>
          <w:color w:val="FF0000"/>
          <w:lang w:val="en-US"/>
        </w:rPr>
        <w:t xml:space="preserve"> </w:t>
      </w:r>
    </w:p>
    <w:p w14:paraId="05AEC3B6" w14:textId="53831740" w:rsidR="00BB0FFF" w:rsidRDefault="00BB0FFF" w:rsidP="00BC64FD"/>
    <w:p w14:paraId="09A64D3C" w14:textId="65B2036F" w:rsidR="00D85A9A" w:rsidRPr="006914DF" w:rsidRDefault="00CE379D" w:rsidP="00CE379D">
      <w:r>
        <w:t xml:space="preserve">On the basis that the Amendment Regulations relate to </w:t>
      </w:r>
      <w:r w:rsidR="00D85A9A">
        <w:t xml:space="preserve">actions </w:t>
      </w:r>
      <w:r w:rsidR="00D85A9A" w:rsidRPr="006914DF">
        <w:t xml:space="preserve">which threaten </w:t>
      </w:r>
      <w:r w:rsidR="00D85A9A">
        <w:t>Haiti’s</w:t>
      </w:r>
      <w:r w:rsidR="00D85A9A" w:rsidRPr="006914DF">
        <w:t xml:space="preserve"> peace, security, and stability</w:t>
      </w:r>
      <w:r w:rsidR="00D85A9A">
        <w:t xml:space="preserve">, it is possible that the Haiti Sanctions Committee may be more likely to designate people with Haitian nationality or of Haitian national origin. Any such difference in treatment </w:t>
      </w:r>
      <w:proofErr w:type="gramStart"/>
      <w:r w:rsidR="00D85A9A">
        <w:t>on the basis of</w:t>
      </w:r>
      <w:proofErr w:type="gramEnd"/>
      <w:r w:rsidR="00D85A9A">
        <w:t xml:space="preserve"> nationality or national origin would have an objective and justifiable basis and would be reasonable and proportionate in the circumstances of each case</w:t>
      </w:r>
      <w:r>
        <w:t>.</w:t>
      </w:r>
      <w:r w:rsidR="000F6CCB">
        <w:t xml:space="preserve">  </w:t>
      </w:r>
    </w:p>
    <w:p w14:paraId="3B56E571" w14:textId="77777777" w:rsidR="00CE379D" w:rsidRDefault="00CE379D" w:rsidP="00BC64FD"/>
    <w:p w14:paraId="3F3D3BDA" w14:textId="395F22E1" w:rsidR="007167D7" w:rsidRPr="00CC5AEF" w:rsidRDefault="007167D7" w:rsidP="00BC64FD">
      <w:r w:rsidRPr="00D82778">
        <w:t xml:space="preserve">The designation criteria contained in </w:t>
      </w:r>
      <w:r w:rsidR="0078690D" w:rsidRPr="006C38EA">
        <w:t xml:space="preserve">paragraph </w:t>
      </w:r>
      <w:r w:rsidR="0078690D">
        <w:t>15</w:t>
      </w:r>
      <w:r w:rsidR="0078690D" w:rsidRPr="006C38EA">
        <w:t xml:space="preserve"> of </w:t>
      </w:r>
      <w:r w:rsidR="0078690D" w:rsidRPr="006C38EA">
        <w:rPr>
          <w:lang w:eastAsia="en-AU"/>
        </w:rPr>
        <w:t xml:space="preserve">UNSCR </w:t>
      </w:r>
      <w:r w:rsidR="0078690D">
        <w:rPr>
          <w:lang w:eastAsia="en-AU"/>
        </w:rPr>
        <w:t xml:space="preserve">2653 </w:t>
      </w:r>
      <w:r w:rsidR="0078690D" w:rsidRPr="006C38EA">
        <w:t xml:space="preserve">are reasonable and objective. They are reasonable </w:t>
      </w:r>
      <w:r w:rsidR="0078690D">
        <w:t>in that</w:t>
      </w:r>
      <w:r w:rsidR="0078690D" w:rsidRPr="006C38EA">
        <w:t xml:space="preserve"> they relate only to </w:t>
      </w:r>
      <w:r w:rsidR="0078690D">
        <w:t xml:space="preserve">the situation in </w:t>
      </w:r>
      <w:proofErr w:type="gramStart"/>
      <w:r w:rsidR="0078690D">
        <w:t>Haiti, and</w:t>
      </w:r>
      <w:proofErr w:type="gramEnd"/>
      <w:r w:rsidR="0078690D">
        <w:t xml:space="preserve"> apply notably in relation to actions </w:t>
      </w:r>
      <w:r w:rsidR="0078690D" w:rsidRPr="006C38EA">
        <w:t xml:space="preserve">which the UNSC has specifically determined </w:t>
      </w:r>
      <w:r w:rsidR="0078690D" w:rsidRPr="006914DF">
        <w:t xml:space="preserve">threaten </w:t>
      </w:r>
      <w:r w:rsidR="0078690D">
        <w:t>Haiti’s</w:t>
      </w:r>
      <w:r w:rsidR="0078690D" w:rsidRPr="006914DF">
        <w:t xml:space="preserve"> peace, sec</w:t>
      </w:r>
      <w:r w:rsidR="0078690D">
        <w:t>urity, and stability.</w:t>
      </w:r>
      <w:r w:rsidR="0078690D" w:rsidRPr="006C38EA">
        <w:t xml:space="preserve"> The criteria are also objective, as they provide a clear, consistent </w:t>
      </w:r>
      <w:r w:rsidR="0078690D" w:rsidRPr="00CC5AEF">
        <w:t xml:space="preserve">and objectively verifiable reference point by which the UNSC </w:t>
      </w:r>
      <w:proofErr w:type="gramStart"/>
      <w:r w:rsidR="0078690D" w:rsidRPr="00CC5AEF">
        <w:t>is able to</w:t>
      </w:r>
      <w:proofErr w:type="gramEnd"/>
      <w:r w:rsidR="0078690D" w:rsidRPr="00CC5AEF">
        <w:t xml:space="preserve"> make a designation</w:t>
      </w:r>
      <w:r w:rsidRPr="00CC5AEF">
        <w:t xml:space="preserve">. The Amendment Regulations serve a legitimate objective, as discussed above. </w:t>
      </w:r>
    </w:p>
    <w:p w14:paraId="0F20AE39" w14:textId="73497A96" w:rsidR="00BC64FD" w:rsidRPr="00CC5AEF" w:rsidRDefault="00BC64FD" w:rsidP="00BC64FD"/>
    <w:p w14:paraId="5F8ABD4D" w14:textId="77777777" w:rsidR="001C2834" w:rsidRPr="00CC5AEF" w:rsidRDefault="007167D7" w:rsidP="007167D7">
      <w:r w:rsidRPr="00CC5AEF">
        <w:t xml:space="preserve">Finally, the </w:t>
      </w:r>
      <w:r w:rsidR="008E28A7" w:rsidRPr="00CC5AEF">
        <w:t xml:space="preserve">Amendment </w:t>
      </w:r>
      <w:r w:rsidRPr="00CC5AEF">
        <w:t xml:space="preserve">Regulations are </w:t>
      </w:r>
      <w:r w:rsidR="00DF0594" w:rsidRPr="00CC5AEF">
        <w:t>necessary and proportionate</w:t>
      </w:r>
      <w:r w:rsidRPr="00CC5AEF">
        <w:t xml:space="preserve">. </w:t>
      </w:r>
      <w:r w:rsidR="001C2834" w:rsidRPr="00CC5AEF">
        <w:t xml:space="preserve">The imposition of financial sanctions </w:t>
      </w:r>
      <w:r w:rsidR="001C2834" w:rsidRPr="00CC5AEF">
        <w:rPr>
          <w:lang w:val="en-US"/>
        </w:rPr>
        <w:t>is a highly targeted, justified and minimally rights-restrictive means of achieving the aims of the Amendment</w:t>
      </w:r>
      <w:r w:rsidRPr="00CC5AEF">
        <w:t xml:space="preserve"> Regulations. </w:t>
      </w:r>
    </w:p>
    <w:p w14:paraId="09D1CF77" w14:textId="77777777" w:rsidR="001C2834" w:rsidRPr="00CC5AEF" w:rsidRDefault="001C2834" w:rsidP="007167D7"/>
    <w:p w14:paraId="251A705A" w14:textId="193589DE" w:rsidR="00A804F5" w:rsidRPr="00A804F5" w:rsidRDefault="007B7C8B" w:rsidP="00A804F5">
      <w:r w:rsidRPr="00CC5AEF">
        <w:t xml:space="preserve">The Government does not have information </w:t>
      </w:r>
      <w:r w:rsidRPr="00367184">
        <w:t xml:space="preserve">that supports the view that affected groups are vulnerable. Rather, those subject to targeted financial sanctions are persons the </w:t>
      </w:r>
      <w:r>
        <w:t xml:space="preserve">Haiti Sanctions </w:t>
      </w:r>
      <w:r w:rsidRPr="00367184">
        <w:t xml:space="preserve">Committee has specifically determined, </w:t>
      </w:r>
      <w:proofErr w:type="gramStart"/>
      <w:r w:rsidRPr="00367184">
        <w:t>on the basis of</w:t>
      </w:r>
      <w:proofErr w:type="gramEnd"/>
      <w:r w:rsidRPr="00367184">
        <w:t xml:space="preserve"> the criteria established by the UNSC, are involved in actions that threaten Haiti’s peace, security, and stability.</w:t>
      </w:r>
      <w:r w:rsidR="000F6CCB">
        <w:t xml:space="preserve"> </w:t>
      </w:r>
      <w:r w:rsidRPr="00367184">
        <w:t>Further, there are several safeguards, such as the availability of judicial review, in place to ensure that any limitation is proportionate to the objective being sought</w:t>
      </w:r>
      <w:r w:rsidR="007167D7" w:rsidRPr="006C38EA">
        <w:t>.</w:t>
      </w:r>
    </w:p>
    <w:sectPr w:rsidR="00A804F5" w:rsidRPr="00A804F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5D1BB" w14:textId="77777777" w:rsidR="00CF0E51" w:rsidRDefault="00CF0E51" w:rsidP="00F206F6">
      <w:r>
        <w:separator/>
      </w:r>
    </w:p>
  </w:endnote>
  <w:endnote w:type="continuationSeparator" w:id="0">
    <w:p w14:paraId="102E3F50" w14:textId="77777777" w:rsidR="00CF0E51" w:rsidRDefault="00CF0E51" w:rsidP="00F20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45164" w14:textId="77777777" w:rsidR="00CF0E51" w:rsidRDefault="00CF0E51" w:rsidP="00F206F6">
      <w:r>
        <w:separator/>
      </w:r>
    </w:p>
  </w:footnote>
  <w:footnote w:type="continuationSeparator" w:id="0">
    <w:p w14:paraId="0BED3E29" w14:textId="77777777" w:rsidR="00CF0E51" w:rsidRDefault="00CF0E51" w:rsidP="00F206F6">
      <w:r>
        <w:continuationSeparator/>
      </w:r>
    </w:p>
  </w:footnote>
  <w:footnote w:id="1">
    <w:p w14:paraId="1B3B81D0" w14:textId="39567820" w:rsidR="004836FB" w:rsidRPr="00740654" w:rsidRDefault="004836FB">
      <w:pPr>
        <w:pStyle w:val="FootnoteText"/>
        <w:rPr>
          <w:rFonts w:ascii="Times New Roman" w:hAnsi="Times New Roman" w:cs="Times New Roman"/>
          <w:lang w:val="en-US"/>
        </w:rPr>
      </w:pPr>
      <w:r w:rsidRPr="00740654">
        <w:rPr>
          <w:rStyle w:val="FootnoteReference"/>
          <w:rFonts w:ascii="Times New Roman" w:hAnsi="Times New Roman" w:cs="Times New Roman"/>
        </w:rPr>
        <w:footnoteRef/>
      </w:r>
      <w:r w:rsidRPr="00740654">
        <w:rPr>
          <w:rFonts w:ascii="Times New Roman" w:hAnsi="Times New Roman" w:cs="Times New Roman"/>
        </w:rPr>
        <w:t xml:space="preserve"> </w:t>
      </w:r>
      <w:r w:rsidRPr="00740654">
        <w:rPr>
          <w:rStyle w:val="None"/>
          <w:rFonts w:ascii="Times New Roman" w:eastAsia="Arial Unicode MS" w:hAnsi="Times New Roman" w:cs="Times New Roman"/>
          <w:color w:val="auto"/>
          <w:u w:color="000000"/>
          <w:lang w:val="en-US"/>
        </w:rPr>
        <w:t>Manfred Nowak, United Nations Covenant on Civil and Political Rights: CCPR Commentary (NP Engel, 1993) 178.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56ADB"/>
    <w:multiLevelType w:val="hybridMultilevel"/>
    <w:tmpl w:val="1D56E76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289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4F5"/>
    <w:rsid w:val="00005BA4"/>
    <w:rsid w:val="0000736F"/>
    <w:rsid w:val="00007F5F"/>
    <w:rsid w:val="00012985"/>
    <w:rsid w:val="0001377B"/>
    <w:rsid w:val="00023614"/>
    <w:rsid w:val="00034199"/>
    <w:rsid w:val="000357E0"/>
    <w:rsid w:val="00046445"/>
    <w:rsid w:val="00054625"/>
    <w:rsid w:val="0006767D"/>
    <w:rsid w:val="00075904"/>
    <w:rsid w:val="000A185C"/>
    <w:rsid w:val="000A5C73"/>
    <w:rsid w:val="000A7DC4"/>
    <w:rsid w:val="000A7E21"/>
    <w:rsid w:val="000C33D8"/>
    <w:rsid w:val="000C39CF"/>
    <w:rsid w:val="000C616C"/>
    <w:rsid w:val="000D166C"/>
    <w:rsid w:val="000D29F1"/>
    <w:rsid w:val="000D4F73"/>
    <w:rsid w:val="000E1569"/>
    <w:rsid w:val="000E5812"/>
    <w:rsid w:val="000E7AD0"/>
    <w:rsid w:val="000F1EDA"/>
    <w:rsid w:val="000F6CCB"/>
    <w:rsid w:val="000F7B39"/>
    <w:rsid w:val="00102317"/>
    <w:rsid w:val="00104168"/>
    <w:rsid w:val="00105A6E"/>
    <w:rsid w:val="001110AC"/>
    <w:rsid w:val="00112C29"/>
    <w:rsid w:val="00143A3D"/>
    <w:rsid w:val="00147281"/>
    <w:rsid w:val="001472DE"/>
    <w:rsid w:val="00152D39"/>
    <w:rsid w:val="00156206"/>
    <w:rsid w:val="00180BAB"/>
    <w:rsid w:val="00186B37"/>
    <w:rsid w:val="00192C52"/>
    <w:rsid w:val="001A13B7"/>
    <w:rsid w:val="001B3EB4"/>
    <w:rsid w:val="001C057F"/>
    <w:rsid w:val="001C2834"/>
    <w:rsid w:val="001D6D21"/>
    <w:rsid w:val="001E01D7"/>
    <w:rsid w:val="001E561C"/>
    <w:rsid w:val="001F0BE4"/>
    <w:rsid w:val="00204488"/>
    <w:rsid w:val="00241195"/>
    <w:rsid w:val="00243504"/>
    <w:rsid w:val="00243716"/>
    <w:rsid w:val="002503DD"/>
    <w:rsid w:val="00251CB2"/>
    <w:rsid w:val="0025438E"/>
    <w:rsid w:val="002657FE"/>
    <w:rsid w:val="00272488"/>
    <w:rsid w:val="0028107C"/>
    <w:rsid w:val="00283004"/>
    <w:rsid w:val="002923A8"/>
    <w:rsid w:val="002A42EC"/>
    <w:rsid w:val="002B1A0B"/>
    <w:rsid w:val="002B27CB"/>
    <w:rsid w:val="002E04FB"/>
    <w:rsid w:val="002E2E36"/>
    <w:rsid w:val="002E346B"/>
    <w:rsid w:val="002E65CC"/>
    <w:rsid w:val="002F51C1"/>
    <w:rsid w:val="002F5420"/>
    <w:rsid w:val="003110FF"/>
    <w:rsid w:val="003162C4"/>
    <w:rsid w:val="00320276"/>
    <w:rsid w:val="00331F8F"/>
    <w:rsid w:val="003407F4"/>
    <w:rsid w:val="00344A74"/>
    <w:rsid w:val="00351771"/>
    <w:rsid w:val="00355378"/>
    <w:rsid w:val="003569EC"/>
    <w:rsid w:val="00363416"/>
    <w:rsid w:val="00370C33"/>
    <w:rsid w:val="00387AA5"/>
    <w:rsid w:val="003903F6"/>
    <w:rsid w:val="0039335A"/>
    <w:rsid w:val="003A6184"/>
    <w:rsid w:val="003A6DD2"/>
    <w:rsid w:val="00410A1A"/>
    <w:rsid w:val="00416590"/>
    <w:rsid w:val="004213DA"/>
    <w:rsid w:val="00421FDB"/>
    <w:rsid w:val="004461D8"/>
    <w:rsid w:val="004464D2"/>
    <w:rsid w:val="0045397E"/>
    <w:rsid w:val="004558E9"/>
    <w:rsid w:val="004577F5"/>
    <w:rsid w:val="00463E30"/>
    <w:rsid w:val="0047373A"/>
    <w:rsid w:val="00477BAD"/>
    <w:rsid w:val="004803B6"/>
    <w:rsid w:val="00483615"/>
    <w:rsid w:val="004836FB"/>
    <w:rsid w:val="00484700"/>
    <w:rsid w:val="004A2D90"/>
    <w:rsid w:val="004B70E0"/>
    <w:rsid w:val="004B7CEB"/>
    <w:rsid w:val="004D274C"/>
    <w:rsid w:val="004F121D"/>
    <w:rsid w:val="00503D34"/>
    <w:rsid w:val="0050456E"/>
    <w:rsid w:val="00511C8F"/>
    <w:rsid w:val="00517C70"/>
    <w:rsid w:val="00520987"/>
    <w:rsid w:val="00520A31"/>
    <w:rsid w:val="00521001"/>
    <w:rsid w:val="00522EE1"/>
    <w:rsid w:val="005241D4"/>
    <w:rsid w:val="00536998"/>
    <w:rsid w:val="0055009E"/>
    <w:rsid w:val="00552896"/>
    <w:rsid w:val="00575217"/>
    <w:rsid w:val="00583075"/>
    <w:rsid w:val="00585CD0"/>
    <w:rsid w:val="005A050B"/>
    <w:rsid w:val="005C3BA0"/>
    <w:rsid w:val="005C3D38"/>
    <w:rsid w:val="005E17B8"/>
    <w:rsid w:val="005E522F"/>
    <w:rsid w:val="00607F59"/>
    <w:rsid w:val="00614E2E"/>
    <w:rsid w:val="006167C4"/>
    <w:rsid w:val="00625075"/>
    <w:rsid w:val="006343F0"/>
    <w:rsid w:val="00637921"/>
    <w:rsid w:val="00644716"/>
    <w:rsid w:val="00644988"/>
    <w:rsid w:val="00651459"/>
    <w:rsid w:val="00651F1D"/>
    <w:rsid w:val="00657F3B"/>
    <w:rsid w:val="00663A5F"/>
    <w:rsid w:val="006727A9"/>
    <w:rsid w:val="006752C9"/>
    <w:rsid w:val="006A01F9"/>
    <w:rsid w:val="006B3B01"/>
    <w:rsid w:val="006B3E2B"/>
    <w:rsid w:val="006B5D58"/>
    <w:rsid w:val="006B72A3"/>
    <w:rsid w:val="006C1721"/>
    <w:rsid w:val="006E425C"/>
    <w:rsid w:val="006F1B58"/>
    <w:rsid w:val="007167D7"/>
    <w:rsid w:val="00720CE1"/>
    <w:rsid w:val="00722840"/>
    <w:rsid w:val="007242CC"/>
    <w:rsid w:val="00732E03"/>
    <w:rsid w:val="00740654"/>
    <w:rsid w:val="0074367F"/>
    <w:rsid w:val="00746671"/>
    <w:rsid w:val="0075287D"/>
    <w:rsid w:val="00757685"/>
    <w:rsid w:val="0076554D"/>
    <w:rsid w:val="007658C4"/>
    <w:rsid w:val="0076761F"/>
    <w:rsid w:val="007725E5"/>
    <w:rsid w:val="00773BAF"/>
    <w:rsid w:val="00775CAC"/>
    <w:rsid w:val="0078690D"/>
    <w:rsid w:val="00790C41"/>
    <w:rsid w:val="0079682A"/>
    <w:rsid w:val="007A2C24"/>
    <w:rsid w:val="007A3F18"/>
    <w:rsid w:val="007A6B79"/>
    <w:rsid w:val="007B1243"/>
    <w:rsid w:val="007B4D32"/>
    <w:rsid w:val="007B7C8B"/>
    <w:rsid w:val="007C5D66"/>
    <w:rsid w:val="007E5FCE"/>
    <w:rsid w:val="007E66F0"/>
    <w:rsid w:val="007F5ADA"/>
    <w:rsid w:val="00804B94"/>
    <w:rsid w:val="00811D84"/>
    <w:rsid w:val="0081490E"/>
    <w:rsid w:val="00822ADB"/>
    <w:rsid w:val="00824BFB"/>
    <w:rsid w:val="008253CD"/>
    <w:rsid w:val="00836DDA"/>
    <w:rsid w:val="00855E67"/>
    <w:rsid w:val="00867168"/>
    <w:rsid w:val="00874C9F"/>
    <w:rsid w:val="00885C69"/>
    <w:rsid w:val="00893B56"/>
    <w:rsid w:val="008A33FC"/>
    <w:rsid w:val="008B13B8"/>
    <w:rsid w:val="008B287D"/>
    <w:rsid w:val="008B2C21"/>
    <w:rsid w:val="008B4222"/>
    <w:rsid w:val="008B6DA8"/>
    <w:rsid w:val="008E28A7"/>
    <w:rsid w:val="008E31F9"/>
    <w:rsid w:val="008E33E9"/>
    <w:rsid w:val="008E7614"/>
    <w:rsid w:val="00911D03"/>
    <w:rsid w:val="00913F38"/>
    <w:rsid w:val="00923AAD"/>
    <w:rsid w:val="00926789"/>
    <w:rsid w:val="009403C8"/>
    <w:rsid w:val="00952ED4"/>
    <w:rsid w:val="00972911"/>
    <w:rsid w:val="00980902"/>
    <w:rsid w:val="009817FC"/>
    <w:rsid w:val="00983E53"/>
    <w:rsid w:val="009B111C"/>
    <w:rsid w:val="009B2AB7"/>
    <w:rsid w:val="009B3B11"/>
    <w:rsid w:val="009B41E7"/>
    <w:rsid w:val="009F0431"/>
    <w:rsid w:val="00A14383"/>
    <w:rsid w:val="00A14A47"/>
    <w:rsid w:val="00A23B68"/>
    <w:rsid w:val="00A402EA"/>
    <w:rsid w:val="00A41510"/>
    <w:rsid w:val="00A42DD6"/>
    <w:rsid w:val="00A5676C"/>
    <w:rsid w:val="00A5722E"/>
    <w:rsid w:val="00A60646"/>
    <w:rsid w:val="00A61F90"/>
    <w:rsid w:val="00A63BFB"/>
    <w:rsid w:val="00A64FA0"/>
    <w:rsid w:val="00A720B1"/>
    <w:rsid w:val="00A74710"/>
    <w:rsid w:val="00A76CF7"/>
    <w:rsid w:val="00A804F5"/>
    <w:rsid w:val="00A8519C"/>
    <w:rsid w:val="00A876DF"/>
    <w:rsid w:val="00A87B8A"/>
    <w:rsid w:val="00A92D3D"/>
    <w:rsid w:val="00A97EE1"/>
    <w:rsid w:val="00AA496C"/>
    <w:rsid w:val="00AA567A"/>
    <w:rsid w:val="00AA68A1"/>
    <w:rsid w:val="00AB6D36"/>
    <w:rsid w:val="00AC512E"/>
    <w:rsid w:val="00AD0369"/>
    <w:rsid w:val="00AD1961"/>
    <w:rsid w:val="00AD2761"/>
    <w:rsid w:val="00AD49F2"/>
    <w:rsid w:val="00AE272D"/>
    <w:rsid w:val="00AE2905"/>
    <w:rsid w:val="00AF1E2C"/>
    <w:rsid w:val="00AF3C81"/>
    <w:rsid w:val="00AF475C"/>
    <w:rsid w:val="00AF6765"/>
    <w:rsid w:val="00B00A1E"/>
    <w:rsid w:val="00B1630B"/>
    <w:rsid w:val="00B44DAB"/>
    <w:rsid w:val="00B62778"/>
    <w:rsid w:val="00B641FC"/>
    <w:rsid w:val="00B65B5D"/>
    <w:rsid w:val="00B71212"/>
    <w:rsid w:val="00B770DC"/>
    <w:rsid w:val="00B827BD"/>
    <w:rsid w:val="00B86258"/>
    <w:rsid w:val="00B9693D"/>
    <w:rsid w:val="00BA454A"/>
    <w:rsid w:val="00BB0FFF"/>
    <w:rsid w:val="00BB4419"/>
    <w:rsid w:val="00BB711E"/>
    <w:rsid w:val="00BC4316"/>
    <w:rsid w:val="00BC64FD"/>
    <w:rsid w:val="00BE681E"/>
    <w:rsid w:val="00BF2104"/>
    <w:rsid w:val="00BF2ACF"/>
    <w:rsid w:val="00C01FE3"/>
    <w:rsid w:val="00C03CA2"/>
    <w:rsid w:val="00C06931"/>
    <w:rsid w:val="00C17DEB"/>
    <w:rsid w:val="00C216D1"/>
    <w:rsid w:val="00C21EBF"/>
    <w:rsid w:val="00C306A6"/>
    <w:rsid w:val="00C327DC"/>
    <w:rsid w:val="00C33A6D"/>
    <w:rsid w:val="00C5026D"/>
    <w:rsid w:val="00C52FD2"/>
    <w:rsid w:val="00C5592D"/>
    <w:rsid w:val="00C55DBD"/>
    <w:rsid w:val="00C56A16"/>
    <w:rsid w:val="00C57C68"/>
    <w:rsid w:val="00C6080E"/>
    <w:rsid w:val="00C63A5F"/>
    <w:rsid w:val="00C71940"/>
    <w:rsid w:val="00C91C9D"/>
    <w:rsid w:val="00CA38A3"/>
    <w:rsid w:val="00CA681A"/>
    <w:rsid w:val="00CB4A11"/>
    <w:rsid w:val="00CC5AEF"/>
    <w:rsid w:val="00CD14E5"/>
    <w:rsid w:val="00CD6DFB"/>
    <w:rsid w:val="00CD7C4E"/>
    <w:rsid w:val="00CE0E4F"/>
    <w:rsid w:val="00CE1EB5"/>
    <w:rsid w:val="00CE2EC3"/>
    <w:rsid w:val="00CE379D"/>
    <w:rsid w:val="00CE6E6F"/>
    <w:rsid w:val="00CF0E51"/>
    <w:rsid w:val="00CF1BBB"/>
    <w:rsid w:val="00CF4D96"/>
    <w:rsid w:val="00CF77F4"/>
    <w:rsid w:val="00D012D8"/>
    <w:rsid w:val="00D02A00"/>
    <w:rsid w:val="00D03DA8"/>
    <w:rsid w:val="00D05B07"/>
    <w:rsid w:val="00D05B2E"/>
    <w:rsid w:val="00D14D7B"/>
    <w:rsid w:val="00D15BCE"/>
    <w:rsid w:val="00D1623E"/>
    <w:rsid w:val="00D1626B"/>
    <w:rsid w:val="00D245FC"/>
    <w:rsid w:val="00D30260"/>
    <w:rsid w:val="00D37E8E"/>
    <w:rsid w:val="00D461EC"/>
    <w:rsid w:val="00D462A6"/>
    <w:rsid w:val="00D51F2A"/>
    <w:rsid w:val="00D54D48"/>
    <w:rsid w:val="00D555CC"/>
    <w:rsid w:val="00D64185"/>
    <w:rsid w:val="00D64FAC"/>
    <w:rsid w:val="00D65370"/>
    <w:rsid w:val="00D755E8"/>
    <w:rsid w:val="00D82778"/>
    <w:rsid w:val="00D85A9A"/>
    <w:rsid w:val="00D95D58"/>
    <w:rsid w:val="00DB04D7"/>
    <w:rsid w:val="00DD163F"/>
    <w:rsid w:val="00DD43B9"/>
    <w:rsid w:val="00DE2D97"/>
    <w:rsid w:val="00DE3D9B"/>
    <w:rsid w:val="00DF0594"/>
    <w:rsid w:val="00DF340B"/>
    <w:rsid w:val="00E06C2A"/>
    <w:rsid w:val="00E072A0"/>
    <w:rsid w:val="00E11E2A"/>
    <w:rsid w:val="00E25BCB"/>
    <w:rsid w:val="00E27CF4"/>
    <w:rsid w:val="00E30BC7"/>
    <w:rsid w:val="00E456E2"/>
    <w:rsid w:val="00E56E06"/>
    <w:rsid w:val="00E63441"/>
    <w:rsid w:val="00E666F2"/>
    <w:rsid w:val="00E67DFD"/>
    <w:rsid w:val="00E86282"/>
    <w:rsid w:val="00E94899"/>
    <w:rsid w:val="00EA3D14"/>
    <w:rsid w:val="00EA7FAF"/>
    <w:rsid w:val="00EC38CF"/>
    <w:rsid w:val="00EC48DE"/>
    <w:rsid w:val="00EC7B79"/>
    <w:rsid w:val="00EE0193"/>
    <w:rsid w:val="00F0417F"/>
    <w:rsid w:val="00F06B4D"/>
    <w:rsid w:val="00F206F6"/>
    <w:rsid w:val="00F210C6"/>
    <w:rsid w:val="00F3044D"/>
    <w:rsid w:val="00F46D07"/>
    <w:rsid w:val="00F62561"/>
    <w:rsid w:val="00F6419D"/>
    <w:rsid w:val="00F80FBB"/>
    <w:rsid w:val="00F82F6B"/>
    <w:rsid w:val="00F877E9"/>
    <w:rsid w:val="00FA300D"/>
    <w:rsid w:val="00FB05E9"/>
    <w:rsid w:val="00FB1285"/>
    <w:rsid w:val="00FB257F"/>
    <w:rsid w:val="00FC1F0C"/>
    <w:rsid w:val="00FC43FA"/>
    <w:rsid w:val="00FC4585"/>
    <w:rsid w:val="00FD40DC"/>
    <w:rsid w:val="00FD4449"/>
    <w:rsid w:val="00FD4722"/>
    <w:rsid w:val="00FD7A04"/>
    <w:rsid w:val="00FD7CFA"/>
    <w:rsid w:val="00FF561E"/>
    <w:rsid w:val="550CC7A0"/>
    <w:rsid w:val="7CC365AF"/>
    <w:rsid w:val="7D192C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B7BEA2"/>
  <w15:docId w15:val="{FB2D08EA-AF9A-4A3F-B7B1-C0CF6B84D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04F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04168"/>
    <w:rPr>
      <w:color w:val="0000FF" w:themeColor="hyperlink"/>
      <w:u w:val="single"/>
    </w:rPr>
  </w:style>
  <w:style w:type="paragraph" w:customStyle="1" w:styleId="notedraft">
    <w:name w:val="note(draft)"/>
    <w:aliases w:val="nd"/>
    <w:basedOn w:val="Normal"/>
    <w:rsid w:val="005A050B"/>
    <w:pPr>
      <w:spacing w:before="240"/>
      <w:ind w:left="284" w:hanging="284"/>
    </w:pPr>
    <w:rPr>
      <w:i/>
      <w:szCs w:val="20"/>
      <w:lang w:eastAsia="en-AU"/>
    </w:rPr>
  </w:style>
  <w:style w:type="character" w:styleId="CommentReference">
    <w:name w:val="annotation reference"/>
    <w:basedOn w:val="DefaultParagraphFont"/>
    <w:unhideWhenUsed/>
    <w:rsid w:val="00F206F6"/>
    <w:rPr>
      <w:sz w:val="16"/>
      <w:szCs w:val="16"/>
    </w:rPr>
  </w:style>
  <w:style w:type="paragraph" w:styleId="CommentText">
    <w:name w:val="annotation text"/>
    <w:basedOn w:val="Normal"/>
    <w:link w:val="CommentTextChar"/>
    <w:unhideWhenUsed/>
    <w:rsid w:val="00F206F6"/>
    <w:rPr>
      <w:sz w:val="20"/>
      <w:szCs w:val="20"/>
    </w:rPr>
  </w:style>
  <w:style w:type="character" w:customStyle="1" w:styleId="CommentTextChar">
    <w:name w:val="Comment Text Char"/>
    <w:basedOn w:val="DefaultParagraphFont"/>
    <w:link w:val="CommentText"/>
    <w:rsid w:val="00F206F6"/>
    <w:rPr>
      <w:lang w:eastAsia="en-US"/>
    </w:rPr>
  </w:style>
  <w:style w:type="paragraph" w:styleId="NormalWeb">
    <w:name w:val="Normal (Web)"/>
    <w:basedOn w:val="Normal"/>
    <w:uiPriority w:val="99"/>
    <w:unhideWhenUsed/>
    <w:rsid w:val="00F206F6"/>
    <w:pPr>
      <w:spacing w:before="100" w:beforeAutospacing="1" w:after="100" w:afterAutospacing="1"/>
    </w:pPr>
    <w:rPr>
      <w:lang w:eastAsia="en-AU"/>
    </w:rPr>
  </w:style>
  <w:style w:type="paragraph" w:styleId="FootnoteText">
    <w:name w:val="footnote text"/>
    <w:basedOn w:val="Normal"/>
    <w:link w:val="FootnoteTextChar"/>
    <w:uiPriority w:val="99"/>
    <w:semiHidden/>
    <w:unhideWhenUsed/>
    <w:rsid w:val="00F206F6"/>
    <w:pPr>
      <w:suppressAutoHyphens/>
    </w:pPr>
    <w:rPr>
      <w:rFonts w:asciiTheme="minorHAnsi" w:eastAsiaTheme="minorHAnsi" w:hAnsiTheme="minorHAnsi" w:cstheme="minorBidi"/>
      <w:color w:val="1F497D" w:themeColor="text2"/>
      <w:sz w:val="20"/>
      <w:szCs w:val="20"/>
      <w:lang w:val="en-GB"/>
    </w:rPr>
  </w:style>
  <w:style w:type="character" w:customStyle="1" w:styleId="FootnoteTextChar">
    <w:name w:val="Footnote Text Char"/>
    <w:basedOn w:val="DefaultParagraphFont"/>
    <w:link w:val="FootnoteText"/>
    <w:uiPriority w:val="99"/>
    <w:semiHidden/>
    <w:rsid w:val="00F206F6"/>
    <w:rPr>
      <w:rFonts w:asciiTheme="minorHAnsi" w:eastAsiaTheme="minorHAnsi" w:hAnsiTheme="minorHAnsi" w:cstheme="minorBidi"/>
      <w:color w:val="1F497D" w:themeColor="text2"/>
      <w:lang w:val="en-GB" w:eastAsia="en-US"/>
    </w:rPr>
  </w:style>
  <w:style w:type="character" w:styleId="FootnoteReference">
    <w:name w:val="footnote reference"/>
    <w:basedOn w:val="DefaultParagraphFont"/>
    <w:uiPriority w:val="99"/>
    <w:semiHidden/>
    <w:unhideWhenUsed/>
    <w:rsid w:val="00F206F6"/>
    <w:rPr>
      <w:vertAlign w:val="superscript"/>
    </w:rPr>
  </w:style>
  <w:style w:type="character" w:customStyle="1" w:styleId="None">
    <w:name w:val="None"/>
    <w:rsid w:val="00F206F6"/>
  </w:style>
  <w:style w:type="paragraph" w:styleId="BalloonText">
    <w:name w:val="Balloon Text"/>
    <w:basedOn w:val="Normal"/>
    <w:link w:val="BalloonTextChar"/>
    <w:semiHidden/>
    <w:unhideWhenUsed/>
    <w:rsid w:val="00F206F6"/>
    <w:rPr>
      <w:rFonts w:ascii="Segoe UI" w:hAnsi="Segoe UI" w:cs="Segoe UI"/>
      <w:sz w:val="18"/>
      <w:szCs w:val="18"/>
    </w:rPr>
  </w:style>
  <w:style w:type="character" w:customStyle="1" w:styleId="BalloonTextChar">
    <w:name w:val="Balloon Text Char"/>
    <w:basedOn w:val="DefaultParagraphFont"/>
    <w:link w:val="BalloonText"/>
    <w:semiHidden/>
    <w:rsid w:val="00F206F6"/>
    <w:rPr>
      <w:rFonts w:ascii="Segoe UI" w:hAnsi="Segoe UI" w:cs="Segoe UI"/>
      <w:sz w:val="18"/>
      <w:szCs w:val="18"/>
      <w:lang w:eastAsia="en-US"/>
    </w:rPr>
  </w:style>
  <w:style w:type="paragraph" w:styleId="ListParagraph">
    <w:name w:val="List Paragraph"/>
    <w:basedOn w:val="Normal"/>
    <w:uiPriority w:val="34"/>
    <w:qFormat/>
    <w:rsid w:val="00BC64FD"/>
    <w:pPr>
      <w:ind w:left="720"/>
      <w:contextualSpacing/>
    </w:pPr>
  </w:style>
  <w:style w:type="paragraph" w:styleId="CommentSubject">
    <w:name w:val="annotation subject"/>
    <w:basedOn w:val="CommentText"/>
    <w:next w:val="CommentText"/>
    <w:link w:val="CommentSubjectChar"/>
    <w:semiHidden/>
    <w:unhideWhenUsed/>
    <w:rsid w:val="00AB6D36"/>
    <w:rPr>
      <w:b/>
      <w:bCs/>
    </w:rPr>
  </w:style>
  <w:style w:type="character" w:customStyle="1" w:styleId="CommentSubjectChar">
    <w:name w:val="Comment Subject Char"/>
    <w:basedOn w:val="CommentTextChar"/>
    <w:link w:val="CommentSubject"/>
    <w:semiHidden/>
    <w:rsid w:val="00AB6D36"/>
    <w:rPr>
      <w:b/>
      <w:bCs/>
      <w:lang w:eastAsia="en-US"/>
    </w:rPr>
  </w:style>
  <w:style w:type="character" w:styleId="UnresolvedMention">
    <w:name w:val="Unresolved Mention"/>
    <w:basedOn w:val="DefaultParagraphFont"/>
    <w:uiPriority w:val="99"/>
    <w:semiHidden/>
    <w:unhideWhenUsed/>
    <w:rsid w:val="000D4F73"/>
    <w:rPr>
      <w:color w:val="605E5C"/>
      <w:shd w:val="clear" w:color="auto" w:fill="E1DFDD"/>
    </w:rPr>
  </w:style>
  <w:style w:type="paragraph" w:styleId="Revision">
    <w:name w:val="Revision"/>
    <w:hidden/>
    <w:uiPriority w:val="99"/>
    <w:semiHidden/>
    <w:rsid w:val="00D05B2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0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bde8ee6-a70e-49fb-a598-8e5e58b44569">
      <UserInfo>
        <DisplayName/>
        <AccountId xsi:nil="true"/>
        <AccountType/>
      </UserInfo>
    </SharedWithUsers>
    <lcf76f155ced4ddcb4097134ff3c332f xmlns="23ac6a16-8439-45bf-9165-650313229e25">
      <Terms xmlns="http://schemas.microsoft.com/office/infopath/2007/PartnerControls"/>
    </lcf76f155ced4ddcb4097134ff3c332f>
    <TaxCatchAll xmlns="2bde8ee6-a70e-49fb-a598-8e5e58b445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FA5DAC150E0F429091066B6DFF09B7" ma:contentTypeVersion="14" ma:contentTypeDescription="Create a new document." ma:contentTypeScope="" ma:versionID="91dbfaafb249ce7fffe3892ed5b6eb2b">
  <xsd:schema xmlns:xsd="http://www.w3.org/2001/XMLSchema" xmlns:xs="http://www.w3.org/2001/XMLSchema" xmlns:p="http://schemas.microsoft.com/office/2006/metadata/properties" xmlns:ns2="23ac6a16-8439-45bf-9165-650313229e25" xmlns:ns3="2bde8ee6-a70e-49fb-a598-8e5e58b44569" targetNamespace="http://schemas.microsoft.com/office/2006/metadata/properties" ma:root="true" ma:fieldsID="e589636243b3a78663b5d4cfa88bb752" ns2:_="" ns3:_="">
    <xsd:import namespace="23ac6a16-8439-45bf-9165-650313229e25"/>
    <xsd:import namespace="2bde8ee6-a70e-49fb-a598-8e5e58b445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c6a16-8439-45bf-9165-650313229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de8ee6-a70e-49fb-a598-8e5e58b445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c9551c-4817-4f04-ac55-24588fb2a856}" ma:internalName="TaxCatchAll" ma:showField="CatchAllData" ma:web="2bde8ee6-a70e-49fb-a598-8e5e58b445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9B02E6-B637-468D-866B-94C8702E0EE8}">
  <ds:schemaRefs>
    <ds:schemaRef ds:uri="http://schemas.microsoft.com/office/2006/metadata/properties"/>
    <ds:schemaRef ds:uri="http://schemas.microsoft.com/office/infopath/2007/PartnerControls"/>
    <ds:schemaRef ds:uri="2bde8ee6-a70e-49fb-a598-8e5e58b44569"/>
    <ds:schemaRef ds:uri="23ac6a16-8439-45bf-9165-650313229e25"/>
  </ds:schemaRefs>
</ds:datastoreItem>
</file>

<file path=customXml/itemProps2.xml><?xml version="1.0" encoding="utf-8"?>
<ds:datastoreItem xmlns:ds="http://schemas.openxmlformats.org/officeDocument/2006/customXml" ds:itemID="{184842B8-99F8-43B1-86F2-C90F3759D09E}">
  <ds:schemaRefs>
    <ds:schemaRef ds:uri="http://schemas.microsoft.com/sharepoint/v3/contenttype/forms"/>
  </ds:schemaRefs>
</ds:datastoreItem>
</file>

<file path=customXml/itemProps3.xml><?xml version="1.0" encoding="utf-8"?>
<ds:datastoreItem xmlns:ds="http://schemas.openxmlformats.org/officeDocument/2006/customXml" ds:itemID="{D6879D9B-60D0-4EDA-969F-4D1E0B055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c6a16-8439-45bf-9165-650313229e25"/>
    <ds:schemaRef ds:uri="2bde8ee6-a70e-49fb-a598-8e5e58b44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2277</Words>
  <Characters>12916</Characters>
  <Application>Microsoft Office Word</Application>
  <DocSecurity>0</DocSecurity>
  <Lines>293</Lines>
  <Paragraphs>82</Paragraphs>
  <ScaleCrop>false</ScaleCrop>
  <Company>Department of Foreign Affairs and Trade</Company>
  <LinksUpToDate>false</LinksUpToDate>
  <CharactersWithSpaces>15111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Melissa</dc:creator>
  <cp:keywords>[SEC=OFFICIAL]</cp:keywords>
  <dc:description/>
  <cp:lastModifiedBy>Nick Bowen</cp:lastModifiedBy>
  <cp:revision>7</cp:revision>
  <dcterms:created xsi:type="dcterms:W3CDTF">2025-11-04T10:25:00Z</dcterms:created>
  <dcterms:modified xsi:type="dcterms:W3CDTF">2025-11-24T23:59:00Z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9de8804d-083e-4c4d-a512-f43944213df8</vt:lpwstr>
  </property>
  <property fmtid="{D5CDD505-2E9C-101B-9397-08002B2CF9AE}" pid="3" name="SEC">
    <vt:lpwstr>UNCLASSIFIED</vt:lpwstr>
  </property>
  <property fmtid="{D5CDD505-2E9C-101B-9397-08002B2CF9AE}" pid="4" name="DLM">
    <vt:lpwstr>No DLM</vt:lpwstr>
  </property>
  <property fmtid="{D5CDD505-2E9C-101B-9397-08002B2CF9AE}" pid="5" name="PM_Namespace">
    <vt:lpwstr>gov.au</vt:lpwstr>
  </property>
  <property fmtid="{D5CDD505-2E9C-101B-9397-08002B2CF9AE}" pid="6" name="PM_Caveats_Count">
    <vt:lpwstr>0</vt:lpwstr>
  </property>
  <property fmtid="{D5CDD505-2E9C-101B-9397-08002B2CF9AE}" pid="7" name="PM_Version">
    <vt:lpwstr>2018.4</vt:lpwstr>
  </property>
  <property fmtid="{D5CDD505-2E9C-101B-9397-08002B2CF9AE}" pid="8" name="PM_Note">
    <vt:lpwstr/>
  </property>
  <property fmtid="{D5CDD505-2E9C-101B-9397-08002B2CF9AE}" pid="9" name="PMHMAC">
    <vt:lpwstr>v=2022.1;a=SHA256;h=693261EF381593A40576F529A4315A71ED3FA4BEACFC7CAF198F7C9BC18249C7</vt:lpwstr>
  </property>
  <property fmtid="{D5CDD505-2E9C-101B-9397-08002B2CF9AE}" pid="10" name="PM_Qualifier">
    <vt:lpwstr/>
  </property>
  <property fmtid="{D5CDD505-2E9C-101B-9397-08002B2CF9AE}" pid="11" name="PM_SecurityClassification">
    <vt:lpwstr>OFFICIAL</vt:lpwstr>
  </property>
  <property fmtid="{D5CDD505-2E9C-101B-9397-08002B2CF9AE}" pid="12" name="PM_ProtectiveMarkingValue_Header">
    <vt:lpwstr>OFFICIAL</vt:lpwstr>
  </property>
  <property fmtid="{D5CDD505-2E9C-101B-9397-08002B2CF9AE}" pid="13" name="PM_OriginationTimeStamp">
    <vt:lpwstr>2024-11-25T06:31:46Z</vt:lpwstr>
  </property>
  <property fmtid="{D5CDD505-2E9C-101B-9397-08002B2CF9AE}" pid="14" name="PM_Markers">
    <vt:lpwstr/>
  </property>
  <property fmtid="{D5CDD505-2E9C-101B-9397-08002B2CF9AE}" pid="15" name="PM_InsertionValue">
    <vt:lpwstr>OFFICIAL</vt:lpwstr>
  </property>
  <property fmtid="{D5CDD505-2E9C-101B-9397-08002B2CF9AE}" pid="16" name="PM_Originator_Hash_SHA1">
    <vt:lpwstr>FBF9ACA7F354D498AA18B9683AEEF5DA6FA37D9D</vt:lpwstr>
  </property>
  <property fmtid="{D5CDD505-2E9C-101B-9397-08002B2CF9AE}" pid="17" name="PM_DisplayValueSecClassificationWithQualifier">
    <vt:lpwstr>OFFICIAL</vt:lpwstr>
  </property>
  <property fmtid="{D5CDD505-2E9C-101B-9397-08002B2CF9AE}" pid="18" name="PM_Originating_FileId">
    <vt:lpwstr>C0A2744987574305BD31833144564C31</vt:lpwstr>
  </property>
  <property fmtid="{D5CDD505-2E9C-101B-9397-08002B2CF9AE}" pid="19" name="PM_ProtectiveMarkingValue_Footer">
    <vt:lpwstr>OFFICIAL</vt:lpwstr>
  </property>
  <property fmtid="{D5CDD505-2E9C-101B-9397-08002B2CF9AE}" pid="20" name="PM_ProtectiveMarkingImage_Header">
    <vt:lpwstr>C:\Program Files\Common Files\janusNET Shared\janusSEAL\Images\DocumentSlashBlue.png</vt:lpwstr>
  </property>
  <property fmtid="{D5CDD505-2E9C-101B-9397-08002B2CF9AE}" pid="21" name="PM_ProtectiveMarkingImage_Footer">
    <vt:lpwstr>C:\Program Files\Common Files\janusNET Shared\janusSEAL\Images\DocumentSlashBlue.png</vt:lpwstr>
  </property>
  <property fmtid="{D5CDD505-2E9C-101B-9397-08002B2CF9AE}" pid="22" name="PM_Display">
    <vt:lpwstr>OFFICIAL</vt:lpwstr>
  </property>
  <property fmtid="{D5CDD505-2E9C-101B-9397-08002B2CF9AE}" pid="23" name="PM_OriginatorUserAccountName_SHA256">
    <vt:lpwstr>ABC2E817B0B389047E1D19C18AB7BDFC6DDFDF231CA2BCEF190FB00E0B75D08B</vt:lpwstr>
  </property>
  <property fmtid="{D5CDD505-2E9C-101B-9397-08002B2CF9AE}" pid="24" name="PM_OriginatorDomainName_SHA256">
    <vt:lpwstr>6F3591835F3B2A8A025B00B5BA6418010DA3A17C9C26EA9C049FFD28039489A2</vt:lpwstr>
  </property>
  <property fmtid="{D5CDD505-2E9C-101B-9397-08002B2CF9AE}" pid="25" name="PMUuid">
    <vt:lpwstr>v=2022.2;d=gov.au;g=46DD6D7C-8107-577B-BC6E-F348953B2E44</vt:lpwstr>
  </property>
  <property fmtid="{D5CDD505-2E9C-101B-9397-08002B2CF9AE}" pid="26" name="PM_Hash_Version">
    <vt:lpwstr>2022.1</vt:lpwstr>
  </property>
  <property fmtid="{D5CDD505-2E9C-101B-9397-08002B2CF9AE}" pid="27" name="PM_Hash_Salt_Prev">
    <vt:lpwstr>C836850CE344A7DF3D20897B51FDA4C2</vt:lpwstr>
  </property>
  <property fmtid="{D5CDD505-2E9C-101B-9397-08002B2CF9AE}" pid="28" name="PM_Hash_Salt">
    <vt:lpwstr>1ED44AE180A9755C02B70166746BC6D4</vt:lpwstr>
  </property>
  <property fmtid="{D5CDD505-2E9C-101B-9397-08002B2CF9AE}" pid="29" name="PM_Hash_SHA1">
    <vt:lpwstr>F26AAA2306775A2A06E4E332D022819BB6DA7243</vt:lpwstr>
  </property>
  <property fmtid="{D5CDD505-2E9C-101B-9397-08002B2CF9AE}" pid="30" name="ContentTypeId">
    <vt:lpwstr>0x01010066FA5DAC150E0F429091066B6DFF09B7</vt:lpwstr>
  </property>
  <property fmtid="{D5CDD505-2E9C-101B-9397-08002B2CF9AE}" pid="31" name="PM_SecurityClassification_Prev">
    <vt:lpwstr>OFFICIAL</vt:lpwstr>
  </property>
  <property fmtid="{D5CDD505-2E9C-101B-9397-08002B2CF9AE}" pid="32" name="PM_Qualifier_Prev">
    <vt:lpwstr/>
  </property>
  <property fmtid="{D5CDD505-2E9C-101B-9397-08002B2CF9AE}" pid="33" name="MediaServiceImageTags">
    <vt:lpwstr/>
  </property>
  <property fmtid="{D5CDD505-2E9C-101B-9397-08002B2CF9AE}" pid="34" name="Order">
    <vt:r8>276100</vt:r8>
  </property>
  <property fmtid="{D5CDD505-2E9C-101B-9397-08002B2CF9AE}" pid="35" name="xd_Signature">
    <vt:bool>false</vt:bool>
  </property>
  <property fmtid="{D5CDD505-2E9C-101B-9397-08002B2CF9AE}" pid="36" name="xd_ProgID">
    <vt:lpwstr/>
  </property>
  <property fmtid="{D5CDD505-2E9C-101B-9397-08002B2CF9AE}" pid="37" name="ComplianceAssetId">
    <vt:lpwstr/>
  </property>
  <property fmtid="{D5CDD505-2E9C-101B-9397-08002B2CF9AE}" pid="38" name="TemplateUrl">
    <vt:lpwstr/>
  </property>
  <property fmtid="{D5CDD505-2E9C-101B-9397-08002B2CF9AE}" pid="39" name="_ExtendedDescription">
    <vt:lpwstr/>
  </property>
  <property fmtid="{D5CDD505-2E9C-101B-9397-08002B2CF9AE}" pid="40" name="TriggerFlowInfo">
    <vt:lpwstr/>
  </property>
  <property fmtid="{D5CDD505-2E9C-101B-9397-08002B2CF9AE}" pid="41" name="PM_Expires">
    <vt:lpwstr/>
  </property>
  <property fmtid="{D5CDD505-2E9C-101B-9397-08002B2CF9AE}" pid="42" name="PM_DownTo">
    <vt:lpwstr/>
  </property>
</Properties>
</file>