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FF05" w14:textId="22C8EBE6" w:rsidR="003C7B82" w:rsidRPr="00906FBA" w:rsidRDefault="003C7B82" w:rsidP="004A27A8">
      <w:pPr>
        <w:pStyle w:val="Bullet"/>
        <w:numPr>
          <w:ilvl w:val="0"/>
          <w:numId w:val="0"/>
        </w:numPr>
        <w:spacing w:before="0"/>
        <w:ind w:left="567"/>
        <w:rPr>
          <w:rFonts w:ascii="Arial" w:hAnsi="Arial" w:cs="Arial"/>
          <w:sz w:val="22"/>
          <w:szCs w:val="22"/>
        </w:rPr>
      </w:pPr>
    </w:p>
    <w:p w14:paraId="23F04426"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3733DC5" w14:textId="0222B6CB" w:rsidR="007662C7" w:rsidRPr="003C5719" w:rsidRDefault="00F109D4" w:rsidP="004A27A8">
      <w:pPr>
        <w:pStyle w:val="Heading2"/>
        <w:jc w:val="center"/>
        <w:rPr>
          <w:sz w:val="24"/>
          <w:szCs w:val="24"/>
        </w:rPr>
      </w:pPr>
      <w:r w:rsidRPr="003C5719">
        <w:rPr>
          <w:sz w:val="24"/>
          <w:szCs w:val="24"/>
        </w:rPr>
        <w:t xml:space="preserve">Issued by authority of </w:t>
      </w:r>
      <w:r w:rsidR="00983A3D">
        <w:rPr>
          <w:rStyle w:val="DefaultChar"/>
        </w:rPr>
        <w:t>the Assistant Treasurer and Minister for Financial Services</w:t>
      </w:r>
      <w:r w:rsidR="00076178" w:rsidRPr="003C5719">
        <w:rPr>
          <w:sz w:val="24"/>
          <w:szCs w:val="24"/>
        </w:rPr>
        <w:t xml:space="preserve"> </w:t>
      </w:r>
    </w:p>
    <w:p w14:paraId="79041076" w14:textId="30B1BE82" w:rsidR="00983A3D" w:rsidRPr="00983A3D" w:rsidRDefault="00983A3D" w:rsidP="00983A3D">
      <w:pPr>
        <w:spacing w:before="240" w:after="240"/>
        <w:jc w:val="center"/>
        <w:rPr>
          <w:i/>
        </w:rPr>
      </w:pPr>
      <w:r w:rsidRPr="00983A3D">
        <w:rPr>
          <w:i/>
        </w:rPr>
        <w:t>Australian Securities and Investments Commission Act 2001 </w:t>
      </w:r>
    </w:p>
    <w:p w14:paraId="2DB9B74E" w14:textId="77777777" w:rsidR="00983A3D" w:rsidRPr="00983A3D" w:rsidRDefault="00983A3D" w:rsidP="00983A3D">
      <w:pPr>
        <w:spacing w:before="240" w:after="240"/>
        <w:jc w:val="center"/>
        <w:rPr>
          <w:i/>
        </w:rPr>
      </w:pPr>
      <w:r w:rsidRPr="00983A3D">
        <w:rPr>
          <w:i/>
        </w:rPr>
        <w:t>Competition and Consumer Act 2010 </w:t>
      </w:r>
    </w:p>
    <w:p w14:paraId="071591DA" w14:textId="01A66E7A" w:rsidR="00F109D4" w:rsidRPr="003C5719" w:rsidRDefault="00983A3D" w:rsidP="00983A3D">
      <w:pPr>
        <w:spacing w:before="240" w:after="240"/>
        <w:jc w:val="center"/>
        <w:rPr>
          <w:i/>
        </w:rPr>
      </w:pPr>
      <w:r w:rsidRPr="00983A3D">
        <w:rPr>
          <w:i/>
        </w:rPr>
        <w:t>Corporations Act 2001 </w:t>
      </w:r>
    </w:p>
    <w:p w14:paraId="6188FF28" w14:textId="021981D4" w:rsidR="00F109D4" w:rsidRPr="003C5719" w:rsidRDefault="00F97137" w:rsidP="004A27A8">
      <w:pPr>
        <w:tabs>
          <w:tab w:val="left" w:pos="1418"/>
        </w:tabs>
        <w:spacing w:before="0" w:after="240"/>
        <w:jc w:val="center"/>
        <w:rPr>
          <w:i/>
        </w:rPr>
      </w:pPr>
      <w:r w:rsidRPr="00F97137">
        <w:rPr>
          <w:i/>
        </w:rPr>
        <w:t>Treasury Laws Amendment (Professional Standards Schemes No. 2) Regulations 2025</w:t>
      </w:r>
    </w:p>
    <w:p w14:paraId="3CC112C1" w14:textId="77777777" w:rsidR="00F97137" w:rsidRPr="00F97137" w:rsidRDefault="00F97137" w:rsidP="00F97137">
      <w:pPr>
        <w:pStyle w:val="NormalWeb"/>
        <w:keepNext/>
        <w:keepLines/>
      </w:pPr>
      <w:r w:rsidRPr="00F97137">
        <w:t>Section 251 of the </w:t>
      </w:r>
      <w:r w:rsidRPr="00F97137">
        <w:rPr>
          <w:i/>
          <w:iCs/>
        </w:rPr>
        <w:t>Australian Securities and Investments Commission Act 2001</w:t>
      </w:r>
      <w:r w:rsidRPr="00F97137">
        <w:t> (the ASIC Act), section 172 of the </w:t>
      </w:r>
      <w:r w:rsidRPr="00F97137">
        <w:rPr>
          <w:i/>
          <w:iCs/>
        </w:rPr>
        <w:t>Competition and Consumer Act 2010</w:t>
      </w:r>
      <w:r w:rsidRPr="00F97137">
        <w:t> (the CCA) and section 1364 of the </w:t>
      </w:r>
      <w:r w:rsidRPr="00F97137">
        <w:rPr>
          <w:i/>
          <w:iCs/>
        </w:rPr>
        <w:t>Corporations Act 2001</w:t>
      </w:r>
      <w:r w:rsidRPr="00F97137">
        <w:t> (the Corporations Act) each provide that the Governor-General may make regulations prescribing matters required or permitted by the Acts to be prescribed, or necessary or convenient to be prescribed for carrying out or giving effect to the Acts. </w:t>
      </w:r>
    </w:p>
    <w:p w14:paraId="6F32025C" w14:textId="03C834E3" w:rsidR="00F97137" w:rsidRDefault="00F97137" w:rsidP="00F97137">
      <w:pPr>
        <w:spacing w:before="240"/>
      </w:pPr>
      <w:r w:rsidRPr="00F97137">
        <w:t>The intergovernmental </w:t>
      </w:r>
      <w:r w:rsidRPr="00F97137">
        <w:rPr>
          <w:i/>
          <w:iCs/>
        </w:rPr>
        <w:t>Professional Standards Agreement 2011</w:t>
      </w:r>
      <w:r w:rsidRPr="00F97137">
        <w:t xml:space="preserve"> (intergovernmental agreement)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w:t>
      </w:r>
      <w:r w:rsidR="00C10959" w:rsidRPr="00C10959">
        <w:t>Professional groups that have obtained approval for schemes include, but are not limited to, professional groups in the accounting, legal, and property industry.</w:t>
      </w:r>
      <w:r w:rsidR="00C10959">
        <w:t xml:space="preserve"> </w:t>
      </w:r>
      <w:r w:rsidRPr="00F97137">
        <w:t>Members of professional groups that are part of these schemes are entitled to capped civil liability in return for raising industry service standards and having professional indemnity insurance up to the level of the prescribed liability cap.</w:t>
      </w:r>
    </w:p>
    <w:p w14:paraId="331ABFAE" w14:textId="77777777" w:rsidR="00F97137" w:rsidRPr="00F97137" w:rsidRDefault="00F97137" w:rsidP="00F97137">
      <w:pPr>
        <w:spacing w:before="240"/>
      </w:pPr>
      <w:r w:rsidRPr="00F97137">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w:t>
      </w:r>
    </w:p>
    <w:p w14:paraId="4B9EBB91" w14:textId="77777777" w:rsidR="00F97137" w:rsidRPr="00F97137" w:rsidRDefault="00F97137" w:rsidP="00F97137">
      <w:pPr>
        <w:spacing w:before="240"/>
      </w:pPr>
      <w:r w:rsidRPr="00F97137">
        <w:t>All approved professional standards schemes are prescribed under the CCA. In addition, those schemes relating to financial services are also prescribed under the ASIC Act and the Corporations Act.</w:t>
      </w:r>
    </w:p>
    <w:p w14:paraId="238E797A" w14:textId="77777777" w:rsidR="00F97137" w:rsidRPr="00F97137" w:rsidRDefault="00F97137" w:rsidP="00F97137">
      <w:pPr>
        <w:spacing w:before="240"/>
      </w:pPr>
      <w:r w:rsidRPr="00F97137">
        <w:t>Subsections 12</w:t>
      </w:r>
      <w:proofErr w:type="gramStart"/>
      <w:r w:rsidRPr="00F97137">
        <w:t>GNA(</w:t>
      </w:r>
      <w:proofErr w:type="gramEnd"/>
      <w:r w:rsidRPr="00F97137">
        <w:t>2) of the ASIC Act, 137(2) of the CCA and 1044B(2) of the Corporations Act provide for capped civil liability for misleading and deceptive conduct for professional standards schemes that are prescribed in relevant regulations. Accordingly, regulation 3A of the </w:t>
      </w:r>
      <w:r w:rsidRPr="00F97137">
        <w:rPr>
          <w:i/>
          <w:iCs/>
        </w:rPr>
        <w:t>Australian Securities and Investments Commission Regulations 200</w:t>
      </w:r>
      <w:r w:rsidRPr="00F97137">
        <w:t>1, regulation 8A of the </w:t>
      </w:r>
      <w:r w:rsidRPr="00F97137">
        <w:rPr>
          <w:i/>
          <w:iCs/>
        </w:rPr>
        <w:t>Competition and Consumer Regulations 2010</w:t>
      </w:r>
      <w:r w:rsidRPr="00F97137">
        <w:t> and regulation 7.10.02 of the </w:t>
      </w:r>
      <w:r w:rsidRPr="00F97137">
        <w:rPr>
          <w:i/>
          <w:iCs/>
        </w:rPr>
        <w:t>Corporations Regulations 2001</w:t>
      </w:r>
      <w:r w:rsidRPr="00F97137">
        <w:t> prescribe a list of professional standards schemes that have capped civil liability for misleading and deceptive conduct under their respective principal Acts.</w:t>
      </w:r>
    </w:p>
    <w:p w14:paraId="69EFCE83" w14:textId="5E337863" w:rsidR="00F97137" w:rsidRPr="00F97137" w:rsidRDefault="00F97137" w:rsidP="00F97137">
      <w:pPr>
        <w:spacing w:before="240"/>
        <w:rPr>
          <w:color w:val="FF0000"/>
        </w:rPr>
      </w:pPr>
      <w:r w:rsidRPr="00F97137">
        <w:lastRenderedPageBreak/>
        <w:t>The </w:t>
      </w:r>
      <w:r w:rsidRPr="00F97137">
        <w:rPr>
          <w:i/>
          <w:iCs/>
        </w:rPr>
        <w:t>Treasury Laws Amendment (Professional Standards Scheme</w:t>
      </w:r>
      <w:r w:rsidR="000314EF" w:rsidRPr="000314EF">
        <w:rPr>
          <w:i/>
          <w:iCs/>
        </w:rPr>
        <w:t>s No.2</w:t>
      </w:r>
      <w:r w:rsidRPr="00F97137">
        <w:rPr>
          <w:i/>
          <w:iCs/>
        </w:rPr>
        <w:t>) Regulations 2025</w:t>
      </w:r>
      <w:r w:rsidRPr="00F97137">
        <w:t xml:space="preserve"> (the Regulations) give effect to the decisions of the Professional Standards Councils to remake </w:t>
      </w:r>
      <w:r w:rsidR="000314EF">
        <w:t xml:space="preserve">the </w:t>
      </w:r>
      <w:r w:rsidR="000314EF" w:rsidRPr="006130A5">
        <w:t>CPA Australia Professional Standards Scheme</w:t>
      </w:r>
      <w:r w:rsidR="000314EF">
        <w:t xml:space="preserve"> (remade scheme)</w:t>
      </w:r>
      <w:r w:rsidR="000314EF" w:rsidRPr="00F97137">
        <w:t xml:space="preserve"> </w:t>
      </w:r>
      <w:r w:rsidRPr="00F97137">
        <w:t xml:space="preserve">as published in the relevant </w:t>
      </w:r>
      <w:r w:rsidR="000314EF" w:rsidRPr="006130A5">
        <w:t xml:space="preserve">New South Wales </w:t>
      </w:r>
      <w:r w:rsidR="000314EF">
        <w:t>G</w:t>
      </w:r>
      <w:r w:rsidR="000314EF" w:rsidRPr="006130A5">
        <w:t>overnment Gazette</w:t>
      </w:r>
      <w:r w:rsidRPr="00F97137">
        <w:t>.</w:t>
      </w:r>
      <w:r w:rsidRPr="00F97137">
        <w:rPr>
          <w:color w:val="FF0000"/>
        </w:rPr>
        <w:t xml:space="preserve"> </w:t>
      </w:r>
      <w:r w:rsidRPr="00F97137">
        <w:t xml:space="preserve">There are no significant differences between </w:t>
      </w:r>
      <w:r w:rsidR="000314EF" w:rsidRPr="000314EF">
        <w:t>the</w:t>
      </w:r>
      <w:r w:rsidRPr="00F97137">
        <w:t xml:space="preserve"> remade scheme and the earlier iteration that was previously prescribed. </w:t>
      </w:r>
    </w:p>
    <w:p w14:paraId="2A6B5A94" w14:textId="77777777" w:rsidR="00F97137" w:rsidRPr="00F97137" w:rsidRDefault="00F97137" w:rsidP="00F97137">
      <w:pPr>
        <w:spacing w:before="240"/>
      </w:pPr>
      <w:r w:rsidRPr="00F97137">
        <w:t>The ASIC Act, the CCA and the Corporations Act do not specify any conditions that need to be satisfied before the power to make the Regulations may be exercised.</w:t>
      </w:r>
    </w:p>
    <w:p w14:paraId="737EA166" w14:textId="77777777" w:rsidR="00F97137" w:rsidRPr="00F97137" w:rsidRDefault="00F97137" w:rsidP="00F97137">
      <w:pPr>
        <w:spacing w:before="240"/>
      </w:pPr>
      <w:r w:rsidRPr="00F97137">
        <w:t>Details of the currently approved schemes, as well as the expired schemes, are publicly available on the Professional Standards Councils website: www.psc.gov.au.</w:t>
      </w:r>
    </w:p>
    <w:p w14:paraId="3B2DD2E4" w14:textId="77777777" w:rsidR="00F97137" w:rsidRPr="00F97137" w:rsidRDefault="00F97137" w:rsidP="00F97137">
      <w:pPr>
        <w:spacing w:before="240"/>
      </w:pPr>
      <w:r w:rsidRPr="00F97137">
        <w:t>The Regulations are a legislative instrument for the purposes of the </w:t>
      </w:r>
      <w:r w:rsidRPr="00F97137">
        <w:rPr>
          <w:i/>
          <w:iCs/>
        </w:rPr>
        <w:t>Legislation Act 2003</w:t>
      </w:r>
      <w:r w:rsidRPr="00F97137">
        <w:t>.</w:t>
      </w:r>
    </w:p>
    <w:p w14:paraId="68005B2E" w14:textId="77777777" w:rsidR="00F97137" w:rsidRPr="00F97137" w:rsidRDefault="00F97137" w:rsidP="00F97137">
      <w:pPr>
        <w:spacing w:before="240"/>
      </w:pPr>
      <w:r w:rsidRPr="00F97137">
        <w:t>The Regulations are subject to disallowance.</w:t>
      </w:r>
    </w:p>
    <w:p w14:paraId="70B6D231" w14:textId="77777777" w:rsidR="00F97137" w:rsidRPr="00F97137" w:rsidRDefault="00F97137" w:rsidP="00F97137">
      <w:pPr>
        <w:spacing w:before="240"/>
      </w:pPr>
      <w:r w:rsidRPr="00F97137">
        <w:t>The Regulations commenced on the day after this instrument was registered.</w:t>
      </w:r>
    </w:p>
    <w:p w14:paraId="3032E3F1" w14:textId="77777777" w:rsidR="00BB6D83" w:rsidRPr="00BB6D83" w:rsidRDefault="00BB6D83" w:rsidP="00BB6D83">
      <w:pPr>
        <w:spacing w:before="240"/>
      </w:pPr>
      <w:r w:rsidRPr="00BB6D83">
        <w:t xml:space="preserve">The Regulations are exempt from sunsetting as they seek to amend regulations that are already exempt themselves. These exempt regulations are the </w:t>
      </w:r>
      <w:r w:rsidRPr="00BB6D83">
        <w:rPr>
          <w:i/>
          <w:iCs/>
        </w:rPr>
        <w:t>Australian Securities and Investments Commission Regulations 2001</w:t>
      </w:r>
      <w:r w:rsidRPr="00BB6D83">
        <w:t xml:space="preserve">, the </w:t>
      </w:r>
      <w:r w:rsidRPr="00BB6D83">
        <w:rPr>
          <w:i/>
          <w:iCs/>
        </w:rPr>
        <w:t>Competition and Consumer Regulations 2010</w:t>
      </w:r>
      <w:r w:rsidRPr="00BB6D83">
        <w:t xml:space="preserve"> and the </w:t>
      </w:r>
      <w:r w:rsidRPr="00BB6D83">
        <w:rPr>
          <w:i/>
          <w:iCs/>
        </w:rPr>
        <w:t>Corporations Regulations 2001</w:t>
      </w:r>
      <w:r w:rsidRPr="00BB6D83">
        <w:t xml:space="preserve"> which are exempt from sunsetting under item 9B, item 16 and item 18, respectively, of section 12 of </w:t>
      </w:r>
      <w:r w:rsidRPr="00BB6D83">
        <w:rPr>
          <w:i/>
          <w:iCs/>
        </w:rPr>
        <w:t>Legislation (Exemptions and Other Matters) Regulation 2015</w:t>
      </w:r>
      <w:r w:rsidRPr="00BB6D83">
        <w:t xml:space="preserve">. As an amending instrument, the Regulations are also subject to automatic repeal pursuant to section 48A of the </w:t>
      </w:r>
      <w:r w:rsidRPr="00BB6D83">
        <w:rPr>
          <w:i/>
          <w:iCs/>
        </w:rPr>
        <w:t>Legislation Act 2003</w:t>
      </w:r>
      <w:r w:rsidRPr="00BB6D83">
        <w:t xml:space="preserve">. Lastly, as the Regulations give effect to the intergovernmental agreement between the Commonwealth and States and Territories, an exemption from sunsetting ensures that the Regulations would not be unilaterally altered by the Commonwealth contrary to the terms of the intergovernmental agreement. </w:t>
      </w:r>
    </w:p>
    <w:p w14:paraId="668BA965" w14:textId="77777777" w:rsidR="00BB6D83" w:rsidRPr="00BB6D83" w:rsidRDefault="00BB6D83" w:rsidP="00BB6D83">
      <w:pPr>
        <w:spacing w:before="240"/>
      </w:pPr>
      <w:r w:rsidRPr="00BB6D83">
        <w:t>Details of the Regulations are set out in </w:t>
      </w:r>
      <w:r w:rsidRPr="00BB6D83">
        <w:rPr>
          <w:u w:val="single"/>
        </w:rPr>
        <w:t>Attachment A</w:t>
      </w:r>
      <w:r w:rsidRPr="00BB6D83">
        <w:t>.</w:t>
      </w:r>
    </w:p>
    <w:p w14:paraId="16EE655B" w14:textId="77777777" w:rsidR="00BB6D83" w:rsidRPr="00BB6D83" w:rsidRDefault="00BB6D83" w:rsidP="00BB6D83">
      <w:pPr>
        <w:spacing w:before="240"/>
        <w:rPr>
          <w:u w:val="single"/>
        </w:rPr>
      </w:pPr>
      <w:r w:rsidRPr="00BB6D83">
        <w:t>A Statement of Compatibility with Human Rights is at </w:t>
      </w:r>
      <w:r w:rsidRPr="00BB6D83">
        <w:rPr>
          <w:u w:val="single"/>
        </w:rPr>
        <w:t>Attachment B.</w:t>
      </w:r>
    </w:p>
    <w:p w14:paraId="3BBFB392" w14:textId="77777777" w:rsidR="00960E89" w:rsidRPr="001719E8" w:rsidRDefault="00960E89" w:rsidP="00960E89">
      <w:pPr>
        <w:tabs>
          <w:tab w:val="left" w:pos="2835"/>
        </w:tabs>
        <w:spacing w:before="240"/>
        <w:ind w:right="91"/>
        <w:rPr>
          <w:b/>
          <w:bCs/>
          <w:u w:val="single"/>
        </w:rPr>
      </w:pPr>
      <w:r w:rsidRPr="001719E8">
        <w:rPr>
          <w:b/>
          <w:bCs/>
          <w:u w:val="single"/>
        </w:rPr>
        <w:t xml:space="preserve">Overview of consultation process for </w:t>
      </w:r>
      <w:r w:rsidRPr="001719E8">
        <w:rPr>
          <w:b/>
          <w:bCs/>
          <w:i/>
          <w:u w:val="single"/>
        </w:rPr>
        <w:t>Treasury Laws Amendment (Professional Standards Schemes No. 2) Regulations 202</w:t>
      </w:r>
      <w:r>
        <w:rPr>
          <w:b/>
          <w:bCs/>
          <w:i/>
          <w:u w:val="single"/>
        </w:rPr>
        <w:t>5</w:t>
      </w:r>
    </w:p>
    <w:p w14:paraId="4458C374" w14:textId="6EAF005C" w:rsidR="00960E89" w:rsidRPr="0063332B" w:rsidRDefault="00960E89" w:rsidP="00960E89">
      <w:pPr>
        <w:tabs>
          <w:tab w:val="left" w:pos="2835"/>
        </w:tabs>
        <w:spacing w:before="240"/>
        <w:ind w:right="91"/>
        <w:rPr>
          <w:bCs/>
          <w:iCs/>
        </w:rPr>
      </w:pPr>
      <w:r>
        <w:rPr>
          <w:bCs/>
        </w:rPr>
        <w:t xml:space="preserve">Public consultation was not undertaken for the Regulations as the amendments in the Regulations are mechanical in nature and consultation on the </w:t>
      </w:r>
      <w:r w:rsidR="00484BD6">
        <w:rPr>
          <w:bCs/>
        </w:rPr>
        <w:t xml:space="preserve">remade </w:t>
      </w:r>
      <w:r>
        <w:rPr>
          <w:bCs/>
        </w:rPr>
        <w:t>scheme</w:t>
      </w:r>
      <w:r>
        <w:rPr>
          <w:bCs/>
          <w:iCs/>
        </w:rPr>
        <w:t xml:space="preserve">, had already been undertaken at the state level pursuant to section 8 of the </w:t>
      </w:r>
      <w:r w:rsidRPr="001D0693">
        <w:rPr>
          <w:bCs/>
          <w:i/>
        </w:rPr>
        <w:t>Professional Standards Act 1994</w:t>
      </w:r>
      <w:r>
        <w:rPr>
          <w:bCs/>
          <w:iCs/>
        </w:rPr>
        <w:t xml:space="preserve"> (NSW). </w:t>
      </w:r>
    </w:p>
    <w:p w14:paraId="1C4F03B2" w14:textId="77777777" w:rsidR="00960E89" w:rsidRPr="001719E8" w:rsidRDefault="00960E89" w:rsidP="00960E89">
      <w:pPr>
        <w:tabs>
          <w:tab w:val="left" w:pos="2835"/>
        </w:tabs>
        <w:spacing w:before="240"/>
        <w:ind w:right="91"/>
        <w:rPr>
          <w:bCs/>
        </w:rPr>
      </w:pPr>
      <w:r>
        <w:rPr>
          <w:bCs/>
        </w:rPr>
        <w:t xml:space="preserve">Specifically, this involved consultation conducted by the </w:t>
      </w:r>
      <w:r w:rsidRPr="001719E8">
        <w:rPr>
          <w:bCs/>
        </w:rPr>
        <w:t xml:space="preserve">Professional Standards Councils </w:t>
      </w:r>
      <w:r>
        <w:rPr>
          <w:bCs/>
        </w:rPr>
        <w:t xml:space="preserve">which </w:t>
      </w:r>
      <w:r w:rsidRPr="001719E8">
        <w:rPr>
          <w:bCs/>
        </w:rPr>
        <w:t>sought the opinion of independent actuarial consultants and called for public comment on professional standards schemes via public notification in major newspapers. More specifically</w:t>
      </w:r>
      <w:r>
        <w:rPr>
          <w:bCs/>
        </w:rPr>
        <w:t>:</w:t>
      </w:r>
    </w:p>
    <w:p w14:paraId="1E4D933E" w14:textId="77777777" w:rsidR="00960E89" w:rsidRPr="001719E8" w:rsidRDefault="00960E89" w:rsidP="00960E89">
      <w:pPr>
        <w:pStyle w:val="Bullet"/>
        <w:numPr>
          <w:ilvl w:val="0"/>
          <w:numId w:val="3"/>
        </w:numPr>
        <w:spacing w:before="0"/>
      </w:pPr>
      <w:r w:rsidRPr="001719E8">
        <w:t xml:space="preserve">the scheme and explanatory document on the Professional Standards Councils’ </w:t>
      </w:r>
      <w:proofErr w:type="gramStart"/>
      <w:r w:rsidRPr="001719E8">
        <w:t>website</w:t>
      </w:r>
      <w:r>
        <w:t>;</w:t>
      </w:r>
      <w:proofErr w:type="gramEnd"/>
    </w:p>
    <w:p w14:paraId="21166141" w14:textId="77777777" w:rsidR="00960E89" w:rsidRPr="001719E8" w:rsidRDefault="00960E89" w:rsidP="00960E89">
      <w:pPr>
        <w:pStyle w:val="Bullet"/>
        <w:numPr>
          <w:ilvl w:val="0"/>
          <w:numId w:val="3"/>
        </w:numPr>
        <w:spacing w:before="0"/>
      </w:pPr>
      <w:r w:rsidRPr="001719E8">
        <w:t>the scheme and explanatory document on the relevant association’s website</w:t>
      </w:r>
    </w:p>
    <w:p w14:paraId="729DC923" w14:textId="445C2AB5" w:rsidR="00960E89" w:rsidRPr="001719E8" w:rsidRDefault="00960E89" w:rsidP="00960E89">
      <w:pPr>
        <w:tabs>
          <w:tab w:val="left" w:pos="2835"/>
        </w:tabs>
        <w:spacing w:before="240"/>
        <w:ind w:right="91"/>
        <w:rPr>
          <w:bCs/>
        </w:rPr>
      </w:pPr>
      <w:r>
        <w:rPr>
          <w:bCs/>
        </w:rPr>
        <w:lastRenderedPageBreak/>
        <w:t xml:space="preserve">No targeted consultation was undertaken as there are no significant differences between the </w:t>
      </w:r>
      <w:r w:rsidR="00C56896">
        <w:rPr>
          <w:bCs/>
        </w:rPr>
        <w:t>remade</w:t>
      </w:r>
      <w:r>
        <w:rPr>
          <w:bCs/>
        </w:rPr>
        <w:t xml:space="preserve"> scheme and the former scheme. </w:t>
      </w:r>
      <w:r w:rsidRPr="001719E8">
        <w:rPr>
          <w:bCs/>
        </w:rPr>
        <w:t xml:space="preserve">Only limited feedback was received in relation to </w:t>
      </w:r>
      <w:r>
        <w:rPr>
          <w:bCs/>
        </w:rPr>
        <w:t>the</w:t>
      </w:r>
      <w:r w:rsidRPr="001719E8">
        <w:rPr>
          <w:bCs/>
        </w:rPr>
        <w:t xml:space="preserve"> </w:t>
      </w:r>
      <w:r w:rsidR="00C56896">
        <w:rPr>
          <w:bCs/>
        </w:rPr>
        <w:t xml:space="preserve">remade </w:t>
      </w:r>
      <w:r w:rsidRPr="001719E8">
        <w:rPr>
          <w:bCs/>
        </w:rPr>
        <w:t xml:space="preserve">scheme, mostly in the form of responses to the accompanying survey.  However, most feedback received was in support of the schemes, with no significant concerns raised. </w:t>
      </w:r>
    </w:p>
    <w:p w14:paraId="3CC323C6" w14:textId="77777777" w:rsidR="00592234" w:rsidRPr="00BB6D83" w:rsidRDefault="00592234" w:rsidP="00BB6D83">
      <w:pPr>
        <w:spacing w:before="240"/>
      </w:pPr>
    </w:p>
    <w:p w14:paraId="7B6D4D19" w14:textId="75CA58B7" w:rsidR="00EA4DD8" w:rsidRPr="003C5719" w:rsidRDefault="00EA4DD8" w:rsidP="004A27A8">
      <w:pPr>
        <w:pageBreakBefore/>
        <w:spacing w:before="240"/>
        <w:jc w:val="right"/>
        <w:rPr>
          <w:b/>
          <w:u w:val="single"/>
        </w:rPr>
      </w:pPr>
      <w:r w:rsidRPr="003C5719">
        <w:rPr>
          <w:b/>
          <w:u w:val="single"/>
        </w:rPr>
        <w:lastRenderedPageBreak/>
        <w:t>ATTACHMENT</w:t>
      </w:r>
      <w:r w:rsidR="001D20E6" w:rsidRPr="001B7B95">
        <w:rPr>
          <w:b/>
          <w:u w:val="single"/>
        </w:rPr>
        <w:t xml:space="preserve"> </w:t>
      </w:r>
      <w:r w:rsidR="001B7B95" w:rsidRPr="001B7B95">
        <w:rPr>
          <w:b/>
          <w:u w:val="single"/>
        </w:rPr>
        <w:t>A</w:t>
      </w:r>
    </w:p>
    <w:p w14:paraId="2B33AF4B" w14:textId="576A54A8" w:rsidR="00EA4DD8" w:rsidRPr="003C5719" w:rsidRDefault="00EA4DD8" w:rsidP="004A27A8">
      <w:pPr>
        <w:spacing w:before="240"/>
        <w:rPr>
          <w:b/>
          <w:bCs/>
          <w:szCs w:val="24"/>
          <w:u w:val="single"/>
        </w:rPr>
      </w:pPr>
      <w:r w:rsidRPr="003C5719">
        <w:rPr>
          <w:b/>
          <w:bCs/>
          <w:u w:val="single"/>
        </w:rPr>
        <w:t>Details of the</w:t>
      </w:r>
      <w:r w:rsidR="001F12F5">
        <w:rPr>
          <w:b/>
          <w:bCs/>
          <w:u w:val="single"/>
        </w:rPr>
        <w:t xml:space="preserve"> </w:t>
      </w:r>
      <w:r w:rsidR="00C10959" w:rsidRPr="00C10959">
        <w:rPr>
          <w:b/>
          <w:bCs/>
          <w:u w:val="single"/>
        </w:rPr>
        <w:t>Treasury Laws Amendment (Professional Standards Schemes No. 2) Regulations 2025</w:t>
      </w:r>
      <w:r w:rsidRPr="003C5719">
        <w:rPr>
          <w:b/>
          <w:bCs/>
          <w:u w:val="single"/>
        </w:rPr>
        <w:t xml:space="preserve"> </w:t>
      </w:r>
    </w:p>
    <w:p w14:paraId="78D8A9C8"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AF6602F" w14:textId="4E7B7F6D" w:rsidR="00EA4DD8" w:rsidRPr="003C5719" w:rsidRDefault="00EA4DD8" w:rsidP="004A27A8">
      <w:pPr>
        <w:spacing w:before="240"/>
      </w:pPr>
      <w:r w:rsidRPr="003C5719">
        <w:t xml:space="preserve">This section provides that the name of the </w:t>
      </w:r>
      <w:r w:rsidR="00A760F0" w:rsidRPr="00C10959">
        <w:t>r</w:t>
      </w:r>
      <w:r w:rsidRPr="00C10959">
        <w:t>egulations</w:t>
      </w:r>
      <w:r w:rsidRPr="003C5719">
        <w:t xml:space="preserve"> is the </w:t>
      </w:r>
      <w:r w:rsidR="00C10959" w:rsidRPr="00C10959">
        <w:rPr>
          <w:i/>
          <w:iCs/>
          <w:color w:val="000000" w:themeColor="text1"/>
        </w:rPr>
        <w:t>Treasury Laws Amendment (Professional Standards Schemes No. 2) Regulations 2025</w:t>
      </w:r>
      <w:r w:rsidR="001F12F5" w:rsidRPr="00901303">
        <w:rPr>
          <w:color w:val="000000" w:themeColor="text1"/>
        </w:rPr>
        <w:t xml:space="preserve"> </w:t>
      </w:r>
      <w:r w:rsidRPr="00901303">
        <w:rPr>
          <w:color w:val="000000" w:themeColor="text1"/>
        </w:rPr>
        <w:t>(th</w:t>
      </w:r>
      <w:r w:rsidRPr="003C5719">
        <w:t>e </w:t>
      </w:r>
      <w:r w:rsidRPr="00C10959">
        <w:t>Regulations</w:t>
      </w:r>
      <w:r w:rsidRPr="003C5719">
        <w:t>).</w:t>
      </w:r>
    </w:p>
    <w:p w14:paraId="48D4AEBC" w14:textId="77777777" w:rsidR="00EA4DD8" w:rsidRPr="003C5719" w:rsidRDefault="00EA4DD8" w:rsidP="004A27A8">
      <w:pPr>
        <w:spacing w:before="240"/>
        <w:rPr>
          <w:u w:val="single"/>
        </w:rPr>
      </w:pPr>
      <w:r w:rsidRPr="003C5719">
        <w:rPr>
          <w:u w:val="single"/>
        </w:rPr>
        <w:t>Section 2 – Commencement</w:t>
      </w:r>
    </w:p>
    <w:p w14:paraId="22403CF6" w14:textId="243CFBB0" w:rsidR="00EA4DD8" w:rsidRPr="003C5719" w:rsidRDefault="00EA4DD8" w:rsidP="004A27A8">
      <w:pPr>
        <w:spacing w:before="240"/>
      </w:pPr>
      <w:r w:rsidRPr="003C5719">
        <w:t>Schedule 1 to the Regulations commence</w:t>
      </w:r>
      <w:r w:rsidR="003037F8">
        <w:t>d</w:t>
      </w:r>
      <w:r w:rsidRPr="003C5719">
        <w:t xml:space="preserve"> on </w:t>
      </w:r>
      <w:r w:rsidRPr="006F683C">
        <w:t xml:space="preserve">the day after the instrument is registered </w:t>
      </w:r>
      <w:r w:rsidRPr="003C5719">
        <w:t>on the Federal Register of Legislation.</w:t>
      </w:r>
      <w:r w:rsidR="005858FB">
        <w:t xml:space="preserve"> </w:t>
      </w:r>
    </w:p>
    <w:p w14:paraId="156F7AF8" w14:textId="77777777" w:rsidR="00EA4DD8" w:rsidRPr="003C5719" w:rsidRDefault="00EA4DD8" w:rsidP="004A27A8">
      <w:pPr>
        <w:spacing w:before="240"/>
        <w:rPr>
          <w:u w:val="single"/>
        </w:rPr>
      </w:pPr>
      <w:r w:rsidRPr="003C5719">
        <w:rPr>
          <w:u w:val="single"/>
        </w:rPr>
        <w:t>Section 3 – Authority</w:t>
      </w:r>
    </w:p>
    <w:p w14:paraId="1C0D5237" w14:textId="77777777" w:rsidR="0085549F" w:rsidRPr="0085549F" w:rsidRDefault="0085549F" w:rsidP="0085549F">
      <w:pPr>
        <w:spacing w:before="240"/>
      </w:pPr>
      <w:r w:rsidRPr="0085549F">
        <w:t xml:space="preserve">This section provides that the Regulations are made under the </w:t>
      </w:r>
      <w:r w:rsidRPr="0085549F">
        <w:rPr>
          <w:i/>
          <w:iCs/>
        </w:rPr>
        <w:t xml:space="preserve">Australian Securities and Investments Commission Act 2001 </w:t>
      </w:r>
      <w:r w:rsidRPr="0085549F">
        <w:t>(the ASIC Act), the </w:t>
      </w:r>
      <w:r w:rsidRPr="0085549F">
        <w:rPr>
          <w:i/>
          <w:iCs/>
        </w:rPr>
        <w:t xml:space="preserve">Competition and Consumer Act 2010 </w:t>
      </w:r>
      <w:r w:rsidRPr="0085549F">
        <w:t xml:space="preserve">(the CCA), and the </w:t>
      </w:r>
      <w:r w:rsidRPr="0085549F">
        <w:rPr>
          <w:i/>
          <w:iCs/>
        </w:rPr>
        <w:t xml:space="preserve">Corporations Act 2001 </w:t>
      </w:r>
      <w:r w:rsidRPr="0085549F">
        <w:t>(the Corporations Act).</w:t>
      </w:r>
    </w:p>
    <w:p w14:paraId="098A3285" w14:textId="573B3469" w:rsidR="00EA4DD8" w:rsidRPr="003C5719" w:rsidRDefault="00EA4DD8" w:rsidP="004A27A8">
      <w:pPr>
        <w:spacing w:before="240"/>
        <w:rPr>
          <w:u w:val="single"/>
        </w:rPr>
      </w:pPr>
      <w:r w:rsidRPr="003C5719">
        <w:rPr>
          <w:u w:val="single"/>
        </w:rPr>
        <w:t>Section 4 – Schedule</w:t>
      </w:r>
    </w:p>
    <w:p w14:paraId="15C0BD69" w14:textId="5BDC9E82" w:rsidR="00EA4DD8" w:rsidRPr="003C5719" w:rsidRDefault="00EA4DD8" w:rsidP="00466DD5">
      <w:pPr>
        <w:spacing w:before="240" w:after="200"/>
        <w:rPr>
          <w:u w:val="single"/>
        </w:rPr>
      </w:pPr>
      <w:r w:rsidRPr="003C5719">
        <w:t xml:space="preserve">This section provides that each instrument that is specified in the Schedule to this instrument </w:t>
      </w:r>
      <w:r w:rsidR="005D7E35">
        <w:t xml:space="preserve">are </w:t>
      </w:r>
      <w:r w:rsidRPr="003C5719">
        <w:t>amended or repealed as set out in the applicable items in the Schedule, and any other item in the Schedule</w:t>
      </w:r>
      <w:r w:rsidR="00EB6D8F">
        <w:t xml:space="preserve"> </w:t>
      </w:r>
      <w:r w:rsidRPr="003C5719">
        <w:t>to this instrument has effect according to its terms.</w:t>
      </w:r>
    </w:p>
    <w:p w14:paraId="1372101A" w14:textId="77777777" w:rsidR="0085549F" w:rsidRPr="0085549F" w:rsidRDefault="0085549F" w:rsidP="0085549F">
      <w:pPr>
        <w:spacing w:before="240" w:after="200"/>
        <w:rPr>
          <w:u w:val="single"/>
        </w:rPr>
      </w:pPr>
      <w:r w:rsidRPr="0085549F">
        <w:rPr>
          <w:u w:val="single"/>
        </w:rPr>
        <w:t>Schedule 1 – Amendments</w:t>
      </w:r>
    </w:p>
    <w:p w14:paraId="19E0749D" w14:textId="5D62C881" w:rsidR="0085549F" w:rsidRPr="0085549F" w:rsidRDefault="0085549F" w:rsidP="0085549F">
      <w:pPr>
        <w:spacing w:before="240" w:after="200"/>
        <w:rPr>
          <w:b/>
          <w:bCs/>
          <w:i/>
          <w:iCs/>
        </w:rPr>
      </w:pPr>
      <w:r w:rsidRPr="0085549F">
        <w:rPr>
          <w:b/>
          <w:bCs/>
        </w:rPr>
        <w:t xml:space="preserve">Items 1, 2 and 3 – Prescription of the </w:t>
      </w:r>
      <w:r w:rsidRPr="0085549F">
        <w:rPr>
          <w:b/>
          <w:bCs/>
          <w:i/>
          <w:iCs/>
        </w:rPr>
        <w:t>CPA Australia Professional Standards Scheme</w:t>
      </w:r>
    </w:p>
    <w:p w14:paraId="52E6633B" w14:textId="27CAE0D1" w:rsidR="0085549F" w:rsidRPr="0085549F" w:rsidRDefault="0085549F" w:rsidP="0085549F">
      <w:pPr>
        <w:spacing w:before="240" w:after="200"/>
      </w:pPr>
      <w:r w:rsidRPr="0085549F">
        <w:t xml:space="preserve">These items amend Regulation 3A (table item </w:t>
      </w:r>
      <w:r w:rsidRPr="006816FE">
        <w:t>1</w:t>
      </w:r>
      <w:r w:rsidRPr="0085549F">
        <w:t xml:space="preserve">) of the </w:t>
      </w:r>
      <w:r w:rsidRPr="0085549F">
        <w:rPr>
          <w:i/>
          <w:iCs/>
        </w:rPr>
        <w:t>Australian Securities and Investments Commission Regulations 2001</w:t>
      </w:r>
      <w:r w:rsidRPr="0085549F">
        <w:t xml:space="preserve"> (ASIC Regulations), regulation 8A (table item </w:t>
      </w:r>
      <w:r w:rsidRPr="006816FE">
        <w:t>5</w:t>
      </w:r>
      <w:r w:rsidRPr="0085549F">
        <w:t xml:space="preserve">) of the </w:t>
      </w:r>
      <w:r w:rsidRPr="0085549F">
        <w:rPr>
          <w:i/>
          <w:iCs/>
        </w:rPr>
        <w:t>Competition and Consumer Regulations 2010</w:t>
      </w:r>
      <w:r w:rsidRPr="0085549F">
        <w:t xml:space="preserve"> (CC Regulations), and regulation 7.10.02 (table item </w:t>
      </w:r>
      <w:r w:rsidRPr="006816FE">
        <w:t>1</w:t>
      </w:r>
      <w:r w:rsidRPr="0085549F">
        <w:t xml:space="preserve">) of the </w:t>
      </w:r>
      <w:r w:rsidRPr="0085549F">
        <w:rPr>
          <w:i/>
          <w:iCs/>
        </w:rPr>
        <w:t>Corporation Regulations 2001</w:t>
      </w:r>
      <w:r w:rsidRPr="0085549F">
        <w:t xml:space="preserve"> (Corporation Regulations) to provide for the prescription of the </w:t>
      </w:r>
      <w:r w:rsidRPr="006816FE">
        <w:rPr>
          <w:i/>
          <w:iCs/>
        </w:rPr>
        <w:t>CPA Australia Professional Standards Scheme</w:t>
      </w:r>
      <w:r w:rsidRPr="0085549F">
        <w:rPr>
          <w:i/>
          <w:iCs/>
        </w:rPr>
        <w:t xml:space="preserve"> </w:t>
      </w:r>
      <w:r w:rsidRPr="0085549F">
        <w:t xml:space="preserve">as a professional standards scheme that has capped civil liability for misleading or deceptive conduct under the CCA, the ASIC Act and the Corporations Act. The scheme was notified on </w:t>
      </w:r>
      <w:r w:rsidR="006816FE" w:rsidRPr="006816FE">
        <w:t>6 June 2025</w:t>
      </w:r>
      <w:r w:rsidRPr="0085549F">
        <w:t xml:space="preserve"> in the </w:t>
      </w:r>
      <w:r w:rsidR="006816FE" w:rsidRPr="006816FE">
        <w:rPr>
          <w:i/>
          <w:iCs/>
        </w:rPr>
        <w:t>New South Wales Government Gazette No.277.</w:t>
      </w:r>
    </w:p>
    <w:p w14:paraId="0F4F0342" w14:textId="15567BB6" w:rsidR="00EA4DD8" w:rsidRPr="00906FBA" w:rsidRDefault="00EA4DD8" w:rsidP="00466DD5">
      <w:pPr>
        <w:spacing w:before="240" w:after="200"/>
      </w:pPr>
      <w:r w:rsidRPr="00844849">
        <w:rPr>
          <w:color w:val="FF0000"/>
        </w:rPr>
        <w:br w:type="page"/>
      </w:r>
    </w:p>
    <w:p w14:paraId="653CA7A2" w14:textId="5EAE3485" w:rsidR="0093421F" w:rsidRPr="003C5719" w:rsidRDefault="007A55A7" w:rsidP="0093421F">
      <w:pPr>
        <w:pageBreakBefore/>
        <w:spacing w:before="240"/>
        <w:jc w:val="right"/>
        <w:rPr>
          <w:b/>
          <w:u w:val="single"/>
        </w:rPr>
      </w:pPr>
      <w:r w:rsidRPr="003C5719">
        <w:rPr>
          <w:b/>
          <w:u w:val="single"/>
        </w:rPr>
        <w:lastRenderedPageBreak/>
        <w:t>ATTACHMENT</w:t>
      </w:r>
      <w:r w:rsidR="006816FE">
        <w:rPr>
          <w:b/>
          <w:u w:val="single"/>
        </w:rPr>
        <w:t xml:space="preserve"> </w:t>
      </w:r>
      <w:r w:rsidR="006816FE" w:rsidRPr="006816FE">
        <w:rPr>
          <w:b/>
          <w:u w:val="single"/>
        </w:rPr>
        <w:t>B</w:t>
      </w:r>
    </w:p>
    <w:p w14:paraId="3E62D8D3" w14:textId="77777777" w:rsidR="00E4438C" w:rsidRPr="003C5719" w:rsidRDefault="00E4438C" w:rsidP="00883863">
      <w:pPr>
        <w:pStyle w:val="Heading3"/>
        <w:jc w:val="center"/>
      </w:pPr>
      <w:r w:rsidRPr="003C5719">
        <w:t>Statement of Compatibility with Human Rights</w:t>
      </w:r>
    </w:p>
    <w:p w14:paraId="7124DDE8" w14:textId="77777777" w:rsidR="00E4438C" w:rsidRPr="003C5719" w:rsidRDefault="00E4438C" w:rsidP="005871CB">
      <w:pPr>
        <w:spacing w:before="240"/>
        <w:jc w:val="center"/>
      </w:pPr>
      <w:r w:rsidRPr="003C5719">
        <w:t xml:space="preserve">Prepared in accordance with Part 3 of the </w:t>
      </w:r>
      <w:r w:rsidRPr="00404955">
        <w:rPr>
          <w:i/>
          <w:iCs/>
        </w:rPr>
        <w:t>Human Rights (Parliamentary Scrutiny) Act</w:t>
      </w:r>
      <w:r w:rsidR="00466731" w:rsidRPr="00404955">
        <w:rPr>
          <w:i/>
          <w:iCs/>
        </w:rPr>
        <w:t> </w:t>
      </w:r>
      <w:r w:rsidRPr="00404955">
        <w:rPr>
          <w:i/>
          <w:iCs/>
        </w:rPr>
        <w:t>2011</w:t>
      </w:r>
    </w:p>
    <w:p w14:paraId="2E620385" w14:textId="0607C55F" w:rsidR="00E4438C" w:rsidRPr="006816FE" w:rsidRDefault="006816FE" w:rsidP="006816FE">
      <w:pPr>
        <w:spacing w:before="240"/>
        <w:rPr>
          <w:b/>
          <w:bCs/>
          <w:iCs/>
        </w:rPr>
      </w:pPr>
      <w:r w:rsidRPr="006816FE">
        <w:rPr>
          <w:b/>
          <w:bCs/>
          <w:iCs/>
        </w:rPr>
        <w:t>Treasury Laws Amendment (Professional Standards Schemes No. 2) Regulations 2025</w:t>
      </w:r>
    </w:p>
    <w:p w14:paraId="012DD113"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5BA6B84" w14:textId="77777777" w:rsidR="00E4438C" w:rsidRPr="003C5719" w:rsidRDefault="00E4438C" w:rsidP="004A27A8">
      <w:pPr>
        <w:pStyle w:val="Heading3"/>
      </w:pPr>
      <w:r w:rsidRPr="003C5719">
        <w:t>Overview of the Legislative Instrument</w:t>
      </w:r>
    </w:p>
    <w:p w14:paraId="4802AD64" w14:textId="77777777" w:rsidR="00640CD9" w:rsidRDefault="006816FE" w:rsidP="006816FE">
      <w:pPr>
        <w:spacing w:before="240"/>
      </w:pPr>
      <w:r w:rsidRPr="006816FE">
        <w:t xml:space="preserve">The Regulations </w:t>
      </w:r>
      <w:r w:rsidR="001B7B95">
        <w:t xml:space="preserve">prescribe a new </w:t>
      </w:r>
      <w:r w:rsidR="001B7B95" w:rsidRPr="001B7B95">
        <w:t>CPA Australia Professional Standards Scheme</w:t>
      </w:r>
      <w:r w:rsidR="001B7B95">
        <w:t xml:space="preserve"> to ensure that members of the scheme continue</w:t>
      </w:r>
      <w:r w:rsidRPr="006816FE">
        <w:t xml:space="preserve"> have capped civil liability for misleading and deceptive conduct under the </w:t>
      </w:r>
      <w:r w:rsidRPr="006816FE">
        <w:rPr>
          <w:i/>
          <w:iCs/>
        </w:rPr>
        <w:t>Australian Securities and Investments Commission Act 2001</w:t>
      </w:r>
      <w:r w:rsidRPr="006816FE">
        <w:t> (the ASIC Act), the </w:t>
      </w:r>
      <w:r w:rsidRPr="006816FE">
        <w:rPr>
          <w:i/>
          <w:iCs/>
        </w:rPr>
        <w:t>Competition and Consumer Act 2010</w:t>
      </w:r>
      <w:r w:rsidRPr="006816FE">
        <w:t> (the CCA) and the </w:t>
      </w:r>
      <w:r w:rsidRPr="006816FE">
        <w:rPr>
          <w:i/>
          <w:iCs/>
        </w:rPr>
        <w:t>Corporations Act 2001</w:t>
      </w:r>
      <w:r w:rsidRPr="006816FE">
        <w:t> (the Corporations Act). </w:t>
      </w:r>
    </w:p>
    <w:p w14:paraId="2C95F87E" w14:textId="77777777" w:rsidR="00640CD9" w:rsidRDefault="006816FE" w:rsidP="006816FE">
      <w:pPr>
        <w:spacing w:before="240"/>
      </w:pPr>
      <w:r w:rsidRPr="006816FE">
        <w:t>The intergovernmental Professional Standards Agreement 2011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 </w:t>
      </w:r>
    </w:p>
    <w:p w14:paraId="1C6D05A8" w14:textId="29C2ADE5" w:rsidR="006816FE" w:rsidRPr="006816FE" w:rsidRDefault="006816FE" w:rsidP="006816FE">
      <w:pPr>
        <w:spacing w:before="240"/>
      </w:pPr>
      <w:r w:rsidRPr="006816FE">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 </w:t>
      </w:r>
    </w:p>
    <w:p w14:paraId="682A3945" w14:textId="77777777" w:rsidR="00EB2BED" w:rsidRDefault="00E4438C" w:rsidP="004A27A8">
      <w:pPr>
        <w:pStyle w:val="Heading3"/>
      </w:pPr>
      <w:r w:rsidRPr="003C5719">
        <w:t>Human rights implications</w:t>
      </w:r>
      <w:r w:rsidR="006B520A">
        <w:t xml:space="preserve"> </w:t>
      </w:r>
    </w:p>
    <w:p w14:paraId="16F4E2E8" w14:textId="77777777" w:rsidR="006816FE" w:rsidRPr="006816FE" w:rsidRDefault="006816FE" w:rsidP="004A27A8">
      <w:pPr>
        <w:pStyle w:val="Heading3"/>
        <w:rPr>
          <w:b w:val="0"/>
          <w:bCs/>
        </w:rPr>
      </w:pPr>
      <w:r w:rsidRPr="006816FE">
        <w:rPr>
          <w:b w:val="0"/>
          <w:bCs/>
        </w:rPr>
        <w:t xml:space="preserve">This Legislative Instrument does not engage any of the applicable rights or freedoms. </w:t>
      </w:r>
    </w:p>
    <w:p w14:paraId="3C5DF2ED" w14:textId="77777777" w:rsidR="001B7B95" w:rsidRDefault="00E4438C" w:rsidP="001B7B95">
      <w:pPr>
        <w:pStyle w:val="Heading3"/>
      </w:pPr>
      <w:r w:rsidRPr="003C5719">
        <w:t>Conclusion</w:t>
      </w:r>
      <w:r w:rsidR="006D60D0">
        <w:t xml:space="preserve"> </w:t>
      </w:r>
    </w:p>
    <w:p w14:paraId="5E20509E" w14:textId="66C55BC1" w:rsidR="006816FE" w:rsidRPr="006816FE" w:rsidRDefault="006816FE" w:rsidP="001B7B95">
      <w:pPr>
        <w:pStyle w:val="Heading3"/>
        <w:rPr>
          <w:b w:val="0"/>
        </w:rPr>
      </w:pPr>
      <w:r w:rsidRPr="006816FE">
        <w:rPr>
          <w:b w:val="0"/>
        </w:rPr>
        <w:t>This Legislative Instrument is compatible with human rights as it does not raise any human rights issues.</w:t>
      </w:r>
    </w:p>
    <w:sectPr w:rsidR="006816FE" w:rsidRPr="006816FE"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C561" w14:textId="77777777" w:rsidR="00BC6B92" w:rsidRDefault="00BC6B92" w:rsidP="00954679">
      <w:pPr>
        <w:spacing w:before="0" w:after="0"/>
      </w:pPr>
      <w:r>
        <w:separator/>
      </w:r>
    </w:p>
  </w:endnote>
  <w:endnote w:type="continuationSeparator" w:id="0">
    <w:p w14:paraId="3F2C3DEF" w14:textId="77777777" w:rsidR="00BC6B92" w:rsidRDefault="00BC6B92" w:rsidP="00954679">
      <w:pPr>
        <w:spacing w:before="0" w:after="0"/>
      </w:pPr>
      <w:r>
        <w:continuationSeparator/>
      </w:r>
    </w:p>
  </w:endnote>
  <w:endnote w:type="continuationNotice" w:id="1">
    <w:p w14:paraId="7B114FB6" w14:textId="77777777" w:rsidR="00BC6B92" w:rsidRDefault="00BC6B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9DEA" w14:textId="77777777" w:rsidR="008324F8" w:rsidRDefault="00832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3C59AD3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6C0D" w14:textId="77777777" w:rsidR="008324F8" w:rsidRDefault="0083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7238" w14:textId="77777777" w:rsidR="00BC6B92" w:rsidRDefault="00BC6B92" w:rsidP="00954679">
      <w:pPr>
        <w:spacing w:before="0" w:after="0"/>
      </w:pPr>
      <w:r>
        <w:separator/>
      </w:r>
    </w:p>
  </w:footnote>
  <w:footnote w:type="continuationSeparator" w:id="0">
    <w:p w14:paraId="7A5FF96F" w14:textId="77777777" w:rsidR="00BC6B92" w:rsidRDefault="00BC6B92" w:rsidP="00954679">
      <w:pPr>
        <w:spacing w:before="0" w:after="0"/>
      </w:pPr>
      <w:r>
        <w:continuationSeparator/>
      </w:r>
    </w:p>
  </w:footnote>
  <w:footnote w:type="continuationNotice" w:id="1">
    <w:p w14:paraId="13231C27" w14:textId="77777777" w:rsidR="00BC6B92" w:rsidRDefault="00BC6B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4B5" w14:textId="77777777" w:rsidR="008324F8" w:rsidRDefault="00832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611A" w14:textId="77777777" w:rsidR="008324F8" w:rsidRDefault="00832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AC8B" w14:textId="77777777" w:rsidR="008324F8" w:rsidRDefault="00832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E4236F"/>
    <w:multiLevelType w:val="hybridMultilevel"/>
    <w:tmpl w:val="87C86CC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CEE6715"/>
    <w:multiLevelType w:val="hybridMultilevel"/>
    <w:tmpl w:val="5750075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58F63A1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3"/>
  </w:num>
  <w:num w:numId="2" w16cid:durableId="92435628">
    <w:abstractNumId w:val="5"/>
  </w:num>
  <w:num w:numId="3" w16cid:durableId="102648425">
    <w:abstractNumId w:val="1"/>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266578030">
    <w:abstractNumId w:val="2"/>
  </w:num>
  <w:num w:numId="18" w16cid:durableId="81560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3D"/>
    <w:rsid w:val="000026BE"/>
    <w:rsid w:val="00003189"/>
    <w:rsid w:val="00005B51"/>
    <w:rsid w:val="0000628C"/>
    <w:rsid w:val="00007A31"/>
    <w:rsid w:val="00013390"/>
    <w:rsid w:val="00016EA2"/>
    <w:rsid w:val="0002546A"/>
    <w:rsid w:val="000314EF"/>
    <w:rsid w:val="00031AE1"/>
    <w:rsid w:val="00032165"/>
    <w:rsid w:val="00041C87"/>
    <w:rsid w:val="000455BA"/>
    <w:rsid w:val="00051648"/>
    <w:rsid w:val="000524A9"/>
    <w:rsid w:val="0005316A"/>
    <w:rsid w:val="000547DB"/>
    <w:rsid w:val="00060C1F"/>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935"/>
    <w:rsid w:val="000D11E5"/>
    <w:rsid w:val="000D2234"/>
    <w:rsid w:val="000D5827"/>
    <w:rsid w:val="000D59B4"/>
    <w:rsid w:val="000E32E3"/>
    <w:rsid w:val="000E797C"/>
    <w:rsid w:val="000F1F12"/>
    <w:rsid w:val="000F3A05"/>
    <w:rsid w:val="000F53D9"/>
    <w:rsid w:val="001009D2"/>
    <w:rsid w:val="001012C2"/>
    <w:rsid w:val="00112399"/>
    <w:rsid w:val="00113B45"/>
    <w:rsid w:val="00114003"/>
    <w:rsid w:val="0011527C"/>
    <w:rsid w:val="00117C02"/>
    <w:rsid w:val="001276B4"/>
    <w:rsid w:val="001319C8"/>
    <w:rsid w:val="001331B7"/>
    <w:rsid w:val="00133D7A"/>
    <w:rsid w:val="00142888"/>
    <w:rsid w:val="00142BCF"/>
    <w:rsid w:val="0014608E"/>
    <w:rsid w:val="00172B5A"/>
    <w:rsid w:val="001759FA"/>
    <w:rsid w:val="00187857"/>
    <w:rsid w:val="00195A29"/>
    <w:rsid w:val="001B4919"/>
    <w:rsid w:val="001B7535"/>
    <w:rsid w:val="001B7B95"/>
    <w:rsid w:val="001B7EC2"/>
    <w:rsid w:val="001C0477"/>
    <w:rsid w:val="001D20E6"/>
    <w:rsid w:val="001E6A74"/>
    <w:rsid w:val="001F12F5"/>
    <w:rsid w:val="001F41D0"/>
    <w:rsid w:val="001F462C"/>
    <w:rsid w:val="001F6C40"/>
    <w:rsid w:val="00220F16"/>
    <w:rsid w:val="00221082"/>
    <w:rsid w:val="0022550C"/>
    <w:rsid w:val="00231837"/>
    <w:rsid w:val="002349A0"/>
    <w:rsid w:val="00240D31"/>
    <w:rsid w:val="00240DF1"/>
    <w:rsid w:val="0024245F"/>
    <w:rsid w:val="00242656"/>
    <w:rsid w:val="002439CC"/>
    <w:rsid w:val="00245EDF"/>
    <w:rsid w:val="0024727F"/>
    <w:rsid w:val="00254C5B"/>
    <w:rsid w:val="0027118E"/>
    <w:rsid w:val="002725F4"/>
    <w:rsid w:val="002726C6"/>
    <w:rsid w:val="002771E5"/>
    <w:rsid w:val="00277840"/>
    <w:rsid w:val="00287C5A"/>
    <w:rsid w:val="00293839"/>
    <w:rsid w:val="002A1236"/>
    <w:rsid w:val="002A3C80"/>
    <w:rsid w:val="002A6DA4"/>
    <w:rsid w:val="002A7B74"/>
    <w:rsid w:val="002A7E1F"/>
    <w:rsid w:val="002C0792"/>
    <w:rsid w:val="002C0A5A"/>
    <w:rsid w:val="002C226C"/>
    <w:rsid w:val="002C3EE2"/>
    <w:rsid w:val="002C7A8B"/>
    <w:rsid w:val="002D4B55"/>
    <w:rsid w:val="002D4EF5"/>
    <w:rsid w:val="002E1996"/>
    <w:rsid w:val="002E73BB"/>
    <w:rsid w:val="002E7570"/>
    <w:rsid w:val="002F022D"/>
    <w:rsid w:val="002F6BB1"/>
    <w:rsid w:val="003037F8"/>
    <w:rsid w:val="003041FA"/>
    <w:rsid w:val="00312A68"/>
    <w:rsid w:val="003342CD"/>
    <w:rsid w:val="0033477F"/>
    <w:rsid w:val="00335042"/>
    <w:rsid w:val="00341642"/>
    <w:rsid w:val="00355872"/>
    <w:rsid w:val="00357733"/>
    <w:rsid w:val="00360C0A"/>
    <w:rsid w:val="00362B70"/>
    <w:rsid w:val="00364A4F"/>
    <w:rsid w:val="00364DEE"/>
    <w:rsid w:val="00370395"/>
    <w:rsid w:val="0037180D"/>
    <w:rsid w:val="00371E31"/>
    <w:rsid w:val="00373853"/>
    <w:rsid w:val="00392BBA"/>
    <w:rsid w:val="00392C0C"/>
    <w:rsid w:val="003954FD"/>
    <w:rsid w:val="003B19DD"/>
    <w:rsid w:val="003B31F4"/>
    <w:rsid w:val="003B4356"/>
    <w:rsid w:val="003C3A13"/>
    <w:rsid w:val="003C445C"/>
    <w:rsid w:val="003C5719"/>
    <w:rsid w:val="003C7907"/>
    <w:rsid w:val="003C7B82"/>
    <w:rsid w:val="003D0B99"/>
    <w:rsid w:val="003D392B"/>
    <w:rsid w:val="003D60D7"/>
    <w:rsid w:val="003E0411"/>
    <w:rsid w:val="003E1C8F"/>
    <w:rsid w:val="003E1CE3"/>
    <w:rsid w:val="003E3F3E"/>
    <w:rsid w:val="003E77BC"/>
    <w:rsid w:val="003F17A4"/>
    <w:rsid w:val="003F3B86"/>
    <w:rsid w:val="003F4902"/>
    <w:rsid w:val="004000AE"/>
    <w:rsid w:val="00404955"/>
    <w:rsid w:val="004049A9"/>
    <w:rsid w:val="00411E74"/>
    <w:rsid w:val="00412BB6"/>
    <w:rsid w:val="0043106E"/>
    <w:rsid w:val="00436952"/>
    <w:rsid w:val="00454E2D"/>
    <w:rsid w:val="004577E7"/>
    <w:rsid w:val="00462095"/>
    <w:rsid w:val="00464356"/>
    <w:rsid w:val="00466731"/>
    <w:rsid w:val="00466DD5"/>
    <w:rsid w:val="00467E83"/>
    <w:rsid w:val="0047265F"/>
    <w:rsid w:val="00473B71"/>
    <w:rsid w:val="004755FE"/>
    <w:rsid w:val="00482B81"/>
    <w:rsid w:val="00482D4C"/>
    <w:rsid w:val="00482ECF"/>
    <w:rsid w:val="00483475"/>
    <w:rsid w:val="004838E4"/>
    <w:rsid w:val="0048463A"/>
    <w:rsid w:val="00484BD6"/>
    <w:rsid w:val="00492BF6"/>
    <w:rsid w:val="004A10CE"/>
    <w:rsid w:val="004A1638"/>
    <w:rsid w:val="004A27A8"/>
    <w:rsid w:val="004A3018"/>
    <w:rsid w:val="004A4499"/>
    <w:rsid w:val="004B3C0F"/>
    <w:rsid w:val="004B4A3C"/>
    <w:rsid w:val="004C05E4"/>
    <w:rsid w:val="004C28DF"/>
    <w:rsid w:val="004C6D55"/>
    <w:rsid w:val="004D4AE5"/>
    <w:rsid w:val="004D50F0"/>
    <w:rsid w:val="004D75B6"/>
    <w:rsid w:val="004E1293"/>
    <w:rsid w:val="004E2EE7"/>
    <w:rsid w:val="004E3590"/>
    <w:rsid w:val="004E39E1"/>
    <w:rsid w:val="004F00BA"/>
    <w:rsid w:val="004F011F"/>
    <w:rsid w:val="004F03F4"/>
    <w:rsid w:val="004F12C3"/>
    <w:rsid w:val="004F390E"/>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675D"/>
    <w:rsid w:val="005573C4"/>
    <w:rsid w:val="00566E8F"/>
    <w:rsid w:val="005709DE"/>
    <w:rsid w:val="005726BA"/>
    <w:rsid w:val="00573FFC"/>
    <w:rsid w:val="0057422E"/>
    <w:rsid w:val="005833BE"/>
    <w:rsid w:val="005858FB"/>
    <w:rsid w:val="005871CB"/>
    <w:rsid w:val="00592234"/>
    <w:rsid w:val="0059302A"/>
    <w:rsid w:val="005A0E3B"/>
    <w:rsid w:val="005A2572"/>
    <w:rsid w:val="005A653F"/>
    <w:rsid w:val="005B3AF1"/>
    <w:rsid w:val="005C032C"/>
    <w:rsid w:val="005C73D6"/>
    <w:rsid w:val="005D2168"/>
    <w:rsid w:val="005D69BE"/>
    <w:rsid w:val="005D7D5A"/>
    <w:rsid w:val="005D7E35"/>
    <w:rsid w:val="005E0E85"/>
    <w:rsid w:val="005E4792"/>
    <w:rsid w:val="005E4BAC"/>
    <w:rsid w:val="005E580A"/>
    <w:rsid w:val="005F0ABE"/>
    <w:rsid w:val="005F1BC2"/>
    <w:rsid w:val="006000A4"/>
    <w:rsid w:val="0060130D"/>
    <w:rsid w:val="00606671"/>
    <w:rsid w:val="006100E5"/>
    <w:rsid w:val="00611494"/>
    <w:rsid w:val="00612329"/>
    <w:rsid w:val="006137A6"/>
    <w:rsid w:val="00613B16"/>
    <w:rsid w:val="00615574"/>
    <w:rsid w:val="00623F9C"/>
    <w:rsid w:val="006243C6"/>
    <w:rsid w:val="00630893"/>
    <w:rsid w:val="00640CD9"/>
    <w:rsid w:val="0064129F"/>
    <w:rsid w:val="0064309D"/>
    <w:rsid w:val="00643AF4"/>
    <w:rsid w:val="00647BB7"/>
    <w:rsid w:val="00660F56"/>
    <w:rsid w:val="006711DF"/>
    <w:rsid w:val="00674623"/>
    <w:rsid w:val="00680297"/>
    <w:rsid w:val="0068046D"/>
    <w:rsid w:val="00680871"/>
    <w:rsid w:val="006816FE"/>
    <w:rsid w:val="00683956"/>
    <w:rsid w:val="006873CE"/>
    <w:rsid w:val="0069205F"/>
    <w:rsid w:val="006A0786"/>
    <w:rsid w:val="006A0F2C"/>
    <w:rsid w:val="006A11D6"/>
    <w:rsid w:val="006B3CD2"/>
    <w:rsid w:val="006B520A"/>
    <w:rsid w:val="006B523A"/>
    <w:rsid w:val="006C170A"/>
    <w:rsid w:val="006C4AAC"/>
    <w:rsid w:val="006D10EC"/>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4CCA"/>
    <w:rsid w:val="00705171"/>
    <w:rsid w:val="007053B0"/>
    <w:rsid w:val="00710E94"/>
    <w:rsid w:val="00727D8A"/>
    <w:rsid w:val="00730DA8"/>
    <w:rsid w:val="00731FEA"/>
    <w:rsid w:val="007323F4"/>
    <w:rsid w:val="00735921"/>
    <w:rsid w:val="0073599B"/>
    <w:rsid w:val="00736F61"/>
    <w:rsid w:val="0074185E"/>
    <w:rsid w:val="00742253"/>
    <w:rsid w:val="007429F7"/>
    <w:rsid w:val="007436F0"/>
    <w:rsid w:val="0074422A"/>
    <w:rsid w:val="0074728E"/>
    <w:rsid w:val="00757B95"/>
    <w:rsid w:val="007662C7"/>
    <w:rsid w:val="00772FAF"/>
    <w:rsid w:val="00776306"/>
    <w:rsid w:val="007816E2"/>
    <w:rsid w:val="00786AF4"/>
    <w:rsid w:val="00796169"/>
    <w:rsid w:val="007A1887"/>
    <w:rsid w:val="007A33F8"/>
    <w:rsid w:val="007A55A7"/>
    <w:rsid w:val="007A57BC"/>
    <w:rsid w:val="007B1F10"/>
    <w:rsid w:val="007B2143"/>
    <w:rsid w:val="007B335E"/>
    <w:rsid w:val="007B4A9D"/>
    <w:rsid w:val="007B7DAF"/>
    <w:rsid w:val="007C137D"/>
    <w:rsid w:val="007C5C2B"/>
    <w:rsid w:val="007C7D64"/>
    <w:rsid w:val="007D6771"/>
    <w:rsid w:val="007E018D"/>
    <w:rsid w:val="007E6A45"/>
    <w:rsid w:val="007F1B71"/>
    <w:rsid w:val="007F5AB4"/>
    <w:rsid w:val="0080320B"/>
    <w:rsid w:val="00807E7D"/>
    <w:rsid w:val="0081123A"/>
    <w:rsid w:val="008145BA"/>
    <w:rsid w:val="008249BE"/>
    <w:rsid w:val="00831675"/>
    <w:rsid w:val="008324F8"/>
    <w:rsid w:val="00833654"/>
    <w:rsid w:val="008404AD"/>
    <w:rsid w:val="00844849"/>
    <w:rsid w:val="00845A80"/>
    <w:rsid w:val="008552D6"/>
    <w:rsid w:val="0085549F"/>
    <w:rsid w:val="00855DA3"/>
    <w:rsid w:val="00860BB5"/>
    <w:rsid w:val="00862443"/>
    <w:rsid w:val="00877071"/>
    <w:rsid w:val="008779B4"/>
    <w:rsid w:val="00877A2F"/>
    <w:rsid w:val="0088138D"/>
    <w:rsid w:val="00883863"/>
    <w:rsid w:val="0088467C"/>
    <w:rsid w:val="008853B9"/>
    <w:rsid w:val="00885AA3"/>
    <w:rsid w:val="00890DDA"/>
    <w:rsid w:val="00891F21"/>
    <w:rsid w:val="00892D3B"/>
    <w:rsid w:val="00893E93"/>
    <w:rsid w:val="0089409D"/>
    <w:rsid w:val="0089454F"/>
    <w:rsid w:val="00894579"/>
    <w:rsid w:val="00897AA3"/>
    <w:rsid w:val="008A2BDB"/>
    <w:rsid w:val="008A4F96"/>
    <w:rsid w:val="008A5B67"/>
    <w:rsid w:val="008A5CCD"/>
    <w:rsid w:val="008A6A6D"/>
    <w:rsid w:val="008A740F"/>
    <w:rsid w:val="008B29E7"/>
    <w:rsid w:val="008B2C4E"/>
    <w:rsid w:val="008B33DF"/>
    <w:rsid w:val="008B34CA"/>
    <w:rsid w:val="008B5C0B"/>
    <w:rsid w:val="008C2216"/>
    <w:rsid w:val="008D07E2"/>
    <w:rsid w:val="008D16F7"/>
    <w:rsid w:val="008D40FA"/>
    <w:rsid w:val="008D4835"/>
    <w:rsid w:val="008E1427"/>
    <w:rsid w:val="008E52C7"/>
    <w:rsid w:val="008E5A1D"/>
    <w:rsid w:val="008F0C50"/>
    <w:rsid w:val="008F1171"/>
    <w:rsid w:val="008F2529"/>
    <w:rsid w:val="008F778A"/>
    <w:rsid w:val="00901303"/>
    <w:rsid w:val="00902ED6"/>
    <w:rsid w:val="0090320B"/>
    <w:rsid w:val="00906037"/>
    <w:rsid w:val="00906FBA"/>
    <w:rsid w:val="0091280A"/>
    <w:rsid w:val="009143A0"/>
    <w:rsid w:val="00921B5A"/>
    <w:rsid w:val="00925124"/>
    <w:rsid w:val="00925635"/>
    <w:rsid w:val="00927C59"/>
    <w:rsid w:val="00931881"/>
    <w:rsid w:val="0093421F"/>
    <w:rsid w:val="00936902"/>
    <w:rsid w:val="00942170"/>
    <w:rsid w:val="009421B2"/>
    <w:rsid w:val="0094486D"/>
    <w:rsid w:val="00950E58"/>
    <w:rsid w:val="00952DF0"/>
    <w:rsid w:val="00954679"/>
    <w:rsid w:val="009552FE"/>
    <w:rsid w:val="00955673"/>
    <w:rsid w:val="00955A09"/>
    <w:rsid w:val="009562E9"/>
    <w:rsid w:val="00956962"/>
    <w:rsid w:val="00960E89"/>
    <w:rsid w:val="009655DA"/>
    <w:rsid w:val="00965BBC"/>
    <w:rsid w:val="009673D0"/>
    <w:rsid w:val="00972823"/>
    <w:rsid w:val="00974996"/>
    <w:rsid w:val="00983A3D"/>
    <w:rsid w:val="0098737D"/>
    <w:rsid w:val="00990BE6"/>
    <w:rsid w:val="009A210E"/>
    <w:rsid w:val="009A2167"/>
    <w:rsid w:val="009A49F0"/>
    <w:rsid w:val="009A5307"/>
    <w:rsid w:val="009B7A38"/>
    <w:rsid w:val="009C0051"/>
    <w:rsid w:val="009C6A1E"/>
    <w:rsid w:val="009D2F0C"/>
    <w:rsid w:val="009D477C"/>
    <w:rsid w:val="009E27A5"/>
    <w:rsid w:val="009E2F86"/>
    <w:rsid w:val="009E362F"/>
    <w:rsid w:val="00A12209"/>
    <w:rsid w:val="00A31484"/>
    <w:rsid w:val="00A31681"/>
    <w:rsid w:val="00A34CA4"/>
    <w:rsid w:val="00A35FA5"/>
    <w:rsid w:val="00A36DF3"/>
    <w:rsid w:val="00A4120A"/>
    <w:rsid w:val="00A4441D"/>
    <w:rsid w:val="00A532DD"/>
    <w:rsid w:val="00A5522E"/>
    <w:rsid w:val="00A649B6"/>
    <w:rsid w:val="00A74B90"/>
    <w:rsid w:val="00A760F0"/>
    <w:rsid w:val="00A80BCF"/>
    <w:rsid w:val="00A825D1"/>
    <w:rsid w:val="00A8369C"/>
    <w:rsid w:val="00A86579"/>
    <w:rsid w:val="00A90212"/>
    <w:rsid w:val="00A90CC4"/>
    <w:rsid w:val="00A9401D"/>
    <w:rsid w:val="00AA1689"/>
    <w:rsid w:val="00AA496F"/>
    <w:rsid w:val="00AA5770"/>
    <w:rsid w:val="00AA70DB"/>
    <w:rsid w:val="00AB2E70"/>
    <w:rsid w:val="00AB33C1"/>
    <w:rsid w:val="00AB3E03"/>
    <w:rsid w:val="00AC1D15"/>
    <w:rsid w:val="00AC2F74"/>
    <w:rsid w:val="00AD44C6"/>
    <w:rsid w:val="00AE2CAB"/>
    <w:rsid w:val="00AE3280"/>
    <w:rsid w:val="00AE460D"/>
    <w:rsid w:val="00AE7F82"/>
    <w:rsid w:val="00AF2E2A"/>
    <w:rsid w:val="00AF595B"/>
    <w:rsid w:val="00AF77E1"/>
    <w:rsid w:val="00AF7AEF"/>
    <w:rsid w:val="00B07B0C"/>
    <w:rsid w:val="00B120F9"/>
    <w:rsid w:val="00B23A58"/>
    <w:rsid w:val="00B23CDB"/>
    <w:rsid w:val="00B25563"/>
    <w:rsid w:val="00B26D48"/>
    <w:rsid w:val="00B2789F"/>
    <w:rsid w:val="00B40949"/>
    <w:rsid w:val="00B40D80"/>
    <w:rsid w:val="00B41F7B"/>
    <w:rsid w:val="00B42EE1"/>
    <w:rsid w:val="00B47A59"/>
    <w:rsid w:val="00B5349B"/>
    <w:rsid w:val="00B5649C"/>
    <w:rsid w:val="00B60592"/>
    <w:rsid w:val="00B60A74"/>
    <w:rsid w:val="00B7138A"/>
    <w:rsid w:val="00B8293D"/>
    <w:rsid w:val="00B87A49"/>
    <w:rsid w:val="00B91ECE"/>
    <w:rsid w:val="00B92478"/>
    <w:rsid w:val="00B943FB"/>
    <w:rsid w:val="00B97463"/>
    <w:rsid w:val="00BA13A1"/>
    <w:rsid w:val="00BA25B4"/>
    <w:rsid w:val="00BA6188"/>
    <w:rsid w:val="00BB608E"/>
    <w:rsid w:val="00BB6D83"/>
    <w:rsid w:val="00BB7567"/>
    <w:rsid w:val="00BC361A"/>
    <w:rsid w:val="00BC68C2"/>
    <w:rsid w:val="00BC6B92"/>
    <w:rsid w:val="00BD2045"/>
    <w:rsid w:val="00BD3450"/>
    <w:rsid w:val="00BD3D7D"/>
    <w:rsid w:val="00BD49F7"/>
    <w:rsid w:val="00BD61A2"/>
    <w:rsid w:val="00BE484D"/>
    <w:rsid w:val="00BF2596"/>
    <w:rsid w:val="00C00B11"/>
    <w:rsid w:val="00C05ABA"/>
    <w:rsid w:val="00C10959"/>
    <w:rsid w:val="00C24EDE"/>
    <w:rsid w:val="00C3796D"/>
    <w:rsid w:val="00C37E05"/>
    <w:rsid w:val="00C4270A"/>
    <w:rsid w:val="00C47789"/>
    <w:rsid w:val="00C52172"/>
    <w:rsid w:val="00C5460B"/>
    <w:rsid w:val="00C55D29"/>
    <w:rsid w:val="00C56896"/>
    <w:rsid w:val="00C56F2E"/>
    <w:rsid w:val="00C57F2B"/>
    <w:rsid w:val="00C62B3A"/>
    <w:rsid w:val="00C66631"/>
    <w:rsid w:val="00C66D79"/>
    <w:rsid w:val="00C742B4"/>
    <w:rsid w:val="00C83DB6"/>
    <w:rsid w:val="00C84FA0"/>
    <w:rsid w:val="00C86F6D"/>
    <w:rsid w:val="00C948D8"/>
    <w:rsid w:val="00CA0BE9"/>
    <w:rsid w:val="00CA138D"/>
    <w:rsid w:val="00CA57D9"/>
    <w:rsid w:val="00CA5D67"/>
    <w:rsid w:val="00CB684F"/>
    <w:rsid w:val="00CC220F"/>
    <w:rsid w:val="00CC2AFE"/>
    <w:rsid w:val="00CC2BA3"/>
    <w:rsid w:val="00CC7641"/>
    <w:rsid w:val="00CE0B46"/>
    <w:rsid w:val="00CE4EFB"/>
    <w:rsid w:val="00CE7D19"/>
    <w:rsid w:val="00CF0681"/>
    <w:rsid w:val="00CF2515"/>
    <w:rsid w:val="00CF3E79"/>
    <w:rsid w:val="00D074A2"/>
    <w:rsid w:val="00D07B51"/>
    <w:rsid w:val="00D13794"/>
    <w:rsid w:val="00D218E7"/>
    <w:rsid w:val="00D24052"/>
    <w:rsid w:val="00D24386"/>
    <w:rsid w:val="00D31575"/>
    <w:rsid w:val="00D31A89"/>
    <w:rsid w:val="00D34626"/>
    <w:rsid w:val="00D34FB4"/>
    <w:rsid w:val="00D359BA"/>
    <w:rsid w:val="00D4257A"/>
    <w:rsid w:val="00D456A9"/>
    <w:rsid w:val="00D5153F"/>
    <w:rsid w:val="00D52798"/>
    <w:rsid w:val="00D5468A"/>
    <w:rsid w:val="00D6159D"/>
    <w:rsid w:val="00D61745"/>
    <w:rsid w:val="00D62665"/>
    <w:rsid w:val="00D645AC"/>
    <w:rsid w:val="00D66C71"/>
    <w:rsid w:val="00D66D7C"/>
    <w:rsid w:val="00D70205"/>
    <w:rsid w:val="00D735EF"/>
    <w:rsid w:val="00D7392D"/>
    <w:rsid w:val="00D7609F"/>
    <w:rsid w:val="00D81039"/>
    <w:rsid w:val="00D81AA7"/>
    <w:rsid w:val="00D82E47"/>
    <w:rsid w:val="00D84A01"/>
    <w:rsid w:val="00D9010F"/>
    <w:rsid w:val="00D977EA"/>
    <w:rsid w:val="00DA37E0"/>
    <w:rsid w:val="00DA3DF8"/>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494C"/>
    <w:rsid w:val="00DF6D0B"/>
    <w:rsid w:val="00DF7E0D"/>
    <w:rsid w:val="00E02CBF"/>
    <w:rsid w:val="00E0624D"/>
    <w:rsid w:val="00E067AB"/>
    <w:rsid w:val="00E179D4"/>
    <w:rsid w:val="00E20023"/>
    <w:rsid w:val="00E353A3"/>
    <w:rsid w:val="00E35C9D"/>
    <w:rsid w:val="00E37FF7"/>
    <w:rsid w:val="00E4438C"/>
    <w:rsid w:val="00E457F3"/>
    <w:rsid w:val="00E50663"/>
    <w:rsid w:val="00E55F9B"/>
    <w:rsid w:val="00E576F5"/>
    <w:rsid w:val="00E57A6A"/>
    <w:rsid w:val="00E73CC1"/>
    <w:rsid w:val="00E86357"/>
    <w:rsid w:val="00E87284"/>
    <w:rsid w:val="00E97664"/>
    <w:rsid w:val="00EA4DD8"/>
    <w:rsid w:val="00EA7959"/>
    <w:rsid w:val="00EB2AEF"/>
    <w:rsid w:val="00EB2BED"/>
    <w:rsid w:val="00EB6D8F"/>
    <w:rsid w:val="00EB7E71"/>
    <w:rsid w:val="00EC0CEB"/>
    <w:rsid w:val="00EC4495"/>
    <w:rsid w:val="00ED123E"/>
    <w:rsid w:val="00ED1F15"/>
    <w:rsid w:val="00ED216B"/>
    <w:rsid w:val="00EF0E78"/>
    <w:rsid w:val="00EF2788"/>
    <w:rsid w:val="00EF3103"/>
    <w:rsid w:val="00EF6E9B"/>
    <w:rsid w:val="00EF74AB"/>
    <w:rsid w:val="00EF7714"/>
    <w:rsid w:val="00F007A6"/>
    <w:rsid w:val="00F023DB"/>
    <w:rsid w:val="00F04C52"/>
    <w:rsid w:val="00F067DC"/>
    <w:rsid w:val="00F109D4"/>
    <w:rsid w:val="00F10A6F"/>
    <w:rsid w:val="00F15EE9"/>
    <w:rsid w:val="00F24736"/>
    <w:rsid w:val="00F27344"/>
    <w:rsid w:val="00F343AA"/>
    <w:rsid w:val="00F4241B"/>
    <w:rsid w:val="00F46704"/>
    <w:rsid w:val="00F4674D"/>
    <w:rsid w:val="00F46C17"/>
    <w:rsid w:val="00F47585"/>
    <w:rsid w:val="00F6249C"/>
    <w:rsid w:val="00F678B8"/>
    <w:rsid w:val="00F7078E"/>
    <w:rsid w:val="00F75BDB"/>
    <w:rsid w:val="00F81232"/>
    <w:rsid w:val="00F8291C"/>
    <w:rsid w:val="00F85E6F"/>
    <w:rsid w:val="00F95449"/>
    <w:rsid w:val="00F97137"/>
    <w:rsid w:val="00FA1942"/>
    <w:rsid w:val="00FA380A"/>
    <w:rsid w:val="00FC2CB5"/>
    <w:rsid w:val="00FC38D9"/>
    <w:rsid w:val="00FC3A8F"/>
    <w:rsid w:val="00FC595E"/>
    <w:rsid w:val="00FD19F7"/>
    <w:rsid w:val="00FD7402"/>
    <w:rsid w:val="00FE04E4"/>
    <w:rsid w:val="00FE2CD2"/>
    <w:rsid w:val="00FE2DD7"/>
    <w:rsid w:val="00FE73F9"/>
    <w:rsid w:val="00FF1057"/>
    <w:rsid w:val="00FF3E25"/>
    <w:rsid w:val="00FF5FD8"/>
    <w:rsid w:val="121F13A4"/>
    <w:rsid w:val="1A2FB8AD"/>
    <w:rsid w:val="40409EEB"/>
    <w:rsid w:val="45653014"/>
    <w:rsid w:val="5C102276"/>
    <w:rsid w:val="781E5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79A0"/>
  <w15:docId w15:val="{F2213296-1EC1-42C3-B0A4-6F7CD368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8819">
      <w:bodyDiv w:val="1"/>
      <w:marLeft w:val="0"/>
      <w:marRight w:val="0"/>
      <w:marTop w:val="0"/>
      <w:marBottom w:val="0"/>
      <w:divBdr>
        <w:top w:val="none" w:sz="0" w:space="0" w:color="auto"/>
        <w:left w:val="none" w:sz="0" w:space="0" w:color="auto"/>
        <w:bottom w:val="none" w:sz="0" w:space="0" w:color="auto"/>
        <w:right w:val="none" w:sz="0" w:space="0" w:color="auto"/>
      </w:divBdr>
    </w:div>
    <w:div w:id="227110305">
      <w:bodyDiv w:val="1"/>
      <w:marLeft w:val="0"/>
      <w:marRight w:val="0"/>
      <w:marTop w:val="0"/>
      <w:marBottom w:val="0"/>
      <w:divBdr>
        <w:top w:val="none" w:sz="0" w:space="0" w:color="auto"/>
        <w:left w:val="none" w:sz="0" w:space="0" w:color="auto"/>
        <w:bottom w:val="none" w:sz="0" w:space="0" w:color="auto"/>
        <w:right w:val="none" w:sz="0" w:space="0" w:color="auto"/>
      </w:divBdr>
    </w:div>
    <w:div w:id="318313428">
      <w:bodyDiv w:val="1"/>
      <w:marLeft w:val="0"/>
      <w:marRight w:val="0"/>
      <w:marTop w:val="0"/>
      <w:marBottom w:val="0"/>
      <w:divBdr>
        <w:top w:val="none" w:sz="0" w:space="0" w:color="auto"/>
        <w:left w:val="none" w:sz="0" w:space="0" w:color="auto"/>
        <w:bottom w:val="none" w:sz="0" w:space="0" w:color="auto"/>
        <w:right w:val="none" w:sz="0" w:space="0" w:color="auto"/>
      </w:divBdr>
    </w:div>
    <w:div w:id="339820072">
      <w:bodyDiv w:val="1"/>
      <w:marLeft w:val="0"/>
      <w:marRight w:val="0"/>
      <w:marTop w:val="0"/>
      <w:marBottom w:val="0"/>
      <w:divBdr>
        <w:top w:val="none" w:sz="0" w:space="0" w:color="auto"/>
        <w:left w:val="none" w:sz="0" w:space="0" w:color="auto"/>
        <w:bottom w:val="none" w:sz="0" w:space="0" w:color="auto"/>
        <w:right w:val="none" w:sz="0" w:space="0" w:color="auto"/>
      </w:divBdr>
    </w:div>
    <w:div w:id="357313238">
      <w:bodyDiv w:val="1"/>
      <w:marLeft w:val="0"/>
      <w:marRight w:val="0"/>
      <w:marTop w:val="0"/>
      <w:marBottom w:val="0"/>
      <w:divBdr>
        <w:top w:val="none" w:sz="0" w:space="0" w:color="auto"/>
        <w:left w:val="none" w:sz="0" w:space="0" w:color="auto"/>
        <w:bottom w:val="none" w:sz="0" w:space="0" w:color="auto"/>
        <w:right w:val="none" w:sz="0" w:space="0" w:color="auto"/>
      </w:divBdr>
    </w:div>
    <w:div w:id="386146280">
      <w:bodyDiv w:val="1"/>
      <w:marLeft w:val="0"/>
      <w:marRight w:val="0"/>
      <w:marTop w:val="0"/>
      <w:marBottom w:val="0"/>
      <w:divBdr>
        <w:top w:val="none" w:sz="0" w:space="0" w:color="auto"/>
        <w:left w:val="none" w:sz="0" w:space="0" w:color="auto"/>
        <w:bottom w:val="none" w:sz="0" w:space="0" w:color="auto"/>
        <w:right w:val="none" w:sz="0" w:space="0" w:color="auto"/>
      </w:divBdr>
    </w:div>
    <w:div w:id="414791755">
      <w:bodyDiv w:val="1"/>
      <w:marLeft w:val="0"/>
      <w:marRight w:val="0"/>
      <w:marTop w:val="0"/>
      <w:marBottom w:val="0"/>
      <w:divBdr>
        <w:top w:val="none" w:sz="0" w:space="0" w:color="auto"/>
        <w:left w:val="none" w:sz="0" w:space="0" w:color="auto"/>
        <w:bottom w:val="none" w:sz="0" w:space="0" w:color="auto"/>
        <w:right w:val="none" w:sz="0" w:space="0" w:color="auto"/>
      </w:divBdr>
    </w:div>
    <w:div w:id="430585794">
      <w:bodyDiv w:val="1"/>
      <w:marLeft w:val="0"/>
      <w:marRight w:val="0"/>
      <w:marTop w:val="0"/>
      <w:marBottom w:val="0"/>
      <w:divBdr>
        <w:top w:val="none" w:sz="0" w:space="0" w:color="auto"/>
        <w:left w:val="none" w:sz="0" w:space="0" w:color="auto"/>
        <w:bottom w:val="none" w:sz="0" w:space="0" w:color="auto"/>
        <w:right w:val="none" w:sz="0" w:space="0" w:color="auto"/>
      </w:divBdr>
    </w:div>
    <w:div w:id="515583616">
      <w:bodyDiv w:val="1"/>
      <w:marLeft w:val="0"/>
      <w:marRight w:val="0"/>
      <w:marTop w:val="0"/>
      <w:marBottom w:val="0"/>
      <w:divBdr>
        <w:top w:val="none" w:sz="0" w:space="0" w:color="auto"/>
        <w:left w:val="none" w:sz="0" w:space="0" w:color="auto"/>
        <w:bottom w:val="none" w:sz="0" w:space="0" w:color="auto"/>
        <w:right w:val="none" w:sz="0" w:space="0" w:color="auto"/>
      </w:divBdr>
    </w:div>
    <w:div w:id="665741372">
      <w:bodyDiv w:val="1"/>
      <w:marLeft w:val="0"/>
      <w:marRight w:val="0"/>
      <w:marTop w:val="0"/>
      <w:marBottom w:val="0"/>
      <w:divBdr>
        <w:top w:val="none" w:sz="0" w:space="0" w:color="auto"/>
        <w:left w:val="none" w:sz="0" w:space="0" w:color="auto"/>
        <w:bottom w:val="none" w:sz="0" w:space="0" w:color="auto"/>
        <w:right w:val="none" w:sz="0" w:space="0" w:color="auto"/>
      </w:divBdr>
    </w:div>
    <w:div w:id="711733994">
      <w:bodyDiv w:val="1"/>
      <w:marLeft w:val="0"/>
      <w:marRight w:val="0"/>
      <w:marTop w:val="0"/>
      <w:marBottom w:val="0"/>
      <w:divBdr>
        <w:top w:val="none" w:sz="0" w:space="0" w:color="auto"/>
        <w:left w:val="none" w:sz="0" w:space="0" w:color="auto"/>
        <w:bottom w:val="none" w:sz="0" w:space="0" w:color="auto"/>
        <w:right w:val="none" w:sz="0" w:space="0" w:color="auto"/>
      </w:divBdr>
    </w:div>
    <w:div w:id="730153097">
      <w:bodyDiv w:val="1"/>
      <w:marLeft w:val="0"/>
      <w:marRight w:val="0"/>
      <w:marTop w:val="0"/>
      <w:marBottom w:val="0"/>
      <w:divBdr>
        <w:top w:val="none" w:sz="0" w:space="0" w:color="auto"/>
        <w:left w:val="none" w:sz="0" w:space="0" w:color="auto"/>
        <w:bottom w:val="none" w:sz="0" w:space="0" w:color="auto"/>
        <w:right w:val="none" w:sz="0" w:space="0" w:color="auto"/>
      </w:divBdr>
    </w:div>
    <w:div w:id="858857227">
      <w:bodyDiv w:val="1"/>
      <w:marLeft w:val="0"/>
      <w:marRight w:val="0"/>
      <w:marTop w:val="0"/>
      <w:marBottom w:val="0"/>
      <w:divBdr>
        <w:top w:val="none" w:sz="0" w:space="0" w:color="auto"/>
        <w:left w:val="none" w:sz="0" w:space="0" w:color="auto"/>
        <w:bottom w:val="none" w:sz="0" w:space="0" w:color="auto"/>
        <w:right w:val="none" w:sz="0" w:space="0" w:color="auto"/>
      </w:divBdr>
    </w:div>
    <w:div w:id="859665345">
      <w:bodyDiv w:val="1"/>
      <w:marLeft w:val="0"/>
      <w:marRight w:val="0"/>
      <w:marTop w:val="0"/>
      <w:marBottom w:val="0"/>
      <w:divBdr>
        <w:top w:val="none" w:sz="0" w:space="0" w:color="auto"/>
        <w:left w:val="none" w:sz="0" w:space="0" w:color="auto"/>
        <w:bottom w:val="none" w:sz="0" w:space="0" w:color="auto"/>
        <w:right w:val="none" w:sz="0" w:space="0" w:color="auto"/>
      </w:divBdr>
    </w:div>
    <w:div w:id="986128709">
      <w:bodyDiv w:val="1"/>
      <w:marLeft w:val="0"/>
      <w:marRight w:val="0"/>
      <w:marTop w:val="0"/>
      <w:marBottom w:val="0"/>
      <w:divBdr>
        <w:top w:val="none" w:sz="0" w:space="0" w:color="auto"/>
        <w:left w:val="none" w:sz="0" w:space="0" w:color="auto"/>
        <w:bottom w:val="none" w:sz="0" w:space="0" w:color="auto"/>
        <w:right w:val="none" w:sz="0" w:space="0" w:color="auto"/>
      </w:divBdr>
    </w:div>
    <w:div w:id="1044981333">
      <w:bodyDiv w:val="1"/>
      <w:marLeft w:val="0"/>
      <w:marRight w:val="0"/>
      <w:marTop w:val="0"/>
      <w:marBottom w:val="0"/>
      <w:divBdr>
        <w:top w:val="none" w:sz="0" w:space="0" w:color="auto"/>
        <w:left w:val="none" w:sz="0" w:space="0" w:color="auto"/>
        <w:bottom w:val="none" w:sz="0" w:space="0" w:color="auto"/>
        <w:right w:val="none" w:sz="0" w:space="0" w:color="auto"/>
      </w:divBdr>
    </w:div>
    <w:div w:id="1061754481">
      <w:bodyDiv w:val="1"/>
      <w:marLeft w:val="0"/>
      <w:marRight w:val="0"/>
      <w:marTop w:val="0"/>
      <w:marBottom w:val="0"/>
      <w:divBdr>
        <w:top w:val="none" w:sz="0" w:space="0" w:color="auto"/>
        <w:left w:val="none" w:sz="0" w:space="0" w:color="auto"/>
        <w:bottom w:val="none" w:sz="0" w:space="0" w:color="auto"/>
        <w:right w:val="none" w:sz="0" w:space="0" w:color="auto"/>
      </w:divBdr>
    </w:div>
    <w:div w:id="1156145100">
      <w:bodyDiv w:val="1"/>
      <w:marLeft w:val="0"/>
      <w:marRight w:val="0"/>
      <w:marTop w:val="0"/>
      <w:marBottom w:val="0"/>
      <w:divBdr>
        <w:top w:val="none" w:sz="0" w:space="0" w:color="auto"/>
        <w:left w:val="none" w:sz="0" w:space="0" w:color="auto"/>
        <w:bottom w:val="none" w:sz="0" w:space="0" w:color="auto"/>
        <w:right w:val="none" w:sz="0" w:space="0" w:color="auto"/>
      </w:divBdr>
    </w:div>
    <w:div w:id="1175268397">
      <w:bodyDiv w:val="1"/>
      <w:marLeft w:val="0"/>
      <w:marRight w:val="0"/>
      <w:marTop w:val="0"/>
      <w:marBottom w:val="0"/>
      <w:divBdr>
        <w:top w:val="none" w:sz="0" w:space="0" w:color="auto"/>
        <w:left w:val="none" w:sz="0" w:space="0" w:color="auto"/>
        <w:bottom w:val="none" w:sz="0" w:space="0" w:color="auto"/>
        <w:right w:val="none" w:sz="0" w:space="0" w:color="auto"/>
      </w:divBdr>
    </w:div>
    <w:div w:id="1189950555">
      <w:bodyDiv w:val="1"/>
      <w:marLeft w:val="0"/>
      <w:marRight w:val="0"/>
      <w:marTop w:val="0"/>
      <w:marBottom w:val="0"/>
      <w:divBdr>
        <w:top w:val="none" w:sz="0" w:space="0" w:color="auto"/>
        <w:left w:val="none" w:sz="0" w:space="0" w:color="auto"/>
        <w:bottom w:val="none" w:sz="0" w:space="0" w:color="auto"/>
        <w:right w:val="none" w:sz="0" w:space="0" w:color="auto"/>
      </w:divBdr>
    </w:div>
    <w:div w:id="1266572574">
      <w:bodyDiv w:val="1"/>
      <w:marLeft w:val="0"/>
      <w:marRight w:val="0"/>
      <w:marTop w:val="0"/>
      <w:marBottom w:val="0"/>
      <w:divBdr>
        <w:top w:val="none" w:sz="0" w:space="0" w:color="auto"/>
        <w:left w:val="none" w:sz="0" w:space="0" w:color="auto"/>
        <w:bottom w:val="none" w:sz="0" w:space="0" w:color="auto"/>
        <w:right w:val="none" w:sz="0" w:space="0" w:color="auto"/>
      </w:divBdr>
    </w:div>
    <w:div w:id="1339849518">
      <w:bodyDiv w:val="1"/>
      <w:marLeft w:val="0"/>
      <w:marRight w:val="0"/>
      <w:marTop w:val="0"/>
      <w:marBottom w:val="0"/>
      <w:divBdr>
        <w:top w:val="none" w:sz="0" w:space="0" w:color="auto"/>
        <w:left w:val="none" w:sz="0" w:space="0" w:color="auto"/>
        <w:bottom w:val="none" w:sz="0" w:space="0" w:color="auto"/>
        <w:right w:val="none" w:sz="0" w:space="0" w:color="auto"/>
      </w:divBdr>
    </w:div>
    <w:div w:id="1472020549">
      <w:bodyDiv w:val="1"/>
      <w:marLeft w:val="0"/>
      <w:marRight w:val="0"/>
      <w:marTop w:val="0"/>
      <w:marBottom w:val="0"/>
      <w:divBdr>
        <w:top w:val="none" w:sz="0" w:space="0" w:color="auto"/>
        <w:left w:val="none" w:sz="0" w:space="0" w:color="auto"/>
        <w:bottom w:val="none" w:sz="0" w:space="0" w:color="auto"/>
        <w:right w:val="none" w:sz="0" w:space="0" w:color="auto"/>
      </w:divBdr>
    </w:div>
    <w:div w:id="160491632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73491360">
      <w:bodyDiv w:val="1"/>
      <w:marLeft w:val="0"/>
      <w:marRight w:val="0"/>
      <w:marTop w:val="0"/>
      <w:marBottom w:val="0"/>
      <w:divBdr>
        <w:top w:val="none" w:sz="0" w:space="0" w:color="auto"/>
        <w:left w:val="none" w:sz="0" w:space="0" w:color="auto"/>
        <w:bottom w:val="none" w:sz="0" w:space="0" w:color="auto"/>
        <w:right w:val="none" w:sz="0" w:space="0" w:color="auto"/>
      </w:divBdr>
    </w:div>
    <w:div w:id="1699548707">
      <w:bodyDiv w:val="1"/>
      <w:marLeft w:val="0"/>
      <w:marRight w:val="0"/>
      <w:marTop w:val="0"/>
      <w:marBottom w:val="0"/>
      <w:divBdr>
        <w:top w:val="none" w:sz="0" w:space="0" w:color="auto"/>
        <w:left w:val="none" w:sz="0" w:space="0" w:color="auto"/>
        <w:bottom w:val="none" w:sz="0" w:space="0" w:color="auto"/>
        <w:right w:val="none" w:sz="0" w:space="0" w:color="auto"/>
      </w:divBdr>
    </w:div>
    <w:div w:id="1729920378">
      <w:bodyDiv w:val="1"/>
      <w:marLeft w:val="0"/>
      <w:marRight w:val="0"/>
      <w:marTop w:val="0"/>
      <w:marBottom w:val="0"/>
      <w:divBdr>
        <w:top w:val="none" w:sz="0" w:space="0" w:color="auto"/>
        <w:left w:val="none" w:sz="0" w:space="0" w:color="auto"/>
        <w:bottom w:val="none" w:sz="0" w:space="0" w:color="auto"/>
        <w:right w:val="none" w:sz="0" w:space="0" w:color="auto"/>
      </w:divBdr>
    </w:div>
    <w:div w:id="1744791245">
      <w:bodyDiv w:val="1"/>
      <w:marLeft w:val="0"/>
      <w:marRight w:val="0"/>
      <w:marTop w:val="0"/>
      <w:marBottom w:val="0"/>
      <w:divBdr>
        <w:top w:val="none" w:sz="0" w:space="0" w:color="auto"/>
        <w:left w:val="none" w:sz="0" w:space="0" w:color="auto"/>
        <w:bottom w:val="none" w:sz="0" w:space="0" w:color="auto"/>
        <w:right w:val="none" w:sz="0" w:space="0" w:color="auto"/>
      </w:divBdr>
    </w:div>
    <w:div w:id="1778988546">
      <w:bodyDiv w:val="1"/>
      <w:marLeft w:val="0"/>
      <w:marRight w:val="0"/>
      <w:marTop w:val="0"/>
      <w:marBottom w:val="0"/>
      <w:divBdr>
        <w:top w:val="none" w:sz="0" w:space="0" w:color="auto"/>
        <w:left w:val="none" w:sz="0" w:space="0" w:color="auto"/>
        <w:bottom w:val="none" w:sz="0" w:space="0" w:color="auto"/>
        <w:right w:val="none" w:sz="0" w:space="0" w:color="auto"/>
      </w:divBdr>
    </w:div>
    <w:div w:id="1780640706">
      <w:bodyDiv w:val="1"/>
      <w:marLeft w:val="0"/>
      <w:marRight w:val="0"/>
      <w:marTop w:val="0"/>
      <w:marBottom w:val="0"/>
      <w:divBdr>
        <w:top w:val="none" w:sz="0" w:space="0" w:color="auto"/>
        <w:left w:val="none" w:sz="0" w:space="0" w:color="auto"/>
        <w:bottom w:val="none" w:sz="0" w:space="0" w:color="auto"/>
        <w:right w:val="none" w:sz="0" w:space="0" w:color="auto"/>
      </w:divBdr>
    </w:div>
    <w:div w:id="1783836610">
      <w:bodyDiv w:val="1"/>
      <w:marLeft w:val="0"/>
      <w:marRight w:val="0"/>
      <w:marTop w:val="0"/>
      <w:marBottom w:val="0"/>
      <w:divBdr>
        <w:top w:val="none" w:sz="0" w:space="0" w:color="auto"/>
        <w:left w:val="none" w:sz="0" w:space="0" w:color="auto"/>
        <w:bottom w:val="none" w:sz="0" w:space="0" w:color="auto"/>
        <w:right w:val="none" w:sz="0" w:space="0" w:color="auto"/>
      </w:divBdr>
    </w:div>
    <w:div w:id="1810901402">
      <w:bodyDiv w:val="1"/>
      <w:marLeft w:val="0"/>
      <w:marRight w:val="0"/>
      <w:marTop w:val="0"/>
      <w:marBottom w:val="0"/>
      <w:divBdr>
        <w:top w:val="none" w:sz="0" w:space="0" w:color="auto"/>
        <w:left w:val="none" w:sz="0" w:space="0" w:color="auto"/>
        <w:bottom w:val="none" w:sz="0" w:space="0" w:color="auto"/>
        <w:right w:val="none" w:sz="0" w:space="0" w:color="auto"/>
      </w:divBdr>
    </w:div>
    <w:div w:id="185349385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91789814">
      <w:bodyDiv w:val="1"/>
      <w:marLeft w:val="0"/>
      <w:marRight w:val="0"/>
      <w:marTop w:val="0"/>
      <w:marBottom w:val="0"/>
      <w:divBdr>
        <w:top w:val="none" w:sz="0" w:space="0" w:color="auto"/>
        <w:left w:val="none" w:sz="0" w:space="0" w:color="auto"/>
        <w:bottom w:val="none" w:sz="0" w:space="0" w:color="auto"/>
        <w:right w:val="none" w:sz="0" w:space="0" w:color="auto"/>
      </w:divBdr>
    </w:div>
    <w:div w:id="2076514101">
      <w:bodyDiv w:val="1"/>
      <w:marLeft w:val="0"/>
      <w:marRight w:val="0"/>
      <w:marTop w:val="0"/>
      <w:marBottom w:val="0"/>
      <w:divBdr>
        <w:top w:val="none" w:sz="0" w:space="0" w:color="auto"/>
        <w:left w:val="none" w:sz="0" w:space="0" w:color="auto"/>
        <w:bottom w:val="none" w:sz="0" w:space="0" w:color="auto"/>
        <w:right w:val="none" w:sz="0" w:space="0" w:color="auto"/>
      </w:divBdr>
    </w:div>
    <w:div w:id="210503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d31c77d1519dfa2354b5f4dee8be3769">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2c917de442c4549ccaebba08b5c8cdd6"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S574FYTY5PW6-349572302-1886</_dlc_DocId>
    <_dlc_DocIdUrl xmlns="fe39d773-a83d-4623-ae74-f25711a76616">
      <Url>https://austreasury.sharepoint.com/sites/leg-cord-function/_layouts/15/DocIdRedir.aspx?ID=S574FYTY5PW6-349572302-1886</Url>
      <Description>S574FYTY5PW6-349572302-1886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81</Value>
      <Value>36</Value>
      <Value>1</Value>
      <Value>35</Value>
    </TaxCatchAll>
    <TSY_CreatedByDivision xmlns="ff38c824-6e29-4496-8487-69f397e7ed29">Small Business Housing Corporate and Law Group - Law Division</TSY_CreatedByDivision>
    <TSY_ModifiedByDivision xmlns="ff38c824-6e29-4496-8487-69f397e7ed29">Small Business Corporate and Law Group - Law Division</TSY_ModifiedByDivision>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471D0-C09C-4920-BEE0-065D93EE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cp:keywords/>
  <dc:description/>
  <cp:revision>3</cp:revision>
  <cp:lastPrinted>2019-02-17T23:23:00Z</cp:lastPrinted>
  <dcterms:created xsi:type="dcterms:W3CDTF">2025-11-03T01:17:00Z</dcterms:created>
  <dcterms:modified xsi:type="dcterms:W3CDTF">2025-11-27T03:16:00Z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vt:lpwstr>
  </property>
  <property fmtid="{D5CDD505-2E9C-101B-9397-08002B2CF9AE}" pid="7" name="TSYStatus">
    <vt:lpwstr/>
  </property>
  <property fmtid="{D5CDD505-2E9C-101B-9397-08002B2CF9AE}" pid="8" name="MediaServiceImageTags">
    <vt:lpwstr/>
  </property>
  <property fmtid="{D5CDD505-2E9C-101B-9397-08002B2CF9AE}" pid="9" name="eDocumentType">
    <vt:lpwstr>81;#Explanatory Materials|ac61e78e-992e-40fd-ae93-2c9522960b05</vt:lpwstr>
  </property>
  <property fmtid="{D5CDD505-2E9C-101B-9397-08002B2CF9AE}" pid="10" name="TSYOffice">
    <vt:lpwstr/>
  </property>
  <property fmtid="{D5CDD505-2E9C-101B-9397-08002B2CF9AE}" pid="11" name="_dlc_DocIdItemGuid">
    <vt:lpwstr>54521e42-3aa8-455c-a39a-faadac4f2a0b</vt:lpwstr>
  </property>
  <property fmtid="{D5CDD505-2E9C-101B-9397-08002B2CF9AE}" pid="12" name="eTopic">
    <vt:lpwstr>36;#Legislation Coordination|58c6712e-e847-48f4-81ab-b25e2bbd3986</vt:lpwstr>
  </property>
  <property fmtid="{D5CDD505-2E9C-101B-9397-08002B2CF9AE}" pid="13" name="eActivity">
    <vt:lpwstr>35</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Theme">
    <vt:lpwstr>1;#Law Design|318dd2d2-18da-4b8e-a458-14db2c1af95f</vt:lpwstr>
  </property>
  <property fmtid="{D5CDD505-2E9C-101B-9397-08002B2CF9AE}" pid="17" name="MSIP_Label_4f932d64-9ab1-4d9b-81d2-a3a8b82dd47d_Enabled">
    <vt:lpwstr>true</vt:lpwstr>
  </property>
  <property fmtid="{D5CDD505-2E9C-101B-9397-08002B2CF9AE}" pid="18" name="MSIP_Label_4f932d64-9ab1-4d9b-81d2-a3a8b82dd47d_SetDate">
    <vt:lpwstr>2025-11-27T03:16:54Z</vt:lpwstr>
  </property>
  <property fmtid="{D5CDD505-2E9C-101B-9397-08002B2CF9AE}" pid="19" name="MSIP_Label_4f932d64-9ab1-4d9b-81d2-a3a8b82dd47d_Method">
    <vt:lpwstr>Privileged</vt:lpwstr>
  </property>
  <property fmtid="{D5CDD505-2E9C-101B-9397-08002B2CF9AE}" pid="20" name="MSIP_Label_4f932d64-9ab1-4d9b-81d2-a3a8b82dd47d_Name">
    <vt:lpwstr>OFFICIAL No Visual Marking</vt:lpwstr>
  </property>
  <property fmtid="{D5CDD505-2E9C-101B-9397-08002B2CF9AE}" pid="21" name="MSIP_Label_4f932d64-9ab1-4d9b-81d2-a3a8b82dd47d_SiteId">
    <vt:lpwstr>214f1646-2021-47cc-8397-e3d3a7ba7d9d</vt:lpwstr>
  </property>
  <property fmtid="{D5CDD505-2E9C-101B-9397-08002B2CF9AE}" pid="22" name="MSIP_Label_4f932d64-9ab1-4d9b-81d2-a3a8b82dd47d_ActionId">
    <vt:lpwstr>35f68f8b-fd4d-4f17-a0cd-c4d1984f8af0</vt:lpwstr>
  </property>
  <property fmtid="{D5CDD505-2E9C-101B-9397-08002B2CF9AE}" pid="23" name="MSIP_Label_4f932d64-9ab1-4d9b-81d2-a3a8b82dd47d_ContentBits">
    <vt:lpwstr>0</vt:lpwstr>
  </property>
  <property fmtid="{D5CDD505-2E9C-101B-9397-08002B2CF9AE}" pid="24" name="MSIP_Label_4f932d64-9ab1-4d9b-81d2-a3a8b82dd47d_Tag">
    <vt:lpwstr>10, 0, 1, 1</vt:lpwstr>
  </property>
</Properties>
</file>