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62E2C" w14:textId="77777777" w:rsidR="00C2724E" w:rsidRPr="008B24C8" w:rsidRDefault="00C2724E" w:rsidP="00C2724E">
      <w:pPr>
        <w:pStyle w:val="ESTitleHeader"/>
      </w:pPr>
      <w:r w:rsidRPr="008B24C8">
        <w:t>EXPLANATORY STATEMENT</w:t>
      </w:r>
    </w:p>
    <w:p w14:paraId="4F362E31" w14:textId="77EA951D" w:rsidR="00C2724E" w:rsidRPr="008B24C8" w:rsidRDefault="00C2724E" w:rsidP="00C2724E">
      <w:pPr>
        <w:pStyle w:val="ESTitleDecisionMaker"/>
      </w:pPr>
      <w:r w:rsidRPr="008B24C8">
        <w:t xml:space="preserve">Issued by authority of </w:t>
      </w:r>
      <w:r>
        <w:t xml:space="preserve">the Minister for </w:t>
      </w:r>
      <w:r w:rsidR="00117F3E">
        <w:t>Immigration and</w:t>
      </w:r>
      <w:r>
        <w:t xml:space="preserve"> </w:t>
      </w:r>
      <w:r w:rsidR="00D91334">
        <w:t>Citizenship</w:t>
      </w:r>
    </w:p>
    <w:p w14:paraId="6C96F054" w14:textId="77777777" w:rsidR="00C2724E" w:rsidRPr="008B24C8" w:rsidRDefault="00C2724E" w:rsidP="00C2724E">
      <w:pPr>
        <w:pStyle w:val="ESTitleEnablingLegislation"/>
      </w:pPr>
      <w:r>
        <w:t>Migration Regulations 1994</w:t>
      </w:r>
    </w:p>
    <w:p w14:paraId="758EC13F" w14:textId="1D83152D" w:rsidR="00C2724E" w:rsidRPr="008B24C8" w:rsidRDefault="00731D88" w:rsidP="00C2724E">
      <w:pPr>
        <w:pStyle w:val="ESTitleInstrumentName"/>
      </w:pPr>
      <w:r w:rsidRPr="00731D88">
        <w:t>Migration (Specification of Required Medical Assessment) Instrument 2025</w:t>
      </w:r>
    </w:p>
    <w:p w14:paraId="00987C1C" w14:textId="2D05CEE3" w:rsidR="00C2724E" w:rsidRPr="008B24C8" w:rsidRDefault="0029642E" w:rsidP="00731D88">
      <w:pPr>
        <w:pStyle w:val="ESPara"/>
        <w:numPr>
          <w:ilvl w:val="0"/>
          <w:numId w:val="0"/>
        </w:numPr>
      </w:pPr>
      <w:r>
        <w:t>The instrument, departmental reference LIN 25/049,</w:t>
      </w:r>
      <w:r w:rsidR="00C2724E" w:rsidRPr="008B24C8">
        <w:t xml:space="preserve"> is made under </w:t>
      </w:r>
      <w:r w:rsidR="00C2724E">
        <w:t>paragraphs</w:t>
      </w:r>
      <w:r>
        <w:t> </w:t>
      </w:r>
      <w:r w:rsidR="00C2724E">
        <w:t>4005(1)(aa) and 4007(1)(aa) of Schedule</w:t>
      </w:r>
      <w:r>
        <w:t> </w:t>
      </w:r>
      <w:r w:rsidR="00C2724E">
        <w:t xml:space="preserve">4 to the </w:t>
      </w:r>
      <w:r w:rsidR="00C2724E">
        <w:rPr>
          <w:i/>
        </w:rPr>
        <w:t xml:space="preserve">Migration Regulations 1994 </w:t>
      </w:r>
      <w:r w:rsidR="00C2724E">
        <w:t xml:space="preserve">(the </w:t>
      </w:r>
      <w:r w:rsidR="00C2724E" w:rsidRPr="00F6242C">
        <w:t>Regulations</w:t>
      </w:r>
      <w:r w:rsidR="00C2724E">
        <w:t>)</w:t>
      </w:r>
      <w:r w:rsidR="00C2724E" w:rsidRPr="009C2562">
        <w:t>.</w:t>
      </w:r>
    </w:p>
    <w:p w14:paraId="74DDF923" w14:textId="7E8BAFE5" w:rsidR="00C2724E" w:rsidRPr="008B24C8" w:rsidRDefault="00C2724E" w:rsidP="00731D88">
      <w:pPr>
        <w:pStyle w:val="ESPara"/>
        <w:numPr>
          <w:ilvl w:val="0"/>
          <w:numId w:val="0"/>
        </w:numPr>
      </w:pPr>
      <w:r w:rsidRPr="008B24C8">
        <w:t xml:space="preserve">The instrument </w:t>
      </w:r>
      <w:r w:rsidR="00731D88">
        <w:t>repeal</w:t>
      </w:r>
      <w:r w:rsidR="00117F3E">
        <w:t>s</w:t>
      </w:r>
      <w:r w:rsidR="00731D88">
        <w:t xml:space="preserve"> the </w:t>
      </w:r>
      <w:r w:rsidR="00731D88" w:rsidRPr="00117F3E">
        <w:rPr>
          <w:i/>
        </w:rPr>
        <w:t>Migration</w:t>
      </w:r>
      <w:r w:rsidR="00731D88" w:rsidRPr="00117F3E">
        <w:rPr>
          <w:i/>
          <w:iCs/>
          <w:color w:val="000000"/>
        </w:rPr>
        <w:t xml:space="preserve"> Regulations 1994 - Specification of Required Medical Assessment </w:t>
      </w:r>
      <w:r w:rsidR="0029642E">
        <w:rPr>
          <w:i/>
          <w:iCs/>
          <w:color w:val="000000"/>
        </w:rPr>
        <w:t>–</w:t>
      </w:r>
      <w:r w:rsidR="00731D88" w:rsidRPr="00117F3E">
        <w:rPr>
          <w:i/>
          <w:iCs/>
          <w:color w:val="000000"/>
        </w:rPr>
        <w:t xml:space="preserve"> IMMI</w:t>
      </w:r>
      <w:r w:rsidR="0029642E">
        <w:rPr>
          <w:i/>
          <w:iCs/>
          <w:color w:val="000000"/>
        </w:rPr>
        <w:t> </w:t>
      </w:r>
      <w:r w:rsidR="00731D88" w:rsidRPr="00117F3E">
        <w:rPr>
          <w:i/>
          <w:iCs/>
          <w:color w:val="000000"/>
        </w:rPr>
        <w:t>15/144</w:t>
      </w:r>
      <w:r>
        <w:rPr>
          <w:color w:val="000000"/>
        </w:rPr>
        <w:t xml:space="preserve"> </w:t>
      </w:r>
      <w:r w:rsidRPr="008B24C8">
        <w:t xml:space="preserve">in accordance with subsection 33(3) of the </w:t>
      </w:r>
      <w:r w:rsidRPr="008B24C8">
        <w:rPr>
          <w:i/>
        </w:rPr>
        <w:t>Acts Interpretation Act 1901</w:t>
      </w:r>
      <w:r w:rsidR="004B4466" w:rsidRPr="008B24C8">
        <w:t xml:space="preserve">. </w:t>
      </w:r>
      <w:r w:rsidRPr="008B24C8">
        <w:t xml:space="preserve">That subsection provides that </w:t>
      </w:r>
      <w:r>
        <w:t>a power to make a legislative instrument includes a power to amend or repeal that instrument in the same manner, and subject to the same conditions as the power to make the instrument</w:t>
      </w:r>
      <w:r w:rsidRPr="008B24C8">
        <w:t xml:space="preserve">.  </w:t>
      </w:r>
    </w:p>
    <w:p w14:paraId="02ABB20D" w14:textId="38B1835C" w:rsidR="00C2724E" w:rsidRDefault="00C2724E" w:rsidP="00731D88">
      <w:pPr>
        <w:pStyle w:val="ESPara"/>
        <w:numPr>
          <w:ilvl w:val="0"/>
          <w:numId w:val="0"/>
        </w:numPr>
      </w:pPr>
      <w:r>
        <w:t xml:space="preserve">The </w:t>
      </w:r>
      <w:r w:rsidRPr="00B15A0E">
        <w:t xml:space="preserve">instrument commences </w:t>
      </w:r>
      <w:r w:rsidR="00731D88">
        <w:t xml:space="preserve">on </w:t>
      </w:r>
      <w:r w:rsidR="00D91334">
        <w:t>29 November 2025</w:t>
      </w:r>
      <w:r w:rsidR="00B15A0E" w:rsidRPr="00B15A0E">
        <w:t>. It</w:t>
      </w:r>
      <w:r w:rsidRPr="00B15A0E">
        <w:t xml:space="preserve"> is a legislative instrument for the </w:t>
      </w:r>
      <w:r w:rsidR="002B2456">
        <w:t xml:space="preserve">purposes of the </w:t>
      </w:r>
      <w:r w:rsidRPr="00B15A0E">
        <w:rPr>
          <w:i/>
        </w:rPr>
        <w:t>Legislation Act 2003</w:t>
      </w:r>
      <w:r w:rsidR="00354A0B">
        <w:t xml:space="preserve"> (the Legislation Act).</w:t>
      </w:r>
    </w:p>
    <w:p w14:paraId="76F5C6AD" w14:textId="77777777" w:rsidR="00F830DE" w:rsidRDefault="00C2724E" w:rsidP="00062B74">
      <w:pPr>
        <w:pStyle w:val="ESHeading"/>
      </w:pPr>
      <w:r w:rsidRPr="00B15A0E">
        <w:t xml:space="preserve">Purpose </w:t>
      </w:r>
    </w:p>
    <w:p w14:paraId="38CC087C" w14:textId="6D4258E3" w:rsidR="00F830DE" w:rsidRPr="006C30A4" w:rsidRDefault="00F830DE" w:rsidP="00062B74">
      <w:pPr>
        <w:pStyle w:val="ESHeading"/>
        <w:rPr>
          <w:i w:val="0"/>
        </w:rPr>
      </w:pPr>
      <w:r w:rsidRPr="00731D88">
        <w:t>Migration (Specification of Required Medical Assessment) Instrument 2025</w:t>
      </w:r>
      <w:r>
        <w:t xml:space="preserve"> </w:t>
      </w:r>
      <w:r>
        <w:rPr>
          <w:i w:val="0"/>
        </w:rPr>
        <w:t>(LIN 25/049)</w:t>
      </w:r>
    </w:p>
    <w:p w14:paraId="42A8A435" w14:textId="7C62B949" w:rsidR="00C2724E" w:rsidRPr="00F6242C" w:rsidRDefault="00F830DE" w:rsidP="00731D88">
      <w:pPr>
        <w:pStyle w:val="ESPara"/>
        <w:numPr>
          <w:ilvl w:val="0"/>
          <w:numId w:val="0"/>
        </w:numPr>
      </w:pPr>
      <w:r>
        <w:t>This instrument is made under p</w:t>
      </w:r>
      <w:r w:rsidR="00C2724E" w:rsidRPr="00B15A0E">
        <w:t>aragraphs</w:t>
      </w:r>
      <w:r w:rsidR="0029642E">
        <w:t> </w:t>
      </w:r>
      <w:r w:rsidR="00C2724E" w:rsidRPr="00B15A0E">
        <w:t>4005(1)(aa) and 4007(1)(aa) of Schedule</w:t>
      </w:r>
      <w:r w:rsidR="0029642E">
        <w:t> </w:t>
      </w:r>
      <w:r w:rsidR="00C2724E" w:rsidRPr="00B15A0E">
        <w:t>4 to the Regulations</w:t>
      </w:r>
      <w:r>
        <w:t>. These provisions</w:t>
      </w:r>
      <w:r w:rsidR="00C2724E" w:rsidRPr="00B15A0E">
        <w:t xml:space="preserve"> provide that unless a Medical Officer of the </w:t>
      </w:r>
      <w:r w:rsidR="00C2724E">
        <w:rPr>
          <w:color w:val="000000"/>
        </w:rPr>
        <w:t xml:space="preserve">Commonwealth decides otherwise, if an applicant is in a class of persons specified by the Minister in an instrument in writing, they must undertake any medical assessment </w:t>
      </w:r>
      <w:r w:rsidR="00AC63F3">
        <w:rPr>
          <w:color w:val="000000"/>
        </w:rPr>
        <w:t>specified in the instrument</w:t>
      </w:r>
      <w:r w:rsidR="00C2724E">
        <w:rPr>
          <w:color w:val="000000"/>
        </w:rPr>
        <w:t xml:space="preserve"> and must be assessed by the person specified in the instrument.</w:t>
      </w:r>
    </w:p>
    <w:p w14:paraId="5AB04C49" w14:textId="50532C80" w:rsidR="00C2724E" w:rsidRPr="006D7860" w:rsidRDefault="00731D88" w:rsidP="00731D88">
      <w:pPr>
        <w:pStyle w:val="ESPara"/>
        <w:numPr>
          <w:ilvl w:val="0"/>
          <w:numId w:val="0"/>
        </w:numPr>
      </w:pPr>
      <w:r>
        <w:rPr>
          <w:color w:val="000000"/>
        </w:rPr>
        <w:t>The purpose of the instrument</w:t>
      </w:r>
      <w:r w:rsidR="00C2724E">
        <w:rPr>
          <w:color w:val="000000"/>
        </w:rPr>
        <w:t xml:space="preserve"> </w:t>
      </w:r>
      <w:r>
        <w:rPr>
          <w:color w:val="000000"/>
        </w:rPr>
        <w:t>is to specify</w:t>
      </w:r>
      <w:r w:rsidR="00AC63F3">
        <w:rPr>
          <w:color w:val="000000"/>
        </w:rPr>
        <w:t xml:space="preserve"> </w:t>
      </w:r>
      <w:r w:rsidR="00C2724E">
        <w:rPr>
          <w:color w:val="000000"/>
        </w:rPr>
        <w:t>the mandatory immigration medical assessment health requirements that certain visa applicants must undertake in order to satisfy Public Interest Criteria (PIC) 4005 and 4007 by reference to their country or jurisdiction of citizenship or residence and their intended period of stay</w:t>
      </w:r>
      <w:r w:rsidR="005F4F53">
        <w:rPr>
          <w:color w:val="000000"/>
        </w:rPr>
        <w:t xml:space="preserve"> and intended activities</w:t>
      </w:r>
      <w:r w:rsidR="00C2724E">
        <w:rPr>
          <w:color w:val="000000"/>
        </w:rPr>
        <w:t>, and who they must be assessed by</w:t>
      </w:r>
      <w:r w:rsidR="00CF1171">
        <w:rPr>
          <w:color w:val="000000"/>
        </w:rPr>
        <w:t>.</w:t>
      </w:r>
    </w:p>
    <w:p w14:paraId="5B758343" w14:textId="77777777" w:rsidR="00C2724E" w:rsidRDefault="00C2724E" w:rsidP="00C2724E">
      <w:pPr>
        <w:pStyle w:val="ESHeading"/>
        <w:spacing w:line="240" w:lineRule="auto"/>
      </w:pPr>
      <w:r w:rsidRPr="008B24C8">
        <w:t>Consultation</w:t>
      </w:r>
    </w:p>
    <w:p w14:paraId="7D229337" w14:textId="148B4460" w:rsidR="00BF18B3" w:rsidRDefault="00BF18B3" w:rsidP="00354A0B">
      <w:pPr>
        <w:pStyle w:val="ESPara"/>
        <w:numPr>
          <w:ilvl w:val="0"/>
          <w:numId w:val="0"/>
        </w:numPr>
      </w:pPr>
      <w:r>
        <w:t xml:space="preserve">The instrument </w:t>
      </w:r>
      <w:r w:rsidR="00B2647C">
        <w:t>provides for health assessment requirements consistent with</w:t>
      </w:r>
      <w:r>
        <w:t xml:space="preserve"> the medical assessment </w:t>
      </w:r>
      <w:r w:rsidR="00B2647C">
        <w:t xml:space="preserve">process </w:t>
      </w:r>
      <w:r>
        <w:t xml:space="preserve">that certain visa applicants </w:t>
      </w:r>
      <w:r w:rsidR="00B2647C">
        <w:t>are required</w:t>
      </w:r>
      <w:r w:rsidR="00AC2953">
        <w:t xml:space="preserve"> to undertake</w:t>
      </w:r>
      <w:r w:rsidR="00B2647C">
        <w:t xml:space="preserve"> for the purposes of public interest criterion 4005 or 4007</w:t>
      </w:r>
      <w:r>
        <w:t>. The Department anticipates minimal impact on visa applicant</w:t>
      </w:r>
      <w:r w:rsidR="00A65FC3">
        <w:t xml:space="preserve">s. </w:t>
      </w:r>
      <w:r w:rsidR="00B2647C">
        <w:t>Consistent with standard practice, t</w:t>
      </w:r>
      <w:r w:rsidR="00A65FC3">
        <w:t xml:space="preserve">he Department’s website has been updated to reflect </w:t>
      </w:r>
      <w:r w:rsidR="00B2647C">
        <w:t xml:space="preserve">the </w:t>
      </w:r>
      <w:r w:rsidR="00A65FC3">
        <w:t>changes in this instrument</w:t>
      </w:r>
      <w:r w:rsidR="00B2647C">
        <w:t xml:space="preserve"> for visa applicants</w:t>
      </w:r>
      <w:r w:rsidR="00A65FC3">
        <w:t xml:space="preserve">. </w:t>
      </w:r>
    </w:p>
    <w:p w14:paraId="47906A63" w14:textId="1A6B4F6B" w:rsidR="00A65FC3" w:rsidRPr="002A281D" w:rsidRDefault="002A281D" w:rsidP="002A281D">
      <w:pPr>
        <w:pStyle w:val="ESPara"/>
        <w:numPr>
          <w:ilvl w:val="0"/>
          <w:numId w:val="0"/>
        </w:numPr>
        <w:rPr>
          <w:b/>
          <w:bCs/>
        </w:rPr>
      </w:pPr>
      <w:r>
        <w:t>E</w:t>
      </w:r>
      <w:r w:rsidR="00A65FC3">
        <w:t>xternal consultation was</w:t>
      </w:r>
      <w:r>
        <w:t xml:space="preserve"> not</w:t>
      </w:r>
      <w:r w:rsidR="00A65FC3">
        <w:t xml:space="preserve"> </w:t>
      </w:r>
      <w:r w:rsidR="00B2647C">
        <w:t xml:space="preserve">considered </w:t>
      </w:r>
      <w:r w:rsidR="00A65FC3">
        <w:t xml:space="preserve">necessary as the amendments reflect the </w:t>
      </w:r>
      <w:r>
        <w:t>t</w:t>
      </w:r>
      <w:r w:rsidRPr="002A281D">
        <w:t>uberculosis data</w:t>
      </w:r>
      <w:r>
        <w:t xml:space="preserve"> </w:t>
      </w:r>
      <w:r w:rsidR="001A4A62">
        <w:t xml:space="preserve">from World Health Organisation that </w:t>
      </w:r>
      <w:r w:rsidR="00B31F99">
        <w:t>the Department</w:t>
      </w:r>
      <w:r w:rsidR="001A4A62">
        <w:t xml:space="preserve"> adopts</w:t>
      </w:r>
      <w:r w:rsidR="00B2647C">
        <w:t xml:space="preserve"> for visa purposes</w:t>
      </w:r>
      <w:r w:rsidR="001A4A62">
        <w:t>. This information</w:t>
      </w:r>
      <w:r>
        <w:t xml:space="preserve"> is available</w:t>
      </w:r>
      <w:r w:rsidR="001A4A62">
        <w:t xml:space="preserve"> </w:t>
      </w:r>
      <w:r w:rsidR="006F1E5E">
        <w:t xml:space="preserve">publicly </w:t>
      </w:r>
      <w:r w:rsidR="001A4A62">
        <w:t>and t</w:t>
      </w:r>
      <w:r>
        <w:t xml:space="preserve">he </w:t>
      </w:r>
      <w:r w:rsidR="00B2647C">
        <w:t>matters provided for in the instrument</w:t>
      </w:r>
      <w:r>
        <w:t xml:space="preserve"> are therefore considered largely machinery in nature. </w:t>
      </w:r>
    </w:p>
    <w:p w14:paraId="061F29B1" w14:textId="4A8DC37B" w:rsidR="00C2724E" w:rsidRPr="00AA4557" w:rsidRDefault="00354A0B" w:rsidP="00C2724E">
      <w:pPr>
        <w:pStyle w:val="ESHeading"/>
      </w:pPr>
      <w:r>
        <w:t>Parliamentary scrutiny etc.</w:t>
      </w:r>
    </w:p>
    <w:p w14:paraId="3DFEF8B9" w14:textId="2B7B7C8C" w:rsidR="00C2724E" w:rsidRPr="00C2724E" w:rsidRDefault="00C2724E" w:rsidP="00E90E18">
      <w:pPr>
        <w:pStyle w:val="ESSubparaHeader"/>
        <w:keepNext w:val="0"/>
        <w:numPr>
          <w:ilvl w:val="0"/>
          <w:numId w:val="0"/>
        </w:numPr>
      </w:pPr>
      <w:r>
        <w:t>The instrument is exempt from disallowance under section 42 of the Legislation Act</w:t>
      </w:r>
      <w:r w:rsidR="004B4466">
        <w:t xml:space="preserve">. </w:t>
      </w:r>
      <w:r>
        <w:t>This is because it is an instrument made under Schedule 4 to the Regulations which is exempt from disallowance under paragraph</w:t>
      </w:r>
      <w:r w:rsidR="0029642E">
        <w:t> </w:t>
      </w:r>
      <w:r>
        <w:t xml:space="preserve">(b) </w:t>
      </w:r>
      <w:r>
        <w:lastRenderedPageBreak/>
        <w:t>of item</w:t>
      </w:r>
      <w:r w:rsidR="0029642E">
        <w:t> </w:t>
      </w:r>
      <w:r>
        <w:t>20 in section 10 of the</w:t>
      </w:r>
      <w:r w:rsidR="0029642E">
        <w:t xml:space="preserve"> </w:t>
      </w:r>
      <w:r>
        <w:rPr>
          <w:i/>
          <w:iCs/>
        </w:rPr>
        <w:t>Legislation (Exemptions and Other Matters) Regulation 2015</w:t>
      </w:r>
      <w:r w:rsidR="004B4466">
        <w:t xml:space="preserve">. </w:t>
      </w:r>
      <w:r w:rsidRPr="00026604">
        <w:rPr>
          <w:color w:val="000000"/>
        </w:rPr>
        <w:t>As the instrument is exempt from disallowance, a Statement of Compatibility with Human Rights is not required.</w:t>
      </w:r>
    </w:p>
    <w:p w14:paraId="13F4DFDF" w14:textId="0A6D1900" w:rsidR="007E4691" w:rsidRPr="00C2724E" w:rsidRDefault="00C2724E" w:rsidP="00E90E18">
      <w:pPr>
        <w:pStyle w:val="ESSubparaHeader"/>
        <w:keepNext w:val="0"/>
        <w:numPr>
          <w:ilvl w:val="0"/>
          <w:numId w:val="0"/>
        </w:numPr>
      </w:pPr>
      <w:r w:rsidRPr="00C2724E">
        <w:rPr>
          <w:color w:val="000000"/>
        </w:rPr>
        <w:t>The instrument is made by the Chief Medical Officer of the Department, a delegate of the Minister, in accordance with paragraphs</w:t>
      </w:r>
      <w:r w:rsidR="0029642E">
        <w:rPr>
          <w:color w:val="000000"/>
        </w:rPr>
        <w:t> </w:t>
      </w:r>
      <w:r w:rsidRPr="00C2724E">
        <w:rPr>
          <w:color w:val="000000"/>
        </w:rPr>
        <w:t>4005(1)(aa) and 4007(1)(aa) of Schedule 4 to the Regulations</w:t>
      </w:r>
      <w:r w:rsidR="00117F3E">
        <w:rPr>
          <w:color w:val="000000"/>
        </w:rPr>
        <w:t>.</w:t>
      </w:r>
      <w:r w:rsidR="007E4691" w:rsidRPr="00C2724E">
        <w:br w:type="page"/>
      </w:r>
    </w:p>
    <w:p w14:paraId="2A430625" w14:textId="77777777" w:rsidR="00187E2D" w:rsidRDefault="00187E2D" w:rsidP="00187E2D">
      <w:pPr>
        <w:pStyle w:val="ESHeading"/>
      </w:pPr>
      <w:r>
        <w:lastRenderedPageBreak/>
        <w:t>Details of the instrument</w:t>
      </w:r>
    </w:p>
    <w:p w14:paraId="29DB3066" w14:textId="07D09D85" w:rsidR="00C2724E" w:rsidRDefault="00C2724E" w:rsidP="00C2724E">
      <w:pPr>
        <w:pStyle w:val="ESAttHeading"/>
        <w:rPr>
          <w:b w:val="0"/>
        </w:rPr>
      </w:pPr>
      <w:r>
        <w:t>Section 1</w:t>
      </w:r>
      <w:r>
        <w:tab/>
        <w:t>Name</w:t>
      </w:r>
    </w:p>
    <w:p w14:paraId="58DC8E9F" w14:textId="20CCB1E2" w:rsidR="00C2724E" w:rsidRDefault="00C2724E" w:rsidP="00C2724E">
      <w:pPr>
        <w:pStyle w:val="ESAttNormal"/>
      </w:pPr>
      <w:r>
        <w:t xml:space="preserve">This section provides that the name of the instrument is the </w:t>
      </w:r>
      <w:r w:rsidR="00117F3E" w:rsidRPr="00117F3E">
        <w:rPr>
          <w:i/>
        </w:rPr>
        <w:t>Migration (Specification of Required Medical Assessment) Instrument 2025</w:t>
      </w:r>
      <w:r w:rsidR="00117F3E">
        <w:rPr>
          <w:i/>
        </w:rPr>
        <w:t>.</w:t>
      </w:r>
    </w:p>
    <w:p w14:paraId="2058543D" w14:textId="77777777" w:rsidR="00C2724E" w:rsidRDefault="00C2724E" w:rsidP="00C2724E">
      <w:pPr>
        <w:pStyle w:val="ESAttHeading"/>
        <w:rPr>
          <w:b w:val="0"/>
        </w:rPr>
      </w:pPr>
      <w:r>
        <w:t>Section 2</w:t>
      </w:r>
      <w:r>
        <w:tab/>
        <w:t>Commencement</w:t>
      </w:r>
    </w:p>
    <w:p w14:paraId="77A45FE7" w14:textId="7BD215C8" w:rsidR="00C2724E" w:rsidRDefault="00C2724E" w:rsidP="00C2724E">
      <w:pPr>
        <w:pStyle w:val="ESAttNormal"/>
      </w:pPr>
      <w:r>
        <w:t xml:space="preserve">This section provides that the instrument commences </w:t>
      </w:r>
      <w:r w:rsidR="006614B6">
        <w:t xml:space="preserve">on </w:t>
      </w:r>
      <w:r w:rsidR="00D91334">
        <w:t>29 November 2025</w:t>
      </w:r>
      <w:r w:rsidR="00117F3E">
        <w:t>.</w:t>
      </w:r>
    </w:p>
    <w:p w14:paraId="78002683" w14:textId="77777777" w:rsidR="00C2724E" w:rsidRPr="00A1446A" w:rsidRDefault="00C2724E" w:rsidP="00C2724E">
      <w:pPr>
        <w:pStyle w:val="ESAttHeading"/>
      </w:pPr>
      <w:r>
        <w:t>Section 3</w:t>
      </w:r>
      <w:r>
        <w:tab/>
        <w:t>Authority</w:t>
      </w:r>
    </w:p>
    <w:p w14:paraId="38D26AB3" w14:textId="25F3BB9B" w:rsidR="00C2724E" w:rsidRDefault="00C2724E" w:rsidP="00C2724E">
      <w:pPr>
        <w:pStyle w:val="ESAttListHeader"/>
      </w:pPr>
      <w:r>
        <w:t xml:space="preserve">This section provides that </w:t>
      </w:r>
      <w:r w:rsidR="00117F3E">
        <w:t>the instrument</w:t>
      </w:r>
      <w:r w:rsidR="00354A0B">
        <w:t xml:space="preserve"> is made under paragraphs </w:t>
      </w:r>
      <w:r>
        <w:t>4005(1)(</w:t>
      </w:r>
      <w:r w:rsidR="00354A0B">
        <w:t>aa) and 4007(1)(aa) of Schedule </w:t>
      </w:r>
      <w:r>
        <w:t xml:space="preserve">4 to the </w:t>
      </w:r>
      <w:r w:rsidRPr="000849B0">
        <w:rPr>
          <w:i/>
        </w:rPr>
        <w:t>Migration Regulations</w:t>
      </w:r>
      <w:r w:rsidR="008E0E72" w:rsidRPr="000849B0">
        <w:rPr>
          <w:i/>
        </w:rPr>
        <w:t xml:space="preserve"> 1994</w:t>
      </w:r>
      <w:r w:rsidR="008E0E72">
        <w:t xml:space="preserve"> (the Regulations)</w:t>
      </w:r>
      <w:r>
        <w:t>.</w:t>
      </w:r>
    </w:p>
    <w:p w14:paraId="7400FBF9" w14:textId="07CD4590" w:rsidR="006614B6" w:rsidRPr="006614B6" w:rsidRDefault="006614B6" w:rsidP="00C2724E">
      <w:pPr>
        <w:pStyle w:val="ESAttListHeader"/>
        <w:rPr>
          <w:b/>
        </w:rPr>
      </w:pPr>
      <w:r w:rsidRPr="006614B6">
        <w:rPr>
          <w:b/>
        </w:rPr>
        <w:t>Section 4</w:t>
      </w:r>
      <w:r w:rsidRPr="006614B6">
        <w:rPr>
          <w:b/>
        </w:rPr>
        <w:tab/>
        <w:t>Definitions</w:t>
      </w:r>
    </w:p>
    <w:p w14:paraId="160203D1" w14:textId="4A1FEF43" w:rsidR="006614B6" w:rsidRDefault="00354A0B" w:rsidP="00C2724E">
      <w:pPr>
        <w:pStyle w:val="ESAttListHeader"/>
      </w:pPr>
      <w:r>
        <w:t xml:space="preserve">This section </w:t>
      </w:r>
      <w:r w:rsidR="00F916DC">
        <w:t>provides for the</w:t>
      </w:r>
      <w:r w:rsidR="006614B6" w:rsidRPr="006614B6">
        <w:t xml:space="preserve"> definitions in this instrument.</w:t>
      </w:r>
    </w:p>
    <w:p w14:paraId="2352A661" w14:textId="2689E6E1" w:rsidR="006614B6" w:rsidRDefault="006614B6" w:rsidP="00BC655C">
      <w:pPr>
        <w:pStyle w:val="Definition"/>
        <w:numPr>
          <w:ilvl w:val="0"/>
          <w:numId w:val="5"/>
        </w:numPr>
        <w:spacing w:before="240" w:after="240" w:line="276" w:lineRule="auto"/>
        <w:rPr>
          <w:b/>
          <w:i/>
        </w:rPr>
      </w:pPr>
      <w:r w:rsidRPr="006A2543">
        <w:rPr>
          <w:b/>
          <w:i/>
        </w:rPr>
        <w:t>high hepatitis B risk jurisdiction</w:t>
      </w:r>
      <w:r w:rsidRPr="006A2543">
        <w:t xml:space="preserve"> means a country or jurisdiction not mentioned in Schedule</w:t>
      </w:r>
      <w:r w:rsidR="00354A0B">
        <w:t> </w:t>
      </w:r>
      <w:r w:rsidR="00A06F51">
        <w:t>5</w:t>
      </w:r>
      <w:r w:rsidR="000E6568">
        <w:t xml:space="preserve"> to this instrument</w:t>
      </w:r>
      <w:r w:rsidRPr="006A2543">
        <w:rPr>
          <w:b/>
          <w:i/>
        </w:rPr>
        <w:t>.</w:t>
      </w:r>
    </w:p>
    <w:p w14:paraId="34C58B17" w14:textId="635BAAAF" w:rsidR="006614B6" w:rsidRDefault="006614B6" w:rsidP="00BC655C">
      <w:pPr>
        <w:pStyle w:val="Definition"/>
        <w:numPr>
          <w:ilvl w:val="0"/>
          <w:numId w:val="5"/>
        </w:numPr>
        <w:spacing w:before="240" w:after="240" w:line="276" w:lineRule="auto"/>
      </w:pPr>
      <w:r>
        <w:rPr>
          <w:b/>
          <w:i/>
        </w:rPr>
        <w:t>panel physician</w:t>
      </w:r>
      <w:r>
        <w:t xml:space="preserve"> means a doctor or radiologist who:</w:t>
      </w:r>
    </w:p>
    <w:p w14:paraId="1975BF82" w14:textId="5262C51B" w:rsidR="006614B6" w:rsidRDefault="006614B6" w:rsidP="00BC655C">
      <w:pPr>
        <w:pStyle w:val="paragraph"/>
        <w:numPr>
          <w:ilvl w:val="0"/>
          <w:numId w:val="6"/>
        </w:numPr>
        <w:spacing w:before="120" w:line="276" w:lineRule="auto"/>
      </w:pPr>
      <w:r>
        <w:t>is outside Australia; and</w:t>
      </w:r>
    </w:p>
    <w:p w14:paraId="5540A302" w14:textId="77A03A3F" w:rsidR="006614B6" w:rsidRPr="00962A22" w:rsidRDefault="006614B6" w:rsidP="00BC655C">
      <w:pPr>
        <w:pStyle w:val="paragraph"/>
        <w:numPr>
          <w:ilvl w:val="0"/>
          <w:numId w:val="6"/>
        </w:numPr>
        <w:spacing w:before="120" w:line="276" w:lineRule="auto"/>
      </w:pPr>
      <w:r w:rsidRPr="00962A22">
        <w:t xml:space="preserve">provides medical assessment services for visa applicants for purposes under the </w:t>
      </w:r>
      <w:r w:rsidR="00354A0B">
        <w:rPr>
          <w:i/>
        </w:rPr>
        <w:t>Migration Act </w:t>
      </w:r>
      <w:r w:rsidRPr="00430FF0">
        <w:rPr>
          <w:i/>
        </w:rPr>
        <w:t>1958</w:t>
      </w:r>
      <w:r w:rsidRPr="00962A22">
        <w:t xml:space="preserve"> and the Regulations; and</w:t>
      </w:r>
    </w:p>
    <w:p w14:paraId="2BBA7A31" w14:textId="4B81D16B" w:rsidR="006614B6" w:rsidRDefault="006614B6" w:rsidP="00BC655C">
      <w:pPr>
        <w:pStyle w:val="paragraph"/>
        <w:numPr>
          <w:ilvl w:val="0"/>
          <w:numId w:val="6"/>
        </w:numPr>
        <w:spacing w:before="120" w:line="276" w:lineRule="auto"/>
      </w:pPr>
      <w:r>
        <w:t>provides those services on the basis that the doctor or radiologist either:</w:t>
      </w:r>
    </w:p>
    <w:p w14:paraId="2BEE63F2" w14:textId="3B1F131A" w:rsidR="006614B6" w:rsidRDefault="004A64CB" w:rsidP="00BC655C">
      <w:pPr>
        <w:pStyle w:val="paragraphsub"/>
        <w:numPr>
          <w:ilvl w:val="0"/>
          <w:numId w:val="3"/>
        </w:numPr>
        <w:spacing w:before="120" w:line="276" w:lineRule="auto"/>
      </w:pPr>
      <w:r>
        <w:t xml:space="preserve">has </w:t>
      </w:r>
      <w:r w:rsidR="006614B6">
        <w:t>entered into and continues to be a party to an arrangement with the Department to provide the services as part of the Australian Panel Physician Network; or</w:t>
      </w:r>
    </w:p>
    <w:p w14:paraId="737D12F4" w14:textId="7E09D9D7" w:rsidR="006614B6" w:rsidRDefault="006614B6" w:rsidP="00BC655C">
      <w:pPr>
        <w:pStyle w:val="paragraphsub"/>
        <w:numPr>
          <w:ilvl w:val="0"/>
          <w:numId w:val="3"/>
        </w:numPr>
        <w:spacing w:before="120" w:line="276" w:lineRule="auto"/>
      </w:pPr>
      <w:r>
        <w:t>is employed or otherwise engaged to provide the services by a clinic, organisation or other entity (however described) that has entered into and continues to be a party to an arrangement with the Department to provide the services as part of the Australian Panel Physician Network.</w:t>
      </w:r>
    </w:p>
    <w:p w14:paraId="204D04E4" w14:textId="39949A09" w:rsidR="006614B6" w:rsidRDefault="006614B6" w:rsidP="00BC655C">
      <w:pPr>
        <w:pStyle w:val="Definition"/>
        <w:numPr>
          <w:ilvl w:val="0"/>
          <w:numId w:val="7"/>
        </w:numPr>
        <w:spacing w:before="240" w:after="240" w:line="276" w:lineRule="auto"/>
      </w:pPr>
      <w:r>
        <w:rPr>
          <w:b/>
          <w:i/>
        </w:rPr>
        <w:t>provisional visa</w:t>
      </w:r>
      <w:r>
        <w:t xml:space="preserve"> means a temporary visa of a</w:t>
      </w:r>
      <w:r w:rsidR="00354A0B">
        <w:t xml:space="preserve"> subclass mentioned in Schedule </w:t>
      </w:r>
      <w:r w:rsidR="00A06F51">
        <w:t>4</w:t>
      </w:r>
      <w:r w:rsidR="000E6568">
        <w:t xml:space="preserve"> to this instrument</w:t>
      </w:r>
      <w:r>
        <w:t>.</w:t>
      </w:r>
    </w:p>
    <w:p w14:paraId="45C1682F" w14:textId="7ED85D23" w:rsidR="006614B6" w:rsidRDefault="006614B6" w:rsidP="00BC655C">
      <w:pPr>
        <w:pStyle w:val="Definition"/>
        <w:numPr>
          <w:ilvl w:val="0"/>
          <w:numId w:val="7"/>
        </w:numPr>
        <w:spacing w:before="240" w:after="240" w:line="276" w:lineRule="auto"/>
      </w:pPr>
      <w:r>
        <w:rPr>
          <w:b/>
          <w:i/>
        </w:rPr>
        <w:t xml:space="preserve">Regulations </w:t>
      </w:r>
      <w:r w:rsidRPr="006A2543">
        <w:t xml:space="preserve">means the </w:t>
      </w:r>
      <w:r w:rsidRPr="00962A22">
        <w:rPr>
          <w:i/>
        </w:rPr>
        <w:t>Migration Regulations 1994</w:t>
      </w:r>
      <w:r w:rsidRPr="006A2543">
        <w:t>.</w:t>
      </w:r>
    </w:p>
    <w:p w14:paraId="083A68AB" w14:textId="77777777" w:rsidR="00402B4C" w:rsidRDefault="00C2724E" w:rsidP="00402B4C">
      <w:pPr>
        <w:pStyle w:val="Definition"/>
        <w:spacing w:before="240" w:after="240" w:line="276" w:lineRule="auto"/>
        <w:ind w:left="0"/>
        <w:rPr>
          <w:b/>
        </w:rPr>
      </w:pPr>
      <w:r w:rsidRPr="00402B4C">
        <w:rPr>
          <w:b/>
        </w:rPr>
        <w:t xml:space="preserve">Section </w:t>
      </w:r>
      <w:r w:rsidR="006614B6" w:rsidRPr="00402B4C">
        <w:rPr>
          <w:b/>
        </w:rPr>
        <w:t>5</w:t>
      </w:r>
      <w:r w:rsidRPr="00402B4C">
        <w:rPr>
          <w:b/>
        </w:rPr>
        <w:tab/>
        <w:t>Schedules</w:t>
      </w:r>
    </w:p>
    <w:p w14:paraId="645AF190" w14:textId="19A91FEC" w:rsidR="00C2724E" w:rsidRDefault="00C2724E" w:rsidP="00402B4C">
      <w:pPr>
        <w:pStyle w:val="Definition"/>
        <w:spacing w:before="240" w:after="240" w:line="276" w:lineRule="auto"/>
        <w:ind w:left="0"/>
        <w:rPr>
          <w:b/>
        </w:rPr>
      </w:pPr>
      <w:r>
        <w:t xml:space="preserve">Section </w:t>
      </w:r>
      <w:r w:rsidR="006614B6">
        <w:t>5</w:t>
      </w:r>
      <w:r>
        <w:t xml:space="preserve"> </w:t>
      </w:r>
      <w:r w:rsidR="006614B6" w:rsidRPr="006614B6">
        <w:t>provides that each instrument that is specified in a Schedule to this instrument is amended or repealed as set out in each Schedule of this instrument and any other item in a Schedule to this instrument has effect according to its terms.</w:t>
      </w:r>
    </w:p>
    <w:p w14:paraId="112EE2AB" w14:textId="7C3FBEB8" w:rsidR="006614B6" w:rsidRPr="006614B6" w:rsidRDefault="006614B6" w:rsidP="00C2724E">
      <w:pPr>
        <w:pStyle w:val="ESAttHeading"/>
      </w:pPr>
      <w:r w:rsidRPr="006614B6">
        <w:lastRenderedPageBreak/>
        <w:t>Section 6</w:t>
      </w:r>
      <w:r w:rsidRPr="006614B6">
        <w:tab/>
      </w:r>
      <w:r w:rsidR="00B26D8C" w:rsidRPr="00B26D8C">
        <w:t>Specified classes of person required to undertake medical assessment</w:t>
      </w:r>
    </w:p>
    <w:p w14:paraId="0E8E791C" w14:textId="636A9450" w:rsidR="006614B6" w:rsidRDefault="006614B6" w:rsidP="006614B6">
      <w:pPr>
        <w:pStyle w:val="ESAttHeading"/>
        <w:rPr>
          <w:b w:val="0"/>
        </w:rPr>
      </w:pPr>
      <w:r>
        <w:rPr>
          <w:b w:val="0"/>
        </w:rPr>
        <w:t xml:space="preserve">Section 6 provides for the specification of </w:t>
      </w:r>
      <w:r w:rsidR="00CE1FDE">
        <w:rPr>
          <w:b w:val="0"/>
        </w:rPr>
        <w:t>persons</w:t>
      </w:r>
      <w:r w:rsidR="00B26D8C">
        <w:rPr>
          <w:b w:val="0"/>
        </w:rPr>
        <w:t xml:space="preserve"> </w:t>
      </w:r>
      <w:r w:rsidR="00295914">
        <w:rPr>
          <w:b w:val="0"/>
        </w:rPr>
        <w:t>required to undertake</w:t>
      </w:r>
      <w:r>
        <w:rPr>
          <w:b w:val="0"/>
        </w:rPr>
        <w:t xml:space="preserve"> </w:t>
      </w:r>
      <w:r w:rsidR="00CE1FDE">
        <w:rPr>
          <w:b w:val="0"/>
        </w:rPr>
        <w:t xml:space="preserve">a </w:t>
      </w:r>
      <w:r>
        <w:rPr>
          <w:b w:val="0"/>
        </w:rPr>
        <w:t>medical assessment.</w:t>
      </w:r>
    </w:p>
    <w:p w14:paraId="46D80342" w14:textId="2516DEC2" w:rsidR="00B26D8C" w:rsidRPr="00B26D8C" w:rsidRDefault="008035B1" w:rsidP="00B26D8C">
      <w:pPr>
        <w:pStyle w:val="ESAttHeading"/>
        <w:rPr>
          <w:b w:val="0"/>
        </w:rPr>
      </w:pPr>
      <w:r>
        <w:rPr>
          <w:b w:val="0"/>
        </w:rPr>
        <w:t>This section of the instrument provides that for</w:t>
      </w:r>
      <w:r w:rsidR="00411FA4">
        <w:rPr>
          <w:b w:val="0"/>
        </w:rPr>
        <w:t xml:space="preserve"> the purposes of</w:t>
      </w:r>
      <w:r w:rsidR="000E6568">
        <w:rPr>
          <w:b w:val="0"/>
        </w:rPr>
        <w:t xml:space="preserve"> paragraphs </w:t>
      </w:r>
      <w:r w:rsidR="00B26D8C" w:rsidRPr="00B26D8C">
        <w:rPr>
          <w:b w:val="0"/>
        </w:rPr>
        <w:t>4005(1)(aa) and 4007(1)(aa) of Schedule 4 to the Regulations, the following classes of person are</w:t>
      </w:r>
      <w:r w:rsidR="008C0B1B">
        <w:rPr>
          <w:b w:val="0"/>
        </w:rPr>
        <w:t xml:space="preserve"> specified</w:t>
      </w:r>
      <w:r w:rsidR="00B26D8C" w:rsidRPr="00B26D8C">
        <w:rPr>
          <w:b w:val="0"/>
        </w:rPr>
        <w:t>:</w:t>
      </w:r>
    </w:p>
    <w:p w14:paraId="77353ECA" w14:textId="19A8C415" w:rsidR="000E6568" w:rsidRPr="000E6568" w:rsidRDefault="000E6568" w:rsidP="00BC655C">
      <w:pPr>
        <w:pStyle w:val="ESAttHeading"/>
        <w:numPr>
          <w:ilvl w:val="0"/>
          <w:numId w:val="8"/>
        </w:numPr>
        <w:ind w:left="357" w:hanging="357"/>
        <w:contextualSpacing/>
        <w:rPr>
          <w:b w:val="0"/>
        </w:rPr>
      </w:pPr>
      <w:r w:rsidRPr="000E6568">
        <w:rPr>
          <w:b w:val="0"/>
        </w:rPr>
        <w:t>a person who:</w:t>
      </w:r>
    </w:p>
    <w:p w14:paraId="50B6C00C" w14:textId="30BF9AC0" w:rsidR="000E6568" w:rsidRPr="000E6568" w:rsidRDefault="000E6568" w:rsidP="00BC655C">
      <w:pPr>
        <w:pStyle w:val="ESAttHeading"/>
        <w:numPr>
          <w:ilvl w:val="0"/>
          <w:numId w:val="9"/>
        </w:numPr>
        <w:contextualSpacing/>
        <w:rPr>
          <w:b w:val="0"/>
        </w:rPr>
      </w:pPr>
      <w:r w:rsidRPr="000E6568">
        <w:rPr>
          <w:b w:val="0"/>
        </w:rPr>
        <w:t>is a citizen of a country or jurisdiction; or</w:t>
      </w:r>
    </w:p>
    <w:p w14:paraId="1616EB48" w14:textId="77777777" w:rsidR="000E6568" w:rsidRDefault="000E6568" w:rsidP="00BC655C">
      <w:pPr>
        <w:pStyle w:val="ESAttHeading"/>
        <w:numPr>
          <w:ilvl w:val="0"/>
          <w:numId w:val="9"/>
        </w:numPr>
        <w:contextualSpacing/>
        <w:rPr>
          <w:b w:val="0"/>
        </w:rPr>
      </w:pPr>
      <w:r w:rsidRPr="000E6568">
        <w:rPr>
          <w:b w:val="0"/>
        </w:rPr>
        <w:t>has spent 3 or more consecutive months during the last 5 years in one or m</w:t>
      </w:r>
      <w:r>
        <w:rPr>
          <w:b w:val="0"/>
        </w:rPr>
        <w:t>ore countries or jurisdictions;</w:t>
      </w:r>
    </w:p>
    <w:p w14:paraId="2639505C" w14:textId="45C7CB12" w:rsidR="000E6568" w:rsidRPr="00AD340F" w:rsidRDefault="000E6568" w:rsidP="00AD340F">
      <w:pPr>
        <w:pStyle w:val="ESAttHeading"/>
        <w:numPr>
          <w:ilvl w:val="0"/>
          <w:numId w:val="9"/>
        </w:numPr>
        <w:contextualSpacing/>
        <w:rPr>
          <w:b w:val="0"/>
        </w:rPr>
      </w:pPr>
      <w:r w:rsidRPr="000E6568">
        <w:rPr>
          <w:b w:val="0"/>
        </w:rPr>
        <w:t>where the country or jurisdiction is listed in Column 1 of</w:t>
      </w:r>
      <w:r w:rsidR="008035B1">
        <w:rPr>
          <w:b w:val="0"/>
        </w:rPr>
        <w:t xml:space="preserve"> the table in Schedule 1 to the</w:t>
      </w:r>
      <w:r w:rsidRPr="000E6568">
        <w:rPr>
          <w:b w:val="0"/>
        </w:rPr>
        <w:t xml:space="preserve"> instrument;</w:t>
      </w:r>
      <w:r w:rsidR="00BC655C">
        <w:rPr>
          <w:b w:val="0"/>
        </w:rPr>
        <w:t xml:space="preserve"> </w:t>
      </w:r>
    </w:p>
    <w:p w14:paraId="7FCC9031" w14:textId="2BA307AF" w:rsidR="000E6568" w:rsidRPr="000E6568" w:rsidRDefault="000E6568" w:rsidP="00BC655C">
      <w:pPr>
        <w:pStyle w:val="ESAttHeading"/>
        <w:numPr>
          <w:ilvl w:val="0"/>
          <w:numId w:val="8"/>
        </w:numPr>
        <w:ind w:left="357" w:hanging="357"/>
        <w:contextualSpacing/>
        <w:rPr>
          <w:b w:val="0"/>
        </w:rPr>
      </w:pPr>
      <w:r w:rsidRPr="000E6568">
        <w:rPr>
          <w:b w:val="0"/>
        </w:rPr>
        <w:t>a person who:</w:t>
      </w:r>
    </w:p>
    <w:p w14:paraId="65C49F89" w14:textId="03610804" w:rsidR="000E6568" w:rsidRPr="000E6568" w:rsidRDefault="000E6568" w:rsidP="00BC655C">
      <w:pPr>
        <w:pStyle w:val="ESAttHeading"/>
        <w:numPr>
          <w:ilvl w:val="0"/>
          <w:numId w:val="10"/>
        </w:numPr>
        <w:contextualSpacing/>
        <w:rPr>
          <w:b w:val="0"/>
        </w:rPr>
      </w:pPr>
      <w:r w:rsidRPr="000E6568">
        <w:rPr>
          <w:b w:val="0"/>
        </w:rPr>
        <w:t>is a citizen of a country or jurisdiction; or</w:t>
      </w:r>
    </w:p>
    <w:p w14:paraId="43292ECD" w14:textId="432FF5F1" w:rsidR="000E6568" w:rsidRPr="000E6568" w:rsidRDefault="000E6568" w:rsidP="00BC655C">
      <w:pPr>
        <w:pStyle w:val="ESAttHeading"/>
        <w:numPr>
          <w:ilvl w:val="0"/>
          <w:numId w:val="10"/>
        </w:numPr>
        <w:contextualSpacing/>
        <w:rPr>
          <w:b w:val="0"/>
        </w:rPr>
      </w:pPr>
      <w:r w:rsidRPr="000E6568">
        <w:rPr>
          <w:b w:val="0"/>
        </w:rPr>
        <w:t>has spent 3 or more consecutive months during the last 5 years in one or more countries or jurisdictions;</w:t>
      </w:r>
    </w:p>
    <w:p w14:paraId="1DF534C2" w14:textId="34BC2BE1" w:rsidR="000E6568" w:rsidRPr="000E6568" w:rsidRDefault="000E6568" w:rsidP="00AD340F">
      <w:pPr>
        <w:pStyle w:val="ESAttHeading"/>
        <w:ind w:left="360"/>
        <w:contextualSpacing/>
        <w:rPr>
          <w:b w:val="0"/>
        </w:rPr>
      </w:pPr>
      <w:r w:rsidRPr="000E6568">
        <w:rPr>
          <w:b w:val="0"/>
        </w:rPr>
        <w:t>where the country or jurisdiction is not listed in Column 1 of</w:t>
      </w:r>
      <w:r w:rsidR="008035B1">
        <w:rPr>
          <w:b w:val="0"/>
        </w:rPr>
        <w:t xml:space="preserve"> the table in Schedule 1 to the</w:t>
      </w:r>
      <w:r w:rsidRPr="000E6568">
        <w:rPr>
          <w:b w:val="0"/>
        </w:rPr>
        <w:t xml:space="preserve"> instrument</w:t>
      </w:r>
      <w:r w:rsidR="00AD340F">
        <w:rPr>
          <w:b w:val="0"/>
        </w:rPr>
        <w:t>;</w:t>
      </w:r>
    </w:p>
    <w:p w14:paraId="62F5B87D" w14:textId="301C7CC9" w:rsidR="000E6568" w:rsidRPr="000E6568" w:rsidRDefault="000E6568" w:rsidP="00BC655C">
      <w:pPr>
        <w:pStyle w:val="ESAttHeading"/>
        <w:numPr>
          <w:ilvl w:val="0"/>
          <w:numId w:val="8"/>
        </w:numPr>
        <w:ind w:left="357" w:hanging="357"/>
        <w:contextualSpacing/>
        <w:rPr>
          <w:b w:val="0"/>
        </w:rPr>
      </w:pPr>
      <w:r w:rsidRPr="000E6568">
        <w:rPr>
          <w:b w:val="0"/>
        </w:rPr>
        <w:t>a person who</w:t>
      </w:r>
      <w:r w:rsidR="005D2EB5">
        <w:rPr>
          <w:b w:val="0"/>
        </w:rPr>
        <w:t xml:space="preserve"> is covered by paragraphs 6(a) and (b).</w:t>
      </w:r>
    </w:p>
    <w:p w14:paraId="13183006" w14:textId="2DE93524" w:rsidR="000E6568" w:rsidRDefault="000E6568" w:rsidP="000E6568">
      <w:pPr>
        <w:pStyle w:val="ESAttHeading"/>
        <w:contextualSpacing/>
        <w:rPr>
          <w:b w:val="0"/>
        </w:rPr>
      </w:pPr>
    </w:p>
    <w:p w14:paraId="27F4FF76" w14:textId="77777777" w:rsidR="00FE2DB2" w:rsidRDefault="00FE2DB2" w:rsidP="000E6568">
      <w:pPr>
        <w:pStyle w:val="ESAttHeading"/>
        <w:contextualSpacing/>
        <w:rPr>
          <w:b w:val="0"/>
        </w:rPr>
      </w:pPr>
      <w:r w:rsidRPr="00FE2DB2">
        <w:rPr>
          <w:b w:val="0"/>
        </w:rPr>
        <w:t>Paragraphs 4005(1)(aa) and 4007(1)(aa) of Schedule 4 to t</w:t>
      </w:r>
      <w:r>
        <w:rPr>
          <w:b w:val="0"/>
        </w:rPr>
        <w:t>he Regulations</w:t>
      </w:r>
      <w:r w:rsidRPr="00FE2DB2">
        <w:rPr>
          <w:b w:val="0"/>
        </w:rPr>
        <w:t xml:space="preserve"> provide that unless a Medical Officer of the Commonwealth decides otherwise, if an applicant is in a class of persons specified by the</w:t>
      </w:r>
    </w:p>
    <w:p w14:paraId="66A88310" w14:textId="3372341E" w:rsidR="00FE2DB2" w:rsidRDefault="00FE2DB2" w:rsidP="000E6568">
      <w:pPr>
        <w:pStyle w:val="ESAttHeading"/>
        <w:contextualSpacing/>
        <w:rPr>
          <w:b w:val="0"/>
        </w:rPr>
      </w:pPr>
      <w:r>
        <w:rPr>
          <w:b w:val="0"/>
        </w:rPr>
        <w:t>M</w:t>
      </w:r>
      <w:r w:rsidRPr="00FE2DB2">
        <w:rPr>
          <w:b w:val="0"/>
        </w:rPr>
        <w:t>inister in an instrument in writing, they must undertake any medical assessment specified in the instrument and must be assessed by the person specified in the instrument.</w:t>
      </w:r>
    </w:p>
    <w:p w14:paraId="3F463BD7" w14:textId="77777777" w:rsidR="00FE2DB2" w:rsidRPr="000E6568" w:rsidRDefault="00FE2DB2" w:rsidP="000E6568">
      <w:pPr>
        <w:pStyle w:val="ESAttHeading"/>
        <w:contextualSpacing/>
        <w:rPr>
          <w:b w:val="0"/>
        </w:rPr>
      </w:pPr>
    </w:p>
    <w:p w14:paraId="48C92DEE" w14:textId="31B4832C" w:rsidR="000E6568" w:rsidRDefault="000E6568" w:rsidP="000E6568">
      <w:pPr>
        <w:pStyle w:val="ESAttHeading"/>
        <w:rPr>
          <w:b w:val="0"/>
        </w:rPr>
      </w:pPr>
      <w:r>
        <w:rPr>
          <w:b w:val="0"/>
        </w:rPr>
        <w:t xml:space="preserve">The effect of section 6 of the instrument is that </w:t>
      </w:r>
      <w:r w:rsidR="00FE2DB2">
        <w:rPr>
          <w:b w:val="0"/>
        </w:rPr>
        <w:t xml:space="preserve">for the purposes of </w:t>
      </w:r>
      <w:r w:rsidR="00FE2DB2" w:rsidRPr="00FE2DB2">
        <w:rPr>
          <w:b w:val="0"/>
        </w:rPr>
        <w:t xml:space="preserve">paragraphs 4005(1)(aa) and 4007(1)(aa) </w:t>
      </w:r>
      <w:r w:rsidR="008035B1">
        <w:rPr>
          <w:b w:val="0"/>
        </w:rPr>
        <w:t>of Schedule 4</w:t>
      </w:r>
      <w:r w:rsidR="00FE2DB2">
        <w:rPr>
          <w:b w:val="0"/>
        </w:rPr>
        <w:t xml:space="preserve">, a person is </w:t>
      </w:r>
      <w:r>
        <w:rPr>
          <w:b w:val="0"/>
        </w:rPr>
        <w:t>specified to be in a class of persons where:</w:t>
      </w:r>
    </w:p>
    <w:p w14:paraId="14AEFF6C" w14:textId="57C1A20F" w:rsidR="000E6568" w:rsidRDefault="000E6568" w:rsidP="00BC655C">
      <w:pPr>
        <w:pStyle w:val="ESAttHeading"/>
        <w:numPr>
          <w:ilvl w:val="0"/>
          <w:numId w:val="12"/>
        </w:numPr>
        <w:ind w:left="357" w:hanging="357"/>
        <w:contextualSpacing/>
        <w:rPr>
          <w:b w:val="0"/>
        </w:rPr>
      </w:pPr>
      <w:r>
        <w:rPr>
          <w:b w:val="0"/>
        </w:rPr>
        <w:t xml:space="preserve">that person is a citizen of a country or jurisdiction or that person </w:t>
      </w:r>
      <w:r w:rsidRPr="000E6568">
        <w:rPr>
          <w:b w:val="0"/>
        </w:rPr>
        <w:t>has spent 3 or more consecutive months during the last 5 years in one or more countries or jurisdictions</w:t>
      </w:r>
      <w:r>
        <w:rPr>
          <w:b w:val="0"/>
        </w:rPr>
        <w:t xml:space="preserve"> </w:t>
      </w:r>
      <w:r w:rsidRPr="000E6568">
        <w:rPr>
          <w:b w:val="0"/>
        </w:rPr>
        <w:t>where the country or jurisdiction is listed in Column 1 of the table i</w:t>
      </w:r>
      <w:r>
        <w:rPr>
          <w:b w:val="0"/>
        </w:rPr>
        <w:t>n Sc</w:t>
      </w:r>
      <w:r w:rsidR="008035B1">
        <w:rPr>
          <w:b w:val="0"/>
        </w:rPr>
        <w:t>hedule 1 to the</w:t>
      </w:r>
      <w:r w:rsidR="00FE2DB2">
        <w:rPr>
          <w:b w:val="0"/>
        </w:rPr>
        <w:t xml:space="preserve"> instrument (paragraph</w:t>
      </w:r>
      <w:r w:rsidR="005D2EB5">
        <w:rPr>
          <w:b w:val="0"/>
        </w:rPr>
        <w:t> </w:t>
      </w:r>
      <w:r w:rsidR="00FE2DB2">
        <w:rPr>
          <w:b w:val="0"/>
        </w:rPr>
        <w:t>6(a));</w:t>
      </w:r>
    </w:p>
    <w:p w14:paraId="50E08914" w14:textId="3A72ED38" w:rsidR="00FE2DB2" w:rsidRDefault="00FE2DB2" w:rsidP="00BC655C">
      <w:pPr>
        <w:pStyle w:val="ESAttHeading"/>
        <w:numPr>
          <w:ilvl w:val="0"/>
          <w:numId w:val="12"/>
        </w:numPr>
        <w:ind w:left="357" w:hanging="357"/>
        <w:contextualSpacing/>
        <w:rPr>
          <w:b w:val="0"/>
        </w:rPr>
      </w:pPr>
      <w:r>
        <w:rPr>
          <w:b w:val="0"/>
        </w:rPr>
        <w:t xml:space="preserve">that person is a citizen of a country or jurisdiction or that person </w:t>
      </w:r>
      <w:r w:rsidRPr="00FE2DB2">
        <w:rPr>
          <w:b w:val="0"/>
        </w:rPr>
        <w:t>has spent 3 or more consecutive months during the last 5 years in one or more countries or jurisdictions</w:t>
      </w:r>
      <w:r w:rsidRPr="00FE2DB2">
        <w:t xml:space="preserve"> </w:t>
      </w:r>
      <w:r w:rsidRPr="00FE2DB2">
        <w:rPr>
          <w:b w:val="0"/>
        </w:rPr>
        <w:t xml:space="preserve">where the country or jurisdiction is </w:t>
      </w:r>
      <w:r w:rsidRPr="00FE2DB2">
        <w:rPr>
          <w:b w:val="0"/>
          <w:i/>
        </w:rPr>
        <w:t>not</w:t>
      </w:r>
      <w:r w:rsidRPr="00FE2DB2">
        <w:rPr>
          <w:b w:val="0"/>
        </w:rPr>
        <w:t xml:space="preserve"> listed in Column 1 of</w:t>
      </w:r>
      <w:r w:rsidR="008035B1">
        <w:rPr>
          <w:b w:val="0"/>
        </w:rPr>
        <w:t xml:space="preserve"> the table in Schedule 1 to the</w:t>
      </w:r>
      <w:r w:rsidRPr="00FE2DB2">
        <w:rPr>
          <w:b w:val="0"/>
        </w:rPr>
        <w:t xml:space="preserve"> instrument</w:t>
      </w:r>
      <w:r>
        <w:rPr>
          <w:b w:val="0"/>
        </w:rPr>
        <w:t xml:space="preserve"> (paragraph</w:t>
      </w:r>
      <w:r w:rsidR="005D2EB5">
        <w:rPr>
          <w:b w:val="0"/>
        </w:rPr>
        <w:t> </w:t>
      </w:r>
      <w:r>
        <w:rPr>
          <w:b w:val="0"/>
        </w:rPr>
        <w:t>6(b));</w:t>
      </w:r>
    </w:p>
    <w:p w14:paraId="6F06312F" w14:textId="22625D18" w:rsidR="00FE2DB2" w:rsidRDefault="00FE2DB2" w:rsidP="00BC655C">
      <w:pPr>
        <w:pStyle w:val="ESAttHeading"/>
        <w:numPr>
          <w:ilvl w:val="0"/>
          <w:numId w:val="12"/>
        </w:numPr>
        <w:ind w:left="357" w:hanging="357"/>
        <w:contextualSpacing/>
        <w:rPr>
          <w:b w:val="0"/>
        </w:rPr>
      </w:pPr>
      <w:r>
        <w:rPr>
          <w:b w:val="0"/>
        </w:rPr>
        <w:t xml:space="preserve">a person who </w:t>
      </w:r>
      <w:r w:rsidRPr="00FE2DB2">
        <w:rPr>
          <w:b w:val="0"/>
        </w:rPr>
        <w:t xml:space="preserve">is </w:t>
      </w:r>
      <w:r w:rsidR="005D2EB5">
        <w:rPr>
          <w:b w:val="0"/>
          <w:i/>
        </w:rPr>
        <w:t>both</w:t>
      </w:r>
      <w:r w:rsidR="005D2EB5" w:rsidRPr="00FE2DB2">
        <w:rPr>
          <w:b w:val="0"/>
        </w:rPr>
        <w:t xml:space="preserve"> </w:t>
      </w:r>
      <w:r w:rsidRPr="00FE2DB2">
        <w:rPr>
          <w:b w:val="0"/>
        </w:rPr>
        <w:t xml:space="preserve">in the class of person covered by paragraph 6(a) </w:t>
      </w:r>
      <w:r w:rsidR="006E5448">
        <w:rPr>
          <w:b w:val="0"/>
        </w:rPr>
        <w:t>and</w:t>
      </w:r>
      <w:r w:rsidR="006E5448" w:rsidRPr="00FE2DB2">
        <w:rPr>
          <w:b w:val="0"/>
        </w:rPr>
        <w:t xml:space="preserve"> </w:t>
      </w:r>
      <w:r w:rsidRPr="00FE2DB2">
        <w:rPr>
          <w:b w:val="0"/>
        </w:rPr>
        <w:t>6(b)</w:t>
      </w:r>
      <w:r>
        <w:rPr>
          <w:b w:val="0"/>
        </w:rPr>
        <w:t xml:space="preserve"> of the instrument (paragraph</w:t>
      </w:r>
      <w:r w:rsidR="005D2EB5">
        <w:rPr>
          <w:b w:val="0"/>
        </w:rPr>
        <w:t> </w:t>
      </w:r>
      <w:r>
        <w:rPr>
          <w:b w:val="0"/>
        </w:rPr>
        <w:t>6(c)).</w:t>
      </w:r>
    </w:p>
    <w:p w14:paraId="77CE7BBC" w14:textId="77777777" w:rsidR="00FE2DB2" w:rsidRDefault="00FE2DB2" w:rsidP="00FE2DB2">
      <w:pPr>
        <w:pStyle w:val="ESAttHeading"/>
        <w:contextualSpacing/>
        <w:rPr>
          <w:b w:val="0"/>
        </w:rPr>
      </w:pPr>
    </w:p>
    <w:p w14:paraId="04977382" w14:textId="36CE3682" w:rsidR="00B26D8C" w:rsidRPr="00B26D8C" w:rsidRDefault="00B26D8C" w:rsidP="000E6568">
      <w:pPr>
        <w:pStyle w:val="ESAttHeading"/>
      </w:pPr>
      <w:r w:rsidRPr="00B26D8C">
        <w:t>Section 7</w:t>
      </w:r>
      <w:r w:rsidRPr="00B26D8C">
        <w:tab/>
        <w:t>Specified medical assessments</w:t>
      </w:r>
    </w:p>
    <w:p w14:paraId="71661313" w14:textId="15414328" w:rsidR="00B26D8C" w:rsidRDefault="00B26D8C" w:rsidP="00B26D8C">
      <w:pPr>
        <w:pStyle w:val="ESAttHeading"/>
        <w:rPr>
          <w:b w:val="0"/>
        </w:rPr>
      </w:pPr>
      <w:r>
        <w:rPr>
          <w:b w:val="0"/>
        </w:rPr>
        <w:t>Section 7 provides for the specified medical assessments.</w:t>
      </w:r>
    </w:p>
    <w:p w14:paraId="7CEBE3ED" w14:textId="0905C774" w:rsidR="008035B1" w:rsidRDefault="008035B1" w:rsidP="008035B1">
      <w:pPr>
        <w:pStyle w:val="ESAttHeading"/>
        <w:rPr>
          <w:b w:val="0"/>
        </w:rPr>
      </w:pPr>
      <w:r>
        <w:rPr>
          <w:b w:val="0"/>
        </w:rPr>
        <w:t>This section of the instruments provides that f</w:t>
      </w:r>
      <w:r w:rsidRPr="008035B1">
        <w:rPr>
          <w:b w:val="0"/>
        </w:rPr>
        <w:t>or subparagraph 4005(1)(aa)(i) and 4007(1)(aa)(i) of Schedule 4 to the Regulations, the following medical assessments are specified</w:t>
      </w:r>
      <w:r>
        <w:rPr>
          <w:b w:val="0"/>
        </w:rPr>
        <w:t>:</w:t>
      </w:r>
    </w:p>
    <w:p w14:paraId="65A506FA" w14:textId="02526560" w:rsidR="008035B1" w:rsidRPr="008035B1" w:rsidRDefault="008035B1" w:rsidP="00BC655C">
      <w:pPr>
        <w:pStyle w:val="ESAttHeading"/>
        <w:numPr>
          <w:ilvl w:val="0"/>
          <w:numId w:val="13"/>
        </w:numPr>
        <w:ind w:left="357" w:hanging="357"/>
        <w:contextualSpacing/>
        <w:rPr>
          <w:b w:val="0"/>
        </w:rPr>
      </w:pPr>
      <w:r w:rsidRPr="008035B1">
        <w:rPr>
          <w:b w:val="0"/>
        </w:rPr>
        <w:t>for a person in a class of person specified in paragraph 6(a)—the medical assessments specified in Columns 2, 3, 4 and 5 of</w:t>
      </w:r>
      <w:r>
        <w:rPr>
          <w:b w:val="0"/>
        </w:rPr>
        <w:t xml:space="preserve"> the table in Schedule 1 to the</w:t>
      </w:r>
      <w:r w:rsidRPr="008035B1">
        <w:rPr>
          <w:b w:val="0"/>
        </w:rPr>
        <w:t xml:space="preserve"> instrument;</w:t>
      </w:r>
    </w:p>
    <w:p w14:paraId="07099A29" w14:textId="6F6325C7" w:rsidR="008035B1" w:rsidRPr="008035B1" w:rsidRDefault="008035B1" w:rsidP="00BC655C">
      <w:pPr>
        <w:pStyle w:val="ESAttHeading"/>
        <w:numPr>
          <w:ilvl w:val="0"/>
          <w:numId w:val="14"/>
        </w:numPr>
        <w:contextualSpacing/>
        <w:rPr>
          <w:b w:val="0"/>
        </w:rPr>
      </w:pPr>
      <w:r w:rsidRPr="008035B1">
        <w:rPr>
          <w:b w:val="0"/>
        </w:rPr>
        <w:t>for a person in a class of person specified in paragraph 6(b)—the medical assessments specified in:</w:t>
      </w:r>
    </w:p>
    <w:p w14:paraId="166BDB9B" w14:textId="32F64D7F" w:rsidR="008035B1" w:rsidRPr="008035B1" w:rsidRDefault="008035B1" w:rsidP="00BC655C">
      <w:pPr>
        <w:pStyle w:val="ESAttHeading"/>
        <w:numPr>
          <w:ilvl w:val="0"/>
          <w:numId w:val="15"/>
        </w:numPr>
        <w:contextualSpacing/>
        <w:rPr>
          <w:b w:val="0"/>
        </w:rPr>
      </w:pPr>
      <w:r w:rsidRPr="008035B1">
        <w:rPr>
          <w:b w:val="0"/>
        </w:rPr>
        <w:t>Columns 2, 3 and 4 of</w:t>
      </w:r>
      <w:r>
        <w:rPr>
          <w:b w:val="0"/>
        </w:rPr>
        <w:t xml:space="preserve"> the table in Schedule 2 to the</w:t>
      </w:r>
      <w:r w:rsidRPr="008035B1">
        <w:rPr>
          <w:b w:val="0"/>
        </w:rPr>
        <w:t xml:space="preserve"> instrument; and</w:t>
      </w:r>
    </w:p>
    <w:p w14:paraId="42D49270" w14:textId="5023BB2C" w:rsidR="008035B1" w:rsidRPr="008035B1" w:rsidRDefault="008035B1" w:rsidP="00BC655C">
      <w:pPr>
        <w:pStyle w:val="ESAttHeading"/>
        <w:numPr>
          <w:ilvl w:val="0"/>
          <w:numId w:val="15"/>
        </w:numPr>
        <w:contextualSpacing/>
        <w:rPr>
          <w:b w:val="0"/>
        </w:rPr>
      </w:pPr>
      <w:r>
        <w:rPr>
          <w:b w:val="0"/>
        </w:rPr>
        <w:t>Schedule 3 to the</w:t>
      </w:r>
      <w:r w:rsidRPr="008035B1">
        <w:rPr>
          <w:b w:val="0"/>
        </w:rPr>
        <w:t xml:space="preserve"> instrument;</w:t>
      </w:r>
    </w:p>
    <w:p w14:paraId="7002B750" w14:textId="59CFF7C6" w:rsidR="008035B1" w:rsidRPr="008035B1" w:rsidRDefault="00F63207" w:rsidP="00BC655C">
      <w:pPr>
        <w:pStyle w:val="ESAttHeading"/>
        <w:numPr>
          <w:ilvl w:val="0"/>
          <w:numId w:val="13"/>
        </w:numPr>
        <w:contextualSpacing/>
        <w:rPr>
          <w:b w:val="0"/>
        </w:rPr>
      </w:pPr>
      <w:r w:rsidRPr="00F63207">
        <w:rPr>
          <w:b w:val="0"/>
        </w:rPr>
        <w:t>for a person specified in paragraph 6(c)—the medical assessments specified in</w:t>
      </w:r>
      <w:r w:rsidR="008035B1" w:rsidRPr="008035B1">
        <w:rPr>
          <w:b w:val="0"/>
        </w:rPr>
        <w:t>:</w:t>
      </w:r>
    </w:p>
    <w:p w14:paraId="333F7618" w14:textId="1F381AA9" w:rsidR="008035B1" w:rsidRPr="008035B1" w:rsidRDefault="008035B1" w:rsidP="00AD340F">
      <w:pPr>
        <w:pStyle w:val="ESAttHeading"/>
        <w:numPr>
          <w:ilvl w:val="0"/>
          <w:numId w:val="15"/>
        </w:numPr>
        <w:contextualSpacing/>
        <w:rPr>
          <w:b w:val="0"/>
        </w:rPr>
      </w:pPr>
      <w:r w:rsidRPr="008035B1">
        <w:rPr>
          <w:b w:val="0"/>
        </w:rPr>
        <w:lastRenderedPageBreak/>
        <w:t>Columns 2, 3 and 4 of</w:t>
      </w:r>
      <w:r>
        <w:rPr>
          <w:b w:val="0"/>
        </w:rPr>
        <w:t xml:space="preserve"> the table in Schedule 2 to the</w:t>
      </w:r>
      <w:r w:rsidRPr="008035B1">
        <w:rPr>
          <w:b w:val="0"/>
        </w:rPr>
        <w:t xml:space="preserve"> instrument; and</w:t>
      </w:r>
    </w:p>
    <w:p w14:paraId="24A23E47" w14:textId="638BEF1F" w:rsidR="008035B1" w:rsidRDefault="008035B1" w:rsidP="00AD340F">
      <w:pPr>
        <w:pStyle w:val="ESAttHeading"/>
        <w:numPr>
          <w:ilvl w:val="0"/>
          <w:numId w:val="15"/>
        </w:numPr>
        <w:contextualSpacing/>
        <w:rPr>
          <w:b w:val="0"/>
        </w:rPr>
      </w:pPr>
      <w:r>
        <w:rPr>
          <w:b w:val="0"/>
        </w:rPr>
        <w:t>Schedule 3 to the</w:t>
      </w:r>
      <w:r w:rsidRPr="008035B1">
        <w:rPr>
          <w:b w:val="0"/>
        </w:rPr>
        <w:t xml:space="preserve"> instrument.</w:t>
      </w:r>
    </w:p>
    <w:p w14:paraId="0A617519" w14:textId="5FB5D8DA" w:rsidR="008035B1" w:rsidRDefault="008035B1" w:rsidP="008035B1">
      <w:pPr>
        <w:pStyle w:val="ESAttHeading"/>
        <w:contextualSpacing/>
        <w:rPr>
          <w:b w:val="0"/>
        </w:rPr>
      </w:pPr>
    </w:p>
    <w:p w14:paraId="78FCBF71" w14:textId="77777777" w:rsidR="008035B1" w:rsidRDefault="008035B1" w:rsidP="008035B1">
      <w:pPr>
        <w:pStyle w:val="ESAttHeading"/>
        <w:rPr>
          <w:b w:val="0"/>
        </w:rPr>
      </w:pPr>
      <w:r w:rsidRPr="00FE2DB2">
        <w:rPr>
          <w:b w:val="0"/>
        </w:rPr>
        <w:t>Subparagraphs 4005(1)(aa)(i) and 4007(1)(aa)(i) of Schedule 4 to the Regulations</w:t>
      </w:r>
      <w:r>
        <w:rPr>
          <w:b w:val="0"/>
        </w:rPr>
        <w:t xml:space="preserve"> provides that if the applicant is in a class of persons specified by the Minister in an instrument in writing for subparagraphs 4005(1)(aa) and 4007(1)(aa) of Schedule 4 that applicant must undertake any medical assessment specified in that instrument.</w:t>
      </w:r>
    </w:p>
    <w:p w14:paraId="13493EB3" w14:textId="7E9AFE48" w:rsidR="008035B1" w:rsidRDefault="008035B1" w:rsidP="008035B1">
      <w:pPr>
        <w:pStyle w:val="ESAttHeading"/>
        <w:rPr>
          <w:b w:val="0"/>
        </w:rPr>
      </w:pPr>
      <w:r>
        <w:rPr>
          <w:b w:val="0"/>
        </w:rPr>
        <w:t xml:space="preserve">The effect of section 7 of the instrument is that for the purposes of </w:t>
      </w:r>
      <w:r w:rsidRPr="008035B1">
        <w:rPr>
          <w:b w:val="0"/>
        </w:rPr>
        <w:t>subparagraphs 4005(1)(aa)(i) and 4007(1)(aa)(i) of Schedule 4</w:t>
      </w:r>
      <w:r w:rsidR="00EF6BA7">
        <w:rPr>
          <w:b w:val="0"/>
        </w:rPr>
        <w:t xml:space="preserve"> a person, who is specified to be in one of the class of person specified in paragraph 6(a), </w:t>
      </w:r>
      <w:r w:rsidR="00FB3C89">
        <w:rPr>
          <w:b w:val="0"/>
        </w:rPr>
        <w:t>6</w:t>
      </w:r>
      <w:r w:rsidR="00EF6BA7">
        <w:rPr>
          <w:b w:val="0"/>
        </w:rPr>
        <w:t xml:space="preserve">(b) or </w:t>
      </w:r>
      <w:r w:rsidR="00FB3C89">
        <w:rPr>
          <w:b w:val="0"/>
        </w:rPr>
        <w:t>6</w:t>
      </w:r>
      <w:r w:rsidR="00EF6BA7">
        <w:rPr>
          <w:b w:val="0"/>
        </w:rPr>
        <w:t>(c) of th</w:t>
      </w:r>
      <w:r w:rsidR="00FB3C89">
        <w:rPr>
          <w:b w:val="0"/>
        </w:rPr>
        <w:t xml:space="preserve">e instrument, that applicant </w:t>
      </w:r>
      <w:r w:rsidR="00EF6BA7">
        <w:rPr>
          <w:b w:val="0"/>
        </w:rPr>
        <w:t>must undertake the following specified medical assessments:</w:t>
      </w:r>
    </w:p>
    <w:p w14:paraId="17449CE1" w14:textId="258571D1" w:rsidR="00EF6BA7" w:rsidRDefault="00EF6BA7" w:rsidP="00BC655C">
      <w:pPr>
        <w:pStyle w:val="ESAttHeading"/>
        <w:numPr>
          <w:ilvl w:val="0"/>
          <w:numId w:val="16"/>
        </w:numPr>
        <w:ind w:left="357" w:hanging="357"/>
        <w:contextualSpacing/>
        <w:rPr>
          <w:b w:val="0"/>
        </w:rPr>
      </w:pPr>
      <w:r>
        <w:rPr>
          <w:b w:val="0"/>
        </w:rPr>
        <w:t xml:space="preserve">a person who is in a class of person specified in paragraph 6(a) of the instrument, must undertake the medical assessments specified in Columns 2 to 5 of the table in Schedule </w:t>
      </w:r>
      <w:r w:rsidR="00712189">
        <w:rPr>
          <w:b w:val="0"/>
        </w:rPr>
        <w:t xml:space="preserve">1 </w:t>
      </w:r>
      <w:r w:rsidR="00FB3C89">
        <w:rPr>
          <w:b w:val="0"/>
        </w:rPr>
        <w:t>to the instrument</w:t>
      </w:r>
    </w:p>
    <w:p w14:paraId="4E5F67D3" w14:textId="7CC6EB6B" w:rsidR="00EF6BA7" w:rsidRPr="00FD379E" w:rsidRDefault="00EF6BA7" w:rsidP="00BC655C">
      <w:pPr>
        <w:pStyle w:val="ESAttHeading"/>
        <w:numPr>
          <w:ilvl w:val="0"/>
          <w:numId w:val="16"/>
        </w:numPr>
        <w:ind w:left="357" w:hanging="357"/>
        <w:contextualSpacing/>
        <w:rPr>
          <w:b w:val="0"/>
        </w:rPr>
      </w:pPr>
      <w:r>
        <w:rPr>
          <w:b w:val="0"/>
        </w:rPr>
        <w:t>a person who is in the class of person specified in paragraph 6(b) of the instrument, must undertake the medical assessments specified in Columns 2 to 4 of the table in Schedule 2</w:t>
      </w:r>
      <w:r w:rsidR="00FB3C89">
        <w:rPr>
          <w:b w:val="0"/>
        </w:rPr>
        <w:t xml:space="preserve"> to the instrument and Schedule </w:t>
      </w:r>
      <w:r>
        <w:rPr>
          <w:b w:val="0"/>
        </w:rPr>
        <w:t>3</w:t>
      </w:r>
      <w:r w:rsidR="00FB3C89">
        <w:rPr>
          <w:b w:val="0"/>
        </w:rPr>
        <w:t xml:space="preserve"> (paragraph 7(b));</w:t>
      </w:r>
    </w:p>
    <w:p w14:paraId="69902E86" w14:textId="6D9196D6" w:rsidR="00F63207" w:rsidRDefault="00F63207" w:rsidP="00BC655C">
      <w:pPr>
        <w:pStyle w:val="ESAttHeading"/>
        <w:numPr>
          <w:ilvl w:val="0"/>
          <w:numId w:val="16"/>
        </w:numPr>
        <w:ind w:left="357" w:hanging="357"/>
        <w:contextualSpacing/>
        <w:rPr>
          <w:b w:val="0"/>
        </w:rPr>
      </w:pPr>
      <w:r w:rsidRPr="00F63207">
        <w:rPr>
          <w:b w:val="0"/>
        </w:rPr>
        <w:t xml:space="preserve">a person specified in paragraph 6(c) </w:t>
      </w:r>
      <w:r>
        <w:rPr>
          <w:b w:val="0"/>
        </w:rPr>
        <w:t xml:space="preserve">of the instrument, must undertake </w:t>
      </w:r>
      <w:r w:rsidRPr="00F63207">
        <w:rPr>
          <w:b w:val="0"/>
        </w:rPr>
        <w:t>the medical assessments specified in</w:t>
      </w:r>
      <w:r>
        <w:rPr>
          <w:b w:val="0"/>
        </w:rPr>
        <w:t xml:space="preserve"> Columns 2 to 4 of the table in Schedule</w:t>
      </w:r>
      <w:r w:rsidR="00FB3C89">
        <w:rPr>
          <w:b w:val="0"/>
        </w:rPr>
        <w:t> </w:t>
      </w:r>
      <w:r>
        <w:rPr>
          <w:b w:val="0"/>
        </w:rPr>
        <w:t>2 to the instrument and Schedule 3</w:t>
      </w:r>
      <w:r w:rsidR="00FB3C89">
        <w:rPr>
          <w:b w:val="0"/>
        </w:rPr>
        <w:t xml:space="preserve"> (paragraph 7(c))</w:t>
      </w:r>
      <w:r>
        <w:rPr>
          <w:b w:val="0"/>
        </w:rPr>
        <w:t>.</w:t>
      </w:r>
    </w:p>
    <w:p w14:paraId="4B91A636" w14:textId="58A360B0" w:rsidR="00FB3C89" w:rsidRDefault="00FB3C89" w:rsidP="00FB3C89">
      <w:pPr>
        <w:pStyle w:val="ESAttHeading"/>
        <w:contextualSpacing/>
        <w:rPr>
          <w:b w:val="0"/>
        </w:rPr>
      </w:pPr>
    </w:p>
    <w:p w14:paraId="2745176D" w14:textId="01790E26" w:rsidR="004E6F6C" w:rsidRPr="004E6F6C" w:rsidRDefault="004E6F6C" w:rsidP="004E6F6C">
      <w:pPr>
        <w:pStyle w:val="ESAttHeading"/>
      </w:pPr>
      <w:r w:rsidRPr="004E6F6C">
        <w:t>Section 8</w:t>
      </w:r>
      <w:r w:rsidRPr="004E6F6C">
        <w:tab/>
        <w:t>Specified persons to conduct medical assessments</w:t>
      </w:r>
    </w:p>
    <w:p w14:paraId="29F278E3" w14:textId="359242C0" w:rsidR="004E6F6C" w:rsidRDefault="004E6F6C">
      <w:pPr>
        <w:pStyle w:val="ESAttHeading"/>
        <w:rPr>
          <w:b w:val="0"/>
        </w:rPr>
      </w:pPr>
      <w:r>
        <w:rPr>
          <w:b w:val="0"/>
        </w:rPr>
        <w:t xml:space="preserve">Section 8 provides for the </w:t>
      </w:r>
      <w:r w:rsidRPr="004E6F6C">
        <w:rPr>
          <w:b w:val="0"/>
        </w:rPr>
        <w:t>specified persons</w:t>
      </w:r>
      <w:r w:rsidR="00B419F6">
        <w:rPr>
          <w:b w:val="0"/>
        </w:rPr>
        <w:t xml:space="preserve"> to conduct medical assessments.</w:t>
      </w:r>
    </w:p>
    <w:p w14:paraId="471783A3" w14:textId="523788D5" w:rsidR="00B419F6" w:rsidRPr="004E6F6C" w:rsidRDefault="00B419F6">
      <w:pPr>
        <w:pStyle w:val="ESAttHeading"/>
        <w:rPr>
          <w:b w:val="0"/>
        </w:rPr>
      </w:pPr>
      <w:r>
        <w:rPr>
          <w:b w:val="0"/>
        </w:rPr>
        <w:t xml:space="preserve">This section provides that for </w:t>
      </w:r>
      <w:r w:rsidRPr="00B419F6">
        <w:rPr>
          <w:b w:val="0"/>
        </w:rPr>
        <w:t>subparagraphs 4005(1)(aa)(ii) and 4007(1)(aa)(ii) of Schedule 4 to the Regulations:</w:t>
      </w:r>
    </w:p>
    <w:p w14:paraId="56145436" w14:textId="30751B88" w:rsidR="004E6F6C" w:rsidRPr="004E6F6C" w:rsidRDefault="004E6F6C" w:rsidP="00BC655C">
      <w:pPr>
        <w:pStyle w:val="ESAttHeading"/>
        <w:numPr>
          <w:ilvl w:val="0"/>
          <w:numId w:val="4"/>
        </w:numPr>
        <w:ind w:left="357" w:hanging="357"/>
        <w:contextualSpacing/>
        <w:rPr>
          <w:b w:val="0"/>
        </w:rPr>
      </w:pPr>
      <w:r w:rsidRPr="004E6F6C">
        <w:rPr>
          <w:b w:val="0"/>
        </w:rPr>
        <w:t>for a medical assessment conducted in Australia—Bupa Australia Health Pty Ltd (trading as Bupa Medical Visa Services) is specified;</w:t>
      </w:r>
    </w:p>
    <w:p w14:paraId="38ABDDDA" w14:textId="262DF587" w:rsidR="004E6F6C" w:rsidRDefault="004E6F6C" w:rsidP="00BC655C">
      <w:pPr>
        <w:pStyle w:val="ESAttHeading"/>
        <w:numPr>
          <w:ilvl w:val="0"/>
          <w:numId w:val="4"/>
        </w:numPr>
        <w:ind w:left="357" w:hanging="357"/>
        <w:contextualSpacing/>
        <w:rPr>
          <w:b w:val="0"/>
        </w:rPr>
      </w:pPr>
      <w:r w:rsidRPr="004E6F6C">
        <w:rPr>
          <w:b w:val="0"/>
        </w:rPr>
        <w:t>for a medical assessment conducted outside Australia for visa purposes—panel physicians are specified.</w:t>
      </w:r>
    </w:p>
    <w:p w14:paraId="4C310B64" w14:textId="77777777" w:rsidR="00B419F6" w:rsidRDefault="00B419F6" w:rsidP="00B419F6">
      <w:pPr>
        <w:pStyle w:val="ESAttHeading"/>
        <w:contextualSpacing/>
        <w:rPr>
          <w:b w:val="0"/>
        </w:rPr>
      </w:pPr>
    </w:p>
    <w:p w14:paraId="4A66DCDB" w14:textId="34A7AD18" w:rsidR="002B6035" w:rsidRDefault="004E6F6C" w:rsidP="002B6035">
      <w:pPr>
        <w:pStyle w:val="ESAttHeading"/>
        <w:keepNext w:val="0"/>
        <w:rPr>
          <w:b w:val="0"/>
        </w:rPr>
      </w:pPr>
      <w:r>
        <w:rPr>
          <w:b w:val="0"/>
        </w:rPr>
        <w:t xml:space="preserve">The note under paragraph 8(b) of the instrument provides that </w:t>
      </w:r>
      <w:r w:rsidRPr="004E6F6C">
        <w:rPr>
          <w:b w:val="0"/>
        </w:rPr>
        <w:t>para</w:t>
      </w:r>
      <w:r w:rsidR="00C90D12">
        <w:rPr>
          <w:b w:val="0"/>
        </w:rPr>
        <w:t>graph</w:t>
      </w:r>
      <w:r w:rsidR="002B6035">
        <w:rPr>
          <w:b w:val="0"/>
        </w:rPr>
        <w:t>s</w:t>
      </w:r>
      <w:r w:rsidR="00C90D12">
        <w:rPr>
          <w:b w:val="0"/>
        </w:rPr>
        <w:t xml:space="preserve"> 4005(1)(aa) and </w:t>
      </w:r>
      <w:r w:rsidRPr="004E6F6C">
        <w:rPr>
          <w:b w:val="0"/>
        </w:rPr>
        <w:t>4007(1)(aa) of Schedule 4 to the Regulations both relevantly provide that if an applicant is in a class of persons specified by the Minister</w:t>
      </w:r>
      <w:r w:rsidR="00E90E18">
        <w:rPr>
          <w:b w:val="0"/>
        </w:rPr>
        <w:t xml:space="preserve"> in a written instrument for that</w:t>
      </w:r>
      <w:r w:rsidRPr="004E6F6C">
        <w:rPr>
          <w:b w:val="0"/>
        </w:rPr>
        <w:t xml:space="preserve"> paragraph, they must be assessed by the person specified in the instrument unless a Medical Officer of the Commonwealth decides otherwise.</w:t>
      </w:r>
    </w:p>
    <w:p w14:paraId="1F3A752A" w14:textId="77777777" w:rsidR="00064A72" w:rsidRDefault="00064A72" w:rsidP="002B6035">
      <w:pPr>
        <w:pStyle w:val="ESAttHeading"/>
        <w:keepNext w:val="0"/>
        <w:rPr>
          <w:b w:val="0"/>
        </w:rPr>
      </w:pPr>
      <w:r>
        <w:rPr>
          <w:b w:val="0"/>
        </w:rPr>
        <w:t>The effect of section 8 of the instrument is that the medical assessment specified in section 7 of the instrument must be conducted by one of the following specified persons:</w:t>
      </w:r>
    </w:p>
    <w:p w14:paraId="1FA8445E" w14:textId="28B77B68" w:rsidR="00B419F6" w:rsidRDefault="00064A72" w:rsidP="00BC655C">
      <w:pPr>
        <w:pStyle w:val="ESAttHeading"/>
        <w:keepNext w:val="0"/>
        <w:numPr>
          <w:ilvl w:val="0"/>
          <w:numId w:val="21"/>
        </w:numPr>
        <w:ind w:left="357" w:hanging="357"/>
        <w:contextualSpacing/>
        <w:rPr>
          <w:b w:val="0"/>
        </w:rPr>
      </w:pPr>
      <w:r>
        <w:rPr>
          <w:b w:val="0"/>
        </w:rPr>
        <w:t xml:space="preserve">for medical assessments conducted within Australia; </w:t>
      </w:r>
      <w:r w:rsidRPr="00064A72">
        <w:rPr>
          <w:b w:val="0"/>
        </w:rPr>
        <w:t>Bupa Australia Health Pty Ltd (trading as Bupa Medical Visa Services)</w:t>
      </w:r>
      <w:r>
        <w:rPr>
          <w:b w:val="0"/>
        </w:rPr>
        <w:t xml:space="preserve"> (paragraph 8(a));</w:t>
      </w:r>
    </w:p>
    <w:p w14:paraId="607749AF" w14:textId="552E014C" w:rsidR="00064A72" w:rsidRDefault="00064A72" w:rsidP="00BC655C">
      <w:pPr>
        <w:pStyle w:val="ESAttHeading"/>
        <w:keepNext w:val="0"/>
        <w:numPr>
          <w:ilvl w:val="0"/>
          <w:numId w:val="21"/>
        </w:numPr>
        <w:ind w:left="357" w:hanging="357"/>
        <w:contextualSpacing/>
        <w:rPr>
          <w:b w:val="0"/>
        </w:rPr>
      </w:pPr>
      <w:r>
        <w:rPr>
          <w:b w:val="0"/>
        </w:rPr>
        <w:t xml:space="preserve">for medical assessments conducted outside Australia for visa purposes; </w:t>
      </w:r>
      <w:r w:rsidRPr="00064A72">
        <w:rPr>
          <w:b w:val="0"/>
        </w:rPr>
        <w:t>panel physicians</w:t>
      </w:r>
      <w:r>
        <w:rPr>
          <w:b w:val="0"/>
        </w:rPr>
        <w:t xml:space="preserve"> (paragraph 8(b)).</w:t>
      </w:r>
    </w:p>
    <w:p w14:paraId="60F49B45" w14:textId="77777777" w:rsidR="00064A72" w:rsidRDefault="00064A72" w:rsidP="00064A72">
      <w:pPr>
        <w:pStyle w:val="ESAttHeading"/>
        <w:keepNext w:val="0"/>
        <w:contextualSpacing/>
        <w:rPr>
          <w:b w:val="0"/>
        </w:rPr>
      </w:pPr>
    </w:p>
    <w:p w14:paraId="456A30B9" w14:textId="77777777" w:rsidR="002B6035" w:rsidRDefault="006614B6" w:rsidP="002B6035">
      <w:pPr>
        <w:pStyle w:val="ESAttHeading"/>
        <w:keepNext w:val="0"/>
      </w:pPr>
      <w:r w:rsidRPr="006614B6">
        <w:t xml:space="preserve">Schedule </w:t>
      </w:r>
      <w:r w:rsidR="00E81178">
        <w:t>1</w:t>
      </w:r>
      <w:r w:rsidR="00E81178">
        <w:tab/>
      </w:r>
      <w:r w:rsidR="004D1BFF">
        <w:t>M</w:t>
      </w:r>
      <w:r w:rsidR="00E81178" w:rsidRPr="00E81178">
        <w:t>edical assessments</w:t>
      </w:r>
      <w:r w:rsidR="004D1BFF">
        <w:t xml:space="preserve"> </w:t>
      </w:r>
      <w:r w:rsidR="00E81178" w:rsidRPr="00E81178">
        <w:t>required</w:t>
      </w:r>
      <w:r w:rsidR="004D1BFF">
        <w:t xml:space="preserve"> for specified class of persons</w:t>
      </w:r>
    </w:p>
    <w:p w14:paraId="400FEC11" w14:textId="4C5ACABC" w:rsidR="002B6035" w:rsidRDefault="006614B6" w:rsidP="002B6035">
      <w:pPr>
        <w:pStyle w:val="ESAttHeading"/>
        <w:keepNext w:val="0"/>
        <w:rPr>
          <w:b w:val="0"/>
        </w:rPr>
      </w:pPr>
      <w:r>
        <w:rPr>
          <w:b w:val="0"/>
        </w:rPr>
        <w:t xml:space="preserve">The </w:t>
      </w:r>
      <w:r w:rsidRPr="00E81178">
        <w:rPr>
          <w:b w:val="0"/>
        </w:rPr>
        <w:t xml:space="preserve">table in Schedule </w:t>
      </w:r>
      <w:r w:rsidR="00E57AA9">
        <w:rPr>
          <w:b w:val="0"/>
        </w:rPr>
        <w:t>1</w:t>
      </w:r>
      <w:r w:rsidRPr="00E81178">
        <w:rPr>
          <w:b w:val="0"/>
        </w:rPr>
        <w:t xml:space="preserve"> </w:t>
      </w:r>
      <w:r w:rsidR="00B53748">
        <w:rPr>
          <w:b w:val="0"/>
        </w:rPr>
        <w:t xml:space="preserve">to the instrument </w:t>
      </w:r>
      <w:r w:rsidR="00BF2C41" w:rsidRPr="00E81178">
        <w:rPr>
          <w:b w:val="0"/>
        </w:rPr>
        <w:t xml:space="preserve">provides for the relevant specified classes of persons </w:t>
      </w:r>
      <w:r w:rsidR="00B53748">
        <w:rPr>
          <w:b w:val="0"/>
        </w:rPr>
        <w:t xml:space="preserve">for the purposes section 6 and/ or for the relevant specified </w:t>
      </w:r>
      <w:r w:rsidR="00BF2C41" w:rsidRPr="00E81178">
        <w:rPr>
          <w:b w:val="0"/>
        </w:rPr>
        <w:t xml:space="preserve">medical assessments for the purposes of </w:t>
      </w:r>
      <w:r w:rsidR="00B53748">
        <w:rPr>
          <w:b w:val="0"/>
        </w:rPr>
        <w:t>section 7 of the instrument.</w:t>
      </w:r>
    </w:p>
    <w:p w14:paraId="02947E4F" w14:textId="77777777" w:rsidR="002B6035" w:rsidRDefault="006614B6" w:rsidP="002B6035">
      <w:pPr>
        <w:pStyle w:val="ESAttHeading"/>
        <w:keepNext w:val="0"/>
      </w:pPr>
      <w:r w:rsidRPr="006614B6">
        <w:lastRenderedPageBreak/>
        <w:t xml:space="preserve">Schedule </w:t>
      </w:r>
      <w:r w:rsidR="00E81178">
        <w:t>2</w:t>
      </w:r>
      <w:r w:rsidR="00E81178">
        <w:tab/>
      </w:r>
      <w:r w:rsidR="00081C4E">
        <w:t>M</w:t>
      </w:r>
      <w:r w:rsidR="00E81178" w:rsidRPr="00D844F9">
        <w:t xml:space="preserve">edical assessments </w:t>
      </w:r>
      <w:r w:rsidR="00081C4E">
        <w:t xml:space="preserve">required </w:t>
      </w:r>
      <w:r w:rsidR="00E81178" w:rsidRPr="00D844F9">
        <w:t>for persons not covered by Schedule 1</w:t>
      </w:r>
    </w:p>
    <w:p w14:paraId="2AB005C1" w14:textId="1ED39E39" w:rsidR="002B6035" w:rsidRDefault="006614B6" w:rsidP="002B6035">
      <w:pPr>
        <w:pStyle w:val="ESAttHeading"/>
        <w:keepNext w:val="0"/>
        <w:rPr>
          <w:b w:val="0"/>
        </w:rPr>
      </w:pPr>
      <w:r>
        <w:rPr>
          <w:b w:val="0"/>
        </w:rPr>
        <w:t xml:space="preserve">The table in Schedule </w:t>
      </w:r>
      <w:r w:rsidR="00E57AA9">
        <w:rPr>
          <w:b w:val="0"/>
        </w:rPr>
        <w:t>2</w:t>
      </w:r>
      <w:r>
        <w:rPr>
          <w:b w:val="0"/>
        </w:rPr>
        <w:t xml:space="preserve"> </w:t>
      </w:r>
      <w:r w:rsidR="00B53748">
        <w:rPr>
          <w:b w:val="0"/>
        </w:rPr>
        <w:t xml:space="preserve">to the instrument </w:t>
      </w:r>
      <w:r w:rsidR="00BF2C41">
        <w:rPr>
          <w:b w:val="0"/>
        </w:rPr>
        <w:t>provides for the relevant specified medical assessments for the purposes of</w:t>
      </w:r>
      <w:r w:rsidR="00F96565">
        <w:rPr>
          <w:b w:val="0"/>
        </w:rPr>
        <w:t xml:space="preserve"> </w:t>
      </w:r>
      <w:r w:rsidR="00B53748">
        <w:rPr>
          <w:b w:val="0"/>
        </w:rPr>
        <w:t>section 7</w:t>
      </w:r>
      <w:r w:rsidR="00E77CD7">
        <w:rPr>
          <w:b w:val="0"/>
        </w:rPr>
        <w:t xml:space="preserve"> the instrument</w:t>
      </w:r>
      <w:r w:rsidR="00B53748">
        <w:rPr>
          <w:b w:val="0"/>
        </w:rPr>
        <w:t>, for the relevant class of person specified in section 6</w:t>
      </w:r>
      <w:r w:rsidR="00EA43C4">
        <w:rPr>
          <w:b w:val="0"/>
        </w:rPr>
        <w:t>.</w:t>
      </w:r>
    </w:p>
    <w:p w14:paraId="1300FAD5" w14:textId="77777777" w:rsidR="002B6035" w:rsidRDefault="00BF2C41" w:rsidP="002B6035">
      <w:pPr>
        <w:pStyle w:val="ESAttHeading"/>
        <w:keepNext w:val="0"/>
      </w:pPr>
      <w:r w:rsidRPr="00BF2C41">
        <w:t xml:space="preserve">Schedule </w:t>
      </w:r>
      <w:r w:rsidR="00E81178">
        <w:t>3</w:t>
      </w:r>
      <w:r w:rsidRPr="00BF2C41">
        <w:tab/>
        <w:t>Additional med</w:t>
      </w:r>
      <w:r w:rsidR="00E57AA9">
        <w:t>ical assessments for paragraphs </w:t>
      </w:r>
      <w:r w:rsidRPr="00BF2C41">
        <w:t>4005(1)(aa) and 4007(1)(aa)</w:t>
      </w:r>
    </w:p>
    <w:p w14:paraId="3533DAAA" w14:textId="7D6B1F82" w:rsidR="002B6035" w:rsidRDefault="00BF2C41" w:rsidP="002B6035">
      <w:pPr>
        <w:pStyle w:val="ESAttHeading"/>
        <w:keepNext w:val="0"/>
        <w:rPr>
          <w:b w:val="0"/>
        </w:rPr>
      </w:pPr>
      <w:r>
        <w:rPr>
          <w:b w:val="0"/>
        </w:rPr>
        <w:t xml:space="preserve">The table in Schedule </w:t>
      </w:r>
      <w:r w:rsidR="00E57AA9">
        <w:rPr>
          <w:b w:val="0"/>
        </w:rPr>
        <w:t>3</w:t>
      </w:r>
      <w:r>
        <w:rPr>
          <w:b w:val="0"/>
        </w:rPr>
        <w:t xml:space="preserve"> </w:t>
      </w:r>
      <w:r w:rsidR="00B53748">
        <w:rPr>
          <w:b w:val="0"/>
        </w:rPr>
        <w:t xml:space="preserve">to the instrument </w:t>
      </w:r>
      <w:r w:rsidR="00EA43C4">
        <w:rPr>
          <w:b w:val="0"/>
        </w:rPr>
        <w:t xml:space="preserve">provides for the relevant additional medical assessments for the purposes of </w:t>
      </w:r>
      <w:r w:rsidR="00B53748">
        <w:rPr>
          <w:b w:val="0"/>
        </w:rPr>
        <w:t>the relevant provisions of section 7 of</w:t>
      </w:r>
      <w:r w:rsidR="00A31886">
        <w:rPr>
          <w:b w:val="0"/>
        </w:rPr>
        <w:t xml:space="preserve"> the instrument</w:t>
      </w:r>
      <w:r w:rsidR="00EA43C4">
        <w:rPr>
          <w:b w:val="0"/>
        </w:rPr>
        <w:t>.</w:t>
      </w:r>
    </w:p>
    <w:p w14:paraId="151129A1" w14:textId="22665954" w:rsidR="002B6035" w:rsidRDefault="00B53748" w:rsidP="002B6035">
      <w:pPr>
        <w:pStyle w:val="ESAttHeading"/>
        <w:keepNext w:val="0"/>
        <w:rPr>
          <w:b w:val="0"/>
        </w:rPr>
      </w:pPr>
      <w:r>
        <w:rPr>
          <w:b w:val="0"/>
        </w:rPr>
        <w:t>Section 8 of the instrument</w:t>
      </w:r>
      <w:r w:rsidR="00F96565">
        <w:rPr>
          <w:b w:val="0"/>
        </w:rPr>
        <w:t xml:space="preserve"> </w:t>
      </w:r>
      <w:r w:rsidR="00052877">
        <w:rPr>
          <w:b w:val="0"/>
        </w:rPr>
        <w:t xml:space="preserve">provides for the </w:t>
      </w:r>
      <w:r w:rsidR="00052877" w:rsidRPr="004E6F6C">
        <w:rPr>
          <w:b w:val="0"/>
        </w:rPr>
        <w:t>specified</w:t>
      </w:r>
      <w:r w:rsidR="00052877">
        <w:rPr>
          <w:b w:val="0"/>
        </w:rPr>
        <w:t xml:space="preserve"> persons who can </w:t>
      </w:r>
      <w:r w:rsidR="00052877" w:rsidRPr="004E6F6C">
        <w:rPr>
          <w:b w:val="0"/>
        </w:rPr>
        <w:t xml:space="preserve">conduct </w:t>
      </w:r>
      <w:r w:rsidR="00052877">
        <w:rPr>
          <w:b w:val="0"/>
        </w:rPr>
        <w:t xml:space="preserve">the relevant </w:t>
      </w:r>
      <w:r>
        <w:rPr>
          <w:b w:val="0"/>
        </w:rPr>
        <w:t xml:space="preserve">specified </w:t>
      </w:r>
      <w:r w:rsidR="00052877" w:rsidRPr="004E6F6C">
        <w:rPr>
          <w:b w:val="0"/>
        </w:rPr>
        <w:t>medical assessments</w:t>
      </w:r>
      <w:r w:rsidR="00052877">
        <w:rPr>
          <w:b w:val="0"/>
        </w:rPr>
        <w:t xml:space="preserve"> as det</w:t>
      </w:r>
      <w:r>
        <w:rPr>
          <w:b w:val="0"/>
        </w:rPr>
        <w:t>ailed in Schedules 1 to 3 to the</w:t>
      </w:r>
      <w:r w:rsidR="00052877">
        <w:rPr>
          <w:b w:val="0"/>
        </w:rPr>
        <w:t xml:space="preserve"> instrument.</w:t>
      </w:r>
    </w:p>
    <w:p w14:paraId="55733D22" w14:textId="77777777" w:rsidR="002B6035" w:rsidRDefault="00BF2C41" w:rsidP="002B6035">
      <w:pPr>
        <w:pStyle w:val="ESAttHeading"/>
        <w:keepNext w:val="0"/>
        <w:rPr>
          <w:b w:val="0"/>
        </w:rPr>
      </w:pPr>
      <w:r w:rsidRPr="00BF2C41">
        <w:t xml:space="preserve">Schedule </w:t>
      </w:r>
      <w:r w:rsidR="00E81178">
        <w:t>4</w:t>
      </w:r>
      <w:r w:rsidRPr="00BF2C41">
        <w:tab/>
        <w:t>List of provisional visas</w:t>
      </w:r>
    </w:p>
    <w:p w14:paraId="1884C3FE" w14:textId="1F1E363E" w:rsidR="002B6035" w:rsidRDefault="00BF2C41" w:rsidP="002B6035">
      <w:pPr>
        <w:pStyle w:val="ESAttHeading"/>
        <w:keepNext w:val="0"/>
        <w:rPr>
          <w:b w:val="0"/>
        </w:rPr>
      </w:pPr>
      <w:r>
        <w:rPr>
          <w:b w:val="0"/>
        </w:rPr>
        <w:t xml:space="preserve">The table in Schedule </w:t>
      </w:r>
      <w:r w:rsidR="00E57AA9">
        <w:rPr>
          <w:b w:val="0"/>
        </w:rPr>
        <w:t>4</w:t>
      </w:r>
      <w:r>
        <w:rPr>
          <w:b w:val="0"/>
        </w:rPr>
        <w:t xml:space="preserve"> </w:t>
      </w:r>
      <w:r w:rsidR="00B53748">
        <w:rPr>
          <w:b w:val="0"/>
        </w:rPr>
        <w:t xml:space="preserve">to the instrument </w:t>
      </w:r>
      <w:r w:rsidR="00EA43C4">
        <w:rPr>
          <w:b w:val="0"/>
        </w:rPr>
        <w:t xml:space="preserve">provides for the relevant temporary visa for the purposes of the definition of </w:t>
      </w:r>
      <w:r w:rsidR="00EA43C4" w:rsidRPr="00EA43C4">
        <w:rPr>
          <w:b w:val="0"/>
          <w:i/>
        </w:rPr>
        <w:t>provisional visa</w:t>
      </w:r>
      <w:r w:rsidR="00EA43C4">
        <w:rPr>
          <w:b w:val="0"/>
        </w:rPr>
        <w:t xml:space="preserve"> in section 4 of the instrument.</w:t>
      </w:r>
    </w:p>
    <w:p w14:paraId="0BB89F8C" w14:textId="77777777" w:rsidR="002B6035" w:rsidRDefault="00BF2C41" w:rsidP="002B6035">
      <w:pPr>
        <w:pStyle w:val="ESAttHeading"/>
        <w:keepNext w:val="0"/>
        <w:rPr>
          <w:b w:val="0"/>
        </w:rPr>
      </w:pPr>
      <w:r w:rsidRPr="00BF2C41">
        <w:t xml:space="preserve">Schedule </w:t>
      </w:r>
      <w:r w:rsidR="00E81178">
        <w:t>5</w:t>
      </w:r>
      <w:r w:rsidRPr="00BF2C41">
        <w:tab/>
        <w:t xml:space="preserve">Low </w:t>
      </w:r>
      <w:r w:rsidR="00C03AF4">
        <w:t>h</w:t>
      </w:r>
      <w:r w:rsidRPr="00BF2C41">
        <w:t>epatitis B risk countries and jurisdictions</w:t>
      </w:r>
    </w:p>
    <w:p w14:paraId="625249F9" w14:textId="2F39B5F9" w:rsidR="00BF2C41" w:rsidRDefault="00BF2C41" w:rsidP="002B6035">
      <w:pPr>
        <w:pStyle w:val="ESAttHeading"/>
        <w:keepNext w:val="0"/>
        <w:rPr>
          <w:b w:val="0"/>
        </w:rPr>
      </w:pPr>
      <w:r>
        <w:rPr>
          <w:b w:val="0"/>
        </w:rPr>
        <w:t xml:space="preserve">The table in Schedule </w:t>
      </w:r>
      <w:r w:rsidR="00E57AA9">
        <w:rPr>
          <w:b w:val="0"/>
        </w:rPr>
        <w:t>5</w:t>
      </w:r>
      <w:r>
        <w:rPr>
          <w:b w:val="0"/>
        </w:rPr>
        <w:t xml:space="preserve"> </w:t>
      </w:r>
      <w:r w:rsidR="00B53748">
        <w:rPr>
          <w:b w:val="0"/>
        </w:rPr>
        <w:t xml:space="preserve">to the instrument </w:t>
      </w:r>
      <w:r w:rsidR="00EA43C4">
        <w:rPr>
          <w:b w:val="0"/>
        </w:rPr>
        <w:t xml:space="preserve">provides for the relevant country or jurisdiction </w:t>
      </w:r>
      <w:r w:rsidR="00476D06">
        <w:rPr>
          <w:b w:val="0"/>
        </w:rPr>
        <w:t xml:space="preserve">not mentioned </w:t>
      </w:r>
      <w:r w:rsidR="00EA43C4">
        <w:rPr>
          <w:b w:val="0"/>
        </w:rPr>
        <w:t xml:space="preserve">for the purposes of the definition </w:t>
      </w:r>
      <w:r w:rsidR="00476D06">
        <w:rPr>
          <w:b w:val="0"/>
        </w:rPr>
        <w:t xml:space="preserve">are </w:t>
      </w:r>
      <w:r w:rsidR="00EA43C4" w:rsidRPr="00EA43C4">
        <w:rPr>
          <w:b w:val="0"/>
          <w:i/>
        </w:rPr>
        <w:t>high hepatitis B risk jurisdiction</w:t>
      </w:r>
      <w:r w:rsidR="00EA43C4">
        <w:rPr>
          <w:b w:val="0"/>
        </w:rPr>
        <w:t xml:space="preserve"> in section 4 </w:t>
      </w:r>
      <w:r w:rsidR="00B53748">
        <w:rPr>
          <w:b w:val="0"/>
        </w:rPr>
        <w:t xml:space="preserve">to </w:t>
      </w:r>
      <w:r w:rsidR="00EA43C4">
        <w:rPr>
          <w:b w:val="0"/>
        </w:rPr>
        <w:t>the instrument.</w:t>
      </w:r>
    </w:p>
    <w:p w14:paraId="3D8FEE13" w14:textId="280B526C" w:rsidR="00E81178" w:rsidRDefault="00E81178" w:rsidP="00E81178">
      <w:pPr>
        <w:pStyle w:val="ESAttHeading"/>
      </w:pPr>
      <w:r>
        <w:t>Schedule 6</w:t>
      </w:r>
      <w:r>
        <w:tab/>
        <w:t>Repeals</w:t>
      </w:r>
    </w:p>
    <w:p w14:paraId="40495E9A" w14:textId="0EB69728" w:rsidR="00E57AA9" w:rsidRDefault="00E81178" w:rsidP="00E81178">
      <w:pPr>
        <w:pStyle w:val="ESAttHeading"/>
        <w:rPr>
          <w:b w:val="0"/>
        </w:rPr>
      </w:pPr>
      <w:r>
        <w:rPr>
          <w:b w:val="0"/>
        </w:rPr>
        <w:t xml:space="preserve">Item 1 of Schedule </w:t>
      </w:r>
      <w:r w:rsidR="00E57AA9">
        <w:rPr>
          <w:b w:val="0"/>
        </w:rPr>
        <w:t>6</w:t>
      </w:r>
      <w:r>
        <w:rPr>
          <w:b w:val="0"/>
        </w:rPr>
        <w:t xml:space="preserve"> </w:t>
      </w:r>
      <w:r w:rsidR="00B53748">
        <w:rPr>
          <w:b w:val="0"/>
        </w:rPr>
        <w:t xml:space="preserve">to the instrument </w:t>
      </w:r>
      <w:r>
        <w:rPr>
          <w:b w:val="0"/>
        </w:rPr>
        <w:t xml:space="preserve">repeals the </w:t>
      </w:r>
      <w:r w:rsidR="00922D18" w:rsidRPr="00922D18">
        <w:rPr>
          <w:b w:val="0"/>
          <w:i/>
        </w:rPr>
        <w:t>Migration Regulations 1994 - Specification of Required Medical Assessment - IMMI 15/144</w:t>
      </w:r>
      <w:r w:rsidR="00052877">
        <w:rPr>
          <w:b w:val="0"/>
        </w:rPr>
        <w:t xml:space="preserve"> </w:t>
      </w:r>
      <w:r w:rsidR="002D37BE">
        <w:rPr>
          <w:b w:val="0"/>
        </w:rPr>
        <w:t>in its entirety</w:t>
      </w:r>
      <w:r w:rsidR="00052877">
        <w:rPr>
          <w:b w:val="0"/>
        </w:rPr>
        <w:t>.</w:t>
      </w:r>
    </w:p>
    <w:p w14:paraId="0D9EB109" w14:textId="77777777" w:rsidR="00E57AA9" w:rsidRDefault="00E57AA9" w:rsidP="00E81178">
      <w:pPr>
        <w:pStyle w:val="ESAttHeading"/>
        <w:rPr>
          <w:b w:val="0"/>
        </w:rPr>
      </w:pPr>
    </w:p>
    <w:sectPr w:rsidR="00E57AA9" w:rsidSect="004F5CE4">
      <w:headerReference w:type="even" r:id="rId8"/>
      <w:footerReference w:type="even" r:id="rId9"/>
      <w:footerReference w:type="default" r:id="rId10"/>
      <w:headerReference w:type="first" r:id="rId11"/>
      <w:footerReference w:type="first" r:id="rId12"/>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246F" w14:textId="77777777" w:rsidR="00C82C48" w:rsidRDefault="00C82C48" w:rsidP="00EA43C4">
      <w:pPr>
        <w:spacing w:after="0" w:line="240" w:lineRule="auto"/>
      </w:pPr>
      <w:r>
        <w:separator/>
      </w:r>
    </w:p>
  </w:endnote>
  <w:endnote w:type="continuationSeparator" w:id="0">
    <w:p w14:paraId="45AA7DB1" w14:textId="77777777" w:rsidR="00C82C48" w:rsidRDefault="00C82C48" w:rsidP="00EA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528D" w14:textId="266D8388" w:rsidR="007222E2" w:rsidRDefault="003F0D49">
    <w:pPr>
      <w:pStyle w:val="Footer"/>
    </w:pPr>
    <w:r>
      <w:rPr>
        <w:noProof/>
      </w:rPr>
      <mc:AlternateContent>
        <mc:Choice Requires="wps">
          <w:drawing>
            <wp:anchor distT="0" distB="0" distL="0" distR="0" simplePos="0" relativeHeight="251663363" behindDoc="0" locked="0" layoutInCell="1" allowOverlap="1" wp14:anchorId="525BBF70" wp14:editId="5CC9BDE4">
              <wp:simplePos x="635" y="635"/>
              <wp:positionH relativeFrom="page">
                <wp:align>center</wp:align>
              </wp:positionH>
              <wp:positionV relativeFrom="page">
                <wp:align>bottom</wp:align>
              </wp:positionV>
              <wp:extent cx="2745740" cy="424815"/>
              <wp:effectExtent l="0" t="0" r="16510" b="0"/>
              <wp:wrapNone/>
              <wp:docPr id="1739501092" name="Text Box 5"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45740" cy="424815"/>
                      </a:xfrm>
                      <a:prstGeom prst="rect">
                        <a:avLst/>
                      </a:prstGeom>
                      <a:noFill/>
                      <a:ln>
                        <a:noFill/>
                      </a:ln>
                    </wps:spPr>
                    <wps:txbx>
                      <w:txbxContent>
                        <w:p w14:paraId="431C50C8" w14:textId="3053EBF0" w:rsidR="003F0D49" w:rsidRPr="003F0D49" w:rsidRDefault="003F0D49" w:rsidP="003F0D49">
                          <w:pPr>
                            <w:spacing w:after="0"/>
                            <w:rPr>
                              <w:rFonts w:ascii="Aptos" w:eastAsia="Aptos" w:hAnsi="Aptos" w:cs="Aptos"/>
                              <w:noProof/>
                              <w:color w:val="FF0000"/>
                              <w:sz w:val="28"/>
                              <w:szCs w:val="28"/>
                            </w:rPr>
                          </w:pPr>
                          <w:r w:rsidRPr="003F0D49">
                            <w:rPr>
                              <w:rFonts w:ascii="Aptos" w:eastAsia="Aptos" w:hAnsi="Aptos" w:cs="Aptos"/>
                              <w:noProof/>
                              <w:color w:val="FF0000"/>
                              <w:sz w:val="28"/>
                              <w:szCs w:val="28"/>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5BBF70" id="_x0000_t202" coordsize="21600,21600" o:spt="202" path="m,l,21600r21600,l21600,xe">
              <v:stroke joinstyle="miter"/>
              <v:path gradientshapeok="t" o:connecttype="rect"/>
            </v:shapetype>
            <v:shape id="Text Box 5" o:spid="_x0000_s1027" type="#_x0000_t202" alt="OFFICIAL: Sensitive//Legal-Privilege" style="position:absolute;margin-left:0;margin-top:0;width:216.2pt;height:33.45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sBIDwIAAB0EAAAOAAAAZHJzL2Uyb0RvYy54bWysU8Fu2zAMvQ/YPwi6L7azZO2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" filled="f" stroked="f">
              <v:fill o:detectmouseclick="t"/>
              <v:textbox style="mso-fit-shape-to-text:t" inset="0,0,0,15pt">
                <w:txbxContent>
                  <w:p w14:paraId="431C50C8" w14:textId="3053EBF0" w:rsidR="003F0D49" w:rsidRPr="003F0D49" w:rsidRDefault="003F0D49" w:rsidP="003F0D49">
                    <w:pPr>
                      <w:spacing w:after="0"/>
                      <w:rPr>
                        <w:rFonts w:ascii="Aptos" w:eastAsia="Aptos" w:hAnsi="Aptos" w:cs="Aptos"/>
                        <w:noProof/>
                        <w:color w:val="FF0000"/>
                        <w:sz w:val="28"/>
                        <w:szCs w:val="28"/>
                      </w:rPr>
                    </w:pPr>
                    <w:r w:rsidRPr="003F0D49">
                      <w:rPr>
                        <w:rFonts w:ascii="Aptos" w:eastAsia="Aptos" w:hAnsi="Aptos" w:cs="Aptos"/>
                        <w:noProof/>
                        <w:color w:val="FF0000"/>
                        <w:sz w:val="28"/>
                        <w:szCs w:val="28"/>
                      </w:rPr>
                      <w:t>OFFICIAL: Sensitive//Legal-Privilege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5F20" w14:textId="2DC8F93B" w:rsidR="00EA43C4" w:rsidRPr="009D4B1C" w:rsidRDefault="00000000" w:rsidP="009D4B1C">
    <w:pPr>
      <w:pStyle w:val="Footer"/>
      <w:jc w:val="center"/>
      <w:rPr>
        <w:rFonts w:ascii="Times New Roman" w:hAnsi="Times New Roman" w:cs="Times New Roman"/>
      </w:rPr>
    </w:pPr>
    <w:sdt>
      <w:sdtPr>
        <w:id w:val="-794286033"/>
        <w:docPartObj>
          <w:docPartGallery w:val="Page Numbers (Bottom of Page)"/>
          <w:docPartUnique/>
        </w:docPartObj>
      </w:sdtPr>
      <w:sdtEndPr>
        <w:rPr>
          <w:rFonts w:ascii="Times New Roman" w:hAnsi="Times New Roman" w:cs="Times New Roman"/>
          <w:noProof/>
        </w:rPr>
      </w:sdtEndPr>
      <w:sdtContent>
        <w:r w:rsidR="00EA43C4" w:rsidRPr="009D4B1C">
          <w:rPr>
            <w:rFonts w:ascii="Times New Roman" w:hAnsi="Times New Roman" w:cs="Times New Roman"/>
          </w:rPr>
          <w:fldChar w:fldCharType="begin"/>
        </w:r>
        <w:r w:rsidR="00EA43C4" w:rsidRPr="009D4B1C">
          <w:rPr>
            <w:rFonts w:ascii="Times New Roman" w:hAnsi="Times New Roman" w:cs="Times New Roman"/>
          </w:rPr>
          <w:instrText xml:space="preserve"> PAGE   \* MERGEFORMAT </w:instrText>
        </w:r>
        <w:r w:rsidR="00EA43C4" w:rsidRPr="009D4B1C">
          <w:rPr>
            <w:rFonts w:ascii="Times New Roman" w:hAnsi="Times New Roman" w:cs="Times New Roman"/>
          </w:rPr>
          <w:fldChar w:fldCharType="separate"/>
        </w:r>
        <w:r w:rsidR="00BC655C" w:rsidRPr="009D4B1C">
          <w:rPr>
            <w:rFonts w:ascii="Times New Roman" w:hAnsi="Times New Roman" w:cs="Times New Roman"/>
            <w:noProof/>
          </w:rPr>
          <w:t>5</w:t>
        </w:r>
        <w:r w:rsidR="00EA43C4" w:rsidRPr="009D4B1C">
          <w:rPr>
            <w:rFonts w:ascii="Times New Roman" w:hAnsi="Times New Roman" w:cs="Times New Roman"/>
            <w:noProof/>
          </w:rPr>
          <w:fldChar w:fldCharType="end"/>
        </w:r>
      </w:sdtContent>
    </w:sdt>
  </w:p>
  <w:p w14:paraId="429346C9" w14:textId="77777777" w:rsidR="00EA43C4" w:rsidRPr="00E90E18" w:rsidRDefault="00EA4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C6EB" w14:textId="326883D5" w:rsidR="007222E2" w:rsidRDefault="003F0D49">
    <w:pPr>
      <w:pStyle w:val="Footer"/>
    </w:pPr>
    <w:r>
      <w:rPr>
        <w:noProof/>
      </w:rPr>
      <mc:AlternateContent>
        <mc:Choice Requires="wps">
          <w:drawing>
            <wp:anchor distT="0" distB="0" distL="0" distR="0" simplePos="0" relativeHeight="251662339" behindDoc="0" locked="0" layoutInCell="1" allowOverlap="1" wp14:anchorId="6E9660A3" wp14:editId="1B6A6912">
              <wp:simplePos x="635" y="635"/>
              <wp:positionH relativeFrom="page">
                <wp:align>center</wp:align>
              </wp:positionH>
              <wp:positionV relativeFrom="page">
                <wp:align>bottom</wp:align>
              </wp:positionV>
              <wp:extent cx="2745740" cy="424815"/>
              <wp:effectExtent l="0" t="0" r="16510" b="0"/>
              <wp:wrapNone/>
              <wp:docPr id="1659399270" name="Text Box 4"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45740" cy="424815"/>
                      </a:xfrm>
                      <a:prstGeom prst="rect">
                        <a:avLst/>
                      </a:prstGeom>
                      <a:noFill/>
                      <a:ln>
                        <a:noFill/>
                      </a:ln>
                    </wps:spPr>
                    <wps:txbx>
                      <w:txbxContent>
                        <w:p w14:paraId="7BFAB477" w14:textId="5BEA2487" w:rsidR="003F0D49" w:rsidRPr="003F0D49" w:rsidRDefault="003F0D49" w:rsidP="003F0D49">
                          <w:pPr>
                            <w:spacing w:after="0"/>
                            <w:rPr>
                              <w:rFonts w:ascii="Aptos" w:eastAsia="Aptos" w:hAnsi="Aptos" w:cs="Aptos"/>
                              <w:noProof/>
                              <w:color w:val="FF0000"/>
                              <w:sz w:val="28"/>
                              <w:szCs w:val="28"/>
                            </w:rPr>
                          </w:pPr>
                          <w:r w:rsidRPr="003F0D49">
                            <w:rPr>
                              <w:rFonts w:ascii="Aptos" w:eastAsia="Aptos" w:hAnsi="Aptos" w:cs="Aptos"/>
                              <w:noProof/>
                              <w:color w:val="FF0000"/>
                              <w:sz w:val="28"/>
                              <w:szCs w:val="28"/>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9660A3" id="_x0000_t202" coordsize="21600,21600" o:spt="202" path="m,l,21600r21600,l21600,xe">
              <v:stroke joinstyle="miter"/>
              <v:path gradientshapeok="t" o:connecttype="rect"/>
            </v:shapetype>
            <v:shape id="Text Box 4" o:spid="_x0000_s1029" type="#_x0000_t202" alt="OFFICIAL: Sensitive//Legal-Privilege" style="position:absolute;margin-left:0;margin-top:0;width:216.2pt;height:33.45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" filled="f" stroked="f">
              <v:fill o:detectmouseclick="t"/>
              <v:textbox style="mso-fit-shape-to-text:t" inset="0,0,0,15pt">
                <w:txbxContent>
                  <w:p w14:paraId="7BFAB477" w14:textId="5BEA2487" w:rsidR="003F0D49" w:rsidRPr="003F0D49" w:rsidRDefault="003F0D49" w:rsidP="003F0D49">
                    <w:pPr>
                      <w:spacing w:after="0"/>
                      <w:rPr>
                        <w:rFonts w:ascii="Aptos" w:eastAsia="Aptos" w:hAnsi="Aptos" w:cs="Aptos"/>
                        <w:noProof/>
                        <w:color w:val="FF0000"/>
                        <w:sz w:val="28"/>
                        <w:szCs w:val="28"/>
                      </w:rPr>
                    </w:pPr>
                    <w:r w:rsidRPr="003F0D49">
                      <w:rPr>
                        <w:rFonts w:ascii="Aptos" w:eastAsia="Aptos" w:hAnsi="Aptos" w:cs="Aptos"/>
                        <w:noProof/>
                        <w:color w:val="FF0000"/>
                        <w:sz w:val="28"/>
                        <w:szCs w:val="28"/>
                      </w:rPr>
                      <w:t>OFFICIAL: Sensitive//Legal-Privilege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1B6B" w14:textId="77777777" w:rsidR="00C82C48" w:rsidRDefault="00C82C48" w:rsidP="00EA43C4">
      <w:pPr>
        <w:spacing w:after="0" w:line="240" w:lineRule="auto"/>
      </w:pPr>
      <w:r>
        <w:separator/>
      </w:r>
    </w:p>
  </w:footnote>
  <w:footnote w:type="continuationSeparator" w:id="0">
    <w:p w14:paraId="7114FD45" w14:textId="77777777" w:rsidR="00C82C48" w:rsidRDefault="00C82C48" w:rsidP="00EA4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E388" w14:textId="0E7FF57B" w:rsidR="007222E2" w:rsidRDefault="003F0D49">
    <w:pPr>
      <w:pStyle w:val="Header"/>
    </w:pPr>
    <w:r>
      <w:rPr>
        <w:noProof/>
      </w:rPr>
      <mc:AlternateContent>
        <mc:Choice Requires="wps">
          <w:drawing>
            <wp:anchor distT="0" distB="0" distL="0" distR="0" simplePos="0" relativeHeight="251660291" behindDoc="0" locked="0" layoutInCell="1" allowOverlap="1" wp14:anchorId="5DF92BB3" wp14:editId="7808E5E4">
              <wp:simplePos x="635" y="635"/>
              <wp:positionH relativeFrom="page">
                <wp:align>center</wp:align>
              </wp:positionH>
              <wp:positionV relativeFrom="page">
                <wp:align>top</wp:align>
              </wp:positionV>
              <wp:extent cx="2745740" cy="424815"/>
              <wp:effectExtent l="0" t="0" r="16510" b="13335"/>
              <wp:wrapNone/>
              <wp:docPr id="403592524" name="Text Box 2"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45740" cy="424815"/>
                      </a:xfrm>
                      <a:prstGeom prst="rect">
                        <a:avLst/>
                      </a:prstGeom>
                      <a:noFill/>
                      <a:ln>
                        <a:noFill/>
                      </a:ln>
                    </wps:spPr>
                    <wps:txbx>
                      <w:txbxContent>
                        <w:p w14:paraId="3158949A" w14:textId="2E49AA85" w:rsidR="003F0D49" w:rsidRPr="003F0D49" w:rsidRDefault="003F0D49" w:rsidP="003F0D49">
                          <w:pPr>
                            <w:spacing w:after="0"/>
                            <w:rPr>
                              <w:rFonts w:ascii="Aptos" w:eastAsia="Aptos" w:hAnsi="Aptos" w:cs="Aptos"/>
                              <w:noProof/>
                              <w:color w:val="FF0000"/>
                              <w:sz w:val="28"/>
                              <w:szCs w:val="28"/>
                            </w:rPr>
                          </w:pPr>
                          <w:r w:rsidRPr="003F0D49">
                            <w:rPr>
                              <w:rFonts w:ascii="Aptos" w:eastAsia="Aptos" w:hAnsi="Aptos" w:cs="Aptos"/>
                              <w:noProof/>
                              <w:color w:val="FF0000"/>
                              <w:sz w:val="28"/>
                              <w:szCs w:val="28"/>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F92BB3" id="_x0000_t202" coordsize="21600,21600" o:spt="202" path="m,l,21600r21600,l21600,xe">
              <v:stroke joinstyle="miter"/>
              <v:path gradientshapeok="t" o:connecttype="rect"/>
            </v:shapetype>
            <v:shape id="Text Box 2" o:spid="_x0000_s1026" type="#_x0000_t202" alt="OFFICIAL: Sensitive//Legal-Privilege" style="position:absolute;margin-left:0;margin-top:0;width:216.2pt;height:33.45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PBDgIAAB0EAAAOAAAAZHJzL2Uyb0RvYy54bWysU8Fu2zAMvQ/YPwi6L3aCZG2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" filled="f" stroked="f">
              <v:fill o:detectmouseclick="t"/>
              <v:textbox style="mso-fit-shape-to-text:t" inset="0,15pt,0,0">
                <w:txbxContent>
                  <w:p w14:paraId="3158949A" w14:textId="2E49AA85" w:rsidR="003F0D49" w:rsidRPr="003F0D49" w:rsidRDefault="003F0D49" w:rsidP="003F0D49">
                    <w:pPr>
                      <w:spacing w:after="0"/>
                      <w:rPr>
                        <w:rFonts w:ascii="Aptos" w:eastAsia="Aptos" w:hAnsi="Aptos" w:cs="Aptos"/>
                        <w:noProof/>
                        <w:color w:val="FF0000"/>
                        <w:sz w:val="28"/>
                        <w:szCs w:val="28"/>
                      </w:rPr>
                    </w:pPr>
                    <w:r w:rsidRPr="003F0D49">
                      <w:rPr>
                        <w:rFonts w:ascii="Aptos" w:eastAsia="Aptos" w:hAnsi="Aptos" w:cs="Aptos"/>
                        <w:noProof/>
                        <w:color w:val="FF0000"/>
                        <w:sz w:val="28"/>
                        <w:szCs w:val="28"/>
                      </w:rPr>
                      <w:t>OFFICIAL: Sensitive//Legal-Privilege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E8EA" w14:textId="7D38C5F8" w:rsidR="007222E2" w:rsidRDefault="003F0D49">
    <w:pPr>
      <w:pStyle w:val="Header"/>
    </w:pPr>
    <w:r>
      <w:rPr>
        <w:noProof/>
      </w:rPr>
      <mc:AlternateContent>
        <mc:Choice Requires="wps">
          <w:drawing>
            <wp:anchor distT="0" distB="0" distL="0" distR="0" simplePos="0" relativeHeight="251659267" behindDoc="0" locked="0" layoutInCell="1" allowOverlap="1" wp14:anchorId="060FBA8D" wp14:editId="2B4E8092">
              <wp:simplePos x="635" y="635"/>
              <wp:positionH relativeFrom="page">
                <wp:align>center</wp:align>
              </wp:positionH>
              <wp:positionV relativeFrom="page">
                <wp:align>top</wp:align>
              </wp:positionV>
              <wp:extent cx="2745740" cy="424815"/>
              <wp:effectExtent l="0" t="0" r="16510" b="13335"/>
              <wp:wrapNone/>
              <wp:docPr id="1362241851" name="Text Box 1"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45740" cy="424815"/>
                      </a:xfrm>
                      <a:prstGeom prst="rect">
                        <a:avLst/>
                      </a:prstGeom>
                      <a:noFill/>
                      <a:ln>
                        <a:noFill/>
                      </a:ln>
                    </wps:spPr>
                    <wps:txbx>
                      <w:txbxContent>
                        <w:p w14:paraId="206C7483" w14:textId="7BBE8BF2" w:rsidR="003F0D49" w:rsidRPr="003F0D49" w:rsidRDefault="003F0D49" w:rsidP="003F0D49">
                          <w:pPr>
                            <w:spacing w:after="0"/>
                            <w:rPr>
                              <w:rFonts w:ascii="Aptos" w:eastAsia="Aptos" w:hAnsi="Aptos" w:cs="Aptos"/>
                              <w:noProof/>
                              <w:color w:val="FF0000"/>
                              <w:sz w:val="28"/>
                              <w:szCs w:val="28"/>
                            </w:rPr>
                          </w:pPr>
                          <w:r w:rsidRPr="003F0D49">
                            <w:rPr>
                              <w:rFonts w:ascii="Aptos" w:eastAsia="Aptos" w:hAnsi="Aptos" w:cs="Aptos"/>
                              <w:noProof/>
                              <w:color w:val="FF0000"/>
                              <w:sz w:val="28"/>
                              <w:szCs w:val="28"/>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0FBA8D" id="_x0000_t202" coordsize="21600,21600" o:spt="202" path="m,l,21600r21600,l21600,xe">
              <v:stroke joinstyle="miter"/>
              <v:path gradientshapeok="t" o:connecttype="rect"/>
            </v:shapetype>
            <v:shape id="Text Box 1" o:spid="_x0000_s1028" type="#_x0000_t202" alt="OFFICIAL: Sensitive//Legal-Privilege" style="position:absolute;margin-left:0;margin-top:0;width:216.2pt;height:33.45pt;z-index:251659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mJoCgIAABYEAAAOAAAAZHJzL2Uyb0RvYy54bWysU8Fu2zAMvQ/YPwi6L3aCZG2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" filled="f" stroked="f">
              <v:fill o:detectmouseclick="t"/>
              <v:textbox style="mso-fit-shape-to-text:t" inset="0,15pt,0,0">
                <w:txbxContent>
                  <w:p w14:paraId="206C7483" w14:textId="7BBE8BF2" w:rsidR="003F0D49" w:rsidRPr="003F0D49" w:rsidRDefault="003F0D49" w:rsidP="003F0D49">
                    <w:pPr>
                      <w:spacing w:after="0"/>
                      <w:rPr>
                        <w:rFonts w:ascii="Aptos" w:eastAsia="Aptos" w:hAnsi="Aptos" w:cs="Aptos"/>
                        <w:noProof/>
                        <w:color w:val="FF0000"/>
                        <w:sz w:val="28"/>
                        <w:szCs w:val="28"/>
                      </w:rPr>
                    </w:pPr>
                    <w:r w:rsidRPr="003F0D49">
                      <w:rPr>
                        <w:rFonts w:ascii="Aptos" w:eastAsia="Aptos" w:hAnsi="Aptos" w:cs="Aptos"/>
                        <w:noProof/>
                        <w:color w:val="FF0000"/>
                        <w:sz w:val="28"/>
                        <w:szCs w:val="28"/>
                      </w:rPr>
                      <w:t>OFFICIAL: Sensitive//Legal-Privilege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83C"/>
    <w:multiLevelType w:val="hybridMultilevel"/>
    <w:tmpl w:val="2B1C1B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FD6C71"/>
    <w:multiLevelType w:val="hybridMultilevel"/>
    <w:tmpl w:val="0AB08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F052FF"/>
    <w:multiLevelType w:val="hybridMultilevel"/>
    <w:tmpl w:val="7F50B7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033031"/>
    <w:multiLevelType w:val="hybridMultilevel"/>
    <w:tmpl w:val="EBAE16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212875"/>
    <w:multiLevelType w:val="hybridMultilevel"/>
    <w:tmpl w:val="B1F0D95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C491D"/>
    <w:multiLevelType w:val="hybridMultilevel"/>
    <w:tmpl w:val="562081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BB5D8B"/>
    <w:multiLevelType w:val="hybridMultilevel"/>
    <w:tmpl w:val="F4948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BDC4D6E"/>
    <w:multiLevelType w:val="hybridMultilevel"/>
    <w:tmpl w:val="7764C3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1D6F52"/>
    <w:multiLevelType w:val="hybridMultilevel"/>
    <w:tmpl w:val="CFF6C6E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7D2A53"/>
    <w:multiLevelType w:val="hybridMultilevel"/>
    <w:tmpl w:val="C9984CB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71676E2"/>
    <w:multiLevelType w:val="hybridMultilevel"/>
    <w:tmpl w:val="405A4A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00398B"/>
    <w:multiLevelType w:val="hybridMultilevel"/>
    <w:tmpl w:val="9586A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2270A5B"/>
    <w:multiLevelType w:val="hybridMultilevel"/>
    <w:tmpl w:val="C81675C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79354A"/>
    <w:multiLevelType w:val="hybridMultilevel"/>
    <w:tmpl w:val="1E06150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3C07CE"/>
    <w:multiLevelType w:val="hybridMultilevel"/>
    <w:tmpl w:val="35EE58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057342F"/>
    <w:multiLevelType w:val="hybridMultilevel"/>
    <w:tmpl w:val="559A4E28"/>
    <w:lvl w:ilvl="0" w:tplc="0C090005">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6F770A9C"/>
    <w:multiLevelType w:val="hybridMultilevel"/>
    <w:tmpl w:val="5EEE37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52978A1"/>
    <w:multiLevelType w:val="hybridMultilevel"/>
    <w:tmpl w:val="02221BC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D01430"/>
    <w:multiLevelType w:val="hybridMultilevel"/>
    <w:tmpl w:val="753AA6E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9434DD"/>
    <w:multiLevelType w:val="multilevel"/>
    <w:tmpl w:val="95B60D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02915273">
    <w:abstractNumId w:val="11"/>
  </w:num>
  <w:num w:numId="2" w16cid:durableId="920992996">
    <w:abstractNumId w:val="15"/>
  </w:num>
  <w:num w:numId="3" w16cid:durableId="625895524">
    <w:abstractNumId w:val="17"/>
  </w:num>
  <w:num w:numId="4" w16cid:durableId="1390304752">
    <w:abstractNumId w:val="7"/>
  </w:num>
  <w:num w:numId="5" w16cid:durableId="1395860058">
    <w:abstractNumId w:val="10"/>
  </w:num>
  <w:num w:numId="6" w16cid:durableId="61492119">
    <w:abstractNumId w:val="14"/>
  </w:num>
  <w:num w:numId="7" w16cid:durableId="600651417">
    <w:abstractNumId w:val="2"/>
  </w:num>
  <w:num w:numId="8" w16cid:durableId="1329750506">
    <w:abstractNumId w:val="5"/>
  </w:num>
  <w:num w:numId="9" w16cid:durableId="870144567">
    <w:abstractNumId w:val="8"/>
  </w:num>
  <w:num w:numId="10" w16cid:durableId="838958644">
    <w:abstractNumId w:val="20"/>
  </w:num>
  <w:num w:numId="11" w16cid:durableId="1526870991">
    <w:abstractNumId w:val="19"/>
  </w:num>
  <w:num w:numId="12" w16cid:durableId="627779556">
    <w:abstractNumId w:val="3"/>
  </w:num>
  <w:num w:numId="13" w16cid:durableId="636449779">
    <w:abstractNumId w:val="18"/>
  </w:num>
  <w:num w:numId="14" w16cid:durableId="465002275">
    <w:abstractNumId w:val="1"/>
  </w:num>
  <w:num w:numId="15" w16cid:durableId="1733849398">
    <w:abstractNumId w:val="13"/>
  </w:num>
  <w:num w:numId="16" w16cid:durableId="1169059125">
    <w:abstractNumId w:val="0"/>
  </w:num>
  <w:num w:numId="17" w16cid:durableId="793864367">
    <w:abstractNumId w:val="6"/>
  </w:num>
  <w:num w:numId="18" w16cid:durableId="2109499752">
    <w:abstractNumId w:val="4"/>
  </w:num>
  <w:num w:numId="19" w16cid:durableId="1483740336">
    <w:abstractNumId w:val="9"/>
  </w:num>
  <w:num w:numId="20" w16cid:durableId="1005210569">
    <w:abstractNumId w:val="12"/>
  </w:num>
  <w:num w:numId="21" w16cid:durableId="205022766">
    <w:abstractNumId w:val="16"/>
  </w:num>
  <w:num w:numId="22" w16cid:durableId="224605373">
    <w:abstractNumId w:val="21"/>
  </w:num>
  <w:num w:numId="23" w16cid:durableId="19952577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4982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54448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55087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73823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65837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56887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47280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46596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79196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87945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54074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31587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43199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76670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52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122484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90064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F82"/>
    <w:rsid w:val="0001129D"/>
    <w:rsid w:val="00012447"/>
    <w:rsid w:val="000154FA"/>
    <w:rsid w:val="00020846"/>
    <w:rsid w:val="00024234"/>
    <w:rsid w:val="00026604"/>
    <w:rsid w:val="00036330"/>
    <w:rsid w:val="00040FDB"/>
    <w:rsid w:val="00052877"/>
    <w:rsid w:val="00062B74"/>
    <w:rsid w:val="00064A72"/>
    <w:rsid w:val="000707F9"/>
    <w:rsid w:val="00074DA7"/>
    <w:rsid w:val="0007742D"/>
    <w:rsid w:val="00081C4E"/>
    <w:rsid w:val="000842A7"/>
    <w:rsid w:val="000849B0"/>
    <w:rsid w:val="00091BA4"/>
    <w:rsid w:val="000A18C1"/>
    <w:rsid w:val="000B7088"/>
    <w:rsid w:val="000C141F"/>
    <w:rsid w:val="000D014F"/>
    <w:rsid w:val="000E6568"/>
    <w:rsid w:val="00100DFC"/>
    <w:rsid w:val="00104FAB"/>
    <w:rsid w:val="00106878"/>
    <w:rsid w:val="00113F0C"/>
    <w:rsid w:val="00117F3E"/>
    <w:rsid w:val="00121501"/>
    <w:rsid w:val="00124441"/>
    <w:rsid w:val="001247AF"/>
    <w:rsid w:val="001357A7"/>
    <w:rsid w:val="00136D5C"/>
    <w:rsid w:val="00151426"/>
    <w:rsid w:val="00166A15"/>
    <w:rsid w:val="00166AD2"/>
    <w:rsid w:val="001710AB"/>
    <w:rsid w:val="00176E46"/>
    <w:rsid w:val="001850B4"/>
    <w:rsid w:val="00187E2D"/>
    <w:rsid w:val="0019164E"/>
    <w:rsid w:val="001A1C39"/>
    <w:rsid w:val="001A4A62"/>
    <w:rsid w:val="001A74D0"/>
    <w:rsid w:val="001A7D6E"/>
    <w:rsid w:val="001B162B"/>
    <w:rsid w:val="001C02E8"/>
    <w:rsid w:val="001C5971"/>
    <w:rsid w:val="001C7E60"/>
    <w:rsid w:val="001F52DC"/>
    <w:rsid w:val="001F5EE0"/>
    <w:rsid w:val="0020081F"/>
    <w:rsid w:val="00200A4B"/>
    <w:rsid w:val="00236BB4"/>
    <w:rsid w:val="002402E0"/>
    <w:rsid w:val="00244FE1"/>
    <w:rsid w:val="00250C9F"/>
    <w:rsid w:val="00270CFD"/>
    <w:rsid w:val="002748B3"/>
    <w:rsid w:val="0028181C"/>
    <w:rsid w:val="00281C17"/>
    <w:rsid w:val="00290F1E"/>
    <w:rsid w:val="00295914"/>
    <w:rsid w:val="0029642E"/>
    <w:rsid w:val="002A281D"/>
    <w:rsid w:val="002A6E3C"/>
    <w:rsid w:val="002B2456"/>
    <w:rsid w:val="002B6035"/>
    <w:rsid w:val="002D167E"/>
    <w:rsid w:val="002D37BE"/>
    <w:rsid w:val="002D6036"/>
    <w:rsid w:val="002E0897"/>
    <w:rsid w:val="002E667C"/>
    <w:rsid w:val="002F54FB"/>
    <w:rsid w:val="003032AF"/>
    <w:rsid w:val="0031568E"/>
    <w:rsid w:val="00326D01"/>
    <w:rsid w:val="00340EB5"/>
    <w:rsid w:val="00344F4A"/>
    <w:rsid w:val="00354A0B"/>
    <w:rsid w:val="0036411A"/>
    <w:rsid w:val="003815E1"/>
    <w:rsid w:val="0038590B"/>
    <w:rsid w:val="003960E6"/>
    <w:rsid w:val="003977BA"/>
    <w:rsid w:val="003B07F1"/>
    <w:rsid w:val="003B1C2B"/>
    <w:rsid w:val="003C1463"/>
    <w:rsid w:val="003C7D0A"/>
    <w:rsid w:val="003C7FB8"/>
    <w:rsid w:val="003E27CE"/>
    <w:rsid w:val="003F0D49"/>
    <w:rsid w:val="003F4C90"/>
    <w:rsid w:val="00400027"/>
    <w:rsid w:val="00402B4C"/>
    <w:rsid w:val="00406028"/>
    <w:rsid w:val="00411FA4"/>
    <w:rsid w:val="00420F63"/>
    <w:rsid w:val="00421861"/>
    <w:rsid w:val="0044048A"/>
    <w:rsid w:val="00457D4A"/>
    <w:rsid w:val="00464080"/>
    <w:rsid w:val="004652FF"/>
    <w:rsid w:val="00476D06"/>
    <w:rsid w:val="00481D22"/>
    <w:rsid w:val="004878A0"/>
    <w:rsid w:val="004A077D"/>
    <w:rsid w:val="004A64CB"/>
    <w:rsid w:val="004B4466"/>
    <w:rsid w:val="004C0033"/>
    <w:rsid w:val="004D1BFF"/>
    <w:rsid w:val="004E0574"/>
    <w:rsid w:val="004E5B73"/>
    <w:rsid w:val="004E6F6C"/>
    <w:rsid w:val="004F2162"/>
    <w:rsid w:val="004F5CE4"/>
    <w:rsid w:val="004F6779"/>
    <w:rsid w:val="00502521"/>
    <w:rsid w:val="00506DDF"/>
    <w:rsid w:val="00513BB1"/>
    <w:rsid w:val="00546FD6"/>
    <w:rsid w:val="00554ECC"/>
    <w:rsid w:val="00560B24"/>
    <w:rsid w:val="00562CCF"/>
    <w:rsid w:val="005663E2"/>
    <w:rsid w:val="0057002B"/>
    <w:rsid w:val="00581C42"/>
    <w:rsid w:val="005902B9"/>
    <w:rsid w:val="005A3733"/>
    <w:rsid w:val="005A7A9E"/>
    <w:rsid w:val="005B02DC"/>
    <w:rsid w:val="005B5177"/>
    <w:rsid w:val="005C0D5B"/>
    <w:rsid w:val="005D2EB5"/>
    <w:rsid w:val="005F4F53"/>
    <w:rsid w:val="00603D99"/>
    <w:rsid w:val="00604E06"/>
    <w:rsid w:val="0061284F"/>
    <w:rsid w:val="00617C8E"/>
    <w:rsid w:val="006253A8"/>
    <w:rsid w:val="00630D09"/>
    <w:rsid w:val="006310CF"/>
    <w:rsid w:val="00647CED"/>
    <w:rsid w:val="006614B6"/>
    <w:rsid w:val="00677459"/>
    <w:rsid w:val="00680380"/>
    <w:rsid w:val="00696B9E"/>
    <w:rsid w:val="006B7F71"/>
    <w:rsid w:val="006C11E8"/>
    <w:rsid w:val="006C30A4"/>
    <w:rsid w:val="006D0DDB"/>
    <w:rsid w:val="006D7860"/>
    <w:rsid w:val="006E041E"/>
    <w:rsid w:val="006E5448"/>
    <w:rsid w:val="006F1E5E"/>
    <w:rsid w:val="006F3B01"/>
    <w:rsid w:val="00701888"/>
    <w:rsid w:val="00705EA7"/>
    <w:rsid w:val="00712189"/>
    <w:rsid w:val="007222E2"/>
    <w:rsid w:val="00726E13"/>
    <w:rsid w:val="00731D88"/>
    <w:rsid w:val="00742BF8"/>
    <w:rsid w:val="007542C1"/>
    <w:rsid w:val="0077752B"/>
    <w:rsid w:val="0077765E"/>
    <w:rsid w:val="00793B18"/>
    <w:rsid w:val="00797751"/>
    <w:rsid w:val="007A2BBF"/>
    <w:rsid w:val="007A443B"/>
    <w:rsid w:val="007B0171"/>
    <w:rsid w:val="007B7207"/>
    <w:rsid w:val="007D05FF"/>
    <w:rsid w:val="007D43E3"/>
    <w:rsid w:val="007D6908"/>
    <w:rsid w:val="007E4691"/>
    <w:rsid w:val="0080023E"/>
    <w:rsid w:val="008035B1"/>
    <w:rsid w:val="00850064"/>
    <w:rsid w:val="00870753"/>
    <w:rsid w:val="00882500"/>
    <w:rsid w:val="0088382A"/>
    <w:rsid w:val="00883AA3"/>
    <w:rsid w:val="0088407D"/>
    <w:rsid w:val="00895294"/>
    <w:rsid w:val="008B24C8"/>
    <w:rsid w:val="008C0B1B"/>
    <w:rsid w:val="008D076F"/>
    <w:rsid w:val="008E0E72"/>
    <w:rsid w:val="008E758E"/>
    <w:rsid w:val="00900B0F"/>
    <w:rsid w:val="009024A3"/>
    <w:rsid w:val="00912025"/>
    <w:rsid w:val="00915032"/>
    <w:rsid w:val="00922D18"/>
    <w:rsid w:val="00922EB1"/>
    <w:rsid w:val="00956B02"/>
    <w:rsid w:val="0096306C"/>
    <w:rsid w:val="00970816"/>
    <w:rsid w:val="009751F9"/>
    <w:rsid w:val="00994DD1"/>
    <w:rsid w:val="009951A2"/>
    <w:rsid w:val="00997DB2"/>
    <w:rsid w:val="009B4B9C"/>
    <w:rsid w:val="009D03E6"/>
    <w:rsid w:val="009D3C72"/>
    <w:rsid w:val="009D4B1C"/>
    <w:rsid w:val="009E1D20"/>
    <w:rsid w:val="009E5878"/>
    <w:rsid w:val="009E5888"/>
    <w:rsid w:val="009F3C13"/>
    <w:rsid w:val="00A06F51"/>
    <w:rsid w:val="00A1446A"/>
    <w:rsid w:val="00A27853"/>
    <w:rsid w:val="00A31532"/>
    <w:rsid w:val="00A31886"/>
    <w:rsid w:val="00A33AF2"/>
    <w:rsid w:val="00A44AAC"/>
    <w:rsid w:val="00A65FC3"/>
    <w:rsid w:val="00A75329"/>
    <w:rsid w:val="00A7588E"/>
    <w:rsid w:val="00A759D6"/>
    <w:rsid w:val="00A95601"/>
    <w:rsid w:val="00A95725"/>
    <w:rsid w:val="00AA4557"/>
    <w:rsid w:val="00AA4F77"/>
    <w:rsid w:val="00AB2BF4"/>
    <w:rsid w:val="00AC2953"/>
    <w:rsid w:val="00AC5A06"/>
    <w:rsid w:val="00AC63F3"/>
    <w:rsid w:val="00AD11B3"/>
    <w:rsid w:val="00AD340F"/>
    <w:rsid w:val="00AE3AE2"/>
    <w:rsid w:val="00B03EB9"/>
    <w:rsid w:val="00B05C73"/>
    <w:rsid w:val="00B05D60"/>
    <w:rsid w:val="00B14C91"/>
    <w:rsid w:val="00B15A0E"/>
    <w:rsid w:val="00B23999"/>
    <w:rsid w:val="00B2647C"/>
    <w:rsid w:val="00B26D8C"/>
    <w:rsid w:val="00B27C81"/>
    <w:rsid w:val="00B31F99"/>
    <w:rsid w:val="00B419F6"/>
    <w:rsid w:val="00B445D9"/>
    <w:rsid w:val="00B47B80"/>
    <w:rsid w:val="00B53748"/>
    <w:rsid w:val="00B5757F"/>
    <w:rsid w:val="00B65A06"/>
    <w:rsid w:val="00B733ED"/>
    <w:rsid w:val="00B75478"/>
    <w:rsid w:val="00B7796F"/>
    <w:rsid w:val="00B8799D"/>
    <w:rsid w:val="00BA2239"/>
    <w:rsid w:val="00BA5973"/>
    <w:rsid w:val="00BB0CF2"/>
    <w:rsid w:val="00BB1DA7"/>
    <w:rsid w:val="00BC655C"/>
    <w:rsid w:val="00BD1A5D"/>
    <w:rsid w:val="00BD598E"/>
    <w:rsid w:val="00BE20E5"/>
    <w:rsid w:val="00BE27AD"/>
    <w:rsid w:val="00BE3E7F"/>
    <w:rsid w:val="00BF1060"/>
    <w:rsid w:val="00BF18B3"/>
    <w:rsid w:val="00BF277B"/>
    <w:rsid w:val="00BF2C41"/>
    <w:rsid w:val="00C03AF4"/>
    <w:rsid w:val="00C1413F"/>
    <w:rsid w:val="00C14612"/>
    <w:rsid w:val="00C24654"/>
    <w:rsid w:val="00C248BE"/>
    <w:rsid w:val="00C2724E"/>
    <w:rsid w:val="00C3566F"/>
    <w:rsid w:val="00C56A3B"/>
    <w:rsid w:val="00C75730"/>
    <w:rsid w:val="00C81A5E"/>
    <w:rsid w:val="00C82C48"/>
    <w:rsid w:val="00C862EB"/>
    <w:rsid w:val="00C87B32"/>
    <w:rsid w:val="00C90D12"/>
    <w:rsid w:val="00C930F2"/>
    <w:rsid w:val="00C97FBA"/>
    <w:rsid w:val="00CA0C90"/>
    <w:rsid w:val="00CC4091"/>
    <w:rsid w:val="00CD7368"/>
    <w:rsid w:val="00CE12A8"/>
    <w:rsid w:val="00CE1D04"/>
    <w:rsid w:val="00CE1FDE"/>
    <w:rsid w:val="00CE23C3"/>
    <w:rsid w:val="00CE39C8"/>
    <w:rsid w:val="00CE64FB"/>
    <w:rsid w:val="00CF1171"/>
    <w:rsid w:val="00CF56F9"/>
    <w:rsid w:val="00D029A9"/>
    <w:rsid w:val="00D0650C"/>
    <w:rsid w:val="00D14997"/>
    <w:rsid w:val="00D23E23"/>
    <w:rsid w:val="00D33534"/>
    <w:rsid w:val="00D40E1E"/>
    <w:rsid w:val="00D47794"/>
    <w:rsid w:val="00D623A9"/>
    <w:rsid w:val="00D67BD0"/>
    <w:rsid w:val="00D813F6"/>
    <w:rsid w:val="00D91334"/>
    <w:rsid w:val="00DA512E"/>
    <w:rsid w:val="00DA783F"/>
    <w:rsid w:val="00DB0E3A"/>
    <w:rsid w:val="00DB40AB"/>
    <w:rsid w:val="00DD4494"/>
    <w:rsid w:val="00DD4A60"/>
    <w:rsid w:val="00DE6211"/>
    <w:rsid w:val="00E00F42"/>
    <w:rsid w:val="00E03DCC"/>
    <w:rsid w:val="00E05A8B"/>
    <w:rsid w:val="00E16FA1"/>
    <w:rsid w:val="00E172C2"/>
    <w:rsid w:val="00E237A5"/>
    <w:rsid w:val="00E353EE"/>
    <w:rsid w:val="00E43492"/>
    <w:rsid w:val="00E45FE2"/>
    <w:rsid w:val="00E54F48"/>
    <w:rsid w:val="00E57AA9"/>
    <w:rsid w:val="00E77CD7"/>
    <w:rsid w:val="00E81178"/>
    <w:rsid w:val="00E83B62"/>
    <w:rsid w:val="00E84C7D"/>
    <w:rsid w:val="00E86EC9"/>
    <w:rsid w:val="00E90E18"/>
    <w:rsid w:val="00E91943"/>
    <w:rsid w:val="00E94401"/>
    <w:rsid w:val="00E95B9F"/>
    <w:rsid w:val="00EA12C9"/>
    <w:rsid w:val="00EA23C4"/>
    <w:rsid w:val="00EA35BB"/>
    <w:rsid w:val="00EA43C4"/>
    <w:rsid w:val="00EA605D"/>
    <w:rsid w:val="00EB5019"/>
    <w:rsid w:val="00EC1BC8"/>
    <w:rsid w:val="00EC5AD2"/>
    <w:rsid w:val="00EC68E5"/>
    <w:rsid w:val="00EF6BA7"/>
    <w:rsid w:val="00F20B2D"/>
    <w:rsid w:val="00F20C97"/>
    <w:rsid w:val="00F53F82"/>
    <w:rsid w:val="00F5647C"/>
    <w:rsid w:val="00F6242C"/>
    <w:rsid w:val="00F63207"/>
    <w:rsid w:val="00F75A34"/>
    <w:rsid w:val="00F812C7"/>
    <w:rsid w:val="00F81316"/>
    <w:rsid w:val="00F81F9B"/>
    <w:rsid w:val="00F81FA9"/>
    <w:rsid w:val="00F8263B"/>
    <w:rsid w:val="00F830DE"/>
    <w:rsid w:val="00F916DC"/>
    <w:rsid w:val="00F92580"/>
    <w:rsid w:val="00F96565"/>
    <w:rsid w:val="00FA2B7F"/>
    <w:rsid w:val="00FA4C66"/>
    <w:rsid w:val="00FB3C89"/>
    <w:rsid w:val="00FB5BC4"/>
    <w:rsid w:val="00FC329F"/>
    <w:rsid w:val="00FD379E"/>
    <w:rsid w:val="00FE0FEE"/>
    <w:rsid w:val="00FE2D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E9E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F6242C"/>
    <w:rPr>
      <w:sz w:val="16"/>
      <w:szCs w:val="16"/>
    </w:rPr>
  </w:style>
  <w:style w:type="paragraph" w:styleId="CommentText">
    <w:name w:val="annotation text"/>
    <w:basedOn w:val="Normal"/>
    <w:link w:val="CommentTextChar"/>
    <w:uiPriority w:val="99"/>
    <w:unhideWhenUsed/>
    <w:rsid w:val="00F6242C"/>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6242C"/>
    <w:rPr>
      <w:rFonts w:ascii="Times New Roman" w:hAnsi="Times New Roman"/>
      <w:sz w:val="20"/>
      <w:szCs w:val="20"/>
    </w:rPr>
  </w:style>
  <w:style w:type="character" w:styleId="Hyperlink">
    <w:name w:val="Hyperlink"/>
    <w:basedOn w:val="DefaultParagraphFont"/>
    <w:uiPriority w:val="99"/>
    <w:unhideWhenUsed/>
    <w:rsid w:val="00F6242C"/>
    <w:rPr>
      <w:color w:val="0563C1" w:themeColor="hyperlink"/>
      <w:u w:val="single"/>
    </w:rPr>
  </w:style>
  <w:style w:type="paragraph" w:styleId="BalloonText">
    <w:name w:val="Balloon Text"/>
    <w:basedOn w:val="Normal"/>
    <w:link w:val="BalloonTextChar"/>
    <w:uiPriority w:val="99"/>
    <w:semiHidden/>
    <w:unhideWhenUsed/>
    <w:rsid w:val="00F624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42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26604"/>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026604"/>
    <w:rPr>
      <w:rFonts w:ascii="Times New Roman" w:hAnsi="Times New Roman"/>
      <w:b/>
      <w:bCs/>
      <w:sz w:val="20"/>
      <w:szCs w:val="20"/>
    </w:rPr>
  </w:style>
  <w:style w:type="paragraph" w:customStyle="1" w:styleId="Definition">
    <w:name w:val="Definition"/>
    <w:aliases w:val="dd"/>
    <w:basedOn w:val="Normal"/>
    <w:rsid w:val="006614B6"/>
    <w:pPr>
      <w:spacing w:before="180" w:after="0" w:line="240" w:lineRule="auto"/>
      <w:ind w:left="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6614B6"/>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6614B6"/>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EA4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3C4"/>
  </w:style>
  <w:style w:type="paragraph" w:styleId="Footer">
    <w:name w:val="footer"/>
    <w:basedOn w:val="Normal"/>
    <w:link w:val="FooterChar"/>
    <w:uiPriority w:val="99"/>
    <w:unhideWhenUsed/>
    <w:rsid w:val="00EA4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3C4"/>
  </w:style>
  <w:style w:type="paragraph" w:styleId="Revision">
    <w:name w:val="Revision"/>
    <w:hidden/>
    <w:uiPriority w:val="99"/>
    <w:semiHidden/>
    <w:rsid w:val="00562CCF"/>
    <w:pPr>
      <w:spacing w:after="0" w:line="240" w:lineRule="auto"/>
    </w:pPr>
  </w:style>
  <w:style w:type="character" w:customStyle="1" w:styleId="Heading1Char">
    <w:name w:val="Heading 1 Char"/>
    <w:basedOn w:val="DefaultParagraphFont"/>
    <w:link w:val="Heading1"/>
    <w:uiPriority w:val="9"/>
    <w:rsid w:val="00A2785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8771">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653949446">
      <w:bodyDiv w:val="1"/>
      <w:marLeft w:val="0"/>
      <w:marRight w:val="0"/>
      <w:marTop w:val="0"/>
      <w:marBottom w:val="0"/>
      <w:divBdr>
        <w:top w:val="none" w:sz="0" w:space="0" w:color="auto"/>
        <w:left w:val="none" w:sz="0" w:space="0" w:color="auto"/>
        <w:bottom w:val="none" w:sz="0" w:space="0" w:color="auto"/>
        <w:right w:val="none" w:sz="0" w:space="0" w:color="auto"/>
      </w:divBdr>
    </w:div>
    <w:div w:id="206590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AA9C-0294-4F51-8676-74A67340E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1965</Words>
  <Characters>10388</Characters>
  <Application>Microsoft Office Word</Application>
  <DocSecurity>0</DocSecurity>
  <Lines>167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2025-11-26T00:39:00Z</dcterms:created>
  <dcterms:modified xsi:type="dcterms:W3CDTF">2025-11-26T00:50:00Z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5132293b,180e554c,47442854</vt:lpwstr>
  </property>
  <property fmtid="{D5CDD505-2E9C-101B-9397-08002B2CF9AE}" pid="3" name="ClassificationContentMarkingHeaderFontProps">
    <vt:lpwstr>#ff0000,14,Aptos</vt:lpwstr>
  </property>
  <property fmtid="{D5CDD505-2E9C-101B-9397-08002B2CF9AE}" pid="4" name="ClassificationContentMarkingHeaderText">
    <vt:lpwstr>OFFICIAL: Sensitive//Legal-Privilege</vt:lpwstr>
  </property>
  <property fmtid="{D5CDD505-2E9C-101B-9397-08002B2CF9AE}" pid="5" name="ClassificationContentMarkingFooterShapeIds">
    <vt:lpwstr>62e86c66,67aeae24,1e602fb3</vt:lpwstr>
  </property>
  <property fmtid="{D5CDD505-2E9C-101B-9397-08002B2CF9AE}" pid="6" name="ClassificationContentMarkingFooterFontProps">
    <vt:lpwstr>#ff0000,14,Aptos</vt:lpwstr>
  </property>
  <property fmtid="{D5CDD505-2E9C-101B-9397-08002B2CF9AE}" pid="7" name="ClassificationContentMarkingFooterText">
    <vt:lpwstr>OFFICIAL: Sensitive//Legal-Privilege</vt:lpwstr>
  </property>
  <property fmtid="{D5CDD505-2E9C-101B-9397-08002B2CF9AE}" pid="8" name="MSIP_Label_4e0d45ce-eb67-402b-a8fa-c20ad1814926_Enabled">
    <vt:lpwstr>true</vt:lpwstr>
  </property>
  <property fmtid="{D5CDD505-2E9C-101B-9397-08002B2CF9AE}" pid="9" name="MSIP_Label_4e0d45ce-eb67-402b-a8fa-c20ad1814926_SetDate">
    <vt:lpwstr>2025-11-26T00:39:59Z</vt:lpwstr>
  </property>
  <property fmtid="{D5CDD505-2E9C-101B-9397-08002B2CF9AE}" pid="10" name="MSIP_Label_4e0d45ce-eb67-402b-a8fa-c20ad1814926_Method">
    <vt:lpwstr>Privileged</vt:lpwstr>
  </property>
  <property fmtid="{D5CDD505-2E9C-101B-9397-08002B2CF9AE}" pid="11" name="MSIP_Label_4e0d45ce-eb67-402b-a8fa-c20ad1814926_Name">
    <vt:lpwstr>OS LP</vt:lpwstr>
  </property>
  <property fmtid="{D5CDD505-2E9C-101B-9397-08002B2CF9AE}" pid="12" name="MSIP_Label_4e0d45ce-eb67-402b-a8fa-c20ad1814926_SiteId">
    <vt:lpwstr>6872c766-c4c7-42a9-a973-8671fad5e15a</vt:lpwstr>
  </property>
  <property fmtid="{D5CDD505-2E9C-101B-9397-08002B2CF9AE}" pid="13" name="MSIP_Label_4e0d45ce-eb67-402b-a8fa-c20ad1814926_ActionId">
    <vt:lpwstr>7687ff6c-c97d-4bfe-b6ed-d4486283dad5</vt:lpwstr>
  </property>
  <property fmtid="{D5CDD505-2E9C-101B-9397-08002B2CF9AE}" pid="14" name="MSIP_Label_4e0d45ce-eb67-402b-a8fa-c20ad1814926_ContentBits">
    <vt:lpwstr>3</vt:lpwstr>
  </property>
  <property fmtid="{D5CDD505-2E9C-101B-9397-08002B2CF9AE}" pid="15" name="MSIP_Label_4e0d45ce-eb67-402b-a8fa-c20ad1814926_Tag">
    <vt:lpwstr>10, 0, 1, 1</vt:lpwstr>
  </property>
</Properties>
</file>