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052F" w14:textId="77777777" w:rsidR="008037E2" w:rsidRDefault="008037E2" w:rsidP="005D3AD1">
      <w:pPr>
        <w:spacing w:after="0" w:line="264" w:lineRule="auto"/>
        <w:jc w:val="center"/>
        <w:rPr>
          <w:rFonts w:ascii="Times New Roman" w:hAnsi="Times New Roman"/>
          <w:b/>
          <w:sz w:val="24"/>
          <w:szCs w:val="24"/>
          <w:u w:val="single"/>
        </w:rPr>
      </w:pPr>
      <w:r>
        <w:rPr>
          <w:rFonts w:ascii="Times New Roman" w:hAnsi="Times New Roman"/>
          <w:b/>
          <w:sz w:val="24"/>
          <w:szCs w:val="24"/>
          <w:u w:val="single"/>
        </w:rPr>
        <w:t>EXPLANATORY STATEMENT</w:t>
      </w:r>
    </w:p>
    <w:p w14:paraId="7F070F0A" w14:textId="77777777" w:rsidR="005D3AD1" w:rsidRPr="00A84F5A" w:rsidRDefault="005D3AD1" w:rsidP="005D3AD1">
      <w:pPr>
        <w:spacing w:after="0" w:line="264" w:lineRule="auto"/>
        <w:jc w:val="center"/>
        <w:rPr>
          <w:rFonts w:ascii="Times New Roman" w:hAnsi="Times New Roman"/>
          <w:b/>
          <w:sz w:val="24"/>
          <w:szCs w:val="24"/>
        </w:rPr>
      </w:pPr>
    </w:p>
    <w:p w14:paraId="41AC8EBA" w14:textId="679E8113" w:rsidR="008037E2" w:rsidRDefault="008037E2" w:rsidP="005D3AD1">
      <w:pPr>
        <w:spacing w:after="0" w:line="264" w:lineRule="auto"/>
        <w:jc w:val="center"/>
        <w:rPr>
          <w:rFonts w:ascii="Times New Roman" w:hAnsi="Times New Roman"/>
          <w:sz w:val="24"/>
          <w:szCs w:val="24"/>
          <w:u w:val="single"/>
        </w:rPr>
      </w:pPr>
      <w:r>
        <w:rPr>
          <w:rFonts w:ascii="Times New Roman" w:hAnsi="Times New Roman"/>
          <w:sz w:val="24"/>
          <w:szCs w:val="24"/>
          <w:u w:val="single"/>
        </w:rPr>
        <w:t>Issued by the authority of the Greenhouse and Energy Minimum Standards Regulator</w:t>
      </w:r>
    </w:p>
    <w:p w14:paraId="495DD699" w14:textId="77777777" w:rsidR="005D3AD1" w:rsidRPr="00A84F5A" w:rsidRDefault="005D3AD1" w:rsidP="005D3AD1">
      <w:pPr>
        <w:spacing w:after="0" w:line="264" w:lineRule="auto"/>
        <w:jc w:val="center"/>
        <w:rPr>
          <w:rFonts w:ascii="Times New Roman" w:hAnsi="Times New Roman"/>
          <w:sz w:val="24"/>
          <w:szCs w:val="24"/>
        </w:rPr>
      </w:pPr>
    </w:p>
    <w:p w14:paraId="13EC4752" w14:textId="101ACBAF" w:rsidR="008037E2" w:rsidRDefault="008037E2" w:rsidP="005D3AD1">
      <w:pPr>
        <w:pStyle w:val="NormalWeb"/>
        <w:spacing w:before="0" w:beforeAutospacing="0" w:after="0" w:afterAutospacing="0" w:line="264" w:lineRule="auto"/>
        <w:jc w:val="center"/>
        <w:rPr>
          <w:i/>
        </w:rPr>
      </w:pPr>
      <w:r>
        <w:rPr>
          <w:i/>
        </w:rPr>
        <w:t>Greenhouse and Energy Minimum Standards Act 2012</w:t>
      </w:r>
    </w:p>
    <w:p w14:paraId="5B1AC44F" w14:textId="77777777" w:rsidR="005D3AD1" w:rsidRPr="00383C7E" w:rsidRDefault="005D3AD1" w:rsidP="005D3AD1">
      <w:pPr>
        <w:pStyle w:val="NormalWeb"/>
        <w:spacing w:before="0" w:beforeAutospacing="0" w:after="0" w:afterAutospacing="0" w:line="264" w:lineRule="auto"/>
        <w:jc w:val="center"/>
        <w:rPr>
          <w:i/>
        </w:rPr>
      </w:pPr>
    </w:p>
    <w:p w14:paraId="6A78CEC8" w14:textId="024CD778" w:rsidR="008037E2" w:rsidRDefault="008037E2" w:rsidP="005D3AD1">
      <w:pPr>
        <w:pStyle w:val="NormalWeb"/>
        <w:spacing w:before="0" w:beforeAutospacing="0" w:after="0" w:afterAutospacing="0" w:line="264" w:lineRule="auto"/>
        <w:jc w:val="center"/>
        <w:rPr>
          <w:i/>
          <w:iCs/>
        </w:rPr>
      </w:pPr>
      <w:r w:rsidRPr="3F9769F9">
        <w:rPr>
          <w:i/>
          <w:iCs/>
        </w:rPr>
        <w:t xml:space="preserve">Greenhouse and Energy Minimum Standards (Exemption) </w:t>
      </w:r>
      <w:r w:rsidRPr="00ED2558">
        <w:rPr>
          <w:i/>
          <w:iCs/>
        </w:rPr>
        <w:t>Instrument (</w:t>
      </w:r>
      <w:r w:rsidRPr="009E728B">
        <w:rPr>
          <w:i/>
        </w:rPr>
        <w:t>No.</w:t>
      </w:r>
      <w:r w:rsidR="00B2137F" w:rsidRPr="009E728B">
        <w:rPr>
          <w:i/>
        </w:rPr>
        <w:t xml:space="preserve"> </w:t>
      </w:r>
      <w:r w:rsidR="00BA0FA3" w:rsidRPr="009E728B">
        <w:rPr>
          <w:i/>
        </w:rPr>
        <w:t>3</w:t>
      </w:r>
      <w:r w:rsidRPr="00ED2558">
        <w:rPr>
          <w:i/>
          <w:iCs/>
        </w:rPr>
        <w:t>)</w:t>
      </w:r>
      <w:r w:rsidRPr="3F9769F9">
        <w:rPr>
          <w:i/>
          <w:iCs/>
        </w:rPr>
        <w:t xml:space="preserve"> 20</w:t>
      </w:r>
      <w:r w:rsidR="00B2137F">
        <w:rPr>
          <w:i/>
          <w:iCs/>
        </w:rPr>
        <w:t>25</w:t>
      </w:r>
    </w:p>
    <w:p w14:paraId="7BFF66F3" w14:textId="77777777" w:rsidR="005D3AD1" w:rsidRPr="00383C7E" w:rsidRDefault="005D3AD1" w:rsidP="005D3AD1">
      <w:pPr>
        <w:pStyle w:val="NormalWeb"/>
        <w:spacing w:before="0" w:beforeAutospacing="0" w:after="0" w:afterAutospacing="0" w:line="264" w:lineRule="auto"/>
        <w:jc w:val="center"/>
        <w:rPr>
          <w:i/>
          <w:iCs/>
        </w:rPr>
      </w:pPr>
    </w:p>
    <w:p w14:paraId="634ED7D4" w14:textId="3FD80EE0" w:rsidR="005D3AD1" w:rsidRDefault="005D3AD1" w:rsidP="3729ED63">
      <w:pPr>
        <w:spacing w:after="0" w:line="264" w:lineRule="auto"/>
        <w:rPr>
          <w:rFonts w:ascii="Times New Roman" w:hAnsi="Times New Roman"/>
          <w:b/>
          <w:bCs/>
          <w:sz w:val="24"/>
          <w:szCs w:val="24"/>
          <w:u w:val="single"/>
        </w:rPr>
      </w:pPr>
      <w:r w:rsidRPr="3729ED63">
        <w:rPr>
          <w:rFonts w:ascii="Times New Roman" w:hAnsi="Times New Roman"/>
          <w:b/>
          <w:bCs/>
          <w:sz w:val="24"/>
          <w:szCs w:val="24"/>
          <w:u w:val="single"/>
        </w:rPr>
        <w:t>Legislative Authority</w:t>
      </w:r>
    </w:p>
    <w:p w14:paraId="3605B19C" w14:textId="77777777" w:rsidR="005D3AD1" w:rsidRPr="00A84F5A" w:rsidRDefault="005D3AD1" w:rsidP="3729ED63">
      <w:pPr>
        <w:spacing w:after="0" w:line="264" w:lineRule="auto"/>
        <w:rPr>
          <w:rFonts w:ascii="Times New Roman" w:hAnsi="Times New Roman"/>
          <w:b/>
          <w:bCs/>
          <w:sz w:val="24"/>
          <w:szCs w:val="24"/>
        </w:rPr>
      </w:pPr>
    </w:p>
    <w:p w14:paraId="62BABD13" w14:textId="00DA4EF5" w:rsidR="005D3AD1" w:rsidRPr="00BB58CB" w:rsidRDefault="00AC7934" w:rsidP="59CE95B8">
      <w:pPr>
        <w:pStyle w:val="NormalWeb"/>
        <w:spacing w:before="0" w:beforeAutospacing="0" w:after="0" w:afterAutospacing="0" w:line="264" w:lineRule="auto"/>
      </w:pPr>
      <w:r>
        <w:t>Subsection 37(1) of the</w:t>
      </w:r>
      <w:r w:rsidRPr="59CE95B8">
        <w:rPr>
          <w:i/>
          <w:iCs/>
        </w:rPr>
        <w:t xml:space="preserve"> Greenhouse and Energy Minimum Standards Act 2012</w:t>
      </w:r>
      <w:r>
        <w:t xml:space="preserve"> (</w:t>
      </w:r>
      <w:r w:rsidRPr="59CE95B8">
        <w:rPr>
          <w:b/>
          <w:bCs/>
        </w:rPr>
        <w:t>Act</w:t>
      </w:r>
      <w:r>
        <w:t xml:space="preserve">) provides that the GEMS Regulator may, by legislative instrument, in accordance with regulations made for the purposes of subsection 37(1), exempt a specified model of a GEMS product from one or more requirements of a GEMS determination in relation to all or specified supplies or uses of products of that model. </w:t>
      </w:r>
      <w:r w:rsidR="005D3AD1">
        <w:t>The GEMS Regulator may specify conditions to which the exemption is subject</w:t>
      </w:r>
      <w:r w:rsidR="0027611C">
        <w:t xml:space="preserve"> per subsection 37(2) of the Act</w:t>
      </w:r>
      <w:r w:rsidR="005D3AD1">
        <w:t xml:space="preserve">. </w:t>
      </w:r>
    </w:p>
    <w:p w14:paraId="30F472AC" w14:textId="77777777" w:rsidR="005D3AD1" w:rsidRDefault="005D3AD1" w:rsidP="3729ED63">
      <w:pPr>
        <w:pStyle w:val="NormalWeb"/>
        <w:spacing w:before="0" w:beforeAutospacing="0" w:after="0" w:afterAutospacing="0" w:line="264" w:lineRule="auto"/>
      </w:pPr>
    </w:p>
    <w:p w14:paraId="2CDFF220" w14:textId="2F97BB58" w:rsidR="005D3AD1" w:rsidRDefault="005D3AD1" w:rsidP="3729ED63">
      <w:pPr>
        <w:pStyle w:val="NormalWeb"/>
        <w:spacing w:before="0" w:beforeAutospacing="0" w:after="0" w:afterAutospacing="0" w:line="264" w:lineRule="auto"/>
      </w:pPr>
      <w:r>
        <w:t xml:space="preserve">Division 4.1 of the </w:t>
      </w:r>
      <w:r w:rsidR="0096259C" w:rsidRPr="3729ED63">
        <w:rPr>
          <w:i/>
          <w:iCs/>
        </w:rPr>
        <w:t>Greenhouse and Energy Minimum Standards Regulation 2012</w:t>
      </w:r>
      <w:r w:rsidR="0096259C">
        <w:t xml:space="preserve"> (</w:t>
      </w:r>
      <w:r w:rsidRPr="001D4905">
        <w:rPr>
          <w:b/>
          <w:bCs/>
        </w:rPr>
        <w:t>Regulation</w:t>
      </w:r>
      <w:r w:rsidR="0096259C">
        <w:t>)</w:t>
      </w:r>
      <w:r>
        <w:t xml:space="preserve"> sets out the circumstances in which the GEMS Regulator may exempt a model of a GEMS product from the requirements of a GEMS determination.</w:t>
      </w:r>
    </w:p>
    <w:p w14:paraId="3CB9E47B" w14:textId="77777777" w:rsidR="005D3AD1" w:rsidRDefault="005D3AD1" w:rsidP="3729ED63">
      <w:pPr>
        <w:pStyle w:val="NormalWeb"/>
        <w:spacing w:before="0" w:beforeAutospacing="0" w:after="0" w:afterAutospacing="0" w:line="264" w:lineRule="auto"/>
      </w:pPr>
    </w:p>
    <w:p w14:paraId="49242AF8" w14:textId="129E8FBC" w:rsidR="000E040F" w:rsidRDefault="000E040F" w:rsidP="3729ED63">
      <w:pPr>
        <w:pStyle w:val="NormalWeb"/>
        <w:spacing w:before="0" w:beforeAutospacing="0" w:after="0" w:afterAutospacing="0" w:line="264" w:lineRule="auto"/>
      </w:pPr>
      <w:r>
        <w:t xml:space="preserve">Subsection 33(3) of the </w:t>
      </w:r>
      <w:r w:rsidRPr="3729ED63">
        <w:rPr>
          <w:i/>
          <w:iCs/>
        </w:rPr>
        <w:t>Acts Interpretation Act 1901</w:t>
      </w:r>
      <w: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595EFFF9" w14:textId="77777777" w:rsidR="000E040F" w:rsidRDefault="000E040F" w:rsidP="3729ED63">
      <w:pPr>
        <w:pStyle w:val="NormalWeb"/>
        <w:spacing w:before="0" w:beforeAutospacing="0" w:after="0" w:afterAutospacing="0" w:line="264" w:lineRule="auto"/>
      </w:pPr>
    </w:p>
    <w:p w14:paraId="37A1BF20" w14:textId="5CAA0AD0" w:rsidR="008037E2" w:rsidRDefault="008037E2" w:rsidP="3729ED63">
      <w:pPr>
        <w:spacing w:after="0" w:line="264" w:lineRule="auto"/>
        <w:rPr>
          <w:rFonts w:ascii="Times New Roman" w:hAnsi="Times New Roman"/>
          <w:b/>
          <w:bCs/>
          <w:sz w:val="24"/>
          <w:szCs w:val="24"/>
          <w:u w:val="single"/>
        </w:rPr>
      </w:pPr>
      <w:r w:rsidRPr="3729ED63">
        <w:rPr>
          <w:rFonts w:ascii="Times New Roman" w:hAnsi="Times New Roman"/>
          <w:b/>
          <w:bCs/>
          <w:sz w:val="24"/>
          <w:szCs w:val="24"/>
          <w:u w:val="single"/>
        </w:rPr>
        <w:t xml:space="preserve">Purpose </w:t>
      </w:r>
    </w:p>
    <w:p w14:paraId="3A8C459C" w14:textId="5EBA04E8" w:rsidR="1A70DE63" w:rsidRPr="00A84F5A" w:rsidRDefault="1A70DE63" w:rsidP="3729ED63">
      <w:pPr>
        <w:pStyle w:val="NormalWeb"/>
        <w:spacing w:before="0" w:beforeAutospacing="0" w:after="0" w:afterAutospacing="0" w:line="264" w:lineRule="auto"/>
        <w:rPr>
          <w:b/>
          <w:bCs/>
        </w:rPr>
      </w:pPr>
    </w:p>
    <w:p w14:paraId="54F1DAC6" w14:textId="7F2EB142" w:rsidR="5358A03D" w:rsidRPr="00A84F5A" w:rsidRDefault="008037E2" w:rsidP="59CE95B8">
      <w:pPr>
        <w:pStyle w:val="NormalWeb"/>
        <w:spacing w:before="0" w:beforeAutospacing="0" w:after="0" w:afterAutospacing="0" w:line="264" w:lineRule="auto"/>
        <w:rPr>
          <w:rStyle w:val="normaltextrun"/>
        </w:rPr>
      </w:pPr>
      <w:r w:rsidRPr="00ED2558">
        <w:t xml:space="preserve">The purpose of the </w:t>
      </w:r>
      <w:r w:rsidRPr="59CE95B8">
        <w:rPr>
          <w:i/>
          <w:iCs/>
        </w:rPr>
        <w:t>Greenhouse and Energy Minimum Standards (Exemption) Instrument (No.</w:t>
      </w:r>
      <w:r w:rsidR="00B2137F" w:rsidRPr="59CE95B8">
        <w:rPr>
          <w:i/>
          <w:iCs/>
        </w:rPr>
        <w:t xml:space="preserve"> </w:t>
      </w:r>
      <w:r w:rsidR="00BA0FA3" w:rsidRPr="59CE95B8">
        <w:rPr>
          <w:i/>
          <w:iCs/>
        </w:rPr>
        <w:t>3</w:t>
      </w:r>
      <w:r w:rsidRPr="59CE95B8">
        <w:rPr>
          <w:i/>
          <w:iCs/>
        </w:rPr>
        <w:t>) 20</w:t>
      </w:r>
      <w:r w:rsidR="00B2137F" w:rsidRPr="59CE95B8">
        <w:rPr>
          <w:i/>
          <w:iCs/>
        </w:rPr>
        <w:t>25</w:t>
      </w:r>
      <w:r w:rsidRPr="59CE95B8">
        <w:rPr>
          <w:i/>
          <w:iCs/>
        </w:rPr>
        <w:t xml:space="preserve"> </w:t>
      </w:r>
      <w:r w:rsidRPr="00ED2558">
        <w:t>(</w:t>
      </w:r>
      <w:r w:rsidRPr="00ED2558">
        <w:rPr>
          <w:b/>
          <w:bCs/>
        </w:rPr>
        <w:t>Instrument</w:t>
      </w:r>
      <w:r w:rsidRPr="00ED2558">
        <w:t>) is to exe</w:t>
      </w:r>
      <w:r w:rsidR="00003D03" w:rsidRPr="00ED2558">
        <w:t xml:space="preserve">mpt </w:t>
      </w:r>
      <w:r w:rsidR="00003D03" w:rsidRPr="009E728B">
        <w:t>specifie</w:t>
      </w:r>
      <w:r w:rsidR="00520812" w:rsidRPr="009E728B">
        <w:t xml:space="preserve">d </w:t>
      </w:r>
      <w:r w:rsidR="60A31810" w:rsidRPr="009E728B">
        <w:t xml:space="preserve">models </w:t>
      </w:r>
      <w:r w:rsidR="00693BD1" w:rsidRPr="00ED2558">
        <w:t>B51</w:t>
      </w:r>
      <w:r w:rsidR="15BF1D85" w:rsidRPr="00ED2558">
        <w:t>7</w:t>
      </w:r>
      <w:r w:rsidR="00693BD1" w:rsidRPr="00ED2558">
        <w:t xml:space="preserve">UK - Mini GU10 35W Narrow Beam </w:t>
      </w:r>
      <w:r w:rsidR="159CF318" w:rsidRPr="00ED2558">
        <w:t>Halogen</w:t>
      </w:r>
      <w:r w:rsidR="00693BD1" w:rsidRPr="00ED2558">
        <w:t xml:space="preserve">, B516UK - Mini GU10 28W Narrow Beam </w:t>
      </w:r>
      <w:r w:rsidR="6FBD5255" w:rsidRPr="00ED2558">
        <w:t>Halogen</w:t>
      </w:r>
      <w:r w:rsidR="00693BD1" w:rsidRPr="00ED2558">
        <w:t>, B505 - Halogen 35W SES</w:t>
      </w:r>
      <w:r w:rsidR="00F17B9B">
        <w:t xml:space="preserve"> and</w:t>
      </w:r>
      <w:r w:rsidR="00693BD1" w:rsidRPr="00ED2558">
        <w:t xml:space="preserve"> B510 - Halogen 12V 20W GY6.35</w:t>
      </w:r>
      <w:r w:rsidR="00EA2B1C" w:rsidRPr="009E728B">
        <w:t xml:space="preserve"> f</w:t>
      </w:r>
      <w:r w:rsidR="00003D03" w:rsidRPr="00ED2558">
        <w:t>rom</w:t>
      </w:r>
      <w:r w:rsidR="00E36C6B">
        <w:t xml:space="preserve"> the</w:t>
      </w:r>
      <w:r w:rsidR="009F548F" w:rsidRPr="009F548F">
        <w:t xml:space="preserve"> </w:t>
      </w:r>
      <w:r w:rsidR="009F548F" w:rsidRPr="0A1831DD">
        <w:t>minimum energy performance (</w:t>
      </w:r>
      <w:r w:rsidR="009F548F" w:rsidRPr="005544CA">
        <w:t>MEPS) requirement</w:t>
      </w:r>
      <w:r w:rsidR="009F548F" w:rsidRPr="4C6D768A">
        <w:rPr>
          <w:shd w:val="clear" w:color="auto" w:fill="FFFFFF"/>
        </w:rPr>
        <w:t>s</w:t>
      </w:r>
      <w:r w:rsidR="009F548F" w:rsidRPr="005544CA">
        <w:rPr>
          <w:rStyle w:val="normaltextrun"/>
          <w:shd w:val="clear" w:color="auto" w:fill="FFFFFF"/>
        </w:rPr>
        <w:t>, labelling requirements and other requirements relating to the testing requirements</w:t>
      </w:r>
      <w:r w:rsidR="006C4267">
        <w:rPr>
          <w:rStyle w:val="normaltextrun"/>
          <w:shd w:val="clear" w:color="auto" w:fill="FFFFFF"/>
        </w:rPr>
        <w:t xml:space="preserve"> set out in</w:t>
      </w:r>
      <w:r w:rsidR="00003D03" w:rsidRPr="00ED2558">
        <w:t xml:space="preserve"> </w:t>
      </w:r>
      <w:r w:rsidR="75B5361D" w:rsidRPr="00ED2558">
        <w:t xml:space="preserve">Part </w:t>
      </w:r>
      <w:r w:rsidR="00DD5997" w:rsidRPr="00ED2558">
        <w:t>3</w:t>
      </w:r>
      <w:r w:rsidR="005922B4" w:rsidRPr="00ED2558">
        <w:t xml:space="preserve">, </w:t>
      </w:r>
      <w:r w:rsidR="0E713979" w:rsidRPr="00ED2558">
        <w:t>Part</w:t>
      </w:r>
      <w:r w:rsidR="00EA2B1C" w:rsidRPr="007C6723">
        <w:t xml:space="preserve"> 4 </w:t>
      </w:r>
      <w:r w:rsidR="005922B4" w:rsidRPr="00ED2558">
        <w:t xml:space="preserve">and </w:t>
      </w:r>
      <w:r w:rsidR="444245E6" w:rsidRPr="00ED2558">
        <w:t>Part</w:t>
      </w:r>
      <w:r w:rsidR="005922B4" w:rsidRPr="00ED2558">
        <w:t xml:space="preserve"> </w:t>
      </w:r>
      <w:r w:rsidR="00DD5997" w:rsidRPr="00ED2558">
        <w:t>5</w:t>
      </w:r>
      <w:r w:rsidR="005922B4" w:rsidRPr="00ED2558">
        <w:t xml:space="preserve"> of</w:t>
      </w:r>
      <w:r w:rsidR="005922B4" w:rsidRPr="00ED2558">
        <w:rPr>
          <w:rStyle w:val="normaltextrun"/>
          <w:color w:val="000000"/>
          <w:shd w:val="clear" w:color="auto" w:fill="FFFFFF"/>
        </w:rPr>
        <w:t xml:space="preserve"> the</w:t>
      </w:r>
      <w:r w:rsidR="00D15ADE" w:rsidRPr="00ED2558">
        <w:rPr>
          <w:rStyle w:val="normaltextrun"/>
          <w:color w:val="000000"/>
          <w:shd w:val="clear" w:color="auto" w:fill="FFFFFF"/>
        </w:rPr>
        <w:t xml:space="preserve"> </w:t>
      </w:r>
      <w:r w:rsidR="005922B4" w:rsidRPr="59CE95B8">
        <w:rPr>
          <w:rStyle w:val="normaltextrun"/>
          <w:i/>
          <w:iCs/>
          <w:color w:val="000000"/>
          <w:shd w:val="clear" w:color="auto" w:fill="FFFFFF"/>
        </w:rPr>
        <w:t>Greenhouse and Energy Minimum Standards (</w:t>
      </w:r>
      <w:r w:rsidR="00F45D1F" w:rsidRPr="59CE95B8">
        <w:rPr>
          <w:rStyle w:val="normaltextrun"/>
          <w:i/>
          <w:iCs/>
          <w:color w:val="000000"/>
          <w:bdr w:val="none" w:sz="0" w:space="0" w:color="auto" w:frame="1"/>
          <w:lang w:val="en-GB"/>
        </w:rPr>
        <w:t>Incandescent Lamps for General Lighting Services</w:t>
      </w:r>
      <w:r w:rsidR="005922B4" w:rsidRPr="59CE95B8">
        <w:rPr>
          <w:rStyle w:val="normaltextrun"/>
          <w:i/>
          <w:iCs/>
          <w:color w:val="000000"/>
          <w:shd w:val="clear" w:color="auto" w:fill="FFFFFF"/>
        </w:rPr>
        <w:t>) Determination 20</w:t>
      </w:r>
      <w:r w:rsidR="00F45D1F" w:rsidRPr="59CE95B8">
        <w:rPr>
          <w:rStyle w:val="normaltextrun"/>
          <w:i/>
          <w:iCs/>
          <w:color w:val="000000"/>
          <w:shd w:val="clear" w:color="auto" w:fill="FFFFFF"/>
        </w:rPr>
        <w:t>24</w:t>
      </w:r>
      <w:r w:rsidR="005922B4" w:rsidRPr="59CE95B8">
        <w:rPr>
          <w:rStyle w:val="normaltextrun"/>
          <w:i/>
          <w:iCs/>
          <w:color w:val="000000"/>
          <w:shd w:val="clear" w:color="auto" w:fill="FFFFFF"/>
        </w:rPr>
        <w:t xml:space="preserve"> </w:t>
      </w:r>
      <w:r w:rsidR="005922B4" w:rsidRPr="00ED2558">
        <w:rPr>
          <w:rStyle w:val="normaltextrun"/>
          <w:color w:val="000000"/>
          <w:shd w:val="clear" w:color="auto" w:fill="FFFFFF"/>
        </w:rPr>
        <w:t>(</w:t>
      </w:r>
      <w:r w:rsidR="005922B4" w:rsidRPr="006E6527">
        <w:rPr>
          <w:rStyle w:val="normaltextrun"/>
          <w:b/>
          <w:bCs/>
          <w:color w:val="000000"/>
          <w:shd w:val="clear" w:color="auto" w:fill="FFFFFF"/>
        </w:rPr>
        <w:t>20</w:t>
      </w:r>
      <w:r w:rsidR="00F45D1F" w:rsidRPr="006E6527">
        <w:rPr>
          <w:rStyle w:val="normaltextrun"/>
          <w:b/>
          <w:bCs/>
          <w:color w:val="000000"/>
          <w:shd w:val="clear" w:color="auto" w:fill="FFFFFF"/>
        </w:rPr>
        <w:t>24</w:t>
      </w:r>
      <w:r w:rsidR="005922B4" w:rsidRPr="006E6527">
        <w:rPr>
          <w:rStyle w:val="normaltextrun"/>
          <w:b/>
          <w:bCs/>
          <w:color w:val="000000"/>
          <w:shd w:val="clear" w:color="auto" w:fill="FFFFFF"/>
        </w:rPr>
        <w:t xml:space="preserve"> Determination</w:t>
      </w:r>
      <w:r w:rsidR="005922B4" w:rsidRPr="006E6527">
        <w:rPr>
          <w:rStyle w:val="normaltextrun"/>
          <w:color w:val="000000"/>
          <w:shd w:val="clear" w:color="auto" w:fill="FFFFFF"/>
        </w:rPr>
        <w:t>)</w:t>
      </w:r>
      <w:r w:rsidR="001C1427">
        <w:rPr>
          <w:rStyle w:val="normaltextrun"/>
          <w:color w:val="000000"/>
          <w:shd w:val="clear" w:color="auto" w:fill="FFFFFF"/>
        </w:rPr>
        <w:t xml:space="preserve"> in relation to any supplies of the specified models</w:t>
      </w:r>
      <w:r w:rsidR="005922B4" w:rsidRPr="006E6527">
        <w:rPr>
          <w:rStyle w:val="normaltextrun"/>
          <w:color w:val="000000"/>
          <w:shd w:val="clear" w:color="auto" w:fill="FFFFFF"/>
        </w:rPr>
        <w:t>.</w:t>
      </w:r>
      <w:r w:rsidR="001F7675" w:rsidRPr="72D3C2A6">
        <w:rPr>
          <w:rStyle w:val="normaltextrun"/>
          <w:color w:val="000000" w:themeColor="text1"/>
        </w:rPr>
        <w:t xml:space="preserve"> </w:t>
      </w:r>
    </w:p>
    <w:p w14:paraId="56E088AC" w14:textId="671E4F8D" w:rsidR="1A70DE63" w:rsidRDefault="1A70DE63" w:rsidP="3729ED63">
      <w:pPr>
        <w:pStyle w:val="NormalWeb"/>
        <w:spacing w:before="0" w:beforeAutospacing="0" w:after="0" w:afterAutospacing="0" w:line="264" w:lineRule="auto"/>
        <w:rPr>
          <w:rStyle w:val="normaltextrun"/>
          <w:color w:val="000000" w:themeColor="text1"/>
        </w:rPr>
      </w:pPr>
    </w:p>
    <w:p w14:paraId="5238ABE1" w14:textId="7C5AC834" w:rsidR="006C48C7" w:rsidRPr="002D02A6" w:rsidRDefault="006C48C7" w:rsidP="3729ED63">
      <w:pPr>
        <w:pStyle w:val="NormalWeb"/>
        <w:spacing w:before="0" w:beforeAutospacing="0" w:after="0" w:afterAutospacing="0" w:line="264" w:lineRule="auto"/>
        <w:rPr>
          <w:b/>
          <w:bCs/>
          <w:u w:val="single"/>
        </w:rPr>
      </w:pPr>
      <w:r w:rsidRPr="3729ED63">
        <w:rPr>
          <w:b/>
          <w:bCs/>
          <w:u w:val="single"/>
        </w:rPr>
        <w:t>Background</w:t>
      </w:r>
    </w:p>
    <w:p w14:paraId="01399DE2" w14:textId="77777777" w:rsidR="006C48C7" w:rsidRDefault="006C48C7" w:rsidP="3729ED63">
      <w:pPr>
        <w:pStyle w:val="NormalWeb"/>
        <w:spacing w:before="0" w:beforeAutospacing="0" w:after="0" w:afterAutospacing="0" w:line="264" w:lineRule="auto"/>
      </w:pPr>
    </w:p>
    <w:p w14:paraId="36D000E4" w14:textId="7ECB3EF4" w:rsidR="00B75630" w:rsidRDefault="00B75630" w:rsidP="59CE95B8">
      <w:pPr>
        <w:pStyle w:val="NormalWeb"/>
        <w:spacing w:before="0" w:beforeAutospacing="0" w:after="0" w:afterAutospacing="0" w:line="264" w:lineRule="auto"/>
        <w:rPr>
          <w:rStyle w:val="normaltextrun"/>
        </w:rPr>
      </w:pPr>
      <w:r w:rsidRPr="59CE95B8">
        <w:rPr>
          <w:rStyle w:val="normaltextrun"/>
        </w:rPr>
        <w:t>The Instrument will enable continue</w:t>
      </w:r>
      <w:r w:rsidR="00144400" w:rsidRPr="59CE95B8">
        <w:rPr>
          <w:rStyle w:val="normaltextrun"/>
        </w:rPr>
        <w:t>d</w:t>
      </w:r>
      <w:r w:rsidRPr="59CE95B8">
        <w:rPr>
          <w:rStyle w:val="normaltextrun"/>
        </w:rPr>
        <w:t xml:space="preserve"> </w:t>
      </w:r>
      <w:r w:rsidR="00144400" w:rsidRPr="59CE95B8">
        <w:rPr>
          <w:rStyle w:val="normaltextrun"/>
        </w:rPr>
        <w:t xml:space="preserve">sale of </w:t>
      </w:r>
      <w:r w:rsidRPr="59CE95B8">
        <w:rPr>
          <w:rStyle w:val="normaltextrun"/>
        </w:rPr>
        <w:t>the specified models of lava lamp globes.</w:t>
      </w:r>
      <w:r>
        <w:t xml:space="preserve"> The</w:t>
      </w:r>
      <w:r w:rsidR="00640AB0">
        <w:t xml:space="preserve"> specified models of globes </w:t>
      </w:r>
      <w:r>
        <w:t>are in scope of the 2024 Determination.</w:t>
      </w:r>
    </w:p>
    <w:p w14:paraId="7F10A156" w14:textId="77777777" w:rsidR="00B75630" w:rsidRDefault="00B75630" w:rsidP="005D3AD1">
      <w:pPr>
        <w:pStyle w:val="NormalWeb"/>
        <w:spacing w:before="0" w:beforeAutospacing="0" w:after="0" w:afterAutospacing="0" w:line="264" w:lineRule="auto"/>
      </w:pPr>
    </w:p>
    <w:p w14:paraId="606BA73B" w14:textId="3A86EDFD" w:rsidR="00614411" w:rsidRPr="00C2329F" w:rsidRDefault="00614411" w:rsidP="59CE95B8">
      <w:pPr>
        <w:pStyle w:val="paragraph"/>
        <w:spacing w:before="0" w:beforeAutospacing="0" w:after="0" w:afterAutospacing="0" w:line="264" w:lineRule="auto"/>
        <w:textAlignment w:val="baseline"/>
      </w:pPr>
      <w:r w:rsidRPr="59CE95B8">
        <w:rPr>
          <w:rStyle w:val="normaltextrun"/>
        </w:rPr>
        <w:t>The GEMS Regulator considered all the matters set out in the Regulation</w:t>
      </w:r>
      <w:r w:rsidR="00403E25" w:rsidRPr="59CE95B8">
        <w:rPr>
          <w:rStyle w:val="normaltextrun"/>
        </w:rPr>
        <w:t xml:space="preserve"> in deciding whether to make the Instrument</w:t>
      </w:r>
      <w:r w:rsidRPr="59CE95B8">
        <w:rPr>
          <w:rStyle w:val="normaltextrun"/>
        </w:rPr>
        <w:t>, including the impact on Australia’s greenhouse gas emissions as required under regulation 4.1.5(a) of the Regulation</w:t>
      </w:r>
      <w:r w:rsidR="003B002A" w:rsidRPr="59CE95B8">
        <w:rPr>
          <w:rStyle w:val="normaltextrun"/>
        </w:rPr>
        <w:t xml:space="preserve"> and matters considered in the making of </w:t>
      </w:r>
      <w:r w:rsidR="003B002A" w:rsidRPr="59CE95B8">
        <w:rPr>
          <w:rStyle w:val="normaltextrun"/>
        </w:rPr>
        <w:lastRenderedPageBreak/>
        <w:t>the 2024 Determination as required under regulation 4.1.5(b)</w:t>
      </w:r>
      <w:r w:rsidRPr="59CE95B8">
        <w:rPr>
          <w:rStyle w:val="normaltextrun"/>
        </w:rPr>
        <w:t xml:space="preserve">. The GEMS Regulator is satisfied that the impact on Australia’s greenhouse gas emissions </w:t>
      </w:r>
      <w:bookmarkStart w:id="0" w:name="_Int_fkMslYrh"/>
      <w:proofErr w:type="gramStart"/>
      <w:r w:rsidRPr="59CE95B8">
        <w:rPr>
          <w:rStyle w:val="normaltextrun"/>
        </w:rPr>
        <w:t>as a result of</w:t>
      </w:r>
      <w:bookmarkEnd w:id="0"/>
      <w:proofErr w:type="gramEnd"/>
      <w:r w:rsidRPr="59CE95B8">
        <w:rPr>
          <w:rStyle w:val="normaltextrun"/>
        </w:rPr>
        <w:t xml:space="preserve"> the exemption will not be significant.</w:t>
      </w:r>
      <w:r w:rsidR="003B002A" w:rsidRPr="59CE95B8">
        <w:rPr>
          <w:rStyle w:val="normaltextrun"/>
        </w:rPr>
        <w:t xml:space="preserve"> </w:t>
      </w:r>
    </w:p>
    <w:p w14:paraId="14206542" w14:textId="4CC40391" w:rsidR="005D3AD1" w:rsidRDefault="00614411" w:rsidP="3729ED63">
      <w:pPr>
        <w:pStyle w:val="paragraph"/>
        <w:spacing w:before="0" w:beforeAutospacing="0" w:after="0" w:afterAutospacing="0" w:line="264" w:lineRule="auto"/>
        <w:textAlignment w:val="baseline"/>
      </w:pPr>
      <w:r w:rsidRPr="3729ED63">
        <w:rPr>
          <w:rStyle w:val="eop"/>
        </w:rPr>
        <w:t> </w:t>
      </w:r>
    </w:p>
    <w:p w14:paraId="77200884" w14:textId="77777777" w:rsidR="002375F3" w:rsidRDefault="002375F3" w:rsidP="3729ED63">
      <w:pPr>
        <w:spacing w:after="0" w:line="264" w:lineRule="auto"/>
        <w:rPr>
          <w:rFonts w:ascii="Times New Roman" w:hAnsi="Times New Roman"/>
          <w:b/>
          <w:bCs/>
          <w:sz w:val="24"/>
          <w:szCs w:val="24"/>
          <w:u w:val="single"/>
        </w:rPr>
      </w:pPr>
      <w:r w:rsidRPr="3729ED63">
        <w:rPr>
          <w:rFonts w:ascii="Times New Roman" w:hAnsi="Times New Roman"/>
          <w:b/>
          <w:bCs/>
          <w:sz w:val="24"/>
          <w:szCs w:val="24"/>
          <w:u w:val="single"/>
        </w:rPr>
        <w:t>Consultation</w:t>
      </w:r>
    </w:p>
    <w:p w14:paraId="22F395C8" w14:textId="77777777" w:rsidR="002375F3" w:rsidRDefault="002375F3" w:rsidP="3729ED63">
      <w:pPr>
        <w:pStyle w:val="NormalWeb"/>
        <w:spacing w:before="0" w:beforeAutospacing="0" w:after="0" w:afterAutospacing="0" w:line="264" w:lineRule="auto"/>
      </w:pPr>
    </w:p>
    <w:p w14:paraId="75C5EDCC" w14:textId="4E3566DD" w:rsidR="002375F3" w:rsidRDefault="002375F3" w:rsidP="3729ED63">
      <w:pPr>
        <w:pStyle w:val="NormalWeb"/>
        <w:spacing w:before="0" w:beforeAutospacing="0" w:after="0" w:afterAutospacing="0" w:line="264" w:lineRule="auto"/>
      </w:pPr>
      <w:r>
        <w:t>The exemption set out in the Instrument was considered on application from the applicant. Consultation was undertaken with the applicant for the purpose of clarifying the exemption application.</w:t>
      </w:r>
    </w:p>
    <w:p w14:paraId="2986254E" w14:textId="77777777" w:rsidR="002375F3" w:rsidRPr="00A84F5A" w:rsidRDefault="002375F3" w:rsidP="3729ED63">
      <w:pPr>
        <w:pStyle w:val="NormalWeb"/>
        <w:spacing w:before="0" w:beforeAutospacing="0" w:after="0" w:afterAutospacing="0" w:line="264" w:lineRule="auto"/>
        <w:rPr>
          <w:b/>
          <w:bCs/>
        </w:rPr>
      </w:pPr>
    </w:p>
    <w:p w14:paraId="4503F218" w14:textId="77777777" w:rsidR="00852FCB" w:rsidRDefault="00852FCB" w:rsidP="3729ED63">
      <w:pPr>
        <w:spacing w:after="0" w:line="264" w:lineRule="auto"/>
        <w:rPr>
          <w:rFonts w:ascii="Times New Roman" w:hAnsi="Times New Roman"/>
          <w:b/>
          <w:bCs/>
          <w:sz w:val="24"/>
          <w:szCs w:val="24"/>
          <w:u w:val="single"/>
        </w:rPr>
      </w:pPr>
      <w:r w:rsidRPr="3729ED63">
        <w:rPr>
          <w:rFonts w:ascii="Times New Roman" w:hAnsi="Times New Roman"/>
          <w:b/>
          <w:bCs/>
          <w:sz w:val="24"/>
          <w:szCs w:val="24"/>
          <w:u w:val="single"/>
        </w:rPr>
        <w:t>Details</w:t>
      </w:r>
    </w:p>
    <w:p w14:paraId="436B59DC" w14:textId="77777777" w:rsidR="00852FCB" w:rsidRPr="00A84F5A" w:rsidRDefault="00852FCB" w:rsidP="3729ED63">
      <w:pPr>
        <w:spacing w:after="0" w:line="264" w:lineRule="auto"/>
        <w:rPr>
          <w:rFonts w:ascii="Times New Roman" w:hAnsi="Times New Roman"/>
          <w:b/>
          <w:bCs/>
          <w:sz w:val="24"/>
          <w:szCs w:val="24"/>
        </w:rPr>
      </w:pPr>
    </w:p>
    <w:p w14:paraId="08633048" w14:textId="77777777" w:rsidR="00852FCB" w:rsidRPr="008B5992" w:rsidRDefault="00852FCB" w:rsidP="3729ED63">
      <w:pPr>
        <w:spacing w:after="0" w:line="264" w:lineRule="auto"/>
        <w:rPr>
          <w:rFonts w:ascii="Times New Roman" w:hAnsi="Times New Roman"/>
          <w:sz w:val="24"/>
          <w:szCs w:val="24"/>
        </w:rPr>
      </w:pPr>
      <w:r w:rsidRPr="3729ED63">
        <w:rPr>
          <w:rFonts w:ascii="Times New Roman" w:hAnsi="Times New Roman"/>
          <w:sz w:val="24"/>
          <w:szCs w:val="24"/>
        </w:rPr>
        <w:t xml:space="preserve">The Instrument is a legislative instrument for the purposes of the </w:t>
      </w:r>
      <w:r w:rsidRPr="3729ED63">
        <w:rPr>
          <w:rFonts w:ascii="Times New Roman" w:hAnsi="Times New Roman"/>
          <w:i/>
          <w:iCs/>
          <w:sz w:val="24"/>
          <w:szCs w:val="24"/>
        </w:rPr>
        <w:t>Legislation Act 2003</w:t>
      </w:r>
      <w:r w:rsidRPr="3729ED63">
        <w:rPr>
          <w:rFonts w:ascii="Times New Roman" w:hAnsi="Times New Roman"/>
          <w:sz w:val="24"/>
          <w:szCs w:val="24"/>
        </w:rPr>
        <w:t xml:space="preserve"> (Legislation Act).</w:t>
      </w:r>
    </w:p>
    <w:p w14:paraId="603FE816" w14:textId="77777777" w:rsidR="00852FCB" w:rsidRPr="00A84F5A" w:rsidRDefault="00852FCB" w:rsidP="3729ED63">
      <w:pPr>
        <w:spacing w:after="0" w:line="264" w:lineRule="auto"/>
        <w:rPr>
          <w:rFonts w:ascii="Times New Roman" w:hAnsi="Times New Roman"/>
          <w:b/>
          <w:bCs/>
          <w:sz w:val="24"/>
          <w:szCs w:val="24"/>
        </w:rPr>
      </w:pPr>
    </w:p>
    <w:p w14:paraId="0EB77B19" w14:textId="23916BF8" w:rsidR="00852FCB" w:rsidRPr="00C2329F" w:rsidRDefault="00852FCB" w:rsidP="3729ED63">
      <w:pPr>
        <w:pStyle w:val="NormalWeb"/>
        <w:spacing w:before="0" w:beforeAutospacing="0" w:after="0" w:afterAutospacing="0" w:line="264" w:lineRule="auto"/>
      </w:pPr>
      <w:r>
        <w:t xml:space="preserve">Further details of the Instrument are outlined in </w:t>
      </w:r>
      <w:r w:rsidRPr="3729ED63">
        <w:rPr>
          <w:u w:val="single"/>
        </w:rPr>
        <w:t>Attachment A</w:t>
      </w:r>
      <w:r>
        <w:t>.</w:t>
      </w:r>
    </w:p>
    <w:p w14:paraId="70E0D07A" w14:textId="77777777" w:rsidR="00852FCB" w:rsidRPr="00A84F5A" w:rsidRDefault="00852FCB" w:rsidP="005D3AD1">
      <w:pPr>
        <w:pStyle w:val="NormalWeb"/>
        <w:spacing w:before="0" w:beforeAutospacing="0" w:after="0" w:afterAutospacing="0" w:line="264" w:lineRule="auto"/>
        <w:rPr>
          <w:b/>
          <w:bCs/>
        </w:rPr>
      </w:pPr>
    </w:p>
    <w:p w14:paraId="611285A7" w14:textId="22543921" w:rsidR="00AE30FB" w:rsidRDefault="00AE30FB" w:rsidP="005D3AD1">
      <w:pPr>
        <w:pStyle w:val="NormalWeb"/>
        <w:spacing w:before="0" w:beforeAutospacing="0" w:after="0" w:afterAutospacing="0" w:line="264" w:lineRule="auto"/>
        <w:rPr>
          <w:b/>
          <w:bCs/>
          <w:u w:val="single"/>
        </w:rPr>
      </w:pPr>
      <w:r>
        <w:rPr>
          <w:b/>
          <w:bCs/>
          <w:u w:val="single"/>
        </w:rPr>
        <w:t>Exemption from sunsetting and disallowance</w:t>
      </w:r>
    </w:p>
    <w:p w14:paraId="185390AB" w14:textId="77777777" w:rsidR="005D3AD1" w:rsidRDefault="005D3AD1" w:rsidP="005D3AD1">
      <w:pPr>
        <w:pStyle w:val="ACMANumberedList"/>
        <w:numPr>
          <w:ilvl w:val="0"/>
          <w:numId w:val="0"/>
        </w:numPr>
        <w:spacing w:before="0" w:after="0" w:line="264" w:lineRule="auto"/>
        <w:rPr>
          <w:noProof/>
        </w:rPr>
      </w:pPr>
    </w:p>
    <w:p w14:paraId="26B9CCA4" w14:textId="234577F4" w:rsidR="002A0E81" w:rsidRDefault="00AE30FB" w:rsidP="00852FCB">
      <w:pPr>
        <w:pStyle w:val="ACMANumberedList"/>
        <w:numPr>
          <w:ilvl w:val="0"/>
          <w:numId w:val="0"/>
        </w:numPr>
        <w:spacing w:before="0" w:after="0" w:line="264" w:lineRule="auto"/>
        <w:rPr>
          <w:noProof/>
        </w:rPr>
      </w:pPr>
      <w:r w:rsidRPr="3729ED63">
        <w:rPr>
          <w:noProof/>
        </w:rPr>
        <w:t>Subsections 44(1) and 54(1) of the Legislation Act provide that instruments are not subject to disallowance and sunsetting where the enabling legislation</w:t>
      </w:r>
      <w:r w:rsidR="002A0E81" w:rsidRPr="3729ED63">
        <w:rPr>
          <w:noProof/>
        </w:rPr>
        <w:t>:</w:t>
      </w:r>
      <w:r w:rsidRPr="3729ED63">
        <w:rPr>
          <w:noProof/>
        </w:rPr>
        <w:t xml:space="preserve"> </w:t>
      </w:r>
    </w:p>
    <w:p w14:paraId="28D01E4E" w14:textId="77777777" w:rsidR="00B27B85" w:rsidRPr="00B27B85" w:rsidRDefault="00AE30FB" w:rsidP="3729ED63">
      <w:pPr>
        <w:pStyle w:val="ACMANumberedList"/>
        <w:spacing w:before="0" w:after="0" w:line="264" w:lineRule="auto"/>
        <w:rPr>
          <w:noProof/>
        </w:rPr>
      </w:pPr>
      <w:r w:rsidRPr="3729ED63">
        <w:rPr>
          <w:noProof/>
        </w:rPr>
        <w:t>facilitates the establishment or operation of an intergovernmental body or scheme involving the Commonwealth and one or more States</w:t>
      </w:r>
      <w:r w:rsidR="00A5428D" w:rsidRPr="3729ED63">
        <w:rPr>
          <w:noProof/>
        </w:rPr>
        <w:t>; and</w:t>
      </w:r>
    </w:p>
    <w:p w14:paraId="60A608F9" w14:textId="72EA7D26" w:rsidR="00B27B85" w:rsidRPr="00B27B85" w:rsidRDefault="002A0E81" w:rsidP="3729ED63">
      <w:pPr>
        <w:pStyle w:val="ACMANumberedList"/>
        <w:spacing w:before="0" w:after="0" w:line="264" w:lineRule="auto"/>
        <w:rPr>
          <w:noProof/>
        </w:rPr>
      </w:pPr>
      <w:r w:rsidRPr="3729ED63">
        <w:rPr>
          <w:noProof/>
        </w:rPr>
        <w:t>authorises the instrument to be made by the body or for the purposes of the body or scheme.</w:t>
      </w:r>
    </w:p>
    <w:p w14:paraId="23E8C8BA" w14:textId="77777777" w:rsidR="00B27B85" w:rsidRPr="00B27B85" w:rsidRDefault="00B27B85" w:rsidP="3729ED63">
      <w:pPr>
        <w:pStyle w:val="ACMANumberedList"/>
        <w:numPr>
          <w:ilvl w:val="0"/>
          <w:numId w:val="0"/>
        </w:numPr>
        <w:spacing w:before="0" w:after="0" w:line="264" w:lineRule="auto"/>
        <w:ind w:left="720"/>
        <w:rPr>
          <w:noProof/>
        </w:rPr>
      </w:pPr>
    </w:p>
    <w:p w14:paraId="1225A753" w14:textId="6C2800B9" w:rsidR="005D3AD1" w:rsidRPr="002D02A6" w:rsidRDefault="00AE30FB" w:rsidP="3729ED63">
      <w:pPr>
        <w:spacing w:after="0" w:line="264" w:lineRule="auto"/>
        <w:rPr>
          <w:noProof/>
        </w:rPr>
      </w:pPr>
      <w:r w:rsidRPr="3729ED63">
        <w:rPr>
          <w:rFonts w:ascii="Times New Roman" w:hAnsi="Times New Roman"/>
          <w:noProof/>
          <w:sz w:val="24"/>
          <w:szCs w:val="24"/>
        </w:rPr>
        <w:t xml:space="preserve">The Act underpins and facilitates the operation of an intergovernmental scheme for product energy efficiency, giving effect to the </w:t>
      </w:r>
      <w:r w:rsidR="000C0F93" w:rsidRPr="3729ED63">
        <w:rPr>
          <w:rFonts w:ascii="Times New Roman" w:hAnsi="Times New Roman"/>
          <w:i/>
          <w:iCs/>
          <w:sz w:val="24"/>
          <w:szCs w:val="24"/>
        </w:rPr>
        <w:t>Inter-Governmental Agreement (IGA) for the Greenhouse and Energy Minimum Standards (GEMS) Legislative Scheme</w:t>
      </w:r>
      <w:r w:rsidRPr="3729ED63">
        <w:rPr>
          <w:rFonts w:ascii="Times New Roman" w:hAnsi="Times New Roman"/>
          <w:noProof/>
          <w:sz w:val="24"/>
          <w:szCs w:val="24"/>
        </w:rPr>
        <w:t xml:space="preserve">. </w:t>
      </w:r>
      <w:r w:rsidR="003018D7" w:rsidRPr="3729ED63">
        <w:rPr>
          <w:rFonts w:ascii="Times New Roman" w:hAnsi="Times New Roman"/>
          <w:noProof/>
          <w:sz w:val="24"/>
          <w:szCs w:val="24"/>
        </w:rPr>
        <w:t xml:space="preserve">The Act also expressly provides for the participation of multiple governments. Given this, and the fact that the Act authorises the </w:t>
      </w:r>
      <w:r w:rsidR="0890BA98" w:rsidRPr="3729ED63">
        <w:rPr>
          <w:rFonts w:ascii="Times New Roman" w:hAnsi="Times New Roman"/>
          <w:noProof/>
          <w:sz w:val="24"/>
          <w:szCs w:val="24"/>
        </w:rPr>
        <w:t>I</w:t>
      </w:r>
      <w:r w:rsidR="003018D7" w:rsidRPr="3729ED63">
        <w:rPr>
          <w:rFonts w:ascii="Times New Roman" w:hAnsi="Times New Roman"/>
          <w:noProof/>
          <w:sz w:val="24"/>
          <w:szCs w:val="24"/>
        </w:rPr>
        <w:t xml:space="preserve">nstrument to be made under subsection 37(1), the </w:t>
      </w:r>
      <w:r w:rsidRPr="3729ED63">
        <w:rPr>
          <w:rFonts w:ascii="Times New Roman" w:hAnsi="Times New Roman"/>
          <w:noProof/>
          <w:sz w:val="24"/>
          <w:szCs w:val="24"/>
        </w:rPr>
        <w:t>Instrument is not subject to disallowance or sunsetting</w:t>
      </w:r>
      <w:r w:rsidR="003018D7" w:rsidRPr="3729ED63">
        <w:rPr>
          <w:rFonts w:ascii="Times New Roman" w:hAnsi="Times New Roman"/>
          <w:noProof/>
          <w:sz w:val="24"/>
          <w:szCs w:val="24"/>
        </w:rPr>
        <w:t xml:space="preserve"> under the Legislation Act</w:t>
      </w:r>
      <w:r w:rsidRPr="3729ED63">
        <w:rPr>
          <w:rFonts w:ascii="Times New Roman" w:hAnsi="Times New Roman"/>
          <w:noProof/>
          <w:sz w:val="24"/>
          <w:szCs w:val="24"/>
        </w:rPr>
        <w:t xml:space="preserve">. Further details are provided at </w:t>
      </w:r>
      <w:r w:rsidRPr="3729ED63">
        <w:rPr>
          <w:rFonts w:ascii="Times New Roman" w:hAnsi="Times New Roman"/>
          <w:sz w:val="24"/>
          <w:szCs w:val="24"/>
          <w:u w:val="single"/>
        </w:rPr>
        <w:t xml:space="preserve">Attachment </w:t>
      </w:r>
      <w:r w:rsidR="00CA3198" w:rsidRPr="3729ED63">
        <w:rPr>
          <w:rFonts w:ascii="Times New Roman" w:hAnsi="Times New Roman"/>
          <w:sz w:val="24"/>
          <w:szCs w:val="24"/>
          <w:u w:val="single"/>
        </w:rPr>
        <w:t>B</w:t>
      </w:r>
      <w:r w:rsidRPr="3729ED63">
        <w:rPr>
          <w:rFonts w:ascii="Times New Roman" w:hAnsi="Times New Roman"/>
          <w:noProof/>
          <w:sz w:val="24"/>
          <w:szCs w:val="24"/>
        </w:rPr>
        <w:t>.</w:t>
      </w:r>
    </w:p>
    <w:p w14:paraId="4EAFF5FE" w14:textId="227CE734" w:rsidR="002375F3" w:rsidRPr="00A84F5A" w:rsidRDefault="002375F3" w:rsidP="3729ED63">
      <w:pPr>
        <w:spacing w:after="0" w:line="264" w:lineRule="auto"/>
        <w:rPr>
          <w:rFonts w:ascii="Times New Roman" w:hAnsi="Times New Roman"/>
          <w:b/>
          <w:bCs/>
          <w:sz w:val="24"/>
          <w:szCs w:val="24"/>
        </w:rPr>
      </w:pPr>
    </w:p>
    <w:p w14:paraId="3ED9AC41" w14:textId="62050608" w:rsidR="0098174A" w:rsidRPr="00B27B85" w:rsidRDefault="0098174A" w:rsidP="002D02A6">
      <w:pPr>
        <w:spacing w:after="0" w:line="264" w:lineRule="auto"/>
        <w:rPr>
          <w:rFonts w:ascii="Times New Roman" w:hAnsi="Times New Roman"/>
          <w:b/>
          <w:sz w:val="24"/>
          <w:szCs w:val="24"/>
          <w:u w:val="single"/>
        </w:rPr>
      </w:pPr>
      <w:r w:rsidRPr="00B27B85">
        <w:rPr>
          <w:rFonts w:ascii="Times New Roman" w:hAnsi="Times New Roman"/>
          <w:b/>
          <w:sz w:val="24"/>
          <w:szCs w:val="24"/>
          <w:u w:val="single"/>
        </w:rPr>
        <w:t>Statement of Compatibility with Human Rights</w:t>
      </w:r>
    </w:p>
    <w:p w14:paraId="781882AA" w14:textId="77777777" w:rsidR="005D3AD1" w:rsidRPr="00B27B85" w:rsidRDefault="005D3AD1" w:rsidP="005D3AD1">
      <w:pPr>
        <w:spacing w:after="0" w:line="264" w:lineRule="auto"/>
        <w:rPr>
          <w:rFonts w:ascii="Times New Roman" w:eastAsia="Times New Roman" w:hAnsi="Times New Roman"/>
          <w:sz w:val="24"/>
          <w:szCs w:val="24"/>
          <w:lang w:eastAsia="en-AU"/>
        </w:rPr>
      </w:pPr>
    </w:p>
    <w:p w14:paraId="426912CF" w14:textId="362B13CA" w:rsidR="00A1037E" w:rsidRPr="00A84F5A" w:rsidRDefault="00A1037E" w:rsidP="3729ED63">
      <w:pPr>
        <w:spacing w:after="0" w:line="264" w:lineRule="auto"/>
        <w:rPr>
          <w:rFonts w:ascii="Times New Roman" w:hAnsi="Times New Roman"/>
          <w:b/>
          <w:bCs/>
          <w:sz w:val="24"/>
          <w:szCs w:val="24"/>
        </w:rPr>
        <w:sectPr w:rsidR="00A1037E" w:rsidRPr="00A84F5A" w:rsidSect="002D02A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r w:rsidRPr="3729ED63">
        <w:rPr>
          <w:rFonts w:ascii="Times New Roman" w:eastAsia="Times New Roman" w:hAnsi="Times New Roman"/>
          <w:sz w:val="24"/>
          <w:szCs w:val="24"/>
          <w:lang w:eastAsia="en-AU"/>
        </w:rPr>
        <w:t>In accordance with subsection 15</w:t>
      </w:r>
      <w:proofErr w:type="gramStart"/>
      <w:r w:rsidRPr="3729ED63">
        <w:rPr>
          <w:rFonts w:ascii="Times New Roman" w:eastAsia="Times New Roman" w:hAnsi="Times New Roman"/>
          <w:sz w:val="24"/>
          <w:szCs w:val="24"/>
          <w:lang w:eastAsia="en-AU"/>
        </w:rPr>
        <w:t>J(</w:t>
      </w:r>
      <w:proofErr w:type="gramEnd"/>
      <w:r w:rsidRPr="3729ED63">
        <w:rPr>
          <w:rFonts w:ascii="Times New Roman" w:eastAsia="Times New Roman" w:hAnsi="Times New Roman"/>
          <w:sz w:val="24"/>
          <w:szCs w:val="24"/>
          <w:lang w:eastAsia="en-AU"/>
        </w:rPr>
        <w:t>2) of the Legislation Act, as the Instrument is not a disallowable instrument, a statement of compatibility</w:t>
      </w:r>
      <w:r w:rsidR="00685D37" w:rsidRPr="3729ED63">
        <w:rPr>
          <w:rFonts w:ascii="Times New Roman" w:eastAsia="Times New Roman" w:hAnsi="Times New Roman"/>
          <w:sz w:val="24"/>
          <w:szCs w:val="24"/>
          <w:lang w:eastAsia="en-AU"/>
        </w:rPr>
        <w:t xml:space="preserve"> is not required</w:t>
      </w:r>
      <w:r w:rsidR="00C67D8D" w:rsidRPr="3729ED63">
        <w:rPr>
          <w:rFonts w:ascii="Times New Roman" w:eastAsia="Times New Roman" w:hAnsi="Times New Roman"/>
          <w:sz w:val="24"/>
          <w:szCs w:val="24"/>
          <w:lang w:eastAsia="en-AU"/>
        </w:rPr>
        <w:t xml:space="preserve"> to be</w:t>
      </w:r>
      <w:r w:rsidRPr="3729ED63">
        <w:rPr>
          <w:rFonts w:ascii="Times New Roman" w:eastAsia="Times New Roman" w:hAnsi="Times New Roman"/>
          <w:sz w:val="24"/>
          <w:szCs w:val="24"/>
          <w:lang w:eastAsia="en-AU"/>
        </w:rPr>
        <w:t xml:space="preserve"> prepared under subsection 9(1) of the </w:t>
      </w:r>
      <w:r w:rsidRPr="3729ED63">
        <w:rPr>
          <w:rFonts w:ascii="Times New Roman" w:eastAsia="Times New Roman" w:hAnsi="Times New Roman"/>
          <w:i/>
          <w:iCs/>
          <w:sz w:val="24"/>
          <w:szCs w:val="24"/>
          <w:lang w:eastAsia="en-AU"/>
        </w:rPr>
        <w:t>Human Rights (Parliamentary Scrutiny) Act 2011</w:t>
      </w:r>
      <w:r w:rsidRPr="3729ED63">
        <w:rPr>
          <w:rFonts w:ascii="Times New Roman" w:eastAsia="Times New Roman" w:hAnsi="Times New Roman"/>
          <w:sz w:val="24"/>
          <w:szCs w:val="24"/>
          <w:lang w:eastAsia="en-AU"/>
        </w:rPr>
        <w:t>.</w:t>
      </w:r>
    </w:p>
    <w:p w14:paraId="2D345B02" w14:textId="77777777" w:rsidR="00E17062" w:rsidRDefault="00E17062" w:rsidP="005D3AD1">
      <w:pPr>
        <w:spacing w:after="0" w:line="264" w:lineRule="auto"/>
        <w:jc w:val="right"/>
        <w:rPr>
          <w:rFonts w:ascii="Times New Roman" w:hAnsi="Times New Roman"/>
          <w:b/>
          <w:sz w:val="24"/>
          <w:szCs w:val="24"/>
          <w:u w:val="single"/>
        </w:rPr>
      </w:pPr>
      <w:r w:rsidRPr="00ED2558">
        <w:rPr>
          <w:rFonts w:ascii="Times New Roman" w:hAnsi="Times New Roman"/>
          <w:b/>
          <w:sz w:val="24"/>
          <w:szCs w:val="24"/>
          <w:u w:val="single"/>
        </w:rPr>
        <w:lastRenderedPageBreak/>
        <w:t>Attachment A</w:t>
      </w:r>
    </w:p>
    <w:p w14:paraId="037412B1" w14:textId="77777777" w:rsidR="005D3AD1" w:rsidRPr="00A84F5A" w:rsidRDefault="005D3AD1" w:rsidP="005D3AD1">
      <w:pPr>
        <w:spacing w:after="0" w:line="264" w:lineRule="auto"/>
        <w:jc w:val="right"/>
        <w:rPr>
          <w:rFonts w:ascii="Times New Roman" w:hAnsi="Times New Roman"/>
          <w:b/>
          <w:sz w:val="24"/>
          <w:szCs w:val="24"/>
        </w:rPr>
      </w:pPr>
    </w:p>
    <w:p w14:paraId="19E83943" w14:textId="6DC03AA7" w:rsidR="00E17062" w:rsidRDefault="00E17062" w:rsidP="005D3AD1">
      <w:pPr>
        <w:spacing w:after="0" w:line="264" w:lineRule="auto"/>
        <w:rPr>
          <w:rFonts w:ascii="Times New Roman" w:hAnsi="Times New Roman"/>
          <w:b/>
          <w:bCs/>
          <w:i/>
          <w:iCs/>
          <w:sz w:val="24"/>
          <w:szCs w:val="24"/>
          <w:u w:val="single"/>
        </w:rPr>
      </w:pPr>
      <w:r w:rsidRPr="00ED2558">
        <w:rPr>
          <w:rFonts w:ascii="Times New Roman" w:hAnsi="Times New Roman"/>
          <w:b/>
          <w:bCs/>
          <w:sz w:val="24"/>
          <w:szCs w:val="24"/>
          <w:u w:val="single"/>
        </w:rPr>
        <w:t xml:space="preserve">Details of the </w:t>
      </w:r>
      <w:r w:rsidRPr="00ED2558">
        <w:rPr>
          <w:rFonts w:ascii="Times New Roman" w:hAnsi="Times New Roman"/>
          <w:b/>
          <w:bCs/>
          <w:i/>
          <w:iCs/>
          <w:sz w:val="24"/>
          <w:szCs w:val="24"/>
          <w:u w:val="single"/>
        </w:rPr>
        <w:t xml:space="preserve">Greenhouse and Energy Minimum Standards </w:t>
      </w:r>
      <w:r w:rsidR="00575201" w:rsidRPr="00ED2558">
        <w:rPr>
          <w:rFonts w:ascii="Times New Roman" w:hAnsi="Times New Roman"/>
          <w:b/>
          <w:bCs/>
          <w:i/>
          <w:iCs/>
          <w:sz w:val="24"/>
          <w:szCs w:val="24"/>
          <w:u w:val="single"/>
        </w:rPr>
        <w:t>(Exemption) Instrument (</w:t>
      </w:r>
      <w:r w:rsidR="00575201" w:rsidRPr="009E728B">
        <w:rPr>
          <w:rFonts w:ascii="Times New Roman" w:hAnsi="Times New Roman"/>
          <w:b/>
          <w:i/>
          <w:sz w:val="24"/>
          <w:szCs w:val="24"/>
          <w:u w:val="single"/>
        </w:rPr>
        <w:t xml:space="preserve">No. </w:t>
      </w:r>
      <w:r w:rsidR="00BA0FA3" w:rsidRPr="009E728B">
        <w:rPr>
          <w:rFonts w:ascii="Times New Roman" w:hAnsi="Times New Roman"/>
          <w:b/>
          <w:i/>
          <w:sz w:val="24"/>
          <w:szCs w:val="24"/>
          <w:u w:val="single"/>
        </w:rPr>
        <w:t>3</w:t>
      </w:r>
      <w:r w:rsidRPr="00ED2558">
        <w:rPr>
          <w:rFonts w:ascii="Times New Roman" w:hAnsi="Times New Roman"/>
          <w:b/>
          <w:bCs/>
          <w:i/>
          <w:iCs/>
          <w:sz w:val="24"/>
          <w:szCs w:val="24"/>
          <w:u w:val="single"/>
        </w:rPr>
        <w:t>) 202</w:t>
      </w:r>
      <w:r w:rsidR="006E6527" w:rsidRPr="00ED2558">
        <w:rPr>
          <w:rFonts w:ascii="Times New Roman" w:hAnsi="Times New Roman"/>
          <w:b/>
          <w:bCs/>
          <w:i/>
          <w:iCs/>
          <w:sz w:val="24"/>
          <w:szCs w:val="24"/>
          <w:u w:val="single"/>
        </w:rPr>
        <w:t>5</w:t>
      </w:r>
    </w:p>
    <w:p w14:paraId="44AF81BD" w14:textId="77777777" w:rsidR="005D3AD1" w:rsidRPr="00A84F5A" w:rsidRDefault="005D3AD1" w:rsidP="005D3AD1">
      <w:pPr>
        <w:spacing w:after="0" w:line="264" w:lineRule="auto"/>
        <w:rPr>
          <w:rFonts w:ascii="Times New Roman" w:hAnsi="Times New Roman"/>
          <w:b/>
          <w:bCs/>
          <w:i/>
          <w:iCs/>
          <w:sz w:val="24"/>
          <w:szCs w:val="24"/>
        </w:rPr>
      </w:pPr>
    </w:p>
    <w:p w14:paraId="09846A84" w14:textId="55C491CD" w:rsidR="00E17062" w:rsidRDefault="00E17062" w:rsidP="3729ED63">
      <w:pPr>
        <w:spacing w:after="0" w:line="264" w:lineRule="auto"/>
        <w:rPr>
          <w:rFonts w:ascii="Times New Roman" w:hAnsi="Times New Roman"/>
          <w:b/>
          <w:bCs/>
          <w:sz w:val="24"/>
          <w:szCs w:val="24"/>
        </w:rPr>
      </w:pPr>
      <w:r w:rsidRPr="3729ED63">
        <w:rPr>
          <w:rFonts w:ascii="Times New Roman" w:hAnsi="Times New Roman"/>
          <w:b/>
          <w:bCs/>
          <w:sz w:val="24"/>
          <w:szCs w:val="24"/>
        </w:rPr>
        <w:t>Section 1 – Name</w:t>
      </w:r>
    </w:p>
    <w:p w14:paraId="64925946" w14:textId="77777777" w:rsidR="005D3AD1" w:rsidRPr="00ED2558" w:rsidRDefault="005D3AD1" w:rsidP="005D3AD1">
      <w:pPr>
        <w:spacing w:after="0" w:line="264" w:lineRule="auto"/>
        <w:rPr>
          <w:rFonts w:ascii="Times New Roman" w:hAnsi="Times New Roman"/>
          <w:b/>
          <w:sz w:val="24"/>
          <w:szCs w:val="24"/>
        </w:rPr>
      </w:pPr>
    </w:p>
    <w:p w14:paraId="37F7055F" w14:textId="0BF5DCB4" w:rsidR="00E17062" w:rsidRDefault="00E17062" w:rsidP="005D3AD1">
      <w:pPr>
        <w:spacing w:after="0" w:line="264" w:lineRule="auto"/>
        <w:rPr>
          <w:rFonts w:ascii="Times New Roman" w:hAnsi="Times New Roman"/>
          <w:sz w:val="24"/>
          <w:szCs w:val="24"/>
        </w:rPr>
      </w:pPr>
      <w:r w:rsidRPr="3729ED63">
        <w:rPr>
          <w:rFonts w:ascii="Times New Roman" w:hAnsi="Times New Roman"/>
          <w:sz w:val="24"/>
          <w:szCs w:val="24"/>
        </w:rPr>
        <w:t xml:space="preserve">This section specifies the name of the Legislative Instrument as the </w:t>
      </w:r>
      <w:r w:rsidRPr="3729ED63">
        <w:rPr>
          <w:rFonts w:ascii="Times New Roman" w:hAnsi="Times New Roman"/>
          <w:i/>
          <w:iCs/>
          <w:sz w:val="24"/>
          <w:szCs w:val="24"/>
        </w:rPr>
        <w:t>Greenhouse and Energy Minimum Standar</w:t>
      </w:r>
      <w:r w:rsidR="000F6B02" w:rsidRPr="3729ED63">
        <w:rPr>
          <w:rFonts w:ascii="Times New Roman" w:hAnsi="Times New Roman"/>
          <w:i/>
          <w:iCs/>
          <w:sz w:val="24"/>
          <w:szCs w:val="24"/>
        </w:rPr>
        <w:t xml:space="preserve">ds (Exemption) Instrument (No. </w:t>
      </w:r>
      <w:r w:rsidR="00BA0FA3" w:rsidRPr="3729ED63">
        <w:rPr>
          <w:rFonts w:ascii="Times New Roman" w:hAnsi="Times New Roman"/>
          <w:i/>
          <w:iCs/>
          <w:sz w:val="24"/>
          <w:szCs w:val="24"/>
        </w:rPr>
        <w:t>3</w:t>
      </w:r>
      <w:r w:rsidRPr="3729ED63">
        <w:rPr>
          <w:rFonts w:ascii="Times New Roman" w:hAnsi="Times New Roman"/>
          <w:i/>
          <w:iCs/>
          <w:sz w:val="24"/>
          <w:szCs w:val="24"/>
        </w:rPr>
        <w:t>) 20</w:t>
      </w:r>
      <w:r w:rsidR="006E6527" w:rsidRPr="3729ED63">
        <w:rPr>
          <w:rFonts w:ascii="Times New Roman" w:hAnsi="Times New Roman"/>
          <w:i/>
          <w:iCs/>
          <w:sz w:val="24"/>
          <w:szCs w:val="24"/>
        </w:rPr>
        <w:t>25</w:t>
      </w:r>
      <w:r w:rsidR="00933F61" w:rsidRPr="3729ED63">
        <w:rPr>
          <w:rFonts w:ascii="Times New Roman" w:hAnsi="Times New Roman"/>
          <w:sz w:val="24"/>
          <w:szCs w:val="24"/>
        </w:rPr>
        <w:t xml:space="preserve"> (Instrument)</w:t>
      </w:r>
      <w:r w:rsidRPr="3729ED63">
        <w:rPr>
          <w:rFonts w:ascii="Times New Roman" w:hAnsi="Times New Roman"/>
          <w:sz w:val="24"/>
          <w:szCs w:val="24"/>
        </w:rPr>
        <w:t>.</w:t>
      </w:r>
    </w:p>
    <w:p w14:paraId="722BEB59" w14:textId="77777777" w:rsidR="005D3AD1" w:rsidRDefault="005D3AD1" w:rsidP="005D3AD1">
      <w:pPr>
        <w:spacing w:after="0" w:line="264" w:lineRule="auto"/>
        <w:rPr>
          <w:rFonts w:ascii="Times New Roman" w:hAnsi="Times New Roman"/>
          <w:sz w:val="24"/>
          <w:szCs w:val="24"/>
        </w:rPr>
      </w:pPr>
    </w:p>
    <w:p w14:paraId="1ED276E8" w14:textId="77777777" w:rsidR="00E17062" w:rsidRDefault="00E17062" w:rsidP="005D3AD1">
      <w:pPr>
        <w:tabs>
          <w:tab w:val="left" w:pos="5220"/>
        </w:tabs>
        <w:spacing w:after="0" w:line="264" w:lineRule="auto"/>
        <w:rPr>
          <w:rFonts w:ascii="Times New Roman" w:hAnsi="Times New Roman"/>
          <w:b/>
          <w:sz w:val="24"/>
          <w:szCs w:val="24"/>
        </w:rPr>
      </w:pPr>
      <w:r>
        <w:rPr>
          <w:rFonts w:ascii="Times New Roman" w:hAnsi="Times New Roman"/>
          <w:b/>
          <w:sz w:val="24"/>
          <w:szCs w:val="24"/>
        </w:rPr>
        <w:t>Section</w:t>
      </w:r>
      <w:r w:rsidRPr="006745C3">
        <w:rPr>
          <w:rFonts w:ascii="Times New Roman" w:hAnsi="Times New Roman"/>
          <w:b/>
          <w:sz w:val="24"/>
          <w:szCs w:val="24"/>
        </w:rPr>
        <w:t xml:space="preserve"> </w:t>
      </w:r>
      <w:r>
        <w:rPr>
          <w:rFonts w:ascii="Times New Roman" w:hAnsi="Times New Roman"/>
          <w:b/>
          <w:sz w:val="24"/>
          <w:szCs w:val="24"/>
        </w:rPr>
        <w:t>2</w:t>
      </w:r>
      <w:r w:rsidRPr="006745C3">
        <w:rPr>
          <w:rFonts w:ascii="Times New Roman" w:hAnsi="Times New Roman"/>
          <w:b/>
          <w:sz w:val="24"/>
          <w:szCs w:val="24"/>
        </w:rPr>
        <w:t xml:space="preserve"> – Commencement</w:t>
      </w:r>
    </w:p>
    <w:p w14:paraId="0CA9AB7F" w14:textId="77777777" w:rsidR="005D3AD1" w:rsidRPr="006745C3" w:rsidRDefault="005D3AD1" w:rsidP="005D3AD1">
      <w:pPr>
        <w:tabs>
          <w:tab w:val="left" w:pos="5220"/>
        </w:tabs>
        <w:spacing w:after="0" w:line="264" w:lineRule="auto"/>
        <w:rPr>
          <w:rFonts w:ascii="Times New Roman" w:hAnsi="Times New Roman"/>
          <w:b/>
          <w:sz w:val="24"/>
          <w:szCs w:val="24"/>
        </w:rPr>
      </w:pPr>
    </w:p>
    <w:p w14:paraId="0B286066" w14:textId="37AF692B" w:rsidR="00E17062" w:rsidRDefault="00E17062" w:rsidP="005D3AD1">
      <w:pPr>
        <w:spacing w:after="0" w:line="264" w:lineRule="auto"/>
        <w:rPr>
          <w:rFonts w:ascii="Times New Roman" w:hAnsi="Times New Roman"/>
          <w:sz w:val="24"/>
          <w:szCs w:val="24"/>
        </w:rPr>
      </w:pPr>
      <w:r w:rsidRPr="3729ED63">
        <w:rPr>
          <w:rFonts w:ascii="Times New Roman" w:hAnsi="Times New Roman"/>
          <w:sz w:val="24"/>
          <w:szCs w:val="24"/>
        </w:rPr>
        <w:t xml:space="preserve">This section provides that the Instrument </w:t>
      </w:r>
      <w:r w:rsidR="005534F2" w:rsidRPr="3729ED63">
        <w:rPr>
          <w:rFonts w:ascii="Times New Roman" w:hAnsi="Times New Roman"/>
          <w:sz w:val="24"/>
          <w:szCs w:val="24"/>
        </w:rPr>
        <w:t xml:space="preserve">commences </w:t>
      </w:r>
      <w:r w:rsidRPr="3729ED63">
        <w:rPr>
          <w:rFonts w:ascii="Times New Roman" w:hAnsi="Times New Roman"/>
          <w:sz w:val="24"/>
          <w:szCs w:val="24"/>
        </w:rPr>
        <w:t>on the day after registration on the Federal Register of Legislation.</w:t>
      </w:r>
    </w:p>
    <w:p w14:paraId="24D811CA" w14:textId="77777777" w:rsidR="005D3AD1" w:rsidRPr="006745C3" w:rsidRDefault="005D3AD1" w:rsidP="005D3AD1">
      <w:pPr>
        <w:spacing w:after="0" w:line="264" w:lineRule="auto"/>
        <w:rPr>
          <w:rFonts w:ascii="Times New Roman" w:hAnsi="Times New Roman"/>
          <w:sz w:val="24"/>
          <w:szCs w:val="24"/>
        </w:rPr>
      </w:pPr>
    </w:p>
    <w:p w14:paraId="65047D77" w14:textId="77777777" w:rsidR="00896FFA" w:rsidRDefault="00896FFA" w:rsidP="005D3AD1">
      <w:pPr>
        <w:tabs>
          <w:tab w:val="left" w:pos="2610"/>
        </w:tabs>
        <w:spacing w:after="0" w:line="264" w:lineRule="auto"/>
        <w:rPr>
          <w:rFonts w:ascii="Times New Roman" w:hAnsi="Times New Roman"/>
          <w:b/>
          <w:sz w:val="24"/>
          <w:szCs w:val="24"/>
        </w:rPr>
      </w:pPr>
      <w:r>
        <w:rPr>
          <w:rFonts w:ascii="Times New Roman" w:hAnsi="Times New Roman"/>
          <w:b/>
          <w:sz w:val="24"/>
          <w:szCs w:val="24"/>
        </w:rPr>
        <w:t>Section 3</w:t>
      </w:r>
      <w:r w:rsidRPr="006745C3">
        <w:rPr>
          <w:rFonts w:ascii="Times New Roman" w:hAnsi="Times New Roman"/>
          <w:b/>
          <w:sz w:val="24"/>
          <w:szCs w:val="24"/>
        </w:rPr>
        <w:t xml:space="preserve"> – Authority</w:t>
      </w:r>
    </w:p>
    <w:p w14:paraId="389678B6" w14:textId="77777777" w:rsidR="005D3AD1" w:rsidRPr="006745C3" w:rsidRDefault="005D3AD1" w:rsidP="005D3AD1">
      <w:pPr>
        <w:tabs>
          <w:tab w:val="left" w:pos="2610"/>
        </w:tabs>
        <w:spacing w:after="0" w:line="264" w:lineRule="auto"/>
        <w:rPr>
          <w:rFonts w:ascii="Times New Roman" w:hAnsi="Times New Roman"/>
          <w:b/>
          <w:sz w:val="24"/>
          <w:szCs w:val="24"/>
        </w:rPr>
      </w:pPr>
    </w:p>
    <w:p w14:paraId="42482AD3" w14:textId="6D7AC848" w:rsidR="00E17062" w:rsidRDefault="00896FFA" w:rsidP="005D3AD1">
      <w:pPr>
        <w:spacing w:after="0" w:line="264" w:lineRule="auto"/>
        <w:rPr>
          <w:rFonts w:ascii="Times New Roman" w:hAnsi="Times New Roman"/>
          <w:sz w:val="24"/>
          <w:szCs w:val="24"/>
        </w:rPr>
      </w:pPr>
      <w:r w:rsidRPr="59CE95B8">
        <w:rPr>
          <w:rFonts w:ascii="Times New Roman" w:hAnsi="Times New Roman"/>
          <w:sz w:val="24"/>
          <w:szCs w:val="24"/>
        </w:rPr>
        <w:t xml:space="preserve">This section provides that </w:t>
      </w:r>
      <w:r w:rsidR="005534F2" w:rsidRPr="59CE95B8">
        <w:rPr>
          <w:rFonts w:ascii="Times New Roman" w:hAnsi="Times New Roman"/>
          <w:sz w:val="24"/>
          <w:szCs w:val="24"/>
        </w:rPr>
        <w:t>sub</w:t>
      </w:r>
      <w:r w:rsidRPr="59CE95B8">
        <w:rPr>
          <w:rFonts w:ascii="Times New Roman" w:hAnsi="Times New Roman"/>
          <w:sz w:val="24"/>
          <w:szCs w:val="24"/>
        </w:rPr>
        <w:t xml:space="preserve">section 37(1) of the </w:t>
      </w:r>
      <w:r w:rsidRPr="59CE95B8">
        <w:rPr>
          <w:rFonts w:ascii="Times New Roman" w:hAnsi="Times New Roman"/>
          <w:i/>
          <w:iCs/>
          <w:sz w:val="24"/>
          <w:szCs w:val="24"/>
        </w:rPr>
        <w:t xml:space="preserve">Greenhouse and Energy Minimum Standards Act 2012 </w:t>
      </w:r>
      <w:r w:rsidR="00DA32B3" w:rsidRPr="59CE95B8">
        <w:rPr>
          <w:rFonts w:ascii="Times New Roman" w:hAnsi="Times New Roman"/>
          <w:sz w:val="24"/>
          <w:szCs w:val="24"/>
        </w:rPr>
        <w:t xml:space="preserve">(Act) </w:t>
      </w:r>
      <w:r w:rsidRPr="59CE95B8">
        <w:rPr>
          <w:rFonts w:ascii="Times New Roman" w:hAnsi="Times New Roman"/>
          <w:sz w:val="24"/>
          <w:szCs w:val="24"/>
        </w:rPr>
        <w:t>is the provision under which the Instrument is made.</w:t>
      </w:r>
    </w:p>
    <w:p w14:paraId="730F51D7" w14:textId="77777777" w:rsidR="005D3AD1" w:rsidRDefault="005D3AD1" w:rsidP="005D3AD1">
      <w:pPr>
        <w:spacing w:after="0" w:line="264" w:lineRule="auto"/>
        <w:rPr>
          <w:rFonts w:ascii="Times New Roman" w:hAnsi="Times New Roman"/>
          <w:sz w:val="24"/>
          <w:szCs w:val="24"/>
        </w:rPr>
      </w:pPr>
    </w:p>
    <w:p w14:paraId="01F049D9" w14:textId="77777777" w:rsidR="00896FFA" w:rsidRDefault="00896FFA" w:rsidP="005D3AD1">
      <w:pPr>
        <w:spacing w:after="0" w:line="264" w:lineRule="auto"/>
        <w:rPr>
          <w:rFonts w:ascii="Times New Roman" w:hAnsi="Times New Roman"/>
          <w:b/>
          <w:sz w:val="24"/>
          <w:szCs w:val="24"/>
        </w:rPr>
      </w:pPr>
      <w:r>
        <w:rPr>
          <w:rFonts w:ascii="Times New Roman" w:hAnsi="Times New Roman"/>
          <w:b/>
          <w:sz w:val="24"/>
          <w:szCs w:val="24"/>
        </w:rPr>
        <w:t>Section 4 – Definitions</w:t>
      </w:r>
    </w:p>
    <w:p w14:paraId="51645AEB" w14:textId="77777777" w:rsidR="005D3AD1" w:rsidRDefault="005D3AD1" w:rsidP="005D3AD1">
      <w:pPr>
        <w:spacing w:after="0" w:line="264" w:lineRule="auto"/>
        <w:rPr>
          <w:rFonts w:ascii="Times New Roman" w:hAnsi="Times New Roman"/>
          <w:b/>
          <w:sz w:val="24"/>
          <w:szCs w:val="24"/>
        </w:rPr>
      </w:pPr>
    </w:p>
    <w:p w14:paraId="1710DD45" w14:textId="76198A44" w:rsidR="00AE789E" w:rsidRDefault="00896FFA" w:rsidP="3729ED63">
      <w:pPr>
        <w:spacing w:after="0" w:line="264" w:lineRule="auto"/>
        <w:rPr>
          <w:rFonts w:ascii="Times New Roman" w:hAnsi="Times New Roman"/>
          <w:sz w:val="24"/>
          <w:szCs w:val="24"/>
        </w:rPr>
      </w:pPr>
      <w:r w:rsidRPr="3729ED63">
        <w:rPr>
          <w:rFonts w:ascii="Times New Roman" w:hAnsi="Times New Roman"/>
          <w:sz w:val="24"/>
          <w:szCs w:val="24"/>
        </w:rPr>
        <w:t xml:space="preserve">This </w:t>
      </w:r>
      <w:r w:rsidR="005534F2" w:rsidRPr="3729ED63">
        <w:rPr>
          <w:rFonts w:ascii="Times New Roman" w:hAnsi="Times New Roman"/>
          <w:sz w:val="24"/>
          <w:szCs w:val="24"/>
        </w:rPr>
        <w:t xml:space="preserve">section </w:t>
      </w:r>
      <w:r w:rsidRPr="3729ED63">
        <w:rPr>
          <w:rFonts w:ascii="Times New Roman" w:hAnsi="Times New Roman"/>
          <w:sz w:val="24"/>
          <w:szCs w:val="24"/>
        </w:rPr>
        <w:t>provides for definitions of terms used in the Instrument.</w:t>
      </w:r>
      <w:r w:rsidR="00AE789E" w:rsidRPr="3729ED63">
        <w:rPr>
          <w:rFonts w:ascii="Times New Roman" w:hAnsi="Times New Roman"/>
          <w:sz w:val="24"/>
          <w:szCs w:val="24"/>
        </w:rPr>
        <w:t xml:space="preserve"> The term ‘</w:t>
      </w:r>
      <w:r w:rsidR="00AE789E" w:rsidRPr="3729ED63">
        <w:rPr>
          <w:rFonts w:ascii="Times New Roman" w:hAnsi="Times New Roman"/>
          <w:i/>
          <w:iCs/>
          <w:sz w:val="24"/>
          <w:szCs w:val="24"/>
        </w:rPr>
        <w:t>exempt model</w:t>
      </w:r>
      <w:r w:rsidR="005E5526" w:rsidRPr="3729ED63">
        <w:rPr>
          <w:rFonts w:ascii="Times New Roman" w:hAnsi="Times New Roman"/>
          <w:i/>
          <w:iCs/>
          <w:sz w:val="24"/>
          <w:szCs w:val="24"/>
        </w:rPr>
        <w:t>s</w:t>
      </w:r>
      <w:r w:rsidR="00AE789E" w:rsidRPr="3729ED63">
        <w:rPr>
          <w:rFonts w:ascii="Times New Roman" w:hAnsi="Times New Roman"/>
          <w:sz w:val="24"/>
          <w:szCs w:val="24"/>
        </w:rPr>
        <w:t xml:space="preserve">’ is defined in section 5 of the Instrument. </w:t>
      </w:r>
    </w:p>
    <w:p w14:paraId="380A3B13" w14:textId="77777777" w:rsidR="005D3AD1" w:rsidRDefault="005D3AD1" w:rsidP="005D3AD1">
      <w:pPr>
        <w:spacing w:after="0" w:line="264" w:lineRule="auto"/>
        <w:rPr>
          <w:rFonts w:ascii="Times New Roman" w:hAnsi="Times New Roman"/>
          <w:sz w:val="24"/>
          <w:szCs w:val="24"/>
        </w:rPr>
      </w:pPr>
    </w:p>
    <w:p w14:paraId="1A12C6E6" w14:textId="26D01993" w:rsidR="00896FFA" w:rsidRDefault="00896FFA" w:rsidP="005D3AD1">
      <w:pPr>
        <w:spacing w:after="0" w:line="264" w:lineRule="auto"/>
        <w:rPr>
          <w:rFonts w:ascii="Times New Roman" w:hAnsi="Times New Roman"/>
          <w:b/>
          <w:sz w:val="24"/>
          <w:szCs w:val="24"/>
        </w:rPr>
      </w:pPr>
      <w:r>
        <w:rPr>
          <w:rFonts w:ascii="Times New Roman" w:hAnsi="Times New Roman"/>
          <w:b/>
          <w:sz w:val="24"/>
          <w:szCs w:val="24"/>
        </w:rPr>
        <w:t xml:space="preserve">Section 5 </w:t>
      </w:r>
      <w:r w:rsidR="00AE789E">
        <w:rPr>
          <w:rFonts w:ascii="Times New Roman" w:hAnsi="Times New Roman"/>
          <w:b/>
          <w:sz w:val="24"/>
          <w:szCs w:val="24"/>
        </w:rPr>
        <w:t>– Exemption</w:t>
      </w:r>
    </w:p>
    <w:p w14:paraId="5B565F0E" w14:textId="77777777" w:rsidR="005D3AD1" w:rsidRDefault="005D3AD1" w:rsidP="005D3AD1">
      <w:pPr>
        <w:spacing w:after="0" w:line="264" w:lineRule="auto"/>
        <w:rPr>
          <w:rFonts w:ascii="Times New Roman" w:hAnsi="Times New Roman"/>
          <w:b/>
          <w:sz w:val="24"/>
          <w:szCs w:val="24"/>
        </w:rPr>
      </w:pPr>
    </w:p>
    <w:p w14:paraId="27063FA6" w14:textId="7B0EA5AE" w:rsidR="00212E41" w:rsidRDefault="005534F2" w:rsidP="3729ED63">
      <w:pPr>
        <w:autoSpaceDE w:val="0"/>
        <w:autoSpaceDN w:val="0"/>
        <w:adjustRightInd w:val="0"/>
        <w:spacing w:after="0" w:line="264" w:lineRule="auto"/>
        <w:rPr>
          <w:rFonts w:ascii="Times New Roman" w:hAnsi="Times New Roman"/>
          <w:sz w:val="24"/>
          <w:szCs w:val="24"/>
        </w:rPr>
      </w:pPr>
      <w:r w:rsidRPr="3729ED63">
        <w:rPr>
          <w:rFonts w:ascii="Times New Roman" w:hAnsi="Times New Roman"/>
          <w:sz w:val="24"/>
          <w:szCs w:val="24"/>
        </w:rPr>
        <w:t xml:space="preserve">This section </w:t>
      </w:r>
      <w:r w:rsidR="00A63F97" w:rsidRPr="3729ED63">
        <w:rPr>
          <w:rFonts w:ascii="Times New Roman" w:hAnsi="Times New Roman"/>
          <w:sz w:val="24"/>
          <w:szCs w:val="24"/>
        </w:rPr>
        <w:t>exempts the model</w:t>
      </w:r>
      <w:r w:rsidR="005E5526" w:rsidRPr="3729ED63">
        <w:rPr>
          <w:rFonts w:ascii="Times New Roman" w:hAnsi="Times New Roman"/>
          <w:sz w:val="24"/>
          <w:szCs w:val="24"/>
        </w:rPr>
        <w:t>s</w:t>
      </w:r>
      <w:r w:rsidR="00AE789E" w:rsidRPr="3729ED63">
        <w:rPr>
          <w:rFonts w:ascii="Times New Roman" w:hAnsi="Times New Roman"/>
          <w:sz w:val="24"/>
          <w:szCs w:val="24"/>
        </w:rPr>
        <w:t xml:space="preserve"> specified in clause 1 of Schedule 1 to the Instrument (the </w:t>
      </w:r>
      <w:r w:rsidR="00AE789E" w:rsidRPr="3729ED63">
        <w:rPr>
          <w:rFonts w:ascii="Times New Roman" w:hAnsi="Times New Roman"/>
          <w:b/>
          <w:bCs/>
          <w:i/>
          <w:iCs/>
          <w:sz w:val="24"/>
          <w:szCs w:val="24"/>
        </w:rPr>
        <w:t>exempt model</w:t>
      </w:r>
      <w:r w:rsidR="005E5526" w:rsidRPr="3729ED63">
        <w:rPr>
          <w:rFonts w:ascii="Times New Roman" w:hAnsi="Times New Roman"/>
          <w:b/>
          <w:bCs/>
          <w:i/>
          <w:iCs/>
          <w:sz w:val="24"/>
          <w:szCs w:val="24"/>
        </w:rPr>
        <w:t>s</w:t>
      </w:r>
      <w:r w:rsidR="00AE789E" w:rsidRPr="3729ED63">
        <w:rPr>
          <w:rFonts w:ascii="Times New Roman" w:hAnsi="Times New Roman"/>
          <w:sz w:val="24"/>
          <w:szCs w:val="24"/>
        </w:rPr>
        <w:t>) from the requir</w:t>
      </w:r>
      <w:r w:rsidR="00D32587" w:rsidRPr="3729ED63">
        <w:rPr>
          <w:rFonts w:ascii="Times New Roman" w:hAnsi="Times New Roman"/>
          <w:sz w:val="24"/>
          <w:szCs w:val="24"/>
        </w:rPr>
        <w:t xml:space="preserve">ements </w:t>
      </w:r>
      <w:r w:rsidR="007C0861" w:rsidRPr="3729ED63">
        <w:rPr>
          <w:rFonts w:ascii="Times New Roman" w:hAnsi="Times New Roman"/>
          <w:sz w:val="24"/>
          <w:szCs w:val="24"/>
        </w:rPr>
        <w:t xml:space="preserve">of the </w:t>
      </w:r>
      <w:r w:rsidR="007C0861" w:rsidRPr="3729ED63">
        <w:rPr>
          <w:rFonts w:ascii="Times New Roman" w:hAnsi="Times New Roman"/>
          <w:i/>
          <w:iCs/>
          <w:sz w:val="24"/>
          <w:szCs w:val="24"/>
        </w:rPr>
        <w:t xml:space="preserve">Greenhouse and Energy Minimum Standards (Incandescent Lamps for General Lighting Services) Determination 2024 </w:t>
      </w:r>
      <w:r w:rsidR="003C7732" w:rsidRPr="3729ED63">
        <w:rPr>
          <w:rFonts w:ascii="Times New Roman" w:hAnsi="Times New Roman"/>
          <w:sz w:val="24"/>
          <w:szCs w:val="24"/>
        </w:rPr>
        <w:t xml:space="preserve">(2024 </w:t>
      </w:r>
      <w:r w:rsidR="007C0861" w:rsidRPr="3729ED63">
        <w:rPr>
          <w:rFonts w:ascii="Times New Roman" w:hAnsi="Times New Roman"/>
          <w:sz w:val="24"/>
          <w:szCs w:val="24"/>
        </w:rPr>
        <w:t>Determination</w:t>
      </w:r>
      <w:r w:rsidR="003C7732" w:rsidRPr="3729ED63">
        <w:rPr>
          <w:rFonts w:ascii="Times New Roman" w:hAnsi="Times New Roman"/>
          <w:sz w:val="24"/>
          <w:szCs w:val="24"/>
        </w:rPr>
        <w:t>)</w:t>
      </w:r>
      <w:r w:rsidR="007C0861" w:rsidRPr="3729ED63">
        <w:rPr>
          <w:rFonts w:ascii="Times New Roman" w:hAnsi="Times New Roman"/>
          <w:sz w:val="24"/>
          <w:szCs w:val="24"/>
        </w:rPr>
        <w:t xml:space="preserve"> </w:t>
      </w:r>
      <w:r w:rsidR="00D32587" w:rsidRPr="3729ED63">
        <w:rPr>
          <w:rFonts w:ascii="Times New Roman" w:hAnsi="Times New Roman"/>
          <w:sz w:val="24"/>
          <w:szCs w:val="24"/>
        </w:rPr>
        <w:t>specified in clause 2 of Schedule 1</w:t>
      </w:r>
      <w:r w:rsidR="009709F4" w:rsidRPr="3729ED63">
        <w:rPr>
          <w:rFonts w:ascii="Times New Roman" w:hAnsi="Times New Roman"/>
          <w:sz w:val="24"/>
          <w:szCs w:val="24"/>
        </w:rPr>
        <w:t xml:space="preserve"> with respect to the supplies of the exempt models specified at clause 3 of Schedule 1</w:t>
      </w:r>
      <w:r w:rsidR="00AE789E" w:rsidRPr="3729ED63">
        <w:rPr>
          <w:rFonts w:ascii="Times New Roman" w:hAnsi="Times New Roman"/>
          <w:sz w:val="24"/>
          <w:szCs w:val="24"/>
        </w:rPr>
        <w:t>.</w:t>
      </w:r>
      <w:r w:rsidR="009709F4" w:rsidRPr="3729ED63">
        <w:rPr>
          <w:rFonts w:ascii="Times New Roman" w:hAnsi="Times New Roman"/>
          <w:sz w:val="24"/>
          <w:szCs w:val="24"/>
        </w:rPr>
        <w:t xml:space="preserve"> </w:t>
      </w:r>
    </w:p>
    <w:p w14:paraId="3E6527AD" w14:textId="77777777" w:rsidR="00212E41" w:rsidRDefault="00212E41" w:rsidP="3729ED63">
      <w:pPr>
        <w:autoSpaceDE w:val="0"/>
        <w:autoSpaceDN w:val="0"/>
        <w:adjustRightInd w:val="0"/>
        <w:spacing w:after="0" w:line="264" w:lineRule="auto"/>
        <w:rPr>
          <w:rFonts w:ascii="Times New Roman" w:hAnsi="Times New Roman"/>
          <w:sz w:val="24"/>
          <w:szCs w:val="24"/>
        </w:rPr>
      </w:pPr>
    </w:p>
    <w:p w14:paraId="29D90F7D" w14:textId="7DD2E4F4" w:rsidR="00AE789E" w:rsidRPr="00997E62" w:rsidRDefault="009709F4" w:rsidP="3729ED63">
      <w:pPr>
        <w:autoSpaceDE w:val="0"/>
        <w:autoSpaceDN w:val="0"/>
        <w:adjustRightInd w:val="0"/>
        <w:spacing w:after="0" w:line="264" w:lineRule="auto"/>
        <w:rPr>
          <w:rFonts w:ascii="Times New Roman" w:hAnsi="Times New Roman"/>
          <w:sz w:val="24"/>
          <w:szCs w:val="24"/>
        </w:rPr>
      </w:pPr>
      <w:r w:rsidRPr="3729ED63">
        <w:rPr>
          <w:rFonts w:ascii="Times New Roman" w:hAnsi="Times New Roman"/>
          <w:sz w:val="24"/>
          <w:szCs w:val="24"/>
        </w:rPr>
        <w:t xml:space="preserve">This </w:t>
      </w:r>
      <w:r w:rsidR="00212E41" w:rsidRPr="3729ED63">
        <w:rPr>
          <w:rFonts w:ascii="Times New Roman" w:hAnsi="Times New Roman"/>
          <w:sz w:val="24"/>
          <w:szCs w:val="24"/>
        </w:rPr>
        <w:t xml:space="preserve">provides an exemption for the </w:t>
      </w:r>
      <w:r w:rsidR="00212E41" w:rsidRPr="3729ED63">
        <w:rPr>
          <w:rFonts w:ascii="Times New Roman" w:hAnsi="Times New Roman"/>
          <w:b/>
          <w:bCs/>
          <w:i/>
          <w:iCs/>
          <w:sz w:val="24"/>
          <w:szCs w:val="24"/>
        </w:rPr>
        <w:t xml:space="preserve">exempt models </w:t>
      </w:r>
      <w:r w:rsidR="00212E41" w:rsidRPr="3729ED63">
        <w:rPr>
          <w:rFonts w:ascii="Times New Roman" w:hAnsi="Times New Roman"/>
          <w:sz w:val="24"/>
          <w:szCs w:val="24"/>
        </w:rPr>
        <w:t xml:space="preserve">from the minimum energy performance requirements, labelling requirements and other requirements set out in Part 3, Part 4 and Part 5 of the </w:t>
      </w:r>
      <w:r w:rsidR="00997E62" w:rsidRPr="3729ED63">
        <w:rPr>
          <w:rFonts w:ascii="Times New Roman" w:hAnsi="Times New Roman"/>
          <w:sz w:val="24"/>
          <w:szCs w:val="24"/>
        </w:rPr>
        <w:t>2024 Determination.</w:t>
      </w:r>
    </w:p>
    <w:p w14:paraId="64A1EA7B" w14:textId="45DB369B" w:rsidR="005D3AD1" w:rsidRPr="00667A40" w:rsidRDefault="005D3AD1" w:rsidP="3729ED63">
      <w:pPr>
        <w:autoSpaceDE w:val="0"/>
        <w:autoSpaceDN w:val="0"/>
        <w:adjustRightInd w:val="0"/>
        <w:spacing w:after="0" w:line="264" w:lineRule="auto"/>
        <w:rPr>
          <w:rFonts w:ascii="Times New Roman" w:hAnsi="Times New Roman"/>
          <w:sz w:val="24"/>
          <w:szCs w:val="24"/>
        </w:rPr>
      </w:pPr>
    </w:p>
    <w:p w14:paraId="54E3283B" w14:textId="59490FA5" w:rsidR="00343CF8" w:rsidRDefault="00343CF8" w:rsidP="005D3AD1">
      <w:pPr>
        <w:tabs>
          <w:tab w:val="left" w:pos="7127"/>
        </w:tabs>
        <w:spacing w:after="0" w:line="264" w:lineRule="auto"/>
        <w:rPr>
          <w:rFonts w:ascii="Times New Roman" w:hAnsi="Times New Roman"/>
          <w:b/>
          <w:bCs/>
          <w:sz w:val="24"/>
          <w:szCs w:val="24"/>
        </w:rPr>
      </w:pPr>
      <w:r w:rsidRPr="59CE95B8">
        <w:rPr>
          <w:rFonts w:ascii="Times New Roman" w:hAnsi="Times New Roman"/>
          <w:b/>
          <w:bCs/>
          <w:sz w:val="24"/>
          <w:szCs w:val="24"/>
        </w:rPr>
        <w:t xml:space="preserve">Section 6 – Conditions </w:t>
      </w:r>
      <w:r w:rsidR="00513B57" w:rsidRPr="59CE95B8">
        <w:rPr>
          <w:rFonts w:ascii="Times New Roman" w:hAnsi="Times New Roman"/>
          <w:b/>
          <w:bCs/>
          <w:sz w:val="24"/>
          <w:szCs w:val="24"/>
        </w:rPr>
        <w:t>of</w:t>
      </w:r>
      <w:r w:rsidRPr="59CE95B8">
        <w:rPr>
          <w:rFonts w:ascii="Times New Roman" w:hAnsi="Times New Roman"/>
          <w:b/>
          <w:bCs/>
          <w:sz w:val="24"/>
          <w:szCs w:val="24"/>
        </w:rPr>
        <w:t xml:space="preserve"> exemption </w:t>
      </w:r>
    </w:p>
    <w:p w14:paraId="1D736E71" w14:textId="77777777" w:rsidR="00343CF8" w:rsidRDefault="00343CF8" w:rsidP="005D3AD1">
      <w:pPr>
        <w:tabs>
          <w:tab w:val="left" w:pos="7127"/>
        </w:tabs>
        <w:spacing w:after="0" w:line="264" w:lineRule="auto"/>
        <w:rPr>
          <w:rFonts w:ascii="Times New Roman" w:hAnsi="Times New Roman"/>
          <w:b/>
          <w:bCs/>
          <w:sz w:val="24"/>
          <w:szCs w:val="24"/>
        </w:rPr>
      </w:pPr>
    </w:p>
    <w:p w14:paraId="150E3767" w14:textId="20E3FB7D" w:rsidR="00343CF8" w:rsidRPr="003C18C7" w:rsidRDefault="00343CF8" w:rsidP="005D3AD1">
      <w:pPr>
        <w:tabs>
          <w:tab w:val="left" w:pos="7127"/>
        </w:tabs>
        <w:spacing w:after="0" w:line="264" w:lineRule="auto"/>
        <w:rPr>
          <w:rFonts w:ascii="Times New Roman" w:hAnsi="Times New Roman"/>
          <w:sz w:val="24"/>
          <w:szCs w:val="24"/>
        </w:rPr>
      </w:pPr>
      <w:bookmarkStart w:id="1" w:name="_Hlk210812292"/>
      <w:r w:rsidRPr="59CE95B8">
        <w:rPr>
          <w:rFonts w:ascii="Times New Roman" w:hAnsi="Times New Roman"/>
          <w:sz w:val="24"/>
          <w:szCs w:val="24"/>
        </w:rPr>
        <w:t xml:space="preserve">This section </w:t>
      </w:r>
      <w:r w:rsidR="00513B57" w:rsidRPr="59CE95B8">
        <w:rPr>
          <w:rFonts w:ascii="Times New Roman" w:hAnsi="Times New Roman"/>
          <w:sz w:val="24"/>
          <w:szCs w:val="24"/>
        </w:rPr>
        <w:t xml:space="preserve">provides that </w:t>
      </w:r>
      <w:r w:rsidR="00DA32B3" w:rsidRPr="59CE95B8">
        <w:rPr>
          <w:rFonts w:ascii="Times New Roman" w:hAnsi="Times New Roman"/>
          <w:sz w:val="24"/>
          <w:szCs w:val="24"/>
        </w:rPr>
        <w:t>conditions for the purposes of subsection 37(2) of the Act are set out in clause 4 of Schedule 1 to the Instrument.</w:t>
      </w:r>
      <w:r w:rsidR="00B71080" w:rsidRPr="59CE95B8">
        <w:rPr>
          <w:rFonts w:ascii="Times New Roman" w:hAnsi="Times New Roman"/>
          <w:sz w:val="24"/>
          <w:szCs w:val="24"/>
        </w:rPr>
        <w:t xml:space="preserve"> </w:t>
      </w:r>
      <w:bookmarkEnd w:id="1"/>
    </w:p>
    <w:p w14:paraId="7FDF7D01" w14:textId="77777777" w:rsidR="00343CF8" w:rsidRDefault="00343CF8" w:rsidP="005D3AD1">
      <w:pPr>
        <w:tabs>
          <w:tab w:val="left" w:pos="7127"/>
        </w:tabs>
        <w:spacing w:after="0" w:line="264" w:lineRule="auto"/>
        <w:rPr>
          <w:rFonts w:ascii="Times New Roman" w:hAnsi="Times New Roman"/>
          <w:b/>
          <w:bCs/>
          <w:sz w:val="24"/>
          <w:szCs w:val="24"/>
        </w:rPr>
      </w:pPr>
    </w:p>
    <w:p w14:paraId="2D0799A3" w14:textId="787D5CB9" w:rsidR="005D3AD1" w:rsidRDefault="783307B3" w:rsidP="005D3AD1">
      <w:pPr>
        <w:tabs>
          <w:tab w:val="left" w:pos="7127"/>
        </w:tabs>
        <w:spacing w:after="0" w:line="264" w:lineRule="auto"/>
        <w:rPr>
          <w:rFonts w:ascii="Times New Roman" w:hAnsi="Times New Roman"/>
          <w:b/>
          <w:bCs/>
          <w:sz w:val="24"/>
          <w:szCs w:val="24"/>
        </w:rPr>
      </w:pPr>
      <w:r w:rsidRPr="59CE95B8">
        <w:rPr>
          <w:rFonts w:ascii="Times New Roman" w:hAnsi="Times New Roman"/>
          <w:b/>
          <w:bCs/>
          <w:sz w:val="24"/>
          <w:szCs w:val="24"/>
        </w:rPr>
        <w:t xml:space="preserve">Section </w:t>
      </w:r>
      <w:r w:rsidR="00343CF8" w:rsidRPr="59CE95B8">
        <w:rPr>
          <w:rFonts w:ascii="Times New Roman" w:hAnsi="Times New Roman"/>
          <w:b/>
          <w:bCs/>
          <w:sz w:val="24"/>
          <w:szCs w:val="24"/>
        </w:rPr>
        <w:t>7</w:t>
      </w:r>
      <w:r w:rsidRPr="59CE95B8">
        <w:rPr>
          <w:rFonts w:ascii="Times New Roman" w:hAnsi="Times New Roman"/>
          <w:b/>
          <w:bCs/>
          <w:sz w:val="24"/>
          <w:szCs w:val="24"/>
        </w:rPr>
        <w:t xml:space="preserve"> </w:t>
      </w:r>
      <w:r w:rsidR="005D3AD1" w:rsidRPr="59CE95B8">
        <w:rPr>
          <w:rFonts w:ascii="Times New Roman" w:hAnsi="Times New Roman"/>
          <w:b/>
          <w:bCs/>
          <w:sz w:val="24"/>
          <w:szCs w:val="24"/>
        </w:rPr>
        <w:t>–</w:t>
      </w:r>
      <w:r w:rsidRPr="59CE95B8">
        <w:rPr>
          <w:rFonts w:ascii="Times New Roman" w:hAnsi="Times New Roman"/>
          <w:b/>
          <w:bCs/>
          <w:sz w:val="24"/>
          <w:szCs w:val="24"/>
        </w:rPr>
        <w:t xml:space="preserve"> </w:t>
      </w:r>
      <w:r w:rsidR="00AB1E0D" w:rsidRPr="59CE95B8">
        <w:rPr>
          <w:rFonts w:ascii="Times New Roman" w:hAnsi="Times New Roman"/>
          <w:b/>
          <w:bCs/>
          <w:sz w:val="24"/>
          <w:szCs w:val="24"/>
        </w:rPr>
        <w:t>Repeal</w:t>
      </w:r>
    </w:p>
    <w:p w14:paraId="1FAF9F01" w14:textId="00508B96" w:rsidR="00AB1E0D" w:rsidRDefault="00AB1E0D" w:rsidP="005D3AD1">
      <w:pPr>
        <w:tabs>
          <w:tab w:val="left" w:pos="7127"/>
        </w:tabs>
        <w:spacing w:after="0" w:line="264" w:lineRule="auto"/>
        <w:rPr>
          <w:rFonts w:ascii="Times New Roman" w:hAnsi="Times New Roman"/>
          <w:b/>
          <w:bCs/>
          <w:sz w:val="24"/>
          <w:szCs w:val="24"/>
        </w:rPr>
      </w:pPr>
      <w:r>
        <w:tab/>
      </w:r>
    </w:p>
    <w:p w14:paraId="3973868B" w14:textId="13BB76CB" w:rsidR="00EF2474" w:rsidRDefault="00D95931" w:rsidP="005D3AD1">
      <w:pPr>
        <w:spacing w:after="0" w:line="264" w:lineRule="auto"/>
        <w:rPr>
          <w:rFonts w:ascii="Times New Roman" w:hAnsi="Times New Roman"/>
          <w:sz w:val="24"/>
          <w:szCs w:val="24"/>
        </w:rPr>
      </w:pPr>
      <w:r w:rsidRPr="59CE95B8">
        <w:rPr>
          <w:rFonts w:ascii="Times New Roman" w:hAnsi="Times New Roman"/>
          <w:sz w:val="24"/>
          <w:szCs w:val="24"/>
        </w:rPr>
        <w:t xml:space="preserve">This section provides that the Instrument is repealed </w:t>
      </w:r>
      <w:r w:rsidR="00FF1A0A" w:rsidRPr="59CE95B8">
        <w:rPr>
          <w:rFonts w:ascii="Times New Roman" w:hAnsi="Times New Roman"/>
          <w:sz w:val="24"/>
          <w:szCs w:val="24"/>
        </w:rPr>
        <w:t>five</w:t>
      </w:r>
      <w:r w:rsidR="00343CF8" w:rsidRPr="59CE95B8">
        <w:rPr>
          <w:rFonts w:ascii="Times New Roman" w:hAnsi="Times New Roman"/>
          <w:sz w:val="24"/>
          <w:szCs w:val="24"/>
        </w:rPr>
        <w:t xml:space="preserve"> </w:t>
      </w:r>
      <w:r w:rsidR="006461E9" w:rsidRPr="59CE95B8">
        <w:rPr>
          <w:rFonts w:ascii="Times New Roman" w:hAnsi="Times New Roman"/>
          <w:sz w:val="24"/>
          <w:szCs w:val="24"/>
        </w:rPr>
        <w:t>years after the date of commencement.</w:t>
      </w:r>
      <w:r w:rsidRPr="59CE95B8">
        <w:rPr>
          <w:rFonts w:ascii="Times New Roman" w:hAnsi="Times New Roman"/>
          <w:sz w:val="24"/>
          <w:szCs w:val="24"/>
        </w:rPr>
        <w:t xml:space="preserve"> The Instrument </w:t>
      </w:r>
      <w:proofErr w:type="gramStart"/>
      <w:r w:rsidRPr="59CE95B8">
        <w:rPr>
          <w:rFonts w:ascii="Times New Roman" w:hAnsi="Times New Roman"/>
          <w:sz w:val="24"/>
          <w:szCs w:val="24"/>
        </w:rPr>
        <w:t>is able to</w:t>
      </w:r>
      <w:proofErr w:type="gramEnd"/>
      <w:r w:rsidRPr="59CE95B8">
        <w:rPr>
          <w:rFonts w:ascii="Times New Roman" w:hAnsi="Times New Roman"/>
          <w:sz w:val="24"/>
          <w:szCs w:val="24"/>
        </w:rPr>
        <w:t xml:space="preserve"> be repealed due to the operation of subsection 33(3) </w:t>
      </w:r>
      <w:r w:rsidRPr="59CE95B8">
        <w:rPr>
          <w:rFonts w:ascii="Times New Roman" w:hAnsi="Times New Roman"/>
          <w:sz w:val="24"/>
          <w:szCs w:val="24"/>
        </w:rPr>
        <w:lastRenderedPageBreak/>
        <w:t xml:space="preserve">of the </w:t>
      </w:r>
      <w:r w:rsidRPr="59CE95B8">
        <w:rPr>
          <w:rFonts w:ascii="Times New Roman" w:hAnsi="Times New Roman"/>
          <w:i/>
          <w:iCs/>
          <w:sz w:val="24"/>
          <w:szCs w:val="24"/>
        </w:rPr>
        <w:t>Acts Interpretation Act 1901</w:t>
      </w:r>
      <w:r w:rsidRPr="59CE95B8">
        <w:rPr>
          <w:rFonts w:ascii="Times New Roman" w:hAnsi="Times New Roman"/>
          <w:sz w:val="24"/>
          <w:szCs w:val="24"/>
        </w:rPr>
        <w:t>.</w:t>
      </w:r>
      <w:r w:rsidR="00160DF8" w:rsidRPr="59CE95B8">
        <w:rPr>
          <w:rFonts w:ascii="Times New Roman" w:hAnsi="Times New Roman"/>
          <w:sz w:val="24"/>
          <w:szCs w:val="24"/>
        </w:rPr>
        <w:t xml:space="preserve"> A</w:t>
      </w:r>
      <w:r w:rsidR="003341D1" w:rsidRPr="59CE95B8">
        <w:rPr>
          <w:rFonts w:ascii="Times New Roman" w:hAnsi="Times New Roman"/>
          <w:sz w:val="24"/>
          <w:szCs w:val="24"/>
        </w:rPr>
        <w:t xml:space="preserve"> </w:t>
      </w:r>
      <w:r w:rsidR="00BA20A6" w:rsidRPr="59CE95B8">
        <w:rPr>
          <w:rFonts w:ascii="Times New Roman" w:hAnsi="Times New Roman"/>
          <w:sz w:val="24"/>
          <w:szCs w:val="24"/>
        </w:rPr>
        <w:t>repeal</w:t>
      </w:r>
      <w:r w:rsidR="00A95155" w:rsidRPr="59CE95B8">
        <w:rPr>
          <w:rFonts w:ascii="Times New Roman" w:hAnsi="Times New Roman"/>
          <w:sz w:val="24"/>
          <w:szCs w:val="24"/>
        </w:rPr>
        <w:t xml:space="preserve"> date has been set to </w:t>
      </w:r>
      <w:r w:rsidR="001A0692" w:rsidRPr="59CE95B8">
        <w:rPr>
          <w:rFonts w:ascii="Times New Roman" w:hAnsi="Times New Roman"/>
          <w:sz w:val="24"/>
          <w:szCs w:val="24"/>
        </w:rPr>
        <w:t>avoid an indefinite exemption, given the Instrument is exempt from sunsetting</w:t>
      </w:r>
      <w:r w:rsidR="00A95155" w:rsidRPr="59CE95B8">
        <w:rPr>
          <w:rFonts w:ascii="Times New Roman" w:hAnsi="Times New Roman"/>
          <w:sz w:val="24"/>
          <w:szCs w:val="24"/>
        </w:rPr>
        <w:t>.</w:t>
      </w:r>
    </w:p>
    <w:p w14:paraId="12A7566D" w14:textId="77777777" w:rsidR="009F0904" w:rsidRPr="00A84F5A" w:rsidRDefault="009F0904" w:rsidP="3729ED63">
      <w:pPr>
        <w:autoSpaceDE w:val="0"/>
        <w:autoSpaceDN w:val="0"/>
        <w:adjustRightInd w:val="0"/>
        <w:spacing w:after="0" w:line="264" w:lineRule="auto"/>
        <w:rPr>
          <w:rFonts w:ascii="Times New Roman" w:hAnsi="Times New Roman"/>
          <w:b/>
          <w:bCs/>
          <w:sz w:val="24"/>
          <w:szCs w:val="24"/>
        </w:rPr>
      </w:pPr>
    </w:p>
    <w:p w14:paraId="6EA214C1" w14:textId="74633CE2" w:rsidR="005534F2" w:rsidRDefault="005534F2" w:rsidP="3729ED63">
      <w:pPr>
        <w:autoSpaceDE w:val="0"/>
        <w:autoSpaceDN w:val="0"/>
        <w:adjustRightInd w:val="0"/>
        <w:spacing w:after="0" w:line="264" w:lineRule="auto"/>
        <w:rPr>
          <w:rFonts w:ascii="Times New Roman" w:hAnsi="Times New Roman"/>
          <w:b/>
          <w:bCs/>
          <w:sz w:val="24"/>
          <w:szCs w:val="24"/>
        </w:rPr>
      </w:pPr>
      <w:r w:rsidRPr="59CE95B8">
        <w:rPr>
          <w:rFonts w:ascii="Times New Roman" w:hAnsi="Times New Roman"/>
          <w:b/>
          <w:bCs/>
          <w:sz w:val="24"/>
          <w:szCs w:val="24"/>
          <w:u w:val="single"/>
        </w:rPr>
        <w:t>Schedule 1 – Exemption</w:t>
      </w:r>
      <w:r w:rsidR="00B71080" w:rsidRPr="59CE95B8">
        <w:rPr>
          <w:rFonts w:ascii="Times New Roman" w:hAnsi="Times New Roman"/>
          <w:b/>
          <w:bCs/>
          <w:sz w:val="24"/>
          <w:szCs w:val="24"/>
          <w:u w:val="single"/>
        </w:rPr>
        <w:t xml:space="preserve"> and conditions</w:t>
      </w:r>
    </w:p>
    <w:p w14:paraId="7F87AD31" w14:textId="77777777" w:rsidR="005D3AD1" w:rsidRDefault="005D3AD1" w:rsidP="3729ED63">
      <w:pPr>
        <w:autoSpaceDE w:val="0"/>
        <w:autoSpaceDN w:val="0"/>
        <w:adjustRightInd w:val="0"/>
        <w:spacing w:after="0" w:line="264" w:lineRule="auto"/>
        <w:rPr>
          <w:rFonts w:ascii="Times New Roman" w:hAnsi="Times New Roman"/>
          <w:b/>
          <w:bCs/>
          <w:sz w:val="24"/>
          <w:szCs w:val="24"/>
        </w:rPr>
      </w:pPr>
    </w:p>
    <w:p w14:paraId="5F1519CF" w14:textId="51583891" w:rsidR="00212E41" w:rsidRDefault="006810AD" w:rsidP="3729ED63">
      <w:pPr>
        <w:autoSpaceDE w:val="0"/>
        <w:autoSpaceDN w:val="0"/>
        <w:adjustRightInd w:val="0"/>
        <w:spacing w:after="0" w:line="264" w:lineRule="auto"/>
        <w:rPr>
          <w:rFonts w:ascii="Times New Roman" w:hAnsi="Times New Roman"/>
          <w:b/>
          <w:bCs/>
          <w:sz w:val="24"/>
          <w:szCs w:val="24"/>
        </w:rPr>
      </w:pPr>
      <w:r w:rsidRPr="59CE95B8">
        <w:rPr>
          <w:rFonts w:ascii="Times New Roman" w:hAnsi="Times New Roman"/>
          <w:b/>
          <w:bCs/>
          <w:sz w:val="24"/>
          <w:szCs w:val="24"/>
        </w:rPr>
        <w:t xml:space="preserve">Clause </w:t>
      </w:r>
      <w:r w:rsidR="00212E41" w:rsidRPr="59CE95B8">
        <w:rPr>
          <w:rFonts w:ascii="Times New Roman" w:hAnsi="Times New Roman"/>
          <w:b/>
          <w:bCs/>
          <w:sz w:val="24"/>
          <w:szCs w:val="24"/>
        </w:rPr>
        <w:t>1 – Specification of exempt models</w:t>
      </w:r>
    </w:p>
    <w:p w14:paraId="07B7FA5E" w14:textId="0FA75062" w:rsidR="00212E41" w:rsidRDefault="00212E41" w:rsidP="3729ED63">
      <w:pPr>
        <w:autoSpaceDE w:val="0"/>
        <w:autoSpaceDN w:val="0"/>
        <w:adjustRightInd w:val="0"/>
        <w:spacing w:after="0" w:line="264" w:lineRule="auto"/>
        <w:rPr>
          <w:rFonts w:ascii="Times New Roman" w:hAnsi="Times New Roman"/>
          <w:b/>
          <w:bCs/>
          <w:sz w:val="24"/>
          <w:szCs w:val="24"/>
        </w:rPr>
      </w:pPr>
    </w:p>
    <w:p w14:paraId="0E47E905" w14:textId="7643E367" w:rsidR="00212E41" w:rsidRPr="002D02A6" w:rsidRDefault="00212E41" w:rsidP="3729ED63">
      <w:pPr>
        <w:autoSpaceDE w:val="0"/>
        <w:autoSpaceDN w:val="0"/>
        <w:adjustRightInd w:val="0"/>
        <w:spacing w:after="0" w:line="264" w:lineRule="auto"/>
        <w:rPr>
          <w:rFonts w:ascii="Times New Roman" w:hAnsi="Times New Roman"/>
          <w:sz w:val="24"/>
          <w:szCs w:val="24"/>
        </w:rPr>
      </w:pPr>
      <w:r w:rsidRPr="59CE95B8">
        <w:rPr>
          <w:rFonts w:ascii="Times New Roman" w:hAnsi="Times New Roman"/>
          <w:sz w:val="24"/>
          <w:szCs w:val="24"/>
        </w:rPr>
        <w:t xml:space="preserve">This </w:t>
      </w:r>
      <w:r w:rsidR="006810AD" w:rsidRPr="59CE95B8">
        <w:rPr>
          <w:rFonts w:ascii="Times New Roman" w:hAnsi="Times New Roman"/>
          <w:sz w:val="24"/>
          <w:szCs w:val="24"/>
        </w:rPr>
        <w:t>clause</w:t>
      </w:r>
      <w:r w:rsidR="00B42EDC" w:rsidRPr="59CE95B8">
        <w:rPr>
          <w:rFonts w:ascii="Times New Roman" w:hAnsi="Times New Roman"/>
          <w:sz w:val="24"/>
          <w:szCs w:val="24"/>
        </w:rPr>
        <w:t xml:space="preserve"> sets out the exempt models by specifying the model number in </w:t>
      </w:r>
      <w:r w:rsidR="002A06F5" w:rsidRPr="59CE95B8">
        <w:rPr>
          <w:rFonts w:ascii="Times New Roman" w:hAnsi="Times New Roman"/>
          <w:sz w:val="24"/>
          <w:szCs w:val="24"/>
        </w:rPr>
        <w:t xml:space="preserve">column </w:t>
      </w:r>
      <w:r w:rsidR="00880536" w:rsidRPr="59CE95B8">
        <w:rPr>
          <w:rFonts w:ascii="Times New Roman" w:hAnsi="Times New Roman"/>
          <w:sz w:val="24"/>
          <w:szCs w:val="24"/>
        </w:rPr>
        <w:t>2</w:t>
      </w:r>
      <w:r w:rsidR="002A06F5" w:rsidRPr="59CE95B8">
        <w:rPr>
          <w:rFonts w:ascii="Times New Roman" w:hAnsi="Times New Roman"/>
          <w:sz w:val="24"/>
          <w:szCs w:val="24"/>
        </w:rPr>
        <w:t xml:space="preserve"> of the table and </w:t>
      </w:r>
      <w:r w:rsidR="008F2FCE" w:rsidRPr="59CE95B8">
        <w:rPr>
          <w:rFonts w:ascii="Times New Roman" w:hAnsi="Times New Roman"/>
          <w:sz w:val="24"/>
          <w:szCs w:val="24"/>
        </w:rPr>
        <w:t xml:space="preserve">providing </w:t>
      </w:r>
      <w:r w:rsidR="002A06F5" w:rsidRPr="59CE95B8">
        <w:rPr>
          <w:rFonts w:ascii="Times New Roman" w:hAnsi="Times New Roman"/>
          <w:sz w:val="24"/>
          <w:szCs w:val="24"/>
        </w:rPr>
        <w:t xml:space="preserve">a description of that model in the corresponding item in column </w:t>
      </w:r>
      <w:r w:rsidR="00880536" w:rsidRPr="59CE95B8">
        <w:rPr>
          <w:rFonts w:ascii="Times New Roman" w:hAnsi="Times New Roman"/>
          <w:sz w:val="24"/>
          <w:szCs w:val="24"/>
        </w:rPr>
        <w:t>3</w:t>
      </w:r>
      <w:r w:rsidR="002A06F5" w:rsidRPr="59CE95B8">
        <w:rPr>
          <w:rFonts w:ascii="Times New Roman" w:hAnsi="Times New Roman"/>
          <w:sz w:val="24"/>
          <w:szCs w:val="24"/>
        </w:rPr>
        <w:t xml:space="preserve"> of the table. </w:t>
      </w:r>
    </w:p>
    <w:p w14:paraId="1BCA484B" w14:textId="77777777" w:rsidR="00212E41" w:rsidRDefault="00212E41" w:rsidP="3729ED63">
      <w:pPr>
        <w:autoSpaceDE w:val="0"/>
        <w:autoSpaceDN w:val="0"/>
        <w:adjustRightInd w:val="0"/>
        <w:spacing w:after="0" w:line="264" w:lineRule="auto"/>
        <w:rPr>
          <w:rFonts w:ascii="Times New Roman" w:hAnsi="Times New Roman"/>
          <w:b/>
          <w:bCs/>
          <w:sz w:val="24"/>
          <w:szCs w:val="24"/>
        </w:rPr>
      </w:pPr>
    </w:p>
    <w:p w14:paraId="7EE9B97C" w14:textId="57F46DAF" w:rsidR="005737BD" w:rsidRDefault="006810AD" w:rsidP="3729ED63">
      <w:pPr>
        <w:autoSpaceDE w:val="0"/>
        <w:autoSpaceDN w:val="0"/>
        <w:adjustRightInd w:val="0"/>
        <w:spacing w:after="0" w:line="264" w:lineRule="auto"/>
        <w:rPr>
          <w:rFonts w:ascii="Times New Roman" w:hAnsi="Times New Roman"/>
          <w:b/>
          <w:bCs/>
          <w:sz w:val="24"/>
          <w:szCs w:val="24"/>
        </w:rPr>
      </w:pPr>
      <w:r w:rsidRPr="59CE95B8">
        <w:rPr>
          <w:rFonts w:ascii="Times New Roman" w:hAnsi="Times New Roman"/>
          <w:b/>
          <w:bCs/>
          <w:sz w:val="24"/>
          <w:szCs w:val="24"/>
        </w:rPr>
        <w:t xml:space="preserve">Clause </w:t>
      </w:r>
      <w:r w:rsidR="005737BD" w:rsidRPr="59CE95B8">
        <w:rPr>
          <w:rFonts w:ascii="Times New Roman" w:hAnsi="Times New Roman"/>
          <w:b/>
          <w:bCs/>
          <w:sz w:val="24"/>
          <w:szCs w:val="24"/>
        </w:rPr>
        <w:t xml:space="preserve">2 – </w:t>
      </w:r>
      <w:r w:rsidR="00997E62" w:rsidRPr="59CE95B8">
        <w:rPr>
          <w:rFonts w:ascii="Times New Roman" w:hAnsi="Times New Roman"/>
          <w:b/>
          <w:bCs/>
          <w:sz w:val="24"/>
          <w:szCs w:val="24"/>
        </w:rPr>
        <w:t>Requirements from which models are exempt</w:t>
      </w:r>
    </w:p>
    <w:p w14:paraId="677DBA83" w14:textId="77777777" w:rsidR="005737BD" w:rsidRDefault="005737BD" w:rsidP="3729ED63">
      <w:pPr>
        <w:autoSpaceDE w:val="0"/>
        <w:autoSpaceDN w:val="0"/>
        <w:adjustRightInd w:val="0"/>
        <w:spacing w:after="0" w:line="264" w:lineRule="auto"/>
        <w:rPr>
          <w:rFonts w:ascii="Times New Roman" w:hAnsi="Times New Roman"/>
          <w:b/>
          <w:bCs/>
          <w:sz w:val="24"/>
          <w:szCs w:val="24"/>
        </w:rPr>
      </w:pPr>
    </w:p>
    <w:p w14:paraId="5D692627" w14:textId="0CBBACAC" w:rsidR="005737BD" w:rsidRPr="008B5992" w:rsidRDefault="005737BD" w:rsidP="3729ED63">
      <w:pPr>
        <w:autoSpaceDE w:val="0"/>
        <w:autoSpaceDN w:val="0"/>
        <w:adjustRightInd w:val="0"/>
        <w:spacing w:after="0" w:line="264" w:lineRule="auto"/>
        <w:rPr>
          <w:rFonts w:ascii="Times New Roman" w:hAnsi="Times New Roman"/>
          <w:sz w:val="24"/>
          <w:szCs w:val="24"/>
        </w:rPr>
      </w:pPr>
      <w:r w:rsidRPr="59CE95B8">
        <w:rPr>
          <w:rFonts w:ascii="Times New Roman" w:hAnsi="Times New Roman"/>
          <w:sz w:val="24"/>
          <w:szCs w:val="24"/>
        </w:rPr>
        <w:t xml:space="preserve">This </w:t>
      </w:r>
      <w:r w:rsidR="006810AD" w:rsidRPr="59CE95B8">
        <w:rPr>
          <w:rFonts w:ascii="Times New Roman" w:hAnsi="Times New Roman"/>
          <w:sz w:val="24"/>
          <w:szCs w:val="24"/>
        </w:rPr>
        <w:t xml:space="preserve">clause </w:t>
      </w:r>
      <w:r w:rsidRPr="59CE95B8">
        <w:rPr>
          <w:rFonts w:ascii="Times New Roman" w:hAnsi="Times New Roman"/>
          <w:sz w:val="24"/>
          <w:szCs w:val="24"/>
        </w:rPr>
        <w:t xml:space="preserve">sets out the </w:t>
      </w:r>
      <w:r w:rsidR="00997E62" w:rsidRPr="59CE95B8">
        <w:rPr>
          <w:rFonts w:ascii="Times New Roman" w:hAnsi="Times New Roman"/>
          <w:sz w:val="24"/>
          <w:szCs w:val="24"/>
        </w:rPr>
        <w:t>requirements of the 2024 Determination from which the exempt models are exempt</w:t>
      </w:r>
      <w:r w:rsidR="00890820" w:rsidRPr="59CE95B8">
        <w:rPr>
          <w:rFonts w:ascii="Times New Roman" w:hAnsi="Times New Roman"/>
          <w:sz w:val="24"/>
          <w:szCs w:val="24"/>
        </w:rPr>
        <w:t>.</w:t>
      </w:r>
      <w:r w:rsidR="00880536" w:rsidRPr="59CE95B8">
        <w:rPr>
          <w:rFonts w:ascii="Times New Roman" w:hAnsi="Times New Roman"/>
          <w:sz w:val="24"/>
          <w:szCs w:val="24"/>
        </w:rPr>
        <w:t xml:space="preserve"> The type</w:t>
      </w:r>
      <w:r w:rsidR="057FC631" w:rsidRPr="59CE95B8">
        <w:rPr>
          <w:rFonts w:ascii="Times New Roman" w:hAnsi="Times New Roman"/>
          <w:sz w:val="24"/>
          <w:szCs w:val="24"/>
        </w:rPr>
        <w:t>s</w:t>
      </w:r>
      <w:r w:rsidR="00880536" w:rsidRPr="59CE95B8">
        <w:rPr>
          <w:rFonts w:ascii="Times New Roman" w:hAnsi="Times New Roman"/>
          <w:sz w:val="24"/>
          <w:szCs w:val="24"/>
        </w:rPr>
        <w:t xml:space="preserve"> of requirements </w:t>
      </w:r>
      <w:bookmarkStart w:id="2" w:name="_Int_JmzBKFFr"/>
      <w:r w:rsidR="00880536" w:rsidRPr="59CE95B8">
        <w:rPr>
          <w:rFonts w:ascii="Times New Roman" w:hAnsi="Times New Roman"/>
          <w:sz w:val="24"/>
          <w:szCs w:val="24"/>
        </w:rPr>
        <w:t>are</w:t>
      </w:r>
      <w:bookmarkEnd w:id="2"/>
      <w:r w:rsidR="00880536" w:rsidRPr="59CE95B8">
        <w:rPr>
          <w:rFonts w:ascii="Times New Roman" w:hAnsi="Times New Roman"/>
          <w:sz w:val="24"/>
          <w:szCs w:val="24"/>
        </w:rPr>
        <w:t xml:space="preserve"> listed in column 2 of the table and the relevant </w:t>
      </w:r>
      <w:r w:rsidR="00CC760B" w:rsidRPr="59CE95B8">
        <w:rPr>
          <w:rFonts w:ascii="Times New Roman" w:hAnsi="Times New Roman"/>
          <w:sz w:val="24"/>
          <w:szCs w:val="24"/>
        </w:rPr>
        <w:t>Part of the 2024 Determination is listed in the corresponding item in column 3 of the table.</w:t>
      </w:r>
    </w:p>
    <w:p w14:paraId="044E206C" w14:textId="77777777" w:rsidR="005737BD" w:rsidRDefault="005737BD" w:rsidP="3729ED63">
      <w:pPr>
        <w:autoSpaceDE w:val="0"/>
        <w:autoSpaceDN w:val="0"/>
        <w:adjustRightInd w:val="0"/>
        <w:spacing w:after="0" w:line="264" w:lineRule="auto"/>
        <w:rPr>
          <w:rFonts w:ascii="Times New Roman" w:hAnsi="Times New Roman"/>
          <w:b/>
          <w:bCs/>
          <w:sz w:val="24"/>
          <w:szCs w:val="24"/>
        </w:rPr>
      </w:pPr>
    </w:p>
    <w:p w14:paraId="6EBD844D" w14:textId="3FB09851" w:rsidR="00CC760B" w:rsidRDefault="006810AD" w:rsidP="3729ED63">
      <w:pPr>
        <w:autoSpaceDE w:val="0"/>
        <w:autoSpaceDN w:val="0"/>
        <w:adjustRightInd w:val="0"/>
        <w:spacing w:after="0" w:line="264" w:lineRule="auto"/>
        <w:rPr>
          <w:rFonts w:ascii="Times New Roman" w:hAnsi="Times New Roman"/>
          <w:b/>
          <w:bCs/>
          <w:sz w:val="24"/>
          <w:szCs w:val="24"/>
        </w:rPr>
      </w:pPr>
      <w:r w:rsidRPr="59CE95B8">
        <w:rPr>
          <w:rFonts w:ascii="Times New Roman" w:hAnsi="Times New Roman"/>
          <w:b/>
          <w:bCs/>
          <w:sz w:val="24"/>
          <w:szCs w:val="24"/>
        </w:rPr>
        <w:t xml:space="preserve">Clause </w:t>
      </w:r>
      <w:r w:rsidR="00CC760B" w:rsidRPr="59CE95B8">
        <w:rPr>
          <w:rFonts w:ascii="Times New Roman" w:hAnsi="Times New Roman"/>
          <w:b/>
          <w:bCs/>
          <w:sz w:val="24"/>
          <w:szCs w:val="24"/>
        </w:rPr>
        <w:t xml:space="preserve">3 – </w:t>
      </w:r>
      <w:r w:rsidR="00356A4E" w:rsidRPr="59CE95B8">
        <w:rPr>
          <w:rFonts w:ascii="Times New Roman" w:hAnsi="Times New Roman"/>
          <w:b/>
          <w:bCs/>
          <w:sz w:val="24"/>
          <w:szCs w:val="24"/>
        </w:rPr>
        <w:t>Supplies to which the exemption applies</w:t>
      </w:r>
    </w:p>
    <w:p w14:paraId="37889240" w14:textId="77777777" w:rsidR="00CC760B" w:rsidRPr="002D02A6" w:rsidRDefault="00CC760B" w:rsidP="3729ED63">
      <w:pPr>
        <w:autoSpaceDE w:val="0"/>
        <w:autoSpaceDN w:val="0"/>
        <w:adjustRightInd w:val="0"/>
        <w:spacing w:after="0" w:line="264" w:lineRule="auto"/>
        <w:rPr>
          <w:rFonts w:ascii="Times New Roman" w:hAnsi="Times New Roman"/>
          <w:sz w:val="24"/>
          <w:szCs w:val="24"/>
        </w:rPr>
      </w:pPr>
    </w:p>
    <w:p w14:paraId="654E862E" w14:textId="0615E819" w:rsidR="00356A4E" w:rsidRDefault="00356A4E" w:rsidP="3729ED63">
      <w:pPr>
        <w:autoSpaceDE w:val="0"/>
        <w:autoSpaceDN w:val="0"/>
        <w:adjustRightInd w:val="0"/>
        <w:spacing w:after="0" w:line="264" w:lineRule="auto"/>
        <w:rPr>
          <w:rFonts w:ascii="Times New Roman" w:hAnsi="Times New Roman"/>
          <w:sz w:val="24"/>
          <w:szCs w:val="24"/>
        </w:rPr>
      </w:pPr>
      <w:r w:rsidRPr="59CE95B8">
        <w:rPr>
          <w:rFonts w:ascii="Times New Roman" w:hAnsi="Times New Roman"/>
          <w:sz w:val="24"/>
          <w:szCs w:val="24"/>
        </w:rPr>
        <w:t xml:space="preserve">This </w:t>
      </w:r>
      <w:r w:rsidR="006810AD" w:rsidRPr="59CE95B8">
        <w:rPr>
          <w:rFonts w:ascii="Times New Roman" w:hAnsi="Times New Roman"/>
          <w:sz w:val="24"/>
          <w:szCs w:val="24"/>
        </w:rPr>
        <w:t xml:space="preserve">clause </w:t>
      </w:r>
      <w:r w:rsidRPr="59CE95B8">
        <w:rPr>
          <w:rFonts w:ascii="Times New Roman" w:hAnsi="Times New Roman"/>
          <w:sz w:val="24"/>
          <w:szCs w:val="24"/>
        </w:rPr>
        <w:t xml:space="preserve">provides that the exemption </w:t>
      </w:r>
      <w:r w:rsidR="00914A45" w:rsidRPr="59CE95B8">
        <w:rPr>
          <w:rFonts w:ascii="Times New Roman" w:hAnsi="Times New Roman"/>
          <w:sz w:val="24"/>
          <w:szCs w:val="24"/>
        </w:rPr>
        <w:t>applies in relation to any supplies of the exempt models</w:t>
      </w:r>
      <w:r w:rsidR="00C26E79" w:rsidRPr="59CE95B8">
        <w:rPr>
          <w:rFonts w:ascii="Times New Roman" w:hAnsi="Times New Roman"/>
          <w:sz w:val="24"/>
          <w:szCs w:val="24"/>
        </w:rPr>
        <w:t>.</w:t>
      </w:r>
    </w:p>
    <w:p w14:paraId="6C4FC833" w14:textId="77777777" w:rsidR="00B71080" w:rsidRDefault="00B71080" w:rsidP="3729ED63">
      <w:pPr>
        <w:autoSpaceDE w:val="0"/>
        <w:autoSpaceDN w:val="0"/>
        <w:adjustRightInd w:val="0"/>
        <w:spacing w:after="0" w:line="264" w:lineRule="auto"/>
        <w:rPr>
          <w:rFonts w:ascii="Times New Roman" w:hAnsi="Times New Roman"/>
          <w:sz w:val="24"/>
          <w:szCs w:val="24"/>
        </w:rPr>
      </w:pPr>
    </w:p>
    <w:p w14:paraId="4A6FA386" w14:textId="181AFCE0" w:rsidR="00B71080" w:rsidRDefault="006810AD" w:rsidP="3729ED63">
      <w:pPr>
        <w:spacing w:after="0" w:line="240" w:lineRule="auto"/>
        <w:rPr>
          <w:rFonts w:ascii="Times New Roman" w:hAnsi="Times New Roman"/>
          <w:b/>
          <w:bCs/>
          <w:sz w:val="24"/>
          <w:szCs w:val="24"/>
        </w:rPr>
      </w:pPr>
      <w:r w:rsidRPr="59CE95B8">
        <w:rPr>
          <w:rFonts w:ascii="Times New Roman" w:hAnsi="Times New Roman"/>
          <w:b/>
          <w:bCs/>
          <w:sz w:val="24"/>
          <w:szCs w:val="24"/>
        </w:rPr>
        <w:t>Clause</w:t>
      </w:r>
      <w:r w:rsidR="00B71080" w:rsidRPr="59CE95B8">
        <w:rPr>
          <w:rFonts w:ascii="Times New Roman" w:hAnsi="Times New Roman"/>
          <w:b/>
          <w:bCs/>
          <w:sz w:val="24"/>
          <w:szCs w:val="24"/>
        </w:rPr>
        <w:t xml:space="preserve"> 4 – Specification of conditions of exemption</w:t>
      </w:r>
    </w:p>
    <w:p w14:paraId="4CC90B5C" w14:textId="77777777" w:rsidR="00B71080" w:rsidRPr="002A7B6C" w:rsidRDefault="00B71080" w:rsidP="3729ED63">
      <w:pPr>
        <w:spacing w:after="0" w:line="240" w:lineRule="auto"/>
        <w:rPr>
          <w:rFonts w:ascii="Times New Roman" w:hAnsi="Times New Roman"/>
          <w:sz w:val="24"/>
          <w:szCs w:val="24"/>
        </w:rPr>
      </w:pPr>
    </w:p>
    <w:p w14:paraId="25F3763B" w14:textId="5F853884" w:rsidR="00312BB6" w:rsidRDefault="002A7B6C" w:rsidP="3729ED63">
      <w:pPr>
        <w:spacing w:after="0" w:line="240" w:lineRule="auto"/>
        <w:rPr>
          <w:rFonts w:ascii="Times New Roman" w:hAnsi="Times New Roman"/>
          <w:sz w:val="24"/>
          <w:szCs w:val="24"/>
        </w:rPr>
      </w:pPr>
      <w:r w:rsidRPr="59CE95B8">
        <w:rPr>
          <w:rFonts w:ascii="Times New Roman" w:hAnsi="Times New Roman"/>
          <w:sz w:val="24"/>
          <w:szCs w:val="24"/>
        </w:rPr>
        <w:t xml:space="preserve">This </w:t>
      </w:r>
      <w:r w:rsidR="006810AD" w:rsidRPr="59CE95B8">
        <w:rPr>
          <w:rFonts w:ascii="Times New Roman" w:hAnsi="Times New Roman"/>
          <w:sz w:val="24"/>
          <w:szCs w:val="24"/>
        </w:rPr>
        <w:t>clause</w:t>
      </w:r>
      <w:r w:rsidRPr="59CE95B8">
        <w:rPr>
          <w:rFonts w:ascii="Times New Roman" w:hAnsi="Times New Roman"/>
          <w:sz w:val="24"/>
          <w:szCs w:val="24"/>
        </w:rPr>
        <w:t xml:space="preserve"> </w:t>
      </w:r>
      <w:r w:rsidR="00D148AA" w:rsidRPr="59CE95B8">
        <w:rPr>
          <w:rFonts w:ascii="Times New Roman" w:hAnsi="Times New Roman"/>
          <w:sz w:val="24"/>
          <w:szCs w:val="24"/>
        </w:rPr>
        <w:t>specifies</w:t>
      </w:r>
      <w:r w:rsidRPr="59CE95B8">
        <w:rPr>
          <w:rFonts w:ascii="Times New Roman" w:hAnsi="Times New Roman"/>
          <w:sz w:val="24"/>
          <w:szCs w:val="24"/>
        </w:rPr>
        <w:t xml:space="preserve"> two conditions </w:t>
      </w:r>
      <w:r w:rsidR="00D148AA" w:rsidRPr="59CE95B8">
        <w:rPr>
          <w:rFonts w:ascii="Times New Roman" w:hAnsi="Times New Roman"/>
          <w:sz w:val="24"/>
          <w:szCs w:val="24"/>
        </w:rPr>
        <w:t xml:space="preserve">to which the exemption is subject. </w:t>
      </w:r>
    </w:p>
    <w:p w14:paraId="362BC2E5" w14:textId="77777777" w:rsidR="00312BB6" w:rsidRDefault="00312BB6" w:rsidP="3729ED63">
      <w:pPr>
        <w:spacing w:after="0" w:line="240" w:lineRule="auto"/>
        <w:rPr>
          <w:rFonts w:ascii="Times New Roman" w:hAnsi="Times New Roman"/>
          <w:sz w:val="24"/>
          <w:szCs w:val="24"/>
        </w:rPr>
      </w:pPr>
    </w:p>
    <w:p w14:paraId="4E44C897" w14:textId="77777777" w:rsidR="00312BB6" w:rsidRDefault="00D148AA" w:rsidP="3729ED63">
      <w:pPr>
        <w:spacing w:after="0" w:line="240" w:lineRule="auto"/>
        <w:rPr>
          <w:rFonts w:ascii="Times New Roman" w:hAnsi="Times New Roman"/>
          <w:sz w:val="24"/>
          <w:szCs w:val="24"/>
        </w:rPr>
      </w:pPr>
      <w:r w:rsidRPr="59CE95B8">
        <w:rPr>
          <w:rFonts w:ascii="Times New Roman" w:hAnsi="Times New Roman"/>
          <w:sz w:val="24"/>
          <w:szCs w:val="24"/>
        </w:rPr>
        <w:t xml:space="preserve">Condition </w:t>
      </w:r>
      <w:r w:rsidR="0041370C" w:rsidRPr="59CE95B8">
        <w:rPr>
          <w:rFonts w:ascii="Times New Roman" w:hAnsi="Times New Roman"/>
          <w:sz w:val="24"/>
          <w:szCs w:val="24"/>
        </w:rPr>
        <w:t xml:space="preserve">(a) provides </w:t>
      </w:r>
      <w:r w:rsidR="004B522A" w:rsidRPr="59CE95B8">
        <w:rPr>
          <w:rFonts w:ascii="Times New Roman" w:hAnsi="Times New Roman"/>
          <w:sz w:val="24"/>
          <w:szCs w:val="24"/>
        </w:rPr>
        <w:t xml:space="preserve">that the packaging of products </w:t>
      </w:r>
      <w:r w:rsidR="0041370C" w:rsidRPr="59CE95B8">
        <w:rPr>
          <w:rFonts w:ascii="Times New Roman" w:hAnsi="Times New Roman"/>
          <w:sz w:val="24"/>
          <w:szCs w:val="24"/>
        </w:rPr>
        <w:t xml:space="preserve">of the exempt models </w:t>
      </w:r>
      <w:r w:rsidR="004B522A" w:rsidRPr="59CE95B8">
        <w:rPr>
          <w:rFonts w:ascii="Times New Roman" w:hAnsi="Times New Roman"/>
          <w:sz w:val="24"/>
          <w:szCs w:val="24"/>
        </w:rPr>
        <w:t xml:space="preserve">that </w:t>
      </w:r>
      <w:r w:rsidR="0041370C" w:rsidRPr="59CE95B8">
        <w:rPr>
          <w:rFonts w:ascii="Times New Roman" w:hAnsi="Times New Roman"/>
          <w:sz w:val="24"/>
          <w:szCs w:val="24"/>
        </w:rPr>
        <w:t>are offered for sale</w:t>
      </w:r>
      <w:r w:rsidR="00312BB6" w:rsidRPr="59CE95B8">
        <w:rPr>
          <w:rFonts w:ascii="Times New Roman" w:hAnsi="Times New Roman"/>
          <w:sz w:val="24"/>
          <w:szCs w:val="24"/>
        </w:rPr>
        <w:t xml:space="preserve"> or sold must include, on the exterior of that packaging, that the product is for use in lava lamps only.</w:t>
      </w:r>
    </w:p>
    <w:p w14:paraId="2E8E48F8" w14:textId="77777777" w:rsidR="00312BB6" w:rsidRDefault="00312BB6" w:rsidP="3729ED63">
      <w:pPr>
        <w:spacing w:after="0" w:line="240" w:lineRule="auto"/>
        <w:rPr>
          <w:rFonts w:ascii="Times New Roman" w:hAnsi="Times New Roman"/>
          <w:sz w:val="24"/>
          <w:szCs w:val="24"/>
        </w:rPr>
      </w:pPr>
    </w:p>
    <w:p w14:paraId="43B510E2" w14:textId="77777777" w:rsidR="00312BB6" w:rsidRDefault="00312BB6" w:rsidP="3729ED63">
      <w:pPr>
        <w:spacing w:after="0" w:line="240" w:lineRule="auto"/>
        <w:rPr>
          <w:rFonts w:ascii="Times New Roman" w:hAnsi="Times New Roman"/>
          <w:sz w:val="24"/>
          <w:szCs w:val="24"/>
        </w:rPr>
      </w:pPr>
      <w:r w:rsidRPr="59CE95B8">
        <w:rPr>
          <w:rFonts w:ascii="Times New Roman" w:hAnsi="Times New Roman"/>
          <w:sz w:val="24"/>
          <w:szCs w:val="24"/>
        </w:rPr>
        <w:t>Condition (b) provides that any web page where products of the exempt models are offered for sale or sold must display, on that web page, that the product is for use in lava lamps only.</w:t>
      </w:r>
    </w:p>
    <w:p w14:paraId="34F6E9C4" w14:textId="77777777" w:rsidR="00312BB6" w:rsidRDefault="00312BB6" w:rsidP="3729ED63">
      <w:pPr>
        <w:spacing w:after="0" w:line="240" w:lineRule="auto"/>
        <w:rPr>
          <w:rFonts w:ascii="Times New Roman" w:hAnsi="Times New Roman"/>
          <w:sz w:val="24"/>
          <w:szCs w:val="24"/>
        </w:rPr>
      </w:pPr>
    </w:p>
    <w:p w14:paraId="76BF91B4" w14:textId="51E8CF68" w:rsidR="00C26E79" w:rsidRDefault="00312BB6" w:rsidP="3729ED63">
      <w:pPr>
        <w:spacing w:after="0" w:line="240" w:lineRule="auto"/>
        <w:rPr>
          <w:rFonts w:ascii="Times New Roman" w:hAnsi="Times New Roman"/>
          <w:sz w:val="24"/>
          <w:szCs w:val="24"/>
        </w:rPr>
      </w:pPr>
      <w:r w:rsidRPr="59CE95B8">
        <w:rPr>
          <w:rFonts w:ascii="Times New Roman" w:hAnsi="Times New Roman"/>
          <w:sz w:val="24"/>
          <w:szCs w:val="24"/>
        </w:rPr>
        <w:t>These conditions are</w:t>
      </w:r>
      <w:r w:rsidR="00507ECE" w:rsidRPr="59CE95B8">
        <w:rPr>
          <w:rFonts w:ascii="Times New Roman" w:hAnsi="Times New Roman"/>
          <w:sz w:val="24"/>
          <w:szCs w:val="24"/>
        </w:rPr>
        <w:t xml:space="preserve"> </w:t>
      </w:r>
      <w:r w:rsidR="0016390F" w:rsidRPr="59CE95B8">
        <w:rPr>
          <w:rFonts w:ascii="Times New Roman" w:hAnsi="Times New Roman"/>
          <w:sz w:val="24"/>
          <w:szCs w:val="24"/>
        </w:rPr>
        <w:t>imposed to discourage the use and uptake of the exempt models for alternative purposes such as household illumination.</w:t>
      </w:r>
      <w:r w:rsidRPr="59CE95B8">
        <w:rPr>
          <w:rFonts w:ascii="Times New Roman" w:hAnsi="Times New Roman"/>
          <w:sz w:val="24"/>
          <w:szCs w:val="24"/>
        </w:rPr>
        <w:br w:type="page"/>
      </w:r>
    </w:p>
    <w:p w14:paraId="2EFC48C5" w14:textId="35566F07" w:rsidR="00770473" w:rsidRDefault="00770473" w:rsidP="00837EB0">
      <w:pPr>
        <w:spacing w:after="0" w:line="264" w:lineRule="auto"/>
        <w:jc w:val="right"/>
        <w:rPr>
          <w:rFonts w:ascii="Times New Roman" w:hAnsi="Times New Roman"/>
          <w:b/>
          <w:bCs/>
          <w:sz w:val="24"/>
          <w:szCs w:val="24"/>
          <w:u w:val="single"/>
        </w:rPr>
      </w:pPr>
      <w:r w:rsidRPr="3729ED63">
        <w:rPr>
          <w:rFonts w:ascii="Times New Roman" w:hAnsi="Times New Roman"/>
          <w:b/>
          <w:bCs/>
          <w:sz w:val="24"/>
          <w:szCs w:val="24"/>
          <w:u w:val="single"/>
        </w:rPr>
        <w:lastRenderedPageBreak/>
        <w:t xml:space="preserve">Attachment </w:t>
      </w:r>
      <w:r w:rsidR="00C83F31" w:rsidRPr="3729ED63">
        <w:rPr>
          <w:rFonts w:ascii="Times New Roman" w:hAnsi="Times New Roman"/>
          <w:b/>
          <w:bCs/>
          <w:sz w:val="24"/>
          <w:szCs w:val="24"/>
          <w:u w:val="single"/>
        </w:rPr>
        <w:t>B</w:t>
      </w:r>
    </w:p>
    <w:p w14:paraId="5B400B3B" w14:textId="77777777" w:rsidR="005D3AD1" w:rsidRPr="00A84F5A" w:rsidRDefault="005D3AD1" w:rsidP="005D3AD1">
      <w:pPr>
        <w:spacing w:after="0" w:line="264" w:lineRule="auto"/>
        <w:jc w:val="right"/>
        <w:rPr>
          <w:rFonts w:ascii="Times New Roman" w:hAnsi="Times New Roman"/>
          <w:b/>
          <w:sz w:val="24"/>
          <w:szCs w:val="24"/>
        </w:rPr>
      </w:pPr>
    </w:p>
    <w:p w14:paraId="1F8074FA" w14:textId="77777777" w:rsidR="00770473" w:rsidRPr="00901B87" w:rsidRDefault="00770473" w:rsidP="002D02A6">
      <w:pPr>
        <w:spacing w:after="0" w:line="264" w:lineRule="auto"/>
        <w:rPr>
          <w:rFonts w:ascii="Times New Roman" w:hAnsi="Times New Roman"/>
          <w:sz w:val="24"/>
          <w:szCs w:val="24"/>
        </w:rPr>
      </w:pPr>
      <w:r w:rsidRPr="00901B87">
        <w:rPr>
          <w:rFonts w:ascii="Times New Roman" w:hAnsi="Times New Roman"/>
          <w:b/>
          <w:sz w:val="24"/>
          <w:szCs w:val="24"/>
          <w:u w:val="single"/>
        </w:rPr>
        <w:t xml:space="preserve">Details of the exemptions from disallowance and sunsetting in the </w:t>
      </w:r>
      <w:r w:rsidRPr="00901B87">
        <w:rPr>
          <w:rFonts w:ascii="Times New Roman" w:hAnsi="Times New Roman"/>
          <w:b/>
          <w:i/>
          <w:sz w:val="24"/>
          <w:szCs w:val="24"/>
          <w:u w:val="single"/>
        </w:rPr>
        <w:t>Legislation Act 2003</w:t>
      </w:r>
    </w:p>
    <w:p w14:paraId="6F8CA454" w14:textId="77777777" w:rsidR="005D3AD1" w:rsidRDefault="005D3AD1" w:rsidP="005D3AD1">
      <w:pPr>
        <w:spacing w:after="0" w:line="264" w:lineRule="auto"/>
        <w:rPr>
          <w:rFonts w:ascii="Times New Roman" w:hAnsi="Times New Roman"/>
          <w:b/>
          <w:i/>
          <w:sz w:val="24"/>
          <w:szCs w:val="24"/>
        </w:rPr>
      </w:pPr>
    </w:p>
    <w:p w14:paraId="1E145245" w14:textId="778CCC75" w:rsidR="00770473" w:rsidRDefault="00770473" w:rsidP="005D3AD1">
      <w:pPr>
        <w:spacing w:after="0" w:line="264" w:lineRule="auto"/>
        <w:rPr>
          <w:rFonts w:ascii="Times New Roman" w:hAnsi="Times New Roman"/>
          <w:b/>
          <w:i/>
          <w:sz w:val="24"/>
          <w:szCs w:val="24"/>
        </w:rPr>
      </w:pPr>
      <w:r w:rsidRPr="00901B87">
        <w:rPr>
          <w:rFonts w:ascii="Times New Roman" w:hAnsi="Times New Roman"/>
          <w:b/>
          <w:i/>
          <w:sz w:val="24"/>
          <w:szCs w:val="24"/>
        </w:rPr>
        <w:t>Source of exemptions</w:t>
      </w:r>
    </w:p>
    <w:p w14:paraId="12FB1289" w14:textId="77777777" w:rsidR="005D3AD1" w:rsidRPr="00901B87" w:rsidRDefault="005D3AD1" w:rsidP="005D3AD1">
      <w:pPr>
        <w:spacing w:after="0" w:line="264" w:lineRule="auto"/>
        <w:rPr>
          <w:rFonts w:ascii="Times New Roman" w:hAnsi="Times New Roman"/>
          <w:b/>
          <w:i/>
          <w:sz w:val="24"/>
          <w:szCs w:val="24"/>
        </w:rPr>
      </w:pPr>
    </w:p>
    <w:p w14:paraId="00887597" w14:textId="77777777" w:rsidR="00B70052" w:rsidRDefault="00B70052" w:rsidP="005D3AD1">
      <w:pPr>
        <w:spacing w:after="0" w:line="264" w:lineRule="auto"/>
        <w:rPr>
          <w:rFonts w:ascii="Times New Roman" w:hAnsi="Times New Roman"/>
          <w:sz w:val="24"/>
          <w:szCs w:val="24"/>
        </w:rPr>
      </w:pPr>
      <w:r w:rsidRPr="3729ED63">
        <w:rPr>
          <w:rFonts w:ascii="Times New Roman" w:hAnsi="Times New Roman"/>
          <w:sz w:val="24"/>
          <w:szCs w:val="24"/>
        </w:rPr>
        <w:t xml:space="preserve">Legislative instruments made under the </w:t>
      </w:r>
      <w:r w:rsidRPr="3729ED63">
        <w:rPr>
          <w:rFonts w:ascii="Times New Roman" w:hAnsi="Times New Roman"/>
          <w:i/>
          <w:iCs/>
          <w:sz w:val="24"/>
          <w:szCs w:val="24"/>
        </w:rPr>
        <w:t>Greenhouse and Energy Minimum Standards Act 2012</w:t>
      </w:r>
      <w:r w:rsidRPr="3729ED63">
        <w:rPr>
          <w:rFonts w:ascii="Times New Roman" w:hAnsi="Times New Roman"/>
          <w:sz w:val="24"/>
          <w:szCs w:val="24"/>
        </w:rPr>
        <w:t xml:space="preserve"> (</w:t>
      </w:r>
      <w:r w:rsidRPr="3729ED63">
        <w:rPr>
          <w:rFonts w:ascii="Times New Roman" w:hAnsi="Times New Roman"/>
          <w:b/>
          <w:bCs/>
          <w:sz w:val="24"/>
          <w:szCs w:val="24"/>
        </w:rPr>
        <w:t>GEMS Act</w:t>
      </w:r>
      <w:r w:rsidRPr="3729ED63">
        <w:rPr>
          <w:rFonts w:ascii="Times New Roman" w:hAnsi="Times New Roman"/>
          <w:sz w:val="24"/>
          <w:szCs w:val="24"/>
        </w:rPr>
        <w:t xml:space="preserve">) (excluding regulations) are exempt from disallowance under subsection 44(1) of the </w:t>
      </w:r>
      <w:r w:rsidRPr="3729ED63">
        <w:rPr>
          <w:rFonts w:ascii="Times New Roman" w:hAnsi="Times New Roman"/>
          <w:i/>
          <w:iCs/>
          <w:sz w:val="24"/>
          <w:szCs w:val="24"/>
        </w:rPr>
        <w:t>Legislation Act 2003</w:t>
      </w:r>
      <w:r w:rsidRPr="3729ED63">
        <w:rPr>
          <w:rFonts w:ascii="Times New Roman" w:hAnsi="Times New Roman"/>
          <w:sz w:val="24"/>
          <w:szCs w:val="24"/>
        </w:rPr>
        <w:t xml:space="preserve"> (</w:t>
      </w:r>
      <w:r w:rsidRPr="3729ED63">
        <w:rPr>
          <w:rFonts w:ascii="Times New Roman" w:hAnsi="Times New Roman"/>
          <w:b/>
          <w:bCs/>
          <w:sz w:val="24"/>
          <w:szCs w:val="24"/>
        </w:rPr>
        <w:t>Legislation Act</w:t>
      </w:r>
      <w:r w:rsidRPr="3729ED63">
        <w:rPr>
          <w:rFonts w:ascii="Times New Roman" w:hAnsi="Times New Roman"/>
          <w:sz w:val="24"/>
          <w:szCs w:val="24"/>
        </w:rPr>
        <w:t>), and from sunsetting under subsection 54(1) of the Legislation Act.</w:t>
      </w:r>
    </w:p>
    <w:p w14:paraId="6EFE9B7B" w14:textId="77777777" w:rsidR="006B1C21" w:rsidRPr="00C2329F" w:rsidRDefault="006B1C21" w:rsidP="005D3AD1">
      <w:pPr>
        <w:spacing w:after="0" w:line="264" w:lineRule="auto"/>
        <w:rPr>
          <w:rFonts w:ascii="Times New Roman" w:hAnsi="Times New Roman"/>
          <w:sz w:val="24"/>
          <w:szCs w:val="24"/>
        </w:rPr>
      </w:pPr>
    </w:p>
    <w:p w14:paraId="0E13CB98" w14:textId="3FCE0DDE" w:rsidR="00B70052" w:rsidRDefault="00B70052" w:rsidP="005D3AD1">
      <w:pPr>
        <w:spacing w:after="0" w:line="264" w:lineRule="auto"/>
        <w:rPr>
          <w:rFonts w:ascii="Times New Roman" w:hAnsi="Times New Roman"/>
          <w:sz w:val="24"/>
          <w:szCs w:val="24"/>
        </w:rPr>
      </w:pPr>
      <w:r w:rsidRPr="3729ED63">
        <w:rPr>
          <w:rFonts w:ascii="Times New Roman" w:hAnsi="Times New Roman"/>
          <w:sz w:val="24"/>
          <w:szCs w:val="24"/>
        </w:rPr>
        <w:t xml:space="preserve">Subsections 44(1) and 54(1) of the Legislation Act relevantly provide that instruments are not subject to disallowance and sunsetting where the enabling legislation (not being the </w:t>
      </w:r>
      <w:r w:rsidRPr="3729ED63">
        <w:rPr>
          <w:rFonts w:ascii="Times New Roman" w:hAnsi="Times New Roman"/>
          <w:i/>
          <w:iCs/>
          <w:sz w:val="24"/>
          <w:szCs w:val="24"/>
        </w:rPr>
        <w:t>Corporations Act 2001</w:t>
      </w:r>
      <w:r w:rsidRPr="3729ED63">
        <w:rPr>
          <w:rFonts w:ascii="Times New Roman" w:hAnsi="Times New Roman"/>
          <w:sz w:val="24"/>
          <w:szCs w:val="24"/>
        </w:rPr>
        <w:t xml:space="preserve">) facilitates the establishment or operation of an intergovernmental scheme involving the Commonwealth and one or more </w:t>
      </w:r>
      <w:r w:rsidR="002A00A0">
        <w:rPr>
          <w:rFonts w:ascii="Times New Roman" w:hAnsi="Times New Roman"/>
          <w:sz w:val="24"/>
          <w:szCs w:val="24"/>
        </w:rPr>
        <w:t>s</w:t>
      </w:r>
      <w:r w:rsidR="002A00A0" w:rsidRPr="3729ED63">
        <w:rPr>
          <w:rFonts w:ascii="Times New Roman" w:hAnsi="Times New Roman"/>
          <w:sz w:val="24"/>
          <w:szCs w:val="24"/>
        </w:rPr>
        <w:t xml:space="preserve">tates </w:t>
      </w:r>
      <w:r w:rsidRPr="3729ED63">
        <w:rPr>
          <w:rFonts w:ascii="Times New Roman" w:hAnsi="Times New Roman"/>
          <w:sz w:val="24"/>
          <w:szCs w:val="24"/>
        </w:rPr>
        <w:t xml:space="preserve">and </w:t>
      </w:r>
      <w:proofErr w:type="gramStart"/>
      <w:r w:rsidR="002A00A0">
        <w:rPr>
          <w:rFonts w:ascii="Times New Roman" w:hAnsi="Times New Roman"/>
          <w:sz w:val="24"/>
          <w:szCs w:val="24"/>
        </w:rPr>
        <w:t>t</w:t>
      </w:r>
      <w:r w:rsidR="002A00A0" w:rsidRPr="3729ED63">
        <w:rPr>
          <w:rFonts w:ascii="Times New Roman" w:hAnsi="Times New Roman"/>
          <w:sz w:val="24"/>
          <w:szCs w:val="24"/>
        </w:rPr>
        <w:t>erritories</w:t>
      </w:r>
      <w:r w:rsidRPr="3729ED63">
        <w:rPr>
          <w:rFonts w:ascii="Times New Roman" w:hAnsi="Times New Roman"/>
          <w:sz w:val="24"/>
          <w:szCs w:val="24"/>
        </w:rPr>
        <w:t>, and</w:t>
      </w:r>
      <w:proofErr w:type="gramEnd"/>
      <w:r w:rsidRPr="3729ED63">
        <w:rPr>
          <w:rFonts w:ascii="Times New Roman" w:hAnsi="Times New Roman"/>
          <w:sz w:val="24"/>
          <w:szCs w:val="24"/>
        </w:rPr>
        <w:t xml:space="preserve"> authorises the instrument to be made for the purposes of that scheme.</w:t>
      </w:r>
    </w:p>
    <w:p w14:paraId="21724E35" w14:textId="77777777" w:rsidR="006B1C21" w:rsidRPr="00C2329F" w:rsidRDefault="006B1C21" w:rsidP="005D3AD1">
      <w:pPr>
        <w:spacing w:after="0" w:line="264" w:lineRule="auto"/>
        <w:rPr>
          <w:rFonts w:ascii="Times New Roman" w:hAnsi="Times New Roman"/>
          <w:sz w:val="24"/>
          <w:szCs w:val="24"/>
        </w:rPr>
      </w:pPr>
    </w:p>
    <w:p w14:paraId="4AE24E1D" w14:textId="77777777" w:rsidR="00B4018E" w:rsidRDefault="00B70052" w:rsidP="00B4018E">
      <w:pPr>
        <w:spacing w:after="0" w:line="264" w:lineRule="auto"/>
        <w:rPr>
          <w:rFonts w:ascii="Times New Roman" w:hAnsi="Times New Roman"/>
          <w:sz w:val="24"/>
          <w:szCs w:val="24"/>
        </w:rPr>
      </w:pPr>
      <w:r w:rsidRPr="3729ED63">
        <w:rPr>
          <w:rFonts w:ascii="Times New Roman" w:hAnsi="Times New Roman"/>
          <w:sz w:val="24"/>
          <w:szCs w:val="24"/>
        </w:rPr>
        <w:t>The GEMS Act creates a national framework for product energy efficiency in Australia (</w:t>
      </w:r>
      <w:r w:rsidR="00854642" w:rsidRPr="3729ED63">
        <w:rPr>
          <w:rFonts w:ascii="Times New Roman" w:hAnsi="Times New Roman"/>
          <w:sz w:val="24"/>
          <w:szCs w:val="24"/>
        </w:rPr>
        <w:t>the Greenhouse and Energy Minimum Standards (</w:t>
      </w:r>
      <w:r w:rsidRPr="3729ED63">
        <w:rPr>
          <w:rFonts w:ascii="Times New Roman" w:hAnsi="Times New Roman"/>
          <w:b/>
          <w:bCs/>
          <w:sz w:val="24"/>
          <w:szCs w:val="24"/>
        </w:rPr>
        <w:t>GEMS</w:t>
      </w:r>
      <w:r w:rsidR="00854642" w:rsidRPr="3729ED63">
        <w:rPr>
          <w:rFonts w:ascii="Times New Roman" w:hAnsi="Times New Roman"/>
          <w:sz w:val="24"/>
          <w:szCs w:val="24"/>
        </w:rPr>
        <w:t>)</w:t>
      </w:r>
      <w:r w:rsidRPr="3729ED63">
        <w:rPr>
          <w:rFonts w:ascii="Times New Roman" w:hAnsi="Times New Roman"/>
          <w:sz w:val="24"/>
          <w:szCs w:val="24"/>
        </w:rPr>
        <w:t xml:space="preserve"> Scheme) and underpins the Equipment Energy Efficiency Program (</w:t>
      </w:r>
      <w:r w:rsidRPr="3729ED63">
        <w:rPr>
          <w:rFonts w:ascii="Times New Roman" w:hAnsi="Times New Roman"/>
          <w:b/>
          <w:bCs/>
          <w:sz w:val="24"/>
          <w:szCs w:val="24"/>
        </w:rPr>
        <w:t>E3 Program</w:t>
      </w:r>
      <w:r w:rsidRPr="3729ED63">
        <w:rPr>
          <w:rFonts w:ascii="Times New Roman" w:hAnsi="Times New Roman"/>
          <w:sz w:val="24"/>
          <w:szCs w:val="24"/>
        </w:rPr>
        <w:t xml:space="preserve">). The E3 Program is an initiative of the Australian, state, </w:t>
      </w:r>
      <w:r w:rsidR="71AB182E" w:rsidRPr="3729ED63">
        <w:rPr>
          <w:rFonts w:ascii="Times New Roman" w:hAnsi="Times New Roman"/>
          <w:sz w:val="24"/>
          <w:szCs w:val="24"/>
        </w:rPr>
        <w:t>self-governing</w:t>
      </w:r>
      <w:r w:rsidRPr="3729ED63">
        <w:rPr>
          <w:rFonts w:ascii="Times New Roman" w:hAnsi="Times New Roman"/>
          <w:sz w:val="24"/>
          <w:szCs w:val="24"/>
        </w:rPr>
        <w:t xml:space="preserve"> territories, and New Zealand </w:t>
      </w:r>
      <w:r w:rsidR="0FDA87B8" w:rsidRPr="3729ED63">
        <w:rPr>
          <w:rFonts w:ascii="Times New Roman" w:hAnsi="Times New Roman"/>
          <w:sz w:val="24"/>
          <w:szCs w:val="24"/>
        </w:rPr>
        <w:t>g</w:t>
      </w:r>
      <w:r w:rsidRPr="3729ED63">
        <w:rPr>
          <w:rFonts w:ascii="Times New Roman" w:hAnsi="Times New Roman"/>
          <w:sz w:val="24"/>
          <w:szCs w:val="24"/>
        </w:rPr>
        <w:t xml:space="preserve">overnments. The GEMS Scheme is an intergovernmental scheme, given that: </w:t>
      </w:r>
    </w:p>
    <w:p w14:paraId="5B901353" w14:textId="3D002F7A" w:rsidR="00B70052" w:rsidRPr="00B4018E" w:rsidRDefault="00B70052" w:rsidP="00EC6644">
      <w:pPr>
        <w:pStyle w:val="ListParagraph"/>
        <w:numPr>
          <w:ilvl w:val="0"/>
          <w:numId w:val="8"/>
        </w:numPr>
        <w:spacing w:after="0" w:line="264" w:lineRule="auto"/>
        <w:rPr>
          <w:rFonts w:ascii="Times New Roman" w:hAnsi="Times New Roman"/>
          <w:sz w:val="24"/>
          <w:szCs w:val="24"/>
        </w:rPr>
      </w:pPr>
      <w:r w:rsidRPr="00B4018E">
        <w:rPr>
          <w:rFonts w:ascii="Times New Roman" w:hAnsi="Times New Roman"/>
          <w:sz w:val="24"/>
          <w:szCs w:val="24"/>
        </w:rPr>
        <w:t xml:space="preserve">it is governed by the </w:t>
      </w:r>
      <w:r w:rsidR="00981FFF" w:rsidRPr="00B4018E">
        <w:rPr>
          <w:rFonts w:ascii="Times New Roman" w:hAnsi="Times New Roman"/>
          <w:i/>
          <w:iCs/>
          <w:sz w:val="24"/>
          <w:szCs w:val="24"/>
        </w:rPr>
        <w:t>Inter-Governmental Agreement (IGA) for the Greenhouse and Energy Minimum Standards (GEMS) Legislative Scheme</w:t>
      </w:r>
      <w:r w:rsidRPr="00B4018E">
        <w:rPr>
          <w:rFonts w:ascii="Times New Roman" w:hAnsi="Times New Roman"/>
          <w:sz w:val="24"/>
          <w:szCs w:val="24"/>
        </w:rPr>
        <w:t xml:space="preserve">; </w:t>
      </w:r>
      <w:r w:rsidR="00F4519B">
        <w:rPr>
          <w:rFonts w:ascii="Times New Roman" w:hAnsi="Times New Roman"/>
          <w:sz w:val="24"/>
          <w:szCs w:val="24"/>
        </w:rPr>
        <w:t>and</w:t>
      </w:r>
    </w:p>
    <w:p w14:paraId="4142500D" w14:textId="77777777" w:rsidR="00B70052" w:rsidRPr="00C2329F" w:rsidRDefault="00B70052" w:rsidP="00EC6644">
      <w:pPr>
        <w:numPr>
          <w:ilvl w:val="0"/>
          <w:numId w:val="8"/>
        </w:numPr>
        <w:autoSpaceDE w:val="0"/>
        <w:autoSpaceDN w:val="0"/>
        <w:adjustRightInd w:val="0"/>
        <w:spacing w:after="0" w:line="264" w:lineRule="auto"/>
        <w:ind w:left="714" w:hanging="357"/>
        <w:rPr>
          <w:rFonts w:ascii="Times New Roman" w:hAnsi="Times New Roman"/>
          <w:sz w:val="24"/>
          <w:szCs w:val="24"/>
        </w:rPr>
      </w:pPr>
      <w:r w:rsidRPr="00C2329F">
        <w:rPr>
          <w:rFonts w:ascii="Times New Roman" w:hAnsi="Times New Roman"/>
          <w:sz w:val="24"/>
          <w:szCs w:val="24"/>
        </w:rPr>
        <w:t>it is jointly funded</w:t>
      </w:r>
      <w:r>
        <w:rPr>
          <w:rFonts w:ascii="Times New Roman" w:hAnsi="Times New Roman"/>
          <w:sz w:val="24"/>
          <w:szCs w:val="24"/>
        </w:rPr>
        <w:t>;</w:t>
      </w:r>
      <w:r w:rsidRPr="00C2329F">
        <w:rPr>
          <w:rFonts w:ascii="Times New Roman" w:hAnsi="Times New Roman"/>
          <w:sz w:val="24"/>
          <w:szCs w:val="24"/>
        </w:rPr>
        <w:t xml:space="preserve"> and </w:t>
      </w:r>
    </w:p>
    <w:p w14:paraId="2805CC4E" w14:textId="77777777" w:rsidR="00B70052" w:rsidRDefault="00B70052" w:rsidP="00EC6644">
      <w:pPr>
        <w:numPr>
          <w:ilvl w:val="0"/>
          <w:numId w:val="8"/>
        </w:numPr>
        <w:autoSpaceDE w:val="0"/>
        <w:autoSpaceDN w:val="0"/>
        <w:adjustRightInd w:val="0"/>
        <w:spacing w:after="0" w:line="264" w:lineRule="auto"/>
        <w:ind w:left="714" w:hanging="357"/>
        <w:rPr>
          <w:rFonts w:ascii="Times New Roman" w:hAnsi="Times New Roman"/>
          <w:sz w:val="24"/>
          <w:szCs w:val="24"/>
        </w:rPr>
      </w:pPr>
      <w:r w:rsidRPr="3729ED63">
        <w:rPr>
          <w:rFonts w:ascii="Times New Roman" w:hAnsi="Times New Roman"/>
          <w:sz w:val="24"/>
          <w:szCs w:val="24"/>
        </w:rPr>
        <w:t xml:space="preserve">key legislative instruments under the GEMS Scheme require consent from participating jurisdictions before they can be made or revoked (see sections 33 and 35 of the GEMS Act). </w:t>
      </w:r>
    </w:p>
    <w:p w14:paraId="3B3C50CE" w14:textId="77777777" w:rsidR="00235F8B" w:rsidRPr="00C2329F" w:rsidRDefault="00235F8B" w:rsidP="002D02A6">
      <w:pPr>
        <w:autoSpaceDE w:val="0"/>
        <w:autoSpaceDN w:val="0"/>
        <w:adjustRightInd w:val="0"/>
        <w:spacing w:after="0" w:line="264" w:lineRule="auto"/>
        <w:ind w:left="714"/>
        <w:rPr>
          <w:rFonts w:ascii="Times New Roman" w:hAnsi="Times New Roman"/>
          <w:sz w:val="24"/>
          <w:szCs w:val="24"/>
        </w:rPr>
      </w:pPr>
    </w:p>
    <w:p w14:paraId="017B8E0D" w14:textId="150A90A5" w:rsidR="00B70052" w:rsidRPr="00C2329F" w:rsidRDefault="00B70052" w:rsidP="005D3AD1">
      <w:pPr>
        <w:spacing w:after="0" w:line="264" w:lineRule="auto"/>
        <w:rPr>
          <w:rFonts w:ascii="Times New Roman" w:hAnsi="Times New Roman"/>
          <w:sz w:val="24"/>
          <w:szCs w:val="24"/>
        </w:rPr>
      </w:pPr>
      <w:r w:rsidRPr="3729ED63">
        <w:rPr>
          <w:rFonts w:ascii="Times New Roman" w:hAnsi="Times New Roman"/>
          <w:sz w:val="24"/>
          <w:szCs w:val="24"/>
        </w:rPr>
        <w:t>Legislative instruments made under the GEMS Act are made for the purposes of this intergovernmental scheme</w:t>
      </w:r>
      <w:r w:rsidR="00235F8B" w:rsidRPr="3729ED63">
        <w:rPr>
          <w:rFonts w:ascii="Times New Roman" w:hAnsi="Times New Roman"/>
          <w:sz w:val="24"/>
          <w:szCs w:val="24"/>
        </w:rPr>
        <w:t xml:space="preserve"> </w:t>
      </w:r>
      <w:r w:rsidR="00235F8B" w:rsidRPr="3729ED63">
        <w:rPr>
          <w:rFonts w:ascii="Times New Roman" w:hAnsi="Times New Roman"/>
          <w:sz w:val="24"/>
          <w:szCs w:val="24"/>
          <w:lang w:val="en-GB"/>
        </w:rPr>
        <w:t>and are necessary for the operation of the scheme. The GEMS Scheme provides a nationally consistent framework for regulating energy efficiency and product labelling and promotes cooperation between the Commonwealth and states and territories</w:t>
      </w:r>
      <w:r w:rsidRPr="3729ED63">
        <w:rPr>
          <w:rFonts w:ascii="Times New Roman" w:hAnsi="Times New Roman"/>
          <w:sz w:val="24"/>
          <w:szCs w:val="24"/>
        </w:rPr>
        <w:t>. Therefore, such legislative instruments are exempt from sunsetting and disallowance.</w:t>
      </w:r>
    </w:p>
    <w:p w14:paraId="2B03D23E" w14:textId="77777777" w:rsidR="005D3AD1" w:rsidRDefault="005D3AD1" w:rsidP="005D3AD1">
      <w:pPr>
        <w:spacing w:after="0" w:line="264" w:lineRule="auto"/>
        <w:rPr>
          <w:rFonts w:ascii="Times New Roman" w:hAnsi="Times New Roman"/>
          <w:b/>
          <w:i/>
          <w:sz w:val="24"/>
          <w:szCs w:val="24"/>
        </w:rPr>
      </w:pPr>
    </w:p>
    <w:p w14:paraId="7287B581" w14:textId="743B8901" w:rsidR="00770473" w:rsidRDefault="00770473" w:rsidP="005D3AD1">
      <w:pPr>
        <w:spacing w:after="0" w:line="264" w:lineRule="auto"/>
        <w:rPr>
          <w:rFonts w:ascii="Times New Roman" w:hAnsi="Times New Roman"/>
          <w:b/>
          <w:i/>
          <w:sz w:val="24"/>
          <w:szCs w:val="24"/>
        </w:rPr>
      </w:pPr>
      <w:r w:rsidRPr="00901B87">
        <w:rPr>
          <w:rFonts w:ascii="Times New Roman" w:hAnsi="Times New Roman"/>
          <w:b/>
          <w:i/>
          <w:sz w:val="24"/>
          <w:szCs w:val="24"/>
        </w:rPr>
        <w:t>Justification for exemptions</w:t>
      </w:r>
    </w:p>
    <w:p w14:paraId="67DDE21B" w14:textId="77777777" w:rsidR="005D3AD1" w:rsidRPr="00901B87" w:rsidRDefault="005D3AD1" w:rsidP="005D3AD1">
      <w:pPr>
        <w:spacing w:after="0" w:line="264" w:lineRule="auto"/>
        <w:rPr>
          <w:rFonts w:ascii="Times New Roman" w:hAnsi="Times New Roman"/>
          <w:b/>
          <w:i/>
          <w:sz w:val="24"/>
          <w:szCs w:val="24"/>
        </w:rPr>
      </w:pPr>
    </w:p>
    <w:p w14:paraId="328C7219" w14:textId="4A0B0CC5" w:rsidR="00E62F7A" w:rsidRPr="00C2329F" w:rsidRDefault="00E62F7A" w:rsidP="005D3AD1">
      <w:pPr>
        <w:spacing w:after="0" w:line="264" w:lineRule="auto"/>
        <w:rPr>
          <w:rFonts w:ascii="Times New Roman" w:hAnsi="Times New Roman"/>
          <w:sz w:val="24"/>
          <w:szCs w:val="24"/>
        </w:rPr>
      </w:pPr>
      <w:r w:rsidRPr="00C2329F">
        <w:rPr>
          <w:rFonts w:ascii="Times New Roman" w:hAnsi="Times New Roman"/>
          <w:sz w:val="24"/>
          <w:szCs w:val="24"/>
        </w:rPr>
        <w:t xml:space="preserve">Through the E3 </w:t>
      </w:r>
      <w:r>
        <w:rPr>
          <w:rFonts w:ascii="Times New Roman" w:hAnsi="Times New Roman"/>
          <w:sz w:val="24"/>
          <w:szCs w:val="24"/>
        </w:rPr>
        <w:t>P</w:t>
      </w:r>
      <w:r w:rsidRPr="00C2329F">
        <w:rPr>
          <w:rFonts w:ascii="Times New Roman" w:hAnsi="Times New Roman"/>
          <w:sz w:val="24"/>
          <w:szCs w:val="24"/>
        </w:rPr>
        <w:t xml:space="preserve">rogram, the Australian Government works with </w:t>
      </w:r>
      <w:r>
        <w:rPr>
          <w:rFonts w:ascii="Times New Roman" w:hAnsi="Times New Roman"/>
          <w:sz w:val="24"/>
          <w:szCs w:val="24"/>
        </w:rPr>
        <w:t xml:space="preserve">the </w:t>
      </w:r>
      <w:r w:rsidRPr="00C2329F">
        <w:rPr>
          <w:rFonts w:ascii="Times New Roman" w:hAnsi="Times New Roman"/>
          <w:sz w:val="24"/>
          <w:szCs w:val="24"/>
        </w:rPr>
        <w:t>states</w:t>
      </w:r>
      <w:r>
        <w:rPr>
          <w:rFonts w:ascii="Times New Roman" w:hAnsi="Times New Roman"/>
          <w:sz w:val="24"/>
          <w:szCs w:val="24"/>
        </w:rPr>
        <w:t>,</w:t>
      </w:r>
      <w:r w:rsidRPr="00C2329F">
        <w:rPr>
          <w:rFonts w:ascii="Times New Roman" w:hAnsi="Times New Roman"/>
          <w:sz w:val="24"/>
          <w:szCs w:val="24"/>
        </w:rPr>
        <w:t xml:space="preserve"> </w:t>
      </w:r>
      <w:r w:rsidR="79076DE6" w:rsidRPr="1A70DE63">
        <w:rPr>
          <w:rFonts w:ascii="Times New Roman" w:hAnsi="Times New Roman"/>
          <w:sz w:val="24"/>
          <w:szCs w:val="24"/>
        </w:rPr>
        <w:t>self-</w:t>
      </w:r>
      <w:r w:rsidRPr="00C2329F">
        <w:rPr>
          <w:rFonts w:ascii="Times New Roman" w:hAnsi="Times New Roman"/>
          <w:sz w:val="24"/>
          <w:szCs w:val="24"/>
        </w:rPr>
        <w:t>governing territories</w:t>
      </w:r>
      <w:r>
        <w:rPr>
          <w:rFonts w:ascii="Times New Roman" w:hAnsi="Times New Roman"/>
          <w:sz w:val="24"/>
          <w:szCs w:val="24"/>
        </w:rPr>
        <w:t>,</w:t>
      </w:r>
      <w:r w:rsidRPr="00C2329F">
        <w:rPr>
          <w:rFonts w:ascii="Times New Roman" w:hAnsi="Times New Roman"/>
          <w:sz w:val="24"/>
          <w:szCs w:val="24"/>
        </w:rPr>
        <w:t xml:space="preserve"> and the New Zealand Government</w:t>
      </w:r>
      <w:r w:rsidR="00D05A3C">
        <w:rPr>
          <w:rFonts w:ascii="Times New Roman" w:hAnsi="Times New Roman"/>
          <w:sz w:val="24"/>
          <w:szCs w:val="24"/>
        </w:rPr>
        <w:t xml:space="preserve"> to</w:t>
      </w:r>
      <w:r w:rsidRPr="00C2329F">
        <w:rPr>
          <w:rFonts w:ascii="Times New Roman" w:hAnsi="Times New Roman"/>
          <w:sz w:val="24"/>
          <w:szCs w:val="24"/>
        </w:rPr>
        <w:t>:</w:t>
      </w:r>
    </w:p>
    <w:p w14:paraId="5101EEC4" w14:textId="0FF1779D" w:rsidR="00E62F7A" w:rsidRPr="00C2329F" w:rsidRDefault="00E62F7A" w:rsidP="00EC6644">
      <w:pPr>
        <w:numPr>
          <w:ilvl w:val="0"/>
          <w:numId w:val="9"/>
        </w:numPr>
        <w:autoSpaceDE w:val="0"/>
        <w:autoSpaceDN w:val="0"/>
        <w:adjustRightInd w:val="0"/>
        <w:spacing w:after="0" w:line="264" w:lineRule="auto"/>
        <w:rPr>
          <w:rFonts w:ascii="Times New Roman" w:hAnsi="Times New Roman"/>
          <w:sz w:val="24"/>
          <w:szCs w:val="24"/>
        </w:rPr>
      </w:pPr>
      <w:r w:rsidRPr="00C2329F">
        <w:rPr>
          <w:rFonts w:ascii="Times New Roman" w:hAnsi="Times New Roman"/>
          <w:sz w:val="24"/>
          <w:szCs w:val="24"/>
        </w:rPr>
        <w:t xml:space="preserve">identify appliances and other products which are appropriate for </w:t>
      </w:r>
      <w:proofErr w:type="gramStart"/>
      <w:r w:rsidRPr="00C2329F">
        <w:rPr>
          <w:rFonts w:ascii="Times New Roman" w:hAnsi="Times New Roman"/>
          <w:sz w:val="24"/>
          <w:szCs w:val="24"/>
        </w:rPr>
        <w:t>regulation</w:t>
      </w:r>
      <w:r>
        <w:rPr>
          <w:rFonts w:ascii="Times New Roman" w:hAnsi="Times New Roman"/>
          <w:sz w:val="24"/>
          <w:szCs w:val="24"/>
        </w:rPr>
        <w:t>;</w:t>
      </w:r>
      <w:proofErr w:type="gramEnd"/>
    </w:p>
    <w:p w14:paraId="5231AC32" w14:textId="7BCA6914" w:rsidR="00E62F7A" w:rsidRPr="00C2329F" w:rsidRDefault="00E62F7A" w:rsidP="00EC6644">
      <w:pPr>
        <w:numPr>
          <w:ilvl w:val="0"/>
          <w:numId w:val="9"/>
        </w:numPr>
        <w:autoSpaceDE w:val="0"/>
        <w:autoSpaceDN w:val="0"/>
        <w:adjustRightInd w:val="0"/>
        <w:spacing w:after="0" w:line="264" w:lineRule="auto"/>
        <w:rPr>
          <w:rFonts w:ascii="Times New Roman" w:hAnsi="Times New Roman"/>
          <w:sz w:val="24"/>
          <w:szCs w:val="24"/>
        </w:rPr>
      </w:pPr>
      <w:r w:rsidRPr="00C2329F">
        <w:rPr>
          <w:rFonts w:ascii="Times New Roman" w:hAnsi="Times New Roman"/>
          <w:sz w:val="24"/>
          <w:szCs w:val="24"/>
        </w:rPr>
        <w:t>consult with industry stakeholders and agree requirements based on technical and product-specific considerations</w:t>
      </w:r>
      <w:r>
        <w:rPr>
          <w:rFonts w:ascii="Times New Roman" w:hAnsi="Times New Roman"/>
          <w:sz w:val="24"/>
          <w:szCs w:val="24"/>
        </w:rPr>
        <w:t>;</w:t>
      </w:r>
      <w:r w:rsidRPr="00C2329F">
        <w:rPr>
          <w:rFonts w:ascii="Times New Roman" w:hAnsi="Times New Roman"/>
          <w:sz w:val="24"/>
          <w:szCs w:val="24"/>
        </w:rPr>
        <w:t xml:space="preserve"> and </w:t>
      </w:r>
    </w:p>
    <w:p w14:paraId="56A7CF95" w14:textId="6F9FB4D8" w:rsidR="00E62F7A" w:rsidRDefault="00E62F7A" w:rsidP="00EC6644">
      <w:pPr>
        <w:numPr>
          <w:ilvl w:val="0"/>
          <w:numId w:val="9"/>
        </w:numPr>
        <w:autoSpaceDE w:val="0"/>
        <w:autoSpaceDN w:val="0"/>
        <w:adjustRightInd w:val="0"/>
        <w:spacing w:after="0" w:line="264" w:lineRule="auto"/>
        <w:rPr>
          <w:rFonts w:ascii="Times New Roman" w:hAnsi="Times New Roman"/>
          <w:sz w:val="24"/>
          <w:szCs w:val="24"/>
        </w:rPr>
      </w:pPr>
      <w:r w:rsidRPr="3729ED63">
        <w:rPr>
          <w:rFonts w:ascii="Times New Roman" w:hAnsi="Times New Roman"/>
          <w:sz w:val="24"/>
          <w:szCs w:val="24"/>
        </w:rPr>
        <w:t>set mandatory minimum energy efficiency requirements for these products, as well as consistent labelling and other requirements.</w:t>
      </w:r>
    </w:p>
    <w:p w14:paraId="1145C75E" w14:textId="77777777" w:rsidR="00235F8B" w:rsidRPr="00C2329F" w:rsidRDefault="00235F8B" w:rsidP="002D02A6">
      <w:pPr>
        <w:autoSpaceDE w:val="0"/>
        <w:autoSpaceDN w:val="0"/>
        <w:adjustRightInd w:val="0"/>
        <w:spacing w:after="0" w:line="264" w:lineRule="auto"/>
        <w:ind w:left="357"/>
        <w:rPr>
          <w:rFonts w:ascii="Times New Roman" w:hAnsi="Times New Roman"/>
          <w:sz w:val="24"/>
          <w:szCs w:val="24"/>
        </w:rPr>
      </w:pPr>
    </w:p>
    <w:p w14:paraId="7ED363A9" w14:textId="49B5E6DE" w:rsidR="00E62F7A" w:rsidRDefault="00E62F7A" w:rsidP="005D3AD1">
      <w:pPr>
        <w:spacing w:after="0" w:line="264" w:lineRule="auto"/>
        <w:rPr>
          <w:rFonts w:ascii="Times New Roman" w:hAnsi="Times New Roman"/>
          <w:sz w:val="24"/>
          <w:szCs w:val="24"/>
        </w:rPr>
      </w:pPr>
      <w:r w:rsidRPr="3729ED63">
        <w:rPr>
          <w:rFonts w:ascii="Times New Roman" w:hAnsi="Times New Roman"/>
          <w:sz w:val="24"/>
          <w:szCs w:val="24"/>
        </w:rPr>
        <w:lastRenderedPageBreak/>
        <w:t>In this context, the exemptions from disallowance and sunsetting have the effect that, where the intergovernmental scheme has agreed to introduce specific regulatory requirements (including with participating jurisdictions’ consent to the key requirements of GEMS determinations), the Commonwealth Parliament cannot then override that agreement. The exemptions therefore promote confidence in the E3 Program and encourage ongoing, cooperative participation from jurisdictions</w:t>
      </w:r>
      <w:r w:rsidR="00235F8B" w:rsidRPr="3729ED63">
        <w:rPr>
          <w:rFonts w:ascii="Times New Roman" w:hAnsi="Times New Roman"/>
          <w:sz w:val="24"/>
          <w:szCs w:val="24"/>
        </w:rPr>
        <w:t xml:space="preserve"> and maintains credibility in the GEMS Scheme</w:t>
      </w:r>
      <w:r w:rsidRPr="3729ED63">
        <w:rPr>
          <w:rFonts w:ascii="Times New Roman" w:hAnsi="Times New Roman"/>
          <w:sz w:val="24"/>
          <w:szCs w:val="24"/>
        </w:rPr>
        <w:t xml:space="preserve">. </w:t>
      </w:r>
    </w:p>
    <w:p w14:paraId="052CBEA8" w14:textId="77777777" w:rsidR="00235F8B" w:rsidRPr="00C2329F" w:rsidRDefault="00235F8B" w:rsidP="005D3AD1">
      <w:pPr>
        <w:spacing w:after="0" w:line="264" w:lineRule="auto"/>
        <w:rPr>
          <w:rFonts w:ascii="Times New Roman" w:hAnsi="Times New Roman"/>
          <w:sz w:val="24"/>
          <w:szCs w:val="24"/>
        </w:rPr>
      </w:pPr>
    </w:p>
    <w:p w14:paraId="3AE28772" w14:textId="77777777" w:rsidR="00770473" w:rsidRPr="00DE6DE0" w:rsidRDefault="00770473" w:rsidP="00DE6DE0">
      <w:pPr>
        <w:spacing w:before="120" w:after="120"/>
        <w:jc w:val="center"/>
        <w:rPr>
          <w:rFonts w:ascii="Times New Roman" w:hAnsi="Times New Roman"/>
          <w:b/>
          <w:sz w:val="24"/>
          <w:szCs w:val="24"/>
        </w:rPr>
      </w:pPr>
    </w:p>
    <w:sectPr w:rsidR="00770473" w:rsidRPr="00DE6DE0" w:rsidSect="00EC6644">
      <w:headerReference w:type="even" r:id="rId14"/>
      <w:headerReference w:type="default" r:id="rId15"/>
      <w:footerReference w:type="even" r:id="rId16"/>
      <w:footerReference w:type="default" r:id="rId17"/>
      <w:headerReference w:type="first" r:id="rId18"/>
      <w:footerReference w:type="first" r:id="rId19"/>
      <w:pgSz w:w="11906" w:h="16838"/>
      <w:pgMar w:top="1418" w:right="1276" w:bottom="567" w:left="1418" w:header="425" w:footer="425"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C03F" w14:textId="77777777" w:rsidR="00B32C94" w:rsidRDefault="00B32C94" w:rsidP="00A60185">
      <w:pPr>
        <w:spacing w:after="0" w:line="240" w:lineRule="auto"/>
      </w:pPr>
      <w:r>
        <w:separator/>
      </w:r>
    </w:p>
  </w:endnote>
  <w:endnote w:type="continuationSeparator" w:id="0">
    <w:p w14:paraId="6BFCC999" w14:textId="77777777" w:rsidR="00B32C94" w:rsidRDefault="00B32C94" w:rsidP="00A60185">
      <w:pPr>
        <w:spacing w:after="0" w:line="240" w:lineRule="auto"/>
      </w:pPr>
      <w:r>
        <w:continuationSeparator/>
      </w:r>
    </w:p>
  </w:endnote>
  <w:endnote w:type="continuationNotice" w:id="1">
    <w:p w14:paraId="2CEBBEB4" w14:textId="77777777" w:rsidR="00B32C94" w:rsidRDefault="00B32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8BB9" w14:textId="77777777" w:rsidR="00A1037E" w:rsidRDefault="00A1037E">
    <w:pPr>
      <w:pStyle w:val="Footer"/>
    </w:pPr>
    <w:r>
      <w:rPr>
        <w:noProof/>
      </w:rPr>
      <mc:AlternateContent>
        <mc:Choice Requires="wps">
          <w:drawing>
            <wp:anchor distT="0" distB="0" distL="0" distR="0" simplePos="0" relativeHeight="251658246" behindDoc="0" locked="0" layoutInCell="1" allowOverlap="1" wp14:anchorId="22F088C7" wp14:editId="00BC0527">
              <wp:simplePos x="635" y="635"/>
              <wp:positionH relativeFrom="page">
                <wp:align>center</wp:align>
              </wp:positionH>
              <wp:positionV relativeFrom="page">
                <wp:align>bottom</wp:align>
              </wp:positionV>
              <wp:extent cx="551815" cy="404495"/>
              <wp:effectExtent l="0" t="0" r="635" b="0"/>
              <wp:wrapNone/>
              <wp:docPr id="52037778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288C605"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088C7" id="_x0000_t202" coordsize="21600,21600" o:spt="202" path="m,l,21600r21600,l21600,xe">
              <v:stroke joinstyle="miter"/>
              <v:path gradientshapeok="t" o:connecttype="rect"/>
            </v:shapetype>
            <v:shape id="Text Box 8" o:spid="_x0000_s1028" type="#_x0000_t202" alt="OFFICIAL" style="position:absolute;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288C605"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095848"/>
      <w:docPartObj>
        <w:docPartGallery w:val="Page Numbers (Bottom of Page)"/>
        <w:docPartUnique/>
      </w:docPartObj>
    </w:sdtPr>
    <w:sdtEndPr>
      <w:rPr>
        <w:rFonts w:ascii="Times New Roman" w:hAnsi="Times New Roman"/>
        <w:noProof/>
      </w:rPr>
    </w:sdtEndPr>
    <w:sdtContent>
      <w:p w14:paraId="4E937BC4" w14:textId="38D176D1" w:rsidR="00EC6644" w:rsidRDefault="00EC6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F693F" w14:textId="77777777" w:rsidR="00A1037E" w:rsidRDefault="00A10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B122" w14:textId="77777777" w:rsidR="00A1037E" w:rsidRDefault="00A1037E">
    <w:pPr>
      <w:pStyle w:val="Footer"/>
    </w:pPr>
    <w:r>
      <w:rPr>
        <w:noProof/>
      </w:rPr>
      <mc:AlternateContent>
        <mc:Choice Requires="wps">
          <w:drawing>
            <wp:anchor distT="0" distB="0" distL="0" distR="0" simplePos="0" relativeHeight="251658248" behindDoc="0" locked="0" layoutInCell="1" allowOverlap="1" wp14:anchorId="65FB932C" wp14:editId="7F49F6DE">
              <wp:simplePos x="635" y="635"/>
              <wp:positionH relativeFrom="page">
                <wp:align>center</wp:align>
              </wp:positionH>
              <wp:positionV relativeFrom="page">
                <wp:align>bottom</wp:align>
              </wp:positionV>
              <wp:extent cx="551815" cy="404495"/>
              <wp:effectExtent l="0" t="0" r="635" b="0"/>
              <wp:wrapNone/>
              <wp:docPr id="162016289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02BBE1"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FB932C"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5102BBE1"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B92C" w14:textId="12046E8D" w:rsidR="00AA5154" w:rsidRDefault="00AA5154">
    <w:pPr>
      <w:pStyle w:val="Footer"/>
    </w:pPr>
    <w:r>
      <w:rPr>
        <w:noProof/>
      </w:rPr>
      <mc:AlternateContent>
        <mc:Choice Requires="wps">
          <w:drawing>
            <wp:anchor distT="0" distB="0" distL="0" distR="0" simplePos="0" relativeHeight="251658241" behindDoc="0" locked="0" layoutInCell="1" allowOverlap="1" wp14:anchorId="4F11C634" wp14:editId="5C212AF2">
              <wp:simplePos x="635" y="635"/>
              <wp:positionH relativeFrom="page">
                <wp:align>center</wp:align>
              </wp:positionH>
              <wp:positionV relativeFrom="page">
                <wp:align>bottom</wp:align>
              </wp:positionV>
              <wp:extent cx="551815" cy="404495"/>
              <wp:effectExtent l="0" t="0" r="635" b="0"/>
              <wp:wrapNone/>
              <wp:docPr id="61431464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7883D01" w14:textId="409935A4" w:rsidR="00AA5154" w:rsidRPr="00AA5154" w:rsidRDefault="00AA5154" w:rsidP="00AA5154">
                          <w:pPr>
                            <w:spacing w:after="0"/>
                            <w:rPr>
                              <w:rFonts w:ascii="Calibri" w:hAnsi="Calibri" w:cs="Calibri"/>
                              <w:noProof/>
                              <w:color w:val="FF0000"/>
                              <w:sz w:val="24"/>
                              <w:szCs w:val="24"/>
                            </w:rPr>
                          </w:pPr>
                          <w:r w:rsidRPr="00AA5154">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1C634" id="_x0000_t202" coordsize="21600,21600" o:spt="202" path="m,l,21600r21600,l21600,xe">
              <v:stroke joinstyle="miter"/>
              <v:path gradientshapeok="t" o:connecttype="rect"/>
            </v:shapetype>
            <v:shape id="Text Box 11" o:spid="_x0000_s1032"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77883D01" w14:textId="409935A4" w:rsidR="00AA5154" w:rsidRPr="00AA5154" w:rsidRDefault="00AA5154" w:rsidP="00AA5154">
                    <w:pPr>
                      <w:spacing w:after="0"/>
                      <w:rPr>
                        <w:rFonts w:ascii="Calibri" w:hAnsi="Calibri" w:cs="Calibri"/>
                        <w:noProof/>
                        <w:color w:val="FF0000"/>
                        <w:sz w:val="24"/>
                        <w:szCs w:val="24"/>
                      </w:rPr>
                    </w:pPr>
                    <w:r w:rsidRPr="00AA5154">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4921" w14:textId="71B72862" w:rsidR="00EC6644" w:rsidRDefault="00EC6644">
    <w:pPr>
      <w:pStyle w:val="Footer"/>
      <w:jc w:val="center"/>
    </w:pPr>
  </w:p>
  <w:p w14:paraId="65027F82" w14:textId="77777777" w:rsidR="00446F34" w:rsidRDefault="00446F3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3F6" w14:textId="615C706D" w:rsidR="00AA5154" w:rsidRDefault="00AA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2733" w14:textId="77777777" w:rsidR="00B32C94" w:rsidRDefault="00B32C94" w:rsidP="00A60185">
      <w:pPr>
        <w:spacing w:after="0" w:line="240" w:lineRule="auto"/>
      </w:pPr>
      <w:r>
        <w:separator/>
      </w:r>
    </w:p>
  </w:footnote>
  <w:footnote w:type="continuationSeparator" w:id="0">
    <w:p w14:paraId="3162EA5D" w14:textId="77777777" w:rsidR="00B32C94" w:rsidRDefault="00B32C94" w:rsidP="00A60185">
      <w:pPr>
        <w:spacing w:after="0" w:line="240" w:lineRule="auto"/>
      </w:pPr>
      <w:r>
        <w:continuationSeparator/>
      </w:r>
    </w:p>
  </w:footnote>
  <w:footnote w:type="continuationNotice" w:id="1">
    <w:p w14:paraId="50D3EE4A" w14:textId="77777777" w:rsidR="00B32C94" w:rsidRDefault="00B32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9A33" w14:textId="77777777" w:rsidR="00A1037E" w:rsidRDefault="00A1037E">
    <w:pPr>
      <w:pStyle w:val="Header"/>
    </w:pPr>
    <w:r>
      <w:rPr>
        <w:noProof/>
      </w:rPr>
      <mc:AlternateContent>
        <mc:Choice Requires="wps">
          <w:drawing>
            <wp:anchor distT="0" distB="0" distL="0" distR="0" simplePos="0" relativeHeight="251658244" behindDoc="0" locked="0" layoutInCell="1" allowOverlap="1" wp14:anchorId="54FBD8F3" wp14:editId="5CBEB66C">
              <wp:simplePos x="635" y="635"/>
              <wp:positionH relativeFrom="page">
                <wp:align>center</wp:align>
              </wp:positionH>
              <wp:positionV relativeFrom="page">
                <wp:align>top</wp:align>
              </wp:positionV>
              <wp:extent cx="551815" cy="404495"/>
              <wp:effectExtent l="0" t="0" r="635" b="14605"/>
              <wp:wrapNone/>
              <wp:docPr id="13651735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035DDF"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FBD8F3"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4035DDF"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3BAF" w14:textId="77777777" w:rsidR="00A1037E" w:rsidRDefault="00A1037E">
    <w:pPr>
      <w:pStyle w:val="Header"/>
    </w:pPr>
    <w:r>
      <w:rPr>
        <w:noProof/>
      </w:rPr>
      <mc:AlternateContent>
        <mc:Choice Requires="wps">
          <w:drawing>
            <wp:anchor distT="0" distB="0" distL="0" distR="0" simplePos="0" relativeHeight="251658245" behindDoc="0" locked="0" layoutInCell="1" allowOverlap="1" wp14:anchorId="1B692667" wp14:editId="2BF2F6BD">
              <wp:simplePos x="914400" y="449580"/>
              <wp:positionH relativeFrom="page">
                <wp:align>center</wp:align>
              </wp:positionH>
              <wp:positionV relativeFrom="page">
                <wp:align>top</wp:align>
              </wp:positionV>
              <wp:extent cx="551815" cy="404495"/>
              <wp:effectExtent l="0" t="0" r="635" b="14605"/>
              <wp:wrapNone/>
              <wp:docPr id="5206190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352994" w14:textId="77777777" w:rsidR="00A1037E" w:rsidRPr="0020243D" w:rsidRDefault="00A1037E" w:rsidP="00B262F0">
                          <w:pPr>
                            <w:spacing w:after="0"/>
                            <w:rPr>
                              <w:rFonts w:ascii="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92667"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0352994" w14:textId="77777777" w:rsidR="00A1037E" w:rsidRPr="0020243D" w:rsidRDefault="00A1037E" w:rsidP="00B262F0">
                    <w:pPr>
                      <w:spacing w:after="0"/>
                      <w:rPr>
                        <w:rFonts w:ascii="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279B" w14:textId="77777777" w:rsidR="00A1037E" w:rsidRDefault="00A1037E">
    <w:pPr>
      <w:pStyle w:val="Header"/>
    </w:pPr>
    <w:r>
      <w:rPr>
        <w:noProof/>
      </w:rPr>
      <mc:AlternateContent>
        <mc:Choice Requires="wps">
          <w:drawing>
            <wp:anchor distT="0" distB="0" distL="0" distR="0" simplePos="0" relativeHeight="251658247" behindDoc="0" locked="0" layoutInCell="1" allowOverlap="1" wp14:anchorId="481E47E3" wp14:editId="4CB8BB70">
              <wp:simplePos x="635" y="635"/>
              <wp:positionH relativeFrom="page">
                <wp:align>center</wp:align>
              </wp:positionH>
              <wp:positionV relativeFrom="page">
                <wp:align>top</wp:align>
              </wp:positionV>
              <wp:extent cx="551815" cy="404495"/>
              <wp:effectExtent l="0" t="0" r="635" b="14605"/>
              <wp:wrapNone/>
              <wp:docPr id="1130955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216A95"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E47E3"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44216A95" w14:textId="77777777" w:rsidR="00A1037E" w:rsidRPr="0020243D" w:rsidRDefault="00A1037E" w:rsidP="00B262F0">
                    <w:pPr>
                      <w:spacing w:after="0"/>
                      <w:rPr>
                        <w:rFonts w:ascii="Calibri" w:hAnsi="Calibri" w:cs="Calibri"/>
                        <w:noProof/>
                        <w:color w:val="FF0000"/>
                        <w:sz w:val="24"/>
                        <w:szCs w:val="24"/>
                      </w:rPr>
                    </w:pPr>
                    <w:r w:rsidRPr="0020243D">
                      <w:rPr>
                        <w:rFonts w:ascii="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1A92" w14:textId="74263934" w:rsidR="00100BEF" w:rsidRDefault="00AA5154" w:rsidP="00E45765">
    <w:pPr>
      <w:pStyle w:val="Classification"/>
    </w:pPr>
    <w:r>
      <w:rPr>
        <w:noProof/>
      </w:rPr>
      <mc:AlternateContent>
        <mc:Choice Requires="wps">
          <w:drawing>
            <wp:anchor distT="0" distB="0" distL="0" distR="0" simplePos="0" relativeHeight="251658240" behindDoc="0" locked="0" layoutInCell="1" allowOverlap="1" wp14:anchorId="796D6ABC" wp14:editId="585DB19A">
              <wp:simplePos x="635" y="635"/>
              <wp:positionH relativeFrom="page">
                <wp:align>center</wp:align>
              </wp:positionH>
              <wp:positionV relativeFrom="page">
                <wp:align>top</wp:align>
              </wp:positionV>
              <wp:extent cx="551815" cy="404495"/>
              <wp:effectExtent l="0" t="0" r="635" b="14605"/>
              <wp:wrapNone/>
              <wp:docPr id="70378695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C5E602" w14:textId="3415B04C" w:rsidR="00AA5154" w:rsidRPr="00AA5154" w:rsidRDefault="00AA5154" w:rsidP="00AA5154">
                          <w:pPr>
                            <w:spacing w:after="0"/>
                            <w:rPr>
                              <w:rFonts w:ascii="Calibri" w:hAnsi="Calibri" w:cs="Calibri"/>
                              <w:noProof/>
                              <w:color w:val="FF0000"/>
                              <w:sz w:val="24"/>
                              <w:szCs w:val="24"/>
                            </w:rPr>
                          </w:pPr>
                          <w:r w:rsidRPr="00AA5154">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6D6ABC"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0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Rqbu91CfcSgHw7695ZsWS2+ZDy/M4YJxDhRt&#10;eMZDKugqCqNFSQPux9/8MR95xyglHQqmogYVTYn6ZnAfUVvJKO7yRY43N7n3k2GO+gFQhgW+CMuT&#10;GfOCmkzpQL+hnNexEIaY4ViuomEyH8KgXHwOXKzXKQllZFnYmp3lETrSFbl87d+YsyPhATf1BJOa&#10;WPmO9yE3/unt+hiQ/bSUSO1A5Mg4SjCtdXwuUeO/3lPW9VGvfgI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F1jGjQNAgAAHAQA&#10;AA4AAAAAAAAAAAAAAAAALgIAAGRycy9lMm9Eb2MueG1sUEsBAi0AFAAGAAgAAAAhAPymfrLaAAAA&#10;AwEAAA8AAAAAAAAAAAAAAAAAZwQAAGRycy9kb3ducmV2LnhtbFBLBQYAAAAABAAEAPMAAABuBQAA&#10;AAA=&#10;" filled="f" stroked="f">
              <v:textbox style="mso-fit-shape-to-text:t" inset="0,15pt,0,0">
                <w:txbxContent>
                  <w:p w14:paraId="25C5E602" w14:textId="3415B04C" w:rsidR="00AA5154" w:rsidRPr="00AA5154" w:rsidRDefault="00AA5154" w:rsidP="00AA5154">
                    <w:pPr>
                      <w:spacing w:after="0"/>
                      <w:rPr>
                        <w:rFonts w:ascii="Calibri" w:hAnsi="Calibri" w:cs="Calibri"/>
                        <w:noProof/>
                        <w:color w:val="FF0000"/>
                        <w:sz w:val="24"/>
                        <w:szCs w:val="24"/>
                      </w:rPr>
                    </w:pPr>
                    <w:r w:rsidRPr="00AA5154">
                      <w:rPr>
                        <w:rFonts w:ascii="Calibri" w:hAnsi="Calibri" w:cs="Calibri"/>
                        <w:noProof/>
                        <w:color w:val="FF0000"/>
                        <w:sz w:val="24"/>
                        <w:szCs w:val="24"/>
                      </w:rPr>
                      <w:t>OFFICIAL</w:t>
                    </w:r>
                  </w:p>
                </w:txbxContent>
              </v:textbox>
              <w10:wrap anchorx="page" anchory="page"/>
            </v:shape>
          </w:pict>
        </mc:Fallback>
      </mc:AlternateContent>
    </w:r>
    <w:r w:rsidR="00CF009A">
      <w:fldChar w:fldCharType="begin"/>
    </w:r>
    <w:r w:rsidR="00CF009A">
      <w:instrText xml:space="preserve"> DOCPROPERTY SecurityClassification \* MERGEFORMAT </w:instrText>
    </w:r>
    <w:r w:rsidR="00CF009A">
      <w:fldChar w:fldCharType="separate"/>
    </w:r>
    <w:r w:rsidR="008952B8">
      <w:rPr>
        <w:b/>
        <w:bCs/>
        <w:lang w:val="en-US"/>
      </w:rPr>
      <w:t>Error! Unknown document property name.</w:t>
    </w:r>
    <w:r w:rsidR="00CF009A">
      <w:fldChar w:fldCharType="end"/>
    </w:r>
  </w:p>
  <w:p w14:paraId="2D240905" w14:textId="77777777" w:rsidR="00446F34" w:rsidRDefault="00446F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8123" w14:textId="2312F708" w:rsidR="00AA5154" w:rsidRDefault="00AA51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D77B" w14:textId="772C362A" w:rsidR="00AA5154" w:rsidRDefault="00AA5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ED1A3F"/>
    <w:multiLevelType w:val="hybridMultilevel"/>
    <w:tmpl w:val="443056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E291AB7"/>
    <w:multiLevelType w:val="hybridMultilevel"/>
    <w:tmpl w:val="F05CB0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CB4BA6"/>
    <w:multiLevelType w:val="multilevel"/>
    <w:tmpl w:val="92F406A0"/>
    <w:lvl w:ilvl="0">
      <w:start w:val="1"/>
      <w:numFmt w:val="bullet"/>
      <w:lvlText w:val=""/>
      <w:lvlJc w:val="left"/>
      <w:pPr>
        <w:ind w:left="738" w:hanging="369"/>
      </w:pPr>
      <w:rPr>
        <w:rFonts w:ascii="Symbol" w:hAnsi="Symbol" w:hint="default"/>
      </w:rPr>
    </w:lvl>
    <w:lvl w:ilvl="1">
      <w:start w:val="1"/>
      <w:numFmt w:val="none"/>
      <w:lvlText w:val="-"/>
      <w:lvlJc w:val="left"/>
      <w:pPr>
        <w:ind w:left="1106" w:hanging="368"/>
      </w:pPr>
      <w:rPr>
        <w:rFonts w:hint="default"/>
      </w:rPr>
    </w:lvl>
    <w:lvl w:ilvl="2">
      <w:start w:val="1"/>
      <w:numFmt w:val="none"/>
      <w:lvlText w:val=":"/>
      <w:lvlJc w:val="left"/>
      <w:pPr>
        <w:ind w:left="1475" w:hanging="369"/>
      </w:pPr>
      <w:rPr>
        <w:rFonts w:hint="default"/>
      </w:rPr>
    </w:lvl>
    <w:lvl w:ilvl="3">
      <w:start w:val="1"/>
      <w:numFmt w:val="none"/>
      <w:lvlText w:val=""/>
      <w:lvlJc w:val="left"/>
      <w:pPr>
        <w:ind w:left="1843" w:hanging="368"/>
      </w:pPr>
      <w:rPr>
        <w:rFonts w:hint="default"/>
      </w:rPr>
    </w:lvl>
    <w:lvl w:ilvl="4">
      <w:start w:val="1"/>
      <w:numFmt w:val="lowerLetter"/>
      <w:lvlText w:val="(%5)"/>
      <w:lvlJc w:val="left"/>
      <w:pPr>
        <w:ind w:left="2169" w:hanging="360"/>
      </w:pPr>
      <w:rPr>
        <w:rFonts w:hint="default"/>
      </w:rPr>
    </w:lvl>
    <w:lvl w:ilvl="5">
      <w:start w:val="1"/>
      <w:numFmt w:val="lowerRoman"/>
      <w:lvlText w:val="(%6)"/>
      <w:lvlJc w:val="left"/>
      <w:pPr>
        <w:ind w:left="2529" w:hanging="360"/>
      </w:pPr>
      <w:rPr>
        <w:rFonts w:hint="default"/>
      </w:rPr>
    </w:lvl>
    <w:lvl w:ilvl="6">
      <w:start w:val="1"/>
      <w:numFmt w:val="decimal"/>
      <w:lvlText w:val="%7."/>
      <w:lvlJc w:val="left"/>
      <w:pPr>
        <w:ind w:left="2889" w:hanging="360"/>
      </w:pPr>
      <w:rPr>
        <w:rFonts w:hint="default"/>
      </w:rPr>
    </w:lvl>
    <w:lvl w:ilvl="7">
      <w:start w:val="1"/>
      <w:numFmt w:val="lowerLetter"/>
      <w:lvlText w:val="%8."/>
      <w:lvlJc w:val="left"/>
      <w:pPr>
        <w:ind w:left="3249" w:hanging="360"/>
      </w:pPr>
      <w:rPr>
        <w:rFonts w:hint="default"/>
      </w:rPr>
    </w:lvl>
    <w:lvl w:ilvl="8">
      <w:start w:val="1"/>
      <w:numFmt w:val="lowerRoman"/>
      <w:lvlText w:val="%9."/>
      <w:lvlJc w:val="left"/>
      <w:pPr>
        <w:ind w:left="3609" w:hanging="360"/>
      </w:pPr>
      <w:rPr>
        <w:rFonts w:hint="default"/>
      </w:rPr>
    </w:lvl>
  </w:abstractNum>
  <w:abstractNum w:abstractNumId="7"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15:restartNumberingAfterBreak="0">
    <w:nsid w:val="788260C9"/>
    <w:multiLevelType w:val="multilevel"/>
    <w:tmpl w:val="E898CC72"/>
    <w:numStyleLink w:val="KeyPoints"/>
  </w:abstractNum>
  <w:abstractNum w:abstractNumId="9" w15:restartNumberingAfterBreak="0">
    <w:nsid w:val="7D3708B3"/>
    <w:multiLevelType w:val="multilevel"/>
    <w:tmpl w:val="E5E89F92"/>
    <w:numStyleLink w:val="BulletList"/>
  </w:abstractNum>
  <w:num w:numId="1" w16cid:durableId="999964946">
    <w:abstractNumId w:val="7"/>
  </w:num>
  <w:num w:numId="2" w16cid:durableId="790707546">
    <w:abstractNumId w:val="0"/>
  </w:num>
  <w:num w:numId="3" w16cid:durableId="302081779">
    <w:abstractNumId w:val="4"/>
  </w:num>
  <w:num w:numId="4" w16cid:durableId="1859273569">
    <w:abstractNumId w:val="3"/>
  </w:num>
  <w:num w:numId="5" w16cid:durableId="1845052052">
    <w:abstractNumId w:val="8"/>
  </w:num>
  <w:num w:numId="6" w16cid:durableId="1411923447">
    <w:abstractNumId w:val="9"/>
  </w:num>
  <w:num w:numId="7" w16cid:durableId="1814982848">
    <w:abstractNumId w:val="1"/>
  </w:num>
  <w:num w:numId="8" w16cid:durableId="1491602919">
    <w:abstractNumId w:val="2"/>
  </w:num>
  <w:num w:numId="9" w16cid:durableId="386612040">
    <w:abstractNumId w:val="5"/>
  </w:num>
  <w:num w:numId="10" w16cid:durableId="178064366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E308D"/>
    <w:rsid w:val="0000097A"/>
    <w:rsid w:val="000026AC"/>
    <w:rsid w:val="00003586"/>
    <w:rsid w:val="0000388E"/>
    <w:rsid w:val="00003D03"/>
    <w:rsid w:val="00004060"/>
    <w:rsid w:val="00004AEE"/>
    <w:rsid w:val="000059F2"/>
    <w:rsid w:val="00005CAA"/>
    <w:rsid w:val="00010210"/>
    <w:rsid w:val="00011622"/>
    <w:rsid w:val="000122BB"/>
    <w:rsid w:val="00012D66"/>
    <w:rsid w:val="0001317A"/>
    <w:rsid w:val="0001318B"/>
    <w:rsid w:val="00013EB6"/>
    <w:rsid w:val="00015ADA"/>
    <w:rsid w:val="00015FDD"/>
    <w:rsid w:val="00016888"/>
    <w:rsid w:val="00020C99"/>
    <w:rsid w:val="00021306"/>
    <w:rsid w:val="0002707B"/>
    <w:rsid w:val="00030ACA"/>
    <w:rsid w:val="000406D6"/>
    <w:rsid w:val="0004237F"/>
    <w:rsid w:val="00044DAA"/>
    <w:rsid w:val="000455A6"/>
    <w:rsid w:val="0005148E"/>
    <w:rsid w:val="00055A0A"/>
    <w:rsid w:val="00060D1F"/>
    <w:rsid w:val="0006231D"/>
    <w:rsid w:val="00065E2C"/>
    <w:rsid w:val="000710B4"/>
    <w:rsid w:val="00072C5A"/>
    <w:rsid w:val="00074223"/>
    <w:rsid w:val="000756B5"/>
    <w:rsid w:val="000759E5"/>
    <w:rsid w:val="00077A37"/>
    <w:rsid w:val="00082416"/>
    <w:rsid w:val="000838F2"/>
    <w:rsid w:val="00084653"/>
    <w:rsid w:val="00084AC6"/>
    <w:rsid w:val="00087EF0"/>
    <w:rsid w:val="00091608"/>
    <w:rsid w:val="0009333C"/>
    <w:rsid w:val="00093CEC"/>
    <w:rsid w:val="00096D24"/>
    <w:rsid w:val="0009704F"/>
    <w:rsid w:val="0009724B"/>
    <w:rsid w:val="00097562"/>
    <w:rsid w:val="000A0F11"/>
    <w:rsid w:val="000A125A"/>
    <w:rsid w:val="000A2084"/>
    <w:rsid w:val="000A57CD"/>
    <w:rsid w:val="000B1CA4"/>
    <w:rsid w:val="000B3758"/>
    <w:rsid w:val="000B7681"/>
    <w:rsid w:val="000B7B42"/>
    <w:rsid w:val="000C02B7"/>
    <w:rsid w:val="000C0F93"/>
    <w:rsid w:val="000C130E"/>
    <w:rsid w:val="000C5100"/>
    <w:rsid w:val="000C5342"/>
    <w:rsid w:val="000C67A6"/>
    <w:rsid w:val="000C706A"/>
    <w:rsid w:val="000D1BA4"/>
    <w:rsid w:val="000D2887"/>
    <w:rsid w:val="000D3C32"/>
    <w:rsid w:val="000D5CD0"/>
    <w:rsid w:val="000D6D63"/>
    <w:rsid w:val="000E0081"/>
    <w:rsid w:val="000E040F"/>
    <w:rsid w:val="000E07CF"/>
    <w:rsid w:val="000E0DA9"/>
    <w:rsid w:val="000E31C1"/>
    <w:rsid w:val="000E3C74"/>
    <w:rsid w:val="000E74FB"/>
    <w:rsid w:val="000F0071"/>
    <w:rsid w:val="000F2CF2"/>
    <w:rsid w:val="000F2ED0"/>
    <w:rsid w:val="000F5A5D"/>
    <w:rsid w:val="000F6B02"/>
    <w:rsid w:val="000F6D9B"/>
    <w:rsid w:val="001003DA"/>
    <w:rsid w:val="00100BEF"/>
    <w:rsid w:val="00102955"/>
    <w:rsid w:val="00103B99"/>
    <w:rsid w:val="00110419"/>
    <w:rsid w:val="00111326"/>
    <w:rsid w:val="00111ADA"/>
    <w:rsid w:val="0011208A"/>
    <w:rsid w:val="0011498E"/>
    <w:rsid w:val="00114D33"/>
    <w:rsid w:val="0011717C"/>
    <w:rsid w:val="00117A45"/>
    <w:rsid w:val="001224AE"/>
    <w:rsid w:val="001225D4"/>
    <w:rsid w:val="001274F5"/>
    <w:rsid w:val="001317B9"/>
    <w:rsid w:val="00132A3D"/>
    <w:rsid w:val="0013306A"/>
    <w:rsid w:val="0013309A"/>
    <w:rsid w:val="0013366D"/>
    <w:rsid w:val="001337D4"/>
    <w:rsid w:val="00135338"/>
    <w:rsid w:val="00137A22"/>
    <w:rsid w:val="00137A63"/>
    <w:rsid w:val="00142E99"/>
    <w:rsid w:val="00144400"/>
    <w:rsid w:val="00145A74"/>
    <w:rsid w:val="00147C12"/>
    <w:rsid w:val="0015072C"/>
    <w:rsid w:val="0015179C"/>
    <w:rsid w:val="001527A1"/>
    <w:rsid w:val="001530DC"/>
    <w:rsid w:val="00154989"/>
    <w:rsid w:val="00155A9F"/>
    <w:rsid w:val="00157BD6"/>
    <w:rsid w:val="00160262"/>
    <w:rsid w:val="00160DF8"/>
    <w:rsid w:val="001614B3"/>
    <w:rsid w:val="0016289A"/>
    <w:rsid w:val="00162E2C"/>
    <w:rsid w:val="0016390F"/>
    <w:rsid w:val="00165093"/>
    <w:rsid w:val="0016780A"/>
    <w:rsid w:val="00167A5A"/>
    <w:rsid w:val="001713FA"/>
    <w:rsid w:val="001715DD"/>
    <w:rsid w:val="00173543"/>
    <w:rsid w:val="00173EBF"/>
    <w:rsid w:val="00174974"/>
    <w:rsid w:val="00175ACD"/>
    <w:rsid w:val="00175ED3"/>
    <w:rsid w:val="001760D7"/>
    <w:rsid w:val="00176435"/>
    <w:rsid w:val="00182A08"/>
    <w:rsid w:val="001842A2"/>
    <w:rsid w:val="001844D8"/>
    <w:rsid w:val="00185231"/>
    <w:rsid w:val="001854D9"/>
    <w:rsid w:val="00185D97"/>
    <w:rsid w:val="00187FA8"/>
    <w:rsid w:val="00190BD5"/>
    <w:rsid w:val="00192F5E"/>
    <w:rsid w:val="001968CC"/>
    <w:rsid w:val="00197772"/>
    <w:rsid w:val="001A0692"/>
    <w:rsid w:val="001A0D16"/>
    <w:rsid w:val="001A13D2"/>
    <w:rsid w:val="001A51C8"/>
    <w:rsid w:val="001B4CA8"/>
    <w:rsid w:val="001B5EA1"/>
    <w:rsid w:val="001B61EA"/>
    <w:rsid w:val="001C1427"/>
    <w:rsid w:val="001C170F"/>
    <w:rsid w:val="001C4475"/>
    <w:rsid w:val="001C4F3D"/>
    <w:rsid w:val="001D007E"/>
    <w:rsid w:val="001D0CDC"/>
    <w:rsid w:val="001D1D82"/>
    <w:rsid w:val="001D4905"/>
    <w:rsid w:val="001D4A69"/>
    <w:rsid w:val="001D554E"/>
    <w:rsid w:val="001E108B"/>
    <w:rsid w:val="001E1182"/>
    <w:rsid w:val="001E2579"/>
    <w:rsid w:val="001E25DE"/>
    <w:rsid w:val="001E44D6"/>
    <w:rsid w:val="001E7C70"/>
    <w:rsid w:val="001F2220"/>
    <w:rsid w:val="001F2D33"/>
    <w:rsid w:val="001F7675"/>
    <w:rsid w:val="00202C90"/>
    <w:rsid w:val="00203285"/>
    <w:rsid w:val="00206945"/>
    <w:rsid w:val="00212E41"/>
    <w:rsid w:val="002134F4"/>
    <w:rsid w:val="00213DE8"/>
    <w:rsid w:val="00216118"/>
    <w:rsid w:val="0021697C"/>
    <w:rsid w:val="00217DCD"/>
    <w:rsid w:val="0022060B"/>
    <w:rsid w:val="002209AB"/>
    <w:rsid w:val="0022113F"/>
    <w:rsid w:val="0022382E"/>
    <w:rsid w:val="002251E3"/>
    <w:rsid w:val="0022633C"/>
    <w:rsid w:val="00227A95"/>
    <w:rsid w:val="002316BD"/>
    <w:rsid w:val="00232A85"/>
    <w:rsid w:val="00234E4B"/>
    <w:rsid w:val="00235F8B"/>
    <w:rsid w:val="0023636E"/>
    <w:rsid w:val="002375F3"/>
    <w:rsid w:val="002406D3"/>
    <w:rsid w:val="002419EE"/>
    <w:rsid w:val="002473FC"/>
    <w:rsid w:val="00252A91"/>
    <w:rsid w:val="00252E3C"/>
    <w:rsid w:val="0025379E"/>
    <w:rsid w:val="00254BBE"/>
    <w:rsid w:val="0026017F"/>
    <w:rsid w:val="00261079"/>
    <w:rsid w:val="00262198"/>
    <w:rsid w:val="00266DC3"/>
    <w:rsid w:val="00267B7D"/>
    <w:rsid w:val="0027067B"/>
    <w:rsid w:val="0027187A"/>
    <w:rsid w:val="00274DF0"/>
    <w:rsid w:val="0027611C"/>
    <w:rsid w:val="002807AB"/>
    <w:rsid w:val="002813E4"/>
    <w:rsid w:val="00285F1B"/>
    <w:rsid w:val="002863C4"/>
    <w:rsid w:val="00291B01"/>
    <w:rsid w:val="00291B35"/>
    <w:rsid w:val="00292B81"/>
    <w:rsid w:val="0029472A"/>
    <w:rsid w:val="00295B90"/>
    <w:rsid w:val="002A00A0"/>
    <w:rsid w:val="002A06F5"/>
    <w:rsid w:val="002A0E81"/>
    <w:rsid w:val="002A5E30"/>
    <w:rsid w:val="002A75C5"/>
    <w:rsid w:val="002A7B6C"/>
    <w:rsid w:val="002A7C77"/>
    <w:rsid w:val="002B08FD"/>
    <w:rsid w:val="002B18AE"/>
    <w:rsid w:val="002B1E2C"/>
    <w:rsid w:val="002B2CE0"/>
    <w:rsid w:val="002C08E5"/>
    <w:rsid w:val="002C1AB6"/>
    <w:rsid w:val="002C1C93"/>
    <w:rsid w:val="002C2CC2"/>
    <w:rsid w:val="002C3511"/>
    <w:rsid w:val="002C398B"/>
    <w:rsid w:val="002C5066"/>
    <w:rsid w:val="002C52E5"/>
    <w:rsid w:val="002C5813"/>
    <w:rsid w:val="002D02A6"/>
    <w:rsid w:val="002D0BC9"/>
    <w:rsid w:val="002D25DF"/>
    <w:rsid w:val="002D32AE"/>
    <w:rsid w:val="002D4AAC"/>
    <w:rsid w:val="002D6E3A"/>
    <w:rsid w:val="002F0041"/>
    <w:rsid w:val="002F045A"/>
    <w:rsid w:val="002F28B0"/>
    <w:rsid w:val="002F36C0"/>
    <w:rsid w:val="002F4B60"/>
    <w:rsid w:val="002F5B8D"/>
    <w:rsid w:val="002F7A79"/>
    <w:rsid w:val="0030039D"/>
    <w:rsid w:val="00300FCC"/>
    <w:rsid w:val="003018D7"/>
    <w:rsid w:val="0030209F"/>
    <w:rsid w:val="0030326F"/>
    <w:rsid w:val="0030796A"/>
    <w:rsid w:val="00310701"/>
    <w:rsid w:val="00310860"/>
    <w:rsid w:val="00311508"/>
    <w:rsid w:val="00312BB6"/>
    <w:rsid w:val="00315980"/>
    <w:rsid w:val="00316F7F"/>
    <w:rsid w:val="00317C38"/>
    <w:rsid w:val="00317E9B"/>
    <w:rsid w:val="00320DF4"/>
    <w:rsid w:val="003218E8"/>
    <w:rsid w:val="0032285A"/>
    <w:rsid w:val="003236C2"/>
    <w:rsid w:val="00323CBF"/>
    <w:rsid w:val="0032439E"/>
    <w:rsid w:val="00325E34"/>
    <w:rsid w:val="00327641"/>
    <w:rsid w:val="00330DCE"/>
    <w:rsid w:val="003316BD"/>
    <w:rsid w:val="00331E11"/>
    <w:rsid w:val="00332109"/>
    <w:rsid w:val="003323A4"/>
    <w:rsid w:val="003341D1"/>
    <w:rsid w:val="00334761"/>
    <w:rsid w:val="003361BD"/>
    <w:rsid w:val="00337EBC"/>
    <w:rsid w:val="00341DCD"/>
    <w:rsid w:val="00342306"/>
    <w:rsid w:val="00342B76"/>
    <w:rsid w:val="003430D0"/>
    <w:rsid w:val="00343CF8"/>
    <w:rsid w:val="00344F0C"/>
    <w:rsid w:val="0034563E"/>
    <w:rsid w:val="00350F63"/>
    <w:rsid w:val="003518D6"/>
    <w:rsid w:val="00353CC3"/>
    <w:rsid w:val="0035460C"/>
    <w:rsid w:val="003556BD"/>
    <w:rsid w:val="00356A4E"/>
    <w:rsid w:val="00363304"/>
    <w:rsid w:val="00364C62"/>
    <w:rsid w:val="00365147"/>
    <w:rsid w:val="00365603"/>
    <w:rsid w:val="0037016E"/>
    <w:rsid w:val="00372908"/>
    <w:rsid w:val="00375299"/>
    <w:rsid w:val="00383020"/>
    <w:rsid w:val="00386B1A"/>
    <w:rsid w:val="003870EB"/>
    <w:rsid w:val="00391745"/>
    <w:rsid w:val="00392DEB"/>
    <w:rsid w:val="003931CD"/>
    <w:rsid w:val="00394D7E"/>
    <w:rsid w:val="0039736F"/>
    <w:rsid w:val="003975FD"/>
    <w:rsid w:val="003A11E7"/>
    <w:rsid w:val="003A12A0"/>
    <w:rsid w:val="003A2BD9"/>
    <w:rsid w:val="003A43EC"/>
    <w:rsid w:val="003A7446"/>
    <w:rsid w:val="003B002A"/>
    <w:rsid w:val="003B057D"/>
    <w:rsid w:val="003B107C"/>
    <w:rsid w:val="003B3415"/>
    <w:rsid w:val="003B60CC"/>
    <w:rsid w:val="003C18C7"/>
    <w:rsid w:val="003C1B25"/>
    <w:rsid w:val="003C2027"/>
    <w:rsid w:val="003C2443"/>
    <w:rsid w:val="003C5DA3"/>
    <w:rsid w:val="003C5E6E"/>
    <w:rsid w:val="003C7732"/>
    <w:rsid w:val="003D00C4"/>
    <w:rsid w:val="003D4BCD"/>
    <w:rsid w:val="003D6C2B"/>
    <w:rsid w:val="003D743B"/>
    <w:rsid w:val="003E01D8"/>
    <w:rsid w:val="003E2100"/>
    <w:rsid w:val="003E26DB"/>
    <w:rsid w:val="003E5E0D"/>
    <w:rsid w:val="003E6044"/>
    <w:rsid w:val="003F6F5B"/>
    <w:rsid w:val="0040342D"/>
    <w:rsid w:val="00403E25"/>
    <w:rsid w:val="00404EDA"/>
    <w:rsid w:val="0041192D"/>
    <w:rsid w:val="004124FF"/>
    <w:rsid w:val="0041370C"/>
    <w:rsid w:val="00413EE1"/>
    <w:rsid w:val="00417755"/>
    <w:rsid w:val="0042128E"/>
    <w:rsid w:val="00422C9A"/>
    <w:rsid w:val="00424419"/>
    <w:rsid w:val="00426AD3"/>
    <w:rsid w:val="00426EAD"/>
    <w:rsid w:val="00432B60"/>
    <w:rsid w:val="004351B3"/>
    <w:rsid w:val="00436596"/>
    <w:rsid w:val="00440698"/>
    <w:rsid w:val="00440700"/>
    <w:rsid w:val="0044261A"/>
    <w:rsid w:val="00446F34"/>
    <w:rsid w:val="004477F8"/>
    <w:rsid w:val="00451495"/>
    <w:rsid w:val="0045369D"/>
    <w:rsid w:val="004540E2"/>
    <w:rsid w:val="00454454"/>
    <w:rsid w:val="00455208"/>
    <w:rsid w:val="00455AB1"/>
    <w:rsid w:val="00455D2F"/>
    <w:rsid w:val="004610A8"/>
    <w:rsid w:val="004677AC"/>
    <w:rsid w:val="00467924"/>
    <w:rsid w:val="00470CE0"/>
    <w:rsid w:val="00471204"/>
    <w:rsid w:val="004712A5"/>
    <w:rsid w:val="0047266F"/>
    <w:rsid w:val="00476D6B"/>
    <w:rsid w:val="00481A13"/>
    <w:rsid w:val="00483C45"/>
    <w:rsid w:val="00485B1C"/>
    <w:rsid w:val="00486F78"/>
    <w:rsid w:val="00492355"/>
    <w:rsid w:val="00492C16"/>
    <w:rsid w:val="00493D72"/>
    <w:rsid w:val="004948B5"/>
    <w:rsid w:val="004948FB"/>
    <w:rsid w:val="0049747D"/>
    <w:rsid w:val="004A0678"/>
    <w:rsid w:val="004A068B"/>
    <w:rsid w:val="004A48A3"/>
    <w:rsid w:val="004A5C83"/>
    <w:rsid w:val="004A7935"/>
    <w:rsid w:val="004B0D92"/>
    <w:rsid w:val="004B0EC0"/>
    <w:rsid w:val="004B1AF6"/>
    <w:rsid w:val="004B522A"/>
    <w:rsid w:val="004B61AE"/>
    <w:rsid w:val="004B66F1"/>
    <w:rsid w:val="004B6B98"/>
    <w:rsid w:val="004B7A65"/>
    <w:rsid w:val="004C3EA0"/>
    <w:rsid w:val="004D2317"/>
    <w:rsid w:val="004D458E"/>
    <w:rsid w:val="004D581E"/>
    <w:rsid w:val="004D5BC3"/>
    <w:rsid w:val="004E1FF0"/>
    <w:rsid w:val="004E5FE0"/>
    <w:rsid w:val="004F28E4"/>
    <w:rsid w:val="004F595D"/>
    <w:rsid w:val="004F7169"/>
    <w:rsid w:val="00500D66"/>
    <w:rsid w:val="00504EF8"/>
    <w:rsid w:val="00505194"/>
    <w:rsid w:val="00507ECE"/>
    <w:rsid w:val="00513B57"/>
    <w:rsid w:val="00514C8E"/>
    <w:rsid w:val="005158F5"/>
    <w:rsid w:val="00520812"/>
    <w:rsid w:val="00521795"/>
    <w:rsid w:val="00521868"/>
    <w:rsid w:val="00521944"/>
    <w:rsid w:val="00522B0E"/>
    <w:rsid w:val="0052431C"/>
    <w:rsid w:val="0052662A"/>
    <w:rsid w:val="00531DBF"/>
    <w:rsid w:val="005327EA"/>
    <w:rsid w:val="00533D60"/>
    <w:rsid w:val="005341A9"/>
    <w:rsid w:val="00544AC7"/>
    <w:rsid w:val="00545759"/>
    <w:rsid w:val="00545BE0"/>
    <w:rsid w:val="00546930"/>
    <w:rsid w:val="00553353"/>
    <w:rsid w:val="005534F2"/>
    <w:rsid w:val="00554C6A"/>
    <w:rsid w:val="00557845"/>
    <w:rsid w:val="00562DB6"/>
    <w:rsid w:val="00562E85"/>
    <w:rsid w:val="0056332F"/>
    <w:rsid w:val="005719B3"/>
    <w:rsid w:val="0057295E"/>
    <w:rsid w:val="005737BD"/>
    <w:rsid w:val="00575201"/>
    <w:rsid w:val="00580FA0"/>
    <w:rsid w:val="00581C39"/>
    <w:rsid w:val="005839D4"/>
    <w:rsid w:val="005903B6"/>
    <w:rsid w:val="00590448"/>
    <w:rsid w:val="005922B4"/>
    <w:rsid w:val="005925BD"/>
    <w:rsid w:val="00594A0F"/>
    <w:rsid w:val="00594D2D"/>
    <w:rsid w:val="00596DEF"/>
    <w:rsid w:val="00596F7A"/>
    <w:rsid w:val="005A0247"/>
    <w:rsid w:val="005A126E"/>
    <w:rsid w:val="005A1DCE"/>
    <w:rsid w:val="005A4156"/>
    <w:rsid w:val="005A452F"/>
    <w:rsid w:val="005A454E"/>
    <w:rsid w:val="005A4879"/>
    <w:rsid w:val="005A65AF"/>
    <w:rsid w:val="005B140D"/>
    <w:rsid w:val="005C1FEA"/>
    <w:rsid w:val="005C200F"/>
    <w:rsid w:val="005C3495"/>
    <w:rsid w:val="005D18D3"/>
    <w:rsid w:val="005D21BA"/>
    <w:rsid w:val="005D3AD1"/>
    <w:rsid w:val="005E0687"/>
    <w:rsid w:val="005E24B2"/>
    <w:rsid w:val="005E2DFE"/>
    <w:rsid w:val="005E34F7"/>
    <w:rsid w:val="005E3DFC"/>
    <w:rsid w:val="005E479B"/>
    <w:rsid w:val="005E5526"/>
    <w:rsid w:val="005E5942"/>
    <w:rsid w:val="005E598C"/>
    <w:rsid w:val="005E60AF"/>
    <w:rsid w:val="005E6B3D"/>
    <w:rsid w:val="005F1DEA"/>
    <w:rsid w:val="005F66B2"/>
    <w:rsid w:val="006017DE"/>
    <w:rsid w:val="0060244B"/>
    <w:rsid w:val="00606874"/>
    <w:rsid w:val="00607FC9"/>
    <w:rsid w:val="00611E0A"/>
    <w:rsid w:val="00612C82"/>
    <w:rsid w:val="00614411"/>
    <w:rsid w:val="00616189"/>
    <w:rsid w:val="00620D74"/>
    <w:rsid w:val="00621634"/>
    <w:rsid w:val="00622FE1"/>
    <w:rsid w:val="0062521C"/>
    <w:rsid w:val="0063004E"/>
    <w:rsid w:val="00630A2B"/>
    <w:rsid w:val="00632541"/>
    <w:rsid w:val="006326FC"/>
    <w:rsid w:val="00632DC7"/>
    <w:rsid w:val="00633836"/>
    <w:rsid w:val="006357FB"/>
    <w:rsid w:val="006372C3"/>
    <w:rsid w:val="00637547"/>
    <w:rsid w:val="006406FC"/>
    <w:rsid w:val="00640AB0"/>
    <w:rsid w:val="00640E57"/>
    <w:rsid w:val="006445EB"/>
    <w:rsid w:val="00645540"/>
    <w:rsid w:val="00646122"/>
    <w:rsid w:val="006461E9"/>
    <w:rsid w:val="00650BAD"/>
    <w:rsid w:val="00652611"/>
    <w:rsid w:val="00652C0A"/>
    <w:rsid w:val="00653E16"/>
    <w:rsid w:val="00657220"/>
    <w:rsid w:val="00657362"/>
    <w:rsid w:val="0066104B"/>
    <w:rsid w:val="006636E7"/>
    <w:rsid w:val="006655EE"/>
    <w:rsid w:val="00667805"/>
    <w:rsid w:val="00667A40"/>
    <w:rsid w:val="00667C10"/>
    <w:rsid w:val="00667EF4"/>
    <w:rsid w:val="00670DAE"/>
    <w:rsid w:val="00674BFB"/>
    <w:rsid w:val="00676FCA"/>
    <w:rsid w:val="00677177"/>
    <w:rsid w:val="006810AD"/>
    <w:rsid w:val="00681C65"/>
    <w:rsid w:val="00681CC7"/>
    <w:rsid w:val="00684381"/>
    <w:rsid w:val="00685B95"/>
    <w:rsid w:val="00685D37"/>
    <w:rsid w:val="0068612E"/>
    <w:rsid w:val="00687C92"/>
    <w:rsid w:val="00693BD1"/>
    <w:rsid w:val="00694727"/>
    <w:rsid w:val="0069534E"/>
    <w:rsid w:val="0069669C"/>
    <w:rsid w:val="0069715B"/>
    <w:rsid w:val="006A1200"/>
    <w:rsid w:val="006A2EEE"/>
    <w:rsid w:val="006A4F4E"/>
    <w:rsid w:val="006A5B17"/>
    <w:rsid w:val="006A611D"/>
    <w:rsid w:val="006A6C23"/>
    <w:rsid w:val="006B14DB"/>
    <w:rsid w:val="006B1C21"/>
    <w:rsid w:val="006B21C4"/>
    <w:rsid w:val="006B5C6A"/>
    <w:rsid w:val="006C0683"/>
    <w:rsid w:val="006C15BC"/>
    <w:rsid w:val="006C1817"/>
    <w:rsid w:val="006C1CAA"/>
    <w:rsid w:val="006C2376"/>
    <w:rsid w:val="006C3A7E"/>
    <w:rsid w:val="006C3DDB"/>
    <w:rsid w:val="006C4267"/>
    <w:rsid w:val="006C48C7"/>
    <w:rsid w:val="006C4A1A"/>
    <w:rsid w:val="006D0393"/>
    <w:rsid w:val="006D194E"/>
    <w:rsid w:val="006D1A83"/>
    <w:rsid w:val="006D2C50"/>
    <w:rsid w:val="006D688F"/>
    <w:rsid w:val="006D7FC2"/>
    <w:rsid w:val="006E1CFE"/>
    <w:rsid w:val="006E1FD4"/>
    <w:rsid w:val="006E5AFD"/>
    <w:rsid w:val="006E6527"/>
    <w:rsid w:val="006F0054"/>
    <w:rsid w:val="006F0D9D"/>
    <w:rsid w:val="006F10C4"/>
    <w:rsid w:val="006F158D"/>
    <w:rsid w:val="006F27F8"/>
    <w:rsid w:val="006F40E9"/>
    <w:rsid w:val="006F4DD2"/>
    <w:rsid w:val="006F5603"/>
    <w:rsid w:val="006F7B87"/>
    <w:rsid w:val="00701400"/>
    <w:rsid w:val="007037CF"/>
    <w:rsid w:val="00714119"/>
    <w:rsid w:val="007167C0"/>
    <w:rsid w:val="00720481"/>
    <w:rsid w:val="00721F8D"/>
    <w:rsid w:val="00722DE8"/>
    <w:rsid w:val="00724485"/>
    <w:rsid w:val="00724C1E"/>
    <w:rsid w:val="00726388"/>
    <w:rsid w:val="00727892"/>
    <w:rsid w:val="00727A48"/>
    <w:rsid w:val="00731409"/>
    <w:rsid w:val="00731A8B"/>
    <w:rsid w:val="00733193"/>
    <w:rsid w:val="0073347D"/>
    <w:rsid w:val="00735A54"/>
    <w:rsid w:val="00744DDA"/>
    <w:rsid w:val="00745E03"/>
    <w:rsid w:val="007461A9"/>
    <w:rsid w:val="007521E0"/>
    <w:rsid w:val="007570DE"/>
    <w:rsid w:val="0075732A"/>
    <w:rsid w:val="00757A4D"/>
    <w:rsid w:val="007600F8"/>
    <w:rsid w:val="00760262"/>
    <w:rsid w:val="00760857"/>
    <w:rsid w:val="0076310C"/>
    <w:rsid w:val="0076744F"/>
    <w:rsid w:val="00767BCE"/>
    <w:rsid w:val="00767E3A"/>
    <w:rsid w:val="00767EFC"/>
    <w:rsid w:val="00770473"/>
    <w:rsid w:val="007707DE"/>
    <w:rsid w:val="00770B5D"/>
    <w:rsid w:val="00771424"/>
    <w:rsid w:val="00771A16"/>
    <w:rsid w:val="00771AFA"/>
    <w:rsid w:val="00774AFC"/>
    <w:rsid w:val="007752F1"/>
    <w:rsid w:val="007759F6"/>
    <w:rsid w:val="00775FDE"/>
    <w:rsid w:val="00776768"/>
    <w:rsid w:val="00780253"/>
    <w:rsid w:val="00780C2F"/>
    <w:rsid w:val="007815AF"/>
    <w:rsid w:val="0078187A"/>
    <w:rsid w:val="00794013"/>
    <w:rsid w:val="007945FB"/>
    <w:rsid w:val="00794ED8"/>
    <w:rsid w:val="007957B7"/>
    <w:rsid w:val="007A2573"/>
    <w:rsid w:val="007B106C"/>
    <w:rsid w:val="007B1A4E"/>
    <w:rsid w:val="007B3D05"/>
    <w:rsid w:val="007B5503"/>
    <w:rsid w:val="007B64CA"/>
    <w:rsid w:val="007C0861"/>
    <w:rsid w:val="007C1384"/>
    <w:rsid w:val="007C1451"/>
    <w:rsid w:val="007C179C"/>
    <w:rsid w:val="007C6238"/>
    <w:rsid w:val="007C6BB3"/>
    <w:rsid w:val="007D12FA"/>
    <w:rsid w:val="007D14B4"/>
    <w:rsid w:val="007D1B5A"/>
    <w:rsid w:val="007D3AD7"/>
    <w:rsid w:val="007E24F6"/>
    <w:rsid w:val="007E4213"/>
    <w:rsid w:val="007E42DF"/>
    <w:rsid w:val="007E5AAC"/>
    <w:rsid w:val="007F26B6"/>
    <w:rsid w:val="007F3899"/>
    <w:rsid w:val="007F6F54"/>
    <w:rsid w:val="00800F64"/>
    <w:rsid w:val="00801050"/>
    <w:rsid w:val="00802F0B"/>
    <w:rsid w:val="00803587"/>
    <w:rsid w:val="008037E2"/>
    <w:rsid w:val="008049C9"/>
    <w:rsid w:val="00805237"/>
    <w:rsid w:val="008074EE"/>
    <w:rsid w:val="00810A67"/>
    <w:rsid w:val="008153A3"/>
    <w:rsid w:val="00817A7D"/>
    <w:rsid w:val="00820C4C"/>
    <w:rsid w:val="008255F1"/>
    <w:rsid w:val="008275AC"/>
    <w:rsid w:val="00830E96"/>
    <w:rsid w:val="0083276A"/>
    <w:rsid w:val="00833CF7"/>
    <w:rsid w:val="00834CDE"/>
    <w:rsid w:val="0083678F"/>
    <w:rsid w:val="00837913"/>
    <w:rsid w:val="00837EB0"/>
    <w:rsid w:val="00842464"/>
    <w:rsid w:val="00845601"/>
    <w:rsid w:val="00847A6C"/>
    <w:rsid w:val="00851E56"/>
    <w:rsid w:val="008526BC"/>
    <w:rsid w:val="00852FCB"/>
    <w:rsid w:val="00853CA1"/>
    <w:rsid w:val="00854642"/>
    <w:rsid w:val="00855C5C"/>
    <w:rsid w:val="008626DD"/>
    <w:rsid w:val="00865961"/>
    <w:rsid w:val="008661AB"/>
    <w:rsid w:val="00867163"/>
    <w:rsid w:val="0087301F"/>
    <w:rsid w:val="00874035"/>
    <w:rsid w:val="008740FB"/>
    <w:rsid w:val="008757BD"/>
    <w:rsid w:val="008804DD"/>
    <w:rsid w:val="00880536"/>
    <w:rsid w:val="00883F25"/>
    <w:rsid w:val="008853F5"/>
    <w:rsid w:val="00890820"/>
    <w:rsid w:val="008934DF"/>
    <w:rsid w:val="00893FF1"/>
    <w:rsid w:val="008952B8"/>
    <w:rsid w:val="008957C6"/>
    <w:rsid w:val="00896BA1"/>
    <w:rsid w:val="00896FFA"/>
    <w:rsid w:val="008A1806"/>
    <w:rsid w:val="008A3020"/>
    <w:rsid w:val="008A3B18"/>
    <w:rsid w:val="008A3C96"/>
    <w:rsid w:val="008A503B"/>
    <w:rsid w:val="008A7B30"/>
    <w:rsid w:val="008B0BC0"/>
    <w:rsid w:val="008B2A06"/>
    <w:rsid w:val="008B4019"/>
    <w:rsid w:val="008B65C9"/>
    <w:rsid w:val="008C2D4A"/>
    <w:rsid w:val="008C5FAE"/>
    <w:rsid w:val="008C63A6"/>
    <w:rsid w:val="008C6C15"/>
    <w:rsid w:val="008D3900"/>
    <w:rsid w:val="008D5FD5"/>
    <w:rsid w:val="008D6DF4"/>
    <w:rsid w:val="008D6E1D"/>
    <w:rsid w:val="008D73E7"/>
    <w:rsid w:val="008D7B74"/>
    <w:rsid w:val="008E089C"/>
    <w:rsid w:val="008E65F5"/>
    <w:rsid w:val="008F2FCE"/>
    <w:rsid w:val="008F39B4"/>
    <w:rsid w:val="008F4162"/>
    <w:rsid w:val="00901B87"/>
    <w:rsid w:val="009030E2"/>
    <w:rsid w:val="00903E02"/>
    <w:rsid w:val="009042C0"/>
    <w:rsid w:val="00905525"/>
    <w:rsid w:val="009074F6"/>
    <w:rsid w:val="009114BF"/>
    <w:rsid w:val="00913175"/>
    <w:rsid w:val="00914A45"/>
    <w:rsid w:val="00916EDB"/>
    <w:rsid w:val="00920861"/>
    <w:rsid w:val="00922B13"/>
    <w:rsid w:val="00922CB6"/>
    <w:rsid w:val="00923F4E"/>
    <w:rsid w:val="009242EF"/>
    <w:rsid w:val="009245C9"/>
    <w:rsid w:val="00925162"/>
    <w:rsid w:val="00925AA3"/>
    <w:rsid w:val="00927276"/>
    <w:rsid w:val="0093114D"/>
    <w:rsid w:val="00931A6A"/>
    <w:rsid w:val="00932291"/>
    <w:rsid w:val="00932861"/>
    <w:rsid w:val="00933F61"/>
    <w:rsid w:val="0093408E"/>
    <w:rsid w:val="00934FD0"/>
    <w:rsid w:val="0093637D"/>
    <w:rsid w:val="009365D4"/>
    <w:rsid w:val="00943D98"/>
    <w:rsid w:val="00950724"/>
    <w:rsid w:val="00952082"/>
    <w:rsid w:val="00952DDF"/>
    <w:rsid w:val="0095493E"/>
    <w:rsid w:val="009610A3"/>
    <w:rsid w:val="0096259C"/>
    <w:rsid w:val="00962CB0"/>
    <w:rsid w:val="00963B6A"/>
    <w:rsid w:val="00970950"/>
    <w:rsid w:val="009709F4"/>
    <w:rsid w:val="0097121B"/>
    <w:rsid w:val="009747B3"/>
    <w:rsid w:val="009812D4"/>
    <w:rsid w:val="0098150B"/>
    <w:rsid w:val="0098174A"/>
    <w:rsid w:val="00981774"/>
    <w:rsid w:val="00981FFF"/>
    <w:rsid w:val="009830E8"/>
    <w:rsid w:val="00984BE3"/>
    <w:rsid w:val="0098642E"/>
    <w:rsid w:val="009920D8"/>
    <w:rsid w:val="00992496"/>
    <w:rsid w:val="009927DA"/>
    <w:rsid w:val="00992C19"/>
    <w:rsid w:val="009952F5"/>
    <w:rsid w:val="00997E62"/>
    <w:rsid w:val="009A10D2"/>
    <w:rsid w:val="009A1674"/>
    <w:rsid w:val="009A250C"/>
    <w:rsid w:val="009A4611"/>
    <w:rsid w:val="009A64C3"/>
    <w:rsid w:val="009A73EF"/>
    <w:rsid w:val="009A7551"/>
    <w:rsid w:val="009B38BE"/>
    <w:rsid w:val="009B53FB"/>
    <w:rsid w:val="009C3D0F"/>
    <w:rsid w:val="009C5BFA"/>
    <w:rsid w:val="009C5DA5"/>
    <w:rsid w:val="009D2EC8"/>
    <w:rsid w:val="009E0743"/>
    <w:rsid w:val="009E1B19"/>
    <w:rsid w:val="009E238C"/>
    <w:rsid w:val="009E2EC5"/>
    <w:rsid w:val="009E308D"/>
    <w:rsid w:val="009E37E1"/>
    <w:rsid w:val="009E3A5C"/>
    <w:rsid w:val="009E728B"/>
    <w:rsid w:val="009F0904"/>
    <w:rsid w:val="009F1064"/>
    <w:rsid w:val="009F35E2"/>
    <w:rsid w:val="009F548F"/>
    <w:rsid w:val="009F6557"/>
    <w:rsid w:val="009F65F9"/>
    <w:rsid w:val="009F68BA"/>
    <w:rsid w:val="00A06277"/>
    <w:rsid w:val="00A079DC"/>
    <w:rsid w:val="00A1037E"/>
    <w:rsid w:val="00A111C2"/>
    <w:rsid w:val="00A167BB"/>
    <w:rsid w:val="00A208AF"/>
    <w:rsid w:val="00A20C10"/>
    <w:rsid w:val="00A235BC"/>
    <w:rsid w:val="00A27865"/>
    <w:rsid w:val="00A27D52"/>
    <w:rsid w:val="00A314B3"/>
    <w:rsid w:val="00A338E7"/>
    <w:rsid w:val="00A35C61"/>
    <w:rsid w:val="00A35CAA"/>
    <w:rsid w:val="00A36E7F"/>
    <w:rsid w:val="00A41E65"/>
    <w:rsid w:val="00A43E0A"/>
    <w:rsid w:val="00A46C7D"/>
    <w:rsid w:val="00A5045E"/>
    <w:rsid w:val="00A530C7"/>
    <w:rsid w:val="00A5428D"/>
    <w:rsid w:val="00A55F5B"/>
    <w:rsid w:val="00A5777D"/>
    <w:rsid w:val="00A60185"/>
    <w:rsid w:val="00A633AF"/>
    <w:rsid w:val="00A63F97"/>
    <w:rsid w:val="00A661EA"/>
    <w:rsid w:val="00A665FC"/>
    <w:rsid w:val="00A75D60"/>
    <w:rsid w:val="00A830E5"/>
    <w:rsid w:val="00A84F5A"/>
    <w:rsid w:val="00A87135"/>
    <w:rsid w:val="00A9030A"/>
    <w:rsid w:val="00A93280"/>
    <w:rsid w:val="00A95155"/>
    <w:rsid w:val="00A951EA"/>
    <w:rsid w:val="00A95BEF"/>
    <w:rsid w:val="00A96E78"/>
    <w:rsid w:val="00AA0E89"/>
    <w:rsid w:val="00AA173F"/>
    <w:rsid w:val="00AA2548"/>
    <w:rsid w:val="00AA5154"/>
    <w:rsid w:val="00AA52DC"/>
    <w:rsid w:val="00AA58C4"/>
    <w:rsid w:val="00AA6F81"/>
    <w:rsid w:val="00AA7003"/>
    <w:rsid w:val="00AB016E"/>
    <w:rsid w:val="00AB11C8"/>
    <w:rsid w:val="00AB1E0D"/>
    <w:rsid w:val="00AB2E80"/>
    <w:rsid w:val="00AB5E3E"/>
    <w:rsid w:val="00AC08A8"/>
    <w:rsid w:val="00AC091D"/>
    <w:rsid w:val="00AC767F"/>
    <w:rsid w:val="00AC7934"/>
    <w:rsid w:val="00AD0A88"/>
    <w:rsid w:val="00AD56C8"/>
    <w:rsid w:val="00AD58F2"/>
    <w:rsid w:val="00AE0852"/>
    <w:rsid w:val="00AE30FB"/>
    <w:rsid w:val="00AE65A4"/>
    <w:rsid w:val="00AE789E"/>
    <w:rsid w:val="00AE793A"/>
    <w:rsid w:val="00AF1907"/>
    <w:rsid w:val="00AF6078"/>
    <w:rsid w:val="00AF6647"/>
    <w:rsid w:val="00B044BD"/>
    <w:rsid w:val="00B0512A"/>
    <w:rsid w:val="00B0529F"/>
    <w:rsid w:val="00B05C15"/>
    <w:rsid w:val="00B0607B"/>
    <w:rsid w:val="00B10D24"/>
    <w:rsid w:val="00B11FD6"/>
    <w:rsid w:val="00B1418B"/>
    <w:rsid w:val="00B14475"/>
    <w:rsid w:val="00B15476"/>
    <w:rsid w:val="00B17FE5"/>
    <w:rsid w:val="00B21195"/>
    <w:rsid w:val="00B2137F"/>
    <w:rsid w:val="00B22654"/>
    <w:rsid w:val="00B24B22"/>
    <w:rsid w:val="00B25310"/>
    <w:rsid w:val="00B262F0"/>
    <w:rsid w:val="00B27B85"/>
    <w:rsid w:val="00B30577"/>
    <w:rsid w:val="00B32C94"/>
    <w:rsid w:val="00B32F8F"/>
    <w:rsid w:val="00B3492A"/>
    <w:rsid w:val="00B351B8"/>
    <w:rsid w:val="00B357FC"/>
    <w:rsid w:val="00B4018E"/>
    <w:rsid w:val="00B4065E"/>
    <w:rsid w:val="00B41E1F"/>
    <w:rsid w:val="00B4208F"/>
    <w:rsid w:val="00B42EDC"/>
    <w:rsid w:val="00B46B83"/>
    <w:rsid w:val="00B50218"/>
    <w:rsid w:val="00B508F3"/>
    <w:rsid w:val="00B52781"/>
    <w:rsid w:val="00B54DE9"/>
    <w:rsid w:val="00B54FD8"/>
    <w:rsid w:val="00B553EC"/>
    <w:rsid w:val="00B55E3F"/>
    <w:rsid w:val="00B63C1E"/>
    <w:rsid w:val="00B70052"/>
    <w:rsid w:val="00B71080"/>
    <w:rsid w:val="00B75630"/>
    <w:rsid w:val="00B77243"/>
    <w:rsid w:val="00B77D57"/>
    <w:rsid w:val="00B80370"/>
    <w:rsid w:val="00B81DAD"/>
    <w:rsid w:val="00B85A65"/>
    <w:rsid w:val="00B86075"/>
    <w:rsid w:val="00B918DC"/>
    <w:rsid w:val="00B9301A"/>
    <w:rsid w:val="00B93DD0"/>
    <w:rsid w:val="00B953F6"/>
    <w:rsid w:val="00B97732"/>
    <w:rsid w:val="00BA0FA3"/>
    <w:rsid w:val="00BA20A6"/>
    <w:rsid w:val="00BA2773"/>
    <w:rsid w:val="00BA4472"/>
    <w:rsid w:val="00BA65A8"/>
    <w:rsid w:val="00BA6CBD"/>
    <w:rsid w:val="00BA6D19"/>
    <w:rsid w:val="00BA7461"/>
    <w:rsid w:val="00BA7DA9"/>
    <w:rsid w:val="00BB0047"/>
    <w:rsid w:val="00BB329F"/>
    <w:rsid w:val="00BB52CB"/>
    <w:rsid w:val="00BB58CB"/>
    <w:rsid w:val="00BB6AC3"/>
    <w:rsid w:val="00BB7363"/>
    <w:rsid w:val="00BC16CC"/>
    <w:rsid w:val="00BC1B86"/>
    <w:rsid w:val="00BC1FFE"/>
    <w:rsid w:val="00BC3262"/>
    <w:rsid w:val="00BC4215"/>
    <w:rsid w:val="00BC6773"/>
    <w:rsid w:val="00BD1A6F"/>
    <w:rsid w:val="00BD4119"/>
    <w:rsid w:val="00BD5B86"/>
    <w:rsid w:val="00BD5BDB"/>
    <w:rsid w:val="00BE2BB2"/>
    <w:rsid w:val="00BE6D3C"/>
    <w:rsid w:val="00BE7852"/>
    <w:rsid w:val="00BF1946"/>
    <w:rsid w:val="00BF6231"/>
    <w:rsid w:val="00BF7CEE"/>
    <w:rsid w:val="00C00D0F"/>
    <w:rsid w:val="00C0102A"/>
    <w:rsid w:val="00C024D3"/>
    <w:rsid w:val="00C03880"/>
    <w:rsid w:val="00C06966"/>
    <w:rsid w:val="00C10DE0"/>
    <w:rsid w:val="00C116AA"/>
    <w:rsid w:val="00C11E56"/>
    <w:rsid w:val="00C1249E"/>
    <w:rsid w:val="00C12A4B"/>
    <w:rsid w:val="00C13588"/>
    <w:rsid w:val="00C135CF"/>
    <w:rsid w:val="00C1476E"/>
    <w:rsid w:val="00C14C55"/>
    <w:rsid w:val="00C20619"/>
    <w:rsid w:val="00C22FD9"/>
    <w:rsid w:val="00C2683F"/>
    <w:rsid w:val="00C26E79"/>
    <w:rsid w:val="00C3184D"/>
    <w:rsid w:val="00C31DA4"/>
    <w:rsid w:val="00C45D25"/>
    <w:rsid w:val="00C45ED9"/>
    <w:rsid w:val="00C4714E"/>
    <w:rsid w:val="00C51CCA"/>
    <w:rsid w:val="00C5504F"/>
    <w:rsid w:val="00C55195"/>
    <w:rsid w:val="00C5784D"/>
    <w:rsid w:val="00C57B55"/>
    <w:rsid w:val="00C623DD"/>
    <w:rsid w:val="00C62E0F"/>
    <w:rsid w:val="00C63376"/>
    <w:rsid w:val="00C6518E"/>
    <w:rsid w:val="00C6558F"/>
    <w:rsid w:val="00C67828"/>
    <w:rsid w:val="00C67D8D"/>
    <w:rsid w:val="00C7052D"/>
    <w:rsid w:val="00C70C81"/>
    <w:rsid w:val="00C718D4"/>
    <w:rsid w:val="00C74F97"/>
    <w:rsid w:val="00C75A70"/>
    <w:rsid w:val="00C77487"/>
    <w:rsid w:val="00C8276E"/>
    <w:rsid w:val="00C83CAD"/>
    <w:rsid w:val="00C83F31"/>
    <w:rsid w:val="00C842AC"/>
    <w:rsid w:val="00C879DA"/>
    <w:rsid w:val="00C932A0"/>
    <w:rsid w:val="00C96688"/>
    <w:rsid w:val="00C97208"/>
    <w:rsid w:val="00CA0723"/>
    <w:rsid w:val="00CA087F"/>
    <w:rsid w:val="00CA12D8"/>
    <w:rsid w:val="00CA3198"/>
    <w:rsid w:val="00CA45F5"/>
    <w:rsid w:val="00CA54F1"/>
    <w:rsid w:val="00CB1690"/>
    <w:rsid w:val="00CB195D"/>
    <w:rsid w:val="00CB4207"/>
    <w:rsid w:val="00CB5A3F"/>
    <w:rsid w:val="00CB6B76"/>
    <w:rsid w:val="00CC400E"/>
    <w:rsid w:val="00CC4365"/>
    <w:rsid w:val="00CC50F2"/>
    <w:rsid w:val="00CC760B"/>
    <w:rsid w:val="00CD00FA"/>
    <w:rsid w:val="00CD11B0"/>
    <w:rsid w:val="00CD275E"/>
    <w:rsid w:val="00CD2E0E"/>
    <w:rsid w:val="00CD33FD"/>
    <w:rsid w:val="00CE3105"/>
    <w:rsid w:val="00CE3F3F"/>
    <w:rsid w:val="00CE4330"/>
    <w:rsid w:val="00CE59CF"/>
    <w:rsid w:val="00CE71C2"/>
    <w:rsid w:val="00CF009A"/>
    <w:rsid w:val="00CF019A"/>
    <w:rsid w:val="00CF34E9"/>
    <w:rsid w:val="00CF42D5"/>
    <w:rsid w:val="00CF4EDA"/>
    <w:rsid w:val="00CF7419"/>
    <w:rsid w:val="00CF79B2"/>
    <w:rsid w:val="00D021CB"/>
    <w:rsid w:val="00D025CF"/>
    <w:rsid w:val="00D032AD"/>
    <w:rsid w:val="00D05A3C"/>
    <w:rsid w:val="00D10F1A"/>
    <w:rsid w:val="00D116F8"/>
    <w:rsid w:val="00D148AA"/>
    <w:rsid w:val="00D148E5"/>
    <w:rsid w:val="00D14B9B"/>
    <w:rsid w:val="00D15ADE"/>
    <w:rsid w:val="00D15E04"/>
    <w:rsid w:val="00D17596"/>
    <w:rsid w:val="00D20537"/>
    <w:rsid w:val="00D21D54"/>
    <w:rsid w:val="00D22640"/>
    <w:rsid w:val="00D26D3A"/>
    <w:rsid w:val="00D32587"/>
    <w:rsid w:val="00D33F89"/>
    <w:rsid w:val="00D340CA"/>
    <w:rsid w:val="00D3436E"/>
    <w:rsid w:val="00D3554D"/>
    <w:rsid w:val="00D41FF4"/>
    <w:rsid w:val="00D420F9"/>
    <w:rsid w:val="00D421CD"/>
    <w:rsid w:val="00D434BC"/>
    <w:rsid w:val="00D43944"/>
    <w:rsid w:val="00D45EE3"/>
    <w:rsid w:val="00D50618"/>
    <w:rsid w:val="00D509E9"/>
    <w:rsid w:val="00D52101"/>
    <w:rsid w:val="00D527A5"/>
    <w:rsid w:val="00D53B1C"/>
    <w:rsid w:val="00D60470"/>
    <w:rsid w:val="00D70E6B"/>
    <w:rsid w:val="00D72DC5"/>
    <w:rsid w:val="00D73279"/>
    <w:rsid w:val="00D767A6"/>
    <w:rsid w:val="00D8347E"/>
    <w:rsid w:val="00D83A14"/>
    <w:rsid w:val="00D8639B"/>
    <w:rsid w:val="00D92D53"/>
    <w:rsid w:val="00D93352"/>
    <w:rsid w:val="00D93A79"/>
    <w:rsid w:val="00D95931"/>
    <w:rsid w:val="00D97978"/>
    <w:rsid w:val="00DA1946"/>
    <w:rsid w:val="00DA1B12"/>
    <w:rsid w:val="00DA320F"/>
    <w:rsid w:val="00DA32B3"/>
    <w:rsid w:val="00DA3611"/>
    <w:rsid w:val="00DA3FE2"/>
    <w:rsid w:val="00DA5482"/>
    <w:rsid w:val="00DA54C9"/>
    <w:rsid w:val="00DA6739"/>
    <w:rsid w:val="00DA6CAE"/>
    <w:rsid w:val="00DB1A9E"/>
    <w:rsid w:val="00DB2A19"/>
    <w:rsid w:val="00DB31D6"/>
    <w:rsid w:val="00DB3D47"/>
    <w:rsid w:val="00DB4005"/>
    <w:rsid w:val="00DB5D57"/>
    <w:rsid w:val="00DC34EB"/>
    <w:rsid w:val="00DD21D8"/>
    <w:rsid w:val="00DD5997"/>
    <w:rsid w:val="00DD674D"/>
    <w:rsid w:val="00DD766A"/>
    <w:rsid w:val="00DE0C64"/>
    <w:rsid w:val="00DE11DF"/>
    <w:rsid w:val="00DE2541"/>
    <w:rsid w:val="00DE46ED"/>
    <w:rsid w:val="00DE6DE0"/>
    <w:rsid w:val="00DF1E5B"/>
    <w:rsid w:val="00DF2275"/>
    <w:rsid w:val="00DF2C9B"/>
    <w:rsid w:val="00DF3F5E"/>
    <w:rsid w:val="00DF5653"/>
    <w:rsid w:val="00DF5D80"/>
    <w:rsid w:val="00E01A91"/>
    <w:rsid w:val="00E0596E"/>
    <w:rsid w:val="00E06F66"/>
    <w:rsid w:val="00E07733"/>
    <w:rsid w:val="00E1123A"/>
    <w:rsid w:val="00E1282C"/>
    <w:rsid w:val="00E17062"/>
    <w:rsid w:val="00E2067F"/>
    <w:rsid w:val="00E32B46"/>
    <w:rsid w:val="00E33ABD"/>
    <w:rsid w:val="00E33CF1"/>
    <w:rsid w:val="00E356E5"/>
    <w:rsid w:val="00E36C6B"/>
    <w:rsid w:val="00E36DB3"/>
    <w:rsid w:val="00E36F81"/>
    <w:rsid w:val="00E4297E"/>
    <w:rsid w:val="00E44709"/>
    <w:rsid w:val="00E44D78"/>
    <w:rsid w:val="00E45765"/>
    <w:rsid w:val="00E45E72"/>
    <w:rsid w:val="00E5098C"/>
    <w:rsid w:val="00E531F5"/>
    <w:rsid w:val="00E562A9"/>
    <w:rsid w:val="00E60213"/>
    <w:rsid w:val="00E62F7A"/>
    <w:rsid w:val="00E63B5E"/>
    <w:rsid w:val="00E661B2"/>
    <w:rsid w:val="00E666BB"/>
    <w:rsid w:val="00E66A79"/>
    <w:rsid w:val="00E66CA6"/>
    <w:rsid w:val="00E70A77"/>
    <w:rsid w:val="00E70D46"/>
    <w:rsid w:val="00E713A8"/>
    <w:rsid w:val="00E73351"/>
    <w:rsid w:val="00E74B9F"/>
    <w:rsid w:val="00E74C33"/>
    <w:rsid w:val="00E74D29"/>
    <w:rsid w:val="00E76461"/>
    <w:rsid w:val="00E77AC0"/>
    <w:rsid w:val="00E80A90"/>
    <w:rsid w:val="00E82E30"/>
    <w:rsid w:val="00E82E67"/>
    <w:rsid w:val="00E83C74"/>
    <w:rsid w:val="00E83CEE"/>
    <w:rsid w:val="00E85C13"/>
    <w:rsid w:val="00E86878"/>
    <w:rsid w:val="00E91F18"/>
    <w:rsid w:val="00E9226D"/>
    <w:rsid w:val="00E94FEE"/>
    <w:rsid w:val="00E96E91"/>
    <w:rsid w:val="00EA2B1C"/>
    <w:rsid w:val="00EA416C"/>
    <w:rsid w:val="00EA5941"/>
    <w:rsid w:val="00EB0952"/>
    <w:rsid w:val="00EB60CE"/>
    <w:rsid w:val="00EB669E"/>
    <w:rsid w:val="00EB7D53"/>
    <w:rsid w:val="00EC3014"/>
    <w:rsid w:val="00EC663E"/>
    <w:rsid w:val="00EC6644"/>
    <w:rsid w:val="00ED06C6"/>
    <w:rsid w:val="00ED15C1"/>
    <w:rsid w:val="00ED2558"/>
    <w:rsid w:val="00ED750A"/>
    <w:rsid w:val="00EE1E2D"/>
    <w:rsid w:val="00EE29EB"/>
    <w:rsid w:val="00EE2FC1"/>
    <w:rsid w:val="00EE3146"/>
    <w:rsid w:val="00EF0DAD"/>
    <w:rsid w:val="00EF2474"/>
    <w:rsid w:val="00EF2BC3"/>
    <w:rsid w:val="00EF50BB"/>
    <w:rsid w:val="00EF53FF"/>
    <w:rsid w:val="00EF74B1"/>
    <w:rsid w:val="00F00192"/>
    <w:rsid w:val="00F0130B"/>
    <w:rsid w:val="00F01DF6"/>
    <w:rsid w:val="00F0340D"/>
    <w:rsid w:val="00F059A6"/>
    <w:rsid w:val="00F12FE1"/>
    <w:rsid w:val="00F139F3"/>
    <w:rsid w:val="00F17B9B"/>
    <w:rsid w:val="00F2135F"/>
    <w:rsid w:val="00F23756"/>
    <w:rsid w:val="00F2448E"/>
    <w:rsid w:val="00F2523A"/>
    <w:rsid w:val="00F25BB3"/>
    <w:rsid w:val="00F25CD4"/>
    <w:rsid w:val="00F25FFA"/>
    <w:rsid w:val="00F262F7"/>
    <w:rsid w:val="00F27F26"/>
    <w:rsid w:val="00F310D2"/>
    <w:rsid w:val="00F3154A"/>
    <w:rsid w:val="00F345BE"/>
    <w:rsid w:val="00F36C55"/>
    <w:rsid w:val="00F36F3D"/>
    <w:rsid w:val="00F40279"/>
    <w:rsid w:val="00F42DF1"/>
    <w:rsid w:val="00F4519B"/>
    <w:rsid w:val="00F45D1F"/>
    <w:rsid w:val="00F477BD"/>
    <w:rsid w:val="00F512F2"/>
    <w:rsid w:val="00F53491"/>
    <w:rsid w:val="00F54FC6"/>
    <w:rsid w:val="00F55451"/>
    <w:rsid w:val="00F65A1C"/>
    <w:rsid w:val="00F66F50"/>
    <w:rsid w:val="00F678D4"/>
    <w:rsid w:val="00F67F41"/>
    <w:rsid w:val="00F708C4"/>
    <w:rsid w:val="00F711CF"/>
    <w:rsid w:val="00F71667"/>
    <w:rsid w:val="00F72A68"/>
    <w:rsid w:val="00F8018D"/>
    <w:rsid w:val="00F82782"/>
    <w:rsid w:val="00F82FF8"/>
    <w:rsid w:val="00F8330D"/>
    <w:rsid w:val="00F84305"/>
    <w:rsid w:val="00F8485C"/>
    <w:rsid w:val="00F87149"/>
    <w:rsid w:val="00F87FFE"/>
    <w:rsid w:val="00F90ADB"/>
    <w:rsid w:val="00F954C9"/>
    <w:rsid w:val="00F96133"/>
    <w:rsid w:val="00FA437C"/>
    <w:rsid w:val="00FA48BF"/>
    <w:rsid w:val="00FA4CF0"/>
    <w:rsid w:val="00FA57BD"/>
    <w:rsid w:val="00FA61AA"/>
    <w:rsid w:val="00FA69A4"/>
    <w:rsid w:val="00FB0AFD"/>
    <w:rsid w:val="00FB0BDA"/>
    <w:rsid w:val="00FB1279"/>
    <w:rsid w:val="00FB1495"/>
    <w:rsid w:val="00FB160A"/>
    <w:rsid w:val="00FB1844"/>
    <w:rsid w:val="00FB5650"/>
    <w:rsid w:val="00FC0BE4"/>
    <w:rsid w:val="00FC43DD"/>
    <w:rsid w:val="00FC62B3"/>
    <w:rsid w:val="00FD1694"/>
    <w:rsid w:val="00FD2E57"/>
    <w:rsid w:val="00FD5A80"/>
    <w:rsid w:val="00FD7636"/>
    <w:rsid w:val="00FE0A96"/>
    <w:rsid w:val="00FE3229"/>
    <w:rsid w:val="00FE3D37"/>
    <w:rsid w:val="00FE74C3"/>
    <w:rsid w:val="00FF1A0A"/>
    <w:rsid w:val="00FF215C"/>
    <w:rsid w:val="00FF2ED2"/>
    <w:rsid w:val="00FF34A2"/>
    <w:rsid w:val="00FF49E8"/>
    <w:rsid w:val="00FF5101"/>
    <w:rsid w:val="00FF519C"/>
    <w:rsid w:val="00FF660C"/>
    <w:rsid w:val="00FF672F"/>
    <w:rsid w:val="00FF6C34"/>
    <w:rsid w:val="0104031B"/>
    <w:rsid w:val="057FC631"/>
    <w:rsid w:val="06CAB18D"/>
    <w:rsid w:val="06FA24D2"/>
    <w:rsid w:val="07154A26"/>
    <w:rsid w:val="0749C36B"/>
    <w:rsid w:val="0890BA98"/>
    <w:rsid w:val="08B64E8B"/>
    <w:rsid w:val="0A4CEAE8"/>
    <w:rsid w:val="0A98C42F"/>
    <w:rsid w:val="0ADDA29B"/>
    <w:rsid w:val="0BCCF59A"/>
    <w:rsid w:val="0C2B5D5F"/>
    <w:rsid w:val="0E713979"/>
    <w:rsid w:val="0FDA87B8"/>
    <w:rsid w:val="108AA23D"/>
    <w:rsid w:val="108FB53E"/>
    <w:rsid w:val="123E6F7F"/>
    <w:rsid w:val="1376A4C5"/>
    <w:rsid w:val="155DD58B"/>
    <w:rsid w:val="15726B33"/>
    <w:rsid w:val="159CF318"/>
    <w:rsid w:val="15BF1D85"/>
    <w:rsid w:val="181C838B"/>
    <w:rsid w:val="19BB0144"/>
    <w:rsid w:val="1A07087B"/>
    <w:rsid w:val="1A70DE63"/>
    <w:rsid w:val="1B2391C2"/>
    <w:rsid w:val="1C73D977"/>
    <w:rsid w:val="1D3B7AC8"/>
    <w:rsid w:val="1E97D83D"/>
    <w:rsid w:val="1EE8BDEB"/>
    <w:rsid w:val="2067328F"/>
    <w:rsid w:val="211C36BA"/>
    <w:rsid w:val="2269E09E"/>
    <w:rsid w:val="22E4BB21"/>
    <w:rsid w:val="23F8B621"/>
    <w:rsid w:val="27033512"/>
    <w:rsid w:val="28409F6F"/>
    <w:rsid w:val="296A4B30"/>
    <w:rsid w:val="2A3EBDC5"/>
    <w:rsid w:val="2EDAB98B"/>
    <w:rsid w:val="2F55F431"/>
    <w:rsid w:val="334D50AC"/>
    <w:rsid w:val="36418DAF"/>
    <w:rsid w:val="364BCD2D"/>
    <w:rsid w:val="369E6D3F"/>
    <w:rsid w:val="3729ED63"/>
    <w:rsid w:val="389C297E"/>
    <w:rsid w:val="38C6ACB6"/>
    <w:rsid w:val="3B410BAC"/>
    <w:rsid w:val="3C956015"/>
    <w:rsid w:val="3D797C0F"/>
    <w:rsid w:val="3F13683B"/>
    <w:rsid w:val="3F9769F9"/>
    <w:rsid w:val="42EE94BC"/>
    <w:rsid w:val="444245E6"/>
    <w:rsid w:val="450E5EAD"/>
    <w:rsid w:val="4511E7DC"/>
    <w:rsid w:val="4673C3BD"/>
    <w:rsid w:val="4732DCE4"/>
    <w:rsid w:val="47576419"/>
    <w:rsid w:val="478CAC0D"/>
    <w:rsid w:val="48639F7F"/>
    <w:rsid w:val="4BA7A5D2"/>
    <w:rsid w:val="4CBAA9AF"/>
    <w:rsid w:val="4DD3ACC9"/>
    <w:rsid w:val="4E55CC93"/>
    <w:rsid w:val="4FD5BF6F"/>
    <w:rsid w:val="51910948"/>
    <w:rsid w:val="51F954D7"/>
    <w:rsid w:val="5358A03D"/>
    <w:rsid w:val="53EFBC63"/>
    <w:rsid w:val="552AEEDE"/>
    <w:rsid w:val="57270CB8"/>
    <w:rsid w:val="573545D2"/>
    <w:rsid w:val="586AAD70"/>
    <w:rsid w:val="58843989"/>
    <w:rsid w:val="59CE95B8"/>
    <w:rsid w:val="5B73C2C2"/>
    <w:rsid w:val="5C069F1E"/>
    <w:rsid w:val="5D2A608A"/>
    <w:rsid w:val="5D8DA31C"/>
    <w:rsid w:val="5F9B7AC8"/>
    <w:rsid w:val="60A31810"/>
    <w:rsid w:val="63ED81AB"/>
    <w:rsid w:val="65AEE330"/>
    <w:rsid w:val="660E959C"/>
    <w:rsid w:val="66EE8D7E"/>
    <w:rsid w:val="68233181"/>
    <w:rsid w:val="6A315304"/>
    <w:rsid w:val="6B6626C1"/>
    <w:rsid w:val="6C2DF566"/>
    <w:rsid w:val="6C3495E4"/>
    <w:rsid w:val="6C7DA97F"/>
    <w:rsid w:val="6D814AB6"/>
    <w:rsid w:val="6DC3B03A"/>
    <w:rsid w:val="6EC60738"/>
    <w:rsid w:val="6F9A24ED"/>
    <w:rsid w:val="6FBD5255"/>
    <w:rsid w:val="71AB182E"/>
    <w:rsid w:val="71ED308A"/>
    <w:rsid w:val="725F0DEC"/>
    <w:rsid w:val="72D3C2A6"/>
    <w:rsid w:val="737F5A79"/>
    <w:rsid w:val="7584217C"/>
    <w:rsid w:val="75B5361D"/>
    <w:rsid w:val="783307B3"/>
    <w:rsid w:val="78E5A542"/>
    <w:rsid w:val="79076DE6"/>
    <w:rsid w:val="798FB9A5"/>
    <w:rsid w:val="7BC70ADF"/>
    <w:rsid w:val="7CE013B1"/>
    <w:rsid w:val="7E0C751B"/>
    <w:rsid w:val="7E14DD53"/>
    <w:rsid w:val="7EEC3A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2BC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99"/>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NormalWeb">
    <w:name w:val="Normal (Web)"/>
    <w:basedOn w:val="Normal"/>
    <w:uiPriority w:val="99"/>
    <w:unhideWhenUsed/>
    <w:rsid w:val="009E308D"/>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2431C"/>
    <w:rPr>
      <w:sz w:val="16"/>
      <w:szCs w:val="16"/>
    </w:rPr>
  </w:style>
  <w:style w:type="paragraph" w:styleId="CommentText">
    <w:name w:val="annotation text"/>
    <w:basedOn w:val="Normal"/>
    <w:link w:val="CommentTextChar"/>
    <w:uiPriority w:val="99"/>
    <w:unhideWhenUsed/>
    <w:rsid w:val="0052431C"/>
    <w:pPr>
      <w:spacing w:line="240" w:lineRule="auto"/>
    </w:pPr>
    <w:rPr>
      <w:sz w:val="20"/>
      <w:szCs w:val="20"/>
    </w:rPr>
  </w:style>
  <w:style w:type="character" w:customStyle="1" w:styleId="CommentTextChar">
    <w:name w:val="Comment Text Char"/>
    <w:basedOn w:val="DefaultParagraphFont"/>
    <w:link w:val="CommentText"/>
    <w:uiPriority w:val="99"/>
    <w:rsid w:val="0052431C"/>
    <w:rPr>
      <w:lang w:eastAsia="en-US"/>
    </w:rPr>
  </w:style>
  <w:style w:type="paragraph" w:styleId="CommentSubject">
    <w:name w:val="annotation subject"/>
    <w:basedOn w:val="CommentText"/>
    <w:next w:val="CommentText"/>
    <w:link w:val="CommentSubjectChar"/>
    <w:uiPriority w:val="99"/>
    <w:semiHidden/>
    <w:unhideWhenUsed/>
    <w:rsid w:val="0052431C"/>
    <w:rPr>
      <w:b/>
      <w:bCs/>
    </w:rPr>
  </w:style>
  <w:style w:type="character" w:customStyle="1" w:styleId="CommentSubjectChar">
    <w:name w:val="Comment Subject Char"/>
    <w:basedOn w:val="CommentTextChar"/>
    <w:link w:val="CommentSubject"/>
    <w:uiPriority w:val="99"/>
    <w:semiHidden/>
    <w:rsid w:val="0052431C"/>
    <w:rPr>
      <w:b/>
      <w:bCs/>
      <w:lang w:eastAsia="en-US"/>
    </w:rPr>
  </w:style>
  <w:style w:type="character" w:customStyle="1" w:styleId="Advisorytext">
    <w:name w:val="Advisory text"/>
    <w:basedOn w:val="DefaultParagraphFont"/>
    <w:uiPriority w:val="99"/>
    <w:rsid w:val="006D2C50"/>
    <w:rPr>
      <w:color w:val="FF0000"/>
    </w:rPr>
  </w:style>
  <w:style w:type="character" w:styleId="Hyperlink">
    <w:name w:val="Hyperlink"/>
    <w:basedOn w:val="DefaultParagraphFont"/>
    <w:uiPriority w:val="99"/>
    <w:unhideWhenUsed/>
    <w:rsid w:val="00AA0E89"/>
    <w:rPr>
      <w:color w:val="0000FF" w:themeColor="hyperlink"/>
      <w:u w:val="single"/>
    </w:rPr>
  </w:style>
  <w:style w:type="character" w:styleId="FollowedHyperlink">
    <w:name w:val="FollowedHyperlink"/>
    <w:basedOn w:val="DefaultParagraphFont"/>
    <w:uiPriority w:val="99"/>
    <w:semiHidden/>
    <w:unhideWhenUsed/>
    <w:rsid w:val="00110419"/>
    <w:rPr>
      <w:color w:val="800080" w:themeColor="followedHyperlink"/>
      <w:u w:val="single"/>
    </w:rPr>
  </w:style>
  <w:style w:type="paragraph" w:customStyle="1" w:styleId="ACMANumberedList">
    <w:name w:val="ACMA Numbered List"/>
    <w:rsid w:val="00BD4119"/>
    <w:pPr>
      <w:numPr>
        <w:numId w:val="7"/>
      </w:numPr>
      <w:spacing w:before="20" w:after="20"/>
    </w:pPr>
    <w:rPr>
      <w:rFonts w:ascii="Times New Roman" w:eastAsia="Times New Roman" w:hAnsi="Times New Roman"/>
      <w:sz w:val="24"/>
      <w:lang w:eastAsia="en-US"/>
    </w:rPr>
  </w:style>
  <w:style w:type="paragraph" w:styleId="Revision">
    <w:name w:val="Revision"/>
    <w:hidden/>
    <w:uiPriority w:val="99"/>
    <w:semiHidden/>
    <w:rsid w:val="008D6DF4"/>
    <w:rPr>
      <w:sz w:val="22"/>
      <w:szCs w:val="22"/>
      <w:lang w:eastAsia="en-US"/>
    </w:rPr>
  </w:style>
  <w:style w:type="character" w:customStyle="1" w:styleId="normaltextrun">
    <w:name w:val="normaltextrun"/>
    <w:basedOn w:val="DefaultParagraphFont"/>
    <w:rsid w:val="005922B4"/>
  </w:style>
  <w:style w:type="paragraph" w:customStyle="1" w:styleId="paragraph">
    <w:name w:val="paragraph"/>
    <w:basedOn w:val="Normal"/>
    <w:rsid w:val="00353CC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353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27014">
      <w:bodyDiv w:val="1"/>
      <w:marLeft w:val="0"/>
      <w:marRight w:val="0"/>
      <w:marTop w:val="0"/>
      <w:marBottom w:val="0"/>
      <w:divBdr>
        <w:top w:val="none" w:sz="0" w:space="0" w:color="auto"/>
        <w:left w:val="none" w:sz="0" w:space="0" w:color="auto"/>
        <w:bottom w:val="none" w:sz="0" w:space="0" w:color="auto"/>
        <w:right w:val="none" w:sz="0" w:space="0" w:color="auto"/>
      </w:divBdr>
      <w:divsChild>
        <w:div w:id="730079788">
          <w:marLeft w:val="0"/>
          <w:marRight w:val="0"/>
          <w:marTop w:val="0"/>
          <w:marBottom w:val="0"/>
          <w:divBdr>
            <w:top w:val="none" w:sz="0" w:space="0" w:color="auto"/>
            <w:left w:val="none" w:sz="0" w:space="0" w:color="auto"/>
            <w:bottom w:val="none" w:sz="0" w:space="0" w:color="auto"/>
            <w:right w:val="none" w:sz="0" w:space="0" w:color="auto"/>
          </w:divBdr>
        </w:div>
        <w:div w:id="949167198">
          <w:marLeft w:val="0"/>
          <w:marRight w:val="0"/>
          <w:marTop w:val="0"/>
          <w:marBottom w:val="0"/>
          <w:divBdr>
            <w:top w:val="none" w:sz="0" w:space="0" w:color="auto"/>
            <w:left w:val="none" w:sz="0" w:space="0" w:color="auto"/>
            <w:bottom w:val="none" w:sz="0" w:space="0" w:color="auto"/>
            <w:right w:val="none" w:sz="0" w:space="0" w:color="auto"/>
          </w:divBdr>
        </w:div>
      </w:divsChild>
    </w:div>
    <w:div w:id="859898551">
      <w:bodyDiv w:val="1"/>
      <w:marLeft w:val="0"/>
      <w:marRight w:val="0"/>
      <w:marTop w:val="0"/>
      <w:marBottom w:val="0"/>
      <w:divBdr>
        <w:top w:val="none" w:sz="0" w:space="0" w:color="auto"/>
        <w:left w:val="none" w:sz="0" w:space="0" w:color="auto"/>
        <w:bottom w:val="none" w:sz="0" w:space="0" w:color="auto"/>
        <w:right w:val="none" w:sz="0" w:space="0" w:color="auto"/>
      </w:divBdr>
    </w:div>
    <w:div w:id="903107558">
      <w:bodyDiv w:val="1"/>
      <w:marLeft w:val="0"/>
      <w:marRight w:val="0"/>
      <w:marTop w:val="0"/>
      <w:marBottom w:val="0"/>
      <w:divBdr>
        <w:top w:val="none" w:sz="0" w:space="0" w:color="auto"/>
        <w:left w:val="none" w:sz="0" w:space="0" w:color="auto"/>
        <w:bottom w:val="none" w:sz="0" w:space="0" w:color="auto"/>
        <w:right w:val="none" w:sz="0" w:space="0" w:color="auto"/>
      </w:divBdr>
      <w:divsChild>
        <w:div w:id="243342087">
          <w:marLeft w:val="0"/>
          <w:marRight w:val="0"/>
          <w:marTop w:val="0"/>
          <w:marBottom w:val="0"/>
          <w:divBdr>
            <w:top w:val="none" w:sz="0" w:space="0" w:color="auto"/>
            <w:left w:val="none" w:sz="0" w:space="0" w:color="auto"/>
            <w:bottom w:val="none" w:sz="0" w:space="0" w:color="auto"/>
            <w:right w:val="none" w:sz="0" w:space="0" w:color="auto"/>
          </w:divBdr>
        </w:div>
        <w:div w:id="1438139161">
          <w:marLeft w:val="0"/>
          <w:marRight w:val="0"/>
          <w:marTop w:val="0"/>
          <w:marBottom w:val="0"/>
          <w:divBdr>
            <w:top w:val="none" w:sz="0" w:space="0" w:color="auto"/>
            <w:left w:val="none" w:sz="0" w:space="0" w:color="auto"/>
            <w:bottom w:val="none" w:sz="0" w:space="0" w:color="auto"/>
            <w:right w:val="none" w:sz="0" w:space="0" w:color="auto"/>
          </w:divBdr>
        </w:div>
        <w:div w:id="1975216831">
          <w:marLeft w:val="0"/>
          <w:marRight w:val="0"/>
          <w:marTop w:val="0"/>
          <w:marBottom w:val="0"/>
          <w:divBdr>
            <w:top w:val="none" w:sz="0" w:space="0" w:color="auto"/>
            <w:left w:val="none" w:sz="0" w:space="0" w:color="auto"/>
            <w:bottom w:val="none" w:sz="0" w:space="0" w:color="auto"/>
            <w:right w:val="none" w:sz="0" w:space="0" w:color="auto"/>
          </w:divBdr>
        </w:div>
      </w:divsChild>
    </w:div>
    <w:div w:id="9816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C05C-FB9F-45DE-91E1-35EEF10D2C52}">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1631</Words>
  <Characters>9121</Characters>
  <Application>Microsoft Office Word</Application>
  <DocSecurity>0</DocSecurity>
  <Lines>222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2025-10-30T22:33:00Z</dcterms:created>
  <dcterms:modified xsi:type="dcterms:W3CDTF">2025-10-30T22:33:00Z</dcterms:modified>
</cp:coreProperties>
</file>