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2230" w14:textId="77777777" w:rsidR="002573BE" w:rsidRPr="007F4ECB" w:rsidRDefault="002573BE" w:rsidP="3BEABD71">
      <w:pPr>
        <w:spacing w:after="0" w:line="240" w:lineRule="auto"/>
        <w:jc w:val="center"/>
        <w:rPr>
          <w:rFonts w:ascii="Times New Roman" w:hAnsi="Times New Roman" w:cs="Times New Roman"/>
          <w:b/>
          <w:bCs/>
          <w:caps/>
          <w:sz w:val="24"/>
          <w:szCs w:val="24"/>
          <w:u w:val="single"/>
        </w:rPr>
      </w:pPr>
      <w:r w:rsidRPr="3BEABD71">
        <w:rPr>
          <w:rFonts w:ascii="Times New Roman" w:hAnsi="Times New Roman" w:cs="Times New Roman"/>
          <w:b/>
          <w:bCs/>
          <w:caps/>
          <w:sz w:val="24"/>
          <w:szCs w:val="24"/>
          <w:u w:val="single"/>
        </w:rPr>
        <w:t>Explanatory Statement</w:t>
      </w:r>
    </w:p>
    <w:p w14:paraId="4BB440A3" w14:textId="77777777" w:rsidR="002573BE" w:rsidRPr="007716D7" w:rsidRDefault="002573BE" w:rsidP="3BEABD71">
      <w:pPr>
        <w:spacing w:after="0" w:line="240" w:lineRule="auto"/>
        <w:jc w:val="center"/>
        <w:rPr>
          <w:rFonts w:ascii="Times New Roman" w:hAnsi="Times New Roman" w:cs="Times New Roman"/>
          <w:b/>
          <w:bCs/>
          <w:caps/>
          <w:sz w:val="24"/>
          <w:szCs w:val="24"/>
        </w:rPr>
      </w:pPr>
    </w:p>
    <w:p w14:paraId="60CE26C3" w14:textId="60AC56AD" w:rsidR="002573BE" w:rsidRPr="007F4ECB" w:rsidRDefault="31FA7C5F" w:rsidP="3BEABD71">
      <w:pPr>
        <w:spacing w:after="0" w:line="240" w:lineRule="auto"/>
        <w:jc w:val="center"/>
        <w:rPr>
          <w:rFonts w:ascii="Times New Roman" w:hAnsi="Times New Roman" w:cs="Times New Roman"/>
          <w:sz w:val="24"/>
          <w:szCs w:val="24"/>
          <w:u w:val="single"/>
        </w:rPr>
      </w:pPr>
      <w:r w:rsidRPr="3BEABD71">
        <w:rPr>
          <w:rFonts w:ascii="Times New Roman" w:hAnsi="Times New Roman" w:cs="Times New Roman"/>
          <w:sz w:val="24"/>
          <w:szCs w:val="24"/>
          <w:u w:val="single"/>
        </w:rPr>
        <w:t xml:space="preserve">Issued by </w:t>
      </w:r>
      <w:r w:rsidR="5E4363D6" w:rsidRPr="3BEABD71">
        <w:rPr>
          <w:rFonts w:ascii="Times New Roman" w:hAnsi="Times New Roman" w:cs="Times New Roman"/>
          <w:sz w:val="24"/>
          <w:szCs w:val="24"/>
          <w:u w:val="single"/>
        </w:rPr>
        <w:t>the a</w:t>
      </w:r>
      <w:r w:rsidRPr="3BEABD71">
        <w:rPr>
          <w:rFonts w:ascii="Times New Roman" w:hAnsi="Times New Roman" w:cs="Times New Roman"/>
          <w:sz w:val="24"/>
          <w:szCs w:val="24"/>
          <w:u w:val="single"/>
        </w:rPr>
        <w:t xml:space="preserve">uthority of the </w:t>
      </w:r>
      <w:r w:rsidR="54DE80A8" w:rsidRPr="3BEABD71">
        <w:rPr>
          <w:rFonts w:ascii="Times New Roman" w:hAnsi="Times New Roman" w:cs="Times New Roman"/>
          <w:sz w:val="24"/>
          <w:szCs w:val="24"/>
          <w:u w:val="single"/>
        </w:rPr>
        <w:t xml:space="preserve">Assistant </w:t>
      </w:r>
      <w:r w:rsidRPr="3BEABD71">
        <w:rPr>
          <w:rFonts w:ascii="Times New Roman" w:hAnsi="Times New Roman" w:cs="Times New Roman"/>
          <w:sz w:val="24"/>
          <w:szCs w:val="24"/>
          <w:u w:val="single"/>
        </w:rPr>
        <w:t xml:space="preserve">Minister for </w:t>
      </w:r>
      <w:r w:rsidR="476FE0EC" w:rsidRPr="3BEABD71">
        <w:rPr>
          <w:rFonts w:ascii="Times New Roman" w:hAnsi="Times New Roman" w:cs="Times New Roman"/>
          <w:sz w:val="24"/>
          <w:szCs w:val="24"/>
          <w:u w:val="single"/>
        </w:rPr>
        <w:t>Climate Change and Energy</w:t>
      </w:r>
    </w:p>
    <w:p w14:paraId="5FB1E373" w14:textId="77777777" w:rsidR="002573BE" w:rsidRPr="0076464D" w:rsidRDefault="002573BE" w:rsidP="3BEABD71">
      <w:pPr>
        <w:spacing w:after="0" w:line="240" w:lineRule="auto"/>
        <w:jc w:val="center"/>
        <w:rPr>
          <w:rFonts w:ascii="Times New Roman" w:hAnsi="Times New Roman" w:cs="Times New Roman"/>
          <w:sz w:val="24"/>
          <w:szCs w:val="24"/>
        </w:rPr>
      </w:pPr>
    </w:p>
    <w:p w14:paraId="435DB972" w14:textId="1BA05E07" w:rsidR="002573BE" w:rsidRPr="0076464D" w:rsidRDefault="00353287" w:rsidP="3BEABD71">
      <w:pPr>
        <w:spacing w:after="0" w:line="240" w:lineRule="auto"/>
        <w:jc w:val="center"/>
        <w:rPr>
          <w:rFonts w:ascii="Times New Roman" w:hAnsi="Times New Roman" w:cs="Times New Roman"/>
          <w:i/>
          <w:iCs/>
          <w:snapToGrid w:val="0"/>
          <w:sz w:val="24"/>
          <w:szCs w:val="24"/>
        </w:rPr>
      </w:pPr>
      <w:r w:rsidRPr="3BEABD71">
        <w:rPr>
          <w:rFonts w:ascii="Times New Roman" w:hAnsi="Times New Roman" w:cs="Times New Roman"/>
          <w:i/>
          <w:iCs/>
          <w:snapToGrid w:val="0"/>
          <w:sz w:val="24"/>
          <w:szCs w:val="24"/>
        </w:rPr>
        <w:t xml:space="preserve">National Greenhouse and Energy Reporting </w:t>
      </w:r>
      <w:r w:rsidR="0076464D" w:rsidRPr="3BEABD71">
        <w:rPr>
          <w:rFonts w:ascii="Times New Roman" w:hAnsi="Times New Roman" w:cs="Times New Roman"/>
          <w:i/>
          <w:iCs/>
          <w:snapToGrid w:val="0"/>
          <w:sz w:val="24"/>
          <w:szCs w:val="24"/>
        </w:rPr>
        <w:t>Act</w:t>
      </w:r>
      <w:r w:rsidRPr="3BEABD71">
        <w:rPr>
          <w:rFonts w:ascii="Times New Roman" w:hAnsi="Times New Roman" w:cs="Times New Roman"/>
          <w:i/>
          <w:iCs/>
          <w:snapToGrid w:val="0"/>
          <w:sz w:val="24"/>
          <w:szCs w:val="24"/>
        </w:rPr>
        <w:t xml:space="preserve"> 200</w:t>
      </w:r>
      <w:r w:rsidR="0076464D" w:rsidRPr="3BEABD71">
        <w:rPr>
          <w:rFonts w:ascii="Times New Roman" w:hAnsi="Times New Roman" w:cs="Times New Roman"/>
          <w:i/>
          <w:iCs/>
          <w:snapToGrid w:val="0"/>
          <w:sz w:val="24"/>
          <w:szCs w:val="24"/>
        </w:rPr>
        <w:t>7</w:t>
      </w:r>
    </w:p>
    <w:p w14:paraId="1C5F8D5E" w14:textId="77777777" w:rsidR="00353287" w:rsidRPr="0076464D" w:rsidRDefault="00353287" w:rsidP="3BEABD71">
      <w:pPr>
        <w:spacing w:after="0" w:line="240" w:lineRule="auto"/>
        <w:jc w:val="center"/>
        <w:rPr>
          <w:rFonts w:ascii="Times New Roman" w:hAnsi="Times New Roman" w:cs="Times New Roman"/>
          <w:sz w:val="24"/>
          <w:szCs w:val="24"/>
        </w:rPr>
      </w:pPr>
    </w:p>
    <w:p w14:paraId="404AD40C" w14:textId="5D890206" w:rsidR="002573BE" w:rsidRPr="0076464D" w:rsidRDefault="0076464D" w:rsidP="3BEABD71">
      <w:pPr>
        <w:spacing w:after="0" w:line="240" w:lineRule="auto"/>
        <w:jc w:val="center"/>
        <w:rPr>
          <w:rFonts w:ascii="Times New Roman" w:hAnsi="Times New Roman" w:cs="Times New Roman"/>
          <w:i/>
          <w:iCs/>
          <w:sz w:val="24"/>
          <w:szCs w:val="24"/>
        </w:rPr>
      </w:pPr>
      <w:r w:rsidRPr="3BEABD71">
        <w:rPr>
          <w:rFonts w:ascii="Times New Roman" w:hAnsi="Times New Roman" w:cs="Times New Roman"/>
          <w:i/>
          <w:iCs/>
          <w:sz w:val="24"/>
          <w:szCs w:val="24"/>
        </w:rPr>
        <w:t>National Greenhouse and Energy Reporting (Measurement) Amendment (2025 Update No. 2) Determination 2025</w:t>
      </w:r>
    </w:p>
    <w:p w14:paraId="2BF684F4" w14:textId="77777777" w:rsidR="0076464D" w:rsidRPr="0076464D" w:rsidRDefault="0076464D" w:rsidP="3BEABD71">
      <w:pPr>
        <w:spacing w:after="0" w:line="240" w:lineRule="auto"/>
        <w:jc w:val="center"/>
        <w:rPr>
          <w:rFonts w:ascii="Times New Roman" w:hAnsi="Times New Roman" w:cs="Times New Roman"/>
          <w:i/>
          <w:iCs/>
          <w:sz w:val="24"/>
          <w:szCs w:val="24"/>
        </w:rPr>
      </w:pPr>
    </w:p>
    <w:p w14:paraId="60C95BDE" w14:textId="77777777" w:rsidR="002573BE" w:rsidRPr="007F4ECB" w:rsidRDefault="002573BE" w:rsidP="3BEABD71">
      <w:pPr>
        <w:tabs>
          <w:tab w:val="left" w:pos="1701"/>
          <w:tab w:val="right" w:pos="9072"/>
        </w:tabs>
        <w:spacing w:after="0" w:line="240" w:lineRule="auto"/>
        <w:rPr>
          <w:rFonts w:ascii="Times New Roman" w:hAnsi="Times New Roman" w:cs="Times New Roman"/>
          <w:sz w:val="24"/>
          <w:szCs w:val="24"/>
        </w:rPr>
      </w:pPr>
      <w:r w:rsidRPr="3BEABD71">
        <w:rPr>
          <w:rFonts w:ascii="Times New Roman" w:hAnsi="Times New Roman" w:cs="Times New Roman"/>
          <w:b/>
          <w:bCs/>
          <w:sz w:val="24"/>
          <w:szCs w:val="24"/>
        </w:rPr>
        <w:t>Legislative Authority</w:t>
      </w:r>
    </w:p>
    <w:p w14:paraId="0055B145" w14:textId="77777777" w:rsidR="0076464D" w:rsidRPr="007F4ECB" w:rsidRDefault="0076464D" w:rsidP="3BEABD71">
      <w:pPr>
        <w:tabs>
          <w:tab w:val="right" w:pos="9072"/>
        </w:tabs>
        <w:spacing w:after="0" w:line="240" w:lineRule="auto"/>
        <w:rPr>
          <w:rFonts w:ascii="Times New Roman" w:hAnsi="Times New Roman" w:cs="Times New Roman"/>
          <w:sz w:val="24"/>
          <w:szCs w:val="24"/>
        </w:rPr>
      </w:pPr>
    </w:p>
    <w:p w14:paraId="10D968A6" w14:textId="1D670A98" w:rsidR="00053354" w:rsidRPr="007F4ECB" w:rsidRDefault="2CF7778F" w:rsidP="3BEABD71">
      <w:pPr>
        <w:tabs>
          <w:tab w:val="right" w:pos="9072"/>
        </w:tabs>
        <w:spacing w:after="0" w:line="240" w:lineRule="auto"/>
        <w:rPr>
          <w:rFonts w:ascii="Times New Roman" w:hAnsi="Times New Roman" w:cs="Times New Roman"/>
          <w:sz w:val="24"/>
          <w:szCs w:val="24"/>
        </w:rPr>
      </w:pPr>
      <w:r w:rsidRPr="3BEABD71">
        <w:rPr>
          <w:rFonts w:ascii="Times New Roman" w:hAnsi="Times New Roman" w:cs="Times New Roman"/>
          <w:sz w:val="24"/>
          <w:szCs w:val="24"/>
        </w:rPr>
        <w:t xml:space="preserve">Subsection 10(3) of the </w:t>
      </w:r>
      <w:r w:rsidRPr="3BEABD71">
        <w:rPr>
          <w:rFonts w:ascii="Times New Roman" w:hAnsi="Times New Roman" w:cs="Times New Roman"/>
          <w:i/>
          <w:iCs/>
          <w:sz w:val="24"/>
          <w:szCs w:val="24"/>
        </w:rPr>
        <w:t xml:space="preserve">National Greenhouse and Energy Reporting Act 2007 </w:t>
      </w:r>
      <w:r w:rsidRPr="3BEABD71">
        <w:rPr>
          <w:rFonts w:ascii="Times New Roman" w:hAnsi="Times New Roman" w:cs="Times New Roman"/>
          <w:sz w:val="24"/>
          <w:szCs w:val="24"/>
        </w:rPr>
        <w:t>provides that the Minister may determine, by legislative instrument, methods, or criteria for methods, by which the amounts of the scope 1 emissions, scope 2 emissions, reduction, removal, offsets, production or consumption are to be measured for the purposes of this Act</w:t>
      </w:r>
      <w:r w:rsidR="43F3A9A5" w:rsidRPr="3BEABD71">
        <w:rPr>
          <w:rFonts w:ascii="Times New Roman" w:hAnsi="Times New Roman" w:cs="Times New Roman"/>
          <w:sz w:val="24"/>
          <w:szCs w:val="24"/>
        </w:rPr>
        <w:t>.</w:t>
      </w:r>
    </w:p>
    <w:p w14:paraId="0B4611B4" w14:textId="1E0890F3" w:rsidR="00053354" w:rsidRPr="007F4ECB" w:rsidRDefault="00053354" w:rsidP="3BEABD71">
      <w:pPr>
        <w:tabs>
          <w:tab w:val="right" w:pos="9072"/>
        </w:tabs>
        <w:spacing w:after="0" w:line="240" w:lineRule="auto"/>
        <w:rPr>
          <w:rFonts w:ascii="Times New Roman" w:hAnsi="Times New Roman" w:cs="Times New Roman"/>
          <w:sz w:val="24"/>
          <w:szCs w:val="24"/>
        </w:rPr>
      </w:pPr>
    </w:p>
    <w:p w14:paraId="27318B60" w14:textId="461761CA" w:rsidR="00053354" w:rsidRPr="007F4ECB" w:rsidRDefault="00CB68E5" w:rsidP="3BEABD71">
      <w:pPr>
        <w:tabs>
          <w:tab w:val="right" w:pos="9072"/>
        </w:tabs>
        <w:spacing w:after="0" w:line="240" w:lineRule="auto"/>
        <w:rPr>
          <w:rFonts w:ascii="Times New Roman" w:hAnsi="Times New Roman" w:cs="Times New Roman"/>
          <w:sz w:val="24"/>
          <w:szCs w:val="24"/>
        </w:rPr>
      </w:pPr>
      <w:r w:rsidRPr="3BEABD71">
        <w:rPr>
          <w:rFonts w:ascii="Times New Roman" w:hAnsi="Times New Roman" w:cs="Times New Roman"/>
          <w:sz w:val="24"/>
          <w:szCs w:val="24"/>
        </w:rPr>
        <w:t>S</w:t>
      </w:r>
      <w:r w:rsidR="000864A8" w:rsidRPr="3BEABD71">
        <w:rPr>
          <w:rFonts w:ascii="Times New Roman" w:hAnsi="Times New Roman" w:cs="Times New Roman"/>
          <w:sz w:val="24"/>
          <w:szCs w:val="24"/>
        </w:rPr>
        <w:t xml:space="preserve">ubsection 33(3) of the </w:t>
      </w:r>
      <w:r w:rsidR="000864A8" w:rsidRPr="3BEABD71">
        <w:rPr>
          <w:rFonts w:ascii="Times New Roman" w:hAnsi="Times New Roman" w:cs="Times New Roman"/>
          <w:i/>
          <w:iCs/>
          <w:sz w:val="24"/>
          <w:szCs w:val="24"/>
        </w:rPr>
        <w:t>Acts Interpretation Act 1901</w:t>
      </w:r>
      <w:r w:rsidR="000864A8" w:rsidRPr="3BEABD71">
        <w:rPr>
          <w:rFonts w:ascii="Times New Roman" w:hAnsi="Times New Roman" w:cs="Times New Roman"/>
          <w:sz w:val="24"/>
          <w:szCs w:val="24"/>
        </w:rPr>
        <w:t xml:space="preserve"> provides that where an Act confers a power to make a legislative instrument, the power shall be construed as including a power exercisable in the like manner and subject to the like conditions (if any) to repeal, rescind, revoke, amend, or vary any such instrument.</w:t>
      </w:r>
    </w:p>
    <w:p w14:paraId="04BBD81D" w14:textId="77777777" w:rsidR="00545590" w:rsidRPr="007F4ECB" w:rsidRDefault="00545590" w:rsidP="3BEABD71">
      <w:pPr>
        <w:tabs>
          <w:tab w:val="left" w:pos="2760"/>
        </w:tabs>
        <w:spacing w:after="0" w:line="240" w:lineRule="auto"/>
        <w:rPr>
          <w:rFonts w:ascii="Times New Roman" w:hAnsi="Times New Roman" w:cs="Times New Roman"/>
          <w:sz w:val="24"/>
          <w:szCs w:val="24"/>
        </w:rPr>
      </w:pPr>
    </w:p>
    <w:p w14:paraId="659BCD71" w14:textId="77777777" w:rsidR="002573BE" w:rsidRPr="007F4ECB" w:rsidRDefault="002573BE" w:rsidP="3BEABD71">
      <w:pPr>
        <w:tabs>
          <w:tab w:val="left" w:pos="1701"/>
          <w:tab w:val="right" w:pos="9072"/>
        </w:tabs>
        <w:spacing w:after="0" w:line="240" w:lineRule="auto"/>
        <w:rPr>
          <w:rFonts w:ascii="Times New Roman" w:hAnsi="Times New Roman" w:cs="Times New Roman"/>
          <w:b/>
          <w:bCs/>
          <w:sz w:val="24"/>
          <w:szCs w:val="24"/>
        </w:rPr>
      </w:pPr>
      <w:r w:rsidRPr="3BEABD71">
        <w:rPr>
          <w:rFonts w:ascii="Times New Roman" w:hAnsi="Times New Roman" w:cs="Times New Roman"/>
          <w:b/>
          <w:bCs/>
          <w:sz w:val="24"/>
          <w:szCs w:val="24"/>
        </w:rPr>
        <w:t>Purpose</w:t>
      </w:r>
    </w:p>
    <w:p w14:paraId="25256628" w14:textId="77777777" w:rsidR="002573BE" w:rsidRPr="007F4ECB" w:rsidRDefault="002573BE" w:rsidP="3BEABD71">
      <w:pPr>
        <w:tabs>
          <w:tab w:val="right" w:pos="9072"/>
        </w:tabs>
        <w:spacing w:after="0" w:line="240" w:lineRule="auto"/>
        <w:rPr>
          <w:rFonts w:ascii="Times New Roman" w:hAnsi="Times New Roman" w:cs="Times New Roman"/>
          <w:sz w:val="24"/>
          <w:szCs w:val="24"/>
        </w:rPr>
      </w:pPr>
    </w:p>
    <w:p w14:paraId="4F421243" w14:textId="5AA21A35" w:rsidR="000868C5" w:rsidRDefault="002573BE" w:rsidP="3BEABD71">
      <w:pPr>
        <w:tabs>
          <w:tab w:val="left" w:pos="1701"/>
          <w:tab w:val="right" w:pos="9072"/>
        </w:tabs>
        <w:spacing w:after="0" w:line="240" w:lineRule="auto"/>
        <w:rPr>
          <w:rFonts w:ascii="Times New Roman" w:hAnsi="Times New Roman" w:cs="Times New Roman"/>
          <w:sz w:val="24"/>
          <w:szCs w:val="24"/>
        </w:rPr>
      </w:pPr>
      <w:r w:rsidRPr="3BEABD71">
        <w:rPr>
          <w:rFonts w:ascii="Times New Roman" w:hAnsi="Times New Roman" w:cs="Times New Roman"/>
          <w:sz w:val="24"/>
          <w:szCs w:val="24"/>
        </w:rPr>
        <w:t xml:space="preserve">The purpose of the </w:t>
      </w:r>
      <w:r w:rsidR="7636B50F" w:rsidRPr="3BEABD71">
        <w:rPr>
          <w:rFonts w:ascii="Times New Roman" w:hAnsi="Times New Roman" w:cs="Times New Roman"/>
          <w:i/>
          <w:iCs/>
          <w:sz w:val="24"/>
          <w:szCs w:val="24"/>
        </w:rPr>
        <w:t>National Greenhouse and Energy Reporting (Measurement) Amendment (2025 Update No. 2) Determination 2025</w:t>
      </w:r>
      <w:r w:rsidR="7636B50F" w:rsidRPr="3BEABD71">
        <w:rPr>
          <w:rFonts w:ascii="Times New Roman" w:hAnsi="Times New Roman" w:cs="Times New Roman"/>
          <w:sz w:val="24"/>
          <w:szCs w:val="24"/>
        </w:rPr>
        <w:t xml:space="preserve"> (Amendment Determination) is to</w:t>
      </w:r>
      <w:r w:rsidR="00AE3506" w:rsidRPr="3BEABD71">
        <w:rPr>
          <w:rFonts w:ascii="Times New Roman" w:hAnsi="Times New Roman" w:cs="Times New Roman"/>
          <w:sz w:val="24"/>
          <w:szCs w:val="24"/>
        </w:rPr>
        <w:t xml:space="preserve"> amend </w:t>
      </w:r>
      <w:r w:rsidR="00843110" w:rsidRPr="3BEABD71">
        <w:rPr>
          <w:rFonts w:ascii="Times New Roman" w:hAnsi="Times New Roman" w:cs="Times New Roman"/>
          <w:sz w:val="24"/>
          <w:szCs w:val="24"/>
        </w:rPr>
        <w:t xml:space="preserve">the </w:t>
      </w:r>
      <w:r w:rsidR="00843110" w:rsidRPr="3BEABD71">
        <w:rPr>
          <w:rFonts w:ascii="Times New Roman" w:hAnsi="Times New Roman" w:cs="Times New Roman"/>
          <w:i/>
          <w:iCs/>
          <w:sz w:val="24"/>
          <w:szCs w:val="24"/>
        </w:rPr>
        <w:t>National Greenhouse and Energy Reporting (Measurement) Determination 2008</w:t>
      </w:r>
      <w:r w:rsidR="00843110" w:rsidRPr="3BEABD71">
        <w:rPr>
          <w:rFonts w:ascii="Times New Roman" w:hAnsi="Times New Roman" w:cs="Times New Roman"/>
          <w:sz w:val="24"/>
          <w:szCs w:val="24"/>
        </w:rPr>
        <w:t xml:space="preserve"> (Measurement Determination)</w:t>
      </w:r>
      <w:r w:rsidR="000868C5" w:rsidRPr="3BEABD71">
        <w:rPr>
          <w:rFonts w:ascii="Times New Roman" w:hAnsi="Times New Roman" w:cs="Times New Roman"/>
          <w:sz w:val="24"/>
          <w:szCs w:val="24"/>
        </w:rPr>
        <w:t xml:space="preserve"> to update the</w:t>
      </w:r>
      <w:r w:rsidR="00843110" w:rsidRPr="3BEABD71">
        <w:rPr>
          <w:rFonts w:ascii="Times New Roman" w:hAnsi="Times New Roman" w:cs="Times New Roman"/>
          <w:sz w:val="24"/>
          <w:szCs w:val="24"/>
        </w:rPr>
        <w:t xml:space="preserve"> voluntary </w:t>
      </w:r>
      <w:r w:rsidR="00AE3506" w:rsidRPr="3BEABD71">
        <w:rPr>
          <w:rFonts w:ascii="Times New Roman" w:hAnsi="Times New Roman" w:cs="Times New Roman"/>
          <w:sz w:val="24"/>
          <w:szCs w:val="24"/>
        </w:rPr>
        <w:t xml:space="preserve">market-based method for </w:t>
      </w:r>
      <w:r w:rsidR="00843110" w:rsidRPr="3BEABD71">
        <w:rPr>
          <w:rFonts w:ascii="Times New Roman" w:hAnsi="Times New Roman" w:cs="Times New Roman"/>
          <w:sz w:val="24"/>
          <w:szCs w:val="24"/>
        </w:rPr>
        <w:t>determining scope 2 emissions from the consumption of purchased or acquired electricity</w:t>
      </w:r>
      <w:r w:rsidR="00FB085A" w:rsidRPr="3BEABD71">
        <w:rPr>
          <w:rFonts w:ascii="Times New Roman" w:hAnsi="Times New Roman" w:cs="Times New Roman"/>
          <w:sz w:val="24"/>
          <w:szCs w:val="24"/>
        </w:rPr>
        <w:t xml:space="preserve"> (section 7.4).</w:t>
      </w:r>
    </w:p>
    <w:p w14:paraId="49E7DB0E" w14:textId="77777777" w:rsidR="000868C5" w:rsidRDefault="000868C5" w:rsidP="3BEABD71">
      <w:pPr>
        <w:tabs>
          <w:tab w:val="left" w:pos="1701"/>
          <w:tab w:val="right" w:pos="9072"/>
        </w:tabs>
        <w:spacing w:after="0" w:line="240" w:lineRule="auto"/>
        <w:rPr>
          <w:rFonts w:ascii="Times New Roman" w:hAnsi="Times New Roman" w:cs="Times New Roman"/>
          <w:sz w:val="24"/>
          <w:szCs w:val="24"/>
        </w:rPr>
      </w:pPr>
    </w:p>
    <w:p w14:paraId="6C30404C" w14:textId="78687CC9" w:rsidR="001573C9" w:rsidRDefault="000868C5" w:rsidP="3BEABD71">
      <w:pPr>
        <w:tabs>
          <w:tab w:val="right" w:pos="9072"/>
        </w:tabs>
        <w:spacing w:after="0" w:line="240" w:lineRule="auto"/>
        <w:rPr>
          <w:rFonts w:ascii="Times New Roman" w:hAnsi="Times New Roman" w:cs="Times New Roman"/>
          <w:sz w:val="24"/>
          <w:szCs w:val="24"/>
        </w:rPr>
      </w:pPr>
      <w:r w:rsidRPr="77081A7D">
        <w:rPr>
          <w:rFonts w:ascii="Times New Roman" w:hAnsi="Times New Roman" w:cs="Times New Roman"/>
          <w:sz w:val="24"/>
          <w:szCs w:val="24"/>
        </w:rPr>
        <w:t>The</w:t>
      </w:r>
      <w:r w:rsidR="0077268A" w:rsidRPr="77081A7D">
        <w:rPr>
          <w:rFonts w:ascii="Times New Roman" w:hAnsi="Times New Roman" w:cs="Times New Roman"/>
          <w:sz w:val="24"/>
          <w:szCs w:val="24"/>
        </w:rPr>
        <w:t xml:space="preserve"> primary</w:t>
      </w:r>
      <w:r w:rsidRPr="77081A7D">
        <w:rPr>
          <w:rFonts w:ascii="Times New Roman" w:hAnsi="Times New Roman" w:cs="Times New Roman"/>
          <w:sz w:val="24"/>
          <w:szCs w:val="24"/>
        </w:rPr>
        <w:t xml:space="preserve"> amendments to the market-based method are to </w:t>
      </w:r>
      <w:r w:rsidR="001573C9" w:rsidRPr="77081A7D">
        <w:rPr>
          <w:rFonts w:ascii="Times New Roman" w:hAnsi="Times New Roman" w:cs="Times New Roman"/>
          <w:sz w:val="24"/>
          <w:szCs w:val="24"/>
        </w:rPr>
        <w:t>include Renewable E</w:t>
      </w:r>
      <w:r w:rsidR="3093DB42" w:rsidRPr="77081A7D">
        <w:rPr>
          <w:rFonts w:ascii="Times New Roman" w:hAnsi="Times New Roman" w:cs="Times New Roman"/>
          <w:sz w:val="24"/>
          <w:szCs w:val="24"/>
        </w:rPr>
        <w:t>lectricity</w:t>
      </w:r>
      <w:r w:rsidR="001573C9" w:rsidRPr="77081A7D">
        <w:rPr>
          <w:rFonts w:ascii="Times New Roman" w:hAnsi="Times New Roman" w:cs="Times New Roman"/>
          <w:sz w:val="24"/>
          <w:szCs w:val="24"/>
        </w:rPr>
        <w:t xml:space="preserve"> Guarantee of Origin (REGO) certificates as eligible Renewable Energy Certificates</w:t>
      </w:r>
      <w:r w:rsidR="007F4DD5" w:rsidRPr="77081A7D">
        <w:rPr>
          <w:rFonts w:ascii="Times New Roman" w:hAnsi="Times New Roman" w:cs="Times New Roman"/>
          <w:sz w:val="24"/>
          <w:szCs w:val="24"/>
        </w:rPr>
        <w:t xml:space="preserve"> (REC)</w:t>
      </w:r>
      <w:r w:rsidR="001573C9" w:rsidRPr="77081A7D">
        <w:rPr>
          <w:rFonts w:ascii="Times New Roman" w:hAnsi="Times New Roman" w:cs="Times New Roman"/>
          <w:sz w:val="24"/>
          <w:szCs w:val="24"/>
        </w:rPr>
        <w:t xml:space="preserve"> under the National Greenhouse and Energy Reporting (NGER) scheme.</w:t>
      </w:r>
      <w:r w:rsidR="007F4DD5" w:rsidRPr="77081A7D">
        <w:rPr>
          <w:rFonts w:ascii="Times New Roman" w:hAnsi="Times New Roman" w:cs="Times New Roman"/>
          <w:sz w:val="24"/>
          <w:szCs w:val="24"/>
        </w:rPr>
        <w:t xml:space="preserve"> </w:t>
      </w:r>
    </w:p>
    <w:p w14:paraId="0BB55376" w14:textId="77777777" w:rsidR="003A1F4F" w:rsidRPr="007F4ECB" w:rsidRDefault="003A1F4F" w:rsidP="3BEABD71">
      <w:pPr>
        <w:tabs>
          <w:tab w:val="right" w:pos="9072"/>
        </w:tabs>
        <w:spacing w:after="0" w:line="240" w:lineRule="auto"/>
        <w:rPr>
          <w:rFonts w:ascii="Times New Roman" w:hAnsi="Times New Roman" w:cs="Times New Roman"/>
          <w:sz w:val="24"/>
          <w:szCs w:val="24"/>
        </w:rPr>
      </w:pPr>
    </w:p>
    <w:p w14:paraId="2B8BE3CD" w14:textId="77777777" w:rsidR="002573BE" w:rsidRPr="007F4ECB" w:rsidRDefault="002573BE" w:rsidP="3BEABD71">
      <w:pPr>
        <w:tabs>
          <w:tab w:val="left" w:pos="1701"/>
          <w:tab w:val="right" w:pos="9072"/>
        </w:tabs>
        <w:spacing w:after="0" w:line="240" w:lineRule="auto"/>
        <w:rPr>
          <w:rFonts w:ascii="Times New Roman" w:hAnsi="Times New Roman" w:cs="Times New Roman"/>
          <w:b/>
          <w:bCs/>
          <w:sz w:val="24"/>
          <w:szCs w:val="24"/>
        </w:rPr>
      </w:pPr>
      <w:r w:rsidRPr="3BEABD71">
        <w:rPr>
          <w:rFonts w:ascii="Times New Roman" w:hAnsi="Times New Roman" w:cs="Times New Roman"/>
          <w:b/>
          <w:bCs/>
          <w:sz w:val="24"/>
          <w:szCs w:val="24"/>
        </w:rPr>
        <w:t>Background</w:t>
      </w:r>
    </w:p>
    <w:p w14:paraId="30AF0245" w14:textId="77777777" w:rsidR="002573BE" w:rsidRPr="0007670A" w:rsidRDefault="002573BE" w:rsidP="3BEABD71">
      <w:pPr>
        <w:tabs>
          <w:tab w:val="right" w:pos="9072"/>
        </w:tabs>
        <w:spacing w:after="0" w:line="240" w:lineRule="auto"/>
        <w:rPr>
          <w:rFonts w:ascii="Times New Roman" w:hAnsi="Times New Roman" w:cs="Times New Roman"/>
          <w:sz w:val="24"/>
          <w:szCs w:val="24"/>
        </w:rPr>
      </w:pPr>
    </w:p>
    <w:p w14:paraId="4DB75DDA" w14:textId="12F8CE36" w:rsidR="0007670A" w:rsidRDefault="0007670A" w:rsidP="3BEABD71">
      <w:pPr>
        <w:tabs>
          <w:tab w:val="right" w:pos="9072"/>
        </w:tabs>
        <w:spacing w:after="0" w:line="240" w:lineRule="auto"/>
        <w:rPr>
          <w:rFonts w:ascii="Times New Roman" w:hAnsi="Times New Roman" w:cs="Times New Roman"/>
          <w:sz w:val="24"/>
          <w:szCs w:val="24"/>
        </w:rPr>
      </w:pPr>
      <w:r w:rsidRPr="3BEABD71">
        <w:rPr>
          <w:rFonts w:ascii="Times New Roman" w:hAnsi="Times New Roman" w:cs="Times New Roman"/>
          <w:sz w:val="24"/>
          <w:szCs w:val="24"/>
        </w:rPr>
        <w:t>The NGER scheme is Australia’s national system for reporting greenhouse gas emissions, energy consumption and energy production by Australian corporations, and is underpinned by the following legislation:</w:t>
      </w:r>
    </w:p>
    <w:p w14:paraId="1446E5DA" w14:textId="63A5B46A" w:rsidR="0007670A" w:rsidRPr="0007670A" w:rsidRDefault="0007670A" w:rsidP="3BEABD71">
      <w:pPr>
        <w:numPr>
          <w:ilvl w:val="0"/>
          <w:numId w:val="35"/>
        </w:numPr>
        <w:tabs>
          <w:tab w:val="num" w:pos="360"/>
          <w:tab w:val="right" w:pos="9072"/>
        </w:tabs>
        <w:spacing w:after="0" w:line="240" w:lineRule="auto"/>
        <w:rPr>
          <w:rFonts w:ascii="Times New Roman" w:hAnsi="Times New Roman" w:cs="Times New Roman"/>
          <w:sz w:val="24"/>
          <w:szCs w:val="24"/>
        </w:rPr>
      </w:pPr>
      <w:r w:rsidRPr="3BEABD71">
        <w:rPr>
          <w:rFonts w:ascii="Times New Roman" w:hAnsi="Times New Roman" w:cs="Times New Roman"/>
          <w:sz w:val="24"/>
          <w:szCs w:val="24"/>
        </w:rPr>
        <w:t xml:space="preserve">The </w:t>
      </w:r>
      <w:r w:rsidRPr="3BEABD71">
        <w:rPr>
          <w:rFonts w:ascii="Times New Roman" w:hAnsi="Times New Roman" w:cs="Times New Roman"/>
          <w:i/>
          <w:iCs/>
          <w:sz w:val="24"/>
          <w:szCs w:val="24"/>
        </w:rPr>
        <w:t>National Greenhouse and Energy Reporting Act 2007</w:t>
      </w:r>
      <w:r w:rsidRPr="3BEABD71">
        <w:rPr>
          <w:rFonts w:ascii="Times New Roman" w:hAnsi="Times New Roman" w:cs="Times New Roman"/>
          <w:sz w:val="24"/>
          <w:szCs w:val="24"/>
        </w:rPr>
        <w:t xml:space="preserve"> (Act) </w:t>
      </w:r>
    </w:p>
    <w:p w14:paraId="7EEC97B0" w14:textId="67072298" w:rsidR="0007670A" w:rsidRPr="0007670A" w:rsidRDefault="0007670A" w:rsidP="3BEABD71">
      <w:pPr>
        <w:numPr>
          <w:ilvl w:val="0"/>
          <w:numId w:val="35"/>
        </w:numPr>
        <w:tabs>
          <w:tab w:val="num" w:pos="360"/>
          <w:tab w:val="right" w:pos="9072"/>
        </w:tabs>
        <w:spacing w:after="0" w:line="240" w:lineRule="auto"/>
        <w:rPr>
          <w:rFonts w:ascii="Times New Roman" w:hAnsi="Times New Roman" w:cs="Times New Roman"/>
          <w:sz w:val="24"/>
          <w:szCs w:val="24"/>
        </w:rPr>
      </w:pPr>
      <w:r w:rsidRPr="3BEABD71">
        <w:rPr>
          <w:rFonts w:ascii="Times New Roman" w:hAnsi="Times New Roman" w:cs="Times New Roman"/>
          <w:sz w:val="24"/>
          <w:szCs w:val="24"/>
        </w:rPr>
        <w:t xml:space="preserve">The </w:t>
      </w:r>
      <w:r w:rsidRPr="3BEABD71">
        <w:rPr>
          <w:rFonts w:ascii="Times New Roman" w:hAnsi="Times New Roman" w:cs="Times New Roman"/>
          <w:i/>
          <w:iCs/>
          <w:sz w:val="24"/>
          <w:szCs w:val="24"/>
        </w:rPr>
        <w:t>National Greenhouse and Energy Reporting Regulations 2008</w:t>
      </w:r>
      <w:r w:rsidRPr="3BEABD71">
        <w:rPr>
          <w:rFonts w:ascii="Times New Roman" w:hAnsi="Times New Roman" w:cs="Times New Roman"/>
          <w:sz w:val="24"/>
          <w:szCs w:val="24"/>
        </w:rPr>
        <w:t xml:space="preserve"> (Regulations) </w:t>
      </w:r>
    </w:p>
    <w:p w14:paraId="2147D894" w14:textId="339C4C16" w:rsidR="0007670A" w:rsidRPr="0007670A" w:rsidRDefault="0007670A" w:rsidP="3BEABD71">
      <w:pPr>
        <w:numPr>
          <w:ilvl w:val="0"/>
          <w:numId w:val="35"/>
        </w:numPr>
        <w:tabs>
          <w:tab w:val="num" w:pos="360"/>
          <w:tab w:val="right" w:pos="9072"/>
        </w:tabs>
        <w:spacing w:after="0" w:line="240" w:lineRule="auto"/>
        <w:rPr>
          <w:rFonts w:ascii="Times New Roman" w:hAnsi="Times New Roman" w:cs="Times New Roman"/>
          <w:sz w:val="24"/>
          <w:szCs w:val="24"/>
        </w:rPr>
      </w:pPr>
      <w:r w:rsidRPr="3BEABD71">
        <w:rPr>
          <w:rFonts w:ascii="Times New Roman" w:hAnsi="Times New Roman" w:cs="Times New Roman"/>
          <w:sz w:val="24"/>
          <w:szCs w:val="24"/>
        </w:rPr>
        <w:t>The Measurement Determination</w:t>
      </w:r>
    </w:p>
    <w:p w14:paraId="05091453" w14:textId="77777777" w:rsidR="0007670A" w:rsidRDefault="0007670A" w:rsidP="3BEABD71">
      <w:pPr>
        <w:tabs>
          <w:tab w:val="right" w:pos="9072"/>
        </w:tabs>
        <w:spacing w:after="0" w:line="240" w:lineRule="auto"/>
        <w:rPr>
          <w:rFonts w:ascii="Times New Roman" w:hAnsi="Times New Roman" w:cs="Times New Roman"/>
          <w:sz w:val="24"/>
          <w:szCs w:val="24"/>
        </w:rPr>
      </w:pPr>
    </w:p>
    <w:p w14:paraId="3EC83D95" w14:textId="2C790592" w:rsidR="0007670A" w:rsidRDefault="0007670A" w:rsidP="3BEABD71">
      <w:pPr>
        <w:tabs>
          <w:tab w:val="right" w:pos="9072"/>
        </w:tabs>
        <w:spacing w:after="0" w:line="240" w:lineRule="auto"/>
        <w:rPr>
          <w:rFonts w:ascii="Times New Roman" w:hAnsi="Times New Roman" w:cs="Times New Roman"/>
          <w:sz w:val="24"/>
          <w:szCs w:val="24"/>
        </w:rPr>
      </w:pPr>
      <w:r w:rsidRPr="3BEABD71">
        <w:rPr>
          <w:rFonts w:ascii="Times New Roman" w:hAnsi="Times New Roman" w:cs="Times New Roman"/>
          <w:sz w:val="24"/>
          <w:szCs w:val="24"/>
        </w:rPr>
        <w:t>The NGER scheme is a key data source which supports Australia’s international and domestic reporting obligations and informs domestic climate and energy policies. Emissions reported under the NGER scheme underpin the operation of the Safeguard Mechanism.</w:t>
      </w:r>
    </w:p>
    <w:p w14:paraId="6E7F1DEF" w14:textId="77777777" w:rsidR="005C72EC" w:rsidRDefault="005C72EC" w:rsidP="3BEABD71">
      <w:pPr>
        <w:tabs>
          <w:tab w:val="right" w:pos="9072"/>
        </w:tabs>
        <w:spacing w:after="0" w:line="240" w:lineRule="auto"/>
        <w:rPr>
          <w:rFonts w:ascii="Times New Roman" w:hAnsi="Times New Roman" w:cs="Times New Roman"/>
          <w:sz w:val="24"/>
          <w:szCs w:val="24"/>
        </w:rPr>
      </w:pPr>
    </w:p>
    <w:p w14:paraId="78102F3B" w14:textId="77777777" w:rsidR="00B33B09" w:rsidRDefault="005C72EC" w:rsidP="3BEABD71">
      <w:pPr>
        <w:tabs>
          <w:tab w:val="right" w:pos="9072"/>
        </w:tabs>
        <w:spacing w:after="0" w:line="240" w:lineRule="auto"/>
        <w:rPr>
          <w:rFonts w:ascii="Times New Roman" w:hAnsi="Times New Roman" w:cs="Times New Roman"/>
          <w:sz w:val="24"/>
          <w:szCs w:val="24"/>
        </w:rPr>
      </w:pPr>
      <w:r w:rsidRPr="3BEABD71">
        <w:rPr>
          <w:rFonts w:ascii="Times New Roman" w:hAnsi="Times New Roman" w:cs="Times New Roman"/>
          <w:sz w:val="24"/>
          <w:szCs w:val="24"/>
        </w:rPr>
        <w:t xml:space="preserve">The Regulations define two reportable </w:t>
      </w:r>
      <w:r w:rsidRPr="3BEABD71">
        <w:rPr>
          <w:rFonts w:ascii="Times New Roman" w:hAnsi="Times New Roman" w:cs="Times New Roman"/>
          <w:i/>
          <w:iCs/>
          <w:sz w:val="24"/>
          <w:szCs w:val="24"/>
        </w:rPr>
        <w:t>scopes</w:t>
      </w:r>
      <w:r w:rsidRPr="3BEABD71">
        <w:rPr>
          <w:rFonts w:ascii="Times New Roman" w:hAnsi="Times New Roman" w:cs="Times New Roman"/>
          <w:sz w:val="24"/>
          <w:szCs w:val="24"/>
        </w:rPr>
        <w:t xml:space="preserve"> of emissions (defined in Regulations 2.23 and 2.24). Chapters 1 to 5 of the Measurement Determination provide methods for estimating ‘scope 1’ emissions, which are emissions resulting directly from the activities at a facility controlled by the reporting entity. Chapter 7 of the Measurement Determination provides </w:t>
      </w:r>
      <w:r w:rsidRPr="3BEABD71">
        <w:rPr>
          <w:rFonts w:ascii="Times New Roman" w:hAnsi="Times New Roman" w:cs="Times New Roman"/>
          <w:sz w:val="24"/>
          <w:szCs w:val="24"/>
        </w:rPr>
        <w:lastRenderedPageBreak/>
        <w:t xml:space="preserve">methods to estimate </w:t>
      </w:r>
      <w:r w:rsidRPr="3BEABD71">
        <w:rPr>
          <w:rFonts w:ascii="Times New Roman" w:hAnsi="Times New Roman" w:cs="Times New Roman"/>
          <w:b/>
          <w:bCs/>
          <w:sz w:val="24"/>
          <w:szCs w:val="24"/>
        </w:rPr>
        <w:t>‘</w:t>
      </w:r>
      <w:r w:rsidRPr="3BEABD71">
        <w:rPr>
          <w:rFonts w:ascii="Times New Roman" w:hAnsi="Times New Roman" w:cs="Times New Roman"/>
          <w:sz w:val="24"/>
          <w:szCs w:val="24"/>
        </w:rPr>
        <w:t>scope 2’ emissions, which are indirect emissions of an entity attributable to the consumption of electricity at facilities within the entity’s operational control.</w:t>
      </w:r>
      <w:r w:rsidR="00015A2B" w:rsidRPr="3BEABD71">
        <w:rPr>
          <w:rFonts w:ascii="Times New Roman" w:hAnsi="Times New Roman" w:cs="Times New Roman"/>
          <w:sz w:val="24"/>
          <w:szCs w:val="24"/>
        </w:rPr>
        <w:t xml:space="preserve"> These methods include location-based methods (</w:t>
      </w:r>
      <w:r w:rsidR="00B33B09" w:rsidRPr="3BEABD71">
        <w:rPr>
          <w:rFonts w:ascii="Times New Roman" w:hAnsi="Times New Roman" w:cs="Times New Roman"/>
          <w:sz w:val="24"/>
          <w:szCs w:val="24"/>
        </w:rPr>
        <w:t>sections 7.2 and 7.3</w:t>
      </w:r>
      <w:r w:rsidR="00015A2B" w:rsidRPr="3BEABD71">
        <w:rPr>
          <w:rFonts w:ascii="Times New Roman" w:hAnsi="Times New Roman" w:cs="Times New Roman"/>
          <w:sz w:val="24"/>
          <w:szCs w:val="24"/>
        </w:rPr>
        <w:t xml:space="preserve">) and </w:t>
      </w:r>
      <w:r w:rsidR="00B33B09" w:rsidRPr="3BEABD71">
        <w:rPr>
          <w:rFonts w:ascii="Times New Roman" w:hAnsi="Times New Roman" w:cs="Times New Roman"/>
          <w:sz w:val="24"/>
          <w:szCs w:val="24"/>
        </w:rPr>
        <w:t>the market-based method (section 7.4).</w:t>
      </w:r>
    </w:p>
    <w:p w14:paraId="79633594" w14:textId="77777777" w:rsidR="00B33B09" w:rsidRDefault="00B33B09" w:rsidP="3BEABD71">
      <w:pPr>
        <w:tabs>
          <w:tab w:val="right" w:pos="9072"/>
        </w:tabs>
        <w:spacing w:after="0" w:line="240" w:lineRule="auto"/>
        <w:rPr>
          <w:rFonts w:ascii="Times New Roman" w:hAnsi="Times New Roman" w:cs="Times New Roman"/>
          <w:sz w:val="24"/>
          <w:szCs w:val="24"/>
        </w:rPr>
      </w:pPr>
    </w:p>
    <w:p w14:paraId="1474CB34" w14:textId="6B4DA266" w:rsidR="00816002" w:rsidRPr="005C72EC" w:rsidRDefault="0024327F" w:rsidP="3BEABD71">
      <w:pPr>
        <w:tabs>
          <w:tab w:val="right" w:pos="9072"/>
        </w:tabs>
        <w:spacing w:after="0" w:line="240" w:lineRule="auto"/>
        <w:rPr>
          <w:rFonts w:ascii="Times New Roman" w:hAnsi="Times New Roman" w:cs="Times New Roman"/>
          <w:sz w:val="24"/>
          <w:szCs w:val="24"/>
        </w:rPr>
      </w:pPr>
      <w:r w:rsidRPr="77081A7D">
        <w:rPr>
          <w:rFonts w:ascii="Times New Roman" w:hAnsi="Times New Roman" w:cs="Times New Roman"/>
          <w:sz w:val="24"/>
          <w:szCs w:val="24"/>
        </w:rPr>
        <w:t xml:space="preserve">The Amendment Determination </w:t>
      </w:r>
      <w:r w:rsidR="00015A2B" w:rsidRPr="77081A7D">
        <w:rPr>
          <w:rFonts w:ascii="Times New Roman" w:hAnsi="Times New Roman" w:cs="Times New Roman"/>
          <w:sz w:val="24"/>
          <w:szCs w:val="24"/>
        </w:rPr>
        <w:t xml:space="preserve">updates </w:t>
      </w:r>
      <w:r w:rsidR="00B33B09" w:rsidRPr="77081A7D">
        <w:rPr>
          <w:rFonts w:ascii="Times New Roman" w:hAnsi="Times New Roman" w:cs="Times New Roman"/>
          <w:sz w:val="24"/>
          <w:szCs w:val="24"/>
        </w:rPr>
        <w:t>the market-based method</w:t>
      </w:r>
      <w:r w:rsidR="005E502B" w:rsidRPr="77081A7D">
        <w:rPr>
          <w:rFonts w:ascii="Times New Roman" w:hAnsi="Times New Roman" w:cs="Times New Roman"/>
          <w:sz w:val="24"/>
          <w:szCs w:val="24"/>
        </w:rPr>
        <w:t xml:space="preserve"> to provide for REGO</w:t>
      </w:r>
      <w:r w:rsidR="007F4DD5" w:rsidRPr="77081A7D">
        <w:rPr>
          <w:rFonts w:ascii="Times New Roman" w:hAnsi="Times New Roman" w:cs="Times New Roman"/>
          <w:sz w:val="24"/>
          <w:szCs w:val="24"/>
        </w:rPr>
        <w:t xml:space="preserve"> </w:t>
      </w:r>
      <w:r w:rsidR="005E502B" w:rsidRPr="77081A7D">
        <w:rPr>
          <w:rFonts w:ascii="Times New Roman" w:hAnsi="Times New Roman" w:cs="Times New Roman"/>
          <w:sz w:val="24"/>
          <w:szCs w:val="24"/>
        </w:rPr>
        <w:t xml:space="preserve">certificates as eligible </w:t>
      </w:r>
      <w:r w:rsidR="007F4DD5" w:rsidRPr="77081A7D">
        <w:rPr>
          <w:rFonts w:ascii="Times New Roman" w:hAnsi="Times New Roman" w:cs="Times New Roman"/>
          <w:sz w:val="24"/>
          <w:szCs w:val="24"/>
        </w:rPr>
        <w:t>RECs</w:t>
      </w:r>
      <w:r w:rsidR="005E502B" w:rsidRPr="77081A7D">
        <w:rPr>
          <w:rFonts w:ascii="Times New Roman" w:hAnsi="Times New Roman" w:cs="Times New Roman"/>
          <w:sz w:val="24"/>
          <w:szCs w:val="24"/>
        </w:rPr>
        <w:t xml:space="preserve"> under the NGER scheme.</w:t>
      </w:r>
      <w:r w:rsidR="007F4DD5" w:rsidRPr="77081A7D">
        <w:rPr>
          <w:rFonts w:ascii="Times New Roman" w:hAnsi="Times New Roman" w:cs="Times New Roman"/>
          <w:sz w:val="24"/>
          <w:szCs w:val="24"/>
        </w:rPr>
        <w:t xml:space="preserve"> </w:t>
      </w:r>
      <w:r w:rsidR="00816002" w:rsidRPr="77081A7D">
        <w:rPr>
          <w:rFonts w:ascii="Times New Roman" w:hAnsi="Times New Roman" w:cs="Times New Roman"/>
          <w:sz w:val="24"/>
          <w:szCs w:val="24"/>
        </w:rPr>
        <w:t xml:space="preserve">REGO certificates can be applied for and registered under the </w:t>
      </w:r>
      <w:r w:rsidR="00AE3506" w:rsidRPr="77081A7D">
        <w:rPr>
          <w:rFonts w:ascii="Times New Roman" w:hAnsi="Times New Roman" w:cs="Times New Roman"/>
          <w:sz w:val="24"/>
          <w:szCs w:val="24"/>
        </w:rPr>
        <w:t xml:space="preserve">recently commenced </w:t>
      </w:r>
      <w:r w:rsidR="00816002" w:rsidRPr="77081A7D">
        <w:rPr>
          <w:rFonts w:ascii="Times New Roman" w:hAnsi="Times New Roman" w:cs="Times New Roman"/>
          <w:sz w:val="24"/>
          <w:szCs w:val="24"/>
        </w:rPr>
        <w:t>Guarantee of Origin (GO) scheme</w:t>
      </w:r>
      <w:r w:rsidR="005D1E5D" w:rsidRPr="77081A7D">
        <w:rPr>
          <w:rFonts w:ascii="Times New Roman" w:hAnsi="Times New Roman" w:cs="Times New Roman"/>
          <w:sz w:val="24"/>
          <w:szCs w:val="24"/>
        </w:rPr>
        <w:t xml:space="preserve">, created by the </w:t>
      </w:r>
      <w:r w:rsidR="00816002" w:rsidRPr="77081A7D">
        <w:rPr>
          <w:rFonts w:ascii="Times New Roman" w:hAnsi="Times New Roman" w:cs="Times New Roman"/>
          <w:i/>
          <w:iCs/>
          <w:sz w:val="24"/>
          <w:szCs w:val="24"/>
        </w:rPr>
        <w:t>Guarantee of Origin (Future Made in Australia) Act 2024</w:t>
      </w:r>
      <w:r w:rsidR="00AC5C2E" w:rsidRPr="77081A7D">
        <w:rPr>
          <w:rFonts w:ascii="Times New Roman" w:hAnsi="Times New Roman" w:cs="Times New Roman"/>
          <w:i/>
          <w:iCs/>
          <w:sz w:val="24"/>
          <w:szCs w:val="24"/>
        </w:rPr>
        <w:t>.</w:t>
      </w:r>
      <w:r w:rsidR="005D1E5D" w:rsidRPr="77081A7D">
        <w:rPr>
          <w:rFonts w:ascii="Times New Roman" w:hAnsi="Times New Roman" w:cs="Times New Roman"/>
          <w:i/>
          <w:iCs/>
          <w:sz w:val="24"/>
          <w:szCs w:val="24"/>
        </w:rPr>
        <w:t xml:space="preserve"> </w:t>
      </w:r>
    </w:p>
    <w:p w14:paraId="096D628B" w14:textId="77777777" w:rsidR="002573BE" w:rsidRPr="007F4ECB" w:rsidRDefault="002573BE" w:rsidP="3BEABD71">
      <w:pPr>
        <w:tabs>
          <w:tab w:val="right" w:pos="9072"/>
        </w:tabs>
        <w:spacing w:after="0" w:line="240" w:lineRule="auto"/>
        <w:rPr>
          <w:rFonts w:ascii="Times New Roman" w:hAnsi="Times New Roman" w:cs="Times New Roman"/>
          <w:sz w:val="24"/>
          <w:szCs w:val="24"/>
        </w:rPr>
      </w:pPr>
    </w:p>
    <w:p w14:paraId="446A2232" w14:textId="77777777" w:rsidR="002573BE" w:rsidRPr="007F4ECB" w:rsidRDefault="002573BE" w:rsidP="3BEABD71">
      <w:pPr>
        <w:tabs>
          <w:tab w:val="left" w:pos="1701"/>
          <w:tab w:val="right" w:pos="9072"/>
        </w:tabs>
        <w:spacing w:after="0" w:line="240" w:lineRule="auto"/>
        <w:rPr>
          <w:rFonts w:ascii="Times New Roman" w:hAnsi="Times New Roman" w:cs="Times New Roman"/>
          <w:sz w:val="24"/>
          <w:szCs w:val="24"/>
        </w:rPr>
      </w:pPr>
      <w:r w:rsidRPr="3BEABD71">
        <w:rPr>
          <w:rFonts w:ascii="Times New Roman" w:hAnsi="Times New Roman" w:cs="Times New Roman"/>
          <w:b/>
          <w:bCs/>
          <w:sz w:val="24"/>
          <w:szCs w:val="24"/>
        </w:rPr>
        <w:t>Consultation</w:t>
      </w:r>
    </w:p>
    <w:p w14:paraId="381D70D8" w14:textId="77777777" w:rsidR="004675CC" w:rsidRPr="007F4ECB" w:rsidRDefault="004675CC" w:rsidP="3BEABD71">
      <w:pPr>
        <w:tabs>
          <w:tab w:val="left" w:pos="1701"/>
          <w:tab w:val="right" w:pos="9072"/>
        </w:tabs>
        <w:spacing w:after="0" w:line="240" w:lineRule="auto"/>
        <w:rPr>
          <w:rFonts w:ascii="Times New Roman" w:hAnsi="Times New Roman" w:cs="Times New Roman"/>
          <w:sz w:val="24"/>
          <w:szCs w:val="24"/>
        </w:rPr>
      </w:pPr>
    </w:p>
    <w:p w14:paraId="596DC530" w14:textId="6E317AE2" w:rsidR="005E46AB" w:rsidRDefault="0054236A" w:rsidP="3BEABD71">
      <w:pPr>
        <w:tabs>
          <w:tab w:val="left" w:pos="1701"/>
          <w:tab w:val="right" w:pos="9072"/>
        </w:tabs>
        <w:spacing w:after="0" w:line="240" w:lineRule="auto"/>
        <w:rPr>
          <w:rFonts w:ascii="Times New Roman" w:hAnsi="Times New Roman" w:cs="Times New Roman"/>
          <w:sz w:val="24"/>
          <w:szCs w:val="24"/>
        </w:rPr>
      </w:pPr>
      <w:r w:rsidRPr="77081A7D">
        <w:rPr>
          <w:rFonts w:ascii="Times New Roman" w:hAnsi="Times New Roman" w:cs="Times New Roman"/>
          <w:sz w:val="24"/>
          <w:szCs w:val="24"/>
        </w:rPr>
        <w:t>E</w:t>
      </w:r>
      <w:r w:rsidR="005E46AB" w:rsidRPr="77081A7D">
        <w:rPr>
          <w:rFonts w:ascii="Times New Roman" w:hAnsi="Times New Roman" w:cs="Times New Roman"/>
          <w:sz w:val="24"/>
          <w:szCs w:val="24"/>
        </w:rPr>
        <w:t>xposure draft consultation</w:t>
      </w:r>
      <w:r w:rsidRPr="77081A7D">
        <w:rPr>
          <w:rFonts w:ascii="Times New Roman" w:hAnsi="Times New Roman" w:cs="Times New Roman"/>
          <w:sz w:val="24"/>
          <w:szCs w:val="24"/>
        </w:rPr>
        <w:t>s</w:t>
      </w:r>
      <w:r w:rsidR="005E46AB" w:rsidRPr="77081A7D">
        <w:rPr>
          <w:rFonts w:ascii="Times New Roman" w:hAnsi="Times New Roman" w:cs="Times New Roman"/>
          <w:sz w:val="24"/>
          <w:szCs w:val="24"/>
        </w:rPr>
        <w:t xml:space="preserve"> for the method under section 7.4 w</w:t>
      </w:r>
      <w:r w:rsidRPr="77081A7D">
        <w:rPr>
          <w:rFonts w:ascii="Times New Roman" w:hAnsi="Times New Roman" w:cs="Times New Roman"/>
          <w:sz w:val="24"/>
          <w:szCs w:val="24"/>
        </w:rPr>
        <w:t>ere</w:t>
      </w:r>
      <w:r w:rsidR="005E46AB" w:rsidRPr="77081A7D">
        <w:rPr>
          <w:rFonts w:ascii="Times New Roman" w:hAnsi="Times New Roman" w:cs="Times New Roman"/>
          <w:sz w:val="24"/>
          <w:szCs w:val="24"/>
        </w:rPr>
        <w:t xml:space="preserve"> undertaken when the method was initially introduced in 2023 and when it was further refined in 2025.</w:t>
      </w:r>
    </w:p>
    <w:p w14:paraId="02F9FA7D" w14:textId="77777777" w:rsidR="005E46AB" w:rsidRPr="007F4ECB" w:rsidRDefault="005E46AB" w:rsidP="3BEABD71">
      <w:pPr>
        <w:tabs>
          <w:tab w:val="left" w:pos="1701"/>
          <w:tab w:val="right" w:pos="9072"/>
        </w:tabs>
        <w:spacing w:after="0" w:line="240" w:lineRule="auto"/>
        <w:rPr>
          <w:rFonts w:ascii="Times New Roman" w:hAnsi="Times New Roman" w:cs="Times New Roman"/>
          <w:sz w:val="24"/>
          <w:szCs w:val="24"/>
        </w:rPr>
      </w:pPr>
    </w:p>
    <w:p w14:paraId="62C6ED32" w14:textId="6C90A1A1" w:rsidR="4313F74A" w:rsidRDefault="001A42D4" w:rsidP="3BEABD71">
      <w:pPr>
        <w:tabs>
          <w:tab w:val="left" w:pos="1701"/>
          <w:tab w:val="right" w:pos="9072"/>
        </w:tabs>
        <w:spacing w:after="0" w:line="240" w:lineRule="auto"/>
        <w:rPr>
          <w:rFonts w:ascii="Times New Roman" w:hAnsi="Times New Roman" w:cs="Times New Roman"/>
          <w:sz w:val="24"/>
          <w:szCs w:val="24"/>
        </w:rPr>
      </w:pPr>
      <w:r w:rsidRPr="77081A7D">
        <w:rPr>
          <w:rFonts w:ascii="Times New Roman" w:hAnsi="Times New Roman" w:cs="Times New Roman"/>
          <w:sz w:val="24"/>
          <w:szCs w:val="24"/>
        </w:rPr>
        <w:t>C</w:t>
      </w:r>
      <w:r w:rsidR="4313F74A" w:rsidRPr="77081A7D">
        <w:rPr>
          <w:rFonts w:ascii="Times New Roman" w:hAnsi="Times New Roman" w:cs="Times New Roman"/>
          <w:sz w:val="24"/>
          <w:szCs w:val="24"/>
        </w:rPr>
        <w:t>onsultation on th</w:t>
      </w:r>
      <w:r w:rsidR="00400862" w:rsidRPr="77081A7D">
        <w:rPr>
          <w:rFonts w:ascii="Times New Roman" w:hAnsi="Times New Roman" w:cs="Times New Roman"/>
          <w:sz w:val="24"/>
          <w:szCs w:val="24"/>
        </w:rPr>
        <w:t xml:space="preserve">e proposal to include REGO certificates in the voluntary market-based method for determining scope 2 emissions </w:t>
      </w:r>
      <w:r w:rsidR="00E462A8" w:rsidRPr="77081A7D">
        <w:rPr>
          <w:rFonts w:ascii="Times New Roman" w:hAnsi="Times New Roman" w:cs="Times New Roman"/>
          <w:sz w:val="24"/>
          <w:szCs w:val="24"/>
        </w:rPr>
        <w:t xml:space="preserve">was </w:t>
      </w:r>
      <w:r w:rsidR="4313F74A" w:rsidRPr="77081A7D">
        <w:rPr>
          <w:rFonts w:ascii="Times New Roman" w:hAnsi="Times New Roman" w:cs="Times New Roman"/>
          <w:sz w:val="24"/>
          <w:szCs w:val="24"/>
        </w:rPr>
        <w:t>undertaken</w:t>
      </w:r>
      <w:r w:rsidRPr="77081A7D">
        <w:rPr>
          <w:rFonts w:ascii="Times New Roman" w:hAnsi="Times New Roman" w:cs="Times New Roman"/>
          <w:sz w:val="24"/>
          <w:szCs w:val="24"/>
        </w:rPr>
        <w:t xml:space="preserve"> </w:t>
      </w:r>
      <w:r w:rsidR="00BF1E21" w:rsidRPr="77081A7D">
        <w:rPr>
          <w:rFonts w:ascii="Times New Roman" w:hAnsi="Times New Roman" w:cs="Times New Roman"/>
          <w:sz w:val="24"/>
          <w:szCs w:val="24"/>
        </w:rPr>
        <w:t>between</w:t>
      </w:r>
      <w:r w:rsidRPr="77081A7D">
        <w:rPr>
          <w:rFonts w:ascii="Times New Roman" w:hAnsi="Times New Roman" w:cs="Times New Roman"/>
          <w:sz w:val="24"/>
          <w:szCs w:val="24"/>
        </w:rPr>
        <w:t xml:space="preserve"> February</w:t>
      </w:r>
      <w:r w:rsidR="4313F74A" w:rsidRPr="77081A7D">
        <w:rPr>
          <w:rFonts w:ascii="Times New Roman" w:hAnsi="Times New Roman" w:cs="Times New Roman"/>
          <w:sz w:val="24"/>
          <w:szCs w:val="24"/>
        </w:rPr>
        <w:t xml:space="preserve"> </w:t>
      </w:r>
      <w:r w:rsidR="00BF1E21" w:rsidRPr="77081A7D">
        <w:rPr>
          <w:rFonts w:ascii="Times New Roman" w:hAnsi="Times New Roman" w:cs="Times New Roman"/>
          <w:sz w:val="24"/>
          <w:szCs w:val="24"/>
        </w:rPr>
        <w:t>and A</w:t>
      </w:r>
      <w:r w:rsidR="002B2276" w:rsidRPr="77081A7D">
        <w:rPr>
          <w:rFonts w:ascii="Times New Roman" w:hAnsi="Times New Roman" w:cs="Times New Roman"/>
          <w:sz w:val="24"/>
          <w:szCs w:val="24"/>
        </w:rPr>
        <w:t>p</w:t>
      </w:r>
      <w:r w:rsidR="00BF1E21" w:rsidRPr="77081A7D">
        <w:rPr>
          <w:rFonts w:ascii="Times New Roman" w:hAnsi="Times New Roman" w:cs="Times New Roman"/>
          <w:sz w:val="24"/>
          <w:szCs w:val="24"/>
        </w:rPr>
        <w:t xml:space="preserve">ril 2025 as part of the </w:t>
      </w:r>
      <w:r w:rsidR="00200576" w:rsidRPr="77081A7D">
        <w:rPr>
          <w:rFonts w:ascii="Times New Roman" w:hAnsi="Times New Roman" w:cs="Times New Roman"/>
          <w:sz w:val="24"/>
          <w:szCs w:val="24"/>
        </w:rPr>
        <w:t xml:space="preserve">NGER </w:t>
      </w:r>
      <w:r w:rsidR="00BF1E21" w:rsidRPr="77081A7D">
        <w:rPr>
          <w:rFonts w:ascii="Times New Roman" w:hAnsi="Times New Roman" w:cs="Times New Roman"/>
          <w:sz w:val="24"/>
          <w:szCs w:val="24"/>
        </w:rPr>
        <w:t>forward work program</w:t>
      </w:r>
      <w:r w:rsidR="00200576" w:rsidRPr="77081A7D">
        <w:rPr>
          <w:rFonts w:ascii="Times New Roman" w:hAnsi="Times New Roman" w:cs="Times New Roman"/>
          <w:sz w:val="24"/>
          <w:szCs w:val="24"/>
        </w:rPr>
        <w:t xml:space="preserve"> proposals.</w:t>
      </w:r>
      <w:r w:rsidR="4313F74A" w:rsidRPr="77081A7D">
        <w:rPr>
          <w:rFonts w:ascii="Times New Roman" w:hAnsi="Times New Roman" w:cs="Times New Roman"/>
          <w:sz w:val="24"/>
          <w:szCs w:val="24"/>
        </w:rPr>
        <w:t xml:space="preserve"> </w:t>
      </w:r>
    </w:p>
    <w:p w14:paraId="323066D0" w14:textId="77777777" w:rsidR="00D70289" w:rsidRDefault="00D70289" w:rsidP="3BEABD71">
      <w:pPr>
        <w:tabs>
          <w:tab w:val="left" w:pos="1701"/>
          <w:tab w:val="right" w:pos="9072"/>
        </w:tabs>
        <w:spacing w:after="0" w:line="240" w:lineRule="auto"/>
        <w:rPr>
          <w:rFonts w:ascii="Times New Roman" w:hAnsi="Times New Roman" w:cs="Times New Roman"/>
          <w:sz w:val="24"/>
          <w:szCs w:val="24"/>
        </w:rPr>
      </w:pPr>
    </w:p>
    <w:p w14:paraId="5EDA122C" w14:textId="6B3FABE7" w:rsidR="3BBEA564" w:rsidRDefault="00D70289" w:rsidP="77081A7D">
      <w:pPr>
        <w:tabs>
          <w:tab w:val="right" w:pos="9072"/>
        </w:tabs>
        <w:spacing w:after="0" w:line="240" w:lineRule="auto"/>
        <w:rPr>
          <w:rFonts w:ascii="Times New Roman" w:hAnsi="Times New Roman" w:cs="Times New Roman"/>
          <w:sz w:val="24"/>
          <w:szCs w:val="24"/>
        </w:rPr>
      </w:pPr>
      <w:r w:rsidRPr="77081A7D">
        <w:rPr>
          <w:rFonts w:ascii="Times New Roman" w:hAnsi="Times New Roman" w:cs="Times New Roman"/>
          <w:sz w:val="24"/>
          <w:szCs w:val="24"/>
        </w:rPr>
        <w:t>The method itself has not been changed, except to allow for it to cover retired REGO certificates. The treatment of other certificates such as Greenpower and LGCs remains largely unchanged.</w:t>
      </w:r>
    </w:p>
    <w:p w14:paraId="3F2428B8" w14:textId="0D17B858" w:rsidR="007673BD" w:rsidRDefault="007673BD" w:rsidP="77081A7D">
      <w:pPr>
        <w:tabs>
          <w:tab w:val="right" w:pos="9072"/>
        </w:tabs>
        <w:spacing w:after="0" w:line="240" w:lineRule="auto"/>
        <w:rPr>
          <w:rFonts w:ascii="Times New Roman" w:hAnsi="Times New Roman" w:cs="Times New Roman"/>
          <w:sz w:val="24"/>
          <w:szCs w:val="24"/>
        </w:rPr>
      </w:pPr>
    </w:p>
    <w:p w14:paraId="100ECA7D" w14:textId="27B89449" w:rsidR="00E66524" w:rsidRDefault="00D71150" w:rsidP="00E66524">
      <w:pPr>
        <w:tabs>
          <w:tab w:val="right" w:pos="9072"/>
        </w:tabs>
        <w:spacing w:after="0" w:line="240" w:lineRule="auto"/>
        <w:rPr>
          <w:rFonts w:ascii="Times New Roman" w:hAnsi="Times New Roman" w:cs="Times New Roman"/>
          <w:sz w:val="24"/>
          <w:szCs w:val="24"/>
        </w:rPr>
      </w:pPr>
      <w:r w:rsidRPr="77081A7D">
        <w:rPr>
          <w:rFonts w:ascii="Times New Roman" w:hAnsi="Times New Roman" w:cs="Times New Roman"/>
          <w:sz w:val="24"/>
          <w:szCs w:val="24"/>
        </w:rPr>
        <w:t xml:space="preserve">The </w:t>
      </w:r>
      <w:r w:rsidR="0054236A" w:rsidRPr="77081A7D">
        <w:rPr>
          <w:rFonts w:ascii="Times New Roman" w:hAnsi="Times New Roman" w:cs="Times New Roman"/>
          <w:sz w:val="24"/>
          <w:szCs w:val="24"/>
        </w:rPr>
        <w:t>D</w:t>
      </w:r>
      <w:r w:rsidRPr="77081A7D">
        <w:rPr>
          <w:rFonts w:ascii="Times New Roman" w:hAnsi="Times New Roman" w:cs="Times New Roman"/>
          <w:sz w:val="24"/>
          <w:szCs w:val="24"/>
        </w:rPr>
        <w:t xml:space="preserve">epartment </w:t>
      </w:r>
      <w:r w:rsidR="0054236A" w:rsidRPr="77081A7D">
        <w:rPr>
          <w:rFonts w:ascii="Times New Roman" w:hAnsi="Times New Roman" w:cs="Times New Roman"/>
          <w:sz w:val="24"/>
          <w:szCs w:val="24"/>
        </w:rPr>
        <w:t>of Climate Change, Energy, the Environment and Water</w:t>
      </w:r>
      <w:r w:rsidRPr="77081A7D">
        <w:rPr>
          <w:rFonts w:ascii="Times New Roman" w:hAnsi="Times New Roman" w:cs="Times New Roman"/>
          <w:sz w:val="24"/>
          <w:szCs w:val="24"/>
        </w:rPr>
        <w:t xml:space="preserve"> </w:t>
      </w:r>
      <w:r w:rsidR="00611550" w:rsidRPr="77081A7D">
        <w:rPr>
          <w:rFonts w:ascii="Times New Roman" w:hAnsi="Times New Roman" w:cs="Times New Roman"/>
          <w:sz w:val="24"/>
          <w:szCs w:val="24"/>
        </w:rPr>
        <w:t>consulted on</w:t>
      </w:r>
      <w:r w:rsidRPr="77081A7D">
        <w:rPr>
          <w:rFonts w:ascii="Times New Roman" w:hAnsi="Times New Roman" w:cs="Times New Roman"/>
          <w:sz w:val="24"/>
          <w:szCs w:val="24"/>
        </w:rPr>
        <w:t xml:space="preserve"> the proposed changes to the NGER scheme</w:t>
      </w:r>
      <w:r w:rsidR="00BA0797" w:rsidRPr="77081A7D">
        <w:rPr>
          <w:rFonts w:ascii="Times New Roman" w:hAnsi="Times New Roman" w:cs="Times New Roman"/>
          <w:sz w:val="24"/>
          <w:szCs w:val="24"/>
        </w:rPr>
        <w:t xml:space="preserve"> between February and April 2025 as part </w:t>
      </w:r>
      <w:r w:rsidR="00600504" w:rsidRPr="77081A7D">
        <w:rPr>
          <w:rFonts w:ascii="Times New Roman" w:hAnsi="Times New Roman" w:cs="Times New Roman"/>
          <w:sz w:val="24"/>
          <w:szCs w:val="24"/>
        </w:rPr>
        <w:t>of</w:t>
      </w:r>
      <w:r w:rsidR="00C6020F" w:rsidRPr="77081A7D">
        <w:rPr>
          <w:rFonts w:ascii="Times New Roman" w:hAnsi="Times New Roman" w:cs="Times New Roman"/>
          <w:sz w:val="24"/>
          <w:szCs w:val="24"/>
        </w:rPr>
        <w:t xml:space="preserve"> the NGER forward work program proposal</w:t>
      </w:r>
      <w:r w:rsidR="00151D2F" w:rsidRPr="77081A7D">
        <w:rPr>
          <w:rFonts w:ascii="Times New Roman" w:hAnsi="Times New Roman" w:cs="Times New Roman"/>
          <w:sz w:val="24"/>
          <w:szCs w:val="24"/>
        </w:rPr>
        <w:t>.</w:t>
      </w:r>
      <w:r w:rsidR="00C6020F" w:rsidRPr="77081A7D">
        <w:rPr>
          <w:rFonts w:ascii="Times New Roman" w:hAnsi="Times New Roman" w:cs="Times New Roman"/>
          <w:sz w:val="24"/>
          <w:szCs w:val="24"/>
        </w:rPr>
        <w:t xml:space="preserve"> </w:t>
      </w:r>
      <w:r w:rsidR="008F1DD0" w:rsidRPr="77081A7D">
        <w:rPr>
          <w:rFonts w:ascii="Times New Roman" w:hAnsi="Times New Roman" w:cs="Times New Roman"/>
          <w:sz w:val="24"/>
          <w:szCs w:val="24"/>
        </w:rPr>
        <w:t xml:space="preserve">During the initial consultation, </w:t>
      </w:r>
      <w:r w:rsidR="00E66524" w:rsidRPr="77081A7D">
        <w:rPr>
          <w:rFonts w:ascii="Times New Roman" w:hAnsi="Times New Roman" w:cs="Times New Roman"/>
          <w:sz w:val="24"/>
          <w:szCs w:val="24"/>
        </w:rPr>
        <w:t>13</w:t>
      </w:r>
      <w:r w:rsidR="00DC1DC6" w:rsidRPr="77081A7D">
        <w:rPr>
          <w:rFonts w:ascii="Times New Roman" w:hAnsi="Times New Roman" w:cs="Times New Roman"/>
          <w:sz w:val="24"/>
          <w:szCs w:val="24"/>
        </w:rPr>
        <w:t xml:space="preserve"> submissions were received </w:t>
      </w:r>
      <w:r w:rsidR="00E66524" w:rsidRPr="77081A7D">
        <w:rPr>
          <w:rFonts w:ascii="Times New Roman" w:hAnsi="Times New Roman" w:cs="Times New Roman"/>
          <w:sz w:val="24"/>
          <w:szCs w:val="24"/>
        </w:rPr>
        <w:t>in relation to the NGER proposal, all supportive of the inclusion of REGO certificates to the NGER scheme.</w:t>
      </w:r>
    </w:p>
    <w:p w14:paraId="4793ECB1" w14:textId="77777777" w:rsidR="006365FC" w:rsidRDefault="006365FC" w:rsidP="3BEABD71">
      <w:pPr>
        <w:tabs>
          <w:tab w:val="right" w:pos="9072"/>
        </w:tabs>
        <w:spacing w:after="0" w:line="240" w:lineRule="auto"/>
        <w:rPr>
          <w:rFonts w:ascii="Times New Roman" w:hAnsi="Times New Roman" w:cs="Times New Roman"/>
          <w:sz w:val="24"/>
          <w:szCs w:val="24"/>
        </w:rPr>
      </w:pPr>
    </w:p>
    <w:p w14:paraId="4CEA5E12" w14:textId="48A4AB13" w:rsidR="002573BE" w:rsidRDefault="0C698971" w:rsidP="3BEABD71">
      <w:pPr>
        <w:tabs>
          <w:tab w:val="right" w:pos="9072"/>
        </w:tabs>
        <w:spacing w:after="0" w:line="240" w:lineRule="auto"/>
        <w:rPr>
          <w:rFonts w:ascii="Times New Roman" w:hAnsi="Times New Roman" w:cs="Times New Roman"/>
          <w:sz w:val="24"/>
          <w:szCs w:val="24"/>
        </w:rPr>
      </w:pPr>
      <w:r w:rsidRPr="6E87E004">
        <w:rPr>
          <w:rFonts w:ascii="Times New Roman" w:hAnsi="Times New Roman" w:cs="Times New Roman"/>
          <w:sz w:val="24"/>
          <w:szCs w:val="24"/>
        </w:rPr>
        <w:t>Further c</w:t>
      </w:r>
      <w:r w:rsidR="322D81B9" w:rsidRPr="6E87E004">
        <w:rPr>
          <w:rFonts w:ascii="Times New Roman" w:hAnsi="Times New Roman" w:cs="Times New Roman"/>
          <w:sz w:val="24"/>
          <w:szCs w:val="24"/>
        </w:rPr>
        <w:t xml:space="preserve">onsultation on </w:t>
      </w:r>
      <w:r w:rsidR="44BB86B0" w:rsidRPr="6E87E004">
        <w:rPr>
          <w:rFonts w:ascii="Times New Roman" w:hAnsi="Times New Roman" w:cs="Times New Roman"/>
          <w:sz w:val="24"/>
          <w:szCs w:val="24"/>
        </w:rPr>
        <w:t>the p</w:t>
      </w:r>
      <w:r w:rsidR="1C4F2CE0" w:rsidRPr="6E87E004">
        <w:rPr>
          <w:rFonts w:ascii="Times New Roman" w:hAnsi="Times New Roman" w:cs="Times New Roman"/>
          <w:sz w:val="24"/>
          <w:szCs w:val="24"/>
        </w:rPr>
        <w:t xml:space="preserve">roposal to </w:t>
      </w:r>
      <w:r w:rsidR="514F1914" w:rsidRPr="6E87E004">
        <w:rPr>
          <w:rFonts w:ascii="Times New Roman" w:hAnsi="Times New Roman" w:cs="Times New Roman"/>
          <w:sz w:val="24"/>
          <w:szCs w:val="24"/>
        </w:rPr>
        <w:t>recognise</w:t>
      </w:r>
      <w:r w:rsidR="1C4F2CE0" w:rsidRPr="6E87E004">
        <w:rPr>
          <w:rFonts w:ascii="Times New Roman" w:hAnsi="Times New Roman" w:cs="Times New Roman"/>
          <w:sz w:val="24"/>
          <w:szCs w:val="24"/>
        </w:rPr>
        <w:t xml:space="preserve"> REGO certificates </w:t>
      </w:r>
      <w:r w:rsidR="514F1914" w:rsidRPr="6E87E004">
        <w:rPr>
          <w:rFonts w:ascii="Times New Roman" w:hAnsi="Times New Roman" w:cs="Times New Roman"/>
          <w:sz w:val="24"/>
          <w:szCs w:val="24"/>
        </w:rPr>
        <w:t>in the voluntary market-based method for determining scope 2 emissions</w:t>
      </w:r>
      <w:r w:rsidR="3A263774" w:rsidRPr="6E87E004">
        <w:rPr>
          <w:rFonts w:ascii="Times New Roman" w:hAnsi="Times New Roman" w:cs="Times New Roman"/>
          <w:sz w:val="24"/>
          <w:szCs w:val="24"/>
        </w:rPr>
        <w:t xml:space="preserve"> </w:t>
      </w:r>
      <w:r w:rsidR="02FEBB5E" w:rsidRPr="6E87E004">
        <w:rPr>
          <w:rFonts w:ascii="Times New Roman" w:hAnsi="Times New Roman" w:cs="Times New Roman"/>
          <w:sz w:val="24"/>
          <w:szCs w:val="24"/>
        </w:rPr>
        <w:t>was</w:t>
      </w:r>
      <w:r w:rsidR="322D81B9" w:rsidRPr="6E87E004">
        <w:rPr>
          <w:rFonts w:ascii="Times New Roman" w:hAnsi="Times New Roman" w:cs="Times New Roman"/>
          <w:sz w:val="24"/>
          <w:szCs w:val="24"/>
        </w:rPr>
        <w:t xml:space="preserve"> </w:t>
      </w:r>
      <w:r w:rsidR="31198C88" w:rsidRPr="6E87E004">
        <w:rPr>
          <w:rFonts w:ascii="Times New Roman" w:hAnsi="Times New Roman" w:cs="Times New Roman"/>
          <w:sz w:val="24"/>
          <w:szCs w:val="24"/>
        </w:rPr>
        <w:t xml:space="preserve">carried out as </w:t>
      </w:r>
      <w:r w:rsidR="322D81B9" w:rsidRPr="6E87E004">
        <w:rPr>
          <w:rFonts w:ascii="Times New Roman" w:hAnsi="Times New Roman" w:cs="Times New Roman"/>
          <w:sz w:val="24"/>
          <w:szCs w:val="24"/>
        </w:rPr>
        <w:t xml:space="preserve">part of </w:t>
      </w:r>
      <w:r w:rsidR="02FEBB5E" w:rsidRPr="6E87E004">
        <w:rPr>
          <w:rFonts w:ascii="Times New Roman" w:hAnsi="Times New Roman" w:cs="Times New Roman"/>
          <w:sz w:val="24"/>
          <w:szCs w:val="24"/>
        </w:rPr>
        <w:t>the</w:t>
      </w:r>
      <w:r w:rsidR="322D81B9" w:rsidRPr="6E87E004">
        <w:rPr>
          <w:rFonts w:ascii="Times New Roman" w:hAnsi="Times New Roman" w:cs="Times New Roman"/>
          <w:sz w:val="24"/>
          <w:szCs w:val="24"/>
        </w:rPr>
        <w:t xml:space="preserve"> consultation on the Future Made in Australia Guarantee of Origin Scheme Rules 2025 </w:t>
      </w:r>
      <w:r w:rsidR="10D8BE15" w:rsidRPr="6E87E004">
        <w:rPr>
          <w:rFonts w:ascii="Times New Roman" w:hAnsi="Times New Roman" w:cs="Times New Roman"/>
          <w:sz w:val="24"/>
          <w:szCs w:val="24"/>
        </w:rPr>
        <w:t>that took place</w:t>
      </w:r>
      <w:r w:rsidR="322D81B9" w:rsidRPr="6E87E004">
        <w:rPr>
          <w:rFonts w:ascii="Times New Roman" w:hAnsi="Times New Roman" w:cs="Times New Roman"/>
          <w:sz w:val="24"/>
          <w:szCs w:val="24"/>
        </w:rPr>
        <w:t xml:space="preserve"> in September 2025</w:t>
      </w:r>
      <w:r w:rsidR="02FEBB5E" w:rsidRPr="6E87E004">
        <w:rPr>
          <w:rFonts w:ascii="Times New Roman" w:hAnsi="Times New Roman" w:cs="Times New Roman"/>
          <w:sz w:val="24"/>
          <w:szCs w:val="24"/>
        </w:rPr>
        <w:t xml:space="preserve">. </w:t>
      </w:r>
      <w:r w:rsidR="2956BD16" w:rsidRPr="6E87E004">
        <w:rPr>
          <w:rFonts w:ascii="Times New Roman" w:hAnsi="Times New Roman" w:cs="Times New Roman"/>
          <w:sz w:val="24"/>
          <w:szCs w:val="24"/>
        </w:rPr>
        <w:t>Three submissions were received</w:t>
      </w:r>
      <w:r w:rsidR="02FEBB5E" w:rsidRPr="6E87E004">
        <w:rPr>
          <w:rFonts w:ascii="Times New Roman" w:hAnsi="Times New Roman" w:cs="Times New Roman"/>
          <w:sz w:val="24"/>
          <w:szCs w:val="24"/>
        </w:rPr>
        <w:t xml:space="preserve"> in relation to the NGER proposal</w:t>
      </w:r>
      <w:r w:rsidR="02EA83F1" w:rsidRPr="6E87E004">
        <w:rPr>
          <w:rFonts w:ascii="Times New Roman" w:hAnsi="Times New Roman" w:cs="Times New Roman"/>
          <w:sz w:val="24"/>
          <w:szCs w:val="24"/>
        </w:rPr>
        <w:t>.</w:t>
      </w:r>
      <w:r w:rsidR="2956BD16" w:rsidRPr="6E87E004">
        <w:rPr>
          <w:rFonts w:ascii="Times New Roman" w:hAnsi="Times New Roman" w:cs="Times New Roman"/>
          <w:sz w:val="24"/>
          <w:szCs w:val="24"/>
        </w:rPr>
        <w:t xml:space="preserve"> </w:t>
      </w:r>
      <w:r w:rsidR="2FC7E862" w:rsidRPr="6E87E004">
        <w:rPr>
          <w:rFonts w:ascii="Times New Roman" w:hAnsi="Times New Roman" w:cs="Times New Roman"/>
          <w:sz w:val="24"/>
          <w:szCs w:val="24"/>
        </w:rPr>
        <w:t>A</w:t>
      </w:r>
      <w:r w:rsidR="2956BD16" w:rsidRPr="6E87E004">
        <w:rPr>
          <w:rFonts w:ascii="Times New Roman" w:hAnsi="Times New Roman" w:cs="Times New Roman"/>
          <w:sz w:val="24"/>
          <w:szCs w:val="24"/>
        </w:rPr>
        <w:t>ll</w:t>
      </w:r>
      <w:r w:rsidR="37975AC2" w:rsidRPr="6E87E004">
        <w:rPr>
          <w:rFonts w:ascii="Times New Roman" w:hAnsi="Times New Roman" w:cs="Times New Roman"/>
          <w:sz w:val="24"/>
          <w:szCs w:val="24"/>
        </w:rPr>
        <w:t xml:space="preserve"> were</w:t>
      </w:r>
      <w:r w:rsidR="2956BD16" w:rsidRPr="6E87E004">
        <w:rPr>
          <w:rFonts w:ascii="Times New Roman" w:hAnsi="Times New Roman" w:cs="Times New Roman"/>
          <w:sz w:val="24"/>
          <w:szCs w:val="24"/>
        </w:rPr>
        <w:t xml:space="preserve"> supportive of the </w:t>
      </w:r>
      <w:r w:rsidR="18946D41" w:rsidRPr="6E87E004">
        <w:rPr>
          <w:rFonts w:ascii="Times New Roman" w:hAnsi="Times New Roman" w:cs="Times New Roman"/>
          <w:sz w:val="24"/>
          <w:szCs w:val="24"/>
        </w:rPr>
        <w:t>inclusion of REGO certificates to the NGER scheme.</w:t>
      </w:r>
    </w:p>
    <w:p w14:paraId="720B1867" w14:textId="77777777" w:rsidR="00CE0119" w:rsidRPr="007F4ECB" w:rsidRDefault="00CE0119" w:rsidP="3BEABD71">
      <w:pPr>
        <w:tabs>
          <w:tab w:val="right" w:pos="9072"/>
        </w:tabs>
        <w:spacing w:after="0" w:line="240" w:lineRule="auto"/>
        <w:rPr>
          <w:rFonts w:ascii="Times New Roman" w:hAnsi="Times New Roman" w:cs="Times New Roman"/>
          <w:sz w:val="24"/>
          <w:szCs w:val="24"/>
        </w:rPr>
      </w:pPr>
    </w:p>
    <w:p w14:paraId="5627C017" w14:textId="77777777" w:rsidR="002573BE" w:rsidRPr="007F4ECB" w:rsidRDefault="002573BE" w:rsidP="3BEABD71">
      <w:pPr>
        <w:tabs>
          <w:tab w:val="left" w:pos="1701"/>
          <w:tab w:val="right" w:pos="9072"/>
        </w:tabs>
        <w:spacing w:after="0" w:line="240" w:lineRule="auto"/>
        <w:rPr>
          <w:rFonts w:ascii="Times New Roman" w:hAnsi="Times New Roman" w:cs="Times New Roman"/>
          <w:b/>
          <w:bCs/>
          <w:sz w:val="24"/>
          <w:szCs w:val="24"/>
        </w:rPr>
      </w:pPr>
      <w:r w:rsidRPr="3BEABD71">
        <w:rPr>
          <w:rFonts w:ascii="Times New Roman" w:hAnsi="Times New Roman" w:cs="Times New Roman"/>
          <w:b/>
          <w:bCs/>
          <w:sz w:val="24"/>
          <w:szCs w:val="24"/>
        </w:rPr>
        <w:t>Details/ Operation</w:t>
      </w:r>
    </w:p>
    <w:p w14:paraId="4E010D3E" w14:textId="04F50E8D" w:rsidR="002573BE" w:rsidRPr="007F4ECB" w:rsidRDefault="002573BE" w:rsidP="3BEABD71">
      <w:pPr>
        <w:tabs>
          <w:tab w:val="left" w:pos="1701"/>
          <w:tab w:val="right" w:pos="9072"/>
        </w:tabs>
        <w:spacing w:after="0" w:line="240" w:lineRule="auto"/>
        <w:rPr>
          <w:rFonts w:ascii="Times New Roman" w:hAnsi="Times New Roman" w:cs="Times New Roman"/>
          <w:sz w:val="24"/>
          <w:szCs w:val="24"/>
        </w:rPr>
      </w:pPr>
    </w:p>
    <w:p w14:paraId="30DB4FC5" w14:textId="2329D1B1" w:rsidR="00DB181F" w:rsidRDefault="54045971" w:rsidP="3BEABD71">
      <w:pPr>
        <w:tabs>
          <w:tab w:val="left" w:pos="1701"/>
          <w:tab w:val="right" w:pos="9072"/>
        </w:tabs>
        <w:spacing w:after="0" w:line="240" w:lineRule="auto"/>
        <w:rPr>
          <w:rFonts w:ascii="Times New Roman" w:hAnsi="Times New Roman" w:cs="Times New Roman"/>
          <w:sz w:val="24"/>
          <w:szCs w:val="24"/>
        </w:rPr>
      </w:pPr>
      <w:r w:rsidRPr="3BEABD71">
        <w:rPr>
          <w:rFonts w:ascii="Times New Roman" w:hAnsi="Times New Roman" w:cs="Times New Roman"/>
          <w:sz w:val="24"/>
          <w:szCs w:val="24"/>
        </w:rPr>
        <w:t>The</w:t>
      </w:r>
      <w:r w:rsidR="1B7D6F44" w:rsidRPr="3BEABD71">
        <w:rPr>
          <w:rFonts w:ascii="Times New Roman" w:hAnsi="Times New Roman" w:cs="Times New Roman"/>
          <w:sz w:val="24"/>
          <w:szCs w:val="24"/>
        </w:rPr>
        <w:t xml:space="preserve"> </w:t>
      </w:r>
      <w:r w:rsidR="1B7D6F44" w:rsidRPr="3BEABD71">
        <w:rPr>
          <w:rFonts w:ascii="Times New Roman" w:eastAsia="Times New Roman" w:hAnsi="Times New Roman" w:cs="Times New Roman"/>
          <w:sz w:val="24"/>
          <w:szCs w:val="24"/>
        </w:rPr>
        <w:t>Amendment Determination</w:t>
      </w:r>
      <w:r w:rsidR="1B7D6F44" w:rsidRPr="3BEABD71">
        <w:rPr>
          <w:rFonts w:ascii="Times New Roman" w:hAnsi="Times New Roman" w:cs="Times New Roman"/>
          <w:sz w:val="24"/>
          <w:szCs w:val="24"/>
        </w:rPr>
        <w:t xml:space="preserve"> </w:t>
      </w:r>
      <w:r w:rsidRPr="3BEABD71">
        <w:rPr>
          <w:rFonts w:ascii="Times New Roman" w:hAnsi="Times New Roman" w:cs="Times New Roman"/>
          <w:sz w:val="24"/>
          <w:szCs w:val="24"/>
        </w:rPr>
        <w:t xml:space="preserve">is a legislative instrument for the purposes of the </w:t>
      </w:r>
      <w:r w:rsidRPr="3BEABD71">
        <w:rPr>
          <w:rFonts w:ascii="Times New Roman" w:hAnsi="Times New Roman" w:cs="Times New Roman"/>
          <w:i/>
          <w:iCs/>
          <w:sz w:val="24"/>
          <w:szCs w:val="24"/>
        </w:rPr>
        <w:t>Legislation Act 2003</w:t>
      </w:r>
      <w:r w:rsidRPr="3BEABD71">
        <w:rPr>
          <w:rFonts w:ascii="Times New Roman" w:hAnsi="Times New Roman" w:cs="Times New Roman"/>
          <w:sz w:val="24"/>
          <w:szCs w:val="24"/>
        </w:rPr>
        <w:t>.</w:t>
      </w:r>
    </w:p>
    <w:p w14:paraId="7A891C25" w14:textId="1980B3C4" w:rsidR="00DB181F" w:rsidRDefault="00DB181F" w:rsidP="3BEABD71">
      <w:pPr>
        <w:tabs>
          <w:tab w:val="left" w:pos="1701"/>
          <w:tab w:val="right" w:pos="9072"/>
        </w:tabs>
        <w:spacing w:after="0" w:line="240" w:lineRule="auto"/>
        <w:rPr>
          <w:rFonts w:ascii="Times New Roman" w:hAnsi="Times New Roman" w:cs="Times New Roman"/>
          <w:sz w:val="24"/>
          <w:szCs w:val="24"/>
        </w:rPr>
      </w:pPr>
    </w:p>
    <w:p w14:paraId="5F0AD9E7" w14:textId="3FE5DC24" w:rsidR="00DB181F" w:rsidRDefault="54045971" w:rsidP="3BEABD71">
      <w:pPr>
        <w:tabs>
          <w:tab w:val="left" w:pos="1701"/>
          <w:tab w:val="right" w:pos="9072"/>
        </w:tabs>
        <w:spacing w:after="0" w:line="240" w:lineRule="auto"/>
        <w:rPr>
          <w:rFonts w:ascii="Times New Roman" w:hAnsi="Times New Roman" w:cs="Times New Roman"/>
          <w:sz w:val="24"/>
          <w:szCs w:val="24"/>
        </w:rPr>
      </w:pPr>
      <w:r w:rsidRPr="3BEABD71">
        <w:rPr>
          <w:rFonts w:ascii="Times New Roman" w:hAnsi="Times New Roman" w:cs="Times New Roman"/>
          <w:sz w:val="24"/>
          <w:szCs w:val="24"/>
        </w:rPr>
        <w:t xml:space="preserve">Details of the </w:t>
      </w:r>
      <w:r w:rsidR="55E88162" w:rsidRPr="3BEABD71">
        <w:rPr>
          <w:rFonts w:ascii="Times New Roman" w:eastAsia="Times New Roman" w:hAnsi="Times New Roman" w:cs="Times New Roman"/>
          <w:sz w:val="24"/>
          <w:szCs w:val="24"/>
        </w:rPr>
        <w:t>Amendment Determination</w:t>
      </w:r>
      <w:r w:rsidR="55E88162" w:rsidRPr="3BEABD71">
        <w:rPr>
          <w:rFonts w:ascii="Times New Roman" w:hAnsi="Times New Roman" w:cs="Times New Roman"/>
          <w:sz w:val="24"/>
          <w:szCs w:val="24"/>
        </w:rPr>
        <w:t xml:space="preserve"> </w:t>
      </w:r>
      <w:r w:rsidRPr="3BEABD71">
        <w:rPr>
          <w:rFonts w:ascii="Times New Roman" w:hAnsi="Times New Roman" w:cs="Times New Roman"/>
          <w:sz w:val="24"/>
          <w:szCs w:val="24"/>
        </w:rPr>
        <w:t>are set out in Attachment A.</w:t>
      </w:r>
    </w:p>
    <w:p w14:paraId="417A50B1" w14:textId="1F25EB9C" w:rsidR="00DB181F" w:rsidRDefault="00DB181F" w:rsidP="3BEABD71">
      <w:pPr>
        <w:tabs>
          <w:tab w:val="left" w:pos="1701"/>
          <w:tab w:val="right" w:pos="9072"/>
        </w:tabs>
        <w:spacing w:after="0" w:line="240" w:lineRule="auto"/>
        <w:rPr>
          <w:rFonts w:ascii="Times New Roman" w:hAnsi="Times New Roman" w:cs="Times New Roman"/>
          <w:sz w:val="24"/>
          <w:szCs w:val="24"/>
        </w:rPr>
      </w:pPr>
    </w:p>
    <w:p w14:paraId="3445A87B" w14:textId="3D7A81A4" w:rsidR="54045971" w:rsidRDefault="54045971" w:rsidP="3BEABD71">
      <w:pPr>
        <w:tabs>
          <w:tab w:val="left" w:pos="1701"/>
          <w:tab w:val="right" w:pos="9072"/>
        </w:tabs>
        <w:spacing w:after="0" w:line="240" w:lineRule="auto"/>
        <w:rPr>
          <w:rFonts w:ascii="Times New Roman" w:hAnsi="Times New Roman" w:cs="Times New Roman"/>
          <w:sz w:val="24"/>
          <w:szCs w:val="24"/>
        </w:rPr>
      </w:pPr>
      <w:r w:rsidRPr="3BEABD71">
        <w:rPr>
          <w:rFonts w:ascii="Times New Roman" w:hAnsi="Times New Roman" w:cs="Times New Roman"/>
          <w:sz w:val="24"/>
          <w:szCs w:val="24"/>
        </w:rPr>
        <w:t xml:space="preserve">The </w:t>
      </w:r>
      <w:r w:rsidR="254B96D3" w:rsidRPr="3BEABD71">
        <w:rPr>
          <w:rFonts w:ascii="Times New Roman" w:eastAsia="Times New Roman" w:hAnsi="Times New Roman" w:cs="Times New Roman"/>
          <w:sz w:val="24"/>
          <w:szCs w:val="24"/>
        </w:rPr>
        <w:t>Amendment Determination</w:t>
      </w:r>
      <w:r w:rsidR="254B96D3" w:rsidRPr="3BEABD71">
        <w:rPr>
          <w:rFonts w:ascii="Times New Roman" w:hAnsi="Times New Roman" w:cs="Times New Roman"/>
          <w:sz w:val="24"/>
          <w:szCs w:val="24"/>
        </w:rPr>
        <w:t xml:space="preserve"> </w:t>
      </w:r>
      <w:r w:rsidRPr="3BEABD71">
        <w:rPr>
          <w:rFonts w:ascii="Times New Roman" w:hAnsi="Times New Roman" w:cs="Times New Roman"/>
          <w:sz w:val="24"/>
          <w:szCs w:val="24"/>
        </w:rPr>
        <w:t xml:space="preserve">is compatible with the human rights and freedoms recognised or declared under section 3 of the </w:t>
      </w:r>
      <w:r w:rsidRPr="3BEABD71">
        <w:rPr>
          <w:rFonts w:ascii="Times New Roman" w:hAnsi="Times New Roman" w:cs="Times New Roman"/>
          <w:i/>
          <w:iCs/>
          <w:sz w:val="24"/>
          <w:szCs w:val="24"/>
        </w:rPr>
        <w:t>Human Rights (Parliamentary Scrutiny) Act 2011.</w:t>
      </w:r>
      <w:r w:rsidRPr="3BEABD71">
        <w:rPr>
          <w:rFonts w:ascii="Times New Roman" w:hAnsi="Times New Roman" w:cs="Times New Roman"/>
          <w:sz w:val="24"/>
          <w:szCs w:val="24"/>
        </w:rPr>
        <w:t xml:space="preserve"> A full statement of compatibility is set out in </w:t>
      </w:r>
      <w:r w:rsidRPr="3BEABD71">
        <w:rPr>
          <w:rFonts w:ascii="Times New Roman" w:hAnsi="Times New Roman" w:cs="Times New Roman"/>
          <w:sz w:val="24"/>
          <w:szCs w:val="24"/>
          <w:u w:val="single"/>
        </w:rPr>
        <w:t>Attachment B</w:t>
      </w:r>
      <w:r w:rsidRPr="3BEABD71">
        <w:rPr>
          <w:rFonts w:ascii="Times New Roman" w:hAnsi="Times New Roman" w:cs="Times New Roman"/>
          <w:sz w:val="24"/>
          <w:szCs w:val="24"/>
        </w:rPr>
        <w:t>.</w:t>
      </w:r>
    </w:p>
    <w:p w14:paraId="1CF6BC4C" w14:textId="6E61B757" w:rsidR="1B7CA0AD" w:rsidRDefault="1B7CA0AD" w:rsidP="3BEABD71">
      <w:pPr>
        <w:tabs>
          <w:tab w:val="left" w:pos="1701"/>
          <w:tab w:val="right" w:pos="9072"/>
        </w:tabs>
        <w:spacing w:after="0" w:line="240" w:lineRule="auto"/>
        <w:rPr>
          <w:rFonts w:ascii="Times New Roman" w:hAnsi="Times New Roman" w:cs="Times New Roman"/>
          <w:sz w:val="24"/>
          <w:szCs w:val="24"/>
        </w:rPr>
      </w:pPr>
    </w:p>
    <w:p w14:paraId="5E4CEC2F" w14:textId="60BBFF37" w:rsidR="4B26B6C5" w:rsidRDefault="4B26B6C5" w:rsidP="3BEABD71">
      <w:pPr>
        <w:tabs>
          <w:tab w:val="left" w:pos="1701"/>
          <w:tab w:val="right" w:pos="9072"/>
        </w:tabs>
        <w:spacing w:after="0" w:line="240" w:lineRule="auto"/>
        <w:rPr>
          <w:rFonts w:ascii="Times New Roman" w:hAnsi="Times New Roman" w:cs="Times New Roman"/>
          <w:sz w:val="24"/>
          <w:szCs w:val="24"/>
        </w:rPr>
      </w:pPr>
      <w:r w:rsidRPr="3BEABD71">
        <w:rPr>
          <w:rFonts w:ascii="Times New Roman" w:hAnsi="Times New Roman" w:cs="Times New Roman"/>
          <w:sz w:val="24"/>
          <w:szCs w:val="24"/>
        </w:rPr>
        <w:t xml:space="preserve">The </w:t>
      </w:r>
      <w:r w:rsidRPr="3BEABD71">
        <w:rPr>
          <w:rFonts w:ascii="Times New Roman" w:eastAsia="Times New Roman" w:hAnsi="Times New Roman" w:cs="Times New Roman"/>
          <w:sz w:val="24"/>
          <w:szCs w:val="24"/>
        </w:rPr>
        <w:t xml:space="preserve">Amendment Determination is exempt from sunsetting under item 42A(a), section 12 of the </w:t>
      </w:r>
      <w:r w:rsidR="07B9CC3E" w:rsidRPr="3BEABD71">
        <w:rPr>
          <w:rFonts w:ascii="Times New Roman" w:eastAsia="Times New Roman" w:hAnsi="Times New Roman" w:cs="Times New Roman"/>
          <w:i/>
          <w:iCs/>
          <w:sz w:val="24"/>
          <w:szCs w:val="24"/>
        </w:rPr>
        <w:t xml:space="preserve">Legislation (Exemptions and Other Matters) Regulation 2015. </w:t>
      </w:r>
      <w:r w:rsidR="07B9CC3E" w:rsidRPr="3BEABD71">
        <w:rPr>
          <w:rFonts w:ascii="Times New Roman" w:eastAsia="Times New Roman" w:hAnsi="Times New Roman" w:cs="Times New Roman"/>
          <w:sz w:val="24"/>
          <w:szCs w:val="24"/>
        </w:rPr>
        <w:t>This is appr</w:t>
      </w:r>
      <w:r w:rsidR="542D96FA" w:rsidRPr="3BEABD71">
        <w:rPr>
          <w:rFonts w:ascii="Times New Roman" w:eastAsia="Times New Roman" w:hAnsi="Times New Roman" w:cs="Times New Roman"/>
          <w:sz w:val="24"/>
          <w:szCs w:val="24"/>
        </w:rPr>
        <w:t xml:space="preserve">opriate because the </w:t>
      </w:r>
      <w:r w:rsidR="542D96FA" w:rsidRPr="3BEABD71">
        <w:rPr>
          <w:rFonts w:ascii="Times New Roman" w:hAnsi="Times New Roman" w:cs="Times New Roman"/>
          <w:sz w:val="24"/>
          <w:szCs w:val="24"/>
        </w:rPr>
        <w:t xml:space="preserve">Measurement Determination prescribes the methods for measuring greenhouse gas </w:t>
      </w:r>
      <w:proofErr w:type="gramStart"/>
      <w:r w:rsidR="542D96FA" w:rsidRPr="3BEABD71">
        <w:rPr>
          <w:rFonts w:ascii="Times New Roman" w:hAnsi="Times New Roman" w:cs="Times New Roman"/>
          <w:sz w:val="24"/>
          <w:szCs w:val="24"/>
        </w:rPr>
        <w:t>emissions;</w:t>
      </w:r>
      <w:proofErr w:type="gramEnd"/>
      <w:r w:rsidR="542D96FA" w:rsidRPr="3BEABD71">
        <w:rPr>
          <w:rFonts w:ascii="Times New Roman" w:hAnsi="Times New Roman" w:cs="Times New Roman"/>
          <w:sz w:val="24"/>
          <w:szCs w:val="24"/>
        </w:rPr>
        <w:t xml:space="preserve"> which </w:t>
      </w:r>
      <w:r w:rsidR="4A49DB7C" w:rsidRPr="3BEABD71">
        <w:rPr>
          <w:rFonts w:ascii="Times New Roman" w:hAnsi="Times New Roman" w:cs="Times New Roman"/>
          <w:sz w:val="24"/>
          <w:szCs w:val="24"/>
        </w:rPr>
        <w:t xml:space="preserve">are mostly scientific and industrial processes that do not require regular </w:t>
      </w:r>
      <w:r w:rsidR="4A49DB7C" w:rsidRPr="3BEABD71">
        <w:rPr>
          <w:rFonts w:ascii="Times New Roman" w:hAnsi="Times New Roman" w:cs="Times New Roman"/>
          <w:sz w:val="24"/>
          <w:szCs w:val="24"/>
        </w:rPr>
        <w:lastRenderedPageBreak/>
        <w:t>review and updating.</w:t>
      </w:r>
      <w:r w:rsidR="7A70669F" w:rsidRPr="3BEABD71">
        <w:rPr>
          <w:rFonts w:ascii="Times New Roman" w:hAnsi="Times New Roman" w:cs="Times New Roman"/>
          <w:sz w:val="24"/>
          <w:szCs w:val="24"/>
        </w:rPr>
        <w:t xml:space="preserve"> If th</w:t>
      </w:r>
      <w:r w:rsidR="71F06C9E" w:rsidRPr="3BEABD71">
        <w:rPr>
          <w:rFonts w:ascii="Times New Roman" w:hAnsi="Times New Roman" w:cs="Times New Roman"/>
          <w:sz w:val="24"/>
          <w:szCs w:val="24"/>
        </w:rPr>
        <w:t xml:space="preserve">ose processes require updating due to modernisation or other improvements, amendments to those processes are specific to the method, </w:t>
      </w:r>
      <w:r w:rsidR="5DB6F2DF" w:rsidRPr="3BEABD71">
        <w:rPr>
          <w:rFonts w:ascii="Times New Roman" w:hAnsi="Times New Roman" w:cs="Times New Roman"/>
          <w:sz w:val="24"/>
          <w:szCs w:val="24"/>
        </w:rPr>
        <w:t>and would not benefit from the wholesale repeal and remake of the entire instrument.</w:t>
      </w:r>
    </w:p>
    <w:p w14:paraId="2308B0CD" w14:textId="5FE4212B" w:rsidR="2ACD4969" w:rsidRDefault="2ACD4969" w:rsidP="3BEABD71">
      <w:r w:rsidRPr="3BEABD71">
        <w:br w:type="page"/>
      </w:r>
    </w:p>
    <w:p w14:paraId="596ED47C" w14:textId="0D5985F2" w:rsidR="1B7CA0AD" w:rsidRDefault="1B7CA0AD" w:rsidP="3BEABD71">
      <w:pPr>
        <w:rPr>
          <w:rFonts w:ascii="Times New Roman" w:hAnsi="Times New Roman" w:cs="Times New Roman"/>
          <w:sz w:val="24"/>
          <w:szCs w:val="24"/>
        </w:rPr>
      </w:pPr>
    </w:p>
    <w:p w14:paraId="5474A301" w14:textId="1D56B64F" w:rsidR="002573BE" w:rsidRPr="007F4ECB" w:rsidRDefault="00F55244" w:rsidP="3BEABD71">
      <w:pPr>
        <w:pStyle w:val="Normal-em"/>
        <w:spacing w:after="0" w:line="240" w:lineRule="auto"/>
        <w:jc w:val="right"/>
        <w:rPr>
          <w:b/>
          <w:bCs/>
          <w:caps/>
          <w:color w:val="auto"/>
          <w:u w:val="single"/>
        </w:rPr>
      </w:pPr>
      <w:r w:rsidRPr="3BEABD71">
        <w:rPr>
          <w:b/>
          <w:bCs/>
          <w:caps/>
          <w:color w:val="auto"/>
          <w:u w:val="single"/>
        </w:rPr>
        <w:t>Attachment</w:t>
      </w:r>
      <w:r w:rsidR="10B18BDF" w:rsidRPr="3BEABD71">
        <w:rPr>
          <w:b/>
          <w:bCs/>
          <w:caps/>
          <w:color w:val="auto"/>
          <w:u w:val="single"/>
        </w:rPr>
        <w:t xml:space="preserve"> A</w:t>
      </w:r>
    </w:p>
    <w:p w14:paraId="199E4CB6" w14:textId="77777777" w:rsidR="002573BE" w:rsidRPr="007F4ECB" w:rsidRDefault="002573BE" w:rsidP="3BEABD71">
      <w:pPr>
        <w:pStyle w:val="Normal-em"/>
        <w:spacing w:after="0" w:line="240" w:lineRule="auto"/>
        <w:rPr>
          <w:color w:val="auto"/>
        </w:rPr>
      </w:pPr>
    </w:p>
    <w:p w14:paraId="68F19272" w14:textId="0FD74C23" w:rsidR="002573BE" w:rsidRPr="007F4ECB" w:rsidRDefault="002573BE" w:rsidP="3BEABD71">
      <w:pPr>
        <w:pStyle w:val="Normal-em"/>
        <w:spacing w:after="0" w:line="240" w:lineRule="auto"/>
        <w:rPr>
          <w:b/>
          <w:bCs/>
          <w:i/>
          <w:iCs/>
          <w:color w:val="auto"/>
          <w:u w:val="single"/>
        </w:rPr>
      </w:pPr>
      <w:r w:rsidRPr="3BEABD71">
        <w:rPr>
          <w:b/>
          <w:bCs/>
          <w:color w:val="auto"/>
          <w:u w:val="single"/>
        </w:rPr>
        <w:t xml:space="preserve">Details of the </w:t>
      </w:r>
      <w:r w:rsidR="304D38AC" w:rsidRPr="3BEABD71">
        <w:rPr>
          <w:b/>
          <w:bCs/>
          <w:i/>
          <w:iCs/>
          <w:color w:val="auto"/>
          <w:u w:val="single"/>
        </w:rPr>
        <w:t>National Greenhouse and Energy Reporting (Measurement) Amendment (2025 Update No. 2) Determination 2025</w:t>
      </w:r>
    </w:p>
    <w:p w14:paraId="168BFF53" w14:textId="77777777" w:rsidR="002573BE" w:rsidRPr="007F4ECB" w:rsidRDefault="002573BE" w:rsidP="3BEABD71">
      <w:pPr>
        <w:pStyle w:val="Normal-em"/>
        <w:spacing w:after="0" w:line="240" w:lineRule="auto"/>
        <w:rPr>
          <w:color w:val="auto"/>
        </w:rPr>
      </w:pPr>
    </w:p>
    <w:p w14:paraId="13CED9D0" w14:textId="77777777" w:rsidR="002573BE" w:rsidRPr="007F4ECB" w:rsidRDefault="002573BE" w:rsidP="3BEABD71">
      <w:pPr>
        <w:pStyle w:val="Normal-em"/>
        <w:spacing w:after="0" w:line="240" w:lineRule="auto"/>
        <w:ind w:left="1440" w:hanging="1440"/>
        <w:rPr>
          <w:color w:val="auto"/>
          <w:u w:val="single"/>
        </w:rPr>
      </w:pPr>
      <w:r w:rsidRPr="3BEABD71">
        <w:rPr>
          <w:color w:val="auto"/>
          <w:u w:val="single"/>
        </w:rPr>
        <w:t>Section 1 – Name</w:t>
      </w:r>
    </w:p>
    <w:p w14:paraId="0186BF0F" w14:textId="77777777" w:rsidR="002573BE" w:rsidRPr="007F4ECB" w:rsidRDefault="002573BE" w:rsidP="3BEABD71">
      <w:pPr>
        <w:pStyle w:val="Normal-em"/>
        <w:spacing w:after="0" w:line="240" w:lineRule="auto"/>
        <w:ind w:left="1440" w:hanging="1440"/>
        <w:rPr>
          <w:b/>
          <w:bCs/>
          <w:color w:val="auto"/>
        </w:rPr>
      </w:pPr>
    </w:p>
    <w:p w14:paraId="295C424C" w14:textId="0EFC141F" w:rsidR="002573BE" w:rsidRPr="007F4ECB" w:rsidRDefault="002573BE" w:rsidP="3BEABD71">
      <w:pPr>
        <w:pStyle w:val="Normal-em"/>
        <w:spacing w:after="0" w:line="240" w:lineRule="auto"/>
        <w:rPr>
          <w:color w:val="auto"/>
        </w:rPr>
      </w:pPr>
      <w:r w:rsidRPr="3BEABD71">
        <w:rPr>
          <w:color w:val="auto"/>
        </w:rPr>
        <w:t>This section provides that the name of th</w:t>
      </w:r>
      <w:r w:rsidR="4A7C7D5D" w:rsidRPr="3BEABD71">
        <w:rPr>
          <w:color w:val="auto"/>
        </w:rPr>
        <w:t>e instrument</w:t>
      </w:r>
      <w:r w:rsidR="40870C44" w:rsidRPr="3BEABD71">
        <w:rPr>
          <w:color w:val="auto"/>
        </w:rPr>
        <w:t xml:space="preserve"> is </w:t>
      </w:r>
      <w:r w:rsidRPr="3BEABD71">
        <w:rPr>
          <w:color w:val="auto"/>
        </w:rPr>
        <w:t xml:space="preserve">the </w:t>
      </w:r>
      <w:r w:rsidR="3CD4B119" w:rsidRPr="3BEABD71">
        <w:rPr>
          <w:i/>
          <w:iCs/>
          <w:color w:val="auto"/>
        </w:rPr>
        <w:t>National Greenhouse and Energy Reporting (Measurement) Amendment (2025 Update No. 2) Determination 2025</w:t>
      </w:r>
      <w:r w:rsidR="074316D1" w:rsidRPr="3BEABD71">
        <w:rPr>
          <w:i/>
          <w:iCs/>
          <w:color w:val="auto"/>
        </w:rPr>
        <w:t xml:space="preserve"> </w:t>
      </w:r>
      <w:r w:rsidR="074316D1" w:rsidRPr="3BEABD71">
        <w:rPr>
          <w:color w:val="auto"/>
        </w:rPr>
        <w:t>(Amendment Determination).</w:t>
      </w:r>
    </w:p>
    <w:p w14:paraId="536818A7" w14:textId="77777777" w:rsidR="002573BE" w:rsidRPr="007F4ECB" w:rsidRDefault="002573BE" w:rsidP="3BEABD71">
      <w:pPr>
        <w:pStyle w:val="Normal-em"/>
        <w:spacing w:after="0" w:line="240" w:lineRule="auto"/>
        <w:rPr>
          <w:color w:val="auto"/>
        </w:rPr>
      </w:pPr>
    </w:p>
    <w:p w14:paraId="5B86A91A" w14:textId="77777777" w:rsidR="002573BE" w:rsidRPr="007F4ECB" w:rsidRDefault="002573BE" w:rsidP="3BEABD71">
      <w:pPr>
        <w:pStyle w:val="Normal-em"/>
        <w:spacing w:after="0" w:line="240" w:lineRule="auto"/>
        <w:rPr>
          <w:color w:val="auto"/>
          <w:u w:val="single"/>
        </w:rPr>
      </w:pPr>
      <w:r w:rsidRPr="3BEABD71">
        <w:rPr>
          <w:color w:val="auto"/>
          <w:u w:val="single"/>
        </w:rPr>
        <w:t>Section 2 – Commencement</w:t>
      </w:r>
    </w:p>
    <w:p w14:paraId="5812384A" w14:textId="77777777" w:rsidR="002573BE" w:rsidRPr="007F4ECB" w:rsidRDefault="002573BE" w:rsidP="3BEABD71">
      <w:pPr>
        <w:pStyle w:val="Normal-em"/>
        <w:spacing w:after="0" w:line="240" w:lineRule="auto"/>
        <w:rPr>
          <w:color w:val="auto"/>
        </w:rPr>
      </w:pPr>
    </w:p>
    <w:p w14:paraId="4E0653A9" w14:textId="19F6F9C4" w:rsidR="002573BE" w:rsidRPr="007F4ECB" w:rsidRDefault="78037B20" w:rsidP="3BEABD71">
      <w:pPr>
        <w:pStyle w:val="Normal-em"/>
        <w:spacing w:after="0" w:line="240" w:lineRule="auto"/>
        <w:rPr>
          <w:color w:val="auto"/>
        </w:rPr>
      </w:pPr>
      <w:r w:rsidRPr="3BEABD71">
        <w:rPr>
          <w:color w:val="auto"/>
        </w:rPr>
        <w:t>This section provides for th</w:t>
      </w:r>
      <w:r w:rsidR="7EE27BE5" w:rsidRPr="3BEABD71">
        <w:rPr>
          <w:color w:val="auto"/>
        </w:rPr>
        <w:t xml:space="preserve">e Amendment Determination </w:t>
      </w:r>
      <w:r w:rsidRPr="3BEABD71">
        <w:rPr>
          <w:color w:val="auto"/>
        </w:rPr>
        <w:t xml:space="preserve">to commence on </w:t>
      </w:r>
      <w:r w:rsidR="52188BB1" w:rsidRPr="3BEABD71">
        <w:rPr>
          <w:color w:val="auto"/>
        </w:rPr>
        <w:t xml:space="preserve">the later of the day after it is registered, or immediately after the commencement of the </w:t>
      </w:r>
      <w:r w:rsidR="52188BB1" w:rsidRPr="3BEABD71">
        <w:rPr>
          <w:i/>
          <w:iCs/>
          <w:color w:val="auto"/>
        </w:rPr>
        <w:t xml:space="preserve">Future Made in Australia (Guarantee of Origin) Act 2024. </w:t>
      </w:r>
      <w:r w:rsidR="52188BB1" w:rsidRPr="3BEABD71">
        <w:rPr>
          <w:color w:val="auto"/>
        </w:rPr>
        <w:t>This commencement provi</w:t>
      </w:r>
      <w:r w:rsidR="3E11F8A2" w:rsidRPr="3BEABD71">
        <w:rPr>
          <w:color w:val="auto"/>
        </w:rPr>
        <w:t xml:space="preserve">sion ensures that the amendments do not come into force until the relevant Guarantee of Origin certification framework has commenced. </w:t>
      </w:r>
    </w:p>
    <w:p w14:paraId="63C45FFF" w14:textId="77777777" w:rsidR="002573BE" w:rsidRPr="007F4ECB" w:rsidRDefault="002573BE" w:rsidP="3BEABD71">
      <w:pPr>
        <w:pStyle w:val="Normal-em"/>
        <w:spacing w:after="0" w:line="240" w:lineRule="auto"/>
        <w:rPr>
          <w:color w:val="auto"/>
        </w:rPr>
      </w:pPr>
    </w:p>
    <w:p w14:paraId="7FA39F29" w14:textId="77777777" w:rsidR="002573BE" w:rsidRPr="007F4ECB" w:rsidRDefault="002573BE" w:rsidP="3BEABD71">
      <w:pPr>
        <w:pStyle w:val="Normal-em"/>
        <w:spacing w:after="0" w:line="240" w:lineRule="auto"/>
        <w:ind w:left="1440" w:hanging="1440"/>
        <w:rPr>
          <w:color w:val="auto"/>
          <w:u w:val="single"/>
        </w:rPr>
      </w:pPr>
      <w:r w:rsidRPr="3BEABD71">
        <w:rPr>
          <w:color w:val="auto"/>
          <w:u w:val="single"/>
        </w:rPr>
        <w:t xml:space="preserve">Section 3 – Authority </w:t>
      </w:r>
    </w:p>
    <w:p w14:paraId="431DECD1" w14:textId="77777777" w:rsidR="002573BE" w:rsidRPr="007F4ECB" w:rsidRDefault="002573BE" w:rsidP="3BEABD71">
      <w:pPr>
        <w:pStyle w:val="Normal-em"/>
        <w:spacing w:after="0" w:line="240" w:lineRule="auto"/>
        <w:rPr>
          <w:color w:val="auto"/>
        </w:rPr>
      </w:pPr>
    </w:p>
    <w:p w14:paraId="6E12F0C1" w14:textId="55F2696E" w:rsidR="002573BE" w:rsidRPr="007F4ECB" w:rsidRDefault="002573BE" w:rsidP="3BEABD71">
      <w:pPr>
        <w:pStyle w:val="Normal-em"/>
        <w:spacing w:after="0" w:line="240" w:lineRule="auto"/>
        <w:rPr>
          <w:color w:val="auto"/>
        </w:rPr>
      </w:pPr>
      <w:r w:rsidRPr="3BEABD71">
        <w:rPr>
          <w:color w:val="auto"/>
        </w:rPr>
        <w:t xml:space="preserve">This section provides that the </w:t>
      </w:r>
      <w:r w:rsidR="49C3B9EB" w:rsidRPr="3BEABD71">
        <w:rPr>
          <w:color w:val="auto"/>
        </w:rPr>
        <w:t>Amendment Determination</w:t>
      </w:r>
      <w:r w:rsidRPr="3BEABD71">
        <w:rPr>
          <w:color w:val="auto"/>
        </w:rPr>
        <w:t xml:space="preserve"> is made under </w:t>
      </w:r>
      <w:r w:rsidR="196BFB04" w:rsidRPr="3BEABD71">
        <w:rPr>
          <w:color w:val="auto"/>
        </w:rPr>
        <w:t xml:space="preserve">subsection 10(3) of </w:t>
      </w:r>
      <w:r w:rsidRPr="3BEABD71">
        <w:rPr>
          <w:color w:val="auto"/>
        </w:rPr>
        <w:t>the</w:t>
      </w:r>
      <w:r w:rsidR="1E51E2FD" w:rsidRPr="3BEABD71">
        <w:rPr>
          <w:color w:val="auto"/>
        </w:rPr>
        <w:t xml:space="preserve"> </w:t>
      </w:r>
      <w:r w:rsidR="1E51E2FD" w:rsidRPr="3BEABD71">
        <w:rPr>
          <w:i/>
          <w:iCs/>
          <w:color w:val="auto"/>
        </w:rPr>
        <w:t>National Greenhouse and Energy Reporting Act 2007</w:t>
      </w:r>
      <w:r w:rsidR="1ADD9093" w:rsidRPr="3BEABD71">
        <w:rPr>
          <w:i/>
          <w:iCs/>
          <w:color w:val="auto"/>
        </w:rPr>
        <w:t>.</w:t>
      </w:r>
    </w:p>
    <w:p w14:paraId="51441AF2" w14:textId="77777777" w:rsidR="004D5EE7" w:rsidRPr="007716D7" w:rsidRDefault="004D5EE7" w:rsidP="3BEABD71">
      <w:pPr>
        <w:pStyle w:val="Normal-em"/>
        <w:spacing w:after="0" w:line="240" w:lineRule="auto"/>
        <w:rPr>
          <w:color w:val="auto"/>
        </w:rPr>
      </w:pPr>
    </w:p>
    <w:p w14:paraId="2805DCCC" w14:textId="77F37107" w:rsidR="002573BE" w:rsidRPr="007F4ECB" w:rsidRDefault="002573BE" w:rsidP="3BEABD71">
      <w:pPr>
        <w:pStyle w:val="Normal-em"/>
        <w:spacing w:after="0" w:line="240" w:lineRule="auto"/>
        <w:rPr>
          <w:color w:val="auto"/>
          <w:u w:val="single"/>
        </w:rPr>
      </w:pPr>
      <w:r w:rsidRPr="3BEABD71">
        <w:rPr>
          <w:color w:val="auto"/>
          <w:u w:val="single"/>
        </w:rPr>
        <w:t>Section 4 – Schedules</w:t>
      </w:r>
    </w:p>
    <w:p w14:paraId="03F43A81" w14:textId="77777777" w:rsidR="002573BE" w:rsidRPr="007F4ECB" w:rsidRDefault="002573BE" w:rsidP="3BEABD71">
      <w:pPr>
        <w:pStyle w:val="Normal-em"/>
        <w:spacing w:after="0" w:line="240" w:lineRule="auto"/>
        <w:rPr>
          <w:color w:val="auto"/>
        </w:rPr>
      </w:pPr>
    </w:p>
    <w:p w14:paraId="4B7529C6" w14:textId="6048DD2E" w:rsidR="002573BE" w:rsidRPr="007F4ECB" w:rsidRDefault="002573BE" w:rsidP="3BEABD71">
      <w:pPr>
        <w:pStyle w:val="Normal-em"/>
        <w:spacing w:after="0" w:line="240" w:lineRule="auto"/>
        <w:rPr>
          <w:color w:val="auto"/>
        </w:rPr>
      </w:pPr>
      <w:r w:rsidRPr="77081A7D">
        <w:rPr>
          <w:color w:val="auto"/>
        </w:rPr>
        <w:t xml:space="preserve">This section provides that </w:t>
      </w:r>
      <w:r w:rsidR="5F11F979" w:rsidRPr="77081A7D">
        <w:rPr>
          <w:color w:val="auto"/>
        </w:rPr>
        <w:t>each instrument that is specified in a Schedule to the Amendment Determination is amended or repealed as set out in the appli</w:t>
      </w:r>
      <w:r w:rsidR="000C063D" w:rsidRPr="77081A7D">
        <w:rPr>
          <w:color w:val="auto"/>
        </w:rPr>
        <w:t>c</w:t>
      </w:r>
      <w:r w:rsidR="5F11F979" w:rsidRPr="77081A7D">
        <w:rPr>
          <w:color w:val="auto"/>
        </w:rPr>
        <w:t>able items in the Schedule concerned, and any other item in a Schedule to the Amendment Determination has effect according to its terms.</w:t>
      </w:r>
    </w:p>
    <w:p w14:paraId="68D072A2" w14:textId="77777777" w:rsidR="002573BE" w:rsidRPr="007716D7" w:rsidRDefault="002573BE" w:rsidP="3BEABD71">
      <w:pPr>
        <w:pStyle w:val="Normal-em"/>
        <w:spacing w:after="0" w:line="240" w:lineRule="auto"/>
        <w:rPr>
          <w:color w:val="auto"/>
        </w:rPr>
      </w:pPr>
    </w:p>
    <w:p w14:paraId="424D5731" w14:textId="2DD40634" w:rsidR="75692D56" w:rsidRDefault="75692D56" w:rsidP="3BEABD71">
      <w:r w:rsidRPr="3BEABD71">
        <w:br w:type="page"/>
      </w:r>
    </w:p>
    <w:p w14:paraId="1FCAABA9" w14:textId="77777777" w:rsidR="002573BE" w:rsidRPr="007F4ECB" w:rsidRDefault="002573BE" w:rsidP="3BEABD71">
      <w:pPr>
        <w:pStyle w:val="Normal-em"/>
        <w:spacing w:after="0" w:line="240" w:lineRule="auto"/>
        <w:rPr>
          <w:color w:val="auto"/>
        </w:rPr>
      </w:pPr>
      <w:r w:rsidRPr="3BEABD71">
        <w:rPr>
          <w:color w:val="auto"/>
          <w:u w:val="single"/>
        </w:rPr>
        <w:t>Schedule 1 – Amendments</w:t>
      </w:r>
    </w:p>
    <w:p w14:paraId="3D284112" w14:textId="77777777" w:rsidR="002573BE" w:rsidRPr="007F4ECB" w:rsidRDefault="002573BE" w:rsidP="04F07379">
      <w:pPr>
        <w:pStyle w:val="Normal-em"/>
        <w:spacing w:after="0" w:line="240" w:lineRule="auto"/>
        <w:rPr>
          <w:color w:val="auto"/>
        </w:rPr>
      </w:pPr>
    </w:p>
    <w:p w14:paraId="59D3D5EB" w14:textId="7E1587BA" w:rsidR="258C8C46" w:rsidRDefault="258C8C46" w:rsidP="3BEABD71">
      <w:pPr>
        <w:pStyle w:val="Normal-em"/>
        <w:spacing w:after="0" w:line="240" w:lineRule="auto"/>
        <w:rPr>
          <w:b/>
          <w:bCs/>
          <w:i/>
          <w:iCs/>
          <w:color w:val="auto"/>
        </w:rPr>
      </w:pPr>
      <w:r w:rsidRPr="3BEABD71">
        <w:rPr>
          <w:b/>
          <w:bCs/>
          <w:i/>
          <w:iCs/>
          <w:color w:val="auto"/>
        </w:rPr>
        <w:t>National Greenhouse and Energy Reporting (Measurement) Determination 2008</w:t>
      </w:r>
    </w:p>
    <w:p w14:paraId="7ADBF322" w14:textId="64B8EC76" w:rsidR="04F07379" w:rsidRDefault="04F07379" w:rsidP="04F07379">
      <w:pPr>
        <w:pStyle w:val="Normal-em"/>
        <w:spacing w:after="0" w:line="240" w:lineRule="auto"/>
        <w:rPr>
          <w:color w:val="auto"/>
        </w:rPr>
      </w:pPr>
    </w:p>
    <w:p w14:paraId="70303602" w14:textId="028BBF18" w:rsidR="78037B20" w:rsidRDefault="78037B20" w:rsidP="3BEABD71">
      <w:pPr>
        <w:pStyle w:val="Normal-em"/>
        <w:spacing w:after="0" w:line="240" w:lineRule="auto"/>
        <w:rPr>
          <w:b/>
          <w:bCs/>
          <w:color w:val="auto"/>
        </w:rPr>
      </w:pPr>
      <w:r w:rsidRPr="3BEABD71">
        <w:rPr>
          <w:b/>
          <w:bCs/>
          <w:color w:val="auto"/>
        </w:rPr>
        <w:t>Item 1</w:t>
      </w:r>
      <w:r w:rsidR="6F0D68CD" w:rsidRPr="3BEABD71">
        <w:rPr>
          <w:b/>
          <w:bCs/>
          <w:color w:val="auto"/>
        </w:rPr>
        <w:t xml:space="preserve"> – </w:t>
      </w:r>
      <w:r w:rsidR="6C4A4E25" w:rsidRPr="3BEABD71">
        <w:rPr>
          <w:b/>
          <w:bCs/>
          <w:color w:val="auto"/>
        </w:rPr>
        <w:t xml:space="preserve">Subsection 7.4(1) (definition of </w:t>
      </w:r>
      <w:r w:rsidR="6C4A4E25" w:rsidRPr="3BEABD71">
        <w:rPr>
          <w:b/>
          <w:bCs/>
          <w:i/>
          <w:iCs/>
          <w:color w:val="auto"/>
        </w:rPr>
        <w:t>Y</w:t>
      </w:r>
      <w:r w:rsidR="6C4A4E25" w:rsidRPr="3BEABD71">
        <w:rPr>
          <w:b/>
          <w:bCs/>
          <w:color w:val="auto"/>
        </w:rPr>
        <w:t>)</w:t>
      </w:r>
    </w:p>
    <w:p w14:paraId="78891245" w14:textId="77777777" w:rsidR="002573BE" w:rsidRPr="007F4ECB" w:rsidRDefault="002573BE" w:rsidP="3BEABD71">
      <w:pPr>
        <w:pStyle w:val="Normal-em"/>
        <w:spacing w:after="0" w:line="240" w:lineRule="auto"/>
        <w:rPr>
          <w:color w:val="auto"/>
        </w:rPr>
      </w:pPr>
    </w:p>
    <w:p w14:paraId="4B48B60A" w14:textId="5E2662C9" w:rsidR="78037B20" w:rsidRDefault="78037B20" w:rsidP="3BEABD71">
      <w:pPr>
        <w:pStyle w:val="Normal-em"/>
        <w:numPr>
          <w:ilvl w:val="0"/>
          <w:numId w:val="2"/>
        </w:numPr>
        <w:spacing w:after="0" w:line="240" w:lineRule="auto"/>
        <w:rPr>
          <w:color w:val="auto"/>
        </w:rPr>
      </w:pPr>
      <w:r w:rsidRPr="3BEABD71">
        <w:rPr>
          <w:color w:val="auto"/>
        </w:rPr>
        <w:t xml:space="preserve">This item </w:t>
      </w:r>
      <w:r w:rsidR="327D6589" w:rsidRPr="3BEABD71">
        <w:rPr>
          <w:color w:val="auto"/>
        </w:rPr>
        <w:t xml:space="preserve">replaces the definition of </w:t>
      </w:r>
      <w:r w:rsidR="327D6589" w:rsidRPr="3BEABD71">
        <w:rPr>
          <w:b/>
          <w:bCs/>
          <w:i/>
          <w:iCs/>
          <w:color w:val="auto"/>
        </w:rPr>
        <w:t>Y</w:t>
      </w:r>
      <w:r w:rsidR="327D6589" w:rsidRPr="3BEABD71">
        <w:rPr>
          <w:b/>
          <w:bCs/>
          <w:color w:val="auto"/>
        </w:rPr>
        <w:t xml:space="preserve"> </w:t>
      </w:r>
      <w:r w:rsidR="327D6589" w:rsidRPr="3BEABD71">
        <w:rPr>
          <w:color w:val="auto"/>
        </w:rPr>
        <w:t xml:space="preserve">in the formula under subsection 7.4(1). This definition provides </w:t>
      </w:r>
      <w:r w:rsidR="625E915B" w:rsidRPr="3BEABD71">
        <w:rPr>
          <w:color w:val="auto"/>
        </w:rPr>
        <w:t>that value is either:</w:t>
      </w:r>
    </w:p>
    <w:p w14:paraId="744A1D8C" w14:textId="2B433D1E" w:rsidR="625E915B" w:rsidRDefault="625E915B" w:rsidP="3BEABD71">
      <w:pPr>
        <w:pStyle w:val="Normal-em"/>
        <w:numPr>
          <w:ilvl w:val="1"/>
          <w:numId w:val="2"/>
        </w:numPr>
        <w:spacing w:after="0" w:line="240" w:lineRule="auto"/>
        <w:rPr>
          <w:color w:val="auto"/>
        </w:rPr>
      </w:pPr>
      <w:r w:rsidRPr="3BEABD71">
        <w:rPr>
          <w:color w:val="auto"/>
        </w:rPr>
        <w:t>the scope 2 emissions measured in CO</w:t>
      </w:r>
      <w:r w:rsidRPr="3BEABD71">
        <w:rPr>
          <w:color w:val="auto"/>
          <w:vertAlign w:val="subscript"/>
        </w:rPr>
        <w:t>2</w:t>
      </w:r>
      <w:r w:rsidRPr="3BEABD71">
        <w:rPr>
          <w:color w:val="auto"/>
        </w:rPr>
        <w:t xml:space="preserve">-e </w:t>
      </w:r>
      <w:proofErr w:type="gramStart"/>
      <w:r w:rsidRPr="3BEABD71">
        <w:rPr>
          <w:color w:val="auto"/>
        </w:rPr>
        <w:t>tonnes;</w:t>
      </w:r>
      <w:proofErr w:type="gramEnd"/>
      <w:r w:rsidRPr="3BEABD71">
        <w:rPr>
          <w:color w:val="auto"/>
        </w:rPr>
        <w:t xml:space="preserve"> or</w:t>
      </w:r>
    </w:p>
    <w:p w14:paraId="103648ED" w14:textId="3B3060C0" w:rsidR="625E915B" w:rsidRDefault="625E915B" w:rsidP="3BEABD71">
      <w:pPr>
        <w:pStyle w:val="Normal-em"/>
        <w:numPr>
          <w:ilvl w:val="1"/>
          <w:numId w:val="2"/>
        </w:numPr>
        <w:spacing w:after="0" w:line="240" w:lineRule="auto"/>
        <w:rPr>
          <w:color w:val="auto"/>
        </w:rPr>
      </w:pPr>
      <w:r w:rsidRPr="3BEABD71">
        <w:rPr>
          <w:color w:val="auto"/>
        </w:rPr>
        <w:t>zero, if more eligible Renewable Energy Certificates are attributed to a facility’s estimate of scope 2 emissions under this method than the total required to reach zero emissions.</w:t>
      </w:r>
    </w:p>
    <w:p w14:paraId="1F8D049B" w14:textId="3AE26069" w:rsidR="75692D56" w:rsidRDefault="75692D56" w:rsidP="3BEABD71">
      <w:pPr>
        <w:pStyle w:val="Normal-em"/>
        <w:spacing w:after="0" w:line="240" w:lineRule="auto"/>
        <w:ind w:left="720"/>
        <w:rPr>
          <w:color w:val="auto"/>
        </w:rPr>
      </w:pPr>
    </w:p>
    <w:p w14:paraId="7C15FA34" w14:textId="7C20AE73" w:rsidR="327D6589" w:rsidRDefault="327D6589" w:rsidP="3BEABD71">
      <w:pPr>
        <w:pStyle w:val="Normal-em"/>
        <w:numPr>
          <w:ilvl w:val="0"/>
          <w:numId w:val="2"/>
        </w:numPr>
        <w:spacing w:after="0" w:line="240" w:lineRule="auto"/>
        <w:rPr>
          <w:color w:val="auto"/>
        </w:rPr>
      </w:pPr>
      <w:r w:rsidRPr="3BEABD71">
        <w:rPr>
          <w:color w:val="auto"/>
        </w:rPr>
        <w:t xml:space="preserve">This is a drafting improvement that merges the original provision under s 7.4(6) into the definition of </w:t>
      </w:r>
      <w:r w:rsidRPr="3BEABD71">
        <w:rPr>
          <w:b/>
          <w:bCs/>
          <w:i/>
          <w:iCs/>
          <w:color w:val="auto"/>
        </w:rPr>
        <w:t>Y</w:t>
      </w:r>
      <w:r w:rsidRPr="3BEABD71">
        <w:rPr>
          <w:color w:val="auto"/>
        </w:rPr>
        <w:t xml:space="preserve">. Subsection 7.4(6) </w:t>
      </w:r>
      <w:proofErr w:type="gramStart"/>
      <w:r w:rsidRPr="3BEABD71">
        <w:rPr>
          <w:color w:val="auto"/>
        </w:rPr>
        <w:t>provided that</w:t>
      </w:r>
      <w:proofErr w:type="gramEnd"/>
      <w:r w:rsidRPr="3BEABD71">
        <w:rPr>
          <w:color w:val="auto"/>
        </w:rPr>
        <w:t xml:space="preserve"> </w:t>
      </w:r>
      <w:r w:rsidRPr="3BEABD71">
        <w:rPr>
          <w:b/>
          <w:bCs/>
          <w:i/>
          <w:iCs/>
          <w:color w:val="auto"/>
        </w:rPr>
        <w:t xml:space="preserve">Y </w:t>
      </w:r>
      <w:r w:rsidRPr="3BEABD71">
        <w:rPr>
          <w:color w:val="auto"/>
        </w:rPr>
        <w:t xml:space="preserve">is equal to zero, if </w:t>
      </w:r>
      <w:r w:rsidR="79320349" w:rsidRPr="3BEABD71">
        <w:rPr>
          <w:color w:val="auto"/>
        </w:rPr>
        <w:t xml:space="preserve">more eligible Renewable Energy Certificates are attributed to a facility’s estimate of scope 2 emissions under this method than the total required to reach zero emissions. </w:t>
      </w:r>
    </w:p>
    <w:p w14:paraId="2EC955C7" w14:textId="77777777" w:rsidR="002573BE" w:rsidRPr="007F4ECB" w:rsidRDefault="002573BE" w:rsidP="3BEABD71">
      <w:pPr>
        <w:spacing w:after="0" w:line="240" w:lineRule="auto"/>
        <w:rPr>
          <w:rFonts w:ascii="Times New Roman" w:hAnsi="Times New Roman" w:cs="Times New Roman"/>
          <w:sz w:val="24"/>
          <w:szCs w:val="24"/>
        </w:rPr>
      </w:pPr>
    </w:p>
    <w:p w14:paraId="7CEC875C" w14:textId="0FA98F41" w:rsidR="002573BE" w:rsidRPr="007F4ECB" w:rsidRDefault="78037B20" w:rsidP="3BEABD71">
      <w:pPr>
        <w:pStyle w:val="Normal-em"/>
        <w:spacing w:after="0" w:line="240" w:lineRule="auto"/>
        <w:rPr>
          <w:b/>
          <w:bCs/>
          <w:color w:val="auto"/>
        </w:rPr>
      </w:pPr>
      <w:r w:rsidRPr="3BEABD71">
        <w:rPr>
          <w:b/>
          <w:bCs/>
          <w:color w:val="auto"/>
        </w:rPr>
        <w:t>Item 2</w:t>
      </w:r>
      <w:r w:rsidR="355E5A3B" w:rsidRPr="3BEABD71">
        <w:rPr>
          <w:b/>
          <w:bCs/>
          <w:color w:val="auto"/>
        </w:rPr>
        <w:t xml:space="preserve"> – </w:t>
      </w:r>
      <w:r w:rsidR="664BCE3E" w:rsidRPr="3BEABD71">
        <w:rPr>
          <w:b/>
          <w:bCs/>
          <w:color w:val="auto"/>
        </w:rPr>
        <w:t xml:space="preserve">Subsection 7.4(1) (definition of </w:t>
      </w:r>
      <w:proofErr w:type="spellStart"/>
      <w:r w:rsidR="664BCE3E" w:rsidRPr="3BEABD71">
        <w:rPr>
          <w:b/>
          <w:bCs/>
          <w:i/>
          <w:iCs/>
          <w:color w:val="auto"/>
        </w:rPr>
        <w:t>REC</w:t>
      </w:r>
      <w:r w:rsidR="664BCE3E" w:rsidRPr="3BEABD71">
        <w:rPr>
          <w:b/>
          <w:bCs/>
          <w:i/>
          <w:iCs/>
          <w:color w:val="auto"/>
          <w:vertAlign w:val="subscript"/>
        </w:rPr>
        <w:t>surr</w:t>
      </w:r>
      <w:proofErr w:type="spellEnd"/>
      <w:r w:rsidR="664BCE3E" w:rsidRPr="3BEABD71">
        <w:rPr>
          <w:b/>
          <w:bCs/>
          <w:color w:val="auto"/>
        </w:rPr>
        <w:t>)</w:t>
      </w:r>
    </w:p>
    <w:p w14:paraId="1911CCFC" w14:textId="77777777" w:rsidR="002573BE" w:rsidRPr="007F4ECB" w:rsidRDefault="002573BE" w:rsidP="3BEABD71">
      <w:pPr>
        <w:pStyle w:val="Normal-em"/>
        <w:spacing w:after="0" w:line="240" w:lineRule="auto"/>
        <w:rPr>
          <w:b/>
          <w:bCs/>
          <w:color w:val="auto"/>
        </w:rPr>
      </w:pPr>
    </w:p>
    <w:p w14:paraId="7D8E142A" w14:textId="3CBA1E51" w:rsidR="002573BE" w:rsidRDefault="78037B20" w:rsidP="3BEABD71">
      <w:pPr>
        <w:pStyle w:val="Normal-em"/>
        <w:numPr>
          <w:ilvl w:val="0"/>
          <w:numId w:val="2"/>
        </w:numPr>
        <w:spacing w:after="0" w:line="240" w:lineRule="auto"/>
        <w:rPr>
          <w:color w:val="auto"/>
        </w:rPr>
      </w:pPr>
      <w:r w:rsidRPr="3BEABD71">
        <w:rPr>
          <w:color w:val="auto"/>
        </w:rPr>
        <w:t>This item inserts</w:t>
      </w:r>
      <w:r w:rsidR="5CDE0912" w:rsidRPr="3BEABD71">
        <w:rPr>
          <w:color w:val="auto"/>
        </w:rPr>
        <w:t xml:space="preserve"> </w:t>
      </w:r>
      <w:r w:rsidR="0518170A" w:rsidRPr="3BEABD71">
        <w:rPr>
          <w:color w:val="auto"/>
        </w:rPr>
        <w:t xml:space="preserve">the words ‘or retired’ after the word ‘surrendered’ in the definition for </w:t>
      </w:r>
      <w:proofErr w:type="spellStart"/>
      <w:r w:rsidR="0518170A" w:rsidRPr="3BEABD71">
        <w:rPr>
          <w:i/>
          <w:iCs/>
          <w:color w:val="auto"/>
        </w:rPr>
        <w:t>RECsurr</w:t>
      </w:r>
      <w:proofErr w:type="spellEnd"/>
      <w:r w:rsidR="0518170A" w:rsidRPr="3BEABD71">
        <w:rPr>
          <w:i/>
          <w:iCs/>
          <w:color w:val="auto"/>
        </w:rPr>
        <w:t xml:space="preserve">. </w:t>
      </w:r>
      <w:r w:rsidR="0518170A" w:rsidRPr="3BEABD71">
        <w:rPr>
          <w:color w:val="auto"/>
        </w:rPr>
        <w:t xml:space="preserve">This </w:t>
      </w:r>
      <w:r w:rsidR="447375A5" w:rsidRPr="3BEABD71">
        <w:rPr>
          <w:color w:val="auto"/>
        </w:rPr>
        <w:t xml:space="preserve">value represents </w:t>
      </w:r>
      <w:proofErr w:type="gramStart"/>
      <w:r w:rsidR="12EA12E0" w:rsidRPr="3BEABD71">
        <w:rPr>
          <w:color w:val="auto"/>
        </w:rPr>
        <w:t>a number of</w:t>
      </w:r>
      <w:proofErr w:type="gramEnd"/>
      <w:r w:rsidR="12EA12E0" w:rsidRPr="3BEABD71">
        <w:rPr>
          <w:color w:val="auto"/>
        </w:rPr>
        <w:t xml:space="preserve"> eligible Renewable Energy Certificates that have relevantly been surrendered or retired. </w:t>
      </w:r>
    </w:p>
    <w:p w14:paraId="15DA2B5D" w14:textId="321643EB" w:rsidR="6040429D" w:rsidRDefault="6040429D" w:rsidP="3BEABD71">
      <w:pPr>
        <w:pStyle w:val="Normal-em"/>
        <w:spacing w:after="0" w:line="240" w:lineRule="auto"/>
        <w:ind w:left="720"/>
        <w:rPr>
          <w:color w:val="auto"/>
        </w:rPr>
      </w:pPr>
    </w:p>
    <w:p w14:paraId="7DF735E9" w14:textId="3D647386" w:rsidR="12EA12E0" w:rsidRDefault="12EA12E0" w:rsidP="3BEABD71">
      <w:pPr>
        <w:pStyle w:val="Normal-em"/>
        <w:numPr>
          <w:ilvl w:val="0"/>
          <w:numId w:val="2"/>
        </w:numPr>
        <w:spacing w:after="0" w:line="240" w:lineRule="auto"/>
        <w:rPr>
          <w:color w:val="000000" w:themeColor="text1"/>
        </w:rPr>
      </w:pPr>
      <w:r w:rsidRPr="77081A7D">
        <w:rPr>
          <w:color w:val="auto"/>
        </w:rPr>
        <w:t>While the term ‘surrendered’ is relevant to LGCs, the expansion of the method to REGOs requires that the term ‘retired’ also be included, which is the appropriate term used unde</w:t>
      </w:r>
      <w:r w:rsidR="3BC7820C" w:rsidRPr="77081A7D">
        <w:rPr>
          <w:color w:val="auto"/>
        </w:rPr>
        <w:t xml:space="preserve">r </w:t>
      </w:r>
      <w:r w:rsidR="00EA08C3" w:rsidRPr="77081A7D">
        <w:rPr>
          <w:color w:val="auto"/>
        </w:rPr>
        <w:t xml:space="preserve">the </w:t>
      </w:r>
      <w:r w:rsidR="00EA08C3" w:rsidRPr="77081A7D">
        <w:rPr>
          <w:i/>
          <w:iCs/>
          <w:color w:val="auto"/>
        </w:rPr>
        <w:t>Future Made in Australia (Guarantee of Origin) Act 2024</w:t>
      </w:r>
      <w:r w:rsidR="3BC7820C" w:rsidRPr="77081A7D">
        <w:rPr>
          <w:color w:val="auto"/>
        </w:rPr>
        <w:t>. This definition is significant because only REGO certificates that are retired, representing con</w:t>
      </w:r>
      <w:r w:rsidR="56EE3AC5" w:rsidRPr="77081A7D">
        <w:rPr>
          <w:color w:val="auto"/>
        </w:rPr>
        <w:t xml:space="preserve">sumed electricity, can be used for the method. </w:t>
      </w:r>
    </w:p>
    <w:p w14:paraId="3F6E7F1A" w14:textId="6EF9549A" w:rsidR="6040429D" w:rsidRDefault="6040429D" w:rsidP="3BEABD71">
      <w:pPr>
        <w:pStyle w:val="Normal-em"/>
        <w:spacing w:after="0" w:line="240" w:lineRule="auto"/>
        <w:rPr>
          <w:color w:val="000000" w:themeColor="text1"/>
        </w:rPr>
      </w:pPr>
    </w:p>
    <w:p w14:paraId="362B79EB" w14:textId="7D44B307" w:rsidR="77179926" w:rsidRDefault="77179926" w:rsidP="3BEABD71">
      <w:pPr>
        <w:pStyle w:val="Normal-em"/>
        <w:spacing w:after="0" w:line="240" w:lineRule="auto"/>
        <w:rPr>
          <w:b/>
          <w:bCs/>
          <w:color w:val="auto"/>
        </w:rPr>
      </w:pPr>
      <w:r w:rsidRPr="3BEABD71">
        <w:rPr>
          <w:b/>
          <w:bCs/>
          <w:color w:val="auto"/>
        </w:rPr>
        <w:t>Item 3 – Subsections 7.4(3) to (6)</w:t>
      </w:r>
    </w:p>
    <w:p w14:paraId="454DAA1D" w14:textId="77777777" w:rsidR="6040429D" w:rsidRDefault="6040429D" w:rsidP="3BEABD71">
      <w:pPr>
        <w:pStyle w:val="Normal-em"/>
        <w:spacing w:after="0" w:line="240" w:lineRule="auto"/>
        <w:rPr>
          <w:b/>
          <w:bCs/>
          <w:color w:val="auto"/>
        </w:rPr>
      </w:pPr>
    </w:p>
    <w:p w14:paraId="22161065" w14:textId="0F7BBCCC" w:rsidR="77179926" w:rsidRDefault="77179926" w:rsidP="3BEABD71">
      <w:pPr>
        <w:pStyle w:val="Normal-em"/>
        <w:numPr>
          <w:ilvl w:val="0"/>
          <w:numId w:val="2"/>
        </w:numPr>
        <w:spacing w:after="0" w:line="240" w:lineRule="auto"/>
        <w:rPr>
          <w:color w:val="auto"/>
        </w:rPr>
      </w:pPr>
      <w:r w:rsidRPr="3BEABD71">
        <w:rPr>
          <w:color w:val="auto"/>
        </w:rPr>
        <w:t xml:space="preserve">This item repeals and substitutes </w:t>
      </w:r>
      <w:r w:rsidR="48EFB928" w:rsidRPr="3BEABD71">
        <w:rPr>
          <w:color w:val="auto"/>
        </w:rPr>
        <w:t xml:space="preserve">subsections 7.4(3) through to 7.4(6), with new subsections (3) and (4). There are two main reasons for </w:t>
      </w:r>
      <w:r w:rsidR="6BE3D243" w:rsidRPr="3BEABD71">
        <w:rPr>
          <w:color w:val="auto"/>
        </w:rPr>
        <w:t>these amendments</w:t>
      </w:r>
      <w:r w:rsidR="5CB3C4B1" w:rsidRPr="3BEABD71">
        <w:rPr>
          <w:color w:val="auto"/>
        </w:rPr>
        <w:t xml:space="preserve">. </w:t>
      </w:r>
    </w:p>
    <w:p w14:paraId="0E882538" w14:textId="08861FA8" w:rsidR="6040429D" w:rsidRDefault="6040429D" w:rsidP="3BEABD71">
      <w:pPr>
        <w:pStyle w:val="Normal-em"/>
        <w:spacing w:after="0" w:line="240" w:lineRule="auto"/>
        <w:ind w:left="720"/>
        <w:rPr>
          <w:color w:val="auto"/>
        </w:rPr>
      </w:pPr>
    </w:p>
    <w:p w14:paraId="30F90D6E" w14:textId="26447029" w:rsidR="45349AE1" w:rsidRDefault="45349AE1" w:rsidP="3BEABD71">
      <w:pPr>
        <w:pStyle w:val="Normal-em"/>
        <w:numPr>
          <w:ilvl w:val="0"/>
          <w:numId w:val="2"/>
        </w:numPr>
        <w:spacing w:after="0" w:line="240" w:lineRule="auto"/>
        <w:rPr>
          <w:color w:val="auto"/>
        </w:rPr>
      </w:pPr>
      <w:r w:rsidRPr="3BEABD71">
        <w:rPr>
          <w:color w:val="auto"/>
        </w:rPr>
        <w:t xml:space="preserve">Firstly, these amendments improve the drafting and interpretation of the existing provisions. Necessary defined terms are consolidated and </w:t>
      </w:r>
      <w:r w:rsidR="763C4D70" w:rsidRPr="3BEABD71">
        <w:rPr>
          <w:color w:val="auto"/>
        </w:rPr>
        <w:t>requirements relating to eligible Renewable Energy Certificates are better articulated.</w:t>
      </w:r>
    </w:p>
    <w:p w14:paraId="0CE952E9" w14:textId="65EE4EAC" w:rsidR="3BBEA564" w:rsidRDefault="3BBEA564" w:rsidP="3BEABD71">
      <w:pPr>
        <w:pStyle w:val="Normal-em"/>
        <w:spacing w:after="0" w:line="240" w:lineRule="auto"/>
        <w:ind w:left="720"/>
        <w:rPr>
          <w:color w:val="auto"/>
        </w:rPr>
      </w:pPr>
    </w:p>
    <w:p w14:paraId="0F5D7034" w14:textId="7073E08C" w:rsidR="1AD5DFBF" w:rsidRDefault="1AD5DFBF" w:rsidP="3BEABD71">
      <w:pPr>
        <w:pStyle w:val="Normal-em"/>
        <w:numPr>
          <w:ilvl w:val="0"/>
          <w:numId w:val="2"/>
        </w:numPr>
        <w:spacing w:after="0" w:line="240" w:lineRule="auto"/>
        <w:rPr>
          <w:color w:val="auto"/>
          <w:sz w:val="22"/>
          <w:szCs w:val="22"/>
        </w:rPr>
      </w:pPr>
      <w:r w:rsidRPr="3BEABD71">
        <w:rPr>
          <w:color w:val="auto"/>
        </w:rPr>
        <w:t xml:space="preserve">For example, the definition of </w:t>
      </w:r>
      <w:r w:rsidRPr="3BEABD71">
        <w:rPr>
          <w:i/>
          <w:iCs/>
          <w:color w:val="auto"/>
        </w:rPr>
        <w:t xml:space="preserve">eligible Renewable Energy Certificate </w:t>
      </w:r>
      <w:r w:rsidRPr="3BEABD71">
        <w:rPr>
          <w:color w:val="auto"/>
        </w:rPr>
        <w:t xml:space="preserve">has been refined to clarify that </w:t>
      </w:r>
      <w:proofErr w:type="spellStart"/>
      <w:r w:rsidRPr="3BEABD71">
        <w:rPr>
          <w:color w:val="auto"/>
        </w:rPr>
        <w:t>Green</w:t>
      </w:r>
      <w:r w:rsidR="6A208312" w:rsidRPr="3BEABD71">
        <w:rPr>
          <w:color w:val="auto"/>
        </w:rPr>
        <w:t>P</w:t>
      </w:r>
      <w:r w:rsidRPr="3BEABD71">
        <w:rPr>
          <w:color w:val="auto"/>
        </w:rPr>
        <w:t>ower</w:t>
      </w:r>
      <w:proofErr w:type="spellEnd"/>
      <w:r w:rsidRPr="3BEABD71">
        <w:rPr>
          <w:color w:val="auto"/>
        </w:rPr>
        <w:t xml:space="preserve"> c</w:t>
      </w:r>
      <w:r w:rsidR="61DE4D72" w:rsidRPr="3BEABD71">
        <w:rPr>
          <w:color w:val="auto"/>
        </w:rPr>
        <w:t xml:space="preserve">ertificates represent the purchase of electricity from an accredited </w:t>
      </w:r>
      <w:proofErr w:type="spellStart"/>
      <w:r w:rsidR="61DE4D72" w:rsidRPr="3BEABD71">
        <w:rPr>
          <w:color w:val="auto"/>
        </w:rPr>
        <w:t>GreenPower</w:t>
      </w:r>
      <w:proofErr w:type="spellEnd"/>
      <w:r w:rsidR="61DE4D72" w:rsidRPr="3BEABD71">
        <w:rPr>
          <w:color w:val="auto"/>
        </w:rPr>
        <w:t xml:space="preserve"> Provide</w:t>
      </w:r>
      <w:r w:rsidR="61DE4D72" w:rsidRPr="3BEABD71">
        <w:rPr>
          <w:color w:val="auto"/>
          <w:sz w:val="22"/>
          <w:szCs w:val="22"/>
        </w:rPr>
        <w:t xml:space="preserve">r. </w:t>
      </w:r>
    </w:p>
    <w:p w14:paraId="6B998D17" w14:textId="2EDDE855" w:rsidR="6040429D" w:rsidRDefault="6040429D" w:rsidP="3BEABD71">
      <w:pPr>
        <w:pStyle w:val="Normal-em"/>
        <w:spacing w:after="0" w:line="240" w:lineRule="auto"/>
        <w:ind w:left="720"/>
        <w:rPr>
          <w:color w:val="auto"/>
        </w:rPr>
      </w:pPr>
    </w:p>
    <w:p w14:paraId="3EBE7C8C" w14:textId="2BA8D27D" w:rsidR="763C4D70" w:rsidRDefault="763C4D70" w:rsidP="3BEABD71">
      <w:pPr>
        <w:pStyle w:val="Normal-em"/>
        <w:numPr>
          <w:ilvl w:val="0"/>
          <w:numId w:val="2"/>
        </w:numPr>
        <w:spacing w:after="0" w:line="240" w:lineRule="auto"/>
        <w:rPr>
          <w:color w:val="000000" w:themeColor="text1"/>
        </w:rPr>
      </w:pPr>
      <w:r w:rsidRPr="3BEABD71">
        <w:rPr>
          <w:color w:val="auto"/>
        </w:rPr>
        <w:t xml:space="preserve">Secondly, these amendments </w:t>
      </w:r>
      <w:r w:rsidR="430A8099" w:rsidRPr="3BEABD71">
        <w:rPr>
          <w:color w:val="auto"/>
        </w:rPr>
        <w:t xml:space="preserve">expand the method to include REGO certificates. </w:t>
      </w:r>
      <w:r w:rsidR="1F2BB0FC" w:rsidRPr="3BEABD71">
        <w:rPr>
          <w:color w:val="auto"/>
        </w:rPr>
        <w:t>Eligible Renewable Energy Certificates include retired REGO certificates, other than</w:t>
      </w:r>
    </w:p>
    <w:p w14:paraId="7207A7B1" w14:textId="24993969" w:rsidR="763C4D70" w:rsidRDefault="1F2BB0FC" w:rsidP="3BEABD71">
      <w:pPr>
        <w:pStyle w:val="Normal-em"/>
        <w:numPr>
          <w:ilvl w:val="1"/>
          <w:numId w:val="2"/>
        </w:numPr>
        <w:spacing w:after="0" w:line="240" w:lineRule="auto"/>
        <w:rPr>
          <w:color w:val="000000" w:themeColor="text1"/>
        </w:rPr>
      </w:pPr>
      <w:r w:rsidRPr="3BEABD71">
        <w:rPr>
          <w:color w:val="auto"/>
        </w:rPr>
        <w:t xml:space="preserve">those that are not created in accordance with the </w:t>
      </w:r>
      <w:r w:rsidRPr="3BEABD71">
        <w:rPr>
          <w:i/>
          <w:iCs/>
          <w:color w:val="auto"/>
        </w:rPr>
        <w:t>Future Made in Australia (Guarantee of Origin) Act 2024</w:t>
      </w:r>
      <w:r w:rsidRPr="3BEABD71">
        <w:rPr>
          <w:color w:val="auto"/>
        </w:rPr>
        <w:t xml:space="preserve"> or an instrument made under it; or </w:t>
      </w:r>
    </w:p>
    <w:p w14:paraId="57506181" w14:textId="62D8C047" w:rsidR="763C4D70" w:rsidRDefault="1F2BB0FC" w:rsidP="3BEABD71">
      <w:pPr>
        <w:pStyle w:val="Normal-em"/>
        <w:numPr>
          <w:ilvl w:val="1"/>
          <w:numId w:val="2"/>
        </w:numPr>
        <w:spacing w:after="0" w:line="240" w:lineRule="auto"/>
        <w:rPr>
          <w:color w:val="000000" w:themeColor="text1"/>
        </w:rPr>
      </w:pPr>
      <w:r w:rsidRPr="3BEABD71">
        <w:rPr>
          <w:color w:val="auto"/>
        </w:rPr>
        <w:t>unable to be retired under section 107 or 108 of that Act.</w:t>
      </w:r>
    </w:p>
    <w:p w14:paraId="197FDE54" w14:textId="4A2C2AC0" w:rsidR="6040429D" w:rsidRDefault="6040429D" w:rsidP="3BEABD71">
      <w:pPr>
        <w:pStyle w:val="Normal-em"/>
        <w:spacing w:after="0" w:line="240" w:lineRule="auto"/>
        <w:ind w:left="720"/>
        <w:rPr>
          <w:color w:val="000000" w:themeColor="text1"/>
        </w:rPr>
      </w:pPr>
    </w:p>
    <w:p w14:paraId="2B4D7AA4" w14:textId="42497F60" w:rsidR="28F4CED0" w:rsidRDefault="28F4CED0" w:rsidP="3BEABD71">
      <w:pPr>
        <w:pStyle w:val="Normal-em"/>
        <w:numPr>
          <w:ilvl w:val="0"/>
          <w:numId w:val="2"/>
        </w:numPr>
        <w:spacing w:after="0" w:line="240" w:lineRule="auto"/>
        <w:rPr>
          <w:color w:val="auto"/>
        </w:rPr>
      </w:pPr>
      <w:r w:rsidRPr="3BEABD71">
        <w:rPr>
          <w:color w:val="auto"/>
        </w:rPr>
        <w:t>The exceptions provided under new subparagraphs (3)(c)(</w:t>
      </w:r>
      <w:proofErr w:type="spellStart"/>
      <w:r w:rsidRPr="3BEABD71">
        <w:rPr>
          <w:color w:val="auto"/>
        </w:rPr>
        <w:t>i</w:t>
      </w:r>
      <w:proofErr w:type="spellEnd"/>
      <w:r w:rsidRPr="3BEABD71">
        <w:rPr>
          <w:color w:val="auto"/>
        </w:rPr>
        <w:t xml:space="preserve">) and (ii) ensure that </w:t>
      </w:r>
      <w:r w:rsidR="101323B7" w:rsidRPr="3BEABD71">
        <w:rPr>
          <w:color w:val="auto"/>
        </w:rPr>
        <w:t xml:space="preserve">only properly created REGO certificates that are retired can be used for the method. This would prevent the use of REGO certificates that </w:t>
      </w:r>
      <w:r w:rsidR="7345558E" w:rsidRPr="3BEABD71">
        <w:rPr>
          <w:color w:val="auto"/>
        </w:rPr>
        <w:t xml:space="preserve">are improperly created or improperly retired under the </w:t>
      </w:r>
      <w:r w:rsidR="303A8AD2" w:rsidRPr="3BEABD71">
        <w:rPr>
          <w:color w:val="auto"/>
        </w:rPr>
        <w:t xml:space="preserve">GO Act and GO subordinate legislation. </w:t>
      </w:r>
    </w:p>
    <w:p w14:paraId="54127229" w14:textId="240AC443" w:rsidR="6040429D" w:rsidRDefault="6040429D" w:rsidP="3BEABD71">
      <w:pPr>
        <w:pStyle w:val="Normal-em"/>
        <w:spacing w:after="0" w:line="240" w:lineRule="auto"/>
        <w:ind w:left="720"/>
        <w:rPr>
          <w:color w:val="auto"/>
        </w:rPr>
      </w:pPr>
    </w:p>
    <w:p w14:paraId="385AB4CC" w14:textId="076AA818" w:rsidR="6040429D" w:rsidRDefault="4A5D89E9" w:rsidP="3BEABD71">
      <w:pPr>
        <w:pStyle w:val="Normal-em"/>
        <w:numPr>
          <w:ilvl w:val="0"/>
          <w:numId w:val="2"/>
        </w:numPr>
        <w:spacing w:after="0" w:line="240" w:lineRule="auto"/>
        <w:rPr>
          <w:color w:val="000000" w:themeColor="text1"/>
        </w:rPr>
      </w:pPr>
      <w:r w:rsidRPr="3BEABD71">
        <w:rPr>
          <w:color w:val="auto"/>
        </w:rPr>
        <w:t xml:space="preserve">Furthermore, </w:t>
      </w:r>
      <w:r w:rsidR="136D2B9A" w:rsidRPr="3BEABD71">
        <w:rPr>
          <w:color w:val="auto"/>
        </w:rPr>
        <w:t xml:space="preserve">two </w:t>
      </w:r>
      <w:r w:rsidR="2C111797" w:rsidRPr="3BEABD71">
        <w:rPr>
          <w:color w:val="auto"/>
        </w:rPr>
        <w:t>new</w:t>
      </w:r>
      <w:r w:rsidR="136D2B9A" w:rsidRPr="3BEABD71">
        <w:rPr>
          <w:color w:val="auto"/>
        </w:rPr>
        <w:t xml:space="preserve"> </w:t>
      </w:r>
      <w:r w:rsidRPr="3BEABD71">
        <w:rPr>
          <w:color w:val="auto"/>
        </w:rPr>
        <w:t xml:space="preserve">provisions </w:t>
      </w:r>
      <w:r w:rsidR="08ED04B4" w:rsidRPr="3BEABD71">
        <w:rPr>
          <w:color w:val="auto"/>
        </w:rPr>
        <w:t xml:space="preserve">provide </w:t>
      </w:r>
      <w:r w:rsidRPr="3BEABD71">
        <w:rPr>
          <w:color w:val="auto"/>
        </w:rPr>
        <w:t>that</w:t>
      </w:r>
      <w:r w:rsidR="3BCB5871" w:rsidRPr="3BEABD71">
        <w:rPr>
          <w:color w:val="auto"/>
        </w:rPr>
        <w:t>:</w:t>
      </w:r>
      <w:r w:rsidR="735301E7" w:rsidRPr="3BEABD71">
        <w:rPr>
          <w:color w:val="auto"/>
        </w:rPr>
        <w:t xml:space="preserve"> </w:t>
      </w:r>
    </w:p>
    <w:p w14:paraId="11D55E1C" w14:textId="44603B0A" w:rsidR="6040429D" w:rsidRDefault="735301E7" w:rsidP="3BEABD71">
      <w:pPr>
        <w:pStyle w:val="Normal-em"/>
        <w:numPr>
          <w:ilvl w:val="1"/>
          <w:numId w:val="2"/>
        </w:numPr>
        <w:spacing w:after="0" w:line="240" w:lineRule="auto"/>
        <w:rPr>
          <w:color w:val="000000" w:themeColor="text1"/>
        </w:rPr>
      </w:pPr>
      <w:r w:rsidRPr="77081A7D">
        <w:rPr>
          <w:color w:val="auto"/>
        </w:rPr>
        <w:t xml:space="preserve">an </w:t>
      </w:r>
      <w:r w:rsidRPr="77081A7D">
        <w:rPr>
          <w:i/>
          <w:iCs/>
          <w:color w:val="auto"/>
        </w:rPr>
        <w:t xml:space="preserve">eligible Renewable Energy Certificate </w:t>
      </w:r>
      <w:r w:rsidRPr="77081A7D">
        <w:rPr>
          <w:color w:val="auto"/>
        </w:rPr>
        <w:t xml:space="preserve">cannot include a </w:t>
      </w:r>
      <w:r w:rsidR="00AD1FAF" w:rsidRPr="77081A7D">
        <w:rPr>
          <w:color w:val="auto"/>
        </w:rPr>
        <w:t>certi</w:t>
      </w:r>
      <w:r w:rsidR="00B73899" w:rsidRPr="77081A7D">
        <w:rPr>
          <w:color w:val="auto"/>
        </w:rPr>
        <w:t xml:space="preserve">ficate </w:t>
      </w:r>
      <w:r w:rsidR="00A21E07" w:rsidRPr="77081A7D">
        <w:rPr>
          <w:color w:val="auto"/>
        </w:rPr>
        <w:t>being retired for the purposes of</w:t>
      </w:r>
      <w:r w:rsidRPr="77081A7D">
        <w:rPr>
          <w:color w:val="auto"/>
        </w:rPr>
        <w:t xml:space="preserve"> </w:t>
      </w:r>
      <w:r w:rsidR="00AD1FAF" w:rsidRPr="77081A7D">
        <w:rPr>
          <w:color w:val="auto"/>
        </w:rPr>
        <w:t xml:space="preserve">eligible registered person </w:t>
      </w:r>
      <w:r w:rsidR="73F3CB1D" w:rsidRPr="77081A7D">
        <w:rPr>
          <w:color w:val="auto"/>
        </w:rPr>
        <w:t>registering</w:t>
      </w:r>
      <w:r w:rsidR="00AD1FAF" w:rsidRPr="77081A7D">
        <w:rPr>
          <w:color w:val="auto"/>
        </w:rPr>
        <w:t xml:space="preserve"> REGO certificates for a registered renewable electricity facility that is an energy storage system—</w:t>
      </w:r>
      <w:r w:rsidR="39140213" w:rsidRPr="77081A7D">
        <w:rPr>
          <w:color w:val="auto"/>
        </w:rPr>
        <w:t xml:space="preserve"> under s 104(6)(b) of the </w:t>
      </w:r>
      <w:r w:rsidR="39140213" w:rsidRPr="77081A7D">
        <w:rPr>
          <w:i/>
          <w:iCs/>
          <w:color w:val="auto"/>
        </w:rPr>
        <w:t>Future Made in Australia (Guarantee of Origin) Act 2024</w:t>
      </w:r>
      <w:r w:rsidR="2DBB0B76" w:rsidRPr="77081A7D">
        <w:rPr>
          <w:i/>
          <w:iCs/>
          <w:color w:val="auto"/>
        </w:rPr>
        <w:t xml:space="preserve">; </w:t>
      </w:r>
      <w:r w:rsidR="2DBB0B76" w:rsidRPr="77081A7D">
        <w:rPr>
          <w:color w:val="auto"/>
        </w:rPr>
        <w:t>and</w:t>
      </w:r>
    </w:p>
    <w:p w14:paraId="48C32BC6" w14:textId="5674FFBD" w:rsidR="6040429D" w:rsidRDefault="365B590E" w:rsidP="3BEABD71">
      <w:pPr>
        <w:pStyle w:val="Normal-em"/>
        <w:numPr>
          <w:ilvl w:val="1"/>
          <w:numId w:val="2"/>
        </w:numPr>
        <w:spacing w:after="0" w:line="240" w:lineRule="auto"/>
        <w:rPr>
          <w:color w:val="auto"/>
          <w:sz w:val="22"/>
          <w:szCs w:val="22"/>
        </w:rPr>
      </w:pPr>
      <w:r w:rsidRPr="3BEABD71">
        <w:rPr>
          <w:color w:val="auto"/>
        </w:rPr>
        <w:t xml:space="preserve">LGCs that are surrendered under </w:t>
      </w:r>
      <w:r w:rsidR="24B0DB64" w:rsidRPr="3BEABD71">
        <w:rPr>
          <w:color w:val="auto"/>
        </w:rPr>
        <w:t>the same circumstances</w:t>
      </w:r>
      <w:r w:rsidR="231258E9" w:rsidRPr="3BEABD71">
        <w:rPr>
          <w:color w:val="auto"/>
        </w:rPr>
        <w:t xml:space="preserve"> (for electricity stored in an energy storage system</w:t>
      </w:r>
      <w:r w:rsidR="0EC809F1" w:rsidRPr="3BEABD71">
        <w:rPr>
          <w:color w:val="auto"/>
        </w:rPr>
        <w:t>)</w:t>
      </w:r>
      <w:r w:rsidR="231258E9" w:rsidRPr="3BEABD71">
        <w:rPr>
          <w:color w:val="auto"/>
        </w:rPr>
        <w:t xml:space="preserve"> are an</w:t>
      </w:r>
      <w:r w:rsidR="231258E9" w:rsidRPr="3BEABD71">
        <w:rPr>
          <w:b/>
          <w:bCs/>
          <w:i/>
          <w:iCs/>
          <w:color w:val="auto"/>
        </w:rPr>
        <w:t xml:space="preserve"> </w:t>
      </w:r>
      <w:r w:rsidR="231258E9" w:rsidRPr="3BEABD71">
        <w:rPr>
          <w:i/>
          <w:iCs/>
          <w:color w:val="auto"/>
          <w:sz w:val="22"/>
          <w:szCs w:val="22"/>
        </w:rPr>
        <w:t>ineligible LGC.</w:t>
      </w:r>
    </w:p>
    <w:p w14:paraId="0F8AC2A1" w14:textId="4A712865" w:rsidR="6040429D" w:rsidRDefault="6040429D" w:rsidP="3BEABD71">
      <w:pPr>
        <w:pStyle w:val="Normal-em"/>
        <w:spacing w:after="0" w:line="240" w:lineRule="auto"/>
        <w:ind w:left="720"/>
        <w:rPr>
          <w:color w:val="000000" w:themeColor="text1"/>
        </w:rPr>
      </w:pPr>
    </w:p>
    <w:p w14:paraId="0FB34E25" w14:textId="2B964903" w:rsidR="6040429D" w:rsidRDefault="519DE3B6" w:rsidP="6E87E004">
      <w:pPr>
        <w:pStyle w:val="Normal-em"/>
        <w:numPr>
          <w:ilvl w:val="0"/>
          <w:numId w:val="2"/>
        </w:numPr>
        <w:spacing w:after="0" w:line="240" w:lineRule="auto"/>
        <w:rPr>
          <w:color w:val="000000" w:themeColor="text1"/>
        </w:rPr>
      </w:pPr>
      <w:r w:rsidRPr="6E87E004">
        <w:rPr>
          <w:color w:val="auto"/>
        </w:rPr>
        <w:t xml:space="preserve">The purpose of the amendments relating to energy storage systems is to ensure that </w:t>
      </w:r>
      <w:r w:rsidR="435AE87A" w:rsidRPr="6E87E004">
        <w:rPr>
          <w:color w:val="auto"/>
        </w:rPr>
        <w:t xml:space="preserve">a renewable energy certificate </w:t>
      </w:r>
      <w:r w:rsidRPr="6E87E004">
        <w:rPr>
          <w:color w:val="auto"/>
        </w:rPr>
        <w:t xml:space="preserve">that is </w:t>
      </w:r>
      <w:r w:rsidR="403625A0" w:rsidRPr="6E87E004">
        <w:rPr>
          <w:color w:val="auto"/>
        </w:rPr>
        <w:t>retired</w:t>
      </w:r>
      <w:r w:rsidR="435AE87A" w:rsidRPr="6E87E004">
        <w:rPr>
          <w:color w:val="auto"/>
        </w:rPr>
        <w:t xml:space="preserve"> or surrendered</w:t>
      </w:r>
      <w:r w:rsidR="403625A0" w:rsidRPr="6E87E004">
        <w:rPr>
          <w:color w:val="auto"/>
        </w:rPr>
        <w:t xml:space="preserve"> for the purposes of creating another REGO certificate</w:t>
      </w:r>
      <w:r w:rsidR="3E33C0E8" w:rsidRPr="6E87E004">
        <w:rPr>
          <w:color w:val="auto"/>
        </w:rPr>
        <w:t xml:space="preserve"> – a certificate which can</w:t>
      </w:r>
      <w:r w:rsidR="621B29C6" w:rsidRPr="6E87E004">
        <w:rPr>
          <w:color w:val="auto"/>
        </w:rPr>
        <w:t xml:space="preserve"> also</w:t>
      </w:r>
      <w:r w:rsidR="3E33C0E8" w:rsidRPr="6E87E004">
        <w:rPr>
          <w:color w:val="auto"/>
        </w:rPr>
        <w:t xml:space="preserve"> be </w:t>
      </w:r>
      <w:r w:rsidR="62775045" w:rsidRPr="6E87E004">
        <w:rPr>
          <w:color w:val="auto"/>
        </w:rPr>
        <w:t>retired –</w:t>
      </w:r>
      <w:r w:rsidR="148343A0" w:rsidRPr="6E87E004">
        <w:rPr>
          <w:color w:val="auto"/>
        </w:rPr>
        <w:t xml:space="preserve"> </w:t>
      </w:r>
      <w:r w:rsidR="6097D806" w:rsidRPr="6E87E004">
        <w:rPr>
          <w:color w:val="auto"/>
        </w:rPr>
        <w:t xml:space="preserve">is not </w:t>
      </w:r>
      <w:r w:rsidR="148343A0" w:rsidRPr="6E87E004">
        <w:rPr>
          <w:color w:val="auto"/>
        </w:rPr>
        <w:t xml:space="preserve">‘double-counted’ </w:t>
      </w:r>
      <w:r w:rsidR="6097D806" w:rsidRPr="6E87E004">
        <w:rPr>
          <w:color w:val="auto"/>
        </w:rPr>
        <w:t xml:space="preserve">for the purposes </w:t>
      </w:r>
      <w:r w:rsidR="53C12220" w:rsidRPr="6E87E004">
        <w:rPr>
          <w:color w:val="auto"/>
        </w:rPr>
        <w:t xml:space="preserve">of </w:t>
      </w:r>
      <w:r w:rsidR="33CF0181" w:rsidRPr="6E87E004">
        <w:rPr>
          <w:color w:val="auto"/>
        </w:rPr>
        <w:t xml:space="preserve">emissions </w:t>
      </w:r>
      <w:r w:rsidR="7D1EDACC" w:rsidRPr="6E87E004">
        <w:rPr>
          <w:color w:val="auto"/>
        </w:rPr>
        <w:t>reporting.</w:t>
      </w:r>
      <w:r w:rsidR="631E7D50" w:rsidRPr="6E87E004">
        <w:rPr>
          <w:color w:val="auto"/>
        </w:rPr>
        <w:t xml:space="preserve"> </w:t>
      </w:r>
      <w:r w:rsidR="22F05654" w:rsidRPr="6E87E004">
        <w:rPr>
          <w:color w:val="auto"/>
        </w:rPr>
        <w:t>This</w:t>
      </w:r>
      <w:r w:rsidR="3000C87D" w:rsidRPr="6E87E004">
        <w:rPr>
          <w:color w:val="auto"/>
        </w:rPr>
        <w:t xml:space="preserve"> amendment</w:t>
      </w:r>
      <w:r w:rsidR="22F05654" w:rsidRPr="6E87E004">
        <w:rPr>
          <w:color w:val="auto"/>
        </w:rPr>
        <w:t xml:space="preserve"> </w:t>
      </w:r>
      <w:r w:rsidR="45AF4069" w:rsidRPr="6E87E004">
        <w:rPr>
          <w:color w:val="auto"/>
        </w:rPr>
        <w:t xml:space="preserve">prevents </w:t>
      </w:r>
      <w:r w:rsidR="148343A0" w:rsidRPr="6E87E004">
        <w:rPr>
          <w:color w:val="auto"/>
        </w:rPr>
        <w:t>misrepresent</w:t>
      </w:r>
      <w:r w:rsidR="41FCC61C" w:rsidRPr="6E87E004">
        <w:rPr>
          <w:color w:val="auto"/>
        </w:rPr>
        <w:t>ing</w:t>
      </w:r>
      <w:r w:rsidR="148343A0" w:rsidRPr="6E87E004">
        <w:rPr>
          <w:color w:val="auto"/>
        </w:rPr>
        <w:t xml:space="preserve"> the renewable electricity that is</w:t>
      </w:r>
      <w:r w:rsidR="098E849E" w:rsidRPr="6E87E004">
        <w:rPr>
          <w:color w:val="auto"/>
        </w:rPr>
        <w:t xml:space="preserve"> consumed from the operation of the facility [</w:t>
      </w:r>
      <w:r w:rsidR="479EC882" w:rsidRPr="6E87E004">
        <w:rPr>
          <w:color w:val="auto"/>
        </w:rPr>
        <w:t xml:space="preserve">e.g. by over-representing the </w:t>
      </w:r>
      <w:r w:rsidR="098E849E" w:rsidRPr="6E87E004">
        <w:rPr>
          <w:color w:val="auto"/>
        </w:rPr>
        <w:t xml:space="preserve">value </w:t>
      </w:r>
      <w:proofErr w:type="spellStart"/>
      <w:r w:rsidR="54F507AB" w:rsidRPr="6E87E004">
        <w:rPr>
          <w:b/>
          <w:bCs/>
          <w:i/>
          <w:iCs/>
          <w:color w:val="auto"/>
          <w:sz w:val="22"/>
          <w:szCs w:val="22"/>
        </w:rPr>
        <w:t>REC</w:t>
      </w:r>
      <w:r w:rsidR="54F507AB" w:rsidRPr="6E87E004">
        <w:rPr>
          <w:b/>
          <w:bCs/>
          <w:i/>
          <w:iCs/>
          <w:color w:val="auto"/>
          <w:sz w:val="14"/>
          <w:szCs w:val="14"/>
          <w:vertAlign w:val="subscript"/>
        </w:rPr>
        <w:t>surr</w:t>
      </w:r>
      <w:proofErr w:type="spellEnd"/>
      <w:r w:rsidR="098E849E" w:rsidRPr="6E87E004">
        <w:rPr>
          <w:b/>
          <w:bCs/>
          <w:i/>
          <w:iCs/>
          <w:color w:val="auto"/>
        </w:rPr>
        <w:t xml:space="preserve"> </w:t>
      </w:r>
      <w:r w:rsidR="098E849E" w:rsidRPr="6E87E004">
        <w:rPr>
          <w:color w:val="auto"/>
        </w:rPr>
        <w:t>under s 7.4(1)].</w:t>
      </w:r>
      <w:r w:rsidR="0B4FA57B" w:rsidRPr="6E87E004">
        <w:rPr>
          <w:color w:val="auto"/>
        </w:rPr>
        <w:t xml:space="preserve"> </w:t>
      </w:r>
    </w:p>
    <w:p w14:paraId="36797C80" w14:textId="3E253BC6" w:rsidR="1B7CA0AD" w:rsidRDefault="1B7CA0AD" w:rsidP="3BEABD71">
      <w:pPr>
        <w:pStyle w:val="Normal-em"/>
        <w:spacing w:after="0" w:line="240" w:lineRule="auto"/>
        <w:ind w:left="720"/>
        <w:rPr>
          <w:color w:val="000000" w:themeColor="text1"/>
        </w:rPr>
      </w:pPr>
    </w:p>
    <w:p w14:paraId="5E6DB589" w14:textId="43111050" w:rsidR="7297230F" w:rsidRDefault="7297230F" w:rsidP="3BEABD71">
      <w:pPr>
        <w:pStyle w:val="Normal-em"/>
        <w:numPr>
          <w:ilvl w:val="0"/>
          <w:numId w:val="2"/>
        </w:numPr>
        <w:spacing w:after="0" w:line="240" w:lineRule="auto"/>
        <w:rPr>
          <w:color w:val="auto"/>
        </w:rPr>
      </w:pPr>
      <w:r w:rsidRPr="3BEABD71">
        <w:rPr>
          <w:color w:val="auto"/>
        </w:rPr>
        <w:t>New paragraph (4)(c) requires that evidence be provided to the Regulator for the retirement of a REGO certificate. This evidence is prescribed as the unique identification code recorded on the REGO certificate in the GO Register.</w:t>
      </w:r>
    </w:p>
    <w:p w14:paraId="58FCC0DB" w14:textId="1D6EF97B" w:rsidR="6040429D" w:rsidRDefault="6040429D" w:rsidP="3BEABD71">
      <w:pPr>
        <w:pStyle w:val="Normal-em"/>
        <w:spacing w:after="0" w:line="240" w:lineRule="auto"/>
        <w:rPr>
          <w:color w:val="auto"/>
        </w:rPr>
      </w:pPr>
    </w:p>
    <w:p w14:paraId="5F1E7915" w14:textId="284E6FBE" w:rsidR="303A8AD2" w:rsidRDefault="303A8AD2" w:rsidP="3BEABD71">
      <w:pPr>
        <w:pStyle w:val="Normal-em"/>
        <w:spacing w:after="0" w:line="240" w:lineRule="auto"/>
        <w:rPr>
          <w:b/>
          <w:bCs/>
          <w:color w:val="auto"/>
        </w:rPr>
      </w:pPr>
      <w:r w:rsidRPr="3BEABD71">
        <w:rPr>
          <w:b/>
          <w:bCs/>
          <w:color w:val="auto"/>
        </w:rPr>
        <w:t xml:space="preserve">Item </w:t>
      </w:r>
      <w:r w:rsidR="6270D35D" w:rsidRPr="3BEABD71">
        <w:rPr>
          <w:b/>
          <w:bCs/>
          <w:color w:val="auto"/>
        </w:rPr>
        <w:t>4</w:t>
      </w:r>
      <w:r w:rsidRPr="3BEABD71">
        <w:rPr>
          <w:b/>
          <w:bCs/>
          <w:color w:val="auto"/>
        </w:rPr>
        <w:t xml:space="preserve"> – </w:t>
      </w:r>
      <w:r w:rsidR="3865A627" w:rsidRPr="3BEABD71">
        <w:rPr>
          <w:b/>
          <w:bCs/>
          <w:color w:val="auto"/>
        </w:rPr>
        <w:t>At the end of Chapter 9</w:t>
      </w:r>
    </w:p>
    <w:p w14:paraId="25620B98" w14:textId="77777777" w:rsidR="6040429D" w:rsidRDefault="6040429D" w:rsidP="3BEABD71">
      <w:pPr>
        <w:pStyle w:val="Normal-em"/>
        <w:spacing w:after="0" w:line="240" w:lineRule="auto"/>
        <w:rPr>
          <w:b/>
          <w:bCs/>
          <w:color w:val="auto"/>
        </w:rPr>
      </w:pPr>
    </w:p>
    <w:p w14:paraId="188026BE" w14:textId="77777777" w:rsidR="00776FDC" w:rsidRPr="00776FDC" w:rsidRDefault="303A8AD2" w:rsidP="00995EC8">
      <w:pPr>
        <w:pStyle w:val="Normal-em"/>
        <w:numPr>
          <w:ilvl w:val="0"/>
          <w:numId w:val="2"/>
        </w:numPr>
        <w:spacing w:after="0" w:line="240" w:lineRule="auto"/>
        <w:rPr>
          <w:szCs w:val="24"/>
        </w:rPr>
      </w:pPr>
      <w:r w:rsidRPr="3BEABD71">
        <w:rPr>
          <w:color w:val="auto"/>
        </w:rPr>
        <w:t xml:space="preserve">This </w:t>
      </w:r>
      <w:r w:rsidR="04A9E994" w:rsidRPr="3BEABD71">
        <w:rPr>
          <w:color w:val="auto"/>
        </w:rPr>
        <w:t>item adds an application provision to the</w:t>
      </w:r>
      <w:r w:rsidRPr="3BEABD71">
        <w:rPr>
          <w:color w:val="auto"/>
        </w:rPr>
        <w:t xml:space="preserve"> </w:t>
      </w:r>
      <w:r w:rsidR="4937F2D2" w:rsidRPr="3BEABD71">
        <w:rPr>
          <w:color w:val="auto"/>
        </w:rPr>
        <w:t>Measurement Determination. It ensures that the amended method can be used for NGER Act reporting from 1 July 2025</w:t>
      </w:r>
      <w:r w:rsidR="7EBF11F9" w:rsidRPr="3BEABD71">
        <w:rPr>
          <w:color w:val="auto"/>
        </w:rPr>
        <w:t xml:space="preserve">. This is because the Guarantee of Origin scheme commenced part way through the reporting year. </w:t>
      </w:r>
    </w:p>
    <w:p w14:paraId="7E71A987" w14:textId="02DDF802" w:rsidR="002573BE" w:rsidRPr="00776FDC" w:rsidRDefault="002573BE" w:rsidP="00776FDC">
      <w:pPr>
        <w:pStyle w:val="Normal-em"/>
        <w:spacing w:after="0" w:line="240" w:lineRule="auto"/>
        <w:rPr>
          <w:szCs w:val="24"/>
        </w:rPr>
      </w:pPr>
      <w:r w:rsidRPr="00776FDC">
        <w:rPr>
          <w:szCs w:val="24"/>
        </w:rPr>
        <w:br w:type="page"/>
      </w:r>
    </w:p>
    <w:p w14:paraId="2A315062" w14:textId="0ED51130" w:rsidR="2490220F" w:rsidRPr="007F4ECB" w:rsidRDefault="2490220F" w:rsidP="3BEABD71">
      <w:pPr>
        <w:pStyle w:val="Normal-em"/>
        <w:spacing w:after="0" w:line="240" w:lineRule="auto"/>
        <w:jc w:val="right"/>
        <w:rPr>
          <w:b/>
          <w:bCs/>
          <w:color w:val="auto"/>
          <w:u w:val="single"/>
        </w:rPr>
      </w:pPr>
      <w:r w:rsidRPr="3BEABD71">
        <w:rPr>
          <w:b/>
          <w:bCs/>
          <w:color w:val="auto"/>
          <w:u w:val="single"/>
        </w:rPr>
        <w:t>ATTACHMENT B</w:t>
      </w:r>
    </w:p>
    <w:p w14:paraId="3CBF4766" w14:textId="4A5039A8" w:rsidR="63156A87" w:rsidRPr="007F4ECB" w:rsidRDefault="63156A87" w:rsidP="3BEABD71">
      <w:pPr>
        <w:pStyle w:val="Normal-em"/>
        <w:spacing w:after="0" w:line="240" w:lineRule="auto"/>
        <w:jc w:val="center"/>
        <w:rPr>
          <w:i/>
          <w:iCs/>
          <w:color w:val="auto"/>
        </w:rPr>
      </w:pPr>
    </w:p>
    <w:p w14:paraId="2BE7CE54" w14:textId="77777777" w:rsidR="002573BE" w:rsidRPr="007F4ECB" w:rsidRDefault="002573BE" w:rsidP="3BEABD71">
      <w:pPr>
        <w:spacing w:after="0" w:line="240" w:lineRule="auto"/>
        <w:rPr>
          <w:rFonts w:ascii="Times New Roman" w:hAnsi="Times New Roman" w:cs="Times New Roman"/>
          <w:sz w:val="24"/>
          <w:szCs w:val="24"/>
        </w:rPr>
      </w:pPr>
    </w:p>
    <w:p w14:paraId="76E33D49" w14:textId="77777777" w:rsidR="002573BE" w:rsidRPr="007F4ECB" w:rsidRDefault="002573BE" w:rsidP="3BEABD71">
      <w:pPr>
        <w:spacing w:after="0" w:line="240" w:lineRule="auto"/>
        <w:jc w:val="center"/>
        <w:rPr>
          <w:rFonts w:ascii="Times New Roman" w:hAnsi="Times New Roman" w:cs="Times New Roman"/>
          <w:b/>
          <w:bCs/>
          <w:sz w:val="24"/>
          <w:szCs w:val="24"/>
        </w:rPr>
      </w:pPr>
      <w:r w:rsidRPr="3BEABD71">
        <w:rPr>
          <w:rFonts w:ascii="Times New Roman" w:hAnsi="Times New Roman" w:cs="Times New Roman"/>
          <w:b/>
          <w:bCs/>
          <w:sz w:val="24"/>
          <w:szCs w:val="24"/>
        </w:rPr>
        <w:t>Statement of Compatibility with Human Rights</w:t>
      </w:r>
    </w:p>
    <w:p w14:paraId="06B31262" w14:textId="77777777" w:rsidR="002573BE" w:rsidRPr="007F4ECB" w:rsidRDefault="002573BE" w:rsidP="3BEABD71">
      <w:pPr>
        <w:spacing w:after="0" w:line="240" w:lineRule="auto"/>
        <w:jc w:val="center"/>
        <w:rPr>
          <w:rFonts w:ascii="Times New Roman" w:hAnsi="Times New Roman" w:cs="Times New Roman"/>
          <w:b/>
          <w:bCs/>
          <w:sz w:val="24"/>
          <w:szCs w:val="24"/>
        </w:rPr>
      </w:pPr>
    </w:p>
    <w:p w14:paraId="1ED4ECA1" w14:textId="77777777" w:rsidR="002573BE" w:rsidRPr="007F4ECB" w:rsidRDefault="002573BE" w:rsidP="3BEABD71">
      <w:pPr>
        <w:spacing w:after="0" w:line="240" w:lineRule="auto"/>
        <w:jc w:val="center"/>
        <w:rPr>
          <w:rFonts w:ascii="Times New Roman" w:hAnsi="Times New Roman" w:cs="Times New Roman"/>
          <w:sz w:val="24"/>
          <w:szCs w:val="24"/>
        </w:rPr>
      </w:pPr>
      <w:r w:rsidRPr="3BEABD71">
        <w:rPr>
          <w:rFonts w:ascii="Times New Roman" w:hAnsi="Times New Roman" w:cs="Times New Roman"/>
          <w:i/>
          <w:iCs/>
          <w:sz w:val="24"/>
          <w:szCs w:val="24"/>
        </w:rPr>
        <w:t>Prepared in accordance with Part 3 of the Human Rights (Parliamentary Scrutiny) Act 2011</w:t>
      </w:r>
    </w:p>
    <w:p w14:paraId="6986AAB6" w14:textId="77777777" w:rsidR="002573BE" w:rsidRPr="007F4ECB" w:rsidRDefault="002573BE" w:rsidP="3BEABD71">
      <w:pPr>
        <w:spacing w:after="0" w:line="240" w:lineRule="auto"/>
        <w:jc w:val="center"/>
        <w:rPr>
          <w:rFonts w:ascii="Times New Roman" w:hAnsi="Times New Roman" w:cs="Times New Roman"/>
          <w:sz w:val="24"/>
          <w:szCs w:val="24"/>
        </w:rPr>
      </w:pPr>
    </w:p>
    <w:p w14:paraId="2AAA5D50" w14:textId="77777777" w:rsidR="008F23EB" w:rsidRPr="0076464D" w:rsidRDefault="008F23EB" w:rsidP="3BEABD71">
      <w:pPr>
        <w:spacing w:after="0" w:line="240" w:lineRule="auto"/>
        <w:jc w:val="center"/>
        <w:rPr>
          <w:rFonts w:ascii="Times New Roman" w:hAnsi="Times New Roman" w:cs="Times New Roman"/>
          <w:i/>
          <w:iCs/>
          <w:sz w:val="24"/>
          <w:szCs w:val="24"/>
          <w:u w:val="single"/>
        </w:rPr>
      </w:pPr>
      <w:r w:rsidRPr="3BEABD71">
        <w:rPr>
          <w:rFonts w:ascii="Times New Roman" w:hAnsi="Times New Roman" w:cs="Times New Roman"/>
          <w:i/>
          <w:iCs/>
          <w:sz w:val="24"/>
          <w:szCs w:val="24"/>
          <w:u w:val="single"/>
        </w:rPr>
        <w:t>National Greenhouse and Energy Reporting (Measurement) Amendment (2025 Update No. 2) Determination 2025</w:t>
      </w:r>
    </w:p>
    <w:p w14:paraId="0D3F9BC7" w14:textId="77777777" w:rsidR="002573BE" w:rsidRPr="007F4ECB" w:rsidRDefault="002573BE" w:rsidP="3BEABD71">
      <w:pPr>
        <w:spacing w:after="0" w:line="240" w:lineRule="auto"/>
        <w:jc w:val="center"/>
        <w:rPr>
          <w:rFonts w:ascii="Times New Roman" w:hAnsi="Times New Roman" w:cs="Times New Roman"/>
          <w:sz w:val="24"/>
          <w:szCs w:val="24"/>
        </w:rPr>
      </w:pPr>
    </w:p>
    <w:p w14:paraId="5C47DBF6" w14:textId="77777777" w:rsidR="002573BE" w:rsidRPr="007F4ECB" w:rsidRDefault="002573BE" w:rsidP="3BEABD71">
      <w:pPr>
        <w:spacing w:after="0" w:line="240" w:lineRule="auto"/>
        <w:rPr>
          <w:rFonts w:ascii="Times New Roman" w:hAnsi="Times New Roman" w:cs="Times New Roman"/>
          <w:sz w:val="24"/>
          <w:szCs w:val="24"/>
        </w:rPr>
      </w:pPr>
      <w:r w:rsidRPr="3BEABD71">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3BEABD71">
        <w:rPr>
          <w:rFonts w:ascii="Times New Roman" w:hAnsi="Times New Roman" w:cs="Times New Roman"/>
          <w:i/>
          <w:iCs/>
          <w:sz w:val="24"/>
          <w:szCs w:val="24"/>
        </w:rPr>
        <w:t>Human Rights (Parliamentary Scrutiny) Act 2011</w:t>
      </w:r>
      <w:r w:rsidRPr="3BEABD71">
        <w:rPr>
          <w:rFonts w:ascii="Times New Roman" w:hAnsi="Times New Roman" w:cs="Times New Roman"/>
          <w:sz w:val="24"/>
          <w:szCs w:val="24"/>
        </w:rPr>
        <w:t>.</w:t>
      </w:r>
    </w:p>
    <w:p w14:paraId="4BCE4ED3" w14:textId="77777777" w:rsidR="002573BE" w:rsidRPr="007F4ECB" w:rsidRDefault="002573BE" w:rsidP="3BEABD71">
      <w:pPr>
        <w:spacing w:after="0" w:line="240" w:lineRule="auto"/>
        <w:rPr>
          <w:rFonts w:ascii="Times New Roman" w:hAnsi="Times New Roman" w:cs="Times New Roman"/>
          <w:sz w:val="24"/>
          <w:szCs w:val="24"/>
        </w:rPr>
      </w:pPr>
    </w:p>
    <w:p w14:paraId="44B2C20E" w14:textId="77777777" w:rsidR="002573BE" w:rsidRPr="007F4ECB" w:rsidRDefault="002573BE" w:rsidP="3BEABD71">
      <w:pPr>
        <w:spacing w:after="0" w:line="240" w:lineRule="auto"/>
        <w:jc w:val="both"/>
        <w:rPr>
          <w:rFonts w:ascii="Times New Roman" w:hAnsi="Times New Roman" w:cs="Times New Roman"/>
          <w:b/>
          <w:bCs/>
          <w:sz w:val="24"/>
          <w:szCs w:val="24"/>
        </w:rPr>
      </w:pPr>
      <w:r w:rsidRPr="3BEABD71">
        <w:rPr>
          <w:rFonts w:ascii="Times New Roman" w:hAnsi="Times New Roman" w:cs="Times New Roman"/>
          <w:b/>
          <w:bCs/>
          <w:sz w:val="24"/>
          <w:szCs w:val="24"/>
        </w:rPr>
        <w:t>Overview of the Legislative Instrument</w:t>
      </w:r>
    </w:p>
    <w:p w14:paraId="18CB5EEB" w14:textId="77777777" w:rsidR="002573BE" w:rsidRPr="007F4ECB" w:rsidRDefault="002573BE" w:rsidP="3BEABD71">
      <w:pPr>
        <w:spacing w:after="0" w:line="240" w:lineRule="auto"/>
        <w:rPr>
          <w:rFonts w:ascii="Times New Roman" w:hAnsi="Times New Roman" w:cs="Times New Roman"/>
          <w:sz w:val="24"/>
          <w:szCs w:val="24"/>
        </w:rPr>
      </w:pPr>
    </w:p>
    <w:p w14:paraId="0F9A1AFA" w14:textId="18858E55" w:rsidR="5DB44CAC" w:rsidRDefault="5DB44CAC" w:rsidP="3BEABD71">
      <w:pPr>
        <w:tabs>
          <w:tab w:val="left" w:pos="1701"/>
          <w:tab w:val="right" w:pos="9072"/>
        </w:tabs>
        <w:spacing w:after="0" w:line="240" w:lineRule="auto"/>
        <w:rPr>
          <w:rFonts w:ascii="Times New Roman" w:hAnsi="Times New Roman" w:cs="Times New Roman"/>
          <w:sz w:val="24"/>
          <w:szCs w:val="24"/>
        </w:rPr>
      </w:pPr>
      <w:r w:rsidRPr="3BEABD71">
        <w:rPr>
          <w:rFonts w:ascii="Times New Roman" w:hAnsi="Times New Roman" w:cs="Times New Roman"/>
          <w:sz w:val="24"/>
          <w:szCs w:val="24"/>
        </w:rPr>
        <w:t xml:space="preserve">This instrument amends the </w:t>
      </w:r>
      <w:r w:rsidRPr="3BEABD71">
        <w:rPr>
          <w:rFonts w:ascii="Times New Roman" w:hAnsi="Times New Roman" w:cs="Times New Roman"/>
          <w:i/>
          <w:iCs/>
          <w:sz w:val="24"/>
          <w:szCs w:val="24"/>
        </w:rPr>
        <w:t>National Greenhouse and Energy Reporting (Measurement) Determination 2008</w:t>
      </w:r>
      <w:r w:rsidRPr="3BEABD71">
        <w:rPr>
          <w:rFonts w:ascii="Times New Roman" w:hAnsi="Times New Roman" w:cs="Times New Roman"/>
          <w:sz w:val="24"/>
          <w:szCs w:val="24"/>
        </w:rPr>
        <w:t xml:space="preserve"> (Measurement Determination) to update the voluntary market-based method for determining scope 2 emissions from the consumption of purchased or acquired electricity (section 7.4).</w:t>
      </w:r>
    </w:p>
    <w:p w14:paraId="5AD8373D" w14:textId="77777777" w:rsidR="5DE78718" w:rsidRDefault="5DE78718" w:rsidP="3BEABD71">
      <w:pPr>
        <w:tabs>
          <w:tab w:val="left" w:pos="1701"/>
          <w:tab w:val="right" w:pos="9072"/>
        </w:tabs>
        <w:spacing w:after="0" w:line="240" w:lineRule="auto"/>
        <w:rPr>
          <w:rFonts w:ascii="Times New Roman" w:hAnsi="Times New Roman" w:cs="Times New Roman"/>
          <w:sz w:val="24"/>
          <w:szCs w:val="24"/>
        </w:rPr>
      </w:pPr>
    </w:p>
    <w:p w14:paraId="0B4289C5" w14:textId="1F01C24C" w:rsidR="5DB44CAC" w:rsidRDefault="5DB44CAC" w:rsidP="3BEABD71">
      <w:pPr>
        <w:spacing w:before="120" w:line="240" w:lineRule="auto"/>
        <w:rPr>
          <w:rFonts w:ascii="Times New Roman" w:hAnsi="Times New Roman" w:cs="Times New Roman"/>
          <w:sz w:val="24"/>
          <w:szCs w:val="24"/>
        </w:rPr>
      </w:pPr>
      <w:r w:rsidRPr="77081A7D">
        <w:rPr>
          <w:rFonts w:ascii="Times New Roman" w:hAnsi="Times New Roman" w:cs="Times New Roman"/>
          <w:sz w:val="24"/>
          <w:szCs w:val="24"/>
        </w:rPr>
        <w:t xml:space="preserve">The amendments to the market-based method are to include Renewable </w:t>
      </w:r>
      <w:r w:rsidR="0018486C" w:rsidRPr="77081A7D">
        <w:rPr>
          <w:rFonts w:ascii="Times New Roman" w:hAnsi="Times New Roman" w:cs="Times New Roman"/>
          <w:sz w:val="24"/>
          <w:szCs w:val="24"/>
        </w:rPr>
        <w:t xml:space="preserve">Electricity </w:t>
      </w:r>
      <w:r w:rsidRPr="77081A7D">
        <w:rPr>
          <w:rFonts w:ascii="Times New Roman" w:hAnsi="Times New Roman" w:cs="Times New Roman"/>
          <w:sz w:val="24"/>
          <w:szCs w:val="24"/>
        </w:rPr>
        <w:t xml:space="preserve">Guarantee of Origin (REGO) certificates as eligible Renewable Energy Certificates (REC) under the National Greenhouse and Energy Reporting (NGER) scheme. This will provide for an additional REC </w:t>
      </w:r>
      <w:r w:rsidR="133A7014" w:rsidRPr="77081A7D">
        <w:rPr>
          <w:rFonts w:ascii="Times New Roman" w:hAnsi="Times New Roman" w:cs="Times New Roman"/>
          <w:sz w:val="24"/>
          <w:szCs w:val="24"/>
        </w:rPr>
        <w:t>that facilitie</w:t>
      </w:r>
      <w:r w:rsidRPr="77081A7D">
        <w:rPr>
          <w:rFonts w:ascii="Times New Roman" w:hAnsi="Times New Roman" w:cs="Times New Roman"/>
          <w:sz w:val="24"/>
          <w:szCs w:val="24"/>
        </w:rPr>
        <w:t xml:space="preserve">s can procure to </w:t>
      </w:r>
      <w:r w:rsidR="6C3DD783" w:rsidRPr="77081A7D">
        <w:rPr>
          <w:rFonts w:ascii="Times New Roman" w:hAnsi="Times New Roman" w:cs="Times New Roman"/>
          <w:sz w:val="24"/>
          <w:szCs w:val="24"/>
        </w:rPr>
        <w:t xml:space="preserve">prove </w:t>
      </w:r>
      <w:r w:rsidRPr="77081A7D">
        <w:rPr>
          <w:rFonts w:ascii="Times New Roman" w:hAnsi="Times New Roman" w:cs="Times New Roman"/>
          <w:sz w:val="24"/>
          <w:szCs w:val="24"/>
        </w:rPr>
        <w:t xml:space="preserve">consumption of purchased </w:t>
      </w:r>
      <w:r w:rsidR="4619B465" w:rsidRPr="77081A7D">
        <w:rPr>
          <w:rFonts w:ascii="Times New Roman" w:hAnsi="Times New Roman" w:cs="Times New Roman"/>
          <w:sz w:val="24"/>
          <w:szCs w:val="24"/>
        </w:rPr>
        <w:t xml:space="preserve">renewable </w:t>
      </w:r>
      <w:r w:rsidRPr="77081A7D">
        <w:rPr>
          <w:rFonts w:ascii="Times New Roman" w:hAnsi="Times New Roman" w:cs="Times New Roman"/>
          <w:sz w:val="24"/>
          <w:szCs w:val="24"/>
        </w:rPr>
        <w:t>electricity.</w:t>
      </w:r>
    </w:p>
    <w:p w14:paraId="555BB267" w14:textId="77777777" w:rsidR="002573BE" w:rsidRPr="007F4ECB" w:rsidRDefault="002573BE" w:rsidP="3BEABD71">
      <w:pPr>
        <w:spacing w:after="0" w:line="240" w:lineRule="auto"/>
        <w:rPr>
          <w:rFonts w:ascii="Times New Roman" w:hAnsi="Times New Roman" w:cs="Times New Roman"/>
          <w:sz w:val="24"/>
          <w:szCs w:val="24"/>
        </w:rPr>
      </w:pPr>
    </w:p>
    <w:p w14:paraId="39D7EE50" w14:textId="77777777" w:rsidR="002573BE" w:rsidRPr="007F4ECB" w:rsidRDefault="002573BE" w:rsidP="3BEABD71">
      <w:pPr>
        <w:spacing w:after="0" w:line="240" w:lineRule="auto"/>
        <w:jc w:val="both"/>
        <w:rPr>
          <w:rFonts w:ascii="Times New Roman" w:hAnsi="Times New Roman" w:cs="Times New Roman"/>
          <w:b/>
          <w:bCs/>
          <w:sz w:val="24"/>
          <w:szCs w:val="24"/>
        </w:rPr>
      </w:pPr>
      <w:r w:rsidRPr="3BEABD71">
        <w:rPr>
          <w:rFonts w:ascii="Times New Roman" w:hAnsi="Times New Roman" w:cs="Times New Roman"/>
          <w:b/>
          <w:bCs/>
          <w:sz w:val="24"/>
          <w:szCs w:val="24"/>
        </w:rPr>
        <w:t>Human rights implications</w:t>
      </w:r>
    </w:p>
    <w:p w14:paraId="773B0C05" w14:textId="68E1E4AB" w:rsidR="00AD7122" w:rsidRPr="007F4ECB" w:rsidRDefault="00AD7122" w:rsidP="3BEABD71">
      <w:pPr>
        <w:spacing w:after="0" w:line="240" w:lineRule="auto"/>
        <w:jc w:val="both"/>
        <w:rPr>
          <w:rFonts w:ascii="Times New Roman" w:hAnsi="Times New Roman" w:cs="Times New Roman"/>
          <w:b/>
          <w:bCs/>
          <w:sz w:val="24"/>
          <w:szCs w:val="24"/>
        </w:rPr>
      </w:pPr>
    </w:p>
    <w:p w14:paraId="0910F8EA" w14:textId="25FFFD26" w:rsidR="002573BE" w:rsidRPr="007F4ECB" w:rsidRDefault="002573BE" w:rsidP="3BEABD71">
      <w:pPr>
        <w:spacing w:after="0" w:line="240" w:lineRule="auto"/>
        <w:rPr>
          <w:rFonts w:ascii="Times New Roman" w:hAnsi="Times New Roman" w:cs="Times New Roman"/>
          <w:sz w:val="24"/>
          <w:szCs w:val="24"/>
        </w:rPr>
      </w:pPr>
      <w:r w:rsidRPr="3BEABD71">
        <w:rPr>
          <w:rFonts w:ascii="Times New Roman" w:hAnsi="Times New Roman" w:cs="Times New Roman"/>
          <w:sz w:val="24"/>
          <w:szCs w:val="24"/>
        </w:rPr>
        <w:t>This Legislative Instrument does not engage any of the applicable rights or freedoms.</w:t>
      </w:r>
      <w:r w:rsidR="0D91EF74" w:rsidRPr="3BEABD71">
        <w:rPr>
          <w:rFonts w:ascii="Times New Roman" w:hAnsi="Times New Roman" w:cs="Times New Roman"/>
          <w:sz w:val="24"/>
          <w:szCs w:val="24"/>
        </w:rPr>
        <w:t xml:space="preserve"> The amendments only pertain to how reporting entities </w:t>
      </w:r>
      <w:proofErr w:type="gramStart"/>
      <w:r w:rsidR="0D91EF74" w:rsidRPr="3BEABD71">
        <w:rPr>
          <w:rFonts w:ascii="Times New Roman" w:hAnsi="Times New Roman" w:cs="Times New Roman"/>
          <w:sz w:val="24"/>
          <w:szCs w:val="24"/>
        </w:rPr>
        <w:t>are able to</w:t>
      </w:r>
      <w:proofErr w:type="gramEnd"/>
      <w:r w:rsidR="0D91EF74" w:rsidRPr="3BEABD71">
        <w:rPr>
          <w:rFonts w:ascii="Times New Roman" w:hAnsi="Times New Roman" w:cs="Times New Roman"/>
          <w:sz w:val="24"/>
          <w:szCs w:val="24"/>
        </w:rPr>
        <w:t xml:space="preserve"> calculate their </w:t>
      </w:r>
      <w:r w:rsidR="2F79C653" w:rsidRPr="3BEABD71">
        <w:rPr>
          <w:rFonts w:ascii="Times New Roman" w:hAnsi="Times New Roman" w:cs="Times New Roman"/>
          <w:sz w:val="24"/>
          <w:szCs w:val="24"/>
        </w:rPr>
        <w:t xml:space="preserve">greenhouse gas </w:t>
      </w:r>
      <w:r w:rsidR="0D91EF74" w:rsidRPr="3BEABD71">
        <w:rPr>
          <w:rFonts w:ascii="Times New Roman" w:hAnsi="Times New Roman" w:cs="Times New Roman"/>
          <w:sz w:val="24"/>
          <w:szCs w:val="24"/>
        </w:rPr>
        <w:t>emissions</w:t>
      </w:r>
      <w:r w:rsidR="1EC0C067" w:rsidRPr="3BEABD71">
        <w:rPr>
          <w:rFonts w:ascii="Times New Roman" w:hAnsi="Times New Roman" w:cs="Times New Roman"/>
          <w:sz w:val="24"/>
          <w:szCs w:val="24"/>
        </w:rPr>
        <w:t>.</w:t>
      </w:r>
    </w:p>
    <w:p w14:paraId="7E55BAB0" w14:textId="77777777" w:rsidR="00B07C43" w:rsidRPr="007F4ECB" w:rsidRDefault="00B07C43" w:rsidP="3BEABD71">
      <w:pPr>
        <w:spacing w:after="0" w:line="240" w:lineRule="auto"/>
        <w:rPr>
          <w:rFonts w:ascii="Times New Roman" w:hAnsi="Times New Roman" w:cs="Times New Roman"/>
          <w:sz w:val="24"/>
          <w:szCs w:val="24"/>
        </w:rPr>
      </w:pPr>
    </w:p>
    <w:p w14:paraId="34A7D3C1" w14:textId="77777777" w:rsidR="002573BE" w:rsidRPr="007F4ECB" w:rsidRDefault="002573BE" w:rsidP="3BEABD71">
      <w:pPr>
        <w:spacing w:after="0" w:line="240" w:lineRule="auto"/>
        <w:jc w:val="both"/>
        <w:rPr>
          <w:rFonts w:ascii="Times New Roman" w:hAnsi="Times New Roman" w:cs="Times New Roman"/>
          <w:b/>
          <w:bCs/>
          <w:sz w:val="24"/>
          <w:szCs w:val="24"/>
        </w:rPr>
      </w:pPr>
      <w:r w:rsidRPr="3BEABD71">
        <w:rPr>
          <w:rFonts w:ascii="Times New Roman" w:hAnsi="Times New Roman" w:cs="Times New Roman"/>
          <w:b/>
          <w:bCs/>
          <w:sz w:val="24"/>
          <w:szCs w:val="24"/>
        </w:rPr>
        <w:t>Conclusion</w:t>
      </w:r>
    </w:p>
    <w:p w14:paraId="25736889" w14:textId="77777777" w:rsidR="002573BE" w:rsidRPr="007F4ECB" w:rsidRDefault="002573BE" w:rsidP="3BEABD71">
      <w:pPr>
        <w:spacing w:after="0" w:line="240" w:lineRule="auto"/>
        <w:jc w:val="both"/>
        <w:rPr>
          <w:rFonts w:ascii="Times New Roman" w:hAnsi="Times New Roman" w:cs="Times New Roman"/>
          <w:b/>
          <w:bCs/>
          <w:sz w:val="24"/>
          <w:szCs w:val="24"/>
        </w:rPr>
      </w:pPr>
    </w:p>
    <w:p w14:paraId="4C6A8EF5" w14:textId="61F29A49" w:rsidR="002573BE" w:rsidRPr="007F4ECB" w:rsidRDefault="78037B20" w:rsidP="3BEABD71">
      <w:pPr>
        <w:spacing w:after="0" w:line="240" w:lineRule="auto"/>
        <w:rPr>
          <w:rFonts w:ascii="Times New Roman" w:hAnsi="Times New Roman" w:cs="Times New Roman"/>
          <w:sz w:val="24"/>
          <w:szCs w:val="24"/>
        </w:rPr>
      </w:pPr>
      <w:r w:rsidRPr="3BEABD71">
        <w:rPr>
          <w:rFonts w:ascii="Times New Roman" w:hAnsi="Times New Roman" w:cs="Times New Roman"/>
          <w:sz w:val="24"/>
          <w:szCs w:val="24"/>
        </w:rPr>
        <w:t>This Legislative Instrument is compatible with human rights as it does not raise any human rights issues.</w:t>
      </w:r>
    </w:p>
    <w:p w14:paraId="2EFB33CF" w14:textId="77777777" w:rsidR="002573BE" w:rsidRPr="007F4ECB" w:rsidRDefault="002573BE" w:rsidP="3BEABD71">
      <w:pPr>
        <w:spacing w:after="0" w:line="240" w:lineRule="auto"/>
        <w:rPr>
          <w:rFonts w:ascii="Times New Roman" w:hAnsi="Times New Roman" w:cs="Times New Roman"/>
          <w:sz w:val="24"/>
          <w:szCs w:val="24"/>
        </w:rPr>
      </w:pPr>
    </w:p>
    <w:p w14:paraId="33DDC4FF" w14:textId="57073E94" w:rsidR="75692D56" w:rsidRDefault="75692D56" w:rsidP="3BEABD71">
      <w:pPr>
        <w:spacing w:after="0" w:line="240" w:lineRule="auto"/>
        <w:rPr>
          <w:rFonts w:ascii="Times New Roman" w:hAnsi="Times New Roman" w:cs="Times New Roman"/>
          <w:sz w:val="24"/>
          <w:szCs w:val="24"/>
        </w:rPr>
      </w:pPr>
    </w:p>
    <w:p w14:paraId="5F0C69FB" w14:textId="77777777" w:rsidR="002573BE" w:rsidRPr="007F4ECB" w:rsidRDefault="002573BE" w:rsidP="3BEABD71">
      <w:pPr>
        <w:spacing w:after="0" w:line="240" w:lineRule="auto"/>
        <w:jc w:val="center"/>
        <w:rPr>
          <w:rFonts w:ascii="Times New Roman" w:hAnsi="Times New Roman" w:cs="Times New Roman"/>
          <w:b/>
          <w:bCs/>
          <w:sz w:val="24"/>
          <w:szCs w:val="24"/>
        </w:rPr>
      </w:pPr>
    </w:p>
    <w:p w14:paraId="7A4A9C2B" w14:textId="4644AC0A" w:rsidR="002573BE" w:rsidRPr="007F4ECB" w:rsidRDefault="31FA7C5F" w:rsidP="3BEABD71">
      <w:pPr>
        <w:spacing w:after="0" w:line="240" w:lineRule="auto"/>
        <w:jc w:val="center"/>
        <w:rPr>
          <w:rFonts w:ascii="Times New Roman" w:hAnsi="Times New Roman" w:cs="Times New Roman"/>
          <w:b/>
          <w:bCs/>
          <w:sz w:val="24"/>
          <w:szCs w:val="24"/>
        </w:rPr>
      </w:pPr>
      <w:r w:rsidRPr="3BEABD71">
        <w:rPr>
          <w:rFonts w:ascii="Times New Roman" w:hAnsi="Times New Roman" w:cs="Times New Roman"/>
          <w:b/>
          <w:bCs/>
          <w:sz w:val="24"/>
          <w:szCs w:val="24"/>
        </w:rPr>
        <w:t xml:space="preserve">The Hon. </w:t>
      </w:r>
      <w:r w:rsidR="77B215AB" w:rsidRPr="3BEABD71">
        <w:rPr>
          <w:rFonts w:ascii="Times New Roman" w:hAnsi="Times New Roman" w:cs="Times New Roman"/>
          <w:b/>
          <w:bCs/>
          <w:sz w:val="24"/>
          <w:szCs w:val="24"/>
        </w:rPr>
        <w:t>Josh Wilson</w:t>
      </w:r>
      <w:r w:rsidR="4C940C0E" w:rsidRPr="3BEABD71">
        <w:rPr>
          <w:rFonts w:ascii="Times New Roman" w:hAnsi="Times New Roman" w:cs="Times New Roman"/>
          <w:b/>
          <w:bCs/>
          <w:sz w:val="24"/>
          <w:szCs w:val="24"/>
        </w:rPr>
        <w:t xml:space="preserve"> MP</w:t>
      </w:r>
    </w:p>
    <w:p w14:paraId="659A97A3" w14:textId="356EDDB8" w:rsidR="002573BE" w:rsidRPr="007F4ECB" w:rsidRDefault="17EF96A6" w:rsidP="3BEABD71">
      <w:pPr>
        <w:spacing w:after="0" w:line="240" w:lineRule="auto"/>
        <w:jc w:val="center"/>
        <w:rPr>
          <w:rFonts w:ascii="Times New Roman" w:hAnsi="Times New Roman" w:cs="Times New Roman"/>
          <w:b/>
          <w:bCs/>
          <w:sz w:val="24"/>
          <w:szCs w:val="24"/>
        </w:rPr>
      </w:pPr>
      <w:r w:rsidRPr="3BEABD71">
        <w:rPr>
          <w:rFonts w:ascii="Times New Roman" w:hAnsi="Times New Roman" w:cs="Times New Roman"/>
          <w:b/>
          <w:bCs/>
          <w:sz w:val="24"/>
          <w:szCs w:val="24"/>
        </w:rPr>
        <w:t xml:space="preserve">Assistant </w:t>
      </w:r>
      <w:r w:rsidR="31FA7C5F" w:rsidRPr="3BEABD71">
        <w:rPr>
          <w:rFonts w:ascii="Times New Roman" w:hAnsi="Times New Roman" w:cs="Times New Roman"/>
          <w:b/>
          <w:bCs/>
          <w:sz w:val="24"/>
          <w:szCs w:val="24"/>
        </w:rPr>
        <w:t xml:space="preserve">Minister for </w:t>
      </w:r>
      <w:r w:rsidR="2B921A95" w:rsidRPr="3BEABD71">
        <w:rPr>
          <w:rFonts w:ascii="Times New Roman" w:hAnsi="Times New Roman" w:cs="Times New Roman"/>
          <w:b/>
          <w:bCs/>
          <w:sz w:val="24"/>
          <w:szCs w:val="24"/>
        </w:rPr>
        <w:t>Climate Change and En</w:t>
      </w:r>
      <w:r w:rsidR="5B94FB37" w:rsidRPr="3BEABD71">
        <w:rPr>
          <w:rFonts w:ascii="Times New Roman" w:hAnsi="Times New Roman" w:cs="Times New Roman"/>
          <w:b/>
          <w:bCs/>
          <w:sz w:val="24"/>
          <w:szCs w:val="24"/>
        </w:rPr>
        <w:t>e</w:t>
      </w:r>
      <w:r w:rsidR="2B921A95" w:rsidRPr="3BEABD71">
        <w:rPr>
          <w:rFonts w:ascii="Times New Roman" w:hAnsi="Times New Roman" w:cs="Times New Roman"/>
          <w:b/>
          <w:bCs/>
          <w:sz w:val="24"/>
          <w:szCs w:val="24"/>
        </w:rPr>
        <w:t>rgy</w:t>
      </w:r>
    </w:p>
    <w:p w14:paraId="70522E4C" w14:textId="0EE1C988" w:rsidR="63156A87" w:rsidRPr="007F4ECB" w:rsidRDefault="63156A87" w:rsidP="3BEABD71">
      <w:pPr>
        <w:spacing w:after="0" w:line="240" w:lineRule="auto"/>
        <w:jc w:val="center"/>
        <w:rPr>
          <w:rFonts w:ascii="Times New Roman" w:hAnsi="Times New Roman" w:cs="Times New Roman"/>
          <w:b/>
          <w:bCs/>
          <w:sz w:val="24"/>
          <w:szCs w:val="24"/>
        </w:rPr>
      </w:pPr>
    </w:p>
    <w:p w14:paraId="2E6932A8" w14:textId="77777777" w:rsidR="002573BE" w:rsidRPr="005D1ABF" w:rsidRDefault="002573BE" w:rsidP="3BEABD71">
      <w:pPr>
        <w:rPr>
          <w:rFonts w:ascii="Times New Roman" w:hAnsi="Times New Roman" w:cs="Times New Roman"/>
          <w:sz w:val="24"/>
          <w:szCs w:val="24"/>
          <w:lang w:val="en-GB"/>
        </w:rPr>
      </w:pPr>
    </w:p>
    <w:p w14:paraId="1FFE9235" w14:textId="523DC1BA" w:rsidR="00FA26FF" w:rsidRPr="002573BE" w:rsidRDefault="00FA26FF" w:rsidP="3BEABD71"/>
    <w:sectPr w:rsidR="00FA26FF" w:rsidRPr="002573BE" w:rsidSect="00EF7FD4">
      <w:headerReference w:type="even" r:id="rId8"/>
      <w:footerReference w:type="even" r:id="rId9"/>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B8B55" w14:textId="77777777" w:rsidR="00EE540F" w:rsidRDefault="00EE540F" w:rsidP="00151C54">
      <w:r>
        <w:separator/>
      </w:r>
    </w:p>
  </w:endnote>
  <w:endnote w:type="continuationSeparator" w:id="0">
    <w:p w14:paraId="4CBBE774" w14:textId="77777777" w:rsidR="00EE540F" w:rsidRDefault="00EE540F" w:rsidP="00151C54">
      <w:r>
        <w:continuationSeparator/>
      </w:r>
    </w:p>
  </w:endnote>
  <w:endnote w:type="continuationNotice" w:id="1">
    <w:p w14:paraId="4775B527" w14:textId="77777777" w:rsidR="00EE540F" w:rsidRDefault="00EE54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6087" w14:textId="0A00DEB2" w:rsidR="00697805" w:rsidRDefault="00697805">
    <w:pPr>
      <w:pStyle w:val="Footer"/>
    </w:pPr>
    <w:r>
      <w:rPr>
        <w:noProof/>
      </w:rPr>
      <mc:AlternateContent>
        <mc:Choice Requires="wps">
          <w:drawing>
            <wp:anchor distT="0" distB="0" distL="0" distR="0" simplePos="0" relativeHeight="251658244" behindDoc="0" locked="0" layoutInCell="1" allowOverlap="1" wp14:anchorId="5E6C187F" wp14:editId="73F4A510">
              <wp:simplePos x="635" y="635"/>
              <wp:positionH relativeFrom="page">
                <wp:align>center</wp:align>
              </wp:positionH>
              <wp:positionV relativeFrom="page">
                <wp:align>bottom</wp:align>
              </wp:positionV>
              <wp:extent cx="2133600" cy="390525"/>
              <wp:effectExtent l="0" t="0" r="0" b="0"/>
              <wp:wrapNone/>
              <wp:docPr id="12" name="Text Box 12"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33600" cy="390525"/>
                      </a:xfrm>
                      <a:prstGeom prst="rect">
                        <a:avLst/>
                      </a:prstGeom>
                      <a:noFill/>
                      <a:ln>
                        <a:noFill/>
                      </a:ln>
                    </wps:spPr>
                    <wps:txbx>
                      <w:txbxContent>
                        <w:p w14:paraId="7ACA3C21" w14:textId="3B71AB3C" w:rsidR="00697805" w:rsidRPr="00697805" w:rsidRDefault="00697805" w:rsidP="00697805">
                          <w:pPr>
                            <w:spacing w:after="0"/>
                            <w:rPr>
                              <w:rFonts w:ascii="Calibri" w:eastAsia="Calibri" w:hAnsi="Calibri" w:cs="Calibri"/>
                              <w:noProof/>
                              <w:color w:val="FF0000"/>
                              <w:sz w:val="24"/>
                              <w:szCs w:val="24"/>
                            </w:rPr>
                          </w:pPr>
                          <w:r w:rsidRPr="00697805">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6C187F" id="_x0000_t202" coordsize="21600,21600" o:spt="202" path="m,l,21600r21600,l21600,xe">
              <v:stroke joinstyle="miter"/>
              <v:path gradientshapeok="t" o:connecttype="rect"/>
            </v:shapetype>
            <v:shape id="Text Box 12" o:spid="_x0000_s1027" type="#_x0000_t202" alt="OFFICIAL: Sensitive Legal-Privilege" style="position:absolute;margin-left:0;margin-top:0;width:168pt;height:30.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" filled="f" stroked="f">
              <v:textbox style="mso-fit-shape-to-text:t" inset="0,0,0,15pt">
                <w:txbxContent>
                  <w:p w14:paraId="7ACA3C21" w14:textId="3B71AB3C" w:rsidR="00697805" w:rsidRPr="00697805" w:rsidRDefault="00697805" w:rsidP="00697805">
                    <w:pPr>
                      <w:spacing w:after="0"/>
                      <w:rPr>
                        <w:rFonts w:ascii="Calibri" w:eastAsia="Calibri" w:hAnsi="Calibri" w:cs="Calibri"/>
                        <w:noProof/>
                        <w:color w:val="FF0000"/>
                        <w:sz w:val="24"/>
                        <w:szCs w:val="24"/>
                      </w:rPr>
                    </w:pPr>
                    <w:r w:rsidRPr="00697805">
                      <w:rPr>
                        <w:rFonts w:ascii="Calibri" w:eastAsia="Calibri" w:hAnsi="Calibri" w:cs="Calibri"/>
                        <w:noProof/>
                        <w:color w:val="FF0000"/>
                        <w:sz w:val="24"/>
                        <w:szCs w:val="24"/>
                      </w:rPr>
                      <w:t>OFFICIAL: Sensitive Legal-Privilege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405DB" w14:textId="77777777" w:rsidR="00EE540F" w:rsidRDefault="00EE540F" w:rsidP="00151C54">
      <w:r>
        <w:separator/>
      </w:r>
    </w:p>
  </w:footnote>
  <w:footnote w:type="continuationSeparator" w:id="0">
    <w:p w14:paraId="76FDF6F6" w14:textId="77777777" w:rsidR="00EE540F" w:rsidRDefault="00EE540F" w:rsidP="00151C54">
      <w:r>
        <w:continuationSeparator/>
      </w:r>
    </w:p>
  </w:footnote>
  <w:footnote w:type="continuationNotice" w:id="1">
    <w:p w14:paraId="59657DF6" w14:textId="77777777" w:rsidR="00EE540F" w:rsidRDefault="00EE54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1474" w14:textId="5EBB40DF" w:rsidR="00697805" w:rsidRDefault="00697805">
    <w:pPr>
      <w:pStyle w:val="Header"/>
    </w:pPr>
    <w:r>
      <w:rPr>
        <w:noProof/>
      </w:rPr>
      <mc:AlternateContent>
        <mc:Choice Requires="wps">
          <w:drawing>
            <wp:anchor distT="0" distB="0" distL="0" distR="0" simplePos="0" relativeHeight="251658241" behindDoc="0" locked="0" layoutInCell="1" allowOverlap="1" wp14:anchorId="50B49CC1" wp14:editId="03A469FC">
              <wp:simplePos x="635" y="635"/>
              <wp:positionH relativeFrom="page">
                <wp:align>center</wp:align>
              </wp:positionH>
              <wp:positionV relativeFrom="page">
                <wp:align>top</wp:align>
              </wp:positionV>
              <wp:extent cx="2133600" cy="390525"/>
              <wp:effectExtent l="0" t="0" r="0" b="9525"/>
              <wp:wrapNone/>
              <wp:docPr id="6" name="Text Box 6"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33600" cy="390525"/>
                      </a:xfrm>
                      <a:prstGeom prst="rect">
                        <a:avLst/>
                      </a:prstGeom>
                      <a:noFill/>
                      <a:ln>
                        <a:noFill/>
                      </a:ln>
                    </wps:spPr>
                    <wps:txbx>
                      <w:txbxContent>
                        <w:p w14:paraId="4544148A" w14:textId="5FD4D962" w:rsidR="00697805" w:rsidRPr="00697805" w:rsidRDefault="00697805" w:rsidP="00697805">
                          <w:pPr>
                            <w:spacing w:after="0"/>
                            <w:rPr>
                              <w:rFonts w:ascii="Calibri" w:eastAsia="Calibri" w:hAnsi="Calibri" w:cs="Calibri"/>
                              <w:noProof/>
                              <w:color w:val="FF0000"/>
                              <w:sz w:val="24"/>
                              <w:szCs w:val="24"/>
                            </w:rPr>
                          </w:pPr>
                          <w:r w:rsidRPr="00697805">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B49CC1" id="_x0000_t202" coordsize="21600,21600" o:spt="202" path="m,l,21600r21600,l21600,xe">
              <v:stroke joinstyle="miter"/>
              <v:path gradientshapeok="t" o:connecttype="rect"/>
            </v:shapetype>
            <v:shape id="Text Box 6" o:spid="_x0000_s1026" type="#_x0000_t202" alt="OFFICIAL: Sensitive Legal-Privilege" style="position:absolute;margin-left:0;margin-top:0;width:168pt;height:30.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" filled="f" stroked="f">
              <v:textbox style="mso-fit-shape-to-text:t" inset="0,15pt,0,0">
                <w:txbxContent>
                  <w:p w14:paraId="4544148A" w14:textId="5FD4D962" w:rsidR="00697805" w:rsidRPr="00697805" w:rsidRDefault="00697805" w:rsidP="00697805">
                    <w:pPr>
                      <w:spacing w:after="0"/>
                      <w:rPr>
                        <w:rFonts w:ascii="Calibri" w:eastAsia="Calibri" w:hAnsi="Calibri" w:cs="Calibri"/>
                        <w:noProof/>
                        <w:color w:val="FF0000"/>
                        <w:sz w:val="24"/>
                        <w:szCs w:val="24"/>
                      </w:rPr>
                    </w:pPr>
                    <w:r w:rsidRPr="00697805">
                      <w:rPr>
                        <w:rFonts w:ascii="Calibri" w:eastAsia="Calibri" w:hAnsi="Calibri" w:cs="Calibri"/>
                        <w:noProof/>
                        <w:color w:val="FF0000"/>
                        <w:sz w:val="24"/>
                        <w:szCs w:val="24"/>
                      </w:rPr>
                      <w:t>OFFICIAL: Sensitive Legal-Privilege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C511E6"/>
    <w:multiLevelType w:val="hybridMultilevel"/>
    <w:tmpl w:val="A0686400"/>
    <w:lvl w:ilvl="0" w:tplc="BA62CBFC">
      <w:start w:val="1"/>
      <w:numFmt w:val="decimal"/>
      <w:lvlText w:val="%1."/>
      <w:lvlJc w:val="left"/>
      <w:pPr>
        <w:ind w:left="720" w:hanging="360"/>
      </w:pPr>
    </w:lvl>
    <w:lvl w:ilvl="1" w:tplc="272E72FC">
      <w:start w:val="1"/>
      <w:numFmt w:val="lowerLetter"/>
      <w:lvlText w:val="%2."/>
      <w:lvlJc w:val="left"/>
      <w:pPr>
        <w:ind w:left="1440" w:hanging="360"/>
      </w:pPr>
    </w:lvl>
    <w:lvl w:ilvl="2" w:tplc="CA70A1A8">
      <w:start w:val="1"/>
      <w:numFmt w:val="lowerRoman"/>
      <w:lvlText w:val="%3."/>
      <w:lvlJc w:val="right"/>
      <w:pPr>
        <w:ind w:left="2160" w:hanging="180"/>
      </w:pPr>
    </w:lvl>
    <w:lvl w:ilvl="3" w:tplc="3526634E">
      <w:start w:val="1"/>
      <w:numFmt w:val="decimal"/>
      <w:lvlText w:val="%4."/>
      <w:lvlJc w:val="left"/>
      <w:pPr>
        <w:ind w:left="2880" w:hanging="360"/>
      </w:pPr>
    </w:lvl>
    <w:lvl w:ilvl="4" w:tplc="0EC619A2">
      <w:start w:val="1"/>
      <w:numFmt w:val="lowerLetter"/>
      <w:lvlText w:val="%5."/>
      <w:lvlJc w:val="left"/>
      <w:pPr>
        <w:ind w:left="3600" w:hanging="360"/>
      </w:pPr>
    </w:lvl>
    <w:lvl w:ilvl="5" w:tplc="BDCAA0D2">
      <w:start w:val="1"/>
      <w:numFmt w:val="lowerRoman"/>
      <w:lvlText w:val="%6."/>
      <w:lvlJc w:val="right"/>
      <w:pPr>
        <w:ind w:left="4320" w:hanging="180"/>
      </w:pPr>
    </w:lvl>
    <w:lvl w:ilvl="6" w:tplc="3858D250">
      <w:start w:val="1"/>
      <w:numFmt w:val="decimal"/>
      <w:lvlText w:val="%7."/>
      <w:lvlJc w:val="left"/>
      <w:pPr>
        <w:ind w:left="5040" w:hanging="360"/>
      </w:pPr>
    </w:lvl>
    <w:lvl w:ilvl="7" w:tplc="D05044B2">
      <w:start w:val="1"/>
      <w:numFmt w:val="lowerLetter"/>
      <w:lvlText w:val="%8."/>
      <w:lvlJc w:val="left"/>
      <w:pPr>
        <w:ind w:left="5760" w:hanging="360"/>
      </w:pPr>
    </w:lvl>
    <w:lvl w:ilvl="8" w:tplc="C16607AA">
      <w:start w:val="1"/>
      <w:numFmt w:val="lowerRoman"/>
      <w:lvlText w:val="%9."/>
      <w:lvlJc w:val="right"/>
      <w:pPr>
        <w:ind w:left="6480" w:hanging="180"/>
      </w:pPr>
    </w:lvl>
  </w:abstractNum>
  <w:abstractNum w:abstractNumId="3"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FB012B5"/>
    <w:multiLevelType w:val="hybridMultilevel"/>
    <w:tmpl w:val="1FEC2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053AF6"/>
    <w:multiLevelType w:val="hybridMultilevel"/>
    <w:tmpl w:val="E1D68466"/>
    <w:lvl w:ilvl="0" w:tplc="0C090003">
      <w:start w:val="1"/>
      <w:numFmt w:val="bullet"/>
      <w:lvlText w:val="o"/>
      <w:lvlJc w:val="left"/>
      <w:pPr>
        <w:ind w:left="643" w:hanging="360"/>
      </w:pPr>
      <w:rPr>
        <w:rFonts w:ascii="Courier New" w:hAnsi="Courier New" w:cs="Courier New" w:hint="default"/>
      </w:rPr>
    </w:lvl>
    <w:lvl w:ilvl="1" w:tplc="AED6BCBA">
      <w:numFmt w:val="bullet"/>
      <w:lvlText w:val="-"/>
      <w:lvlJc w:val="left"/>
      <w:pPr>
        <w:ind w:left="2160" w:hanging="360"/>
      </w:pPr>
      <w:rPr>
        <w:rFonts w:ascii="Times New Roman" w:eastAsiaTheme="minorEastAsia" w:hAnsi="Times New Roman" w:cs="Times New Roman"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E1579F"/>
    <w:multiLevelType w:val="hybridMultilevel"/>
    <w:tmpl w:val="483A3ECA"/>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0" w15:restartNumberingAfterBreak="0">
    <w:nsid w:val="18152497"/>
    <w:multiLevelType w:val="multilevel"/>
    <w:tmpl w:val="D80A8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9C1A1F"/>
    <w:multiLevelType w:val="hybridMultilevel"/>
    <w:tmpl w:val="EF5EB1C6"/>
    <w:lvl w:ilvl="0" w:tplc="FFFFFFFF">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785"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5" w15:restartNumberingAfterBreak="0">
    <w:nsid w:val="38E90862"/>
    <w:multiLevelType w:val="hybridMultilevel"/>
    <w:tmpl w:val="1FC2BCAE"/>
    <w:lvl w:ilvl="0" w:tplc="2280D80E">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7" w15:restartNumberingAfterBreak="0">
    <w:nsid w:val="3FAB4F25"/>
    <w:multiLevelType w:val="hybridMultilevel"/>
    <w:tmpl w:val="170EEF9E"/>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0C090001">
      <w:start w:val="1"/>
      <w:numFmt w:val="bullet"/>
      <w:lvlText w:val=""/>
      <w:lvlJc w:val="left"/>
      <w:pPr>
        <w:ind w:left="324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1B02C67"/>
    <w:multiLevelType w:val="hybridMultilevel"/>
    <w:tmpl w:val="BC86E6B8"/>
    <w:lvl w:ilvl="0" w:tplc="0C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D37FC1"/>
    <w:multiLevelType w:val="hybridMultilevel"/>
    <w:tmpl w:val="C106A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55864823"/>
    <w:multiLevelType w:val="hybridMultilevel"/>
    <w:tmpl w:val="57E2D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037844"/>
    <w:multiLevelType w:val="hybridMultilevel"/>
    <w:tmpl w:val="3CD65A3C"/>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6" w15:restartNumberingAfterBreak="0">
    <w:nsid w:val="5B1324F8"/>
    <w:multiLevelType w:val="hybridMultilevel"/>
    <w:tmpl w:val="E3AE2C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8" w15:restartNumberingAfterBreak="0">
    <w:nsid w:val="64F302AD"/>
    <w:multiLevelType w:val="hybridMultilevel"/>
    <w:tmpl w:val="A6EAC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362156"/>
    <w:multiLevelType w:val="hybridMultilevel"/>
    <w:tmpl w:val="51F813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FC4CF2"/>
    <w:multiLevelType w:val="hybridMultilevel"/>
    <w:tmpl w:val="CB066066"/>
    <w:lvl w:ilvl="0" w:tplc="AA305E88">
      <w:start w:val="1"/>
      <w:numFmt w:val="decimal"/>
      <w:lvlText w:val="%1."/>
      <w:lvlJc w:val="left"/>
      <w:pPr>
        <w:ind w:left="720" w:hanging="360"/>
      </w:pPr>
    </w:lvl>
    <w:lvl w:ilvl="1" w:tplc="EA8446F2">
      <w:start w:val="1"/>
      <w:numFmt w:val="lowerLetter"/>
      <w:lvlText w:val="%2."/>
      <w:lvlJc w:val="left"/>
      <w:pPr>
        <w:ind w:left="1440" w:hanging="360"/>
      </w:pPr>
    </w:lvl>
    <w:lvl w:ilvl="2" w:tplc="2FAC4E78">
      <w:start w:val="1"/>
      <w:numFmt w:val="lowerRoman"/>
      <w:lvlText w:val="%3."/>
      <w:lvlJc w:val="right"/>
      <w:pPr>
        <w:ind w:left="2160" w:hanging="180"/>
      </w:pPr>
    </w:lvl>
    <w:lvl w:ilvl="3" w:tplc="A404B536">
      <w:start w:val="1"/>
      <w:numFmt w:val="decimal"/>
      <w:lvlText w:val="%4."/>
      <w:lvlJc w:val="left"/>
      <w:pPr>
        <w:ind w:left="2880" w:hanging="360"/>
      </w:pPr>
    </w:lvl>
    <w:lvl w:ilvl="4" w:tplc="4B8C9794">
      <w:start w:val="1"/>
      <w:numFmt w:val="lowerLetter"/>
      <w:lvlText w:val="%5."/>
      <w:lvlJc w:val="left"/>
      <w:pPr>
        <w:ind w:left="3600" w:hanging="360"/>
      </w:pPr>
    </w:lvl>
    <w:lvl w:ilvl="5" w:tplc="6E96FE34">
      <w:start w:val="1"/>
      <w:numFmt w:val="lowerRoman"/>
      <w:lvlText w:val="%6."/>
      <w:lvlJc w:val="right"/>
      <w:pPr>
        <w:ind w:left="4320" w:hanging="180"/>
      </w:pPr>
    </w:lvl>
    <w:lvl w:ilvl="6" w:tplc="BB06836C">
      <w:start w:val="1"/>
      <w:numFmt w:val="decimal"/>
      <w:lvlText w:val="%7."/>
      <w:lvlJc w:val="left"/>
      <w:pPr>
        <w:ind w:left="5040" w:hanging="360"/>
      </w:pPr>
    </w:lvl>
    <w:lvl w:ilvl="7" w:tplc="69E29C5A">
      <w:start w:val="1"/>
      <w:numFmt w:val="lowerLetter"/>
      <w:lvlText w:val="%8."/>
      <w:lvlJc w:val="left"/>
      <w:pPr>
        <w:ind w:left="5760" w:hanging="360"/>
      </w:pPr>
    </w:lvl>
    <w:lvl w:ilvl="8" w:tplc="D99E2B10">
      <w:start w:val="1"/>
      <w:numFmt w:val="lowerRoman"/>
      <w:lvlText w:val="%9."/>
      <w:lvlJc w:val="right"/>
      <w:pPr>
        <w:ind w:left="6480" w:hanging="180"/>
      </w:pPr>
    </w:lvl>
  </w:abstractNum>
  <w:abstractNum w:abstractNumId="32"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FE0144"/>
    <w:multiLevelType w:val="multilevel"/>
    <w:tmpl w:val="8FBEFF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16cid:durableId="1497116081">
    <w:abstractNumId w:val="31"/>
  </w:num>
  <w:num w:numId="2" w16cid:durableId="833960673">
    <w:abstractNumId w:val="2"/>
  </w:num>
  <w:num w:numId="3" w16cid:durableId="799225606">
    <w:abstractNumId w:val="14"/>
  </w:num>
  <w:num w:numId="4" w16cid:durableId="1627470143">
    <w:abstractNumId w:val="34"/>
  </w:num>
  <w:num w:numId="5" w16cid:durableId="761606056">
    <w:abstractNumId w:val="20"/>
  </w:num>
  <w:num w:numId="6" w16cid:durableId="189882612">
    <w:abstractNumId w:val="6"/>
  </w:num>
  <w:num w:numId="7" w16cid:durableId="1862355559">
    <w:abstractNumId w:val="1"/>
  </w:num>
  <w:num w:numId="8" w16cid:durableId="1047531947">
    <w:abstractNumId w:val="13"/>
  </w:num>
  <w:num w:numId="9" w16cid:durableId="276647780">
    <w:abstractNumId w:val="3"/>
  </w:num>
  <w:num w:numId="10" w16cid:durableId="1667056330">
    <w:abstractNumId w:val="8"/>
  </w:num>
  <w:num w:numId="11" w16cid:durableId="1112826541">
    <w:abstractNumId w:val="12"/>
  </w:num>
  <w:num w:numId="12" w16cid:durableId="728311839">
    <w:abstractNumId w:val="23"/>
  </w:num>
  <w:num w:numId="13" w16cid:durableId="2089419877">
    <w:abstractNumId w:val="29"/>
  </w:num>
  <w:num w:numId="14" w16cid:durableId="1340616887">
    <w:abstractNumId w:val="16"/>
  </w:num>
  <w:num w:numId="15" w16cid:durableId="540433661">
    <w:abstractNumId w:val="16"/>
    <w:lvlOverride w:ilvl="0">
      <w:startOverride w:val="1"/>
    </w:lvlOverride>
  </w:num>
  <w:num w:numId="16" w16cid:durableId="2033218283">
    <w:abstractNumId w:val="0"/>
  </w:num>
  <w:num w:numId="17" w16cid:durableId="1251156809">
    <w:abstractNumId w:val="22"/>
  </w:num>
  <w:num w:numId="18" w16cid:durableId="1215195378">
    <w:abstractNumId w:val="32"/>
  </w:num>
  <w:num w:numId="19" w16cid:durableId="530147635">
    <w:abstractNumId w:val="21"/>
  </w:num>
  <w:num w:numId="20" w16cid:durableId="1002782926">
    <w:abstractNumId w:val="18"/>
  </w:num>
  <w:num w:numId="21" w16cid:durableId="197475456">
    <w:abstractNumId w:val="7"/>
  </w:num>
  <w:num w:numId="22" w16cid:durableId="914558481">
    <w:abstractNumId w:val="5"/>
  </w:num>
  <w:num w:numId="23" w16cid:durableId="6805500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15809">
    <w:abstractNumId w:val="15"/>
  </w:num>
  <w:num w:numId="25" w16cid:durableId="330718681">
    <w:abstractNumId w:val="17"/>
  </w:num>
  <w:num w:numId="26" w16cid:durableId="1019089377">
    <w:abstractNumId w:val="4"/>
  </w:num>
  <w:num w:numId="27" w16cid:durableId="727800964">
    <w:abstractNumId w:val="30"/>
  </w:num>
  <w:num w:numId="28" w16cid:durableId="231351600">
    <w:abstractNumId w:val="26"/>
  </w:num>
  <w:num w:numId="29" w16cid:durableId="604460530">
    <w:abstractNumId w:val="10"/>
  </w:num>
  <w:num w:numId="30" w16cid:durableId="1786390014">
    <w:abstractNumId w:val="33"/>
  </w:num>
  <w:num w:numId="31" w16cid:durableId="1781989754">
    <w:abstractNumId w:val="25"/>
  </w:num>
  <w:num w:numId="32" w16cid:durableId="1473595527">
    <w:abstractNumId w:val="9"/>
  </w:num>
  <w:num w:numId="33" w16cid:durableId="2130706506">
    <w:abstractNumId w:val="19"/>
  </w:num>
  <w:num w:numId="34" w16cid:durableId="1457065176">
    <w:abstractNumId w:val="11"/>
  </w:num>
  <w:num w:numId="35" w16cid:durableId="1453091111">
    <w:abstractNumId w:val="24"/>
  </w:num>
  <w:num w:numId="36" w16cid:durableId="6616159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1F4D"/>
    <w:rsid w:val="0000658D"/>
    <w:rsid w:val="00015A2B"/>
    <w:rsid w:val="00015F68"/>
    <w:rsid w:val="000203E6"/>
    <w:rsid w:val="00021C59"/>
    <w:rsid w:val="000223C5"/>
    <w:rsid w:val="000224BF"/>
    <w:rsid w:val="000249BD"/>
    <w:rsid w:val="00030EC2"/>
    <w:rsid w:val="00030F31"/>
    <w:rsid w:val="0003540E"/>
    <w:rsid w:val="00035636"/>
    <w:rsid w:val="000402C8"/>
    <w:rsid w:val="00040D13"/>
    <w:rsid w:val="000415D2"/>
    <w:rsid w:val="00042F87"/>
    <w:rsid w:val="000453BF"/>
    <w:rsid w:val="000457AF"/>
    <w:rsid w:val="00045F62"/>
    <w:rsid w:val="00050074"/>
    <w:rsid w:val="000503F4"/>
    <w:rsid w:val="00053354"/>
    <w:rsid w:val="000547FC"/>
    <w:rsid w:val="00056B0B"/>
    <w:rsid w:val="00056B22"/>
    <w:rsid w:val="00061358"/>
    <w:rsid w:val="000629B8"/>
    <w:rsid w:val="0006323D"/>
    <w:rsid w:val="000645AB"/>
    <w:rsid w:val="0006474B"/>
    <w:rsid w:val="00064FFB"/>
    <w:rsid w:val="00072B58"/>
    <w:rsid w:val="000731BD"/>
    <w:rsid w:val="0007670A"/>
    <w:rsid w:val="00084F29"/>
    <w:rsid w:val="000864A8"/>
    <w:rsid w:val="000868C5"/>
    <w:rsid w:val="0008732D"/>
    <w:rsid w:val="00092374"/>
    <w:rsid w:val="00092F2C"/>
    <w:rsid w:val="00095B5F"/>
    <w:rsid w:val="000962BA"/>
    <w:rsid w:val="00096524"/>
    <w:rsid w:val="00096F51"/>
    <w:rsid w:val="000976DB"/>
    <w:rsid w:val="000A4DF8"/>
    <w:rsid w:val="000A52A2"/>
    <w:rsid w:val="000A65F6"/>
    <w:rsid w:val="000B1254"/>
    <w:rsid w:val="000B129E"/>
    <w:rsid w:val="000B4E80"/>
    <w:rsid w:val="000C063D"/>
    <w:rsid w:val="000C319B"/>
    <w:rsid w:val="000C3693"/>
    <w:rsid w:val="000C4B66"/>
    <w:rsid w:val="000C532F"/>
    <w:rsid w:val="000C7191"/>
    <w:rsid w:val="000C7AD5"/>
    <w:rsid w:val="000D07B5"/>
    <w:rsid w:val="000D66F0"/>
    <w:rsid w:val="000D78D6"/>
    <w:rsid w:val="000E112B"/>
    <w:rsid w:val="000E1156"/>
    <w:rsid w:val="000E34E4"/>
    <w:rsid w:val="000E4FC3"/>
    <w:rsid w:val="000E5F5F"/>
    <w:rsid w:val="000F08F2"/>
    <w:rsid w:val="000F49E6"/>
    <w:rsid w:val="000F579E"/>
    <w:rsid w:val="000F6067"/>
    <w:rsid w:val="000F68CB"/>
    <w:rsid w:val="00102163"/>
    <w:rsid w:val="001024EA"/>
    <w:rsid w:val="00102B5B"/>
    <w:rsid w:val="001073C8"/>
    <w:rsid w:val="00107471"/>
    <w:rsid w:val="001125D9"/>
    <w:rsid w:val="00113B39"/>
    <w:rsid w:val="00113C4E"/>
    <w:rsid w:val="00115586"/>
    <w:rsid w:val="001155CC"/>
    <w:rsid w:val="0012062A"/>
    <w:rsid w:val="00124996"/>
    <w:rsid w:val="00125579"/>
    <w:rsid w:val="00127498"/>
    <w:rsid w:val="0012775E"/>
    <w:rsid w:val="00131C80"/>
    <w:rsid w:val="001372D1"/>
    <w:rsid w:val="00146C8F"/>
    <w:rsid w:val="00150F10"/>
    <w:rsid w:val="00150FA0"/>
    <w:rsid w:val="00151C54"/>
    <w:rsid w:val="00151D2F"/>
    <w:rsid w:val="00153032"/>
    <w:rsid w:val="00155159"/>
    <w:rsid w:val="001555BC"/>
    <w:rsid w:val="001573C9"/>
    <w:rsid w:val="00160C7A"/>
    <w:rsid w:val="00161CE2"/>
    <w:rsid w:val="001644DA"/>
    <w:rsid w:val="00165222"/>
    <w:rsid w:val="001669D6"/>
    <w:rsid w:val="00171836"/>
    <w:rsid w:val="001746B7"/>
    <w:rsid w:val="00175BD8"/>
    <w:rsid w:val="0017638B"/>
    <w:rsid w:val="00176A10"/>
    <w:rsid w:val="00176A37"/>
    <w:rsid w:val="00177013"/>
    <w:rsid w:val="00180DEF"/>
    <w:rsid w:val="001813AC"/>
    <w:rsid w:val="001818D9"/>
    <w:rsid w:val="00181D06"/>
    <w:rsid w:val="00181E81"/>
    <w:rsid w:val="0018228A"/>
    <w:rsid w:val="00182D82"/>
    <w:rsid w:val="0018486C"/>
    <w:rsid w:val="001867C4"/>
    <w:rsid w:val="00195D04"/>
    <w:rsid w:val="00195D0F"/>
    <w:rsid w:val="001A26ED"/>
    <w:rsid w:val="001A42D4"/>
    <w:rsid w:val="001A5CE3"/>
    <w:rsid w:val="001A689E"/>
    <w:rsid w:val="001A74E5"/>
    <w:rsid w:val="001B1314"/>
    <w:rsid w:val="001B5A24"/>
    <w:rsid w:val="001C09FB"/>
    <w:rsid w:val="001C0DCD"/>
    <w:rsid w:val="001C23CD"/>
    <w:rsid w:val="001D006D"/>
    <w:rsid w:val="001D0C4D"/>
    <w:rsid w:val="001D7672"/>
    <w:rsid w:val="001D7B85"/>
    <w:rsid w:val="001E1907"/>
    <w:rsid w:val="001E1A14"/>
    <w:rsid w:val="001E6727"/>
    <w:rsid w:val="001E6AB9"/>
    <w:rsid w:val="001F3585"/>
    <w:rsid w:val="001F4481"/>
    <w:rsid w:val="001F47AF"/>
    <w:rsid w:val="001F5A48"/>
    <w:rsid w:val="00200576"/>
    <w:rsid w:val="00200FC4"/>
    <w:rsid w:val="00201395"/>
    <w:rsid w:val="00201A78"/>
    <w:rsid w:val="00201EBE"/>
    <w:rsid w:val="00203AAB"/>
    <w:rsid w:val="002062E7"/>
    <w:rsid w:val="00206AEA"/>
    <w:rsid w:val="00210D28"/>
    <w:rsid w:val="00215FDE"/>
    <w:rsid w:val="00216052"/>
    <w:rsid w:val="00223DA0"/>
    <w:rsid w:val="00224D28"/>
    <w:rsid w:val="002272B4"/>
    <w:rsid w:val="002360A7"/>
    <w:rsid w:val="00237244"/>
    <w:rsid w:val="0024023A"/>
    <w:rsid w:val="00241FD1"/>
    <w:rsid w:val="0024327F"/>
    <w:rsid w:val="0024ACC4"/>
    <w:rsid w:val="00250AAF"/>
    <w:rsid w:val="00256017"/>
    <w:rsid w:val="002573BE"/>
    <w:rsid w:val="002612FF"/>
    <w:rsid w:val="00261401"/>
    <w:rsid w:val="00261410"/>
    <w:rsid w:val="002635DB"/>
    <w:rsid w:val="0026681A"/>
    <w:rsid w:val="002675B0"/>
    <w:rsid w:val="00267A98"/>
    <w:rsid w:val="00270CC2"/>
    <w:rsid w:val="00271C2E"/>
    <w:rsid w:val="00272D63"/>
    <w:rsid w:val="0027352C"/>
    <w:rsid w:val="002737B5"/>
    <w:rsid w:val="00273C11"/>
    <w:rsid w:val="00274A55"/>
    <w:rsid w:val="002750B0"/>
    <w:rsid w:val="00276BF4"/>
    <w:rsid w:val="002778FC"/>
    <w:rsid w:val="002816DA"/>
    <w:rsid w:val="00285112"/>
    <w:rsid w:val="00290513"/>
    <w:rsid w:val="00292D3D"/>
    <w:rsid w:val="00295DD9"/>
    <w:rsid w:val="0029727D"/>
    <w:rsid w:val="002A0EA1"/>
    <w:rsid w:val="002A500B"/>
    <w:rsid w:val="002B1DB3"/>
    <w:rsid w:val="002B2276"/>
    <w:rsid w:val="002B28D1"/>
    <w:rsid w:val="002B2B54"/>
    <w:rsid w:val="002B2C00"/>
    <w:rsid w:val="002B6A0E"/>
    <w:rsid w:val="002B7A6D"/>
    <w:rsid w:val="002B7C6F"/>
    <w:rsid w:val="002C177A"/>
    <w:rsid w:val="002C4667"/>
    <w:rsid w:val="002C6309"/>
    <w:rsid w:val="002D0F29"/>
    <w:rsid w:val="002D0F4B"/>
    <w:rsid w:val="002D2972"/>
    <w:rsid w:val="002D3CE5"/>
    <w:rsid w:val="002D3EC6"/>
    <w:rsid w:val="002D41BA"/>
    <w:rsid w:val="002D5EFA"/>
    <w:rsid w:val="002D6FF5"/>
    <w:rsid w:val="002D7732"/>
    <w:rsid w:val="002E0723"/>
    <w:rsid w:val="002F08C5"/>
    <w:rsid w:val="002F2F4C"/>
    <w:rsid w:val="002F3B1A"/>
    <w:rsid w:val="002F4BB5"/>
    <w:rsid w:val="003015AF"/>
    <w:rsid w:val="00302D4A"/>
    <w:rsid w:val="00306470"/>
    <w:rsid w:val="003064B1"/>
    <w:rsid w:val="0031419F"/>
    <w:rsid w:val="003145F0"/>
    <w:rsid w:val="00317AA7"/>
    <w:rsid w:val="003228F6"/>
    <w:rsid w:val="00324E8A"/>
    <w:rsid w:val="003265F4"/>
    <w:rsid w:val="00326DF6"/>
    <w:rsid w:val="00330333"/>
    <w:rsid w:val="00336AF1"/>
    <w:rsid w:val="003376BA"/>
    <w:rsid w:val="00341CB7"/>
    <w:rsid w:val="00343660"/>
    <w:rsid w:val="00343D43"/>
    <w:rsid w:val="0034613E"/>
    <w:rsid w:val="00347BD3"/>
    <w:rsid w:val="0035005C"/>
    <w:rsid w:val="00353287"/>
    <w:rsid w:val="00356721"/>
    <w:rsid w:val="003643E2"/>
    <w:rsid w:val="003645C6"/>
    <w:rsid w:val="003710C0"/>
    <w:rsid w:val="003803A3"/>
    <w:rsid w:val="0038145F"/>
    <w:rsid w:val="003869BF"/>
    <w:rsid w:val="00386E33"/>
    <w:rsid w:val="00387A57"/>
    <w:rsid w:val="00387B76"/>
    <w:rsid w:val="00390CCA"/>
    <w:rsid w:val="0039127F"/>
    <w:rsid w:val="003931D0"/>
    <w:rsid w:val="00393731"/>
    <w:rsid w:val="00393B13"/>
    <w:rsid w:val="00396AED"/>
    <w:rsid w:val="003A0764"/>
    <w:rsid w:val="003A1030"/>
    <w:rsid w:val="003A1F4F"/>
    <w:rsid w:val="003A2479"/>
    <w:rsid w:val="003A269F"/>
    <w:rsid w:val="003A3A60"/>
    <w:rsid w:val="003A6DF0"/>
    <w:rsid w:val="003B2C40"/>
    <w:rsid w:val="003B48E8"/>
    <w:rsid w:val="003B7A5D"/>
    <w:rsid w:val="003C6B31"/>
    <w:rsid w:val="003C6EB1"/>
    <w:rsid w:val="003D346C"/>
    <w:rsid w:val="003D5F7B"/>
    <w:rsid w:val="003D6D6F"/>
    <w:rsid w:val="003D77C9"/>
    <w:rsid w:val="003E0906"/>
    <w:rsid w:val="003E2EC3"/>
    <w:rsid w:val="003E31BF"/>
    <w:rsid w:val="003E5CA0"/>
    <w:rsid w:val="003E61CA"/>
    <w:rsid w:val="003F2B62"/>
    <w:rsid w:val="003F2FF8"/>
    <w:rsid w:val="003F565B"/>
    <w:rsid w:val="003F6742"/>
    <w:rsid w:val="003F6827"/>
    <w:rsid w:val="00400862"/>
    <w:rsid w:val="00402F72"/>
    <w:rsid w:val="004044EF"/>
    <w:rsid w:val="004046C6"/>
    <w:rsid w:val="0040710F"/>
    <w:rsid w:val="004075A8"/>
    <w:rsid w:val="004103E0"/>
    <w:rsid w:val="004111C8"/>
    <w:rsid w:val="004114B8"/>
    <w:rsid w:val="00414C00"/>
    <w:rsid w:val="00414D3A"/>
    <w:rsid w:val="0041603B"/>
    <w:rsid w:val="00417598"/>
    <w:rsid w:val="004179C1"/>
    <w:rsid w:val="00417ECE"/>
    <w:rsid w:val="004223EC"/>
    <w:rsid w:val="0042533C"/>
    <w:rsid w:val="004269D6"/>
    <w:rsid w:val="00426EB8"/>
    <w:rsid w:val="00430D62"/>
    <w:rsid w:val="00436FFB"/>
    <w:rsid w:val="00440C7C"/>
    <w:rsid w:val="004415A8"/>
    <w:rsid w:val="00442785"/>
    <w:rsid w:val="0044356A"/>
    <w:rsid w:val="0044429F"/>
    <w:rsid w:val="00444394"/>
    <w:rsid w:val="00447013"/>
    <w:rsid w:val="00447617"/>
    <w:rsid w:val="004565E0"/>
    <w:rsid w:val="00456C69"/>
    <w:rsid w:val="004607C8"/>
    <w:rsid w:val="00461420"/>
    <w:rsid w:val="00466CEB"/>
    <w:rsid w:val="004675CC"/>
    <w:rsid w:val="00470AE8"/>
    <w:rsid w:val="00471B85"/>
    <w:rsid w:val="0047664C"/>
    <w:rsid w:val="00481F94"/>
    <w:rsid w:val="00483CF0"/>
    <w:rsid w:val="00483DA2"/>
    <w:rsid w:val="00485C1E"/>
    <w:rsid w:val="004929D1"/>
    <w:rsid w:val="00494F64"/>
    <w:rsid w:val="004A3A20"/>
    <w:rsid w:val="004A3C39"/>
    <w:rsid w:val="004A4DF7"/>
    <w:rsid w:val="004A79DC"/>
    <w:rsid w:val="004B0BF5"/>
    <w:rsid w:val="004B0DD7"/>
    <w:rsid w:val="004B14D6"/>
    <w:rsid w:val="004B4E2D"/>
    <w:rsid w:val="004B55B7"/>
    <w:rsid w:val="004B56CF"/>
    <w:rsid w:val="004C276E"/>
    <w:rsid w:val="004C5892"/>
    <w:rsid w:val="004C6CE9"/>
    <w:rsid w:val="004D0C85"/>
    <w:rsid w:val="004D1371"/>
    <w:rsid w:val="004D257B"/>
    <w:rsid w:val="004D490F"/>
    <w:rsid w:val="004D4AAE"/>
    <w:rsid w:val="004D5EE7"/>
    <w:rsid w:val="004E1571"/>
    <w:rsid w:val="004E5E21"/>
    <w:rsid w:val="004E6468"/>
    <w:rsid w:val="004F4078"/>
    <w:rsid w:val="004F6ADC"/>
    <w:rsid w:val="004F759E"/>
    <w:rsid w:val="004F7AA0"/>
    <w:rsid w:val="0050279C"/>
    <w:rsid w:val="00503904"/>
    <w:rsid w:val="00505A8C"/>
    <w:rsid w:val="00505E88"/>
    <w:rsid w:val="00506FB9"/>
    <w:rsid w:val="005107F7"/>
    <w:rsid w:val="00510CF6"/>
    <w:rsid w:val="00521926"/>
    <w:rsid w:val="005233D8"/>
    <w:rsid w:val="00524522"/>
    <w:rsid w:val="00524548"/>
    <w:rsid w:val="005303B9"/>
    <w:rsid w:val="0053099C"/>
    <w:rsid w:val="0053396C"/>
    <w:rsid w:val="005340E2"/>
    <w:rsid w:val="0054236A"/>
    <w:rsid w:val="00543544"/>
    <w:rsid w:val="00543F39"/>
    <w:rsid w:val="005448DB"/>
    <w:rsid w:val="00545590"/>
    <w:rsid w:val="00546237"/>
    <w:rsid w:val="00547846"/>
    <w:rsid w:val="00547928"/>
    <w:rsid w:val="00550486"/>
    <w:rsid w:val="005505AB"/>
    <w:rsid w:val="005529E8"/>
    <w:rsid w:val="00552DB4"/>
    <w:rsid w:val="00554886"/>
    <w:rsid w:val="00554CB6"/>
    <w:rsid w:val="00557056"/>
    <w:rsid w:val="00561D52"/>
    <w:rsid w:val="005664BC"/>
    <w:rsid w:val="00570C07"/>
    <w:rsid w:val="005714B8"/>
    <w:rsid w:val="00571930"/>
    <w:rsid w:val="00572C90"/>
    <w:rsid w:val="005772EA"/>
    <w:rsid w:val="00582E28"/>
    <w:rsid w:val="00587EB9"/>
    <w:rsid w:val="005902E8"/>
    <w:rsid w:val="0059305A"/>
    <w:rsid w:val="00595BF6"/>
    <w:rsid w:val="005A0AB8"/>
    <w:rsid w:val="005A6D9F"/>
    <w:rsid w:val="005A7A37"/>
    <w:rsid w:val="005B0205"/>
    <w:rsid w:val="005B202E"/>
    <w:rsid w:val="005B2ED2"/>
    <w:rsid w:val="005B6B55"/>
    <w:rsid w:val="005B6E12"/>
    <w:rsid w:val="005B7015"/>
    <w:rsid w:val="005B759C"/>
    <w:rsid w:val="005B7C7F"/>
    <w:rsid w:val="005C1AC3"/>
    <w:rsid w:val="005C238C"/>
    <w:rsid w:val="005C44E1"/>
    <w:rsid w:val="005C46FA"/>
    <w:rsid w:val="005C72EC"/>
    <w:rsid w:val="005C7337"/>
    <w:rsid w:val="005D1A35"/>
    <w:rsid w:val="005D1ABF"/>
    <w:rsid w:val="005D1E5D"/>
    <w:rsid w:val="005D4352"/>
    <w:rsid w:val="005D4711"/>
    <w:rsid w:val="005D4D9E"/>
    <w:rsid w:val="005D53EF"/>
    <w:rsid w:val="005D61E3"/>
    <w:rsid w:val="005D6C61"/>
    <w:rsid w:val="005E0EF8"/>
    <w:rsid w:val="005E228E"/>
    <w:rsid w:val="005E2A7E"/>
    <w:rsid w:val="005E3D4B"/>
    <w:rsid w:val="005E46AB"/>
    <w:rsid w:val="005E502B"/>
    <w:rsid w:val="005E6072"/>
    <w:rsid w:val="005F37EC"/>
    <w:rsid w:val="005F47ED"/>
    <w:rsid w:val="005F53D1"/>
    <w:rsid w:val="005F66F2"/>
    <w:rsid w:val="00600504"/>
    <w:rsid w:val="006022C4"/>
    <w:rsid w:val="00606787"/>
    <w:rsid w:val="00611550"/>
    <w:rsid w:val="00612014"/>
    <w:rsid w:val="006168F9"/>
    <w:rsid w:val="00621758"/>
    <w:rsid w:val="00622EB3"/>
    <w:rsid w:val="00622F2E"/>
    <w:rsid w:val="0062667E"/>
    <w:rsid w:val="00627368"/>
    <w:rsid w:val="006277C7"/>
    <w:rsid w:val="00630843"/>
    <w:rsid w:val="006327D8"/>
    <w:rsid w:val="00633472"/>
    <w:rsid w:val="006365FC"/>
    <w:rsid w:val="006400BC"/>
    <w:rsid w:val="00646F25"/>
    <w:rsid w:val="0064772B"/>
    <w:rsid w:val="00647BB5"/>
    <w:rsid w:val="00650566"/>
    <w:rsid w:val="00650809"/>
    <w:rsid w:val="00652426"/>
    <w:rsid w:val="00653264"/>
    <w:rsid w:val="00653C86"/>
    <w:rsid w:val="006553D3"/>
    <w:rsid w:val="00655584"/>
    <w:rsid w:val="00663BD4"/>
    <w:rsid w:val="006650CC"/>
    <w:rsid w:val="0067068E"/>
    <w:rsid w:val="006711D2"/>
    <w:rsid w:val="00675685"/>
    <w:rsid w:val="00680BCE"/>
    <w:rsid w:val="0068159E"/>
    <w:rsid w:val="00681FEE"/>
    <w:rsid w:val="00683D19"/>
    <w:rsid w:val="00683DA0"/>
    <w:rsid w:val="00684D0B"/>
    <w:rsid w:val="00690055"/>
    <w:rsid w:val="006952CE"/>
    <w:rsid w:val="00695B70"/>
    <w:rsid w:val="00697103"/>
    <w:rsid w:val="00697805"/>
    <w:rsid w:val="006A02E3"/>
    <w:rsid w:val="006A253A"/>
    <w:rsid w:val="006A320D"/>
    <w:rsid w:val="006A338F"/>
    <w:rsid w:val="006A37F2"/>
    <w:rsid w:val="006A3E01"/>
    <w:rsid w:val="006A4023"/>
    <w:rsid w:val="006A487E"/>
    <w:rsid w:val="006A5E89"/>
    <w:rsid w:val="006A6C13"/>
    <w:rsid w:val="006A7446"/>
    <w:rsid w:val="006B5A41"/>
    <w:rsid w:val="006C005F"/>
    <w:rsid w:val="006C16B3"/>
    <w:rsid w:val="006C466A"/>
    <w:rsid w:val="006C4B3C"/>
    <w:rsid w:val="006C5546"/>
    <w:rsid w:val="006C7AA6"/>
    <w:rsid w:val="006D1A5D"/>
    <w:rsid w:val="006E03DC"/>
    <w:rsid w:val="006E3103"/>
    <w:rsid w:val="006E54EE"/>
    <w:rsid w:val="006E6178"/>
    <w:rsid w:val="006E782F"/>
    <w:rsid w:val="006F1BD4"/>
    <w:rsid w:val="00700F91"/>
    <w:rsid w:val="00705EFA"/>
    <w:rsid w:val="00707C55"/>
    <w:rsid w:val="0071028A"/>
    <w:rsid w:val="00711B1C"/>
    <w:rsid w:val="00712AAF"/>
    <w:rsid w:val="00713191"/>
    <w:rsid w:val="007133C4"/>
    <w:rsid w:val="007146EC"/>
    <w:rsid w:val="007157CA"/>
    <w:rsid w:val="00720AEC"/>
    <w:rsid w:val="00720CDD"/>
    <w:rsid w:val="00722019"/>
    <w:rsid w:val="007252C2"/>
    <w:rsid w:val="00725DC1"/>
    <w:rsid w:val="00725E53"/>
    <w:rsid w:val="0073246B"/>
    <w:rsid w:val="00732B42"/>
    <w:rsid w:val="00734BCB"/>
    <w:rsid w:val="0073584E"/>
    <w:rsid w:val="007366F4"/>
    <w:rsid w:val="00737979"/>
    <w:rsid w:val="00745BFD"/>
    <w:rsid w:val="00745CA7"/>
    <w:rsid w:val="00751A63"/>
    <w:rsid w:val="007545CA"/>
    <w:rsid w:val="00761F0B"/>
    <w:rsid w:val="00764106"/>
    <w:rsid w:val="0076464D"/>
    <w:rsid w:val="0076577F"/>
    <w:rsid w:val="007673BD"/>
    <w:rsid w:val="00767639"/>
    <w:rsid w:val="00767D95"/>
    <w:rsid w:val="007716D7"/>
    <w:rsid w:val="0077268A"/>
    <w:rsid w:val="00776AE6"/>
    <w:rsid w:val="00776FDC"/>
    <w:rsid w:val="00777EE8"/>
    <w:rsid w:val="00783B98"/>
    <w:rsid w:val="00784976"/>
    <w:rsid w:val="0078721E"/>
    <w:rsid w:val="007878F3"/>
    <w:rsid w:val="00787E2E"/>
    <w:rsid w:val="00794F9C"/>
    <w:rsid w:val="007A0674"/>
    <w:rsid w:val="007A5990"/>
    <w:rsid w:val="007A74A9"/>
    <w:rsid w:val="007B052D"/>
    <w:rsid w:val="007B3C0B"/>
    <w:rsid w:val="007B3C56"/>
    <w:rsid w:val="007B7659"/>
    <w:rsid w:val="007B7E99"/>
    <w:rsid w:val="007C0D0E"/>
    <w:rsid w:val="007C16EA"/>
    <w:rsid w:val="007C2D9D"/>
    <w:rsid w:val="007C39D4"/>
    <w:rsid w:val="007C3AD6"/>
    <w:rsid w:val="007C40F1"/>
    <w:rsid w:val="007C45D8"/>
    <w:rsid w:val="007C711F"/>
    <w:rsid w:val="007D6A0B"/>
    <w:rsid w:val="007D70B1"/>
    <w:rsid w:val="007E1163"/>
    <w:rsid w:val="007E3DD3"/>
    <w:rsid w:val="007E3EC4"/>
    <w:rsid w:val="007E6852"/>
    <w:rsid w:val="007E762F"/>
    <w:rsid w:val="007E77A9"/>
    <w:rsid w:val="007F21BF"/>
    <w:rsid w:val="007F3DE8"/>
    <w:rsid w:val="007F4DD5"/>
    <w:rsid w:val="007F4ECB"/>
    <w:rsid w:val="007F5629"/>
    <w:rsid w:val="00807B30"/>
    <w:rsid w:val="0081352F"/>
    <w:rsid w:val="00813B12"/>
    <w:rsid w:val="00816002"/>
    <w:rsid w:val="008201CE"/>
    <w:rsid w:val="008224BE"/>
    <w:rsid w:val="0082386F"/>
    <w:rsid w:val="0082572E"/>
    <w:rsid w:val="0082666B"/>
    <w:rsid w:val="008300B9"/>
    <w:rsid w:val="00840193"/>
    <w:rsid w:val="00841053"/>
    <w:rsid w:val="008412AE"/>
    <w:rsid w:val="00843110"/>
    <w:rsid w:val="00846CFB"/>
    <w:rsid w:val="0085100D"/>
    <w:rsid w:val="008515F7"/>
    <w:rsid w:val="00851A69"/>
    <w:rsid w:val="008537AD"/>
    <w:rsid w:val="00857C3B"/>
    <w:rsid w:val="00857D1A"/>
    <w:rsid w:val="00863ECB"/>
    <w:rsid w:val="00865F89"/>
    <w:rsid w:val="0086743E"/>
    <w:rsid w:val="00870516"/>
    <w:rsid w:val="008746A9"/>
    <w:rsid w:val="00877C5B"/>
    <w:rsid w:val="00880B00"/>
    <w:rsid w:val="00881879"/>
    <w:rsid w:val="00884592"/>
    <w:rsid w:val="00884BF1"/>
    <w:rsid w:val="0088683D"/>
    <w:rsid w:val="0088771F"/>
    <w:rsid w:val="00890E74"/>
    <w:rsid w:val="00893D98"/>
    <w:rsid w:val="00896EBE"/>
    <w:rsid w:val="0089780D"/>
    <w:rsid w:val="008A09BD"/>
    <w:rsid w:val="008B02CF"/>
    <w:rsid w:val="008B370D"/>
    <w:rsid w:val="008B730B"/>
    <w:rsid w:val="008B73F3"/>
    <w:rsid w:val="008C1C7B"/>
    <w:rsid w:val="008C2156"/>
    <w:rsid w:val="008C29DB"/>
    <w:rsid w:val="008C3F1D"/>
    <w:rsid w:val="008C482C"/>
    <w:rsid w:val="008C720D"/>
    <w:rsid w:val="008D29F0"/>
    <w:rsid w:val="008D4378"/>
    <w:rsid w:val="008D50FE"/>
    <w:rsid w:val="008D76EC"/>
    <w:rsid w:val="008E2ADC"/>
    <w:rsid w:val="008E2EED"/>
    <w:rsid w:val="008F03F0"/>
    <w:rsid w:val="008F1DD0"/>
    <w:rsid w:val="008F23EB"/>
    <w:rsid w:val="008F6E38"/>
    <w:rsid w:val="008F7761"/>
    <w:rsid w:val="00907E67"/>
    <w:rsid w:val="00911C8D"/>
    <w:rsid w:val="00912462"/>
    <w:rsid w:val="009152CA"/>
    <w:rsid w:val="00915A10"/>
    <w:rsid w:val="0092078F"/>
    <w:rsid w:val="00921D8D"/>
    <w:rsid w:val="009228CC"/>
    <w:rsid w:val="00922C40"/>
    <w:rsid w:val="00923CE5"/>
    <w:rsid w:val="009252F6"/>
    <w:rsid w:val="00925E77"/>
    <w:rsid w:val="00926E07"/>
    <w:rsid w:val="00937A4C"/>
    <w:rsid w:val="009411F9"/>
    <w:rsid w:val="00946CF5"/>
    <w:rsid w:val="0095365E"/>
    <w:rsid w:val="0095686E"/>
    <w:rsid w:val="00960459"/>
    <w:rsid w:val="009614DF"/>
    <w:rsid w:val="00961BD3"/>
    <w:rsid w:val="00961FB9"/>
    <w:rsid w:val="009642DF"/>
    <w:rsid w:val="00964C8B"/>
    <w:rsid w:val="00973468"/>
    <w:rsid w:val="00980E95"/>
    <w:rsid w:val="009849F1"/>
    <w:rsid w:val="00984C79"/>
    <w:rsid w:val="009908D6"/>
    <w:rsid w:val="00991A27"/>
    <w:rsid w:val="00992814"/>
    <w:rsid w:val="00995BE8"/>
    <w:rsid w:val="00995D93"/>
    <w:rsid w:val="009A11A2"/>
    <w:rsid w:val="009A2F1E"/>
    <w:rsid w:val="009A385A"/>
    <w:rsid w:val="009A38F6"/>
    <w:rsid w:val="009A3CE2"/>
    <w:rsid w:val="009A53D5"/>
    <w:rsid w:val="009A748C"/>
    <w:rsid w:val="009B254A"/>
    <w:rsid w:val="009B3AA6"/>
    <w:rsid w:val="009B3BDE"/>
    <w:rsid w:val="009B42D2"/>
    <w:rsid w:val="009B7605"/>
    <w:rsid w:val="009C078A"/>
    <w:rsid w:val="009C2A38"/>
    <w:rsid w:val="009C3618"/>
    <w:rsid w:val="009C4D2A"/>
    <w:rsid w:val="009C7243"/>
    <w:rsid w:val="009D0F18"/>
    <w:rsid w:val="009D73FF"/>
    <w:rsid w:val="009E0F49"/>
    <w:rsid w:val="009E2F0F"/>
    <w:rsid w:val="009E5C76"/>
    <w:rsid w:val="009E61C5"/>
    <w:rsid w:val="009F21CE"/>
    <w:rsid w:val="009F38BA"/>
    <w:rsid w:val="00A04F01"/>
    <w:rsid w:val="00A10EE1"/>
    <w:rsid w:val="00A112A6"/>
    <w:rsid w:val="00A11765"/>
    <w:rsid w:val="00A15D29"/>
    <w:rsid w:val="00A20009"/>
    <w:rsid w:val="00A21E07"/>
    <w:rsid w:val="00A22C1E"/>
    <w:rsid w:val="00A231F4"/>
    <w:rsid w:val="00A3067C"/>
    <w:rsid w:val="00A3506D"/>
    <w:rsid w:val="00A351C1"/>
    <w:rsid w:val="00A35EB1"/>
    <w:rsid w:val="00A37006"/>
    <w:rsid w:val="00A37D7B"/>
    <w:rsid w:val="00A37FDF"/>
    <w:rsid w:val="00A40997"/>
    <w:rsid w:val="00A40DB7"/>
    <w:rsid w:val="00A411AF"/>
    <w:rsid w:val="00A4152C"/>
    <w:rsid w:val="00A426C7"/>
    <w:rsid w:val="00A473E7"/>
    <w:rsid w:val="00A47BB5"/>
    <w:rsid w:val="00A52DF9"/>
    <w:rsid w:val="00A52EEF"/>
    <w:rsid w:val="00A5515F"/>
    <w:rsid w:val="00A574E1"/>
    <w:rsid w:val="00A60B9D"/>
    <w:rsid w:val="00A629BA"/>
    <w:rsid w:val="00A66B6D"/>
    <w:rsid w:val="00A7280E"/>
    <w:rsid w:val="00A73D33"/>
    <w:rsid w:val="00A76E22"/>
    <w:rsid w:val="00A806A9"/>
    <w:rsid w:val="00A83CDA"/>
    <w:rsid w:val="00A86540"/>
    <w:rsid w:val="00A92EDB"/>
    <w:rsid w:val="00A97BCE"/>
    <w:rsid w:val="00AA3D78"/>
    <w:rsid w:val="00AA54D6"/>
    <w:rsid w:val="00AB11EC"/>
    <w:rsid w:val="00AB5280"/>
    <w:rsid w:val="00AB5FF5"/>
    <w:rsid w:val="00AC33E0"/>
    <w:rsid w:val="00AC5C2E"/>
    <w:rsid w:val="00AC7FD5"/>
    <w:rsid w:val="00AD1FAF"/>
    <w:rsid w:val="00AD3EE5"/>
    <w:rsid w:val="00AD4432"/>
    <w:rsid w:val="00AD7122"/>
    <w:rsid w:val="00AD754F"/>
    <w:rsid w:val="00AD7D79"/>
    <w:rsid w:val="00AE1C79"/>
    <w:rsid w:val="00AE3506"/>
    <w:rsid w:val="00AE39EB"/>
    <w:rsid w:val="00AF210C"/>
    <w:rsid w:val="00AF28D8"/>
    <w:rsid w:val="00AF2EE6"/>
    <w:rsid w:val="00AF495F"/>
    <w:rsid w:val="00B0168A"/>
    <w:rsid w:val="00B01BCA"/>
    <w:rsid w:val="00B02231"/>
    <w:rsid w:val="00B030B7"/>
    <w:rsid w:val="00B05509"/>
    <w:rsid w:val="00B06B41"/>
    <w:rsid w:val="00B070CB"/>
    <w:rsid w:val="00B07C43"/>
    <w:rsid w:val="00B11766"/>
    <w:rsid w:val="00B16B34"/>
    <w:rsid w:val="00B17280"/>
    <w:rsid w:val="00B20EBE"/>
    <w:rsid w:val="00B22CA8"/>
    <w:rsid w:val="00B255D3"/>
    <w:rsid w:val="00B26C7F"/>
    <w:rsid w:val="00B272CF"/>
    <w:rsid w:val="00B30B80"/>
    <w:rsid w:val="00B32361"/>
    <w:rsid w:val="00B33B09"/>
    <w:rsid w:val="00B34A69"/>
    <w:rsid w:val="00B37AB7"/>
    <w:rsid w:val="00B4471C"/>
    <w:rsid w:val="00B452D1"/>
    <w:rsid w:val="00B46EBF"/>
    <w:rsid w:val="00B51B8E"/>
    <w:rsid w:val="00B543DD"/>
    <w:rsid w:val="00B57443"/>
    <w:rsid w:val="00B577C1"/>
    <w:rsid w:val="00B648E4"/>
    <w:rsid w:val="00B65B75"/>
    <w:rsid w:val="00B65C14"/>
    <w:rsid w:val="00B66406"/>
    <w:rsid w:val="00B66DFF"/>
    <w:rsid w:val="00B67FCC"/>
    <w:rsid w:val="00B73899"/>
    <w:rsid w:val="00B7795C"/>
    <w:rsid w:val="00B80A1E"/>
    <w:rsid w:val="00B80DF3"/>
    <w:rsid w:val="00B81BF7"/>
    <w:rsid w:val="00B83B0A"/>
    <w:rsid w:val="00B83B8F"/>
    <w:rsid w:val="00B92827"/>
    <w:rsid w:val="00BA0797"/>
    <w:rsid w:val="00BA0B39"/>
    <w:rsid w:val="00BA2FEE"/>
    <w:rsid w:val="00BA453B"/>
    <w:rsid w:val="00BA6AA2"/>
    <w:rsid w:val="00BB02BC"/>
    <w:rsid w:val="00BB4A31"/>
    <w:rsid w:val="00BB4AD3"/>
    <w:rsid w:val="00BB4CD3"/>
    <w:rsid w:val="00BB7041"/>
    <w:rsid w:val="00BC12A9"/>
    <w:rsid w:val="00BC1B28"/>
    <w:rsid w:val="00BC38E4"/>
    <w:rsid w:val="00BC5385"/>
    <w:rsid w:val="00BC6B2F"/>
    <w:rsid w:val="00BD1C50"/>
    <w:rsid w:val="00BD3374"/>
    <w:rsid w:val="00BD34E3"/>
    <w:rsid w:val="00BD3594"/>
    <w:rsid w:val="00BD41E2"/>
    <w:rsid w:val="00BD5FDA"/>
    <w:rsid w:val="00BD7F6E"/>
    <w:rsid w:val="00BE2D3A"/>
    <w:rsid w:val="00BE360B"/>
    <w:rsid w:val="00BE6861"/>
    <w:rsid w:val="00BE69F7"/>
    <w:rsid w:val="00BE7CAB"/>
    <w:rsid w:val="00BF01F7"/>
    <w:rsid w:val="00BF1E21"/>
    <w:rsid w:val="00BF3B47"/>
    <w:rsid w:val="00C0446F"/>
    <w:rsid w:val="00C0673F"/>
    <w:rsid w:val="00C06F49"/>
    <w:rsid w:val="00C118A7"/>
    <w:rsid w:val="00C1198F"/>
    <w:rsid w:val="00C125D5"/>
    <w:rsid w:val="00C142FA"/>
    <w:rsid w:val="00C154F5"/>
    <w:rsid w:val="00C258A3"/>
    <w:rsid w:val="00C27C2E"/>
    <w:rsid w:val="00C32367"/>
    <w:rsid w:val="00C324DE"/>
    <w:rsid w:val="00C34C80"/>
    <w:rsid w:val="00C35924"/>
    <w:rsid w:val="00C36CC7"/>
    <w:rsid w:val="00C40279"/>
    <w:rsid w:val="00C40851"/>
    <w:rsid w:val="00C408AE"/>
    <w:rsid w:val="00C40E03"/>
    <w:rsid w:val="00C42A4C"/>
    <w:rsid w:val="00C448F7"/>
    <w:rsid w:val="00C4623B"/>
    <w:rsid w:val="00C463C2"/>
    <w:rsid w:val="00C52CC5"/>
    <w:rsid w:val="00C5348B"/>
    <w:rsid w:val="00C55BA8"/>
    <w:rsid w:val="00C57334"/>
    <w:rsid w:val="00C6020F"/>
    <w:rsid w:val="00C60AD5"/>
    <w:rsid w:val="00C632F0"/>
    <w:rsid w:val="00C645F2"/>
    <w:rsid w:val="00C64720"/>
    <w:rsid w:val="00C6744B"/>
    <w:rsid w:val="00C71431"/>
    <w:rsid w:val="00C72961"/>
    <w:rsid w:val="00C74424"/>
    <w:rsid w:val="00C773EB"/>
    <w:rsid w:val="00C81402"/>
    <w:rsid w:val="00C822BD"/>
    <w:rsid w:val="00C9474A"/>
    <w:rsid w:val="00CA0001"/>
    <w:rsid w:val="00CA2824"/>
    <w:rsid w:val="00CA3397"/>
    <w:rsid w:val="00CA36BC"/>
    <w:rsid w:val="00CA6CA5"/>
    <w:rsid w:val="00CA6F6B"/>
    <w:rsid w:val="00CB26E2"/>
    <w:rsid w:val="00CB5929"/>
    <w:rsid w:val="00CB68E5"/>
    <w:rsid w:val="00CC0AA9"/>
    <w:rsid w:val="00CC2584"/>
    <w:rsid w:val="00CC2ABB"/>
    <w:rsid w:val="00CD0A86"/>
    <w:rsid w:val="00CD1564"/>
    <w:rsid w:val="00CD29C7"/>
    <w:rsid w:val="00CD5417"/>
    <w:rsid w:val="00CD7150"/>
    <w:rsid w:val="00CE0119"/>
    <w:rsid w:val="00CE2ECC"/>
    <w:rsid w:val="00CE468D"/>
    <w:rsid w:val="00CE5FBC"/>
    <w:rsid w:val="00CE6C34"/>
    <w:rsid w:val="00CE72E2"/>
    <w:rsid w:val="00CE73AE"/>
    <w:rsid w:val="00CF0A51"/>
    <w:rsid w:val="00CF1486"/>
    <w:rsid w:val="00CF1E27"/>
    <w:rsid w:val="00CF2006"/>
    <w:rsid w:val="00CF2F66"/>
    <w:rsid w:val="00CF3B77"/>
    <w:rsid w:val="00CF7161"/>
    <w:rsid w:val="00D01C98"/>
    <w:rsid w:val="00D01FC9"/>
    <w:rsid w:val="00D0550D"/>
    <w:rsid w:val="00D0605A"/>
    <w:rsid w:val="00D076DD"/>
    <w:rsid w:val="00D121A6"/>
    <w:rsid w:val="00D154C1"/>
    <w:rsid w:val="00D20112"/>
    <w:rsid w:val="00D20E74"/>
    <w:rsid w:val="00D20EB8"/>
    <w:rsid w:val="00D23C5E"/>
    <w:rsid w:val="00D24DDB"/>
    <w:rsid w:val="00D30A08"/>
    <w:rsid w:val="00D37AD0"/>
    <w:rsid w:val="00D440FD"/>
    <w:rsid w:val="00D4569A"/>
    <w:rsid w:val="00D45E13"/>
    <w:rsid w:val="00D51A65"/>
    <w:rsid w:val="00D53B9F"/>
    <w:rsid w:val="00D557BA"/>
    <w:rsid w:val="00D60045"/>
    <w:rsid w:val="00D6436B"/>
    <w:rsid w:val="00D6464A"/>
    <w:rsid w:val="00D67088"/>
    <w:rsid w:val="00D70289"/>
    <w:rsid w:val="00D70F10"/>
    <w:rsid w:val="00D71150"/>
    <w:rsid w:val="00D72EFA"/>
    <w:rsid w:val="00D730CC"/>
    <w:rsid w:val="00D802C9"/>
    <w:rsid w:val="00D82B86"/>
    <w:rsid w:val="00D90779"/>
    <w:rsid w:val="00D93E42"/>
    <w:rsid w:val="00D95CA9"/>
    <w:rsid w:val="00D9679C"/>
    <w:rsid w:val="00D9726F"/>
    <w:rsid w:val="00DA2671"/>
    <w:rsid w:val="00DA2B10"/>
    <w:rsid w:val="00DA2B2F"/>
    <w:rsid w:val="00DA6802"/>
    <w:rsid w:val="00DB033D"/>
    <w:rsid w:val="00DB0B03"/>
    <w:rsid w:val="00DB181F"/>
    <w:rsid w:val="00DB40F8"/>
    <w:rsid w:val="00DB508B"/>
    <w:rsid w:val="00DB7F7A"/>
    <w:rsid w:val="00DC1DC6"/>
    <w:rsid w:val="00DC3F3C"/>
    <w:rsid w:val="00DD2C31"/>
    <w:rsid w:val="00DD344D"/>
    <w:rsid w:val="00DE2764"/>
    <w:rsid w:val="00DE6B9D"/>
    <w:rsid w:val="00DE7AAE"/>
    <w:rsid w:val="00DF0009"/>
    <w:rsid w:val="00DF03B1"/>
    <w:rsid w:val="00DF0D97"/>
    <w:rsid w:val="00DF1027"/>
    <w:rsid w:val="00DF1E08"/>
    <w:rsid w:val="00DF244B"/>
    <w:rsid w:val="00DF2AA5"/>
    <w:rsid w:val="00DF3F6E"/>
    <w:rsid w:val="00E028C1"/>
    <w:rsid w:val="00E06537"/>
    <w:rsid w:val="00E06F49"/>
    <w:rsid w:val="00E12593"/>
    <w:rsid w:val="00E13ACB"/>
    <w:rsid w:val="00E13F85"/>
    <w:rsid w:val="00E14B41"/>
    <w:rsid w:val="00E17A7C"/>
    <w:rsid w:val="00E23E8A"/>
    <w:rsid w:val="00E245BD"/>
    <w:rsid w:val="00E26D1F"/>
    <w:rsid w:val="00E276D1"/>
    <w:rsid w:val="00E34976"/>
    <w:rsid w:val="00E36A54"/>
    <w:rsid w:val="00E433F3"/>
    <w:rsid w:val="00E44158"/>
    <w:rsid w:val="00E45039"/>
    <w:rsid w:val="00E462A8"/>
    <w:rsid w:val="00E4688B"/>
    <w:rsid w:val="00E510A0"/>
    <w:rsid w:val="00E53A15"/>
    <w:rsid w:val="00E552D3"/>
    <w:rsid w:val="00E555F7"/>
    <w:rsid w:val="00E57D7B"/>
    <w:rsid w:val="00E64E39"/>
    <w:rsid w:val="00E66524"/>
    <w:rsid w:val="00E6681E"/>
    <w:rsid w:val="00E6787A"/>
    <w:rsid w:val="00E70274"/>
    <w:rsid w:val="00E72EE9"/>
    <w:rsid w:val="00E74DE9"/>
    <w:rsid w:val="00E7567B"/>
    <w:rsid w:val="00E76AB5"/>
    <w:rsid w:val="00E856E0"/>
    <w:rsid w:val="00E905A8"/>
    <w:rsid w:val="00E91792"/>
    <w:rsid w:val="00E922D3"/>
    <w:rsid w:val="00E95259"/>
    <w:rsid w:val="00E9571B"/>
    <w:rsid w:val="00EA0529"/>
    <w:rsid w:val="00EA07BC"/>
    <w:rsid w:val="00EA08C3"/>
    <w:rsid w:val="00EA1C80"/>
    <w:rsid w:val="00EA6BA7"/>
    <w:rsid w:val="00EA735A"/>
    <w:rsid w:val="00EA7474"/>
    <w:rsid w:val="00EB2CE3"/>
    <w:rsid w:val="00EB37AF"/>
    <w:rsid w:val="00EB4846"/>
    <w:rsid w:val="00EC255A"/>
    <w:rsid w:val="00EC4AD6"/>
    <w:rsid w:val="00EC5394"/>
    <w:rsid w:val="00EC59E6"/>
    <w:rsid w:val="00EC772D"/>
    <w:rsid w:val="00ED25C9"/>
    <w:rsid w:val="00ED30C0"/>
    <w:rsid w:val="00EE0A3F"/>
    <w:rsid w:val="00EE3B6F"/>
    <w:rsid w:val="00EE540F"/>
    <w:rsid w:val="00EF396D"/>
    <w:rsid w:val="00EF4813"/>
    <w:rsid w:val="00EF4BDC"/>
    <w:rsid w:val="00EF72A2"/>
    <w:rsid w:val="00EF7FD4"/>
    <w:rsid w:val="00F00428"/>
    <w:rsid w:val="00F01D15"/>
    <w:rsid w:val="00F07D0F"/>
    <w:rsid w:val="00F11BB3"/>
    <w:rsid w:val="00F12365"/>
    <w:rsid w:val="00F17808"/>
    <w:rsid w:val="00F20224"/>
    <w:rsid w:val="00F20B4D"/>
    <w:rsid w:val="00F24729"/>
    <w:rsid w:val="00F255BE"/>
    <w:rsid w:val="00F3089B"/>
    <w:rsid w:val="00F365B6"/>
    <w:rsid w:val="00F45AEA"/>
    <w:rsid w:val="00F53860"/>
    <w:rsid w:val="00F55244"/>
    <w:rsid w:val="00F823DC"/>
    <w:rsid w:val="00F86C94"/>
    <w:rsid w:val="00F87733"/>
    <w:rsid w:val="00F92038"/>
    <w:rsid w:val="00F92615"/>
    <w:rsid w:val="00F95723"/>
    <w:rsid w:val="00FA26FF"/>
    <w:rsid w:val="00FA65D3"/>
    <w:rsid w:val="00FA6741"/>
    <w:rsid w:val="00FB085A"/>
    <w:rsid w:val="00FB4B41"/>
    <w:rsid w:val="00FD4887"/>
    <w:rsid w:val="00FE002E"/>
    <w:rsid w:val="00FE4D40"/>
    <w:rsid w:val="00FE69CD"/>
    <w:rsid w:val="00FE74C5"/>
    <w:rsid w:val="00FE7A8E"/>
    <w:rsid w:val="00FF549F"/>
    <w:rsid w:val="00FF670E"/>
    <w:rsid w:val="0240302F"/>
    <w:rsid w:val="02A40347"/>
    <w:rsid w:val="02EA83F1"/>
    <w:rsid w:val="02FEBB5E"/>
    <w:rsid w:val="038CDDE4"/>
    <w:rsid w:val="03A45784"/>
    <w:rsid w:val="03B6E5DC"/>
    <w:rsid w:val="04416122"/>
    <w:rsid w:val="04A9E994"/>
    <w:rsid w:val="04D276A1"/>
    <w:rsid w:val="04D9E3A1"/>
    <w:rsid w:val="04F07379"/>
    <w:rsid w:val="0518170A"/>
    <w:rsid w:val="051F6999"/>
    <w:rsid w:val="05478FF0"/>
    <w:rsid w:val="05A0C498"/>
    <w:rsid w:val="061A872D"/>
    <w:rsid w:val="06E78F37"/>
    <w:rsid w:val="074316D1"/>
    <w:rsid w:val="077941BA"/>
    <w:rsid w:val="07B9CC3E"/>
    <w:rsid w:val="0888D4E6"/>
    <w:rsid w:val="08ED04B4"/>
    <w:rsid w:val="0931A685"/>
    <w:rsid w:val="09657EF3"/>
    <w:rsid w:val="098E849E"/>
    <w:rsid w:val="09BD4BC7"/>
    <w:rsid w:val="0ACCE35A"/>
    <w:rsid w:val="0AE5F459"/>
    <w:rsid w:val="0AF18392"/>
    <w:rsid w:val="0B0B9DF3"/>
    <w:rsid w:val="0B4FA57B"/>
    <w:rsid w:val="0B6A32DA"/>
    <w:rsid w:val="0C698971"/>
    <w:rsid w:val="0C79212F"/>
    <w:rsid w:val="0C884D9A"/>
    <w:rsid w:val="0CDA0C3B"/>
    <w:rsid w:val="0CE24BC4"/>
    <w:rsid w:val="0D46A4BC"/>
    <w:rsid w:val="0D91EF74"/>
    <w:rsid w:val="0E3A412B"/>
    <w:rsid w:val="0EB5689B"/>
    <w:rsid w:val="0EC809F1"/>
    <w:rsid w:val="0ECB89CE"/>
    <w:rsid w:val="0F6FFF59"/>
    <w:rsid w:val="101323B7"/>
    <w:rsid w:val="10A73996"/>
    <w:rsid w:val="10B18BDF"/>
    <w:rsid w:val="10C38C66"/>
    <w:rsid w:val="10D8BE15"/>
    <w:rsid w:val="1162730A"/>
    <w:rsid w:val="116DFA74"/>
    <w:rsid w:val="11FE1BE8"/>
    <w:rsid w:val="12EA12E0"/>
    <w:rsid w:val="130077A7"/>
    <w:rsid w:val="1316FF26"/>
    <w:rsid w:val="133A7014"/>
    <w:rsid w:val="134207EC"/>
    <w:rsid w:val="136D2B9A"/>
    <w:rsid w:val="13726817"/>
    <w:rsid w:val="13A1FEF4"/>
    <w:rsid w:val="13B6EEE8"/>
    <w:rsid w:val="14629EC0"/>
    <w:rsid w:val="148343A0"/>
    <w:rsid w:val="14864A1C"/>
    <w:rsid w:val="14F1F9DA"/>
    <w:rsid w:val="16CF41EB"/>
    <w:rsid w:val="17433FB7"/>
    <w:rsid w:val="1754C07A"/>
    <w:rsid w:val="17EF96A6"/>
    <w:rsid w:val="17F4F748"/>
    <w:rsid w:val="1865E57B"/>
    <w:rsid w:val="188CDA95"/>
    <w:rsid w:val="18946D41"/>
    <w:rsid w:val="18E348CE"/>
    <w:rsid w:val="19375B46"/>
    <w:rsid w:val="196BFB04"/>
    <w:rsid w:val="1971F916"/>
    <w:rsid w:val="19ADBDA4"/>
    <w:rsid w:val="1A0B9E4D"/>
    <w:rsid w:val="1AD5DFBF"/>
    <w:rsid w:val="1ADD9093"/>
    <w:rsid w:val="1B14AAA0"/>
    <w:rsid w:val="1B533C10"/>
    <w:rsid w:val="1B7CA0AD"/>
    <w:rsid w:val="1B7D6F44"/>
    <w:rsid w:val="1B8A4F2E"/>
    <w:rsid w:val="1C4F2CE0"/>
    <w:rsid w:val="1CB4DBB3"/>
    <w:rsid w:val="1DC8C563"/>
    <w:rsid w:val="1DF0D49C"/>
    <w:rsid w:val="1E51E2FD"/>
    <w:rsid w:val="1EC0C067"/>
    <w:rsid w:val="1F1BA632"/>
    <w:rsid w:val="1F2BB0FC"/>
    <w:rsid w:val="1F40FF0E"/>
    <w:rsid w:val="1F43C130"/>
    <w:rsid w:val="201F16A8"/>
    <w:rsid w:val="209236FA"/>
    <w:rsid w:val="21605FB6"/>
    <w:rsid w:val="21CB86C4"/>
    <w:rsid w:val="21DBFB3D"/>
    <w:rsid w:val="221A7B52"/>
    <w:rsid w:val="224885F5"/>
    <w:rsid w:val="22F05654"/>
    <w:rsid w:val="231258E9"/>
    <w:rsid w:val="2467F953"/>
    <w:rsid w:val="246961B6"/>
    <w:rsid w:val="2490220F"/>
    <w:rsid w:val="24B0DB64"/>
    <w:rsid w:val="24BC8506"/>
    <w:rsid w:val="254B96D3"/>
    <w:rsid w:val="2568F9AF"/>
    <w:rsid w:val="258C8C46"/>
    <w:rsid w:val="262B3DC7"/>
    <w:rsid w:val="26DA7A0D"/>
    <w:rsid w:val="27081851"/>
    <w:rsid w:val="2729C26F"/>
    <w:rsid w:val="281474CA"/>
    <w:rsid w:val="28EC6F45"/>
    <w:rsid w:val="28F4CED0"/>
    <w:rsid w:val="2956BD16"/>
    <w:rsid w:val="29F7724E"/>
    <w:rsid w:val="2A1D1374"/>
    <w:rsid w:val="2A239FD7"/>
    <w:rsid w:val="2A64750B"/>
    <w:rsid w:val="2ACD4969"/>
    <w:rsid w:val="2B1D73E6"/>
    <w:rsid w:val="2B921A95"/>
    <w:rsid w:val="2C111797"/>
    <w:rsid w:val="2C30BFC4"/>
    <w:rsid w:val="2CF7778F"/>
    <w:rsid w:val="2D4DB31C"/>
    <w:rsid w:val="2DBB0B76"/>
    <w:rsid w:val="2F79C653"/>
    <w:rsid w:val="2FC7E862"/>
    <w:rsid w:val="2FFD8792"/>
    <w:rsid w:val="3000C87D"/>
    <w:rsid w:val="303A8AD2"/>
    <w:rsid w:val="304D38AC"/>
    <w:rsid w:val="3093DB42"/>
    <w:rsid w:val="31198C88"/>
    <w:rsid w:val="31E6A9EA"/>
    <w:rsid w:val="31FA7C5F"/>
    <w:rsid w:val="3215C3B2"/>
    <w:rsid w:val="322D81B9"/>
    <w:rsid w:val="3237FDBF"/>
    <w:rsid w:val="327D6589"/>
    <w:rsid w:val="3326F105"/>
    <w:rsid w:val="33CF0181"/>
    <w:rsid w:val="34A4F27A"/>
    <w:rsid w:val="34C2E7BE"/>
    <w:rsid w:val="34F85B42"/>
    <w:rsid w:val="355E5A3B"/>
    <w:rsid w:val="365B590E"/>
    <w:rsid w:val="36901DA0"/>
    <w:rsid w:val="36A36F7C"/>
    <w:rsid w:val="36E43C18"/>
    <w:rsid w:val="370C320A"/>
    <w:rsid w:val="37232298"/>
    <w:rsid w:val="37975AC2"/>
    <w:rsid w:val="3865A627"/>
    <w:rsid w:val="387F76F1"/>
    <w:rsid w:val="38AA840D"/>
    <w:rsid w:val="39140213"/>
    <w:rsid w:val="3A263774"/>
    <w:rsid w:val="3BBEA564"/>
    <w:rsid w:val="3BC7820C"/>
    <w:rsid w:val="3BCB5871"/>
    <w:rsid w:val="3BEABD71"/>
    <w:rsid w:val="3C571DDB"/>
    <w:rsid w:val="3CD4B119"/>
    <w:rsid w:val="3DB0A5FD"/>
    <w:rsid w:val="3DE85514"/>
    <w:rsid w:val="3E11F8A2"/>
    <w:rsid w:val="3E33C0E8"/>
    <w:rsid w:val="3E981AF2"/>
    <w:rsid w:val="3F9861B3"/>
    <w:rsid w:val="3FA359FC"/>
    <w:rsid w:val="40125B26"/>
    <w:rsid w:val="403625A0"/>
    <w:rsid w:val="403F5EEF"/>
    <w:rsid w:val="40870C44"/>
    <w:rsid w:val="41424DEB"/>
    <w:rsid w:val="418BF75C"/>
    <w:rsid w:val="41FCC61C"/>
    <w:rsid w:val="42122F2B"/>
    <w:rsid w:val="426857DB"/>
    <w:rsid w:val="428D429B"/>
    <w:rsid w:val="430A8099"/>
    <w:rsid w:val="4313F74A"/>
    <w:rsid w:val="435AE87A"/>
    <w:rsid w:val="43F3A9A5"/>
    <w:rsid w:val="4464C6EA"/>
    <w:rsid w:val="447375A5"/>
    <w:rsid w:val="44BB86B0"/>
    <w:rsid w:val="44C600BA"/>
    <w:rsid w:val="44DC1EA6"/>
    <w:rsid w:val="45349AE1"/>
    <w:rsid w:val="458AF598"/>
    <w:rsid w:val="45AF4069"/>
    <w:rsid w:val="45E6A2EC"/>
    <w:rsid w:val="4619B465"/>
    <w:rsid w:val="462284C1"/>
    <w:rsid w:val="467ACD48"/>
    <w:rsid w:val="476FE0EC"/>
    <w:rsid w:val="479EC882"/>
    <w:rsid w:val="4811AA41"/>
    <w:rsid w:val="481D0D7C"/>
    <w:rsid w:val="4898ADAF"/>
    <w:rsid w:val="48EFB928"/>
    <w:rsid w:val="4937F2D2"/>
    <w:rsid w:val="49918A8A"/>
    <w:rsid w:val="49C3B9EB"/>
    <w:rsid w:val="4A49DB7C"/>
    <w:rsid w:val="4A5D89E9"/>
    <w:rsid w:val="4A7C7D5D"/>
    <w:rsid w:val="4B245359"/>
    <w:rsid w:val="4B26B6C5"/>
    <w:rsid w:val="4B3E220A"/>
    <w:rsid w:val="4B877136"/>
    <w:rsid w:val="4C940C0E"/>
    <w:rsid w:val="4CA6541E"/>
    <w:rsid w:val="4CFE212D"/>
    <w:rsid w:val="4D6B765C"/>
    <w:rsid w:val="4DD54889"/>
    <w:rsid w:val="4E878BD1"/>
    <w:rsid w:val="4EADDA47"/>
    <w:rsid w:val="4F22A9C3"/>
    <w:rsid w:val="4FFCB392"/>
    <w:rsid w:val="504ED643"/>
    <w:rsid w:val="513EDC3C"/>
    <w:rsid w:val="514F1914"/>
    <w:rsid w:val="51776042"/>
    <w:rsid w:val="519DE3B6"/>
    <w:rsid w:val="51D851D2"/>
    <w:rsid w:val="52188BB1"/>
    <w:rsid w:val="52557E08"/>
    <w:rsid w:val="5255B4A4"/>
    <w:rsid w:val="52754AD8"/>
    <w:rsid w:val="532C8D02"/>
    <w:rsid w:val="53660429"/>
    <w:rsid w:val="53C12220"/>
    <w:rsid w:val="54045971"/>
    <w:rsid w:val="542D96FA"/>
    <w:rsid w:val="547B5B9F"/>
    <w:rsid w:val="54DE80A8"/>
    <w:rsid w:val="54F507AB"/>
    <w:rsid w:val="55E88162"/>
    <w:rsid w:val="560C335C"/>
    <w:rsid w:val="569C73CC"/>
    <w:rsid w:val="56EE3AC5"/>
    <w:rsid w:val="5780B5FF"/>
    <w:rsid w:val="57A333C3"/>
    <w:rsid w:val="57A409E5"/>
    <w:rsid w:val="584663C2"/>
    <w:rsid w:val="58F84259"/>
    <w:rsid w:val="5936BADF"/>
    <w:rsid w:val="5AC1E68D"/>
    <w:rsid w:val="5B361249"/>
    <w:rsid w:val="5B787967"/>
    <w:rsid w:val="5B94FB37"/>
    <w:rsid w:val="5B9A5A26"/>
    <w:rsid w:val="5BB61C3B"/>
    <w:rsid w:val="5C562267"/>
    <w:rsid w:val="5CB3C4B1"/>
    <w:rsid w:val="5CC0FEC9"/>
    <w:rsid w:val="5CDE0912"/>
    <w:rsid w:val="5DB44CAC"/>
    <w:rsid w:val="5DB6F2DF"/>
    <w:rsid w:val="5DE78718"/>
    <w:rsid w:val="5E1558CD"/>
    <w:rsid w:val="5E2E3605"/>
    <w:rsid w:val="5E4363D6"/>
    <w:rsid w:val="5F04CFB7"/>
    <w:rsid w:val="5F11F979"/>
    <w:rsid w:val="5F589DA1"/>
    <w:rsid w:val="5F64856B"/>
    <w:rsid w:val="5FE6FDD9"/>
    <w:rsid w:val="5FF5C0ED"/>
    <w:rsid w:val="60138360"/>
    <w:rsid w:val="6040429D"/>
    <w:rsid w:val="6097D806"/>
    <w:rsid w:val="60EE894B"/>
    <w:rsid w:val="61DE4D72"/>
    <w:rsid w:val="61E3B456"/>
    <w:rsid w:val="621B29C6"/>
    <w:rsid w:val="625E915B"/>
    <w:rsid w:val="6270D35D"/>
    <w:rsid w:val="62775045"/>
    <w:rsid w:val="627A05C3"/>
    <w:rsid w:val="62800013"/>
    <w:rsid w:val="628A5DAA"/>
    <w:rsid w:val="63156A87"/>
    <w:rsid w:val="631E7D50"/>
    <w:rsid w:val="631F59C6"/>
    <w:rsid w:val="63286D04"/>
    <w:rsid w:val="63604FD4"/>
    <w:rsid w:val="6364DF2E"/>
    <w:rsid w:val="63AB18B4"/>
    <w:rsid w:val="63D62396"/>
    <w:rsid w:val="64005DE4"/>
    <w:rsid w:val="649DEEFB"/>
    <w:rsid w:val="64E37190"/>
    <w:rsid w:val="656DC4CB"/>
    <w:rsid w:val="664BCE3E"/>
    <w:rsid w:val="68785263"/>
    <w:rsid w:val="68DBB2BD"/>
    <w:rsid w:val="692A8807"/>
    <w:rsid w:val="69638E50"/>
    <w:rsid w:val="6989ADFE"/>
    <w:rsid w:val="6A208312"/>
    <w:rsid w:val="6BE3D243"/>
    <w:rsid w:val="6C3DD783"/>
    <w:rsid w:val="6C4A4E25"/>
    <w:rsid w:val="6DA55F22"/>
    <w:rsid w:val="6E87E004"/>
    <w:rsid w:val="6F0D68CD"/>
    <w:rsid w:val="6F5B144A"/>
    <w:rsid w:val="6F741122"/>
    <w:rsid w:val="6F9E3649"/>
    <w:rsid w:val="70995B3B"/>
    <w:rsid w:val="70BA2BAF"/>
    <w:rsid w:val="71AD1E97"/>
    <w:rsid w:val="71B31CEA"/>
    <w:rsid w:val="71D12866"/>
    <w:rsid w:val="71F06C9E"/>
    <w:rsid w:val="7297230F"/>
    <w:rsid w:val="729ADAD3"/>
    <w:rsid w:val="7300A08E"/>
    <w:rsid w:val="7345558E"/>
    <w:rsid w:val="735301E7"/>
    <w:rsid w:val="73D23C08"/>
    <w:rsid w:val="73F3CB1D"/>
    <w:rsid w:val="74BFC3FC"/>
    <w:rsid w:val="74DE982F"/>
    <w:rsid w:val="75692D56"/>
    <w:rsid w:val="7636B50F"/>
    <w:rsid w:val="763C4D70"/>
    <w:rsid w:val="7698B57B"/>
    <w:rsid w:val="77081A7D"/>
    <w:rsid w:val="770D6DD8"/>
    <w:rsid w:val="77179926"/>
    <w:rsid w:val="7731384E"/>
    <w:rsid w:val="77B215AB"/>
    <w:rsid w:val="78037B20"/>
    <w:rsid w:val="78B62C77"/>
    <w:rsid w:val="78C39DC0"/>
    <w:rsid w:val="79320349"/>
    <w:rsid w:val="79FB314D"/>
    <w:rsid w:val="7A70669F"/>
    <w:rsid w:val="7AB7A8B6"/>
    <w:rsid w:val="7AD08275"/>
    <w:rsid w:val="7AF3F34C"/>
    <w:rsid w:val="7B19BB46"/>
    <w:rsid w:val="7BE5D9A5"/>
    <w:rsid w:val="7C0BD7FC"/>
    <w:rsid w:val="7C6637C0"/>
    <w:rsid w:val="7CD4E8E5"/>
    <w:rsid w:val="7CDB49CD"/>
    <w:rsid w:val="7D0FBF24"/>
    <w:rsid w:val="7D1EDACC"/>
    <w:rsid w:val="7DC018B5"/>
    <w:rsid w:val="7DFE8480"/>
    <w:rsid w:val="7EBF11F9"/>
    <w:rsid w:val="7EE27BE5"/>
    <w:rsid w:val="7EF30D9E"/>
    <w:rsid w:val="7F28C269"/>
    <w:rsid w:val="7F5CEE4E"/>
    <w:rsid w:val="7FB941A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8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3"/>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4"/>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99"/>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4"/>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character" w:styleId="UnresolvedMention">
    <w:name w:val="Unresolved Mention"/>
    <w:basedOn w:val="DefaultParagraphFont"/>
    <w:uiPriority w:val="99"/>
    <w:semiHidden/>
    <w:unhideWhenUsed/>
    <w:rsid w:val="00176A37"/>
    <w:rPr>
      <w:color w:val="605E5C"/>
      <w:shd w:val="clear" w:color="auto" w:fill="E1DFDD"/>
    </w:rPr>
  </w:style>
  <w:style w:type="paragraph" w:customStyle="1" w:styleId="tabletext">
    <w:name w:val="tabletext"/>
    <w:basedOn w:val="Normal"/>
    <w:rsid w:val="00045F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55488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54886"/>
  </w:style>
  <w:style w:type="character" w:customStyle="1" w:styleId="eop">
    <w:name w:val="eop"/>
    <w:basedOn w:val="DefaultParagraphFont"/>
    <w:rsid w:val="00554886"/>
  </w:style>
  <w:style w:type="character" w:styleId="Mention">
    <w:name w:val="Mention"/>
    <w:basedOn w:val="DefaultParagraphFont"/>
    <w:uiPriority w:val="99"/>
    <w:unhideWhenUsed/>
    <w:rsid w:val="00A409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5146">
      <w:bodyDiv w:val="1"/>
      <w:marLeft w:val="0"/>
      <w:marRight w:val="0"/>
      <w:marTop w:val="0"/>
      <w:marBottom w:val="0"/>
      <w:divBdr>
        <w:top w:val="none" w:sz="0" w:space="0" w:color="auto"/>
        <w:left w:val="none" w:sz="0" w:space="0" w:color="auto"/>
        <w:bottom w:val="none" w:sz="0" w:space="0" w:color="auto"/>
        <w:right w:val="none" w:sz="0" w:space="0" w:color="auto"/>
      </w:divBdr>
    </w:div>
    <w:div w:id="207768651">
      <w:bodyDiv w:val="1"/>
      <w:marLeft w:val="0"/>
      <w:marRight w:val="0"/>
      <w:marTop w:val="0"/>
      <w:marBottom w:val="0"/>
      <w:divBdr>
        <w:top w:val="none" w:sz="0" w:space="0" w:color="auto"/>
        <w:left w:val="none" w:sz="0" w:space="0" w:color="auto"/>
        <w:bottom w:val="none" w:sz="0" w:space="0" w:color="auto"/>
        <w:right w:val="none" w:sz="0" w:space="0" w:color="auto"/>
      </w:divBdr>
    </w:div>
    <w:div w:id="257759641">
      <w:bodyDiv w:val="1"/>
      <w:marLeft w:val="0"/>
      <w:marRight w:val="0"/>
      <w:marTop w:val="0"/>
      <w:marBottom w:val="0"/>
      <w:divBdr>
        <w:top w:val="none" w:sz="0" w:space="0" w:color="auto"/>
        <w:left w:val="none" w:sz="0" w:space="0" w:color="auto"/>
        <w:bottom w:val="none" w:sz="0" w:space="0" w:color="auto"/>
        <w:right w:val="none" w:sz="0" w:space="0" w:color="auto"/>
      </w:divBdr>
    </w:div>
    <w:div w:id="318196404">
      <w:bodyDiv w:val="1"/>
      <w:marLeft w:val="0"/>
      <w:marRight w:val="0"/>
      <w:marTop w:val="0"/>
      <w:marBottom w:val="0"/>
      <w:divBdr>
        <w:top w:val="none" w:sz="0" w:space="0" w:color="auto"/>
        <w:left w:val="none" w:sz="0" w:space="0" w:color="auto"/>
        <w:bottom w:val="none" w:sz="0" w:space="0" w:color="auto"/>
        <w:right w:val="none" w:sz="0" w:space="0" w:color="auto"/>
      </w:divBdr>
    </w:div>
    <w:div w:id="546571461">
      <w:bodyDiv w:val="1"/>
      <w:marLeft w:val="0"/>
      <w:marRight w:val="0"/>
      <w:marTop w:val="0"/>
      <w:marBottom w:val="0"/>
      <w:divBdr>
        <w:top w:val="none" w:sz="0" w:space="0" w:color="auto"/>
        <w:left w:val="none" w:sz="0" w:space="0" w:color="auto"/>
        <w:bottom w:val="none" w:sz="0" w:space="0" w:color="auto"/>
        <w:right w:val="none" w:sz="0" w:space="0" w:color="auto"/>
      </w:divBdr>
    </w:div>
    <w:div w:id="558905032">
      <w:bodyDiv w:val="1"/>
      <w:marLeft w:val="0"/>
      <w:marRight w:val="0"/>
      <w:marTop w:val="0"/>
      <w:marBottom w:val="0"/>
      <w:divBdr>
        <w:top w:val="none" w:sz="0" w:space="0" w:color="auto"/>
        <w:left w:val="none" w:sz="0" w:space="0" w:color="auto"/>
        <w:bottom w:val="none" w:sz="0" w:space="0" w:color="auto"/>
        <w:right w:val="none" w:sz="0" w:space="0" w:color="auto"/>
      </w:divBdr>
    </w:div>
    <w:div w:id="841119442">
      <w:bodyDiv w:val="1"/>
      <w:marLeft w:val="0"/>
      <w:marRight w:val="0"/>
      <w:marTop w:val="0"/>
      <w:marBottom w:val="0"/>
      <w:divBdr>
        <w:top w:val="none" w:sz="0" w:space="0" w:color="auto"/>
        <w:left w:val="none" w:sz="0" w:space="0" w:color="auto"/>
        <w:bottom w:val="none" w:sz="0" w:space="0" w:color="auto"/>
        <w:right w:val="none" w:sz="0" w:space="0" w:color="auto"/>
      </w:divBdr>
    </w:div>
    <w:div w:id="1006980865">
      <w:bodyDiv w:val="1"/>
      <w:marLeft w:val="0"/>
      <w:marRight w:val="0"/>
      <w:marTop w:val="0"/>
      <w:marBottom w:val="0"/>
      <w:divBdr>
        <w:top w:val="none" w:sz="0" w:space="0" w:color="auto"/>
        <w:left w:val="none" w:sz="0" w:space="0" w:color="auto"/>
        <w:bottom w:val="none" w:sz="0" w:space="0" w:color="auto"/>
        <w:right w:val="none" w:sz="0" w:space="0" w:color="auto"/>
      </w:divBdr>
    </w:div>
    <w:div w:id="1029142224">
      <w:bodyDiv w:val="1"/>
      <w:marLeft w:val="0"/>
      <w:marRight w:val="0"/>
      <w:marTop w:val="0"/>
      <w:marBottom w:val="0"/>
      <w:divBdr>
        <w:top w:val="none" w:sz="0" w:space="0" w:color="auto"/>
        <w:left w:val="none" w:sz="0" w:space="0" w:color="auto"/>
        <w:bottom w:val="none" w:sz="0" w:space="0" w:color="auto"/>
        <w:right w:val="none" w:sz="0" w:space="0" w:color="auto"/>
      </w:divBdr>
    </w:div>
    <w:div w:id="1278102093">
      <w:bodyDiv w:val="1"/>
      <w:marLeft w:val="0"/>
      <w:marRight w:val="0"/>
      <w:marTop w:val="0"/>
      <w:marBottom w:val="0"/>
      <w:divBdr>
        <w:top w:val="none" w:sz="0" w:space="0" w:color="auto"/>
        <w:left w:val="none" w:sz="0" w:space="0" w:color="auto"/>
        <w:bottom w:val="none" w:sz="0" w:space="0" w:color="auto"/>
        <w:right w:val="none" w:sz="0" w:space="0" w:color="auto"/>
      </w:divBdr>
    </w:div>
    <w:div w:id="1531603866">
      <w:bodyDiv w:val="1"/>
      <w:marLeft w:val="0"/>
      <w:marRight w:val="0"/>
      <w:marTop w:val="0"/>
      <w:marBottom w:val="0"/>
      <w:divBdr>
        <w:top w:val="none" w:sz="0" w:space="0" w:color="auto"/>
        <w:left w:val="none" w:sz="0" w:space="0" w:color="auto"/>
        <w:bottom w:val="none" w:sz="0" w:space="0" w:color="auto"/>
        <w:right w:val="none" w:sz="0" w:space="0" w:color="auto"/>
      </w:divBdr>
    </w:div>
    <w:div w:id="1573346433">
      <w:bodyDiv w:val="1"/>
      <w:marLeft w:val="0"/>
      <w:marRight w:val="0"/>
      <w:marTop w:val="0"/>
      <w:marBottom w:val="0"/>
      <w:divBdr>
        <w:top w:val="none" w:sz="0" w:space="0" w:color="auto"/>
        <w:left w:val="none" w:sz="0" w:space="0" w:color="auto"/>
        <w:bottom w:val="none" w:sz="0" w:space="0" w:color="auto"/>
        <w:right w:val="none" w:sz="0" w:space="0" w:color="auto"/>
      </w:divBdr>
    </w:div>
    <w:div w:id="1931346851">
      <w:bodyDiv w:val="1"/>
      <w:marLeft w:val="0"/>
      <w:marRight w:val="0"/>
      <w:marTop w:val="0"/>
      <w:marBottom w:val="0"/>
      <w:divBdr>
        <w:top w:val="none" w:sz="0" w:space="0" w:color="auto"/>
        <w:left w:val="none" w:sz="0" w:space="0" w:color="auto"/>
        <w:bottom w:val="none" w:sz="0" w:space="0" w:color="auto"/>
        <w:right w:val="none" w:sz="0" w:space="0" w:color="auto"/>
      </w:divBdr>
    </w:div>
    <w:div w:id="20938136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1D2C0-7B32-4461-982C-966C175043CA}">
  <ds:schemaRefs>
    <ds:schemaRef ds:uri="http://schemas.openxmlformats.org/officeDocument/2006/bibliography"/>
  </ds:schemaRefs>
</ds:datastoreItem>
</file>

<file path=docMetadata/LabelInfo.xml><?xml version="1.0" encoding="utf-8"?>
<clbl:labelList xmlns:clbl="http://schemas.microsoft.com/office/2020/mipLabelMetadata">
  <clbl:label id="{c5e28208-88e7-4202-a120-85c9828a6bf0}"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1899</Words>
  <Characters>10903</Characters>
  <Application>Microsoft Office Word</Application>
  <DocSecurity>0</DocSecurity>
  <Lines>265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2025-10-23T01:07:00Z</dcterms:created>
  <dcterms:modified xsi:type="dcterms:W3CDTF">2025-10-23T01:08:00Z</dcterms:modified>
</cp:coreProperties>
</file>