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2A82" w14:textId="77777777" w:rsidR="00A34D64" w:rsidRPr="00BF36F2" w:rsidRDefault="00A34D64" w:rsidP="00E83077">
      <w:pPr>
        <w:pStyle w:val="Title"/>
        <w:rPr>
          <w:rFonts w:asciiTheme="minorHAnsi" w:hAnsiTheme="minorHAnsi" w:cstheme="minorHAnsi"/>
          <w:sz w:val="24"/>
          <w:szCs w:val="24"/>
          <w:u w:val="single"/>
        </w:rPr>
      </w:pPr>
      <w:r w:rsidRPr="00BF36F2">
        <w:rPr>
          <w:rFonts w:asciiTheme="minorHAnsi" w:hAnsiTheme="minorHAnsi" w:cstheme="minorHAnsi"/>
          <w:sz w:val="24"/>
          <w:szCs w:val="24"/>
          <w:u w:val="single"/>
        </w:rPr>
        <w:t>EXPLANATORY STATEMENT</w:t>
      </w:r>
    </w:p>
    <w:p w14:paraId="1782A634" w14:textId="77777777" w:rsidR="00A34D64" w:rsidRPr="00CF338F" w:rsidRDefault="00A34D64" w:rsidP="00CE04F6">
      <w:pPr>
        <w:pStyle w:val="Subtitle"/>
        <w:rPr>
          <w:rFonts w:asciiTheme="minorHAnsi" w:hAnsiTheme="minorHAnsi" w:cstheme="minorHAnsi"/>
        </w:rPr>
      </w:pPr>
      <w:r w:rsidRPr="00CF338F">
        <w:rPr>
          <w:rFonts w:asciiTheme="minorHAnsi" w:hAnsiTheme="minorHAnsi" w:cstheme="minorHAnsi"/>
        </w:rPr>
        <w:t>Issued by the authority of the Minister for Education</w:t>
      </w:r>
    </w:p>
    <w:p w14:paraId="0A2EDEBA" w14:textId="77777777" w:rsidR="00A34D64" w:rsidRPr="00CF338F" w:rsidRDefault="00A34D64" w:rsidP="00A34D64">
      <w:pPr>
        <w:jc w:val="center"/>
        <w:rPr>
          <w:rFonts w:cstheme="minorHAnsi"/>
          <w:i/>
          <w:iCs/>
          <w:sz w:val="24"/>
          <w:szCs w:val="24"/>
        </w:rPr>
      </w:pPr>
      <w:r w:rsidRPr="00CF338F">
        <w:rPr>
          <w:rFonts w:cstheme="minorHAnsi"/>
          <w:i/>
          <w:iCs/>
          <w:sz w:val="24"/>
          <w:szCs w:val="24"/>
        </w:rPr>
        <w:t>Australian Education Act 2013</w:t>
      </w:r>
    </w:p>
    <w:p w14:paraId="43234423" w14:textId="5F9D9997" w:rsidR="00A34D64" w:rsidRPr="00CF338F" w:rsidRDefault="00A34D64" w:rsidP="00A34D64">
      <w:pPr>
        <w:jc w:val="center"/>
        <w:rPr>
          <w:rFonts w:cstheme="minorHAnsi"/>
          <w:sz w:val="24"/>
          <w:szCs w:val="24"/>
        </w:rPr>
      </w:pPr>
      <w:r w:rsidRPr="00CF338F">
        <w:rPr>
          <w:rFonts w:cstheme="minorHAnsi"/>
          <w:i/>
          <w:iCs/>
          <w:sz w:val="24"/>
          <w:szCs w:val="24"/>
        </w:rPr>
        <w:t>Australian Education Amendment (</w:t>
      </w:r>
      <w:r w:rsidR="00326154" w:rsidRPr="00CF338F">
        <w:rPr>
          <w:rFonts w:cstheme="minorHAnsi"/>
          <w:i/>
          <w:iCs/>
          <w:sz w:val="24"/>
          <w:szCs w:val="24"/>
        </w:rPr>
        <w:t>CTC Scores and Other Measures</w:t>
      </w:r>
      <w:r w:rsidRPr="00CF338F">
        <w:rPr>
          <w:rFonts w:cstheme="minorHAnsi"/>
          <w:i/>
          <w:iCs/>
          <w:sz w:val="24"/>
          <w:szCs w:val="24"/>
        </w:rPr>
        <w:t>) Regulations 202</w:t>
      </w:r>
      <w:r w:rsidR="00326154" w:rsidRPr="00CF338F">
        <w:rPr>
          <w:rFonts w:cstheme="minorHAnsi"/>
          <w:i/>
          <w:iCs/>
          <w:sz w:val="24"/>
          <w:szCs w:val="24"/>
        </w:rPr>
        <w:t>5</w:t>
      </w:r>
    </w:p>
    <w:p w14:paraId="3AF9BFE4" w14:textId="51B90CCA" w:rsidR="00A34D64" w:rsidRPr="00CF338F" w:rsidRDefault="002D307A" w:rsidP="00CE04F6">
      <w:pPr>
        <w:pStyle w:val="Heading1"/>
        <w:rPr>
          <w:rFonts w:asciiTheme="minorHAnsi" w:hAnsiTheme="minorHAnsi" w:cstheme="minorHAnsi"/>
        </w:rPr>
      </w:pPr>
      <w:r>
        <w:rPr>
          <w:rFonts w:asciiTheme="minorHAnsi" w:hAnsiTheme="minorHAnsi" w:cstheme="minorHAnsi"/>
        </w:rPr>
        <w:t>AUTHORITY</w:t>
      </w:r>
      <w:r w:rsidRPr="00CF338F">
        <w:rPr>
          <w:rFonts w:asciiTheme="minorHAnsi" w:hAnsiTheme="minorHAnsi" w:cstheme="minorHAnsi"/>
        </w:rPr>
        <w:t xml:space="preserve"> </w:t>
      </w:r>
    </w:p>
    <w:p w14:paraId="0DDC2DF8" w14:textId="618F3D11" w:rsidR="006D3FC7" w:rsidRPr="00CF338F" w:rsidRDefault="006D3FC7" w:rsidP="00A34D64">
      <w:pPr>
        <w:rPr>
          <w:rFonts w:cstheme="minorHAnsi"/>
          <w:sz w:val="24"/>
          <w:szCs w:val="24"/>
        </w:rPr>
      </w:pPr>
      <w:r w:rsidRPr="00CF338F">
        <w:rPr>
          <w:rFonts w:cstheme="minorHAnsi"/>
          <w:sz w:val="24"/>
          <w:szCs w:val="24"/>
        </w:rPr>
        <w:t xml:space="preserve">Subsection 130(1) of the </w:t>
      </w:r>
      <w:r w:rsidR="00F84FE0" w:rsidRPr="00CF338F">
        <w:rPr>
          <w:rFonts w:cstheme="minorHAnsi"/>
          <w:i/>
          <w:iCs/>
          <w:sz w:val="24"/>
          <w:szCs w:val="24"/>
        </w:rPr>
        <w:t xml:space="preserve">Australian Education </w:t>
      </w:r>
      <w:r w:rsidRPr="00CF338F">
        <w:rPr>
          <w:rFonts w:cstheme="minorHAnsi"/>
          <w:i/>
          <w:iCs/>
          <w:sz w:val="24"/>
          <w:szCs w:val="24"/>
        </w:rPr>
        <w:t>Act</w:t>
      </w:r>
      <w:r w:rsidR="00F84FE0" w:rsidRPr="00CF338F">
        <w:rPr>
          <w:rFonts w:cstheme="minorHAnsi"/>
          <w:i/>
          <w:iCs/>
          <w:sz w:val="24"/>
          <w:szCs w:val="24"/>
        </w:rPr>
        <w:t xml:space="preserve"> 2013 </w:t>
      </w:r>
      <w:r w:rsidR="00F84FE0" w:rsidRPr="00CF338F">
        <w:rPr>
          <w:rFonts w:cstheme="minorHAnsi"/>
          <w:sz w:val="24"/>
          <w:szCs w:val="24"/>
        </w:rPr>
        <w:t>(the Act)</w:t>
      </w:r>
      <w:r w:rsidRPr="00CF338F">
        <w:rPr>
          <w:rFonts w:cstheme="minorHAnsi"/>
          <w:sz w:val="24"/>
          <w:szCs w:val="24"/>
        </w:rPr>
        <w:t xml:space="preserve"> provides that the Governor-General may make regulations prescribing matters required or permitted by the Act to be prescribed by the regulations, or necessary or convenient to be prescribed for carrying out or giving effect to the Act. Subsection 130(3) of the Act provides that the regulations may allow the Minister for Education (the Minister) to determine matters in relation to anything in relation to which regulations may be made. Subsection 130(4) of the Act provides that the regulations may provide in relation to a matter by applying, adopting or incorporating any matter contained in any other instrument or other writing as in force or existing from time to time. Subsection 130(5) of the Act provides that, before the Governor-General makes a regulation for the purposes of a provision listed at paragraphs 130(5)(a) or (b), the Minister must consult with the Ministerial Council. </w:t>
      </w:r>
    </w:p>
    <w:p w14:paraId="277116D9" w14:textId="2BE5117A" w:rsidR="00A34D64" w:rsidRPr="00CF338F" w:rsidRDefault="00A34D64" w:rsidP="00A34D64">
      <w:pPr>
        <w:rPr>
          <w:rFonts w:cstheme="minorHAnsi"/>
          <w:sz w:val="24"/>
          <w:szCs w:val="24"/>
        </w:rPr>
      </w:pPr>
      <w:r w:rsidRPr="00CF338F">
        <w:rPr>
          <w:rFonts w:cstheme="minorHAnsi"/>
          <w:sz w:val="24"/>
          <w:szCs w:val="24"/>
        </w:rPr>
        <w:t xml:space="preserve">Under subsection 33(3) of the </w:t>
      </w:r>
      <w:r w:rsidRPr="00CF338F">
        <w:rPr>
          <w:rFonts w:cstheme="minorHAnsi"/>
          <w:i/>
          <w:iCs/>
          <w:sz w:val="24"/>
          <w:szCs w:val="24"/>
        </w:rPr>
        <w:t>Acts Interpretation Act 1901</w:t>
      </w:r>
      <w:r w:rsidRPr="00CF338F">
        <w:rPr>
          <w:rFonts w:cstheme="minorHAnsi"/>
          <w:sz w:val="24"/>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3886381B" w14:textId="432C7899" w:rsidR="00A34D64" w:rsidRPr="00CF338F" w:rsidRDefault="002D307A" w:rsidP="00CE04F6">
      <w:pPr>
        <w:pStyle w:val="Heading1"/>
        <w:rPr>
          <w:rFonts w:asciiTheme="minorHAnsi" w:hAnsiTheme="minorHAnsi" w:cstheme="minorHAnsi"/>
        </w:rPr>
      </w:pPr>
      <w:r>
        <w:rPr>
          <w:rFonts w:asciiTheme="minorHAnsi" w:hAnsiTheme="minorHAnsi" w:cstheme="minorHAnsi"/>
        </w:rPr>
        <w:t>PURPOSE AND OPERATION</w:t>
      </w:r>
    </w:p>
    <w:p w14:paraId="10234345" w14:textId="77777777" w:rsidR="00A34D64" w:rsidRPr="00CF338F" w:rsidRDefault="00A34D64" w:rsidP="00A34D64">
      <w:pPr>
        <w:rPr>
          <w:rFonts w:cstheme="minorHAnsi"/>
          <w:sz w:val="24"/>
          <w:szCs w:val="24"/>
        </w:rPr>
      </w:pPr>
      <w:r w:rsidRPr="00CF338F">
        <w:rPr>
          <w:rFonts w:cstheme="minorHAnsi"/>
          <w:sz w:val="24"/>
          <w:szCs w:val="24"/>
        </w:rPr>
        <w:t>The Act is the principal legislation by which the Australian Government provides Commonwealth financial assistance for schools.</w:t>
      </w:r>
    </w:p>
    <w:p w14:paraId="117E8803" w14:textId="1FD4C5E1" w:rsidR="00A34D64" w:rsidRPr="00CF338F" w:rsidRDefault="006D3FC7" w:rsidP="00670EFE">
      <w:pPr>
        <w:rPr>
          <w:rFonts w:cstheme="minorHAnsi"/>
          <w:sz w:val="24"/>
          <w:szCs w:val="24"/>
        </w:rPr>
      </w:pPr>
      <w:r w:rsidRPr="00CF338F">
        <w:rPr>
          <w:rFonts w:cstheme="minorHAnsi"/>
          <w:sz w:val="24"/>
          <w:szCs w:val="24"/>
        </w:rPr>
        <w:t>Under the Act, financial assistance is provided to states and territories for distribution to entities approved to receive financial assistance under the Act, including approved authorities for government and non-government schools, block grant authorities for non-government schools (</w:t>
      </w:r>
      <w:proofErr w:type="gramStart"/>
      <w:r w:rsidRPr="00CF338F">
        <w:rPr>
          <w:rFonts w:cstheme="minorHAnsi"/>
          <w:sz w:val="24"/>
          <w:szCs w:val="24"/>
        </w:rPr>
        <w:t>in order to</w:t>
      </w:r>
      <w:proofErr w:type="gramEnd"/>
      <w:r w:rsidRPr="00CF338F">
        <w:rPr>
          <w:rFonts w:cstheme="minorHAnsi"/>
          <w:sz w:val="24"/>
          <w:szCs w:val="24"/>
        </w:rPr>
        <w:t xml:space="preserve"> provide capital funding for capital projects at such schools), and non-government representative bodies for non-government schools. Recurrent </w:t>
      </w:r>
      <w:r w:rsidR="00486712" w:rsidRPr="00CF338F">
        <w:rPr>
          <w:rFonts w:cstheme="minorHAnsi"/>
          <w:sz w:val="24"/>
          <w:szCs w:val="24"/>
        </w:rPr>
        <w:t>funding</w:t>
      </w:r>
      <w:r w:rsidRPr="00CF338F">
        <w:rPr>
          <w:rFonts w:cstheme="minorHAnsi"/>
          <w:sz w:val="24"/>
          <w:szCs w:val="24"/>
        </w:rPr>
        <w:t xml:space="preserve"> is provided to approved authorities for government and non-government schools</w:t>
      </w:r>
      <w:r w:rsidR="00670EFE" w:rsidRPr="00CF338F">
        <w:rPr>
          <w:rFonts w:cstheme="minorHAnsi"/>
          <w:sz w:val="24"/>
          <w:szCs w:val="24"/>
        </w:rPr>
        <w:t xml:space="preserve">. </w:t>
      </w:r>
    </w:p>
    <w:p w14:paraId="27F628C8" w14:textId="2EDC349E" w:rsidR="00670EFE" w:rsidRPr="00CF338F" w:rsidRDefault="00670EFE" w:rsidP="002E72B6">
      <w:pPr>
        <w:spacing w:before="240"/>
        <w:rPr>
          <w:rFonts w:cstheme="minorHAnsi"/>
          <w:i/>
          <w:iCs/>
          <w:sz w:val="24"/>
          <w:szCs w:val="24"/>
        </w:rPr>
      </w:pPr>
      <w:r w:rsidRPr="00CF338F">
        <w:rPr>
          <w:rFonts w:cstheme="minorHAnsi"/>
          <w:sz w:val="24"/>
          <w:szCs w:val="24"/>
        </w:rPr>
        <w:t xml:space="preserve">The </w:t>
      </w:r>
      <w:r w:rsidRPr="00CF338F">
        <w:rPr>
          <w:rFonts w:cstheme="minorHAnsi"/>
          <w:i/>
          <w:iCs/>
          <w:sz w:val="24"/>
          <w:szCs w:val="24"/>
        </w:rPr>
        <w:t>Australian Education Regulations</w:t>
      </w:r>
      <w:r w:rsidR="000C6EDA" w:rsidRPr="00CF338F">
        <w:rPr>
          <w:rFonts w:cstheme="minorHAnsi"/>
          <w:i/>
          <w:iCs/>
          <w:sz w:val="24"/>
          <w:szCs w:val="24"/>
        </w:rPr>
        <w:t xml:space="preserve"> 2023</w:t>
      </w:r>
      <w:r w:rsidRPr="00CF338F">
        <w:rPr>
          <w:rFonts w:cstheme="minorHAnsi"/>
          <w:i/>
          <w:iCs/>
          <w:sz w:val="24"/>
          <w:szCs w:val="24"/>
        </w:rPr>
        <w:t xml:space="preserve"> </w:t>
      </w:r>
      <w:r w:rsidRPr="00CF338F">
        <w:rPr>
          <w:rFonts w:cstheme="minorHAnsi"/>
          <w:sz w:val="24"/>
          <w:szCs w:val="24"/>
        </w:rPr>
        <w:t>(the Principal Regulations) contain provisions concerning the calculation, indexation and setting of Commonwealth financial assistance to states and territories for schools, and for the effective and efficient administration of that financial assistance.</w:t>
      </w:r>
      <w:r w:rsidR="006D3FC7" w:rsidRPr="00CF338F">
        <w:rPr>
          <w:rFonts w:cstheme="minorHAnsi"/>
          <w:sz w:val="24"/>
          <w:szCs w:val="24"/>
        </w:rPr>
        <w:t xml:space="preserve"> </w:t>
      </w:r>
    </w:p>
    <w:p w14:paraId="3E349F0D" w14:textId="57297343" w:rsidR="00A34D64" w:rsidRPr="00CF338F" w:rsidRDefault="00A34D64" w:rsidP="00A34D64">
      <w:pPr>
        <w:rPr>
          <w:rFonts w:cstheme="minorHAnsi"/>
          <w:sz w:val="24"/>
          <w:szCs w:val="24"/>
        </w:rPr>
      </w:pPr>
      <w:r w:rsidRPr="00CF338F">
        <w:rPr>
          <w:rFonts w:cstheme="minorHAnsi"/>
          <w:sz w:val="24"/>
          <w:szCs w:val="24"/>
        </w:rPr>
        <w:t xml:space="preserve">The Act commenced on 1 January 2014. </w:t>
      </w:r>
      <w:r w:rsidR="000C1B5E" w:rsidRPr="00CF338F">
        <w:rPr>
          <w:rFonts w:cstheme="minorHAnsi"/>
          <w:sz w:val="24"/>
          <w:szCs w:val="24"/>
        </w:rPr>
        <w:t>The Principal Regulation</w:t>
      </w:r>
      <w:r w:rsidR="009E7870" w:rsidRPr="00CF338F">
        <w:rPr>
          <w:rFonts w:cstheme="minorHAnsi"/>
          <w:sz w:val="24"/>
          <w:szCs w:val="24"/>
        </w:rPr>
        <w:t>s</w:t>
      </w:r>
      <w:r w:rsidR="000C1B5E" w:rsidRPr="00CF338F">
        <w:rPr>
          <w:rFonts w:cstheme="minorHAnsi"/>
          <w:sz w:val="24"/>
          <w:szCs w:val="24"/>
        </w:rPr>
        <w:t xml:space="preserve"> commenced on </w:t>
      </w:r>
      <w:r w:rsidR="00B12CF5" w:rsidRPr="00CF338F">
        <w:rPr>
          <w:rFonts w:cstheme="minorHAnsi"/>
          <w:sz w:val="24"/>
          <w:szCs w:val="24"/>
        </w:rPr>
        <w:t>21</w:t>
      </w:r>
      <w:r w:rsidR="00E83077" w:rsidRPr="00CF338F">
        <w:rPr>
          <w:rFonts w:cstheme="minorHAnsi"/>
          <w:sz w:val="24"/>
          <w:szCs w:val="24"/>
        </w:rPr>
        <w:t> </w:t>
      </w:r>
      <w:r w:rsidR="00B12CF5" w:rsidRPr="00CF338F">
        <w:rPr>
          <w:rFonts w:cstheme="minorHAnsi"/>
          <w:sz w:val="24"/>
          <w:szCs w:val="24"/>
        </w:rPr>
        <w:t>July</w:t>
      </w:r>
      <w:r w:rsidR="00E83077" w:rsidRPr="00CF338F">
        <w:rPr>
          <w:rFonts w:cstheme="minorHAnsi"/>
          <w:sz w:val="24"/>
          <w:szCs w:val="24"/>
        </w:rPr>
        <w:t> </w:t>
      </w:r>
      <w:r w:rsidR="00B12CF5" w:rsidRPr="00CF338F">
        <w:rPr>
          <w:rFonts w:cstheme="minorHAnsi"/>
          <w:sz w:val="24"/>
          <w:szCs w:val="24"/>
        </w:rPr>
        <w:t>2023</w:t>
      </w:r>
      <w:r w:rsidR="002E6229" w:rsidRPr="00CF338F">
        <w:rPr>
          <w:rFonts w:cstheme="minorHAnsi"/>
          <w:sz w:val="24"/>
          <w:szCs w:val="24"/>
        </w:rPr>
        <w:t xml:space="preserve">, repealing the </w:t>
      </w:r>
      <w:r w:rsidR="002E6229" w:rsidRPr="00CF338F">
        <w:rPr>
          <w:rFonts w:cstheme="minorHAnsi"/>
          <w:i/>
          <w:iCs/>
          <w:sz w:val="24"/>
          <w:szCs w:val="24"/>
        </w:rPr>
        <w:t>Australian Education Regulations 2013</w:t>
      </w:r>
      <w:r w:rsidR="002E6229" w:rsidRPr="00CF338F">
        <w:rPr>
          <w:rFonts w:cstheme="minorHAnsi"/>
          <w:sz w:val="24"/>
          <w:szCs w:val="24"/>
        </w:rPr>
        <w:t xml:space="preserve"> and replacing it in substantially the same form</w:t>
      </w:r>
      <w:r w:rsidR="000C1B5E" w:rsidRPr="00CF338F">
        <w:rPr>
          <w:rFonts w:cstheme="minorHAnsi"/>
          <w:sz w:val="24"/>
          <w:szCs w:val="24"/>
        </w:rPr>
        <w:t>.</w:t>
      </w:r>
    </w:p>
    <w:p w14:paraId="0E74AFE6" w14:textId="11E2A247" w:rsidR="00200C25" w:rsidRPr="00CF338F" w:rsidRDefault="006D3FC7" w:rsidP="006D3FC7">
      <w:pPr>
        <w:pStyle w:val="Heading1"/>
        <w:rPr>
          <w:rFonts w:asciiTheme="minorHAnsi" w:hAnsiTheme="minorHAnsi" w:cstheme="minorHAnsi"/>
          <w:b w:val="0"/>
          <w:bCs w:val="0"/>
        </w:rPr>
      </w:pPr>
      <w:r w:rsidRPr="00CF338F">
        <w:rPr>
          <w:rFonts w:asciiTheme="minorHAnsi" w:hAnsiTheme="minorHAnsi" w:cstheme="minorHAnsi"/>
          <w:b w:val="0"/>
          <w:bCs w:val="0"/>
        </w:rPr>
        <w:lastRenderedPageBreak/>
        <w:t xml:space="preserve">The purpose of the </w:t>
      </w:r>
      <w:r w:rsidR="00DA76A7" w:rsidRPr="00BF36F2">
        <w:rPr>
          <w:rFonts w:asciiTheme="minorHAnsi" w:hAnsiTheme="minorHAnsi" w:cstheme="minorHAnsi"/>
          <w:b w:val="0"/>
          <w:bCs w:val="0"/>
          <w:i/>
          <w:iCs/>
        </w:rPr>
        <w:t>Australian Education Amendment (CTC Scores and Other Measures) Regulations 2025</w:t>
      </w:r>
      <w:r w:rsidR="00DA76A7">
        <w:rPr>
          <w:rFonts w:asciiTheme="minorHAnsi" w:hAnsiTheme="minorHAnsi" w:cstheme="minorHAnsi"/>
          <w:b w:val="0"/>
          <w:bCs w:val="0"/>
        </w:rPr>
        <w:t xml:space="preserve"> (</w:t>
      </w:r>
      <w:r w:rsidRPr="00CF338F">
        <w:rPr>
          <w:rFonts w:asciiTheme="minorHAnsi" w:hAnsiTheme="minorHAnsi" w:cstheme="minorHAnsi"/>
          <w:b w:val="0"/>
          <w:bCs w:val="0"/>
        </w:rPr>
        <w:t>Amendment Regulations</w:t>
      </w:r>
      <w:r w:rsidR="00DA76A7">
        <w:rPr>
          <w:rFonts w:asciiTheme="minorHAnsi" w:hAnsiTheme="minorHAnsi" w:cstheme="minorHAnsi"/>
          <w:b w:val="0"/>
          <w:bCs w:val="0"/>
        </w:rPr>
        <w:t>)</w:t>
      </w:r>
      <w:r w:rsidRPr="00CF338F">
        <w:rPr>
          <w:rFonts w:asciiTheme="minorHAnsi" w:hAnsiTheme="minorHAnsi" w:cstheme="minorHAnsi"/>
          <w:b w:val="0"/>
          <w:bCs w:val="0"/>
        </w:rPr>
        <w:t xml:space="preserve"> is to insert a new mechanism into Division 3 of Part 3 of the Principal Regulations for working out the </w:t>
      </w:r>
      <w:r w:rsidR="00486712" w:rsidRPr="00CF338F">
        <w:rPr>
          <w:rFonts w:asciiTheme="minorHAnsi" w:hAnsiTheme="minorHAnsi" w:cstheme="minorHAnsi"/>
          <w:b w:val="0"/>
          <w:bCs w:val="0"/>
        </w:rPr>
        <w:t>capacity to contribute (</w:t>
      </w:r>
      <w:r w:rsidRPr="00CF338F">
        <w:rPr>
          <w:rFonts w:asciiTheme="minorHAnsi" w:hAnsiTheme="minorHAnsi" w:cstheme="minorHAnsi"/>
          <w:b w:val="0"/>
          <w:bCs w:val="0"/>
        </w:rPr>
        <w:t>CTC</w:t>
      </w:r>
      <w:r w:rsidR="00486712" w:rsidRPr="00CF338F">
        <w:rPr>
          <w:rFonts w:asciiTheme="minorHAnsi" w:hAnsiTheme="minorHAnsi" w:cstheme="minorHAnsi"/>
          <w:b w:val="0"/>
          <w:bCs w:val="0"/>
        </w:rPr>
        <w:t>)</w:t>
      </w:r>
      <w:r w:rsidRPr="00CF338F">
        <w:rPr>
          <w:rFonts w:asciiTheme="minorHAnsi" w:hAnsiTheme="minorHAnsi" w:cstheme="minorHAnsi"/>
          <w:b w:val="0"/>
          <w:bCs w:val="0"/>
        </w:rPr>
        <w:t xml:space="preserve"> score for a school for 2026. Division 2 of Part 3 of the Act contains the </w:t>
      </w:r>
      <w:r w:rsidR="0066024D" w:rsidRPr="00CF338F">
        <w:rPr>
          <w:rFonts w:asciiTheme="minorHAnsi" w:hAnsiTheme="minorHAnsi" w:cstheme="minorHAnsi"/>
          <w:b w:val="0"/>
          <w:bCs w:val="0"/>
        </w:rPr>
        <w:t xml:space="preserve">funding </w:t>
      </w:r>
      <w:r w:rsidRPr="00CF338F">
        <w:rPr>
          <w:rFonts w:asciiTheme="minorHAnsi" w:hAnsiTheme="minorHAnsi" w:cstheme="minorHAnsi"/>
          <w:b w:val="0"/>
          <w:bCs w:val="0"/>
        </w:rPr>
        <w:t xml:space="preserve">formula which produces the </w:t>
      </w:r>
      <w:r w:rsidR="0066024D" w:rsidRPr="00CF338F">
        <w:rPr>
          <w:rFonts w:asciiTheme="minorHAnsi" w:hAnsiTheme="minorHAnsi" w:cstheme="minorHAnsi"/>
          <w:b w:val="0"/>
          <w:bCs w:val="0"/>
        </w:rPr>
        <w:t xml:space="preserve">Commonwealth share of the </w:t>
      </w:r>
      <w:r w:rsidRPr="00CF338F">
        <w:rPr>
          <w:rFonts w:asciiTheme="minorHAnsi" w:hAnsiTheme="minorHAnsi" w:cstheme="minorHAnsi"/>
          <w:b w:val="0"/>
          <w:bCs w:val="0"/>
        </w:rPr>
        <w:t xml:space="preserve">total amount of recurrent </w:t>
      </w:r>
      <w:r w:rsidR="0066024D" w:rsidRPr="00CF338F">
        <w:rPr>
          <w:rFonts w:asciiTheme="minorHAnsi" w:hAnsiTheme="minorHAnsi" w:cstheme="minorHAnsi"/>
          <w:b w:val="0"/>
          <w:bCs w:val="0"/>
        </w:rPr>
        <w:t>funding</w:t>
      </w:r>
      <w:r w:rsidRPr="00CF338F">
        <w:rPr>
          <w:rFonts w:asciiTheme="minorHAnsi" w:hAnsiTheme="minorHAnsi" w:cstheme="minorHAnsi"/>
          <w:b w:val="0"/>
          <w:bCs w:val="0"/>
        </w:rPr>
        <w:t xml:space="preserve"> for a school for a year. The </w:t>
      </w:r>
      <w:r w:rsidR="0066024D" w:rsidRPr="00CF338F">
        <w:rPr>
          <w:rFonts w:asciiTheme="minorHAnsi" w:hAnsiTheme="minorHAnsi" w:cstheme="minorHAnsi"/>
          <w:b w:val="0"/>
          <w:bCs w:val="0"/>
        </w:rPr>
        <w:t xml:space="preserve">school’s </w:t>
      </w:r>
      <w:r w:rsidRPr="00CF338F">
        <w:rPr>
          <w:rFonts w:asciiTheme="minorHAnsi" w:hAnsiTheme="minorHAnsi" w:cstheme="minorHAnsi"/>
          <w:b w:val="0"/>
          <w:bCs w:val="0"/>
        </w:rPr>
        <w:t xml:space="preserve">‘base amount’ for </w:t>
      </w:r>
      <w:r w:rsidR="0066024D" w:rsidRPr="00CF338F">
        <w:rPr>
          <w:rFonts w:asciiTheme="minorHAnsi" w:hAnsiTheme="minorHAnsi" w:cstheme="minorHAnsi"/>
          <w:b w:val="0"/>
          <w:bCs w:val="0"/>
        </w:rPr>
        <w:t>the</w:t>
      </w:r>
      <w:r w:rsidRPr="00CF338F">
        <w:rPr>
          <w:rFonts w:asciiTheme="minorHAnsi" w:hAnsiTheme="minorHAnsi" w:cstheme="minorHAnsi"/>
          <w:b w:val="0"/>
          <w:bCs w:val="0"/>
        </w:rPr>
        <w:t xml:space="preserve"> year is </w:t>
      </w:r>
      <w:r w:rsidR="0066024D" w:rsidRPr="00CF338F">
        <w:rPr>
          <w:rFonts w:asciiTheme="minorHAnsi" w:hAnsiTheme="minorHAnsi" w:cstheme="minorHAnsi"/>
          <w:b w:val="0"/>
          <w:bCs w:val="0"/>
        </w:rPr>
        <w:t xml:space="preserve">an element </w:t>
      </w:r>
      <w:r w:rsidRPr="00CF338F">
        <w:rPr>
          <w:rFonts w:asciiTheme="minorHAnsi" w:hAnsiTheme="minorHAnsi" w:cstheme="minorHAnsi"/>
          <w:b w:val="0"/>
          <w:bCs w:val="0"/>
        </w:rPr>
        <w:t xml:space="preserve">of </w:t>
      </w:r>
      <w:r w:rsidR="0066024D" w:rsidRPr="00CF338F">
        <w:rPr>
          <w:rFonts w:asciiTheme="minorHAnsi" w:hAnsiTheme="minorHAnsi" w:cstheme="minorHAnsi"/>
          <w:b w:val="0"/>
          <w:bCs w:val="0"/>
        </w:rPr>
        <w:t xml:space="preserve">the funding </w:t>
      </w:r>
      <w:proofErr w:type="gramStart"/>
      <w:r w:rsidRPr="00CF338F">
        <w:rPr>
          <w:rFonts w:asciiTheme="minorHAnsi" w:hAnsiTheme="minorHAnsi" w:cstheme="minorHAnsi"/>
          <w:b w:val="0"/>
          <w:bCs w:val="0"/>
        </w:rPr>
        <w:t>formula, and</w:t>
      </w:r>
      <w:proofErr w:type="gramEnd"/>
      <w:r w:rsidRPr="00CF338F">
        <w:rPr>
          <w:rFonts w:asciiTheme="minorHAnsi" w:hAnsiTheme="minorHAnsi" w:cstheme="minorHAnsi"/>
          <w:b w:val="0"/>
          <w:bCs w:val="0"/>
        </w:rPr>
        <w:t xml:space="preserve"> is worked out </w:t>
      </w:r>
      <w:r w:rsidR="0066024D" w:rsidRPr="00CF338F">
        <w:rPr>
          <w:rFonts w:asciiTheme="minorHAnsi" w:hAnsiTheme="minorHAnsi" w:cstheme="minorHAnsi"/>
          <w:b w:val="0"/>
          <w:bCs w:val="0"/>
        </w:rPr>
        <w:t>with</w:t>
      </w:r>
      <w:r w:rsidRPr="00CF338F">
        <w:rPr>
          <w:rFonts w:asciiTheme="minorHAnsi" w:hAnsiTheme="minorHAnsi" w:cstheme="minorHAnsi"/>
          <w:b w:val="0"/>
          <w:bCs w:val="0"/>
        </w:rPr>
        <w:t xml:space="preserve"> reference to the school’s CTC percentage. A school’s CTC percentage for a year reduce</w:t>
      </w:r>
      <w:r w:rsidR="00D331B3" w:rsidRPr="00CF338F">
        <w:rPr>
          <w:rFonts w:asciiTheme="minorHAnsi" w:hAnsiTheme="minorHAnsi" w:cstheme="minorHAnsi"/>
          <w:b w:val="0"/>
          <w:bCs w:val="0"/>
        </w:rPr>
        <w:t>s</w:t>
      </w:r>
      <w:r w:rsidRPr="00CF338F">
        <w:rPr>
          <w:rFonts w:asciiTheme="minorHAnsi" w:hAnsiTheme="minorHAnsi" w:cstheme="minorHAnsi"/>
          <w:b w:val="0"/>
          <w:bCs w:val="0"/>
        </w:rPr>
        <w:t xml:space="preserve"> the amount of recurrent </w:t>
      </w:r>
      <w:r w:rsidR="0066024D" w:rsidRPr="00CF338F">
        <w:rPr>
          <w:rFonts w:asciiTheme="minorHAnsi" w:hAnsiTheme="minorHAnsi" w:cstheme="minorHAnsi"/>
          <w:b w:val="0"/>
          <w:bCs w:val="0"/>
        </w:rPr>
        <w:t>funding</w:t>
      </w:r>
      <w:r w:rsidRPr="00CF338F">
        <w:rPr>
          <w:rFonts w:asciiTheme="minorHAnsi" w:hAnsiTheme="minorHAnsi" w:cstheme="minorHAnsi"/>
          <w:b w:val="0"/>
          <w:bCs w:val="0"/>
        </w:rPr>
        <w:t xml:space="preserve"> payable for </w:t>
      </w:r>
      <w:r w:rsidR="0036590F" w:rsidRPr="00CF338F">
        <w:rPr>
          <w:rFonts w:asciiTheme="minorHAnsi" w:hAnsiTheme="minorHAnsi" w:cstheme="minorHAnsi"/>
          <w:b w:val="0"/>
          <w:bCs w:val="0"/>
        </w:rPr>
        <w:t>the</w:t>
      </w:r>
      <w:r w:rsidRPr="00CF338F">
        <w:rPr>
          <w:rFonts w:asciiTheme="minorHAnsi" w:hAnsiTheme="minorHAnsi" w:cstheme="minorHAnsi"/>
          <w:b w:val="0"/>
          <w:bCs w:val="0"/>
        </w:rPr>
        <w:t xml:space="preserve"> school for the year.</w:t>
      </w:r>
    </w:p>
    <w:p w14:paraId="0CBEEEF5" w14:textId="7FDD735D" w:rsidR="006D3FC7" w:rsidRPr="00CF338F" w:rsidRDefault="00200C25" w:rsidP="006D3FC7">
      <w:pPr>
        <w:pStyle w:val="Heading1"/>
        <w:rPr>
          <w:rFonts w:asciiTheme="minorHAnsi" w:hAnsiTheme="minorHAnsi" w:cstheme="minorHAnsi"/>
          <w:b w:val="0"/>
          <w:bCs w:val="0"/>
        </w:rPr>
      </w:pPr>
      <w:r w:rsidRPr="00CF338F">
        <w:rPr>
          <w:rFonts w:asciiTheme="minorHAnsi" w:hAnsiTheme="minorHAnsi" w:cstheme="minorHAnsi"/>
          <w:b w:val="0"/>
          <w:bCs w:val="0"/>
        </w:rPr>
        <w:t>A</w:t>
      </w:r>
      <w:r w:rsidR="006D3FC7" w:rsidRPr="00CF338F">
        <w:rPr>
          <w:rFonts w:asciiTheme="minorHAnsi" w:hAnsiTheme="minorHAnsi" w:cstheme="minorHAnsi"/>
          <w:b w:val="0"/>
          <w:bCs w:val="0"/>
        </w:rPr>
        <w:t xml:space="preserve"> school’s CTC percentage is worked out by reference to the school’s CTC score</w:t>
      </w:r>
      <w:r w:rsidRPr="00CF338F">
        <w:rPr>
          <w:rFonts w:asciiTheme="minorHAnsi" w:hAnsiTheme="minorHAnsi" w:cstheme="minorHAnsi"/>
          <w:b w:val="0"/>
          <w:bCs w:val="0"/>
        </w:rPr>
        <w:t>, as determine</w:t>
      </w:r>
      <w:r w:rsidR="00A079D2" w:rsidRPr="00CF338F">
        <w:rPr>
          <w:rFonts w:asciiTheme="minorHAnsi" w:hAnsiTheme="minorHAnsi" w:cstheme="minorHAnsi"/>
          <w:b w:val="0"/>
          <w:bCs w:val="0"/>
        </w:rPr>
        <w:t>d</w:t>
      </w:r>
      <w:r w:rsidRPr="00CF338F">
        <w:rPr>
          <w:rFonts w:asciiTheme="minorHAnsi" w:hAnsiTheme="minorHAnsi" w:cstheme="minorHAnsi"/>
          <w:b w:val="0"/>
          <w:bCs w:val="0"/>
        </w:rPr>
        <w:t xml:space="preserve"> under section 52 of the Act.</w:t>
      </w:r>
      <w:r w:rsidR="006D3FC7" w:rsidRPr="00CF338F">
        <w:rPr>
          <w:rFonts w:asciiTheme="minorHAnsi" w:hAnsiTheme="minorHAnsi" w:cstheme="minorHAnsi"/>
          <w:b w:val="0"/>
          <w:bCs w:val="0"/>
        </w:rPr>
        <w:t xml:space="preserve"> </w:t>
      </w:r>
      <w:r w:rsidR="00D331B3" w:rsidRPr="00CF338F">
        <w:rPr>
          <w:rFonts w:asciiTheme="minorHAnsi" w:hAnsiTheme="minorHAnsi" w:cstheme="minorHAnsi"/>
          <w:b w:val="0"/>
          <w:bCs w:val="0"/>
        </w:rPr>
        <w:t xml:space="preserve">The CTC score is based </w:t>
      </w:r>
      <w:r w:rsidR="007F1A9D">
        <w:rPr>
          <w:rFonts w:asciiTheme="minorHAnsi" w:hAnsiTheme="minorHAnsi" w:cstheme="minorHAnsi"/>
          <w:b w:val="0"/>
          <w:bCs w:val="0"/>
        </w:rPr>
        <w:t xml:space="preserve">on the </w:t>
      </w:r>
      <w:r w:rsidR="00D331B3" w:rsidRPr="00CF338F">
        <w:rPr>
          <w:rFonts w:asciiTheme="minorHAnsi" w:hAnsiTheme="minorHAnsi" w:cstheme="minorHAnsi"/>
          <w:b w:val="0"/>
          <w:bCs w:val="0"/>
        </w:rPr>
        <w:t xml:space="preserve">ability </w:t>
      </w:r>
      <w:r w:rsidR="007F1A9D">
        <w:rPr>
          <w:rFonts w:asciiTheme="minorHAnsi" w:hAnsiTheme="minorHAnsi" w:cstheme="minorHAnsi"/>
          <w:b w:val="0"/>
          <w:bCs w:val="0"/>
        </w:rPr>
        <w:t xml:space="preserve">of </w:t>
      </w:r>
      <w:r w:rsidR="007F1A9D" w:rsidRPr="00CF338F">
        <w:rPr>
          <w:rFonts w:asciiTheme="minorHAnsi" w:hAnsiTheme="minorHAnsi" w:cstheme="minorHAnsi"/>
          <w:b w:val="0"/>
          <w:bCs w:val="0"/>
        </w:rPr>
        <w:t xml:space="preserve">persons responsible for students at the school </w:t>
      </w:r>
      <w:r w:rsidR="00D331B3" w:rsidRPr="00CF338F">
        <w:rPr>
          <w:rFonts w:asciiTheme="minorHAnsi" w:hAnsiTheme="minorHAnsi" w:cstheme="minorHAnsi"/>
          <w:b w:val="0"/>
          <w:bCs w:val="0"/>
        </w:rPr>
        <w:t>to contribute financially to the operation of the school.</w:t>
      </w:r>
      <w:r w:rsidR="00D331B3" w:rsidRPr="00CF338F">
        <w:rPr>
          <w:rFonts w:asciiTheme="minorHAnsi" w:hAnsiTheme="minorHAnsi" w:cstheme="minorHAnsi"/>
        </w:rPr>
        <w:t xml:space="preserve"> </w:t>
      </w:r>
      <w:r w:rsidR="00D331B3" w:rsidRPr="00CF338F">
        <w:rPr>
          <w:rFonts w:asciiTheme="minorHAnsi" w:hAnsiTheme="minorHAnsi" w:cstheme="minorHAnsi"/>
          <w:b w:val="0"/>
          <w:bCs w:val="0"/>
        </w:rPr>
        <w:t>Section 52 does not apply in relation to government schools, special schools, special assistance schools, a school that is a majority Aboriginal and Torres Strait Islander school for a year, and sole provider schools.</w:t>
      </w:r>
      <w:r w:rsidRPr="00CF338F">
        <w:rPr>
          <w:rFonts w:asciiTheme="minorHAnsi" w:hAnsiTheme="minorHAnsi" w:cstheme="minorHAnsi"/>
          <w:b w:val="0"/>
          <w:bCs w:val="0"/>
        </w:rPr>
        <w:t xml:space="preserve"> Instead, the CTC percentage for these schools is 0%.</w:t>
      </w:r>
    </w:p>
    <w:p w14:paraId="420CF638" w14:textId="0A439CC7" w:rsidR="006D3FC7" w:rsidRPr="00CF338F" w:rsidRDefault="006D3FC7" w:rsidP="006D3FC7">
      <w:pPr>
        <w:pStyle w:val="Heading1"/>
        <w:rPr>
          <w:rFonts w:asciiTheme="minorHAnsi" w:hAnsiTheme="minorHAnsi" w:cstheme="minorHAnsi"/>
          <w:b w:val="0"/>
          <w:bCs w:val="0"/>
        </w:rPr>
      </w:pPr>
      <w:r w:rsidRPr="00CF338F">
        <w:rPr>
          <w:rFonts w:asciiTheme="minorHAnsi" w:hAnsiTheme="minorHAnsi" w:cstheme="minorHAnsi"/>
          <w:b w:val="0"/>
          <w:bCs w:val="0"/>
        </w:rPr>
        <w:t xml:space="preserve">The Amendment Regulations also amends the definition of </w:t>
      </w:r>
      <w:r w:rsidR="00773F93" w:rsidRPr="00CF338F">
        <w:rPr>
          <w:rFonts w:asciiTheme="minorHAnsi" w:hAnsiTheme="minorHAnsi" w:cstheme="minorHAnsi"/>
          <w:b w:val="0"/>
          <w:bCs w:val="0"/>
        </w:rPr>
        <w:t>“foundation” in section 4 of the Principal Regulations to put the term’s interpretation beyond doubt. “Foundation” is a year</w:t>
      </w:r>
      <w:r w:rsidR="00200C25" w:rsidRPr="00CF338F">
        <w:rPr>
          <w:rFonts w:asciiTheme="minorHAnsi" w:hAnsiTheme="minorHAnsi" w:cstheme="minorHAnsi"/>
          <w:b w:val="0"/>
          <w:bCs w:val="0"/>
        </w:rPr>
        <w:t xml:space="preserve"> (meaning 12 months)</w:t>
      </w:r>
      <w:r w:rsidR="00773F93" w:rsidRPr="00CF338F">
        <w:rPr>
          <w:rFonts w:asciiTheme="minorHAnsi" w:hAnsiTheme="minorHAnsi" w:cstheme="minorHAnsi"/>
          <w:b w:val="0"/>
          <w:bCs w:val="0"/>
        </w:rPr>
        <w:t xml:space="preserve"> </w:t>
      </w:r>
      <w:proofErr w:type="gramStart"/>
      <w:r w:rsidR="00773F93" w:rsidRPr="00CF338F">
        <w:rPr>
          <w:rFonts w:asciiTheme="minorHAnsi" w:hAnsiTheme="minorHAnsi" w:cstheme="minorHAnsi"/>
          <w:b w:val="0"/>
          <w:bCs w:val="0"/>
        </w:rPr>
        <w:t>in the course of</w:t>
      </w:r>
      <w:proofErr w:type="gramEnd"/>
      <w:r w:rsidR="00773F93" w:rsidRPr="00CF338F">
        <w:rPr>
          <w:rFonts w:asciiTheme="minorHAnsi" w:hAnsiTheme="minorHAnsi" w:cstheme="minorHAnsi"/>
          <w:b w:val="0"/>
          <w:bCs w:val="0"/>
        </w:rPr>
        <w:t xml:space="preserve"> primary education.</w:t>
      </w:r>
      <w:r w:rsidR="00D331B3" w:rsidRPr="00CF338F">
        <w:rPr>
          <w:rFonts w:asciiTheme="minorHAnsi" w:hAnsiTheme="minorHAnsi" w:cstheme="minorHAnsi"/>
          <w:b w:val="0"/>
          <w:bCs w:val="0"/>
        </w:rPr>
        <w:t xml:space="preserve"> The definition of foundation is relevant to working out the number of primary students at a school.</w:t>
      </w:r>
      <w:r w:rsidR="00773F93" w:rsidRPr="00CF338F">
        <w:rPr>
          <w:rFonts w:asciiTheme="minorHAnsi" w:hAnsiTheme="minorHAnsi" w:cstheme="minorHAnsi"/>
          <w:b w:val="0"/>
          <w:bCs w:val="0"/>
        </w:rPr>
        <w:t xml:space="preserve"> </w:t>
      </w:r>
      <w:r w:rsidR="00597AFF" w:rsidRPr="00CF338F">
        <w:rPr>
          <w:rFonts w:asciiTheme="minorHAnsi" w:hAnsiTheme="minorHAnsi" w:cstheme="minorHAnsi"/>
          <w:b w:val="0"/>
          <w:bCs w:val="0"/>
        </w:rPr>
        <w:t>In relation to this measure, for the purposes of subsection 15(2) of the Act, the Minister</w:t>
      </w:r>
      <w:r w:rsidR="0036590F" w:rsidRPr="00CF338F">
        <w:rPr>
          <w:rFonts w:asciiTheme="minorHAnsi" w:hAnsiTheme="minorHAnsi" w:cstheme="minorHAnsi"/>
          <w:b w:val="0"/>
          <w:bCs w:val="0"/>
        </w:rPr>
        <w:t xml:space="preserve"> </w:t>
      </w:r>
      <w:r w:rsidR="00597AFF" w:rsidRPr="00CF338F">
        <w:rPr>
          <w:rFonts w:asciiTheme="minorHAnsi" w:hAnsiTheme="minorHAnsi" w:cstheme="minorHAnsi"/>
          <w:b w:val="0"/>
          <w:bCs w:val="0"/>
        </w:rPr>
        <w:t xml:space="preserve">has had regard to arrangements made for providing education at government schools located in each State and Territory. </w:t>
      </w:r>
    </w:p>
    <w:p w14:paraId="6CCFD17C" w14:textId="0BCABF0D" w:rsidR="00456B90" w:rsidRPr="00CF338F" w:rsidRDefault="002D307A" w:rsidP="00AB30AA">
      <w:pPr>
        <w:pStyle w:val="Heading1"/>
        <w:rPr>
          <w:rFonts w:asciiTheme="minorHAnsi" w:hAnsiTheme="minorHAnsi" w:cstheme="minorHAnsi"/>
        </w:rPr>
      </w:pPr>
      <w:r>
        <w:rPr>
          <w:rFonts w:asciiTheme="minorHAnsi" w:hAnsiTheme="minorHAnsi" w:cstheme="minorHAnsi"/>
        </w:rPr>
        <w:t>COMMENCEMENT</w:t>
      </w:r>
    </w:p>
    <w:p w14:paraId="7BA472E3" w14:textId="77777777" w:rsidR="00456B90" w:rsidRPr="00CF338F" w:rsidRDefault="00456B90" w:rsidP="00456B90">
      <w:pPr>
        <w:rPr>
          <w:rFonts w:cstheme="minorHAnsi"/>
          <w:sz w:val="24"/>
          <w:szCs w:val="24"/>
        </w:rPr>
      </w:pPr>
      <w:r w:rsidRPr="00CF338F">
        <w:rPr>
          <w:rFonts w:cstheme="minorHAnsi"/>
          <w:sz w:val="24"/>
          <w:szCs w:val="24"/>
        </w:rPr>
        <w:t>The Amendment Regulations will commence on the day after the instrument is registered on the Federal Register of Legislation.</w:t>
      </w:r>
    </w:p>
    <w:p w14:paraId="6ED85D95" w14:textId="7C101B67" w:rsidR="00456B90" w:rsidRPr="00CF338F" w:rsidRDefault="002D307A" w:rsidP="00AB30AA">
      <w:pPr>
        <w:pStyle w:val="Heading1"/>
        <w:rPr>
          <w:rFonts w:asciiTheme="minorHAnsi" w:hAnsiTheme="minorHAnsi" w:cstheme="minorHAnsi"/>
        </w:rPr>
      </w:pPr>
      <w:r>
        <w:rPr>
          <w:rFonts w:asciiTheme="minorHAnsi" w:hAnsiTheme="minorHAnsi" w:cstheme="minorHAnsi"/>
        </w:rPr>
        <w:t>CONSULTATION</w:t>
      </w:r>
    </w:p>
    <w:p w14:paraId="6D69BA61" w14:textId="52562A98" w:rsidR="00971D8D" w:rsidRPr="00CF338F" w:rsidRDefault="00971D8D" w:rsidP="00854C1F">
      <w:pPr>
        <w:pStyle w:val="Heading1"/>
        <w:rPr>
          <w:rFonts w:asciiTheme="minorHAnsi" w:hAnsiTheme="minorHAnsi" w:cstheme="minorHAnsi"/>
          <w:b w:val="0"/>
          <w:bCs w:val="0"/>
        </w:rPr>
      </w:pPr>
      <w:r w:rsidRPr="00CF338F">
        <w:rPr>
          <w:rFonts w:asciiTheme="minorHAnsi" w:hAnsiTheme="minorHAnsi" w:cstheme="minorHAnsi"/>
          <w:b w:val="0"/>
          <w:bCs w:val="0"/>
        </w:rPr>
        <w:t xml:space="preserve">The Minister wrote to all State and Territory Education Ministers, Independent Schools Australia, and the National Catholic Education Commission on 6 August 2025 to consult on an exposure draft of the </w:t>
      </w:r>
      <w:r w:rsidR="00854C1F" w:rsidRPr="00CF338F">
        <w:rPr>
          <w:rFonts w:asciiTheme="minorHAnsi" w:hAnsiTheme="minorHAnsi" w:cstheme="minorHAnsi"/>
          <w:b w:val="0"/>
          <w:bCs w:val="0"/>
        </w:rPr>
        <w:t>Amendment Regulations</w:t>
      </w:r>
      <w:r w:rsidRPr="00CF338F">
        <w:rPr>
          <w:rFonts w:asciiTheme="minorHAnsi" w:hAnsiTheme="minorHAnsi" w:cstheme="minorHAnsi"/>
          <w:b w:val="0"/>
          <w:bCs w:val="0"/>
        </w:rPr>
        <w:t xml:space="preserve">. The department received varying responses to the proposed amendments. </w:t>
      </w:r>
    </w:p>
    <w:p w14:paraId="44EC6544" w14:textId="10F83BC7" w:rsidR="00971D8D" w:rsidRPr="00CF338F" w:rsidRDefault="00971D8D" w:rsidP="00854C1F">
      <w:pPr>
        <w:pStyle w:val="Heading1"/>
        <w:rPr>
          <w:rFonts w:asciiTheme="minorHAnsi" w:hAnsiTheme="minorHAnsi" w:cstheme="minorHAnsi"/>
          <w:b w:val="0"/>
          <w:bCs w:val="0"/>
        </w:rPr>
      </w:pPr>
      <w:r w:rsidRPr="00CF338F">
        <w:rPr>
          <w:rFonts w:asciiTheme="minorHAnsi" w:hAnsiTheme="minorHAnsi" w:cstheme="minorHAnsi"/>
          <w:b w:val="0"/>
          <w:bCs w:val="0"/>
        </w:rPr>
        <w:t xml:space="preserve">Stakeholders were broadly supportive of the </w:t>
      </w:r>
      <w:r w:rsidR="006750B0">
        <w:rPr>
          <w:rFonts w:asciiTheme="minorHAnsi" w:hAnsiTheme="minorHAnsi" w:cstheme="minorHAnsi"/>
          <w:b w:val="0"/>
          <w:bCs w:val="0"/>
        </w:rPr>
        <w:t>CTC</w:t>
      </w:r>
      <w:r w:rsidRPr="00CF338F">
        <w:rPr>
          <w:rFonts w:asciiTheme="minorHAnsi" w:hAnsiTheme="minorHAnsi" w:cstheme="minorHAnsi"/>
          <w:b w:val="0"/>
          <w:bCs w:val="0"/>
        </w:rPr>
        <w:t xml:space="preserve"> score measure, with concerns raised by some stakeholders about the measure’s potential broader implications for schools and the long-term arrangements. The department intends to continue to engage with stakeholders to address any concerns as the measure is implemented. </w:t>
      </w:r>
    </w:p>
    <w:p w14:paraId="3BF5BB9E" w14:textId="4825AECE" w:rsidR="00971D8D" w:rsidRPr="00CF338F" w:rsidRDefault="00971D8D" w:rsidP="00854C1F">
      <w:pPr>
        <w:pStyle w:val="Heading1"/>
        <w:rPr>
          <w:rFonts w:asciiTheme="minorHAnsi" w:hAnsiTheme="minorHAnsi" w:cstheme="minorHAnsi"/>
          <w:b w:val="0"/>
          <w:bCs w:val="0"/>
        </w:rPr>
      </w:pPr>
      <w:r w:rsidRPr="00CF338F">
        <w:rPr>
          <w:rFonts w:asciiTheme="minorHAnsi" w:hAnsiTheme="minorHAnsi" w:cstheme="minorHAnsi"/>
          <w:b w:val="0"/>
          <w:bCs w:val="0"/>
        </w:rPr>
        <w:t xml:space="preserve">For the definition of </w:t>
      </w:r>
      <w:r w:rsidR="006750B0">
        <w:rPr>
          <w:rFonts w:asciiTheme="minorHAnsi" w:hAnsiTheme="minorHAnsi" w:cstheme="minorHAnsi"/>
          <w:b w:val="0"/>
          <w:bCs w:val="0"/>
        </w:rPr>
        <w:t>“</w:t>
      </w:r>
      <w:r w:rsidRPr="00CF338F">
        <w:rPr>
          <w:rFonts w:asciiTheme="minorHAnsi" w:hAnsiTheme="minorHAnsi" w:cstheme="minorHAnsi"/>
          <w:b w:val="0"/>
          <w:bCs w:val="0"/>
        </w:rPr>
        <w:t>foundation</w:t>
      </w:r>
      <w:r w:rsidR="006750B0">
        <w:rPr>
          <w:rFonts w:asciiTheme="minorHAnsi" w:hAnsiTheme="minorHAnsi" w:cstheme="minorHAnsi"/>
          <w:b w:val="0"/>
          <w:bCs w:val="0"/>
        </w:rPr>
        <w:t>”</w:t>
      </w:r>
      <w:r w:rsidRPr="00CF338F">
        <w:rPr>
          <w:rFonts w:asciiTheme="minorHAnsi" w:hAnsiTheme="minorHAnsi" w:cstheme="minorHAnsi"/>
          <w:b w:val="0"/>
          <w:bCs w:val="0"/>
        </w:rPr>
        <w:t xml:space="preserve"> measure, stakeholders raised concerns about students who need to repeat for educational attainment purposes and broader implications for extended Foundation programs. The department considers, and will engage with stakeholders to clarify, that this measure will not affect students repeating for educational attainment purposes. Further, the department maintains this measure will clarify the intended meaning of “foundation”. This meaning aligns provisions relating to the working out of a school’s recurrent funding entitlement under the </w:t>
      </w:r>
      <w:r w:rsidR="00854C1F" w:rsidRPr="00CF338F">
        <w:rPr>
          <w:rFonts w:asciiTheme="minorHAnsi" w:hAnsiTheme="minorHAnsi" w:cstheme="minorHAnsi"/>
          <w:b w:val="0"/>
          <w:bCs w:val="0"/>
        </w:rPr>
        <w:t>Principal Regulations</w:t>
      </w:r>
      <w:r w:rsidRPr="00CF338F">
        <w:rPr>
          <w:rFonts w:asciiTheme="minorHAnsi" w:hAnsiTheme="minorHAnsi" w:cstheme="minorHAnsi"/>
          <w:b w:val="0"/>
          <w:bCs w:val="0"/>
        </w:rPr>
        <w:t xml:space="preserve"> to the </w:t>
      </w:r>
      <w:r w:rsidRPr="00CF338F">
        <w:rPr>
          <w:rFonts w:asciiTheme="minorHAnsi" w:hAnsiTheme="minorHAnsi" w:cstheme="minorHAnsi"/>
          <w:b w:val="0"/>
          <w:bCs w:val="0"/>
        </w:rPr>
        <w:lastRenderedPageBreak/>
        <w:t xml:space="preserve">needs-based funding model for school education established by the </w:t>
      </w:r>
      <w:r w:rsidR="00854C1F" w:rsidRPr="00CF338F">
        <w:rPr>
          <w:rFonts w:asciiTheme="minorHAnsi" w:hAnsiTheme="minorHAnsi" w:cstheme="minorHAnsi"/>
          <w:b w:val="0"/>
          <w:bCs w:val="0"/>
        </w:rPr>
        <w:t>Act</w:t>
      </w:r>
      <w:r w:rsidRPr="00CF338F">
        <w:rPr>
          <w:rFonts w:asciiTheme="minorHAnsi" w:hAnsiTheme="minorHAnsi" w:cstheme="minorHAnsi"/>
          <w:b w:val="0"/>
          <w:bCs w:val="0"/>
        </w:rPr>
        <w:t xml:space="preserve">. The department will engage with stakeholders to manage their concerns as the measure is implemented.  </w:t>
      </w:r>
    </w:p>
    <w:p w14:paraId="59594102" w14:textId="77777777" w:rsidR="00456B90" w:rsidRPr="00CF338F" w:rsidRDefault="00456B90" w:rsidP="00456B90">
      <w:pPr>
        <w:rPr>
          <w:rFonts w:cstheme="minorHAnsi"/>
          <w:sz w:val="24"/>
          <w:szCs w:val="24"/>
        </w:rPr>
      </w:pPr>
    </w:p>
    <w:p w14:paraId="2FFF88D2" w14:textId="77777777" w:rsidR="00456B90" w:rsidRPr="00CF338F" w:rsidRDefault="00456B90" w:rsidP="00456B90">
      <w:pPr>
        <w:rPr>
          <w:rFonts w:cstheme="minorHAnsi"/>
          <w:sz w:val="24"/>
          <w:szCs w:val="24"/>
          <w:lang w:val="en-US"/>
        </w:rPr>
      </w:pPr>
    </w:p>
    <w:p w14:paraId="17701AE7" w14:textId="03972B05" w:rsidR="00456B90" w:rsidRPr="00CF338F" w:rsidRDefault="00456B90">
      <w:pPr>
        <w:spacing w:line="259" w:lineRule="auto"/>
        <w:rPr>
          <w:rFonts w:cstheme="minorHAnsi"/>
          <w:sz w:val="24"/>
          <w:szCs w:val="24"/>
        </w:rPr>
      </w:pPr>
      <w:r w:rsidRPr="00CF338F">
        <w:rPr>
          <w:rFonts w:cstheme="minorHAnsi"/>
          <w:sz w:val="24"/>
          <w:szCs w:val="24"/>
        </w:rPr>
        <w:br w:type="page"/>
      </w:r>
    </w:p>
    <w:p w14:paraId="7670FF6F" w14:textId="41638DEF" w:rsidR="00456B90" w:rsidRPr="00CF338F" w:rsidRDefault="002D307A" w:rsidP="00473103">
      <w:pPr>
        <w:pStyle w:val="Subtitle"/>
        <w:rPr>
          <w:rFonts w:asciiTheme="minorHAnsi" w:hAnsiTheme="minorHAnsi" w:cstheme="minorHAnsi"/>
          <w:u w:val="single"/>
        </w:rPr>
      </w:pPr>
      <w:r>
        <w:rPr>
          <w:rFonts w:asciiTheme="minorHAnsi" w:hAnsiTheme="minorHAnsi" w:cstheme="minorHAnsi"/>
          <w:u w:val="single"/>
        </w:rPr>
        <w:lastRenderedPageBreak/>
        <w:t>STATEMENT OF COMPATIBILITY WITH HUMAN RIGHTS</w:t>
      </w:r>
    </w:p>
    <w:p w14:paraId="68042CA6" w14:textId="77777777" w:rsidR="00456B90" w:rsidRPr="00CF338F" w:rsidRDefault="00456B90" w:rsidP="00773F93">
      <w:pPr>
        <w:rPr>
          <w:rFonts w:cstheme="minorHAnsi"/>
          <w:i/>
          <w:iCs/>
          <w:sz w:val="24"/>
          <w:szCs w:val="24"/>
        </w:rPr>
      </w:pPr>
      <w:r w:rsidRPr="00CF338F">
        <w:rPr>
          <w:rFonts w:cstheme="minorHAnsi"/>
          <w:sz w:val="24"/>
          <w:szCs w:val="24"/>
        </w:rPr>
        <w:t xml:space="preserve">Prepared in accordance with Part 3 of the </w:t>
      </w:r>
      <w:r w:rsidRPr="00CF338F">
        <w:rPr>
          <w:rFonts w:cstheme="minorHAnsi"/>
          <w:i/>
          <w:iCs/>
          <w:sz w:val="24"/>
          <w:szCs w:val="24"/>
        </w:rPr>
        <w:t>Human Rights (Parliamentary Scrutiny) Act 2011</w:t>
      </w:r>
    </w:p>
    <w:p w14:paraId="0331C8BB" w14:textId="01940A32" w:rsidR="00456B90" w:rsidRPr="00CF338F" w:rsidRDefault="00456B90" w:rsidP="00456B90">
      <w:pPr>
        <w:jc w:val="center"/>
        <w:rPr>
          <w:rFonts w:cstheme="minorHAnsi"/>
          <w:sz w:val="24"/>
          <w:szCs w:val="24"/>
          <w:u w:val="single"/>
        </w:rPr>
      </w:pPr>
      <w:r w:rsidRPr="00CF338F">
        <w:rPr>
          <w:rFonts w:cstheme="minorHAnsi"/>
          <w:sz w:val="24"/>
          <w:szCs w:val="24"/>
          <w:u w:val="single"/>
        </w:rPr>
        <w:t>Australian Education Amendment (</w:t>
      </w:r>
      <w:r w:rsidR="00773F93" w:rsidRPr="00CF338F">
        <w:rPr>
          <w:rFonts w:cstheme="minorHAnsi"/>
          <w:sz w:val="24"/>
          <w:szCs w:val="24"/>
          <w:u w:val="single"/>
        </w:rPr>
        <w:t>CTC Scores and Other Measures</w:t>
      </w:r>
      <w:r w:rsidRPr="00CF338F">
        <w:rPr>
          <w:rFonts w:cstheme="minorHAnsi"/>
          <w:sz w:val="24"/>
          <w:szCs w:val="24"/>
          <w:u w:val="single"/>
        </w:rPr>
        <w:t>) Regulations 202</w:t>
      </w:r>
      <w:r w:rsidR="00773F93" w:rsidRPr="00CF338F">
        <w:rPr>
          <w:rFonts w:cstheme="minorHAnsi"/>
          <w:sz w:val="24"/>
          <w:szCs w:val="24"/>
          <w:u w:val="single"/>
        </w:rPr>
        <w:t>5</w:t>
      </w:r>
    </w:p>
    <w:p w14:paraId="27EE5B0B" w14:textId="59C7A3BA" w:rsidR="00456B90" w:rsidRPr="00CF338F" w:rsidRDefault="00456B90" w:rsidP="00456B90">
      <w:pPr>
        <w:rPr>
          <w:rFonts w:cstheme="minorHAnsi"/>
          <w:sz w:val="24"/>
          <w:szCs w:val="24"/>
        </w:rPr>
      </w:pPr>
      <w:r w:rsidRPr="00CF338F">
        <w:rPr>
          <w:rFonts w:cstheme="minorHAnsi"/>
          <w:sz w:val="24"/>
          <w:szCs w:val="24"/>
        </w:rPr>
        <w:t xml:space="preserve">The </w:t>
      </w:r>
      <w:r w:rsidRPr="00CF338F">
        <w:rPr>
          <w:rFonts w:cstheme="minorHAnsi"/>
          <w:i/>
          <w:iCs/>
          <w:sz w:val="24"/>
          <w:szCs w:val="24"/>
        </w:rPr>
        <w:t>Australian Education Amendment (</w:t>
      </w:r>
      <w:r w:rsidR="0036590F" w:rsidRPr="00CF338F">
        <w:rPr>
          <w:rFonts w:cstheme="minorHAnsi"/>
          <w:i/>
          <w:iCs/>
          <w:sz w:val="24"/>
          <w:szCs w:val="24"/>
        </w:rPr>
        <w:t>CTC Scores</w:t>
      </w:r>
      <w:r w:rsidR="001F4E4E" w:rsidRPr="00CF338F">
        <w:rPr>
          <w:rFonts w:cstheme="minorHAnsi"/>
          <w:i/>
          <w:iCs/>
          <w:sz w:val="24"/>
          <w:szCs w:val="24"/>
        </w:rPr>
        <w:t xml:space="preserve"> and Other Measures</w:t>
      </w:r>
      <w:r w:rsidRPr="00CF338F">
        <w:rPr>
          <w:rFonts w:cstheme="minorHAnsi"/>
          <w:i/>
          <w:iCs/>
          <w:sz w:val="24"/>
          <w:szCs w:val="24"/>
        </w:rPr>
        <w:t>) Regulations 202</w:t>
      </w:r>
      <w:r w:rsidR="0036590F" w:rsidRPr="00CF338F">
        <w:rPr>
          <w:rFonts w:cstheme="minorHAnsi"/>
          <w:i/>
          <w:iCs/>
          <w:sz w:val="24"/>
          <w:szCs w:val="24"/>
        </w:rPr>
        <w:t>5</w:t>
      </w:r>
      <w:r w:rsidRPr="00CF338F">
        <w:rPr>
          <w:rFonts w:cstheme="minorHAnsi"/>
          <w:sz w:val="24"/>
          <w:szCs w:val="24"/>
        </w:rPr>
        <w:t xml:space="preserve"> (</w:t>
      </w:r>
      <w:r w:rsidR="002E19C2" w:rsidRPr="00CF338F">
        <w:rPr>
          <w:rFonts w:cstheme="minorHAnsi"/>
          <w:sz w:val="24"/>
          <w:szCs w:val="24"/>
        </w:rPr>
        <w:t xml:space="preserve">the </w:t>
      </w:r>
      <w:r w:rsidRPr="00CF338F">
        <w:rPr>
          <w:rFonts w:cstheme="minorHAnsi"/>
          <w:sz w:val="24"/>
          <w:szCs w:val="24"/>
        </w:rPr>
        <w:t xml:space="preserve">Amendment Regulations) is compatible with the human rights and freedoms recognised or declared in the international instruments listed in section 3 of the </w:t>
      </w:r>
      <w:r w:rsidRPr="00CF338F">
        <w:rPr>
          <w:rFonts w:cstheme="minorHAnsi"/>
          <w:i/>
          <w:iCs/>
          <w:sz w:val="24"/>
          <w:szCs w:val="24"/>
        </w:rPr>
        <w:t>Human Rights (Parliamentary Scrutiny) Act 2011</w:t>
      </w:r>
      <w:r w:rsidRPr="00CF338F">
        <w:rPr>
          <w:rFonts w:cstheme="minorHAnsi"/>
          <w:sz w:val="24"/>
          <w:szCs w:val="24"/>
        </w:rPr>
        <w:t>.</w:t>
      </w:r>
    </w:p>
    <w:p w14:paraId="7E2775CF" w14:textId="534F4600" w:rsidR="00456B90" w:rsidRPr="00CF338F" w:rsidRDefault="00456B90" w:rsidP="00CD66BA">
      <w:pPr>
        <w:pStyle w:val="Heading1"/>
        <w:rPr>
          <w:rFonts w:asciiTheme="minorHAnsi" w:hAnsiTheme="minorHAnsi" w:cstheme="minorHAnsi"/>
        </w:rPr>
      </w:pPr>
      <w:r w:rsidRPr="00CF338F">
        <w:rPr>
          <w:rFonts w:asciiTheme="minorHAnsi" w:hAnsiTheme="minorHAnsi" w:cstheme="minorHAnsi"/>
        </w:rPr>
        <w:t>Overview</w:t>
      </w:r>
      <w:r w:rsidR="002D307A">
        <w:rPr>
          <w:rFonts w:asciiTheme="minorHAnsi" w:hAnsiTheme="minorHAnsi" w:cstheme="minorHAnsi"/>
        </w:rPr>
        <w:t xml:space="preserve"> of the Legislative Instrument </w:t>
      </w:r>
    </w:p>
    <w:p w14:paraId="3C2D7F97" w14:textId="58FC3235" w:rsidR="00456B90" w:rsidRPr="00CF338F" w:rsidRDefault="00456B90" w:rsidP="00456B90">
      <w:pPr>
        <w:rPr>
          <w:rFonts w:cstheme="minorHAnsi"/>
          <w:sz w:val="24"/>
          <w:szCs w:val="24"/>
        </w:rPr>
      </w:pPr>
      <w:bookmarkStart w:id="0" w:name="_Hlk136851250"/>
      <w:r w:rsidRPr="00CF338F">
        <w:rPr>
          <w:rFonts w:cstheme="minorHAnsi"/>
          <w:sz w:val="24"/>
          <w:szCs w:val="24"/>
        </w:rPr>
        <w:t xml:space="preserve">The </w:t>
      </w:r>
      <w:r w:rsidRPr="00CF338F">
        <w:rPr>
          <w:rFonts w:cstheme="minorHAnsi"/>
          <w:i/>
          <w:iCs/>
          <w:sz w:val="24"/>
          <w:szCs w:val="24"/>
        </w:rPr>
        <w:t>Australian Education Act 2013</w:t>
      </w:r>
      <w:r w:rsidRPr="00CF338F">
        <w:rPr>
          <w:rFonts w:cstheme="minorHAnsi"/>
          <w:sz w:val="24"/>
          <w:szCs w:val="24"/>
        </w:rPr>
        <w:t xml:space="preserve"> </w:t>
      </w:r>
      <w:r w:rsidR="008A6DB9" w:rsidRPr="00CF338F">
        <w:rPr>
          <w:rFonts w:cstheme="minorHAnsi"/>
          <w:sz w:val="24"/>
          <w:szCs w:val="24"/>
        </w:rPr>
        <w:t xml:space="preserve">(the Act) </w:t>
      </w:r>
      <w:r w:rsidRPr="00CF338F">
        <w:rPr>
          <w:rFonts w:cstheme="minorHAnsi"/>
          <w:sz w:val="24"/>
          <w:szCs w:val="24"/>
        </w:rPr>
        <w:t>is the principal legislation by which the Australian Government provides Commonwealth financial assistance for schools.</w:t>
      </w:r>
    </w:p>
    <w:p w14:paraId="3884A9AF" w14:textId="2674DAF6" w:rsidR="00456B90" w:rsidRPr="00CF338F" w:rsidRDefault="008D3DC2" w:rsidP="00456B90">
      <w:pPr>
        <w:rPr>
          <w:rFonts w:cstheme="minorHAnsi"/>
          <w:sz w:val="24"/>
          <w:szCs w:val="24"/>
        </w:rPr>
      </w:pPr>
      <w:r w:rsidRPr="00CF338F">
        <w:rPr>
          <w:rFonts w:cstheme="minorHAnsi"/>
          <w:sz w:val="24"/>
          <w:szCs w:val="24"/>
        </w:rPr>
        <w:t>Under the Act, financial assistance is provided to states and territories for distribution to entities approved to receive financial assistance under the Act, including approved authorities for government and non-government schools, block grant authorities for non-government schools (</w:t>
      </w:r>
      <w:proofErr w:type="gramStart"/>
      <w:r w:rsidRPr="00CF338F">
        <w:rPr>
          <w:rFonts w:cstheme="minorHAnsi"/>
          <w:sz w:val="24"/>
          <w:szCs w:val="24"/>
        </w:rPr>
        <w:t>in order to</w:t>
      </w:r>
      <w:proofErr w:type="gramEnd"/>
      <w:r w:rsidRPr="00CF338F">
        <w:rPr>
          <w:rFonts w:cstheme="minorHAnsi"/>
          <w:sz w:val="24"/>
          <w:szCs w:val="24"/>
        </w:rPr>
        <w:t xml:space="preserve"> provide capital funding for capital projects at such schools), and non-government representative bodies for non-government schools. Recurrent financial assistance is provided to approved authorities for government and non-government schools</w:t>
      </w:r>
      <w:r w:rsidR="00456B90" w:rsidRPr="00CF338F">
        <w:rPr>
          <w:rFonts w:cstheme="minorHAnsi"/>
          <w:sz w:val="24"/>
          <w:szCs w:val="24"/>
        </w:rPr>
        <w:t>.</w:t>
      </w:r>
    </w:p>
    <w:p w14:paraId="546E72A5" w14:textId="1E19F06D" w:rsidR="00456B90" w:rsidRPr="00CF338F" w:rsidRDefault="00456B90" w:rsidP="00456B90">
      <w:pPr>
        <w:rPr>
          <w:rFonts w:cstheme="minorHAnsi"/>
          <w:sz w:val="24"/>
          <w:szCs w:val="24"/>
        </w:rPr>
      </w:pPr>
      <w:r w:rsidRPr="00CF338F">
        <w:rPr>
          <w:rFonts w:cstheme="minorHAnsi"/>
          <w:sz w:val="24"/>
          <w:szCs w:val="24"/>
        </w:rPr>
        <w:t xml:space="preserve">The </w:t>
      </w:r>
      <w:r w:rsidRPr="00CF338F">
        <w:rPr>
          <w:rFonts w:cstheme="minorHAnsi"/>
          <w:i/>
          <w:sz w:val="24"/>
          <w:szCs w:val="24"/>
        </w:rPr>
        <w:t>Australian Education Regulation</w:t>
      </w:r>
      <w:r w:rsidR="009E7870" w:rsidRPr="00CF338F">
        <w:rPr>
          <w:rFonts w:cstheme="minorHAnsi"/>
          <w:i/>
          <w:sz w:val="24"/>
          <w:szCs w:val="24"/>
        </w:rPr>
        <w:t>s</w:t>
      </w:r>
      <w:r w:rsidRPr="00CF338F">
        <w:rPr>
          <w:rFonts w:cstheme="minorHAnsi"/>
          <w:i/>
          <w:sz w:val="24"/>
          <w:szCs w:val="24"/>
        </w:rPr>
        <w:t xml:space="preserve"> </w:t>
      </w:r>
      <w:r w:rsidR="000C1B5E" w:rsidRPr="00CF338F">
        <w:rPr>
          <w:rFonts w:cstheme="minorHAnsi"/>
          <w:i/>
          <w:sz w:val="24"/>
          <w:szCs w:val="24"/>
        </w:rPr>
        <w:t>2023</w:t>
      </w:r>
      <w:r w:rsidRPr="00CF338F">
        <w:rPr>
          <w:rFonts w:cstheme="minorHAnsi"/>
          <w:sz w:val="24"/>
          <w:szCs w:val="24"/>
        </w:rPr>
        <w:t xml:space="preserve"> (the Principal Regulation</w:t>
      </w:r>
      <w:r w:rsidR="009E7870" w:rsidRPr="00CF338F">
        <w:rPr>
          <w:rFonts w:cstheme="minorHAnsi"/>
          <w:sz w:val="24"/>
          <w:szCs w:val="24"/>
        </w:rPr>
        <w:t>s</w:t>
      </w:r>
      <w:r w:rsidRPr="00CF338F">
        <w:rPr>
          <w:rFonts w:cstheme="minorHAnsi"/>
          <w:sz w:val="24"/>
          <w:szCs w:val="24"/>
        </w:rPr>
        <w:t xml:space="preserve">) contain provisions concerning </w:t>
      </w:r>
      <w:r w:rsidR="001F4E4E" w:rsidRPr="00CF338F">
        <w:rPr>
          <w:rFonts w:cstheme="minorHAnsi"/>
          <w:sz w:val="24"/>
          <w:szCs w:val="24"/>
        </w:rPr>
        <w:t xml:space="preserve">the </w:t>
      </w:r>
      <w:r w:rsidRPr="00CF338F">
        <w:rPr>
          <w:rFonts w:cstheme="minorHAnsi"/>
          <w:sz w:val="24"/>
          <w:szCs w:val="24"/>
        </w:rPr>
        <w:t>calculation</w:t>
      </w:r>
      <w:r w:rsidR="001F4E4E" w:rsidRPr="00CF338F">
        <w:rPr>
          <w:rFonts w:cstheme="minorHAnsi"/>
          <w:sz w:val="24"/>
          <w:szCs w:val="24"/>
        </w:rPr>
        <w:t>, indexation and setting</w:t>
      </w:r>
      <w:r w:rsidRPr="00CF338F">
        <w:rPr>
          <w:rFonts w:cstheme="minorHAnsi"/>
          <w:sz w:val="24"/>
          <w:szCs w:val="24"/>
        </w:rPr>
        <w:t xml:space="preserve"> of Commonwealth financial assistance to states and territories for schools, </w:t>
      </w:r>
      <w:r w:rsidR="001F4E4E" w:rsidRPr="00CF338F">
        <w:rPr>
          <w:rFonts w:cstheme="minorHAnsi"/>
          <w:sz w:val="24"/>
          <w:szCs w:val="24"/>
        </w:rPr>
        <w:t>and for</w:t>
      </w:r>
      <w:r w:rsidRPr="00CF338F">
        <w:rPr>
          <w:rFonts w:cstheme="minorHAnsi"/>
          <w:sz w:val="24"/>
          <w:szCs w:val="24"/>
        </w:rPr>
        <w:t xml:space="preserve"> the effective and efficient administration of that </w:t>
      </w:r>
      <w:r w:rsidR="001F4E4E" w:rsidRPr="00CF338F">
        <w:rPr>
          <w:rFonts w:cstheme="minorHAnsi"/>
          <w:sz w:val="24"/>
          <w:szCs w:val="24"/>
        </w:rPr>
        <w:t xml:space="preserve">financial </w:t>
      </w:r>
      <w:r w:rsidRPr="00CF338F">
        <w:rPr>
          <w:rFonts w:cstheme="minorHAnsi"/>
          <w:sz w:val="24"/>
          <w:szCs w:val="24"/>
        </w:rPr>
        <w:t>assistance</w:t>
      </w:r>
      <w:r w:rsidR="001F4E4E" w:rsidRPr="00CF338F">
        <w:rPr>
          <w:rFonts w:cstheme="minorHAnsi"/>
          <w:sz w:val="24"/>
          <w:szCs w:val="24"/>
        </w:rPr>
        <w:t>. The Amendment Regulations amend the Principal Regulations.</w:t>
      </w:r>
    </w:p>
    <w:p w14:paraId="3ADE7463" w14:textId="642942BD" w:rsidR="00BF6989" w:rsidRPr="00CF338F" w:rsidRDefault="008D3DC2" w:rsidP="008D3DC2">
      <w:pPr>
        <w:pStyle w:val="Heading1"/>
        <w:rPr>
          <w:rFonts w:asciiTheme="minorHAnsi" w:hAnsiTheme="minorHAnsi" w:cstheme="minorHAnsi"/>
          <w:b w:val="0"/>
          <w:bCs w:val="0"/>
        </w:rPr>
      </w:pPr>
      <w:r w:rsidRPr="00CF338F">
        <w:rPr>
          <w:rFonts w:asciiTheme="minorHAnsi" w:hAnsiTheme="minorHAnsi" w:cstheme="minorHAnsi"/>
          <w:b w:val="0"/>
          <w:bCs w:val="0"/>
        </w:rPr>
        <w:t xml:space="preserve">The purpose of the Amendment Regulations is to insert a new mechanism into Division 3 of Part 3 of the Principal Regulations for working out the capacity to contribute (CTC) score for a school for 2026. Division 2 of Part 3 of the Act contains the </w:t>
      </w:r>
      <w:r w:rsidR="00BF6989" w:rsidRPr="00CF338F">
        <w:rPr>
          <w:rFonts w:asciiTheme="minorHAnsi" w:hAnsiTheme="minorHAnsi" w:cstheme="minorHAnsi"/>
          <w:b w:val="0"/>
          <w:bCs w:val="0"/>
        </w:rPr>
        <w:t xml:space="preserve">funding </w:t>
      </w:r>
      <w:r w:rsidRPr="00CF338F">
        <w:rPr>
          <w:rFonts w:asciiTheme="minorHAnsi" w:hAnsiTheme="minorHAnsi" w:cstheme="minorHAnsi"/>
          <w:b w:val="0"/>
          <w:bCs w:val="0"/>
        </w:rPr>
        <w:t xml:space="preserve">formula which produces the </w:t>
      </w:r>
      <w:r w:rsidR="00BF6989" w:rsidRPr="00CF338F">
        <w:rPr>
          <w:rFonts w:asciiTheme="minorHAnsi" w:hAnsiTheme="minorHAnsi" w:cstheme="minorHAnsi"/>
          <w:b w:val="0"/>
          <w:bCs w:val="0"/>
        </w:rPr>
        <w:t xml:space="preserve">Commonwealth share of the </w:t>
      </w:r>
      <w:r w:rsidRPr="00CF338F">
        <w:rPr>
          <w:rFonts w:asciiTheme="minorHAnsi" w:hAnsiTheme="minorHAnsi" w:cstheme="minorHAnsi"/>
          <w:b w:val="0"/>
          <w:bCs w:val="0"/>
        </w:rPr>
        <w:t xml:space="preserve">total amount of recurrent </w:t>
      </w:r>
      <w:r w:rsidR="00BF6989" w:rsidRPr="00CF338F">
        <w:rPr>
          <w:rFonts w:asciiTheme="minorHAnsi" w:hAnsiTheme="minorHAnsi" w:cstheme="minorHAnsi"/>
          <w:b w:val="0"/>
          <w:bCs w:val="0"/>
        </w:rPr>
        <w:t>funding</w:t>
      </w:r>
      <w:r w:rsidRPr="00CF338F">
        <w:rPr>
          <w:rFonts w:asciiTheme="minorHAnsi" w:hAnsiTheme="minorHAnsi" w:cstheme="minorHAnsi"/>
          <w:b w:val="0"/>
          <w:bCs w:val="0"/>
        </w:rPr>
        <w:t xml:space="preserve"> for a school for a year. The </w:t>
      </w:r>
      <w:r w:rsidR="00BF6989" w:rsidRPr="00CF338F">
        <w:rPr>
          <w:rFonts w:asciiTheme="minorHAnsi" w:hAnsiTheme="minorHAnsi" w:cstheme="minorHAnsi"/>
          <w:b w:val="0"/>
          <w:bCs w:val="0"/>
        </w:rPr>
        <w:t xml:space="preserve">school’s </w:t>
      </w:r>
      <w:r w:rsidRPr="00CF338F">
        <w:rPr>
          <w:rFonts w:asciiTheme="minorHAnsi" w:hAnsiTheme="minorHAnsi" w:cstheme="minorHAnsi"/>
          <w:b w:val="0"/>
          <w:bCs w:val="0"/>
        </w:rPr>
        <w:t xml:space="preserve">‘base amount’ for </w:t>
      </w:r>
      <w:r w:rsidR="00BF6989" w:rsidRPr="00CF338F">
        <w:rPr>
          <w:rFonts w:asciiTheme="minorHAnsi" w:hAnsiTheme="minorHAnsi" w:cstheme="minorHAnsi"/>
          <w:b w:val="0"/>
          <w:bCs w:val="0"/>
        </w:rPr>
        <w:t xml:space="preserve">the </w:t>
      </w:r>
      <w:r w:rsidRPr="00CF338F">
        <w:rPr>
          <w:rFonts w:asciiTheme="minorHAnsi" w:hAnsiTheme="minorHAnsi" w:cstheme="minorHAnsi"/>
          <w:b w:val="0"/>
          <w:bCs w:val="0"/>
        </w:rPr>
        <w:t xml:space="preserve">year is </w:t>
      </w:r>
      <w:r w:rsidR="00BF6989" w:rsidRPr="00CF338F">
        <w:rPr>
          <w:rFonts w:asciiTheme="minorHAnsi" w:hAnsiTheme="minorHAnsi" w:cstheme="minorHAnsi"/>
          <w:b w:val="0"/>
          <w:bCs w:val="0"/>
        </w:rPr>
        <w:t xml:space="preserve">an element of </w:t>
      </w:r>
      <w:r w:rsidRPr="00CF338F">
        <w:rPr>
          <w:rFonts w:asciiTheme="minorHAnsi" w:hAnsiTheme="minorHAnsi" w:cstheme="minorHAnsi"/>
          <w:b w:val="0"/>
          <w:bCs w:val="0"/>
        </w:rPr>
        <w:t>th</w:t>
      </w:r>
      <w:r w:rsidR="00BF6989" w:rsidRPr="00CF338F">
        <w:rPr>
          <w:rFonts w:asciiTheme="minorHAnsi" w:hAnsiTheme="minorHAnsi" w:cstheme="minorHAnsi"/>
          <w:b w:val="0"/>
          <w:bCs w:val="0"/>
        </w:rPr>
        <w:t>e funding</w:t>
      </w:r>
      <w:r w:rsidRPr="00CF338F">
        <w:rPr>
          <w:rFonts w:asciiTheme="minorHAnsi" w:hAnsiTheme="minorHAnsi" w:cstheme="minorHAnsi"/>
          <w:b w:val="0"/>
          <w:bCs w:val="0"/>
        </w:rPr>
        <w:t xml:space="preserve"> </w:t>
      </w:r>
      <w:proofErr w:type="gramStart"/>
      <w:r w:rsidRPr="00CF338F">
        <w:rPr>
          <w:rFonts w:asciiTheme="minorHAnsi" w:hAnsiTheme="minorHAnsi" w:cstheme="minorHAnsi"/>
          <w:b w:val="0"/>
          <w:bCs w:val="0"/>
        </w:rPr>
        <w:t>formula, and</w:t>
      </w:r>
      <w:proofErr w:type="gramEnd"/>
      <w:r w:rsidRPr="00CF338F">
        <w:rPr>
          <w:rFonts w:asciiTheme="minorHAnsi" w:hAnsiTheme="minorHAnsi" w:cstheme="minorHAnsi"/>
          <w:b w:val="0"/>
          <w:bCs w:val="0"/>
        </w:rPr>
        <w:t xml:space="preserve"> is worked out </w:t>
      </w:r>
      <w:r w:rsidR="00BF6989" w:rsidRPr="00CF338F">
        <w:rPr>
          <w:rFonts w:asciiTheme="minorHAnsi" w:hAnsiTheme="minorHAnsi" w:cstheme="minorHAnsi"/>
          <w:b w:val="0"/>
          <w:bCs w:val="0"/>
        </w:rPr>
        <w:t>with</w:t>
      </w:r>
      <w:r w:rsidRPr="00CF338F">
        <w:rPr>
          <w:rFonts w:asciiTheme="minorHAnsi" w:hAnsiTheme="minorHAnsi" w:cstheme="minorHAnsi"/>
          <w:b w:val="0"/>
          <w:bCs w:val="0"/>
        </w:rPr>
        <w:t xml:space="preserve"> reference to the school’s CTC percentage. A school’s CTC percentage for a year reduce</w:t>
      </w:r>
      <w:r w:rsidR="001F4090" w:rsidRPr="00CF338F">
        <w:rPr>
          <w:rFonts w:asciiTheme="minorHAnsi" w:hAnsiTheme="minorHAnsi" w:cstheme="minorHAnsi"/>
          <w:b w:val="0"/>
          <w:bCs w:val="0"/>
        </w:rPr>
        <w:t>s</w:t>
      </w:r>
      <w:r w:rsidRPr="00CF338F">
        <w:rPr>
          <w:rFonts w:asciiTheme="minorHAnsi" w:hAnsiTheme="minorHAnsi" w:cstheme="minorHAnsi"/>
          <w:b w:val="0"/>
          <w:bCs w:val="0"/>
        </w:rPr>
        <w:t xml:space="preserve"> the amount of recurrent </w:t>
      </w:r>
      <w:r w:rsidR="00BF6989" w:rsidRPr="00CF338F">
        <w:rPr>
          <w:rFonts w:asciiTheme="minorHAnsi" w:hAnsiTheme="minorHAnsi" w:cstheme="minorHAnsi"/>
          <w:b w:val="0"/>
          <w:bCs w:val="0"/>
        </w:rPr>
        <w:t>funding</w:t>
      </w:r>
      <w:r w:rsidRPr="00CF338F">
        <w:rPr>
          <w:rFonts w:asciiTheme="minorHAnsi" w:hAnsiTheme="minorHAnsi" w:cstheme="minorHAnsi"/>
          <w:b w:val="0"/>
          <w:bCs w:val="0"/>
        </w:rPr>
        <w:t xml:space="preserve"> payable for </w:t>
      </w:r>
      <w:r w:rsidR="0036590F" w:rsidRPr="00CF338F">
        <w:rPr>
          <w:rFonts w:asciiTheme="minorHAnsi" w:hAnsiTheme="minorHAnsi" w:cstheme="minorHAnsi"/>
          <w:b w:val="0"/>
          <w:bCs w:val="0"/>
        </w:rPr>
        <w:t>the</w:t>
      </w:r>
      <w:r w:rsidRPr="00CF338F">
        <w:rPr>
          <w:rFonts w:asciiTheme="minorHAnsi" w:hAnsiTheme="minorHAnsi" w:cstheme="minorHAnsi"/>
          <w:b w:val="0"/>
          <w:bCs w:val="0"/>
        </w:rPr>
        <w:t xml:space="preserve"> school for the year. </w:t>
      </w:r>
    </w:p>
    <w:p w14:paraId="2C30F624" w14:textId="370709C3" w:rsidR="00456B90" w:rsidRPr="00CF338F" w:rsidRDefault="00BF6989" w:rsidP="008D3DC2">
      <w:pPr>
        <w:pStyle w:val="Heading1"/>
        <w:rPr>
          <w:rFonts w:asciiTheme="minorHAnsi" w:hAnsiTheme="minorHAnsi" w:cstheme="minorHAnsi"/>
          <w:b w:val="0"/>
          <w:bCs w:val="0"/>
        </w:rPr>
      </w:pPr>
      <w:r w:rsidRPr="00CF338F">
        <w:rPr>
          <w:rFonts w:asciiTheme="minorHAnsi" w:hAnsiTheme="minorHAnsi" w:cstheme="minorHAnsi"/>
          <w:b w:val="0"/>
          <w:bCs w:val="0"/>
        </w:rPr>
        <w:t>A</w:t>
      </w:r>
      <w:r w:rsidR="008D3DC2" w:rsidRPr="00CF338F">
        <w:rPr>
          <w:rFonts w:asciiTheme="minorHAnsi" w:hAnsiTheme="minorHAnsi" w:cstheme="minorHAnsi"/>
          <w:b w:val="0"/>
          <w:bCs w:val="0"/>
        </w:rPr>
        <w:t xml:space="preserve"> school’s CTC percentage is worked out by reference to the school’s CTC score</w:t>
      </w:r>
      <w:r w:rsidRPr="00CF338F">
        <w:rPr>
          <w:rFonts w:asciiTheme="minorHAnsi" w:hAnsiTheme="minorHAnsi" w:cstheme="minorHAnsi"/>
          <w:b w:val="0"/>
          <w:bCs w:val="0"/>
        </w:rPr>
        <w:t>, as determined under section 52 of the Act.</w:t>
      </w:r>
      <w:r w:rsidR="001F4090" w:rsidRPr="00CF338F">
        <w:rPr>
          <w:rFonts w:asciiTheme="minorHAnsi" w:hAnsiTheme="minorHAnsi" w:cstheme="minorHAnsi"/>
        </w:rPr>
        <w:t xml:space="preserve"> </w:t>
      </w:r>
      <w:r w:rsidR="001F4090" w:rsidRPr="00CF338F">
        <w:rPr>
          <w:rFonts w:asciiTheme="minorHAnsi" w:hAnsiTheme="minorHAnsi" w:cstheme="minorHAnsi"/>
          <w:b w:val="0"/>
          <w:bCs w:val="0"/>
        </w:rPr>
        <w:t xml:space="preserve">The CTC score is based on </w:t>
      </w:r>
      <w:r w:rsidR="007F1A9D">
        <w:rPr>
          <w:rFonts w:asciiTheme="minorHAnsi" w:hAnsiTheme="minorHAnsi" w:cstheme="minorHAnsi"/>
          <w:b w:val="0"/>
          <w:bCs w:val="0"/>
        </w:rPr>
        <w:t xml:space="preserve">the </w:t>
      </w:r>
      <w:r w:rsidR="001F4090" w:rsidRPr="00CF338F">
        <w:rPr>
          <w:rFonts w:asciiTheme="minorHAnsi" w:hAnsiTheme="minorHAnsi" w:cstheme="minorHAnsi"/>
          <w:b w:val="0"/>
          <w:bCs w:val="0"/>
        </w:rPr>
        <w:t>ability</w:t>
      </w:r>
      <w:r w:rsidR="007F1A9D">
        <w:rPr>
          <w:rFonts w:asciiTheme="minorHAnsi" w:hAnsiTheme="minorHAnsi" w:cstheme="minorHAnsi"/>
          <w:b w:val="0"/>
          <w:bCs w:val="0"/>
        </w:rPr>
        <w:t xml:space="preserve"> of</w:t>
      </w:r>
      <w:r w:rsidR="001F4090" w:rsidRPr="00CF338F">
        <w:rPr>
          <w:rFonts w:asciiTheme="minorHAnsi" w:hAnsiTheme="minorHAnsi" w:cstheme="minorHAnsi"/>
          <w:b w:val="0"/>
          <w:bCs w:val="0"/>
        </w:rPr>
        <w:t xml:space="preserve"> </w:t>
      </w:r>
      <w:r w:rsidR="007F1A9D" w:rsidRPr="00CF338F">
        <w:rPr>
          <w:rFonts w:asciiTheme="minorHAnsi" w:hAnsiTheme="minorHAnsi" w:cstheme="minorHAnsi"/>
          <w:b w:val="0"/>
          <w:bCs w:val="0"/>
        </w:rPr>
        <w:t xml:space="preserve">persons responsible for students at the school </w:t>
      </w:r>
      <w:r w:rsidR="001F4090" w:rsidRPr="00CF338F">
        <w:rPr>
          <w:rFonts w:asciiTheme="minorHAnsi" w:hAnsiTheme="minorHAnsi" w:cstheme="minorHAnsi"/>
          <w:b w:val="0"/>
          <w:bCs w:val="0"/>
        </w:rPr>
        <w:t>to contribute financially to the operation of the school.</w:t>
      </w:r>
      <w:r w:rsidR="008D3DC2" w:rsidRPr="00CF338F">
        <w:rPr>
          <w:rFonts w:asciiTheme="minorHAnsi" w:hAnsiTheme="minorHAnsi" w:cstheme="minorHAnsi"/>
          <w:b w:val="0"/>
          <w:bCs w:val="0"/>
        </w:rPr>
        <w:t xml:space="preserve"> </w:t>
      </w:r>
      <w:bookmarkStart w:id="1" w:name="_Hlk205998405"/>
      <w:r w:rsidR="001F4090" w:rsidRPr="00CF338F">
        <w:rPr>
          <w:rFonts w:asciiTheme="minorHAnsi" w:hAnsiTheme="minorHAnsi" w:cstheme="minorHAnsi"/>
          <w:b w:val="0"/>
          <w:bCs w:val="0"/>
        </w:rPr>
        <w:t>Section 52 does not apply in relation to government schools, special schools, special assistance schools, a school that is a majority Aboriginal and Torres Strait Islander school for a year, and sole provider schools.</w:t>
      </w:r>
      <w:r w:rsidRPr="00CF338F">
        <w:rPr>
          <w:rFonts w:asciiTheme="minorHAnsi" w:hAnsiTheme="minorHAnsi" w:cstheme="minorHAnsi"/>
          <w:b w:val="0"/>
          <w:bCs w:val="0"/>
        </w:rPr>
        <w:t xml:space="preserve"> Instead, the CTC percentage for these schools is 0%</w:t>
      </w:r>
      <w:bookmarkEnd w:id="1"/>
      <w:r w:rsidR="008D3DC2" w:rsidRPr="00CF338F">
        <w:rPr>
          <w:rFonts w:asciiTheme="minorHAnsi" w:hAnsiTheme="minorHAnsi" w:cstheme="minorHAnsi"/>
          <w:b w:val="0"/>
          <w:bCs w:val="0"/>
        </w:rPr>
        <w:t>.</w:t>
      </w:r>
    </w:p>
    <w:p w14:paraId="696CAB20" w14:textId="09245FE6" w:rsidR="00B14D67" w:rsidRPr="00CF338F" w:rsidRDefault="00B14D67" w:rsidP="00456B90">
      <w:pPr>
        <w:rPr>
          <w:rFonts w:cstheme="minorHAnsi"/>
          <w:sz w:val="24"/>
          <w:szCs w:val="24"/>
          <w:lang w:val="en-US"/>
        </w:rPr>
      </w:pPr>
      <w:r w:rsidRPr="00CF338F">
        <w:rPr>
          <w:rFonts w:cstheme="minorHAnsi"/>
          <w:sz w:val="24"/>
          <w:szCs w:val="24"/>
          <w:lang w:val="en-US"/>
        </w:rPr>
        <w:t xml:space="preserve">The purpose of the Amendment Regulations is also to </w:t>
      </w:r>
      <w:r w:rsidR="008D3DC2" w:rsidRPr="00CF338F">
        <w:rPr>
          <w:rFonts w:cstheme="minorHAnsi"/>
          <w:sz w:val="24"/>
          <w:szCs w:val="24"/>
          <w:lang w:val="en-US"/>
        </w:rPr>
        <w:t>amend the definition of “foundation” in section 4 of the Principal Regulations to put the term’s proper interpretation beyond doubt. “Foundation” is a year</w:t>
      </w:r>
      <w:r w:rsidR="00A079D2" w:rsidRPr="00CF338F">
        <w:rPr>
          <w:rFonts w:cstheme="minorHAnsi"/>
          <w:sz w:val="24"/>
          <w:szCs w:val="24"/>
          <w:lang w:val="en-US"/>
        </w:rPr>
        <w:t xml:space="preserve"> (meaning 12 months)</w:t>
      </w:r>
      <w:r w:rsidR="008D3DC2" w:rsidRPr="00CF338F">
        <w:rPr>
          <w:rFonts w:cstheme="minorHAnsi"/>
          <w:sz w:val="24"/>
          <w:szCs w:val="24"/>
          <w:lang w:val="en-US"/>
        </w:rPr>
        <w:t xml:space="preserve"> </w:t>
      </w:r>
      <w:proofErr w:type="gramStart"/>
      <w:r w:rsidR="008D3DC2" w:rsidRPr="00CF338F">
        <w:rPr>
          <w:rFonts w:cstheme="minorHAnsi"/>
          <w:sz w:val="24"/>
          <w:szCs w:val="24"/>
          <w:lang w:val="en-US"/>
        </w:rPr>
        <w:t>in the course of</w:t>
      </w:r>
      <w:proofErr w:type="gramEnd"/>
      <w:r w:rsidR="008D3DC2" w:rsidRPr="00CF338F">
        <w:rPr>
          <w:rFonts w:cstheme="minorHAnsi"/>
          <w:sz w:val="24"/>
          <w:szCs w:val="24"/>
          <w:lang w:val="en-US"/>
        </w:rPr>
        <w:t xml:space="preserve"> primary education.</w:t>
      </w:r>
      <w:r w:rsidR="00A079D2" w:rsidRPr="00CF338F">
        <w:rPr>
          <w:rFonts w:cstheme="minorHAnsi"/>
          <w:sz w:val="24"/>
          <w:szCs w:val="24"/>
          <w:lang w:val="en-US"/>
        </w:rPr>
        <w:t xml:space="preserve"> The definition of foundation is relevant to working out the number of primary students at a school.</w:t>
      </w:r>
    </w:p>
    <w:bookmarkEnd w:id="0"/>
    <w:p w14:paraId="57AD3D2A" w14:textId="77777777" w:rsidR="000628EA" w:rsidRPr="00CF338F" w:rsidRDefault="000628EA" w:rsidP="00CD66BA">
      <w:pPr>
        <w:pStyle w:val="Heading1"/>
        <w:rPr>
          <w:rFonts w:asciiTheme="minorHAnsi" w:hAnsiTheme="minorHAnsi" w:cstheme="minorHAnsi"/>
        </w:rPr>
      </w:pPr>
      <w:r w:rsidRPr="00CF338F">
        <w:rPr>
          <w:rFonts w:asciiTheme="minorHAnsi" w:hAnsiTheme="minorHAnsi" w:cstheme="minorHAnsi"/>
        </w:rPr>
        <w:lastRenderedPageBreak/>
        <w:t>Human rights implications</w:t>
      </w:r>
    </w:p>
    <w:p w14:paraId="2C106BEB" w14:textId="77777777" w:rsidR="000628EA" w:rsidRPr="00CF338F" w:rsidRDefault="000628EA" w:rsidP="000628EA">
      <w:pPr>
        <w:rPr>
          <w:rFonts w:cstheme="minorHAnsi"/>
          <w:sz w:val="24"/>
          <w:szCs w:val="24"/>
        </w:rPr>
      </w:pPr>
      <w:r w:rsidRPr="00CF338F">
        <w:rPr>
          <w:rFonts w:cstheme="minorHAnsi"/>
          <w:sz w:val="24"/>
          <w:szCs w:val="24"/>
        </w:rPr>
        <w:t xml:space="preserve">The Amendment Regulations engage the right to education under Article 13 of the </w:t>
      </w:r>
      <w:r w:rsidRPr="00CF338F">
        <w:rPr>
          <w:rFonts w:cstheme="minorHAnsi"/>
          <w:i/>
          <w:sz w:val="24"/>
          <w:szCs w:val="24"/>
        </w:rPr>
        <w:t>International Covenant on Economic, Social and Cultural Rights</w:t>
      </w:r>
      <w:r w:rsidRPr="00CF338F">
        <w:rPr>
          <w:rFonts w:cstheme="minorHAnsi"/>
          <w:sz w:val="24"/>
          <w:szCs w:val="24"/>
        </w:rPr>
        <w:t xml:space="preserve"> (ICESCR), and Articles 28 and 29 of the </w:t>
      </w:r>
      <w:r w:rsidRPr="00CF338F">
        <w:rPr>
          <w:rFonts w:cstheme="minorHAnsi"/>
          <w:i/>
          <w:sz w:val="24"/>
          <w:szCs w:val="24"/>
        </w:rPr>
        <w:t xml:space="preserve">Convention on the Rights of the Child </w:t>
      </w:r>
      <w:r w:rsidRPr="00CF338F">
        <w:rPr>
          <w:rFonts w:cstheme="minorHAnsi"/>
          <w:sz w:val="24"/>
          <w:szCs w:val="24"/>
        </w:rPr>
        <w:t>(UNCRC).</w:t>
      </w:r>
    </w:p>
    <w:p w14:paraId="0D08F349" w14:textId="77777777" w:rsidR="000628EA" w:rsidRPr="00CF338F" w:rsidRDefault="000628EA" w:rsidP="00CD66BA">
      <w:pPr>
        <w:pStyle w:val="Heading2"/>
        <w:rPr>
          <w:rFonts w:asciiTheme="minorHAnsi" w:hAnsiTheme="minorHAnsi" w:cstheme="minorHAnsi"/>
        </w:rPr>
      </w:pPr>
      <w:r w:rsidRPr="00CF338F">
        <w:rPr>
          <w:rFonts w:asciiTheme="minorHAnsi" w:hAnsiTheme="minorHAnsi" w:cstheme="minorHAnsi"/>
        </w:rPr>
        <w:t>Right to Education</w:t>
      </w:r>
    </w:p>
    <w:p w14:paraId="2B69F3FD" w14:textId="25DE1954" w:rsidR="000628EA" w:rsidRPr="00CF338F" w:rsidRDefault="000628EA" w:rsidP="000628EA">
      <w:pPr>
        <w:rPr>
          <w:rFonts w:cstheme="minorHAnsi"/>
          <w:sz w:val="24"/>
          <w:szCs w:val="24"/>
        </w:rPr>
      </w:pPr>
      <w:r w:rsidRPr="00CF338F">
        <w:rPr>
          <w:rFonts w:cstheme="minorHAnsi"/>
          <w:sz w:val="24"/>
          <w:szCs w:val="24"/>
        </w:rPr>
        <w:t xml:space="preserve">Article 13 of the ICESCR recognises the right of everyone to education, which is directed towards the full development of the human personality and the sense of its dignity, and to enable all persons to participate effectively in society. It also recognises the liberty of parents and </w:t>
      </w:r>
      <w:r w:rsidR="008A6DB9" w:rsidRPr="00CF338F">
        <w:rPr>
          <w:rFonts w:cstheme="minorHAnsi"/>
          <w:sz w:val="24"/>
          <w:szCs w:val="24"/>
        </w:rPr>
        <w:t xml:space="preserve">legal </w:t>
      </w:r>
      <w:r w:rsidRPr="00CF338F">
        <w:rPr>
          <w:rFonts w:cstheme="minorHAnsi"/>
          <w:sz w:val="24"/>
          <w:szCs w:val="24"/>
        </w:rPr>
        <w:t>guardians to choose non-government schools for their children’s education, provided those schools conform to minimum educational standards</w:t>
      </w:r>
      <w:r w:rsidR="008A6DB9" w:rsidRPr="00CF338F">
        <w:rPr>
          <w:rFonts w:cstheme="minorHAnsi"/>
          <w:color w:val="4A4A4A"/>
          <w:spacing w:val="4"/>
          <w:sz w:val="24"/>
          <w:szCs w:val="24"/>
        </w:rPr>
        <w:t xml:space="preserve"> </w:t>
      </w:r>
      <w:r w:rsidR="008A6DB9" w:rsidRPr="00CF338F">
        <w:rPr>
          <w:rFonts w:cstheme="minorHAnsi"/>
          <w:sz w:val="24"/>
          <w:szCs w:val="24"/>
        </w:rPr>
        <w:t>as may be laid down or approved by the government</w:t>
      </w:r>
      <w:r w:rsidRPr="00CF338F">
        <w:rPr>
          <w:rFonts w:cstheme="minorHAnsi"/>
          <w:sz w:val="24"/>
          <w:szCs w:val="24"/>
        </w:rPr>
        <w:t xml:space="preserve">. The right to education for children is also found in Articles 28 and 29 of the UNCRC. </w:t>
      </w:r>
    </w:p>
    <w:p w14:paraId="50EC9F36" w14:textId="4A678C64" w:rsidR="00F7421E" w:rsidRPr="00CF338F" w:rsidRDefault="000628EA" w:rsidP="000628EA">
      <w:pPr>
        <w:rPr>
          <w:rFonts w:cstheme="minorHAnsi"/>
          <w:sz w:val="24"/>
          <w:szCs w:val="24"/>
        </w:rPr>
      </w:pPr>
      <w:r w:rsidRPr="00CF338F">
        <w:rPr>
          <w:rFonts w:cstheme="minorHAnsi"/>
          <w:sz w:val="24"/>
          <w:szCs w:val="24"/>
        </w:rPr>
        <w:t xml:space="preserve">The Amendment Regulations promote the right to education by </w:t>
      </w:r>
      <w:r w:rsidR="008D3DC2" w:rsidRPr="00CF338F">
        <w:rPr>
          <w:rFonts w:cstheme="minorHAnsi"/>
          <w:sz w:val="24"/>
          <w:szCs w:val="24"/>
        </w:rPr>
        <w:t>inserting a new mechanism for working out the CTC score for a school for 2026</w:t>
      </w:r>
      <w:r w:rsidR="00F7421E" w:rsidRPr="00CF338F">
        <w:rPr>
          <w:rFonts w:cstheme="minorHAnsi"/>
          <w:sz w:val="24"/>
          <w:szCs w:val="24"/>
        </w:rPr>
        <w:t>. This mechanism will provide greater funding certainty for non-government schools. This will support non-government schools to continue to financially plan and will ensure Australia can continue to have functioning and well-resourced educational institutions. This measure also supports the liberty of parents and legal guardians to choose non-government schools for their children by ensuring non</w:t>
      </w:r>
      <w:r w:rsidR="00F7421E" w:rsidRPr="00CF338F">
        <w:rPr>
          <w:rFonts w:cstheme="minorHAnsi"/>
          <w:sz w:val="24"/>
          <w:szCs w:val="24"/>
        </w:rPr>
        <w:noBreakHyphen/>
        <w:t>government schools receive targeted Commonwealth financial assistance according to a school community’s capacity to financially contribute to a school.</w:t>
      </w:r>
    </w:p>
    <w:p w14:paraId="1AC1FACB" w14:textId="77F6ED5B" w:rsidR="000628EA" w:rsidRPr="00CF338F" w:rsidRDefault="008D3DC2" w:rsidP="000628EA">
      <w:pPr>
        <w:rPr>
          <w:rFonts w:cstheme="minorHAnsi"/>
          <w:sz w:val="24"/>
          <w:szCs w:val="24"/>
        </w:rPr>
      </w:pPr>
      <w:r w:rsidRPr="00CF338F">
        <w:rPr>
          <w:rFonts w:cstheme="minorHAnsi"/>
          <w:sz w:val="24"/>
          <w:szCs w:val="24"/>
        </w:rPr>
        <w:t xml:space="preserve">The Amendment Regulations also promote the right to education by clarifying the definition of “foundation”. This measure will simplify </w:t>
      </w:r>
      <w:r w:rsidR="00A55EDF" w:rsidRPr="00CF338F">
        <w:rPr>
          <w:rFonts w:cstheme="minorHAnsi"/>
          <w:sz w:val="24"/>
          <w:szCs w:val="24"/>
        </w:rPr>
        <w:t xml:space="preserve">the process of interpreting the Principal Regulations for schools, thereby lessening the resource burden on schools in complying with the Principal Regulations. </w:t>
      </w:r>
    </w:p>
    <w:p w14:paraId="1EBEF4F8" w14:textId="03892C29" w:rsidR="000628EA" w:rsidRPr="00CF338F" w:rsidRDefault="000628EA" w:rsidP="000628EA">
      <w:pPr>
        <w:rPr>
          <w:rFonts w:cstheme="minorHAnsi"/>
          <w:sz w:val="24"/>
          <w:szCs w:val="24"/>
        </w:rPr>
      </w:pPr>
      <w:r w:rsidRPr="00CF338F">
        <w:rPr>
          <w:rFonts w:cstheme="minorHAnsi"/>
          <w:sz w:val="24"/>
          <w:szCs w:val="24"/>
        </w:rPr>
        <w:t>This measure will thereby have a beneficial impact on the right to education</w:t>
      </w:r>
      <w:r w:rsidR="00361A2B" w:rsidRPr="00CF338F">
        <w:rPr>
          <w:rFonts w:cstheme="minorHAnsi"/>
          <w:sz w:val="24"/>
          <w:szCs w:val="24"/>
        </w:rPr>
        <w:t xml:space="preserve"> by </w:t>
      </w:r>
      <w:r w:rsidRPr="00CF338F">
        <w:rPr>
          <w:rFonts w:cstheme="minorHAnsi"/>
          <w:sz w:val="24"/>
          <w:szCs w:val="24"/>
        </w:rPr>
        <w:t>help</w:t>
      </w:r>
      <w:r w:rsidR="00A55EDF" w:rsidRPr="00CF338F">
        <w:rPr>
          <w:rFonts w:cstheme="minorHAnsi"/>
          <w:sz w:val="24"/>
          <w:szCs w:val="24"/>
        </w:rPr>
        <w:t>ing</w:t>
      </w:r>
      <w:r w:rsidRPr="00CF338F">
        <w:rPr>
          <w:rFonts w:cstheme="minorHAnsi"/>
          <w:sz w:val="24"/>
          <w:szCs w:val="24"/>
        </w:rPr>
        <w:t xml:space="preserve"> to ensure Australia continues to have </w:t>
      </w:r>
      <w:r w:rsidR="00A55EDF" w:rsidRPr="00CF338F">
        <w:rPr>
          <w:rFonts w:cstheme="minorHAnsi"/>
          <w:sz w:val="24"/>
          <w:szCs w:val="24"/>
        </w:rPr>
        <w:t xml:space="preserve">efficient, </w:t>
      </w:r>
      <w:r w:rsidRPr="00CF338F">
        <w:rPr>
          <w:rFonts w:cstheme="minorHAnsi"/>
          <w:sz w:val="24"/>
          <w:szCs w:val="24"/>
        </w:rPr>
        <w:t xml:space="preserve">functioning and sufficiently supported educational institutions. </w:t>
      </w:r>
    </w:p>
    <w:p w14:paraId="1EC8A2EA" w14:textId="77777777" w:rsidR="000628EA" w:rsidRPr="00CF338F" w:rsidRDefault="000628EA" w:rsidP="00CD66BA">
      <w:pPr>
        <w:pStyle w:val="Heading1"/>
        <w:rPr>
          <w:rFonts w:asciiTheme="minorHAnsi" w:hAnsiTheme="minorHAnsi" w:cstheme="minorHAnsi"/>
        </w:rPr>
      </w:pPr>
      <w:r w:rsidRPr="00CF338F">
        <w:rPr>
          <w:rFonts w:asciiTheme="minorHAnsi" w:hAnsiTheme="minorHAnsi" w:cstheme="minorHAnsi"/>
        </w:rPr>
        <w:t>Conclusion</w:t>
      </w:r>
    </w:p>
    <w:p w14:paraId="121EB62A" w14:textId="77777777" w:rsidR="000628EA" w:rsidRPr="00CF338F" w:rsidRDefault="000628EA" w:rsidP="000628EA">
      <w:pPr>
        <w:rPr>
          <w:rFonts w:cstheme="minorHAnsi"/>
          <w:sz w:val="24"/>
          <w:szCs w:val="24"/>
        </w:rPr>
      </w:pPr>
      <w:r w:rsidRPr="00CF338F">
        <w:rPr>
          <w:rFonts w:cstheme="minorHAnsi"/>
          <w:sz w:val="24"/>
          <w:szCs w:val="24"/>
        </w:rPr>
        <w:t>The Amendment Regulations are compatible with human rights because they promote the right to education under the ICESCR and the UNCRC.</w:t>
      </w:r>
    </w:p>
    <w:p w14:paraId="3F3F23DA" w14:textId="77777777" w:rsidR="000628EA" w:rsidRPr="00CF338F" w:rsidRDefault="000628EA" w:rsidP="000628EA">
      <w:pPr>
        <w:rPr>
          <w:rFonts w:cstheme="minorHAnsi"/>
          <w:sz w:val="24"/>
          <w:szCs w:val="24"/>
        </w:rPr>
      </w:pPr>
    </w:p>
    <w:p w14:paraId="744F3DAE" w14:textId="77777777" w:rsidR="000628EA" w:rsidRPr="00CF338F" w:rsidRDefault="000628EA" w:rsidP="000628EA">
      <w:pPr>
        <w:jc w:val="center"/>
        <w:rPr>
          <w:rFonts w:cstheme="minorHAnsi"/>
          <w:b/>
          <w:sz w:val="24"/>
          <w:szCs w:val="24"/>
        </w:rPr>
      </w:pPr>
      <w:r w:rsidRPr="00CF338F">
        <w:rPr>
          <w:rFonts w:cstheme="minorHAnsi"/>
          <w:b/>
          <w:sz w:val="24"/>
          <w:szCs w:val="24"/>
        </w:rPr>
        <w:t>The Hon Jason Clare MP</w:t>
      </w:r>
    </w:p>
    <w:p w14:paraId="7A9601C9" w14:textId="1EFE3419" w:rsidR="00456B90" w:rsidRPr="00CF338F" w:rsidRDefault="000628EA" w:rsidP="000628EA">
      <w:pPr>
        <w:jc w:val="center"/>
        <w:rPr>
          <w:rFonts w:cstheme="minorHAnsi"/>
          <w:sz w:val="24"/>
          <w:szCs w:val="24"/>
        </w:rPr>
      </w:pPr>
      <w:r w:rsidRPr="00CF338F">
        <w:rPr>
          <w:rFonts w:cstheme="minorHAnsi"/>
          <w:b/>
          <w:sz w:val="24"/>
          <w:szCs w:val="24"/>
        </w:rPr>
        <w:t>Minister for Education</w:t>
      </w:r>
    </w:p>
    <w:p w14:paraId="595A1750" w14:textId="1B8B3889" w:rsidR="000628EA" w:rsidRPr="00CF338F" w:rsidRDefault="000628EA">
      <w:pPr>
        <w:spacing w:line="259" w:lineRule="auto"/>
        <w:rPr>
          <w:rFonts w:cstheme="minorHAnsi"/>
          <w:sz w:val="24"/>
          <w:szCs w:val="24"/>
        </w:rPr>
      </w:pPr>
      <w:r w:rsidRPr="00CF338F">
        <w:rPr>
          <w:rFonts w:cstheme="minorHAnsi"/>
          <w:sz w:val="24"/>
          <w:szCs w:val="24"/>
        </w:rPr>
        <w:br w:type="page"/>
      </w:r>
    </w:p>
    <w:p w14:paraId="2A70D165" w14:textId="5D2A63F3" w:rsidR="000628EA" w:rsidRDefault="002D307A" w:rsidP="005F69EF">
      <w:pPr>
        <w:pStyle w:val="Heading1"/>
        <w:rPr>
          <w:rFonts w:asciiTheme="minorHAnsi" w:hAnsiTheme="minorHAnsi" w:cstheme="minorHAnsi"/>
        </w:rPr>
      </w:pPr>
      <w:r w:rsidRPr="00BF36F2">
        <w:rPr>
          <w:rFonts w:asciiTheme="minorHAnsi" w:hAnsiTheme="minorHAnsi" w:cstheme="minorHAnsi"/>
          <w:i/>
          <w:iCs/>
        </w:rPr>
        <w:lastRenderedPageBreak/>
        <w:t>AUSTRALIAN EDUCATION AMENDMENT (CTC SCORES AND OTHER MEASURES) REGULATIONS 2025</w:t>
      </w:r>
    </w:p>
    <w:p w14:paraId="0FB1DE1B" w14:textId="614C475F" w:rsidR="002D307A" w:rsidRPr="006750B0" w:rsidRDefault="002D307A" w:rsidP="00BF36F2">
      <w:r w:rsidRPr="00BF36F2">
        <w:rPr>
          <w:b/>
          <w:bCs/>
          <w:sz w:val="24"/>
          <w:szCs w:val="24"/>
        </w:rPr>
        <w:t>EXPLANATION OF PROVISIONS</w:t>
      </w:r>
    </w:p>
    <w:p w14:paraId="451DD36D" w14:textId="3A1B5F46" w:rsidR="000628EA" w:rsidRPr="00BF36F2" w:rsidRDefault="000628EA" w:rsidP="005F69EF">
      <w:pPr>
        <w:pStyle w:val="Heading2"/>
        <w:rPr>
          <w:rFonts w:asciiTheme="minorHAnsi" w:hAnsiTheme="minorHAnsi" w:cstheme="minorHAnsi"/>
          <w:b/>
          <w:bCs/>
          <w:i w:val="0"/>
          <w:iCs/>
          <w:u w:val="single"/>
        </w:rPr>
      </w:pPr>
      <w:r w:rsidRPr="00BF36F2">
        <w:rPr>
          <w:rFonts w:asciiTheme="minorHAnsi" w:hAnsiTheme="minorHAnsi" w:cstheme="minorHAnsi"/>
          <w:b/>
          <w:bCs/>
          <w:i w:val="0"/>
          <w:iCs/>
          <w:u w:val="single"/>
        </w:rPr>
        <w:t xml:space="preserve">Section 1 – Name </w:t>
      </w:r>
    </w:p>
    <w:p w14:paraId="2444DE3B" w14:textId="28CF014D" w:rsidR="000628EA" w:rsidRPr="00CF338F" w:rsidRDefault="000628EA" w:rsidP="000628EA">
      <w:pPr>
        <w:rPr>
          <w:rFonts w:cstheme="minorHAnsi"/>
          <w:sz w:val="24"/>
          <w:szCs w:val="24"/>
        </w:rPr>
      </w:pPr>
      <w:r w:rsidRPr="00CF338F">
        <w:rPr>
          <w:rFonts w:cstheme="minorHAnsi"/>
          <w:sz w:val="24"/>
          <w:szCs w:val="24"/>
        </w:rPr>
        <w:t xml:space="preserve">This section provides that the title of this instrument is the </w:t>
      </w:r>
      <w:r w:rsidRPr="00CF338F">
        <w:rPr>
          <w:rFonts w:cstheme="minorHAnsi"/>
          <w:i/>
          <w:iCs/>
          <w:sz w:val="24"/>
          <w:szCs w:val="24"/>
        </w:rPr>
        <w:t>Australian Education Amendment (</w:t>
      </w:r>
      <w:r w:rsidR="00A55EDF" w:rsidRPr="00CF338F">
        <w:rPr>
          <w:rFonts w:cstheme="minorHAnsi"/>
          <w:i/>
          <w:iCs/>
          <w:sz w:val="24"/>
          <w:szCs w:val="24"/>
        </w:rPr>
        <w:t>CTC Scores</w:t>
      </w:r>
      <w:r w:rsidR="006447AC" w:rsidRPr="00CF338F">
        <w:rPr>
          <w:rFonts w:cstheme="minorHAnsi"/>
          <w:i/>
          <w:iCs/>
          <w:sz w:val="24"/>
          <w:szCs w:val="24"/>
        </w:rPr>
        <w:t xml:space="preserve"> and Other Measures</w:t>
      </w:r>
      <w:r w:rsidRPr="00CF338F">
        <w:rPr>
          <w:rFonts w:cstheme="minorHAnsi"/>
          <w:i/>
          <w:iCs/>
          <w:sz w:val="24"/>
          <w:szCs w:val="24"/>
        </w:rPr>
        <w:t>) Regulations 202</w:t>
      </w:r>
      <w:r w:rsidR="00A55EDF" w:rsidRPr="00CF338F">
        <w:rPr>
          <w:rFonts w:cstheme="minorHAnsi"/>
          <w:i/>
          <w:iCs/>
          <w:sz w:val="24"/>
          <w:szCs w:val="24"/>
        </w:rPr>
        <w:t>5</w:t>
      </w:r>
      <w:r w:rsidRPr="00CF338F">
        <w:rPr>
          <w:rFonts w:cstheme="minorHAnsi"/>
          <w:sz w:val="24"/>
          <w:szCs w:val="24"/>
        </w:rPr>
        <w:t xml:space="preserve"> (the Amendment Regulations).</w:t>
      </w:r>
    </w:p>
    <w:p w14:paraId="010E4AEA" w14:textId="77777777" w:rsidR="000628EA" w:rsidRPr="00BF36F2" w:rsidRDefault="000628EA" w:rsidP="005F69EF">
      <w:pPr>
        <w:pStyle w:val="Heading2"/>
        <w:rPr>
          <w:rFonts w:asciiTheme="minorHAnsi" w:hAnsiTheme="minorHAnsi" w:cstheme="minorHAnsi"/>
          <w:b/>
          <w:bCs/>
          <w:i w:val="0"/>
          <w:iCs/>
          <w:u w:val="single"/>
        </w:rPr>
      </w:pPr>
      <w:r w:rsidRPr="00BF36F2">
        <w:rPr>
          <w:rFonts w:asciiTheme="minorHAnsi" w:hAnsiTheme="minorHAnsi" w:cstheme="minorHAnsi"/>
          <w:b/>
          <w:bCs/>
          <w:i w:val="0"/>
          <w:iCs/>
          <w:u w:val="single"/>
        </w:rPr>
        <w:t xml:space="preserve">Section 2 – Commencement </w:t>
      </w:r>
    </w:p>
    <w:p w14:paraId="1C5C9F71" w14:textId="272496F6" w:rsidR="000628EA" w:rsidRPr="00CF338F" w:rsidRDefault="000628EA" w:rsidP="000628EA">
      <w:pPr>
        <w:rPr>
          <w:rFonts w:cstheme="minorHAnsi"/>
          <w:sz w:val="24"/>
          <w:szCs w:val="24"/>
        </w:rPr>
      </w:pPr>
      <w:r w:rsidRPr="00CF338F">
        <w:rPr>
          <w:rFonts w:cstheme="minorHAnsi"/>
          <w:sz w:val="24"/>
          <w:szCs w:val="24"/>
        </w:rPr>
        <w:t xml:space="preserve">This section provides that the Amendment Regulations commence on the day after </w:t>
      </w:r>
      <w:r w:rsidR="00D27272" w:rsidRPr="00CF338F">
        <w:rPr>
          <w:rFonts w:cstheme="minorHAnsi"/>
          <w:sz w:val="24"/>
          <w:szCs w:val="24"/>
        </w:rPr>
        <w:t>they are</w:t>
      </w:r>
      <w:r w:rsidRPr="00CF338F">
        <w:rPr>
          <w:rFonts w:cstheme="minorHAnsi"/>
          <w:sz w:val="24"/>
          <w:szCs w:val="24"/>
        </w:rPr>
        <w:t xml:space="preserve"> registered on the Federal Register of Legislation.</w:t>
      </w:r>
    </w:p>
    <w:p w14:paraId="285D80E1" w14:textId="77777777" w:rsidR="000628EA" w:rsidRPr="00BF36F2" w:rsidRDefault="000628EA" w:rsidP="005F69EF">
      <w:pPr>
        <w:pStyle w:val="Heading2"/>
        <w:rPr>
          <w:rFonts w:asciiTheme="minorHAnsi" w:hAnsiTheme="minorHAnsi" w:cstheme="minorHAnsi"/>
          <w:b/>
          <w:bCs/>
          <w:i w:val="0"/>
          <w:iCs/>
          <w:u w:val="single"/>
        </w:rPr>
      </w:pPr>
      <w:r w:rsidRPr="00BF36F2">
        <w:rPr>
          <w:rFonts w:asciiTheme="minorHAnsi" w:hAnsiTheme="minorHAnsi" w:cstheme="minorHAnsi"/>
          <w:b/>
          <w:bCs/>
          <w:i w:val="0"/>
          <w:iCs/>
          <w:u w:val="single"/>
        </w:rPr>
        <w:t xml:space="preserve">Section 3 – Authority </w:t>
      </w:r>
    </w:p>
    <w:p w14:paraId="2625FA04" w14:textId="41C0119E" w:rsidR="000628EA" w:rsidRPr="00CF338F" w:rsidRDefault="000628EA" w:rsidP="000628EA">
      <w:pPr>
        <w:rPr>
          <w:rFonts w:cstheme="minorHAnsi"/>
          <w:sz w:val="24"/>
          <w:szCs w:val="24"/>
        </w:rPr>
      </w:pPr>
      <w:r w:rsidRPr="00CF338F">
        <w:rPr>
          <w:rFonts w:cstheme="minorHAnsi"/>
          <w:sz w:val="24"/>
          <w:szCs w:val="24"/>
        </w:rPr>
        <w:t xml:space="preserve">This section provides that the Amendment Regulations </w:t>
      </w:r>
      <w:r w:rsidR="00D27272" w:rsidRPr="00CF338F">
        <w:rPr>
          <w:rFonts w:cstheme="minorHAnsi"/>
          <w:sz w:val="24"/>
          <w:szCs w:val="24"/>
        </w:rPr>
        <w:t xml:space="preserve">are </w:t>
      </w:r>
      <w:r w:rsidRPr="00CF338F">
        <w:rPr>
          <w:rFonts w:cstheme="minorHAnsi"/>
          <w:sz w:val="24"/>
          <w:szCs w:val="24"/>
        </w:rPr>
        <w:t xml:space="preserve">made under the </w:t>
      </w:r>
      <w:r w:rsidRPr="00CF338F">
        <w:rPr>
          <w:rFonts w:cstheme="minorHAnsi"/>
          <w:i/>
          <w:iCs/>
          <w:sz w:val="24"/>
          <w:szCs w:val="24"/>
        </w:rPr>
        <w:t>Australian Education Act 2013</w:t>
      </w:r>
      <w:r w:rsidRPr="00CF338F">
        <w:rPr>
          <w:rFonts w:cstheme="minorHAnsi"/>
          <w:sz w:val="24"/>
          <w:szCs w:val="24"/>
        </w:rPr>
        <w:t xml:space="preserve"> (the Act). </w:t>
      </w:r>
    </w:p>
    <w:p w14:paraId="19F5251D" w14:textId="77777777" w:rsidR="000628EA" w:rsidRPr="00BF36F2" w:rsidRDefault="000628EA" w:rsidP="005F69EF">
      <w:pPr>
        <w:pStyle w:val="Heading2"/>
        <w:rPr>
          <w:rFonts w:asciiTheme="minorHAnsi" w:hAnsiTheme="minorHAnsi" w:cstheme="minorHAnsi"/>
          <w:b/>
          <w:bCs/>
          <w:i w:val="0"/>
          <w:iCs/>
          <w:u w:val="single"/>
        </w:rPr>
      </w:pPr>
      <w:r w:rsidRPr="00BF36F2">
        <w:rPr>
          <w:rFonts w:asciiTheme="minorHAnsi" w:hAnsiTheme="minorHAnsi" w:cstheme="minorHAnsi"/>
          <w:b/>
          <w:bCs/>
          <w:i w:val="0"/>
          <w:iCs/>
          <w:u w:val="single"/>
        </w:rPr>
        <w:t>Section 4 – Schedules</w:t>
      </w:r>
    </w:p>
    <w:p w14:paraId="6C9D8776" w14:textId="656DA35F" w:rsidR="000628EA" w:rsidRPr="00CF338F" w:rsidRDefault="000628EA" w:rsidP="000628EA">
      <w:pPr>
        <w:rPr>
          <w:rFonts w:cstheme="minorHAnsi"/>
          <w:sz w:val="24"/>
          <w:szCs w:val="24"/>
        </w:rPr>
      </w:pPr>
      <w:r w:rsidRPr="00CF338F">
        <w:rPr>
          <w:rFonts w:cstheme="minorHAnsi"/>
          <w:sz w:val="24"/>
          <w:szCs w:val="24"/>
        </w:rPr>
        <w:t>This section provides that each instrument that is specified in a Schedule to the instrument is amended or repealed as set out in the applicable items in the Schedule concerned, and any other item in a Schedule to the instrument has effect according to its term</w:t>
      </w:r>
      <w:r w:rsidR="006447AC" w:rsidRPr="00CF338F">
        <w:rPr>
          <w:rFonts w:cstheme="minorHAnsi"/>
          <w:sz w:val="24"/>
          <w:szCs w:val="24"/>
        </w:rPr>
        <w:t>s</w:t>
      </w:r>
      <w:r w:rsidRPr="00CF338F">
        <w:rPr>
          <w:rFonts w:cstheme="minorHAnsi"/>
          <w:sz w:val="24"/>
          <w:szCs w:val="24"/>
        </w:rPr>
        <w:t>.</w:t>
      </w:r>
    </w:p>
    <w:p w14:paraId="18373E52" w14:textId="6B26EE1E" w:rsidR="00EF3448" w:rsidRPr="00CF338F" w:rsidRDefault="009F3606" w:rsidP="00EF3448">
      <w:pPr>
        <w:ind w:right="91"/>
        <w:rPr>
          <w:rFonts w:cstheme="minorHAnsi"/>
          <w:sz w:val="24"/>
          <w:szCs w:val="24"/>
        </w:rPr>
      </w:pPr>
      <w:r>
        <w:rPr>
          <w:rFonts w:cstheme="minorHAnsi"/>
          <w:sz w:val="24"/>
          <w:szCs w:val="24"/>
        </w:rPr>
        <w:t>O</w:t>
      </w:r>
      <w:r w:rsidR="00EF3448" w:rsidRPr="00CF338F">
        <w:rPr>
          <w:rFonts w:cstheme="minorHAnsi"/>
          <w:sz w:val="24"/>
          <w:szCs w:val="24"/>
        </w:rPr>
        <w:t xml:space="preserve">nly </w:t>
      </w:r>
      <w:r w:rsidRPr="00CF338F">
        <w:rPr>
          <w:rFonts w:cstheme="minorHAnsi"/>
          <w:sz w:val="24"/>
          <w:szCs w:val="24"/>
        </w:rPr>
        <w:t xml:space="preserve">the </w:t>
      </w:r>
      <w:r w:rsidRPr="00CF338F">
        <w:rPr>
          <w:rFonts w:cstheme="minorHAnsi"/>
          <w:i/>
          <w:iCs/>
          <w:sz w:val="24"/>
          <w:szCs w:val="24"/>
        </w:rPr>
        <w:t>Australian Education Regulations 2023</w:t>
      </w:r>
      <w:r w:rsidR="00EF3448" w:rsidRPr="00CF338F">
        <w:rPr>
          <w:rFonts w:cstheme="minorHAnsi"/>
          <w:sz w:val="24"/>
          <w:szCs w:val="24"/>
        </w:rPr>
        <w:t xml:space="preserve"> is specified in Schedule</w:t>
      </w:r>
      <w:r>
        <w:rPr>
          <w:rFonts w:cstheme="minorHAnsi"/>
          <w:sz w:val="24"/>
          <w:szCs w:val="24"/>
        </w:rPr>
        <w:t xml:space="preserve"> 1 to the instrument</w:t>
      </w:r>
      <w:r w:rsidR="00EF3448" w:rsidRPr="00CF338F">
        <w:rPr>
          <w:rFonts w:cstheme="minorHAnsi"/>
          <w:sz w:val="24"/>
          <w:szCs w:val="24"/>
        </w:rPr>
        <w:t>.</w:t>
      </w:r>
    </w:p>
    <w:p w14:paraId="7262ABB8" w14:textId="77777777" w:rsidR="000628EA" w:rsidRPr="00BF36F2" w:rsidRDefault="000628EA" w:rsidP="005F69EF">
      <w:pPr>
        <w:pStyle w:val="Heading2"/>
        <w:rPr>
          <w:rFonts w:asciiTheme="minorHAnsi" w:hAnsiTheme="minorHAnsi" w:cstheme="minorHAnsi"/>
          <w:b/>
          <w:bCs/>
          <w:i w:val="0"/>
          <w:iCs/>
          <w:u w:val="single"/>
        </w:rPr>
      </w:pPr>
      <w:r w:rsidRPr="00BF36F2">
        <w:rPr>
          <w:rFonts w:asciiTheme="minorHAnsi" w:hAnsiTheme="minorHAnsi" w:cstheme="minorHAnsi"/>
          <w:b/>
          <w:bCs/>
          <w:i w:val="0"/>
          <w:iCs/>
          <w:u w:val="single"/>
        </w:rPr>
        <w:t xml:space="preserve">Schedule 1 – Amendments </w:t>
      </w:r>
    </w:p>
    <w:p w14:paraId="37ED97F8" w14:textId="3442A4B0" w:rsidR="005B500D" w:rsidRPr="00CF338F" w:rsidRDefault="005B500D" w:rsidP="005B500D">
      <w:pPr>
        <w:pStyle w:val="Heading2"/>
        <w:rPr>
          <w:rFonts w:asciiTheme="minorHAnsi" w:hAnsiTheme="minorHAnsi" w:cstheme="minorHAnsi"/>
          <w:i w:val="0"/>
          <w:iCs/>
          <w:u w:val="single"/>
        </w:rPr>
      </w:pPr>
      <w:r w:rsidRPr="00CF338F">
        <w:rPr>
          <w:rFonts w:asciiTheme="minorHAnsi" w:hAnsiTheme="minorHAnsi" w:cstheme="minorHAnsi"/>
          <w:i w:val="0"/>
          <w:iCs/>
          <w:u w:val="single"/>
        </w:rPr>
        <w:t xml:space="preserve">Part 1 – CTC scores </w:t>
      </w:r>
    </w:p>
    <w:p w14:paraId="308F9D4C" w14:textId="315691A0" w:rsidR="000628EA" w:rsidRPr="00CF338F" w:rsidRDefault="000628EA" w:rsidP="000628EA">
      <w:pPr>
        <w:rPr>
          <w:rFonts w:cstheme="minorHAnsi"/>
          <w:sz w:val="24"/>
          <w:szCs w:val="24"/>
        </w:rPr>
      </w:pPr>
      <w:r w:rsidRPr="00CF338F">
        <w:rPr>
          <w:rFonts w:cstheme="minorHAnsi"/>
          <w:i/>
          <w:iCs/>
          <w:sz w:val="24"/>
          <w:szCs w:val="24"/>
        </w:rPr>
        <w:t>Australian Education Regulation</w:t>
      </w:r>
      <w:r w:rsidR="008A6DB9" w:rsidRPr="00CF338F">
        <w:rPr>
          <w:rFonts w:cstheme="minorHAnsi"/>
          <w:i/>
          <w:iCs/>
          <w:sz w:val="24"/>
          <w:szCs w:val="24"/>
        </w:rPr>
        <w:t>s</w:t>
      </w:r>
      <w:r w:rsidR="00F6608C" w:rsidRPr="00CF338F">
        <w:rPr>
          <w:rFonts w:cstheme="minorHAnsi"/>
          <w:i/>
          <w:iCs/>
          <w:sz w:val="24"/>
          <w:szCs w:val="24"/>
        </w:rPr>
        <w:t xml:space="preserve"> 2023</w:t>
      </w:r>
      <w:r w:rsidR="006447AC" w:rsidRPr="00CF338F">
        <w:rPr>
          <w:rFonts w:cstheme="minorHAnsi"/>
          <w:i/>
          <w:iCs/>
          <w:sz w:val="24"/>
          <w:szCs w:val="24"/>
        </w:rPr>
        <w:t xml:space="preserve"> </w:t>
      </w:r>
      <w:r w:rsidR="00A55EDF" w:rsidRPr="00CF338F">
        <w:rPr>
          <w:rFonts w:cstheme="minorHAnsi"/>
          <w:sz w:val="24"/>
          <w:szCs w:val="24"/>
        </w:rPr>
        <w:t>(the Principal Regulations)</w:t>
      </w:r>
    </w:p>
    <w:p w14:paraId="1E5D9022" w14:textId="77777777" w:rsidR="00A55EDF" w:rsidRPr="00CF338F" w:rsidRDefault="00A55EDF" w:rsidP="00A55EDF">
      <w:pPr>
        <w:pStyle w:val="Heading3"/>
        <w:rPr>
          <w:rFonts w:asciiTheme="minorHAnsi" w:hAnsiTheme="minorHAnsi" w:cstheme="minorHAnsi"/>
        </w:rPr>
      </w:pPr>
      <w:r w:rsidRPr="00CF338F">
        <w:rPr>
          <w:rFonts w:asciiTheme="minorHAnsi" w:hAnsiTheme="minorHAnsi" w:cstheme="minorHAnsi"/>
        </w:rPr>
        <w:t xml:space="preserve">Items [1] and [2] – Subsection 21(3) (heading and subsection 21(3)) </w:t>
      </w:r>
    </w:p>
    <w:p w14:paraId="066F39BA" w14:textId="0D95E672" w:rsidR="00A55EDF" w:rsidRPr="00CF338F" w:rsidRDefault="00A55EDF" w:rsidP="00A55EDF">
      <w:pPr>
        <w:pStyle w:val="Heading3"/>
        <w:rPr>
          <w:rFonts w:asciiTheme="minorHAnsi" w:hAnsiTheme="minorHAnsi" w:cstheme="minorHAnsi"/>
          <w:b w:val="0"/>
          <w:bCs w:val="0"/>
        </w:rPr>
      </w:pPr>
      <w:r w:rsidRPr="00CF338F">
        <w:rPr>
          <w:rFonts w:asciiTheme="minorHAnsi" w:hAnsiTheme="minorHAnsi" w:cstheme="minorHAnsi"/>
          <w:b w:val="0"/>
          <w:bCs w:val="0"/>
        </w:rPr>
        <w:t>Section 21 of the Principal Regulations provides, for the purposes of subsection 52(4) of the Act, the method for working out the number that the Minister</w:t>
      </w:r>
      <w:r w:rsidR="00B91C60" w:rsidRPr="00CF338F">
        <w:rPr>
          <w:rFonts w:asciiTheme="minorHAnsi" w:hAnsiTheme="minorHAnsi" w:cstheme="minorHAnsi"/>
          <w:b w:val="0"/>
          <w:bCs w:val="0"/>
        </w:rPr>
        <w:t xml:space="preserve"> for Education (the Minister)</w:t>
      </w:r>
      <w:r w:rsidRPr="00CF338F">
        <w:rPr>
          <w:rFonts w:asciiTheme="minorHAnsi" w:hAnsiTheme="minorHAnsi" w:cstheme="minorHAnsi"/>
          <w:b w:val="0"/>
          <w:bCs w:val="0"/>
        </w:rPr>
        <w:t xml:space="preserve"> must determine as the</w:t>
      </w:r>
      <w:r w:rsidR="00352104">
        <w:rPr>
          <w:rFonts w:asciiTheme="minorHAnsi" w:hAnsiTheme="minorHAnsi" w:cstheme="minorHAnsi"/>
          <w:b w:val="0"/>
          <w:bCs w:val="0"/>
        </w:rPr>
        <w:t xml:space="preserve"> capacity to contribute</w:t>
      </w:r>
      <w:r w:rsidRPr="00CF338F">
        <w:rPr>
          <w:rFonts w:asciiTheme="minorHAnsi" w:hAnsiTheme="minorHAnsi" w:cstheme="minorHAnsi"/>
          <w:b w:val="0"/>
          <w:bCs w:val="0"/>
        </w:rPr>
        <w:t xml:space="preserve"> </w:t>
      </w:r>
      <w:r w:rsidR="00352104">
        <w:rPr>
          <w:rFonts w:asciiTheme="minorHAnsi" w:hAnsiTheme="minorHAnsi" w:cstheme="minorHAnsi"/>
          <w:b w:val="0"/>
          <w:bCs w:val="0"/>
        </w:rPr>
        <w:t>(</w:t>
      </w:r>
      <w:r w:rsidRPr="00CF338F">
        <w:rPr>
          <w:rFonts w:asciiTheme="minorHAnsi" w:hAnsiTheme="minorHAnsi" w:cstheme="minorHAnsi"/>
          <w:b w:val="0"/>
          <w:bCs w:val="0"/>
        </w:rPr>
        <w:t>CTC</w:t>
      </w:r>
      <w:r w:rsidR="00352104">
        <w:rPr>
          <w:rFonts w:asciiTheme="minorHAnsi" w:hAnsiTheme="minorHAnsi" w:cstheme="minorHAnsi"/>
          <w:b w:val="0"/>
          <w:bCs w:val="0"/>
        </w:rPr>
        <w:t>)</w:t>
      </w:r>
      <w:r w:rsidRPr="00CF338F">
        <w:rPr>
          <w:rFonts w:asciiTheme="minorHAnsi" w:hAnsiTheme="minorHAnsi" w:cstheme="minorHAnsi"/>
          <w:b w:val="0"/>
          <w:bCs w:val="0"/>
        </w:rPr>
        <w:t xml:space="preserve"> score for a school for a year under subsection 52(1) of the Act (absent the exception</w:t>
      </w:r>
      <w:r w:rsidR="0048431F" w:rsidRPr="00CF338F">
        <w:rPr>
          <w:rFonts w:asciiTheme="minorHAnsi" w:hAnsiTheme="minorHAnsi" w:cstheme="minorHAnsi"/>
          <w:b w:val="0"/>
          <w:bCs w:val="0"/>
        </w:rPr>
        <w:t>s</w:t>
      </w:r>
      <w:r w:rsidRPr="00CF338F">
        <w:rPr>
          <w:rFonts w:asciiTheme="minorHAnsi" w:hAnsiTheme="minorHAnsi" w:cstheme="minorHAnsi"/>
          <w:b w:val="0"/>
          <w:bCs w:val="0"/>
        </w:rPr>
        <w:t xml:space="preserve"> set out in subsection</w:t>
      </w:r>
      <w:r w:rsidR="0048431F" w:rsidRPr="00CF338F">
        <w:rPr>
          <w:rFonts w:asciiTheme="minorHAnsi" w:hAnsiTheme="minorHAnsi" w:cstheme="minorHAnsi"/>
          <w:b w:val="0"/>
          <w:bCs w:val="0"/>
        </w:rPr>
        <w:t>s</w:t>
      </w:r>
      <w:r w:rsidRPr="00CF338F">
        <w:rPr>
          <w:rFonts w:asciiTheme="minorHAnsi" w:hAnsiTheme="minorHAnsi" w:cstheme="minorHAnsi"/>
          <w:b w:val="0"/>
          <w:bCs w:val="0"/>
        </w:rPr>
        <w:t xml:space="preserve"> 52(4)</w:t>
      </w:r>
      <w:r w:rsidR="0048431F" w:rsidRPr="00CF338F">
        <w:rPr>
          <w:rFonts w:asciiTheme="minorHAnsi" w:hAnsiTheme="minorHAnsi" w:cstheme="minorHAnsi"/>
          <w:b w:val="0"/>
          <w:bCs w:val="0"/>
        </w:rPr>
        <w:t xml:space="preserve"> and (6)</w:t>
      </w:r>
      <w:r w:rsidRPr="00CF338F">
        <w:rPr>
          <w:rFonts w:asciiTheme="minorHAnsi" w:hAnsiTheme="minorHAnsi" w:cstheme="minorHAnsi"/>
          <w:b w:val="0"/>
          <w:bCs w:val="0"/>
        </w:rPr>
        <w:t xml:space="preserve"> of the Act). The heading to subsection 21(3) of the Principal Regulations is “</w:t>
      </w:r>
      <w:r w:rsidRPr="00CF338F">
        <w:rPr>
          <w:rFonts w:asciiTheme="minorHAnsi" w:hAnsiTheme="minorHAnsi" w:cstheme="minorHAnsi"/>
          <w:b w:val="0"/>
          <w:bCs w:val="0"/>
          <w:i/>
          <w:iCs/>
        </w:rPr>
        <w:t>CTC score for 2022 or later years</w:t>
      </w:r>
      <w:r w:rsidRPr="00CF338F">
        <w:rPr>
          <w:rFonts w:asciiTheme="minorHAnsi" w:hAnsiTheme="minorHAnsi" w:cstheme="minorHAnsi"/>
          <w:b w:val="0"/>
          <w:bCs w:val="0"/>
        </w:rPr>
        <w:t xml:space="preserve">”. Subsection 21(3) provides that the number that the Minister must determine as the CTC score for a school for a year is either the average DMI score for the school for the year (worked out in accordance with section 22 of the Principal Regulations), or, </w:t>
      </w:r>
      <w:r w:rsidR="0048431F" w:rsidRPr="00CF338F">
        <w:rPr>
          <w:rFonts w:asciiTheme="minorHAnsi" w:hAnsiTheme="minorHAnsi" w:cstheme="minorHAnsi"/>
          <w:b w:val="0"/>
          <w:bCs w:val="0"/>
        </w:rPr>
        <w:t>if the Minister is satisfied of the</w:t>
      </w:r>
      <w:r w:rsidRPr="00CF338F">
        <w:rPr>
          <w:rFonts w:asciiTheme="minorHAnsi" w:hAnsiTheme="minorHAnsi" w:cstheme="minorHAnsi"/>
          <w:b w:val="0"/>
          <w:bCs w:val="0"/>
        </w:rPr>
        <w:t xml:space="preserve"> circumstances described in subparagraphs 21(3)(b)(</w:t>
      </w:r>
      <w:proofErr w:type="spellStart"/>
      <w:r w:rsidRPr="00CF338F">
        <w:rPr>
          <w:rFonts w:asciiTheme="minorHAnsi" w:hAnsiTheme="minorHAnsi" w:cstheme="minorHAnsi"/>
          <w:b w:val="0"/>
          <w:bCs w:val="0"/>
        </w:rPr>
        <w:t>i</w:t>
      </w:r>
      <w:proofErr w:type="spellEnd"/>
      <w:r w:rsidRPr="00CF338F">
        <w:rPr>
          <w:rFonts w:asciiTheme="minorHAnsi" w:hAnsiTheme="minorHAnsi" w:cstheme="minorHAnsi"/>
          <w:b w:val="0"/>
          <w:bCs w:val="0"/>
        </w:rPr>
        <w:t>) and (ii), the refined area based score for the school for the year (worked out in accordance with section 23 of the Principal Regulations).</w:t>
      </w:r>
    </w:p>
    <w:p w14:paraId="74065215" w14:textId="69465A27" w:rsidR="00A55EDF" w:rsidRPr="00CF338F" w:rsidRDefault="00A55EDF" w:rsidP="00A55EDF">
      <w:pPr>
        <w:pStyle w:val="Heading3"/>
        <w:rPr>
          <w:rFonts w:asciiTheme="minorHAnsi" w:hAnsiTheme="minorHAnsi" w:cstheme="minorHAnsi"/>
          <w:b w:val="0"/>
          <w:bCs w:val="0"/>
        </w:rPr>
      </w:pPr>
      <w:r w:rsidRPr="00CF338F">
        <w:rPr>
          <w:rFonts w:asciiTheme="minorHAnsi" w:hAnsiTheme="minorHAnsi" w:cstheme="minorHAnsi"/>
          <w:b w:val="0"/>
          <w:bCs w:val="0"/>
        </w:rPr>
        <w:t>Item 1 of the Amendment Regulations inserts “</w:t>
      </w:r>
      <w:r w:rsidRPr="00CF338F">
        <w:rPr>
          <w:rFonts w:asciiTheme="minorHAnsi" w:hAnsiTheme="minorHAnsi" w:cstheme="minorHAnsi"/>
          <w:b w:val="0"/>
          <w:bCs w:val="0"/>
          <w:i/>
          <w:iCs/>
        </w:rPr>
        <w:t>(other than 2026)</w:t>
      </w:r>
      <w:r w:rsidRPr="00CF338F">
        <w:rPr>
          <w:rFonts w:asciiTheme="minorHAnsi" w:hAnsiTheme="minorHAnsi" w:cstheme="minorHAnsi"/>
          <w:b w:val="0"/>
          <w:bCs w:val="0"/>
        </w:rPr>
        <w:t xml:space="preserve">” at the end of the heading to subsection 21(3) of the Principal Regulations. Item 2 of the Amendment Regulations </w:t>
      </w:r>
      <w:r w:rsidRPr="00CF338F">
        <w:rPr>
          <w:rFonts w:asciiTheme="minorHAnsi" w:hAnsiTheme="minorHAnsi" w:cstheme="minorHAnsi"/>
          <w:b w:val="0"/>
          <w:bCs w:val="0"/>
        </w:rPr>
        <w:lastRenderedPageBreak/>
        <w:t>amends subsection 21(3) of the Principal Regulations by omitting “</w:t>
      </w:r>
      <w:r w:rsidR="001F4090" w:rsidRPr="00CF338F">
        <w:rPr>
          <w:rFonts w:asciiTheme="minorHAnsi" w:hAnsiTheme="minorHAnsi" w:cstheme="minorHAnsi"/>
          <w:b w:val="0"/>
          <w:bCs w:val="0"/>
        </w:rPr>
        <w:t>I</w:t>
      </w:r>
      <w:r w:rsidRPr="00CF338F">
        <w:rPr>
          <w:rFonts w:asciiTheme="minorHAnsi" w:hAnsiTheme="minorHAnsi" w:cstheme="minorHAnsi"/>
          <w:b w:val="0"/>
          <w:bCs w:val="0"/>
        </w:rPr>
        <w:t>n working out” and substituting “</w:t>
      </w:r>
      <w:r w:rsidR="001F4090" w:rsidRPr="00CF338F">
        <w:rPr>
          <w:rFonts w:asciiTheme="minorHAnsi" w:hAnsiTheme="minorHAnsi" w:cstheme="minorHAnsi"/>
          <w:b w:val="0"/>
          <w:bCs w:val="0"/>
        </w:rPr>
        <w:t>S</w:t>
      </w:r>
      <w:r w:rsidRPr="00CF338F">
        <w:rPr>
          <w:rFonts w:asciiTheme="minorHAnsi" w:hAnsiTheme="minorHAnsi" w:cstheme="minorHAnsi"/>
          <w:b w:val="0"/>
          <w:bCs w:val="0"/>
        </w:rPr>
        <w:t xml:space="preserve">ubject to subsection (4), in working out”. The purpose of these items is to exclude the usual mechanism for working out the CTC score for a school for 2026. </w:t>
      </w:r>
    </w:p>
    <w:p w14:paraId="3187F4B4" w14:textId="77777777" w:rsidR="00A55EDF" w:rsidRPr="002F2F58" w:rsidRDefault="00A55EDF" w:rsidP="00A55EDF">
      <w:pPr>
        <w:pStyle w:val="Heading3"/>
        <w:rPr>
          <w:rFonts w:asciiTheme="minorHAnsi" w:hAnsiTheme="minorHAnsi" w:cstheme="minorHAnsi"/>
        </w:rPr>
      </w:pPr>
      <w:r w:rsidRPr="002F2F58">
        <w:rPr>
          <w:rFonts w:asciiTheme="minorHAnsi" w:hAnsiTheme="minorHAnsi" w:cstheme="minorHAnsi"/>
        </w:rPr>
        <w:t>Item [3] – after subsection 21(3) (before the note)</w:t>
      </w:r>
    </w:p>
    <w:p w14:paraId="47C367A5" w14:textId="394A96B9" w:rsidR="00A55EDF" w:rsidRPr="002F2F58" w:rsidRDefault="00A55EDF" w:rsidP="00A55EDF">
      <w:pPr>
        <w:pStyle w:val="Heading3"/>
        <w:rPr>
          <w:rFonts w:asciiTheme="minorHAnsi" w:hAnsiTheme="minorHAnsi" w:cstheme="minorHAnsi"/>
          <w:b w:val="0"/>
          <w:bCs w:val="0"/>
        </w:rPr>
      </w:pPr>
      <w:r w:rsidRPr="002F2F58">
        <w:rPr>
          <w:rFonts w:asciiTheme="minorHAnsi" w:hAnsiTheme="minorHAnsi" w:cstheme="minorHAnsi"/>
          <w:b w:val="0"/>
          <w:bCs w:val="0"/>
        </w:rPr>
        <w:t xml:space="preserve">Item 3 of the Amendment Regulations inserts a new subsection 21(4) after subsection 21(3) of the Principal Regulations, and before the note. New subsection 21(4) provides that the number that is to be determined as the CTC score for a school for 2026 is either: </w:t>
      </w:r>
    </w:p>
    <w:p w14:paraId="2E6BFF02" w14:textId="77777777" w:rsidR="00A55EDF" w:rsidRPr="002F2F58" w:rsidRDefault="00A55EDF" w:rsidP="00A55EDF">
      <w:pPr>
        <w:pStyle w:val="Heading3"/>
        <w:ind w:left="720"/>
        <w:rPr>
          <w:rFonts w:asciiTheme="minorHAnsi" w:hAnsiTheme="minorHAnsi" w:cstheme="minorHAnsi"/>
          <w:b w:val="0"/>
          <w:bCs w:val="0"/>
        </w:rPr>
      </w:pPr>
      <w:r w:rsidRPr="002F2F58">
        <w:rPr>
          <w:rFonts w:asciiTheme="minorHAnsi" w:hAnsiTheme="minorHAnsi" w:cstheme="minorHAnsi"/>
          <w:b w:val="0"/>
          <w:bCs w:val="0"/>
        </w:rPr>
        <w:t>(a) if the Minister has determined a number that is the CTC score for the school for 2025—that number; or</w:t>
      </w:r>
    </w:p>
    <w:p w14:paraId="0022AFF2" w14:textId="77777777" w:rsidR="00A55EDF" w:rsidRPr="002F2F58" w:rsidRDefault="00A55EDF" w:rsidP="00A55EDF">
      <w:pPr>
        <w:pStyle w:val="Heading3"/>
        <w:ind w:left="720"/>
        <w:rPr>
          <w:rFonts w:asciiTheme="minorHAnsi" w:hAnsiTheme="minorHAnsi" w:cstheme="minorHAnsi"/>
          <w:b w:val="0"/>
          <w:bCs w:val="0"/>
        </w:rPr>
      </w:pPr>
      <w:r w:rsidRPr="002F2F58">
        <w:rPr>
          <w:rFonts w:asciiTheme="minorHAnsi" w:hAnsiTheme="minorHAnsi" w:cstheme="minorHAnsi"/>
          <w:b w:val="0"/>
          <w:bCs w:val="0"/>
        </w:rPr>
        <w:t xml:space="preserve">(b) if the Minister has not determined a number that is the CTC score for the school for 2025, the refined </w:t>
      </w:r>
      <w:proofErr w:type="gramStart"/>
      <w:r w:rsidRPr="002F2F58">
        <w:rPr>
          <w:rFonts w:asciiTheme="minorHAnsi" w:hAnsiTheme="minorHAnsi" w:cstheme="minorHAnsi"/>
          <w:b w:val="0"/>
          <w:bCs w:val="0"/>
        </w:rPr>
        <w:t>area based</w:t>
      </w:r>
      <w:proofErr w:type="gramEnd"/>
      <w:r w:rsidRPr="002F2F58">
        <w:rPr>
          <w:rFonts w:asciiTheme="minorHAnsi" w:hAnsiTheme="minorHAnsi" w:cstheme="minorHAnsi"/>
          <w:b w:val="0"/>
          <w:bCs w:val="0"/>
        </w:rPr>
        <w:t xml:space="preserve"> score for the school for 2026 worked out in accordance with subsections 23(2), (3), (5) and (6).</w:t>
      </w:r>
    </w:p>
    <w:p w14:paraId="4DC47D94" w14:textId="18291407" w:rsidR="00A55EDF" w:rsidRPr="00941F5B" w:rsidRDefault="00A55EDF" w:rsidP="00A55EDF">
      <w:pPr>
        <w:pStyle w:val="Heading3"/>
        <w:rPr>
          <w:rFonts w:asciiTheme="minorHAnsi" w:hAnsiTheme="minorHAnsi" w:cstheme="minorHAnsi"/>
          <w:b w:val="0"/>
          <w:bCs w:val="0"/>
        </w:rPr>
      </w:pPr>
      <w:r w:rsidRPr="00941F5B">
        <w:rPr>
          <w:rFonts w:asciiTheme="minorHAnsi" w:hAnsiTheme="minorHAnsi" w:cstheme="minorHAnsi"/>
          <w:b w:val="0"/>
          <w:bCs w:val="0"/>
        </w:rPr>
        <w:t xml:space="preserve">The purpose of this item is to give effect to the Australian Government’s commitment at the 2025 </w:t>
      </w:r>
      <w:r w:rsidR="002F2F58" w:rsidRPr="00941F5B">
        <w:rPr>
          <w:rFonts w:asciiTheme="minorHAnsi" w:hAnsiTheme="minorHAnsi" w:cstheme="minorHAnsi"/>
          <w:b w:val="0"/>
          <w:bCs w:val="0"/>
        </w:rPr>
        <w:t>F</w:t>
      </w:r>
      <w:r w:rsidRPr="00941F5B">
        <w:rPr>
          <w:rFonts w:asciiTheme="minorHAnsi" w:hAnsiTheme="minorHAnsi" w:cstheme="minorHAnsi"/>
          <w:b w:val="0"/>
          <w:bCs w:val="0"/>
        </w:rPr>
        <w:t xml:space="preserve">ederal </w:t>
      </w:r>
      <w:r w:rsidR="002F2F58" w:rsidRPr="00941F5B">
        <w:rPr>
          <w:rFonts w:asciiTheme="minorHAnsi" w:hAnsiTheme="minorHAnsi" w:cstheme="minorHAnsi"/>
          <w:b w:val="0"/>
          <w:bCs w:val="0"/>
        </w:rPr>
        <w:t>E</w:t>
      </w:r>
      <w:r w:rsidRPr="00941F5B">
        <w:rPr>
          <w:rFonts w:asciiTheme="minorHAnsi" w:hAnsiTheme="minorHAnsi" w:cstheme="minorHAnsi"/>
          <w:b w:val="0"/>
          <w:bCs w:val="0"/>
        </w:rPr>
        <w:t xml:space="preserve">lection that a school would have the same CTC score for </w:t>
      </w:r>
      <w:r w:rsidR="0048431F" w:rsidRPr="00941F5B">
        <w:rPr>
          <w:rFonts w:asciiTheme="minorHAnsi" w:hAnsiTheme="minorHAnsi" w:cstheme="minorHAnsi"/>
          <w:b w:val="0"/>
          <w:bCs w:val="0"/>
        </w:rPr>
        <w:t xml:space="preserve">2025 and </w:t>
      </w:r>
      <w:r w:rsidRPr="00941F5B">
        <w:rPr>
          <w:rFonts w:asciiTheme="minorHAnsi" w:hAnsiTheme="minorHAnsi" w:cstheme="minorHAnsi"/>
          <w:b w:val="0"/>
          <w:bCs w:val="0"/>
        </w:rPr>
        <w:t xml:space="preserve">2026. This election commitment was made in response to concerns from the non-government school sector about their ability to factor funding changes </w:t>
      </w:r>
      <w:r w:rsidR="00871196" w:rsidRPr="00941F5B">
        <w:rPr>
          <w:rFonts w:asciiTheme="minorHAnsi" w:hAnsiTheme="minorHAnsi" w:cstheme="minorHAnsi"/>
          <w:b w:val="0"/>
          <w:bCs w:val="0"/>
        </w:rPr>
        <w:t>related to</w:t>
      </w:r>
      <w:r w:rsidRPr="00941F5B">
        <w:rPr>
          <w:rFonts w:asciiTheme="minorHAnsi" w:hAnsiTheme="minorHAnsi" w:cstheme="minorHAnsi"/>
          <w:b w:val="0"/>
          <w:bCs w:val="0"/>
        </w:rPr>
        <w:t xml:space="preserve"> CTC score</w:t>
      </w:r>
      <w:r w:rsidR="00871196" w:rsidRPr="00941F5B">
        <w:rPr>
          <w:rFonts w:asciiTheme="minorHAnsi" w:hAnsiTheme="minorHAnsi" w:cstheme="minorHAnsi"/>
          <w:b w:val="0"/>
          <w:bCs w:val="0"/>
        </w:rPr>
        <w:t xml:space="preserve"> determinations</w:t>
      </w:r>
      <w:r w:rsidRPr="00941F5B">
        <w:rPr>
          <w:rFonts w:asciiTheme="minorHAnsi" w:hAnsiTheme="minorHAnsi" w:cstheme="minorHAnsi"/>
          <w:b w:val="0"/>
          <w:bCs w:val="0"/>
        </w:rPr>
        <w:t xml:space="preserve"> into their operational budgets</w:t>
      </w:r>
      <w:r w:rsidR="001F4090" w:rsidRPr="00941F5B">
        <w:rPr>
          <w:rFonts w:asciiTheme="minorHAnsi" w:hAnsiTheme="minorHAnsi" w:cstheme="minorHAnsi"/>
          <w:b w:val="0"/>
          <w:bCs w:val="0"/>
        </w:rPr>
        <w:t>, p</w:t>
      </w:r>
      <w:r w:rsidR="00871196" w:rsidRPr="00941F5B">
        <w:rPr>
          <w:rFonts w:asciiTheme="minorHAnsi" w:hAnsiTheme="minorHAnsi" w:cstheme="minorHAnsi"/>
          <w:b w:val="0"/>
          <w:bCs w:val="0"/>
        </w:rPr>
        <w:t>articularly</w:t>
      </w:r>
      <w:r w:rsidRPr="00941F5B">
        <w:rPr>
          <w:rFonts w:asciiTheme="minorHAnsi" w:hAnsiTheme="minorHAnsi" w:cstheme="minorHAnsi"/>
          <w:b w:val="0"/>
          <w:bCs w:val="0"/>
        </w:rPr>
        <w:t xml:space="preserve"> as CTC scores </w:t>
      </w:r>
      <w:r w:rsidR="00871196" w:rsidRPr="00941F5B">
        <w:rPr>
          <w:rFonts w:asciiTheme="minorHAnsi" w:hAnsiTheme="minorHAnsi" w:cstheme="minorHAnsi"/>
          <w:b w:val="0"/>
          <w:bCs w:val="0"/>
        </w:rPr>
        <w:t>are determined</w:t>
      </w:r>
      <w:r w:rsidRPr="00941F5B">
        <w:rPr>
          <w:rFonts w:asciiTheme="minorHAnsi" w:hAnsiTheme="minorHAnsi" w:cstheme="minorHAnsi"/>
          <w:b w:val="0"/>
          <w:bCs w:val="0"/>
        </w:rPr>
        <w:t xml:space="preserve"> in November of the previous year. This temporary measure is intended to </w:t>
      </w:r>
      <w:r w:rsidR="00871196" w:rsidRPr="00941F5B">
        <w:rPr>
          <w:rFonts w:asciiTheme="minorHAnsi" w:hAnsiTheme="minorHAnsi" w:cstheme="minorHAnsi"/>
          <w:b w:val="0"/>
          <w:bCs w:val="0"/>
        </w:rPr>
        <w:t xml:space="preserve">enhance </w:t>
      </w:r>
      <w:r w:rsidRPr="00941F5B">
        <w:rPr>
          <w:rFonts w:asciiTheme="minorHAnsi" w:hAnsiTheme="minorHAnsi" w:cstheme="minorHAnsi"/>
          <w:b w:val="0"/>
          <w:bCs w:val="0"/>
        </w:rPr>
        <w:t xml:space="preserve">funding certainty for non-government schools for 2026 while the Commonwealth improves its processes to allow the CTC scores for schools for a year to be determined and published earlier than November of the previous year. </w:t>
      </w:r>
    </w:p>
    <w:p w14:paraId="0612661F" w14:textId="0ADA7A31" w:rsidR="00A55EDF" w:rsidRPr="00CF338F" w:rsidRDefault="00A55EDF" w:rsidP="00A55EDF">
      <w:pPr>
        <w:pStyle w:val="Heading3"/>
        <w:rPr>
          <w:rFonts w:asciiTheme="minorHAnsi" w:hAnsiTheme="minorHAnsi" w:cstheme="minorHAnsi"/>
          <w:b w:val="0"/>
          <w:bCs w:val="0"/>
        </w:rPr>
      </w:pPr>
      <w:r w:rsidRPr="007447AE">
        <w:rPr>
          <w:rFonts w:asciiTheme="minorHAnsi" w:hAnsiTheme="minorHAnsi" w:cstheme="minorHAnsi"/>
          <w:b w:val="0"/>
          <w:bCs w:val="0"/>
        </w:rPr>
        <w:t xml:space="preserve">In certain circumstances, a school will need a CTC score for 2026 when they did not have a CTC score for 2025. This includes where the school is a new school in 2026 and where the school was a CTC score exempt school (i.e. a school that is listed in subsection 54(1) of the Act) for 2025 but is not a CTC score exempt school for 2026. Item 3 of the Amendment Regulations provides that such a school’s CTC score for 2026 </w:t>
      </w:r>
      <w:r w:rsidR="0036590F" w:rsidRPr="007447AE">
        <w:rPr>
          <w:rFonts w:asciiTheme="minorHAnsi" w:hAnsiTheme="minorHAnsi" w:cstheme="minorHAnsi"/>
          <w:b w:val="0"/>
          <w:bCs w:val="0"/>
        </w:rPr>
        <w:t xml:space="preserve">is </w:t>
      </w:r>
      <w:r w:rsidRPr="007447AE">
        <w:rPr>
          <w:rFonts w:asciiTheme="minorHAnsi" w:hAnsiTheme="minorHAnsi" w:cstheme="minorHAnsi"/>
          <w:b w:val="0"/>
          <w:bCs w:val="0"/>
        </w:rPr>
        <w:t>to be calculated by reference to the school’s refined area based score for 2026, rather that the school’s average DMI score for 2026, because it will generally not be reasonably practicable to calculate an average DMI score for a school for 2026 where it did not have a CTC score for 2025.</w:t>
      </w:r>
      <w:r w:rsidRPr="00CF338F">
        <w:rPr>
          <w:rFonts w:asciiTheme="minorHAnsi" w:hAnsiTheme="minorHAnsi" w:cstheme="minorHAnsi"/>
          <w:b w:val="0"/>
          <w:bCs w:val="0"/>
        </w:rPr>
        <w:t xml:space="preserve"> </w:t>
      </w:r>
    </w:p>
    <w:p w14:paraId="0AE45C7A" w14:textId="77777777" w:rsidR="00A55EDF" w:rsidRPr="00941F5B" w:rsidRDefault="00A55EDF" w:rsidP="00A55EDF">
      <w:pPr>
        <w:pStyle w:val="Heading3"/>
        <w:rPr>
          <w:rFonts w:asciiTheme="minorHAnsi" w:hAnsiTheme="minorHAnsi" w:cstheme="minorHAnsi"/>
        </w:rPr>
      </w:pPr>
      <w:r w:rsidRPr="00941F5B">
        <w:rPr>
          <w:rFonts w:asciiTheme="minorHAnsi" w:hAnsiTheme="minorHAnsi" w:cstheme="minorHAnsi"/>
        </w:rPr>
        <w:t>Item [4] – at the end of subsection 22(1)</w:t>
      </w:r>
    </w:p>
    <w:p w14:paraId="75BC640C" w14:textId="32849BE0" w:rsidR="00A55EDF" w:rsidRDefault="00A55EDF" w:rsidP="00A55EDF">
      <w:pPr>
        <w:pStyle w:val="Heading3"/>
        <w:rPr>
          <w:rFonts w:asciiTheme="minorHAnsi" w:hAnsiTheme="minorHAnsi" w:cstheme="minorHAnsi"/>
          <w:b w:val="0"/>
          <w:bCs w:val="0"/>
        </w:rPr>
      </w:pPr>
      <w:r w:rsidRPr="00941F5B">
        <w:rPr>
          <w:rFonts w:asciiTheme="minorHAnsi" w:hAnsiTheme="minorHAnsi" w:cstheme="minorHAnsi"/>
          <w:b w:val="0"/>
          <w:bCs w:val="0"/>
        </w:rPr>
        <w:t xml:space="preserve">Item 4 of the Amendment Regulations inserts a note to subsection 22(1) of the Principal Regulations that provides, for the avoidance of doubt, that a school’s DMI score for 2026 is worked out in accordance with the usual method for working out a school’s DMI score for a year under subsection 22(4) of the Principal Regulations. </w:t>
      </w:r>
      <w:r w:rsidR="007447AE" w:rsidRPr="00941F5B">
        <w:rPr>
          <w:rFonts w:asciiTheme="minorHAnsi" w:hAnsiTheme="minorHAnsi" w:cstheme="minorHAnsi"/>
          <w:b w:val="0"/>
          <w:bCs w:val="0"/>
        </w:rPr>
        <w:t>T</w:t>
      </w:r>
      <w:r w:rsidRPr="00941F5B">
        <w:rPr>
          <w:rFonts w:asciiTheme="minorHAnsi" w:hAnsiTheme="minorHAnsi" w:cstheme="minorHAnsi"/>
          <w:b w:val="0"/>
          <w:bCs w:val="0"/>
        </w:rPr>
        <w:t xml:space="preserve">he DMI score for a school for 2026 </w:t>
      </w:r>
      <w:r w:rsidR="0007208D" w:rsidRPr="00941F5B">
        <w:rPr>
          <w:rFonts w:asciiTheme="minorHAnsi" w:hAnsiTheme="minorHAnsi" w:cstheme="minorHAnsi"/>
          <w:b w:val="0"/>
          <w:bCs w:val="0"/>
        </w:rPr>
        <w:t>is</w:t>
      </w:r>
      <w:r w:rsidRPr="00941F5B">
        <w:rPr>
          <w:rFonts w:asciiTheme="minorHAnsi" w:hAnsiTheme="minorHAnsi" w:cstheme="minorHAnsi"/>
          <w:b w:val="0"/>
          <w:bCs w:val="0"/>
        </w:rPr>
        <w:t xml:space="preserve"> still relevant to working out the school’s average DMI scores, and therefore its CTC scores, for 2027, 2028 and 2029. The purpose of this amendment is to put beyond doubt that the Amendment Regulations do not affect the calculation of a school’s DMI score for 2026</w:t>
      </w:r>
      <w:r w:rsidR="00F84FE0" w:rsidRPr="00941F5B">
        <w:rPr>
          <w:rFonts w:asciiTheme="minorHAnsi" w:hAnsiTheme="minorHAnsi" w:cstheme="minorHAnsi"/>
          <w:b w:val="0"/>
          <w:bCs w:val="0"/>
        </w:rPr>
        <w:t xml:space="preserve"> for the purposes of calculating CTC scores for 2027, 2028 and 2029</w:t>
      </w:r>
      <w:r w:rsidRPr="00941F5B">
        <w:rPr>
          <w:rFonts w:asciiTheme="minorHAnsi" w:hAnsiTheme="minorHAnsi" w:cstheme="minorHAnsi"/>
          <w:b w:val="0"/>
          <w:bCs w:val="0"/>
        </w:rPr>
        <w:t>.</w:t>
      </w:r>
      <w:r w:rsidRPr="00CF338F">
        <w:rPr>
          <w:rFonts w:asciiTheme="minorHAnsi" w:hAnsiTheme="minorHAnsi" w:cstheme="minorHAnsi"/>
          <w:b w:val="0"/>
          <w:bCs w:val="0"/>
        </w:rPr>
        <w:t xml:space="preserve"> </w:t>
      </w:r>
    </w:p>
    <w:p w14:paraId="514A0DCB" w14:textId="77777777" w:rsidR="007F1A9D" w:rsidRPr="007F1A9D" w:rsidRDefault="007F1A9D" w:rsidP="007F1A9D"/>
    <w:p w14:paraId="5757153F" w14:textId="77777777" w:rsidR="00A55EDF" w:rsidRPr="00CF338F" w:rsidRDefault="00A55EDF" w:rsidP="00A55EDF">
      <w:pPr>
        <w:pStyle w:val="Heading3"/>
        <w:rPr>
          <w:rFonts w:asciiTheme="minorHAnsi" w:hAnsiTheme="minorHAnsi" w:cstheme="minorHAnsi"/>
        </w:rPr>
      </w:pPr>
      <w:r w:rsidRPr="00CF338F">
        <w:rPr>
          <w:rFonts w:asciiTheme="minorHAnsi" w:hAnsiTheme="minorHAnsi" w:cstheme="minorHAnsi"/>
        </w:rPr>
        <w:lastRenderedPageBreak/>
        <w:t>Item [5] – after subsection 22(3) and item [6] - after subsection 23(4)</w:t>
      </w:r>
    </w:p>
    <w:p w14:paraId="42D6F983" w14:textId="31C8AE49" w:rsidR="00A55EDF" w:rsidRPr="00CF338F" w:rsidRDefault="00A55EDF" w:rsidP="00A55EDF">
      <w:pPr>
        <w:pStyle w:val="Heading3"/>
        <w:rPr>
          <w:rFonts w:asciiTheme="minorHAnsi" w:hAnsiTheme="minorHAnsi" w:cstheme="minorHAnsi"/>
          <w:b w:val="0"/>
          <w:bCs w:val="0"/>
        </w:rPr>
      </w:pPr>
      <w:r w:rsidRPr="00CF338F">
        <w:rPr>
          <w:rFonts w:asciiTheme="minorHAnsi" w:hAnsiTheme="minorHAnsi" w:cstheme="minorHAnsi"/>
          <w:b w:val="0"/>
          <w:bCs w:val="0"/>
        </w:rPr>
        <w:t>Item 5 of the Amendment Regulations inserts a new subsection 22(3A) to the Principal Regulations, and item 6 of the Amendment Regulations insert</w:t>
      </w:r>
      <w:r w:rsidR="00365E9F" w:rsidRPr="00CF338F">
        <w:rPr>
          <w:rFonts w:asciiTheme="minorHAnsi" w:hAnsiTheme="minorHAnsi" w:cstheme="minorHAnsi"/>
          <w:b w:val="0"/>
          <w:bCs w:val="0"/>
        </w:rPr>
        <w:t>s</w:t>
      </w:r>
      <w:r w:rsidRPr="00CF338F">
        <w:rPr>
          <w:rFonts w:asciiTheme="minorHAnsi" w:hAnsiTheme="minorHAnsi" w:cstheme="minorHAnsi"/>
          <w:b w:val="0"/>
          <w:bCs w:val="0"/>
        </w:rPr>
        <w:t xml:space="preserve"> a new subsection 23(4A) to the Principal Regulations. New subsections 22(3A) and 23(4A) provide that, in applying subsections 22(3) and 23(4) respectively, for a small or a very small school for 2027, the school’s CTC score for 2026 is taken to be the number that would, but for new subsection 21(4) as inserted by item 3 of the Amendment Regulations, have been the school’s CTC score for 2026. </w:t>
      </w:r>
    </w:p>
    <w:p w14:paraId="4C2EF872" w14:textId="533FC002" w:rsidR="00A55EDF" w:rsidRPr="00CF338F" w:rsidRDefault="00A55EDF" w:rsidP="00A55EDF">
      <w:pPr>
        <w:pStyle w:val="Heading3"/>
        <w:rPr>
          <w:rFonts w:asciiTheme="minorHAnsi" w:hAnsiTheme="minorHAnsi" w:cstheme="minorHAnsi"/>
          <w:b w:val="0"/>
          <w:bCs w:val="0"/>
        </w:rPr>
      </w:pPr>
      <w:r w:rsidRPr="00CF338F">
        <w:rPr>
          <w:rFonts w:asciiTheme="minorHAnsi" w:hAnsiTheme="minorHAnsi" w:cstheme="minorHAnsi"/>
          <w:b w:val="0"/>
          <w:bCs w:val="0"/>
        </w:rPr>
        <w:t xml:space="preserve">Subsections 22(3) and 23(4) of the Principal Regulations provide that, if the average DMI score or the refined area based score respectively, of a small school or a very small school, is three or more higher or lower than the school’s CTC score for the previous year, it is taken to be either two higher or two lower (as applicable) than the school’s CTC score for the previous year. These provisions cap the annual change in average DMI and refined </w:t>
      </w:r>
      <w:proofErr w:type="gramStart"/>
      <w:r w:rsidRPr="00CF338F">
        <w:rPr>
          <w:rFonts w:asciiTheme="minorHAnsi" w:hAnsiTheme="minorHAnsi" w:cstheme="minorHAnsi"/>
          <w:b w:val="0"/>
          <w:bCs w:val="0"/>
        </w:rPr>
        <w:t>area based</w:t>
      </w:r>
      <w:proofErr w:type="gramEnd"/>
      <w:r w:rsidRPr="00CF338F">
        <w:rPr>
          <w:rFonts w:asciiTheme="minorHAnsi" w:hAnsiTheme="minorHAnsi" w:cstheme="minorHAnsi"/>
          <w:b w:val="0"/>
          <w:bCs w:val="0"/>
        </w:rPr>
        <w:t xml:space="preserve"> scores (and as a result, CTC scores) for a small or very small school to</w:t>
      </w:r>
      <w:r w:rsidR="00F84FE0" w:rsidRPr="00CF338F">
        <w:rPr>
          <w:rFonts w:asciiTheme="minorHAnsi" w:hAnsiTheme="minorHAnsi" w:cstheme="minorHAnsi"/>
          <w:b w:val="0"/>
          <w:bCs w:val="0"/>
        </w:rPr>
        <w:t xml:space="preserve"> provide greater funding stability for these schools.</w:t>
      </w:r>
      <w:r w:rsidRPr="00CF338F">
        <w:rPr>
          <w:rFonts w:asciiTheme="minorHAnsi" w:hAnsiTheme="minorHAnsi" w:cstheme="minorHAnsi"/>
          <w:b w:val="0"/>
          <w:bCs w:val="0"/>
        </w:rPr>
        <w:t xml:space="preserve"> </w:t>
      </w:r>
    </w:p>
    <w:p w14:paraId="40FE0FCC" w14:textId="6D4668AD" w:rsidR="00A55EDF" w:rsidRPr="00CF338F" w:rsidRDefault="00A55EDF" w:rsidP="00A55EDF">
      <w:pPr>
        <w:pStyle w:val="Heading3"/>
        <w:rPr>
          <w:rFonts w:asciiTheme="minorHAnsi" w:hAnsiTheme="minorHAnsi" w:cstheme="minorHAnsi"/>
          <w:b w:val="0"/>
          <w:bCs w:val="0"/>
        </w:rPr>
      </w:pPr>
      <w:r w:rsidRPr="00CF338F">
        <w:rPr>
          <w:rFonts w:asciiTheme="minorHAnsi" w:hAnsiTheme="minorHAnsi" w:cstheme="minorHAnsi"/>
          <w:b w:val="0"/>
          <w:bCs w:val="0"/>
        </w:rPr>
        <w:t xml:space="preserve">The purpose of items 5 and 6 of the Amendment Regulations is to apply the cap to the annual change in CTC scores for a small or very small school to the amount that would have been the CTC score for the school but for new subsection 21(4) as inserted by item 3 of the Amendment Regulations. This </w:t>
      </w:r>
      <w:r w:rsidR="00F84FE0" w:rsidRPr="00CF338F">
        <w:rPr>
          <w:rFonts w:asciiTheme="minorHAnsi" w:hAnsiTheme="minorHAnsi" w:cstheme="minorHAnsi"/>
          <w:b w:val="0"/>
          <w:bCs w:val="0"/>
        </w:rPr>
        <w:t xml:space="preserve">ensures that a </w:t>
      </w:r>
      <w:r w:rsidRPr="00CF338F">
        <w:rPr>
          <w:rFonts w:asciiTheme="minorHAnsi" w:hAnsiTheme="minorHAnsi" w:cstheme="minorHAnsi"/>
          <w:b w:val="0"/>
          <w:bCs w:val="0"/>
        </w:rPr>
        <w:t>small or very small school for 2026</w:t>
      </w:r>
      <w:r w:rsidR="00F84FE0" w:rsidRPr="00CF338F">
        <w:rPr>
          <w:rFonts w:asciiTheme="minorHAnsi" w:hAnsiTheme="minorHAnsi" w:cstheme="minorHAnsi"/>
          <w:b w:val="0"/>
          <w:bCs w:val="0"/>
        </w:rPr>
        <w:t xml:space="preserve"> will be in the same position for 2027 that they would have otherwise been but for the change to the CTC score for 2026</w:t>
      </w:r>
      <w:r w:rsidRPr="00CF338F">
        <w:rPr>
          <w:rFonts w:asciiTheme="minorHAnsi" w:hAnsiTheme="minorHAnsi" w:cstheme="minorHAnsi"/>
          <w:b w:val="0"/>
          <w:bCs w:val="0"/>
        </w:rPr>
        <w:t xml:space="preserve">. </w:t>
      </w:r>
    </w:p>
    <w:p w14:paraId="6DB0CB8A" w14:textId="412A9C2D" w:rsidR="00A55EDF" w:rsidRPr="00CF338F" w:rsidRDefault="00A55EDF" w:rsidP="00A55EDF">
      <w:pPr>
        <w:pStyle w:val="Heading3"/>
        <w:rPr>
          <w:rFonts w:asciiTheme="minorHAnsi" w:hAnsiTheme="minorHAnsi" w:cstheme="minorHAnsi"/>
          <w:b w:val="0"/>
          <w:bCs w:val="0"/>
          <w:u w:val="single"/>
        </w:rPr>
      </w:pPr>
      <w:r w:rsidRPr="00CF338F">
        <w:rPr>
          <w:rFonts w:asciiTheme="minorHAnsi" w:hAnsiTheme="minorHAnsi" w:cstheme="minorHAnsi"/>
          <w:b w:val="0"/>
          <w:bCs w:val="0"/>
          <w:u w:val="single"/>
        </w:rPr>
        <w:t xml:space="preserve">Part 2 – </w:t>
      </w:r>
      <w:r w:rsidR="00F84FE0" w:rsidRPr="00CF338F">
        <w:rPr>
          <w:rFonts w:asciiTheme="minorHAnsi" w:hAnsiTheme="minorHAnsi" w:cstheme="minorHAnsi"/>
          <w:b w:val="0"/>
          <w:bCs w:val="0"/>
          <w:u w:val="single"/>
        </w:rPr>
        <w:t>M</w:t>
      </w:r>
      <w:r w:rsidR="00871196" w:rsidRPr="00CF338F">
        <w:rPr>
          <w:rFonts w:asciiTheme="minorHAnsi" w:hAnsiTheme="minorHAnsi" w:cstheme="minorHAnsi"/>
          <w:b w:val="0"/>
          <w:bCs w:val="0"/>
          <w:u w:val="single"/>
        </w:rPr>
        <w:t xml:space="preserve">eaning </w:t>
      </w:r>
      <w:r w:rsidRPr="00CF338F">
        <w:rPr>
          <w:rFonts w:asciiTheme="minorHAnsi" w:hAnsiTheme="minorHAnsi" w:cstheme="minorHAnsi"/>
          <w:b w:val="0"/>
          <w:bCs w:val="0"/>
          <w:u w:val="single"/>
        </w:rPr>
        <w:t>of foundation</w:t>
      </w:r>
    </w:p>
    <w:p w14:paraId="327D6372" w14:textId="77777777" w:rsidR="00A55EDF" w:rsidRPr="00CF338F" w:rsidRDefault="00A55EDF" w:rsidP="00A55EDF">
      <w:pPr>
        <w:pStyle w:val="Heading3"/>
        <w:rPr>
          <w:rFonts w:asciiTheme="minorHAnsi" w:hAnsiTheme="minorHAnsi" w:cstheme="minorHAnsi"/>
          <w:b w:val="0"/>
          <w:bCs w:val="0"/>
          <w:i/>
          <w:iCs/>
        </w:rPr>
      </w:pPr>
      <w:r w:rsidRPr="00CF338F">
        <w:rPr>
          <w:rFonts w:asciiTheme="minorHAnsi" w:hAnsiTheme="minorHAnsi" w:cstheme="minorHAnsi"/>
          <w:b w:val="0"/>
          <w:bCs w:val="0"/>
          <w:i/>
          <w:iCs/>
        </w:rPr>
        <w:t xml:space="preserve">Australian Education Regulations 2023 </w:t>
      </w:r>
    </w:p>
    <w:p w14:paraId="0F5CDF10" w14:textId="77777777" w:rsidR="00A55EDF" w:rsidRPr="00CF338F" w:rsidRDefault="00A55EDF" w:rsidP="00A55EDF">
      <w:pPr>
        <w:pStyle w:val="Heading3"/>
        <w:rPr>
          <w:rFonts w:asciiTheme="minorHAnsi" w:hAnsiTheme="minorHAnsi" w:cstheme="minorHAnsi"/>
        </w:rPr>
      </w:pPr>
      <w:r w:rsidRPr="00CF338F">
        <w:rPr>
          <w:rFonts w:asciiTheme="minorHAnsi" w:hAnsiTheme="minorHAnsi" w:cstheme="minorHAnsi"/>
        </w:rPr>
        <w:t xml:space="preserve">Item [7] – subsection 4(1) (definition of foundation) </w:t>
      </w:r>
    </w:p>
    <w:p w14:paraId="78E629B2" w14:textId="4FC8E868" w:rsidR="00A55EDF" w:rsidRPr="00CF338F" w:rsidRDefault="00A55EDF" w:rsidP="00A55EDF">
      <w:pPr>
        <w:pStyle w:val="Heading3"/>
        <w:rPr>
          <w:rFonts w:asciiTheme="minorHAnsi" w:hAnsiTheme="minorHAnsi" w:cstheme="minorHAnsi"/>
          <w:b w:val="0"/>
          <w:bCs w:val="0"/>
        </w:rPr>
      </w:pPr>
      <w:r w:rsidRPr="00CF338F">
        <w:rPr>
          <w:rFonts w:asciiTheme="minorHAnsi" w:hAnsiTheme="minorHAnsi" w:cstheme="minorHAnsi"/>
          <w:b w:val="0"/>
          <w:bCs w:val="0"/>
        </w:rPr>
        <w:t>The definition of foundation in subsection 4(1) of the Principal Regulations is “the year of schooling immediately before year 1”. Item 7 of the Amendment Regulations insert</w:t>
      </w:r>
      <w:r w:rsidR="00365E9F" w:rsidRPr="00CF338F">
        <w:rPr>
          <w:rFonts w:asciiTheme="minorHAnsi" w:hAnsiTheme="minorHAnsi" w:cstheme="minorHAnsi"/>
          <w:b w:val="0"/>
          <w:bCs w:val="0"/>
        </w:rPr>
        <w:t>s</w:t>
      </w:r>
      <w:r w:rsidRPr="00CF338F">
        <w:rPr>
          <w:rFonts w:asciiTheme="minorHAnsi" w:hAnsiTheme="minorHAnsi" w:cstheme="minorHAnsi"/>
          <w:b w:val="0"/>
          <w:bCs w:val="0"/>
        </w:rPr>
        <w:t xml:space="preserve"> “(which must not be longer than 12 months)” into this definition after “year of schooling”. </w:t>
      </w:r>
    </w:p>
    <w:p w14:paraId="30DA9D68" w14:textId="767A536C" w:rsidR="00A55EDF" w:rsidRPr="00CF338F" w:rsidRDefault="00A55EDF" w:rsidP="00A55EDF">
      <w:pPr>
        <w:pStyle w:val="Heading3"/>
        <w:rPr>
          <w:rFonts w:asciiTheme="minorHAnsi" w:hAnsiTheme="minorHAnsi" w:cstheme="minorHAnsi"/>
          <w:b w:val="0"/>
          <w:bCs w:val="0"/>
        </w:rPr>
      </w:pPr>
      <w:r w:rsidRPr="00CF338F">
        <w:rPr>
          <w:rFonts w:asciiTheme="minorHAnsi" w:hAnsiTheme="minorHAnsi" w:cstheme="minorHAnsi"/>
          <w:b w:val="0"/>
          <w:bCs w:val="0"/>
        </w:rPr>
        <w:t xml:space="preserve">Section 7 of the Principal Regulations provides that, for </w:t>
      </w:r>
      <w:r w:rsidR="00871196" w:rsidRPr="00CF338F">
        <w:rPr>
          <w:rFonts w:asciiTheme="minorHAnsi" w:hAnsiTheme="minorHAnsi" w:cstheme="minorHAnsi"/>
          <w:b w:val="0"/>
          <w:bCs w:val="0"/>
        </w:rPr>
        <w:t xml:space="preserve">the purposes of </w:t>
      </w:r>
      <w:r w:rsidRPr="00CF338F">
        <w:rPr>
          <w:rFonts w:asciiTheme="minorHAnsi" w:hAnsiTheme="minorHAnsi" w:cstheme="minorHAnsi"/>
          <w:b w:val="0"/>
          <w:bCs w:val="0"/>
        </w:rPr>
        <w:t xml:space="preserve">section 15 of the Act, “foundation” is a level of education in the course of primary education for a school other than a special school. </w:t>
      </w:r>
      <w:r w:rsidR="00871196" w:rsidRPr="00CF338F">
        <w:rPr>
          <w:rFonts w:asciiTheme="minorHAnsi" w:hAnsiTheme="minorHAnsi" w:cstheme="minorHAnsi"/>
          <w:b w:val="0"/>
          <w:bCs w:val="0"/>
        </w:rPr>
        <w:t>This means s</w:t>
      </w:r>
      <w:r w:rsidRPr="00CF338F">
        <w:rPr>
          <w:rFonts w:asciiTheme="minorHAnsi" w:hAnsiTheme="minorHAnsi" w:cstheme="minorHAnsi"/>
          <w:b w:val="0"/>
          <w:bCs w:val="0"/>
        </w:rPr>
        <w:t xml:space="preserve">tudents who are receiving the foundation level of education are “primary students” </w:t>
      </w:r>
      <w:r w:rsidR="00871196" w:rsidRPr="00CF338F">
        <w:rPr>
          <w:rFonts w:asciiTheme="minorHAnsi" w:hAnsiTheme="minorHAnsi" w:cstheme="minorHAnsi"/>
          <w:b w:val="0"/>
          <w:bCs w:val="0"/>
        </w:rPr>
        <w:t>for the purposes of</w:t>
      </w:r>
      <w:r w:rsidRPr="00CF338F">
        <w:rPr>
          <w:rFonts w:asciiTheme="minorHAnsi" w:hAnsiTheme="minorHAnsi" w:cstheme="minorHAnsi"/>
          <w:b w:val="0"/>
          <w:bCs w:val="0"/>
        </w:rPr>
        <w:t xml:space="preserve"> the Act</w:t>
      </w:r>
      <w:r w:rsidR="00871196" w:rsidRPr="00CF338F">
        <w:rPr>
          <w:rFonts w:asciiTheme="minorHAnsi" w:hAnsiTheme="minorHAnsi" w:cstheme="minorHAnsi"/>
          <w:b w:val="0"/>
          <w:bCs w:val="0"/>
        </w:rPr>
        <w:t xml:space="preserve"> and Principal Regulations</w:t>
      </w:r>
      <w:r w:rsidRPr="00CF338F">
        <w:rPr>
          <w:rFonts w:asciiTheme="minorHAnsi" w:hAnsiTheme="minorHAnsi" w:cstheme="minorHAnsi"/>
          <w:b w:val="0"/>
          <w:bCs w:val="0"/>
        </w:rPr>
        <w:t xml:space="preserve">. </w:t>
      </w:r>
      <w:r w:rsidR="00871196" w:rsidRPr="00CF338F">
        <w:rPr>
          <w:rFonts w:asciiTheme="minorHAnsi" w:hAnsiTheme="minorHAnsi" w:cstheme="minorHAnsi"/>
          <w:b w:val="0"/>
          <w:bCs w:val="0"/>
        </w:rPr>
        <w:t>The</w:t>
      </w:r>
      <w:r w:rsidRPr="00CF338F">
        <w:rPr>
          <w:rFonts w:asciiTheme="minorHAnsi" w:hAnsiTheme="minorHAnsi" w:cstheme="minorHAnsi"/>
          <w:b w:val="0"/>
          <w:bCs w:val="0"/>
        </w:rPr>
        <w:t xml:space="preserve"> number of </w:t>
      </w:r>
      <w:r w:rsidR="00871196" w:rsidRPr="00CF338F">
        <w:rPr>
          <w:rFonts w:asciiTheme="minorHAnsi" w:hAnsiTheme="minorHAnsi" w:cstheme="minorHAnsi"/>
          <w:b w:val="0"/>
          <w:bCs w:val="0"/>
        </w:rPr>
        <w:t xml:space="preserve">primary </w:t>
      </w:r>
      <w:r w:rsidRPr="00CF338F">
        <w:rPr>
          <w:rFonts w:asciiTheme="minorHAnsi" w:hAnsiTheme="minorHAnsi" w:cstheme="minorHAnsi"/>
          <w:b w:val="0"/>
          <w:bCs w:val="0"/>
        </w:rPr>
        <w:t>students at a government or non-government school under subsections 9A(1) and 9B(1) of the Principal Regulations</w:t>
      </w:r>
      <w:r w:rsidR="00871196" w:rsidRPr="00CF338F">
        <w:rPr>
          <w:rFonts w:asciiTheme="minorHAnsi" w:hAnsiTheme="minorHAnsi" w:cstheme="minorHAnsi"/>
          <w:b w:val="0"/>
          <w:bCs w:val="0"/>
        </w:rPr>
        <w:t xml:space="preserve"> is relevant to working out the number of students at a school for a year</w:t>
      </w:r>
      <w:r w:rsidRPr="00CF338F">
        <w:rPr>
          <w:rFonts w:asciiTheme="minorHAnsi" w:hAnsiTheme="minorHAnsi" w:cstheme="minorHAnsi"/>
          <w:b w:val="0"/>
          <w:bCs w:val="0"/>
        </w:rPr>
        <w:t xml:space="preserve">. </w:t>
      </w:r>
      <w:r w:rsidR="00871196" w:rsidRPr="00CF338F">
        <w:rPr>
          <w:rFonts w:asciiTheme="minorHAnsi" w:hAnsiTheme="minorHAnsi" w:cstheme="minorHAnsi"/>
          <w:b w:val="0"/>
          <w:bCs w:val="0"/>
        </w:rPr>
        <w:t>This number</w:t>
      </w:r>
      <w:r w:rsidRPr="00CF338F">
        <w:rPr>
          <w:rFonts w:asciiTheme="minorHAnsi" w:hAnsiTheme="minorHAnsi" w:cstheme="minorHAnsi"/>
          <w:b w:val="0"/>
          <w:bCs w:val="0"/>
        </w:rPr>
        <w:t xml:space="preserve"> is a</w:t>
      </w:r>
      <w:r w:rsidR="00871196" w:rsidRPr="00CF338F">
        <w:rPr>
          <w:rFonts w:asciiTheme="minorHAnsi" w:hAnsiTheme="minorHAnsi" w:cstheme="minorHAnsi"/>
          <w:b w:val="0"/>
          <w:bCs w:val="0"/>
        </w:rPr>
        <w:t>n</w:t>
      </w:r>
      <w:r w:rsidRPr="00CF338F">
        <w:rPr>
          <w:rFonts w:asciiTheme="minorHAnsi" w:hAnsiTheme="minorHAnsi" w:cstheme="minorHAnsi"/>
          <w:b w:val="0"/>
          <w:bCs w:val="0"/>
        </w:rPr>
        <w:t xml:space="preserve"> </w:t>
      </w:r>
      <w:r w:rsidR="00871196" w:rsidRPr="00CF338F">
        <w:rPr>
          <w:rFonts w:asciiTheme="minorHAnsi" w:hAnsiTheme="minorHAnsi" w:cstheme="minorHAnsi"/>
          <w:b w:val="0"/>
          <w:bCs w:val="0"/>
        </w:rPr>
        <w:t xml:space="preserve">element </w:t>
      </w:r>
      <w:r w:rsidRPr="00CF338F">
        <w:rPr>
          <w:rFonts w:asciiTheme="minorHAnsi" w:hAnsiTheme="minorHAnsi" w:cstheme="minorHAnsi"/>
          <w:b w:val="0"/>
          <w:bCs w:val="0"/>
        </w:rPr>
        <w:t xml:space="preserve">of the formula </w:t>
      </w:r>
      <w:r w:rsidR="00871196" w:rsidRPr="00CF338F">
        <w:rPr>
          <w:rFonts w:asciiTheme="minorHAnsi" w:hAnsiTheme="minorHAnsi" w:cstheme="minorHAnsi"/>
          <w:b w:val="0"/>
          <w:bCs w:val="0"/>
        </w:rPr>
        <w:t>for</w:t>
      </w:r>
      <w:r w:rsidRPr="00CF338F">
        <w:rPr>
          <w:rFonts w:asciiTheme="minorHAnsi" w:hAnsiTheme="minorHAnsi" w:cstheme="minorHAnsi"/>
          <w:b w:val="0"/>
          <w:bCs w:val="0"/>
        </w:rPr>
        <w:t xml:space="preserve"> the</w:t>
      </w:r>
      <w:r w:rsidR="00871196" w:rsidRPr="00CF338F">
        <w:rPr>
          <w:rFonts w:asciiTheme="minorHAnsi" w:hAnsiTheme="minorHAnsi" w:cstheme="minorHAnsi"/>
          <w:b w:val="0"/>
          <w:bCs w:val="0"/>
        </w:rPr>
        <w:t xml:space="preserve"> school’s</w:t>
      </w:r>
      <w:r w:rsidRPr="00CF338F">
        <w:rPr>
          <w:rFonts w:asciiTheme="minorHAnsi" w:hAnsiTheme="minorHAnsi" w:cstheme="minorHAnsi"/>
          <w:b w:val="0"/>
          <w:bCs w:val="0"/>
        </w:rPr>
        <w:t xml:space="preserve"> “base amount” for the year in section 33 of the Act. </w:t>
      </w:r>
      <w:r w:rsidR="00F84FE0" w:rsidRPr="00CF338F">
        <w:rPr>
          <w:rFonts w:asciiTheme="minorHAnsi" w:hAnsiTheme="minorHAnsi" w:cstheme="minorHAnsi"/>
          <w:b w:val="0"/>
          <w:bCs w:val="0"/>
        </w:rPr>
        <w:t>T</w:t>
      </w:r>
      <w:r w:rsidRPr="00CF338F">
        <w:rPr>
          <w:rFonts w:asciiTheme="minorHAnsi" w:hAnsiTheme="minorHAnsi" w:cstheme="minorHAnsi"/>
          <w:b w:val="0"/>
          <w:bCs w:val="0"/>
        </w:rPr>
        <w:t xml:space="preserve">he </w:t>
      </w:r>
      <w:r w:rsidR="00BF6989" w:rsidRPr="00CF338F">
        <w:rPr>
          <w:rFonts w:asciiTheme="minorHAnsi" w:hAnsiTheme="minorHAnsi" w:cstheme="minorHAnsi"/>
          <w:b w:val="0"/>
          <w:bCs w:val="0"/>
        </w:rPr>
        <w:t xml:space="preserve">school’s </w:t>
      </w:r>
      <w:r w:rsidRPr="00CF338F">
        <w:rPr>
          <w:rFonts w:asciiTheme="minorHAnsi" w:hAnsiTheme="minorHAnsi" w:cstheme="minorHAnsi"/>
          <w:b w:val="0"/>
          <w:bCs w:val="0"/>
        </w:rPr>
        <w:t>“base amount” is a</w:t>
      </w:r>
      <w:r w:rsidR="00BF6989" w:rsidRPr="00CF338F">
        <w:rPr>
          <w:rFonts w:asciiTheme="minorHAnsi" w:hAnsiTheme="minorHAnsi" w:cstheme="minorHAnsi"/>
          <w:b w:val="0"/>
          <w:bCs w:val="0"/>
        </w:rPr>
        <w:t>n</w:t>
      </w:r>
      <w:r w:rsidRPr="00CF338F">
        <w:rPr>
          <w:rFonts w:asciiTheme="minorHAnsi" w:hAnsiTheme="minorHAnsi" w:cstheme="minorHAnsi"/>
          <w:b w:val="0"/>
          <w:bCs w:val="0"/>
        </w:rPr>
        <w:t xml:space="preserve"> </w:t>
      </w:r>
      <w:r w:rsidR="00BF6989" w:rsidRPr="00CF338F">
        <w:rPr>
          <w:rFonts w:asciiTheme="minorHAnsi" w:hAnsiTheme="minorHAnsi" w:cstheme="minorHAnsi"/>
          <w:b w:val="0"/>
          <w:bCs w:val="0"/>
        </w:rPr>
        <w:t xml:space="preserve">element </w:t>
      </w:r>
      <w:r w:rsidRPr="00CF338F">
        <w:rPr>
          <w:rFonts w:asciiTheme="minorHAnsi" w:hAnsiTheme="minorHAnsi" w:cstheme="minorHAnsi"/>
          <w:b w:val="0"/>
          <w:bCs w:val="0"/>
        </w:rPr>
        <w:t xml:space="preserve">of the </w:t>
      </w:r>
      <w:r w:rsidR="00BF6989" w:rsidRPr="00CF338F">
        <w:rPr>
          <w:rFonts w:asciiTheme="minorHAnsi" w:hAnsiTheme="minorHAnsi" w:cstheme="minorHAnsi"/>
          <w:b w:val="0"/>
          <w:bCs w:val="0"/>
        </w:rPr>
        <w:t xml:space="preserve">funding </w:t>
      </w:r>
      <w:r w:rsidRPr="00CF338F">
        <w:rPr>
          <w:rFonts w:asciiTheme="minorHAnsi" w:hAnsiTheme="minorHAnsi" w:cstheme="minorHAnsi"/>
          <w:b w:val="0"/>
          <w:bCs w:val="0"/>
        </w:rPr>
        <w:t>formula</w:t>
      </w:r>
      <w:r w:rsidR="00BF6989" w:rsidRPr="00CF338F">
        <w:rPr>
          <w:rFonts w:asciiTheme="minorHAnsi" w:hAnsiTheme="minorHAnsi" w:cstheme="minorHAnsi"/>
          <w:b w:val="0"/>
          <w:bCs w:val="0"/>
        </w:rPr>
        <w:t xml:space="preserve"> under section 32 of the Act which</w:t>
      </w:r>
      <w:r w:rsidRPr="00CF338F">
        <w:rPr>
          <w:rFonts w:asciiTheme="minorHAnsi" w:hAnsiTheme="minorHAnsi" w:cstheme="minorHAnsi"/>
          <w:b w:val="0"/>
          <w:bCs w:val="0"/>
        </w:rPr>
        <w:t xml:space="preserve"> works out the </w:t>
      </w:r>
      <w:r w:rsidR="00BF6989" w:rsidRPr="00CF338F">
        <w:rPr>
          <w:rFonts w:asciiTheme="minorHAnsi" w:hAnsiTheme="minorHAnsi" w:cstheme="minorHAnsi"/>
          <w:b w:val="0"/>
          <w:bCs w:val="0"/>
        </w:rPr>
        <w:t>amount of</w:t>
      </w:r>
      <w:r w:rsidRPr="00CF338F">
        <w:rPr>
          <w:rFonts w:asciiTheme="minorHAnsi" w:hAnsiTheme="minorHAnsi" w:cstheme="minorHAnsi"/>
          <w:b w:val="0"/>
          <w:bCs w:val="0"/>
        </w:rPr>
        <w:t xml:space="preserve"> recurrent </w:t>
      </w:r>
      <w:r w:rsidR="00BF6989" w:rsidRPr="00CF338F">
        <w:rPr>
          <w:rFonts w:asciiTheme="minorHAnsi" w:hAnsiTheme="minorHAnsi" w:cstheme="minorHAnsi"/>
          <w:b w:val="0"/>
          <w:bCs w:val="0"/>
        </w:rPr>
        <w:t>funding payable</w:t>
      </w:r>
      <w:r w:rsidRPr="00CF338F">
        <w:rPr>
          <w:rFonts w:asciiTheme="minorHAnsi" w:hAnsiTheme="minorHAnsi" w:cstheme="minorHAnsi"/>
          <w:b w:val="0"/>
          <w:bCs w:val="0"/>
        </w:rPr>
        <w:t xml:space="preserve"> for the school for the year.</w:t>
      </w:r>
    </w:p>
    <w:p w14:paraId="4DD56F7A" w14:textId="4BCCFBF0" w:rsidR="00A55EDF" w:rsidRPr="00CF338F" w:rsidRDefault="00A55EDF" w:rsidP="00A55EDF">
      <w:pPr>
        <w:pStyle w:val="Heading3"/>
        <w:rPr>
          <w:rFonts w:asciiTheme="minorHAnsi" w:hAnsiTheme="minorHAnsi" w:cstheme="minorHAnsi"/>
          <w:b w:val="0"/>
          <w:bCs w:val="0"/>
        </w:rPr>
      </w:pPr>
      <w:r w:rsidRPr="00CF338F">
        <w:rPr>
          <w:rFonts w:asciiTheme="minorHAnsi" w:hAnsiTheme="minorHAnsi" w:cstheme="minorHAnsi"/>
          <w:b w:val="0"/>
          <w:bCs w:val="0"/>
        </w:rPr>
        <w:t xml:space="preserve">The purpose of item 7 </w:t>
      </w:r>
      <w:r w:rsidR="00365E9F" w:rsidRPr="00CF338F">
        <w:rPr>
          <w:rFonts w:asciiTheme="minorHAnsi" w:hAnsiTheme="minorHAnsi" w:cstheme="minorHAnsi"/>
          <w:b w:val="0"/>
          <w:bCs w:val="0"/>
        </w:rPr>
        <w:t>is</w:t>
      </w:r>
      <w:r w:rsidRPr="00CF338F">
        <w:rPr>
          <w:rFonts w:asciiTheme="minorHAnsi" w:hAnsiTheme="minorHAnsi" w:cstheme="minorHAnsi"/>
          <w:b w:val="0"/>
          <w:bCs w:val="0"/>
        </w:rPr>
        <w:t xml:space="preserve"> to put beyond doubt that a foundation student can only attract recurrent financial assistance for the period of 12 months that immediately precedes year 1. Item 7 is not intended to prevent a school from offering a foundation program that is longer </w:t>
      </w:r>
      <w:r w:rsidRPr="00CF338F">
        <w:rPr>
          <w:rFonts w:asciiTheme="minorHAnsi" w:hAnsiTheme="minorHAnsi" w:cstheme="minorHAnsi"/>
          <w:b w:val="0"/>
          <w:bCs w:val="0"/>
        </w:rPr>
        <w:lastRenderedPageBreak/>
        <w:t xml:space="preserve">than 12 months, but rather to put beyond doubt that a foundation student will only attract recurrent financial assistance for the final 12 months of such a program. </w:t>
      </w:r>
    </w:p>
    <w:p w14:paraId="076D8C58" w14:textId="0B0657E4" w:rsidR="00151632" w:rsidRPr="00CF338F" w:rsidRDefault="00A55EDF" w:rsidP="00A55EDF">
      <w:pPr>
        <w:pStyle w:val="Heading3"/>
        <w:rPr>
          <w:rFonts w:asciiTheme="minorHAnsi" w:hAnsiTheme="minorHAnsi" w:cstheme="minorHAnsi"/>
          <w:b w:val="0"/>
          <w:bCs w:val="0"/>
        </w:rPr>
      </w:pPr>
      <w:r w:rsidRPr="00CF338F">
        <w:rPr>
          <w:rFonts w:asciiTheme="minorHAnsi" w:hAnsiTheme="minorHAnsi" w:cstheme="minorHAnsi"/>
          <w:b w:val="0"/>
          <w:bCs w:val="0"/>
        </w:rPr>
        <w:t xml:space="preserve">In relation to item 7, for the purposes of subsection 15(2) of the Act, </w:t>
      </w:r>
      <w:r w:rsidR="00B91C60" w:rsidRPr="00CF338F">
        <w:rPr>
          <w:rFonts w:asciiTheme="minorHAnsi" w:hAnsiTheme="minorHAnsi" w:cstheme="minorHAnsi"/>
          <w:b w:val="0"/>
          <w:bCs w:val="0"/>
        </w:rPr>
        <w:t>the Minister has</w:t>
      </w:r>
      <w:r w:rsidRPr="00CF338F">
        <w:rPr>
          <w:rFonts w:asciiTheme="minorHAnsi" w:hAnsiTheme="minorHAnsi" w:cstheme="minorHAnsi"/>
          <w:b w:val="0"/>
          <w:bCs w:val="0"/>
        </w:rPr>
        <w:t xml:space="preserve"> had regard to arrangements made for providing education at government schools located in each State and Territory.</w:t>
      </w:r>
    </w:p>
    <w:sectPr w:rsidR="00151632" w:rsidRPr="00CF338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76A2D" w14:textId="77777777" w:rsidR="00711C0C" w:rsidRDefault="00711C0C" w:rsidP="00A34D64">
      <w:pPr>
        <w:spacing w:after="0" w:line="240" w:lineRule="auto"/>
      </w:pPr>
      <w:r>
        <w:separator/>
      </w:r>
    </w:p>
  </w:endnote>
  <w:endnote w:type="continuationSeparator" w:id="0">
    <w:p w14:paraId="15263F33" w14:textId="77777777" w:rsidR="00711C0C" w:rsidRDefault="00711C0C" w:rsidP="00A3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5D7D" w14:textId="1EC51833" w:rsidR="00CA4149" w:rsidRDefault="00CA4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8C29" w14:textId="77777777" w:rsidR="00711C0C" w:rsidRDefault="00711C0C" w:rsidP="00A34D64">
      <w:pPr>
        <w:spacing w:after="0" w:line="240" w:lineRule="auto"/>
      </w:pPr>
      <w:r>
        <w:separator/>
      </w:r>
    </w:p>
  </w:footnote>
  <w:footnote w:type="continuationSeparator" w:id="0">
    <w:p w14:paraId="189D947F" w14:textId="77777777" w:rsidR="00711C0C" w:rsidRDefault="00711C0C" w:rsidP="00A3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C03F" w14:textId="03A2FCB3" w:rsidR="00CA4149" w:rsidRDefault="00CA4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85F7F"/>
    <w:multiLevelType w:val="hybridMultilevel"/>
    <w:tmpl w:val="C34E0C4A"/>
    <w:lvl w:ilvl="0" w:tplc="F6A475F0">
      <w:start w:val="1"/>
      <w:numFmt w:val="decimal"/>
      <w:lvlText w:val="%1."/>
      <w:lvlJc w:val="left"/>
      <w:pPr>
        <w:ind w:left="1020" w:hanging="360"/>
      </w:pPr>
    </w:lvl>
    <w:lvl w:ilvl="1" w:tplc="0B089688">
      <w:start w:val="1"/>
      <w:numFmt w:val="decimal"/>
      <w:lvlText w:val="%2."/>
      <w:lvlJc w:val="left"/>
      <w:pPr>
        <w:ind w:left="1020" w:hanging="360"/>
      </w:pPr>
    </w:lvl>
    <w:lvl w:ilvl="2" w:tplc="5106DD6C">
      <w:start w:val="1"/>
      <w:numFmt w:val="decimal"/>
      <w:lvlText w:val="%3."/>
      <w:lvlJc w:val="left"/>
      <w:pPr>
        <w:ind w:left="1020" w:hanging="360"/>
      </w:pPr>
    </w:lvl>
    <w:lvl w:ilvl="3" w:tplc="14F6678E">
      <w:start w:val="1"/>
      <w:numFmt w:val="decimal"/>
      <w:lvlText w:val="%4."/>
      <w:lvlJc w:val="left"/>
      <w:pPr>
        <w:ind w:left="1020" w:hanging="360"/>
      </w:pPr>
    </w:lvl>
    <w:lvl w:ilvl="4" w:tplc="14F087C4">
      <w:start w:val="1"/>
      <w:numFmt w:val="decimal"/>
      <w:lvlText w:val="%5."/>
      <w:lvlJc w:val="left"/>
      <w:pPr>
        <w:ind w:left="1020" w:hanging="360"/>
      </w:pPr>
    </w:lvl>
    <w:lvl w:ilvl="5" w:tplc="FBF44B18">
      <w:start w:val="1"/>
      <w:numFmt w:val="decimal"/>
      <w:lvlText w:val="%6."/>
      <w:lvlJc w:val="left"/>
      <w:pPr>
        <w:ind w:left="1020" w:hanging="360"/>
      </w:pPr>
    </w:lvl>
    <w:lvl w:ilvl="6" w:tplc="542694BC">
      <w:start w:val="1"/>
      <w:numFmt w:val="decimal"/>
      <w:lvlText w:val="%7."/>
      <w:lvlJc w:val="left"/>
      <w:pPr>
        <w:ind w:left="1020" w:hanging="360"/>
      </w:pPr>
    </w:lvl>
    <w:lvl w:ilvl="7" w:tplc="62946416">
      <w:start w:val="1"/>
      <w:numFmt w:val="decimal"/>
      <w:lvlText w:val="%8."/>
      <w:lvlJc w:val="left"/>
      <w:pPr>
        <w:ind w:left="1020" w:hanging="360"/>
      </w:pPr>
    </w:lvl>
    <w:lvl w:ilvl="8" w:tplc="33CC7248">
      <w:start w:val="1"/>
      <w:numFmt w:val="decimal"/>
      <w:lvlText w:val="%9."/>
      <w:lvlJc w:val="left"/>
      <w:pPr>
        <w:ind w:left="1020" w:hanging="360"/>
      </w:pPr>
    </w:lvl>
  </w:abstractNum>
  <w:abstractNum w:abstractNumId="1" w15:restartNumberingAfterBreak="0">
    <w:nsid w:val="5C61359E"/>
    <w:multiLevelType w:val="hybridMultilevel"/>
    <w:tmpl w:val="52BC4E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720130205">
    <w:abstractNumId w:val="1"/>
  </w:num>
  <w:num w:numId="2" w16cid:durableId="168678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64"/>
    <w:rsid w:val="00013BFF"/>
    <w:rsid w:val="00020126"/>
    <w:rsid w:val="00023297"/>
    <w:rsid w:val="00033966"/>
    <w:rsid w:val="00055E3F"/>
    <w:rsid w:val="0006211B"/>
    <w:rsid w:val="000628EA"/>
    <w:rsid w:val="00066FAF"/>
    <w:rsid w:val="0007208D"/>
    <w:rsid w:val="00080DD7"/>
    <w:rsid w:val="000A45C4"/>
    <w:rsid w:val="000C100E"/>
    <w:rsid w:val="000C1B5E"/>
    <w:rsid w:val="000C6EDA"/>
    <w:rsid w:val="000C75A9"/>
    <w:rsid w:val="000E4B4B"/>
    <w:rsid w:val="00105DA0"/>
    <w:rsid w:val="00106144"/>
    <w:rsid w:val="00134C24"/>
    <w:rsid w:val="00145B21"/>
    <w:rsid w:val="001471F8"/>
    <w:rsid w:val="00151632"/>
    <w:rsid w:val="00155212"/>
    <w:rsid w:val="00170B23"/>
    <w:rsid w:val="00176DED"/>
    <w:rsid w:val="001935E9"/>
    <w:rsid w:val="001B3A06"/>
    <w:rsid w:val="001C318B"/>
    <w:rsid w:val="001D3ADF"/>
    <w:rsid w:val="001E3308"/>
    <w:rsid w:val="001F4090"/>
    <w:rsid w:val="001F4E4E"/>
    <w:rsid w:val="001F5840"/>
    <w:rsid w:val="00200C25"/>
    <w:rsid w:val="00203559"/>
    <w:rsid w:val="0021188D"/>
    <w:rsid w:val="00230A51"/>
    <w:rsid w:val="00232886"/>
    <w:rsid w:val="002463BF"/>
    <w:rsid w:val="00253F72"/>
    <w:rsid w:val="0027420C"/>
    <w:rsid w:val="002B6846"/>
    <w:rsid w:val="002D307A"/>
    <w:rsid w:val="002E19C2"/>
    <w:rsid w:val="002E6229"/>
    <w:rsid w:val="002E72B6"/>
    <w:rsid w:val="002F2F58"/>
    <w:rsid w:val="00301547"/>
    <w:rsid w:val="00326154"/>
    <w:rsid w:val="00333ADF"/>
    <w:rsid w:val="00333C87"/>
    <w:rsid w:val="00340C24"/>
    <w:rsid w:val="003512B7"/>
    <w:rsid w:val="0035195C"/>
    <w:rsid w:val="00352104"/>
    <w:rsid w:val="00357451"/>
    <w:rsid w:val="00361A2B"/>
    <w:rsid w:val="0036590F"/>
    <w:rsid w:val="00365E9F"/>
    <w:rsid w:val="003776D1"/>
    <w:rsid w:val="00396576"/>
    <w:rsid w:val="003B1F8D"/>
    <w:rsid w:val="003B448F"/>
    <w:rsid w:val="003E0AD7"/>
    <w:rsid w:val="00407A39"/>
    <w:rsid w:val="004212B0"/>
    <w:rsid w:val="00433930"/>
    <w:rsid w:val="00442DB5"/>
    <w:rsid w:val="00455B2C"/>
    <w:rsid w:val="00456B90"/>
    <w:rsid w:val="00457110"/>
    <w:rsid w:val="00473103"/>
    <w:rsid w:val="004754B9"/>
    <w:rsid w:val="0048150D"/>
    <w:rsid w:val="0048431F"/>
    <w:rsid w:val="00486712"/>
    <w:rsid w:val="004932E0"/>
    <w:rsid w:val="004B21B3"/>
    <w:rsid w:val="004C1CCD"/>
    <w:rsid w:val="004D4247"/>
    <w:rsid w:val="004F0A1D"/>
    <w:rsid w:val="005234E8"/>
    <w:rsid w:val="00535408"/>
    <w:rsid w:val="00554D41"/>
    <w:rsid w:val="00563EB8"/>
    <w:rsid w:val="005771A0"/>
    <w:rsid w:val="00587CF9"/>
    <w:rsid w:val="00596225"/>
    <w:rsid w:val="00597AFF"/>
    <w:rsid w:val="005A5543"/>
    <w:rsid w:val="005B500D"/>
    <w:rsid w:val="005D457F"/>
    <w:rsid w:val="005F69EF"/>
    <w:rsid w:val="00625873"/>
    <w:rsid w:val="00630AD1"/>
    <w:rsid w:val="00633755"/>
    <w:rsid w:val="00640FB7"/>
    <w:rsid w:val="00642904"/>
    <w:rsid w:val="006447AC"/>
    <w:rsid w:val="00656A9A"/>
    <w:rsid w:val="0066024D"/>
    <w:rsid w:val="0066131D"/>
    <w:rsid w:val="00670EFE"/>
    <w:rsid w:val="006750B0"/>
    <w:rsid w:val="00683B84"/>
    <w:rsid w:val="006931B4"/>
    <w:rsid w:val="006B2C46"/>
    <w:rsid w:val="006C138B"/>
    <w:rsid w:val="006D3FC7"/>
    <w:rsid w:val="006E0A82"/>
    <w:rsid w:val="006E26B0"/>
    <w:rsid w:val="006F6E7D"/>
    <w:rsid w:val="00700F45"/>
    <w:rsid w:val="00702615"/>
    <w:rsid w:val="007107D8"/>
    <w:rsid w:val="00711C0C"/>
    <w:rsid w:val="00713ABC"/>
    <w:rsid w:val="0073627E"/>
    <w:rsid w:val="00742CA1"/>
    <w:rsid w:val="007447AE"/>
    <w:rsid w:val="00750A3A"/>
    <w:rsid w:val="00765DF5"/>
    <w:rsid w:val="007669B9"/>
    <w:rsid w:val="00773F93"/>
    <w:rsid w:val="00796C29"/>
    <w:rsid w:val="00797786"/>
    <w:rsid w:val="007A6B40"/>
    <w:rsid w:val="007A7EFA"/>
    <w:rsid w:val="007B3DCC"/>
    <w:rsid w:val="007D3D1A"/>
    <w:rsid w:val="007D453F"/>
    <w:rsid w:val="007F1447"/>
    <w:rsid w:val="007F1A9D"/>
    <w:rsid w:val="007F5E95"/>
    <w:rsid w:val="00803F5B"/>
    <w:rsid w:val="00810202"/>
    <w:rsid w:val="00832C52"/>
    <w:rsid w:val="008407E0"/>
    <w:rsid w:val="00843D5B"/>
    <w:rsid w:val="008546B9"/>
    <w:rsid w:val="00854C1F"/>
    <w:rsid w:val="008572F6"/>
    <w:rsid w:val="00861390"/>
    <w:rsid w:val="00871196"/>
    <w:rsid w:val="00891E3B"/>
    <w:rsid w:val="00895F09"/>
    <w:rsid w:val="008A6DB9"/>
    <w:rsid w:val="008B271A"/>
    <w:rsid w:val="008B540D"/>
    <w:rsid w:val="008D3DC2"/>
    <w:rsid w:val="008D4D73"/>
    <w:rsid w:val="008D77C9"/>
    <w:rsid w:val="008E0918"/>
    <w:rsid w:val="00903F09"/>
    <w:rsid w:val="00941F5B"/>
    <w:rsid w:val="00946F5E"/>
    <w:rsid w:val="009611BB"/>
    <w:rsid w:val="00971D8D"/>
    <w:rsid w:val="009862FD"/>
    <w:rsid w:val="009921C8"/>
    <w:rsid w:val="00997B56"/>
    <w:rsid w:val="009D1D51"/>
    <w:rsid w:val="009E7870"/>
    <w:rsid w:val="009F3606"/>
    <w:rsid w:val="009F49CF"/>
    <w:rsid w:val="009F7BE0"/>
    <w:rsid w:val="009F7D8D"/>
    <w:rsid w:val="00A079D2"/>
    <w:rsid w:val="00A207E3"/>
    <w:rsid w:val="00A24B08"/>
    <w:rsid w:val="00A34D64"/>
    <w:rsid w:val="00A50F7C"/>
    <w:rsid w:val="00A521F8"/>
    <w:rsid w:val="00A55EDF"/>
    <w:rsid w:val="00A731C2"/>
    <w:rsid w:val="00A77CA0"/>
    <w:rsid w:val="00A9003D"/>
    <w:rsid w:val="00AB30AA"/>
    <w:rsid w:val="00AC2E18"/>
    <w:rsid w:val="00AE03C8"/>
    <w:rsid w:val="00B12CF5"/>
    <w:rsid w:val="00B14D67"/>
    <w:rsid w:val="00B43DAA"/>
    <w:rsid w:val="00B5552C"/>
    <w:rsid w:val="00B55585"/>
    <w:rsid w:val="00B6151B"/>
    <w:rsid w:val="00B70905"/>
    <w:rsid w:val="00B718C8"/>
    <w:rsid w:val="00B91C60"/>
    <w:rsid w:val="00B93DB6"/>
    <w:rsid w:val="00BA713F"/>
    <w:rsid w:val="00BF36F2"/>
    <w:rsid w:val="00BF6989"/>
    <w:rsid w:val="00C06F92"/>
    <w:rsid w:val="00C17C41"/>
    <w:rsid w:val="00C241F0"/>
    <w:rsid w:val="00C421AA"/>
    <w:rsid w:val="00C53878"/>
    <w:rsid w:val="00C81372"/>
    <w:rsid w:val="00C90F55"/>
    <w:rsid w:val="00CA4149"/>
    <w:rsid w:val="00CB2E5E"/>
    <w:rsid w:val="00CD4B9B"/>
    <w:rsid w:val="00CD5A1E"/>
    <w:rsid w:val="00CD66BA"/>
    <w:rsid w:val="00CE04F6"/>
    <w:rsid w:val="00CF338F"/>
    <w:rsid w:val="00CF7660"/>
    <w:rsid w:val="00D000D8"/>
    <w:rsid w:val="00D14D99"/>
    <w:rsid w:val="00D23850"/>
    <w:rsid w:val="00D27272"/>
    <w:rsid w:val="00D331B3"/>
    <w:rsid w:val="00D33470"/>
    <w:rsid w:val="00D35294"/>
    <w:rsid w:val="00D5792E"/>
    <w:rsid w:val="00D67689"/>
    <w:rsid w:val="00D86509"/>
    <w:rsid w:val="00D92AAF"/>
    <w:rsid w:val="00DA1664"/>
    <w:rsid w:val="00DA6B76"/>
    <w:rsid w:val="00DA76A7"/>
    <w:rsid w:val="00DB26DE"/>
    <w:rsid w:val="00DF2238"/>
    <w:rsid w:val="00E340DF"/>
    <w:rsid w:val="00E571D5"/>
    <w:rsid w:val="00E57CD0"/>
    <w:rsid w:val="00E607DE"/>
    <w:rsid w:val="00E61FC9"/>
    <w:rsid w:val="00E83077"/>
    <w:rsid w:val="00EB27D1"/>
    <w:rsid w:val="00EB40CD"/>
    <w:rsid w:val="00ED276D"/>
    <w:rsid w:val="00ED6D76"/>
    <w:rsid w:val="00EF3448"/>
    <w:rsid w:val="00EF5691"/>
    <w:rsid w:val="00F37809"/>
    <w:rsid w:val="00F50002"/>
    <w:rsid w:val="00F5629B"/>
    <w:rsid w:val="00F6608C"/>
    <w:rsid w:val="00F72EEF"/>
    <w:rsid w:val="00F7421E"/>
    <w:rsid w:val="00F84FE0"/>
    <w:rsid w:val="00FA147D"/>
    <w:rsid w:val="00FA72CD"/>
    <w:rsid w:val="00FE6A6A"/>
    <w:rsid w:val="00FF13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7DF67"/>
  <w15:chartTrackingRefBased/>
  <w15:docId w15:val="{E6DA96C5-C5A5-472A-80B8-FA863883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D64"/>
    <w:pPr>
      <w:spacing w:line="256" w:lineRule="auto"/>
    </w:pPr>
  </w:style>
  <w:style w:type="paragraph" w:styleId="Heading1">
    <w:name w:val="heading 1"/>
    <w:basedOn w:val="Normal"/>
    <w:next w:val="Normal"/>
    <w:link w:val="Heading1Char"/>
    <w:uiPriority w:val="9"/>
    <w:qFormat/>
    <w:rsid w:val="009921C8"/>
    <w:pPr>
      <w:keepNext/>
      <w:spacing w:line="257" w:lineRule="auto"/>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CD66BA"/>
    <w:pPr>
      <w:keepNext/>
      <w:spacing w:line="257" w:lineRule="auto"/>
      <w:outlineLvl w:val="1"/>
    </w:pPr>
    <w:rPr>
      <w:rFonts w:ascii="Times New Roman" w:hAnsi="Times New Roman" w:cs="Times New Roman"/>
      <w:i/>
      <w:sz w:val="24"/>
      <w:szCs w:val="24"/>
    </w:rPr>
  </w:style>
  <w:style w:type="paragraph" w:styleId="Heading3">
    <w:name w:val="heading 3"/>
    <w:basedOn w:val="Normal"/>
    <w:next w:val="Normal"/>
    <w:link w:val="Heading3Char"/>
    <w:uiPriority w:val="9"/>
    <w:unhideWhenUsed/>
    <w:qFormat/>
    <w:rsid w:val="005F69EF"/>
    <w:pP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340C24"/>
    <w:pPr>
      <w:outlineLvl w:val="3"/>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56B90"/>
    <w:rPr>
      <w:sz w:val="16"/>
      <w:szCs w:val="16"/>
    </w:rPr>
  </w:style>
  <w:style w:type="paragraph" w:styleId="CommentText">
    <w:name w:val="annotation text"/>
    <w:basedOn w:val="Normal"/>
    <w:link w:val="CommentTextChar"/>
    <w:uiPriority w:val="99"/>
    <w:unhideWhenUsed/>
    <w:rsid w:val="00456B90"/>
    <w:pPr>
      <w:spacing w:line="240" w:lineRule="auto"/>
    </w:pPr>
    <w:rPr>
      <w:sz w:val="20"/>
      <w:szCs w:val="20"/>
    </w:rPr>
  </w:style>
  <w:style w:type="character" w:customStyle="1" w:styleId="CommentTextChar">
    <w:name w:val="Comment Text Char"/>
    <w:basedOn w:val="DefaultParagraphFont"/>
    <w:link w:val="CommentText"/>
    <w:uiPriority w:val="99"/>
    <w:rsid w:val="00456B90"/>
    <w:rPr>
      <w:sz w:val="20"/>
      <w:szCs w:val="20"/>
    </w:rPr>
  </w:style>
  <w:style w:type="paragraph" w:styleId="Revision">
    <w:name w:val="Revision"/>
    <w:hidden/>
    <w:uiPriority w:val="99"/>
    <w:semiHidden/>
    <w:rsid w:val="00702615"/>
    <w:pPr>
      <w:spacing w:after="0" w:line="240" w:lineRule="auto"/>
    </w:pPr>
  </w:style>
  <w:style w:type="paragraph" w:styleId="CommentSubject">
    <w:name w:val="annotation subject"/>
    <w:basedOn w:val="CommentText"/>
    <w:next w:val="CommentText"/>
    <w:link w:val="CommentSubjectChar"/>
    <w:uiPriority w:val="99"/>
    <w:semiHidden/>
    <w:unhideWhenUsed/>
    <w:rsid w:val="007F5E95"/>
    <w:rPr>
      <w:b/>
      <w:bCs/>
    </w:rPr>
  </w:style>
  <w:style w:type="character" w:customStyle="1" w:styleId="CommentSubjectChar">
    <w:name w:val="Comment Subject Char"/>
    <w:basedOn w:val="CommentTextChar"/>
    <w:link w:val="CommentSubject"/>
    <w:uiPriority w:val="99"/>
    <w:semiHidden/>
    <w:rsid w:val="007F5E95"/>
    <w:rPr>
      <w:b/>
      <w:bCs/>
      <w:sz w:val="20"/>
      <w:szCs w:val="20"/>
    </w:rPr>
  </w:style>
  <w:style w:type="paragraph" w:styleId="Header">
    <w:name w:val="header"/>
    <w:basedOn w:val="Normal"/>
    <w:link w:val="HeaderChar"/>
    <w:uiPriority w:val="99"/>
    <w:unhideWhenUsed/>
    <w:rsid w:val="00CA4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149"/>
  </w:style>
  <w:style w:type="paragraph" w:styleId="Footer">
    <w:name w:val="footer"/>
    <w:basedOn w:val="Normal"/>
    <w:link w:val="FooterChar"/>
    <w:uiPriority w:val="99"/>
    <w:unhideWhenUsed/>
    <w:rsid w:val="00CA4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149"/>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C06F92"/>
    <w:pPr>
      <w:spacing w:before="240" w:after="0" w:line="240" w:lineRule="auto"/>
      <w:ind w:left="720"/>
      <w:contextualSpacing/>
    </w:pPr>
    <w:rPr>
      <w:rFonts w:ascii="Times New Roman" w:eastAsia="Times New Roman" w:hAnsi="Times New Roman" w:cs="Times New Roman"/>
      <w:sz w:val="24"/>
      <w:szCs w:val="20"/>
      <w:lang w:eastAsia="en-AU"/>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locked/>
    <w:rsid w:val="00C06F92"/>
    <w:rPr>
      <w:rFonts w:ascii="Times New Roman" w:eastAsia="Times New Roman" w:hAnsi="Times New Roman" w:cs="Times New Roman"/>
      <w:sz w:val="24"/>
      <w:szCs w:val="20"/>
      <w:lang w:eastAsia="en-AU"/>
    </w:rPr>
  </w:style>
  <w:style w:type="character" w:styleId="Hyperlink">
    <w:name w:val="Hyperlink"/>
    <w:basedOn w:val="DefaultParagraphFont"/>
    <w:uiPriority w:val="99"/>
    <w:unhideWhenUsed/>
    <w:rsid w:val="001B3A06"/>
    <w:rPr>
      <w:color w:val="0563C1" w:themeColor="hyperlink"/>
      <w:u w:val="single"/>
    </w:rPr>
  </w:style>
  <w:style w:type="character" w:styleId="UnresolvedMention">
    <w:name w:val="Unresolved Mention"/>
    <w:basedOn w:val="DefaultParagraphFont"/>
    <w:uiPriority w:val="99"/>
    <w:semiHidden/>
    <w:unhideWhenUsed/>
    <w:rsid w:val="001B3A06"/>
    <w:rPr>
      <w:color w:val="605E5C"/>
      <w:shd w:val="clear" w:color="auto" w:fill="E1DFDD"/>
    </w:rPr>
  </w:style>
  <w:style w:type="paragraph" w:styleId="Title">
    <w:name w:val="Title"/>
    <w:basedOn w:val="Normal"/>
    <w:next w:val="Normal"/>
    <w:link w:val="TitleChar"/>
    <w:uiPriority w:val="10"/>
    <w:qFormat/>
    <w:rsid w:val="00E83077"/>
    <w:pPr>
      <w:jc w:val="center"/>
    </w:pPr>
    <w:rPr>
      <w:rFonts w:ascii="Times New Roman" w:hAnsi="Times New Roman" w:cs="Times New Roman"/>
      <w:b/>
      <w:bCs/>
      <w:sz w:val="28"/>
      <w:szCs w:val="28"/>
    </w:rPr>
  </w:style>
  <w:style w:type="character" w:customStyle="1" w:styleId="TitleChar">
    <w:name w:val="Title Char"/>
    <w:basedOn w:val="DefaultParagraphFont"/>
    <w:link w:val="Title"/>
    <w:uiPriority w:val="10"/>
    <w:rsid w:val="00E83077"/>
    <w:rPr>
      <w:rFonts w:ascii="Times New Roman" w:hAnsi="Times New Roman" w:cs="Times New Roman"/>
      <w:b/>
      <w:bCs/>
      <w:sz w:val="28"/>
      <w:szCs w:val="28"/>
    </w:rPr>
  </w:style>
  <w:style w:type="paragraph" w:styleId="Subtitle">
    <w:name w:val="Subtitle"/>
    <w:basedOn w:val="Normal"/>
    <w:next w:val="Normal"/>
    <w:link w:val="SubtitleChar"/>
    <w:uiPriority w:val="11"/>
    <w:qFormat/>
    <w:rsid w:val="00CE04F6"/>
    <w:pPr>
      <w:jc w:val="center"/>
    </w:pPr>
    <w:rPr>
      <w:rFonts w:ascii="Times New Roman" w:hAnsi="Times New Roman" w:cs="Times New Roman"/>
      <w:b/>
      <w:bCs/>
      <w:sz w:val="24"/>
      <w:szCs w:val="24"/>
    </w:rPr>
  </w:style>
  <w:style w:type="character" w:customStyle="1" w:styleId="SubtitleChar">
    <w:name w:val="Subtitle Char"/>
    <w:basedOn w:val="DefaultParagraphFont"/>
    <w:link w:val="Subtitle"/>
    <w:uiPriority w:val="11"/>
    <w:rsid w:val="00CE04F6"/>
    <w:rPr>
      <w:rFonts w:ascii="Times New Roman" w:hAnsi="Times New Roman" w:cs="Times New Roman"/>
      <w:b/>
      <w:bCs/>
      <w:sz w:val="24"/>
      <w:szCs w:val="24"/>
    </w:rPr>
  </w:style>
  <w:style w:type="character" w:customStyle="1" w:styleId="Heading1Char">
    <w:name w:val="Heading 1 Char"/>
    <w:basedOn w:val="DefaultParagraphFont"/>
    <w:link w:val="Heading1"/>
    <w:uiPriority w:val="9"/>
    <w:rsid w:val="009921C8"/>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CD66BA"/>
    <w:rPr>
      <w:rFonts w:ascii="Times New Roman" w:hAnsi="Times New Roman" w:cs="Times New Roman"/>
      <w:i/>
      <w:sz w:val="24"/>
      <w:szCs w:val="24"/>
    </w:rPr>
  </w:style>
  <w:style w:type="character" w:customStyle="1" w:styleId="Heading3Char">
    <w:name w:val="Heading 3 Char"/>
    <w:basedOn w:val="DefaultParagraphFont"/>
    <w:link w:val="Heading3"/>
    <w:uiPriority w:val="9"/>
    <w:rsid w:val="005F69EF"/>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340C24"/>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5BE0CA9-3FE5-4DB8-A344-3EDDF2D97C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01C9C4D09768249BA20E07681DAC419" ma:contentTypeVersion="" ma:contentTypeDescription="PDMS Document Site Content Type" ma:contentTypeScope="" ma:versionID="0b86b9512f9453f02f103c24226f6096">
  <xsd:schema xmlns:xsd="http://www.w3.org/2001/XMLSchema" xmlns:xs="http://www.w3.org/2001/XMLSchema" xmlns:p="http://schemas.microsoft.com/office/2006/metadata/properties" xmlns:ns2="85BE0CA9-3FE5-4DB8-A344-3EDDF2D97C2E" targetNamespace="http://schemas.microsoft.com/office/2006/metadata/properties" ma:root="true" ma:fieldsID="baee44b5d391d70b73975a9a0fa88b9c" ns2:_="">
    <xsd:import namespace="85BE0CA9-3FE5-4DB8-A344-3EDDF2D97C2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E0CA9-3FE5-4DB8-A344-3EDDF2D97C2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38B62-6BBB-4AFC-90ED-4699B8621831}">
  <ds:schemaRefs>
    <ds:schemaRef ds:uri="http://schemas.microsoft.com/office/2006/metadata/properties"/>
    <ds:schemaRef ds:uri="85BE0CA9-3FE5-4DB8-A344-3EDDF2D97C2E"/>
    <ds:schemaRef ds:uri="http://purl.org/dc/terms/"/>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245CE60-2E1B-4486-94AC-D3171D160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E0CA9-3FE5-4DB8-A344-3EDDF2D97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3C8941-BDA3-4C23-8EB3-F55212520C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3040</Words>
  <Characters>17334</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Schools Legal Team</dc:creator>
  <cp:keywords/>
  <dc:description/>
  <cp:lastModifiedBy>KRISHNAPPA,Varsha</cp:lastModifiedBy>
  <cp:revision>2</cp:revision>
  <dcterms:created xsi:type="dcterms:W3CDTF">2025-09-29T06:52:00Z</dcterms:created>
  <dcterms:modified xsi:type="dcterms:W3CDTF">2025-09-29T06:52:00Z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2023-08-03T05:41:37Z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b3d812c4-14d2-4127-9f6d-e4e51ce046bc</vt:lpwstr>
  </property>
  <property fmtid="{D5CDD505-2E9C-101B-9397-08002B2CF9AE}" pid="8" name="MSIP_Label_79d889eb-932f-4752-8739-64d25806ef64_ContentBits">
    <vt:lpwstr>0</vt:lpwstr>
  </property>
  <property fmtid="{D5CDD505-2E9C-101B-9397-08002B2CF9AE}" pid="9" name="ContentTypeId">
    <vt:lpwstr>0x010100266966F133664895A6EE3632470D45F500501C9C4D09768249BA20E07681DAC419</vt:lpwstr>
  </property>
</Properties>
</file>