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CB22F" w14:textId="77777777" w:rsidR="000E6C4E" w:rsidRPr="00822447" w:rsidRDefault="0057002B" w:rsidP="00BB0CF2">
      <w:pPr>
        <w:pStyle w:val="ESTitleHeader"/>
        <w:rPr>
          <w:sz w:val="24"/>
          <w:szCs w:val="24"/>
        </w:rPr>
      </w:pPr>
      <w:bookmarkStart w:id="0" w:name="_GoBack"/>
      <w:bookmarkEnd w:id="0"/>
      <w:r w:rsidRPr="00822447">
        <w:rPr>
          <w:sz w:val="24"/>
          <w:szCs w:val="24"/>
        </w:rPr>
        <w:t>EXPLANATORY STATEMENT</w:t>
      </w:r>
    </w:p>
    <w:p w14:paraId="6B4C7A3B" w14:textId="77777777" w:rsidR="0057002B" w:rsidRPr="00822447" w:rsidRDefault="0057002B" w:rsidP="00BB0CF2">
      <w:pPr>
        <w:pStyle w:val="ESTitleDecisionMaker"/>
        <w:rPr>
          <w:sz w:val="24"/>
          <w:szCs w:val="24"/>
        </w:rPr>
      </w:pPr>
      <w:r w:rsidRPr="00822447">
        <w:rPr>
          <w:sz w:val="24"/>
          <w:szCs w:val="24"/>
        </w:rPr>
        <w:t xml:space="preserve">Issued by authority of </w:t>
      </w:r>
      <w:r w:rsidR="00206DDE">
        <w:rPr>
          <w:sz w:val="24"/>
          <w:szCs w:val="24"/>
        </w:rPr>
        <w:t xml:space="preserve">the </w:t>
      </w:r>
      <w:r w:rsidR="00F47336">
        <w:rPr>
          <w:sz w:val="24"/>
          <w:szCs w:val="24"/>
        </w:rPr>
        <w:t>Minister for Defence</w:t>
      </w:r>
    </w:p>
    <w:p w14:paraId="6FFA1C5F" w14:textId="77777777" w:rsidR="0057002B" w:rsidRPr="00652C0B" w:rsidRDefault="00F47336" w:rsidP="00041419">
      <w:pPr>
        <w:pStyle w:val="ESTitleInstrumentName"/>
        <w:spacing w:before="0" w:after="160"/>
        <w:rPr>
          <w:b w:val="0"/>
          <w:sz w:val="24"/>
          <w:szCs w:val="24"/>
        </w:rPr>
      </w:pPr>
      <w:r>
        <w:rPr>
          <w:b w:val="0"/>
          <w:sz w:val="24"/>
          <w:szCs w:val="24"/>
        </w:rPr>
        <w:t>Defence Act 1903</w:t>
      </w:r>
    </w:p>
    <w:p w14:paraId="691F5AED" w14:textId="0B8755C9" w:rsidR="00652C0B" w:rsidRPr="00206DDE" w:rsidRDefault="00F47336" w:rsidP="00C13FCA">
      <w:pPr>
        <w:pStyle w:val="ESTitleInstrumentName"/>
        <w:spacing w:before="0" w:after="160"/>
        <w:rPr>
          <w:sz w:val="24"/>
          <w:szCs w:val="24"/>
        </w:rPr>
      </w:pPr>
      <w:r>
        <w:rPr>
          <w:sz w:val="24"/>
          <w:szCs w:val="24"/>
        </w:rPr>
        <w:t xml:space="preserve">Woomera Prohibited Area </w:t>
      </w:r>
      <w:r w:rsidR="00DA58F4">
        <w:rPr>
          <w:sz w:val="24"/>
          <w:szCs w:val="24"/>
        </w:rPr>
        <w:t>(</w:t>
      </w:r>
      <w:r>
        <w:rPr>
          <w:sz w:val="24"/>
          <w:szCs w:val="24"/>
        </w:rPr>
        <w:t xml:space="preserve">Exclusion Periods for the Green Zone for 27 October 2025 to </w:t>
      </w:r>
      <w:r w:rsidR="00C13FCA">
        <w:rPr>
          <w:sz w:val="24"/>
          <w:szCs w:val="24"/>
        </w:rPr>
        <w:br/>
      </w:r>
      <w:r>
        <w:rPr>
          <w:sz w:val="24"/>
          <w:szCs w:val="24"/>
        </w:rPr>
        <w:t>16 November 2025</w:t>
      </w:r>
      <w:r w:rsidR="00DA58F4">
        <w:rPr>
          <w:sz w:val="24"/>
          <w:szCs w:val="24"/>
        </w:rPr>
        <w:t>) Determination 2025</w:t>
      </w:r>
    </w:p>
    <w:p w14:paraId="72F01E05" w14:textId="77777777" w:rsidR="008D3593" w:rsidRPr="00822447" w:rsidRDefault="008D3593" w:rsidP="00316E46">
      <w:pPr>
        <w:pStyle w:val="ESHeading"/>
        <w:spacing w:after="0" w:line="240" w:lineRule="auto"/>
        <w:rPr>
          <w:sz w:val="24"/>
          <w:szCs w:val="24"/>
        </w:rPr>
      </w:pPr>
      <w:r>
        <w:rPr>
          <w:sz w:val="24"/>
          <w:szCs w:val="24"/>
        </w:rPr>
        <w:t>Authority</w:t>
      </w:r>
    </w:p>
    <w:p w14:paraId="00BCA38D" w14:textId="7EAE3E83" w:rsidR="00F47336" w:rsidRPr="00F47336" w:rsidRDefault="00F47336" w:rsidP="00F47336">
      <w:pPr>
        <w:pStyle w:val="ESPara"/>
        <w:rPr>
          <w:sz w:val="24"/>
          <w:szCs w:val="24"/>
        </w:rPr>
      </w:pPr>
      <w:r w:rsidRPr="00F47336">
        <w:rPr>
          <w:sz w:val="24"/>
          <w:szCs w:val="24"/>
        </w:rPr>
        <w:t xml:space="preserve">The </w:t>
      </w:r>
      <w:r w:rsidRPr="00F47336">
        <w:rPr>
          <w:i/>
          <w:sz w:val="24"/>
          <w:szCs w:val="24"/>
        </w:rPr>
        <w:t xml:space="preserve">Woomera Prohibited Area </w:t>
      </w:r>
      <w:r w:rsidR="00DA58F4">
        <w:rPr>
          <w:i/>
          <w:sz w:val="24"/>
          <w:szCs w:val="24"/>
        </w:rPr>
        <w:t>(</w:t>
      </w:r>
      <w:r w:rsidRPr="00F47336">
        <w:rPr>
          <w:i/>
          <w:sz w:val="24"/>
          <w:szCs w:val="24"/>
        </w:rPr>
        <w:t xml:space="preserve">Exclusion Periods for the Green Zone for 27 October 2025 to </w:t>
      </w:r>
      <w:r w:rsidR="00C13FCA">
        <w:rPr>
          <w:i/>
          <w:sz w:val="24"/>
          <w:szCs w:val="24"/>
        </w:rPr>
        <w:br/>
      </w:r>
      <w:r w:rsidRPr="00F47336">
        <w:rPr>
          <w:i/>
          <w:sz w:val="24"/>
          <w:szCs w:val="24"/>
        </w:rPr>
        <w:t>16 November 2025</w:t>
      </w:r>
      <w:r w:rsidR="00DA58F4">
        <w:rPr>
          <w:i/>
          <w:sz w:val="24"/>
          <w:szCs w:val="24"/>
        </w:rPr>
        <w:t>) Determination 2025</w:t>
      </w:r>
      <w:r w:rsidRPr="00F47336">
        <w:rPr>
          <w:sz w:val="24"/>
          <w:szCs w:val="24"/>
        </w:rPr>
        <w:t xml:space="preserve"> (the Determination) is made under subsection 8(1) of the </w:t>
      </w:r>
      <w:r w:rsidRPr="00F47336">
        <w:rPr>
          <w:i/>
          <w:sz w:val="24"/>
          <w:szCs w:val="24"/>
        </w:rPr>
        <w:t>Woomera Prohibited Area Rule 2014</w:t>
      </w:r>
      <w:r w:rsidRPr="00F47336">
        <w:rPr>
          <w:sz w:val="24"/>
          <w:szCs w:val="24"/>
        </w:rPr>
        <w:t xml:space="preserve"> (Rule).</w:t>
      </w:r>
    </w:p>
    <w:p w14:paraId="5FDB03E7" w14:textId="77777777" w:rsidR="00F47336" w:rsidRPr="00F47336" w:rsidRDefault="00F47336" w:rsidP="00F47336">
      <w:pPr>
        <w:pStyle w:val="ESPara"/>
        <w:rPr>
          <w:sz w:val="24"/>
          <w:szCs w:val="24"/>
        </w:rPr>
      </w:pPr>
      <w:r w:rsidRPr="00F47336">
        <w:rPr>
          <w:sz w:val="24"/>
          <w:szCs w:val="24"/>
        </w:rPr>
        <w:t xml:space="preserve">Subsection 8(1) of the Rule provides that the Minister may, by legislative instrument, determine exclusion periods </w:t>
      </w:r>
      <w:r w:rsidR="00DA1F7F">
        <w:rPr>
          <w:sz w:val="24"/>
          <w:szCs w:val="24"/>
        </w:rPr>
        <w:t xml:space="preserve">for a financial year </w:t>
      </w:r>
      <w:r w:rsidRPr="00F47336">
        <w:rPr>
          <w:sz w:val="24"/>
          <w:szCs w:val="24"/>
        </w:rPr>
        <w:t xml:space="preserve">for the Green Zone in the Woomera Prohibited Area (WPA). </w:t>
      </w:r>
      <w:r w:rsidR="002621DF">
        <w:rPr>
          <w:sz w:val="24"/>
          <w:szCs w:val="24"/>
        </w:rPr>
        <w:t>Relevantly, s</w:t>
      </w:r>
      <w:r w:rsidRPr="00F47336">
        <w:rPr>
          <w:sz w:val="24"/>
          <w:szCs w:val="24"/>
        </w:rPr>
        <w:t xml:space="preserve">ubsection 8(4) of the Rule </w:t>
      </w:r>
      <w:r w:rsidR="002621DF">
        <w:rPr>
          <w:sz w:val="24"/>
          <w:szCs w:val="24"/>
        </w:rPr>
        <w:t xml:space="preserve">also </w:t>
      </w:r>
      <w:r w:rsidRPr="00F47336">
        <w:rPr>
          <w:sz w:val="24"/>
          <w:szCs w:val="24"/>
        </w:rPr>
        <w:t>provides that an exclusion period may apply to a part of a zone within the WPA.</w:t>
      </w:r>
    </w:p>
    <w:p w14:paraId="7031B126" w14:textId="23C03D44" w:rsidR="00B72B1B" w:rsidRPr="00A1336B" w:rsidRDefault="00F47336" w:rsidP="00A1336B">
      <w:pPr>
        <w:pStyle w:val="ESPara"/>
        <w:rPr>
          <w:sz w:val="24"/>
          <w:szCs w:val="24"/>
        </w:rPr>
      </w:pPr>
      <w:r w:rsidRPr="00F47336">
        <w:rPr>
          <w:sz w:val="24"/>
          <w:szCs w:val="24"/>
        </w:rPr>
        <w:t>Under subsection 63(2) of the Rule</w:t>
      </w:r>
      <w:r w:rsidR="00DA1F7F">
        <w:rPr>
          <w:sz w:val="24"/>
          <w:szCs w:val="24"/>
        </w:rPr>
        <w:t>,</w:t>
      </w:r>
      <w:r w:rsidRPr="00F47336">
        <w:rPr>
          <w:sz w:val="24"/>
          <w:szCs w:val="24"/>
        </w:rPr>
        <w:t xml:space="preserve"> the Minister </w:t>
      </w:r>
      <w:r w:rsidR="009B5A58">
        <w:rPr>
          <w:sz w:val="24"/>
          <w:szCs w:val="24"/>
        </w:rPr>
        <w:t>may</w:t>
      </w:r>
      <w:r w:rsidRPr="00F47336">
        <w:rPr>
          <w:sz w:val="24"/>
          <w:szCs w:val="24"/>
        </w:rPr>
        <w:t xml:space="preserve"> delegate the power to determine exclusion periods, including to an APS employee who holds or performs the duties of an Executive Level 1 position, or an equivalent or higher position, within the Department of Defence (Defence). </w:t>
      </w:r>
      <w:r w:rsidR="00A1336B" w:rsidRPr="00A1336B">
        <w:rPr>
          <w:sz w:val="24"/>
          <w:szCs w:val="24"/>
        </w:rPr>
        <w:t xml:space="preserve">On </w:t>
      </w:r>
      <w:r w:rsidR="00B46397">
        <w:rPr>
          <w:sz w:val="24"/>
          <w:szCs w:val="24"/>
        </w:rPr>
        <w:t>12 September 2022</w:t>
      </w:r>
      <w:r w:rsidR="00A1336B" w:rsidRPr="00A1336B">
        <w:rPr>
          <w:sz w:val="24"/>
          <w:szCs w:val="24"/>
        </w:rPr>
        <w:t xml:space="preserve">, the Minister delegated this power by written instrument, to the Director of the Woomera Prohibited Area Coordination Office. </w:t>
      </w:r>
      <w:r w:rsidR="00A1336B" w:rsidRPr="00A1336B" w:rsidDel="00A1336B">
        <w:rPr>
          <w:sz w:val="24"/>
          <w:szCs w:val="24"/>
        </w:rPr>
        <w:t xml:space="preserve"> </w:t>
      </w:r>
    </w:p>
    <w:p w14:paraId="3D65EA41" w14:textId="77777777" w:rsidR="008D3593" w:rsidRPr="004A49CA" w:rsidRDefault="008D3593" w:rsidP="00A1336B">
      <w:pPr>
        <w:pStyle w:val="ESPara"/>
        <w:rPr>
          <w:b/>
          <w:i/>
          <w:sz w:val="24"/>
          <w:szCs w:val="24"/>
        </w:rPr>
      </w:pPr>
      <w:r w:rsidRPr="004A49CA">
        <w:rPr>
          <w:b/>
          <w:i/>
          <w:sz w:val="24"/>
          <w:szCs w:val="24"/>
        </w:rPr>
        <w:t>Background</w:t>
      </w:r>
    </w:p>
    <w:p w14:paraId="09D88560" w14:textId="77777777" w:rsidR="003374F1" w:rsidRDefault="00F47336" w:rsidP="00A1336B">
      <w:pPr>
        <w:pStyle w:val="ESHeading"/>
        <w:rPr>
          <w:b w:val="0"/>
          <w:i w:val="0"/>
          <w:sz w:val="24"/>
          <w:szCs w:val="24"/>
        </w:rPr>
      </w:pPr>
      <w:r w:rsidRPr="004A49CA">
        <w:rPr>
          <w:b w:val="0"/>
          <w:i w:val="0"/>
          <w:sz w:val="24"/>
          <w:szCs w:val="24"/>
        </w:rPr>
        <w:t>In 2014</w:t>
      </w:r>
      <w:r w:rsidR="00DA1F7F" w:rsidRPr="004A49CA">
        <w:rPr>
          <w:b w:val="0"/>
          <w:i w:val="0"/>
          <w:sz w:val="24"/>
          <w:szCs w:val="24"/>
        </w:rPr>
        <w:t>, the Defence Legislation Amendment (Woomera Prohibited Area) Act 2014</w:t>
      </w:r>
      <w:r w:rsidRPr="004A49CA">
        <w:rPr>
          <w:b w:val="0"/>
          <w:i w:val="0"/>
          <w:sz w:val="24"/>
          <w:szCs w:val="24"/>
        </w:rPr>
        <w:t xml:space="preserve"> </w:t>
      </w:r>
      <w:r w:rsidR="00DA1F7F" w:rsidRPr="004A49CA">
        <w:rPr>
          <w:b w:val="0"/>
          <w:i w:val="0"/>
          <w:sz w:val="24"/>
          <w:szCs w:val="24"/>
        </w:rPr>
        <w:t>amended</w:t>
      </w:r>
      <w:r w:rsidRPr="004A49CA">
        <w:rPr>
          <w:b w:val="0"/>
          <w:i w:val="0"/>
          <w:sz w:val="24"/>
          <w:szCs w:val="24"/>
        </w:rPr>
        <w:t xml:space="preserve"> the Defence Act 1903</w:t>
      </w:r>
      <w:r w:rsidR="003374F1" w:rsidRPr="004A49CA">
        <w:rPr>
          <w:b w:val="0"/>
          <w:i w:val="0"/>
          <w:sz w:val="24"/>
          <w:szCs w:val="24"/>
        </w:rPr>
        <w:t>. These amendment</w:t>
      </w:r>
      <w:r w:rsidR="003374F1">
        <w:rPr>
          <w:b w:val="0"/>
          <w:i w:val="0"/>
          <w:sz w:val="24"/>
          <w:szCs w:val="24"/>
        </w:rPr>
        <w:t>s gave effect to the</w:t>
      </w:r>
      <w:r w:rsidRPr="00F47336">
        <w:rPr>
          <w:b w:val="0"/>
          <w:i w:val="0"/>
          <w:sz w:val="24"/>
          <w:szCs w:val="24"/>
        </w:rPr>
        <w:t xml:space="preserve"> recommendations </w:t>
      </w:r>
      <w:r w:rsidR="003374F1">
        <w:rPr>
          <w:b w:val="0"/>
          <w:i w:val="0"/>
          <w:sz w:val="24"/>
          <w:szCs w:val="24"/>
        </w:rPr>
        <w:t xml:space="preserve">made in the </w:t>
      </w:r>
      <w:r w:rsidR="003374F1" w:rsidRPr="007706C2">
        <w:rPr>
          <w:b w:val="0"/>
          <w:sz w:val="24"/>
          <w:szCs w:val="24"/>
        </w:rPr>
        <w:t>Final Report of the Review of the Woomera Prohibited Area</w:t>
      </w:r>
      <w:r w:rsidR="003374F1">
        <w:rPr>
          <w:b w:val="0"/>
          <w:i w:val="0"/>
          <w:sz w:val="24"/>
          <w:szCs w:val="24"/>
        </w:rPr>
        <w:t>, released on 3 May 2011</w:t>
      </w:r>
      <w:r w:rsidRPr="00F47336">
        <w:rPr>
          <w:b w:val="0"/>
          <w:i w:val="0"/>
          <w:sz w:val="24"/>
          <w:szCs w:val="24"/>
        </w:rPr>
        <w:t xml:space="preserve">. </w:t>
      </w:r>
    </w:p>
    <w:p w14:paraId="52816B79" w14:textId="77777777" w:rsidR="00F47336" w:rsidRPr="00F47336" w:rsidRDefault="00F47336" w:rsidP="00F47336">
      <w:pPr>
        <w:pStyle w:val="ESHeading"/>
        <w:rPr>
          <w:b w:val="0"/>
          <w:i w:val="0"/>
          <w:sz w:val="24"/>
          <w:szCs w:val="24"/>
        </w:rPr>
      </w:pPr>
      <w:r w:rsidRPr="00F47336">
        <w:rPr>
          <w:b w:val="0"/>
          <w:i w:val="0"/>
          <w:sz w:val="24"/>
          <w:szCs w:val="24"/>
        </w:rPr>
        <w:t xml:space="preserve">The amendments </w:t>
      </w:r>
      <w:r w:rsidR="0079235F">
        <w:rPr>
          <w:b w:val="0"/>
          <w:i w:val="0"/>
          <w:sz w:val="24"/>
          <w:szCs w:val="24"/>
        </w:rPr>
        <w:t>empower the Minister to make, by legislative instrument, rules in relation to the WPA. Accordingly, on 25 August 2024, the Minister exercis</w:t>
      </w:r>
      <w:r w:rsidR="002621DF">
        <w:rPr>
          <w:b w:val="0"/>
          <w:i w:val="0"/>
          <w:sz w:val="24"/>
          <w:szCs w:val="24"/>
        </w:rPr>
        <w:t>ed this power and made the Rule</w:t>
      </w:r>
      <w:r w:rsidR="0079235F">
        <w:rPr>
          <w:b w:val="0"/>
          <w:i w:val="0"/>
          <w:sz w:val="24"/>
          <w:szCs w:val="24"/>
        </w:rPr>
        <w:t xml:space="preserve">.  </w:t>
      </w:r>
      <w:r w:rsidR="003374F1">
        <w:rPr>
          <w:b w:val="0"/>
          <w:i w:val="0"/>
          <w:sz w:val="24"/>
          <w:szCs w:val="24"/>
        </w:rPr>
        <w:t>Relevantly, the</w:t>
      </w:r>
      <w:r w:rsidRPr="00F47336">
        <w:rPr>
          <w:b w:val="0"/>
          <w:i w:val="0"/>
          <w:sz w:val="24"/>
          <w:szCs w:val="24"/>
        </w:rPr>
        <w:t xml:space="preserve"> Rule </w:t>
      </w:r>
      <w:r w:rsidR="003374F1">
        <w:rPr>
          <w:b w:val="0"/>
          <w:i w:val="0"/>
          <w:sz w:val="24"/>
          <w:szCs w:val="24"/>
        </w:rPr>
        <w:t>allow</w:t>
      </w:r>
      <w:r w:rsidR="002621DF">
        <w:rPr>
          <w:b w:val="0"/>
          <w:i w:val="0"/>
          <w:sz w:val="24"/>
          <w:szCs w:val="24"/>
        </w:rPr>
        <w:t>s</w:t>
      </w:r>
      <w:r w:rsidR="003374F1">
        <w:rPr>
          <w:b w:val="0"/>
          <w:i w:val="0"/>
          <w:sz w:val="24"/>
          <w:szCs w:val="24"/>
        </w:rPr>
        <w:t xml:space="preserve"> </w:t>
      </w:r>
      <w:r w:rsidR="0079235F">
        <w:rPr>
          <w:b w:val="0"/>
          <w:i w:val="0"/>
          <w:sz w:val="24"/>
          <w:szCs w:val="24"/>
        </w:rPr>
        <w:t>for the issuing of permits for non-Defence members to access the WPA</w:t>
      </w:r>
      <w:r w:rsidR="002621DF">
        <w:rPr>
          <w:b w:val="0"/>
          <w:i w:val="0"/>
          <w:sz w:val="24"/>
          <w:szCs w:val="24"/>
        </w:rPr>
        <w:t>. Under the Rule</w:t>
      </w:r>
      <w:r w:rsidR="0079235F">
        <w:rPr>
          <w:b w:val="0"/>
          <w:i w:val="0"/>
          <w:sz w:val="24"/>
          <w:szCs w:val="24"/>
        </w:rPr>
        <w:t xml:space="preserve">, </w:t>
      </w:r>
      <w:r w:rsidR="003374F1">
        <w:rPr>
          <w:b w:val="0"/>
          <w:i w:val="0"/>
          <w:sz w:val="24"/>
          <w:szCs w:val="24"/>
        </w:rPr>
        <w:t xml:space="preserve">the Minister </w:t>
      </w:r>
      <w:r w:rsidR="0079235F">
        <w:rPr>
          <w:b w:val="0"/>
          <w:i w:val="0"/>
          <w:sz w:val="24"/>
          <w:szCs w:val="24"/>
        </w:rPr>
        <w:t>may</w:t>
      </w:r>
      <w:r w:rsidRPr="00F47336">
        <w:rPr>
          <w:b w:val="0"/>
          <w:i w:val="0"/>
          <w:sz w:val="24"/>
          <w:szCs w:val="24"/>
        </w:rPr>
        <w:t xml:space="preserve"> prescribe zones within the WPA</w:t>
      </w:r>
      <w:r w:rsidR="003374F1">
        <w:rPr>
          <w:b w:val="0"/>
          <w:i w:val="0"/>
          <w:sz w:val="24"/>
          <w:szCs w:val="24"/>
        </w:rPr>
        <w:t>,</w:t>
      </w:r>
      <w:r w:rsidRPr="00F47336">
        <w:rPr>
          <w:b w:val="0"/>
          <w:i w:val="0"/>
          <w:sz w:val="24"/>
          <w:szCs w:val="24"/>
        </w:rPr>
        <w:t xml:space="preserve"> and make provision for exclusion periods within those prescribed zones.</w:t>
      </w:r>
    </w:p>
    <w:p w14:paraId="4A04D241" w14:textId="77777777" w:rsidR="00F47336" w:rsidRDefault="00F47336" w:rsidP="00F47336">
      <w:pPr>
        <w:pStyle w:val="ESHeading"/>
        <w:rPr>
          <w:b w:val="0"/>
          <w:i w:val="0"/>
          <w:sz w:val="24"/>
          <w:szCs w:val="24"/>
        </w:rPr>
      </w:pPr>
      <w:r w:rsidRPr="00F47336">
        <w:rPr>
          <w:b w:val="0"/>
          <w:i w:val="0"/>
          <w:sz w:val="24"/>
          <w:szCs w:val="24"/>
        </w:rPr>
        <w:t xml:space="preserve">The legislative framework governing the WPA is predicated upon a coexistence model. It provides non-Defence users with greater certainty over Defence activity taking place within the WPA. It allows users to make commercial decisions with some assurance as to when they will be requested to leave the area due to scheduled Defence activity. </w:t>
      </w:r>
    </w:p>
    <w:p w14:paraId="3602E486" w14:textId="77777777" w:rsidR="009B5A58" w:rsidRDefault="009B5A58" w:rsidP="002D167E">
      <w:pPr>
        <w:pStyle w:val="ESPara"/>
        <w:rPr>
          <w:b/>
          <w:i/>
          <w:sz w:val="24"/>
          <w:szCs w:val="24"/>
        </w:rPr>
      </w:pPr>
      <w:r>
        <w:rPr>
          <w:b/>
          <w:i/>
          <w:sz w:val="24"/>
          <w:szCs w:val="24"/>
        </w:rPr>
        <w:t xml:space="preserve">Details of the instrument </w:t>
      </w:r>
    </w:p>
    <w:p w14:paraId="2805CB83" w14:textId="77777777" w:rsidR="00E03DCC" w:rsidRDefault="008D3593" w:rsidP="002D167E">
      <w:pPr>
        <w:pStyle w:val="ESPara"/>
        <w:rPr>
          <w:sz w:val="24"/>
          <w:szCs w:val="24"/>
        </w:rPr>
      </w:pPr>
      <w:r w:rsidRPr="003374F1">
        <w:rPr>
          <w:sz w:val="24"/>
          <w:szCs w:val="24"/>
        </w:rPr>
        <w:t>Details of</w:t>
      </w:r>
      <w:r>
        <w:rPr>
          <w:sz w:val="24"/>
          <w:szCs w:val="24"/>
        </w:rPr>
        <w:t xml:space="preserve"> the </w:t>
      </w:r>
      <w:r w:rsidR="00B72B1B">
        <w:rPr>
          <w:sz w:val="24"/>
          <w:szCs w:val="24"/>
        </w:rPr>
        <w:t>instrument</w:t>
      </w:r>
      <w:r w:rsidR="007E4691" w:rsidRPr="00822447">
        <w:rPr>
          <w:sz w:val="24"/>
          <w:szCs w:val="24"/>
        </w:rPr>
        <w:t xml:space="preserve"> are set out in </w:t>
      </w:r>
      <w:r w:rsidR="007E4691" w:rsidRPr="00FF43C1">
        <w:rPr>
          <w:sz w:val="24"/>
          <w:szCs w:val="24"/>
          <w:u w:val="single"/>
        </w:rPr>
        <w:t>Attachment</w:t>
      </w:r>
      <w:r w:rsidR="00FF43C1">
        <w:rPr>
          <w:sz w:val="24"/>
          <w:szCs w:val="24"/>
          <w:u w:val="single"/>
        </w:rPr>
        <w:t> </w:t>
      </w:r>
      <w:r w:rsidR="00735916" w:rsidRPr="00FF43C1">
        <w:rPr>
          <w:sz w:val="24"/>
          <w:szCs w:val="24"/>
          <w:u w:val="single"/>
        </w:rPr>
        <w:t>A</w:t>
      </w:r>
      <w:r w:rsidR="00783BFA" w:rsidRPr="00822447">
        <w:rPr>
          <w:sz w:val="24"/>
          <w:szCs w:val="24"/>
        </w:rPr>
        <w:t>.</w:t>
      </w:r>
    </w:p>
    <w:p w14:paraId="39A68888" w14:textId="77777777" w:rsidR="00233597" w:rsidRDefault="00233597" w:rsidP="00CB7427">
      <w:pPr>
        <w:pStyle w:val="ESHeading"/>
        <w:rPr>
          <w:sz w:val="24"/>
          <w:szCs w:val="24"/>
        </w:rPr>
      </w:pPr>
      <w:r w:rsidRPr="00822447">
        <w:rPr>
          <w:sz w:val="24"/>
          <w:szCs w:val="24"/>
        </w:rPr>
        <w:lastRenderedPageBreak/>
        <w:t>Consultation</w:t>
      </w:r>
    </w:p>
    <w:p w14:paraId="44D0A019" w14:textId="77777777" w:rsidR="00F47336" w:rsidRPr="00F47336" w:rsidRDefault="00F47336" w:rsidP="00F47336">
      <w:pPr>
        <w:pStyle w:val="ESHeading"/>
        <w:rPr>
          <w:b w:val="0"/>
          <w:i w:val="0"/>
          <w:sz w:val="24"/>
          <w:szCs w:val="24"/>
        </w:rPr>
      </w:pPr>
      <w:r w:rsidRPr="00F47336">
        <w:rPr>
          <w:b w:val="0"/>
          <w:i w:val="0"/>
          <w:sz w:val="24"/>
          <w:szCs w:val="24"/>
        </w:rPr>
        <w:t xml:space="preserve">Defence consulted on the general principles of exclusion periods in the WPA as part of the </w:t>
      </w:r>
      <w:r w:rsidR="00184772">
        <w:rPr>
          <w:b w:val="0"/>
          <w:i w:val="0"/>
          <w:sz w:val="24"/>
          <w:szCs w:val="24"/>
        </w:rPr>
        <w:t>drafting</w:t>
      </w:r>
      <w:r w:rsidR="00184772" w:rsidRPr="00F47336">
        <w:rPr>
          <w:b w:val="0"/>
          <w:i w:val="0"/>
          <w:sz w:val="24"/>
          <w:szCs w:val="24"/>
        </w:rPr>
        <w:t xml:space="preserve"> </w:t>
      </w:r>
      <w:r w:rsidRPr="00F47336">
        <w:rPr>
          <w:b w:val="0"/>
          <w:i w:val="0"/>
          <w:sz w:val="24"/>
          <w:szCs w:val="24"/>
        </w:rPr>
        <w:t xml:space="preserve">of the Rule. Through this process, the persons who are directly affected by the exclusion periods were </w:t>
      </w:r>
      <w:r w:rsidR="005A5EEF">
        <w:rPr>
          <w:b w:val="0"/>
          <w:i w:val="0"/>
          <w:sz w:val="24"/>
          <w:szCs w:val="24"/>
        </w:rPr>
        <w:t xml:space="preserve">consulted, and </w:t>
      </w:r>
      <w:r w:rsidRPr="00F47336">
        <w:rPr>
          <w:b w:val="0"/>
          <w:i w:val="0"/>
          <w:sz w:val="24"/>
          <w:szCs w:val="24"/>
        </w:rPr>
        <w:t>given the opportunity to comment on the Minister's power to determine exclusion periods, including detailing the direct or indirect impact an exclusion period would have on them or their business.</w:t>
      </w:r>
    </w:p>
    <w:p w14:paraId="129ABEFE" w14:textId="2ABB2922" w:rsidR="00F47336" w:rsidRPr="00F47336" w:rsidRDefault="00F47336" w:rsidP="00F47336">
      <w:pPr>
        <w:pStyle w:val="ESHeading"/>
        <w:rPr>
          <w:b w:val="0"/>
          <w:i w:val="0"/>
          <w:sz w:val="24"/>
          <w:szCs w:val="24"/>
        </w:rPr>
      </w:pPr>
      <w:r w:rsidRPr="00F47336">
        <w:rPr>
          <w:b w:val="0"/>
          <w:i w:val="0"/>
          <w:sz w:val="24"/>
          <w:szCs w:val="24"/>
        </w:rPr>
        <w:t>The Rule contain</w:t>
      </w:r>
      <w:r w:rsidR="00C13FCA">
        <w:rPr>
          <w:b w:val="0"/>
          <w:i w:val="0"/>
          <w:sz w:val="24"/>
          <w:szCs w:val="24"/>
        </w:rPr>
        <w:t>s</w:t>
      </w:r>
      <w:r w:rsidRPr="00F47336">
        <w:rPr>
          <w:b w:val="0"/>
          <w:i w:val="0"/>
          <w:sz w:val="24"/>
          <w:szCs w:val="24"/>
        </w:rPr>
        <w:t xml:space="preserve"> a number of mechanisms to limit the potential impacts that exclusion periods have on affected persons, including the notification requirements provided </w:t>
      </w:r>
      <w:r w:rsidR="005A5EEF">
        <w:rPr>
          <w:b w:val="0"/>
          <w:i w:val="0"/>
          <w:sz w:val="24"/>
          <w:szCs w:val="24"/>
        </w:rPr>
        <w:t>under</w:t>
      </w:r>
      <w:r w:rsidRPr="00F47336">
        <w:rPr>
          <w:b w:val="0"/>
          <w:i w:val="0"/>
          <w:sz w:val="24"/>
          <w:szCs w:val="24"/>
        </w:rPr>
        <w:t xml:space="preserve"> section 9 and limitations on the number of days that persons may be excluded from the WPA</w:t>
      </w:r>
      <w:r w:rsidR="005A5EEF">
        <w:rPr>
          <w:b w:val="0"/>
          <w:i w:val="0"/>
          <w:sz w:val="24"/>
          <w:szCs w:val="24"/>
        </w:rPr>
        <w:t xml:space="preserve"> under section 8. </w:t>
      </w:r>
    </w:p>
    <w:p w14:paraId="559DDCEE" w14:textId="77777777" w:rsidR="00F47336" w:rsidRPr="00F47336" w:rsidRDefault="008B5573" w:rsidP="0079235F">
      <w:pPr>
        <w:pStyle w:val="ESHeading"/>
        <w:rPr>
          <w:b w:val="0"/>
          <w:i w:val="0"/>
          <w:sz w:val="24"/>
          <w:szCs w:val="24"/>
        </w:rPr>
      </w:pPr>
      <w:r>
        <w:rPr>
          <w:b w:val="0"/>
          <w:i w:val="0"/>
          <w:sz w:val="24"/>
          <w:szCs w:val="24"/>
        </w:rPr>
        <w:t xml:space="preserve">The exclusion periods specified in the Determination </w:t>
      </w:r>
      <w:r w:rsidR="00F47336" w:rsidRPr="00F47336">
        <w:rPr>
          <w:b w:val="0"/>
          <w:i w:val="0"/>
          <w:sz w:val="24"/>
          <w:szCs w:val="24"/>
        </w:rPr>
        <w:t xml:space="preserve">are based on prospective Defence testing requirements. </w:t>
      </w:r>
      <w:r>
        <w:rPr>
          <w:b w:val="0"/>
          <w:i w:val="0"/>
          <w:sz w:val="24"/>
          <w:szCs w:val="24"/>
        </w:rPr>
        <w:t>As these exclusion periods are contingent on Defence operational requirements, t</w:t>
      </w:r>
      <w:r w:rsidR="00F47336" w:rsidRPr="00F47336">
        <w:rPr>
          <w:b w:val="0"/>
          <w:i w:val="0"/>
          <w:sz w:val="24"/>
          <w:szCs w:val="24"/>
        </w:rPr>
        <w:t xml:space="preserve">he actual duration and extent of exclusions under this Determination may be subject to change. </w:t>
      </w:r>
      <w:r>
        <w:rPr>
          <w:b w:val="0"/>
          <w:i w:val="0"/>
          <w:sz w:val="24"/>
          <w:szCs w:val="24"/>
        </w:rPr>
        <w:t xml:space="preserve">Where operationally feasible, exclusion zones may be reduced or revoked to minimise disruption to non-Defence users. This approach ensures flexibility for Defence operations while maintaining the security and safety required to undertake Defence testing. </w:t>
      </w:r>
    </w:p>
    <w:p w14:paraId="24317B51" w14:textId="7DCB066E" w:rsidR="00F47336" w:rsidRPr="00F47336" w:rsidRDefault="00F47336" w:rsidP="00F47336">
      <w:pPr>
        <w:pStyle w:val="ESHeading"/>
        <w:rPr>
          <w:b w:val="0"/>
          <w:i w:val="0"/>
          <w:sz w:val="24"/>
          <w:szCs w:val="24"/>
        </w:rPr>
      </w:pPr>
      <w:r w:rsidRPr="00F47336">
        <w:rPr>
          <w:b w:val="0"/>
          <w:i w:val="0"/>
          <w:sz w:val="24"/>
          <w:szCs w:val="24"/>
        </w:rPr>
        <w:t>When an exclusion period approaches and when the extent of any testing is known, Defence contacts people who will be directly affected by these exclusion periods, including pastoralists, traditional owners and mines.</w:t>
      </w:r>
      <w:r w:rsidR="000E266A" w:rsidRPr="000E266A">
        <w:t xml:space="preserve"> </w:t>
      </w:r>
      <w:r w:rsidR="000E266A" w:rsidRPr="000E266A">
        <w:rPr>
          <w:b w:val="0"/>
          <w:i w:val="0"/>
          <w:sz w:val="24"/>
          <w:szCs w:val="24"/>
        </w:rPr>
        <w:t>Defence provides timely and clear informati</w:t>
      </w:r>
      <w:r w:rsidR="000E266A">
        <w:rPr>
          <w:b w:val="0"/>
          <w:i w:val="0"/>
          <w:sz w:val="24"/>
          <w:szCs w:val="24"/>
        </w:rPr>
        <w:t>on about the</w:t>
      </w:r>
      <w:r w:rsidR="00A1336B">
        <w:rPr>
          <w:b w:val="0"/>
          <w:i w:val="0"/>
          <w:sz w:val="24"/>
          <w:szCs w:val="24"/>
        </w:rPr>
        <w:t xml:space="preserve"> exclusion period and area </w:t>
      </w:r>
      <w:r w:rsidR="000E266A">
        <w:rPr>
          <w:b w:val="0"/>
          <w:i w:val="0"/>
          <w:sz w:val="24"/>
          <w:szCs w:val="24"/>
        </w:rPr>
        <w:t xml:space="preserve">to ensure </w:t>
      </w:r>
      <w:r w:rsidR="000E266A" w:rsidRPr="000E266A">
        <w:rPr>
          <w:b w:val="0"/>
          <w:i w:val="0"/>
          <w:sz w:val="24"/>
          <w:szCs w:val="24"/>
        </w:rPr>
        <w:t xml:space="preserve">that </w:t>
      </w:r>
      <w:r w:rsidR="004A49CA">
        <w:rPr>
          <w:b w:val="0"/>
          <w:i w:val="0"/>
          <w:sz w:val="24"/>
          <w:szCs w:val="24"/>
        </w:rPr>
        <w:t>affected persons</w:t>
      </w:r>
      <w:r w:rsidR="004A49CA" w:rsidRPr="000E266A">
        <w:rPr>
          <w:b w:val="0"/>
          <w:i w:val="0"/>
          <w:sz w:val="24"/>
          <w:szCs w:val="24"/>
        </w:rPr>
        <w:t xml:space="preserve"> </w:t>
      </w:r>
      <w:r w:rsidR="000E266A" w:rsidRPr="000E266A">
        <w:rPr>
          <w:b w:val="0"/>
          <w:i w:val="0"/>
          <w:sz w:val="24"/>
          <w:szCs w:val="24"/>
        </w:rPr>
        <w:t>are aware of any potential disruptions.</w:t>
      </w:r>
      <w:r w:rsidR="000E266A">
        <w:rPr>
          <w:b w:val="0"/>
          <w:i w:val="0"/>
          <w:sz w:val="24"/>
          <w:szCs w:val="24"/>
        </w:rPr>
        <w:t xml:space="preserve"> </w:t>
      </w:r>
      <w:r w:rsidR="004A49CA">
        <w:rPr>
          <w:b w:val="0"/>
          <w:i w:val="0"/>
          <w:sz w:val="24"/>
          <w:szCs w:val="24"/>
        </w:rPr>
        <w:t>Engagement with affected persons</w:t>
      </w:r>
      <w:r w:rsidR="000E266A">
        <w:rPr>
          <w:b w:val="0"/>
          <w:i w:val="0"/>
          <w:sz w:val="24"/>
          <w:szCs w:val="24"/>
        </w:rPr>
        <w:t xml:space="preserve"> is </w:t>
      </w:r>
      <w:r w:rsidR="004A49CA">
        <w:rPr>
          <w:b w:val="0"/>
          <w:i w:val="0"/>
          <w:sz w:val="24"/>
          <w:szCs w:val="24"/>
        </w:rPr>
        <w:t xml:space="preserve">conducted </w:t>
      </w:r>
      <w:r w:rsidR="000E266A">
        <w:rPr>
          <w:b w:val="0"/>
          <w:i w:val="0"/>
          <w:sz w:val="24"/>
          <w:szCs w:val="24"/>
        </w:rPr>
        <w:t xml:space="preserve">via email and relevant updates </w:t>
      </w:r>
      <w:r w:rsidR="00A1336B">
        <w:rPr>
          <w:b w:val="0"/>
          <w:i w:val="0"/>
          <w:sz w:val="24"/>
          <w:szCs w:val="24"/>
        </w:rPr>
        <w:t xml:space="preserve">are conducted </w:t>
      </w:r>
      <w:r w:rsidR="000E266A">
        <w:rPr>
          <w:b w:val="0"/>
          <w:i w:val="0"/>
          <w:sz w:val="24"/>
          <w:szCs w:val="24"/>
        </w:rPr>
        <w:t xml:space="preserve">on Defence’s official website to provide broader public accessibility to the information. </w:t>
      </w:r>
    </w:p>
    <w:p w14:paraId="195498A3" w14:textId="77777777" w:rsidR="00F47336" w:rsidRDefault="00207634" w:rsidP="00F47336">
      <w:pPr>
        <w:pStyle w:val="ESHeading"/>
        <w:rPr>
          <w:b w:val="0"/>
          <w:i w:val="0"/>
          <w:sz w:val="24"/>
          <w:szCs w:val="24"/>
        </w:rPr>
      </w:pPr>
      <w:r>
        <w:rPr>
          <w:b w:val="0"/>
          <w:i w:val="0"/>
          <w:sz w:val="24"/>
          <w:szCs w:val="24"/>
        </w:rPr>
        <w:t>A</w:t>
      </w:r>
      <w:r w:rsidR="00F47336" w:rsidRPr="00F47336">
        <w:rPr>
          <w:b w:val="0"/>
          <w:i w:val="0"/>
          <w:sz w:val="24"/>
          <w:szCs w:val="24"/>
        </w:rPr>
        <w:t xml:space="preserve">dditional consultation was not undertaken in relation to the making of this </w:t>
      </w:r>
      <w:r w:rsidR="005A5EEF">
        <w:rPr>
          <w:b w:val="0"/>
          <w:i w:val="0"/>
          <w:sz w:val="24"/>
          <w:szCs w:val="24"/>
        </w:rPr>
        <w:t xml:space="preserve">specific </w:t>
      </w:r>
      <w:r w:rsidR="00F47336" w:rsidRPr="00F47336">
        <w:rPr>
          <w:b w:val="0"/>
          <w:i w:val="0"/>
          <w:sz w:val="24"/>
          <w:szCs w:val="24"/>
        </w:rPr>
        <w:t>Determination.</w:t>
      </w:r>
      <w:r>
        <w:rPr>
          <w:b w:val="0"/>
          <w:i w:val="0"/>
          <w:sz w:val="24"/>
          <w:szCs w:val="24"/>
        </w:rPr>
        <w:t xml:space="preserve"> Considering the comprehensive consultation that was previously conducted during the development of the R</w:t>
      </w:r>
      <w:r w:rsidR="005A5EEF">
        <w:rPr>
          <w:b w:val="0"/>
          <w:i w:val="0"/>
          <w:sz w:val="24"/>
          <w:szCs w:val="24"/>
        </w:rPr>
        <w:t>ule and the</w:t>
      </w:r>
      <w:r>
        <w:rPr>
          <w:b w:val="0"/>
          <w:i w:val="0"/>
          <w:sz w:val="24"/>
          <w:szCs w:val="24"/>
        </w:rPr>
        <w:t xml:space="preserve"> ongoing consultation that Defence has with affected users in relation to exclusion periods, it was not considered necessary to consult further. This Determination operates within the framework established by the Rule, and does not introduce new impacts or changes that would warrant additional consultation. </w:t>
      </w:r>
    </w:p>
    <w:p w14:paraId="5D706042" w14:textId="77777777" w:rsidR="008D3593" w:rsidRDefault="008D3593" w:rsidP="00F47336">
      <w:pPr>
        <w:pStyle w:val="ESHeading"/>
        <w:rPr>
          <w:sz w:val="24"/>
          <w:szCs w:val="24"/>
        </w:rPr>
      </w:pPr>
      <w:r>
        <w:rPr>
          <w:sz w:val="24"/>
          <w:szCs w:val="24"/>
        </w:rPr>
        <w:t>Commencement</w:t>
      </w:r>
    </w:p>
    <w:p w14:paraId="3B29A2E9" w14:textId="77777777" w:rsidR="00B57539" w:rsidRDefault="008D3593" w:rsidP="00C56A7D">
      <w:pPr>
        <w:pStyle w:val="ESPara"/>
        <w:rPr>
          <w:sz w:val="24"/>
          <w:szCs w:val="24"/>
        </w:rPr>
      </w:pPr>
      <w:r w:rsidRPr="00822447">
        <w:rPr>
          <w:sz w:val="24"/>
          <w:szCs w:val="24"/>
        </w:rPr>
        <w:t xml:space="preserve">The </w:t>
      </w:r>
      <w:r w:rsidR="00B72B1B">
        <w:rPr>
          <w:sz w:val="24"/>
          <w:szCs w:val="24"/>
        </w:rPr>
        <w:t>instrument</w:t>
      </w:r>
      <w:r w:rsidR="00B72B1B" w:rsidRPr="00C73FFA">
        <w:rPr>
          <w:sz w:val="24"/>
          <w:szCs w:val="24"/>
        </w:rPr>
        <w:t xml:space="preserve"> </w:t>
      </w:r>
      <w:r w:rsidR="00B72B1B">
        <w:rPr>
          <w:sz w:val="24"/>
          <w:szCs w:val="24"/>
        </w:rPr>
        <w:t>commences on t</w:t>
      </w:r>
      <w:r w:rsidR="00B72B1B" w:rsidRPr="00FB0FCC">
        <w:rPr>
          <w:sz w:val="24"/>
          <w:szCs w:val="24"/>
        </w:rPr>
        <w:t>he day af</w:t>
      </w:r>
      <w:r w:rsidR="00B72B1B">
        <w:rPr>
          <w:sz w:val="24"/>
          <w:szCs w:val="24"/>
        </w:rPr>
        <w:t xml:space="preserve">ter </w:t>
      </w:r>
      <w:r w:rsidR="00F47336">
        <w:rPr>
          <w:sz w:val="24"/>
          <w:szCs w:val="24"/>
        </w:rPr>
        <w:t xml:space="preserve">the </w:t>
      </w:r>
      <w:r w:rsidR="00F47336" w:rsidRPr="00FB0FCC">
        <w:rPr>
          <w:sz w:val="24"/>
          <w:szCs w:val="24"/>
        </w:rPr>
        <w:t>instrument is registered</w:t>
      </w:r>
      <w:r w:rsidR="00F47336">
        <w:rPr>
          <w:sz w:val="24"/>
          <w:szCs w:val="24"/>
        </w:rPr>
        <w:t xml:space="preserve"> </w:t>
      </w:r>
      <w:r w:rsidR="00F47336" w:rsidRPr="00C73FFA">
        <w:rPr>
          <w:sz w:val="24"/>
          <w:szCs w:val="24"/>
        </w:rPr>
        <w:t>on the Federal Register of Legislation</w:t>
      </w:r>
      <w:r w:rsidR="00F47336">
        <w:rPr>
          <w:sz w:val="24"/>
          <w:szCs w:val="24"/>
        </w:rPr>
        <w:t>.</w:t>
      </w:r>
    </w:p>
    <w:p w14:paraId="475BA3CE" w14:textId="77777777" w:rsidR="00F47336" w:rsidRDefault="00F47336" w:rsidP="00100DFC">
      <w:pPr>
        <w:pStyle w:val="ESHeading"/>
        <w:rPr>
          <w:sz w:val="24"/>
          <w:szCs w:val="24"/>
        </w:rPr>
      </w:pPr>
      <w:r>
        <w:rPr>
          <w:sz w:val="24"/>
          <w:szCs w:val="24"/>
        </w:rPr>
        <w:t>Repeal</w:t>
      </w:r>
    </w:p>
    <w:p w14:paraId="21A7E38A" w14:textId="77777777" w:rsidR="00F47336" w:rsidRPr="00F47336" w:rsidRDefault="00F47336" w:rsidP="00100DFC">
      <w:pPr>
        <w:pStyle w:val="ESHeading"/>
        <w:rPr>
          <w:b w:val="0"/>
          <w:i w:val="0"/>
          <w:sz w:val="24"/>
          <w:szCs w:val="24"/>
        </w:rPr>
      </w:pPr>
      <w:r w:rsidRPr="00F47336">
        <w:rPr>
          <w:b w:val="0"/>
          <w:i w:val="0"/>
          <w:sz w:val="24"/>
          <w:szCs w:val="24"/>
        </w:rPr>
        <w:t xml:space="preserve">This Determination will be repealed on 17 November 2025.   </w:t>
      </w:r>
    </w:p>
    <w:p w14:paraId="40D0E678" w14:textId="77777777" w:rsidR="00AA4557" w:rsidRPr="00822447" w:rsidRDefault="009B14AE" w:rsidP="00100DFC">
      <w:pPr>
        <w:pStyle w:val="ESHeading"/>
        <w:rPr>
          <w:sz w:val="24"/>
          <w:szCs w:val="24"/>
        </w:rPr>
      </w:pPr>
      <w:r w:rsidRPr="00822447">
        <w:rPr>
          <w:sz w:val="24"/>
          <w:szCs w:val="24"/>
        </w:rPr>
        <w:t>Parliamentary scrutiny</w:t>
      </w:r>
    </w:p>
    <w:p w14:paraId="2926726C" w14:textId="77777777" w:rsidR="00B57539" w:rsidRPr="00822447" w:rsidRDefault="00B57539" w:rsidP="00B57539">
      <w:pPr>
        <w:pStyle w:val="ESPara"/>
        <w:rPr>
          <w:sz w:val="24"/>
          <w:szCs w:val="24"/>
        </w:rPr>
      </w:pPr>
      <w:r>
        <w:rPr>
          <w:sz w:val="24"/>
          <w:szCs w:val="24"/>
        </w:rPr>
        <w:t xml:space="preserve">The </w:t>
      </w:r>
      <w:r w:rsidR="00B72B1B">
        <w:rPr>
          <w:sz w:val="24"/>
          <w:szCs w:val="24"/>
        </w:rPr>
        <w:t>instrument is</w:t>
      </w:r>
      <w:r>
        <w:rPr>
          <w:sz w:val="24"/>
          <w:szCs w:val="24"/>
        </w:rPr>
        <w:t xml:space="preserve"> </w:t>
      </w:r>
      <w:r w:rsidRPr="00822447">
        <w:rPr>
          <w:sz w:val="24"/>
          <w:szCs w:val="24"/>
        </w:rPr>
        <w:t xml:space="preserve">a legislative instrument for the purposes of the </w:t>
      </w:r>
      <w:r w:rsidRPr="00822447">
        <w:rPr>
          <w:i/>
          <w:sz w:val="24"/>
          <w:szCs w:val="24"/>
        </w:rPr>
        <w:t>Legislation Act</w:t>
      </w:r>
      <w:r w:rsidR="00FF43C1">
        <w:rPr>
          <w:i/>
          <w:sz w:val="24"/>
          <w:szCs w:val="24"/>
        </w:rPr>
        <w:t> </w:t>
      </w:r>
      <w:r w:rsidRPr="00822447">
        <w:rPr>
          <w:i/>
          <w:sz w:val="24"/>
          <w:szCs w:val="24"/>
        </w:rPr>
        <w:t>2003</w:t>
      </w:r>
      <w:r>
        <w:rPr>
          <w:sz w:val="24"/>
          <w:szCs w:val="24"/>
        </w:rPr>
        <w:t>.</w:t>
      </w:r>
    </w:p>
    <w:p w14:paraId="43005122" w14:textId="77777777" w:rsidR="00C56A7D" w:rsidRPr="00822447" w:rsidRDefault="007D32D3" w:rsidP="00316E46">
      <w:pPr>
        <w:pStyle w:val="ESPara"/>
        <w:rPr>
          <w:sz w:val="24"/>
          <w:szCs w:val="24"/>
        </w:rPr>
      </w:pPr>
      <w:r w:rsidRPr="00822447">
        <w:rPr>
          <w:sz w:val="24"/>
          <w:szCs w:val="24"/>
        </w:rPr>
        <w:t xml:space="preserve">The </w:t>
      </w:r>
      <w:r w:rsidR="00B72B1B">
        <w:rPr>
          <w:sz w:val="24"/>
          <w:szCs w:val="24"/>
        </w:rPr>
        <w:t>instrument is</w:t>
      </w:r>
      <w:r w:rsidR="00206DDE">
        <w:rPr>
          <w:sz w:val="24"/>
          <w:szCs w:val="24"/>
        </w:rPr>
        <w:t xml:space="preserve"> </w:t>
      </w:r>
      <w:r w:rsidRPr="00822447">
        <w:rPr>
          <w:sz w:val="24"/>
          <w:szCs w:val="24"/>
        </w:rPr>
        <w:t>subject to disallowance under sec</w:t>
      </w:r>
      <w:r w:rsidR="00206DDE">
        <w:rPr>
          <w:sz w:val="24"/>
          <w:szCs w:val="24"/>
        </w:rPr>
        <w:t xml:space="preserve">tion 42 of the </w:t>
      </w:r>
      <w:r w:rsidR="00B57539" w:rsidRPr="00822447">
        <w:rPr>
          <w:i/>
          <w:sz w:val="24"/>
          <w:szCs w:val="24"/>
        </w:rPr>
        <w:t>Legislation Act</w:t>
      </w:r>
      <w:r w:rsidR="00FF43C1">
        <w:rPr>
          <w:i/>
          <w:sz w:val="24"/>
          <w:szCs w:val="24"/>
        </w:rPr>
        <w:t> </w:t>
      </w:r>
      <w:r w:rsidR="00B57539" w:rsidRPr="00822447">
        <w:rPr>
          <w:i/>
          <w:sz w:val="24"/>
          <w:szCs w:val="24"/>
        </w:rPr>
        <w:t>2003</w:t>
      </w:r>
      <w:r w:rsidR="00206DDE">
        <w:rPr>
          <w:sz w:val="24"/>
          <w:szCs w:val="24"/>
        </w:rPr>
        <w:t>.</w:t>
      </w:r>
    </w:p>
    <w:p w14:paraId="7E354C28" w14:textId="77777777" w:rsidR="00452948" w:rsidRPr="00822447" w:rsidRDefault="00F47336" w:rsidP="009F4296">
      <w:pPr>
        <w:pStyle w:val="ESPara"/>
        <w:rPr>
          <w:sz w:val="24"/>
          <w:szCs w:val="24"/>
        </w:rPr>
      </w:pPr>
      <w:r>
        <w:rPr>
          <w:rFonts w:eastAsia="Times New Roman"/>
          <w:color w:val="000000"/>
          <w:sz w:val="24"/>
          <w:szCs w:val="24"/>
          <w:lang w:eastAsia="en-AU"/>
        </w:rPr>
        <w:lastRenderedPageBreak/>
        <w:t xml:space="preserve">A Statement of Compatibility with Human Rights has been prepared in accordance with subsection 9(2) of the </w:t>
      </w:r>
      <w:r w:rsidRPr="00F47336">
        <w:rPr>
          <w:rFonts w:eastAsia="Times New Roman"/>
          <w:i/>
          <w:color w:val="000000"/>
          <w:sz w:val="24"/>
          <w:szCs w:val="24"/>
          <w:lang w:eastAsia="en-AU"/>
        </w:rPr>
        <w:t>Human Rights (Parliamentary Scrutiny) Act 2011</w:t>
      </w:r>
      <w:r w:rsidRPr="00F47336">
        <w:rPr>
          <w:rFonts w:eastAsia="Times New Roman"/>
          <w:color w:val="000000"/>
          <w:sz w:val="24"/>
          <w:szCs w:val="24"/>
          <w:lang w:eastAsia="en-AU"/>
        </w:rPr>
        <w:t>.</w:t>
      </w:r>
      <w:r>
        <w:rPr>
          <w:rFonts w:eastAsia="Times New Roman"/>
          <w:color w:val="000000"/>
          <w:sz w:val="24"/>
          <w:szCs w:val="24"/>
          <w:lang w:eastAsia="en-AU"/>
        </w:rPr>
        <w:t xml:space="preserve"> The Statement provides that the instrument is compatible with human rights because it promotes the protection of human rights, and to the extent that it may limit human rights, those limitation</w:t>
      </w:r>
      <w:r w:rsidR="00E160FC">
        <w:rPr>
          <w:rFonts w:eastAsia="Times New Roman"/>
          <w:color w:val="000000"/>
          <w:sz w:val="24"/>
          <w:szCs w:val="24"/>
          <w:lang w:eastAsia="en-AU"/>
        </w:rPr>
        <w:t>s</w:t>
      </w:r>
      <w:r>
        <w:rPr>
          <w:rFonts w:eastAsia="Times New Roman"/>
          <w:color w:val="000000"/>
          <w:sz w:val="24"/>
          <w:szCs w:val="24"/>
          <w:lang w:eastAsia="en-AU"/>
        </w:rPr>
        <w:t xml:space="preserve"> are necessary, reasonable and proportionate. </w:t>
      </w:r>
      <w:r w:rsidR="001E5068">
        <w:rPr>
          <w:rFonts w:eastAsia="Times New Roman"/>
          <w:color w:val="000000"/>
          <w:sz w:val="24"/>
          <w:szCs w:val="24"/>
          <w:lang w:eastAsia="en-AU"/>
        </w:rPr>
        <w:t>The</w:t>
      </w:r>
      <w:r w:rsidRPr="00F47336">
        <w:rPr>
          <w:rFonts w:eastAsia="Times New Roman"/>
          <w:color w:val="000000"/>
          <w:sz w:val="24"/>
          <w:szCs w:val="24"/>
          <w:lang w:eastAsia="en-AU"/>
        </w:rPr>
        <w:t xml:space="preserve"> </w:t>
      </w:r>
      <w:r w:rsidR="001E5068">
        <w:rPr>
          <w:rFonts w:eastAsia="Times New Roman"/>
          <w:color w:val="000000"/>
          <w:sz w:val="24"/>
          <w:szCs w:val="24"/>
          <w:lang w:eastAsia="en-AU"/>
        </w:rPr>
        <w:t>S</w:t>
      </w:r>
      <w:r w:rsidRPr="00F47336">
        <w:rPr>
          <w:rFonts w:eastAsia="Times New Roman"/>
          <w:color w:val="000000"/>
          <w:sz w:val="24"/>
          <w:szCs w:val="24"/>
          <w:lang w:eastAsia="en-AU"/>
        </w:rPr>
        <w:t xml:space="preserve">tatement of </w:t>
      </w:r>
      <w:r w:rsidR="001E5068">
        <w:rPr>
          <w:rFonts w:eastAsia="Times New Roman"/>
          <w:color w:val="000000"/>
          <w:sz w:val="24"/>
          <w:szCs w:val="24"/>
          <w:lang w:eastAsia="en-AU"/>
        </w:rPr>
        <w:t>C</w:t>
      </w:r>
      <w:r w:rsidRPr="00F47336">
        <w:rPr>
          <w:rFonts w:eastAsia="Times New Roman"/>
          <w:color w:val="000000"/>
          <w:sz w:val="24"/>
          <w:szCs w:val="24"/>
          <w:lang w:eastAsia="en-AU"/>
        </w:rPr>
        <w:t xml:space="preserve">ompatibility with Human Rights is set out at </w:t>
      </w:r>
      <w:r w:rsidRPr="00F47336">
        <w:rPr>
          <w:rFonts w:eastAsia="Times New Roman"/>
          <w:b/>
          <w:color w:val="000000"/>
          <w:sz w:val="24"/>
          <w:szCs w:val="24"/>
          <w:u w:val="single"/>
          <w:lang w:eastAsia="en-AU"/>
        </w:rPr>
        <w:t>Attachment B</w:t>
      </w:r>
      <w:r w:rsidRPr="00F47336">
        <w:rPr>
          <w:rFonts w:eastAsia="Times New Roman"/>
          <w:color w:val="000000"/>
          <w:sz w:val="24"/>
          <w:szCs w:val="24"/>
          <w:lang w:eastAsia="en-AU"/>
        </w:rPr>
        <w:t>.</w:t>
      </w:r>
      <w:r w:rsidR="00452948" w:rsidRPr="00822447">
        <w:rPr>
          <w:sz w:val="24"/>
          <w:szCs w:val="24"/>
        </w:rPr>
        <w:br w:type="page"/>
      </w:r>
    </w:p>
    <w:p w14:paraId="5DB78D52" w14:textId="77777777" w:rsidR="004F5CE4" w:rsidRPr="00822447" w:rsidRDefault="007E4691" w:rsidP="007852C5">
      <w:pPr>
        <w:pStyle w:val="ESAttAttName"/>
        <w:pageBreakBefore/>
        <w:rPr>
          <w:sz w:val="24"/>
          <w:szCs w:val="24"/>
          <w:u w:val="none"/>
        </w:rPr>
      </w:pPr>
      <w:r w:rsidRPr="00822447">
        <w:rPr>
          <w:sz w:val="24"/>
          <w:szCs w:val="24"/>
          <w:u w:val="none"/>
        </w:rPr>
        <w:t>Attachment</w:t>
      </w:r>
      <w:r w:rsidR="009E5CF2">
        <w:rPr>
          <w:sz w:val="24"/>
          <w:szCs w:val="24"/>
          <w:u w:val="none"/>
        </w:rPr>
        <w:t> </w:t>
      </w:r>
      <w:r w:rsidR="00564A6D" w:rsidRPr="00822447">
        <w:rPr>
          <w:sz w:val="24"/>
          <w:szCs w:val="24"/>
          <w:u w:val="none"/>
        </w:rPr>
        <w:t>A</w:t>
      </w:r>
    </w:p>
    <w:p w14:paraId="65B5671E" w14:textId="77777777" w:rsidR="00420A7E" w:rsidRDefault="007E4691" w:rsidP="007706C2">
      <w:pPr>
        <w:pStyle w:val="ESAttHeading"/>
        <w:keepNext w:val="0"/>
        <w:keepLines/>
        <w:rPr>
          <w:i/>
          <w:sz w:val="24"/>
          <w:szCs w:val="24"/>
          <w:u w:val="single"/>
        </w:rPr>
      </w:pPr>
      <w:r w:rsidRPr="00D319D8">
        <w:rPr>
          <w:sz w:val="24"/>
          <w:szCs w:val="24"/>
          <w:u w:val="single"/>
        </w:rPr>
        <w:t>Details of the</w:t>
      </w:r>
      <w:r w:rsidR="00206DDE" w:rsidRPr="00D319D8">
        <w:rPr>
          <w:sz w:val="24"/>
          <w:szCs w:val="24"/>
          <w:u w:val="single"/>
        </w:rPr>
        <w:t xml:space="preserve"> </w:t>
      </w:r>
      <w:r w:rsidR="00420A7E" w:rsidRPr="00420A7E">
        <w:rPr>
          <w:sz w:val="24"/>
          <w:szCs w:val="24"/>
          <w:u w:val="single"/>
        </w:rPr>
        <w:t xml:space="preserve">Woomera Prohibited Area </w:t>
      </w:r>
      <w:r w:rsidR="00207634">
        <w:rPr>
          <w:sz w:val="24"/>
          <w:szCs w:val="24"/>
          <w:u w:val="single"/>
        </w:rPr>
        <w:t>(</w:t>
      </w:r>
      <w:r w:rsidR="00420A7E" w:rsidRPr="00420A7E">
        <w:rPr>
          <w:sz w:val="24"/>
          <w:szCs w:val="24"/>
          <w:u w:val="single"/>
        </w:rPr>
        <w:t>Exclusion Periods for the Green Zone for 27 October 2025 to 16 November 2025</w:t>
      </w:r>
      <w:r w:rsidR="00207634">
        <w:rPr>
          <w:sz w:val="24"/>
          <w:szCs w:val="24"/>
          <w:u w:val="single"/>
        </w:rPr>
        <w:t>) Determination 2025</w:t>
      </w:r>
    </w:p>
    <w:p w14:paraId="7B41CC0D" w14:textId="77777777" w:rsidR="007E4691" w:rsidRPr="000A7ACD" w:rsidRDefault="007E4691" w:rsidP="007706C2">
      <w:pPr>
        <w:pStyle w:val="ESAttHeading"/>
        <w:keepNext w:val="0"/>
        <w:keepLines/>
        <w:rPr>
          <w:b w:val="0"/>
          <w:sz w:val="24"/>
          <w:szCs w:val="24"/>
          <w:u w:val="single"/>
        </w:rPr>
      </w:pPr>
      <w:r w:rsidRPr="000A7ACD">
        <w:rPr>
          <w:b w:val="0"/>
          <w:sz w:val="24"/>
          <w:szCs w:val="24"/>
          <w:u w:val="single"/>
        </w:rPr>
        <w:t>Section</w:t>
      </w:r>
      <w:r w:rsidR="00C95458">
        <w:rPr>
          <w:b w:val="0"/>
          <w:sz w:val="24"/>
          <w:szCs w:val="24"/>
          <w:u w:val="single"/>
        </w:rPr>
        <w:t> </w:t>
      </w:r>
      <w:r w:rsidR="00B13DA5">
        <w:rPr>
          <w:b w:val="0"/>
          <w:sz w:val="24"/>
          <w:szCs w:val="24"/>
          <w:u w:val="single"/>
        </w:rPr>
        <w:t xml:space="preserve">1 – </w:t>
      </w:r>
      <w:r w:rsidRPr="000A7ACD">
        <w:rPr>
          <w:b w:val="0"/>
          <w:sz w:val="24"/>
          <w:szCs w:val="24"/>
          <w:u w:val="single"/>
        </w:rPr>
        <w:t>Name</w:t>
      </w:r>
    </w:p>
    <w:p w14:paraId="263E0CFB" w14:textId="77777777" w:rsidR="00420A7E" w:rsidRDefault="00420A7E" w:rsidP="007706C2">
      <w:pPr>
        <w:pStyle w:val="ESAttNormal"/>
        <w:keepLines/>
        <w:rPr>
          <w:iCs/>
          <w:sz w:val="24"/>
          <w:szCs w:val="24"/>
          <w:lang w:eastAsia="en-AU"/>
        </w:rPr>
      </w:pPr>
      <w:r>
        <w:rPr>
          <w:sz w:val="24"/>
          <w:szCs w:val="24"/>
        </w:rPr>
        <w:t>Section 1</w:t>
      </w:r>
      <w:r w:rsidR="006A2AD4">
        <w:rPr>
          <w:sz w:val="24"/>
          <w:szCs w:val="24"/>
        </w:rPr>
        <w:t xml:space="preserve"> provides that</w:t>
      </w:r>
      <w:r w:rsidR="00FB0FCC">
        <w:rPr>
          <w:sz w:val="24"/>
          <w:szCs w:val="24"/>
        </w:rPr>
        <w:t xml:space="preserve"> the </w:t>
      </w:r>
      <w:r w:rsidR="00E30F76">
        <w:rPr>
          <w:sz w:val="24"/>
          <w:szCs w:val="24"/>
        </w:rPr>
        <w:t>name</w:t>
      </w:r>
      <w:r w:rsidR="00FB0FCC">
        <w:rPr>
          <w:sz w:val="24"/>
          <w:szCs w:val="24"/>
        </w:rPr>
        <w:t xml:space="preserve"> of the </w:t>
      </w:r>
      <w:r w:rsidR="00DB7BAC">
        <w:rPr>
          <w:sz w:val="24"/>
          <w:szCs w:val="24"/>
        </w:rPr>
        <w:t>instrument</w:t>
      </w:r>
      <w:r w:rsidR="00FB0FCC">
        <w:rPr>
          <w:sz w:val="24"/>
          <w:szCs w:val="24"/>
        </w:rPr>
        <w:t xml:space="preserve"> is </w:t>
      </w:r>
      <w:r w:rsidRPr="00D92005">
        <w:rPr>
          <w:sz w:val="24"/>
          <w:szCs w:val="24"/>
          <w:lang w:eastAsia="en-AU"/>
        </w:rPr>
        <w:t>the </w:t>
      </w:r>
      <w:r w:rsidRPr="00D92005">
        <w:rPr>
          <w:i/>
          <w:sz w:val="24"/>
          <w:szCs w:val="24"/>
          <w:lang w:eastAsia="en-AU"/>
        </w:rPr>
        <w:t>W</w:t>
      </w:r>
      <w:r w:rsidRPr="00D92005">
        <w:rPr>
          <w:i/>
          <w:iCs/>
          <w:sz w:val="24"/>
          <w:szCs w:val="24"/>
          <w:lang w:eastAsia="en-AU"/>
        </w:rPr>
        <w:t xml:space="preserve">oomera Prohibited Area </w:t>
      </w:r>
      <w:r w:rsidR="00787BA0">
        <w:rPr>
          <w:i/>
          <w:iCs/>
          <w:sz w:val="24"/>
          <w:szCs w:val="24"/>
          <w:lang w:eastAsia="en-AU"/>
        </w:rPr>
        <w:t>(</w:t>
      </w:r>
      <w:r w:rsidRPr="00D92005">
        <w:rPr>
          <w:i/>
          <w:iCs/>
          <w:sz w:val="24"/>
          <w:szCs w:val="24"/>
          <w:lang w:eastAsia="en-AU"/>
        </w:rPr>
        <w:t xml:space="preserve">Exclusion Periods for the Green Zone for </w:t>
      </w:r>
      <w:r w:rsidRPr="002534E5">
        <w:rPr>
          <w:i/>
          <w:w w:val="105"/>
          <w:sz w:val="24"/>
          <w:szCs w:val="24"/>
        </w:rPr>
        <w:t>27 October 2025 to 16 November 2025</w:t>
      </w:r>
      <w:r w:rsidR="00787BA0">
        <w:rPr>
          <w:i/>
          <w:w w:val="105"/>
          <w:sz w:val="24"/>
          <w:szCs w:val="24"/>
        </w:rPr>
        <w:t>) Determination 2025</w:t>
      </w:r>
      <w:r w:rsidRPr="00D92005">
        <w:rPr>
          <w:iCs/>
          <w:sz w:val="24"/>
          <w:szCs w:val="24"/>
          <w:lang w:eastAsia="en-AU"/>
        </w:rPr>
        <w:t xml:space="preserve"> (the Determination).</w:t>
      </w:r>
    </w:p>
    <w:p w14:paraId="3584AF35" w14:textId="77777777" w:rsidR="007E4691" w:rsidRPr="000A7ACD" w:rsidRDefault="007E4691" w:rsidP="007706C2">
      <w:pPr>
        <w:pStyle w:val="ESAttNormal"/>
        <w:keepLines/>
        <w:rPr>
          <w:b/>
          <w:sz w:val="24"/>
          <w:szCs w:val="24"/>
          <w:u w:val="single"/>
        </w:rPr>
      </w:pPr>
      <w:r w:rsidRPr="000A7ACD">
        <w:rPr>
          <w:sz w:val="24"/>
          <w:szCs w:val="24"/>
          <w:u w:val="single"/>
        </w:rPr>
        <w:t>Section</w:t>
      </w:r>
      <w:r w:rsidR="00C95458">
        <w:rPr>
          <w:sz w:val="24"/>
          <w:szCs w:val="24"/>
          <w:u w:val="single"/>
        </w:rPr>
        <w:t> </w:t>
      </w:r>
      <w:r w:rsidRPr="000A7ACD">
        <w:rPr>
          <w:sz w:val="24"/>
          <w:szCs w:val="24"/>
          <w:u w:val="single"/>
        </w:rPr>
        <w:t>2</w:t>
      </w:r>
      <w:r w:rsidR="00B13DA5">
        <w:rPr>
          <w:sz w:val="24"/>
          <w:szCs w:val="24"/>
          <w:u w:val="single"/>
        </w:rPr>
        <w:t xml:space="preserve"> – </w:t>
      </w:r>
      <w:r w:rsidRPr="000A7ACD">
        <w:rPr>
          <w:sz w:val="24"/>
          <w:szCs w:val="24"/>
          <w:u w:val="single"/>
        </w:rPr>
        <w:t>Commencement</w:t>
      </w:r>
    </w:p>
    <w:p w14:paraId="3E425CAB" w14:textId="77777777" w:rsidR="00420A7E" w:rsidRDefault="00420A7E" w:rsidP="007706C2">
      <w:pPr>
        <w:pStyle w:val="ESAttHeading"/>
        <w:keepNext w:val="0"/>
        <w:keepLines/>
        <w:rPr>
          <w:b w:val="0"/>
          <w:sz w:val="24"/>
          <w:szCs w:val="24"/>
        </w:rPr>
      </w:pPr>
      <w:r w:rsidRPr="00420A7E">
        <w:rPr>
          <w:b w:val="0"/>
          <w:sz w:val="24"/>
          <w:szCs w:val="24"/>
        </w:rPr>
        <w:t>Section 2 provides that the Determination commences on the day after it is registered on the Federal Register of Legislation.</w:t>
      </w:r>
    </w:p>
    <w:p w14:paraId="12E9F2DA" w14:textId="77777777" w:rsidR="007D1C3F" w:rsidRPr="000A7ACD" w:rsidRDefault="00133207" w:rsidP="007706C2">
      <w:pPr>
        <w:pStyle w:val="ESAttHeading"/>
        <w:keepNext w:val="0"/>
        <w:keepLines/>
        <w:rPr>
          <w:b w:val="0"/>
          <w:sz w:val="24"/>
          <w:szCs w:val="24"/>
          <w:u w:val="single"/>
        </w:rPr>
      </w:pPr>
      <w:r w:rsidRPr="000A7ACD">
        <w:rPr>
          <w:b w:val="0"/>
          <w:sz w:val="24"/>
          <w:szCs w:val="24"/>
          <w:u w:val="single"/>
        </w:rPr>
        <w:t>Section</w:t>
      </w:r>
      <w:r w:rsidR="00FF43C1">
        <w:rPr>
          <w:b w:val="0"/>
          <w:sz w:val="24"/>
          <w:szCs w:val="24"/>
          <w:u w:val="single"/>
        </w:rPr>
        <w:t> </w:t>
      </w:r>
      <w:r w:rsidR="002301DD">
        <w:rPr>
          <w:b w:val="0"/>
          <w:sz w:val="24"/>
          <w:szCs w:val="24"/>
          <w:u w:val="single"/>
        </w:rPr>
        <w:t>3</w:t>
      </w:r>
      <w:r w:rsidR="00B13DA5">
        <w:rPr>
          <w:b w:val="0"/>
          <w:sz w:val="24"/>
          <w:szCs w:val="24"/>
          <w:u w:val="single"/>
        </w:rPr>
        <w:t xml:space="preserve"> – </w:t>
      </w:r>
      <w:r w:rsidRPr="000A7ACD">
        <w:rPr>
          <w:b w:val="0"/>
          <w:sz w:val="24"/>
          <w:szCs w:val="24"/>
          <w:u w:val="single"/>
        </w:rPr>
        <w:t>Authority</w:t>
      </w:r>
    </w:p>
    <w:p w14:paraId="341649CC" w14:textId="77777777" w:rsidR="00420A7E" w:rsidRDefault="00420A7E" w:rsidP="007706C2">
      <w:pPr>
        <w:pStyle w:val="ESAttHeading"/>
        <w:keepNext w:val="0"/>
        <w:keepLines/>
        <w:rPr>
          <w:b w:val="0"/>
          <w:sz w:val="24"/>
          <w:szCs w:val="24"/>
        </w:rPr>
      </w:pPr>
      <w:r w:rsidRPr="00420A7E">
        <w:rPr>
          <w:b w:val="0"/>
          <w:sz w:val="24"/>
          <w:szCs w:val="24"/>
        </w:rPr>
        <w:t xml:space="preserve">Section </w:t>
      </w:r>
      <w:r w:rsidR="002301DD">
        <w:rPr>
          <w:b w:val="0"/>
          <w:sz w:val="24"/>
          <w:szCs w:val="24"/>
        </w:rPr>
        <w:t>3</w:t>
      </w:r>
      <w:r w:rsidRPr="00420A7E">
        <w:rPr>
          <w:b w:val="0"/>
          <w:sz w:val="24"/>
          <w:szCs w:val="24"/>
        </w:rPr>
        <w:t xml:space="preserve"> provides that the Determination is</w:t>
      </w:r>
      <w:r w:rsidR="002301DD">
        <w:rPr>
          <w:b w:val="0"/>
          <w:sz w:val="24"/>
          <w:szCs w:val="24"/>
        </w:rPr>
        <w:t xml:space="preserve"> made under</w:t>
      </w:r>
      <w:r w:rsidRPr="00420A7E">
        <w:rPr>
          <w:b w:val="0"/>
          <w:sz w:val="24"/>
          <w:szCs w:val="24"/>
        </w:rPr>
        <w:t xml:space="preserve"> subsection 8(1) of the </w:t>
      </w:r>
      <w:r w:rsidRPr="007706C2">
        <w:rPr>
          <w:b w:val="0"/>
          <w:i/>
          <w:sz w:val="24"/>
          <w:szCs w:val="24"/>
        </w:rPr>
        <w:t>Woomera Prohibited Area Rule 2014</w:t>
      </w:r>
      <w:r w:rsidR="00207634">
        <w:rPr>
          <w:b w:val="0"/>
          <w:sz w:val="24"/>
          <w:szCs w:val="24"/>
        </w:rPr>
        <w:t xml:space="preserve"> (the Rule).</w:t>
      </w:r>
      <w:r w:rsidRPr="00420A7E">
        <w:rPr>
          <w:b w:val="0"/>
          <w:sz w:val="24"/>
          <w:szCs w:val="24"/>
        </w:rPr>
        <w:t xml:space="preserve"> </w:t>
      </w:r>
      <w:r w:rsidR="002301DD">
        <w:rPr>
          <w:b w:val="0"/>
          <w:sz w:val="24"/>
          <w:szCs w:val="24"/>
        </w:rPr>
        <w:t xml:space="preserve">This section sets out the legislative authority for this Determination. </w:t>
      </w:r>
    </w:p>
    <w:p w14:paraId="5619DE37" w14:textId="77777777" w:rsidR="002301DD" w:rsidRDefault="002301DD" w:rsidP="007706C2">
      <w:pPr>
        <w:pStyle w:val="ESAttHeading"/>
        <w:keepNext w:val="0"/>
        <w:keepLines/>
        <w:rPr>
          <w:b w:val="0"/>
          <w:sz w:val="24"/>
          <w:szCs w:val="24"/>
          <w:u w:val="single"/>
        </w:rPr>
      </w:pPr>
      <w:r>
        <w:rPr>
          <w:b w:val="0"/>
          <w:sz w:val="24"/>
          <w:szCs w:val="24"/>
          <w:u w:val="single"/>
        </w:rPr>
        <w:t xml:space="preserve">Section 4 – Definitions </w:t>
      </w:r>
    </w:p>
    <w:p w14:paraId="396ECC48" w14:textId="77777777" w:rsidR="002301DD" w:rsidRPr="007706C2" w:rsidRDefault="002301DD" w:rsidP="007706C2">
      <w:pPr>
        <w:pStyle w:val="ESAttHeading"/>
        <w:keepNext w:val="0"/>
        <w:keepLines/>
        <w:rPr>
          <w:b w:val="0"/>
          <w:sz w:val="24"/>
          <w:szCs w:val="24"/>
        </w:rPr>
      </w:pPr>
      <w:r>
        <w:rPr>
          <w:b w:val="0"/>
          <w:sz w:val="24"/>
          <w:szCs w:val="24"/>
        </w:rPr>
        <w:t xml:space="preserve">Section 4 sets out the meanings for key terms used throughout the Determination. </w:t>
      </w:r>
    </w:p>
    <w:p w14:paraId="6A9FBA00" w14:textId="77777777" w:rsidR="00206DDE" w:rsidRPr="000A7ACD" w:rsidRDefault="00206DDE" w:rsidP="007706C2">
      <w:pPr>
        <w:pStyle w:val="ESAttHeading"/>
        <w:keepNext w:val="0"/>
        <w:keepLines/>
        <w:rPr>
          <w:b w:val="0"/>
          <w:sz w:val="24"/>
          <w:szCs w:val="24"/>
          <w:u w:val="single"/>
        </w:rPr>
      </w:pPr>
      <w:r w:rsidRPr="000A7ACD">
        <w:rPr>
          <w:b w:val="0"/>
          <w:sz w:val="24"/>
          <w:szCs w:val="24"/>
          <w:u w:val="single"/>
        </w:rPr>
        <w:t>Section</w:t>
      </w:r>
      <w:r w:rsidR="00FF43C1">
        <w:rPr>
          <w:b w:val="0"/>
          <w:sz w:val="24"/>
          <w:szCs w:val="24"/>
          <w:u w:val="single"/>
        </w:rPr>
        <w:t> </w:t>
      </w:r>
      <w:r w:rsidR="00420A7E">
        <w:rPr>
          <w:b w:val="0"/>
          <w:sz w:val="24"/>
          <w:szCs w:val="24"/>
          <w:u w:val="single"/>
        </w:rPr>
        <w:t>5</w:t>
      </w:r>
      <w:r w:rsidR="00B13DA5">
        <w:rPr>
          <w:b w:val="0"/>
          <w:sz w:val="24"/>
          <w:szCs w:val="24"/>
          <w:u w:val="single"/>
        </w:rPr>
        <w:t xml:space="preserve"> – </w:t>
      </w:r>
      <w:r w:rsidR="00420A7E">
        <w:rPr>
          <w:b w:val="0"/>
          <w:sz w:val="24"/>
          <w:szCs w:val="24"/>
          <w:u w:val="single"/>
        </w:rPr>
        <w:t xml:space="preserve">Exclusion Periods </w:t>
      </w:r>
    </w:p>
    <w:p w14:paraId="0CAF75A8" w14:textId="77777777" w:rsidR="00DB3DEC" w:rsidRDefault="00420A7E" w:rsidP="007706C2">
      <w:pPr>
        <w:pStyle w:val="ESAttHeading"/>
        <w:keepNext w:val="0"/>
        <w:keepLines/>
        <w:rPr>
          <w:b w:val="0"/>
          <w:sz w:val="24"/>
          <w:szCs w:val="24"/>
        </w:rPr>
      </w:pPr>
      <w:r w:rsidRPr="00420A7E">
        <w:rPr>
          <w:b w:val="0"/>
          <w:sz w:val="24"/>
          <w:szCs w:val="24"/>
        </w:rPr>
        <w:t xml:space="preserve">Section 5 </w:t>
      </w:r>
      <w:r w:rsidR="00DB3DEC">
        <w:rPr>
          <w:b w:val="0"/>
          <w:sz w:val="24"/>
          <w:szCs w:val="24"/>
        </w:rPr>
        <w:t xml:space="preserve">determines the exclusion periods for </w:t>
      </w:r>
      <w:r w:rsidR="0018370F">
        <w:rPr>
          <w:b w:val="0"/>
          <w:sz w:val="24"/>
          <w:szCs w:val="24"/>
        </w:rPr>
        <w:t>the</w:t>
      </w:r>
      <w:r w:rsidR="00DB3DEC">
        <w:rPr>
          <w:b w:val="0"/>
          <w:sz w:val="24"/>
          <w:szCs w:val="24"/>
        </w:rPr>
        <w:t xml:space="preserve"> green zone. </w:t>
      </w:r>
    </w:p>
    <w:p w14:paraId="424177D6" w14:textId="77777777" w:rsidR="00DB3DEC" w:rsidRDefault="00DB3DEC" w:rsidP="007706C2">
      <w:pPr>
        <w:pStyle w:val="ESAttHeading"/>
        <w:keepNext w:val="0"/>
        <w:keepLines/>
        <w:rPr>
          <w:b w:val="0"/>
          <w:sz w:val="24"/>
          <w:szCs w:val="24"/>
        </w:rPr>
      </w:pPr>
      <w:r>
        <w:rPr>
          <w:b w:val="0"/>
          <w:sz w:val="24"/>
          <w:szCs w:val="24"/>
        </w:rPr>
        <w:t xml:space="preserve">Subsection 5(1) </w:t>
      </w:r>
      <w:r w:rsidR="00420A7E" w:rsidRPr="00420A7E">
        <w:rPr>
          <w:b w:val="0"/>
          <w:sz w:val="24"/>
          <w:szCs w:val="24"/>
        </w:rPr>
        <w:t xml:space="preserve">provides that </w:t>
      </w:r>
      <w:r w:rsidR="000859BC">
        <w:rPr>
          <w:b w:val="0"/>
          <w:sz w:val="24"/>
          <w:szCs w:val="24"/>
        </w:rPr>
        <w:t xml:space="preserve">for the purposes of </w:t>
      </w:r>
      <w:r>
        <w:rPr>
          <w:b w:val="0"/>
          <w:sz w:val="24"/>
          <w:szCs w:val="24"/>
        </w:rPr>
        <w:t>paragraph</w:t>
      </w:r>
      <w:r w:rsidR="000859BC">
        <w:rPr>
          <w:b w:val="0"/>
          <w:sz w:val="24"/>
          <w:szCs w:val="24"/>
        </w:rPr>
        <w:t xml:space="preserve"> 8(1)</w:t>
      </w:r>
      <w:r>
        <w:rPr>
          <w:b w:val="0"/>
          <w:sz w:val="24"/>
          <w:szCs w:val="24"/>
        </w:rPr>
        <w:t>(c)</w:t>
      </w:r>
      <w:r w:rsidR="000859BC">
        <w:rPr>
          <w:b w:val="0"/>
          <w:sz w:val="24"/>
          <w:szCs w:val="24"/>
        </w:rPr>
        <w:t xml:space="preserve"> of the Rule, </w:t>
      </w:r>
      <w:r>
        <w:rPr>
          <w:b w:val="0"/>
          <w:sz w:val="24"/>
          <w:szCs w:val="24"/>
        </w:rPr>
        <w:t xml:space="preserve">the exclusion periods determined for the green zone are set out in paragraph 5(1)(a) to paragraph 5(1)(c). </w:t>
      </w:r>
    </w:p>
    <w:p w14:paraId="649F235B" w14:textId="77777777" w:rsidR="00DB3DEC" w:rsidRDefault="00976639" w:rsidP="007706C2">
      <w:pPr>
        <w:pStyle w:val="ESAttHeading"/>
        <w:keepNext w:val="0"/>
        <w:keepLines/>
        <w:rPr>
          <w:b w:val="0"/>
          <w:sz w:val="24"/>
          <w:szCs w:val="24"/>
        </w:rPr>
      </w:pPr>
      <w:r>
        <w:rPr>
          <w:b w:val="0"/>
          <w:sz w:val="24"/>
          <w:szCs w:val="24"/>
        </w:rPr>
        <w:t xml:space="preserve">Under subsection 8(2) of the Rule, exclusion periods for a zone may commence immediately after the end of a previous exclusion period for the zone, meaning that exclusion periods may </w:t>
      </w:r>
      <w:r w:rsidR="00FD10AA">
        <w:rPr>
          <w:b w:val="0"/>
          <w:sz w:val="24"/>
          <w:szCs w:val="24"/>
        </w:rPr>
        <w:t xml:space="preserve">run </w:t>
      </w:r>
      <w:r>
        <w:rPr>
          <w:b w:val="0"/>
          <w:sz w:val="24"/>
          <w:szCs w:val="24"/>
        </w:rPr>
        <w:t xml:space="preserve">consecutively. This </w:t>
      </w:r>
      <w:r w:rsidR="003F70A6">
        <w:rPr>
          <w:b w:val="0"/>
          <w:sz w:val="24"/>
          <w:szCs w:val="24"/>
        </w:rPr>
        <w:t>allows</w:t>
      </w:r>
      <w:r>
        <w:rPr>
          <w:b w:val="0"/>
          <w:sz w:val="24"/>
          <w:szCs w:val="24"/>
        </w:rPr>
        <w:t xml:space="preserve"> the exclusion period </w:t>
      </w:r>
      <w:r w:rsidR="00DB3DEC">
        <w:rPr>
          <w:b w:val="0"/>
          <w:sz w:val="24"/>
          <w:szCs w:val="24"/>
        </w:rPr>
        <w:t xml:space="preserve">determined </w:t>
      </w:r>
      <w:r w:rsidR="00FD10AA">
        <w:rPr>
          <w:b w:val="0"/>
          <w:sz w:val="24"/>
          <w:szCs w:val="24"/>
        </w:rPr>
        <w:t>in</w:t>
      </w:r>
      <w:r w:rsidR="00DB3DEC">
        <w:rPr>
          <w:b w:val="0"/>
          <w:sz w:val="24"/>
          <w:szCs w:val="24"/>
        </w:rPr>
        <w:t xml:space="preserve"> paragraph 5(1)(b) </w:t>
      </w:r>
      <w:r w:rsidR="003F70A6">
        <w:rPr>
          <w:b w:val="0"/>
          <w:sz w:val="24"/>
          <w:szCs w:val="24"/>
        </w:rPr>
        <w:t xml:space="preserve">to </w:t>
      </w:r>
      <w:r>
        <w:rPr>
          <w:b w:val="0"/>
          <w:sz w:val="24"/>
          <w:szCs w:val="24"/>
        </w:rPr>
        <w:t xml:space="preserve">commence immediately after the end of the exclusion period </w:t>
      </w:r>
      <w:r w:rsidR="00DB3DEC">
        <w:rPr>
          <w:b w:val="0"/>
          <w:sz w:val="24"/>
          <w:szCs w:val="24"/>
        </w:rPr>
        <w:t xml:space="preserve">determined </w:t>
      </w:r>
      <w:r w:rsidR="00FD10AA">
        <w:rPr>
          <w:b w:val="0"/>
          <w:sz w:val="24"/>
          <w:szCs w:val="24"/>
        </w:rPr>
        <w:t>in</w:t>
      </w:r>
      <w:r w:rsidR="003F70A6">
        <w:rPr>
          <w:b w:val="0"/>
          <w:sz w:val="24"/>
          <w:szCs w:val="24"/>
        </w:rPr>
        <w:t xml:space="preserve"> </w:t>
      </w:r>
      <w:r w:rsidR="00DB3DEC">
        <w:rPr>
          <w:b w:val="0"/>
          <w:sz w:val="24"/>
          <w:szCs w:val="24"/>
        </w:rPr>
        <w:t xml:space="preserve">paragraph 5(1)(a). </w:t>
      </w:r>
    </w:p>
    <w:p w14:paraId="481C595D" w14:textId="4DA0393A" w:rsidR="0018370F" w:rsidRDefault="00DB3DEC" w:rsidP="007706C2">
      <w:pPr>
        <w:pStyle w:val="ESAttHeading"/>
        <w:keepNext w:val="0"/>
        <w:keepLines/>
        <w:rPr>
          <w:b w:val="0"/>
          <w:sz w:val="24"/>
          <w:szCs w:val="24"/>
        </w:rPr>
      </w:pPr>
      <w:r>
        <w:rPr>
          <w:b w:val="0"/>
          <w:sz w:val="24"/>
          <w:szCs w:val="24"/>
        </w:rPr>
        <w:t>Subsection 5(2) provides that for the purposes of subsection 8(4) of the R</w:t>
      </w:r>
      <w:r w:rsidR="0018370F">
        <w:rPr>
          <w:b w:val="0"/>
          <w:sz w:val="24"/>
          <w:szCs w:val="24"/>
        </w:rPr>
        <w:t xml:space="preserve">ule, the exclusion period applies to a part of the green zone. The part of the green zone is the area of the green zone shaded blue on the map in Schedule 1, and </w:t>
      </w:r>
      <w:r w:rsidR="003F70A6">
        <w:rPr>
          <w:b w:val="0"/>
          <w:sz w:val="24"/>
          <w:szCs w:val="24"/>
        </w:rPr>
        <w:t xml:space="preserve">the area </w:t>
      </w:r>
      <w:r w:rsidR="0018370F">
        <w:rPr>
          <w:b w:val="0"/>
          <w:sz w:val="24"/>
          <w:szCs w:val="24"/>
        </w:rPr>
        <w:t xml:space="preserve">contained within and bounded </w:t>
      </w:r>
      <w:r w:rsidR="008D19FE">
        <w:rPr>
          <w:b w:val="0"/>
          <w:sz w:val="24"/>
          <w:szCs w:val="24"/>
        </w:rPr>
        <w:t xml:space="preserve">by </w:t>
      </w:r>
      <w:r w:rsidR="007706C2">
        <w:rPr>
          <w:b w:val="0"/>
          <w:sz w:val="24"/>
          <w:szCs w:val="24"/>
        </w:rPr>
        <w:t>a line</w:t>
      </w:r>
      <w:r w:rsidR="003F70A6">
        <w:rPr>
          <w:b w:val="0"/>
          <w:sz w:val="24"/>
          <w:szCs w:val="24"/>
        </w:rPr>
        <w:t xml:space="preserve"> </w:t>
      </w:r>
      <w:r w:rsidR="0018370F">
        <w:rPr>
          <w:b w:val="0"/>
          <w:sz w:val="24"/>
          <w:szCs w:val="24"/>
        </w:rPr>
        <w:t xml:space="preserve">commencing at </w:t>
      </w:r>
      <w:r w:rsidR="003F70A6">
        <w:rPr>
          <w:b w:val="0"/>
          <w:sz w:val="24"/>
          <w:szCs w:val="24"/>
        </w:rPr>
        <w:t xml:space="preserve">latitude </w:t>
      </w:r>
      <w:r w:rsidR="0018370F">
        <w:rPr>
          <w:b w:val="0"/>
          <w:sz w:val="24"/>
          <w:szCs w:val="24"/>
        </w:rPr>
        <w:t xml:space="preserve">-28.54000, </w:t>
      </w:r>
      <w:r w:rsidR="003F70A6">
        <w:rPr>
          <w:b w:val="0"/>
          <w:sz w:val="24"/>
          <w:szCs w:val="24"/>
        </w:rPr>
        <w:t xml:space="preserve">longitude </w:t>
      </w:r>
      <w:r w:rsidR="0018370F">
        <w:rPr>
          <w:b w:val="0"/>
          <w:sz w:val="24"/>
          <w:szCs w:val="24"/>
        </w:rPr>
        <w:t xml:space="preserve">131.50000. </w:t>
      </w:r>
      <w:r w:rsidR="003F70A6">
        <w:rPr>
          <w:b w:val="0"/>
          <w:sz w:val="24"/>
          <w:szCs w:val="24"/>
        </w:rPr>
        <w:t>The map in Schedule 1 provides a visual representation of the part of the green zone</w:t>
      </w:r>
      <w:r w:rsidR="007706C2">
        <w:rPr>
          <w:b w:val="0"/>
          <w:sz w:val="24"/>
          <w:szCs w:val="24"/>
        </w:rPr>
        <w:t>. The coordinates in subsection 5(2) provides a point-to-point line of coordinates for the part of the green zone</w:t>
      </w:r>
      <w:r w:rsidR="003F70A6">
        <w:rPr>
          <w:b w:val="0"/>
          <w:sz w:val="24"/>
          <w:szCs w:val="24"/>
        </w:rPr>
        <w:t xml:space="preserve">. </w:t>
      </w:r>
    </w:p>
    <w:p w14:paraId="029D0F91" w14:textId="77777777" w:rsidR="0018370F" w:rsidRDefault="0018370F" w:rsidP="0018370F">
      <w:pPr>
        <w:pStyle w:val="ESAttHeading"/>
        <w:keepNext w:val="0"/>
        <w:keepLines/>
        <w:rPr>
          <w:b w:val="0"/>
          <w:sz w:val="24"/>
          <w:szCs w:val="24"/>
        </w:rPr>
      </w:pPr>
      <w:r>
        <w:rPr>
          <w:b w:val="0"/>
          <w:sz w:val="24"/>
          <w:szCs w:val="24"/>
        </w:rPr>
        <w:t xml:space="preserve">The effect of section 5 is that the dates set out in paragraphs 5(1)(a) to (c) are determined to be exclusion periods for part of the green zone, illustrated by the map and the boundary of geographic coordinates. This means that non-Defence persons </w:t>
      </w:r>
      <w:r w:rsidR="007706C2">
        <w:rPr>
          <w:b w:val="0"/>
          <w:sz w:val="24"/>
          <w:szCs w:val="24"/>
        </w:rPr>
        <w:t>are</w:t>
      </w:r>
      <w:r>
        <w:rPr>
          <w:b w:val="0"/>
          <w:sz w:val="24"/>
          <w:szCs w:val="24"/>
        </w:rPr>
        <w:t xml:space="preserve"> prohibited </w:t>
      </w:r>
      <w:r w:rsidR="007706C2">
        <w:rPr>
          <w:b w:val="0"/>
          <w:sz w:val="24"/>
          <w:szCs w:val="24"/>
        </w:rPr>
        <w:t>from entering</w:t>
      </w:r>
      <w:r>
        <w:rPr>
          <w:b w:val="0"/>
          <w:sz w:val="24"/>
          <w:szCs w:val="24"/>
        </w:rPr>
        <w:t xml:space="preserve"> this part of the green zone for the exclusion periods. </w:t>
      </w:r>
    </w:p>
    <w:p w14:paraId="5E6AEBCA" w14:textId="77777777" w:rsidR="002301DD" w:rsidRPr="00420A7E" w:rsidRDefault="002301DD" w:rsidP="007706C2">
      <w:pPr>
        <w:pStyle w:val="ESAttHeading"/>
        <w:keepNext w:val="0"/>
        <w:keepLines/>
        <w:rPr>
          <w:b w:val="0"/>
          <w:sz w:val="24"/>
          <w:szCs w:val="24"/>
          <w:u w:val="single"/>
        </w:rPr>
      </w:pPr>
      <w:r>
        <w:rPr>
          <w:b w:val="0"/>
          <w:sz w:val="24"/>
          <w:szCs w:val="24"/>
          <w:u w:val="single"/>
        </w:rPr>
        <w:t xml:space="preserve">Section </w:t>
      </w:r>
      <w:r w:rsidR="000859BC">
        <w:rPr>
          <w:b w:val="0"/>
          <w:sz w:val="24"/>
          <w:szCs w:val="24"/>
          <w:u w:val="single"/>
        </w:rPr>
        <w:t>6</w:t>
      </w:r>
      <w:r>
        <w:rPr>
          <w:b w:val="0"/>
          <w:sz w:val="24"/>
          <w:szCs w:val="24"/>
          <w:u w:val="single"/>
        </w:rPr>
        <w:t xml:space="preserve"> - Repeal</w:t>
      </w:r>
    </w:p>
    <w:p w14:paraId="46E4947A" w14:textId="77777777" w:rsidR="002301DD" w:rsidRDefault="002301DD" w:rsidP="007706C2">
      <w:pPr>
        <w:pStyle w:val="ESAttHeading"/>
        <w:keepNext w:val="0"/>
        <w:keepLines/>
      </w:pPr>
      <w:r w:rsidRPr="00420A7E">
        <w:rPr>
          <w:b w:val="0"/>
          <w:sz w:val="24"/>
          <w:szCs w:val="24"/>
        </w:rPr>
        <w:t xml:space="preserve">Section </w:t>
      </w:r>
      <w:r w:rsidR="000859BC">
        <w:rPr>
          <w:b w:val="0"/>
          <w:sz w:val="24"/>
          <w:szCs w:val="24"/>
        </w:rPr>
        <w:t>6</w:t>
      </w:r>
      <w:r w:rsidRPr="00420A7E">
        <w:rPr>
          <w:b w:val="0"/>
          <w:sz w:val="24"/>
          <w:szCs w:val="24"/>
        </w:rPr>
        <w:t xml:space="preserve"> provides that the Determination </w:t>
      </w:r>
      <w:r w:rsidR="00FD10AA">
        <w:rPr>
          <w:b w:val="0"/>
          <w:sz w:val="24"/>
          <w:szCs w:val="24"/>
        </w:rPr>
        <w:t>is</w:t>
      </w:r>
      <w:r w:rsidRPr="00420A7E">
        <w:rPr>
          <w:b w:val="0"/>
          <w:sz w:val="24"/>
          <w:szCs w:val="24"/>
        </w:rPr>
        <w:t xml:space="preserve"> repealed on 17 November 2025. This </w:t>
      </w:r>
      <w:r w:rsidR="00FD10AA">
        <w:rPr>
          <w:b w:val="0"/>
          <w:sz w:val="24"/>
          <w:szCs w:val="24"/>
        </w:rPr>
        <w:t xml:space="preserve">repeal date is </w:t>
      </w:r>
      <w:r w:rsidR="00FD10AA" w:rsidRPr="00FD10AA">
        <w:rPr>
          <w:b w:val="0"/>
          <w:sz w:val="24"/>
          <w:szCs w:val="24"/>
        </w:rPr>
        <w:t xml:space="preserve">immediately after the end of </w:t>
      </w:r>
      <w:r w:rsidR="00FD10AA">
        <w:rPr>
          <w:b w:val="0"/>
          <w:sz w:val="24"/>
          <w:szCs w:val="24"/>
        </w:rPr>
        <w:t>the last</w:t>
      </w:r>
      <w:r w:rsidR="00FD10AA" w:rsidRPr="00FD10AA">
        <w:rPr>
          <w:b w:val="0"/>
          <w:sz w:val="24"/>
          <w:szCs w:val="24"/>
        </w:rPr>
        <w:t xml:space="preserve"> exclusion perio</w:t>
      </w:r>
      <w:r w:rsidR="00FD10AA">
        <w:rPr>
          <w:b w:val="0"/>
          <w:sz w:val="24"/>
          <w:szCs w:val="24"/>
        </w:rPr>
        <w:t xml:space="preserve">d </w:t>
      </w:r>
      <w:r w:rsidR="005A5EEF">
        <w:rPr>
          <w:b w:val="0"/>
          <w:sz w:val="24"/>
          <w:szCs w:val="24"/>
        </w:rPr>
        <w:t xml:space="preserve">set out </w:t>
      </w:r>
      <w:r w:rsidR="00EB11BE">
        <w:rPr>
          <w:b w:val="0"/>
          <w:sz w:val="24"/>
          <w:szCs w:val="24"/>
        </w:rPr>
        <w:t>in sub</w:t>
      </w:r>
      <w:r w:rsidR="000859BC">
        <w:rPr>
          <w:b w:val="0"/>
          <w:sz w:val="24"/>
          <w:szCs w:val="24"/>
        </w:rPr>
        <w:t>section 5</w:t>
      </w:r>
      <w:r w:rsidR="00EB11BE">
        <w:rPr>
          <w:b w:val="0"/>
          <w:sz w:val="24"/>
          <w:szCs w:val="24"/>
        </w:rPr>
        <w:t>(1)</w:t>
      </w:r>
      <w:r w:rsidR="000859BC">
        <w:rPr>
          <w:b w:val="0"/>
          <w:sz w:val="24"/>
          <w:szCs w:val="24"/>
        </w:rPr>
        <w:t xml:space="preserve"> of the Determination</w:t>
      </w:r>
      <w:r w:rsidR="005A5EEF">
        <w:rPr>
          <w:b w:val="0"/>
          <w:sz w:val="24"/>
          <w:szCs w:val="24"/>
        </w:rPr>
        <w:t xml:space="preserve">. </w:t>
      </w:r>
    </w:p>
    <w:p w14:paraId="4A20F2F9" w14:textId="77777777" w:rsidR="009B5A58" w:rsidRPr="007706C2" w:rsidRDefault="00420A7E" w:rsidP="007706C2">
      <w:pPr>
        <w:keepLines/>
        <w:rPr>
          <w:rFonts w:ascii="Times New Roman" w:hAnsi="Times New Roman" w:cs="Times New Roman"/>
          <w:b/>
          <w:sz w:val="24"/>
        </w:rPr>
      </w:pPr>
      <w:r w:rsidRPr="007706C2">
        <w:rPr>
          <w:rFonts w:ascii="Times New Roman" w:hAnsi="Times New Roman" w:cs="Times New Roman"/>
          <w:b/>
          <w:sz w:val="24"/>
        </w:rPr>
        <w:t>Schedule 1</w:t>
      </w:r>
      <w:r w:rsidR="009B5A58" w:rsidRPr="007706C2">
        <w:rPr>
          <w:rFonts w:ascii="Times New Roman" w:hAnsi="Times New Roman" w:cs="Times New Roman"/>
          <w:b/>
          <w:sz w:val="24"/>
        </w:rPr>
        <w:t xml:space="preserve">—Map of the Green Zone </w:t>
      </w:r>
    </w:p>
    <w:p w14:paraId="6D160E73" w14:textId="77777777" w:rsidR="003F70A6" w:rsidRPr="007706C2" w:rsidRDefault="00420A7E" w:rsidP="007706C2">
      <w:pPr>
        <w:keepLines/>
        <w:rPr>
          <w:rFonts w:ascii="Times New Roman" w:hAnsi="Times New Roman" w:cs="Times New Roman"/>
          <w:sz w:val="24"/>
        </w:rPr>
      </w:pPr>
      <w:r w:rsidRPr="007706C2">
        <w:rPr>
          <w:rFonts w:ascii="Times New Roman" w:hAnsi="Times New Roman" w:cs="Times New Roman"/>
          <w:sz w:val="24"/>
        </w:rPr>
        <w:t xml:space="preserve">Schedule </w:t>
      </w:r>
      <w:r w:rsidR="000859BC" w:rsidRPr="007706C2">
        <w:rPr>
          <w:rFonts w:ascii="Times New Roman" w:hAnsi="Times New Roman" w:cs="Times New Roman"/>
          <w:sz w:val="24"/>
        </w:rPr>
        <w:t>1</w:t>
      </w:r>
      <w:r w:rsidRPr="007706C2">
        <w:rPr>
          <w:rFonts w:ascii="Times New Roman" w:hAnsi="Times New Roman" w:cs="Times New Roman"/>
          <w:sz w:val="24"/>
        </w:rPr>
        <w:t xml:space="preserve"> illustrates, in a map, the part of the </w:t>
      </w:r>
      <w:r w:rsidR="003F70A6" w:rsidRPr="007706C2">
        <w:rPr>
          <w:rFonts w:ascii="Times New Roman" w:hAnsi="Times New Roman" w:cs="Times New Roman"/>
          <w:sz w:val="24"/>
        </w:rPr>
        <w:t xml:space="preserve">green zone that the exclusion period is determined for. </w:t>
      </w:r>
    </w:p>
    <w:p w14:paraId="0235435F" w14:textId="77777777" w:rsidR="00822447" w:rsidRPr="00822447" w:rsidRDefault="00822447" w:rsidP="007706C2">
      <w:pPr>
        <w:keepLines/>
        <w:rPr>
          <w:rFonts w:ascii="Times New Roman" w:hAnsi="Times New Roman" w:cs="Times New Roman"/>
        </w:rPr>
      </w:pPr>
      <w:r w:rsidRPr="00822447">
        <w:rPr>
          <w:rFonts w:ascii="Times New Roman" w:hAnsi="Times New Roman" w:cs="Times New Roman"/>
        </w:rPr>
        <w:br w:type="page"/>
      </w:r>
    </w:p>
    <w:p w14:paraId="50665513" w14:textId="77777777" w:rsidR="00802D5E" w:rsidRPr="00822447" w:rsidRDefault="00802D5E" w:rsidP="00802D5E">
      <w:pPr>
        <w:pStyle w:val="ESAttAttName"/>
        <w:pageBreakBefore/>
        <w:rPr>
          <w:sz w:val="24"/>
          <w:szCs w:val="24"/>
          <w:u w:val="none"/>
        </w:rPr>
      </w:pPr>
      <w:r w:rsidRPr="00802D5E">
        <w:rPr>
          <w:sz w:val="24"/>
          <w:szCs w:val="24"/>
          <w:u w:val="none"/>
        </w:rPr>
        <w:t xml:space="preserve"> </w:t>
      </w:r>
      <w:r w:rsidRPr="00822447">
        <w:rPr>
          <w:sz w:val="24"/>
          <w:szCs w:val="24"/>
          <w:u w:val="none"/>
        </w:rPr>
        <w:t>Attachment</w:t>
      </w:r>
      <w:r>
        <w:rPr>
          <w:sz w:val="24"/>
          <w:szCs w:val="24"/>
          <w:u w:val="none"/>
        </w:rPr>
        <w:t> </w:t>
      </w:r>
      <w:r w:rsidR="00981E6A">
        <w:rPr>
          <w:sz w:val="24"/>
          <w:szCs w:val="24"/>
          <w:u w:val="none"/>
        </w:rPr>
        <w:t>B</w:t>
      </w:r>
    </w:p>
    <w:p w14:paraId="00DA9146" w14:textId="77777777" w:rsidR="009B5A58" w:rsidRPr="009B5A58" w:rsidRDefault="009B5A58" w:rsidP="009B5A58">
      <w:pPr>
        <w:jc w:val="center"/>
        <w:rPr>
          <w:rFonts w:ascii="Times New Roman" w:hAnsi="Times New Roman" w:cs="Times New Roman"/>
          <w:b/>
        </w:rPr>
      </w:pPr>
      <w:r w:rsidRPr="009B5A58">
        <w:rPr>
          <w:rFonts w:ascii="Times New Roman" w:hAnsi="Times New Roman" w:cs="Times New Roman"/>
          <w:b/>
          <w:sz w:val="28"/>
          <w:szCs w:val="28"/>
        </w:rPr>
        <w:t>Statement of Compatibility with Human Rights</w:t>
      </w:r>
    </w:p>
    <w:p w14:paraId="5C03ECF7" w14:textId="77777777" w:rsidR="009B5A58" w:rsidRPr="009B5A58" w:rsidRDefault="009B5A58" w:rsidP="009B5A58">
      <w:pPr>
        <w:spacing w:before="240" w:after="240" w:line="240" w:lineRule="auto"/>
        <w:jc w:val="center"/>
        <w:rPr>
          <w:rFonts w:ascii="Times New Roman" w:hAnsi="Times New Roman" w:cs="Times New Roman"/>
          <w:sz w:val="24"/>
          <w:szCs w:val="24"/>
        </w:rPr>
      </w:pPr>
      <w:r w:rsidRPr="009B5A58">
        <w:rPr>
          <w:rFonts w:ascii="Times New Roman" w:hAnsi="Times New Roman" w:cs="Times New Roman"/>
          <w:i/>
          <w:sz w:val="24"/>
          <w:szCs w:val="24"/>
        </w:rPr>
        <w:t>Prepared in accordance with Part 3 of the Human Rights (Parliamentary Scrutiny) Act 2011</w:t>
      </w:r>
    </w:p>
    <w:p w14:paraId="1DA6A4F6" w14:textId="4E85E663" w:rsidR="002301DD" w:rsidRDefault="002301DD" w:rsidP="002301DD">
      <w:pPr>
        <w:spacing w:before="120" w:after="120" w:line="240" w:lineRule="auto"/>
        <w:jc w:val="center"/>
        <w:rPr>
          <w:rFonts w:ascii="Times New Roman" w:eastAsia="Calibri" w:hAnsi="Times New Roman" w:cs="Times New Roman"/>
          <w:b/>
          <w:sz w:val="24"/>
          <w:szCs w:val="24"/>
        </w:rPr>
      </w:pPr>
      <w:r w:rsidRPr="002301DD">
        <w:rPr>
          <w:rFonts w:ascii="Times New Roman" w:eastAsia="Calibri" w:hAnsi="Times New Roman" w:cs="Times New Roman"/>
          <w:b/>
          <w:sz w:val="24"/>
          <w:szCs w:val="24"/>
        </w:rPr>
        <w:t xml:space="preserve">Woomera Prohibited Area (Exclusion Periods for the Green Zone for 27 October 2025 to </w:t>
      </w:r>
      <w:r w:rsidR="008D19FE">
        <w:rPr>
          <w:rFonts w:ascii="Times New Roman" w:eastAsia="Calibri" w:hAnsi="Times New Roman" w:cs="Times New Roman"/>
          <w:b/>
          <w:sz w:val="24"/>
          <w:szCs w:val="24"/>
        </w:rPr>
        <w:br/>
      </w:r>
      <w:r w:rsidRPr="002301DD">
        <w:rPr>
          <w:rFonts w:ascii="Times New Roman" w:eastAsia="Calibri" w:hAnsi="Times New Roman" w:cs="Times New Roman"/>
          <w:b/>
          <w:sz w:val="24"/>
          <w:szCs w:val="24"/>
        </w:rPr>
        <w:t>16 November 2025) Determination 2025</w:t>
      </w:r>
    </w:p>
    <w:p w14:paraId="1D133F85" w14:textId="77777777" w:rsidR="002301DD" w:rsidRPr="002301DD" w:rsidRDefault="002301DD" w:rsidP="002301DD">
      <w:pPr>
        <w:spacing w:before="120" w:after="120" w:line="240" w:lineRule="auto"/>
        <w:jc w:val="center"/>
        <w:rPr>
          <w:rFonts w:ascii="Times New Roman" w:eastAsia="Calibri" w:hAnsi="Times New Roman" w:cs="Times New Roman"/>
          <w:sz w:val="24"/>
          <w:szCs w:val="24"/>
        </w:rPr>
      </w:pPr>
    </w:p>
    <w:p w14:paraId="0678961B" w14:textId="77777777" w:rsidR="002301DD" w:rsidRPr="002301DD" w:rsidRDefault="002301DD" w:rsidP="002301DD">
      <w:pPr>
        <w:spacing w:before="120" w:after="12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This </w:t>
      </w:r>
      <w:r w:rsidRPr="002301DD">
        <w:rPr>
          <w:rFonts w:ascii="Times New Roman" w:eastAsia="Calibri" w:hAnsi="Times New Roman" w:cs="Times New Roman"/>
          <w:sz w:val="24"/>
          <w:szCs w:val="24"/>
        </w:rPr>
        <w:t xml:space="preserve">Disallowable Legislative Instrument is compatible with the human rights and freedoms recognised or declared in the international instruments listed in section 3 of the </w:t>
      </w:r>
      <w:r w:rsidRPr="002301DD">
        <w:rPr>
          <w:rFonts w:ascii="Times New Roman" w:eastAsia="Calibri" w:hAnsi="Times New Roman" w:cs="Times New Roman"/>
          <w:i/>
          <w:sz w:val="24"/>
          <w:szCs w:val="24"/>
        </w:rPr>
        <w:t>Human Rights (Parliamentary Scrutiny) Act 2011</w:t>
      </w:r>
      <w:r w:rsidRPr="002301DD">
        <w:rPr>
          <w:rFonts w:ascii="Times New Roman" w:eastAsia="Calibri" w:hAnsi="Times New Roman" w:cs="Times New Roman"/>
          <w:sz w:val="24"/>
          <w:szCs w:val="24"/>
        </w:rPr>
        <w:t>.</w:t>
      </w:r>
    </w:p>
    <w:p w14:paraId="5B23338B" w14:textId="77777777" w:rsidR="002301DD" w:rsidRPr="002301DD" w:rsidRDefault="002301DD" w:rsidP="002301DD">
      <w:pPr>
        <w:spacing w:before="120" w:after="120" w:line="240" w:lineRule="auto"/>
        <w:rPr>
          <w:rFonts w:ascii="Times New Roman" w:eastAsia="Calibri" w:hAnsi="Times New Roman" w:cs="Times New Roman"/>
          <w:sz w:val="24"/>
          <w:szCs w:val="24"/>
        </w:rPr>
      </w:pPr>
    </w:p>
    <w:p w14:paraId="707D3C00" w14:textId="77777777" w:rsidR="002301DD" w:rsidRPr="002301DD" w:rsidRDefault="002301DD" w:rsidP="002301DD">
      <w:pPr>
        <w:spacing w:before="120" w:after="120" w:line="240" w:lineRule="auto"/>
        <w:jc w:val="both"/>
        <w:outlineLvl w:val="2"/>
        <w:rPr>
          <w:rFonts w:ascii="Times New Roman" w:eastAsia="Calibri" w:hAnsi="Times New Roman" w:cs="Times New Roman"/>
          <w:b/>
          <w:sz w:val="24"/>
          <w:szCs w:val="24"/>
        </w:rPr>
      </w:pPr>
      <w:r>
        <w:rPr>
          <w:rFonts w:ascii="Times New Roman" w:eastAsia="Calibri" w:hAnsi="Times New Roman" w:cs="Times New Roman"/>
          <w:b/>
          <w:sz w:val="24"/>
          <w:szCs w:val="24"/>
        </w:rPr>
        <w:t xml:space="preserve">Overview of the </w:t>
      </w:r>
      <w:r w:rsidRPr="002301DD">
        <w:rPr>
          <w:rFonts w:ascii="Times New Roman" w:eastAsia="Calibri" w:hAnsi="Times New Roman" w:cs="Times New Roman"/>
          <w:b/>
          <w:sz w:val="24"/>
          <w:szCs w:val="24"/>
        </w:rPr>
        <w:t>Disallowable Legislative Instrument</w:t>
      </w:r>
    </w:p>
    <w:p w14:paraId="0F73CA68" w14:textId="77777777" w:rsidR="00420A7E" w:rsidRPr="00420A7E" w:rsidRDefault="00420A7E" w:rsidP="00420A7E">
      <w:pPr>
        <w:keepNext/>
        <w:spacing w:before="120" w:line="240" w:lineRule="auto"/>
        <w:jc w:val="both"/>
        <w:outlineLvl w:val="2"/>
        <w:rPr>
          <w:rFonts w:ascii="Times New Roman" w:hAnsi="Times New Roman" w:cs="Times New Roman"/>
          <w:sz w:val="24"/>
          <w:szCs w:val="24"/>
        </w:rPr>
      </w:pPr>
      <w:r w:rsidRPr="00420A7E">
        <w:rPr>
          <w:rFonts w:ascii="Times New Roman" w:hAnsi="Times New Roman" w:cs="Times New Roman"/>
          <w:sz w:val="24"/>
          <w:szCs w:val="24"/>
        </w:rPr>
        <w:t xml:space="preserve">Under subsection 8(1) of the </w:t>
      </w:r>
      <w:r w:rsidR="00CB7427" w:rsidRPr="007706C2">
        <w:rPr>
          <w:rFonts w:ascii="Times New Roman" w:hAnsi="Times New Roman" w:cs="Times New Roman"/>
          <w:i/>
          <w:sz w:val="24"/>
          <w:szCs w:val="24"/>
        </w:rPr>
        <w:t>Woomera Prohibited Area Rule 2014</w:t>
      </w:r>
      <w:r w:rsidR="00CB7427">
        <w:rPr>
          <w:rFonts w:ascii="Times New Roman" w:hAnsi="Times New Roman" w:cs="Times New Roman"/>
          <w:sz w:val="24"/>
          <w:szCs w:val="24"/>
        </w:rPr>
        <w:t xml:space="preserve"> (Rule) </w:t>
      </w:r>
      <w:r w:rsidRPr="00420A7E">
        <w:rPr>
          <w:rFonts w:ascii="Times New Roman" w:hAnsi="Times New Roman" w:cs="Times New Roman"/>
          <w:sz w:val="24"/>
          <w:szCs w:val="24"/>
        </w:rPr>
        <w:t>the Minister may, by legislative instrument, determine exclusion periods for the Green Zone. Subsection 8(4) of the Rule allow</w:t>
      </w:r>
      <w:r w:rsidR="00BB1D39">
        <w:rPr>
          <w:rFonts w:ascii="Times New Roman" w:hAnsi="Times New Roman" w:cs="Times New Roman"/>
          <w:sz w:val="24"/>
          <w:szCs w:val="24"/>
        </w:rPr>
        <w:t>s</w:t>
      </w:r>
      <w:r w:rsidRPr="00420A7E">
        <w:rPr>
          <w:rFonts w:ascii="Times New Roman" w:hAnsi="Times New Roman" w:cs="Times New Roman"/>
          <w:sz w:val="24"/>
          <w:szCs w:val="24"/>
        </w:rPr>
        <w:t xml:space="preserve"> for an exclusion period to apply to part of a zone within the Woomera Prohibited Area</w:t>
      </w:r>
      <w:r w:rsidR="00CB7427">
        <w:rPr>
          <w:rFonts w:ascii="Times New Roman" w:hAnsi="Times New Roman" w:cs="Times New Roman"/>
          <w:sz w:val="24"/>
          <w:szCs w:val="24"/>
        </w:rPr>
        <w:t xml:space="preserve"> (WPA)</w:t>
      </w:r>
      <w:r w:rsidRPr="00420A7E">
        <w:rPr>
          <w:rFonts w:ascii="Times New Roman" w:hAnsi="Times New Roman" w:cs="Times New Roman"/>
          <w:sz w:val="24"/>
          <w:szCs w:val="24"/>
        </w:rPr>
        <w:t xml:space="preserve">. In accordance with section 10 of the </w:t>
      </w:r>
      <w:r w:rsidR="00CB7427">
        <w:rPr>
          <w:rFonts w:ascii="Times New Roman" w:hAnsi="Times New Roman" w:cs="Times New Roman"/>
          <w:sz w:val="24"/>
          <w:szCs w:val="24"/>
        </w:rPr>
        <w:t>Rule</w:t>
      </w:r>
      <w:r w:rsidRPr="00420A7E">
        <w:rPr>
          <w:rFonts w:ascii="Times New Roman" w:hAnsi="Times New Roman" w:cs="Times New Roman"/>
          <w:sz w:val="24"/>
          <w:szCs w:val="24"/>
        </w:rPr>
        <w:t xml:space="preserve">, a person who holds a WPA permit must not be at a place in the prescribed zone during an exclusion period.  </w:t>
      </w:r>
    </w:p>
    <w:p w14:paraId="6828BBBD" w14:textId="77777777" w:rsidR="00420A7E" w:rsidRDefault="00420A7E" w:rsidP="00420A7E">
      <w:pPr>
        <w:keepNext/>
        <w:spacing w:before="120" w:line="240" w:lineRule="auto"/>
        <w:jc w:val="both"/>
        <w:outlineLvl w:val="2"/>
        <w:rPr>
          <w:rFonts w:ascii="Times New Roman" w:hAnsi="Times New Roman" w:cs="Times New Roman"/>
          <w:sz w:val="24"/>
          <w:szCs w:val="24"/>
        </w:rPr>
      </w:pPr>
      <w:r w:rsidRPr="00420A7E">
        <w:rPr>
          <w:rFonts w:ascii="Times New Roman" w:hAnsi="Times New Roman" w:cs="Times New Roman"/>
          <w:sz w:val="24"/>
          <w:szCs w:val="24"/>
        </w:rPr>
        <w:t xml:space="preserve">This </w:t>
      </w:r>
      <w:r w:rsidR="009B5A58">
        <w:rPr>
          <w:rFonts w:ascii="Times New Roman" w:hAnsi="Times New Roman" w:cs="Times New Roman"/>
          <w:sz w:val="24"/>
          <w:szCs w:val="24"/>
        </w:rPr>
        <w:t>Disallowable Instrument</w:t>
      </w:r>
      <w:r w:rsidRPr="00420A7E">
        <w:rPr>
          <w:rFonts w:ascii="Times New Roman" w:hAnsi="Times New Roman" w:cs="Times New Roman"/>
          <w:sz w:val="24"/>
          <w:szCs w:val="24"/>
        </w:rPr>
        <w:t xml:space="preserve">, made under subsection 8(1) of the </w:t>
      </w:r>
      <w:r w:rsidR="00CB7427">
        <w:rPr>
          <w:rFonts w:ascii="Times New Roman" w:hAnsi="Times New Roman" w:cs="Times New Roman"/>
          <w:sz w:val="24"/>
          <w:szCs w:val="24"/>
        </w:rPr>
        <w:t>Rule</w:t>
      </w:r>
      <w:r w:rsidRPr="00420A7E">
        <w:rPr>
          <w:rFonts w:ascii="Times New Roman" w:hAnsi="Times New Roman" w:cs="Times New Roman"/>
          <w:sz w:val="24"/>
          <w:szCs w:val="24"/>
        </w:rPr>
        <w:t xml:space="preserve">, exercises the Minister’s power, conferred to his delegate, to determine exclusion periods for certain parts of the Green Zone in the WPA. The holders of a permit issued under the Rule are excluded from entering the part of the Green Zone to which the exclusion period applies, during the periods specified in the </w:t>
      </w:r>
      <w:r w:rsidR="009B5A58">
        <w:rPr>
          <w:rFonts w:ascii="Times New Roman" w:hAnsi="Times New Roman" w:cs="Times New Roman"/>
          <w:sz w:val="24"/>
          <w:szCs w:val="24"/>
        </w:rPr>
        <w:t>Disallowable Instrument</w:t>
      </w:r>
      <w:r w:rsidRPr="00420A7E">
        <w:rPr>
          <w:rFonts w:ascii="Times New Roman" w:hAnsi="Times New Roman" w:cs="Times New Roman"/>
          <w:sz w:val="24"/>
          <w:szCs w:val="24"/>
        </w:rPr>
        <w:t>.</w:t>
      </w:r>
    </w:p>
    <w:p w14:paraId="7DB73831" w14:textId="77777777" w:rsidR="00822447" w:rsidRPr="00822447" w:rsidRDefault="00822447" w:rsidP="00420A7E">
      <w:pPr>
        <w:keepNext/>
        <w:spacing w:before="120" w:line="240" w:lineRule="auto"/>
        <w:jc w:val="both"/>
        <w:outlineLvl w:val="2"/>
        <w:rPr>
          <w:rFonts w:ascii="Times New Roman" w:hAnsi="Times New Roman" w:cs="Times New Roman"/>
          <w:b/>
          <w:sz w:val="24"/>
          <w:szCs w:val="24"/>
        </w:rPr>
      </w:pPr>
      <w:r w:rsidRPr="00822447">
        <w:rPr>
          <w:rFonts w:ascii="Times New Roman" w:hAnsi="Times New Roman" w:cs="Times New Roman"/>
          <w:b/>
          <w:sz w:val="24"/>
          <w:szCs w:val="24"/>
        </w:rPr>
        <w:t>Human rights implications</w:t>
      </w:r>
    </w:p>
    <w:p w14:paraId="78F3BDA3"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Th</w:t>
      </w:r>
      <w:r w:rsidR="002301DD">
        <w:rPr>
          <w:rFonts w:ascii="Times New Roman" w:hAnsi="Times New Roman" w:cs="Times New Roman"/>
          <w:sz w:val="24"/>
          <w:szCs w:val="24"/>
        </w:rPr>
        <w:t>is Disallowable Instrument</w:t>
      </w:r>
      <w:r w:rsidRPr="00420A7E">
        <w:rPr>
          <w:rFonts w:ascii="Times New Roman" w:hAnsi="Times New Roman" w:cs="Times New Roman"/>
          <w:sz w:val="24"/>
          <w:szCs w:val="24"/>
        </w:rPr>
        <w:t xml:space="preserve"> </w:t>
      </w:r>
      <w:r w:rsidR="002301DD">
        <w:rPr>
          <w:rFonts w:ascii="Times New Roman" w:hAnsi="Times New Roman" w:cs="Times New Roman"/>
          <w:sz w:val="24"/>
          <w:szCs w:val="24"/>
        </w:rPr>
        <w:t>engages</w:t>
      </w:r>
      <w:r w:rsidRPr="00420A7E">
        <w:rPr>
          <w:rFonts w:ascii="Times New Roman" w:hAnsi="Times New Roman" w:cs="Times New Roman"/>
          <w:sz w:val="24"/>
          <w:szCs w:val="24"/>
        </w:rPr>
        <w:t xml:space="preserve"> the following human rights:</w:t>
      </w:r>
    </w:p>
    <w:p w14:paraId="39BF1093" w14:textId="77777777" w:rsidR="00420A7E" w:rsidRPr="00420A7E" w:rsidRDefault="00420A7E" w:rsidP="00420A7E">
      <w:pPr>
        <w:pStyle w:val="ListParagraph"/>
        <w:numPr>
          <w:ilvl w:val="0"/>
          <w:numId w:val="36"/>
        </w:num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the freedom of movement in Article 12 of the International Covenant on Civil and Political Rights (ICCPR);</w:t>
      </w:r>
    </w:p>
    <w:p w14:paraId="71EBA2B4" w14:textId="77777777" w:rsidR="00420A7E" w:rsidRPr="00420A7E" w:rsidRDefault="00420A7E" w:rsidP="00420A7E">
      <w:pPr>
        <w:pStyle w:val="ListParagraph"/>
        <w:numPr>
          <w:ilvl w:val="0"/>
          <w:numId w:val="36"/>
        </w:num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the right to work under Article 6 of the International Covenant on Economic, Social and Cultural Rights (ICESCR);</w:t>
      </w:r>
    </w:p>
    <w:p w14:paraId="77CDC248" w14:textId="77777777" w:rsidR="00420A7E" w:rsidRPr="00420A7E" w:rsidRDefault="00420A7E" w:rsidP="00420A7E">
      <w:pPr>
        <w:pStyle w:val="ListParagraph"/>
        <w:numPr>
          <w:ilvl w:val="0"/>
          <w:numId w:val="36"/>
        </w:num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the right to the enjoyment of just and favourable conditions of work under Article 7 of ICESCR;</w:t>
      </w:r>
    </w:p>
    <w:p w14:paraId="2BA33DC4" w14:textId="77777777" w:rsidR="00420A7E" w:rsidRPr="00420A7E" w:rsidRDefault="00420A7E" w:rsidP="00420A7E">
      <w:pPr>
        <w:pStyle w:val="ListParagraph"/>
        <w:numPr>
          <w:ilvl w:val="0"/>
          <w:numId w:val="36"/>
        </w:num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 xml:space="preserve">the right to enjoy and benefit from culture in Article 27 ICCPR; and </w:t>
      </w:r>
    </w:p>
    <w:p w14:paraId="30855A8D" w14:textId="77777777" w:rsidR="00420A7E" w:rsidRPr="00420A7E" w:rsidRDefault="00420A7E" w:rsidP="00420A7E">
      <w:pPr>
        <w:pStyle w:val="ListParagraph"/>
        <w:numPr>
          <w:ilvl w:val="0"/>
          <w:numId w:val="36"/>
        </w:num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the right to take part in cultural life under Article 15 ICESCR.</w:t>
      </w:r>
    </w:p>
    <w:p w14:paraId="06EF9E9B" w14:textId="77777777" w:rsidR="00420A7E" w:rsidRPr="00420A7E" w:rsidRDefault="00420A7E" w:rsidP="00420A7E">
      <w:pPr>
        <w:spacing w:before="120" w:line="240" w:lineRule="auto"/>
        <w:rPr>
          <w:rFonts w:ascii="Times New Roman" w:hAnsi="Times New Roman" w:cs="Times New Roman"/>
          <w:b/>
          <w:sz w:val="24"/>
          <w:szCs w:val="24"/>
        </w:rPr>
      </w:pPr>
      <w:r w:rsidRPr="00420A7E">
        <w:rPr>
          <w:rFonts w:ascii="Times New Roman" w:hAnsi="Times New Roman" w:cs="Times New Roman"/>
          <w:b/>
          <w:sz w:val="24"/>
          <w:szCs w:val="24"/>
        </w:rPr>
        <w:t>Freedom of movement</w:t>
      </w:r>
    </w:p>
    <w:p w14:paraId="31A44972"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Article 12 of the ICCPR ensures the right to freedom of movement which includes the right for those who are lawfully within a country to move freely within that country.</w:t>
      </w:r>
    </w:p>
    <w:p w14:paraId="06A2698B"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 xml:space="preserve">The </w:t>
      </w:r>
      <w:r w:rsidR="009B5A58">
        <w:rPr>
          <w:rFonts w:ascii="Times New Roman" w:hAnsi="Times New Roman" w:cs="Times New Roman"/>
          <w:sz w:val="24"/>
          <w:szCs w:val="24"/>
        </w:rPr>
        <w:t>Disallowable Instrument</w:t>
      </w:r>
      <w:r w:rsidR="009B5A58" w:rsidRPr="00420A7E">
        <w:rPr>
          <w:rFonts w:ascii="Times New Roman" w:hAnsi="Times New Roman" w:cs="Times New Roman"/>
          <w:sz w:val="24"/>
          <w:szCs w:val="24"/>
        </w:rPr>
        <w:t xml:space="preserve"> </w:t>
      </w:r>
      <w:r w:rsidRPr="00420A7E">
        <w:rPr>
          <w:rFonts w:ascii="Times New Roman" w:hAnsi="Times New Roman" w:cs="Times New Roman"/>
          <w:sz w:val="24"/>
          <w:szCs w:val="24"/>
        </w:rPr>
        <w:t xml:space="preserve">specifies exclusion periods for a part of the Green Zone in the WPA, during which time permit holders are </w:t>
      </w:r>
      <w:r w:rsidR="00CB7427">
        <w:rPr>
          <w:rFonts w:ascii="Times New Roman" w:hAnsi="Times New Roman" w:cs="Times New Roman"/>
          <w:sz w:val="24"/>
          <w:szCs w:val="24"/>
        </w:rPr>
        <w:t>prohibited from entering</w:t>
      </w:r>
      <w:r w:rsidRPr="00420A7E">
        <w:rPr>
          <w:rFonts w:ascii="Times New Roman" w:hAnsi="Times New Roman" w:cs="Times New Roman"/>
          <w:sz w:val="24"/>
          <w:szCs w:val="24"/>
        </w:rPr>
        <w:t xml:space="preserve">. During these exclusion periods, the WPA is used by Defence for testing activities relating to the defence of Australia. Accordingly, being physically in the part of the Green Zone during the exclusion period could endanger human life. </w:t>
      </w:r>
    </w:p>
    <w:p w14:paraId="1FB7A5C8" w14:textId="77777777" w:rsidR="00420A7E" w:rsidRPr="00420A7E" w:rsidRDefault="00420A7E" w:rsidP="00420A7E">
      <w:pPr>
        <w:spacing w:before="120" w:line="240" w:lineRule="auto"/>
        <w:rPr>
          <w:rFonts w:ascii="Times New Roman" w:hAnsi="Times New Roman" w:cs="Times New Roman"/>
          <w:sz w:val="24"/>
          <w:szCs w:val="24"/>
        </w:rPr>
      </w:pPr>
    </w:p>
    <w:p w14:paraId="635FAA8B" w14:textId="5179D464"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 xml:space="preserve">Therefore, any limitation on freedom of movement imposed by the </w:t>
      </w:r>
      <w:r w:rsidR="009B5A58">
        <w:rPr>
          <w:rFonts w:ascii="Times New Roman" w:hAnsi="Times New Roman" w:cs="Times New Roman"/>
          <w:sz w:val="24"/>
          <w:szCs w:val="24"/>
        </w:rPr>
        <w:t>Disallowable Instrument</w:t>
      </w:r>
      <w:r w:rsidRPr="00420A7E">
        <w:rPr>
          <w:rFonts w:ascii="Times New Roman" w:hAnsi="Times New Roman" w:cs="Times New Roman"/>
          <w:sz w:val="24"/>
          <w:szCs w:val="24"/>
        </w:rPr>
        <w:t xml:space="preserve"> is considered reasonable, proportionate and necessary in these circumstances to maintain the security of Defence activities and protect personal safety. The </w:t>
      </w:r>
      <w:r w:rsidR="009B5A58">
        <w:rPr>
          <w:rFonts w:ascii="Times New Roman" w:hAnsi="Times New Roman" w:cs="Times New Roman"/>
          <w:sz w:val="24"/>
          <w:szCs w:val="24"/>
        </w:rPr>
        <w:t>Disallowable Instrument</w:t>
      </w:r>
      <w:r w:rsidRPr="00420A7E">
        <w:rPr>
          <w:rFonts w:ascii="Times New Roman" w:hAnsi="Times New Roman" w:cs="Times New Roman"/>
          <w:sz w:val="24"/>
          <w:szCs w:val="24"/>
        </w:rPr>
        <w:t xml:space="preserve">, achieves this objective as the exclusion periods prevent the movement of people through an area when Defence is undertaking its testing activities. </w:t>
      </w:r>
    </w:p>
    <w:p w14:paraId="681E7BDF"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 xml:space="preserve">To ensure the </w:t>
      </w:r>
      <w:r w:rsidR="009B5A58">
        <w:rPr>
          <w:rFonts w:ascii="Times New Roman" w:hAnsi="Times New Roman" w:cs="Times New Roman"/>
          <w:sz w:val="24"/>
          <w:szCs w:val="24"/>
        </w:rPr>
        <w:t>Disallowable Instrument</w:t>
      </w:r>
      <w:r w:rsidRPr="00420A7E">
        <w:rPr>
          <w:rFonts w:ascii="Times New Roman" w:hAnsi="Times New Roman" w:cs="Times New Roman"/>
          <w:sz w:val="24"/>
          <w:szCs w:val="24"/>
        </w:rPr>
        <w:t xml:space="preserve"> is reasonable and proportionate in the circumstances, the exclusion periods declared are for finite periods of time. Further, and in accordance with </w:t>
      </w:r>
      <w:r w:rsidR="007706C2">
        <w:rPr>
          <w:rFonts w:ascii="Times New Roman" w:hAnsi="Times New Roman" w:cs="Times New Roman"/>
          <w:sz w:val="24"/>
          <w:szCs w:val="24"/>
        </w:rPr>
        <w:t>subparagraphs</w:t>
      </w:r>
      <w:r w:rsidRPr="00420A7E">
        <w:rPr>
          <w:rFonts w:ascii="Times New Roman" w:hAnsi="Times New Roman" w:cs="Times New Roman"/>
          <w:sz w:val="24"/>
          <w:szCs w:val="24"/>
        </w:rPr>
        <w:t xml:space="preserve"> 9(2)(a)(ii) and (iii) of the Rule, resource production purpose permit holders must be given at least 6 months’ notice before an exclusion period begins, and other permit holders must be given at least twenty one days’ notice before an exclusion period begins in the Green Zone. The Woomera Prohibited Area Coordination Office complies with these notification requirements</w:t>
      </w:r>
      <w:r w:rsidR="00CB7427">
        <w:rPr>
          <w:rFonts w:ascii="Times New Roman" w:hAnsi="Times New Roman" w:cs="Times New Roman"/>
          <w:sz w:val="24"/>
          <w:szCs w:val="24"/>
        </w:rPr>
        <w:t xml:space="preserve"> and</w:t>
      </w:r>
      <w:r w:rsidRPr="00420A7E">
        <w:rPr>
          <w:rFonts w:ascii="Times New Roman" w:hAnsi="Times New Roman" w:cs="Times New Roman"/>
          <w:sz w:val="24"/>
          <w:szCs w:val="24"/>
        </w:rPr>
        <w:t xml:space="preserve"> informs stakeholders of the exclusion periods on its website before they come into effect. Defence also communicates regularly with affected permit holders who are contacted in the lead up to upcoming exclusion periods.  </w:t>
      </w:r>
    </w:p>
    <w:p w14:paraId="748310FF"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The above mechanisms ensure the limitation on the right to freedom of movement is reasonable, proportionate and necessary in these circumstances.</w:t>
      </w:r>
    </w:p>
    <w:p w14:paraId="632FF18F" w14:textId="77777777" w:rsidR="00420A7E" w:rsidRPr="00420A7E" w:rsidRDefault="00420A7E" w:rsidP="00420A7E">
      <w:pPr>
        <w:spacing w:before="120" w:line="240" w:lineRule="auto"/>
        <w:rPr>
          <w:rFonts w:ascii="Times New Roman" w:hAnsi="Times New Roman" w:cs="Times New Roman"/>
          <w:b/>
          <w:sz w:val="24"/>
          <w:szCs w:val="24"/>
        </w:rPr>
      </w:pPr>
      <w:r w:rsidRPr="00420A7E">
        <w:rPr>
          <w:rFonts w:ascii="Times New Roman" w:hAnsi="Times New Roman" w:cs="Times New Roman"/>
          <w:b/>
          <w:sz w:val="24"/>
          <w:szCs w:val="24"/>
        </w:rPr>
        <w:t>The right to work and the right to just and favourable working conditions</w:t>
      </w:r>
    </w:p>
    <w:p w14:paraId="4152DC95"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The right to work is protected under Article 6 of ICESCR, and Article 7 recognises the right to the enjoyment of just and favourable conditions of work, including a right to safe and healthy working conditions.</w:t>
      </w:r>
    </w:p>
    <w:p w14:paraId="22E50D9B" w14:textId="0CEA31DB"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 xml:space="preserve">As raised above, exclusion periods determined </w:t>
      </w:r>
      <w:r w:rsidR="008D19FE">
        <w:rPr>
          <w:rFonts w:ascii="Times New Roman" w:hAnsi="Times New Roman" w:cs="Times New Roman"/>
          <w:sz w:val="24"/>
          <w:szCs w:val="24"/>
        </w:rPr>
        <w:t xml:space="preserve">by the Minister </w:t>
      </w:r>
      <w:r w:rsidRPr="00420A7E">
        <w:rPr>
          <w:rFonts w:ascii="Times New Roman" w:hAnsi="Times New Roman" w:cs="Times New Roman"/>
          <w:sz w:val="24"/>
          <w:szCs w:val="24"/>
        </w:rPr>
        <w:t xml:space="preserve">under section 8 </w:t>
      </w:r>
      <w:r w:rsidR="008D19FE">
        <w:rPr>
          <w:rFonts w:ascii="Times New Roman" w:hAnsi="Times New Roman" w:cs="Times New Roman"/>
          <w:sz w:val="24"/>
          <w:szCs w:val="24"/>
        </w:rPr>
        <w:t xml:space="preserve">of </w:t>
      </w:r>
      <w:r w:rsidRPr="00420A7E">
        <w:rPr>
          <w:rFonts w:ascii="Times New Roman" w:hAnsi="Times New Roman" w:cs="Times New Roman"/>
          <w:sz w:val="24"/>
          <w:szCs w:val="24"/>
        </w:rPr>
        <w:t>the Rule remove the right of persons to access parts of the WPA for the duration of the exclusion periods due to Defence testing activities. This may prevent permit holders from being able to work, and prevent a body corporate from conducting its business activities in the WPA. In these circumstances, the right to work will be limited for the duration of the exclusion period to ensure personal safety and the security of permit holders.</w:t>
      </w:r>
    </w:p>
    <w:p w14:paraId="4847C61B"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 xml:space="preserve">Any limitations on the right to work and the right to just and favourable working conditions are considered reasonable, proportionate and necessary to ensure the security of Defence activities and protect personal safety. The limitations will achieve this objective by allowing Defence to undertake its testing activities while ensuring that people will not be put in danger. This includes evacuating people from places if their working conditions become dangerous or unfavourable (i.e. where there is a potential hazard caused by the testing of war materiel). </w:t>
      </w:r>
    </w:p>
    <w:p w14:paraId="0487C8A3"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 xml:space="preserve">Further, the exclusion periods are only for the specified timeframes in the </w:t>
      </w:r>
      <w:r w:rsidR="009B5A58">
        <w:rPr>
          <w:rFonts w:ascii="Times New Roman" w:hAnsi="Times New Roman" w:cs="Times New Roman"/>
          <w:sz w:val="24"/>
          <w:szCs w:val="24"/>
        </w:rPr>
        <w:t>Disallowable Instrument</w:t>
      </w:r>
      <w:r w:rsidRPr="00420A7E">
        <w:rPr>
          <w:rFonts w:ascii="Times New Roman" w:hAnsi="Times New Roman" w:cs="Times New Roman"/>
          <w:sz w:val="24"/>
          <w:szCs w:val="24"/>
        </w:rPr>
        <w:t>, with affected stakeholders given advance notice of the duration of the exclusion periods, ensuring the limitation on the right to work is reasonable and proportionate.</w:t>
      </w:r>
    </w:p>
    <w:p w14:paraId="6828CBFC" w14:textId="77777777" w:rsidR="00420A7E" w:rsidRPr="00420A7E" w:rsidRDefault="00420A7E" w:rsidP="00420A7E">
      <w:pPr>
        <w:spacing w:before="120" w:line="240" w:lineRule="auto"/>
        <w:rPr>
          <w:rFonts w:ascii="Times New Roman" w:hAnsi="Times New Roman" w:cs="Times New Roman"/>
          <w:b/>
          <w:sz w:val="24"/>
          <w:szCs w:val="24"/>
        </w:rPr>
      </w:pPr>
      <w:r w:rsidRPr="00420A7E">
        <w:rPr>
          <w:rFonts w:ascii="Times New Roman" w:hAnsi="Times New Roman" w:cs="Times New Roman"/>
          <w:b/>
          <w:sz w:val="24"/>
          <w:szCs w:val="24"/>
        </w:rPr>
        <w:t xml:space="preserve">The right to enjoy and benefit from culture and the right to take part in cultural life </w:t>
      </w:r>
    </w:p>
    <w:p w14:paraId="00267A49"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Article 27 of the ICCPR protects the rights of all people to enjoy and benefit from culture. Article 15 of the ICESCR protects the right to take part in cultural life.</w:t>
      </w:r>
    </w:p>
    <w:p w14:paraId="5F2E0009"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 xml:space="preserve">For First Nations people, enjoying and benefiting from culture and taking part in cultural life may include traditional, social and economic activities such as fishing or hunting and the right to live on traditional lands. The </w:t>
      </w:r>
      <w:r w:rsidR="009B5A58">
        <w:rPr>
          <w:rFonts w:ascii="Times New Roman" w:hAnsi="Times New Roman" w:cs="Times New Roman"/>
          <w:sz w:val="24"/>
          <w:szCs w:val="24"/>
        </w:rPr>
        <w:t>Disallowable Instrument</w:t>
      </w:r>
      <w:r w:rsidRPr="00420A7E">
        <w:rPr>
          <w:rFonts w:ascii="Times New Roman" w:hAnsi="Times New Roman" w:cs="Times New Roman"/>
          <w:sz w:val="24"/>
          <w:szCs w:val="24"/>
        </w:rPr>
        <w:t xml:space="preserve"> of exclusion periods in the WPA may limit First Nations people's cultural rights, including the traditional use of land in the relevant zones for hunting, food gathering and ceremonial or religious purposes. Limiting access to the relevant zones will be for the purpose of Defence testing activities, the conduct of which could endanger human life should people be in the zone while this activity is taking place.</w:t>
      </w:r>
    </w:p>
    <w:p w14:paraId="02C437FC"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The limitation on these rights is reasonable, proportionate and necessary to maintain the security of Defence activities and ensure the safety of people who have access to this area. Once the exclusion periods have ceased, First Nations people are able to access the WPA and enjoy and take part in cultural life as recognised in the ICCPR and ICESCR.</w:t>
      </w:r>
    </w:p>
    <w:p w14:paraId="3CA470D3" w14:textId="77777777" w:rsidR="00420A7E" w:rsidRPr="00420A7E" w:rsidRDefault="00420A7E" w:rsidP="00420A7E">
      <w:pPr>
        <w:spacing w:before="120" w:line="240" w:lineRule="auto"/>
        <w:rPr>
          <w:rFonts w:ascii="Times New Roman" w:hAnsi="Times New Roman" w:cs="Times New Roman"/>
          <w:b/>
          <w:sz w:val="24"/>
          <w:szCs w:val="24"/>
        </w:rPr>
      </w:pPr>
      <w:r w:rsidRPr="00420A7E">
        <w:rPr>
          <w:rFonts w:ascii="Times New Roman" w:hAnsi="Times New Roman" w:cs="Times New Roman"/>
          <w:b/>
          <w:sz w:val="24"/>
          <w:szCs w:val="24"/>
        </w:rPr>
        <w:t>Conclusion</w:t>
      </w:r>
    </w:p>
    <w:p w14:paraId="0B8923ED" w14:textId="77777777" w:rsidR="00420A7E" w:rsidRPr="00420A7E" w:rsidRDefault="00420A7E" w:rsidP="00420A7E">
      <w:pPr>
        <w:spacing w:before="120" w:line="240" w:lineRule="auto"/>
        <w:rPr>
          <w:rFonts w:ascii="Times New Roman" w:hAnsi="Times New Roman" w:cs="Times New Roman"/>
          <w:sz w:val="24"/>
          <w:szCs w:val="24"/>
        </w:rPr>
      </w:pPr>
      <w:r w:rsidRPr="00420A7E">
        <w:rPr>
          <w:rFonts w:ascii="Times New Roman" w:hAnsi="Times New Roman" w:cs="Times New Roman"/>
          <w:sz w:val="24"/>
          <w:szCs w:val="24"/>
        </w:rPr>
        <w:t xml:space="preserve">The </w:t>
      </w:r>
      <w:r w:rsidR="009B5A58">
        <w:rPr>
          <w:rFonts w:ascii="Times New Roman" w:hAnsi="Times New Roman" w:cs="Times New Roman"/>
          <w:sz w:val="24"/>
          <w:szCs w:val="24"/>
        </w:rPr>
        <w:t>Disallowable Instrument</w:t>
      </w:r>
      <w:r w:rsidRPr="00420A7E">
        <w:rPr>
          <w:rFonts w:ascii="Times New Roman" w:hAnsi="Times New Roman" w:cs="Times New Roman"/>
          <w:sz w:val="24"/>
          <w:szCs w:val="24"/>
        </w:rPr>
        <w:t xml:space="preserve"> is compatible with the international human rights instruments to which Australia is a signatory. While recognising that freedom of movement, the right to work and the right to enjoy and benefit from culture may be limited for certain periods in the WPA, these limitations are reasonable, necessary and proportionate to achieving legitimate objectives.</w:t>
      </w:r>
    </w:p>
    <w:p w14:paraId="2733FA57" w14:textId="77777777" w:rsidR="005D543B" w:rsidRPr="00420A7E" w:rsidRDefault="005D543B" w:rsidP="00420A7E">
      <w:pPr>
        <w:spacing w:before="120" w:line="240" w:lineRule="auto"/>
        <w:rPr>
          <w:rFonts w:ascii="Times New Roman" w:hAnsi="Times New Roman" w:cs="Times New Roman"/>
          <w:b/>
          <w:sz w:val="24"/>
          <w:szCs w:val="24"/>
        </w:rPr>
      </w:pPr>
    </w:p>
    <w:sectPr w:rsidR="005D543B" w:rsidRPr="00420A7E" w:rsidSect="004F5CE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3C41D" w14:textId="77777777" w:rsidR="00007E68" w:rsidRDefault="00007E68" w:rsidP="00B77D97">
      <w:pPr>
        <w:spacing w:after="0" w:line="240" w:lineRule="auto"/>
      </w:pPr>
      <w:r>
        <w:separator/>
      </w:r>
    </w:p>
  </w:endnote>
  <w:endnote w:type="continuationSeparator" w:id="0">
    <w:p w14:paraId="5F1C3B7E" w14:textId="77777777" w:rsidR="00007E68" w:rsidRDefault="00007E68" w:rsidP="00B77D97">
      <w:pPr>
        <w:spacing w:after="0" w:line="240" w:lineRule="auto"/>
      </w:pPr>
      <w:r>
        <w:continuationSeparator/>
      </w:r>
    </w:p>
  </w:endnote>
  <w:endnote w:type="continuationNotice" w:id="1">
    <w:p w14:paraId="35A7F4E3" w14:textId="77777777" w:rsidR="00007E68" w:rsidRDefault="00007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7755F" w14:textId="77777777" w:rsidR="001D6872" w:rsidRDefault="001D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2A7A2" w14:textId="7D6AB6F2" w:rsidR="00652C0B" w:rsidRPr="00B77D97" w:rsidRDefault="00652C0B" w:rsidP="00B77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D6872">
      <w:rPr>
        <w:rFonts w:ascii="Times New Roman" w:hAnsi="Times New Roman" w:cs="Times New Roman"/>
        <w:noProof/>
      </w:rPr>
      <w:t>2</w:t>
    </w:r>
    <w:r>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EC6FE" w14:textId="77777777" w:rsidR="001D6872" w:rsidRDefault="001D6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8F322" w14:textId="77777777" w:rsidR="00007E68" w:rsidRDefault="00007E68" w:rsidP="00B77D97">
      <w:pPr>
        <w:spacing w:after="0" w:line="240" w:lineRule="auto"/>
      </w:pPr>
      <w:r>
        <w:separator/>
      </w:r>
    </w:p>
  </w:footnote>
  <w:footnote w:type="continuationSeparator" w:id="0">
    <w:p w14:paraId="008B2D38" w14:textId="77777777" w:rsidR="00007E68" w:rsidRDefault="00007E68" w:rsidP="00B77D97">
      <w:pPr>
        <w:spacing w:after="0" w:line="240" w:lineRule="auto"/>
      </w:pPr>
      <w:r>
        <w:continuationSeparator/>
      </w:r>
    </w:p>
  </w:footnote>
  <w:footnote w:type="continuationNotice" w:id="1">
    <w:p w14:paraId="5517EA71" w14:textId="77777777" w:rsidR="00007E68" w:rsidRDefault="00007E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D3E9" w14:textId="77777777" w:rsidR="001D6872" w:rsidRDefault="001D6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D305" w14:textId="77777777" w:rsidR="00652C0B" w:rsidRPr="00B77D97" w:rsidRDefault="00652C0B" w:rsidP="00B77D9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4C7E" w14:textId="77777777" w:rsidR="001D6872" w:rsidRDefault="001D6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 w15:restartNumberingAfterBreak="0">
    <w:nsid w:val="08D457C5"/>
    <w:multiLevelType w:val="multilevel"/>
    <w:tmpl w:val="624681D2"/>
    <w:numStyleLink w:val="ListTableBullet"/>
  </w:abstractNum>
  <w:abstractNum w:abstractNumId="2" w15:restartNumberingAfterBreak="0">
    <w:nsid w:val="09843EE5"/>
    <w:multiLevelType w:val="hybridMultilevel"/>
    <w:tmpl w:val="42807E7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3"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BE0D62"/>
    <w:multiLevelType w:val="multilevel"/>
    <w:tmpl w:val="1C624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977AF4"/>
    <w:multiLevelType w:val="hybridMultilevel"/>
    <w:tmpl w:val="8A5EB69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27A1752C"/>
    <w:multiLevelType w:val="hybridMultilevel"/>
    <w:tmpl w:val="6F14E6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AE532A9"/>
    <w:multiLevelType w:val="hybridMultilevel"/>
    <w:tmpl w:val="16DE8FA2"/>
    <w:lvl w:ilvl="0" w:tplc="C80632DA">
      <w:start w:val="1"/>
      <w:numFmt w:val="decimal"/>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BA2238"/>
    <w:multiLevelType w:val="hybridMultilevel"/>
    <w:tmpl w:val="FEA8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574442"/>
    <w:multiLevelType w:val="hybridMultilevel"/>
    <w:tmpl w:val="ADECC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56120F"/>
    <w:multiLevelType w:val="hybridMultilevel"/>
    <w:tmpl w:val="131C9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4" w15:restartNumberingAfterBreak="0">
    <w:nsid w:val="5F7C6369"/>
    <w:multiLevelType w:val="hybridMultilevel"/>
    <w:tmpl w:val="24705510"/>
    <w:lvl w:ilvl="0" w:tplc="B868045A">
      <w:start w:val="1"/>
      <w:numFmt w:val="decimal"/>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3C3696"/>
    <w:multiLevelType w:val="hybridMultilevel"/>
    <w:tmpl w:val="888A9BF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7" w15:restartNumberingAfterBreak="0">
    <w:nsid w:val="65402428"/>
    <w:multiLevelType w:val="hybridMultilevel"/>
    <w:tmpl w:val="B4D4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2D316B"/>
    <w:multiLevelType w:val="hybridMultilevel"/>
    <w:tmpl w:val="395E2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C97204"/>
    <w:multiLevelType w:val="hybridMultilevel"/>
    <w:tmpl w:val="C41272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4C9058B"/>
    <w:multiLevelType w:val="hybridMultilevel"/>
    <w:tmpl w:val="BA8E7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D94BA1"/>
    <w:multiLevelType w:val="hybridMultilevel"/>
    <w:tmpl w:val="6EC2A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20"/>
  </w:num>
  <w:num w:numId="5">
    <w:abstractNumId w:val="17"/>
  </w:num>
  <w:num w:numId="6">
    <w:abstractNumId w:val="21"/>
  </w:num>
  <w:num w:numId="7">
    <w:abstractNumId w:val="2"/>
  </w:num>
  <w:num w:numId="8">
    <w:abstractNumId w:val="15"/>
  </w:num>
  <w:num w:numId="9">
    <w:abstractNumId w:val="6"/>
  </w:num>
  <w:num w:numId="10">
    <w:abstractNumId w:val="14"/>
  </w:num>
  <w:num w:numId="11">
    <w:abstractNumId w:val="19"/>
  </w:num>
  <w:num w:numId="12">
    <w:abstractNumId w:val="7"/>
  </w:num>
  <w:num w:numId="13">
    <w:abstractNumId w:val="8"/>
    <w:lvlOverride w:ilvl="0">
      <w:startOverride w:val="1"/>
    </w:lvlOverride>
  </w:num>
  <w:num w:numId="14">
    <w:abstractNumId w:val="0"/>
  </w:num>
  <w:num w:numId="15">
    <w:abstractNumId w:val="13"/>
  </w:num>
  <w:num w:numId="16">
    <w:abstractNumId w:val="1"/>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17">
    <w:abstractNumId w:val="3"/>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num>
  <w:num w:numId="30">
    <w:abstractNumId w:val="8"/>
    <w:lvlOverride w:ilvl="0">
      <w:startOverride w:val="1"/>
    </w:lvlOverride>
  </w:num>
  <w:num w:numId="31">
    <w:abstractNumId w:val="8"/>
  </w:num>
  <w:num w:numId="32">
    <w:abstractNumId w:val="4"/>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2"/>
  </w:num>
  <w:num w:numId="3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934"/>
    <w:rsid w:val="00000D04"/>
    <w:rsid w:val="00007E68"/>
    <w:rsid w:val="00012E42"/>
    <w:rsid w:val="00014C32"/>
    <w:rsid w:val="00017433"/>
    <w:rsid w:val="00024370"/>
    <w:rsid w:val="00025217"/>
    <w:rsid w:val="000257B9"/>
    <w:rsid w:val="0003124D"/>
    <w:rsid w:val="00032E7B"/>
    <w:rsid w:val="00034421"/>
    <w:rsid w:val="00034449"/>
    <w:rsid w:val="00037CC3"/>
    <w:rsid w:val="00041419"/>
    <w:rsid w:val="00042701"/>
    <w:rsid w:val="0004349C"/>
    <w:rsid w:val="00050C25"/>
    <w:rsid w:val="00052AE0"/>
    <w:rsid w:val="00054C05"/>
    <w:rsid w:val="000556B1"/>
    <w:rsid w:val="00056129"/>
    <w:rsid w:val="00060E31"/>
    <w:rsid w:val="0006262D"/>
    <w:rsid w:val="00062A03"/>
    <w:rsid w:val="00064E14"/>
    <w:rsid w:val="000759D6"/>
    <w:rsid w:val="000819DA"/>
    <w:rsid w:val="000859BC"/>
    <w:rsid w:val="00095A9C"/>
    <w:rsid w:val="00097B67"/>
    <w:rsid w:val="000A1147"/>
    <w:rsid w:val="000A190E"/>
    <w:rsid w:val="000A2039"/>
    <w:rsid w:val="000A2BB7"/>
    <w:rsid w:val="000A4EB2"/>
    <w:rsid w:val="000A6CED"/>
    <w:rsid w:val="000A7ACD"/>
    <w:rsid w:val="000B2EFA"/>
    <w:rsid w:val="000B4122"/>
    <w:rsid w:val="000C3BF2"/>
    <w:rsid w:val="000C7AC3"/>
    <w:rsid w:val="000D014F"/>
    <w:rsid w:val="000D5591"/>
    <w:rsid w:val="000E2061"/>
    <w:rsid w:val="000E266A"/>
    <w:rsid w:val="000E6C4E"/>
    <w:rsid w:val="000F1D54"/>
    <w:rsid w:val="000F304F"/>
    <w:rsid w:val="000F3135"/>
    <w:rsid w:val="000F63DE"/>
    <w:rsid w:val="000F686F"/>
    <w:rsid w:val="000F6BF4"/>
    <w:rsid w:val="00100DFC"/>
    <w:rsid w:val="0010677B"/>
    <w:rsid w:val="0011147B"/>
    <w:rsid w:val="00113863"/>
    <w:rsid w:val="00114450"/>
    <w:rsid w:val="00120D7D"/>
    <w:rsid w:val="00125B7A"/>
    <w:rsid w:val="001265BA"/>
    <w:rsid w:val="00133207"/>
    <w:rsid w:val="00136E34"/>
    <w:rsid w:val="00137392"/>
    <w:rsid w:val="0014153B"/>
    <w:rsid w:val="00141B05"/>
    <w:rsid w:val="001577F7"/>
    <w:rsid w:val="00160EDF"/>
    <w:rsid w:val="0016583D"/>
    <w:rsid w:val="00166FEA"/>
    <w:rsid w:val="0017149A"/>
    <w:rsid w:val="00171B4B"/>
    <w:rsid w:val="00173B12"/>
    <w:rsid w:val="0017463E"/>
    <w:rsid w:val="0018370F"/>
    <w:rsid w:val="00184772"/>
    <w:rsid w:val="00184A3F"/>
    <w:rsid w:val="001850D3"/>
    <w:rsid w:val="00187756"/>
    <w:rsid w:val="00187A14"/>
    <w:rsid w:val="0019164E"/>
    <w:rsid w:val="00191E28"/>
    <w:rsid w:val="001947AB"/>
    <w:rsid w:val="001A2906"/>
    <w:rsid w:val="001A3078"/>
    <w:rsid w:val="001A4584"/>
    <w:rsid w:val="001B1424"/>
    <w:rsid w:val="001C01FD"/>
    <w:rsid w:val="001C466F"/>
    <w:rsid w:val="001D2732"/>
    <w:rsid w:val="001D4295"/>
    <w:rsid w:val="001D6872"/>
    <w:rsid w:val="001E0597"/>
    <w:rsid w:val="001E3E18"/>
    <w:rsid w:val="001E4116"/>
    <w:rsid w:val="001E4DCB"/>
    <w:rsid w:val="001E5068"/>
    <w:rsid w:val="001E792A"/>
    <w:rsid w:val="001F0DA4"/>
    <w:rsid w:val="001F3E95"/>
    <w:rsid w:val="001F45C4"/>
    <w:rsid w:val="001F7D0A"/>
    <w:rsid w:val="002056D1"/>
    <w:rsid w:val="0020594E"/>
    <w:rsid w:val="00205E08"/>
    <w:rsid w:val="00206DDE"/>
    <w:rsid w:val="00207634"/>
    <w:rsid w:val="00207BF9"/>
    <w:rsid w:val="00210FC5"/>
    <w:rsid w:val="00211E90"/>
    <w:rsid w:val="00215DA3"/>
    <w:rsid w:val="00221D3C"/>
    <w:rsid w:val="00222AD0"/>
    <w:rsid w:val="00223912"/>
    <w:rsid w:val="00223D30"/>
    <w:rsid w:val="00224357"/>
    <w:rsid w:val="0022590B"/>
    <w:rsid w:val="002260DB"/>
    <w:rsid w:val="00226739"/>
    <w:rsid w:val="002301DD"/>
    <w:rsid w:val="002308F6"/>
    <w:rsid w:val="00233597"/>
    <w:rsid w:val="0023611A"/>
    <w:rsid w:val="00236B58"/>
    <w:rsid w:val="002402E0"/>
    <w:rsid w:val="00241CFD"/>
    <w:rsid w:val="00241DE2"/>
    <w:rsid w:val="00245376"/>
    <w:rsid w:val="00246548"/>
    <w:rsid w:val="00256024"/>
    <w:rsid w:val="002573D3"/>
    <w:rsid w:val="002603D3"/>
    <w:rsid w:val="002621DF"/>
    <w:rsid w:val="0026311B"/>
    <w:rsid w:val="002657DE"/>
    <w:rsid w:val="00265A55"/>
    <w:rsid w:val="00266351"/>
    <w:rsid w:val="002748F6"/>
    <w:rsid w:val="00287573"/>
    <w:rsid w:val="00287D13"/>
    <w:rsid w:val="00287FB7"/>
    <w:rsid w:val="002908D3"/>
    <w:rsid w:val="00291AD1"/>
    <w:rsid w:val="00291FBB"/>
    <w:rsid w:val="00295872"/>
    <w:rsid w:val="00297A28"/>
    <w:rsid w:val="002A298D"/>
    <w:rsid w:val="002A2DF6"/>
    <w:rsid w:val="002A5318"/>
    <w:rsid w:val="002A6090"/>
    <w:rsid w:val="002A6487"/>
    <w:rsid w:val="002B2418"/>
    <w:rsid w:val="002B6BED"/>
    <w:rsid w:val="002B6C7A"/>
    <w:rsid w:val="002B7D04"/>
    <w:rsid w:val="002C3597"/>
    <w:rsid w:val="002C44E4"/>
    <w:rsid w:val="002D167E"/>
    <w:rsid w:val="002D1AD0"/>
    <w:rsid w:val="002F73C1"/>
    <w:rsid w:val="003109CD"/>
    <w:rsid w:val="00314F3E"/>
    <w:rsid w:val="00316E46"/>
    <w:rsid w:val="00322990"/>
    <w:rsid w:val="00323E75"/>
    <w:rsid w:val="00324746"/>
    <w:rsid w:val="00324AA4"/>
    <w:rsid w:val="003251E3"/>
    <w:rsid w:val="00325B0F"/>
    <w:rsid w:val="00333A25"/>
    <w:rsid w:val="003345F8"/>
    <w:rsid w:val="00336B12"/>
    <w:rsid w:val="003374F1"/>
    <w:rsid w:val="00337DEA"/>
    <w:rsid w:val="00340400"/>
    <w:rsid w:val="0034158B"/>
    <w:rsid w:val="00342C01"/>
    <w:rsid w:val="00342D19"/>
    <w:rsid w:val="00344A87"/>
    <w:rsid w:val="003476CC"/>
    <w:rsid w:val="0035107A"/>
    <w:rsid w:val="003520DC"/>
    <w:rsid w:val="0035220A"/>
    <w:rsid w:val="0035239E"/>
    <w:rsid w:val="00356408"/>
    <w:rsid w:val="00357AB7"/>
    <w:rsid w:val="003617D7"/>
    <w:rsid w:val="003644E6"/>
    <w:rsid w:val="00365EC3"/>
    <w:rsid w:val="003664F2"/>
    <w:rsid w:val="0036703C"/>
    <w:rsid w:val="003829CF"/>
    <w:rsid w:val="003846B4"/>
    <w:rsid w:val="0038559E"/>
    <w:rsid w:val="00385BE3"/>
    <w:rsid w:val="0039109F"/>
    <w:rsid w:val="00392CEC"/>
    <w:rsid w:val="003A1363"/>
    <w:rsid w:val="003A1569"/>
    <w:rsid w:val="003A3392"/>
    <w:rsid w:val="003A3771"/>
    <w:rsid w:val="003B5BDC"/>
    <w:rsid w:val="003B7EEE"/>
    <w:rsid w:val="003C65C5"/>
    <w:rsid w:val="003D3EB0"/>
    <w:rsid w:val="003D6372"/>
    <w:rsid w:val="003D670E"/>
    <w:rsid w:val="003E0EFD"/>
    <w:rsid w:val="003E1150"/>
    <w:rsid w:val="003E2210"/>
    <w:rsid w:val="003E2CFB"/>
    <w:rsid w:val="003E48D6"/>
    <w:rsid w:val="003F0A82"/>
    <w:rsid w:val="003F0F53"/>
    <w:rsid w:val="003F2C1A"/>
    <w:rsid w:val="003F3231"/>
    <w:rsid w:val="003F3AB0"/>
    <w:rsid w:val="003F70A6"/>
    <w:rsid w:val="00401BDF"/>
    <w:rsid w:val="00406D0E"/>
    <w:rsid w:val="004116C4"/>
    <w:rsid w:val="00411F58"/>
    <w:rsid w:val="00415DEA"/>
    <w:rsid w:val="00416AB8"/>
    <w:rsid w:val="00416E2D"/>
    <w:rsid w:val="00420A7E"/>
    <w:rsid w:val="004227F7"/>
    <w:rsid w:val="00426168"/>
    <w:rsid w:val="00426282"/>
    <w:rsid w:val="00435645"/>
    <w:rsid w:val="004361A8"/>
    <w:rsid w:val="00440F2E"/>
    <w:rsid w:val="004413E3"/>
    <w:rsid w:val="00441448"/>
    <w:rsid w:val="00442788"/>
    <w:rsid w:val="00442EC5"/>
    <w:rsid w:val="004472D1"/>
    <w:rsid w:val="00451FB3"/>
    <w:rsid w:val="00452948"/>
    <w:rsid w:val="0045504D"/>
    <w:rsid w:val="00455C28"/>
    <w:rsid w:val="00456825"/>
    <w:rsid w:val="00457601"/>
    <w:rsid w:val="00457D4A"/>
    <w:rsid w:val="00464080"/>
    <w:rsid w:val="00464E95"/>
    <w:rsid w:val="004675BE"/>
    <w:rsid w:val="00472938"/>
    <w:rsid w:val="00474AAD"/>
    <w:rsid w:val="00475753"/>
    <w:rsid w:val="00481227"/>
    <w:rsid w:val="004825CD"/>
    <w:rsid w:val="0048269E"/>
    <w:rsid w:val="00482E05"/>
    <w:rsid w:val="00483F54"/>
    <w:rsid w:val="00492855"/>
    <w:rsid w:val="004A184D"/>
    <w:rsid w:val="004A40F9"/>
    <w:rsid w:val="004A426C"/>
    <w:rsid w:val="004A49CA"/>
    <w:rsid w:val="004A58EB"/>
    <w:rsid w:val="004B399B"/>
    <w:rsid w:val="004B727D"/>
    <w:rsid w:val="004B7F53"/>
    <w:rsid w:val="004C782D"/>
    <w:rsid w:val="004C7FC6"/>
    <w:rsid w:val="004D3149"/>
    <w:rsid w:val="004D34E7"/>
    <w:rsid w:val="004D5AE4"/>
    <w:rsid w:val="004D70FD"/>
    <w:rsid w:val="004D7854"/>
    <w:rsid w:val="004E0F25"/>
    <w:rsid w:val="004E143E"/>
    <w:rsid w:val="004E17BA"/>
    <w:rsid w:val="004E703C"/>
    <w:rsid w:val="004F5CE4"/>
    <w:rsid w:val="0050099E"/>
    <w:rsid w:val="005044CC"/>
    <w:rsid w:val="005120D0"/>
    <w:rsid w:val="00512F3A"/>
    <w:rsid w:val="005132E0"/>
    <w:rsid w:val="00516D45"/>
    <w:rsid w:val="0052160E"/>
    <w:rsid w:val="00521813"/>
    <w:rsid w:val="00521C5E"/>
    <w:rsid w:val="00525645"/>
    <w:rsid w:val="005259FF"/>
    <w:rsid w:val="005356D0"/>
    <w:rsid w:val="00537222"/>
    <w:rsid w:val="005407E4"/>
    <w:rsid w:val="00540F38"/>
    <w:rsid w:val="00550D98"/>
    <w:rsid w:val="0055174E"/>
    <w:rsid w:val="005518FF"/>
    <w:rsid w:val="00553B49"/>
    <w:rsid w:val="00556570"/>
    <w:rsid w:val="00556AEE"/>
    <w:rsid w:val="00560B24"/>
    <w:rsid w:val="00564A54"/>
    <w:rsid w:val="00564A6D"/>
    <w:rsid w:val="00564F94"/>
    <w:rsid w:val="0057002B"/>
    <w:rsid w:val="00575D4E"/>
    <w:rsid w:val="005766C4"/>
    <w:rsid w:val="005768F2"/>
    <w:rsid w:val="00582E9F"/>
    <w:rsid w:val="005879DE"/>
    <w:rsid w:val="005926BA"/>
    <w:rsid w:val="00592CE3"/>
    <w:rsid w:val="005A0253"/>
    <w:rsid w:val="005A0E59"/>
    <w:rsid w:val="005A42FE"/>
    <w:rsid w:val="005A4462"/>
    <w:rsid w:val="005A5EEF"/>
    <w:rsid w:val="005A5FD9"/>
    <w:rsid w:val="005A625A"/>
    <w:rsid w:val="005A7D65"/>
    <w:rsid w:val="005B0503"/>
    <w:rsid w:val="005B2CFF"/>
    <w:rsid w:val="005B4F9E"/>
    <w:rsid w:val="005B67FF"/>
    <w:rsid w:val="005C7BF2"/>
    <w:rsid w:val="005D02EE"/>
    <w:rsid w:val="005D543B"/>
    <w:rsid w:val="005E152F"/>
    <w:rsid w:val="005E5065"/>
    <w:rsid w:val="005F0603"/>
    <w:rsid w:val="005F1DFA"/>
    <w:rsid w:val="005F5995"/>
    <w:rsid w:val="006029B9"/>
    <w:rsid w:val="00602A11"/>
    <w:rsid w:val="00603573"/>
    <w:rsid w:val="0060408B"/>
    <w:rsid w:val="00604E06"/>
    <w:rsid w:val="00607446"/>
    <w:rsid w:val="00614883"/>
    <w:rsid w:val="006204B0"/>
    <w:rsid w:val="00620787"/>
    <w:rsid w:val="0062098B"/>
    <w:rsid w:val="00620B5B"/>
    <w:rsid w:val="00621CA8"/>
    <w:rsid w:val="00623B00"/>
    <w:rsid w:val="0064022D"/>
    <w:rsid w:val="0064692B"/>
    <w:rsid w:val="00652C0B"/>
    <w:rsid w:val="006546BE"/>
    <w:rsid w:val="00654AE0"/>
    <w:rsid w:val="006557FA"/>
    <w:rsid w:val="00661B12"/>
    <w:rsid w:val="00661DD3"/>
    <w:rsid w:val="00663D5A"/>
    <w:rsid w:val="00674810"/>
    <w:rsid w:val="00676205"/>
    <w:rsid w:val="006814E8"/>
    <w:rsid w:val="006902F8"/>
    <w:rsid w:val="006912C3"/>
    <w:rsid w:val="006913E2"/>
    <w:rsid w:val="0069144D"/>
    <w:rsid w:val="00695D70"/>
    <w:rsid w:val="006A19EC"/>
    <w:rsid w:val="006A2AD4"/>
    <w:rsid w:val="006A5473"/>
    <w:rsid w:val="006C7BA1"/>
    <w:rsid w:val="006D157A"/>
    <w:rsid w:val="006D25DC"/>
    <w:rsid w:val="006D31D9"/>
    <w:rsid w:val="006D368E"/>
    <w:rsid w:val="006D469E"/>
    <w:rsid w:val="006E043E"/>
    <w:rsid w:val="006E0D89"/>
    <w:rsid w:val="006E33DD"/>
    <w:rsid w:val="006E38A9"/>
    <w:rsid w:val="006E4B66"/>
    <w:rsid w:val="006F084A"/>
    <w:rsid w:val="006F12BD"/>
    <w:rsid w:val="006F2ED1"/>
    <w:rsid w:val="006F4472"/>
    <w:rsid w:val="0070000D"/>
    <w:rsid w:val="007017CD"/>
    <w:rsid w:val="007040BB"/>
    <w:rsid w:val="00711A3C"/>
    <w:rsid w:val="007136F8"/>
    <w:rsid w:val="00713829"/>
    <w:rsid w:val="007216CF"/>
    <w:rsid w:val="007241BF"/>
    <w:rsid w:val="00726F72"/>
    <w:rsid w:val="00731CD8"/>
    <w:rsid w:val="00731DBC"/>
    <w:rsid w:val="00735916"/>
    <w:rsid w:val="00736145"/>
    <w:rsid w:val="007402AD"/>
    <w:rsid w:val="00741836"/>
    <w:rsid w:val="0075132D"/>
    <w:rsid w:val="00751A9A"/>
    <w:rsid w:val="00755D24"/>
    <w:rsid w:val="00761C95"/>
    <w:rsid w:val="00764205"/>
    <w:rsid w:val="007654AA"/>
    <w:rsid w:val="007657F3"/>
    <w:rsid w:val="007706C2"/>
    <w:rsid w:val="00771F53"/>
    <w:rsid w:val="00773C25"/>
    <w:rsid w:val="007750BC"/>
    <w:rsid w:val="007824EC"/>
    <w:rsid w:val="007839B9"/>
    <w:rsid w:val="00783BFA"/>
    <w:rsid w:val="007852C5"/>
    <w:rsid w:val="00786B2C"/>
    <w:rsid w:val="00787BA0"/>
    <w:rsid w:val="0079235F"/>
    <w:rsid w:val="00794FA4"/>
    <w:rsid w:val="007951AD"/>
    <w:rsid w:val="00795A19"/>
    <w:rsid w:val="00797788"/>
    <w:rsid w:val="007A2140"/>
    <w:rsid w:val="007A3034"/>
    <w:rsid w:val="007A5FDC"/>
    <w:rsid w:val="007B0B34"/>
    <w:rsid w:val="007B5608"/>
    <w:rsid w:val="007C0EB7"/>
    <w:rsid w:val="007C58D3"/>
    <w:rsid w:val="007D18FB"/>
    <w:rsid w:val="007D1C3F"/>
    <w:rsid w:val="007D32D3"/>
    <w:rsid w:val="007D5764"/>
    <w:rsid w:val="007E4691"/>
    <w:rsid w:val="007E4808"/>
    <w:rsid w:val="007E5F22"/>
    <w:rsid w:val="007F092E"/>
    <w:rsid w:val="007F22C1"/>
    <w:rsid w:val="007F289C"/>
    <w:rsid w:val="007F46D9"/>
    <w:rsid w:val="00801BB8"/>
    <w:rsid w:val="00802D5E"/>
    <w:rsid w:val="0080492B"/>
    <w:rsid w:val="008059DB"/>
    <w:rsid w:val="008067A1"/>
    <w:rsid w:val="00810B52"/>
    <w:rsid w:val="00810D54"/>
    <w:rsid w:val="00813BD3"/>
    <w:rsid w:val="00816FE9"/>
    <w:rsid w:val="00817C0C"/>
    <w:rsid w:val="00820F6F"/>
    <w:rsid w:val="00822447"/>
    <w:rsid w:val="00823123"/>
    <w:rsid w:val="0082699F"/>
    <w:rsid w:val="00826F7E"/>
    <w:rsid w:val="0083399E"/>
    <w:rsid w:val="00835A9D"/>
    <w:rsid w:val="0085331A"/>
    <w:rsid w:val="0085595F"/>
    <w:rsid w:val="008567E6"/>
    <w:rsid w:val="00856D5D"/>
    <w:rsid w:val="008700B6"/>
    <w:rsid w:val="00870DB9"/>
    <w:rsid w:val="00872152"/>
    <w:rsid w:val="00873647"/>
    <w:rsid w:val="00874AB9"/>
    <w:rsid w:val="00875474"/>
    <w:rsid w:val="008810E4"/>
    <w:rsid w:val="0088407D"/>
    <w:rsid w:val="00892E84"/>
    <w:rsid w:val="00895CD7"/>
    <w:rsid w:val="00897CB6"/>
    <w:rsid w:val="008A1D41"/>
    <w:rsid w:val="008B24C8"/>
    <w:rsid w:val="008B3502"/>
    <w:rsid w:val="008B5573"/>
    <w:rsid w:val="008B5C04"/>
    <w:rsid w:val="008B792F"/>
    <w:rsid w:val="008D0744"/>
    <w:rsid w:val="008D19FE"/>
    <w:rsid w:val="008D21BE"/>
    <w:rsid w:val="008D237A"/>
    <w:rsid w:val="008D2448"/>
    <w:rsid w:val="008D3593"/>
    <w:rsid w:val="008D434F"/>
    <w:rsid w:val="008D61D4"/>
    <w:rsid w:val="008D6214"/>
    <w:rsid w:val="008E718E"/>
    <w:rsid w:val="008F14EA"/>
    <w:rsid w:val="008F1D09"/>
    <w:rsid w:val="008F7C23"/>
    <w:rsid w:val="00900747"/>
    <w:rsid w:val="009037D5"/>
    <w:rsid w:val="00913452"/>
    <w:rsid w:val="009136AB"/>
    <w:rsid w:val="00914D11"/>
    <w:rsid w:val="00915032"/>
    <w:rsid w:val="00915B45"/>
    <w:rsid w:val="00920BC8"/>
    <w:rsid w:val="00924522"/>
    <w:rsid w:val="00924E67"/>
    <w:rsid w:val="0092768B"/>
    <w:rsid w:val="00934C64"/>
    <w:rsid w:val="00942BEF"/>
    <w:rsid w:val="00942E83"/>
    <w:rsid w:val="009463D9"/>
    <w:rsid w:val="00954ED8"/>
    <w:rsid w:val="009567F0"/>
    <w:rsid w:val="009614D1"/>
    <w:rsid w:val="0096378B"/>
    <w:rsid w:val="00964A1F"/>
    <w:rsid w:val="00967DF9"/>
    <w:rsid w:val="00971433"/>
    <w:rsid w:val="00974BCB"/>
    <w:rsid w:val="009762DB"/>
    <w:rsid w:val="00976639"/>
    <w:rsid w:val="0097781C"/>
    <w:rsid w:val="00981005"/>
    <w:rsid w:val="0098125D"/>
    <w:rsid w:val="00981E6A"/>
    <w:rsid w:val="00982AAC"/>
    <w:rsid w:val="00983EE1"/>
    <w:rsid w:val="00985B72"/>
    <w:rsid w:val="00996396"/>
    <w:rsid w:val="009A1D5F"/>
    <w:rsid w:val="009A28A3"/>
    <w:rsid w:val="009A33CA"/>
    <w:rsid w:val="009A41A0"/>
    <w:rsid w:val="009B1207"/>
    <w:rsid w:val="009B14AE"/>
    <w:rsid w:val="009B5A58"/>
    <w:rsid w:val="009B776D"/>
    <w:rsid w:val="009C1BF5"/>
    <w:rsid w:val="009C5091"/>
    <w:rsid w:val="009C551D"/>
    <w:rsid w:val="009C67B4"/>
    <w:rsid w:val="009C6A94"/>
    <w:rsid w:val="009C7102"/>
    <w:rsid w:val="009C7EA3"/>
    <w:rsid w:val="009D059A"/>
    <w:rsid w:val="009D1F88"/>
    <w:rsid w:val="009D3C5E"/>
    <w:rsid w:val="009D3E8F"/>
    <w:rsid w:val="009D4881"/>
    <w:rsid w:val="009D5FB6"/>
    <w:rsid w:val="009E21DD"/>
    <w:rsid w:val="009E5CF2"/>
    <w:rsid w:val="009E623F"/>
    <w:rsid w:val="009F0F4D"/>
    <w:rsid w:val="009F285E"/>
    <w:rsid w:val="009F4296"/>
    <w:rsid w:val="00A02B89"/>
    <w:rsid w:val="00A033AE"/>
    <w:rsid w:val="00A037FC"/>
    <w:rsid w:val="00A03E19"/>
    <w:rsid w:val="00A1124A"/>
    <w:rsid w:val="00A1336B"/>
    <w:rsid w:val="00A14B4F"/>
    <w:rsid w:val="00A20C78"/>
    <w:rsid w:val="00A20FC0"/>
    <w:rsid w:val="00A24732"/>
    <w:rsid w:val="00A2642F"/>
    <w:rsid w:val="00A267F8"/>
    <w:rsid w:val="00A3109C"/>
    <w:rsid w:val="00A32CC5"/>
    <w:rsid w:val="00A3437A"/>
    <w:rsid w:val="00A34FB3"/>
    <w:rsid w:val="00A36525"/>
    <w:rsid w:val="00A41C34"/>
    <w:rsid w:val="00A4288C"/>
    <w:rsid w:val="00A42F39"/>
    <w:rsid w:val="00A55057"/>
    <w:rsid w:val="00A55527"/>
    <w:rsid w:val="00A70559"/>
    <w:rsid w:val="00A71606"/>
    <w:rsid w:val="00A71737"/>
    <w:rsid w:val="00A724AE"/>
    <w:rsid w:val="00A72596"/>
    <w:rsid w:val="00A72E1A"/>
    <w:rsid w:val="00A7312C"/>
    <w:rsid w:val="00A8116A"/>
    <w:rsid w:val="00A81AC6"/>
    <w:rsid w:val="00A81C28"/>
    <w:rsid w:val="00A81EE9"/>
    <w:rsid w:val="00A82418"/>
    <w:rsid w:val="00A82F2C"/>
    <w:rsid w:val="00A83D3C"/>
    <w:rsid w:val="00A8400B"/>
    <w:rsid w:val="00A867F0"/>
    <w:rsid w:val="00A95DAC"/>
    <w:rsid w:val="00AA3E3D"/>
    <w:rsid w:val="00AA4557"/>
    <w:rsid w:val="00AA46D9"/>
    <w:rsid w:val="00AA4F87"/>
    <w:rsid w:val="00AB33F4"/>
    <w:rsid w:val="00AB7CEB"/>
    <w:rsid w:val="00AC32A8"/>
    <w:rsid w:val="00AC33A4"/>
    <w:rsid w:val="00AC5908"/>
    <w:rsid w:val="00AC5930"/>
    <w:rsid w:val="00AC6B47"/>
    <w:rsid w:val="00AD0DC2"/>
    <w:rsid w:val="00AD23ED"/>
    <w:rsid w:val="00AD2E1C"/>
    <w:rsid w:val="00AD4AB9"/>
    <w:rsid w:val="00AE0BF0"/>
    <w:rsid w:val="00AE4B6C"/>
    <w:rsid w:val="00AE72FA"/>
    <w:rsid w:val="00AF03EA"/>
    <w:rsid w:val="00AF3976"/>
    <w:rsid w:val="00AF5251"/>
    <w:rsid w:val="00AF5CB4"/>
    <w:rsid w:val="00B00278"/>
    <w:rsid w:val="00B003DB"/>
    <w:rsid w:val="00B01F6E"/>
    <w:rsid w:val="00B02FCD"/>
    <w:rsid w:val="00B034F6"/>
    <w:rsid w:val="00B051CF"/>
    <w:rsid w:val="00B13252"/>
    <w:rsid w:val="00B13DA5"/>
    <w:rsid w:val="00B13F19"/>
    <w:rsid w:val="00B17842"/>
    <w:rsid w:val="00B179B8"/>
    <w:rsid w:val="00B20899"/>
    <w:rsid w:val="00B22D80"/>
    <w:rsid w:val="00B230D1"/>
    <w:rsid w:val="00B23D41"/>
    <w:rsid w:val="00B250CD"/>
    <w:rsid w:val="00B3497D"/>
    <w:rsid w:val="00B35546"/>
    <w:rsid w:val="00B42446"/>
    <w:rsid w:val="00B44411"/>
    <w:rsid w:val="00B445D9"/>
    <w:rsid w:val="00B45FF4"/>
    <w:rsid w:val="00B46397"/>
    <w:rsid w:val="00B5027B"/>
    <w:rsid w:val="00B51AB4"/>
    <w:rsid w:val="00B538EB"/>
    <w:rsid w:val="00B55311"/>
    <w:rsid w:val="00B55D00"/>
    <w:rsid w:val="00B57539"/>
    <w:rsid w:val="00B60ADA"/>
    <w:rsid w:val="00B62BB3"/>
    <w:rsid w:val="00B645EC"/>
    <w:rsid w:val="00B64E82"/>
    <w:rsid w:val="00B65247"/>
    <w:rsid w:val="00B65962"/>
    <w:rsid w:val="00B65A06"/>
    <w:rsid w:val="00B663CB"/>
    <w:rsid w:val="00B66D12"/>
    <w:rsid w:val="00B67018"/>
    <w:rsid w:val="00B72B1B"/>
    <w:rsid w:val="00B72C7E"/>
    <w:rsid w:val="00B73351"/>
    <w:rsid w:val="00B75478"/>
    <w:rsid w:val="00B763A2"/>
    <w:rsid w:val="00B77515"/>
    <w:rsid w:val="00B77D97"/>
    <w:rsid w:val="00B83A3C"/>
    <w:rsid w:val="00B90317"/>
    <w:rsid w:val="00B918F0"/>
    <w:rsid w:val="00B9463F"/>
    <w:rsid w:val="00B961CC"/>
    <w:rsid w:val="00BA044D"/>
    <w:rsid w:val="00BA1673"/>
    <w:rsid w:val="00BA5D64"/>
    <w:rsid w:val="00BB0CF2"/>
    <w:rsid w:val="00BB1D39"/>
    <w:rsid w:val="00BB317C"/>
    <w:rsid w:val="00BB4337"/>
    <w:rsid w:val="00BB52E2"/>
    <w:rsid w:val="00BB72B5"/>
    <w:rsid w:val="00BC1139"/>
    <w:rsid w:val="00BC2C49"/>
    <w:rsid w:val="00BC46BD"/>
    <w:rsid w:val="00BD598E"/>
    <w:rsid w:val="00BE5E50"/>
    <w:rsid w:val="00BE7188"/>
    <w:rsid w:val="00BE781B"/>
    <w:rsid w:val="00BF14FC"/>
    <w:rsid w:val="00BF1B73"/>
    <w:rsid w:val="00C02BB8"/>
    <w:rsid w:val="00C02FF5"/>
    <w:rsid w:val="00C03556"/>
    <w:rsid w:val="00C0397C"/>
    <w:rsid w:val="00C11C82"/>
    <w:rsid w:val="00C12BE7"/>
    <w:rsid w:val="00C131FA"/>
    <w:rsid w:val="00C13FCA"/>
    <w:rsid w:val="00C17E16"/>
    <w:rsid w:val="00C20C7C"/>
    <w:rsid w:val="00C21DDE"/>
    <w:rsid w:val="00C22395"/>
    <w:rsid w:val="00C233EC"/>
    <w:rsid w:val="00C24059"/>
    <w:rsid w:val="00C2432C"/>
    <w:rsid w:val="00C24E52"/>
    <w:rsid w:val="00C264AE"/>
    <w:rsid w:val="00C2680F"/>
    <w:rsid w:val="00C268AA"/>
    <w:rsid w:val="00C30944"/>
    <w:rsid w:val="00C30E26"/>
    <w:rsid w:val="00C32057"/>
    <w:rsid w:val="00C35AEF"/>
    <w:rsid w:val="00C35E66"/>
    <w:rsid w:val="00C36B0F"/>
    <w:rsid w:val="00C40019"/>
    <w:rsid w:val="00C41DA0"/>
    <w:rsid w:val="00C427EB"/>
    <w:rsid w:val="00C45763"/>
    <w:rsid w:val="00C46935"/>
    <w:rsid w:val="00C50CAD"/>
    <w:rsid w:val="00C5148D"/>
    <w:rsid w:val="00C51B34"/>
    <w:rsid w:val="00C55688"/>
    <w:rsid w:val="00C56A7D"/>
    <w:rsid w:val="00C57FD5"/>
    <w:rsid w:val="00C634BB"/>
    <w:rsid w:val="00C73FFA"/>
    <w:rsid w:val="00C81A5E"/>
    <w:rsid w:val="00C85DF1"/>
    <w:rsid w:val="00C90C25"/>
    <w:rsid w:val="00C918BD"/>
    <w:rsid w:val="00C930F2"/>
    <w:rsid w:val="00C93684"/>
    <w:rsid w:val="00C945C9"/>
    <w:rsid w:val="00C95458"/>
    <w:rsid w:val="00C97C72"/>
    <w:rsid w:val="00CA1277"/>
    <w:rsid w:val="00CA2FA3"/>
    <w:rsid w:val="00CA60FB"/>
    <w:rsid w:val="00CB0208"/>
    <w:rsid w:val="00CB03E1"/>
    <w:rsid w:val="00CB26CC"/>
    <w:rsid w:val="00CB2760"/>
    <w:rsid w:val="00CB2B9C"/>
    <w:rsid w:val="00CB38ED"/>
    <w:rsid w:val="00CB3FE8"/>
    <w:rsid w:val="00CB7427"/>
    <w:rsid w:val="00CC1A8D"/>
    <w:rsid w:val="00CC1AB5"/>
    <w:rsid w:val="00CC6FEB"/>
    <w:rsid w:val="00CD0424"/>
    <w:rsid w:val="00CD4D2F"/>
    <w:rsid w:val="00CD6616"/>
    <w:rsid w:val="00CE0040"/>
    <w:rsid w:val="00CE1191"/>
    <w:rsid w:val="00CE1F3D"/>
    <w:rsid w:val="00CE384B"/>
    <w:rsid w:val="00CF0588"/>
    <w:rsid w:val="00CF06E6"/>
    <w:rsid w:val="00CF425B"/>
    <w:rsid w:val="00D01F86"/>
    <w:rsid w:val="00D023AB"/>
    <w:rsid w:val="00D02D30"/>
    <w:rsid w:val="00D04656"/>
    <w:rsid w:val="00D061B4"/>
    <w:rsid w:val="00D11C94"/>
    <w:rsid w:val="00D129A2"/>
    <w:rsid w:val="00D12C84"/>
    <w:rsid w:val="00D225D2"/>
    <w:rsid w:val="00D3105A"/>
    <w:rsid w:val="00D3118E"/>
    <w:rsid w:val="00D319D8"/>
    <w:rsid w:val="00D3789D"/>
    <w:rsid w:val="00D37CEB"/>
    <w:rsid w:val="00D40E1E"/>
    <w:rsid w:val="00D44E89"/>
    <w:rsid w:val="00D53C3E"/>
    <w:rsid w:val="00D54366"/>
    <w:rsid w:val="00D55DC1"/>
    <w:rsid w:val="00D6038E"/>
    <w:rsid w:val="00D64668"/>
    <w:rsid w:val="00D75FBE"/>
    <w:rsid w:val="00D804D2"/>
    <w:rsid w:val="00D80E87"/>
    <w:rsid w:val="00D822F5"/>
    <w:rsid w:val="00D8356B"/>
    <w:rsid w:val="00D838F5"/>
    <w:rsid w:val="00D83975"/>
    <w:rsid w:val="00D86649"/>
    <w:rsid w:val="00D8756C"/>
    <w:rsid w:val="00D92F9D"/>
    <w:rsid w:val="00D96314"/>
    <w:rsid w:val="00DA1F7F"/>
    <w:rsid w:val="00DA58F4"/>
    <w:rsid w:val="00DB02D8"/>
    <w:rsid w:val="00DB1306"/>
    <w:rsid w:val="00DB35D4"/>
    <w:rsid w:val="00DB3DEC"/>
    <w:rsid w:val="00DB6080"/>
    <w:rsid w:val="00DB7BAC"/>
    <w:rsid w:val="00DC6452"/>
    <w:rsid w:val="00DD3EF3"/>
    <w:rsid w:val="00DD74DE"/>
    <w:rsid w:val="00DE2ACF"/>
    <w:rsid w:val="00DE4D9D"/>
    <w:rsid w:val="00DE56FA"/>
    <w:rsid w:val="00DE7933"/>
    <w:rsid w:val="00DE7C09"/>
    <w:rsid w:val="00DF5997"/>
    <w:rsid w:val="00E0119C"/>
    <w:rsid w:val="00E03A94"/>
    <w:rsid w:val="00E03DCC"/>
    <w:rsid w:val="00E062D0"/>
    <w:rsid w:val="00E07A59"/>
    <w:rsid w:val="00E14855"/>
    <w:rsid w:val="00E153F3"/>
    <w:rsid w:val="00E160FC"/>
    <w:rsid w:val="00E20854"/>
    <w:rsid w:val="00E21F1A"/>
    <w:rsid w:val="00E241FD"/>
    <w:rsid w:val="00E27A02"/>
    <w:rsid w:val="00E30F76"/>
    <w:rsid w:val="00E3722C"/>
    <w:rsid w:val="00E428FF"/>
    <w:rsid w:val="00E4322D"/>
    <w:rsid w:val="00E4369E"/>
    <w:rsid w:val="00E440A5"/>
    <w:rsid w:val="00E45FE2"/>
    <w:rsid w:val="00E47603"/>
    <w:rsid w:val="00E47C5B"/>
    <w:rsid w:val="00E53797"/>
    <w:rsid w:val="00E5387C"/>
    <w:rsid w:val="00E57BB6"/>
    <w:rsid w:val="00E61CB7"/>
    <w:rsid w:val="00E62B8D"/>
    <w:rsid w:val="00E63874"/>
    <w:rsid w:val="00E6537A"/>
    <w:rsid w:val="00E66172"/>
    <w:rsid w:val="00E71E08"/>
    <w:rsid w:val="00E74083"/>
    <w:rsid w:val="00E835D1"/>
    <w:rsid w:val="00E83CE6"/>
    <w:rsid w:val="00E8489B"/>
    <w:rsid w:val="00E872BA"/>
    <w:rsid w:val="00E92F8E"/>
    <w:rsid w:val="00E934AD"/>
    <w:rsid w:val="00E948D1"/>
    <w:rsid w:val="00EA12C9"/>
    <w:rsid w:val="00EA1F09"/>
    <w:rsid w:val="00EA2666"/>
    <w:rsid w:val="00EA3334"/>
    <w:rsid w:val="00EA524F"/>
    <w:rsid w:val="00EA77D3"/>
    <w:rsid w:val="00EB0EE8"/>
    <w:rsid w:val="00EB11BE"/>
    <w:rsid w:val="00EB1642"/>
    <w:rsid w:val="00EB30D8"/>
    <w:rsid w:val="00EB7CC2"/>
    <w:rsid w:val="00EC2658"/>
    <w:rsid w:val="00EC7D6F"/>
    <w:rsid w:val="00ED2546"/>
    <w:rsid w:val="00ED2738"/>
    <w:rsid w:val="00ED3EA0"/>
    <w:rsid w:val="00ED57DD"/>
    <w:rsid w:val="00ED5B47"/>
    <w:rsid w:val="00EE48E3"/>
    <w:rsid w:val="00EE6E2C"/>
    <w:rsid w:val="00EE7866"/>
    <w:rsid w:val="00EF0FA2"/>
    <w:rsid w:val="00EF1E33"/>
    <w:rsid w:val="00EF3B60"/>
    <w:rsid w:val="00EF5B91"/>
    <w:rsid w:val="00EF76F6"/>
    <w:rsid w:val="00F02F1C"/>
    <w:rsid w:val="00F04BAB"/>
    <w:rsid w:val="00F1063D"/>
    <w:rsid w:val="00F15FCA"/>
    <w:rsid w:val="00F24FA1"/>
    <w:rsid w:val="00F26573"/>
    <w:rsid w:val="00F27417"/>
    <w:rsid w:val="00F27B57"/>
    <w:rsid w:val="00F32B45"/>
    <w:rsid w:val="00F3593B"/>
    <w:rsid w:val="00F42129"/>
    <w:rsid w:val="00F44C9D"/>
    <w:rsid w:val="00F47336"/>
    <w:rsid w:val="00F500EA"/>
    <w:rsid w:val="00F53337"/>
    <w:rsid w:val="00F53B2F"/>
    <w:rsid w:val="00F5490E"/>
    <w:rsid w:val="00F54AB6"/>
    <w:rsid w:val="00F56D8F"/>
    <w:rsid w:val="00F57771"/>
    <w:rsid w:val="00F6122A"/>
    <w:rsid w:val="00F62731"/>
    <w:rsid w:val="00F62951"/>
    <w:rsid w:val="00F71D99"/>
    <w:rsid w:val="00F7243F"/>
    <w:rsid w:val="00F73AEA"/>
    <w:rsid w:val="00F77FC9"/>
    <w:rsid w:val="00F815EA"/>
    <w:rsid w:val="00F81835"/>
    <w:rsid w:val="00F83701"/>
    <w:rsid w:val="00F91815"/>
    <w:rsid w:val="00F93572"/>
    <w:rsid w:val="00FA255A"/>
    <w:rsid w:val="00FA396D"/>
    <w:rsid w:val="00FA4206"/>
    <w:rsid w:val="00FA53CD"/>
    <w:rsid w:val="00FB0FCC"/>
    <w:rsid w:val="00FC442C"/>
    <w:rsid w:val="00FC79B6"/>
    <w:rsid w:val="00FD04C1"/>
    <w:rsid w:val="00FD04EE"/>
    <w:rsid w:val="00FD10AA"/>
    <w:rsid w:val="00FD1F53"/>
    <w:rsid w:val="00FD5103"/>
    <w:rsid w:val="00FD5F87"/>
    <w:rsid w:val="00FE0FEE"/>
    <w:rsid w:val="00FE2172"/>
    <w:rsid w:val="00FE3823"/>
    <w:rsid w:val="00FE4B2D"/>
    <w:rsid w:val="00FE54A3"/>
    <w:rsid w:val="00FE72A0"/>
    <w:rsid w:val="00FF0CCE"/>
    <w:rsid w:val="00FF11B9"/>
    <w:rsid w:val="00FF2D3B"/>
    <w:rsid w:val="00FF340B"/>
    <w:rsid w:val="00FF43C1"/>
    <w:rsid w:val="00FF475C"/>
    <w:rsid w:val="00FF50D2"/>
    <w:rsid w:val="00FF6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A03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356408"/>
    <w:pPr>
      <w:keepNext/>
      <w:spacing w:before="240" w:after="240" w:line="276" w:lineRule="auto"/>
      <w:ind w:left="0"/>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356408"/>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semiHidden/>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semiHidden/>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99"/>
    <w:semiHidden/>
    <w:unhideWhenUsed/>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uiPriority w:val="9"/>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16"/>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14"/>
      </w:numPr>
    </w:pPr>
  </w:style>
  <w:style w:type="numbering" w:customStyle="1" w:styleId="ListTableBullet">
    <w:name w:val="List_TableBullet"/>
    <w:uiPriority w:val="99"/>
    <w:rsid w:val="000A4EB2"/>
    <w:pPr>
      <w:numPr>
        <w:numId w:val="15"/>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17"/>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8224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566887714">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552839791">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2094162390">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DCEC-59DC-42A5-91B7-F3E99AC7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2025-10-02T23:01:00Z</dcterms:created>
  <dcterms:modified xsi:type="dcterms:W3CDTF">2025-10-02T23:01:00Z</dcterms:modified>
</cp:coreProperties>
</file>