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F64C" w14:textId="77777777" w:rsidR="001A02EF" w:rsidRPr="00511537" w:rsidRDefault="002938C2">
      <w:pPr>
        <w:pStyle w:val="BodyText"/>
      </w:pPr>
      <w:bookmarkStart w:id="0" w:name="f-1469473"/>
      <w:bookmarkStart w:id="1" w:name="f-1469473-1"/>
      <w:bookmarkEnd w:id="0"/>
      <w:r w:rsidRPr="00511537">
        <w:rPr>
          <w:rStyle w:val="Image"/>
          <w:noProof/>
        </w:rPr>
        <w:drawing>
          <wp:inline distT="0" distB="0" distL="0" distR="0" wp14:anchorId="55C91802" wp14:editId="1EAAE131">
            <wp:extent cx="1495425" cy="1104900"/>
            <wp:effectExtent l="0" t="0" r="0" b="0"/>
            <wp:docPr id="100" name="crest1" title="Commonwealth Coat of Arms of Australia"/>
            <wp:cNvGraphicFramePr/>
            <a:graphic xmlns:a="http://schemas.openxmlformats.org/drawingml/2006/main">
              <a:graphicData uri="http://schemas.openxmlformats.org/drawingml/2006/picture">
                <pic:pic xmlns:pic="http://schemas.openxmlformats.org/drawingml/2006/picture">
                  <pic:nvPicPr>
                    <pic:cNvPr id="0" name="whatever"/>
                    <pic:cNvPicPr/>
                  </pic:nvPicPr>
                  <pic:blipFill>
                    <a:blip r:embed="rId8"/>
                    <a:stretch>
                      <a:fillRect/>
                    </a:stretch>
                  </pic:blipFill>
                  <pic:spPr>
                    <a:xfrm>
                      <a:off x="0" y="0"/>
                      <a:ext cx="1495425" cy="1104900"/>
                    </a:xfrm>
                    <a:prstGeom prst="rect">
                      <a:avLst/>
                    </a:prstGeom>
                  </pic:spPr>
                </pic:pic>
              </a:graphicData>
            </a:graphic>
          </wp:inline>
        </w:drawing>
      </w:r>
    </w:p>
    <w:p w14:paraId="5E86B6DF" w14:textId="77777777" w:rsidR="001A02EF" w:rsidRPr="00511537" w:rsidRDefault="001A02EF">
      <w:pPr>
        <w:pStyle w:val="BodyText"/>
      </w:pPr>
    </w:p>
    <w:p w14:paraId="71226D30" w14:textId="77777777" w:rsidR="001A02EF" w:rsidRPr="00511537" w:rsidRDefault="002938C2">
      <w:pPr>
        <w:pStyle w:val="CompiledActNo"/>
      </w:pPr>
      <w:r w:rsidRPr="00511537">
        <w:t>PB 109 of 2025</w:t>
      </w:r>
    </w:p>
    <w:p w14:paraId="50C3C505" w14:textId="77777777" w:rsidR="001A02EF" w:rsidRPr="00511537" w:rsidRDefault="002938C2">
      <w:pPr>
        <w:pStyle w:val="ShortT"/>
      </w:pPr>
      <w:r w:rsidRPr="00511537">
        <w:t xml:space="preserve">National Health (Highly </w:t>
      </w:r>
      <w:proofErr w:type="spellStart"/>
      <w:r w:rsidRPr="00511537">
        <w:t>Specialised</w:t>
      </w:r>
      <w:proofErr w:type="spellEnd"/>
      <w:r w:rsidRPr="00511537">
        <w:t xml:space="preserve"> Drugs Program) Special Arrangement Amendment (October Update) Instrument 2025</w:t>
      </w:r>
    </w:p>
    <w:p w14:paraId="016A30F4" w14:textId="77777777" w:rsidR="001A02EF" w:rsidRPr="00511537" w:rsidRDefault="001A02EF">
      <w:pPr>
        <w:pStyle w:val="CompiledMadeUnder"/>
        <w:rPr>
          <w:i w:val="0"/>
          <w:iCs/>
        </w:rPr>
      </w:pPr>
    </w:p>
    <w:p w14:paraId="61E4B5D7" w14:textId="77777777" w:rsidR="001A02EF" w:rsidRPr="00511537" w:rsidRDefault="002938C2">
      <w:pPr>
        <w:pStyle w:val="CompiledMadeUnder"/>
      </w:pPr>
      <w:r w:rsidRPr="00511537">
        <w:t>National Health Act 1953</w:t>
      </w:r>
    </w:p>
    <w:p w14:paraId="1E20D199" w14:textId="77777777" w:rsidR="001A02EF" w:rsidRPr="00511537" w:rsidRDefault="002938C2">
      <w:pPr>
        <w:pStyle w:val="BodyText"/>
      </w:pPr>
      <w:r w:rsidRPr="00511537">
        <w:t xml:space="preserve">I, REBECCA RICHARDSON, Assistant Secretary, PBS Listing, Pricing and Policy Branch, Technology Assessment and Access Division, Department of Health, Disability and Ageing, delegate of the Minister for Health and Ageing, make this Instrument under subsection 100(2) of the </w:t>
      </w:r>
      <w:r w:rsidRPr="00511537">
        <w:rPr>
          <w:i/>
        </w:rPr>
        <w:t>National Health Act 1953</w:t>
      </w:r>
      <w:r w:rsidRPr="00511537">
        <w:t>.</w:t>
      </w:r>
    </w:p>
    <w:p w14:paraId="6C15AD60" w14:textId="77777777" w:rsidR="001A02EF" w:rsidRPr="00511537" w:rsidRDefault="001A02EF">
      <w:pPr>
        <w:pStyle w:val="BodyText"/>
      </w:pPr>
    </w:p>
    <w:p w14:paraId="768CAEA5" w14:textId="7E9ED7E0" w:rsidR="001A02EF" w:rsidRPr="00511537" w:rsidRDefault="002938C2" w:rsidP="00FA65A5">
      <w:pPr>
        <w:pStyle w:val="PBdatesigned"/>
        <w:tabs>
          <w:tab w:val="clear" w:pos="3119"/>
          <w:tab w:val="left" w:pos="851"/>
        </w:tabs>
        <w:spacing w:before="0"/>
      </w:pPr>
      <w:r w:rsidRPr="00511537">
        <w:t>Dated</w:t>
      </w:r>
      <w:r w:rsidR="001852E8" w:rsidRPr="00511537">
        <w:tab/>
        <w:t xml:space="preserve">29 September </w:t>
      </w:r>
      <w:r w:rsidRPr="00511537">
        <w:t>2025</w:t>
      </w:r>
    </w:p>
    <w:p w14:paraId="0E14FA56" w14:textId="77777777" w:rsidR="001A02EF" w:rsidRPr="00511537" w:rsidRDefault="002938C2">
      <w:pPr>
        <w:pStyle w:val="Signature"/>
      </w:pPr>
      <w:r w:rsidRPr="00511537">
        <w:rPr>
          <w:b/>
        </w:rPr>
        <w:t>REBECCA RICHARDSON</w:t>
      </w:r>
      <w:r w:rsidRPr="00511537">
        <w:br/>
        <w:t>Assistant Secretary</w:t>
      </w:r>
      <w:r w:rsidRPr="00511537">
        <w:br/>
        <w:t>PBS Listing, Pricing and Policy Branch</w:t>
      </w:r>
      <w:r w:rsidRPr="00511537">
        <w:br/>
        <w:t>Technology Assessment and Access Division</w:t>
      </w:r>
    </w:p>
    <w:p w14:paraId="55D47B99" w14:textId="77777777" w:rsidR="001A02EF" w:rsidRPr="00511537" w:rsidRDefault="002938C2">
      <w:pPr>
        <w:pStyle w:val="TOCHeading"/>
      </w:pPr>
      <w:r w:rsidRPr="00511537">
        <w:lastRenderedPageBreak/>
        <w:t>Contents</w:t>
      </w:r>
    </w:p>
    <w:bookmarkEnd w:id="1"/>
    <w:p w14:paraId="02036990" w14:textId="4CB2BC05" w:rsidR="002938C2" w:rsidRPr="00511537" w:rsidRDefault="002938C2">
      <w:pPr>
        <w:pStyle w:val="TOC2"/>
        <w:tabs>
          <w:tab w:val="left" w:pos="1985"/>
        </w:tabs>
        <w:rPr>
          <w:rFonts w:asciiTheme="minorHAnsi" w:eastAsiaTheme="minorEastAsia" w:hAnsiTheme="minorHAnsi"/>
          <w:noProof/>
          <w:kern w:val="2"/>
          <w:sz w:val="24"/>
          <w:szCs w:val="24"/>
          <w:lang w:eastAsia="en-AU"/>
          <w14:ligatures w14:val="standardContextual"/>
        </w:rPr>
      </w:pPr>
      <w:r w:rsidRPr="00511537">
        <w:rPr>
          <w:noProof/>
        </w:rPr>
        <w:t>1.</w:t>
      </w:r>
      <w:r w:rsidRPr="00511537">
        <w:rPr>
          <w:rFonts w:asciiTheme="minorHAnsi" w:eastAsiaTheme="minorEastAsia" w:hAnsiTheme="minorHAnsi"/>
          <w:noProof/>
          <w:kern w:val="2"/>
          <w:sz w:val="24"/>
          <w:szCs w:val="24"/>
          <w:lang w:eastAsia="en-AU"/>
          <w14:ligatures w14:val="standardContextual"/>
        </w:rPr>
        <w:tab/>
      </w:r>
      <w:r w:rsidRPr="00511537">
        <w:rPr>
          <w:noProof/>
        </w:rPr>
        <w:t>Name</w:t>
      </w:r>
      <w:r w:rsidRPr="00511537">
        <w:rPr>
          <w:noProof/>
        </w:rPr>
        <w:tab/>
        <w:t>1</w:t>
      </w:r>
    </w:p>
    <w:p w14:paraId="57F56405" w14:textId="32022076" w:rsidR="002938C2" w:rsidRPr="00511537" w:rsidRDefault="002938C2">
      <w:pPr>
        <w:pStyle w:val="TOC2"/>
        <w:tabs>
          <w:tab w:val="left" w:pos="1985"/>
        </w:tabs>
        <w:rPr>
          <w:rFonts w:asciiTheme="minorHAnsi" w:eastAsiaTheme="minorEastAsia" w:hAnsiTheme="minorHAnsi"/>
          <w:noProof/>
          <w:kern w:val="2"/>
          <w:sz w:val="24"/>
          <w:szCs w:val="24"/>
          <w:lang w:eastAsia="en-AU"/>
          <w14:ligatures w14:val="standardContextual"/>
        </w:rPr>
      </w:pPr>
      <w:r w:rsidRPr="00511537">
        <w:rPr>
          <w:noProof/>
        </w:rPr>
        <w:t>2.</w:t>
      </w:r>
      <w:r w:rsidRPr="00511537">
        <w:rPr>
          <w:rFonts w:asciiTheme="minorHAnsi" w:eastAsiaTheme="minorEastAsia" w:hAnsiTheme="minorHAnsi"/>
          <w:noProof/>
          <w:kern w:val="2"/>
          <w:sz w:val="24"/>
          <w:szCs w:val="24"/>
          <w:lang w:eastAsia="en-AU"/>
          <w14:ligatures w14:val="standardContextual"/>
        </w:rPr>
        <w:tab/>
      </w:r>
      <w:r w:rsidRPr="00511537">
        <w:rPr>
          <w:noProof/>
        </w:rPr>
        <w:t>Commencement</w:t>
      </w:r>
      <w:r w:rsidRPr="00511537">
        <w:rPr>
          <w:noProof/>
        </w:rPr>
        <w:tab/>
        <w:t>1</w:t>
      </w:r>
    </w:p>
    <w:p w14:paraId="7C0B022F" w14:textId="6863C89C" w:rsidR="002938C2" w:rsidRPr="00511537" w:rsidRDefault="002938C2">
      <w:pPr>
        <w:pStyle w:val="TOC2"/>
        <w:tabs>
          <w:tab w:val="left" w:pos="1985"/>
        </w:tabs>
        <w:rPr>
          <w:rFonts w:asciiTheme="minorHAnsi" w:eastAsiaTheme="minorEastAsia" w:hAnsiTheme="minorHAnsi"/>
          <w:noProof/>
          <w:kern w:val="2"/>
          <w:sz w:val="24"/>
          <w:szCs w:val="24"/>
          <w:lang w:eastAsia="en-AU"/>
          <w14:ligatures w14:val="standardContextual"/>
        </w:rPr>
      </w:pPr>
      <w:r w:rsidRPr="00511537">
        <w:rPr>
          <w:noProof/>
        </w:rPr>
        <w:t>3.</w:t>
      </w:r>
      <w:r w:rsidRPr="00511537">
        <w:rPr>
          <w:rFonts w:asciiTheme="minorHAnsi" w:eastAsiaTheme="minorEastAsia" w:hAnsiTheme="minorHAnsi"/>
          <w:noProof/>
          <w:kern w:val="2"/>
          <w:sz w:val="24"/>
          <w:szCs w:val="24"/>
          <w:lang w:eastAsia="en-AU"/>
          <w14:ligatures w14:val="standardContextual"/>
        </w:rPr>
        <w:tab/>
      </w:r>
      <w:r w:rsidRPr="00511537">
        <w:rPr>
          <w:noProof/>
        </w:rPr>
        <w:t>Authority</w:t>
      </w:r>
      <w:r w:rsidRPr="00511537">
        <w:rPr>
          <w:noProof/>
        </w:rPr>
        <w:tab/>
        <w:t>1</w:t>
      </w:r>
    </w:p>
    <w:p w14:paraId="4D5FCB45" w14:textId="38A2E72C" w:rsidR="002938C2" w:rsidRPr="00511537" w:rsidRDefault="002938C2">
      <w:pPr>
        <w:pStyle w:val="TOC2"/>
        <w:tabs>
          <w:tab w:val="left" w:pos="1985"/>
        </w:tabs>
        <w:rPr>
          <w:rFonts w:asciiTheme="minorHAnsi" w:eastAsiaTheme="minorEastAsia" w:hAnsiTheme="minorHAnsi"/>
          <w:noProof/>
          <w:kern w:val="2"/>
          <w:sz w:val="24"/>
          <w:szCs w:val="24"/>
          <w:lang w:eastAsia="en-AU"/>
          <w14:ligatures w14:val="standardContextual"/>
        </w:rPr>
      </w:pPr>
      <w:r w:rsidRPr="00511537">
        <w:rPr>
          <w:noProof/>
        </w:rPr>
        <w:t>4.</w:t>
      </w:r>
      <w:r w:rsidRPr="00511537">
        <w:rPr>
          <w:rFonts w:asciiTheme="minorHAnsi" w:eastAsiaTheme="minorEastAsia" w:hAnsiTheme="minorHAnsi"/>
          <w:noProof/>
          <w:kern w:val="2"/>
          <w:sz w:val="24"/>
          <w:szCs w:val="24"/>
          <w:lang w:eastAsia="en-AU"/>
          <w14:ligatures w14:val="standardContextual"/>
        </w:rPr>
        <w:tab/>
      </w:r>
      <w:r w:rsidRPr="00511537">
        <w:rPr>
          <w:noProof/>
        </w:rPr>
        <w:t>Schedules</w:t>
      </w:r>
      <w:r w:rsidRPr="00511537">
        <w:rPr>
          <w:noProof/>
        </w:rPr>
        <w:tab/>
        <w:t>1</w:t>
      </w:r>
    </w:p>
    <w:p w14:paraId="6F05FC31" w14:textId="65D3E5A1" w:rsidR="002938C2" w:rsidRPr="00511537" w:rsidRDefault="002938C2">
      <w:pPr>
        <w:pStyle w:val="TOC1"/>
        <w:rPr>
          <w:rFonts w:asciiTheme="minorHAnsi" w:eastAsiaTheme="minorEastAsia" w:hAnsiTheme="minorHAnsi"/>
          <w:noProof/>
          <w:kern w:val="2"/>
          <w:sz w:val="24"/>
          <w:szCs w:val="24"/>
          <w:lang w:eastAsia="en-AU"/>
          <w14:ligatures w14:val="standardContextual"/>
        </w:rPr>
      </w:pPr>
      <w:r w:rsidRPr="00511537">
        <w:rPr>
          <w:noProof/>
        </w:rPr>
        <w:t>Schedule 1—Amendments</w:t>
      </w:r>
      <w:r w:rsidRPr="00511537">
        <w:rPr>
          <w:noProof/>
        </w:rPr>
        <w:tab/>
        <w:t>2</w:t>
      </w:r>
    </w:p>
    <w:p w14:paraId="53A8D3BE" w14:textId="6CE20D6E" w:rsidR="002938C2" w:rsidRPr="00511537" w:rsidRDefault="002938C2">
      <w:pPr>
        <w:pStyle w:val="TOC1"/>
        <w:rPr>
          <w:rFonts w:asciiTheme="minorHAnsi" w:eastAsiaTheme="minorEastAsia" w:hAnsiTheme="minorHAnsi"/>
          <w:noProof/>
          <w:kern w:val="2"/>
          <w:sz w:val="24"/>
          <w:szCs w:val="24"/>
          <w:lang w:eastAsia="en-AU"/>
          <w14:ligatures w14:val="standardContextual"/>
        </w:rPr>
      </w:pPr>
      <w:r w:rsidRPr="00511537">
        <w:rPr>
          <w:i/>
          <w:noProof/>
        </w:rPr>
        <w:t>National Health (Highly Specialised Drugs Program) Special Arrangement 2021 (PB 27 of 2021)</w:t>
      </w:r>
      <w:r w:rsidRPr="00511537">
        <w:rPr>
          <w:noProof/>
        </w:rPr>
        <w:tab/>
        <w:t>2</w:t>
      </w:r>
    </w:p>
    <w:p w14:paraId="53968BED" w14:textId="21C63A2E" w:rsidR="001A02EF" w:rsidRPr="00511537" w:rsidRDefault="001A02EF"/>
    <w:p w14:paraId="5182D9CA" w14:textId="77777777" w:rsidR="001A02EF" w:rsidRPr="00511537" w:rsidRDefault="001A02EF">
      <w:pPr>
        <w:sectPr w:rsidR="001A02EF" w:rsidRPr="00511537" w:rsidSect="00EF6238">
          <w:headerReference w:type="even" r:id="rId9"/>
          <w:headerReference w:type="default" r:id="rId10"/>
          <w:footerReference w:type="even" r:id="rId11"/>
          <w:footerReference w:type="default" r:id="rId12"/>
          <w:footerReference w:type="first" r:id="rId13"/>
          <w:pgSz w:w="11906" w:h="16838" w:code="9"/>
          <w:pgMar w:top="1440" w:right="1134" w:bottom="1440" w:left="1134" w:header="720" w:footer="720" w:gutter="0"/>
          <w:pgNumType w:fmt="lowerRoman" w:start="1"/>
          <w:cols w:space="720"/>
          <w:titlePg/>
          <w:docGrid w:linePitch="360"/>
        </w:sectPr>
      </w:pPr>
      <w:bookmarkStart w:id="2" w:name="f-1469473-2"/>
    </w:p>
    <w:p w14:paraId="23E9FA4B" w14:textId="77777777" w:rsidR="001A02EF" w:rsidRPr="00511537" w:rsidRDefault="002938C2">
      <w:pPr>
        <w:pStyle w:val="ActHead5"/>
      </w:pPr>
      <w:bookmarkStart w:id="3" w:name="f-1469465-1"/>
      <w:bookmarkStart w:id="4" w:name="_Toc209679254"/>
      <w:bookmarkStart w:id="5" w:name="f-1469465-2"/>
      <w:bookmarkStart w:id="6" w:name="f-1469465"/>
      <w:bookmarkEnd w:id="3"/>
      <w:r w:rsidRPr="00511537">
        <w:lastRenderedPageBreak/>
        <w:t>1.</w:t>
      </w:r>
      <w:r w:rsidRPr="00511537">
        <w:tab/>
      </w:r>
      <w:bookmarkStart w:id="7" w:name="h-1469465-2"/>
      <w:r w:rsidRPr="00511537">
        <w:t>Name</w:t>
      </w:r>
      <w:bookmarkEnd w:id="4"/>
      <w:bookmarkEnd w:id="7"/>
    </w:p>
    <w:p w14:paraId="6233D5E7" w14:textId="77777777" w:rsidR="001A02EF" w:rsidRPr="00511537" w:rsidRDefault="002938C2">
      <w:pPr>
        <w:pStyle w:val="subsection"/>
      </w:pPr>
      <w:r w:rsidRPr="00511537">
        <w:t>(1)</w:t>
      </w:r>
      <w:r w:rsidRPr="00511537">
        <w:tab/>
        <w:t xml:space="preserve">This instrument is the </w:t>
      </w:r>
      <w:r w:rsidRPr="00511537">
        <w:rPr>
          <w:i/>
        </w:rPr>
        <w:t>National Health (Highly Specialised Drugs Program) Special Arrangement Amendment (October Update) Instrument 2025</w:t>
      </w:r>
      <w:r w:rsidRPr="00511537">
        <w:t>.</w:t>
      </w:r>
    </w:p>
    <w:p w14:paraId="79A1E3C5" w14:textId="77777777" w:rsidR="001A02EF" w:rsidRPr="00511537" w:rsidRDefault="002938C2">
      <w:pPr>
        <w:pStyle w:val="subsection"/>
      </w:pPr>
      <w:bookmarkStart w:id="8" w:name="f-1469465-3"/>
      <w:bookmarkEnd w:id="5"/>
      <w:r w:rsidRPr="00511537">
        <w:t>(2)</w:t>
      </w:r>
      <w:r w:rsidRPr="00511537">
        <w:tab/>
        <w:t>This Instrument may also be cited as PB 109 of 2025.</w:t>
      </w:r>
    </w:p>
    <w:p w14:paraId="52ABE923" w14:textId="77777777" w:rsidR="001A02EF" w:rsidRPr="00511537" w:rsidRDefault="002938C2">
      <w:pPr>
        <w:pStyle w:val="ActHead5"/>
      </w:pPr>
      <w:bookmarkStart w:id="9" w:name="_Toc209679255"/>
      <w:bookmarkStart w:id="10" w:name="f-1469465-4"/>
      <w:bookmarkEnd w:id="8"/>
      <w:r w:rsidRPr="00511537">
        <w:t>2.</w:t>
      </w:r>
      <w:r w:rsidRPr="00511537">
        <w:tab/>
      </w:r>
      <w:bookmarkStart w:id="11" w:name="h-1469465-4"/>
      <w:r w:rsidRPr="00511537">
        <w:t>Commencement</w:t>
      </w:r>
      <w:bookmarkEnd w:id="9"/>
      <w:bookmarkEnd w:id="11"/>
    </w:p>
    <w:p w14:paraId="281BC533" w14:textId="77777777" w:rsidR="001A02EF" w:rsidRPr="00511537" w:rsidRDefault="002938C2">
      <w:pPr>
        <w:pStyle w:val="subsection"/>
      </w:pPr>
      <w:r w:rsidRPr="00511537">
        <w:t>(1)</w:t>
      </w:r>
      <w:r w:rsidRPr="00511537">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537"/>
        <w:gridCol w:w="2671"/>
        <w:gridCol w:w="2431"/>
      </w:tblGrid>
      <w:tr w:rsidR="001A02EF" w:rsidRPr="00511537" w14:paraId="718E6836" w14:textId="77777777" w:rsidTr="001A02EF">
        <w:tc>
          <w:tcPr>
            <w:tcW w:w="0" w:type="auto"/>
            <w:gridSpan w:val="3"/>
          </w:tcPr>
          <w:p w14:paraId="4C68F511" w14:textId="77777777" w:rsidR="001A02EF" w:rsidRPr="00511537" w:rsidRDefault="002938C2">
            <w:pPr>
              <w:pStyle w:val="Tabletext"/>
            </w:pPr>
            <w:r w:rsidRPr="00511537">
              <w:rPr>
                <w:b/>
              </w:rPr>
              <w:t>Commencement information</w:t>
            </w:r>
          </w:p>
        </w:tc>
      </w:tr>
      <w:tr w:rsidR="001A02EF" w:rsidRPr="00511537" w14:paraId="2A262E99" w14:textId="77777777" w:rsidTr="001A02EF">
        <w:tc>
          <w:tcPr>
            <w:tcW w:w="0" w:type="auto"/>
          </w:tcPr>
          <w:p w14:paraId="7F40D40D" w14:textId="77777777" w:rsidR="001A02EF" w:rsidRPr="00511537" w:rsidRDefault="002938C2">
            <w:pPr>
              <w:pStyle w:val="Tabletext"/>
            </w:pPr>
            <w:r w:rsidRPr="00511537">
              <w:rPr>
                <w:b/>
              </w:rPr>
              <w:t>Column 1</w:t>
            </w:r>
          </w:p>
        </w:tc>
        <w:tc>
          <w:tcPr>
            <w:tcW w:w="0" w:type="auto"/>
          </w:tcPr>
          <w:p w14:paraId="75140169" w14:textId="77777777" w:rsidR="001A02EF" w:rsidRPr="00511537" w:rsidRDefault="002938C2">
            <w:pPr>
              <w:pStyle w:val="Tabletext"/>
            </w:pPr>
            <w:r w:rsidRPr="00511537">
              <w:rPr>
                <w:b/>
              </w:rPr>
              <w:t>Column 2</w:t>
            </w:r>
          </w:p>
        </w:tc>
        <w:tc>
          <w:tcPr>
            <w:tcW w:w="0" w:type="auto"/>
          </w:tcPr>
          <w:p w14:paraId="1B8721BE" w14:textId="77777777" w:rsidR="001A02EF" w:rsidRPr="00511537" w:rsidRDefault="002938C2">
            <w:pPr>
              <w:pStyle w:val="Tabletext"/>
            </w:pPr>
            <w:r w:rsidRPr="00511537">
              <w:rPr>
                <w:b/>
              </w:rPr>
              <w:t>Column 3</w:t>
            </w:r>
          </w:p>
        </w:tc>
      </w:tr>
      <w:tr w:rsidR="001A02EF" w:rsidRPr="00511537" w14:paraId="16E7E54B" w14:textId="77777777" w:rsidTr="001A02EF">
        <w:tc>
          <w:tcPr>
            <w:tcW w:w="0" w:type="auto"/>
          </w:tcPr>
          <w:p w14:paraId="15D65C61" w14:textId="77777777" w:rsidR="001A02EF" w:rsidRPr="00511537" w:rsidRDefault="002938C2">
            <w:pPr>
              <w:pStyle w:val="Tabletext"/>
            </w:pPr>
            <w:r w:rsidRPr="00511537">
              <w:rPr>
                <w:b/>
              </w:rPr>
              <w:t>Provisions</w:t>
            </w:r>
          </w:p>
        </w:tc>
        <w:tc>
          <w:tcPr>
            <w:tcW w:w="0" w:type="auto"/>
          </w:tcPr>
          <w:p w14:paraId="5BA2C2F0" w14:textId="77777777" w:rsidR="001A02EF" w:rsidRPr="00511537" w:rsidRDefault="002938C2">
            <w:pPr>
              <w:pStyle w:val="Tabletext"/>
            </w:pPr>
            <w:r w:rsidRPr="00511537">
              <w:rPr>
                <w:b/>
              </w:rPr>
              <w:t>Commencement</w:t>
            </w:r>
          </w:p>
        </w:tc>
        <w:tc>
          <w:tcPr>
            <w:tcW w:w="0" w:type="auto"/>
          </w:tcPr>
          <w:p w14:paraId="0E1D58E4" w14:textId="77777777" w:rsidR="001A02EF" w:rsidRPr="00511537" w:rsidRDefault="002938C2">
            <w:pPr>
              <w:pStyle w:val="Tabletext"/>
            </w:pPr>
            <w:r w:rsidRPr="00511537">
              <w:rPr>
                <w:b/>
              </w:rPr>
              <w:t>Date/Details</w:t>
            </w:r>
          </w:p>
        </w:tc>
      </w:tr>
      <w:tr w:rsidR="001A02EF" w:rsidRPr="00511537" w14:paraId="093BE82E" w14:textId="77777777" w:rsidTr="001A02EF">
        <w:tc>
          <w:tcPr>
            <w:tcW w:w="0" w:type="auto"/>
          </w:tcPr>
          <w:p w14:paraId="59542624" w14:textId="77777777" w:rsidR="001A02EF" w:rsidRPr="00511537" w:rsidRDefault="002938C2">
            <w:pPr>
              <w:pStyle w:val="Tabletext"/>
            </w:pPr>
            <w:r w:rsidRPr="00511537">
              <w:t>1. The whole of this instrument</w:t>
            </w:r>
          </w:p>
        </w:tc>
        <w:tc>
          <w:tcPr>
            <w:tcW w:w="0" w:type="auto"/>
          </w:tcPr>
          <w:p w14:paraId="0C482041" w14:textId="77777777" w:rsidR="001A02EF" w:rsidRPr="00511537" w:rsidRDefault="002938C2">
            <w:pPr>
              <w:pStyle w:val="Tabletext"/>
            </w:pPr>
            <w:r w:rsidRPr="00511537">
              <w:t>1 October 2025</w:t>
            </w:r>
          </w:p>
        </w:tc>
        <w:tc>
          <w:tcPr>
            <w:tcW w:w="0" w:type="auto"/>
          </w:tcPr>
          <w:p w14:paraId="460A03AD" w14:textId="77777777" w:rsidR="001A02EF" w:rsidRPr="00511537" w:rsidRDefault="002938C2">
            <w:pPr>
              <w:pStyle w:val="Tabletext"/>
            </w:pPr>
            <w:r w:rsidRPr="00511537">
              <w:t>1 October 2025</w:t>
            </w:r>
          </w:p>
        </w:tc>
      </w:tr>
    </w:tbl>
    <w:p w14:paraId="5A46E881" w14:textId="77777777" w:rsidR="001A02EF" w:rsidRPr="00511537" w:rsidRDefault="002938C2">
      <w:pPr>
        <w:pStyle w:val="notetext1"/>
      </w:pPr>
      <w:r w:rsidRPr="00511537">
        <w:t>Note: This table relates only to the provisions of this instrument as originally made. It will not be amended to deal with any later amendments of this instrument.</w:t>
      </w:r>
    </w:p>
    <w:p w14:paraId="6D5274C0" w14:textId="77777777" w:rsidR="001A02EF" w:rsidRPr="00511537" w:rsidRDefault="002938C2">
      <w:pPr>
        <w:pStyle w:val="subsection"/>
      </w:pPr>
      <w:r w:rsidRPr="00511537">
        <w:t>(2)</w:t>
      </w:r>
      <w:r w:rsidRPr="00511537">
        <w:tab/>
        <w:t>Any information in column 3 of the table is not part of this instrument. Information may be inserted in this column, or information in it may be edited, in any published version of this instrument.</w:t>
      </w:r>
    </w:p>
    <w:p w14:paraId="0F55EC6E" w14:textId="77777777" w:rsidR="001A02EF" w:rsidRPr="00511537" w:rsidRDefault="002938C2">
      <w:pPr>
        <w:pStyle w:val="ActHead5"/>
      </w:pPr>
      <w:bookmarkStart w:id="12" w:name="_Toc209679256"/>
      <w:bookmarkStart w:id="13" w:name="f-1469465-5"/>
      <w:bookmarkEnd w:id="10"/>
      <w:r w:rsidRPr="00511537">
        <w:t>3.</w:t>
      </w:r>
      <w:r w:rsidRPr="00511537">
        <w:tab/>
      </w:r>
      <w:bookmarkStart w:id="14" w:name="h-1469465-5"/>
      <w:r w:rsidRPr="00511537">
        <w:t>Authority</w:t>
      </w:r>
      <w:bookmarkEnd w:id="12"/>
      <w:bookmarkEnd w:id="14"/>
    </w:p>
    <w:p w14:paraId="6E5BE30B" w14:textId="77777777" w:rsidR="001A02EF" w:rsidRPr="00511537" w:rsidRDefault="002938C2">
      <w:pPr>
        <w:pStyle w:val="subsection2"/>
      </w:pPr>
      <w:r w:rsidRPr="00511537">
        <w:t xml:space="preserve">This instrument is made under subsection 100(2) of the </w:t>
      </w:r>
      <w:r w:rsidRPr="00511537">
        <w:rPr>
          <w:i/>
        </w:rPr>
        <w:t>National Health Act 1953</w:t>
      </w:r>
      <w:r w:rsidRPr="00511537">
        <w:t>.</w:t>
      </w:r>
    </w:p>
    <w:p w14:paraId="562207D8" w14:textId="77777777" w:rsidR="001A02EF" w:rsidRPr="00511537" w:rsidRDefault="002938C2">
      <w:pPr>
        <w:pStyle w:val="ActHead5"/>
      </w:pPr>
      <w:bookmarkStart w:id="15" w:name="_Toc209679257"/>
      <w:bookmarkStart w:id="16" w:name="f-1469465-6"/>
      <w:bookmarkEnd w:id="13"/>
      <w:r w:rsidRPr="00511537">
        <w:t>4.</w:t>
      </w:r>
      <w:r w:rsidRPr="00511537">
        <w:tab/>
      </w:r>
      <w:bookmarkStart w:id="17" w:name="h-1469465-6"/>
      <w:r w:rsidRPr="00511537">
        <w:t>Schedules</w:t>
      </w:r>
      <w:bookmarkEnd w:id="15"/>
      <w:bookmarkEnd w:id="17"/>
    </w:p>
    <w:p w14:paraId="7293C434" w14:textId="77777777" w:rsidR="001A02EF" w:rsidRPr="00511537" w:rsidRDefault="002938C2">
      <w:pPr>
        <w:pStyle w:val="subsection2"/>
      </w:pPr>
      <w:r w:rsidRPr="00511537">
        <w:t>Each instrument that is specified in a Schedule to this instrument is amended or repealed as set out in the applicable items in the Schedule concerned, and any other item in a Schedule to this instrument has effect according to its terms.</w:t>
      </w:r>
    </w:p>
    <w:bookmarkEnd w:id="6"/>
    <w:bookmarkEnd w:id="16"/>
    <w:p w14:paraId="29DAFDD2" w14:textId="77777777" w:rsidR="001A02EF" w:rsidRPr="00511537" w:rsidRDefault="001A02EF">
      <w:pPr>
        <w:sectPr w:rsidR="001A02EF" w:rsidRPr="00511537" w:rsidSect="00A00878">
          <w:headerReference w:type="even" r:id="rId14"/>
          <w:headerReference w:type="default" r:id="rId15"/>
          <w:footerReference w:type="even" r:id="rId16"/>
          <w:footerReference w:type="default" r:id="rId17"/>
          <w:footerReference w:type="first" r:id="rId18"/>
          <w:pgSz w:w="11907" w:h="16839"/>
          <w:pgMar w:top="1673" w:right="1134" w:bottom="1440" w:left="1134" w:header="720" w:footer="709" w:gutter="0"/>
          <w:pgNumType w:start="1"/>
          <w:cols w:space="708"/>
          <w:docGrid w:linePitch="360"/>
        </w:sectPr>
      </w:pPr>
    </w:p>
    <w:p w14:paraId="51482FBD" w14:textId="77777777" w:rsidR="001A02EF" w:rsidRPr="00511537" w:rsidRDefault="002938C2">
      <w:pPr>
        <w:pStyle w:val="ActHead6"/>
      </w:pPr>
      <w:bookmarkStart w:id="18" w:name="h-1469471-title"/>
      <w:bookmarkStart w:id="19" w:name="_Toc209679258"/>
      <w:bookmarkStart w:id="20" w:name="f-1469471-title"/>
      <w:bookmarkStart w:id="21" w:name="f-1469471"/>
      <w:r w:rsidRPr="00511537">
        <w:lastRenderedPageBreak/>
        <w:t>Schedule 1—Amendments</w:t>
      </w:r>
      <w:bookmarkEnd w:id="18"/>
      <w:bookmarkEnd w:id="19"/>
    </w:p>
    <w:p w14:paraId="595C4651" w14:textId="77777777" w:rsidR="001A02EF" w:rsidRPr="00511537" w:rsidRDefault="002938C2">
      <w:pPr>
        <w:pStyle w:val="ActHead7"/>
      </w:pPr>
      <w:bookmarkStart w:id="22" w:name="_Toc209679259"/>
      <w:r w:rsidRPr="00511537">
        <w:rPr>
          <w:i/>
        </w:rPr>
        <w:t>National Health (Highly Specialised Drugs Program) Special Arrangement 2021 (PB 27 of 2021)</w:t>
      </w:r>
      <w:bookmarkEnd w:id="22"/>
    </w:p>
    <w:p w14:paraId="44027767" w14:textId="77777777" w:rsidR="001A02EF" w:rsidRPr="00511537" w:rsidRDefault="002938C2">
      <w:pPr>
        <w:pStyle w:val="InstructionMain"/>
      </w:pPr>
      <w:bookmarkStart w:id="23" w:name="f-1469471-1"/>
      <w:bookmarkEnd w:id="20"/>
      <w:r w:rsidRPr="00511537">
        <w:t>[1]</w:t>
      </w:r>
      <w:r w:rsidRPr="00511537">
        <w:tab/>
        <w:t xml:space="preserve">Part 1, Division 1, Section 6 (definition of </w:t>
      </w:r>
      <w:r w:rsidRPr="00511537">
        <w:rPr>
          <w:i/>
        </w:rPr>
        <w:t>medication for the treatment of hepatitis B)</w:t>
      </w:r>
    </w:p>
    <w:p w14:paraId="2DAB8C6D" w14:textId="77777777" w:rsidR="001A02EF" w:rsidRPr="00511537" w:rsidRDefault="002938C2">
      <w:pPr>
        <w:pStyle w:val="InstructionActionOneWord"/>
      </w:pPr>
      <w:r w:rsidRPr="00511537">
        <w:t>repeal the definition, substitute:</w:t>
      </w:r>
    </w:p>
    <w:p w14:paraId="2936FB8E" w14:textId="77777777" w:rsidR="001A02EF" w:rsidRPr="00511537" w:rsidRDefault="002938C2">
      <w:pPr>
        <w:pStyle w:val="PBspecial1"/>
      </w:pPr>
      <w:r w:rsidRPr="00511537">
        <w:rPr>
          <w:b/>
          <w:i/>
        </w:rPr>
        <w:t>medication for the treatment of hepatitis B</w:t>
      </w:r>
      <w:r w:rsidRPr="00511537">
        <w:t xml:space="preserve"> means any of the following:</w:t>
      </w:r>
    </w:p>
    <w:p w14:paraId="3D5D34C7" w14:textId="77777777" w:rsidR="001A02EF" w:rsidRPr="00511537" w:rsidRDefault="002938C2">
      <w:pPr>
        <w:pStyle w:val="PBspecial1"/>
      </w:pPr>
      <w:r w:rsidRPr="00511537">
        <w:t>(a)</w:t>
      </w:r>
      <w:r w:rsidRPr="00511537">
        <w:tab/>
      </w:r>
      <w:proofErr w:type="gramStart"/>
      <w:r w:rsidRPr="00511537">
        <w:t>entecavir;</w:t>
      </w:r>
      <w:proofErr w:type="gramEnd"/>
    </w:p>
    <w:p w14:paraId="3BBE86FE" w14:textId="77777777" w:rsidR="001A02EF" w:rsidRPr="00511537" w:rsidRDefault="002938C2">
      <w:pPr>
        <w:pStyle w:val="PBspecial1"/>
      </w:pPr>
      <w:r w:rsidRPr="00511537">
        <w:t>(b)</w:t>
      </w:r>
      <w:r w:rsidRPr="00511537">
        <w:tab/>
      </w:r>
      <w:proofErr w:type="gramStart"/>
      <w:r w:rsidRPr="00511537">
        <w:t>lamivudine;</w:t>
      </w:r>
      <w:proofErr w:type="gramEnd"/>
    </w:p>
    <w:p w14:paraId="174D89CE" w14:textId="77777777" w:rsidR="001A02EF" w:rsidRPr="00511537" w:rsidRDefault="002938C2">
      <w:pPr>
        <w:pStyle w:val="PBspecial1"/>
      </w:pPr>
      <w:r w:rsidRPr="00511537">
        <w:t>(c)</w:t>
      </w:r>
      <w:r w:rsidRPr="00511537">
        <w:tab/>
        <w:t>tenofovir.</w:t>
      </w:r>
    </w:p>
    <w:p w14:paraId="14AC5AE9" w14:textId="77777777" w:rsidR="001A02EF" w:rsidRPr="00511537" w:rsidRDefault="002938C2">
      <w:pPr>
        <w:pStyle w:val="InstructionMain"/>
      </w:pPr>
      <w:bookmarkStart w:id="24" w:name="f-1469471-3"/>
      <w:bookmarkEnd w:id="23"/>
      <w:r w:rsidRPr="00511537">
        <w:t>[2]</w:t>
      </w:r>
      <w:r w:rsidRPr="00511537">
        <w:tab/>
        <w:t>Schedule 1, entry for Abacavir with Lamivudine</w:t>
      </w:r>
    </w:p>
    <w:p w14:paraId="33286387" w14:textId="77777777" w:rsidR="001A02EF" w:rsidRPr="00511537" w:rsidRDefault="002938C2">
      <w:pPr>
        <w:pStyle w:val="InstructionActionOneWord"/>
      </w:pPr>
      <w:r w:rsidRPr="00511537">
        <w:t>omit:</w:t>
      </w:r>
    </w:p>
    <w:tbl>
      <w:tblPr>
        <w:tblStyle w:val="PlainTable21"/>
        <w:tblW w:w="5000" w:type="pct"/>
        <w:tblLook w:val="0600" w:firstRow="0" w:lastRow="0" w:firstColumn="0" w:lastColumn="0" w:noHBand="1" w:noVBand="1"/>
      </w:tblPr>
      <w:tblGrid>
        <w:gridCol w:w="1571"/>
        <w:gridCol w:w="2428"/>
        <w:gridCol w:w="1429"/>
        <w:gridCol w:w="1572"/>
        <w:gridCol w:w="2285"/>
        <w:gridCol w:w="1001"/>
        <w:gridCol w:w="1429"/>
        <w:gridCol w:w="2000"/>
      </w:tblGrid>
      <w:tr w:rsidR="001A02EF" w:rsidRPr="00511537" w14:paraId="4F54BB18" w14:textId="77777777" w:rsidTr="001A02EF">
        <w:tc>
          <w:tcPr>
            <w:tcW w:w="550" w:type="pct"/>
          </w:tcPr>
          <w:p w14:paraId="2F7F0571" w14:textId="77777777" w:rsidR="001A02EF" w:rsidRPr="00511537" w:rsidRDefault="001A02EF">
            <w:pPr>
              <w:pStyle w:val="AmendmentTableText"/>
            </w:pPr>
          </w:p>
        </w:tc>
        <w:tc>
          <w:tcPr>
            <w:tcW w:w="850" w:type="pct"/>
          </w:tcPr>
          <w:p w14:paraId="370079E5" w14:textId="77777777" w:rsidR="001A02EF" w:rsidRPr="00511537" w:rsidRDefault="001A02EF">
            <w:pPr>
              <w:pStyle w:val="AmendmentTableText"/>
            </w:pPr>
          </w:p>
        </w:tc>
        <w:tc>
          <w:tcPr>
            <w:tcW w:w="500" w:type="pct"/>
          </w:tcPr>
          <w:p w14:paraId="285128B9" w14:textId="77777777" w:rsidR="001A02EF" w:rsidRPr="00511537" w:rsidRDefault="001A02EF">
            <w:pPr>
              <w:pStyle w:val="AmendmentTableText"/>
            </w:pPr>
          </w:p>
        </w:tc>
        <w:tc>
          <w:tcPr>
            <w:tcW w:w="550" w:type="pct"/>
          </w:tcPr>
          <w:p w14:paraId="4C941593" w14:textId="77777777" w:rsidR="001A02EF" w:rsidRPr="00511537" w:rsidRDefault="002938C2">
            <w:pPr>
              <w:pStyle w:val="AmendmentTableText"/>
            </w:pPr>
            <w:proofErr w:type="spellStart"/>
            <w:r w:rsidRPr="00511537">
              <w:t>Kivexa</w:t>
            </w:r>
            <w:proofErr w:type="spellEnd"/>
          </w:p>
        </w:tc>
        <w:tc>
          <w:tcPr>
            <w:tcW w:w="800" w:type="pct"/>
          </w:tcPr>
          <w:p w14:paraId="680C9678" w14:textId="77777777" w:rsidR="001A02EF" w:rsidRPr="00511537" w:rsidRDefault="002938C2">
            <w:pPr>
              <w:pStyle w:val="AmendmentTableText"/>
            </w:pPr>
            <w:r w:rsidRPr="00511537">
              <w:t xml:space="preserve">C4527 C4528 </w:t>
            </w:r>
          </w:p>
        </w:tc>
        <w:tc>
          <w:tcPr>
            <w:tcW w:w="350" w:type="pct"/>
          </w:tcPr>
          <w:p w14:paraId="45F57347" w14:textId="77777777" w:rsidR="001A02EF" w:rsidRPr="00511537" w:rsidRDefault="001A02EF">
            <w:pPr>
              <w:pStyle w:val="AmendmentTableText"/>
            </w:pPr>
          </w:p>
        </w:tc>
        <w:tc>
          <w:tcPr>
            <w:tcW w:w="500" w:type="pct"/>
          </w:tcPr>
          <w:p w14:paraId="74544408" w14:textId="77777777" w:rsidR="001A02EF" w:rsidRPr="00511537" w:rsidRDefault="002938C2">
            <w:pPr>
              <w:pStyle w:val="AmendmentTableText"/>
            </w:pPr>
            <w:r w:rsidRPr="00511537">
              <w:t>60</w:t>
            </w:r>
          </w:p>
        </w:tc>
        <w:tc>
          <w:tcPr>
            <w:tcW w:w="700" w:type="pct"/>
          </w:tcPr>
          <w:p w14:paraId="5FC2CD8E" w14:textId="77777777" w:rsidR="001A02EF" w:rsidRPr="00511537" w:rsidRDefault="002938C2">
            <w:pPr>
              <w:pStyle w:val="AmendmentTableText"/>
            </w:pPr>
            <w:r w:rsidRPr="00511537">
              <w:t>5</w:t>
            </w:r>
          </w:p>
        </w:tc>
      </w:tr>
    </w:tbl>
    <w:p w14:paraId="009A60E3" w14:textId="77777777" w:rsidR="001A02EF" w:rsidRPr="00511537" w:rsidRDefault="002938C2">
      <w:pPr>
        <w:pStyle w:val="InstructionMain"/>
      </w:pPr>
      <w:bookmarkStart w:id="25" w:name="f-1469471-4"/>
      <w:bookmarkEnd w:id="24"/>
      <w:r w:rsidRPr="00511537">
        <w:t>[3]</w:t>
      </w:r>
      <w:r w:rsidRPr="00511537">
        <w:tab/>
        <w:t>Schedule 1, omit entry for Adefovir</w:t>
      </w:r>
    </w:p>
    <w:p w14:paraId="3D839DC9" w14:textId="77777777" w:rsidR="001A02EF" w:rsidRPr="00511537" w:rsidRDefault="002938C2">
      <w:pPr>
        <w:pStyle w:val="InstructionMain"/>
      </w:pPr>
      <w:bookmarkStart w:id="26" w:name="f-1469471-5"/>
      <w:bookmarkEnd w:id="25"/>
      <w:r w:rsidRPr="00511537">
        <w:t>[4]</w:t>
      </w:r>
      <w:r w:rsidRPr="00511537">
        <w:tab/>
        <w:t>Schedule 1, entry for Etanercept</w:t>
      </w:r>
    </w:p>
    <w:p w14:paraId="7D490022" w14:textId="77777777" w:rsidR="001A02EF" w:rsidRPr="00511537" w:rsidRDefault="002938C2">
      <w:pPr>
        <w:pStyle w:val="InstructionActionOneWord"/>
      </w:pPr>
      <w:r w:rsidRPr="00511537">
        <w:t>substitute:</w:t>
      </w:r>
    </w:p>
    <w:tbl>
      <w:tblPr>
        <w:tblStyle w:val="PlainTable21"/>
        <w:tblW w:w="5000" w:type="pct"/>
        <w:tblLook w:val="0600" w:firstRow="0" w:lastRow="0" w:firstColumn="0" w:lastColumn="0" w:noHBand="1" w:noVBand="1"/>
      </w:tblPr>
      <w:tblGrid>
        <w:gridCol w:w="1571"/>
        <w:gridCol w:w="2428"/>
        <w:gridCol w:w="1429"/>
        <w:gridCol w:w="1572"/>
        <w:gridCol w:w="2285"/>
        <w:gridCol w:w="1001"/>
        <w:gridCol w:w="1429"/>
        <w:gridCol w:w="2000"/>
      </w:tblGrid>
      <w:tr w:rsidR="001A02EF" w:rsidRPr="00511537" w14:paraId="6CC04F7A" w14:textId="77777777" w:rsidTr="001A02EF">
        <w:tc>
          <w:tcPr>
            <w:tcW w:w="550" w:type="pct"/>
          </w:tcPr>
          <w:p w14:paraId="74971508" w14:textId="77777777" w:rsidR="001A02EF" w:rsidRPr="00511537" w:rsidRDefault="002938C2">
            <w:pPr>
              <w:pStyle w:val="AmendmentTableText"/>
            </w:pPr>
            <w:r w:rsidRPr="00511537">
              <w:t>Etanercept</w:t>
            </w:r>
          </w:p>
        </w:tc>
        <w:tc>
          <w:tcPr>
            <w:tcW w:w="850" w:type="pct"/>
          </w:tcPr>
          <w:p w14:paraId="630EB756" w14:textId="77777777" w:rsidR="001A02EF" w:rsidRPr="00511537" w:rsidRDefault="002938C2">
            <w:pPr>
              <w:pStyle w:val="AmendmentTableText"/>
            </w:pPr>
            <w:r w:rsidRPr="00511537">
              <w:t>Injection 50 mg in 1 mL single use auto‑injector, 4</w:t>
            </w:r>
          </w:p>
        </w:tc>
        <w:tc>
          <w:tcPr>
            <w:tcW w:w="500" w:type="pct"/>
          </w:tcPr>
          <w:p w14:paraId="469C3994" w14:textId="77777777" w:rsidR="001A02EF" w:rsidRPr="00511537" w:rsidRDefault="002938C2">
            <w:pPr>
              <w:pStyle w:val="AmendmentTableText"/>
            </w:pPr>
            <w:r w:rsidRPr="00511537">
              <w:t>Injection</w:t>
            </w:r>
          </w:p>
        </w:tc>
        <w:tc>
          <w:tcPr>
            <w:tcW w:w="550" w:type="pct"/>
          </w:tcPr>
          <w:p w14:paraId="7259CCB6" w14:textId="77777777" w:rsidR="001A02EF" w:rsidRPr="00511537" w:rsidRDefault="002938C2">
            <w:pPr>
              <w:pStyle w:val="AmendmentTableText"/>
            </w:pPr>
            <w:r w:rsidRPr="00511537">
              <w:t>Enbrel</w:t>
            </w:r>
          </w:p>
        </w:tc>
        <w:tc>
          <w:tcPr>
            <w:tcW w:w="800" w:type="pct"/>
          </w:tcPr>
          <w:p w14:paraId="7A0F5C2C" w14:textId="77777777" w:rsidR="001A02EF" w:rsidRPr="00511537" w:rsidRDefault="002938C2">
            <w:pPr>
              <w:pStyle w:val="AmendmentTableText"/>
            </w:pPr>
            <w:r w:rsidRPr="00511537">
              <w:t>C9417 C14068 C14071 C14154 C14155 C17280</w:t>
            </w:r>
          </w:p>
        </w:tc>
        <w:tc>
          <w:tcPr>
            <w:tcW w:w="350" w:type="pct"/>
          </w:tcPr>
          <w:p w14:paraId="3A500024" w14:textId="77777777" w:rsidR="001A02EF" w:rsidRPr="00511537" w:rsidRDefault="001A02EF">
            <w:pPr>
              <w:pStyle w:val="AmendmentTableText"/>
            </w:pPr>
          </w:p>
        </w:tc>
        <w:tc>
          <w:tcPr>
            <w:tcW w:w="500" w:type="pct"/>
          </w:tcPr>
          <w:p w14:paraId="2A223E2B" w14:textId="77777777" w:rsidR="001A02EF" w:rsidRPr="00511537" w:rsidRDefault="002938C2">
            <w:pPr>
              <w:pStyle w:val="AmendmentTableText"/>
            </w:pPr>
            <w:r w:rsidRPr="00511537">
              <w:t>See Schedule 2</w:t>
            </w:r>
          </w:p>
        </w:tc>
        <w:tc>
          <w:tcPr>
            <w:tcW w:w="700" w:type="pct"/>
          </w:tcPr>
          <w:p w14:paraId="7EB7D055" w14:textId="77777777" w:rsidR="001A02EF" w:rsidRPr="00511537" w:rsidRDefault="002938C2">
            <w:pPr>
              <w:pStyle w:val="AmendmentTableText"/>
            </w:pPr>
            <w:r w:rsidRPr="00511537">
              <w:t>See Schedule 2</w:t>
            </w:r>
          </w:p>
        </w:tc>
      </w:tr>
      <w:tr w:rsidR="001A02EF" w:rsidRPr="00511537" w14:paraId="2155A8DE" w14:textId="77777777" w:rsidTr="001A02EF">
        <w:tc>
          <w:tcPr>
            <w:tcW w:w="550" w:type="pct"/>
          </w:tcPr>
          <w:p w14:paraId="28B5EC3D" w14:textId="77777777" w:rsidR="001A02EF" w:rsidRPr="00511537" w:rsidRDefault="001A02EF">
            <w:pPr>
              <w:pStyle w:val="AmendmentTableText"/>
            </w:pPr>
          </w:p>
        </w:tc>
        <w:tc>
          <w:tcPr>
            <w:tcW w:w="850" w:type="pct"/>
          </w:tcPr>
          <w:p w14:paraId="6634AFCF" w14:textId="77777777" w:rsidR="001A02EF" w:rsidRPr="00511537" w:rsidRDefault="001A02EF">
            <w:pPr>
              <w:pStyle w:val="AmendmentTableText"/>
            </w:pPr>
          </w:p>
        </w:tc>
        <w:tc>
          <w:tcPr>
            <w:tcW w:w="500" w:type="pct"/>
          </w:tcPr>
          <w:p w14:paraId="0E497543" w14:textId="77777777" w:rsidR="001A02EF" w:rsidRPr="00511537" w:rsidRDefault="001A02EF">
            <w:pPr>
              <w:pStyle w:val="AmendmentTableText"/>
            </w:pPr>
          </w:p>
        </w:tc>
        <w:tc>
          <w:tcPr>
            <w:tcW w:w="550" w:type="pct"/>
          </w:tcPr>
          <w:p w14:paraId="332455BF" w14:textId="77777777" w:rsidR="001A02EF" w:rsidRPr="00511537" w:rsidRDefault="002938C2">
            <w:pPr>
              <w:pStyle w:val="AmendmentTableText"/>
            </w:pPr>
            <w:proofErr w:type="spellStart"/>
            <w:r w:rsidRPr="00511537">
              <w:t>Erelzi</w:t>
            </w:r>
            <w:proofErr w:type="spellEnd"/>
          </w:p>
        </w:tc>
        <w:tc>
          <w:tcPr>
            <w:tcW w:w="800" w:type="pct"/>
          </w:tcPr>
          <w:p w14:paraId="13FA4207" w14:textId="77777777" w:rsidR="001A02EF" w:rsidRPr="00511537" w:rsidRDefault="002938C2">
            <w:pPr>
              <w:pStyle w:val="AmendmentTableText"/>
            </w:pPr>
            <w:r w:rsidRPr="00511537">
              <w:t>C9417 C14068 C14071 C14154 C14155 C17280</w:t>
            </w:r>
          </w:p>
        </w:tc>
        <w:tc>
          <w:tcPr>
            <w:tcW w:w="350" w:type="pct"/>
          </w:tcPr>
          <w:p w14:paraId="02C3BE85" w14:textId="77777777" w:rsidR="001A02EF" w:rsidRPr="00511537" w:rsidRDefault="001A02EF">
            <w:pPr>
              <w:pStyle w:val="AmendmentTableText"/>
            </w:pPr>
          </w:p>
        </w:tc>
        <w:tc>
          <w:tcPr>
            <w:tcW w:w="500" w:type="pct"/>
          </w:tcPr>
          <w:p w14:paraId="2A709BBB" w14:textId="77777777" w:rsidR="001A02EF" w:rsidRPr="00511537" w:rsidRDefault="002938C2">
            <w:pPr>
              <w:pStyle w:val="AmendmentTableText"/>
            </w:pPr>
            <w:r w:rsidRPr="00511537">
              <w:t>See Schedule 2</w:t>
            </w:r>
          </w:p>
        </w:tc>
        <w:tc>
          <w:tcPr>
            <w:tcW w:w="700" w:type="pct"/>
          </w:tcPr>
          <w:p w14:paraId="3D131D3E" w14:textId="77777777" w:rsidR="001A02EF" w:rsidRPr="00511537" w:rsidRDefault="002938C2">
            <w:pPr>
              <w:pStyle w:val="AmendmentTableText"/>
            </w:pPr>
            <w:r w:rsidRPr="00511537">
              <w:t>See Schedule 2</w:t>
            </w:r>
          </w:p>
        </w:tc>
      </w:tr>
      <w:tr w:rsidR="001A02EF" w:rsidRPr="00511537" w14:paraId="153306B8" w14:textId="77777777" w:rsidTr="001A02EF">
        <w:tc>
          <w:tcPr>
            <w:tcW w:w="550" w:type="pct"/>
          </w:tcPr>
          <w:p w14:paraId="6E3C2237" w14:textId="77777777" w:rsidR="001A02EF" w:rsidRPr="00511537" w:rsidRDefault="001A02EF">
            <w:pPr>
              <w:pStyle w:val="AmendmentTableText"/>
            </w:pPr>
          </w:p>
        </w:tc>
        <w:tc>
          <w:tcPr>
            <w:tcW w:w="850" w:type="pct"/>
          </w:tcPr>
          <w:p w14:paraId="13F98275" w14:textId="77777777" w:rsidR="001A02EF" w:rsidRPr="00511537" w:rsidRDefault="001A02EF">
            <w:pPr>
              <w:pStyle w:val="AmendmentTableText"/>
            </w:pPr>
          </w:p>
        </w:tc>
        <w:tc>
          <w:tcPr>
            <w:tcW w:w="500" w:type="pct"/>
          </w:tcPr>
          <w:p w14:paraId="660E7A53" w14:textId="77777777" w:rsidR="001A02EF" w:rsidRPr="00511537" w:rsidRDefault="001A02EF">
            <w:pPr>
              <w:pStyle w:val="AmendmentTableText"/>
            </w:pPr>
          </w:p>
        </w:tc>
        <w:tc>
          <w:tcPr>
            <w:tcW w:w="550" w:type="pct"/>
          </w:tcPr>
          <w:p w14:paraId="5477A85B" w14:textId="77777777" w:rsidR="001A02EF" w:rsidRPr="00511537" w:rsidRDefault="002938C2">
            <w:pPr>
              <w:pStyle w:val="AmendmentTableText"/>
            </w:pPr>
            <w:proofErr w:type="spellStart"/>
            <w:r w:rsidRPr="00511537">
              <w:t>Nepexto</w:t>
            </w:r>
            <w:proofErr w:type="spellEnd"/>
          </w:p>
        </w:tc>
        <w:tc>
          <w:tcPr>
            <w:tcW w:w="800" w:type="pct"/>
          </w:tcPr>
          <w:p w14:paraId="0D827B9C" w14:textId="77777777" w:rsidR="001A02EF" w:rsidRPr="00511537" w:rsidRDefault="002938C2">
            <w:pPr>
              <w:pStyle w:val="AmendmentTableText"/>
            </w:pPr>
            <w:r w:rsidRPr="00511537">
              <w:t>C9417 C14068 C14071 C14154 C14155 C17280</w:t>
            </w:r>
          </w:p>
        </w:tc>
        <w:tc>
          <w:tcPr>
            <w:tcW w:w="350" w:type="pct"/>
          </w:tcPr>
          <w:p w14:paraId="61CCCD43" w14:textId="77777777" w:rsidR="001A02EF" w:rsidRPr="00511537" w:rsidRDefault="001A02EF">
            <w:pPr>
              <w:pStyle w:val="AmendmentTableText"/>
            </w:pPr>
          </w:p>
        </w:tc>
        <w:tc>
          <w:tcPr>
            <w:tcW w:w="500" w:type="pct"/>
          </w:tcPr>
          <w:p w14:paraId="08EB6905" w14:textId="77777777" w:rsidR="001A02EF" w:rsidRPr="00511537" w:rsidRDefault="002938C2">
            <w:pPr>
              <w:pStyle w:val="AmendmentTableText"/>
            </w:pPr>
            <w:r w:rsidRPr="00511537">
              <w:t>See Schedule 2</w:t>
            </w:r>
          </w:p>
        </w:tc>
        <w:tc>
          <w:tcPr>
            <w:tcW w:w="700" w:type="pct"/>
          </w:tcPr>
          <w:p w14:paraId="4A28AAF3" w14:textId="77777777" w:rsidR="001A02EF" w:rsidRPr="00511537" w:rsidRDefault="002938C2">
            <w:pPr>
              <w:pStyle w:val="AmendmentTableText"/>
            </w:pPr>
            <w:r w:rsidRPr="00511537">
              <w:t>See Schedule 2</w:t>
            </w:r>
          </w:p>
        </w:tc>
      </w:tr>
      <w:tr w:rsidR="001A02EF" w:rsidRPr="00511537" w14:paraId="6898EF04" w14:textId="77777777" w:rsidTr="001A02EF">
        <w:tc>
          <w:tcPr>
            <w:tcW w:w="550" w:type="pct"/>
          </w:tcPr>
          <w:p w14:paraId="61957D89" w14:textId="77777777" w:rsidR="001A02EF" w:rsidRPr="00511537" w:rsidRDefault="001A02EF">
            <w:pPr>
              <w:pStyle w:val="AmendmentTableText"/>
            </w:pPr>
          </w:p>
        </w:tc>
        <w:tc>
          <w:tcPr>
            <w:tcW w:w="850" w:type="pct"/>
          </w:tcPr>
          <w:p w14:paraId="3EFDCF8E" w14:textId="77777777" w:rsidR="001A02EF" w:rsidRPr="00511537" w:rsidRDefault="002938C2">
            <w:pPr>
              <w:pStyle w:val="AmendmentTableText"/>
            </w:pPr>
            <w:r w:rsidRPr="00511537">
              <w:t>Injections 50 mg in 1 mL single use pre‑filled syringes, 4</w:t>
            </w:r>
          </w:p>
        </w:tc>
        <w:tc>
          <w:tcPr>
            <w:tcW w:w="500" w:type="pct"/>
          </w:tcPr>
          <w:p w14:paraId="2A104BCF" w14:textId="77777777" w:rsidR="001A02EF" w:rsidRPr="00511537" w:rsidRDefault="002938C2">
            <w:pPr>
              <w:pStyle w:val="AmendmentTableText"/>
            </w:pPr>
            <w:r w:rsidRPr="00511537">
              <w:t>Injection</w:t>
            </w:r>
          </w:p>
        </w:tc>
        <w:tc>
          <w:tcPr>
            <w:tcW w:w="550" w:type="pct"/>
          </w:tcPr>
          <w:p w14:paraId="4E391A24" w14:textId="77777777" w:rsidR="001A02EF" w:rsidRPr="00511537" w:rsidRDefault="002938C2">
            <w:pPr>
              <w:pStyle w:val="AmendmentTableText"/>
            </w:pPr>
            <w:r w:rsidRPr="00511537">
              <w:t>Enbrel</w:t>
            </w:r>
          </w:p>
        </w:tc>
        <w:tc>
          <w:tcPr>
            <w:tcW w:w="800" w:type="pct"/>
          </w:tcPr>
          <w:p w14:paraId="7FACBE07" w14:textId="77777777" w:rsidR="001A02EF" w:rsidRPr="00511537" w:rsidRDefault="002938C2">
            <w:pPr>
              <w:pStyle w:val="AmendmentTableText"/>
            </w:pPr>
            <w:r w:rsidRPr="00511537">
              <w:t>C9417 C14068 C14071 C14154 C14155 C17280</w:t>
            </w:r>
          </w:p>
        </w:tc>
        <w:tc>
          <w:tcPr>
            <w:tcW w:w="350" w:type="pct"/>
          </w:tcPr>
          <w:p w14:paraId="2103026A" w14:textId="77777777" w:rsidR="001A02EF" w:rsidRPr="00511537" w:rsidRDefault="001A02EF">
            <w:pPr>
              <w:pStyle w:val="AmendmentTableText"/>
            </w:pPr>
          </w:p>
        </w:tc>
        <w:tc>
          <w:tcPr>
            <w:tcW w:w="500" w:type="pct"/>
          </w:tcPr>
          <w:p w14:paraId="0B805754" w14:textId="77777777" w:rsidR="001A02EF" w:rsidRPr="00511537" w:rsidRDefault="002938C2">
            <w:pPr>
              <w:pStyle w:val="AmendmentTableText"/>
            </w:pPr>
            <w:r w:rsidRPr="00511537">
              <w:t>See Schedule 2</w:t>
            </w:r>
          </w:p>
        </w:tc>
        <w:tc>
          <w:tcPr>
            <w:tcW w:w="700" w:type="pct"/>
          </w:tcPr>
          <w:p w14:paraId="55A2FB8B" w14:textId="77777777" w:rsidR="001A02EF" w:rsidRPr="00511537" w:rsidRDefault="002938C2">
            <w:pPr>
              <w:pStyle w:val="AmendmentTableText"/>
            </w:pPr>
            <w:r w:rsidRPr="00511537">
              <w:t>See Schedule 2</w:t>
            </w:r>
          </w:p>
        </w:tc>
      </w:tr>
      <w:tr w:rsidR="001A02EF" w:rsidRPr="00511537" w14:paraId="2A4661C2" w14:textId="77777777" w:rsidTr="001A02EF">
        <w:tc>
          <w:tcPr>
            <w:tcW w:w="550" w:type="pct"/>
          </w:tcPr>
          <w:p w14:paraId="4E165F65" w14:textId="77777777" w:rsidR="001A02EF" w:rsidRPr="00511537" w:rsidRDefault="001A02EF">
            <w:pPr>
              <w:pStyle w:val="AmendmentTableText"/>
            </w:pPr>
          </w:p>
        </w:tc>
        <w:tc>
          <w:tcPr>
            <w:tcW w:w="850" w:type="pct"/>
          </w:tcPr>
          <w:p w14:paraId="4B567198" w14:textId="77777777" w:rsidR="001A02EF" w:rsidRPr="00511537" w:rsidRDefault="001A02EF">
            <w:pPr>
              <w:pStyle w:val="AmendmentTableText"/>
            </w:pPr>
          </w:p>
        </w:tc>
        <w:tc>
          <w:tcPr>
            <w:tcW w:w="500" w:type="pct"/>
          </w:tcPr>
          <w:p w14:paraId="4E50AE22" w14:textId="77777777" w:rsidR="001A02EF" w:rsidRPr="00511537" w:rsidRDefault="001A02EF">
            <w:pPr>
              <w:pStyle w:val="AmendmentTableText"/>
            </w:pPr>
          </w:p>
        </w:tc>
        <w:tc>
          <w:tcPr>
            <w:tcW w:w="550" w:type="pct"/>
          </w:tcPr>
          <w:p w14:paraId="083526FF" w14:textId="77777777" w:rsidR="001A02EF" w:rsidRPr="00511537" w:rsidRDefault="002938C2">
            <w:pPr>
              <w:pStyle w:val="AmendmentTableText"/>
            </w:pPr>
            <w:proofErr w:type="spellStart"/>
            <w:r w:rsidRPr="00511537">
              <w:t>Erelzi</w:t>
            </w:r>
            <w:proofErr w:type="spellEnd"/>
          </w:p>
        </w:tc>
        <w:tc>
          <w:tcPr>
            <w:tcW w:w="800" w:type="pct"/>
          </w:tcPr>
          <w:p w14:paraId="7A25B38A" w14:textId="77777777" w:rsidR="001A02EF" w:rsidRPr="00511537" w:rsidRDefault="002938C2">
            <w:pPr>
              <w:pStyle w:val="AmendmentTableText"/>
            </w:pPr>
            <w:r w:rsidRPr="00511537">
              <w:t>C9417 C14068 C14071 C14154 C14155 C17280</w:t>
            </w:r>
          </w:p>
        </w:tc>
        <w:tc>
          <w:tcPr>
            <w:tcW w:w="350" w:type="pct"/>
          </w:tcPr>
          <w:p w14:paraId="1365AA19" w14:textId="77777777" w:rsidR="001A02EF" w:rsidRPr="00511537" w:rsidRDefault="001A02EF">
            <w:pPr>
              <w:pStyle w:val="AmendmentTableText"/>
            </w:pPr>
          </w:p>
        </w:tc>
        <w:tc>
          <w:tcPr>
            <w:tcW w:w="500" w:type="pct"/>
          </w:tcPr>
          <w:p w14:paraId="3E3B4963" w14:textId="77777777" w:rsidR="001A02EF" w:rsidRPr="00511537" w:rsidRDefault="002938C2">
            <w:pPr>
              <w:pStyle w:val="AmendmentTableText"/>
            </w:pPr>
            <w:r w:rsidRPr="00511537">
              <w:t>See Schedule 2</w:t>
            </w:r>
          </w:p>
        </w:tc>
        <w:tc>
          <w:tcPr>
            <w:tcW w:w="700" w:type="pct"/>
          </w:tcPr>
          <w:p w14:paraId="037B3FAC" w14:textId="77777777" w:rsidR="001A02EF" w:rsidRPr="00511537" w:rsidRDefault="002938C2">
            <w:pPr>
              <w:pStyle w:val="AmendmentTableText"/>
            </w:pPr>
            <w:r w:rsidRPr="00511537">
              <w:t>See Schedule 2</w:t>
            </w:r>
          </w:p>
        </w:tc>
      </w:tr>
      <w:tr w:rsidR="001A02EF" w:rsidRPr="00511537" w14:paraId="7BF7511B" w14:textId="77777777" w:rsidTr="001A02EF">
        <w:tc>
          <w:tcPr>
            <w:tcW w:w="550" w:type="pct"/>
          </w:tcPr>
          <w:p w14:paraId="692112C3" w14:textId="77777777" w:rsidR="001A02EF" w:rsidRPr="00511537" w:rsidRDefault="001A02EF">
            <w:pPr>
              <w:pStyle w:val="AmendmentTableText"/>
            </w:pPr>
          </w:p>
        </w:tc>
        <w:tc>
          <w:tcPr>
            <w:tcW w:w="850" w:type="pct"/>
          </w:tcPr>
          <w:p w14:paraId="34D9A107" w14:textId="2DB80B7D" w:rsidR="001A02EF" w:rsidRPr="00511537" w:rsidRDefault="002938C2">
            <w:pPr>
              <w:pStyle w:val="AmendmentTableText"/>
            </w:pPr>
            <w:r w:rsidRPr="00511537">
              <w:t xml:space="preserve">Injection set containing 4 vials powder for injection 25 mg and </w:t>
            </w:r>
            <w:r w:rsidRPr="00511537">
              <w:lastRenderedPageBreak/>
              <w:t>4</w:t>
            </w:r>
            <w:r w:rsidR="002202A4" w:rsidRPr="00511537">
              <w:t> </w:t>
            </w:r>
            <w:r w:rsidRPr="00511537">
              <w:t>pre‑filled syringes solvent 1 mL</w:t>
            </w:r>
          </w:p>
        </w:tc>
        <w:tc>
          <w:tcPr>
            <w:tcW w:w="500" w:type="pct"/>
          </w:tcPr>
          <w:p w14:paraId="1C034962" w14:textId="77777777" w:rsidR="001A02EF" w:rsidRPr="00511537" w:rsidRDefault="002938C2">
            <w:pPr>
              <w:pStyle w:val="AmendmentTableText"/>
            </w:pPr>
            <w:r w:rsidRPr="00511537">
              <w:lastRenderedPageBreak/>
              <w:t>Injection</w:t>
            </w:r>
          </w:p>
        </w:tc>
        <w:tc>
          <w:tcPr>
            <w:tcW w:w="550" w:type="pct"/>
          </w:tcPr>
          <w:p w14:paraId="45230526" w14:textId="77777777" w:rsidR="001A02EF" w:rsidRPr="00511537" w:rsidRDefault="002938C2">
            <w:pPr>
              <w:pStyle w:val="AmendmentTableText"/>
            </w:pPr>
            <w:r w:rsidRPr="00511537">
              <w:t>Enbrel</w:t>
            </w:r>
          </w:p>
        </w:tc>
        <w:tc>
          <w:tcPr>
            <w:tcW w:w="800" w:type="pct"/>
          </w:tcPr>
          <w:p w14:paraId="6B8966C2" w14:textId="77777777" w:rsidR="001A02EF" w:rsidRPr="00511537" w:rsidRDefault="002938C2">
            <w:pPr>
              <w:pStyle w:val="AmendmentTableText"/>
            </w:pPr>
            <w:r w:rsidRPr="00511537">
              <w:t>C9417 C14068 C14071 C14154 C14155 C17280</w:t>
            </w:r>
          </w:p>
        </w:tc>
        <w:tc>
          <w:tcPr>
            <w:tcW w:w="350" w:type="pct"/>
          </w:tcPr>
          <w:p w14:paraId="11380628" w14:textId="77777777" w:rsidR="001A02EF" w:rsidRPr="00511537" w:rsidRDefault="001A02EF">
            <w:pPr>
              <w:pStyle w:val="AmendmentTableText"/>
            </w:pPr>
          </w:p>
        </w:tc>
        <w:tc>
          <w:tcPr>
            <w:tcW w:w="500" w:type="pct"/>
          </w:tcPr>
          <w:p w14:paraId="2D50F2BE" w14:textId="77777777" w:rsidR="001A02EF" w:rsidRPr="00511537" w:rsidRDefault="002938C2">
            <w:pPr>
              <w:pStyle w:val="AmendmentTableText"/>
            </w:pPr>
            <w:r w:rsidRPr="00511537">
              <w:t>See Schedule 2</w:t>
            </w:r>
          </w:p>
        </w:tc>
        <w:tc>
          <w:tcPr>
            <w:tcW w:w="700" w:type="pct"/>
          </w:tcPr>
          <w:p w14:paraId="157D1E12" w14:textId="77777777" w:rsidR="001A02EF" w:rsidRPr="00511537" w:rsidRDefault="002938C2">
            <w:pPr>
              <w:pStyle w:val="AmendmentTableText"/>
            </w:pPr>
            <w:r w:rsidRPr="00511537">
              <w:t>See Schedule 2</w:t>
            </w:r>
          </w:p>
        </w:tc>
      </w:tr>
    </w:tbl>
    <w:p w14:paraId="59EF7E54" w14:textId="77777777" w:rsidR="001A02EF" w:rsidRPr="00511537" w:rsidRDefault="002938C2">
      <w:pPr>
        <w:pStyle w:val="InstructionMain"/>
      </w:pPr>
      <w:bookmarkStart w:id="27" w:name="f-1469471-6"/>
      <w:bookmarkEnd w:id="26"/>
      <w:r w:rsidRPr="00511537">
        <w:t>[5]</w:t>
      </w:r>
      <w:r w:rsidRPr="00511537">
        <w:tab/>
        <w:t>Schedule 1, entry for Lamivudine in the form Tablet 150 mg</w:t>
      </w:r>
    </w:p>
    <w:p w14:paraId="53CE50BB" w14:textId="77777777" w:rsidR="001A02EF" w:rsidRPr="00511537" w:rsidRDefault="002938C2">
      <w:pPr>
        <w:pStyle w:val="InstructionActionOneWord"/>
      </w:pPr>
      <w:r w:rsidRPr="00511537">
        <w:t>omit:</w:t>
      </w:r>
    </w:p>
    <w:tbl>
      <w:tblPr>
        <w:tblStyle w:val="PlainTable21"/>
        <w:tblW w:w="5000" w:type="pct"/>
        <w:tblLook w:val="0600" w:firstRow="0" w:lastRow="0" w:firstColumn="0" w:lastColumn="0" w:noHBand="1" w:noVBand="1"/>
      </w:tblPr>
      <w:tblGrid>
        <w:gridCol w:w="1571"/>
        <w:gridCol w:w="2428"/>
        <w:gridCol w:w="1429"/>
        <w:gridCol w:w="1572"/>
        <w:gridCol w:w="2285"/>
        <w:gridCol w:w="1001"/>
        <w:gridCol w:w="1429"/>
        <w:gridCol w:w="2000"/>
      </w:tblGrid>
      <w:tr w:rsidR="001A02EF" w:rsidRPr="00511537" w14:paraId="23BD7859" w14:textId="77777777" w:rsidTr="001A02EF">
        <w:tc>
          <w:tcPr>
            <w:tcW w:w="550" w:type="pct"/>
          </w:tcPr>
          <w:p w14:paraId="2CFBE536" w14:textId="77777777" w:rsidR="001A02EF" w:rsidRPr="00511537" w:rsidRDefault="001A02EF">
            <w:pPr>
              <w:pStyle w:val="AmendmentTableText"/>
            </w:pPr>
          </w:p>
        </w:tc>
        <w:tc>
          <w:tcPr>
            <w:tcW w:w="850" w:type="pct"/>
          </w:tcPr>
          <w:p w14:paraId="569502D6" w14:textId="77777777" w:rsidR="001A02EF" w:rsidRPr="00511537" w:rsidRDefault="001A02EF">
            <w:pPr>
              <w:pStyle w:val="AmendmentTableText"/>
            </w:pPr>
          </w:p>
        </w:tc>
        <w:tc>
          <w:tcPr>
            <w:tcW w:w="500" w:type="pct"/>
          </w:tcPr>
          <w:p w14:paraId="2D9AAAC1" w14:textId="77777777" w:rsidR="001A02EF" w:rsidRPr="00511537" w:rsidRDefault="001A02EF">
            <w:pPr>
              <w:pStyle w:val="AmendmentTableText"/>
            </w:pPr>
          </w:p>
        </w:tc>
        <w:tc>
          <w:tcPr>
            <w:tcW w:w="550" w:type="pct"/>
          </w:tcPr>
          <w:p w14:paraId="21956DE1" w14:textId="77777777" w:rsidR="001A02EF" w:rsidRPr="00511537" w:rsidRDefault="002938C2">
            <w:pPr>
              <w:pStyle w:val="AmendmentTableText"/>
            </w:pPr>
            <w:r w:rsidRPr="00511537">
              <w:t xml:space="preserve">Lamivudine </w:t>
            </w:r>
            <w:proofErr w:type="spellStart"/>
            <w:r w:rsidRPr="00511537">
              <w:t>Alphapharm</w:t>
            </w:r>
            <w:proofErr w:type="spellEnd"/>
          </w:p>
        </w:tc>
        <w:tc>
          <w:tcPr>
            <w:tcW w:w="800" w:type="pct"/>
          </w:tcPr>
          <w:p w14:paraId="7CA51A51" w14:textId="77777777" w:rsidR="001A02EF" w:rsidRPr="00511537" w:rsidRDefault="002938C2">
            <w:pPr>
              <w:pStyle w:val="AmendmentTableText"/>
            </w:pPr>
            <w:r w:rsidRPr="00511537">
              <w:t>C4454 C4512</w:t>
            </w:r>
          </w:p>
        </w:tc>
        <w:tc>
          <w:tcPr>
            <w:tcW w:w="350" w:type="pct"/>
          </w:tcPr>
          <w:p w14:paraId="64EF7D80" w14:textId="77777777" w:rsidR="001A02EF" w:rsidRPr="00511537" w:rsidRDefault="001A02EF">
            <w:pPr>
              <w:pStyle w:val="AmendmentTableText"/>
            </w:pPr>
          </w:p>
        </w:tc>
        <w:tc>
          <w:tcPr>
            <w:tcW w:w="500" w:type="pct"/>
          </w:tcPr>
          <w:p w14:paraId="52AE7CE1" w14:textId="77777777" w:rsidR="001A02EF" w:rsidRPr="00511537" w:rsidRDefault="002938C2">
            <w:pPr>
              <w:pStyle w:val="AmendmentTableText"/>
            </w:pPr>
            <w:r w:rsidRPr="00511537">
              <w:t>120</w:t>
            </w:r>
          </w:p>
        </w:tc>
        <w:tc>
          <w:tcPr>
            <w:tcW w:w="700" w:type="pct"/>
          </w:tcPr>
          <w:p w14:paraId="0AF9945D" w14:textId="77777777" w:rsidR="001A02EF" w:rsidRPr="00511537" w:rsidRDefault="002938C2">
            <w:pPr>
              <w:pStyle w:val="AmendmentTableText"/>
            </w:pPr>
            <w:r w:rsidRPr="00511537">
              <w:t>5</w:t>
            </w:r>
          </w:p>
        </w:tc>
      </w:tr>
    </w:tbl>
    <w:p w14:paraId="36BEA987" w14:textId="77777777" w:rsidR="001A02EF" w:rsidRPr="00511537" w:rsidRDefault="002938C2">
      <w:pPr>
        <w:pStyle w:val="InstructionMain"/>
      </w:pPr>
      <w:bookmarkStart w:id="28" w:name="f-1469471-7"/>
      <w:bookmarkEnd w:id="27"/>
      <w:r w:rsidRPr="00511537">
        <w:t>[6]</w:t>
      </w:r>
      <w:r w:rsidRPr="00511537">
        <w:tab/>
        <w:t>Schedule 1, entry for Nevirapine</w:t>
      </w:r>
    </w:p>
    <w:p w14:paraId="4B7A668D" w14:textId="77777777" w:rsidR="001A02EF" w:rsidRPr="00511537" w:rsidRDefault="002938C2">
      <w:pPr>
        <w:pStyle w:val="InstructionActionOneWord"/>
      </w:pPr>
      <w:r w:rsidRPr="00511537">
        <w:t>omit:</w:t>
      </w:r>
    </w:p>
    <w:tbl>
      <w:tblPr>
        <w:tblStyle w:val="PlainTable21"/>
        <w:tblW w:w="5000" w:type="pct"/>
        <w:tblLook w:val="0600" w:firstRow="0" w:lastRow="0" w:firstColumn="0" w:lastColumn="0" w:noHBand="1" w:noVBand="1"/>
      </w:tblPr>
      <w:tblGrid>
        <w:gridCol w:w="1571"/>
        <w:gridCol w:w="2428"/>
        <w:gridCol w:w="1429"/>
        <w:gridCol w:w="1572"/>
        <w:gridCol w:w="2285"/>
        <w:gridCol w:w="1001"/>
        <w:gridCol w:w="1429"/>
        <w:gridCol w:w="2000"/>
      </w:tblGrid>
      <w:tr w:rsidR="001A02EF" w:rsidRPr="00511537" w14:paraId="04453F23" w14:textId="77777777" w:rsidTr="001A02EF">
        <w:tc>
          <w:tcPr>
            <w:tcW w:w="550" w:type="pct"/>
          </w:tcPr>
          <w:p w14:paraId="31BD0624" w14:textId="77777777" w:rsidR="001A02EF" w:rsidRPr="00511537" w:rsidRDefault="001A02EF">
            <w:pPr>
              <w:pStyle w:val="AmendmentTableText"/>
            </w:pPr>
          </w:p>
        </w:tc>
        <w:tc>
          <w:tcPr>
            <w:tcW w:w="850" w:type="pct"/>
          </w:tcPr>
          <w:p w14:paraId="3BA16187" w14:textId="77777777" w:rsidR="001A02EF" w:rsidRPr="00511537" w:rsidRDefault="002938C2">
            <w:pPr>
              <w:pStyle w:val="AmendmentTableText"/>
            </w:pPr>
            <w:r w:rsidRPr="00511537">
              <w:t>Tablet 400 mg (extended release)</w:t>
            </w:r>
          </w:p>
        </w:tc>
        <w:tc>
          <w:tcPr>
            <w:tcW w:w="500" w:type="pct"/>
          </w:tcPr>
          <w:p w14:paraId="392758B4" w14:textId="77777777" w:rsidR="001A02EF" w:rsidRPr="00511537" w:rsidRDefault="002938C2">
            <w:pPr>
              <w:pStyle w:val="AmendmentTableText"/>
            </w:pPr>
            <w:r w:rsidRPr="00511537">
              <w:t>Oral</w:t>
            </w:r>
          </w:p>
        </w:tc>
        <w:tc>
          <w:tcPr>
            <w:tcW w:w="550" w:type="pct"/>
          </w:tcPr>
          <w:p w14:paraId="3582B101" w14:textId="77777777" w:rsidR="001A02EF" w:rsidRPr="00511537" w:rsidRDefault="002938C2">
            <w:pPr>
              <w:pStyle w:val="AmendmentTableText"/>
            </w:pPr>
            <w:proofErr w:type="spellStart"/>
            <w:r w:rsidRPr="00511537">
              <w:t>Viramune</w:t>
            </w:r>
            <w:proofErr w:type="spellEnd"/>
            <w:r w:rsidRPr="00511537">
              <w:t xml:space="preserve"> XR</w:t>
            </w:r>
          </w:p>
        </w:tc>
        <w:tc>
          <w:tcPr>
            <w:tcW w:w="800" w:type="pct"/>
          </w:tcPr>
          <w:p w14:paraId="71CD555E" w14:textId="77777777" w:rsidR="001A02EF" w:rsidRPr="00511537" w:rsidRDefault="002938C2">
            <w:pPr>
              <w:pStyle w:val="AmendmentTableText"/>
            </w:pPr>
            <w:r w:rsidRPr="00511537">
              <w:t>C4454 C4526</w:t>
            </w:r>
          </w:p>
        </w:tc>
        <w:tc>
          <w:tcPr>
            <w:tcW w:w="350" w:type="pct"/>
          </w:tcPr>
          <w:p w14:paraId="6D50E777" w14:textId="77777777" w:rsidR="001A02EF" w:rsidRPr="00511537" w:rsidRDefault="001A02EF">
            <w:pPr>
              <w:pStyle w:val="AmendmentTableText"/>
            </w:pPr>
          </w:p>
        </w:tc>
        <w:tc>
          <w:tcPr>
            <w:tcW w:w="500" w:type="pct"/>
          </w:tcPr>
          <w:p w14:paraId="53CCA4DC" w14:textId="77777777" w:rsidR="001A02EF" w:rsidRPr="00511537" w:rsidRDefault="002938C2">
            <w:pPr>
              <w:pStyle w:val="AmendmentTableText"/>
            </w:pPr>
            <w:r w:rsidRPr="00511537">
              <w:t>60</w:t>
            </w:r>
          </w:p>
        </w:tc>
        <w:tc>
          <w:tcPr>
            <w:tcW w:w="700" w:type="pct"/>
          </w:tcPr>
          <w:p w14:paraId="6CDD63A9" w14:textId="77777777" w:rsidR="001A02EF" w:rsidRPr="00511537" w:rsidRDefault="002938C2">
            <w:pPr>
              <w:pStyle w:val="AmendmentTableText"/>
            </w:pPr>
            <w:r w:rsidRPr="00511537">
              <w:t>5</w:t>
            </w:r>
          </w:p>
        </w:tc>
      </w:tr>
    </w:tbl>
    <w:p w14:paraId="6F93D530" w14:textId="77777777" w:rsidR="001A02EF" w:rsidRPr="00511537" w:rsidRDefault="002938C2">
      <w:pPr>
        <w:pStyle w:val="InstructionMain"/>
      </w:pPr>
      <w:bookmarkStart w:id="29" w:name="f-1469471-8"/>
      <w:bookmarkEnd w:id="28"/>
      <w:r w:rsidRPr="00511537">
        <w:t>[7]</w:t>
      </w:r>
      <w:r w:rsidRPr="00511537">
        <w:tab/>
        <w:t xml:space="preserve">Schedule 1, entry for Omalizumab in the form Injection 75 mg in 0.5 mL single dose pre‑filled syringe </w:t>
      </w:r>
      <w:r w:rsidRPr="00511537">
        <w:rPr>
          <w:rStyle w:val="Brandname"/>
        </w:rPr>
        <w:t xml:space="preserve">[Brand: </w:t>
      </w:r>
      <w:proofErr w:type="spellStart"/>
      <w:r w:rsidRPr="00511537">
        <w:rPr>
          <w:rStyle w:val="Brandname"/>
        </w:rPr>
        <w:t>Omlyclo</w:t>
      </w:r>
      <w:proofErr w:type="spellEnd"/>
      <w:r w:rsidRPr="00511537">
        <w:rPr>
          <w:rStyle w:val="Brandname"/>
        </w:rPr>
        <w:t>]</w:t>
      </w:r>
    </w:p>
    <w:p w14:paraId="15668A7A" w14:textId="77777777" w:rsidR="001A02EF" w:rsidRPr="00511537" w:rsidRDefault="002938C2">
      <w:pPr>
        <w:pStyle w:val="InstructionAction"/>
      </w:pPr>
      <w:r w:rsidRPr="00511537">
        <w:t>(a)</w:t>
      </w:r>
      <w:r w:rsidRPr="00511537">
        <w:tab/>
        <w:t xml:space="preserve">omit from the column headed “Circumstances”: </w:t>
      </w:r>
      <w:r w:rsidRPr="00511537">
        <w:rPr>
          <w:rStyle w:val="CPCode"/>
        </w:rPr>
        <w:t>C17049</w:t>
      </w:r>
    </w:p>
    <w:p w14:paraId="19DB1D80" w14:textId="77777777" w:rsidR="001A02EF" w:rsidRPr="00511537" w:rsidRDefault="002938C2">
      <w:pPr>
        <w:pStyle w:val="InstructionAction"/>
      </w:pPr>
      <w:r w:rsidRPr="00511537">
        <w:t>(b)</w:t>
      </w:r>
      <w:r w:rsidRPr="00511537">
        <w:tab/>
        <w:t xml:space="preserve">insert in numerical order in the column headed “Circumstances”: </w:t>
      </w:r>
      <w:r w:rsidRPr="00511537">
        <w:rPr>
          <w:rStyle w:val="CPCode"/>
        </w:rPr>
        <w:t>C17284</w:t>
      </w:r>
    </w:p>
    <w:p w14:paraId="06076D4D" w14:textId="77777777" w:rsidR="001A02EF" w:rsidRPr="00511537" w:rsidRDefault="002938C2">
      <w:pPr>
        <w:pStyle w:val="InstructionMain"/>
      </w:pPr>
      <w:bookmarkStart w:id="30" w:name="f-1469471-16"/>
      <w:bookmarkEnd w:id="29"/>
      <w:r w:rsidRPr="00511537">
        <w:t>[8]</w:t>
      </w:r>
      <w:r w:rsidRPr="00511537">
        <w:tab/>
        <w:t xml:space="preserve">Schedule 1, entry for Omalizumab in the form Injection 75 mg in 0.5 mL single dose pre‑filled syringe </w:t>
      </w:r>
      <w:r w:rsidRPr="00511537">
        <w:rPr>
          <w:rStyle w:val="Brandname"/>
        </w:rPr>
        <w:t>[Brand: Xolair]</w:t>
      </w:r>
    </w:p>
    <w:p w14:paraId="65F8E67B" w14:textId="77777777" w:rsidR="001A02EF" w:rsidRPr="00511537" w:rsidRDefault="002938C2">
      <w:pPr>
        <w:pStyle w:val="InstructionAction"/>
      </w:pPr>
      <w:r w:rsidRPr="00511537">
        <w:t>(a)</w:t>
      </w:r>
      <w:r w:rsidRPr="00511537">
        <w:tab/>
        <w:t xml:space="preserve">omit from the column headed “Circumstances”: </w:t>
      </w:r>
      <w:r w:rsidRPr="00511537">
        <w:rPr>
          <w:rStyle w:val="CPCode"/>
        </w:rPr>
        <w:t>C17049</w:t>
      </w:r>
    </w:p>
    <w:p w14:paraId="18AEEFC7" w14:textId="77777777" w:rsidR="001A02EF" w:rsidRPr="00511537" w:rsidRDefault="002938C2">
      <w:pPr>
        <w:pStyle w:val="InstructionAction"/>
      </w:pPr>
      <w:r w:rsidRPr="00511537">
        <w:t>(b)</w:t>
      </w:r>
      <w:r w:rsidRPr="00511537">
        <w:tab/>
        <w:t xml:space="preserve">insert in numerical order in the column headed “Circumstances”: </w:t>
      </w:r>
      <w:r w:rsidRPr="00511537">
        <w:rPr>
          <w:rStyle w:val="CPCode"/>
        </w:rPr>
        <w:t>C17284</w:t>
      </w:r>
    </w:p>
    <w:p w14:paraId="0A3158C6" w14:textId="77777777" w:rsidR="001A02EF" w:rsidRPr="00511537" w:rsidRDefault="002938C2">
      <w:pPr>
        <w:pStyle w:val="InstructionMain"/>
      </w:pPr>
      <w:bookmarkStart w:id="31" w:name="f-1469471-9"/>
      <w:bookmarkEnd w:id="30"/>
      <w:r w:rsidRPr="00511537">
        <w:t>[9]</w:t>
      </w:r>
      <w:r w:rsidRPr="00511537">
        <w:tab/>
        <w:t>Schedule 1, entry for Omalizumab in the form Injection 150 mg in 1 mL single dose pre‑filled syringe</w:t>
      </w:r>
    </w:p>
    <w:p w14:paraId="22274F3E" w14:textId="77777777" w:rsidR="001A02EF" w:rsidRPr="00511537" w:rsidRDefault="002938C2">
      <w:pPr>
        <w:pStyle w:val="InstructionAction"/>
      </w:pPr>
      <w:r w:rsidRPr="00511537">
        <w:t>(a)</w:t>
      </w:r>
      <w:r w:rsidRPr="00511537">
        <w:tab/>
        <w:t xml:space="preserve">omit from the column headed “Circumstances”: </w:t>
      </w:r>
      <w:r w:rsidRPr="00511537">
        <w:rPr>
          <w:rStyle w:val="CPCode"/>
        </w:rPr>
        <w:t>C17049</w:t>
      </w:r>
    </w:p>
    <w:p w14:paraId="5917B08C" w14:textId="77777777" w:rsidR="001A02EF" w:rsidRPr="00511537" w:rsidRDefault="002938C2">
      <w:pPr>
        <w:pStyle w:val="InstructionAction"/>
      </w:pPr>
      <w:r w:rsidRPr="00511537">
        <w:t>(b)</w:t>
      </w:r>
      <w:r w:rsidRPr="00511537">
        <w:tab/>
        <w:t xml:space="preserve">insert in numerical order in the column headed “Circumstances”: </w:t>
      </w:r>
      <w:r w:rsidRPr="00511537">
        <w:rPr>
          <w:rStyle w:val="CPCode"/>
        </w:rPr>
        <w:t>C17284</w:t>
      </w:r>
    </w:p>
    <w:p w14:paraId="7CDCDF72" w14:textId="77777777" w:rsidR="001A02EF" w:rsidRPr="00511537" w:rsidRDefault="002938C2">
      <w:pPr>
        <w:pStyle w:val="InstructionMain"/>
      </w:pPr>
      <w:bookmarkStart w:id="32" w:name="f-1469471-10"/>
      <w:bookmarkEnd w:id="31"/>
      <w:r w:rsidRPr="00511537">
        <w:t>[10]</w:t>
      </w:r>
      <w:r w:rsidRPr="00511537">
        <w:tab/>
        <w:t xml:space="preserve">Schedule 2, entry for Etanercept </w:t>
      </w:r>
      <w:r w:rsidRPr="00511537">
        <w:rPr>
          <w:rStyle w:val="Brandname"/>
        </w:rPr>
        <w:t>[Maximum quantity: Sufficient for treatment for 4 weeks; Maximum repeats: 3]</w:t>
      </w:r>
    </w:p>
    <w:p w14:paraId="40750A88" w14:textId="77777777" w:rsidR="001A02EF" w:rsidRPr="00511537" w:rsidRDefault="002938C2">
      <w:pPr>
        <w:pStyle w:val="InstructionAction"/>
      </w:pPr>
      <w:r w:rsidRPr="00511537">
        <w:t>(a)</w:t>
      </w:r>
      <w:r w:rsidRPr="00511537">
        <w:tab/>
        <w:t xml:space="preserve">omit from the column headed “Circumstances”: </w:t>
      </w:r>
      <w:r w:rsidRPr="00511537">
        <w:rPr>
          <w:rStyle w:val="CPCode"/>
        </w:rPr>
        <w:t>C14070</w:t>
      </w:r>
    </w:p>
    <w:p w14:paraId="6521CF75" w14:textId="77777777" w:rsidR="001A02EF" w:rsidRPr="00511537" w:rsidRDefault="002938C2">
      <w:pPr>
        <w:pStyle w:val="InstructionAction"/>
      </w:pPr>
      <w:r w:rsidRPr="00511537">
        <w:t>(b)</w:t>
      </w:r>
      <w:r w:rsidRPr="00511537">
        <w:tab/>
        <w:t xml:space="preserve">insert in numerical order in the column headed “Circumstances”: </w:t>
      </w:r>
      <w:r w:rsidRPr="00511537">
        <w:rPr>
          <w:rStyle w:val="CPCode"/>
        </w:rPr>
        <w:t>C17280</w:t>
      </w:r>
    </w:p>
    <w:p w14:paraId="5D20A35A" w14:textId="77777777" w:rsidR="001A02EF" w:rsidRPr="00511537" w:rsidRDefault="002938C2">
      <w:pPr>
        <w:pStyle w:val="InstructionMain"/>
      </w:pPr>
      <w:bookmarkStart w:id="33" w:name="f-1469471-11"/>
      <w:bookmarkEnd w:id="32"/>
      <w:r w:rsidRPr="00511537">
        <w:t>[11]</w:t>
      </w:r>
      <w:r w:rsidRPr="00511537">
        <w:tab/>
        <w:t xml:space="preserve">Schedule 2, entry for Omalizumab </w:t>
      </w:r>
      <w:r w:rsidRPr="00511537">
        <w:rPr>
          <w:rStyle w:val="Brandname"/>
        </w:rPr>
        <w:t>[Maximum quantity: Sufficient for 4 weeks of treatment; Maximum repeats: 6]</w:t>
      </w:r>
    </w:p>
    <w:p w14:paraId="4827AA75" w14:textId="77777777" w:rsidR="001A02EF" w:rsidRPr="00511537" w:rsidRDefault="002938C2">
      <w:pPr>
        <w:pStyle w:val="InstructionAction"/>
      </w:pPr>
      <w:r w:rsidRPr="00511537">
        <w:t>(a)</w:t>
      </w:r>
      <w:r w:rsidRPr="00511537">
        <w:tab/>
        <w:t xml:space="preserve">omit from the column headed “Circumstances”: </w:t>
      </w:r>
      <w:r w:rsidRPr="00511537">
        <w:rPr>
          <w:rStyle w:val="CPCode"/>
        </w:rPr>
        <w:t>C17049</w:t>
      </w:r>
    </w:p>
    <w:p w14:paraId="34C32086" w14:textId="77777777" w:rsidR="001A02EF" w:rsidRPr="00511537" w:rsidRDefault="002938C2">
      <w:pPr>
        <w:pStyle w:val="InstructionAction"/>
      </w:pPr>
      <w:r w:rsidRPr="00511537">
        <w:t>(b)</w:t>
      </w:r>
      <w:r w:rsidRPr="00511537">
        <w:tab/>
        <w:t xml:space="preserve">insert in numerical order in the column headed “Circumstances”: </w:t>
      </w:r>
      <w:r w:rsidRPr="00511537">
        <w:rPr>
          <w:rStyle w:val="CPCode"/>
        </w:rPr>
        <w:t>C17284</w:t>
      </w:r>
    </w:p>
    <w:p w14:paraId="3CC37C3D" w14:textId="77777777" w:rsidR="001A02EF" w:rsidRPr="00511537" w:rsidRDefault="002938C2">
      <w:pPr>
        <w:pStyle w:val="InstructionMain"/>
      </w:pPr>
      <w:bookmarkStart w:id="34" w:name="f-1469471-12"/>
      <w:bookmarkEnd w:id="33"/>
      <w:r w:rsidRPr="00511537">
        <w:t>[12]</w:t>
      </w:r>
      <w:r w:rsidRPr="00511537">
        <w:tab/>
        <w:t>Schedule 3, omit entry for Adefovir</w:t>
      </w:r>
    </w:p>
    <w:p w14:paraId="3281F58B" w14:textId="77777777" w:rsidR="001A02EF" w:rsidRPr="00511537" w:rsidRDefault="002938C2">
      <w:pPr>
        <w:pStyle w:val="InstructionMain"/>
      </w:pPr>
      <w:bookmarkStart w:id="35" w:name="f-1469471-13"/>
      <w:bookmarkEnd w:id="34"/>
      <w:r w:rsidRPr="00511537">
        <w:lastRenderedPageBreak/>
        <w:t>[13]</w:t>
      </w:r>
      <w:r w:rsidRPr="00511537">
        <w:tab/>
        <w:t>Schedule 3, entry for Etanercept</w:t>
      </w:r>
    </w:p>
    <w:p w14:paraId="3EB5B6FA" w14:textId="77777777" w:rsidR="001A02EF" w:rsidRPr="00511537" w:rsidRDefault="002938C2">
      <w:pPr>
        <w:pStyle w:val="InstructionAction"/>
      </w:pPr>
      <w:r w:rsidRPr="00511537">
        <w:t>(a)</w:t>
      </w:r>
      <w:r w:rsidRPr="00511537">
        <w:tab/>
        <w:t>omit:</w:t>
      </w:r>
    </w:p>
    <w:tbl>
      <w:tblPr>
        <w:tblStyle w:val="PlainTable21"/>
        <w:tblW w:w="5000" w:type="pct"/>
        <w:tblLook w:val="0600" w:firstRow="0" w:lastRow="0" w:firstColumn="0" w:lastColumn="0" w:noHBand="1" w:noVBand="1"/>
      </w:tblPr>
      <w:tblGrid>
        <w:gridCol w:w="2078"/>
        <w:gridCol w:w="1524"/>
        <w:gridCol w:w="1248"/>
        <w:gridCol w:w="6926"/>
        <w:gridCol w:w="1939"/>
      </w:tblGrid>
      <w:tr w:rsidR="001A02EF" w:rsidRPr="00511537" w14:paraId="13F99767" w14:textId="77777777" w:rsidTr="001A02EF">
        <w:tc>
          <w:tcPr>
            <w:tcW w:w="750" w:type="pct"/>
          </w:tcPr>
          <w:p w14:paraId="5C397AB9" w14:textId="77777777" w:rsidR="001A02EF" w:rsidRPr="00511537" w:rsidRDefault="001A02EF">
            <w:pPr>
              <w:pStyle w:val="AmendmentTableText"/>
            </w:pPr>
          </w:p>
        </w:tc>
        <w:tc>
          <w:tcPr>
            <w:tcW w:w="550" w:type="pct"/>
          </w:tcPr>
          <w:p w14:paraId="2425E63F" w14:textId="77777777" w:rsidR="001A02EF" w:rsidRPr="00511537" w:rsidRDefault="002938C2">
            <w:pPr>
              <w:pStyle w:val="AmendmentTableText"/>
            </w:pPr>
            <w:r w:rsidRPr="00511537">
              <w:t>C14070</w:t>
            </w:r>
          </w:p>
        </w:tc>
        <w:tc>
          <w:tcPr>
            <w:tcW w:w="450" w:type="pct"/>
          </w:tcPr>
          <w:p w14:paraId="5CFECCF6" w14:textId="77777777" w:rsidR="001A02EF" w:rsidRPr="00511537" w:rsidRDefault="001A02EF">
            <w:pPr>
              <w:pStyle w:val="AmendmentTableText"/>
            </w:pPr>
          </w:p>
        </w:tc>
        <w:tc>
          <w:tcPr>
            <w:tcW w:w="2500" w:type="pct"/>
          </w:tcPr>
          <w:p w14:paraId="3609DD8C" w14:textId="77777777" w:rsidR="001A02EF" w:rsidRPr="00511537" w:rsidRDefault="002938C2">
            <w:pPr>
              <w:pStyle w:val="AmendmentTableText"/>
            </w:pPr>
            <w:r w:rsidRPr="00511537">
              <w:t>Severe active juvenile idiopathic arthritis</w:t>
            </w:r>
            <w:r w:rsidRPr="00511537">
              <w:br/>
              <w:t>Initial treatment ‑ Initial 1 (new patient)</w:t>
            </w:r>
            <w:r w:rsidRPr="00511537">
              <w:br/>
              <w:t xml:space="preserve">Must be treated by a </w:t>
            </w:r>
            <w:proofErr w:type="spellStart"/>
            <w:r w:rsidRPr="00511537">
              <w:t>paediatric</w:t>
            </w:r>
            <w:proofErr w:type="spellEnd"/>
            <w:r w:rsidRPr="00511537">
              <w:t xml:space="preserve"> rheumatologist; OR</w:t>
            </w:r>
            <w:r w:rsidRPr="00511537">
              <w:br/>
              <w:t xml:space="preserve">Patient must be undergoing treatment under the supervision of a </w:t>
            </w:r>
            <w:proofErr w:type="spellStart"/>
            <w:r w:rsidRPr="00511537">
              <w:t>paediatric</w:t>
            </w:r>
            <w:proofErr w:type="spellEnd"/>
            <w:r w:rsidRPr="00511537">
              <w:t xml:space="preserve"> rheumatology treatment </w:t>
            </w:r>
            <w:proofErr w:type="spellStart"/>
            <w:r w:rsidRPr="00511537">
              <w:t>centre</w:t>
            </w:r>
            <w:proofErr w:type="spellEnd"/>
            <w:r w:rsidRPr="00511537">
              <w:t>.</w:t>
            </w:r>
            <w:r w:rsidRPr="00511537">
              <w:br/>
              <w:t>Patient must not have received PBS‑</w:t>
            </w:r>
            <w:proofErr w:type="spellStart"/>
            <w:r w:rsidRPr="00511537">
              <w:t>subsidised</w:t>
            </w:r>
            <w:proofErr w:type="spellEnd"/>
            <w:r w:rsidRPr="00511537">
              <w:t xml:space="preserve"> treatment with a biological medicine for this condition; AND</w:t>
            </w:r>
            <w:r w:rsidRPr="00511537">
              <w:br/>
              <w:t>Patient must have demonstrated severe intolerance of, or toxicity due to, methotrexate; OR</w:t>
            </w:r>
            <w:r w:rsidRPr="00511537">
              <w:br/>
              <w:t>Patient must have demonstrated failure to achieve an adequate response to 1 or more of the following treatment regimens: (</w:t>
            </w:r>
            <w:proofErr w:type="spellStart"/>
            <w:r w:rsidRPr="00511537">
              <w:t>i</w:t>
            </w:r>
            <w:proofErr w:type="spellEnd"/>
            <w:r w:rsidRPr="00511537">
              <w:t xml:space="preserve">) oral or parenteral methotrexate at a dose of at least 20 mg per square </w:t>
            </w:r>
            <w:proofErr w:type="spellStart"/>
            <w:r w:rsidRPr="00511537">
              <w:t>metre</w:t>
            </w:r>
            <w:proofErr w:type="spellEnd"/>
            <w:r w:rsidRPr="00511537">
              <w:t xml:space="preserv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w:t>
            </w:r>
            <w:proofErr w:type="spellStart"/>
            <w:r w:rsidRPr="00511537">
              <w:t>metre</w:t>
            </w:r>
            <w:proofErr w:type="spellEnd"/>
            <w:r w:rsidRPr="00511537">
              <w:t xml:space="preserve"> weekly together with at least 1 other disease modifying anti‑rheumatic drug (DMARD), alone or in combination with corticosteroids, for a minimum of 3 months; AND</w:t>
            </w:r>
            <w:r w:rsidRPr="00511537">
              <w:br/>
              <w:t>Patient must not receive more than 16 weeks of treatment under this restriction.</w:t>
            </w:r>
            <w:r w:rsidRPr="00511537">
              <w:br/>
              <w:t>Patient must be under 18 years of age.</w:t>
            </w:r>
            <w:r w:rsidRPr="00511537">
              <w:br/>
              <w:t xml:space="preserve">Severe intolerance to methotrexate is defined as intractable nausea and vomiting and general malaise unresponsive to </w:t>
            </w:r>
            <w:proofErr w:type="spellStart"/>
            <w:r w:rsidRPr="00511537">
              <w:t>manoeuvres</w:t>
            </w:r>
            <w:proofErr w:type="spellEnd"/>
            <w:r w:rsidRPr="00511537">
              <w:t>, including reducing or omitting concomitant non‑steroidal anti‑inflammatory drugs (NSAIDs) on the day of methotrexate administration, use of folic acid supplementation, or administering the dose of methotrexate in 2 divided doses over 24 hours.</w:t>
            </w:r>
            <w:r w:rsidRPr="00511537">
              <w:br/>
              <w:t>Toxicity due to methotrexate is defined as evidence of hepatotoxicity with repeated elevations of transaminases, bone marrow suppression temporally related to methotrexate use, pneumonitis, or serious sepsis.</w:t>
            </w:r>
            <w:r w:rsidRPr="00511537">
              <w:br/>
              <w:t>If treatment with methotrexate alone or in combination with another DMARD is contraindicated according to the relevant TGA‑approved Product Information, details must be documented in the patient's medical records.</w:t>
            </w:r>
            <w:r w:rsidRPr="00511537">
              <w:br/>
              <w:t>If intolerance to treatment develops during the relevant period of use, which is of a severity necessitating permanent treatment withdrawal, details of this toxicity must be documented in the patient's medical records.</w:t>
            </w:r>
            <w:r w:rsidRPr="00511537">
              <w:br/>
              <w:t>The following criteria indicate failure to achieve an adequate response and must be demonstrated in all patients at the time of the initial application:</w:t>
            </w:r>
            <w:r w:rsidRPr="00511537">
              <w:br/>
              <w:t>(a) an active joint count of at least 20 active (swollen and tender) joints; OR</w:t>
            </w:r>
            <w:r w:rsidRPr="00511537">
              <w:br/>
              <w:t>(b) at least 4 active joints from the following list:</w:t>
            </w:r>
            <w:r w:rsidRPr="00511537">
              <w:br/>
              <w:t>(</w:t>
            </w:r>
            <w:proofErr w:type="spellStart"/>
            <w:r w:rsidRPr="00511537">
              <w:t>i</w:t>
            </w:r>
            <w:proofErr w:type="spellEnd"/>
            <w:r w:rsidRPr="00511537">
              <w:t>) elbow, wrist, knee and/or ankle (assessed as swollen and tender); and/or</w:t>
            </w:r>
            <w:r w:rsidRPr="00511537">
              <w:br/>
              <w:t>(ii) shoulder, cervical spine and/or hip (assessed as pain in passive movement and restriction of passive movement, where pain and limitation of movement are due to active disease and not irreversible damage such as joint destruction or bony overgrowth).</w:t>
            </w:r>
            <w:r w:rsidRPr="00511537">
              <w:br/>
              <w:t>The assessment of response to prior treatment must be documented in the patient's medical records.</w:t>
            </w:r>
            <w:r w:rsidRPr="00511537">
              <w:br/>
            </w:r>
            <w:r w:rsidRPr="00511537">
              <w:lastRenderedPageBreak/>
              <w:t>The joint count assessment must be performed preferably whilst still on DMARD treatment, but no longer than 4 weeks following cessation of the most recent prior treatment.</w:t>
            </w:r>
            <w:r w:rsidRPr="00511537">
              <w:br/>
              <w:t>The following information must be provided by the prescriber at the time of application and documented in the patient's medical records:</w:t>
            </w:r>
            <w:r w:rsidRPr="00511537">
              <w:br/>
              <w:t>(a) the date of assessment of severe active juvenile idiopathic arthritis; and</w:t>
            </w:r>
            <w:r w:rsidRPr="00511537">
              <w:br/>
              <w:t>(b) details of prior treatment including dose and duration of treatment.</w:t>
            </w:r>
            <w:r w:rsidRPr="00511537">
              <w:br/>
              <w:t xml:space="preserve">At the time of authority application, medical practitioners must request the appropriate number of injections to provide sufficient for four weeks of treatment. Up to a maximum of 3 repeats will be </w:t>
            </w:r>
            <w:proofErr w:type="spellStart"/>
            <w:r w:rsidRPr="00511537">
              <w:t>authorised</w:t>
            </w:r>
            <w:proofErr w:type="spellEnd"/>
            <w:r w:rsidRPr="00511537">
              <w:t>.</w:t>
            </w:r>
            <w:r w:rsidRPr="00511537">
              <w:b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r w:rsidRPr="00511537">
              <w:br/>
              <w:t xml:space="preserve">If a patient fails to demonstrate a response to treatment with this </w:t>
            </w:r>
            <w:proofErr w:type="gramStart"/>
            <w:r w:rsidRPr="00511537">
              <w:t>drug</w:t>
            </w:r>
            <w:proofErr w:type="gramEnd"/>
            <w:r w:rsidRPr="00511537">
              <w:t xml:space="preserve"> they will not be eligible to receive further PBS‑</w:t>
            </w:r>
            <w:proofErr w:type="spellStart"/>
            <w:r w:rsidRPr="00511537">
              <w:t>subsidised</w:t>
            </w:r>
            <w:proofErr w:type="spellEnd"/>
            <w:r w:rsidRPr="00511537">
              <w:t xml:space="preserve"> treatment with this drug for this condition within this treatment cycle. Serious adverse </w:t>
            </w:r>
            <w:proofErr w:type="gramStart"/>
            <w:r w:rsidRPr="00511537">
              <w:t>reaction</w:t>
            </w:r>
            <w:proofErr w:type="gramEnd"/>
            <w:r w:rsidRPr="00511537">
              <w:t xml:space="preserve"> of </w:t>
            </w:r>
            <w:proofErr w:type="gramStart"/>
            <w:r w:rsidRPr="00511537">
              <w:t>a severity</w:t>
            </w:r>
            <w:proofErr w:type="gramEnd"/>
            <w:r w:rsidRPr="00511537">
              <w:t xml:space="preserve"> resulting in the necessity for permanent withdrawal of treatment </w:t>
            </w:r>
            <w:proofErr w:type="gramStart"/>
            <w:r w:rsidRPr="00511537">
              <w:t>is</w:t>
            </w:r>
            <w:proofErr w:type="gramEnd"/>
            <w:r w:rsidRPr="00511537">
              <w:t xml:space="preserve"> not considered as a treatment failure.</w:t>
            </w:r>
          </w:p>
        </w:tc>
        <w:tc>
          <w:tcPr>
            <w:tcW w:w="700" w:type="pct"/>
          </w:tcPr>
          <w:p w14:paraId="33851814" w14:textId="77777777" w:rsidR="001A02EF" w:rsidRPr="00511537" w:rsidRDefault="002938C2">
            <w:pPr>
              <w:pStyle w:val="AmendmentTableText"/>
            </w:pPr>
            <w:r w:rsidRPr="00511537">
              <w:lastRenderedPageBreak/>
              <w:t>Compliance with Authority Required procedures</w:t>
            </w:r>
          </w:p>
        </w:tc>
      </w:tr>
    </w:tbl>
    <w:p w14:paraId="6931FF9D" w14:textId="77777777" w:rsidR="001A02EF" w:rsidRPr="00511537" w:rsidRDefault="002938C2">
      <w:pPr>
        <w:pStyle w:val="InstructionAction"/>
      </w:pPr>
      <w:r w:rsidRPr="00511537">
        <w:t>(b)</w:t>
      </w:r>
      <w:r w:rsidRPr="00511537">
        <w:tab/>
        <w:t>insert in numerical order after existing text:</w:t>
      </w:r>
    </w:p>
    <w:tbl>
      <w:tblPr>
        <w:tblStyle w:val="PlainTable21"/>
        <w:tblW w:w="5000" w:type="pct"/>
        <w:tblLook w:val="0600" w:firstRow="0" w:lastRow="0" w:firstColumn="0" w:lastColumn="0" w:noHBand="1" w:noVBand="1"/>
      </w:tblPr>
      <w:tblGrid>
        <w:gridCol w:w="2078"/>
        <w:gridCol w:w="1524"/>
        <w:gridCol w:w="1248"/>
        <w:gridCol w:w="6926"/>
        <w:gridCol w:w="1939"/>
      </w:tblGrid>
      <w:tr w:rsidR="001A02EF" w:rsidRPr="00511537" w14:paraId="417F2769" w14:textId="77777777" w:rsidTr="001A02EF">
        <w:tc>
          <w:tcPr>
            <w:tcW w:w="750" w:type="pct"/>
          </w:tcPr>
          <w:p w14:paraId="3E2828E4" w14:textId="77777777" w:rsidR="001A02EF" w:rsidRPr="00511537" w:rsidRDefault="001A02EF">
            <w:pPr>
              <w:pStyle w:val="AmendmentTableText"/>
            </w:pPr>
          </w:p>
        </w:tc>
        <w:tc>
          <w:tcPr>
            <w:tcW w:w="550" w:type="pct"/>
          </w:tcPr>
          <w:p w14:paraId="25B57A29" w14:textId="77777777" w:rsidR="001A02EF" w:rsidRPr="00511537" w:rsidRDefault="002938C2">
            <w:pPr>
              <w:pStyle w:val="AmendmentTableText"/>
            </w:pPr>
            <w:r w:rsidRPr="00511537">
              <w:t>C17280</w:t>
            </w:r>
          </w:p>
        </w:tc>
        <w:tc>
          <w:tcPr>
            <w:tcW w:w="450" w:type="pct"/>
          </w:tcPr>
          <w:p w14:paraId="3E1C4DBD" w14:textId="77777777" w:rsidR="001A02EF" w:rsidRPr="00511537" w:rsidRDefault="001A02EF">
            <w:pPr>
              <w:pStyle w:val="AmendmentTableText"/>
            </w:pPr>
          </w:p>
        </w:tc>
        <w:tc>
          <w:tcPr>
            <w:tcW w:w="2500" w:type="pct"/>
          </w:tcPr>
          <w:p w14:paraId="5EDF1324" w14:textId="77777777" w:rsidR="001A02EF" w:rsidRPr="00511537" w:rsidRDefault="002938C2">
            <w:pPr>
              <w:pStyle w:val="AmendmentTableText"/>
            </w:pPr>
            <w:r w:rsidRPr="00511537">
              <w:t>Severe active juvenile idiopathic arthritis</w:t>
            </w:r>
          </w:p>
          <w:p w14:paraId="2EEE30DC" w14:textId="77777777" w:rsidR="001A02EF" w:rsidRPr="00511537" w:rsidRDefault="002938C2">
            <w:pPr>
              <w:pStyle w:val="AmendmentTableText"/>
            </w:pPr>
            <w:r w:rsidRPr="00511537">
              <w:t>Initial treatment - Initial 1 (new patient)</w:t>
            </w:r>
          </w:p>
          <w:p w14:paraId="02D5272A" w14:textId="77777777" w:rsidR="001A02EF" w:rsidRPr="00511537" w:rsidRDefault="002938C2">
            <w:pPr>
              <w:pStyle w:val="AmendmentTableText"/>
            </w:pPr>
            <w:r w:rsidRPr="00511537">
              <w:t xml:space="preserve">Must be treated by a </w:t>
            </w:r>
            <w:proofErr w:type="spellStart"/>
            <w:r w:rsidRPr="00511537">
              <w:t>paediatric</w:t>
            </w:r>
            <w:proofErr w:type="spellEnd"/>
            <w:r w:rsidRPr="00511537">
              <w:t xml:space="preserve"> </w:t>
            </w:r>
            <w:proofErr w:type="gramStart"/>
            <w:r w:rsidRPr="00511537">
              <w:t>rheumatologist;</w:t>
            </w:r>
            <w:proofErr w:type="gramEnd"/>
            <w:r w:rsidRPr="00511537">
              <w:t xml:space="preserve"> OR</w:t>
            </w:r>
          </w:p>
          <w:p w14:paraId="464C356C" w14:textId="77777777" w:rsidR="001A02EF" w:rsidRPr="00511537" w:rsidRDefault="002938C2">
            <w:pPr>
              <w:pStyle w:val="AmendmentTableText"/>
            </w:pPr>
            <w:proofErr w:type="gramStart"/>
            <w:r w:rsidRPr="00511537">
              <w:t>Patient</w:t>
            </w:r>
            <w:proofErr w:type="gramEnd"/>
            <w:r w:rsidRPr="00511537">
              <w:t xml:space="preserve"> must be undergoing treatment under the supervision of a </w:t>
            </w:r>
            <w:proofErr w:type="spellStart"/>
            <w:r w:rsidRPr="00511537">
              <w:t>paediatric</w:t>
            </w:r>
            <w:proofErr w:type="spellEnd"/>
            <w:r w:rsidRPr="00511537">
              <w:t xml:space="preserve"> rheumatology treatment </w:t>
            </w:r>
            <w:proofErr w:type="spellStart"/>
            <w:r w:rsidRPr="00511537">
              <w:t>centre</w:t>
            </w:r>
            <w:proofErr w:type="spellEnd"/>
            <w:r w:rsidRPr="00511537">
              <w:t>.</w:t>
            </w:r>
          </w:p>
          <w:p w14:paraId="74AA4ECB" w14:textId="77777777" w:rsidR="001A02EF" w:rsidRPr="00511537" w:rsidRDefault="002938C2">
            <w:pPr>
              <w:pStyle w:val="AmendmentTableText"/>
            </w:pPr>
            <w:proofErr w:type="gramStart"/>
            <w:r w:rsidRPr="00511537">
              <w:t>Patient</w:t>
            </w:r>
            <w:proofErr w:type="gramEnd"/>
            <w:r w:rsidRPr="00511537">
              <w:t xml:space="preserve"> must not have received PBS-</w:t>
            </w:r>
            <w:proofErr w:type="spellStart"/>
            <w:r w:rsidRPr="00511537">
              <w:t>subsidised</w:t>
            </w:r>
            <w:proofErr w:type="spellEnd"/>
            <w:r w:rsidRPr="00511537">
              <w:t xml:space="preserve"> treatment with </w:t>
            </w:r>
            <w:proofErr w:type="gramStart"/>
            <w:r w:rsidRPr="00511537">
              <w:t>a biological</w:t>
            </w:r>
            <w:proofErr w:type="gramEnd"/>
            <w:r w:rsidRPr="00511537">
              <w:t xml:space="preserve"> medicine for this condition; AND</w:t>
            </w:r>
          </w:p>
          <w:p w14:paraId="449DBB6E" w14:textId="77777777" w:rsidR="001A02EF" w:rsidRPr="00511537" w:rsidRDefault="002938C2">
            <w:pPr>
              <w:pStyle w:val="AmendmentTableText"/>
            </w:pPr>
            <w:proofErr w:type="gramStart"/>
            <w:r w:rsidRPr="00511537">
              <w:t>Patient</w:t>
            </w:r>
            <w:proofErr w:type="gramEnd"/>
            <w:r w:rsidRPr="00511537">
              <w:t xml:space="preserve"> must have demonstrated severe intolerance of, or toxicity due to, methotrexate; OR</w:t>
            </w:r>
          </w:p>
          <w:p w14:paraId="722C4433" w14:textId="77777777" w:rsidR="001A02EF" w:rsidRPr="00511537" w:rsidRDefault="002938C2">
            <w:pPr>
              <w:pStyle w:val="AmendmentTableText"/>
            </w:pPr>
            <w:r w:rsidRPr="00511537">
              <w:t>Patient must have demonstrated failure to achieve an adequate response to 1 or more of the following treatment regimens: (</w:t>
            </w:r>
            <w:proofErr w:type="spellStart"/>
            <w:r w:rsidRPr="00511537">
              <w:t>i</w:t>
            </w:r>
            <w:proofErr w:type="spellEnd"/>
            <w:r w:rsidRPr="00511537">
              <w:t xml:space="preserve">) oral or parenteral methotrexate at a dose of at least 20 mg per square </w:t>
            </w:r>
            <w:proofErr w:type="spellStart"/>
            <w:r w:rsidRPr="00511537">
              <w:t>metre</w:t>
            </w:r>
            <w:proofErr w:type="spellEnd"/>
            <w:r w:rsidRPr="00511537">
              <w:t xml:space="preserv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w:t>
            </w:r>
            <w:proofErr w:type="spellStart"/>
            <w:r w:rsidRPr="00511537">
              <w:t>metre</w:t>
            </w:r>
            <w:proofErr w:type="spellEnd"/>
            <w:r w:rsidRPr="00511537">
              <w:t xml:space="preserve"> weekly together with at least 1 other disease modifying anti-rheumatic drug (DMARD), alone or in combination with corticosteroids, for a minimum of 3 months; AND</w:t>
            </w:r>
          </w:p>
          <w:p w14:paraId="27413F2E" w14:textId="77777777" w:rsidR="001A02EF" w:rsidRPr="00511537" w:rsidRDefault="002938C2">
            <w:pPr>
              <w:pStyle w:val="AmendmentTableText"/>
            </w:pPr>
            <w:proofErr w:type="gramStart"/>
            <w:r w:rsidRPr="00511537">
              <w:t>Patient</w:t>
            </w:r>
            <w:proofErr w:type="gramEnd"/>
            <w:r w:rsidRPr="00511537">
              <w:t xml:space="preserve"> must not receive more than 16 weeks of treatment under this restriction.</w:t>
            </w:r>
          </w:p>
          <w:p w14:paraId="0D219BDC" w14:textId="77777777" w:rsidR="001A02EF" w:rsidRPr="00511537" w:rsidRDefault="002938C2">
            <w:pPr>
              <w:pStyle w:val="AmendmentTableText"/>
            </w:pPr>
            <w:proofErr w:type="gramStart"/>
            <w:r w:rsidRPr="00511537">
              <w:t>Patient</w:t>
            </w:r>
            <w:proofErr w:type="gramEnd"/>
            <w:r w:rsidRPr="00511537">
              <w:t xml:space="preserve"> must be under 18 years of age.</w:t>
            </w:r>
          </w:p>
          <w:p w14:paraId="5D64F9B9" w14:textId="77777777" w:rsidR="001A02EF" w:rsidRPr="00511537" w:rsidRDefault="002938C2">
            <w:pPr>
              <w:pStyle w:val="AmendmentTableText"/>
            </w:pPr>
            <w:r w:rsidRPr="00511537">
              <w:t xml:space="preserve">Severe intolerance to methotrexate is defined as intractable nausea and vomiting and general malaise unresponsive to </w:t>
            </w:r>
            <w:proofErr w:type="spellStart"/>
            <w:r w:rsidRPr="00511537">
              <w:t>manoeuvres</w:t>
            </w:r>
            <w:proofErr w:type="spellEnd"/>
            <w:r w:rsidRPr="00511537">
              <w:t>, including reducing or omitting concomitant non-steroidal anti-inflammatory drugs (NSAIDs) on the day of methotrexate administration, use of folic acid supplementation, or administering the dose of methotrexate in 2 divided doses over 24 hours.</w:t>
            </w:r>
          </w:p>
          <w:p w14:paraId="05CD0DE5" w14:textId="77777777" w:rsidR="001A02EF" w:rsidRPr="00511537" w:rsidRDefault="002938C2">
            <w:pPr>
              <w:pStyle w:val="AmendmentTableText"/>
            </w:pPr>
            <w:r w:rsidRPr="00511537">
              <w:lastRenderedPageBreak/>
              <w:t>Toxicity due to methotrexate is defined as evidence of hepatotoxicity with repeated elevations of transaminases, bone marrow suppression temporally related to methotrexate use, pneumonitis, or serious sepsis.</w:t>
            </w:r>
          </w:p>
          <w:p w14:paraId="269ABBF2" w14:textId="77777777" w:rsidR="001A02EF" w:rsidRPr="00511537" w:rsidRDefault="002938C2">
            <w:pPr>
              <w:pStyle w:val="AmendmentTableText"/>
            </w:pPr>
            <w:r w:rsidRPr="00511537">
              <w:t>If treatment with methotrexate alone or in combination with another DMARD is contraindicated according to the relevant TGA-approved Product Information, details must be documented in the patient's medical records.</w:t>
            </w:r>
          </w:p>
          <w:p w14:paraId="1928FDC5" w14:textId="77777777" w:rsidR="001A02EF" w:rsidRPr="00511537" w:rsidRDefault="002938C2">
            <w:pPr>
              <w:pStyle w:val="AmendmentTableText"/>
            </w:pPr>
            <w:r w:rsidRPr="00511537">
              <w:t>If intolerance to treatment develops during the relevant period of use, which is of a severity necessitating permanent treatment withdrawal, details of this toxicity must be documented in the patient's medical records.</w:t>
            </w:r>
          </w:p>
          <w:p w14:paraId="549C33A6" w14:textId="77777777" w:rsidR="001A02EF" w:rsidRPr="00511537" w:rsidRDefault="002938C2">
            <w:pPr>
              <w:pStyle w:val="AmendmentTableText"/>
            </w:pPr>
            <w:r w:rsidRPr="00511537">
              <w:t>The following criteria indicate failure to achieve an adequate response and must be demonstrated in all patients at the time of the initial application:</w:t>
            </w:r>
          </w:p>
          <w:p w14:paraId="07765348" w14:textId="77777777" w:rsidR="001A02EF" w:rsidRPr="00511537" w:rsidRDefault="002938C2">
            <w:pPr>
              <w:pStyle w:val="AmendmentTableText"/>
            </w:pPr>
            <w:r w:rsidRPr="00511537">
              <w:t>(a) an active joint count of at least 20 active (swollen and tender) joints; OR</w:t>
            </w:r>
          </w:p>
          <w:p w14:paraId="61659AD1" w14:textId="77777777" w:rsidR="001A02EF" w:rsidRPr="00511537" w:rsidRDefault="002938C2">
            <w:pPr>
              <w:pStyle w:val="AmendmentTableText"/>
            </w:pPr>
            <w:r w:rsidRPr="00511537">
              <w:t>(b) at least 4 active joints from the following list:</w:t>
            </w:r>
          </w:p>
          <w:p w14:paraId="11F11D78" w14:textId="77777777" w:rsidR="001A02EF" w:rsidRPr="00511537" w:rsidRDefault="002938C2">
            <w:pPr>
              <w:pStyle w:val="AmendmentTableText"/>
            </w:pPr>
            <w:r w:rsidRPr="00511537">
              <w:t>(</w:t>
            </w:r>
            <w:proofErr w:type="spellStart"/>
            <w:r w:rsidRPr="00511537">
              <w:t>i</w:t>
            </w:r>
            <w:proofErr w:type="spellEnd"/>
            <w:r w:rsidRPr="00511537">
              <w:t>) elbow, wrist, knee and/or ankle (assessed as swollen and tender); and/or</w:t>
            </w:r>
          </w:p>
          <w:p w14:paraId="6A043A64" w14:textId="77777777" w:rsidR="001A02EF" w:rsidRPr="00511537" w:rsidRDefault="002938C2">
            <w:pPr>
              <w:pStyle w:val="AmendmentTableText"/>
            </w:pPr>
            <w:r w:rsidRPr="00511537">
              <w:t>(ii) shoulder, cervical spine and/or hip (assessed as pain in passive movement and restriction of passive movement, where pain and limitation of movement are due to active disease and not irreversible damage such as joint destruction or bony overgrowth).</w:t>
            </w:r>
          </w:p>
          <w:p w14:paraId="3F40F834" w14:textId="77777777" w:rsidR="001A02EF" w:rsidRPr="00511537" w:rsidRDefault="002938C2">
            <w:pPr>
              <w:pStyle w:val="AmendmentTableText"/>
            </w:pPr>
            <w:r w:rsidRPr="00511537">
              <w:t>The assessment of response to prior treatment must be documented in the patient's medical records.</w:t>
            </w:r>
          </w:p>
          <w:p w14:paraId="3A7EAF9E" w14:textId="77777777" w:rsidR="001A02EF" w:rsidRPr="00511537" w:rsidRDefault="002938C2">
            <w:pPr>
              <w:pStyle w:val="AmendmentTableText"/>
            </w:pPr>
            <w:r w:rsidRPr="00511537">
              <w:t>The joint count assessment must be performed preferably whilst still on DMARD treatment, but no longer than 4 weeks following cessation of the most recent prior treatment.</w:t>
            </w:r>
          </w:p>
          <w:p w14:paraId="29241A3D" w14:textId="77777777" w:rsidR="001A02EF" w:rsidRPr="00511537" w:rsidRDefault="002938C2">
            <w:pPr>
              <w:pStyle w:val="AmendmentTableText"/>
            </w:pPr>
            <w:r w:rsidRPr="00511537">
              <w:t>The following information must be provided by the prescriber at the time of application and documented in the patient's medical records:</w:t>
            </w:r>
          </w:p>
          <w:p w14:paraId="690F67D4" w14:textId="77777777" w:rsidR="001A02EF" w:rsidRPr="00511537" w:rsidRDefault="002938C2">
            <w:pPr>
              <w:pStyle w:val="AmendmentTableText"/>
            </w:pPr>
            <w:r w:rsidRPr="00511537">
              <w:t>(a) the date of assessment of severe active juvenile idiopathic arthritis; and</w:t>
            </w:r>
          </w:p>
          <w:p w14:paraId="0F0F2FC6" w14:textId="77777777" w:rsidR="001A02EF" w:rsidRPr="00511537" w:rsidRDefault="002938C2">
            <w:pPr>
              <w:pStyle w:val="AmendmentTableText"/>
            </w:pPr>
            <w:r w:rsidRPr="00511537">
              <w:t>(b) details of prior treatment including dose and duration of treatment.</w:t>
            </w:r>
          </w:p>
          <w:p w14:paraId="54A866CA" w14:textId="77777777" w:rsidR="001A02EF" w:rsidRPr="00511537" w:rsidRDefault="002938C2">
            <w:pPr>
              <w:pStyle w:val="AmendmentTableText"/>
            </w:pPr>
            <w:r w:rsidRPr="00511537">
              <w:t xml:space="preserve">At the time of authority application, medical practitioners must request the appropriate number of injections to provide sufficient for four weeks of treatment. Up to a maximum of 3 repeats will be </w:t>
            </w:r>
            <w:proofErr w:type="spellStart"/>
            <w:r w:rsidRPr="00511537">
              <w:t>authorised</w:t>
            </w:r>
            <w:proofErr w:type="spellEnd"/>
            <w:r w:rsidRPr="00511537">
              <w:t>.</w:t>
            </w:r>
          </w:p>
          <w:p w14:paraId="5B7C457F" w14:textId="77777777" w:rsidR="001A02EF" w:rsidRPr="00511537" w:rsidRDefault="002938C2">
            <w:pPr>
              <w:pStyle w:val="AmendmentTableText"/>
            </w:pPr>
            <w:r w:rsidRPr="00511537">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49830B7A" w14:textId="77777777" w:rsidR="001A02EF" w:rsidRPr="00511537" w:rsidRDefault="002938C2">
            <w:pPr>
              <w:pStyle w:val="AmendmentTableText"/>
            </w:pPr>
            <w:r w:rsidRPr="00511537">
              <w:t xml:space="preserve">If a patient fails to demonstrate a response to treatment with this </w:t>
            </w:r>
            <w:proofErr w:type="gramStart"/>
            <w:r w:rsidRPr="00511537">
              <w:t>drug</w:t>
            </w:r>
            <w:proofErr w:type="gramEnd"/>
            <w:r w:rsidRPr="00511537">
              <w:t xml:space="preserve"> they will not be eligible to receive further PBS-</w:t>
            </w:r>
            <w:proofErr w:type="spellStart"/>
            <w:r w:rsidRPr="00511537">
              <w:t>subsidised</w:t>
            </w:r>
            <w:proofErr w:type="spellEnd"/>
            <w:r w:rsidRPr="00511537">
              <w:t xml:space="preserve"> treatment with this drug for this condition within this treatment cycle. Serious adverse </w:t>
            </w:r>
            <w:proofErr w:type="gramStart"/>
            <w:r w:rsidRPr="00511537">
              <w:t>reaction</w:t>
            </w:r>
            <w:proofErr w:type="gramEnd"/>
            <w:r w:rsidRPr="00511537">
              <w:t xml:space="preserve"> of </w:t>
            </w:r>
            <w:proofErr w:type="gramStart"/>
            <w:r w:rsidRPr="00511537">
              <w:t>a severity</w:t>
            </w:r>
            <w:proofErr w:type="gramEnd"/>
            <w:r w:rsidRPr="00511537">
              <w:t xml:space="preserve"> resulting in the necessity for permanent withdrawal of treatment </w:t>
            </w:r>
            <w:proofErr w:type="gramStart"/>
            <w:r w:rsidRPr="00511537">
              <w:t>is</w:t>
            </w:r>
            <w:proofErr w:type="gramEnd"/>
            <w:r w:rsidRPr="00511537">
              <w:t xml:space="preserve"> not considered as a treatment failure.</w:t>
            </w:r>
          </w:p>
        </w:tc>
        <w:tc>
          <w:tcPr>
            <w:tcW w:w="700" w:type="pct"/>
          </w:tcPr>
          <w:p w14:paraId="435C2834" w14:textId="77777777" w:rsidR="001A02EF" w:rsidRPr="00511537" w:rsidRDefault="002938C2">
            <w:pPr>
              <w:pStyle w:val="AmendmentTableText"/>
            </w:pPr>
            <w:r w:rsidRPr="00511537">
              <w:lastRenderedPageBreak/>
              <w:t>Compliance with Authority Required procedures</w:t>
            </w:r>
          </w:p>
        </w:tc>
      </w:tr>
    </w:tbl>
    <w:p w14:paraId="4617BCCA" w14:textId="77777777" w:rsidR="001A02EF" w:rsidRPr="00511537" w:rsidRDefault="002938C2">
      <w:pPr>
        <w:pStyle w:val="InstructionMain"/>
      </w:pPr>
      <w:bookmarkStart w:id="36" w:name="f-1469471-14"/>
      <w:bookmarkEnd w:id="35"/>
      <w:r w:rsidRPr="00511537">
        <w:t>[14]</w:t>
      </w:r>
      <w:r w:rsidRPr="00511537">
        <w:tab/>
        <w:t>Schedule 3, entry for Nevirapine</w:t>
      </w:r>
    </w:p>
    <w:p w14:paraId="17B25C77" w14:textId="77777777" w:rsidR="001A02EF" w:rsidRPr="00511537" w:rsidRDefault="002938C2">
      <w:pPr>
        <w:pStyle w:val="InstructionActionOneWord"/>
      </w:pPr>
      <w:r w:rsidRPr="00511537">
        <w:t>omit:</w:t>
      </w:r>
    </w:p>
    <w:tbl>
      <w:tblPr>
        <w:tblStyle w:val="PlainTable21"/>
        <w:tblW w:w="5000" w:type="pct"/>
        <w:tblLook w:val="0600" w:firstRow="0" w:lastRow="0" w:firstColumn="0" w:lastColumn="0" w:noHBand="1" w:noVBand="1"/>
      </w:tblPr>
      <w:tblGrid>
        <w:gridCol w:w="2078"/>
        <w:gridCol w:w="1524"/>
        <w:gridCol w:w="1248"/>
        <w:gridCol w:w="6926"/>
        <w:gridCol w:w="1939"/>
      </w:tblGrid>
      <w:tr w:rsidR="001A02EF" w:rsidRPr="00511537" w14:paraId="55197E3B" w14:textId="77777777" w:rsidTr="001A02EF">
        <w:tc>
          <w:tcPr>
            <w:tcW w:w="750" w:type="pct"/>
          </w:tcPr>
          <w:p w14:paraId="3091F4DB" w14:textId="77777777" w:rsidR="001A02EF" w:rsidRPr="00511537" w:rsidRDefault="001A02EF">
            <w:pPr>
              <w:pStyle w:val="AmendmentTableText"/>
            </w:pPr>
          </w:p>
        </w:tc>
        <w:tc>
          <w:tcPr>
            <w:tcW w:w="550" w:type="pct"/>
          </w:tcPr>
          <w:p w14:paraId="6A6B552A" w14:textId="77777777" w:rsidR="001A02EF" w:rsidRPr="00511537" w:rsidRDefault="002938C2">
            <w:pPr>
              <w:pStyle w:val="AmendmentTableText"/>
            </w:pPr>
            <w:r w:rsidRPr="00511537">
              <w:t>C4526</w:t>
            </w:r>
          </w:p>
        </w:tc>
        <w:tc>
          <w:tcPr>
            <w:tcW w:w="450" w:type="pct"/>
          </w:tcPr>
          <w:p w14:paraId="32AF23C5" w14:textId="77777777" w:rsidR="001A02EF" w:rsidRPr="00511537" w:rsidRDefault="001A02EF">
            <w:pPr>
              <w:pStyle w:val="AmendmentTableText"/>
            </w:pPr>
          </w:p>
        </w:tc>
        <w:tc>
          <w:tcPr>
            <w:tcW w:w="2500" w:type="pct"/>
          </w:tcPr>
          <w:p w14:paraId="03FC0B8B" w14:textId="77777777" w:rsidR="001A02EF" w:rsidRPr="00511537" w:rsidRDefault="002938C2">
            <w:pPr>
              <w:pStyle w:val="AmendmentTableText"/>
            </w:pPr>
            <w:r w:rsidRPr="00511537">
              <w:t>HIV infection</w:t>
            </w:r>
            <w:r w:rsidRPr="00511537">
              <w:br/>
              <w:t>Initial</w:t>
            </w:r>
          </w:p>
          <w:p w14:paraId="77539834" w14:textId="77777777" w:rsidR="001A02EF" w:rsidRPr="00511537" w:rsidRDefault="002938C2">
            <w:pPr>
              <w:pStyle w:val="AmendmentTableText"/>
            </w:pPr>
            <w:r w:rsidRPr="00511537">
              <w:t xml:space="preserve">Patient must have been </w:t>
            </w:r>
            <w:proofErr w:type="spellStart"/>
            <w:r w:rsidRPr="00511537">
              <w:t>stabilised</w:t>
            </w:r>
            <w:proofErr w:type="spellEnd"/>
            <w:r w:rsidRPr="00511537">
              <w:t xml:space="preserve"> on nevirapine immediate release; AND</w:t>
            </w:r>
            <w:r w:rsidRPr="00511537">
              <w:br/>
              <w:t>The treatment must be in combination with other antiretroviral agents</w:t>
            </w:r>
          </w:p>
        </w:tc>
        <w:tc>
          <w:tcPr>
            <w:tcW w:w="700" w:type="pct"/>
          </w:tcPr>
          <w:p w14:paraId="5D02F262" w14:textId="77777777" w:rsidR="001A02EF" w:rsidRPr="00511537" w:rsidRDefault="002938C2">
            <w:pPr>
              <w:pStyle w:val="AmendmentTableText"/>
            </w:pPr>
            <w:r w:rsidRPr="00511537">
              <w:t>Compliance with Authority Required procedures ‑ Streamlined Authority Code 4526</w:t>
            </w:r>
          </w:p>
        </w:tc>
      </w:tr>
    </w:tbl>
    <w:p w14:paraId="4E0C7519" w14:textId="77777777" w:rsidR="001A02EF" w:rsidRPr="00511537" w:rsidRDefault="002938C2">
      <w:pPr>
        <w:pStyle w:val="InstructionMain"/>
      </w:pPr>
      <w:bookmarkStart w:id="37" w:name="f-1469471-15"/>
      <w:bookmarkEnd w:id="36"/>
      <w:r w:rsidRPr="00511537">
        <w:t>[15]</w:t>
      </w:r>
      <w:r w:rsidRPr="00511537">
        <w:tab/>
        <w:t>Schedule 3, entry for Omalizumab</w:t>
      </w:r>
    </w:p>
    <w:p w14:paraId="4EF52DDA" w14:textId="77777777" w:rsidR="001A02EF" w:rsidRPr="00511537" w:rsidRDefault="002938C2">
      <w:pPr>
        <w:pStyle w:val="InstructionAction"/>
      </w:pPr>
      <w:r w:rsidRPr="00511537">
        <w:t>(a)</w:t>
      </w:r>
      <w:r w:rsidRPr="00511537">
        <w:tab/>
        <w:t>omit:</w:t>
      </w:r>
    </w:p>
    <w:tbl>
      <w:tblPr>
        <w:tblStyle w:val="PlainTable21"/>
        <w:tblW w:w="5000" w:type="pct"/>
        <w:tblLook w:val="0600" w:firstRow="0" w:lastRow="0" w:firstColumn="0" w:lastColumn="0" w:noHBand="1" w:noVBand="1"/>
      </w:tblPr>
      <w:tblGrid>
        <w:gridCol w:w="2078"/>
        <w:gridCol w:w="1524"/>
        <w:gridCol w:w="1248"/>
        <w:gridCol w:w="6926"/>
        <w:gridCol w:w="1939"/>
      </w:tblGrid>
      <w:tr w:rsidR="001A02EF" w:rsidRPr="00511537" w14:paraId="76EA91E1" w14:textId="77777777" w:rsidTr="001A02EF">
        <w:tc>
          <w:tcPr>
            <w:tcW w:w="750" w:type="pct"/>
          </w:tcPr>
          <w:p w14:paraId="2EECE202" w14:textId="77777777" w:rsidR="001A02EF" w:rsidRPr="00511537" w:rsidRDefault="001A02EF">
            <w:pPr>
              <w:pStyle w:val="AmendmentTableText"/>
            </w:pPr>
          </w:p>
        </w:tc>
        <w:tc>
          <w:tcPr>
            <w:tcW w:w="550" w:type="pct"/>
          </w:tcPr>
          <w:p w14:paraId="50A72A16" w14:textId="77777777" w:rsidR="001A02EF" w:rsidRPr="00511537" w:rsidRDefault="002938C2">
            <w:pPr>
              <w:pStyle w:val="AmendmentTableText"/>
            </w:pPr>
            <w:r w:rsidRPr="00511537">
              <w:t>C17049</w:t>
            </w:r>
          </w:p>
        </w:tc>
        <w:tc>
          <w:tcPr>
            <w:tcW w:w="450" w:type="pct"/>
          </w:tcPr>
          <w:p w14:paraId="38067325" w14:textId="77777777" w:rsidR="001A02EF" w:rsidRPr="00511537" w:rsidRDefault="001A02EF">
            <w:pPr>
              <w:pStyle w:val="AmendmentTableText"/>
            </w:pPr>
          </w:p>
        </w:tc>
        <w:tc>
          <w:tcPr>
            <w:tcW w:w="2500" w:type="pct"/>
          </w:tcPr>
          <w:p w14:paraId="6A7C3485" w14:textId="77777777" w:rsidR="001A02EF" w:rsidRPr="00511537" w:rsidRDefault="002938C2">
            <w:pPr>
              <w:pStyle w:val="AmendmentTableText"/>
            </w:pPr>
            <w:r w:rsidRPr="00511537">
              <w:t>Uncontrolled severe allergic asthma</w:t>
            </w:r>
          </w:p>
          <w:p w14:paraId="39F7C99A" w14:textId="77777777" w:rsidR="001A02EF" w:rsidRPr="00511537" w:rsidRDefault="002938C2">
            <w:pPr>
              <w:pStyle w:val="AmendmentTableText"/>
            </w:pPr>
            <w:r w:rsidRPr="00511537">
              <w:t>Initial treatment - Initial 2 (Change of treatment)</w:t>
            </w:r>
          </w:p>
          <w:p w14:paraId="71FDF960" w14:textId="77777777" w:rsidR="001A02EF" w:rsidRPr="00511537" w:rsidRDefault="002938C2">
            <w:pPr>
              <w:pStyle w:val="AmendmentTableText"/>
            </w:pPr>
            <w:proofErr w:type="gramStart"/>
            <w:r w:rsidRPr="00511537">
              <w:t>Patient</w:t>
            </w:r>
            <w:proofErr w:type="gramEnd"/>
            <w:r w:rsidRPr="00511537">
              <w:t xml:space="preserve"> must have received prior PBS-</w:t>
            </w:r>
            <w:proofErr w:type="spellStart"/>
            <w:r w:rsidRPr="00511537">
              <w:t>subsidised</w:t>
            </w:r>
            <w:proofErr w:type="spellEnd"/>
            <w:r w:rsidRPr="00511537">
              <w:t xml:space="preserve"> treatment with a biological medicine in this treatment cycle for either: (</w:t>
            </w:r>
            <w:proofErr w:type="spellStart"/>
            <w:r w:rsidRPr="00511537">
              <w:t>i</w:t>
            </w:r>
            <w:proofErr w:type="spellEnd"/>
            <w:r w:rsidRPr="00511537">
              <w:t>) severe asthma, (ii) severe allergic asthma; AND</w:t>
            </w:r>
          </w:p>
          <w:p w14:paraId="3754CF50" w14:textId="77777777" w:rsidR="001A02EF" w:rsidRPr="00511537" w:rsidRDefault="002938C2">
            <w:pPr>
              <w:pStyle w:val="AmendmentTableText"/>
            </w:pPr>
            <w:proofErr w:type="gramStart"/>
            <w:r w:rsidRPr="00511537">
              <w:t>Patient</w:t>
            </w:r>
            <w:proofErr w:type="gramEnd"/>
            <w:r w:rsidRPr="00511537">
              <w:t xml:space="preserve"> must have had a total serum human immunoglobulin E of at least 30 IU/mL with past or current evidence of atopy, documented by skin prick testing or an in vitro measure of specific </w:t>
            </w:r>
            <w:proofErr w:type="spellStart"/>
            <w:r w:rsidRPr="00511537">
              <w:t>IgE</w:t>
            </w:r>
            <w:proofErr w:type="spellEnd"/>
            <w:r w:rsidRPr="00511537">
              <w:t xml:space="preserve"> no more than 12 months prior to initiating PBS-</w:t>
            </w:r>
            <w:proofErr w:type="spellStart"/>
            <w:r w:rsidRPr="00511537">
              <w:t>subsidised</w:t>
            </w:r>
            <w:proofErr w:type="spellEnd"/>
            <w:r w:rsidRPr="00511537">
              <w:t xml:space="preserve"> treatment with a biological medicine for </w:t>
            </w:r>
            <w:proofErr w:type="gramStart"/>
            <w:r w:rsidRPr="00511537">
              <w:t>either: (</w:t>
            </w:r>
            <w:proofErr w:type="spellStart"/>
            <w:proofErr w:type="gramEnd"/>
            <w:r w:rsidRPr="00511537">
              <w:t>i</w:t>
            </w:r>
            <w:proofErr w:type="spellEnd"/>
            <w:r w:rsidRPr="00511537">
              <w:t>) severe asthma, (ii) severe allergic asthma; AND</w:t>
            </w:r>
          </w:p>
          <w:p w14:paraId="4BA1F838" w14:textId="77777777" w:rsidR="001A02EF" w:rsidRPr="00511537" w:rsidRDefault="002938C2">
            <w:pPr>
              <w:pStyle w:val="AmendmentTableText"/>
            </w:pPr>
            <w:proofErr w:type="gramStart"/>
            <w:r w:rsidRPr="00511537">
              <w:t>Patient</w:t>
            </w:r>
            <w:proofErr w:type="gramEnd"/>
            <w:r w:rsidRPr="00511537">
              <w:t xml:space="preserve"> must not receive more than 32 weeks of treatment under this restriction.</w:t>
            </w:r>
          </w:p>
          <w:p w14:paraId="1FBC531D" w14:textId="77777777" w:rsidR="001A02EF" w:rsidRPr="00511537" w:rsidRDefault="002938C2">
            <w:pPr>
              <w:pStyle w:val="AmendmentTableText"/>
            </w:pPr>
            <w:proofErr w:type="gramStart"/>
            <w:r w:rsidRPr="00511537">
              <w:t>Patient</w:t>
            </w:r>
            <w:proofErr w:type="gramEnd"/>
            <w:r w:rsidRPr="00511537">
              <w:t xml:space="preserve"> must be aged 6 to less than 12 years.</w:t>
            </w:r>
          </w:p>
          <w:p w14:paraId="16CD400D" w14:textId="77777777" w:rsidR="001A02EF" w:rsidRPr="00511537" w:rsidRDefault="002938C2">
            <w:pPr>
              <w:pStyle w:val="AmendmentTableText"/>
            </w:pPr>
            <w:r w:rsidRPr="00511537">
              <w:t>The treatment must not be used in combination with and within 4 weeks of another PBS-</w:t>
            </w:r>
            <w:proofErr w:type="spellStart"/>
            <w:r w:rsidRPr="00511537">
              <w:t>subsidised</w:t>
            </w:r>
            <w:proofErr w:type="spellEnd"/>
            <w:r w:rsidRPr="00511537">
              <w:t xml:space="preserve"> biological medicine prescribed for either: (</w:t>
            </w:r>
            <w:proofErr w:type="spellStart"/>
            <w:r w:rsidRPr="00511537">
              <w:t>i</w:t>
            </w:r>
            <w:proofErr w:type="spellEnd"/>
            <w:r w:rsidRPr="00511537">
              <w:t>) severe asthma, (ii) severe allergic asthma; AND</w:t>
            </w:r>
          </w:p>
          <w:p w14:paraId="5B1EF542" w14:textId="77777777" w:rsidR="001A02EF" w:rsidRPr="00511537" w:rsidRDefault="002938C2">
            <w:pPr>
              <w:pStyle w:val="AmendmentTableText"/>
            </w:pPr>
            <w:r w:rsidRPr="00511537">
              <w:t xml:space="preserve">Patient must not have failed, or ceased to respond </w:t>
            </w:r>
            <w:proofErr w:type="gramStart"/>
            <w:r w:rsidRPr="00511537">
              <w:t>to,</w:t>
            </w:r>
            <w:proofErr w:type="gramEnd"/>
            <w:r w:rsidRPr="00511537">
              <w:t xml:space="preserve"> PBS-</w:t>
            </w:r>
            <w:proofErr w:type="spellStart"/>
            <w:r w:rsidRPr="00511537">
              <w:t>subsidised</w:t>
            </w:r>
            <w:proofErr w:type="spellEnd"/>
            <w:r w:rsidRPr="00511537">
              <w:t xml:space="preserve"> treatment with this drug for this condition during the current treatment cycle.</w:t>
            </w:r>
          </w:p>
          <w:p w14:paraId="4DB3CA34" w14:textId="77777777" w:rsidR="001A02EF" w:rsidRPr="00511537" w:rsidRDefault="002938C2">
            <w:pPr>
              <w:pStyle w:val="AmendmentTableText"/>
            </w:pPr>
            <w:r w:rsidRPr="00511537">
              <w:t>Must be treated by a medical practitioner who is either a: (</w:t>
            </w:r>
            <w:proofErr w:type="spellStart"/>
            <w:r w:rsidRPr="00511537">
              <w:t>i</w:t>
            </w:r>
            <w:proofErr w:type="spellEnd"/>
            <w:r w:rsidRPr="00511537">
              <w:t xml:space="preserve">) </w:t>
            </w:r>
            <w:proofErr w:type="spellStart"/>
            <w:r w:rsidRPr="00511537">
              <w:t>paediatric</w:t>
            </w:r>
            <w:proofErr w:type="spellEnd"/>
            <w:r w:rsidRPr="00511537">
              <w:t xml:space="preserve"> respiratory physician, (ii) clinical immunologist, (iii) allergist, (iv) </w:t>
            </w:r>
            <w:proofErr w:type="spellStart"/>
            <w:r w:rsidRPr="00511537">
              <w:t>paediatrician</w:t>
            </w:r>
            <w:proofErr w:type="spellEnd"/>
            <w:r w:rsidRPr="00511537">
              <w:t xml:space="preserve"> or general physician experienced in the management of patients with severe asthma, in consultation with a respiratory physician.</w:t>
            </w:r>
          </w:p>
          <w:p w14:paraId="056115F2" w14:textId="77777777" w:rsidR="001A02EF" w:rsidRPr="00511537" w:rsidRDefault="002938C2">
            <w:pPr>
              <w:pStyle w:val="AmendmentTableText"/>
            </w:pPr>
            <w:proofErr w:type="gramStart"/>
            <w:r w:rsidRPr="00511537">
              <w:t>Patient</w:t>
            </w:r>
            <w:proofErr w:type="gramEnd"/>
            <w:r w:rsidRPr="00511537">
              <w:t xml:space="preserve"> must be under the care of the same physician for at least 6 months.</w:t>
            </w:r>
          </w:p>
          <w:p w14:paraId="78938B59" w14:textId="77777777" w:rsidR="001A02EF" w:rsidRPr="00511537" w:rsidRDefault="002938C2">
            <w:pPr>
              <w:pStyle w:val="AmendmentTableText"/>
            </w:pPr>
            <w:r w:rsidRPr="00511537">
              <w:t>An application for a patient who has received PBS-</w:t>
            </w:r>
            <w:proofErr w:type="spellStart"/>
            <w:r w:rsidRPr="00511537">
              <w:t>subsidised</w:t>
            </w:r>
            <w:proofErr w:type="spellEnd"/>
            <w:r w:rsidRPr="00511537">
              <w:t xml:space="preserve"> biological medicine treatment for severe asthma or severe allergic asthma who wishes to change therapy to this biological medicine, must be accompanied by the results of an Asthma Control Questionnaire (ACQ-5) or Asthma Control Questionnaire interviewer administered version (ACQ-5-IA) assessment of the patient's most recent course of PBS-</w:t>
            </w:r>
            <w:proofErr w:type="spellStart"/>
            <w:r w:rsidRPr="00511537">
              <w:t>subsidised</w:t>
            </w:r>
            <w:proofErr w:type="spellEnd"/>
            <w:r w:rsidRPr="00511537">
              <w:t xml:space="preserve"> biological medicine treatment. The assessment must have been made no more than 4 weeks after the last dose of biological medicine. Where a response assessment was not undertaken, the patient will be deemed to have failed to respond to treatment with that previous biological medicine.</w:t>
            </w:r>
          </w:p>
          <w:p w14:paraId="4F55DC81" w14:textId="77777777" w:rsidR="001A02EF" w:rsidRPr="00511537" w:rsidRDefault="002938C2">
            <w:pPr>
              <w:pStyle w:val="AmendmentTableText"/>
            </w:pPr>
            <w:r w:rsidRPr="00511537">
              <w:t>An Asthma Control Questionnaire (ACQ-5) or Asthma Control Questionnaire interviewer administered version (ACQ-5-IA) assessment of the patient may be made at the time of application for treatment (to establish a new baseline score), but should be made again around 24 weeks after the first PBS-</w:t>
            </w:r>
            <w:proofErr w:type="spellStart"/>
            <w:r w:rsidRPr="00511537">
              <w:t>subsidised</w:t>
            </w:r>
            <w:proofErr w:type="spellEnd"/>
            <w:r w:rsidRPr="00511537">
              <w:t xml:space="preserve"> dose of this biological medicine under this restriction so that there is adequate time for a response to be demonstrated and for the application for the first </w:t>
            </w:r>
            <w:r w:rsidRPr="00511537">
              <w:lastRenderedPageBreak/>
              <w:t>continuing therapy to be processed.</w:t>
            </w:r>
          </w:p>
          <w:p w14:paraId="2BF90E6A" w14:textId="77777777" w:rsidR="001A02EF" w:rsidRPr="00511537" w:rsidRDefault="002938C2">
            <w:pPr>
              <w:pStyle w:val="AmendmentTableText"/>
            </w:pPr>
            <w:r w:rsidRPr="00511537">
              <w:t>This assessment at around 24 weeks, which will be used to determine eligibility for the first continuing treatment, should be conducted within 4 weeks of the last dose of biological medicine. Where a response assessment is not undertaken and provided, the patient will be deemed to have failed to respond to treatment with this biological medicine.</w:t>
            </w:r>
          </w:p>
          <w:p w14:paraId="0CAAD246" w14:textId="77777777" w:rsidR="001A02EF" w:rsidRPr="00511537" w:rsidRDefault="002938C2">
            <w:pPr>
              <w:pStyle w:val="AmendmentTableText"/>
            </w:pPr>
            <w:r w:rsidRPr="00511537">
              <w:t>A patient who fails to demonstrate a response to treatment with this biological medicine will not be eligible to receive further PBS-</w:t>
            </w:r>
            <w:proofErr w:type="spellStart"/>
            <w:r w:rsidRPr="00511537">
              <w:t>subsidised</w:t>
            </w:r>
            <w:proofErr w:type="spellEnd"/>
            <w:r w:rsidRPr="00511537">
              <w:t xml:space="preserve"> treatment with this biological medicine for this condition within the same treatment cycle.</w:t>
            </w:r>
          </w:p>
          <w:p w14:paraId="10519223" w14:textId="77777777" w:rsidR="001A02EF" w:rsidRPr="00511537" w:rsidRDefault="002938C2">
            <w:pPr>
              <w:pStyle w:val="AmendmentTableText"/>
            </w:pPr>
            <w:r w:rsidRPr="00511537">
              <w:t>A treatment break in PBS-</w:t>
            </w:r>
            <w:proofErr w:type="spellStart"/>
            <w:r w:rsidRPr="00511537">
              <w:t>subsidised</w:t>
            </w:r>
            <w:proofErr w:type="spellEnd"/>
            <w:r w:rsidRPr="00511537">
              <w:t xml:space="preserve"> biological medicine therapy of at least 12 months must be observed in a patient who has either failed to achieve or </w:t>
            </w:r>
            <w:proofErr w:type="gramStart"/>
            <w:r w:rsidRPr="00511537">
              <w:t>sustain</w:t>
            </w:r>
            <w:proofErr w:type="gramEnd"/>
            <w:r w:rsidRPr="00511537">
              <w:t xml:space="preserve"> a response to treatment with 2 biological medicines within the same treatment cycle.</w:t>
            </w:r>
          </w:p>
          <w:p w14:paraId="245FFFDD" w14:textId="77777777" w:rsidR="001A02EF" w:rsidRPr="00511537" w:rsidRDefault="002938C2">
            <w:pPr>
              <w:pStyle w:val="AmendmentTableText"/>
            </w:pPr>
            <w:r w:rsidRPr="00511537">
              <w:t>The length of the break in therapy is measured from the date of the most recent treatment with a PBS-</w:t>
            </w:r>
            <w:proofErr w:type="spellStart"/>
            <w:r w:rsidRPr="00511537">
              <w:t>subsidised</w:t>
            </w:r>
            <w:proofErr w:type="spellEnd"/>
            <w:r w:rsidRPr="00511537">
              <w:t xml:space="preserve"> biological medicine was administered until the date of the first application for recommencement of treatment with a biological medicine under the new treatment cycle.</w:t>
            </w:r>
          </w:p>
          <w:p w14:paraId="11E78F24" w14:textId="77777777" w:rsidR="001A02EF" w:rsidRPr="00511537" w:rsidRDefault="002938C2">
            <w:pPr>
              <w:pStyle w:val="AmendmentTableText"/>
            </w:pPr>
            <w:r w:rsidRPr="00511537">
              <w:t xml:space="preserve">At the time of the authority application, medical practitioners should request the appropriate maximum quantity and number of repeats to provide for an initial course of omalizumab of up to 28 weeks, consisting of the recommended number of doses for the baseline </w:t>
            </w:r>
            <w:proofErr w:type="spellStart"/>
            <w:r w:rsidRPr="00511537">
              <w:t>IgE</w:t>
            </w:r>
            <w:proofErr w:type="spellEnd"/>
            <w:r w:rsidRPr="00511537">
              <w:t xml:space="preserve"> and body weight of the patient (refer to the TGA-approved Product Information) to be administered every 2 or 4 weeks.</w:t>
            </w:r>
          </w:p>
          <w:p w14:paraId="7B6B00FC" w14:textId="77777777" w:rsidR="001A02EF" w:rsidRPr="00511537" w:rsidRDefault="002938C2">
            <w:pPr>
              <w:pStyle w:val="AmendmentTableText"/>
            </w:pPr>
            <w:r w:rsidRPr="00511537">
              <w:t>The authority application must be made in writing and must include:</w:t>
            </w:r>
          </w:p>
          <w:p w14:paraId="5311CA7E" w14:textId="77777777" w:rsidR="001A02EF" w:rsidRPr="00511537" w:rsidRDefault="002938C2">
            <w:pPr>
              <w:pStyle w:val="AmendmentTableText"/>
            </w:pPr>
            <w:r w:rsidRPr="00511537">
              <w:t>(1) details of the proposed prescription; and</w:t>
            </w:r>
          </w:p>
          <w:p w14:paraId="6C9222DB" w14:textId="77777777" w:rsidR="001A02EF" w:rsidRPr="00511537" w:rsidRDefault="002938C2">
            <w:pPr>
              <w:pStyle w:val="AmendmentTableText"/>
            </w:pPr>
            <w:r w:rsidRPr="00511537">
              <w:t>(2) a completed authority application form relevant to the indication and treatment phase (the latest version is located on the website specified in the Administrative Advice).</w:t>
            </w:r>
          </w:p>
          <w:p w14:paraId="3D5018A8" w14:textId="77777777" w:rsidR="001A02EF" w:rsidRPr="00511537" w:rsidRDefault="002938C2">
            <w:pPr>
              <w:pStyle w:val="AmendmentTableText"/>
            </w:pPr>
            <w:r w:rsidRPr="00511537">
              <w:t>The following must be provided at the time of application and documented in the patient's medical records:</w:t>
            </w:r>
          </w:p>
          <w:p w14:paraId="44CEAA7D" w14:textId="77777777" w:rsidR="001A02EF" w:rsidRPr="00511537" w:rsidRDefault="002938C2">
            <w:pPr>
              <w:pStyle w:val="AmendmentTableText"/>
            </w:pPr>
            <w:r w:rsidRPr="00511537">
              <w:t xml:space="preserve">(a) the </w:t>
            </w:r>
            <w:proofErr w:type="spellStart"/>
            <w:r w:rsidRPr="00511537">
              <w:t>IgE</w:t>
            </w:r>
            <w:proofErr w:type="spellEnd"/>
            <w:r w:rsidRPr="00511537">
              <w:t xml:space="preserve"> result and date; and</w:t>
            </w:r>
          </w:p>
          <w:p w14:paraId="476F65DC" w14:textId="77777777" w:rsidR="001A02EF" w:rsidRPr="00511537" w:rsidRDefault="002938C2">
            <w:pPr>
              <w:pStyle w:val="AmendmentTableText"/>
            </w:pPr>
            <w:r w:rsidRPr="00511537">
              <w:t>(b) Asthma Control Questionnaire (ACQ-5) score; or</w:t>
            </w:r>
          </w:p>
          <w:p w14:paraId="17A38AB5" w14:textId="77777777" w:rsidR="001A02EF" w:rsidRPr="00511537" w:rsidRDefault="002938C2">
            <w:pPr>
              <w:pStyle w:val="AmendmentTableText"/>
            </w:pPr>
            <w:r w:rsidRPr="00511537">
              <w:t>(c) Asthma Control Questionnaire interviewer administered version (ACQ-IA) score.</w:t>
            </w:r>
          </w:p>
          <w:p w14:paraId="780CF6CD" w14:textId="77777777" w:rsidR="001A02EF" w:rsidRPr="00511537" w:rsidRDefault="002938C2">
            <w:pPr>
              <w:pStyle w:val="AmendmentTableText"/>
            </w:pPr>
            <w:r w:rsidRPr="00511537">
              <w:t>(d) the details of prior biological medicine treatment including the details of date and duration of treatment; and</w:t>
            </w:r>
          </w:p>
          <w:p w14:paraId="24650764" w14:textId="77777777" w:rsidR="001A02EF" w:rsidRPr="00511537" w:rsidRDefault="002938C2">
            <w:pPr>
              <w:pStyle w:val="AmendmentTableText"/>
            </w:pPr>
            <w:r w:rsidRPr="00511537">
              <w:t>(e) the reason for switching therapy (e.g. failure of prior therapy, partial response to prior therapy, adverse event to prior therapy).</w:t>
            </w:r>
          </w:p>
        </w:tc>
        <w:tc>
          <w:tcPr>
            <w:tcW w:w="700" w:type="pct"/>
          </w:tcPr>
          <w:p w14:paraId="52D956FA" w14:textId="77777777" w:rsidR="001A02EF" w:rsidRPr="00511537" w:rsidRDefault="002938C2">
            <w:pPr>
              <w:pStyle w:val="AmendmentTableText"/>
            </w:pPr>
            <w:r w:rsidRPr="00511537">
              <w:lastRenderedPageBreak/>
              <w:t>Compliance with Written Authority Required procedures</w:t>
            </w:r>
          </w:p>
        </w:tc>
      </w:tr>
    </w:tbl>
    <w:p w14:paraId="1FEB5582" w14:textId="77777777" w:rsidR="001A02EF" w:rsidRPr="00511537" w:rsidRDefault="002938C2">
      <w:pPr>
        <w:pStyle w:val="InstructionAction"/>
      </w:pPr>
      <w:r w:rsidRPr="00511537">
        <w:t>(b)</w:t>
      </w:r>
      <w:r w:rsidRPr="00511537">
        <w:tab/>
        <w:t>insert in numerical order after existing text:</w:t>
      </w:r>
    </w:p>
    <w:tbl>
      <w:tblPr>
        <w:tblStyle w:val="PlainTable21"/>
        <w:tblW w:w="5000" w:type="pct"/>
        <w:tblLook w:val="0600" w:firstRow="0" w:lastRow="0" w:firstColumn="0" w:lastColumn="0" w:noHBand="1" w:noVBand="1"/>
      </w:tblPr>
      <w:tblGrid>
        <w:gridCol w:w="2078"/>
        <w:gridCol w:w="1524"/>
        <w:gridCol w:w="1248"/>
        <w:gridCol w:w="6926"/>
        <w:gridCol w:w="1939"/>
      </w:tblGrid>
      <w:tr w:rsidR="001A02EF" w14:paraId="143018D3" w14:textId="77777777" w:rsidTr="001A02EF">
        <w:tc>
          <w:tcPr>
            <w:tcW w:w="750" w:type="pct"/>
          </w:tcPr>
          <w:p w14:paraId="223C1DF1" w14:textId="77777777" w:rsidR="001A02EF" w:rsidRPr="00511537" w:rsidRDefault="001A02EF">
            <w:pPr>
              <w:pStyle w:val="AmendmentTableText"/>
            </w:pPr>
          </w:p>
        </w:tc>
        <w:tc>
          <w:tcPr>
            <w:tcW w:w="550" w:type="pct"/>
          </w:tcPr>
          <w:p w14:paraId="7755657D" w14:textId="77777777" w:rsidR="001A02EF" w:rsidRPr="00511537" w:rsidRDefault="002938C2">
            <w:pPr>
              <w:pStyle w:val="AmendmentTableText"/>
            </w:pPr>
            <w:r w:rsidRPr="00511537">
              <w:t>C17284</w:t>
            </w:r>
          </w:p>
        </w:tc>
        <w:tc>
          <w:tcPr>
            <w:tcW w:w="450" w:type="pct"/>
          </w:tcPr>
          <w:p w14:paraId="22235C6E" w14:textId="77777777" w:rsidR="001A02EF" w:rsidRPr="00511537" w:rsidRDefault="001A02EF">
            <w:pPr>
              <w:pStyle w:val="AmendmentTableText"/>
            </w:pPr>
          </w:p>
        </w:tc>
        <w:tc>
          <w:tcPr>
            <w:tcW w:w="2500" w:type="pct"/>
          </w:tcPr>
          <w:p w14:paraId="419DB0B7" w14:textId="77777777" w:rsidR="001A02EF" w:rsidRPr="00511537" w:rsidRDefault="002938C2">
            <w:pPr>
              <w:pStyle w:val="AmendmentTableText"/>
            </w:pPr>
            <w:r w:rsidRPr="00511537">
              <w:t>Uncontrolled severe allergic asthma</w:t>
            </w:r>
          </w:p>
          <w:p w14:paraId="599144A1" w14:textId="77777777" w:rsidR="001A02EF" w:rsidRPr="00511537" w:rsidRDefault="002938C2">
            <w:pPr>
              <w:pStyle w:val="AmendmentTableText"/>
            </w:pPr>
            <w:r w:rsidRPr="00511537">
              <w:t>Initial treatment - Initial 2 (Change of treatment)</w:t>
            </w:r>
          </w:p>
          <w:p w14:paraId="3502C0C3" w14:textId="77777777" w:rsidR="001A02EF" w:rsidRPr="00511537" w:rsidRDefault="002938C2">
            <w:pPr>
              <w:pStyle w:val="AmendmentTableText"/>
            </w:pPr>
            <w:proofErr w:type="gramStart"/>
            <w:r w:rsidRPr="00511537">
              <w:t>Patient</w:t>
            </w:r>
            <w:proofErr w:type="gramEnd"/>
            <w:r w:rsidRPr="00511537">
              <w:t xml:space="preserve"> must have received prior PBS-</w:t>
            </w:r>
            <w:proofErr w:type="spellStart"/>
            <w:r w:rsidRPr="00511537">
              <w:t>subsidised</w:t>
            </w:r>
            <w:proofErr w:type="spellEnd"/>
            <w:r w:rsidRPr="00511537">
              <w:t xml:space="preserve"> treatment with a biological medicine in this treatment cycle for either: (</w:t>
            </w:r>
            <w:proofErr w:type="spellStart"/>
            <w:r w:rsidRPr="00511537">
              <w:t>i</w:t>
            </w:r>
            <w:proofErr w:type="spellEnd"/>
            <w:r w:rsidRPr="00511537">
              <w:t>) severe asthma, (ii) severe allergic asthma; AND</w:t>
            </w:r>
          </w:p>
          <w:p w14:paraId="45A9BE60" w14:textId="77777777" w:rsidR="001A02EF" w:rsidRPr="00511537" w:rsidRDefault="002938C2">
            <w:pPr>
              <w:pStyle w:val="AmendmentTableText"/>
            </w:pPr>
            <w:proofErr w:type="gramStart"/>
            <w:r w:rsidRPr="00511537">
              <w:lastRenderedPageBreak/>
              <w:t>Patient</w:t>
            </w:r>
            <w:proofErr w:type="gramEnd"/>
            <w:r w:rsidRPr="00511537">
              <w:t xml:space="preserve"> must have had a total serum human immunoglobulin E of at least 30 IU/mL with past or current evidence of atopy, documented by skin prick testing or an in vitro measure of specific </w:t>
            </w:r>
            <w:proofErr w:type="spellStart"/>
            <w:r w:rsidRPr="00511537">
              <w:t>IgE</w:t>
            </w:r>
            <w:proofErr w:type="spellEnd"/>
            <w:r w:rsidRPr="00511537">
              <w:t xml:space="preserve"> no more than 12 months prior to initiating PBS-</w:t>
            </w:r>
            <w:proofErr w:type="spellStart"/>
            <w:r w:rsidRPr="00511537">
              <w:t>subsidised</w:t>
            </w:r>
            <w:proofErr w:type="spellEnd"/>
            <w:r w:rsidRPr="00511537">
              <w:t xml:space="preserve"> treatment with a biological medicine for </w:t>
            </w:r>
            <w:proofErr w:type="gramStart"/>
            <w:r w:rsidRPr="00511537">
              <w:t>either: (</w:t>
            </w:r>
            <w:proofErr w:type="spellStart"/>
            <w:proofErr w:type="gramEnd"/>
            <w:r w:rsidRPr="00511537">
              <w:t>i</w:t>
            </w:r>
            <w:proofErr w:type="spellEnd"/>
            <w:r w:rsidRPr="00511537">
              <w:t>) severe asthma, (ii) severe allergic asthma; AND</w:t>
            </w:r>
          </w:p>
          <w:p w14:paraId="1BF931EF" w14:textId="77777777" w:rsidR="001A02EF" w:rsidRPr="00511537" w:rsidRDefault="002938C2">
            <w:pPr>
              <w:pStyle w:val="AmendmentTableText"/>
            </w:pPr>
            <w:proofErr w:type="gramStart"/>
            <w:r w:rsidRPr="00511537">
              <w:t>Patient</w:t>
            </w:r>
            <w:proofErr w:type="gramEnd"/>
            <w:r w:rsidRPr="00511537">
              <w:t xml:space="preserve"> must not receive more than 28 weeks of treatment under this restriction.</w:t>
            </w:r>
          </w:p>
          <w:p w14:paraId="41FD551F" w14:textId="77777777" w:rsidR="001A02EF" w:rsidRPr="00511537" w:rsidRDefault="002938C2">
            <w:pPr>
              <w:pStyle w:val="AmendmentTableText"/>
            </w:pPr>
            <w:proofErr w:type="gramStart"/>
            <w:r w:rsidRPr="00511537">
              <w:t>Patient</w:t>
            </w:r>
            <w:proofErr w:type="gramEnd"/>
            <w:r w:rsidRPr="00511537">
              <w:t xml:space="preserve"> must be aged 6 to less than 12 years.</w:t>
            </w:r>
          </w:p>
          <w:p w14:paraId="2EB7620D" w14:textId="77777777" w:rsidR="001A02EF" w:rsidRPr="00511537" w:rsidRDefault="002938C2">
            <w:pPr>
              <w:pStyle w:val="AmendmentTableText"/>
            </w:pPr>
            <w:r w:rsidRPr="00511537">
              <w:t>The treatment must not be used in combination with and within 4 weeks of another PBS-</w:t>
            </w:r>
            <w:proofErr w:type="spellStart"/>
            <w:r w:rsidRPr="00511537">
              <w:t>subsidised</w:t>
            </w:r>
            <w:proofErr w:type="spellEnd"/>
            <w:r w:rsidRPr="00511537">
              <w:t xml:space="preserve"> biological medicine prescribed for either: (</w:t>
            </w:r>
            <w:proofErr w:type="spellStart"/>
            <w:r w:rsidRPr="00511537">
              <w:t>i</w:t>
            </w:r>
            <w:proofErr w:type="spellEnd"/>
            <w:r w:rsidRPr="00511537">
              <w:t>) severe asthma, (ii) severe allergic asthma; AND</w:t>
            </w:r>
          </w:p>
          <w:p w14:paraId="4C3953C1" w14:textId="77777777" w:rsidR="001A02EF" w:rsidRPr="00511537" w:rsidRDefault="002938C2">
            <w:pPr>
              <w:pStyle w:val="AmendmentTableText"/>
            </w:pPr>
            <w:r w:rsidRPr="00511537">
              <w:t xml:space="preserve">Patient must not have failed, or ceased to respond </w:t>
            </w:r>
            <w:proofErr w:type="gramStart"/>
            <w:r w:rsidRPr="00511537">
              <w:t>to,</w:t>
            </w:r>
            <w:proofErr w:type="gramEnd"/>
            <w:r w:rsidRPr="00511537">
              <w:t xml:space="preserve"> PBS-</w:t>
            </w:r>
            <w:proofErr w:type="spellStart"/>
            <w:r w:rsidRPr="00511537">
              <w:t>subsidised</w:t>
            </w:r>
            <w:proofErr w:type="spellEnd"/>
            <w:r w:rsidRPr="00511537">
              <w:t xml:space="preserve"> treatment with this drug for this condition during the current treatment cycle.</w:t>
            </w:r>
          </w:p>
          <w:p w14:paraId="4E4EF472" w14:textId="77777777" w:rsidR="001A02EF" w:rsidRPr="00511537" w:rsidRDefault="002938C2">
            <w:pPr>
              <w:pStyle w:val="AmendmentTableText"/>
            </w:pPr>
            <w:r w:rsidRPr="00511537">
              <w:t>Must be treated by a medical practitioner who is either a: (</w:t>
            </w:r>
            <w:proofErr w:type="spellStart"/>
            <w:r w:rsidRPr="00511537">
              <w:t>i</w:t>
            </w:r>
            <w:proofErr w:type="spellEnd"/>
            <w:r w:rsidRPr="00511537">
              <w:t xml:space="preserve">) </w:t>
            </w:r>
            <w:proofErr w:type="spellStart"/>
            <w:r w:rsidRPr="00511537">
              <w:t>paediatric</w:t>
            </w:r>
            <w:proofErr w:type="spellEnd"/>
            <w:r w:rsidRPr="00511537">
              <w:t xml:space="preserve"> respiratory physician, (ii) clinical immunologist, (iii) allergist, (iv) </w:t>
            </w:r>
            <w:proofErr w:type="spellStart"/>
            <w:r w:rsidRPr="00511537">
              <w:t>paediatrician</w:t>
            </w:r>
            <w:proofErr w:type="spellEnd"/>
            <w:r w:rsidRPr="00511537">
              <w:t xml:space="preserve"> or general physician experienced in the management of patients with severe asthma, in consultation with a respiratory physician.</w:t>
            </w:r>
          </w:p>
          <w:p w14:paraId="46049161" w14:textId="77777777" w:rsidR="001A02EF" w:rsidRPr="00511537" w:rsidRDefault="002938C2">
            <w:pPr>
              <w:pStyle w:val="AmendmentTableText"/>
            </w:pPr>
            <w:proofErr w:type="gramStart"/>
            <w:r w:rsidRPr="00511537">
              <w:t>Patient</w:t>
            </w:r>
            <w:proofErr w:type="gramEnd"/>
            <w:r w:rsidRPr="00511537">
              <w:t xml:space="preserve"> must be under the care of the same physician for at least 6 months.</w:t>
            </w:r>
          </w:p>
          <w:p w14:paraId="384A1985" w14:textId="77777777" w:rsidR="001A02EF" w:rsidRPr="00511537" w:rsidRDefault="002938C2">
            <w:pPr>
              <w:pStyle w:val="AmendmentTableText"/>
            </w:pPr>
            <w:r w:rsidRPr="00511537">
              <w:t>An application for a patient who has received PBS-</w:t>
            </w:r>
            <w:proofErr w:type="spellStart"/>
            <w:r w:rsidRPr="00511537">
              <w:t>subsidised</w:t>
            </w:r>
            <w:proofErr w:type="spellEnd"/>
            <w:r w:rsidRPr="00511537">
              <w:t xml:space="preserve"> biological medicine treatment for severe asthma or severe allergic asthma who wishes to change therapy to this biological medicine, must be accompanied by the results of an Asthma Control Questionnaire (ACQ-5) or Asthma Control Questionnaire interviewer administered version (ACQ-5-IA) assessment of the patient's most recent course of PBS-</w:t>
            </w:r>
            <w:proofErr w:type="spellStart"/>
            <w:r w:rsidRPr="00511537">
              <w:t>subsidised</w:t>
            </w:r>
            <w:proofErr w:type="spellEnd"/>
            <w:r w:rsidRPr="00511537">
              <w:t xml:space="preserve"> biological medicine treatment. The assessment must have been made no more than 4 weeks after the last dose of biological medicine. Where a response assessment was not undertaken, the patient will be deemed to have failed to respond to treatment with that previous biological medicine.</w:t>
            </w:r>
          </w:p>
          <w:p w14:paraId="0DC1D0A5" w14:textId="77777777" w:rsidR="001A02EF" w:rsidRPr="00511537" w:rsidRDefault="002938C2">
            <w:pPr>
              <w:pStyle w:val="AmendmentTableText"/>
            </w:pPr>
            <w:r w:rsidRPr="00511537">
              <w:t>An Asthma Control Questionnaire (ACQ-5) or Asthma Control Questionnaire interviewer administered version (ACQ-5-IA) assessment of the patient may be made at the time of application for treatment (to establish a new baseline score), but should be made again around 24 weeks after the first PBS-</w:t>
            </w:r>
            <w:proofErr w:type="spellStart"/>
            <w:r w:rsidRPr="00511537">
              <w:t>subsidised</w:t>
            </w:r>
            <w:proofErr w:type="spellEnd"/>
            <w:r w:rsidRPr="00511537">
              <w:t xml:space="preserve"> dose of this biological medicine under this restriction so that there is adequate time for a response to be demonstrated and for the application for the first continuing therapy to be processed.</w:t>
            </w:r>
          </w:p>
          <w:p w14:paraId="5F6E0ECD" w14:textId="77777777" w:rsidR="001A02EF" w:rsidRPr="00511537" w:rsidRDefault="002938C2">
            <w:pPr>
              <w:pStyle w:val="AmendmentTableText"/>
            </w:pPr>
            <w:r w:rsidRPr="00511537">
              <w:t>This assessment at around 24 weeks, which will be used to determine eligibility for the first continuing treatment, should be conducted within 4 weeks of the last dose of biological medicine. Where a response assessment is not undertaken and provided, the patient will be deemed to have failed to respond to treatment with this biological medicine.</w:t>
            </w:r>
          </w:p>
          <w:p w14:paraId="1C3AA58B" w14:textId="77777777" w:rsidR="001A02EF" w:rsidRPr="00511537" w:rsidRDefault="002938C2">
            <w:pPr>
              <w:pStyle w:val="AmendmentTableText"/>
            </w:pPr>
            <w:r w:rsidRPr="00511537">
              <w:t>A patient who fails to demonstrate a response to treatment with this biological medicine will not be eligible to receive further PBS-</w:t>
            </w:r>
            <w:proofErr w:type="spellStart"/>
            <w:r w:rsidRPr="00511537">
              <w:t>subsidised</w:t>
            </w:r>
            <w:proofErr w:type="spellEnd"/>
            <w:r w:rsidRPr="00511537">
              <w:t xml:space="preserve"> treatment with this biological medicine for this condition within the same treatment cycle.</w:t>
            </w:r>
          </w:p>
          <w:p w14:paraId="10ED7B86" w14:textId="77777777" w:rsidR="001A02EF" w:rsidRPr="00511537" w:rsidRDefault="002938C2">
            <w:pPr>
              <w:pStyle w:val="AmendmentTableText"/>
            </w:pPr>
            <w:r w:rsidRPr="00511537">
              <w:t>A treatment break in PBS-</w:t>
            </w:r>
            <w:proofErr w:type="spellStart"/>
            <w:r w:rsidRPr="00511537">
              <w:t>subsidised</w:t>
            </w:r>
            <w:proofErr w:type="spellEnd"/>
            <w:r w:rsidRPr="00511537">
              <w:t xml:space="preserve"> biological medicine therapy of at least 12 months must be observed in a patient who has either failed to achieve or </w:t>
            </w:r>
            <w:proofErr w:type="gramStart"/>
            <w:r w:rsidRPr="00511537">
              <w:t>sustain</w:t>
            </w:r>
            <w:proofErr w:type="gramEnd"/>
            <w:r w:rsidRPr="00511537">
              <w:t xml:space="preserve"> a response to treatment with 2 biological medicines within the same treatment cycle.</w:t>
            </w:r>
          </w:p>
          <w:p w14:paraId="01A875BC" w14:textId="77777777" w:rsidR="001A02EF" w:rsidRPr="00511537" w:rsidRDefault="002938C2">
            <w:pPr>
              <w:pStyle w:val="AmendmentTableText"/>
            </w:pPr>
            <w:r w:rsidRPr="00511537">
              <w:t>The length of the break in therapy is measured from the date of the most recent treatment with a PBS-</w:t>
            </w:r>
            <w:proofErr w:type="spellStart"/>
            <w:r w:rsidRPr="00511537">
              <w:t>subsidised</w:t>
            </w:r>
            <w:proofErr w:type="spellEnd"/>
            <w:r w:rsidRPr="00511537">
              <w:t xml:space="preserve"> biological medicine was administered until the date of the first application for </w:t>
            </w:r>
            <w:r w:rsidRPr="00511537">
              <w:lastRenderedPageBreak/>
              <w:t>recommencement of treatment with a biological medicine under the new treatment cycle.</w:t>
            </w:r>
          </w:p>
          <w:p w14:paraId="36B96DA9" w14:textId="77777777" w:rsidR="001A02EF" w:rsidRPr="00511537" w:rsidRDefault="002938C2">
            <w:pPr>
              <w:pStyle w:val="AmendmentTableText"/>
            </w:pPr>
            <w:r w:rsidRPr="00511537">
              <w:t xml:space="preserve">At the time of the authority application, medical practitioners should request the appropriate maximum quantity and number of repeats to provide for an initial course of omalizumab of up to 28 weeks, consisting of the recommended number of doses for the baseline </w:t>
            </w:r>
            <w:proofErr w:type="spellStart"/>
            <w:r w:rsidRPr="00511537">
              <w:t>IgE</w:t>
            </w:r>
            <w:proofErr w:type="spellEnd"/>
            <w:r w:rsidRPr="00511537">
              <w:t xml:space="preserve"> and body weight of the patient (refer to the TGA-approved Product Information) to be administered every 2 or 4 weeks.</w:t>
            </w:r>
          </w:p>
          <w:p w14:paraId="02B0C75D" w14:textId="77777777" w:rsidR="001A02EF" w:rsidRPr="00511537" w:rsidRDefault="002938C2">
            <w:pPr>
              <w:pStyle w:val="AmendmentTableText"/>
            </w:pPr>
            <w:r w:rsidRPr="00511537">
              <w:t>The authority application must be made in writing and must include:</w:t>
            </w:r>
          </w:p>
          <w:p w14:paraId="52DCE6FE" w14:textId="77777777" w:rsidR="001A02EF" w:rsidRPr="00511537" w:rsidRDefault="002938C2">
            <w:pPr>
              <w:pStyle w:val="AmendmentTableText"/>
            </w:pPr>
            <w:r w:rsidRPr="00511537">
              <w:t>(1) details of the proposed prescription; and</w:t>
            </w:r>
          </w:p>
          <w:p w14:paraId="7F967E8E" w14:textId="77777777" w:rsidR="001A02EF" w:rsidRPr="00511537" w:rsidRDefault="002938C2">
            <w:pPr>
              <w:pStyle w:val="AmendmentTableText"/>
            </w:pPr>
            <w:r w:rsidRPr="00511537">
              <w:t>(2) a completed authority application form relevant to the indication and treatment phase (the latest version is located on the website specified in the Administrative Advice).</w:t>
            </w:r>
          </w:p>
          <w:p w14:paraId="4B820E16" w14:textId="77777777" w:rsidR="001A02EF" w:rsidRPr="00511537" w:rsidRDefault="002938C2">
            <w:pPr>
              <w:pStyle w:val="AmendmentTableText"/>
            </w:pPr>
            <w:r w:rsidRPr="00511537">
              <w:t>The following must be provided at the time of application and documented in the patient's medical records:</w:t>
            </w:r>
          </w:p>
          <w:p w14:paraId="57634F9C" w14:textId="77777777" w:rsidR="001A02EF" w:rsidRPr="00511537" w:rsidRDefault="002938C2">
            <w:pPr>
              <w:pStyle w:val="AmendmentTableText"/>
            </w:pPr>
            <w:r w:rsidRPr="00511537">
              <w:t xml:space="preserve">(a) the </w:t>
            </w:r>
            <w:proofErr w:type="spellStart"/>
            <w:r w:rsidRPr="00511537">
              <w:t>IgE</w:t>
            </w:r>
            <w:proofErr w:type="spellEnd"/>
            <w:r w:rsidRPr="00511537">
              <w:t xml:space="preserve"> result and date; and</w:t>
            </w:r>
          </w:p>
          <w:p w14:paraId="17F209E9" w14:textId="77777777" w:rsidR="001A02EF" w:rsidRPr="00511537" w:rsidRDefault="002938C2">
            <w:pPr>
              <w:pStyle w:val="AmendmentTableText"/>
            </w:pPr>
            <w:r w:rsidRPr="00511537">
              <w:t>(b) Asthma Control Questionnaire (ACQ-5) score; or</w:t>
            </w:r>
          </w:p>
          <w:p w14:paraId="3B72FB3F" w14:textId="77777777" w:rsidR="001A02EF" w:rsidRPr="00511537" w:rsidRDefault="002938C2">
            <w:pPr>
              <w:pStyle w:val="AmendmentTableText"/>
            </w:pPr>
            <w:r w:rsidRPr="00511537">
              <w:t>(c) Asthma Control Questionnaire interviewer administered version (ACQ-IA) score.</w:t>
            </w:r>
          </w:p>
          <w:p w14:paraId="451D844A" w14:textId="77777777" w:rsidR="001A02EF" w:rsidRPr="00511537" w:rsidRDefault="002938C2">
            <w:pPr>
              <w:pStyle w:val="AmendmentTableText"/>
            </w:pPr>
            <w:r w:rsidRPr="00511537">
              <w:t>(d) the details of prior biological medicine treatment including the details of date and duration of treatment; and</w:t>
            </w:r>
          </w:p>
          <w:p w14:paraId="1868F403" w14:textId="77777777" w:rsidR="001A02EF" w:rsidRPr="00511537" w:rsidRDefault="002938C2">
            <w:pPr>
              <w:pStyle w:val="AmendmentTableText"/>
            </w:pPr>
            <w:r w:rsidRPr="00511537">
              <w:t>(e) the reason for switching therapy (e.g. failure of prior therapy, partial response to prior therapy, adverse event to prior therapy).</w:t>
            </w:r>
          </w:p>
        </w:tc>
        <w:tc>
          <w:tcPr>
            <w:tcW w:w="700" w:type="pct"/>
          </w:tcPr>
          <w:p w14:paraId="0D65C480" w14:textId="77777777" w:rsidR="001A02EF" w:rsidRDefault="002938C2">
            <w:pPr>
              <w:pStyle w:val="AmendmentTableText"/>
            </w:pPr>
            <w:r w:rsidRPr="00511537">
              <w:lastRenderedPageBreak/>
              <w:t>Compliance with Written Authority Required procedures</w:t>
            </w:r>
          </w:p>
        </w:tc>
      </w:tr>
      <w:bookmarkEnd w:id="2"/>
      <w:bookmarkEnd w:id="21"/>
      <w:bookmarkEnd w:id="37"/>
    </w:tbl>
    <w:p w14:paraId="14352495" w14:textId="77777777" w:rsidR="002938C2" w:rsidRDefault="002938C2"/>
    <w:sectPr w:rsidR="002938C2" w:rsidSect="000B5C30">
      <w:pgSz w:w="16838" w:h="11906" w:orient="landscape" w:code="9"/>
      <w:pgMar w:top="1701" w:right="1673" w:bottom="1701"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CE1A" w14:textId="77777777" w:rsidR="00F56CFC" w:rsidRPr="00D416EA" w:rsidRDefault="00F56CFC" w:rsidP="00E51F66">
      <w:pPr>
        <w:spacing w:line="240" w:lineRule="auto"/>
      </w:pPr>
      <w:r w:rsidRPr="00D416EA">
        <w:separator/>
      </w:r>
    </w:p>
    <w:p w14:paraId="29EB912A" w14:textId="77777777" w:rsidR="00F56CFC" w:rsidRPr="00D416EA" w:rsidRDefault="00F56CFC"/>
    <w:p w14:paraId="4D2CCA4E" w14:textId="77777777" w:rsidR="00F56CFC" w:rsidRPr="00D416EA" w:rsidRDefault="00F56CFC"/>
  </w:endnote>
  <w:endnote w:type="continuationSeparator" w:id="0">
    <w:p w14:paraId="762DF2DF" w14:textId="77777777" w:rsidR="00F56CFC" w:rsidRPr="00D416EA" w:rsidRDefault="00F56CFC" w:rsidP="00E51F66">
      <w:pPr>
        <w:spacing w:line="240" w:lineRule="auto"/>
      </w:pPr>
      <w:r w:rsidRPr="00D416EA">
        <w:continuationSeparator/>
      </w:r>
    </w:p>
    <w:p w14:paraId="5BCB4900" w14:textId="77777777" w:rsidR="00F56CFC" w:rsidRPr="00D416EA" w:rsidRDefault="00F56CFC"/>
    <w:p w14:paraId="20BC65BC" w14:textId="77777777" w:rsidR="00F56CFC" w:rsidRPr="00D416EA" w:rsidRDefault="00F56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4A7E" w14:textId="2F787863" w:rsidR="002938C2" w:rsidRDefault="002938C2">
    <w:pPr>
      <w:pStyle w:val="Footer"/>
    </w:pPr>
    <w:r>
      <w:rPr>
        <w:noProof/>
      </w:rPr>
      <mc:AlternateContent>
        <mc:Choice Requires="wps">
          <w:drawing>
            <wp:anchor distT="0" distB="0" distL="0" distR="0" simplePos="0" relativeHeight="251664384" behindDoc="0" locked="0" layoutInCell="1" allowOverlap="1" wp14:anchorId="3BAF3573" wp14:editId="4CBB0A20">
              <wp:simplePos x="635" y="635"/>
              <wp:positionH relativeFrom="page">
                <wp:align>center</wp:align>
              </wp:positionH>
              <wp:positionV relativeFrom="page">
                <wp:align>bottom</wp:align>
              </wp:positionV>
              <wp:extent cx="551815" cy="376555"/>
              <wp:effectExtent l="0" t="0" r="635" b="0"/>
              <wp:wrapNone/>
              <wp:docPr id="44842406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ADBF19" w14:textId="2A88FE8C" w:rsidR="002938C2" w:rsidRPr="002938C2" w:rsidRDefault="002938C2" w:rsidP="002938C2">
                          <w:pPr>
                            <w:rPr>
                              <w:rFonts w:ascii="Calibri" w:eastAsia="Calibri" w:hAnsi="Calibri" w:cs="Calibri"/>
                              <w:noProof/>
                              <w:color w:val="FF0000"/>
                              <w:sz w:val="24"/>
                              <w:szCs w:val="24"/>
                            </w:rPr>
                          </w:pPr>
                          <w:r w:rsidRPr="002938C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AF3573" id="_x0000_t202" coordsize="21600,21600" o:spt="202" path="m,l,21600r21600,l21600,xe">
              <v:stroke joinstyle="miter"/>
              <v:path gradientshapeok="t" o:connecttype="rect"/>
            </v:shapetype>
            <v:shape id="Text Box 7" o:spid="_x0000_s1027"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EADBF19" w14:textId="2A88FE8C" w:rsidR="002938C2" w:rsidRPr="002938C2" w:rsidRDefault="002938C2" w:rsidP="002938C2">
                    <w:pPr>
                      <w:rPr>
                        <w:rFonts w:ascii="Calibri" w:eastAsia="Calibri" w:hAnsi="Calibri" w:cs="Calibri"/>
                        <w:noProof/>
                        <w:color w:val="FF0000"/>
                        <w:sz w:val="24"/>
                        <w:szCs w:val="24"/>
                      </w:rPr>
                    </w:pPr>
                    <w:r w:rsidRPr="002938C2">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259B" w14:textId="0DA2A739" w:rsidR="00A00878" w:rsidRPr="00D416EA" w:rsidRDefault="00A00878" w:rsidP="006350A7"/>
  <w:p w14:paraId="37069329" w14:textId="2EDB8B01" w:rsidR="00E51F66" w:rsidRPr="00D416EA"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511537">
      <w:rPr>
        <w:i/>
        <w:noProof/>
        <w:sz w:val="18"/>
      </w:rPr>
      <w:t>National Health (Highly Specialised Drugs Program) Special Arrangement Amendment (October Update) Instrument 2025</w:t>
    </w:r>
    <w:r w:rsidR="000E16FA" w:rsidRPr="00D416EA">
      <w:rPr>
        <w:i/>
        <w:sz w:val="18"/>
      </w:rPr>
      <w:fldChar w:fldCharType="end"/>
    </w:r>
    <w:r w:rsidRPr="00D416EA">
      <w:rPr>
        <w:i/>
        <w:sz w:val="18"/>
      </w:rPr>
      <w:ptab w:relativeTo="margin" w:alignment="right" w:leader="none"/>
    </w:r>
    <w:proofErr w:type="spellStart"/>
    <w:r w:rsidR="00E3350F" w:rsidRPr="00D416EA">
      <w:rPr>
        <w:i/>
        <w:sz w:val="18"/>
      </w:rPr>
      <w:t>i</w:t>
    </w:r>
    <w:proofErr w:type="spellEnd"/>
  </w:p>
  <w:p w14:paraId="12485C72" w14:textId="77777777" w:rsidR="00F139FC" w:rsidRPr="00D416EA" w:rsidRDefault="00F139FC" w:rsidP="00F139FC">
    <w:pPr>
      <w:pStyle w:val="Footer2"/>
      <w:rPr>
        <w:noProof w:val="0"/>
      </w:rPr>
    </w:pPr>
  </w:p>
  <w:p w14:paraId="7D0F3F00" w14:textId="77777777" w:rsidR="00F139FC" w:rsidRPr="00D416EA" w:rsidRDefault="00F139FC" w:rsidP="00F139FC">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3F34" w14:textId="2EC1F773" w:rsidR="00BB0574" w:rsidRPr="00D416EA" w:rsidRDefault="00BB0574" w:rsidP="003C42E4">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929B" w14:textId="27DC3896" w:rsidR="00A00878" w:rsidRPr="00D416EA" w:rsidRDefault="002938C2">
    <w:pPr>
      <w:pStyle w:val="Footer"/>
      <w:jc w:val="right"/>
    </w:pPr>
    <w:r>
      <w:rPr>
        <w:noProof/>
      </w:rPr>
      <mc:AlternateContent>
        <mc:Choice Requires="wps">
          <w:drawing>
            <wp:anchor distT="0" distB="0" distL="0" distR="0" simplePos="0" relativeHeight="251667456" behindDoc="0" locked="0" layoutInCell="1" allowOverlap="1" wp14:anchorId="467396E7" wp14:editId="0C67FCEA">
              <wp:simplePos x="635" y="635"/>
              <wp:positionH relativeFrom="page">
                <wp:align>center</wp:align>
              </wp:positionH>
              <wp:positionV relativeFrom="page">
                <wp:align>bottom</wp:align>
              </wp:positionV>
              <wp:extent cx="551815" cy="376555"/>
              <wp:effectExtent l="0" t="0" r="635" b="0"/>
              <wp:wrapNone/>
              <wp:docPr id="142455281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DF6744" w14:textId="7489978F" w:rsidR="002938C2" w:rsidRPr="002938C2" w:rsidRDefault="002938C2" w:rsidP="002938C2">
                          <w:pPr>
                            <w:rPr>
                              <w:rFonts w:ascii="Calibri" w:eastAsia="Calibri" w:hAnsi="Calibri" w:cs="Calibri"/>
                              <w:noProof/>
                              <w:color w:val="FF0000"/>
                              <w:sz w:val="24"/>
                              <w:szCs w:val="24"/>
                            </w:rPr>
                          </w:pPr>
                          <w:r w:rsidRPr="002938C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7396E7"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BDF6744" w14:textId="7489978F" w:rsidR="002938C2" w:rsidRPr="002938C2" w:rsidRDefault="002938C2" w:rsidP="002938C2">
                    <w:pPr>
                      <w:rPr>
                        <w:rFonts w:ascii="Calibri" w:eastAsia="Calibri" w:hAnsi="Calibri" w:cs="Calibri"/>
                        <w:noProof/>
                        <w:color w:val="FF0000"/>
                        <w:sz w:val="24"/>
                        <w:szCs w:val="24"/>
                      </w:rPr>
                    </w:pPr>
                    <w:r w:rsidRPr="002938C2">
                      <w:rPr>
                        <w:rFonts w:ascii="Calibri" w:eastAsia="Calibri" w:hAnsi="Calibri" w:cs="Calibri"/>
                        <w:noProof/>
                        <w:color w:val="FF0000"/>
                        <w:sz w:val="24"/>
                        <w:szCs w:val="24"/>
                      </w:rPr>
                      <w:t>OFFICIAL</w:t>
                    </w:r>
                  </w:p>
                </w:txbxContent>
              </v:textbox>
              <w10:wrap anchorx="page" anchory="page"/>
            </v:shape>
          </w:pict>
        </mc:Fallback>
      </mc:AlternateContent>
    </w:r>
  </w:p>
  <w:sdt>
    <w:sdtPr>
      <w:id w:val="2135128565"/>
      <w:docPartObj>
        <w:docPartGallery w:val="Page Numbers (Bottom of Page)"/>
        <w:docPartUnique/>
      </w:docPartObj>
    </w:sdtPr>
    <w:sdtContent>
      <w:p w14:paraId="0C59EEDC"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1B104F01" w14:textId="77777777" w:rsidR="00A00878" w:rsidRPr="00D416EA" w:rsidRDefault="00A0087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D74C" w14:textId="5E3C8FBD" w:rsidR="00E3350F" w:rsidRPr="00D416EA" w:rsidRDefault="00E3350F" w:rsidP="000B5C30">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511537">
      <w:rPr>
        <w:i/>
        <w:noProof/>
        <w:sz w:val="18"/>
      </w:rPr>
      <w:t>National Health (Highly Specialised Drugs Program) Special Arrangement Amendment (October Update) Instrument 2025</w:t>
    </w:r>
    <w:r w:rsidR="000E16FA" w:rsidRPr="00D416EA">
      <w:rPr>
        <w:i/>
        <w:sz w:val="18"/>
      </w:rPr>
      <w:fldChar w:fldCharType="end"/>
    </w:r>
    <w:r w:rsidRPr="00D416EA">
      <w:rPr>
        <w:i/>
        <w:sz w:val="18"/>
      </w:rPr>
      <w:ptab w:relativeTo="margin" w:alignment="right" w:leader="none"/>
    </w: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6B00306F" w14:textId="77777777" w:rsidR="00106FCA" w:rsidRPr="00D416EA" w:rsidRDefault="00106FCA" w:rsidP="00106FCA">
    <w:pPr>
      <w:pStyle w:val="Footer2"/>
      <w:rPr>
        <w:noProof w:val="0"/>
      </w:rPr>
    </w:pPr>
  </w:p>
  <w:p w14:paraId="014F0A83" w14:textId="77777777" w:rsidR="00106FCA" w:rsidRPr="00D416EA" w:rsidRDefault="00106FCA" w:rsidP="000B5C30">
    <w:pPr>
      <w:pStyle w:val="Foote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8193" w14:textId="698F9F87" w:rsidR="00A00878" w:rsidRPr="00D416EA" w:rsidRDefault="002938C2"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66432" behindDoc="0" locked="0" layoutInCell="1" allowOverlap="1" wp14:anchorId="45E7FCD2" wp14:editId="47768D85">
              <wp:simplePos x="635" y="635"/>
              <wp:positionH relativeFrom="page">
                <wp:align>center</wp:align>
              </wp:positionH>
              <wp:positionV relativeFrom="page">
                <wp:align>bottom</wp:align>
              </wp:positionV>
              <wp:extent cx="551815" cy="376555"/>
              <wp:effectExtent l="0" t="0" r="635" b="0"/>
              <wp:wrapNone/>
              <wp:docPr id="45684699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997721" w14:textId="5B7BFCDC" w:rsidR="002938C2" w:rsidRPr="002938C2" w:rsidRDefault="002938C2" w:rsidP="002938C2">
                          <w:pPr>
                            <w:rPr>
                              <w:rFonts w:ascii="Calibri" w:eastAsia="Calibri" w:hAnsi="Calibri" w:cs="Calibri"/>
                              <w:noProof/>
                              <w:color w:val="FF0000"/>
                              <w:sz w:val="24"/>
                              <w:szCs w:val="24"/>
                            </w:rPr>
                          </w:pPr>
                          <w:r w:rsidRPr="002938C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7FCD2" id="_x0000_t202" coordsize="21600,21600" o:spt="202" path="m,l,21600r21600,l21600,xe">
              <v:stroke joinstyle="miter"/>
              <v:path gradientshapeok="t" o:connecttype="rect"/>
            </v:shapetype>
            <v:shape id="Text Box 9" o:spid="_x0000_s1030"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35997721" w14:textId="5B7BFCDC" w:rsidR="002938C2" w:rsidRPr="002938C2" w:rsidRDefault="002938C2" w:rsidP="002938C2">
                    <w:pPr>
                      <w:rPr>
                        <w:rFonts w:ascii="Calibri" w:eastAsia="Calibri" w:hAnsi="Calibri" w:cs="Calibri"/>
                        <w:noProof/>
                        <w:color w:val="FF0000"/>
                        <w:sz w:val="24"/>
                        <w:szCs w:val="24"/>
                      </w:rPr>
                    </w:pPr>
                    <w:r w:rsidRPr="002938C2">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46AC25ED" w14:textId="77777777" w:rsidTr="007A6863">
      <w:tc>
        <w:tcPr>
          <w:tcW w:w="1384" w:type="dxa"/>
          <w:tcBorders>
            <w:top w:val="nil"/>
            <w:left w:val="nil"/>
            <w:bottom w:val="nil"/>
            <w:right w:val="nil"/>
          </w:tcBorders>
        </w:tcPr>
        <w:p w14:paraId="5B919601"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7B3487A4" w14:textId="77777777"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Pr="00D416EA">
            <w:rPr>
              <w:b/>
              <w:bCs/>
              <w:i/>
              <w:sz w:val="18"/>
            </w:rPr>
            <w:t>Error! Unknown document property name.</w:t>
          </w:r>
          <w:r w:rsidRPr="00D416EA">
            <w:rPr>
              <w:i/>
              <w:sz w:val="18"/>
            </w:rPr>
            <w:fldChar w:fldCharType="end"/>
          </w:r>
        </w:p>
      </w:tc>
      <w:tc>
        <w:tcPr>
          <w:tcW w:w="709" w:type="dxa"/>
          <w:tcBorders>
            <w:top w:val="nil"/>
            <w:left w:val="nil"/>
            <w:bottom w:val="nil"/>
            <w:right w:val="nil"/>
          </w:tcBorders>
        </w:tcPr>
        <w:p w14:paraId="29449245"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58A043A5"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537CC2A" w14:textId="4E8E253B"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Pr="00D416EA">
            <w:rPr>
              <w:i/>
              <w:sz w:val="18"/>
            </w:rPr>
            <w:t>K:\PBS Publishing\</w:t>
          </w:r>
          <w:proofErr w:type="spellStart"/>
          <w:r w:rsidRPr="00D416EA">
            <w:rPr>
              <w:i/>
              <w:sz w:val="18"/>
            </w:rPr>
            <w:t>PBS_Legal</w:t>
          </w:r>
          <w:proofErr w:type="spellEnd"/>
          <w:r w:rsidRPr="00D416EA">
            <w:rPr>
              <w:i/>
              <w:sz w:val="18"/>
            </w:rPr>
            <w:t xml:space="preserve"> Instruments</w:t>
          </w:r>
          <w:proofErr w:type="gramStart"/>
          <w:r w:rsidRPr="00D416EA">
            <w:rPr>
              <w:i/>
              <w:sz w:val="18"/>
            </w:rPr>
            <w:t>\2023\20231001\c_20231001_Amendment_Instrument_NHL_(</w:t>
          </w:r>
          <w:proofErr w:type="gramEnd"/>
          <w:r w:rsidRPr="00D416EA">
            <w:rPr>
              <w:i/>
              <w:sz w:val="18"/>
            </w:rPr>
            <w:t>No.</w:t>
          </w:r>
          <w:proofErr w:type="gramStart"/>
          <w:r w:rsidRPr="00D416EA">
            <w:rPr>
              <w:i/>
              <w:sz w:val="18"/>
            </w:rPr>
            <w:t>10)_PB91.docx</w:t>
          </w:r>
          <w:proofErr w:type="gramEnd"/>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8B16A7">
            <w:rPr>
              <w:i/>
              <w:noProof/>
              <w:sz w:val="18"/>
            </w:rPr>
            <w:t>30/9/2025 9:53 AM</w:t>
          </w:r>
          <w:r w:rsidRPr="00D416EA">
            <w:rPr>
              <w:i/>
              <w:sz w:val="18"/>
            </w:rPr>
            <w:fldChar w:fldCharType="end"/>
          </w:r>
        </w:p>
      </w:tc>
    </w:tr>
  </w:tbl>
  <w:p w14:paraId="174FE95C"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87F9" w14:textId="77777777" w:rsidR="00F56CFC" w:rsidRPr="00D416EA" w:rsidRDefault="00F56CFC" w:rsidP="00E51F66">
      <w:pPr>
        <w:spacing w:line="240" w:lineRule="auto"/>
      </w:pPr>
      <w:r w:rsidRPr="00D416EA">
        <w:separator/>
      </w:r>
    </w:p>
    <w:p w14:paraId="79A93930" w14:textId="77777777" w:rsidR="00F56CFC" w:rsidRPr="00D416EA" w:rsidRDefault="00F56CFC"/>
    <w:p w14:paraId="6C03EF8E" w14:textId="77777777" w:rsidR="00F56CFC" w:rsidRPr="00D416EA" w:rsidRDefault="00F56CFC"/>
  </w:footnote>
  <w:footnote w:type="continuationSeparator" w:id="0">
    <w:p w14:paraId="1148B073" w14:textId="77777777" w:rsidR="00F56CFC" w:rsidRPr="00D416EA" w:rsidRDefault="00F56CFC" w:rsidP="00E51F66">
      <w:pPr>
        <w:spacing w:line="240" w:lineRule="auto"/>
      </w:pPr>
      <w:r w:rsidRPr="00D416EA">
        <w:continuationSeparator/>
      </w:r>
    </w:p>
    <w:p w14:paraId="2CA5D8A9" w14:textId="77777777" w:rsidR="00F56CFC" w:rsidRPr="00D416EA" w:rsidRDefault="00F56CFC"/>
    <w:p w14:paraId="71759DAA" w14:textId="77777777" w:rsidR="00F56CFC" w:rsidRPr="00D416EA" w:rsidRDefault="00F56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14B7" w14:textId="090F3AEB" w:rsidR="002938C2" w:rsidRDefault="002938C2">
    <w:pPr>
      <w:pStyle w:val="Header"/>
    </w:pPr>
    <w:r>
      <w:rPr>
        <w:noProof/>
      </w:rPr>
      <mc:AlternateContent>
        <mc:Choice Requires="wps">
          <w:drawing>
            <wp:anchor distT="0" distB="0" distL="0" distR="0" simplePos="0" relativeHeight="251659264" behindDoc="0" locked="0" layoutInCell="1" allowOverlap="1" wp14:anchorId="2853FBCD" wp14:editId="1E55C468">
              <wp:simplePos x="635" y="635"/>
              <wp:positionH relativeFrom="page">
                <wp:align>center</wp:align>
              </wp:positionH>
              <wp:positionV relativeFrom="page">
                <wp:align>top</wp:align>
              </wp:positionV>
              <wp:extent cx="551815" cy="376555"/>
              <wp:effectExtent l="0" t="0" r="635" b="4445"/>
              <wp:wrapNone/>
              <wp:docPr id="17777119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095100" w14:textId="5A7543B1" w:rsidR="002938C2" w:rsidRPr="002938C2" w:rsidRDefault="002938C2" w:rsidP="002938C2">
                          <w:pPr>
                            <w:rPr>
                              <w:rFonts w:ascii="Calibri" w:eastAsia="Calibri" w:hAnsi="Calibri" w:cs="Calibri"/>
                              <w:noProof/>
                              <w:color w:val="FF0000"/>
                              <w:sz w:val="24"/>
                              <w:szCs w:val="24"/>
                            </w:rPr>
                          </w:pPr>
                          <w:r w:rsidRPr="002938C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53FBCD"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2095100" w14:textId="5A7543B1" w:rsidR="002938C2" w:rsidRPr="002938C2" w:rsidRDefault="002938C2" w:rsidP="002938C2">
                    <w:pPr>
                      <w:rPr>
                        <w:rFonts w:ascii="Calibri" w:eastAsia="Calibri" w:hAnsi="Calibri" w:cs="Calibri"/>
                        <w:noProof/>
                        <w:color w:val="FF0000"/>
                        <w:sz w:val="24"/>
                        <w:szCs w:val="24"/>
                      </w:rPr>
                    </w:pPr>
                    <w:r w:rsidRPr="002938C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9F68" w14:textId="74693190" w:rsidR="003C42E4" w:rsidRPr="00D416EA" w:rsidRDefault="003C42E4" w:rsidP="00A24C9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358B" w14:textId="0AACBD53" w:rsidR="00A00878" w:rsidRPr="00D416EA" w:rsidRDefault="002938C2" w:rsidP="0048364F">
    <w:pPr>
      <w:rPr>
        <w:b/>
        <w:sz w:val="20"/>
      </w:rPr>
    </w:pPr>
    <w:r>
      <w:rPr>
        <w:b/>
        <w:noProof/>
        <w:sz w:val="20"/>
      </w:rPr>
      <mc:AlternateContent>
        <mc:Choice Requires="wps">
          <w:drawing>
            <wp:anchor distT="0" distB="0" distL="0" distR="0" simplePos="0" relativeHeight="251661312" behindDoc="0" locked="0" layoutInCell="1" allowOverlap="1" wp14:anchorId="1FE7D266" wp14:editId="6D1F9EEF">
              <wp:simplePos x="635" y="635"/>
              <wp:positionH relativeFrom="page">
                <wp:align>center</wp:align>
              </wp:positionH>
              <wp:positionV relativeFrom="page">
                <wp:align>top</wp:align>
              </wp:positionV>
              <wp:extent cx="551815" cy="376555"/>
              <wp:effectExtent l="0" t="0" r="635" b="4445"/>
              <wp:wrapNone/>
              <wp:docPr id="119234416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39225C" w14:textId="6AE7EC8D" w:rsidR="002938C2" w:rsidRPr="002938C2" w:rsidRDefault="002938C2" w:rsidP="002938C2">
                          <w:pPr>
                            <w:rPr>
                              <w:rFonts w:ascii="Calibri" w:eastAsia="Calibri" w:hAnsi="Calibri" w:cs="Calibri"/>
                              <w:noProof/>
                              <w:color w:val="FF0000"/>
                              <w:sz w:val="24"/>
                              <w:szCs w:val="24"/>
                            </w:rPr>
                          </w:pPr>
                          <w:r w:rsidRPr="002938C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E7D266" id="_x0000_t202" coordsize="21600,21600" o:spt="202" path="m,l,21600r21600,l21600,xe">
              <v:stroke joinstyle="miter"/>
              <v:path gradientshapeok="t" o:connecttype="rect"/>
            </v:shapetype>
            <v:shape id="Text Box 4" o:spid="_x0000_s1028"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039225C" w14:textId="6AE7EC8D" w:rsidR="002938C2" w:rsidRPr="002938C2" w:rsidRDefault="002938C2" w:rsidP="002938C2">
                    <w:pPr>
                      <w:rPr>
                        <w:rFonts w:ascii="Calibri" w:eastAsia="Calibri" w:hAnsi="Calibri" w:cs="Calibri"/>
                        <w:noProof/>
                        <w:color w:val="FF0000"/>
                        <w:sz w:val="24"/>
                        <w:szCs w:val="24"/>
                      </w:rPr>
                    </w:pPr>
                    <w:r w:rsidRPr="002938C2">
                      <w:rPr>
                        <w:rFonts w:ascii="Calibri" w:eastAsia="Calibri" w:hAnsi="Calibri" w:cs="Calibri"/>
                        <w:noProof/>
                        <w:color w:val="FF0000"/>
                        <w:sz w:val="24"/>
                        <w:szCs w:val="24"/>
                      </w:rPr>
                      <w:t>OFFICIAL</w:t>
                    </w:r>
                  </w:p>
                </w:txbxContent>
              </v:textbox>
              <w10:wrap anchorx="page" anchory="page"/>
            </v:shape>
          </w:pict>
        </mc:Fallback>
      </mc:AlternateContent>
    </w:r>
  </w:p>
  <w:p w14:paraId="5778F4A7" w14:textId="77777777" w:rsidR="00A00878" w:rsidRPr="00D416EA" w:rsidRDefault="00A00878" w:rsidP="0048364F">
    <w:pPr>
      <w:rPr>
        <w:b/>
        <w:sz w:val="20"/>
      </w:rPr>
    </w:pPr>
  </w:p>
  <w:p w14:paraId="564E9EBB" w14:textId="77777777" w:rsidR="00A00878" w:rsidRPr="00D416EA" w:rsidRDefault="00A00878"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56AD" w14:textId="18BBABFA" w:rsidR="00A00878" w:rsidRPr="00D416EA" w:rsidRDefault="00A00878" w:rsidP="0048364F">
    <w:pPr>
      <w:jc w:val="right"/>
      <w:rPr>
        <w:b/>
        <w:sz w:val="20"/>
      </w:rPr>
    </w:pPr>
  </w:p>
  <w:p w14:paraId="2EB7091C"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4982"/>
    <w:rsid w:val="000217D4"/>
    <w:rsid w:val="00027199"/>
    <w:rsid w:val="00033870"/>
    <w:rsid w:val="00033A1C"/>
    <w:rsid w:val="0003714F"/>
    <w:rsid w:val="0003726A"/>
    <w:rsid w:val="00047C0F"/>
    <w:rsid w:val="00054B68"/>
    <w:rsid w:val="0005776E"/>
    <w:rsid w:val="00064D6F"/>
    <w:rsid w:val="000752BD"/>
    <w:rsid w:val="000842A9"/>
    <w:rsid w:val="0009318A"/>
    <w:rsid w:val="000B41D8"/>
    <w:rsid w:val="000B44C1"/>
    <w:rsid w:val="000B5C30"/>
    <w:rsid w:val="000C4D69"/>
    <w:rsid w:val="000C60D5"/>
    <w:rsid w:val="000D215B"/>
    <w:rsid w:val="000D4AF4"/>
    <w:rsid w:val="000D7E28"/>
    <w:rsid w:val="000E16FA"/>
    <w:rsid w:val="000E18AB"/>
    <w:rsid w:val="000E721F"/>
    <w:rsid w:val="000F04B5"/>
    <w:rsid w:val="000F060E"/>
    <w:rsid w:val="000F16E3"/>
    <w:rsid w:val="000F1A3F"/>
    <w:rsid w:val="000F3C63"/>
    <w:rsid w:val="00104616"/>
    <w:rsid w:val="00105AB5"/>
    <w:rsid w:val="00106FCA"/>
    <w:rsid w:val="00114BE7"/>
    <w:rsid w:val="00120A69"/>
    <w:rsid w:val="00126899"/>
    <w:rsid w:val="00127643"/>
    <w:rsid w:val="00142106"/>
    <w:rsid w:val="001428CA"/>
    <w:rsid w:val="0015045D"/>
    <w:rsid w:val="00163762"/>
    <w:rsid w:val="00165430"/>
    <w:rsid w:val="00173650"/>
    <w:rsid w:val="001814A8"/>
    <w:rsid w:val="001852E8"/>
    <w:rsid w:val="001962AE"/>
    <w:rsid w:val="001A02EF"/>
    <w:rsid w:val="001C7759"/>
    <w:rsid w:val="001C7948"/>
    <w:rsid w:val="001D3AB3"/>
    <w:rsid w:val="001D3CE5"/>
    <w:rsid w:val="001E1B54"/>
    <w:rsid w:val="001E3B88"/>
    <w:rsid w:val="001E4A41"/>
    <w:rsid w:val="001E69AD"/>
    <w:rsid w:val="002147DF"/>
    <w:rsid w:val="002202A4"/>
    <w:rsid w:val="00220FA2"/>
    <w:rsid w:val="00243704"/>
    <w:rsid w:val="00250348"/>
    <w:rsid w:val="0025063A"/>
    <w:rsid w:val="00253576"/>
    <w:rsid w:val="002561B4"/>
    <w:rsid w:val="00270836"/>
    <w:rsid w:val="00270BC1"/>
    <w:rsid w:val="00277D60"/>
    <w:rsid w:val="00287BA4"/>
    <w:rsid w:val="002930EB"/>
    <w:rsid w:val="002938C2"/>
    <w:rsid w:val="002945B7"/>
    <w:rsid w:val="00296453"/>
    <w:rsid w:val="002A1004"/>
    <w:rsid w:val="002A54D8"/>
    <w:rsid w:val="002C0B5D"/>
    <w:rsid w:val="002C0ED3"/>
    <w:rsid w:val="002C66F9"/>
    <w:rsid w:val="002D459D"/>
    <w:rsid w:val="002E6715"/>
    <w:rsid w:val="002F0CFE"/>
    <w:rsid w:val="002F7426"/>
    <w:rsid w:val="003011D2"/>
    <w:rsid w:val="00301D4A"/>
    <w:rsid w:val="00307CDA"/>
    <w:rsid w:val="003331C7"/>
    <w:rsid w:val="0033539C"/>
    <w:rsid w:val="00335ABD"/>
    <w:rsid w:val="00337D6F"/>
    <w:rsid w:val="00342B70"/>
    <w:rsid w:val="003430CB"/>
    <w:rsid w:val="003536AA"/>
    <w:rsid w:val="00355BE8"/>
    <w:rsid w:val="0036194A"/>
    <w:rsid w:val="00371805"/>
    <w:rsid w:val="00377D11"/>
    <w:rsid w:val="003843DA"/>
    <w:rsid w:val="003A03E2"/>
    <w:rsid w:val="003B0606"/>
    <w:rsid w:val="003B760A"/>
    <w:rsid w:val="003C388C"/>
    <w:rsid w:val="003C42E4"/>
    <w:rsid w:val="003D1678"/>
    <w:rsid w:val="003D264B"/>
    <w:rsid w:val="003E39D2"/>
    <w:rsid w:val="003E4C56"/>
    <w:rsid w:val="003E52A7"/>
    <w:rsid w:val="003E5498"/>
    <w:rsid w:val="003F108C"/>
    <w:rsid w:val="003F2C2C"/>
    <w:rsid w:val="003F40D1"/>
    <w:rsid w:val="00400F0F"/>
    <w:rsid w:val="00401F40"/>
    <w:rsid w:val="004073D9"/>
    <w:rsid w:val="00414D4C"/>
    <w:rsid w:val="00421E75"/>
    <w:rsid w:val="004435D7"/>
    <w:rsid w:val="00446B7D"/>
    <w:rsid w:val="00453C3E"/>
    <w:rsid w:val="0047030E"/>
    <w:rsid w:val="004720C1"/>
    <w:rsid w:val="0047227A"/>
    <w:rsid w:val="00474D93"/>
    <w:rsid w:val="0048778A"/>
    <w:rsid w:val="004927EE"/>
    <w:rsid w:val="004A704E"/>
    <w:rsid w:val="004B05A8"/>
    <w:rsid w:val="004B1338"/>
    <w:rsid w:val="004B1598"/>
    <w:rsid w:val="004B1F33"/>
    <w:rsid w:val="004B40FD"/>
    <w:rsid w:val="004B4A04"/>
    <w:rsid w:val="004B51E5"/>
    <w:rsid w:val="004B5F6C"/>
    <w:rsid w:val="004C2467"/>
    <w:rsid w:val="004C26EA"/>
    <w:rsid w:val="004D1079"/>
    <w:rsid w:val="004D4BBB"/>
    <w:rsid w:val="004E3573"/>
    <w:rsid w:val="004F7185"/>
    <w:rsid w:val="00503EE0"/>
    <w:rsid w:val="00511537"/>
    <w:rsid w:val="00514781"/>
    <w:rsid w:val="0051652C"/>
    <w:rsid w:val="0051689F"/>
    <w:rsid w:val="00516C15"/>
    <w:rsid w:val="00516F4F"/>
    <w:rsid w:val="005213D9"/>
    <w:rsid w:val="00523031"/>
    <w:rsid w:val="005258A6"/>
    <w:rsid w:val="005270F5"/>
    <w:rsid w:val="00540055"/>
    <w:rsid w:val="00542325"/>
    <w:rsid w:val="00555694"/>
    <w:rsid w:val="00556E26"/>
    <w:rsid w:val="0055783A"/>
    <w:rsid w:val="005622A4"/>
    <w:rsid w:val="00564497"/>
    <w:rsid w:val="0057453E"/>
    <w:rsid w:val="00576A2C"/>
    <w:rsid w:val="00585326"/>
    <w:rsid w:val="005916AF"/>
    <w:rsid w:val="005A2C0A"/>
    <w:rsid w:val="005A6CD2"/>
    <w:rsid w:val="005B0EA6"/>
    <w:rsid w:val="005B3713"/>
    <w:rsid w:val="005B48CD"/>
    <w:rsid w:val="005B5ADA"/>
    <w:rsid w:val="005B65A0"/>
    <w:rsid w:val="005C3D96"/>
    <w:rsid w:val="005C4797"/>
    <w:rsid w:val="005D7EEA"/>
    <w:rsid w:val="005E0B41"/>
    <w:rsid w:val="005E1904"/>
    <w:rsid w:val="00607723"/>
    <w:rsid w:val="006127B7"/>
    <w:rsid w:val="00616BCB"/>
    <w:rsid w:val="00621467"/>
    <w:rsid w:val="00624AD8"/>
    <w:rsid w:val="0063370D"/>
    <w:rsid w:val="006350A7"/>
    <w:rsid w:val="00637E3C"/>
    <w:rsid w:val="0065066C"/>
    <w:rsid w:val="00662BF0"/>
    <w:rsid w:val="0066348A"/>
    <w:rsid w:val="006638CE"/>
    <w:rsid w:val="006749FE"/>
    <w:rsid w:val="00675597"/>
    <w:rsid w:val="006774B2"/>
    <w:rsid w:val="00680327"/>
    <w:rsid w:val="00684638"/>
    <w:rsid w:val="006866F7"/>
    <w:rsid w:val="006939E3"/>
    <w:rsid w:val="0069737C"/>
    <w:rsid w:val="006A1516"/>
    <w:rsid w:val="006B03F0"/>
    <w:rsid w:val="006E68C2"/>
    <w:rsid w:val="006F071D"/>
    <w:rsid w:val="006F5172"/>
    <w:rsid w:val="006F7BDC"/>
    <w:rsid w:val="00704829"/>
    <w:rsid w:val="00704EF9"/>
    <w:rsid w:val="0070739B"/>
    <w:rsid w:val="00714590"/>
    <w:rsid w:val="00723C86"/>
    <w:rsid w:val="00730538"/>
    <w:rsid w:val="007339F6"/>
    <w:rsid w:val="00740DCC"/>
    <w:rsid w:val="007444C3"/>
    <w:rsid w:val="007471E5"/>
    <w:rsid w:val="00750E3F"/>
    <w:rsid w:val="0075228E"/>
    <w:rsid w:val="007631ED"/>
    <w:rsid w:val="007724E0"/>
    <w:rsid w:val="0077328B"/>
    <w:rsid w:val="007736A5"/>
    <w:rsid w:val="00784E38"/>
    <w:rsid w:val="00785B01"/>
    <w:rsid w:val="00793396"/>
    <w:rsid w:val="00795CF0"/>
    <w:rsid w:val="00796050"/>
    <w:rsid w:val="007A043D"/>
    <w:rsid w:val="007B30B7"/>
    <w:rsid w:val="007B4A91"/>
    <w:rsid w:val="007B6085"/>
    <w:rsid w:val="007B6200"/>
    <w:rsid w:val="007E571C"/>
    <w:rsid w:val="007E5831"/>
    <w:rsid w:val="007F5ECA"/>
    <w:rsid w:val="007F6781"/>
    <w:rsid w:val="008103F3"/>
    <w:rsid w:val="00811A1C"/>
    <w:rsid w:val="00827117"/>
    <w:rsid w:val="00832A2A"/>
    <w:rsid w:val="0083361B"/>
    <w:rsid w:val="00844785"/>
    <w:rsid w:val="00845787"/>
    <w:rsid w:val="00847D3A"/>
    <w:rsid w:val="008569E7"/>
    <w:rsid w:val="00866A14"/>
    <w:rsid w:val="00873D78"/>
    <w:rsid w:val="00890B7D"/>
    <w:rsid w:val="00891B36"/>
    <w:rsid w:val="008937BB"/>
    <w:rsid w:val="008B16A7"/>
    <w:rsid w:val="008C09D9"/>
    <w:rsid w:val="008C0B76"/>
    <w:rsid w:val="008C3FCC"/>
    <w:rsid w:val="008C63DD"/>
    <w:rsid w:val="008D058D"/>
    <w:rsid w:val="008D45E5"/>
    <w:rsid w:val="008D7E2C"/>
    <w:rsid w:val="008E1356"/>
    <w:rsid w:val="008E31AB"/>
    <w:rsid w:val="008E6732"/>
    <w:rsid w:val="009014F8"/>
    <w:rsid w:val="00914346"/>
    <w:rsid w:val="00915873"/>
    <w:rsid w:val="00920073"/>
    <w:rsid w:val="00922F3B"/>
    <w:rsid w:val="0092782A"/>
    <w:rsid w:val="00931207"/>
    <w:rsid w:val="00931CFA"/>
    <w:rsid w:val="009325DC"/>
    <w:rsid w:val="0093265F"/>
    <w:rsid w:val="009433D6"/>
    <w:rsid w:val="009459F1"/>
    <w:rsid w:val="00953621"/>
    <w:rsid w:val="00962005"/>
    <w:rsid w:val="00963057"/>
    <w:rsid w:val="00967808"/>
    <w:rsid w:val="00991708"/>
    <w:rsid w:val="00992C8A"/>
    <w:rsid w:val="00994736"/>
    <w:rsid w:val="009A58C6"/>
    <w:rsid w:val="009B322C"/>
    <w:rsid w:val="009C4EC1"/>
    <w:rsid w:val="009D3BB7"/>
    <w:rsid w:val="009D5566"/>
    <w:rsid w:val="009E3CE7"/>
    <w:rsid w:val="009E4BFF"/>
    <w:rsid w:val="00A00878"/>
    <w:rsid w:val="00A06186"/>
    <w:rsid w:val="00A106BC"/>
    <w:rsid w:val="00A12256"/>
    <w:rsid w:val="00A12C8F"/>
    <w:rsid w:val="00A235B6"/>
    <w:rsid w:val="00A24C90"/>
    <w:rsid w:val="00A33869"/>
    <w:rsid w:val="00A34690"/>
    <w:rsid w:val="00A34D1B"/>
    <w:rsid w:val="00A40626"/>
    <w:rsid w:val="00A40F36"/>
    <w:rsid w:val="00A46410"/>
    <w:rsid w:val="00A663B2"/>
    <w:rsid w:val="00A90344"/>
    <w:rsid w:val="00A917F0"/>
    <w:rsid w:val="00AA245C"/>
    <w:rsid w:val="00AA691A"/>
    <w:rsid w:val="00AB080A"/>
    <w:rsid w:val="00AB23FC"/>
    <w:rsid w:val="00AD082F"/>
    <w:rsid w:val="00AD69A3"/>
    <w:rsid w:val="00AE21E7"/>
    <w:rsid w:val="00AF1F20"/>
    <w:rsid w:val="00AF59D0"/>
    <w:rsid w:val="00AF6F59"/>
    <w:rsid w:val="00B006B9"/>
    <w:rsid w:val="00B0704C"/>
    <w:rsid w:val="00B11CEB"/>
    <w:rsid w:val="00B1513E"/>
    <w:rsid w:val="00B25B53"/>
    <w:rsid w:val="00B2775B"/>
    <w:rsid w:val="00B36492"/>
    <w:rsid w:val="00B3649B"/>
    <w:rsid w:val="00B535EE"/>
    <w:rsid w:val="00B57609"/>
    <w:rsid w:val="00B61398"/>
    <w:rsid w:val="00B621FE"/>
    <w:rsid w:val="00B73806"/>
    <w:rsid w:val="00B772ED"/>
    <w:rsid w:val="00B810D9"/>
    <w:rsid w:val="00B84E4B"/>
    <w:rsid w:val="00B91976"/>
    <w:rsid w:val="00B92F39"/>
    <w:rsid w:val="00B94790"/>
    <w:rsid w:val="00B9535A"/>
    <w:rsid w:val="00BA7D4B"/>
    <w:rsid w:val="00BB0574"/>
    <w:rsid w:val="00BB2208"/>
    <w:rsid w:val="00BB750F"/>
    <w:rsid w:val="00BC2ADE"/>
    <w:rsid w:val="00BC31F4"/>
    <w:rsid w:val="00BC698A"/>
    <w:rsid w:val="00BC7054"/>
    <w:rsid w:val="00BC7E62"/>
    <w:rsid w:val="00BD1D0C"/>
    <w:rsid w:val="00BD5B18"/>
    <w:rsid w:val="00BE23F7"/>
    <w:rsid w:val="00C05377"/>
    <w:rsid w:val="00C064E5"/>
    <w:rsid w:val="00C07C86"/>
    <w:rsid w:val="00C12010"/>
    <w:rsid w:val="00C137B1"/>
    <w:rsid w:val="00C25FC5"/>
    <w:rsid w:val="00C319A4"/>
    <w:rsid w:val="00C331B8"/>
    <w:rsid w:val="00C37FE4"/>
    <w:rsid w:val="00C4624C"/>
    <w:rsid w:val="00C55A91"/>
    <w:rsid w:val="00C60705"/>
    <w:rsid w:val="00C61743"/>
    <w:rsid w:val="00C664E7"/>
    <w:rsid w:val="00C7294A"/>
    <w:rsid w:val="00C97ABF"/>
    <w:rsid w:val="00CB3854"/>
    <w:rsid w:val="00CB3862"/>
    <w:rsid w:val="00CB40B8"/>
    <w:rsid w:val="00CC53B5"/>
    <w:rsid w:val="00CC7421"/>
    <w:rsid w:val="00CD3380"/>
    <w:rsid w:val="00CD639D"/>
    <w:rsid w:val="00CE4895"/>
    <w:rsid w:val="00CE4E82"/>
    <w:rsid w:val="00CF2043"/>
    <w:rsid w:val="00D01BCE"/>
    <w:rsid w:val="00D3208C"/>
    <w:rsid w:val="00D35428"/>
    <w:rsid w:val="00D36EC0"/>
    <w:rsid w:val="00D416EA"/>
    <w:rsid w:val="00D41CC5"/>
    <w:rsid w:val="00D42795"/>
    <w:rsid w:val="00D445B3"/>
    <w:rsid w:val="00D51DCF"/>
    <w:rsid w:val="00D64188"/>
    <w:rsid w:val="00D6645C"/>
    <w:rsid w:val="00D75A08"/>
    <w:rsid w:val="00D850BE"/>
    <w:rsid w:val="00D914FF"/>
    <w:rsid w:val="00D94E90"/>
    <w:rsid w:val="00DA4381"/>
    <w:rsid w:val="00DB5788"/>
    <w:rsid w:val="00DD5B00"/>
    <w:rsid w:val="00DE0418"/>
    <w:rsid w:val="00DE3959"/>
    <w:rsid w:val="00E00DCB"/>
    <w:rsid w:val="00E0159B"/>
    <w:rsid w:val="00E1035B"/>
    <w:rsid w:val="00E10F6B"/>
    <w:rsid w:val="00E12699"/>
    <w:rsid w:val="00E21231"/>
    <w:rsid w:val="00E22D44"/>
    <w:rsid w:val="00E25EC7"/>
    <w:rsid w:val="00E270CA"/>
    <w:rsid w:val="00E3350F"/>
    <w:rsid w:val="00E3790E"/>
    <w:rsid w:val="00E402FD"/>
    <w:rsid w:val="00E514E1"/>
    <w:rsid w:val="00E51F66"/>
    <w:rsid w:val="00E544B7"/>
    <w:rsid w:val="00E54C30"/>
    <w:rsid w:val="00E62BCF"/>
    <w:rsid w:val="00E631C1"/>
    <w:rsid w:val="00E6355F"/>
    <w:rsid w:val="00E63BB0"/>
    <w:rsid w:val="00E67AA0"/>
    <w:rsid w:val="00E718E0"/>
    <w:rsid w:val="00E730CA"/>
    <w:rsid w:val="00E76D42"/>
    <w:rsid w:val="00E9403C"/>
    <w:rsid w:val="00EB0853"/>
    <w:rsid w:val="00EB2BC0"/>
    <w:rsid w:val="00EB76C3"/>
    <w:rsid w:val="00EE16B0"/>
    <w:rsid w:val="00EE7993"/>
    <w:rsid w:val="00EF6238"/>
    <w:rsid w:val="00EF7640"/>
    <w:rsid w:val="00F005ED"/>
    <w:rsid w:val="00F0292B"/>
    <w:rsid w:val="00F11556"/>
    <w:rsid w:val="00F12410"/>
    <w:rsid w:val="00F139FC"/>
    <w:rsid w:val="00F1495E"/>
    <w:rsid w:val="00F20144"/>
    <w:rsid w:val="00F215AA"/>
    <w:rsid w:val="00F24A4B"/>
    <w:rsid w:val="00F31F3A"/>
    <w:rsid w:val="00F408AC"/>
    <w:rsid w:val="00F439D8"/>
    <w:rsid w:val="00F46484"/>
    <w:rsid w:val="00F552C5"/>
    <w:rsid w:val="00F561E6"/>
    <w:rsid w:val="00F566B3"/>
    <w:rsid w:val="00F56CFC"/>
    <w:rsid w:val="00F61E84"/>
    <w:rsid w:val="00F6576B"/>
    <w:rsid w:val="00F72023"/>
    <w:rsid w:val="00F73285"/>
    <w:rsid w:val="00F869A3"/>
    <w:rsid w:val="00F9238A"/>
    <w:rsid w:val="00F948FB"/>
    <w:rsid w:val="00FA65A5"/>
    <w:rsid w:val="00FB0105"/>
    <w:rsid w:val="00FB0E27"/>
    <w:rsid w:val="00FB1EB1"/>
    <w:rsid w:val="00FB1FF1"/>
    <w:rsid w:val="00FB66E1"/>
    <w:rsid w:val="00FC342A"/>
    <w:rsid w:val="00FC78CF"/>
    <w:rsid w:val="00FC7CC6"/>
    <w:rsid w:val="00FD1B91"/>
    <w:rsid w:val="00FE7E4F"/>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9D340"/>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3C"/>
    <w:pPr>
      <w:widowControl w:val="0"/>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2561B4"/>
    <w:pPr>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033A1C"/>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033A1C"/>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2561B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5C4797"/>
    <w:pPr>
      <w:spacing w:before="120" w:line="240" w:lineRule="auto"/>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033A1C"/>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033A1C"/>
    <w:rPr>
      <w:rFonts w:ascii="Arial" w:eastAsia="Calibri" w:hAnsi="Arial" w:cs="Times New Roman"/>
      <w:color w:val="000000" w:themeColor="text1"/>
      <w:sz w:val="16"/>
    </w:rPr>
  </w:style>
  <w:style w:type="paragraph" w:customStyle="1" w:styleId="InstructionMain">
    <w:name w:val="Instruction Main"/>
    <w:qFormat/>
    <w:rsid w:val="002561B4"/>
    <w:pPr>
      <w:widowControl w:val="0"/>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033A1C"/>
    <w:pPr>
      <w:widowControl w:val="0"/>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033A1C"/>
    <w:rPr>
      <w:rFonts w:ascii="Arial" w:hAnsi="Arial" w:cs="Arial"/>
      <w:b/>
      <w:sz w:val="28"/>
      <w:szCs w:val="4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033A1C"/>
    <w:pPr>
      <w:widowControl w:val="0"/>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033A1C"/>
    <w:pPr>
      <w:widowControl w:val="0"/>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B91976"/>
    <w:pPr>
      <w:tabs>
        <w:tab w:val="right" w:leader="dot" w:pos="8222"/>
      </w:tabs>
      <w:spacing w:after="100" w:line="259" w:lineRule="auto"/>
      <w:ind w:left="851" w:right="1701" w:hanging="284"/>
    </w:pPr>
    <w:rPr>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054B68"/>
    <w:rPr>
      <w:rFonts w:eastAsia="SimSun"/>
    </w:rPr>
  </w:style>
  <w:style w:type="character" w:customStyle="1" w:styleId="Schedule4TableTextChar">
    <w:name w:val="Schedule4 TableText Char"/>
    <w:basedOn w:val="AmendmentTableTextChar"/>
    <w:link w:val="Schedule4TableText"/>
    <w:rsid w:val="00054B68"/>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customStyle="1" w:styleId="sched5-table">
    <w:name w:val="sched5-table"/>
    <w:basedOn w:val="PlainTable21"/>
    <w:uiPriority w:val="99"/>
    <w:rsid w:val="00A235B6"/>
    <w:pPr>
      <w:spacing w:after="0"/>
    </w:pPr>
    <w:rPr>
      <w:color w:val="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Bdatesigned">
    <w:name w:val="PB_date_signed"/>
    <w:basedOn w:val="Normal"/>
    <w:qFormat/>
    <w:rsid w:val="006638CE"/>
    <w:pPr>
      <w:tabs>
        <w:tab w:val="left" w:pos="3119"/>
      </w:tabs>
      <w:spacing w:before="240"/>
      <w:jc w:val="both"/>
    </w:pPr>
  </w:style>
  <w:style w:type="table" w:customStyle="1" w:styleId="PBTablea10">
    <w:name w:val="PB_Table_a10"/>
    <w:basedOn w:val="PlainTable2"/>
    <w:uiPriority w:val="99"/>
    <w:rsid w:val="000B41D8"/>
    <w:rPr>
      <w:rFonts w:ascii="Times New Roman" w:hAnsi="Times New Roman"/>
      <w:sz w:val="20"/>
    </w:rPr>
    <w:tblPr>
      <w:tblBorders>
        <w:top w:val="single" w:sz="4" w:space="0" w:color="000000" w:themeColor="text1"/>
        <w:bottom w:val="single" w:sz="4" w:space="0" w:color="000000" w:themeColor="text1"/>
        <w:insideH w:val="single" w:sz="4" w:space="0" w:color="000000" w:themeColor="text1"/>
      </w:tblBorders>
    </w:tblPr>
    <w:tcPr>
      <w:tcMar>
        <w:top w:w="51" w:type="dxa"/>
        <w:bottom w:w="51" w:type="dxa"/>
      </w:tcMar>
    </w:tcPr>
    <w:tblStylePr w:type="firstRow">
      <w:rPr>
        <w:b/>
        <w:bCs/>
      </w:rPr>
      <w:tblPr/>
      <w:tcPr>
        <w:tcBorders>
          <w:top w:val="single" w:sz="12" w:space="0" w:color="auto"/>
          <w:bottom w:val="single" w:sz="12"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000000" w:themeColor="text1"/>
          <w:bottom w:val="single" w:sz="4" w:space="0" w:color="000000" w:themeColor="text1"/>
        </w:tcBorders>
      </w:tcPr>
    </w:tblStylePr>
  </w:style>
  <w:style w:type="paragraph" w:customStyle="1" w:styleId="PBspecial1">
    <w:name w:val="PB_special1"/>
    <w:basedOn w:val="Normal"/>
    <w:qFormat/>
    <w:rsid w:val="005B0EA6"/>
    <w:pPr>
      <w:spacing w:before="4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3627</Words>
  <Characters>20677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a02-National Health (Highly Specialised Drugs Program)</dc:title>
  <dc:creator>Frankie Bouquiaux</dc:creator>
  <cp:keywords>references,amendment</cp:keywords>
  <dc:description>Document generated by PageSeeder.</dc:description>
  <cp:lastModifiedBy>Diana</cp:lastModifiedBy>
  <cp:revision>12</cp:revision>
  <dcterms:created xsi:type="dcterms:W3CDTF">2025-09-24T21:56:00Z</dcterms:created>
  <dcterms:modified xsi:type="dcterms:W3CDTF">2025-09-30T00:14:00Z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y fmtid="{D5CDD505-2E9C-101B-9397-08002B2CF9AE}" pid="4" name="ClassificationContentMarkingHeaderShapeIds">
    <vt:lpwstr>13a5e342,69f5bb3c,4ef95612,4711ba62,5ab46c77</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5e52526d,1aba687e,1bc4d02e,1b3aee91,54e8f371,6b84a7f1</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2025-09-24T21:53:45Z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ebc49733-3abd-45ba-a4ce-e76a87c17a8c</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