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F711F" w14:textId="77777777" w:rsidR="00C447DA" w:rsidRDefault="00C447DA" w:rsidP="00C447DA">
      <w:pPr>
        <w:rPr>
          <w:sz w:val="28"/>
        </w:rPr>
      </w:pPr>
      <w:r>
        <w:rPr>
          <w:noProof/>
          <w:lang w:eastAsia="en-AU"/>
        </w:rPr>
        <w:drawing>
          <wp:inline distT="0" distB="0" distL="0" distR="0" wp14:anchorId="20514B85" wp14:editId="69CAFCBD">
            <wp:extent cx="1501140" cy="1104900"/>
            <wp:effectExtent l="0" t="0" r="3810" b="0"/>
            <wp:docPr id="13" name="Picture 1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1104900"/>
                    </a:xfrm>
                    <a:prstGeom prst="rect">
                      <a:avLst/>
                    </a:prstGeom>
                    <a:noFill/>
                    <a:ln>
                      <a:noFill/>
                    </a:ln>
                  </pic:spPr>
                </pic:pic>
              </a:graphicData>
            </a:graphic>
          </wp:inline>
        </w:drawing>
      </w:r>
    </w:p>
    <w:p w14:paraId="38A38429" w14:textId="77777777" w:rsidR="00C447DA" w:rsidRDefault="00C447DA" w:rsidP="00C447DA"/>
    <w:p w14:paraId="7411E0D3" w14:textId="77777777" w:rsidR="00C447DA" w:rsidRDefault="00C447DA" w:rsidP="00C447DA">
      <w:r>
        <w:t>LIN 25/066</w:t>
      </w:r>
    </w:p>
    <w:p w14:paraId="6CEAE6E0" w14:textId="77777777" w:rsidR="00C447DA" w:rsidRDefault="00C447DA" w:rsidP="00C447DA"/>
    <w:p w14:paraId="0AA812B1" w14:textId="77777777" w:rsidR="00C447DA" w:rsidRDefault="00C447DA" w:rsidP="00C447DA">
      <w:pPr>
        <w:pStyle w:val="ShortT"/>
      </w:pPr>
      <w:r>
        <w:t>Migration (Complying Investments) Instrument 2025</w:t>
      </w:r>
    </w:p>
    <w:p w14:paraId="6CE1D8C1" w14:textId="77777777" w:rsidR="00C447DA" w:rsidRDefault="00C447DA" w:rsidP="00C447DA">
      <w:pPr>
        <w:pStyle w:val="SignCoverPageStart"/>
        <w:spacing w:before="240"/>
        <w:ind w:right="91"/>
        <w:rPr>
          <w:szCs w:val="22"/>
        </w:rPr>
      </w:pPr>
      <w:r>
        <w:rPr>
          <w:szCs w:val="22"/>
        </w:rPr>
        <w:t>I, Matt Thistlethwaite, Assistant Minister for Immigration, make the following instrument.</w:t>
      </w:r>
    </w:p>
    <w:p w14:paraId="2F4556C1" w14:textId="48E5F66D" w:rsidR="00C447DA" w:rsidRDefault="00C447DA" w:rsidP="00C447DA">
      <w:pPr>
        <w:keepNext/>
        <w:spacing w:before="300" w:line="240" w:lineRule="atLeast"/>
        <w:ind w:right="397"/>
        <w:jc w:val="both"/>
        <w:rPr>
          <w:szCs w:val="22"/>
        </w:rPr>
      </w:pPr>
      <w:r>
        <w:rPr>
          <w:szCs w:val="22"/>
        </w:rPr>
        <w:t>Dated</w:t>
      </w:r>
      <w:r>
        <w:rPr>
          <w:szCs w:val="22"/>
        </w:rPr>
        <w:tab/>
      </w:r>
      <w:r>
        <w:rPr>
          <w:szCs w:val="22"/>
        </w:rPr>
        <w:tab/>
      </w:r>
      <w:r>
        <w:rPr>
          <w:szCs w:val="22"/>
        </w:rPr>
        <w:tab/>
      </w:r>
      <w:r>
        <w:rPr>
          <w:szCs w:val="22"/>
        </w:rPr>
        <w:tab/>
      </w:r>
      <w:r w:rsidR="00C46A6F">
        <w:rPr>
          <w:szCs w:val="22"/>
        </w:rPr>
        <w:t xml:space="preserve">26 September </w:t>
      </w:r>
      <w:r>
        <w:rPr>
          <w:szCs w:val="22"/>
        </w:rPr>
        <w:t>2025</w:t>
      </w:r>
    </w:p>
    <w:p w14:paraId="121E00A9" w14:textId="77777777" w:rsidR="00C447DA" w:rsidRDefault="00C447DA" w:rsidP="00C447DA">
      <w:pPr>
        <w:keepNext/>
        <w:tabs>
          <w:tab w:val="left" w:pos="3402"/>
        </w:tabs>
        <w:spacing w:before="1440" w:line="300" w:lineRule="atLeast"/>
        <w:ind w:right="397"/>
        <w:rPr>
          <w:b/>
          <w:szCs w:val="22"/>
        </w:rPr>
      </w:pPr>
      <w:r>
        <w:rPr>
          <w:szCs w:val="22"/>
        </w:rPr>
        <w:t>Matt Thistlethwaite</w:t>
      </w:r>
    </w:p>
    <w:p w14:paraId="240BFF01" w14:textId="77777777" w:rsidR="00C447DA" w:rsidRPr="00E00F09" w:rsidRDefault="00C447DA" w:rsidP="00C447DA">
      <w:pPr>
        <w:pStyle w:val="SignCoverPageEnd"/>
        <w:ind w:right="91"/>
        <w:rPr>
          <w:sz w:val="22"/>
        </w:rPr>
      </w:pPr>
      <w:r w:rsidRPr="00E00F09">
        <w:rPr>
          <w:sz w:val="22"/>
        </w:rPr>
        <w:t>Assistant Minister for Immigration</w:t>
      </w:r>
    </w:p>
    <w:p w14:paraId="7B429842" w14:textId="77777777" w:rsidR="00C447DA" w:rsidRPr="00E00F09" w:rsidRDefault="00C447DA" w:rsidP="00C447DA"/>
    <w:p w14:paraId="44D82672" w14:textId="77777777" w:rsidR="00C447DA" w:rsidRPr="00E00F09" w:rsidRDefault="00C447DA" w:rsidP="00C447DA"/>
    <w:p w14:paraId="3347B0AB" w14:textId="77777777" w:rsidR="00C447DA" w:rsidRPr="00E00F09" w:rsidRDefault="00C447DA" w:rsidP="00C447DA"/>
    <w:p w14:paraId="60514E03" w14:textId="77777777" w:rsidR="00C447DA" w:rsidRPr="00E00F09" w:rsidRDefault="00C447DA" w:rsidP="00C447DA">
      <w:pPr>
        <w:spacing w:line="240" w:lineRule="auto"/>
        <w:sectPr w:rsidR="00C447DA" w:rsidRPr="00E00F09">
          <w:pgSz w:w="11907" w:h="16839"/>
          <w:pgMar w:top="2234" w:right="1797" w:bottom="1440" w:left="1797" w:header="720" w:footer="989" w:gutter="0"/>
          <w:pgNumType w:start="1"/>
          <w:cols w:space="720"/>
        </w:sectPr>
      </w:pPr>
    </w:p>
    <w:p w14:paraId="2A2AA447" w14:textId="77777777" w:rsidR="00C447DA" w:rsidRDefault="00C447DA" w:rsidP="00C447DA">
      <w:r>
        <w:rPr>
          <w:rFonts w:eastAsia="Times New Roman" w:cs="Times New Roman"/>
          <w:kern w:val="28"/>
          <w:sz w:val="18"/>
          <w:lang w:eastAsia="en-AU"/>
        </w:rPr>
        <w:lastRenderedPageBreak/>
        <w:fldChar w:fldCharType="begin"/>
      </w:r>
    </w:p>
    <w:p w14:paraId="40ED13CE" w14:textId="77777777" w:rsidR="00C447DA" w:rsidRDefault="00C447DA" w:rsidP="00C447D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instrText xml:space="preserve">1 Name </w:instrText>
      </w:r>
      <w:r>
        <w:rPr>
          <w:noProof/>
        </w:rPr>
        <w:fldChar w:fldCharType="begin"/>
      </w:r>
      <w:r>
        <w:rPr>
          <w:noProof/>
        </w:rPr>
        <w:instrText xml:space="preserve"> PAGEREF _Toc454512513 \h </w:instrText>
      </w:r>
      <w:r>
        <w:rPr>
          <w:noProof/>
        </w:rPr>
      </w:r>
      <w:r>
        <w:rPr>
          <w:noProof/>
        </w:rPr>
        <w:fldChar w:fldCharType="separate"/>
      </w:r>
      <w:r>
        <w:rPr>
          <w:noProof/>
        </w:rPr>
        <w:instrText>1</w:instrText>
      </w:r>
      <w:r>
        <w:rPr>
          <w:noProof/>
        </w:rPr>
        <w:fldChar w:fldCharType="end"/>
      </w:r>
    </w:p>
    <w:p w14:paraId="621DA1C5" w14:textId="77777777" w:rsidR="00C447DA" w:rsidRDefault="00C447DA" w:rsidP="00C447DA">
      <w:pPr>
        <w:pStyle w:val="TOC5"/>
        <w:rPr>
          <w:rFonts w:asciiTheme="minorHAnsi" w:eastAsiaTheme="minorEastAsia" w:hAnsiTheme="minorHAnsi" w:cstheme="minorBidi"/>
          <w:noProof/>
          <w:kern w:val="0"/>
          <w:sz w:val="22"/>
          <w:szCs w:val="22"/>
        </w:rPr>
      </w:pPr>
      <w:r>
        <w:rPr>
          <w:noProof/>
        </w:rPr>
        <w:instrText xml:space="preserve">2 Commencement </w:instrText>
      </w:r>
      <w:r>
        <w:rPr>
          <w:noProof/>
        </w:rPr>
        <w:fldChar w:fldCharType="begin"/>
      </w:r>
      <w:r>
        <w:rPr>
          <w:noProof/>
        </w:rPr>
        <w:instrText xml:space="preserve"> PAGEREF _Toc454512514 \h </w:instrText>
      </w:r>
      <w:r>
        <w:rPr>
          <w:noProof/>
        </w:rPr>
      </w:r>
      <w:r>
        <w:rPr>
          <w:noProof/>
        </w:rPr>
        <w:fldChar w:fldCharType="separate"/>
      </w:r>
      <w:r>
        <w:rPr>
          <w:noProof/>
        </w:rPr>
        <w:instrText>1</w:instrText>
      </w:r>
      <w:r>
        <w:rPr>
          <w:noProof/>
        </w:rPr>
        <w:fldChar w:fldCharType="end"/>
      </w:r>
    </w:p>
    <w:p w14:paraId="25D3FDE6" w14:textId="77777777" w:rsidR="00C447DA" w:rsidRDefault="00C447DA" w:rsidP="00C447DA">
      <w:pPr>
        <w:pStyle w:val="TOC5"/>
        <w:rPr>
          <w:rFonts w:asciiTheme="minorHAnsi" w:eastAsiaTheme="minorEastAsia" w:hAnsiTheme="minorHAnsi" w:cstheme="minorBidi"/>
          <w:noProof/>
          <w:kern w:val="0"/>
          <w:sz w:val="22"/>
          <w:szCs w:val="22"/>
        </w:rPr>
      </w:pPr>
      <w:r>
        <w:rPr>
          <w:noProof/>
        </w:rPr>
        <w:instrText xml:space="preserve">3 Authority </w:instrText>
      </w:r>
      <w:r>
        <w:rPr>
          <w:noProof/>
        </w:rPr>
        <w:fldChar w:fldCharType="begin"/>
      </w:r>
      <w:r>
        <w:rPr>
          <w:noProof/>
        </w:rPr>
        <w:instrText xml:space="preserve"> PAGEREF _Toc454512515 \h </w:instrText>
      </w:r>
      <w:r>
        <w:rPr>
          <w:noProof/>
        </w:rPr>
      </w:r>
      <w:r>
        <w:rPr>
          <w:noProof/>
        </w:rPr>
        <w:fldChar w:fldCharType="separate"/>
      </w:r>
      <w:r>
        <w:rPr>
          <w:noProof/>
        </w:rPr>
        <w:instrText>1</w:instrText>
      </w:r>
      <w:r>
        <w:rPr>
          <w:noProof/>
        </w:rPr>
        <w:fldChar w:fldCharType="end"/>
      </w:r>
    </w:p>
    <w:p w14:paraId="50C039A5" w14:textId="77777777" w:rsidR="00C447DA" w:rsidRDefault="00C447DA" w:rsidP="00C447DA">
      <w:pPr>
        <w:pStyle w:val="TOC5"/>
        <w:rPr>
          <w:rFonts w:asciiTheme="minorHAnsi" w:eastAsiaTheme="minorEastAsia" w:hAnsiTheme="minorHAnsi" w:cstheme="minorBidi"/>
          <w:noProof/>
          <w:kern w:val="0"/>
          <w:sz w:val="22"/>
          <w:szCs w:val="22"/>
        </w:rPr>
      </w:pPr>
      <w:r>
        <w:rPr>
          <w:noProof/>
        </w:rPr>
        <w:instrText xml:space="preserve">4 Definitions </w:instrText>
      </w:r>
      <w:r>
        <w:rPr>
          <w:noProof/>
        </w:rPr>
        <w:fldChar w:fldCharType="begin"/>
      </w:r>
      <w:r>
        <w:rPr>
          <w:noProof/>
        </w:rPr>
        <w:instrText xml:space="preserve"> PAGEREF _Toc454512516 \h </w:instrText>
      </w:r>
      <w:r>
        <w:rPr>
          <w:noProof/>
        </w:rPr>
      </w:r>
      <w:r>
        <w:rPr>
          <w:noProof/>
        </w:rPr>
        <w:fldChar w:fldCharType="separate"/>
      </w:r>
      <w:r>
        <w:rPr>
          <w:noProof/>
        </w:rPr>
        <w:instrText>1</w:instrText>
      </w:r>
      <w:r>
        <w:rPr>
          <w:noProof/>
        </w:rPr>
        <w:fldChar w:fldCharType="end"/>
      </w:r>
    </w:p>
    <w:p w14:paraId="797047A7" w14:textId="77777777" w:rsidR="00C447DA" w:rsidRDefault="00C447DA" w:rsidP="00C447DA">
      <w:pPr>
        <w:pStyle w:val="TOC5"/>
        <w:rPr>
          <w:noProof/>
        </w:rPr>
      </w:pPr>
      <w:r>
        <w:rPr>
          <w:noProof/>
        </w:rPr>
        <w:instrText>5 Schedules 3</w:instrText>
      </w:r>
    </w:p>
    <w:p w14:paraId="6379D444" w14:textId="77777777" w:rsidR="00C447DA" w:rsidRDefault="00C447DA" w:rsidP="00C447DA">
      <w:pPr>
        <w:pStyle w:val="TOC5"/>
      </w:pPr>
      <w:r>
        <w:instrText>6 Application and savings provisions 3</w:instrText>
      </w:r>
    </w:p>
    <w:p w14:paraId="53D1259F" w14:textId="77777777" w:rsidR="00C447DA" w:rsidRDefault="00C447DA" w:rsidP="00C447DA">
      <w:pPr>
        <w:pStyle w:val="TOC5"/>
        <w:rPr>
          <w:rFonts w:eastAsiaTheme="minorEastAsia"/>
        </w:rPr>
      </w:pPr>
      <w:r>
        <w:rPr>
          <w:rFonts w:eastAsiaTheme="minorEastAsia"/>
        </w:rPr>
        <w:instrText>7 Compliance with this instrument 3</w:instrText>
      </w:r>
    </w:p>
    <w:p w14:paraId="199D1457" w14:textId="77777777" w:rsidR="00C447DA" w:rsidRDefault="00C447DA" w:rsidP="00C447DA">
      <w:pPr>
        <w:pStyle w:val="TOC5"/>
        <w:rPr>
          <w:rFonts w:eastAsiaTheme="minorEastAsia"/>
        </w:rPr>
      </w:pPr>
      <w:r>
        <w:rPr>
          <w:rFonts w:eastAsiaTheme="minorEastAsia"/>
        </w:rPr>
        <w:instrText>8 Value of required investments 4</w:instrText>
      </w:r>
    </w:p>
    <w:p w14:paraId="3A21FD56" w14:textId="77777777" w:rsidR="00C447DA" w:rsidRDefault="00C447DA" w:rsidP="00C447DA">
      <w:pPr>
        <w:pStyle w:val="TOC5"/>
        <w:rPr>
          <w:rFonts w:eastAsiaTheme="minorEastAsia"/>
        </w:rPr>
      </w:pPr>
      <w:r>
        <w:rPr>
          <w:rFonts w:eastAsiaTheme="minorEastAsia"/>
        </w:rPr>
        <w:instrText>9 Timing of required investments 4</w:instrText>
      </w:r>
    </w:p>
    <w:p w14:paraId="45009AC4" w14:textId="77777777" w:rsidR="00C447DA" w:rsidRDefault="00C447DA" w:rsidP="00C447DA">
      <w:pPr>
        <w:pStyle w:val="TOC5"/>
        <w:rPr>
          <w:rFonts w:eastAsiaTheme="minorEastAsia"/>
        </w:rPr>
      </w:pPr>
      <w:r>
        <w:rPr>
          <w:rFonts w:eastAsiaTheme="minorEastAsia"/>
        </w:rPr>
        <w:instrText>10 Venture capital fund investments 4</w:instrText>
      </w:r>
    </w:p>
    <w:p w14:paraId="433E38D4" w14:textId="77777777" w:rsidR="00C447DA" w:rsidRDefault="00C447DA" w:rsidP="00C447DA">
      <w:pPr>
        <w:pStyle w:val="TOC5"/>
        <w:rPr>
          <w:rFonts w:eastAsiaTheme="minorEastAsia"/>
        </w:rPr>
      </w:pPr>
      <w:r>
        <w:rPr>
          <w:rFonts w:eastAsiaTheme="minorEastAsia"/>
        </w:rPr>
        <w:instrText>11 Emerging companies investments 5</w:instrText>
      </w:r>
    </w:p>
    <w:p w14:paraId="4516FEDF" w14:textId="77777777" w:rsidR="00C447DA" w:rsidRDefault="00C447DA" w:rsidP="00C447DA">
      <w:pPr>
        <w:pStyle w:val="TOC5"/>
        <w:rPr>
          <w:rFonts w:eastAsiaTheme="minorEastAsia"/>
        </w:rPr>
      </w:pPr>
      <w:r>
        <w:rPr>
          <w:rFonts w:eastAsiaTheme="minorEastAsia"/>
        </w:rPr>
        <w:instrText>12 Balancing investments 7</w:instrText>
      </w:r>
    </w:p>
    <w:p w14:paraId="1E3C9365" w14:textId="77777777" w:rsidR="00C447DA" w:rsidRDefault="00C447DA" w:rsidP="00C447DA">
      <w:pPr>
        <w:pStyle w:val="TOC5"/>
        <w:rPr>
          <w:rFonts w:eastAsiaTheme="minorEastAsia"/>
        </w:rPr>
      </w:pPr>
      <w:r>
        <w:rPr>
          <w:rFonts w:eastAsiaTheme="minorEastAsia"/>
        </w:rPr>
        <w:instrText>13 General requirements 8</w:instrText>
      </w:r>
    </w:p>
    <w:p w14:paraId="14EF5021" w14:textId="77777777" w:rsidR="00C447DA" w:rsidRDefault="00C447DA" w:rsidP="00C447DA">
      <w:pPr>
        <w:pStyle w:val="TOC5"/>
        <w:rPr>
          <w:rFonts w:eastAsiaTheme="minorEastAsia"/>
        </w:rPr>
      </w:pPr>
      <w:r>
        <w:rPr>
          <w:rFonts w:eastAsiaTheme="minorEastAsia"/>
        </w:rPr>
        <w:instrText>14 Allowable non compliance period 10</w:instrText>
      </w:r>
    </w:p>
    <w:p w14:paraId="3BE1AB93" w14:textId="77777777" w:rsidR="00C447DA" w:rsidRDefault="00C447DA" w:rsidP="00C447DA">
      <w:pPr>
        <w:pStyle w:val="TOC6"/>
        <w:rPr>
          <w:rFonts w:asciiTheme="minorHAnsi" w:eastAsiaTheme="minorEastAsia" w:hAnsiTheme="minorHAnsi" w:cstheme="minorBidi"/>
          <w:b w:val="0"/>
          <w:noProof/>
          <w:kern w:val="0"/>
          <w:sz w:val="22"/>
          <w:szCs w:val="22"/>
        </w:rPr>
      </w:pPr>
      <w:r>
        <w:rPr>
          <w:noProof/>
        </w:rPr>
        <w:instrText>Schedule 1—Repeals</w:instrText>
      </w:r>
      <w:r>
        <w:rPr>
          <w:b w:val="0"/>
          <w:noProof/>
          <w:sz w:val="18"/>
        </w:rPr>
        <w:instrText xml:space="preserve"> 11</w:instrText>
      </w:r>
    </w:p>
    <w:p w14:paraId="5B7FF8F9" w14:textId="77777777" w:rsidR="00C447DA" w:rsidRDefault="00C447DA" w:rsidP="00C447DA">
      <w:pPr>
        <w:pStyle w:val="TOC9"/>
        <w:rPr>
          <w:rFonts w:asciiTheme="minorHAnsi" w:eastAsiaTheme="minorEastAsia" w:hAnsiTheme="minorHAnsi" w:cstheme="minorBidi"/>
          <w:i w:val="0"/>
          <w:noProof/>
          <w:kern w:val="0"/>
          <w:sz w:val="22"/>
          <w:szCs w:val="22"/>
        </w:rPr>
      </w:pPr>
      <w:r>
        <w:rPr>
          <w:noProof/>
        </w:rPr>
        <w:instrText>Migration (IMMI 15/100: Complying Investments) Instrument 2015</w:instrText>
      </w:r>
      <w:r>
        <w:rPr>
          <w:i w:val="0"/>
          <w:noProof/>
          <w:sz w:val="18"/>
        </w:rPr>
        <w:instrText xml:space="preserve"> 11</w:instrText>
      </w:r>
    </w:p>
    <w:p w14:paraId="577F48BD" w14:textId="77777777" w:rsidR="00C447DA" w:rsidRDefault="00C447DA" w:rsidP="00C447DA">
      <w:pPr>
        <w:outlineLvl w:val="0"/>
      </w:pPr>
      <w:r>
        <w:fldChar w:fldCharType="end"/>
      </w:r>
    </w:p>
    <w:p w14:paraId="49166429" w14:textId="77777777" w:rsidR="00C447DA" w:rsidRDefault="00C447DA" w:rsidP="00C447DA">
      <w:pPr>
        <w:pStyle w:val="TOC5"/>
        <w:rPr>
          <w:rFonts w:asciiTheme="minorHAnsi" w:eastAsiaTheme="minorEastAsia" w:hAnsiTheme="minorHAnsi" w:cstheme="minorBidi"/>
          <w:noProof/>
          <w:kern w:val="0"/>
          <w:sz w:val="22"/>
          <w:szCs w:val="22"/>
          <w:lang w:val="fr-FR"/>
        </w:rPr>
      </w:pPr>
      <w:r>
        <w:fldChar w:fldCharType="separate"/>
      </w:r>
      <w:r>
        <w:rPr>
          <w:noProof/>
          <w:lang w:val="fr-FR"/>
        </w:rPr>
        <w:t>1</w:t>
      </w:r>
      <w:r>
        <w:rPr>
          <w:noProof/>
          <w:lang w:val="fr-FR"/>
        </w:rPr>
        <w:tab/>
        <w:t>Name</w:t>
      </w:r>
      <w:r>
        <w:rPr>
          <w:noProof/>
          <w:lang w:val="fr-FR"/>
        </w:rPr>
        <w:tab/>
      </w:r>
      <w:r>
        <w:rPr>
          <w:noProof/>
        </w:rPr>
        <w:fldChar w:fldCharType="begin"/>
      </w:r>
      <w:r>
        <w:rPr>
          <w:noProof/>
          <w:lang w:val="fr-FR"/>
        </w:rPr>
        <w:instrText xml:space="preserve"> PAGEREF _Toc454512513 \h </w:instrText>
      </w:r>
      <w:r>
        <w:rPr>
          <w:noProof/>
        </w:rPr>
      </w:r>
      <w:r>
        <w:rPr>
          <w:noProof/>
        </w:rPr>
        <w:fldChar w:fldCharType="separate"/>
      </w:r>
      <w:r>
        <w:rPr>
          <w:noProof/>
          <w:lang w:val="fr-FR"/>
        </w:rPr>
        <w:t>1</w:t>
      </w:r>
      <w:r>
        <w:rPr>
          <w:noProof/>
        </w:rPr>
        <w:fldChar w:fldCharType="end"/>
      </w:r>
    </w:p>
    <w:p w14:paraId="7B0D4924" w14:textId="77777777" w:rsidR="00C447DA" w:rsidRDefault="00C447DA" w:rsidP="00C447DA">
      <w:pPr>
        <w:pStyle w:val="TOC5"/>
        <w:rPr>
          <w:rFonts w:asciiTheme="minorHAnsi" w:eastAsiaTheme="minorEastAsia" w:hAnsiTheme="minorHAnsi" w:cstheme="minorBidi"/>
          <w:noProof/>
          <w:kern w:val="0"/>
          <w:sz w:val="22"/>
          <w:szCs w:val="22"/>
          <w:lang w:val="fr-FR"/>
        </w:rPr>
      </w:pPr>
      <w:r>
        <w:rPr>
          <w:noProof/>
          <w:lang w:val="fr-FR"/>
        </w:rPr>
        <w:t>2</w:t>
      </w:r>
      <w:r>
        <w:rPr>
          <w:noProof/>
          <w:lang w:val="fr-FR"/>
        </w:rPr>
        <w:tab/>
        <w:t>Commencement</w:t>
      </w:r>
      <w:r>
        <w:rPr>
          <w:noProof/>
          <w:lang w:val="fr-FR"/>
        </w:rPr>
        <w:tab/>
      </w:r>
      <w:r>
        <w:rPr>
          <w:noProof/>
        </w:rPr>
        <w:fldChar w:fldCharType="begin"/>
      </w:r>
      <w:r>
        <w:rPr>
          <w:noProof/>
          <w:lang w:val="fr-FR"/>
        </w:rPr>
        <w:instrText xml:space="preserve"> PAGEREF _Toc454512514 \h </w:instrText>
      </w:r>
      <w:r>
        <w:rPr>
          <w:noProof/>
        </w:rPr>
      </w:r>
      <w:r>
        <w:rPr>
          <w:noProof/>
        </w:rPr>
        <w:fldChar w:fldCharType="separate"/>
      </w:r>
      <w:r>
        <w:rPr>
          <w:noProof/>
          <w:lang w:val="fr-FR"/>
        </w:rPr>
        <w:t>1</w:t>
      </w:r>
      <w:r>
        <w:rPr>
          <w:noProof/>
        </w:rPr>
        <w:fldChar w:fldCharType="end"/>
      </w:r>
    </w:p>
    <w:p w14:paraId="47BBD886" w14:textId="77777777" w:rsidR="00C447DA" w:rsidRDefault="00C447DA" w:rsidP="00C447DA">
      <w:pPr>
        <w:pStyle w:val="TOC5"/>
        <w:rPr>
          <w:rFonts w:asciiTheme="minorHAnsi" w:eastAsiaTheme="minorEastAsia" w:hAnsiTheme="minorHAnsi" w:cstheme="minorBidi"/>
          <w:noProof/>
          <w:kern w:val="0"/>
          <w:sz w:val="22"/>
          <w:szCs w:val="22"/>
        </w:rPr>
      </w:pPr>
      <w:r>
        <w:rPr>
          <w:noProof/>
        </w:rPr>
        <w:t>3</w:t>
      </w:r>
      <w:r>
        <w:rPr>
          <w:noProof/>
        </w:rPr>
        <w:tab/>
        <w:t>Authority</w:t>
      </w:r>
      <w:r>
        <w:rPr>
          <w:noProof/>
        </w:rPr>
        <w:tab/>
      </w:r>
      <w:r>
        <w:rPr>
          <w:noProof/>
        </w:rPr>
        <w:fldChar w:fldCharType="begin"/>
      </w:r>
      <w:r>
        <w:rPr>
          <w:noProof/>
        </w:rPr>
        <w:instrText xml:space="preserve"> PAGEREF _Toc454512515 \h </w:instrText>
      </w:r>
      <w:r>
        <w:rPr>
          <w:noProof/>
        </w:rPr>
      </w:r>
      <w:r>
        <w:rPr>
          <w:noProof/>
        </w:rPr>
        <w:fldChar w:fldCharType="separate"/>
      </w:r>
      <w:r>
        <w:rPr>
          <w:noProof/>
        </w:rPr>
        <w:t>1</w:t>
      </w:r>
      <w:r>
        <w:rPr>
          <w:noProof/>
        </w:rPr>
        <w:fldChar w:fldCharType="end"/>
      </w:r>
    </w:p>
    <w:p w14:paraId="0C6E5CA2" w14:textId="77777777" w:rsidR="00C447DA" w:rsidRDefault="00C447DA" w:rsidP="00C447DA">
      <w:pPr>
        <w:pStyle w:val="TOC5"/>
        <w:rPr>
          <w:rFonts w:asciiTheme="minorHAnsi" w:eastAsiaTheme="minorEastAsia" w:hAnsiTheme="minorHAnsi" w:cstheme="minorBidi"/>
          <w:noProof/>
          <w:kern w:val="0"/>
          <w:sz w:val="22"/>
          <w:szCs w:val="22"/>
        </w:rPr>
      </w:pPr>
      <w:r>
        <w:rPr>
          <w:noProof/>
        </w:rPr>
        <w:t>4</w:t>
      </w:r>
      <w:r>
        <w:rPr>
          <w:noProof/>
        </w:rPr>
        <w:tab/>
        <w:t>Definitions</w:t>
      </w:r>
      <w:r>
        <w:rPr>
          <w:noProof/>
        </w:rPr>
        <w:tab/>
      </w:r>
      <w:r>
        <w:rPr>
          <w:noProof/>
        </w:rPr>
        <w:fldChar w:fldCharType="begin"/>
      </w:r>
      <w:r>
        <w:rPr>
          <w:noProof/>
        </w:rPr>
        <w:instrText xml:space="preserve"> PAGEREF _Toc454512516 \h </w:instrText>
      </w:r>
      <w:r>
        <w:rPr>
          <w:noProof/>
        </w:rPr>
      </w:r>
      <w:r>
        <w:rPr>
          <w:noProof/>
        </w:rPr>
        <w:fldChar w:fldCharType="separate"/>
      </w:r>
      <w:r>
        <w:rPr>
          <w:noProof/>
        </w:rPr>
        <w:t>1</w:t>
      </w:r>
      <w:r>
        <w:rPr>
          <w:noProof/>
        </w:rPr>
        <w:fldChar w:fldCharType="end"/>
      </w:r>
    </w:p>
    <w:p w14:paraId="00E45F10" w14:textId="77777777" w:rsidR="00C447DA" w:rsidRDefault="00C447DA" w:rsidP="00C447DA">
      <w:pPr>
        <w:pStyle w:val="TOC5"/>
        <w:rPr>
          <w:noProof/>
        </w:rPr>
      </w:pPr>
      <w:r>
        <w:rPr>
          <w:noProof/>
        </w:rPr>
        <w:t>5</w:t>
      </w:r>
      <w:r>
        <w:rPr>
          <w:noProof/>
        </w:rPr>
        <w:tab/>
        <w:t>Schedules</w:t>
      </w:r>
      <w:r>
        <w:rPr>
          <w:noProof/>
        </w:rPr>
        <w:tab/>
        <w:t>3</w:t>
      </w:r>
    </w:p>
    <w:p w14:paraId="541FA2BB" w14:textId="77777777" w:rsidR="00C447DA" w:rsidRDefault="00C447DA" w:rsidP="00C447DA">
      <w:pPr>
        <w:pStyle w:val="TOC5"/>
      </w:pPr>
      <w:r>
        <w:t>6</w:t>
      </w:r>
      <w:r>
        <w:tab/>
        <w:t>Application and savings provisions</w:t>
      </w:r>
      <w:r>
        <w:tab/>
        <w:t>3</w:t>
      </w:r>
    </w:p>
    <w:p w14:paraId="5CB2C96F" w14:textId="77777777" w:rsidR="00C447DA" w:rsidRDefault="00C447DA" w:rsidP="00C447DA">
      <w:pPr>
        <w:pStyle w:val="TOC5"/>
        <w:rPr>
          <w:rFonts w:eastAsiaTheme="minorEastAsia"/>
        </w:rPr>
      </w:pPr>
      <w:r>
        <w:rPr>
          <w:rFonts w:eastAsiaTheme="minorEastAsia"/>
        </w:rPr>
        <w:t>7</w:t>
      </w:r>
      <w:r>
        <w:rPr>
          <w:rFonts w:eastAsiaTheme="minorEastAsia"/>
        </w:rPr>
        <w:tab/>
        <w:t>Compliance with this instrument</w:t>
      </w:r>
      <w:r>
        <w:rPr>
          <w:rFonts w:eastAsiaTheme="minorEastAsia"/>
        </w:rPr>
        <w:tab/>
        <w:t>3</w:t>
      </w:r>
    </w:p>
    <w:p w14:paraId="51E68309" w14:textId="77777777" w:rsidR="00C447DA" w:rsidRDefault="00C447DA" w:rsidP="00C447DA">
      <w:pPr>
        <w:pStyle w:val="TOC5"/>
        <w:rPr>
          <w:rFonts w:eastAsiaTheme="minorEastAsia"/>
        </w:rPr>
      </w:pPr>
      <w:r>
        <w:rPr>
          <w:rFonts w:eastAsiaTheme="minorEastAsia"/>
        </w:rPr>
        <w:t>8</w:t>
      </w:r>
      <w:r>
        <w:rPr>
          <w:rFonts w:eastAsiaTheme="minorEastAsia"/>
        </w:rPr>
        <w:tab/>
        <w:t>Value of required investments</w:t>
      </w:r>
      <w:r>
        <w:rPr>
          <w:rFonts w:eastAsiaTheme="minorEastAsia"/>
        </w:rPr>
        <w:tab/>
        <w:t>4</w:t>
      </w:r>
    </w:p>
    <w:p w14:paraId="133DD6B3" w14:textId="77777777" w:rsidR="00C447DA" w:rsidRDefault="00C447DA" w:rsidP="00C447DA">
      <w:pPr>
        <w:pStyle w:val="TOC5"/>
        <w:rPr>
          <w:rFonts w:eastAsiaTheme="minorEastAsia"/>
        </w:rPr>
      </w:pPr>
      <w:r>
        <w:rPr>
          <w:rFonts w:eastAsiaTheme="minorEastAsia"/>
        </w:rPr>
        <w:t>9</w:t>
      </w:r>
      <w:r>
        <w:rPr>
          <w:rFonts w:eastAsiaTheme="minorEastAsia"/>
        </w:rPr>
        <w:tab/>
        <w:t>Timing of required investments</w:t>
      </w:r>
      <w:r>
        <w:rPr>
          <w:rFonts w:eastAsiaTheme="minorEastAsia"/>
        </w:rPr>
        <w:tab/>
        <w:t>4</w:t>
      </w:r>
    </w:p>
    <w:p w14:paraId="4662501E" w14:textId="77777777" w:rsidR="00C447DA" w:rsidRDefault="00C447DA" w:rsidP="00C447DA">
      <w:pPr>
        <w:pStyle w:val="TOC5"/>
        <w:rPr>
          <w:rFonts w:eastAsiaTheme="minorEastAsia"/>
        </w:rPr>
      </w:pPr>
      <w:r>
        <w:rPr>
          <w:rFonts w:eastAsiaTheme="minorEastAsia"/>
        </w:rPr>
        <w:t>10</w:t>
      </w:r>
      <w:r>
        <w:rPr>
          <w:rFonts w:eastAsiaTheme="minorEastAsia"/>
        </w:rPr>
        <w:tab/>
        <w:t>Venture capital fund investments</w:t>
      </w:r>
      <w:r>
        <w:rPr>
          <w:rFonts w:eastAsiaTheme="minorEastAsia"/>
        </w:rPr>
        <w:tab/>
        <w:t>4</w:t>
      </w:r>
    </w:p>
    <w:p w14:paraId="44A8667D" w14:textId="77777777" w:rsidR="00C447DA" w:rsidRDefault="00C447DA" w:rsidP="00C447DA">
      <w:pPr>
        <w:pStyle w:val="TOC5"/>
        <w:rPr>
          <w:rFonts w:eastAsiaTheme="minorEastAsia"/>
        </w:rPr>
      </w:pPr>
      <w:r>
        <w:rPr>
          <w:rFonts w:eastAsiaTheme="minorEastAsia"/>
        </w:rPr>
        <w:t>11</w:t>
      </w:r>
      <w:r>
        <w:rPr>
          <w:rFonts w:eastAsiaTheme="minorEastAsia"/>
        </w:rPr>
        <w:tab/>
        <w:t>Emerging companies investments</w:t>
      </w:r>
      <w:r>
        <w:rPr>
          <w:rFonts w:eastAsiaTheme="minorEastAsia"/>
        </w:rPr>
        <w:tab/>
        <w:t>5</w:t>
      </w:r>
    </w:p>
    <w:p w14:paraId="0B70B037" w14:textId="77777777" w:rsidR="00C447DA" w:rsidRDefault="00C447DA" w:rsidP="00C447DA">
      <w:pPr>
        <w:pStyle w:val="TOC5"/>
        <w:rPr>
          <w:rFonts w:eastAsiaTheme="minorEastAsia"/>
        </w:rPr>
      </w:pPr>
      <w:r>
        <w:rPr>
          <w:rFonts w:eastAsiaTheme="minorEastAsia"/>
        </w:rPr>
        <w:t>12</w:t>
      </w:r>
      <w:r>
        <w:rPr>
          <w:rFonts w:eastAsiaTheme="minorEastAsia"/>
        </w:rPr>
        <w:tab/>
        <w:t>Balancing investments</w:t>
      </w:r>
      <w:r>
        <w:rPr>
          <w:rFonts w:eastAsiaTheme="minorEastAsia"/>
        </w:rPr>
        <w:tab/>
        <w:t>7</w:t>
      </w:r>
    </w:p>
    <w:p w14:paraId="7D24E98C" w14:textId="77777777" w:rsidR="00C447DA" w:rsidRDefault="00C447DA" w:rsidP="00C447DA">
      <w:pPr>
        <w:pStyle w:val="TOC5"/>
        <w:rPr>
          <w:rFonts w:eastAsiaTheme="minorEastAsia"/>
        </w:rPr>
      </w:pPr>
      <w:r>
        <w:rPr>
          <w:rFonts w:eastAsiaTheme="minorEastAsia"/>
        </w:rPr>
        <w:t>13</w:t>
      </w:r>
      <w:r>
        <w:rPr>
          <w:rFonts w:eastAsiaTheme="minorEastAsia"/>
        </w:rPr>
        <w:tab/>
        <w:t>General requirements</w:t>
      </w:r>
      <w:r>
        <w:rPr>
          <w:rFonts w:eastAsiaTheme="minorEastAsia"/>
        </w:rPr>
        <w:tab/>
        <w:t>8</w:t>
      </w:r>
    </w:p>
    <w:p w14:paraId="0C208936" w14:textId="77777777" w:rsidR="00C447DA" w:rsidRDefault="00C447DA" w:rsidP="00C447DA">
      <w:pPr>
        <w:pStyle w:val="TOC5"/>
        <w:rPr>
          <w:rFonts w:eastAsiaTheme="minorEastAsia"/>
        </w:rPr>
      </w:pPr>
      <w:r>
        <w:rPr>
          <w:rFonts w:eastAsiaTheme="minorEastAsia"/>
        </w:rPr>
        <w:t>14</w:t>
      </w:r>
      <w:r>
        <w:rPr>
          <w:rFonts w:eastAsiaTheme="minorEastAsia"/>
        </w:rPr>
        <w:tab/>
        <w:t>Allowable non compliance period</w:t>
      </w:r>
      <w:r>
        <w:rPr>
          <w:rFonts w:eastAsiaTheme="minorEastAsia"/>
        </w:rPr>
        <w:tab/>
        <w:t>10</w:t>
      </w:r>
    </w:p>
    <w:p w14:paraId="573C9F14" w14:textId="77777777" w:rsidR="00C447DA" w:rsidRDefault="00C447DA" w:rsidP="00C447DA">
      <w:pPr>
        <w:pStyle w:val="TOC6"/>
        <w:rPr>
          <w:rFonts w:asciiTheme="minorHAnsi" w:eastAsiaTheme="minorEastAsia" w:hAnsiTheme="minorHAnsi" w:cstheme="minorBidi"/>
          <w:b w:val="0"/>
          <w:noProof/>
          <w:kern w:val="0"/>
          <w:sz w:val="22"/>
          <w:szCs w:val="22"/>
        </w:rPr>
      </w:pPr>
      <w:r>
        <w:rPr>
          <w:noProof/>
        </w:rPr>
        <w:t>Schedule 1—Repeals</w:t>
      </w:r>
      <w:r>
        <w:rPr>
          <w:b w:val="0"/>
          <w:noProof/>
          <w:sz w:val="18"/>
        </w:rPr>
        <w:tab/>
        <w:t>11</w:t>
      </w:r>
    </w:p>
    <w:p w14:paraId="4BAFA086" w14:textId="77777777" w:rsidR="00C447DA" w:rsidRDefault="00C447DA" w:rsidP="00C447DA">
      <w:pPr>
        <w:pStyle w:val="TOC9"/>
        <w:rPr>
          <w:rFonts w:asciiTheme="minorHAnsi" w:eastAsiaTheme="minorEastAsia" w:hAnsiTheme="minorHAnsi" w:cstheme="minorBidi"/>
          <w:i w:val="0"/>
          <w:noProof/>
          <w:kern w:val="0"/>
          <w:sz w:val="22"/>
          <w:szCs w:val="22"/>
        </w:rPr>
      </w:pPr>
      <w:r>
        <w:rPr>
          <w:noProof/>
        </w:rPr>
        <w:t>Migration (IMMI 15/100: Complying Investments) Instrument 2015</w:t>
      </w:r>
      <w:r>
        <w:rPr>
          <w:i w:val="0"/>
          <w:noProof/>
          <w:sz w:val="18"/>
        </w:rPr>
        <w:tab/>
        <w:t>11</w:t>
      </w:r>
    </w:p>
    <w:p w14:paraId="2BAE21DA" w14:textId="77777777" w:rsidR="00C447DA" w:rsidRDefault="00C447DA" w:rsidP="00C447DA">
      <w:pPr>
        <w:outlineLvl w:val="0"/>
        <w:rPr>
          <w:sz w:val="36"/>
        </w:rPr>
      </w:pPr>
      <w:r>
        <w:fldChar w:fldCharType="end"/>
      </w:r>
      <w:r>
        <w:rPr>
          <w:sz w:val="36"/>
        </w:rPr>
        <w:t>Contents</w:t>
      </w:r>
    </w:p>
    <w:p w14:paraId="09329942" w14:textId="6D8095ED" w:rsidR="001A3FD6" w:rsidRDefault="00C447DA">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1A3FD6" w:rsidRPr="005D3F5F">
        <w:rPr>
          <w:noProof/>
        </w:rPr>
        <w:t>Part 1—Preliminary</w:t>
      </w:r>
      <w:r w:rsidR="001A3FD6">
        <w:rPr>
          <w:noProof/>
        </w:rPr>
        <w:tab/>
      </w:r>
      <w:r w:rsidR="001A3FD6">
        <w:rPr>
          <w:noProof/>
        </w:rPr>
        <w:fldChar w:fldCharType="begin"/>
      </w:r>
      <w:r w:rsidR="001A3FD6">
        <w:rPr>
          <w:noProof/>
        </w:rPr>
        <w:instrText xml:space="preserve"> PAGEREF _Toc208577204 \h </w:instrText>
      </w:r>
      <w:r w:rsidR="001A3FD6">
        <w:rPr>
          <w:noProof/>
        </w:rPr>
      </w:r>
      <w:r w:rsidR="001A3FD6">
        <w:rPr>
          <w:noProof/>
        </w:rPr>
        <w:fldChar w:fldCharType="separate"/>
      </w:r>
      <w:r w:rsidR="001A3FD6">
        <w:rPr>
          <w:noProof/>
        </w:rPr>
        <w:t>1</w:t>
      </w:r>
      <w:r w:rsidR="001A3FD6">
        <w:rPr>
          <w:noProof/>
        </w:rPr>
        <w:fldChar w:fldCharType="end"/>
      </w:r>
    </w:p>
    <w:p w14:paraId="752E2029" w14:textId="306B7428" w:rsidR="001A3FD6" w:rsidRDefault="001A3FD6">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_Toc208577205 \h </w:instrText>
      </w:r>
      <w:r>
        <w:rPr>
          <w:noProof/>
        </w:rPr>
      </w:r>
      <w:r>
        <w:rPr>
          <w:noProof/>
        </w:rPr>
        <w:fldChar w:fldCharType="separate"/>
      </w:r>
      <w:r>
        <w:rPr>
          <w:noProof/>
        </w:rPr>
        <w:t>1</w:t>
      </w:r>
      <w:r>
        <w:rPr>
          <w:noProof/>
        </w:rPr>
        <w:fldChar w:fldCharType="end"/>
      </w:r>
    </w:p>
    <w:p w14:paraId="0594C507" w14:textId="267FA913" w:rsidR="001A3FD6" w:rsidRDefault="001A3FD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_Toc208577206 \h </w:instrText>
      </w:r>
      <w:r>
        <w:rPr>
          <w:noProof/>
        </w:rPr>
      </w:r>
      <w:r>
        <w:rPr>
          <w:noProof/>
        </w:rPr>
        <w:fldChar w:fldCharType="separate"/>
      </w:r>
      <w:r>
        <w:rPr>
          <w:noProof/>
        </w:rPr>
        <w:t>1</w:t>
      </w:r>
      <w:r>
        <w:rPr>
          <w:noProof/>
        </w:rPr>
        <w:fldChar w:fldCharType="end"/>
      </w:r>
    </w:p>
    <w:p w14:paraId="37574209" w14:textId="0566770F" w:rsidR="001A3FD6" w:rsidRDefault="001A3FD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_Toc208577207 \h </w:instrText>
      </w:r>
      <w:r>
        <w:rPr>
          <w:noProof/>
        </w:rPr>
      </w:r>
      <w:r>
        <w:rPr>
          <w:noProof/>
        </w:rPr>
        <w:fldChar w:fldCharType="separate"/>
      </w:r>
      <w:r>
        <w:rPr>
          <w:noProof/>
        </w:rPr>
        <w:t>1</w:t>
      </w:r>
      <w:r>
        <w:rPr>
          <w:noProof/>
        </w:rPr>
        <w:fldChar w:fldCharType="end"/>
      </w:r>
    </w:p>
    <w:p w14:paraId="298D185B" w14:textId="761377E6" w:rsidR="001A3FD6" w:rsidRDefault="001A3FD6">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_Toc208577208 \h </w:instrText>
      </w:r>
      <w:r>
        <w:rPr>
          <w:noProof/>
        </w:rPr>
      </w:r>
      <w:r>
        <w:rPr>
          <w:noProof/>
        </w:rPr>
        <w:fldChar w:fldCharType="separate"/>
      </w:r>
      <w:r>
        <w:rPr>
          <w:noProof/>
        </w:rPr>
        <w:t>1</w:t>
      </w:r>
      <w:r>
        <w:rPr>
          <w:noProof/>
        </w:rPr>
        <w:fldChar w:fldCharType="end"/>
      </w:r>
    </w:p>
    <w:p w14:paraId="24EC20AB" w14:textId="7378E2C9" w:rsidR="001A3FD6" w:rsidRDefault="001A3FD6">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_Toc208577209 \h </w:instrText>
      </w:r>
      <w:r>
        <w:rPr>
          <w:noProof/>
        </w:rPr>
      </w:r>
      <w:r>
        <w:rPr>
          <w:noProof/>
        </w:rPr>
        <w:fldChar w:fldCharType="separate"/>
      </w:r>
      <w:r>
        <w:rPr>
          <w:noProof/>
        </w:rPr>
        <w:t>3</w:t>
      </w:r>
      <w:r>
        <w:rPr>
          <w:noProof/>
        </w:rPr>
        <w:fldChar w:fldCharType="end"/>
      </w:r>
    </w:p>
    <w:p w14:paraId="11AE1026" w14:textId="53E33320" w:rsidR="001A3FD6" w:rsidRDefault="001A3FD6">
      <w:pPr>
        <w:pStyle w:val="TOC6"/>
        <w:rPr>
          <w:rFonts w:asciiTheme="minorHAnsi" w:eastAsiaTheme="minorEastAsia" w:hAnsiTheme="minorHAnsi" w:cstheme="minorBidi"/>
          <w:b w:val="0"/>
          <w:noProof/>
          <w:kern w:val="0"/>
          <w:sz w:val="22"/>
          <w:szCs w:val="22"/>
        </w:rPr>
      </w:pPr>
      <w:r w:rsidRPr="005D3F5F">
        <w:rPr>
          <w:noProof/>
        </w:rPr>
        <w:t>Part 2—Complying investments</w:t>
      </w:r>
      <w:r>
        <w:rPr>
          <w:noProof/>
        </w:rPr>
        <w:tab/>
      </w:r>
      <w:r>
        <w:rPr>
          <w:noProof/>
        </w:rPr>
        <w:fldChar w:fldCharType="begin"/>
      </w:r>
      <w:r>
        <w:rPr>
          <w:noProof/>
        </w:rPr>
        <w:instrText xml:space="preserve"> PAGEREF _Toc208577210 \h </w:instrText>
      </w:r>
      <w:r>
        <w:rPr>
          <w:noProof/>
        </w:rPr>
      </w:r>
      <w:r>
        <w:rPr>
          <w:noProof/>
        </w:rPr>
        <w:fldChar w:fldCharType="separate"/>
      </w:r>
      <w:r>
        <w:rPr>
          <w:noProof/>
        </w:rPr>
        <w:t>4</w:t>
      </w:r>
      <w:r>
        <w:rPr>
          <w:noProof/>
        </w:rPr>
        <w:fldChar w:fldCharType="end"/>
      </w:r>
    </w:p>
    <w:p w14:paraId="5DAE34FB" w14:textId="0EA515ED" w:rsidR="001A3FD6" w:rsidRDefault="001A3FD6">
      <w:pPr>
        <w:pStyle w:val="TOC5"/>
        <w:rPr>
          <w:rFonts w:asciiTheme="minorHAnsi" w:eastAsiaTheme="minorEastAsia" w:hAnsiTheme="minorHAnsi" w:cstheme="minorBidi"/>
          <w:noProof/>
          <w:kern w:val="0"/>
          <w:sz w:val="22"/>
          <w:szCs w:val="22"/>
        </w:rPr>
      </w:pPr>
      <w:r>
        <w:rPr>
          <w:noProof/>
        </w:rPr>
        <w:t>6  Compliance with this instrument</w:t>
      </w:r>
      <w:r>
        <w:rPr>
          <w:noProof/>
        </w:rPr>
        <w:tab/>
      </w:r>
      <w:r>
        <w:rPr>
          <w:noProof/>
        </w:rPr>
        <w:fldChar w:fldCharType="begin"/>
      </w:r>
      <w:r>
        <w:rPr>
          <w:noProof/>
        </w:rPr>
        <w:instrText xml:space="preserve"> PAGEREF _Toc208577211 \h </w:instrText>
      </w:r>
      <w:r>
        <w:rPr>
          <w:noProof/>
        </w:rPr>
      </w:r>
      <w:r>
        <w:rPr>
          <w:noProof/>
        </w:rPr>
        <w:fldChar w:fldCharType="separate"/>
      </w:r>
      <w:r>
        <w:rPr>
          <w:noProof/>
        </w:rPr>
        <w:t>4</w:t>
      </w:r>
      <w:r>
        <w:rPr>
          <w:noProof/>
        </w:rPr>
        <w:fldChar w:fldCharType="end"/>
      </w:r>
    </w:p>
    <w:p w14:paraId="7F335D58" w14:textId="513B1172" w:rsidR="001A3FD6" w:rsidRDefault="001A3FD6">
      <w:pPr>
        <w:pStyle w:val="TOC5"/>
        <w:rPr>
          <w:rFonts w:asciiTheme="minorHAnsi" w:eastAsiaTheme="minorEastAsia" w:hAnsiTheme="minorHAnsi" w:cstheme="minorBidi"/>
          <w:noProof/>
          <w:kern w:val="0"/>
          <w:sz w:val="22"/>
          <w:szCs w:val="22"/>
        </w:rPr>
      </w:pPr>
      <w:r>
        <w:rPr>
          <w:noProof/>
        </w:rPr>
        <w:t>7  Value of required investments</w:t>
      </w:r>
      <w:r>
        <w:rPr>
          <w:noProof/>
        </w:rPr>
        <w:tab/>
      </w:r>
      <w:r>
        <w:rPr>
          <w:noProof/>
        </w:rPr>
        <w:fldChar w:fldCharType="begin"/>
      </w:r>
      <w:r>
        <w:rPr>
          <w:noProof/>
        </w:rPr>
        <w:instrText xml:space="preserve"> PAGEREF _Toc208577212 \h </w:instrText>
      </w:r>
      <w:r>
        <w:rPr>
          <w:noProof/>
        </w:rPr>
      </w:r>
      <w:r>
        <w:rPr>
          <w:noProof/>
        </w:rPr>
        <w:fldChar w:fldCharType="separate"/>
      </w:r>
      <w:r>
        <w:rPr>
          <w:noProof/>
        </w:rPr>
        <w:t>4</w:t>
      </w:r>
      <w:r>
        <w:rPr>
          <w:noProof/>
        </w:rPr>
        <w:fldChar w:fldCharType="end"/>
      </w:r>
    </w:p>
    <w:p w14:paraId="7090E2D7" w14:textId="3CA27D86" w:rsidR="001A3FD6" w:rsidRDefault="001A3FD6">
      <w:pPr>
        <w:pStyle w:val="TOC5"/>
        <w:rPr>
          <w:rFonts w:asciiTheme="minorHAnsi" w:eastAsiaTheme="minorEastAsia" w:hAnsiTheme="minorHAnsi" w:cstheme="minorBidi"/>
          <w:noProof/>
          <w:kern w:val="0"/>
          <w:sz w:val="22"/>
          <w:szCs w:val="22"/>
        </w:rPr>
      </w:pPr>
      <w:r>
        <w:rPr>
          <w:noProof/>
        </w:rPr>
        <w:t>8  Timing of required investments</w:t>
      </w:r>
      <w:r>
        <w:rPr>
          <w:noProof/>
        </w:rPr>
        <w:tab/>
      </w:r>
      <w:r>
        <w:rPr>
          <w:noProof/>
        </w:rPr>
        <w:fldChar w:fldCharType="begin"/>
      </w:r>
      <w:r>
        <w:rPr>
          <w:noProof/>
        </w:rPr>
        <w:instrText xml:space="preserve"> PAGEREF _Toc208577213 \h </w:instrText>
      </w:r>
      <w:r>
        <w:rPr>
          <w:noProof/>
        </w:rPr>
      </w:r>
      <w:r>
        <w:rPr>
          <w:noProof/>
        </w:rPr>
        <w:fldChar w:fldCharType="separate"/>
      </w:r>
      <w:r>
        <w:rPr>
          <w:noProof/>
        </w:rPr>
        <w:t>5</w:t>
      </w:r>
      <w:r>
        <w:rPr>
          <w:noProof/>
        </w:rPr>
        <w:fldChar w:fldCharType="end"/>
      </w:r>
    </w:p>
    <w:p w14:paraId="015B4546" w14:textId="4C0C674E" w:rsidR="001A3FD6" w:rsidRDefault="001A3FD6">
      <w:pPr>
        <w:pStyle w:val="TOC5"/>
        <w:rPr>
          <w:rFonts w:asciiTheme="minorHAnsi" w:eastAsiaTheme="minorEastAsia" w:hAnsiTheme="minorHAnsi" w:cstheme="minorBidi"/>
          <w:noProof/>
          <w:kern w:val="0"/>
          <w:sz w:val="22"/>
          <w:szCs w:val="22"/>
        </w:rPr>
      </w:pPr>
      <w:r>
        <w:rPr>
          <w:noProof/>
        </w:rPr>
        <w:t>9  Venture capital fund investments</w:t>
      </w:r>
      <w:r>
        <w:rPr>
          <w:noProof/>
        </w:rPr>
        <w:tab/>
      </w:r>
      <w:r>
        <w:rPr>
          <w:noProof/>
        </w:rPr>
        <w:fldChar w:fldCharType="begin"/>
      </w:r>
      <w:r>
        <w:rPr>
          <w:noProof/>
        </w:rPr>
        <w:instrText xml:space="preserve"> PAGEREF _Toc208577214 \h </w:instrText>
      </w:r>
      <w:r>
        <w:rPr>
          <w:noProof/>
        </w:rPr>
      </w:r>
      <w:r>
        <w:rPr>
          <w:noProof/>
        </w:rPr>
        <w:fldChar w:fldCharType="separate"/>
      </w:r>
      <w:r>
        <w:rPr>
          <w:noProof/>
        </w:rPr>
        <w:t>5</w:t>
      </w:r>
      <w:r>
        <w:rPr>
          <w:noProof/>
        </w:rPr>
        <w:fldChar w:fldCharType="end"/>
      </w:r>
    </w:p>
    <w:p w14:paraId="257D48F3" w14:textId="22F81B29" w:rsidR="001A3FD6" w:rsidRDefault="001A3FD6">
      <w:pPr>
        <w:pStyle w:val="TOC5"/>
        <w:rPr>
          <w:rFonts w:asciiTheme="minorHAnsi" w:eastAsiaTheme="minorEastAsia" w:hAnsiTheme="minorHAnsi" w:cstheme="minorBidi"/>
          <w:noProof/>
          <w:kern w:val="0"/>
          <w:sz w:val="22"/>
          <w:szCs w:val="22"/>
        </w:rPr>
      </w:pPr>
      <w:r>
        <w:rPr>
          <w:noProof/>
        </w:rPr>
        <w:t>10  Emerging companies investments</w:t>
      </w:r>
      <w:r>
        <w:rPr>
          <w:noProof/>
        </w:rPr>
        <w:tab/>
      </w:r>
      <w:r>
        <w:rPr>
          <w:noProof/>
        </w:rPr>
        <w:fldChar w:fldCharType="begin"/>
      </w:r>
      <w:r>
        <w:rPr>
          <w:noProof/>
        </w:rPr>
        <w:instrText xml:space="preserve"> PAGEREF _Toc208577215 \h </w:instrText>
      </w:r>
      <w:r>
        <w:rPr>
          <w:noProof/>
        </w:rPr>
      </w:r>
      <w:r>
        <w:rPr>
          <w:noProof/>
        </w:rPr>
        <w:fldChar w:fldCharType="separate"/>
      </w:r>
      <w:r>
        <w:rPr>
          <w:noProof/>
        </w:rPr>
        <w:t>7</w:t>
      </w:r>
      <w:r>
        <w:rPr>
          <w:noProof/>
        </w:rPr>
        <w:fldChar w:fldCharType="end"/>
      </w:r>
    </w:p>
    <w:p w14:paraId="526466CC" w14:textId="37990FAB" w:rsidR="001A3FD6" w:rsidRDefault="001A3FD6">
      <w:pPr>
        <w:pStyle w:val="TOC5"/>
        <w:rPr>
          <w:noProof/>
        </w:rPr>
      </w:pPr>
      <w:r>
        <w:rPr>
          <w:noProof/>
        </w:rPr>
        <w:t>11  Balancing investments</w:t>
      </w:r>
      <w:r>
        <w:rPr>
          <w:noProof/>
        </w:rPr>
        <w:tab/>
      </w:r>
      <w:r>
        <w:rPr>
          <w:noProof/>
        </w:rPr>
        <w:fldChar w:fldCharType="begin"/>
      </w:r>
      <w:r>
        <w:rPr>
          <w:noProof/>
        </w:rPr>
        <w:instrText xml:space="preserve"> PAGEREF _Toc208577216 \h </w:instrText>
      </w:r>
      <w:r>
        <w:rPr>
          <w:noProof/>
        </w:rPr>
      </w:r>
      <w:r>
        <w:rPr>
          <w:noProof/>
        </w:rPr>
        <w:fldChar w:fldCharType="separate"/>
      </w:r>
      <w:r>
        <w:rPr>
          <w:noProof/>
        </w:rPr>
        <w:t>9</w:t>
      </w:r>
      <w:r>
        <w:rPr>
          <w:noProof/>
        </w:rPr>
        <w:fldChar w:fldCharType="end"/>
      </w:r>
    </w:p>
    <w:p w14:paraId="6E853C4F" w14:textId="4C879586" w:rsidR="00546E2F" w:rsidRDefault="00546E2F" w:rsidP="00546E2F">
      <w:pPr>
        <w:pStyle w:val="TOC5"/>
        <w:rPr>
          <w:noProof/>
        </w:rPr>
      </w:pPr>
      <w:r>
        <w:rPr>
          <w:noProof/>
        </w:rPr>
        <w:t>12</w:t>
      </w:r>
      <w:r>
        <w:rPr>
          <w:noProof/>
        </w:rPr>
        <w:t xml:space="preserve">  </w:t>
      </w:r>
      <w:r>
        <w:rPr>
          <w:noProof/>
        </w:rPr>
        <w:t>General requirement</w:t>
      </w:r>
      <w:r>
        <w:rPr>
          <w:noProof/>
        </w:rPr>
        <w:t>s</w:t>
      </w:r>
      <w:r>
        <w:rPr>
          <w:noProof/>
        </w:rPr>
        <w:tab/>
      </w:r>
      <w:r>
        <w:rPr>
          <w:noProof/>
        </w:rPr>
        <w:fldChar w:fldCharType="begin"/>
      </w:r>
      <w:r>
        <w:rPr>
          <w:noProof/>
        </w:rPr>
        <w:instrText xml:space="preserve"> PAGEREF _Toc208577216 \h </w:instrText>
      </w:r>
      <w:r>
        <w:rPr>
          <w:noProof/>
        </w:rPr>
      </w:r>
      <w:r>
        <w:rPr>
          <w:noProof/>
        </w:rPr>
        <w:fldChar w:fldCharType="separate"/>
      </w:r>
      <w:r>
        <w:rPr>
          <w:noProof/>
        </w:rPr>
        <w:t>9</w:t>
      </w:r>
      <w:r>
        <w:rPr>
          <w:noProof/>
        </w:rPr>
        <w:fldChar w:fldCharType="end"/>
      </w:r>
    </w:p>
    <w:p w14:paraId="05FAE58C" w14:textId="5D8605B0" w:rsidR="00546E2F" w:rsidRPr="00546E2F" w:rsidRDefault="00546E2F" w:rsidP="00546E2F">
      <w:pPr>
        <w:pStyle w:val="TOC5"/>
        <w:rPr>
          <w:noProof/>
        </w:rPr>
      </w:pPr>
      <w:r>
        <w:rPr>
          <w:noProof/>
        </w:rPr>
        <w:t>1</w:t>
      </w:r>
      <w:r>
        <w:rPr>
          <w:noProof/>
        </w:rPr>
        <w:t>3</w:t>
      </w:r>
      <w:r>
        <w:rPr>
          <w:noProof/>
        </w:rPr>
        <w:t xml:space="preserve">  </w:t>
      </w:r>
      <w:r>
        <w:rPr>
          <w:noProof/>
        </w:rPr>
        <w:t>Allowable non-compliance period</w:t>
      </w:r>
      <w:r>
        <w:rPr>
          <w:noProof/>
        </w:rPr>
        <w:tab/>
      </w:r>
      <w:r>
        <w:rPr>
          <w:noProof/>
        </w:rPr>
        <w:t>12</w:t>
      </w:r>
    </w:p>
    <w:p w14:paraId="70C88140" w14:textId="441EB142" w:rsidR="001A3FD6" w:rsidRDefault="001A3FD6">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_Toc208577217 \h </w:instrText>
      </w:r>
      <w:r>
        <w:rPr>
          <w:noProof/>
        </w:rPr>
      </w:r>
      <w:r>
        <w:rPr>
          <w:noProof/>
        </w:rPr>
        <w:fldChar w:fldCharType="separate"/>
      </w:r>
      <w:r>
        <w:rPr>
          <w:noProof/>
        </w:rPr>
        <w:t>13</w:t>
      </w:r>
      <w:r>
        <w:rPr>
          <w:noProof/>
        </w:rPr>
        <w:fldChar w:fldCharType="end"/>
      </w:r>
    </w:p>
    <w:p w14:paraId="57137460" w14:textId="0584C67F" w:rsidR="001A3FD6" w:rsidRDefault="001A3FD6">
      <w:pPr>
        <w:pStyle w:val="TOC9"/>
        <w:rPr>
          <w:rFonts w:asciiTheme="minorHAnsi" w:eastAsiaTheme="minorEastAsia" w:hAnsiTheme="minorHAnsi" w:cstheme="minorBidi"/>
          <w:i w:val="0"/>
          <w:noProof/>
          <w:kern w:val="0"/>
          <w:sz w:val="22"/>
          <w:szCs w:val="22"/>
        </w:rPr>
      </w:pPr>
      <w:r>
        <w:rPr>
          <w:noProof/>
        </w:rPr>
        <w:t>Migration (IMMI 15/100: Complying Investments) Instrument 2015</w:t>
      </w:r>
      <w:r>
        <w:rPr>
          <w:noProof/>
        </w:rPr>
        <w:tab/>
      </w:r>
      <w:r>
        <w:rPr>
          <w:noProof/>
        </w:rPr>
        <w:fldChar w:fldCharType="begin"/>
      </w:r>
      <w:r>
        <w:rPr>
          <w:noProof/>
        </w:rPr>
        <w:instrText xml:space="preserve"> PAGEREF _Toc208577218 \h </w:instrText>
      </w:r>
      <w:r>
        <w:rPr>
          <w:noProof/>
        </w:rPr>
      </w:r>
      <w:r>
        <w:rPr>
          <w:noProof/>
        </w:rPr>
        <w:fldChar w:fldCharType="separate"/>
      </w:r>
      <w:r>
        <w:rPr>
          <w:noProof/>
        </w:rPr>
        <w:t>13</w:t>
      </w:r>
      <w:r>
        <w:rPr>
          <w:noProof/>
        </w:rPr>
        <w:fldChar w:fldCharType="end"/>
      </w:r>
    </w:p>
    <w:p w14:paraId="792B7B52" w14:textId="77777777" w:rsidR="00C447DA" w:rsidRDefault="00C447DA" w:rsidP="00C447DA">
      <w:pPr>
        <w:outlineLvl w:val="0"/>
      </w:pPr>
      <w:r>
        <w:fldChar w:fldCharType="end"/>
      </w:r>
    </w:p>
    <w:p w14:paraId="1426E60A" w14:textId="77777777" w:rsidR="00C447DA" w:rsidRDefault="00C447DA" w:rsidP="00C447DA">
      <w:pPr>
        <w:spacing w:line="240" w:lineRule="auto"/>
        <w:sectPr w:rsidR="00C447DA">
          <w:pgSz w:w="11907" w:h="16839"/>
          <w:pgMar w:top="2099" w:right="1797" w:bottom="1440" w:left="1797" w:header="720" w:footer="709" w:gutter="0"/>
          <w:pgNumType w:fmt="lowerRoman" w:start="1"/>
          <w:cols w:space="720"/>
        </w:sectPr>
      </w:pPr>
      <w:bookmarkStart w:id="0" w:name="_GoBack"/>
      <w:bookmarkEnd w:id="0"/>
    </w:p>
    <w:p w14:paraId="3353BAD1" w14:textId="77777777" w:rsidR="00C447DA" w:rsidRDefault="00C447DA" w:rsidP="00C447DA">
      <w:pPr>
        <w:pStyle w:val="ActHead6"/>
        <w:rPr>
          <w:rFonts w:ascii="Times New Roman" w:hAnsi="Times New Roman"/>
        </w:rPr>
      </w:pPr>
      <w:bookmarkStart w:id="1" w:name="_Toc208577204"/>
      <w:bookmarkStart w:id="2" w:name="_Toc454512513"/>
      <w:r>
        <w:rPr>
          <w:rFonts w:ascii="Times New Roman" w:hAnsi="Times New Roman"/>
        </w:rPr>
        <w:lastRenderedPageBreak/>
        <w:t>Part 1</w:t>
      </w:r>
      <w:r>
        <w:rPr>
          <w:rFonts w:ascii="Times New Roman" w:hAnsi="Times New Roman"/>
          <w:noProof/>
        </w:rPr>
        <w:t>—</w:t>
      </w:r>
      <w:r>
        <w:rPr>
          <w:rFonts w:ascii="Times New Roman" w:hAnsi="Times New Roman"/>
        </w:rPr>
        <w:t>Preliminary</w:t>
      </w:r>
      <w:bookmarkEnd w:id="1"/>
    </w:p>
    <w:p w14:paraId="2E32ABB5" w14:textId="77777777" w:rsidR="00C447DA" w:rsidRDefault="00C447DA" w:rsidP="00C447DA">
      <w:pPr>
        <w:pStyle w:val="ActHead5"/>
      </w:pPr>
      <w:bookmarkStart w:id="3" w:name="_Toc208577205"/>
      <w:r>
        <w:t>1  Name</w:t>
      </w:r>
      <w:bookmarkEnd w:id="2"/>
      <w:bookmarkEnd w:id="3"/>
    </w:p>
    <w:p w14:paraId="68F2190A" w14:textId="77777777" w:rsidR="00C447DA" w:rsidRDefault="00C447DA" w:rsidP="00C447DA">
      <w:pPr>
        <w:pStyle w:val="subsection"/>
      </w:pPr>
      <w:r>
        <w:tab/>
      </w:r>
      <w:r>
        <w:tab/>
        <w:t xml:space="preserve">This instrument is the </w:t>
      </w:r>
      <w:bookmarkStart w:id="4" w:name="BKCheck15B_3"/>
      <w:bookmarkEnd w:id="4"/>
      <w:r>
        <w:rPr>
          <w:i/>
        </w:rPr>
        <w:t>Migration (Complying Investments) Instrument 2025</w:t>
      </w:r>
      <w:r>
        <w:t>.</w:t>
      </w:r>
    </w:p>
    <w:p w14:paraId="2AB7901E" w14:textId="77777777" w:rsidR="00C447DA" w:rsidRDefault="00C447DA" w:rsidP="00C447DA">
      <w:pPr>
        <w:pStyle w:val="ActHead5"/>
      </w:pPr>
      <w:bookmarkStart w:id="5" w:name="_Toc454512514"/>
      <w:bookmarkStart w:id="6" w:name="_Toc208577206"/>
      <w:r>
        <w:t>2  Commencement</w:t>
      </w:r>
      <w:bookmarkEnd w:id="5"/>
      <w:bookmarkEnd w:id="6"/>
    </w:p>
    <w:p w14:paraId="5F208F8F" w14:textId="77777777" w:rsidR="00C447DA" w:rsidRDefault="00C447DA" w:rsidP="00C447DA">
      <w:pPr>
        <w:pStyle w:val="subsection"/>
        <w:rPr>
          <w:b/>
          <w:sz w:val="24"/>
          <w:szCs w:val="24"/>
        </w:rPr>
      </w:pPr>
      <w:r>
        <w:tab/>
      </w:r>
      <w:r>
        <w:tab/>
        <w:t>This instrument commences on 1 October 2025.</w:t>
      </w:r>
      <w:bookmarkStart w:id="7" w:name="_Toc454512515"/>
    </w:p>
    <w:p w14:paraId="7F3057C8" w14:textId="77777777" w:rsidR="00C447DA" w:rsidRDefault="00C447DA" w:rsidP="00C447DA">
      <w:pPr>
        <w:pStyle w:val="ActHead5"/>
      </w:pPr>
      <w:bookmarkStart w:id="8" w:name="_Toc208577207"/>
      <w:r>
        <w:t>3  Authority</w:t>
      </w:r>
      <w:bookmarkEnd w:id="7"/>
      <w:bookmarkEnd w:id="8"/>
    </w:p>
    <w:p w14:paraId="7CA49701" w14:textId="77777777" w:rsidR="00C447DA" w:rsidRDefault="00C447DA" w:rsidP="00C447DA">
      <w:pPr>
        <w:pStyle w:val="subsection"/>
      </w:pPr>
      <w:r>
        <w:tab/>
      </w:r>
      <w:r>
        <w:tab/>
        <w:t xml:space="preserve">This instrument is made under subregulation 5.19C(6) of the </w:t>
      </w:r>
      <w:r>
        <w:rPr>
          <w:i/>
        </w:rPr>
        <w:t>Migration Regulations 1994</w:t>
      </w:r>
      <w:r>
        <w:t xml:space="preserve">. </w:t>
      </w:r>
    </w:p>
    <w:p w14:paraId="5141EB3C" w14:textId="77777777" w:rsidR="00C447DA" w:rsidRDefault="00C447DA" w:rsidP="00C447DA">
      <w:pPr>
        <w:pStyle w:val="ActHead5"/>
      </w:pPr>
      <w:bookmarkStart w:id="9" w:name="_Toc454512516"/>
      <w:bookmarkStart w:id="10" w:name="_Toc208577208"/>
      <w:r>
        <w:t>4  Definitions</w:t>
      </w:r>
      <w:bookmarkEnd w:id="9"/>
      <w:bookmarkEnd w:id="10"/>
    </w:p>
    <w:p w14:paraId="68EA4FF6" w14:textId="77777777" w:rsidR="00C447DA" w:rsidRDefault="00C447DA" w:rsidP="00C447DA">
      <w:pPr>
        <w:pStyle w:val="notetext"/>
        <w:ind w:left="1571" w:hanging="437"/>
      </w:pPr>
      <w:r>
        <w:t>Note:</w:t>
      </w:r>
      <w:r>
        <w:tab/>
        <w:t>A number of expressions used in this instrument are defined in the Regulations, including the following:</w:t>
      </w:r>
    </w:p>
    <w:p w14:paraId="000A712E" w14:textId="77777777" w:rsidR="00C447DA" w:rsidRDefault="00C447DA" w:rsidP="00C447DA">
      <w:pPr>
        <w:pStyle w:val="notepara"/>
        <w:ind w:left="1940"/>
      </w:pPr>
      <w:r>
        <w:t>(a)</w:t>
      </w:r>
      <w:r>
        <w:tab/>
        <w:t>AUD;</w:t>
      </w:r>
    </w:p>
    <w:p w14:paraId="2BA498E6" w14:textId="77777777" w:rsidR="00C447DA" w:rsidRDefault="00C447DA" w:rsidP="00C447DA">
      <w:pPr>
        <w:pStyle w:val="notepara"/>
        <w:ind w:left="1940"/>
      </w:pPr>
      <w:r>
        <w:t>(b)</w:t>
      </w:r>
      <w:r>
        <w:tab/>
        <w:t>complying significant investment;</w:t>
      </w:r>
    </w:p>
    <w:p w14:paraId="648A8951" w14:textId="77777777" w:rsidR="00C447DA" w:rsidRDefault="00C447DA" w:rsidP="00C447DA">
      <w:pPr>
        <w:pStyle w:val="notepara"/>
        <w:ind w:left="1940"/>
      </w:pPr>
      <w:r>
        <w:t>(c)</w:t>
      </w:r>
      <w:r>
        <w:tab/>
        <w:t>member of the family unit.</w:t>
      </w:r>
    </w:p>
    <w:p w14:paraId="31C2E721" w14:textId="77777777" w:rsidR="00C447DA" w:rsidRDefault="00C447DA" w:rsidP="00C447DA">
      <w:pPr>
        <w:pStyle w:val="subsection"/>
      </w:pPr>
      <w:r>
        <w:tab/>
      </w:r>
      <w:r>
        <w:tab/>
        <w:t>In this instrument:</w:t>
      </w:r>
    </w:p>
    <w:p w14:paraId="1D29BCC0" w14:textId="77777777" w:rsidR="00C447DA" w:rsidRDefault="00C447DA" w:rsidP="00C447DA">
      <w:pPr>
        <w:pStyle w:val="Definition"/>
      </w:pPr>
      <w:r>
        <w:rPr>
          <w:b/>
          <w:i/>
        </w:rPr>
        <w:t xml:space="preserve">Australian ADI </w:t>
      </w:r>
      <w:r>
        <w:t xml:space="preserve">has the same meaning as in the </w:t>
      </w:r>
      <w:r>
        <w:rPr>
          <w:i/>
        </w:rPr>
        <w:t>Corporations Act 2001</w:t>
      </w:r>
      <w:r>
        <w:t>.</w:t>
      </w:r>
    </w:p>
    <w:p w14:paraId="653ACA78" w14:textId="77777777" w:rsidR="00C447DA" w:rsidRDefault="00C447DA" w:rsidP="00C447DA">
      <w:pPr>
        <w:pStyle w:val="notetext"/>
        <w:ind w:left="1571" w:hanging="437"/>
      </w:pPr>
      <w:r>
        <w:t>Note:</w:t>
      </w:r>
      <w:r>
        <w:tab/>
        <w:t>ADI is short for authorised deposit-taking institution.</w:t>
      </w:r>
    </w:p>
    <w:p w14:paraId="1B764AB1" w14:textId="77777777" w:rsidR="00C447DA" w:rsidRDefault="00C447DA" w:rsidP="00C447DA">
      <w:pPr>
        <w:pStyle w:val="Definition"/>
      </w:pPr>
      <w:r>
        <w:rPr>
          <w:b/>
          <w:i/>
        </w:rPr>
        <w:t xml:space="preserve">Australian financial services licence </w:t>
      </w:r>
      <w:r>
        <w:t xml:space="preserve">means a licence under section 913B of the </w:t>
      </w:r>
      <w:r>
        <w:rPr>
          <w:i/>
        </w:rPr>
        <w:t>Corporations Act 2001</w:t>
      </w:r>
      <w:r>
        <w:t>.</w:t>
      </w:r>
    </w:p>
    <w:p w14:paraId="241C2DC3" w14:textId="77777777" w:rsidR="00C447DA" w:rsidRDefault="00C447DA" w:rsidP="00C447DA">
      <w:pPr>
        <w:pStyle w:val="Definition"/>
      </w:pPr>
      <w:r>
        <w:rPr>
          <w:b/>
          <w:i/>
        </w:rPr>
        <w:t>balancing investment</w:t>
      </w:r>
      <w:r>
        <w:rPr>
          <w:i/>
        </w:rPr>
        <w:t>:</w:t>
      </w:r>
      <w:r>
        <w:rPr>
          <w:b/>
          <w:i/>
        </w:rPr>
        <w:t xml:space="preserve"> </w:t>
      </w:r>
      <w:r>
        <w:t>see section 11.</w:t>
      </w:r>
    </w:p>
    <w:p w14:paraId="681453ED" w14:textId="77777777" w:rsidR="00C447DA" w:rsidRDefault="00C447DA" w:rsidP="00C447DA">
      <w:pPr>
        <w:pStyle w:val="Definition"/>
      </w:pPr>
      <w:r>
        <w:rPr>
          <w:b/>
          <w:bCs/>
          <w:i/>
          <w:iCs/>
        </w:rPr>
        <w:t>body</w:t>
      </w:r>
      <w:r>
        <w:t xml:space="preserve"> has the same meaning as in the </w:t>
      </w:r>
      <w:r>
        <w:rPr>
          <w:i/>
          <w:iCs/>
        </w:rPr>
        <w:t>Corporations Act 2001</w:t>
      </w:r>
      <w:r>
        <w:t>.</w:t>
      </w:r>
    </w:p>
    <w:p w14:paraId="6EE48CE0" w14:textId="77777777" w:rsidR="00C447DA" w:rsidRDefault="00C447DA" w:rsidP="00C447DA">
      <w:pPr>
        <w:pStyle w:val="Definition"/>
      </w:pPr>
      <w:r>
        <w:rPr>
          <w:b/>
          <w:bCs/>
          <w:i/>
          <w:iCs/>
        </w:rPr>
        <w:t xml:space="preserve">derivative </w:t>
      </w:r>
      <w:r>
        <w:t>has the same meaning as in Chapter 7 of the </w:t>
      </w:r>
      <w:r>
        <w:rPr>
          <w:i/>
          <w:iCs/>
        </w:rPr>
        <w:t>Corporations Act 2001</w:t>
      </w:r>
      <w:r>
        <w:t>.</w:t>
      </w:r>
    </w:p>
    <w:p w14:paraId="50FD6F26" w14:textId="77777777" w:rsidR="00C447DA" w:rsidRDefault="00C447DA" w:rsidP="00C447DA">
      <w:pPr>
        <w:pStyle w:val="Definition"/>
      </w:pPr>
      <w:r>
        <w:rPr>
          <w:b/>
          <w:bCs/>
          <w:i/>
          <w:iCs/>
        </w:rPr>
        <w:t>emerging companies investment</w:t>
      </w:r>
      <w:r>
        <w:t>: see section 10.</w:t>
      </w:r>
    </w:p>
    <w:p w14:paraId="259DF5B9" w14:textId="77777777" w:rsidR="00C447DA" w:rsidRDefault="00C447DA" w:rsidP="00C447DA">
      <w:pPr>
        <w:pStyle w:val="Definition"/>
      </w:pPr>
      <w:r>
        <w:rPr>
          <w:b/>
          <w:bCs/>
          <w:i/>
          <w:iCs/>
        </w:rPr>
        <w:t>fund of funds</w:t>
      </w:r>
      <w:r>
        <w:t xml:space="preserve"> means a managed investment fund that invests in other funds.</w:t>
      </w:r>
    </w:p>
    <w:p w14:paraId="37E889C8" w14:textId="77777777" w:rsidR="00C447DA" w:rsidRDefault="00C447DA" w:rsidP="00C447DA">
      <w:pPr>
        <w:pStyle w:val="notetext"/>
      </w:pPr>
      <w:r>
        <w:t>Note:</w:t>
      </w:r>
      <w:r>
        <w:tab/>
        <w:t>An investor can invest in managed investment funds through a fund of funds or investor directed portfolio service if the managed investment funds in which the fund of funds or investor directed portfolio service invests complies with the other requirements of the complying investment framework.</w:t>
      </w:r>
    </w:p>
    <w:p w14:paraId="6EFA93BF" w14:textId="77777777" w:rsidR="00C447DA" w:rsidRDefault="00C447DA" w:rsidP="00C447DA">
      <w:pPr>
        <w:pStyle w:val="Definition"/>
        <w:rPr>
          <w:iCs/>
          <w:color w:val="000000"/>
        </w:rPr>
      </w:pPr>
      <w:r>
        <w:rPr>
          <w:b/>
          <w:bCs/>
          <w:i/>
          <w:iCs/>
          <w:color w:val="000000"/>
        </w:rPr>
        <w:t>incorporated in Australia</w:t>
      </w:r>
      <w:r>
        <w:rPr>
          <w:color w:val="000000"/>
        </w:rPr>
        <w:t xml:space="preserve"> has the same meaning as in the </w:t>
      </w:r>
      <w:r>
        <w:rPr>
          <w:i/>
          <w:iCs/>
          <w:color w:val="000000"/>
        </w:rPr>
        <w:t>Corporations Act 2001</w:t>
      </w:r>
      <w:r>
        <w:rPr>
          <w:iCs/>
          <w:color w:val="000000"/>
        </w:rPr>
        <w:t>.</w:t>
      </w:r>
    </w:p>
    <w:p w14:paraId="1E02FB47" w14:textId="77777777" w:rsidR="00C447DA" w:rsidRDefault="00C447DA" w:rsidP="00C447DA">
      <w:pPr>
        <w:pStyle w:val="notetext"/>
      </w:pPr>
      <w:r>
        <w:t>Note:</w:t>
      </w:r>
      <w:r>
        <w:tab/>
        <w:t xml:space="preserve">Section 9 of the </w:t>
      </w:r>
      <w:r>
        <w:rPr>
          <w:i/>
        </w:rPr>
        <w:t>Corporations Act 2001</w:t>
      </w:r>
      <w:r>
        <w:t xml:space="preserve"> defines </w:t>
      </w:r>
      <w:r>
        <w:rPr>
          <w:b/>
          <w:i/>
        </w:rPr>
        <w:t>incorporated in Australia</w:t>
      </w:r>
      <w:r>
        <w:t xml:space="preserve"> and </w:t>
      </w:r>
      <w:r>
        <w:rPr>
          <w:b/>
          <w:i/>
        </w:rPr>
        <w:t>incorporated</w:t>
      </w:r>
      <w:r>
        <w:t>.</w:t>
      </w:r>
    </w:p>
    <w:p w14:paraId="736E940D" w14:textId="77777777" w:rsidR="00C447DA" w:rsidRDefault="00C447DA" w:rsidP="00C447DA">
      <w:pPr>
        <w:pStyle w:val="Definition"/>
      </w:pPr>
      <w:r>
        <w:rPr>
          <w:b/>
          <w:bCs/>
          <w:i/>
          <w:iCs/>
        </w:rPr>
        <w:t>investor</w:t>
      </w:r>
      <w:r>
        <w:t xml:space="preserve"> has the meaning given by regulation 5.19C of the Regulations.</w:t>
      </w:r>
    </w:p>
    <w:p w14:paraId="7432BEF0" w14:textId="77777777" w:rsidR="00C447DA" w:rsidRDefault="00C447DA" w:rsidP="00C447DA">
      <w:pPr>
        <w:pStyle w:val="Definition"/>
      </w:pPr>
      <w:r>
        <w:rPr>
          <w:b/>
          <w:bCs/>
          <w:i/>
          <w:iCs/>
        </w:rPr>
        <w:lastRenderedPageBreak/>
        <w:t xml:space="preserve">listed investment company </w:t>
      </w:r>
      <w:r>
        <w:t xml:space="preserve">has the same meaning as in the </w:t>
      </w:r>
      <w:r>
        <w:rPr>
          <w:i/>
          <w:iCs/>
        </w:rPr>
        <w:t>Income Tax Assessment Act 1997</w:t>
      </w:r>
      <w:r>
        <w:t>.</w:t>
      </w:r>
    </w:p>
    <w:p w14:paraId="59D40615" w14:textId="77777777" w:rsidR="00C447DA" w:rsidRDefault="00C447DA" w:rsidP="00C447DA">
      <w:pPr>
        <w:pStyle w:val="Definition"/>
      </w:pPr>
      <w:r>
        <w:rPr>
          <w:b/>
          <w:bCs/>
          <w:i/>
          <w:iCs/>
        </w:rPr>
        <w:t>managed investment fund</w:t>
      </w:r>
      <w:r>
        <w:t xml:space="preserve"> means any of the following (whether open or close ended):</w:t>
      </w:r>
    </w:p>
    <w:p w14:paraId="35FA2813" w14:textId="77777777" w:rsidR="00C447DA" w:rsidRDefault="00C447DA" w:rsidP="00C447DA">
      <w:pPr>
        <w:pStyle w:val="paragraph"/>
      </w:pPr>
      <w:r>
        <w:tab/>
        <w:t>(a)</w:t>
      </w:r>
      <w:r>
        <w:tab/>
        <w:t>a managed investment scheme based only on interests:</w:t>
      </w:r>
    </w:p>
    <w:p w14:paraId="58E02F93" w14:textId="77777777" w:rsidR="00C447DA" w:rsidRDefault="00C447DA" w:rsidP="00C447DA">
      <w:pPr>
        <w:pStyle w:val="paragraphsub"/>
      </w:pPr>
      <w:r>
        <w:tab/>
        <w:t>(i)</w:t>
      </w:r>
      <w:r>
        <w:tab/>
        <w:t xml:space="preserve">that are not able to be traded on a financial market (within the meaning of section 767A of the </w:t>
      </w:r>
      <w:r>
        <w:rPr>
          <w:i/>
        </w:rPr>
        <w:t>Corporations Act 2001</w:t>
      </w:r>
      <w:r>
        <w:t>); and</w:t>
      </w:r>
    </w:p>
    <w:p w14:paraId="2B8E0FF7" w14:textId="77777777" w:rsidR="00C447DA" w:rsidRDefault="00C447DA" w:rsidP="00C447DA">
      <w:pPr>
        <w:pStyle w:val="paragraphsub"/>
      </w:pPr>
      <w:r>
        <w:tab/>
        <w:t>(ii)</w:t>
      </w:r>
      <w:r>
        <w:tab/>
        <w:t>for which no representation has been made to any member, or prospective member, of the managed investment scheme that the interests will be able to be traded on such a financial market;</w:t>
      </w:r>
    </w:p>
    <w:p w14:paraId="04075059" w14:textId="77777777" w:rsidR="00C447DA" w:rsidRDefault="00C447DA" w:rsidP="00C447DA">
      <w:pPr>
        <w:pStyle w:val="paragraph"/>
      </w:pPr>
      <w:r>
        <w:tab/>
        <w:t>(b)</w:t>
      </w:r>
      <w:r>
        <w:tab/>
        <w:t>a listed investment company;</w:t>
      </w:r>
    </w:p>
    <w:p w14:paraId="27A2231A" w14:textId="77777777" w:rsidR="00C447DA" w:rsidRDefault="00C447DA" w:rsidP="00C447DA">
      <w:pPr>
        <w:pStyle w:val="paragraph"/>
      </w:pPr>
      <w:r>
        <w:tab/>
        <w:t>(c)</w:t>
      </w:r>
      <w:r>
        <w:tab/>
        <w:t xml:space="preserve">a financial product mentioned in paragraph 764A(1)(d), (e) or (f) of the </w:t>
      </w:r>
      <w:r>
        <w:rPr>
          <w:i/>
        </w:rPr>
        <w:t>Corporations Act 2001</w:t>
      </w:r>
      <w:r>
        <w:t xml:space="preserve"> that may result in a payment from an approved benefit fund (within the meaning of the </w:t>
      </w:r>
      <w:r>
        <w:rPr>
          <w:i/>
        </w:rPr>
        <w:t>Life Insurance Act 1995</w:t>
      </w:r>
      <w:r>
        <w:t xml:space="preserve">) or a statutory fund maintained under the </w:t>
      </w:r>
      <w:r>
        <w:rPr>
          <w:i/>
        </w:rPr>
        <w:t>Life Insurance Act 1995</w:t>
      </w:r>
      <w:r>
        <w:t>.</w:t>
      </w:r>
    </w:p>
    <w:p w14:paraId="12295BD6" w14:textId="77777777" w:rsidR="00C447DA" w:rsidRDefault="00C447DA" w:rsidP="00C447DA">
      <w:pPr>
        <w:pStyle w:val="Definition"/>
      </w:pPr>
      <w:r>
        <w:rPr>
          <w:b/>
          <w:bCs/>
          <w:i/>
          <w:iCs/>
        </w:rPr>
        <w:t>managed investment scheme</w:t>
      </w:r>
      <w:r>
        <w:t xml:space="preserve"> has the same meaning as in the </w:t>
      </w:r>
      <w:r>
        <w:rPr>
          <w:i/>
        </w:rPr>
        <w:t>Corporations Act 2001</w:t>
      </w:r>
      <w:r>
        <w:t>.</w:t>
      </w:r>
    </w:p>
    <w:p w14:paraId="57B4EDD8" w14:textId="77777777" w:rsidR="00C447DA" w:rsidRDefault="00C447DA" w:rsidP="00C447DA">
      <w:pPr>
        <w:pStyle w:val="Definition"/>
        <w:rPr>
          <w:bCs/>
          <w:iCs/>
        </w:rPr>
      </w:pPr>
      <w:r>
        <w:rPr>
          <w:b/>
          <w:bCs/>
          <w:i/>
          <w:iCs/>
        </w:rPr>
        <w:t xml:space="preserve">registered foreign company </w:t>
      </w:r>
      <w:r>
        <w:rPr>
          <w:bCs/>
          <w:iCs/>
        </w:rPr>
        <w:t xml:space="preserve">means a foreign company, within the meaning of the </w:t>
      </w:r>
      <w:r>
        <w:rPr>
          <w:bCs/>
          <w:i/>
          <w:iCs/>
        </w:rPr>
        <w:t>Corporations Act 2001</w:t>
      </w:r>
      <w:r>
        <w:rPr>
          <w:bCs/>
          <w:iCs/>
        </w:rPr>
        <w:t>, that is registered under that Act.</w:t>
      </w:r>
    </w:p>
    <w:p w14:paraId="53154DC9" w14:textId="77777777" w:rsidR="00C447DA" w:rsidRDefault="00C447DA" w:rsidP="00C447DA">
      <w:pPr>
        <w:pStyle w:val="Definition"/>
        <w:rPr>
          <w:bCs/>
          <w:iCs/>
        </w:rPr>
      </w:pPr>
      <w:r>
        <w:rPr>
          <w:b/>
          <w:bCs/>
          <w:i/>
          <w:iCs/>
        </w:rPr>
        <w:t xml:space="preserve">Regulations </w:t>
      </w:r>
      <w:r>
        <w:rPr>
          <w:bCs/>
          <w:iCs/>
        </w:rPr>
        <w:t xml:space="preserve">means the </w:t>
      </w:r>
      <w:r>
        <w:rPr>
          <w:bCs/>
          <w:i/>
          <w:iCs/>
        </w:rPr>
        <w:t>Migration Regulations 1994</w:t>
      </w:r>
      <w:r>
        <w:rPr>
          <w:bCs/>
          <w:iCs/>
        </w:rPr>
        <w:t>.</w:t>
      </w:r>
    </w:p>
    <w:p w14:paraId="7355FB72" w14:textId="77777777" w:rsidR="00C447DA" w:rsidRDefault="00C447DA" w:rsidP="00C447DA">
      <w:pPr>
        <w:pStyle w:val="Definition"/>
        <w:rPr>
          <w:bCs/>
          <w:iCs/>
        </w:rPr>
      </w:pPr>
      <w:r>
        <w:rPr>
          <w:b/>
          <w:bCs/>
          <w:i/>
          <w:iCs/>
        </w:rPr>
        <w:t xml:space="preserve">securities </w:t>
      </w:r>
      <w:r>
        <w:rPr>
          <w:bCs/>
          <w:iCs/>
        </w:rPr>
        <w:t>means any of the following interests:</w:t>
      </w:r>
    </w:p>
    <w:p w14:paraId="449C460A" w14:textId="77777777" w:rsidR="00C447DA" w:rsidRDefault="00C447DA" w:rsidP="00C447DA">
      <w:pPr>
        <w:pStyle w:val="paragraph"/>
      </w:pPr>
      <w:r>
        <w:tab/>
        <w:t>(a)</w:t>
      </w:r>
      <w:r>
        <w:tab/>
        <w:t>debentures, stocks or bonds issued or proposed to be issued by a government;</w:t>
      </w:r>
    </w:p>
    <w:p w14:paraId="3A37D0C3" w14:textId="77777777" w:rsidR="00C447DA" w:rsidRDefault="00C447DA" w:rsidP="00C447DA">
      <w:pPr>
        <w:pStyle w:val="paragraph"/>
      </w:pPr>
      <w:r>
        <w:tab/>
        <w:t>(b)</w:t>
      </w:r>
      <w:r>
        <w:tab/>
        <w:t>shares in, or debentures of, a body;</w:t>
      </w:r>
    </w:p>
    <w:p w14:paraId="0A50AE99" w14:textId="77777777" w:rsidR="00C447DA" w:rsidRDefault="00C447DA" w:rsidP="00C447DA">
      <w:pPr>
        <w:pStyle w:val="paragraph"/>
      </w:pPr>
      <w:r>
        <w:tab/>
        <w:t>(c)</w:t>
      </w:r>
      <w:r>
        <w:tab/>
        <w:t>interests in managed investment scheme;</w:t>
      </w:r>
    </w:p>
    <w:p w14:paraId="5446CA52" w14:textId="77777777" w:rsidR="00C447DA" w:rsidRDefault="00C447DA" w:rsidP="00C447DA">
      <w:pPr>
        <w:pStyle w:val="paragraph"/>
      </w:pPr>
      <w:r>
        <w:tab/>
        <w:t>(d)</w:t>
      </w:r>
      <w:r>
        <w:tab/>
        <w:t>units of such shares;</w:t>
      </w:r>
    </w:p>
    <w:p w14:paraId="3ACC821B" w14:textId="77777777" w:rsidR="00C447DA" w:rsidRDefault="00C447DA" w:rsidP="00C447DA">
      <w:pPr>
        <w:pStyle w:val="paragraph"/>
      </w:pPr>
      <w:r>
        <w:tab/>
        <w:t>(e)</w:t>
      </w:r>
      <w:r>
        <w:tab/>
        <w:t>options to acquire by way of transfer any of the interests mentioned paragraphs (a) to (d);</w:t>
      </w:r>
    </w:p>
    <w:p w14:paraId="52A8293D" w14:textId="77777777" w:rsidR="00C447DA" w:rsidRDefault="00C447DA" w:rsidP="00C447DA">
      <w:pPr>
        <w:pStyle w:val="subsection2"/>
      </w:pPr>
      <w:r>
        <w:t>but does not include derivatives other than the options mentioned in paragraph (e).</w:t>
      </w:r>
    </w:p>
    <w:p w14:paraId="1842E46D" w14:textId="77777777" w:rsidR="00C447DA" w:rsidRDefault="00C447DA" w:rsidP="00C447DA">
      <w:pPr>
        <w:pStyle w:val="Definition"/>
        <w:rPr>
          <w:bCs/>
          <w:iCs/>
        </w:rPr>
      </w:pPr>
      <w:r>
        <w:rPr>
          <w:b/>
          <w:bCs/>
          <w:i/>
          <w:iCs/>
        </w:rPr>
        <w:t>venture capital fund</w:t>
      </w:r>
      <w:r>
        <w:rPr>
          <w:bCs/>
          <w:iCs/>
        </w:rPr>
        <w:t> means any of the following bodies:</w:t>
      </w:r>
    </w:p>
    <w:p w14:paraId="5941E637" w14:textId="77777777" w:rsidR="00C447DA" w:rsidRDefault="00C447DA" w:rsidP="00C447DA">
      <w:pPr>
        <w:pStyle w:val="paragraph"/>
      </w:pPr>
      <w:r>
        <w:tab/>
        <w:t>(a)</w:t>
      </w:r>
      <w:r>
        <w:tab/>
        <w:t xml:space="preserve">a venture capital limited partnership conditionally registered, or unconditionally registered, under the </w:t>
      </w:r>
      <w:r>
        <w:rPr>
          <w:i/>
        </w:rPr>
        <w:t>Venture Capital Act 2002</w:t>
      </w:r>
      <w:r>
        <w:t>;</w:t>
      </w:r>
    </w:p>
    <w:p w14:paraId="5029A3CC" w14:textId="77777777" w:rsidR="00C447DA" w:rsidRDefault="00C447DA" w:rsidP="00C447DA">
      <w:pPr>
        <w:pStyle w:val="paragraph"/>
      </w:pPr>
      <w:r>
        <w:tab/>
        <w:t>(b)</w:t>
      </w:r>
      <w:r>
        <w:tab/>
        <w:t>an early stage venture capital limited partnership conditionally registered, or unconditionally registered, under that Act;</w:t>
      </w:r>
    </w:p>
    <w:p w14:paraId="687D9E73" w14:textId="77777777" w:rsidR="00C447DA" w:rsidRDefault="00C447DA" w:rsidP="00C447DA">
      <w:pPr>
        <w:pStyle w:val="paragraph"/>
      </w:pPr>
      <w:r>
        <w:tab/>
        <w:t>(c)</w:t>
      </w:r>
      <w:r>
        <w:tab/>
        <w:t>an Australian venture capital fund of funds conditionally registered, or unconditionally registered, under that Act.</w:t>
      </w:r>
    </w:p>
    <w:p w14:paraId="36349DB6" w14:textId="6031DF36" w:rsidR="00C447DA" w:rsidRDefault="00C447DA" w:rsidP="00C447DA">
      <w:pPr>
        <w:pStyle w:val="Definition"/>
        <w:rPr>
          <w:b/>
          <w:bCs/>
          <w:iCs/>
        </w:rPr>
      </w:pPr>
      <w:r>
        <w:rPr>
          <w:b/>
          <w:bCs/>
          <w:i/>
          <w:iCs/>
        </w:rPr>
        <w:t xml:space="preserve">visa </w:t>
      </w:r>
      <w:r>
        <w:rPr>
          <w:bCs/>
          <w:iCs/>
        </w:rPr>
        <w:t>means a Subclass 188 (Business Innovation and Investment (Provisional)) visa granted in whichever of the following streams is relevant:</w:t>
      </w:r>
    </w:p>
    <w:p w14:paraId="1B93133B" w14:textId="77777777" w:rsidR="00C447DA" w:rsidRDefault="00C447DA" w:rsidP="00E00F09">
      <w:pPr>
        <w:pStyle w:val="paragraph"/>
      </w:pPr>
      <w:r>
        <w:tab/>
        <w:t>(a)</w:t>
      </w:r>
      <w:r>
        <w:tab/>
        <w:t>the Significant Investor Stream;</w:t>
      </w:r>
    </w:p>
    <w:p w14:paraId="7455762D" w14:textId="77777777" w:rsidR="00C447DA" w:rsidRDefault="00C447DA" w:rsidP="00E00F09">
      <w:pPr>
        <w:pStyle w:val="paragraph"/>
      </w:pPr>
      <w:r>
        <w:tab/>
        <w:t>(b)</w:t>
      </w:r>
      <w:r>
        <w:tab/>
        <w:t>the Significant Investor Extension Stream;</w:t>
      </w:r>
    </w:p>
    <w:p w14:paraId="0DA3A1F3" w14:textId="77777777" w:rsidR="00C447DA" w:rsidRDefault="00C447DA" w:rsidP="007905FE">
      <w:pPr>
        <w:pStyle w:val="paragraph"/>
      </w:pPr>
      <w:r>
        <w:lastRenderedPageBreak/>
        <w:tab/>
        <w:t>(c)</w:t>
      </w:r>
      <w:r>
        <w:tab/>
        <w:t>the Investor Stream.</w:t>
      </w:r>
    </w:p>
    <w:p w14:paraId="598895A8" w14:textId="77777777" w:rsidR="00C447DA" w:rsidRDefault="00C447DA" w:rsidP="00C447DA">
      <w:pPr>
        <w:pStyle w:val="ActHead5"/>
      </w:pPr>
      <w:bookmarkStart w:id="11" w:name="_Toc454781205"/>
      <w:bookmarkStart w:id="12" w:name="_Toc208577209"/>
      <w:bookmarkStart w:id="13" w:name="_Toc454512517"/>
      <w:r>
        <w:t>5  Schedules</w:t>
      </w:r>
      <w:bookmarkEnd w:id="11"/>
      <w:bookmarkEnd w:id="12"/>
    </w:p>
    <w:p w14:paraId="67E23894" w14:textId="77777777" w:rsidR="00C447DA" w:rsidRDefault="00C447DA" w:rsidP="00C447DA">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bookmarkEnd w:id="13"/>
    <w:p w14:paraId="6CA16AD7" w14:textId="77777777" w:rsidR="00C447DA" w:rsidRDefault="00C447DA" w:rsidP="00C447DA">
      <w:pPr>
        <w:spacing w:line="240" w:lineRule="auto"/>
        <w:rPr>
          <w:rFonts w:eastAsia="Times New Roman" w:cs="Times New Roman"/>
          <w:b/>
          <w:kern w:val="28"/>
          <w:sz w:val="24"/>
          <w:lang w:eastAsia="en-AU"/>
        </w:rPr>
      </w:pPr>
      <w:r>
        <w:br w:type="page"/>
      </w:r>
    </w:p>
    <w:p w14:paraId="078CBB96" w14:textId="77777777" w:rsidR="00C447DA" w:rsidRDefault="00C447DA" w:rsidP="00C447DA">
      <w:pPr>
        <w:pStyle w:val="ActHead6"/>
        <w:rPr>
          <w:rFonts w:ascii="Times New Roman" w:hAnsi="Times New Roman"/>
        </w:rPr>
      </w:pPr>
      <w:bookmarkStart w:id="14" w:name="_Toc208577210"/>
      <w:r>
        <w:rPr>
          <w:rFonts w:ascii="Times New Roman" w:hAnsi="Times New Roman"/>
        </w:rPr>
        <w:lastRenderedPageBreak/>
        <w:t>Part 2</w:t>
      </w:r>
      <w:r>
        <w:rPr>
          <w:rFonts w:ascii="Times New Roman" w:hAnsi="Times New Roman"/>
          <w:noProof/>
        </w:rPr>
        <w:t>—</w:t>
      </w:r>
      <w:r>
        <w:rPr>
          <w:rFonts w:ascii="Times New Roman" w:hAnsi="Times New Roman"/>
        </w:rPr>
        <w:t>Complying investments</w:t>
      </w:r>
      <w:bookmarkEnd w:id="14"/>
    </w:p>
    <w:p w14:paraId="3D05182C" w14:textId="77777777" w:rsidR="00C447DA" w:rsidRDefault="00C447DA" w:rsidP="00C447DA">
      <w:pPr>
        <w:pStyle w:val="ActHead5"/>
        <w:rPr>
          <w:highlight w:val="yellow"/>
        </w:rPr>
      </w:pPr>
      <w:bookmarkStart w:id="15" w:name="_Toc208577211"/>
      <w:r>
        <w:t>6  Compliance with this instrument</w:t>
      </w:r>
      <w:bookmarkEnd w:id="15"/>
    </w:p>
    <w:p w14:paraId="077D300C" w14:textId="77777777" w:rsidR="00C447DA" w:rsidRDefault="00C447DA" w:rsidP="00C447DA">
      <w:pPr>
        <w:pStyle w:val="subsection"/>
        <w:ind w:left="1080" w:firstLine="0"/>
      </w:pPr>
      <w:r>
        <w:t>For the purposes of subregulation 5.19C(6) of the Regulations, the requirements for an investment applying at any particular time are that the investment complies with all requirements under this instrument that are applicable at that time.</w:t>
      </w:r>
    </w:p>
    <w:p w14:paraId="68A8EA97" w14:textId="77777777" w:rsidR="00C447DA" w:rsidRDefault="00C447DA" w:rsidP="00C447DA">
      <w:pPr>
        <w:pStyle w:val="notetext"/>
        <w:ind w:left="2160" w:hanging="1080"/>
        <w:rPr>
          <w:bCs/>
          <w:iCs/>
        </w:rPr>
      </w:pPr>
      <w:r>
        <w:t>Note 1:</w:t>
      </w:r>
      <w:r>
        <w:tab/>
        <w:t>Regulation 5.19C of the Regulations includes additional requirements for an investment to be a </w:t>
      </w:r>
      <w:r>
        <w:rPr>
          <w:b/>
          <w:bCs/>
          <w:i/>
          <w:iCs/>
        </w:rPr>
        <w:t>complying significant investment</w:t>
      </w:r>
      <w:r>
        <w:rPr>
          <w:bCs/>
          <w:iCs/>
        </w:rPr>
        <w:t>.</w:t>
      </w:r>
    </w:p>
    <w:p w14:paraId="333C7F78" w14:textId="77777777" w:rsidR="00C447DA" w:rsidRDefault="00C447DA" w:rsidP="00C447DA">
      <w:pPr>
        <w:pStyle w:val="notetext"/>
        <w:ind w:left="2160" w:hanging="1080"/>
        <w:rPr>
          <w:bCs/>
          <w:iCs/>
        </w:rPr>
      </w:pPr>
      <w:r>
        <w:rPr>
          <w:bCs/>
          <w:iCs/>
        </w:rPr>
        <w:t>Note 2:</w:t>
      </w:r>
      <w:r>
        <w:rPr>
          <w:bCs/>
          <w:iCs/>
        </w:rPr>
        <w:tab/>
        <w:t>The primary criteria for a Subclass 188 (Business Innovation and Investment (Provisional)) visa in the Significant Investor stream include a minimum total amount for the investment that is required to be made on or after the time of application to satisfy the criteria for grant of the visa (see subclause 188.252(1) of Schedule 2 to the Regulations).</w:t>
      </w:r>
    </w:p>
    <w:p w14:paraId="32F2E58D" w14:textId="77777777" w:rsidR="00C447DA" w:rsidRDefault="00C447DA" w:rsidP="00C447DA">
      <w:pPr>
        <w:pStyle w:val="notetext"/>
        <w:ind w:left="2160" w:hanging="1080"/>
        <w:rPr>
          <w:bCs/>
          <w:iCs/>
        </w:rPr>
      </w:pPr>
      <w:r>
        <w:rPr>
          <w:bCs/>
          <w:iCs/>
        </w:rPr>
        <w:t>Note 3:</w:t>
      </w:r>
      <w:r>
        <w:rPr>
          <w:bCs/>
          <w:iCs/>
        </w:rPr>
        <w:tab/>
        <w:t>The primary criteria for a Subclass 188 (Business Innovation and Investment (Provisional)) visa in the Investor stream include a minimum total amount for the investment that is required to be made on or after the time of application to satisfy the criteria for grant of the visa (see subparagraph 188.244(2)(b)(ii) of Schedule 2 to the Regulations).</w:t>
      </w:r>
    </w:p>
    <w:p w14:paraId="2B5D2C96" w14:textId="77777777" w:rsidR="00C447DA" w:rsidRDefault="00C447DA" w:rsidP="00C447DA">
      <w:pPr>
        <w:pStyle w:val="notetext"/>
        <w:ind w:left="2160" w:hanging="1080"/>
      </w:pPr>
      <w:r>
        <w:rPr>
          <w:bCs/>
          <w:iCs/>
        </w:rPr>
        <w:t>Note 4:</w:t>
      </w:r>
      <w:r>
        <w:rPr>
          <w:bCs/>
          <w:iCs/>
        </w:rPr>
        <w:tab/>
        <w:t>If an investment is based on one or more other investments, regulation 5.19C of the Regulations and this instrument apply to the other investment or other investments in the same way, to the extent practicable.</w:t>
      </w:r>
    </w:p>
    <w:p w14:paraId="30845295" w14:textId="77777777" w:rsidR="00C447DA" w:rsidRDefault="00C447DA" w:rsidP="00C447DA">
      <w:pPr>
        <w:pStyle w:val="ActHead5"/>
        <w:rPr>
          <w:highlight w:val="yellow"/>
        </w:rPr>
      </w:pPr>
      <w:bookmarkStart w:id="16" w:name="_Toc208577212"/>
      <w:r>
        <w:t>7  Value of required investments</w:t>
      </w:r>
      <w:bookmarkEnd w:id="16"/>
    </w:p>
    <w:p w14:paraId="5F60DAAB" w14:textId="77777777" w:rsidR="00C447DA" w:rsidRDefault="00C447DA" w:rsidP="00C447DA">
      <w:pPr>
        <w:pStyle w:val="subsection"/>
      </w:pPr>
      <w:r>
        <w:tab/>
        <w:t>(1)</w:t>
      </w:r>
      <w:r>
        <w:tab/>
        <w:t>The investment must include:</w:t>
      </w:r>
    </w:p>
    <w:p w14:paraId="21B1C956" w14:textId="77777777" w:rsidR="00C447DA" w:rsidRDefault="00C447DA" w:rsidP="00C447DA">
      <w:pPr>
        <w:pStyle w:val="paragraph"/>
      </w:pPr>
      <w:r>
        <w:tab/>
        <w:t>(a)</w:t>
      </w:r>
      <w:r>
        <w:tab/>
        <w:t>at least 20% of the total investment in 1 or more venture capital funds in accordance with section 9; and</w:t>
      </w:r>
    </w:p>
    <w:p w14:paraId="3C859B58" w14:textId="77777777" w:rsidR="00C447DA" w:rsidRDefault="00C447DA" w:rsidP="00C447DA">
      <w:pPr>
        <w:pStyle w:val="paragraph"/>
      </w:pPr>
      <w:r>
        <w:tab/>
        <w:t>(b)</w:t>
      </w:r>
      <w:r>
        <w:tab/>
        <w:t>at least 30% of the total investment in emerging companies investments in accordance with section 10.</w:t>
      </w:r>
    </w:p>
    <w:p w14:paraId="6CA55429" w14:textId="77777777" w:rsidR="00C447DA" w:rsidRDefault="00C447DA" w:rsidP="00C447DA">
      <w:pPr>
        <w:pStyle w:val="subsection"/>
      </w:pPr>
      <w:r>
        <w:tab/>
        <w:t>(2)</w:t>
      </w:r>
      <w:r>
        <w:tab/>
        <w:t>Any remaining portion of the investment must be invested in any of the following:</w:t>
      </w:r>
    </w:p>
    <w:p w14:paraId="1D9A96E4" w14:textId="77777777" w:rsidR="00C447DA" w:rsidRDefault="00C447DA" w:rsidP="00C447DA">
      <w:pPr>
        <w:pStyle w:val="paragraph"/>
      </w:pPr>
      <w:r>
        <w:tab/>
        <w:t>(a)</w:t>
      </w:r>
      <w:r>
        <w:tab/>
        <w:t>1 or more venture capital funds in accordance with section 9;</w:t>
      </w:r>
    </w:p>
    <w:p w14:paraId="4E9B752E" w14:textId="77777777" w:rsidR="00C447DA" w:rsidRDefault="00C447DA" w:rsidP="00C447DA">
      <w:pPr>
        <w:pStyle w:val="paragraph"/>
      </w:pPr>
      <w:r>
        <w:tab/>
        <w:t>(b)</w:t>
      </w:r>
      <w:r>
        <w:tab/>
        <w:t>emerging companies investments in accordance with section 10;</w:t>
      </w:r>
    </w:p>
    <w:p w14:paraId="3CEB4312" w14:textId="77777777" w:rsidR="00C447DA" w:rsidRDefault="00C447DA" w:rsidP="00C447DA">
      <w:pPr>
        <w:pStyle w:val="paragraph"/>
      </w:pPr>
      <w:r>
        <w:tab/>
        <w:t>(c)</w:t>
      </w:r>
      <w:r>
        <w:tab/>
        <w:t>1 or more balancing investments in accordance with section 11.</w:t>
      </w:r>
    </w:p>
    <w:p w14:paraId="2878EFD1" w14:textId="63B3E5F1" w:rsidR="00EE397E" w:rsidRPr="00403A88" w:rsidRDefault="00EE397E" w:rsidP="00E00F09">
      <w:pPr>
        <w:pStyle w:val="subsection"/>
      </w:pPr>
      <w:r w:rsidRPr="007905FE">
        <w:tab/>
      </w:r>
      <w:r w:rsidR="00403A88">
        <w:t>(3)</w:t>
      </w:r>
      <w:r w:rsidR="00403A88">
        <w:tab/>
      </w:r>
      <w:r w:rsidR="007905FE">
        <w:t>For an applicant who</w:t>
      </w:r>
      <w:r w:rsidRPr="00403A88">
        <w:t>:</w:t>
      </w:r>
    </w:p>
    <w:p w14:paraId="4294FC71" w14:textId="0313CE2A" w:rsidR="00EE397E" w:rsidRDefault="00EE397E" w:rsidP="00EE397E">
      <w:pPr>
        <w:pStyle w:val="paragraph"/>
      </w:pPr>
      <w:r>
        <w:tab/>
        <w:t>(a)</w:t>
      </w:r>
      <w:r>
        <w:tab/>
        <w:t>was invited to apply for a Subclass 188 visa if the invitation is made before 1 July 2021; and</w:t>
      </w:r>
    </w:p>
    <w:p w14:paraId="68A55AE2" w14:textId="37D76D4E" w:rsidR="00EE397E" w:rsidRDefault="00EE397E" w:rsidP="00EE397E">
      <w:pPr>
        <w:pStyle w:val="paragraph"/>
      </w:pPr>
      <w:r>
        <w:tab/>
        <w:t>(b)</w:t>
      </w:r>
      <w:r>
        <w:tab/>
        <w:t>applies for a Subclass 888 visa where the applicant was invited to apply for a Subclass 188 visa before 1 July 2021.</w:t>
      </w:r>
    </w:p>
    <w:p w14:paraId="2A9C7628" w14:textId="412662E9" w:rsidR="00EE397E" w:rsidRDefault="007905FE" w:rsidP="00E00F09">
      <w:pPr>
        <w:pStyle w:val="subsection2"/>
      </w:pPr>
      <w:r>
        <w:t>t</w:t>
      </w:r>
      <w:r w:rsidR="00EE397E">
        <w:t>he value of required investments must include:</w:t>
      </w:r>
    </w:p>
    <w:p w14:paraId="4F6D9F24" w14:textId="3470CD5D" w:rsidR="00EE397E" w:rsidRDefault="00EE397E" w:rsidP="00E00F09">
      <w:pPr>
        <w:pStyle w:val="paragraph"/>
      </w:pPr>
      <w:r>
        <w:tab/>
        <w:t>(</w:t>
      </w:r>
      <w:r w:rsidR="007905FE">
        <w:t>c</w:t>
      </w:r>
      <w:r>
        <w:t>)</w:t>
      </w:r>
      <w:r>
        <w:tab/>
        <w:t>a total of at least AUD 500 000 invested, or to be invested, in one or more venture capital funds under subsection 9(2A); and</w:t>
      </w:r>
    </w:p>
    <w:p w14:paraId="3B7F1446" w14:textId="63DDDAE4" w:rsidR="00035BD1" w:rsidRDefault="00EE397E" w:rsidP="00E00F09">
      <w:pPr>
        <w:pStyle w:val="paragraph"/>
      </w:pPr>
      <w:r>
        <w:tab/>
        <w:t>(</w:t>
      </w:r>
      <w:r w:rsidR="007905FE">
        <w:t>d</w:t>
      </w:r>
      <w:r>
        <w:t>)</w:t>
      </w:r>
      <w:r>
        <w:tab/>
        <w:t>a total of at least AUD 1 500 000 in emerging companies investments under section 10</w:t>
      </w:r>
      <w:r w:rsidR="007905FE">
        <w:t>;</w:t>
      </w:r>
    </w:p>
    <w:p w14:paraId="1539A65C" w14:textId="59C44C38" w:rsidR="00EE397E" w:rsidRDefault="007905FE" w:rsidP="00E00F09">
      <w:pPr>
        <w:pStyle w:val="subsection2"/>
      </w:pPr>
      <w:r>
        <w:lastRenderedPageBreak/>
        <w:t>and a</w:t>
      </w:r>
      <w:r w:rsidR="00EE397E">
        <w:t>ny remaining portion of the investment may be invested in one or more balancing investments (see section 11)</w:t>
      </w:r>
      <w:r>
        <w:t>.</w:t>
      </w:r>
    </w:p>
    <w:p w14:paraId="5FAFE499" w14:textId="77777777" w:rsidR="00C447DA" w:rsidRDefault="00C447DA" w:rsidP="00C447DA">
      <w:pPr>
        <w:pStyle w:val="ActHead5"/>
        <w:rPr>
          <w:highlight w:val="yellow"/>
        </w:rPr>
      </w:pPr>
      <w:bookmarkStart w:id="17" w:name="_Toc208577213"/>
      <w:r>
        <w:t>8  Timing of required investments</w:t>
      </w:r>
      <w:bookmarkEnd w:id="17"/>
    </w:p>
    <w:p w14:paraId="79E19EDD" w14:textId="77777777" w:rsidR="00C447DA" w:rsidRDefault="00C447DA" w:rsidP="00C447DA">
      <w:pPr>
        <w:pStyle w:val="subsection"/>
      </w:pPr>
      <w:r>
        <w:tab/>
      </w:r>
      <w:r>
        <w:tab/>
        <w:t xml:space="preserve">The investment must be made on or after the time of application for the </w:t>
      </w:r>
      <w:r>
        <w:rPr>
          <w:bCs/>
          <w:iCs/>
        </w:rPr>
        <w:t xml:space="preserve">relevant </w:t>
      </w:r>
      <w:r>
        <w:t>visa.</w:t>
      </w:r>
    </w:p>
    <w:p w14:paraId="5F9889F5" w14:textId="77777777" w:rsidR="00C447DA" w:rsidRDefault="00C447DA" w:rsidP="00C447DA">
      <w:pPr>
        <w:pStyle w:val="ActHead5"/>
        <w:rPr>
          <w:highlight w:val="yellow"/>
        </w:rPr>
      </w:pPr>
      <w:bookmarkStart w:id="18" w:name="_Toc208577214"/>
      <w:r>
        <w:t>9  Venture capital fund investments</w:t>
      </w:r>
      <w:bookmarkEnd w:id="18"/>
      <w:r>
        <w:t xml:space="preserve"> </w:t>
      </w:r>
    </w:p>
    <w:p w14:paraId="79F157A3" w14:textId="77777777" w:rsidR="00C447DA" w:rsidRDefault="00C447DA" w:rsidP="00C447DA">
      <w:pPr>
        <w:pStyle w:val="SubsectionHead"/>
      </w:pPr>
      <w:r>
        <w:t>General</w:t>
      </w:r>
    </w:p>
    <w:p w14:paraId="3ABC0E0A" w14:textId="77777777" w:rsidR="00C447DA" w:rsidRDefault="00C447DA" w:rsidP="00C447DA">
      <w:pPr>
        <w:pStyle w:val="subsection"/>
      </w:pPr>
      <w:r>
        <w:tab/>
        <w:t>(1)</w:t>
      </w:r>
      <w:r>
        <w:tab/>
        <w:t>Investments made by the investor in a venture capital fund or funds must comply with the requirements of this section.</w:t>
      </w:r>
    </w:p>
    <w:p w14:paraId="5B7358FE" w14:textId="77777777" w:rsidR="00C447DA" w:rsidRDefault="00C447DA" w:rsidP="00C447DA">
      <w:pPr>
        <w:pStyle w:val="SubsectionHead"/>
      </w:pPr>
      <w:r>
        <w:t>Initial investment requirements</w:t>
      </w:r>
    </w:p>
    <w:p w14:paraId="7329ED6D" w14:textId="77777777" w:rsidR="00C447DA" w:rsidRDefault="00C447DA" w:rsidP="00C447DA">
      <w:pPr>
        <w:pStyle w:val="subsection"/>
      </w:pPr>
      <w:r>
        <w:tab/>
        <w:t>(2)</w:t>
      </w:r>
      <w:r>
        <w:tab/>
        <w:t>Between the time of application for the investor’s visa, and the time that is 6 months after the day on which the visa is granted to the investor:</w:t>
      </w:r>
    </w:p>
    <w:p w14:paraId="2A8650AE" w14:textId="77777777" w:rsidR="00C447DA" w:rsidRDefault="00C447DA" w:rsidP="00C447DA">
      <w:pPr>
        <w:pStyle w:val="paragraph"/>
      </w:pPr>
      <w:r>
        <w:tab/>
        <w:t>(a)</w:t>
      </w:r>
      <w:r>
        <w:tab/>
        <w:t>the investor must enter into an agreement with the general partner of each of one or more venture capital funds committing the investor to make an investment in one or more venture capital funds of at least 20% of the total investment; and</w:t>
      </w:r>
    </w:p>
    <w:p w14:paraId="7DD1F434" w14:textId="77777777" w:rsidR="00C447DA" w:rsidRDefault="00C447DA" w:rsidP="00C447DA">
      <w:pPr>
        <w:pStyle w:val="paragraph"/>
      </w:pPr>
      <w:r>
        <w:tab/>
        <w:t>(b)</w:t>
      </w:r>
      <w:r>
        <w:tab/>
        <w:t>the amount of each investment in a venture capital fund must be held:</w:t>
      </w:r>
    </w:p>
    <w:p w14:paraId="7A927CA7" w14:textId="77777777" w:rsidR="00C447DA" w:rsidRDefault="00C447DA" w:rsidP="00C447DA">
      <w:pPr>
        <w:pStyle w:val="paragraphsub"/>
      </w:pPr>
      <w:r>
        <w:tab/>
        <w:t>(i)</w:t>
      </w:r>
      <w:r>
        <w:tab/>
        <w:t>in escrow in favour of the general partner of the fund; or</w:t>
      </w:r>
    </w:p>
    <w:p w14:paraId="60C505FB" w14:textId="77777777" w:rsidR="00C447DA" w:rsidRDefault="00C447DA" w:rsidP="00C447DA">
      <w:pPr>
        <w:pStyle w:val="paragraphsub"/>
      </w:pPr>
      <w:r>
        <w:tab/>
        <w:t>(ii)</w:t>
      </w:r>
      <w:r>
        <w:tab/>
        <w:t>as security for a guarantee issued by an Australian ADI in favour of the general partner of the fund.</w:t>
      </w:r>
    </w:p>
    <w:p w14:paraId="01835D02" w14:textId="77777777" w:rsidR="00035BD1" w:rsidRDefault="00C447DA" w:rsidP="00035BD1">
      <w:pPr>
        <w:pStyle w:val="subsection"/>
      </w:pPr>
      <w:r>
        <w:tab/>
      </w:r>
      <w:r w:rsidR="00035BD1">
        <w:t>(2A)</w:t>
      </w:r>
      <w:r w:rsidR="00035BD1">
        <w:tab/>
        <w:t xml:space="preserve">For an applicant who was invited to apply for a Subclass 188 visa or who </w:t>
      </w:r>
      <w:r w:rsidR="001A53C5">
        <w:t>has</w:t>
      </w:r>
      <w:r w:rsidR="00035BD1">
        <w:t xml:space="preserve"> applied for a Subclass 888 visa before 1 July 2021, between the time of application for the investor’s visa, and the time that is 12 months after the day on which the visa is granted to the investor:</w:t>
      </w:r>
    </w:p>
    <w:p w14:paraId="2793BBA4" w14:textId="77777777" w:rsidR="00035BD1" w:rsidRDefault="00035BD1" w:rsidP="00035BD1">
      <w:pPr>
        <w:pStyle w:val="paragraph"/>
      </w:pPr>
      <w:r>
        <w:tab/>
        <w:t>(a)</w:t>
      </w:r>
      <w:r>
        <w:tab/>
        <w:t>the investor must enter into an agreement with the general partner of each of one or more venture capital funds committing the investor to make an investment in one or more venture capital funds of at least AUD 500 000 in total; and</w:t>
      </w:r>
    </w:p>
    <w:p w14:paraId="699258F8" w14:textId="77777777" w:rsidR="00035BD1" w:rsidRDefault="00035BD1" w:rsidP="00035BD1">
      <w:pPr>
        <w:pStyle w:val="paragraph"/>
      </w:pPr>
      <w:r>
        <w:tab/>
        <w:t>(b)</w:t>
      </w:r>
      <w:r>
        <w:tab/>
        <w:t>the amount of each investment in a venture capital fund must be held:</w:t>
      </w:r>
    </w:p>
    <w:p w14:paraId="2E6C17FF" w14:textId="77777777" w:rsidR="00035BD1" w:rsidRDefault="00035BD1" w:rsidP="00035BD1">
      <w:pPr>
        <w:pStyle w:val="paragraphsub"/>
      </w:pPr>
      <w:r>
        <w:tab/>
        <w:t>(i)</w:t>
      </w:r>
      <w:r>
        <w:tab/>
        <w:t>in escrow in favour of the general partner of the fund; or</w:t>
      </w:r>
    </w:p>
    <w:p w14:paraId="03E15108" w14:textId="77777777" w:rsidR="00035BD1" w:rsidRDefault="00035BD1" w:rsidP="00035BD1">
      <w:pPr>
        <w:pStyle w:val="paragraphsub"/>
      </w:pPr>
      <w:r>
        <w:tab/>
        <w:t>(ii)</w:t>
      </w:r>
      <w:r>
        <w:tab/>
        <w:t>as security for a guarantee issued by an Australian ADI in favour of the general partner of the fund.</w:t>
      </w:r>
    </w:p>
    <w:p w14:paraId="75EE46A4" w14:textId="77777777" w:rsidR="00C447DA" w:rsidRDefault="00C447DA" w:rsidP="00C447DA">
      <w:pPr>
        <w:pStyle w:val="subsection"/>
      </w:pPr>
      <w:r>
        <w:tab/>
        <w:t>(3)</w:t>
      </w:r>
      <w:r>
        <w:tab/>
        <w:t>At the time of decision for the investor’s visa, at least 20% of the total investment must be held either:</w:t>
      </w:r>
    </w:p>
    <w:p w14:paraId="5118FE42" w14:textId="77777777" w:rsidR="00C447DA" w:rsidRDefault="00C447DA" w:rsidP="00C447DA">
      <w:pPr>
        <w:pStyle w:val="paragraph"/>
      </w:pPr>
      <w:r>
        <w:tab/>
        <w:t>(a)</w:t>
      </w:r>
      <w:r>
        <w:tab/>
        <w:t>as mentioned in paragraph (2)(b); or</w:t>
      </w:r>
    </w:p>
    <w:p w14:paraId="46DF0D68" w14:textId="77777777" w:rsidR="00C447DA" w:rsidRDefault="00C447DA" w:rsidP="00C447DA">
      <w:pPr>
        <w:pStyle w:val="paragraph"/>
      </w:pPr>
      <w:r>
        <w:tab/>
        <w:t>(b)</w:t>
      </w:r>
      <w:r>
        <w:tab/>
        <w:t>on deposit in either or both of the following for investment in accordance with this section:</w:t>
      </w:r>
    </w:p>
    <w:p w14:paraId="76122A0A" w14:textId="77777777" w:rsidR="00C447DA" w:rsidRDefault="00C447DA" w:rsidP="00C447DA">
      <w:pPr>
        <w:pStyle w:val="paragraphsub"/>
      </w:pPr>
      <w:r>
        <w:tab/>
        <w:t>(i)</w:t>
      </w:r>
      <w:r>
        <w:tab/>
        <w:t>a cash management trust or trusts (within the meaning of the </w:t>
      </w:r>
      <w:r>
        <w:rPr>
          <w:i/>
        </w:rPr>
        <w:t>Income Tax Assessment Act 1997</w:t>
      </w:r>
      <w:r>
        <w:t>);</w:t>
      </w:r>
    </w:p>
    <w:p w14:paraId="31E3CAFA" w14:textId="77777777" w:rsidR="00C447DA" w:rsidRDefault="00C447DA" w:rsidP="00C447DA">
      <w:pPr>
        <w:pStyle w:val="paragraphsub"/>
      </w:pPr>
      <w:r>
        <w:lastRenderedPageBreak/>
        <w:tab/>
        <w:t>(ii)</w:t>
      </w:r>
      <w:r>
        <w:tab/>
        <w:t>an Australian ADI.</w:t>
      </w:r>
    </w:p>
    <w:p w14:paraId="0AEEB0B7" w14:textId="77777777" w:rsidR="000501D8" w:rsidRDefault="00C447DA" w:rsidP="000501D8">
      <w:pPr>
        <w:pStyle w:val="subsection"/>
      </w:pPr>
      <w:r>
        <w:tab/>
      </w:r>
      <w:r w:rsidR="000501D8">
        <w:t>(3A)</w:t>
      </w:r>
      <w:r w:rsidR="000501D8">
        <w:tab/>
        <w:t xml:space="preserve">For an applicant who was invited to apply for a Subclass 188 visa or who </w:t>
      </w:r>
      <w:r w:rsidR="002B0156">
        <w:t>has</w:t>
      </w:r>
      <w:r w:rsidR="000501D8">
        <w:t xml:space="preserve"> applied for a Subclass 888 visa before 1 July 2021, at the time of decision for the investor’s visa, at least AUD 500 000 in total must be held either:</w:t>
      </w:r>
    </w:p>
    <w:p w14:paraId="01FE126F" w14:textId="77777777" w:rsidR="000501D8" w:rsidRDefault="000501D8" w:rsidP="000501D8">
      <w:pPr>
        <w:pStyle w:val="paragraph"/>
      </w:pPr>
      <w:r>
        <w:tab/>
        <w:t>(a)</w:t>
      </w:r>
      <w:r>
        <w:tab/>
        <w:t>as mentioned in paragraph (2A)(b); or</w:t>
      </w:r>
    </w:p>
    <w:p w14:paraId="0B15D769" w14:textId="77777777" w:rsidR="000501D8" w:rsidRDefault="000501D8" w:rsidP="000501D8">
      <w:pPr>
        <w:pStyle w:val="paragraph"/>
      </w:pPr>
      <w:r>
        <w:tab/>
        <w:t>(b)</w:t>
      </w:r>
      <w:r>
        <w:tab/>
        <w:t>on deposit in either or both of the following for investment in accordance with this section:</w:t>
      </w:r>
    </w:p>
    <w:p w14:paraId="5FF59BA1" w14:textId="77777777" w:rsidR="000501D8" w:rsidRDefault="000501D8" w:rsidP="007905FE">
      <w:pPr>
        <w:pStyle w:val="paragraphsub"/>
      </w:pPr>
      <w:r>
        <w:tab/>
        <w:t>(i)</w:t>
      </w:r>
      <w:r>
        <w:tab/>
        <w:t xml:space="preserve">a cash management trust or trusts (within the meaning of the </w:t>
      </w:r>
      <w:r>
        <w:rPr>
          <w:i/>
        </w:rPr>
        <w:t>Income Tax Assessment Act 1997</w:t>
      </w:r>
      <w:r>
        <w:t>);</w:t>
      </w:r>
    </w:p>
    <w:p w14:paraId="6C606111" w14:textId="0B1E5A36" w:rsidR="000501D8" w:rsidRDefault="000501D8" w:rsidP="00E00F09">
      <w:pPr>
        <w:pStyle w:val="paragraphsub"/>
      </w:pPr>
      <w:r>
        <w:tab/>
      </w:r>
      <w:r w:rsidR="00403A88">
        <w:t>(ii)</w:t>
      </w:r>
      <w:r>
        <w:tab/>
        <w:t>an Australian ADI</w:t>
      </w:r>
      <w:r w:rsidR="00403A88">
        <w:t>.</w:t>
      </w:r>
    </w:p>
    <w:p w14:paraId="5CA4620E" w14:textId="77777777" w:rsidR="00C447DA" w:rsidRDefault="00C447DA" w:rsidP="005A61DB">
      <w:pPr>
        <w:pStyle w:val="SubsectionHead"/>
      </w:pPr>
      <w:r>
        <w:t>Investment requirements while visa is in effect</w:t>
      </w:r>
    </w:p>
    <w:p w14:paraId="295288A8" w14:textId="77777777" w:rsidR="00C447DA" w:rsidRDefault="00C447DA" w:rsidP="00C447DA">
      <w:pPr>
        <w:pStyle w:val="subsection"/>
      </w:pPr>
      <w:r>
        <w:tab/>
        <w:t>(4)</w:t>
      </w:r>
      <w:r>
        <w:tab/>
        <w:t>A substantial part of the total of amounts held under paragraph (2)(b) for investment by one or more venture capital funds (not including any fees related to the investment) must be invested during the period the visa is in effect.</w:t>
      </w:r>
    </w:p>
    <w:p w14:paraId="5E515924" w14:textId="77777777" w:rsidR="00C447DA" w:rsidRDefault="00C447DA" w:rsidP="00C447DA">
      <w:pPr>
        <w:pStyle w:val="SubsectionHead"/>
      </w:pPr>
      <w:r>
        <w:t>Investment realised</w:t>
      </w:r>
    </w:p>
    <w:p w14:paraId="71D5982F" w14:textId="77777777" w:rsidR="00C447DA" w:rsidRDefault="00C447DA" w:rsidP="00C447DA">
      <w:pPr>
        <w:pStyle w:val="subsection"/>
      </w:pPr>
      <w:r>
        <w:tab/>
        <w:t>(5)</w:t>
      </w:r>
      <w:r>
        <w:tab/>
        <w:t>If an investment in a venture capital fund is realised before the visa ceases to have effect, the amount realised from the investment must be reinvested in one or more of the following:</w:t>
      </w:r>
    </w:p>
    <w:p w14:paraId="2A3C48AC" w14:textId="77777777" w:rsidR="00C447DA" w:rsidRDefault="00C447DA" w:rsidP="00C447DA">
      <w:pPr>
        <w:pStyle w:val="paragraph"/>
      </w:pPr>
      <w:r>
        <w:tab/>
        <w:t>(a)</w:t>
      </w:r>
      <w:r>
        <w:tab/>
        <w:t>one or more venture capital funds (which may include the same fund);</w:t>
      </w:r>
    </w:p>
    <w:p w14:paraId="65BCC33A" w14:textId="77777777" w:rsidR="00C447DA" w:rsidRDefault="00C447DA" w:rsidP="00C447DA">
      <w:pPr>
        <w:pStyle w:val="paragraph"/>
      </w:pPr>
      <w:r>
        <w:tab/>
        <w:t>(b)</w:t>
      </w:r>
      <w:r>
        <w:tab/>
        <w:t>emerging companies investments (see section 10);</w:t>
      </w:r>
    </w:p>
    <w:p w14:paraId="159A729F" w14:textId="77777777" w:rsidR="00C447DA" w:rsidRDefault="00C447DA" w:rsidP="00C447DA">
      <w:pPr>
        <w:pStyle w:val="paragraph"/>
      </w:pPr>
      <w:r>
        <w:tab/>
        <w:t>(c)</w:t>
      </w:r>
      <w:r>
        <w:tab/>
        <w:t>balancing investments (see section 11).</w:t>
      </w:r>
    </w:p>
    <w:p w14:paraId="612BFC7A" w14:textId="77777777" w:rsidR="00C447DA" w:rsidRDefault="00C447DA" w:rsidP="00C447DA">
      <w:pPr>
        <w:pStyle w:val="SubsectionHead"/>
      </w:pPr>
      <w:r>
        <w:t>Investment reimbursed following lapse of conditional registration</w:t>
      </w:r>
    </w:p>
    <w:p w14:paraId="6F81AF6E" w14:textId="77777777" w:rsidR="00C447DA" w:rsidRDefault="00C447DA" w:rsidP="00C447DA">
      <w:pPr>
        <w:pStyle w:val="subsection"/>
      </w:pPr>
      <w:r>
        <w:tab/>
        <w:t>(6)</w:t>
      </w:r>
      <w:r>
        <w:tab/>
        <w:t>If an investment in a venture capital fund (the original venture capital fund) is reimbursed (in whole or in part) in the circumstances covered by subsection (7) before the visa ceases to have effect, the amount reimbursed must be reinvested in another venture capital fund or funds.</w:t>
      </w:r>
    </w:p>
    <w:p w14:paraId="5D340A5E" w14:textId="77777777" w:rsidR="00C447DA" w:rsidRDefault="00C447DA" w:rsidP="00C447DA">
      <w:pPr>
        <w:pStyle w:val="subsection"/>
      </w:pPr>
      <w:r>
        <w:tab/>
        <w:t>(7)</w:t>
      </w:r>
      <w:r>
        <w:tab/>
        <w:t>The circumstances covered by this subsection are as follows:</w:t>
      </w:r>
    </w:p>
    <w:p w14:paraId="307E9848" w14:textId="77777777" w:rsidR="00C447DA" w:rsidRDefault="00C447DA" w:rsidP="00C447DA">
      <w:pPr>
        <w:pStyle w:val="paragraph"/>
      </w:pPr>
      <w:r>
        <w:tab/>
        <w:t>(a)</w:t>
      </w:r>
      <w:r>
        <w:tab/>
        <w:t xml:space="preserve">the original venture capital fund was conditionally registered under section 13-5 of the </w:t>
      </w:r>
      <w:r>
        <w:rPr>
          <w:i/>
        </w:rPr>
        <w:t>Venture Capital Act 2002</w:t>
      </w:r>
      <w:r>
        <w:t>;</w:t>
      </w:r>
    </w:p>
    <w:p w14:paraId="03A4DDB9" w14:textId="77777777" w:rsidR="00C447DA" w:rsidRDefault="00C447DA" w:rsidP="00C447DA">
      <w:pPr>
        <w:pStyle w:val="paragraph"/>
      </w:pPr>
      <w:r>
        <w:tab/>
        <w:t>(b)</w:t>
      </w:r>
      <w:r>
        <w:tab/>
        <w:t>the fund’s conditional registration has lapsed under subsection 13-10(3) of that Act; or</w:t>
      </w:r>
    </w:p>
    <w:p w14:paraId="66DAB455" w14:textId="77777777" w:rsidR="00C447DA" w:rsidRDefault="00C447DA" w:rsidP="00C447DA">
      <w:pPr>
        <w:pStyle w:val="paragraph"/>
      </w:pPr>
      <w:r>
        <w:tab/>
        <w:t>(c)</w:t>
      </w:r>
      <w:r>
        <w:tab/>
        <w:t xml:space="preserve">the investor’s investment in the original venture capital fund is reimbursed (in whole or in part) because of that lapse. </w:t>
      </w:r>
    </w:p>
    <w:p w14:paraId="6F450E92" w14:textId="77777777" w:rsidR="00C447DA" w:rsidRDefault="00C447DA" w:rsidP="00C447DA">
      <w:pPr>
        <w:pStyle w:val="notetext"/>
        <w:ind w:left="2160" w:hanging="1080"/>
        <w:rPr>
          <w:bCs/>
          <w:iCs/>
        </w:rPr>
      </w:pPr>
      <w:r>
        <w:rPr>
          <w:bCs/>
          <w:iCs/>
        </w:rPr>
        <w:t>Note</w:t>
      </w:r>
      <w:r>
        <w:rPr>
          <w:bCs/>
          <w:iCs/>
        </w:rPr>
        <w:tab/>
        <w:t>See subregulations 5.19C(7) and (8) of the Regulations for the allowable period during which funds may be transferred from one investment to another.</w:t>
      </w:r>
    </w:p>
    <w:p w14:paraId="474CF43E" w14:textId="77777777" w:rsidR="00C447DA" w:rsidRDefault="00C447DA" w:rsidP="00C447DA">
      <w:pPr>
        <w:pStyle w:val="ActHead5"/>
        <w:rPr>
          <w:highlight w:val="yellow"/>
        </w:rPr>
      </w:pPr>
      <w:bookmarkStart w:id="19" w:name="_Toc208577215"/>
      <w:r>
        <w:lastRenderedPageBreak/>
        <w:t>10  Emerging companies investments</w:t>
      </w:r>
      <w:bookmarkEnd w:id="19"/>
      <w:r>
        <w:t xml:space="preserve"> </w:t>
      </w:r>
    </w:p>
    <w:p w14:paraId="6E42DC71" w14:textId="77777777" w:rsidR="00C447DA" w:rsidRDefault="00C447DA" w:rsidP="00C447DA">
      <w:pPr>
        <w:pStyle w:val="SubsectionHead"/>
      </w:pPr>
      <w:r>
        <w:t>General</w:t>
      </w:r>
    </w:p>
    <w:p w14:paraId="160FC6CD" w14:textId="77777777" w:rsidR="00C447DA" w:rsidRDefault="00C447DA" w:rsidP="00C447DA">
      <w:pPr>
        <w:pStyle w:val="subsection"/>
      </w:pPr>
      <w:r>
        <w:tab/>
        <w:t>(1)</w:t>
      </w:r>
      <w:r>
        <w:tab/>
        <w:t xml:space="preserve">An </w:t>
      </w:r>
      <w:r>
        <w:rPr>
          <w:b/>
          <w:bCs/>
          <w:i/>
          <w:iCs/>
        </w:rPr>
        <w:t>emerging companies investment</w:t>
      </w:r>
      <w:r>
        <w:t xml:space="preserve"> is an investment in accordance with this section.</w:t>
      </w:r>
    </w:p>
    <w:p w14:paraId="764A61BD" w14:textId="77777777" w:rsidR="00C447DA" w:rsidRDefault="00C447DA" w:rsidP="00C447DA">
      <w:pPr>
        <w:pStyle w:val="subsection"/>
      </w:pPr>
      <w:r>
        <w:tab/>
        <w:t>(2)</w:t>
      </w:r>
      <w:r>
        <w:tab/>
        <w:t>The investment must:</w:t>
      </w:r>
    </w:p>
    <w:p w14:paraId="1E948380" w14:textId="77777777" w:rsidR="00C447DA" w:rsidRDefault="00C447DA" w:rsidP="00C447DA">
      <w:pPr>
        <w:pStyle w:val="paragraph"/>
      </w:pPr>
      <w:r>
        <w:tab/>
        <w:t>(a)</w:t>
      </w:r>
      <w:r>
        <w:tab/>
        <w:t>be invested through one or more managed investment funds; and</w:t>
      </w:r>
    </w:p>
    <w:p w14:paraId="42859872" w14:textId="77777777" w:rsidR="00C447DA" w:rsidRDefault="00C447DA" w:rsidP="00C447DA">
      <w:pPr>
        <w:pStyle w:val="paragraph"/>
      </w:pPr>
      <w:r>
        <w:tab/>
        <w:t>(b)</w:t>
      </w:r>
      <w:r>
        <w:tab/>
        <w:t>comply with the requirements of this section at any time.</w:t>
      </w:r>
    </w:p>
    <w:p w14:paraId="1A362A2E" w14:textId="77777777" w:rsidR="00C447DA" w:rsidRDefault="00C447DA" w:rsidP="00C447DA">
      <w:pPr>
        <w:pStyle w:val="SubsectionHead"/>
      </w:pPr>
      <w:r>
        <w:t>Permitted investments</w:t>
      </w:r>
    </w:p>
    <w:p w14:paraId="2AFCD53E" w14:textId="77777777" w:rsidR="00C447DA" w:rsidRDefault="00C447DA" w:rsidP="00C447DA">
      <w:pPr>
        <w:pStyle w:val="subsection"/>
      </w:pPr>
      <w:r>
        <w:tab/>
        <w:t>(3)</w:t>
      </w:r>
      <w:r>
        <w:tab/>
        <w:t>The investment may be made only in one or more of the following:</w:t>
      </w:r>
    </w:p>
    <w:p w14:paraId="408D7DA5" w14:textId="77777777" w:rsidR="00C447DA" w:rsidRDefault="00C447DA" w:rsidP="00C447DA">
      <w:pPr>
        <w:pStyle w:val="paragraph"/>
      </w:pPr>
      <w:r>
        <w:tab/>
        <w:t>(a)</w:t>
      </w:r>
      <w:r>
        <w:tab/>
        <w:t>securities quoted on ASX Limited;</w:t>
      </w:r>
    </w:p>
    <w:p w14:paraId="0F19FFC8" w14:textId="77777777" w:rsidR="00C447DA" w:rsidRDefault="00C447DA" w:rsidP="00C447DA">
      <w:pPr>
        <w:pStyle w:val="paragraph"/>
      </w:pPr>
      <w:r>
        <w:tab/>
        <w:t>(b)</w:t>
      </w:r>
      <w:r>
        <w:tab/>
        <w:t>securities (</w:t>
      </w:r>
      <w:r>
        <w:rPr>
          <w:b/>
          <w:i/>
        </w:rPr>
        <w:t>Australian non</w:t>
      </w:r>
      <w:r>
        <w:rPr>
          <w:b/>
          <w:i/>
        </w:rPr>
        <w:noBreakHyphen/>
        <w:t>ASX quoted securities</w:t>
      </w:r>
      <w:r>
        <w:t>) quoted on an Australian securities exchange other than ASX Limited;</w:t>
      </w:r>
    </w:p>
    <w:p w14:paraId="73765127" w14:textId="77777777" w:rsidR="00C447DA" w:rsidRDefault="00C447DA" w:rsidP="00C447DA">
      <w:pPr>
        <w:pStyle w:val="paragraph"/>
      </w:pPr>
      <w:r>
        <w:tab/>
        <w:t>(c)</w:t>
      </w:r>
      <w:r>
        <w:tab/>
        <w:t>securities (</w:t>
      </w:r>
      <w:r>
        <w:rPr>
          <w:b/>
          <w:i/>
        </w:rPr>
        <w:t>unquoted Australian securities</w:t>
      </w:r>
      <w:r>
        <w:t>) not quoted on an Australian securities exchange that are covered by subsection (4) (but see section 12 for investments in Australian residential real estate);</w:t>
      </w:r>
    </w:p>
    <w:p w14:paraId="1D143989" w14:textId="77777777" w:rsidR="00C447DA" w:rsidRDefault="00C447DA" w:rsidP="00C447DA">
      <w:pPr>
        <w:pStyle w:val="paragraph"/>
      </w:pPr>
      <w:r>
        <w:tab/>
        <w:t>(d)</w:t>
      </w:r>
      <w:r>
        <w:tab/>
        <w:t>securities (</w:t>
      </w:r>
      <w:r>
        <w:rPr>
          <w:b/>
          <w:i/>
        </w:rPr>
        <w:t>foreign quoted securities</w:t>
      </w:r>
      <w:r>
        <w:t>) quoted on a securities exchange operated in a foreign country;</w:t>
      </w:r>
    </w:p>
    <w:p w14:paraId="2BEFF3B2" w14:textId="77777777" w:rsidR="00C447DA" w:rsidRDefault="00C447DA" w:rsidP="00C447DA">
      <w:pPr>
        <w:pStyle w:val="paragraph"/>
      </w:pPr>
      <w:r>
        <w:tab/>
        <w:t>(e)</w:t>
      </w:r>
      <w:r>
        <w:tab/>
        <w:t>cash held by Australian ADIs, including certificates of deposit, bank bills and other cash like instruments (but see section 12);</w:t>
      </w:r>
    </w:p>
    <w:p w14:paraId="2F64AC9C" w14:textId="77777777" w:rsidR="00C447DA" w:rsidRDefault="00C447DA" w:rsidP="00C447DA">
      <w:pPr>
        <w:pStyle w:val="paragraph"/>
      </w:pPr>
      <w:r>
        <w:tab/>
        <w:t>(f)</w:t>
      </w:r>
      <w:r>
        <w:tab/>
        <w:t>derivatives (but see section 12).</w:t>
      </w:r>
    </w:p>
    <w:p w14:paraId="443EB84F" w14:textId="77777777" w:rsidR="00C447DA" w:rsidRDefault="00C447DA" w:rsidP="00C447DA">
      <w:pPr>
        <w:pStyle w:val="subsection"/>
      </w:pPr>
      <w:r>
        <w:tab/>
        <w:t>(4)</w:t>
      </w:r>
      <w:r>
        <w:tab/>
        <w:t>For paragraph (3)(c), unquoted Australian securities are covered by this subsection if:</w:t>
      </w:r>
    </w:p>
    <w:p w14:paraId="35318E29" w14:textId="77777777" w:rsidR="00C447DA" w:rsidRDefault="00C447DA" w:rsidP="00C447DA">
      <w:pPr>
        <w:pStyle w:val="paragraph"/>
      </w:pPr>
      <w:r>
        <w:tab/>
        <w:t>(a)</w:t>
      </w:r>
      <w:r>
        <w:tab/>
        <w:t>they are issued by:</w:t>
      </w:r>
    </w:p>
    <w:p w14:paraId="49277E1B" w14:textId="77777777" w:rsidR="00C447DA" w:rsidRDefault="00C447DA" w:rsidP="00C447DA">
      <w:pPr>
        <w:pStyle w:val="paragraphsub"/>
      </w:pPr>
      <w:r>
        <w:tab/>
        <w:t>(i)</w:t>
      </w:r>
      <w:r>
        <w:tab/>
        <w:t>a company incorporated in Australia; or</w:t>
      </w:r>
    </w:p>
    <w:p w14:paraId="0B1DA907" w14:textId="77777777" w:rsidR="00C447DA" w:rsidRDefault="00C447DA" w:rsidP="00C447DA">
      <w:pPr>
        <w:pStyle w:val="paragraphsub"/>
      </w:pPr>
      <w:r>
        <w:tab/>
        <w:t>(ii)</w:t>
      </w:r>
      <w:r>
        <w:tab/>
        <w:t>a trustee or responsible entity of a managed investment scheme that invests in Australian real property or Australian infrastructure assets; and</w:t>
      </w:r>
    </w:p>
    <w:p w14:paraId="0BEA3582" w14:textId="77777777" w:rsidR="00C447DA" w:rsidRDefault="00C447DA" w:rsidP="00C447DA">
      <w:pPr>
        <w:pStyle w:val="paragraph"/>
      </w:pPr>
      <w:r>
        <w:tab/>
        <w:t>(b)</w:t>
      </w:r>
      <w:r>
        <w:tab/>
        <w:t>the central management and control of the company or managed investment scheme mentioned in paragraph (a) is in Australia.</w:t>
      </w:r>
    </w:p>
    <w:p w14:paraId="3313660A" w14:textId="77777777" w:rsidR="00C447DA" w:rsidRDefault="00C447DA" w:rsidP="00C447DA">
      <w:pPr>
        <w:pStyle w:val="subsection"/>
      </w:pPr>
      <w:r>
        <w:tab/>
        <w:t>(5)</w:t>
      </w:r>
      <w:r>
        <w:tab/>
        <w:t>The investment must not be made in:</w:t>
      </w:r>
    </w:p>
    <w:p w14:paraId="0A3E4EC0" w14:textId="77777777" w:rsidR="00C447DA" w:rsidRDefault="00C447DA" w:rsidP="00C447DA">
      <w:pPr>
        <w:pStyle w:val="paragraph"/>
      </w:pPr>
      <w:r>
        <w:tab/>
        <w:t>(a)</w:t>
      </w:r>
      <w:r>
        <w:tab/>
        <w:t>securities issued or proposed to be issued by a government; and</w:t>
      </w:r>
    </w:p>
    <w:p w14:paraId="135FC94F" w14:textId="77777777" w:rsidR="00C447DA" w:rsidRDefault="00C447DA" w:rsidP="00C447DA">
      <w:pPr>
        <w:pStyle w:val="paragraph"/>
      </w:pPr>
      <w:r>
        <w:tab/>
        <w:t>(b)</w:t>
      </w:r>
      <w:r>
        <w:tab/>
        <w:t>debentures;</w:t>
      </w:r>
    </w:p>
    <w:p w14:paraId="5CBA9FF5" w14:textId="77777777" w:rsidR="00C447DA" w:rsidRDefault="00C447DA" w:rsidP="00C447DA">
      <w:pPr>
        <w:pStyle w:val="paragraph"/>
      </w:pPr>
      <w:r>
        <w:tab/>
        <w:t>(c)</w:t>
      </w:r>
      <w:r>
        <w:tab/>
        <w:t>securities that otherwise comply with this section but the issuer of the securities invests the proceeds of the issue of those securities in securities that do not meet the market capitalisation requirements under subsection (6).</w:t>
      </w:r>
    </w:p>
    <w:p w14:paraId="7E97660C" w14:textId="77777777" w:rsidR="00C447DA" w:rsidRDefault="00C447DA" w:rsidP="00C447DA">
      <w:pPr>
        <w:pStyle w:val="notetext"/>
        <w:ind w:left="2160" w:hanging="1080"/>
        <w:rPr>
          <w:bCs/>
          <w:iCs/>
        </w:rPr>
      </w:pPr>
      <w:r>
        <w:rPr>
          <w:bCs/>
          <w:iCs/>
        </w:rPr>
        <w:t>Example:</w:t>
      </w:r>
      <w:r>
        <w:rPr>
          <w:bCs/>
          <w:iCs/>
        </w:rPr>
        <w:tab/>
        <w:t>A small exchange traded fund that invests in the securities of large capitalised companies is excluded under this paragraph.</w:t>
      </w:r>
    </w:p>
    <w:p w14:paraId="1132D7B8" w14:textId="77777777" w:rsidR="00C447DA" w:rsidRDefault="00C447DA" w:rsidP="00C447DA">
      <w:pPr>
        <w:pStyle w:val="SubsectionHead"/>
      </w:pPr>
      <w:r>
        <w:lastRenderedPageBreak/>
        <w:t>Market capitalisation</w:t>
      </w:r>
    </w:p>
    <w:p w14:paraId="668A5CF9" w14:textId="77777777" w:rsidR="00C447DA" w:rsidRDefault="00C447DA" w:rsidP="00C447DA">
      <w:pPr>
        <w:pStyle w:val="subsection"/>
      </w:pPr>
      <w:r>
        <w:tab/>
        <w:t>(6)</w:t>
      </w:r>
      <w:r>
        <w:tab/>
        <w:t>For an investment in securities of a company or managed investment scheme:</w:t>
      </w:r>
    </w:p>
    <w:p w14:paraId="651D9FF6" w14:textId="77777777" w:rsidR="00C447DA" w:rsidRDefault="00C447DA" w:rsidP="00C447DA">
      <w:pPr>
        <w:pStyle w:val="paragraph"/>
      </w:pPr>
      <w:r>
        <w:tab/>
        <w:t>(a)</w:t>
      </w:r>
      <w:r>
        <w:tab/>
        <w:t>at the time of the first investment in those securities, the company or the managed investment scheme must have a market capitalisation of less than AUD 500 000 000;</w:t>
      </w:r>
    </w:p>
    <w:p w14:paraId="3C8E8299" w14:textId="77777777" w:rsidR="00C447DA" w:rsidRDefault="00C447DA" w:rsidP="00C447DA">
      <w:pPr>
        <w:pStyle w:val="paragraph"/>
      </w:pPr>
      <w:r>
        <w:tab/>
        <w:t>(b)</w:t>
      </w:r>
      <w:r>
        <w:tab/>
        <w:t>at any time, the proportion of the value of the managed investment fund’s net assets held in securities of companies and managed investment schemes whose market capitalisation has grown to AUD 500 000 000 or more (since their securities were first invested in) must not exceed 30%.</w:t>
      </w:r>
    </w:p>
    <w:p w14:paraId="42350671" w14:textId="77777777" w:rsidR="00C447DA" w:rsidRDefault="00C447DA" w:rsidP="00C447DA">
      <w:pPr>
        <w:pStyle w:val="SubsectionHead"/>
      </w:pPr>
      <w:r>
        <w:t>Australian non-ASX quoted securities</w:t>
      </w:r>
    </w:p>
    <w:p w14:paraId="0744F53F" w14:textId="77777777" w:rsidR="00C447DA" w:rsidRDefault="00C447DA" w:rsidP="00C447DA">
      <w:pPr>
        <w:pStyle w:val="subsection"/>
      </w:pPr>
      <w:r>
        <w:tab/>
        <w:t>(7)</w:t>
      </w:r>
      <w:r>
        <w:tab/>
        <w:t>The total value of investments in Australian non-ASX quoted securities must comprise no more than 20% of the value of the managed investment fund’s net assets at any time.</w:t>
      </w:r>
    </w:p>
    <w:p w14:paraId="7B811D58" w14:textId="77777777" w:rsidR="00C447DA" w:rsidRDefault="00C447DA" w:rsidP="00C447DA">
      <w:pPr>
        <w:pStyle w:val="SubsectionHead"/>
      </w:pPr>
      <w:r>
        <w:t>Unquoted Australian securities</w:t>
      </w:r>
    </w:p>
    <w:p w14:paraId="234FA04C" w14:textId="77777777" w:rsidR="00C447DA" w:rsidRDefault="00C447DA" w:rsidP="00C447DA">
      <w:pPr>
        <w:pStyle w:val="subsection"/>
      </w:pPr>
      <w:r>
        <w:tab/>
        <w:t>(8)</w:t>
      </w:r>
      <w:r>
        <w:tab/>
        <w:t>An investment in unquoted Australian securities must result in no more than 20% of the value of the managed investment fund’s net assets being held in such securities immediately after the time of investment.</w:t>
      </w:r>
    </w:p>
    <w:p w14:paraId="40C549AB" w14:textId="77777777" w:rsidR="00C447DA" w:rsidRDefault="00C447DA" w:rsidP="00C447DA">
      <w:pPr>
        <w:pStyle w:val="SubsectionHead"/>
      </w:pPr>
      <w:r>
        <w:t>Foreign quoted securities</w:t>
      </w:r>
    </w:p>
    <w:p w14:paraId="6BA7F897" w14:textId="77777777" w:rsidR="00C447DA" w:rsidRDefault="00C447DA" w:rsidP="00C447DA">
      <w:pPr>
        <w:pStyle w:val="subsection"/>
      </w:pPr>
      <w:r>
        <w:tab/>
        <w:t>(9)</w:t>
      </w:r>
      <w:r>
        <w:tab/>
        <w:t>The total value of investments in foreign quoted securities must comprise no more than 10% of the value of the managed investment fund’s net assets at any time.</w:t>
      </w:r>
    </w:p>
    <w:p w14:paraId="25F8A009" w14:textId="77777777" w:rsidR="00C447DA" w:rsidRDefault="00C447DA" w:rsidP="00C447DA">
      <w:pPr>
        <w:pStyle w:val="SubsectionHead"/>
      </w:pPr>
      <w:r>
        <w:t>Investments issued by 20 different issuers</w:t>
      </w:r>
    </w:p>
    <w:p w14:paraId="4E203164" w14:textId="77777777" w:rsidR="00C447DA" w:rsidRDefault="00C447DA" w:rsidP="00C447DA">
      <w:pPr>
        <w:pStyle w:val="subsection"/>
      </w:pPr>
      <w:r>
        <w:tab/>
        <w:t>(10)</w:t>
      </w:r>
      <w:r>
        <w:tab/>
        <w:t>The investment must be maintained in securities issued by 20 or more different issuers from a time that is 3 months after the first investment is made by the managed investment fund.</w:t>
      </w:r>
    </w:p>
    <w:p w14:paraId="4413A50A" w14:textId="77777777" w:rsidR="00C447DA" w:rsidRDefault="00C447DA" w:rsidP="00C447DA">
      <w:pPr>
        <w:pStyle w:val="SubsectionHead"/>
      </w:pPr>
      <w:r>
        <w:t>Percentage of investments issued by a particular issuer</w:t>
      </w:r>
    </w:p>
    <w:p w14:paraId="40AF570F" w14:textId="77777777" w:rsidR="00C447DA" w:rsidRDefault="00C447DA" w:rsidP="00C447DA">
      <w:pPr>
        <w:pStyle w:val="subsection"/>
      </w:pPr>
      <w:r>
        <w:tab/>
        <w:t>(11)</w:t>
      </w:r>
      <w:r>
        <w:tab/>
        <w:t>An investment in securities issued by a particular issuer must result in no more than 10% of the value of the managed investment fund’s net assets being held immediately after the time of investment in securities issued by that issuer.</w:t>
      </w:r>
    </w:p>
    <w:p w14:paraId="21ABBFE8" w14:textId="77777777" w:rsidR="00C447DA" w:rsidRDefault="00C447DA" w:rsidP="00C447DA">
      <w:pPr>
        <w:pStyle w:val="SubsectionHead"/>
      </w:pPr>
      <w:r>
        <w:t>Auditing requirements</w:t>
      </w:r>
    </w:p>
    <w:p w14:paraId="54EDD882" w14:textId="77777777" w:rsidR="00C447DA" w:rsidRDefault="00C447DA" w:rsidP="00C447DA">
      <w:pPr>
        <w:pStyle w:val="subsection"/>
      </w:pPr>
      <w:r>
        <w:tab/>
        <w:t>(12)</w:t>
      </w:r>
      <w:r>
        <w:tab/>
        <w:t>Beginning financial year 2021–22, an annual audit is required for the emerging companies investment components of the complying investment framework.</w:t>
      </w:r>
    </w:p>
    <w:p w14:paraId="4397DA07" w14:textId="77777777" w:rsidR="00C447DA" w:rsidRDefault="00C447DA" w:rsidP="00C447DA">
      <w:pPr>
        <w:spacing w:line="240" w:lineRule="auto"/>
        <w:rPr>
          <w:rFonts w:eastAsia="Times New Roman" w:cs="Times New Roman"/>
          <w:b/>
          <w:kern w:val="28"/>
          <w:sz w:val="24"/>
          <w:lang w:eastAsia="en-AU"/>
        </w:rPr>
      </w:pPr>
      <w:r>
        <w:br w:type="page"/>
      </w:r>
    </w:p>
    <w:p w14:paraId="3394207A" w14:textId="77777777" w:rsidR="00C447DA" w:rsidRDefault="00C447DA" w:rsidP="00C447DA">
      <w:pPr>
        <w:pStyle w:val="ActHead5"/>
        <w:rPr>
          <w:highlight w:val="yellow"/>
        </w:rPr>
      </w:pPr>
      <w:bookmarkStart w:id="20" w:name="_Toc208577216"/>
      <w:r>
        <w:lastRenderedPageBreak/>
        <w:t>11  Balancing investments</w:t>
      </w:r>
      <w:bookmarkEnd w:id="20"/>
    </w:p>
    <w:p w14:paraId="54AEAB4E" w14:textId="77777777" w:rsidR="00C447DA" w:rsidRDefault="00C447DA" w:rsidP="00C447DA">
      <w:pPr>
        <w:pStyle w:val="SubsectionHead"/>
      </w:pPr>
      <w:r>
        <w:t>General</w:t>
      </w:r>
    </w:p>
    <w:p w14:paraId="4BEEB803" w14:textId="77777777" w:rsidR="00C447DA" w:rsidRDefault="00C447DA" w:rsidP="00C447DA">
      <w:pPr>
        <w:pStyle w:val="subsection"/>
      </w:pPr>
      <w:r>
        <w:tab/>
        <w:t>(1)</w:t>
      </w:r>
      <w:r>
        <w:tab/>
        <w:t xml:space="preserve">A </w:t>
      </w:r>
      <w:r>
        <w:rPr>
          <w:b/>
          <w:bCs/>
          <w:i/>
          <w:iCs/>
        </w:rPr>
        <w:t>balancing investment</w:t>
      </w:r>
      <w:r>
        <w:t xml:space="preserve"> is an investment of an investor’s funds in accordance with this section.</w:t>
      </w:r>
    </w:p>
    <w:p w14:paraId="20161B6A" w14:textId="77777777" w:rsidR="00C447DA" w:rsidRDefault="00C447DA" w:rsidP="00C447DA">
      <w:pPr>
        <w:pStyle w:val="subsection"/>
      </w:pPr>
      <w:r>
        <w:tab/>
        <w:t>(2)</w:t>
      </w:r>
      <w:r>
        <w:tab/>
        <w:t>The investment must:</w:t>
      </w:r>
    </w:p>
    <w:p w14:paraId="0B268090" w14:textId="77777777" w:rsidR="00C447DA" w:rsidRDefault="00C447DA" w:rsidP="00C447DA">
      <w:pPr>
        <w:pStyle w:val="paragraph"/>
      </w:pPr>
      <w:r>
        <w:tab/>
        <w:t>(a)</w:t>
      </w:r>
      <w:r>
        <w:tab/>
        <w:t>be invested through one or more managed investment funds; and</w:t>
      </w:r>
    </w:p>
    <w:p w14:paraId="5F1EB9A0" w14:textId="77777777" w:rsidR="00C447DA" w:rsidRDefault="00C447DA" w:rsidP="00C447DA">
      <w:pPr>
        <w:pStyle w:val="paragraph"/>
      </w:pPr>
      <w:r>
        <w:tab/>
        <w:t>(b)</w:t>
      </w:r>
      <w:r>
        <w:tab/>
        <w:t>comply with the requirements of this section at any time.</w:t>
      </w:r>
    </w:p>
    <w:p w14:paraId="38C41A7F" w14:textId="77777777" w:rsidR="00C447DA" w:rsidRDefault="00C447DA" w:rsidP="00C447DA">
      <w:pPr>
        <w:pStyle w:val="SubsectionHead"/>
      </w:pPr>
      <w:r>
        <w:t>Permitted investments</w:t>
      </w:r>
    </w:p>
    <w:p w14:paraId="56395F24" w14:textId="77777777" w:rsidR="00C447DA" w:rsidRDefault="00C447DA" w:rsidP="00C447DA">
      <w:pPr>
        <w:pStyle w:val="subsection"/>
      </w:pPr>
      <w:r>
        <w:tab/>
        <w:t>(3)</w:t>
      </w:r>
      <w:r>
        <w:tab/>
        <w:t>The investment may be made only in one or more of the following:</w:t>
      </w:r>
    </w:p>
    <w:p w14:paraId="7203BC38" w14:textId="77777777" w:rsidR="00C447DA" w:rsidRDefault="00C447DA" w:rsidP="00C447DA">
      <w:pPr>
        <w:pStyle w:val="paragraph"/>
      </w:pPr>
      <w:r>
        <w:tab/>
        <w:t>(a)</w:t>
      </w:r>
      <w:r>
        <w:tab/>
        <w:t>securities of any of the following bodies, if the body is quoted on an Australian securities exchange:</w:t>
      </w:r>
    </w:p>
    <w:p w14:paraId="1458AFE0" w14:textId="77777777" w:rsidR="00C447DA" w:rsidRDefault="00C447DA" w:rsidP="00C447DA">
      <w:pPr>
        <w:pStyle w:val="paragraphsub"/>
      </w:pPr>
      <w:r>
        <w:tab/>
        <w:t>(i)</w:t>
      </w:r>
      <w:r>
        <w:tab/>
        <w:t>a company;</w:t>
      </w:r>
    </w:p>
    <w:p w14:paraId="295FDDD9" w14:textId="77777777" w:rsidR="00C447DA" w:rsidRDefault="00C447DA" w:rsidP="00C447DA">
      <w:pPr>
        <w:pStyle w:val="paragraphsub"/>
      </w:pPr>
      <w:r>
        <w:tab/>
        <w:t>(ii)</w:t>
      </w:r>
      <w:r>
        <w:tab/>
        <w:t>a real estate investment trust;</w:t>
      </w:r>
    </w:p>
    <w:p w14:paraId="5DCE8D85" w14:textId="77777777" w:rsidR="00C447DA" w:rsidRDefault="00C447DA" w:rsidP="00C447DA">
      <w:pPr>
        <w:pStyle w:val="paragraphsub"/>
      </w:pPr>
      <w:r>
        <w:tab/>
        <w:t>(iii)</w:t>
      </w:r>
      <w:r>
        <w:tab/>
        <w:t>an infrastructure trust;</w:t>
      </w:r>
    </w:p>
    <w:p w14:paraId="5818104A" w14:textId="77777777" w:rsidR="00C447DA" w:rsidRDefault="00C447DA" w:rsidP="00C447DA">
      <w:pPr>
        <w:pStyle w:val="paragraph"/>
      </w:pPr>
      <w:r>
        <w:tab/>
        <w:t>(b)</w:t>
      </w:r>
      <w:r>
        <w:tab/>
        <w:t>bonds or notes issued by:</w:t>
      </w:r>
    </w:p>
    <w:p w14:paraId="2E35D315" w14:textId="77777777" w:rsidR="00C447DA" w:rsidRDefault="00C447DA" w:rsidP="00C447DA">
      <w:pPr>
        <w:pStyle w:val="paragraphsub"/>
      </w:pPr>
      <w:r>
        <w:tab/>
        <w:t>(i)</w:t>
      </w:r>
      <w:r>
        <w:tab/>
        <w:t>a company that is quoted on an Australian securities exchange; or</w:t>
      </w:r>
    </w:p>
    <w:p w14:paraId="61EF8B31" w14:textId="77777777" w:rsidR="00C447DA" w:rsidRDefault="00C447DA" w:rsidP="00C447DA">
      <w:pPr>
        <w:pStyle w:val="paragraphsub"/>
      </w:pPr>
      <w:r>
        <w:tab/>
        <w:t>(ii)</w:t>
      </w:r>
      <w:r>
        <w:tab/>
        <w:t>a wholly owned subsidiary of a company mentioned in subparagraph (i), if the subsidiary is incorporated in Australia; or</w:t>
      </w:r>
    </w:p>
    <w:p w14:paraId="3DBBCA57" w14:textId="77777777" w:rsidR="00C447DA" w:rsidRDefault="00C447DA" w:rsidP="00C447DA">
      <w:pPr>
        <w:pStyle w:val="paragraphsub"/>
      </w:pPr>
      <w:r>
        <w:tab/>
        <w:t>(iii)</w:t>
      </w:r>
      <w:r>
        <w:tab/>
        <w:t>a company incorporated in Australia, or a registered foreign company, if the bonds or notes are rated as investment grade by a credit rating agency that holds an Australian financial services licence;</w:t>
      </w:r>
    </w:p>
    <w:p w14:paraId="684E48E4" w14:textId="77777777" w:rsidR="00C447DA" w:rsidRDefault="00C447DA" w:rsidP="00C447DA">
      <w:pPr>
        <w:pStyle w:val="paragraph"/>
      </w:pPr>
      <w:r>
        <w:tab/>
        <w:t>(c)</w:t>
      </w:r>
      <w:r>
        <w:tab/>
        <w:t xml:space="preserve">annuities issued by a company registered under section 21 of the </w:t>
      </w:r>
      <w:r>
        <w:rPr>
          <w:i/>
          <w:iCs/>
        </w:rPr>
        <w:t>Life Insurance Act 1995</w:t>
      </w:r>
      <w:r>
        <w:t>, if the annuity does not repay capital during the period the visa is in effect;</w:t>
      </w:r>
    </w:p>
    <w:p w14:paraId="1E4F3224" w14:textId="77777777" w:rsidR="00C447DA" w:rsidRDefault="00C447DA" w:rsidP="00C447DA">
      <w:pPr>
        <w:pStyle w:val="paragraph"/>
      </w:pPr>
      <w:r>
        <w:tab/>
        <w:t>(d)</w:t>
      </w:r>
      <w:r>
        <w:tab/>
        <w:t>Australian real property (but see section 12);</w:t>
      </w:r>
    </w:p>
    <w:p w14:paraId="5F43445A" w14:textId="77777777" w:rsidR="00C447DA" w:rsidRDefault="00C447DA" w:rsidP="00C447DA">
      <w:pPr>
        <w:pStyle w:val="paragraph"/>
      </w:pPr>
      <w:r>
        <w:tab/>
        <w:t>(e)</w:t>
      </w:r>
      <w:r>
        <w:tab/>
        <w:t>cash held by Australian ADIs, including certificates of deposit, bank bills and other cash like instruments (but see section 12);</w:t>
      </w:r>
    </w:p>
    <w:p w14:paraId="32A21028" w14:textId="77777777" w:rsidR="00C447DA" w:rsidRDefault="00C447DA" w:rsidP="00C447DA">
      <w:pPr>
        <w:pStyle w:val="paragraph"/>
      </w:pPr>
      <w:r>
        <w:tab/>
        <w:t>(f)</w:t>
      </w:r>
      <w:r>
        <w:tab/>
        <w:t>derivatives (but see section 12).</w:t>
      </w:r>
    </w:p>
    <w:p w14:paraId="0E5291BF" w14:textId="77777777" w:rsidR="00C447DA" w:rsidRDefault="00C447DA" w:rsidP="00C447DA">
      <w:pPr>
        <w:pStyle w:val="SubsectionHead"/>
      </w:pPr>
      <w:r>
        <w:t>Auditing requirements</w:t>
      </w:r>
    </w:p>
    <w:p w14:paraId="10ADFD3E" w14:textId="77777777" w:rsidR="00C447DA" w:rsidRDefault="00C447DA" w:rsidP="00C447DA">
      <w:pPr>
        <w:pStyle w:val="subsection"/>
      </w:pPr>
      <w:r>
        <w:tab/>
        <w:t>(4)</w:t>
      </w:r>
      <w:r>
        <w:tab/>
        <w:t>Beginning financial year 2021–22, an annual audit is required for the balancing investment components of the complying investment framework.</w:t>
      </w:r>
    </w:p>
    <w:p w14:paraId="7DD8F77B" w14:textId="77777777" w:rsidR="00C447DA" w:rsidRDefault="00C447DA" w:rsidP="00C447DA">
      <w:pPr>
        <w:pStyle w:val="subsection"/>
        <w:rPr>
          <w:b/>
          <w:sz w:val="24"/>
          <w:szCs w:val="24"/>
        </w:rPr>
      </w:pPr>
      <w:r>
        <w:rPr>
          <w:b/>
          <w:sz w:val="24"/>
          <w:szCs w:val="24"/>
        </w:rPr>
        <w:t xml:space="preserve">12  General requirements </w:t>
      </w:r>
    </w:p>
    <w:p w14:paraId="079B2039" w14:textId="77777777" w:rsidR="00C447DA" w:rsidRDefault="00C447DA" w:rsidP="00C447DA">
      <w:pPr>
        <w:pStyle w:val="SubsectionHead"/>
      </w:pPr>
      <w:r>
        <w:t>General</w:t>
      </w:r>
    </w:p>
    <w:p w14:paraId="652FEBF8" w14:textId="77777777" w:rsidR="00C447DA" w:rsidRDefault="00C447DA" w:rsidP="00C447DA">
      <w:pPr>
        <w:pStyle w:val="subsection"/>
      </w:pPr>
      <w:r>
        <w:tab/>
        <w:t>(1)</w:t>
      </w:r>
      <w:r>
        <w:tab/>
        <w:t>The requirements under this section apply in relation to an investment made through a venture capital fund or a managed investment fund.</w:t>
      </w:r>
    </w:p>
    <w:p w14:paraId="7A7C6AF2" w14:textId="77777777" w:rsidR="00C447DA" w:rsidRDefault="00C447DA" w:rsidP="00C447DA">
      <w:pPr>
        <w:pStyle w:val="SubsectionHead"/>
      </w:pPr>
      <w:r>
        <w:lastRenderedPageBreak/>
        <w:t>Australian financial services licence requirements</w:t>
      </w:r>
    </w:p>
    <w:p w14:paraId="121FCEA9" w14:textId="77777777" w:rsidR="00C447DA" w:rsidRDefault="00C447DA" w:rsidP="00C447DA">
      <w:pPr>
        <w:pStyle w:val="subsection"/>
      </w:pPr>
      <w:r>
        <w:tab/>
        <w:t>(2)</w:t>
      </w:r>
      <w:r>
        <w:tab/>
        <w:t>A person covered by subsection (3) in relation to the investment must:</w:t>
      </w:r>
    </w:p>
    <w:p w14:paraId="6947EFE6" w14:textId="77777777" w:rsidR="00C447DA" w:rsidRDefault="00C447DA" w:rsidP="00C447DA">
      <w:pPr>
        <w:pStyle w:val="paragraph"/>
      </w:pPr>
      <w:r>
        <w:tab/>
        <w:t>(a)</w:t>
      </w:r>
      <w:r>
        <w:tab/>
        <w:t>hold, or be otherwise covered by, an Australian financial services licence; or</w:t>
      </w:r>
    </w:p>
    <w:p w14:paraId="07CB47D7" w14:textId="77777777" w:rsidR="00C447DA" w:rsidRDefault="00C447DA" w:rsidP="00C447DA">
      <w:pPr>
        <w:pStyle w:val="paragraph"/>
      </w:pPr>
      <w:r>
        <w:tab/>
        <w:t>(b)</w:t>
      </w:r>
      <w:r>
        <w:tab/>
        <w:t>be exempt from any provision of the </w:t>
      </w:r>
      <w:r>
        <w:rPr>
          <w:i/>
          <w:iCs/>
        </w:rPr>
        <w:t>Corporations Act 2001</w:t>
      </w:r>
      <w:r>
        <w:t> requiring an Australian financial services licence to be held in relation to the investment.</w:t>
      </w:r>
    </w:p>
    <w:p w14:paraId="1C8FAB32" w14:textId="77777777" w:rsidR="00C447DA" w:rsidRDefault="00C447DA" w:rsidP="00C447DA">
      <w:pPr>
        <w:pStyle w:val="subsection"/>
      </w:pPr>
      <w:r>
        <w:tab/>
        <w:t>(3)</w:t>
      </w:r>
      <w:r>
        <w:tab/>
        <w:t>The following persons are covered by this subsection in relation to the investment:</w:t>
      </w:r>
    </w:p>
    <w:p w14:paraId="4EA75775" w14:textId="77777777" w:rsidR="00C447DA" w:rsidRDefault="00C447DA" w:rsidP="00C447DA">
      <w:pPr>
        <w:pStyle w:val="paragraph"/>
      </w:pPr>
      <w:r>
        <w:tab/>
        <w:t>(a)</w:t>
      </w:r>
      <w:r>
        <w:tab/>
        <w:t>a person issuing the interests in the venture capital fund or the managed investment fund (the issuer), including the following (without limitation):</w:t>
      </w:r>
    </w:p>
    <w:p w14:paraId="04D3097C" w14:textId="77777777" w:rsidR="00C447DA" w:rsidRDefault="00C447DA" w:rsidP="00C447DA">
      <w:pPr>
        <w:pStyle w:val="paragraphsub"/>
      </w:pPr>
      <w:r>
        <w:tab/>
        <w:t>(i)</w:t>
      </w:r>
      <w:r>
        <w:tab/>
        <w:t>the general partner of a venture capital fund;</w:t>
      </w:r>
    </w:p>
    <w:p w14:paraId="2F1F95B1" w14:textId="77777777" w:rsidR="00C447DA" w:rsidRDefault="00C447DA" w:rsidP="00C447DA">
      <w:pPr>
        <w:pStyle w:val="paragraphsub"/>
      </w:pPr>
      <w:r>
        <w:tab/>
        <w:t>(ii)</w:t>
      </w:r>
      <w:r>
        <w:tab/>
        <w:t>a trustee or the responsible entity of a managed investment scheme;</w:t>
      </w:r>
    </w:p>
    <w:p w14:paraId="69BE7141" w14:textId="77777777" w:rsidR="00C447DA" w:rsidRDefault="00C447DA" w:rsidP="00C447DA">
      <w:pPr>
        <w:pStyle w:val="paragraphsub"/>
      </w:pPr>
      <w:r>
        <w:tab/>
        <w:t>(iii)</w:t>
      </w:r>
      <w:r>
        <w:tab/>
        <w:t>the issuer of shares in a listed investment company;</w:t>
      </w:r>
    </w:p>
    <w:p w14:paraId="4A0BAF2B" w14:textId="77777777" w:rsidR="00C447DA" w:rsidRDefault="00C447DA" w:rsidP="00C447DA">
      <w:pPr>
        <w:pStyle w:val="paragraphsub"/>
      </w:pPr>
      <w:r>
        <w:tab/>
        <w:t>(iv)</w:t>
      </w:r>
      <w:r>
        <w:tab/>
        <w:t>for an investment mentioned in paragraph (c) of the definition of managed investment fund in section 4—the insurer;</w:t>
      </w:r>
    </w:p>
    <w:p w14:paraId="3D4BD552" w14:textId="77777777" w:rsidR="00C447DA" w:rsidRDefault="00C447DA" w:rsidP="00C447DA">
      <w:pPr>
        <w:pStyle w:val="paragraph"/>
      </w:pPr>
      <w:r>
        <w:tab/>
        <w:t>(b)</w:t>
      </w:r>
      <w:r>
        <w:tab/>
        <w:t>a person authorised by the issuer to manage the investment, or to make the investment, on the issuer’s behalf.</w:t>
      </w:r>
    </w:p>
    <w:p w14:paraId="21437652" w14:textId="77777777" w:rsidR="00C447DA" w:rsidRDefault="00C447DA" w:rsidP="00C447DA">
      <w:pPr>
        <w:pStyle w:val="subsection"/>
      </w:pPr>
      <w:r>
        <w:tab/>
        <w:t>(4)</w:t>
      </w:r>
      <w:r>
        <w:tab/>
        <w:t>The central management and control of a person (other than an individual) mentioned in subsection (3) must be in Australia.</w:t>
      </w:r>
    </w:p>
    <w:p w14:paraId="341EDEDD" w14:textId="77777777" w:rsidR="00C447DA" w:rsidRDefault="00C447DA" w:rsidP="00C447DA">
      <w:pPr>
        <w:pStyle w:val="subsection"/>
      </w:pPr>
      <w:r>
        <w:tab/>
        <w:t>(5)</w:t>
      </w:r>
      <w:r>
        <w:tab/>
        <w:t xml:space="preserve">The investor and, if applicable, the investor’s spouse or de facto partner, and any associate (within the meaning of the </w:t>
      </w:r>
      <w:r>
        <w:rPr>
          <w:i/>
          <w:iCs/>
        </w:rPr>
        <w:t>Corporations Act 2001</w:t>
      </w:r>
      <w:r>
        <w:t>) of the investor, spouse or de facto partner, must not:</w:t>
      </w:r>
    </w:p>
    <w:p w14:paraId="1F588B2B" w14:textId="77777777" w:rsidR="00C447DA" w:rsidRDefault="00C447DA" w:rsidP="00C447DA">
      <w:pPr>
        <w:pStyle w:val="paragraph"/>
      </w:pPr>
      <w:r>
        <w:tab/>
        <w:t>(a)</w:t>
      </w:r>
      <w:r>
        <w:tab/>
        <w:t>be a person mentioned in subsection (3); or</w:t>
      </w:r>
    </w:p>
    <w:p w14:paraId="22DFC405" w14:textId="77777777" w:rsidR="00C447DA" w:rsidRDefault="00C447DA" w:rsidP="00C447DA">
      <w:pPr>
        <w:pStyle w:val="paragraph"/>
      </w:pPr>
      <w:r>
        <w:tab/>
        <w:t>(b)</w:t>
      </w:r>
      <w:r>
        <w:tab/>
      </w:r>
      <w:r>
        <w:rPr>
          <w:color w:val="000000"/>
        </w:rPr>
        <w:t>be involved in the management or control of, or in partnership with, a person mentioned in subsection (3).</w:t>
      </w:r>
    </w:p>
    <w:p w14:paraId="7D6FADA8" w14:textId="77777777" w:rsidR="00C447DA" w:rsidRDefault="00C447DA" w:rsidP="00C447DA">
      <w:pPr>
        <w:pStyle w:val="SubsectionHead"/>
      </w:pPr>
      <w:r>
        <w:t>Funds under management in Australia</w:t>
      </w:r>
    </w:p>
    <w:p w14:paraId="40660EED" w14:textId="77777777" w:rsidR="00C447DA" w:rsidRDefault="00C447DA" w:rsidP="00C447DA">
      <w:pPr>
        <w:pStyle w:val="subsection"/>
      </w:pPr>
      <w:r>
        <w:tab/>
        <w:t>(6)</w:t>
      </w:r>
      <w:r>
        <w:tab/>
        <w:t>The following persons in relation to an investment must maintain a minimum of AUD 100 000 000 in funds that are under management in Australia:</w:t>
      </w:r>
    </w:p>
    <w:p w14:paraId="26576E8B" w14:textId="77777777" w:rsidR="00C447DA" w:rsidRDefault="00C447DA" w:rsidP="00C447DA">
      <w:pPr>
        <w:pStyle w:val="paragraph"/>
      </w:pPr>
      <w:r>
        <w:tab/>
        <w:t>(a)</w:t>
      </w:r>
      <w:r>
        <w:tab/>
        <w:t>if the investment is made through a managed investment scheme—a trustee, or the responsible entity, for the scheme;</w:t>
      </w:r>
    </w:p>
    <w:p w14:paraId="0338992D" w14:textId="77777777" w:rsidR="00C447DA" w:rsidRDefault="00C447DA" w:rsidP="00C447DA">
      <w:pPr>
        <w:pStyle w:val="paragraph"/>
      </w:pPr>
      <w:r>
        <w:tab/>
        <w:t>(b)</w:t>
      </w:r>
      <w:r>
        <w:tab/>
        <w:t>if the investment is made through a listed investment company—the issuer of shares in that company, or the person authorised by the issuer to manage the investment, or to make the investment, on the issuer’s behalf;</w:t>
      </w:r>
    </w:p>
    <w:p w14:paraId="2D58FC2F" w14:textId="77777777" w:rsidR="00C447DA" w:rsidRDefault="00C447DA" w:rsidP="00C447DA">
      <w:pPr>
        <w:pStyle w:val="paragraph"/>
      </w:pPr>
      <w:r>
        <w:tab/>
        <w:t>(c)</w:t>
      </w:r>
      <w:r>
        <w:tab/>
        <w:t>if the investment is made in a financial product mentioned in paragraph (c) of the definition of managed investment fund in section 4 (which deals with life insurance products)—the issuer of that product;</w:t>
      </w:r>
    </w:p>
    <w:p w14:paraId="49CF70B1" w14:textId="77777777" w:rsidR="00C447DA" w:rsidRDefault="00C447DA" w:rsidP="00C447DA">
      <w:pPr>
        <w:pStyle w:val="paragraph"/>
      </w:pPr>
      <w:r>
        <w:tab/>
        <w:t>(d)</w:t>
      </w:r>
      <w:r>
        <w:tab/>
        <w:t>if the investment is made through a fund of funds or an investor directed portfolio service—the issuer of the fund of funds or the person responsible for operating the investor directed portfolio service.</w:t>
      </w:r>
    </w:p>
    <w:p w14:paraId="36230A12" w14:textId="77777777" w:rsidR="00C447DA" w:rsidRDefault="00C447DA" w:rsidP="00C447DA">
      <w:pPr>
        <w:pStyle w:val="SubsectionHead"/>
      </w:pPr>
      <w:r>
        <w:lastRenderedPageBreak/>
        <w:t>Australian residential real property</w:t>
      </w:r>
    </w:p>
    <w:p w14:paraId="79463139" w14:textId="77777777" w:rsidR="00C447DA" w:rsidRDefault="00C447DA" w:rsidP="00C447DA">
      <w:pPr>
        <w:pStyle w:val="subsection"/>
      </w:pPr>
      <w:r>
        <w:tab/>
        <w:t>(7)</w:t>
      </w:r>
      <w:r>
        <w:tab/>
        <w:t>The following requirements apply to investment by a managed investment fund in Australian residential real property, including any Australian land zoned for residential use (a residential real property investment):</w:t>
      </w:r>
    </w:p>
    <w:p w14:paraId="14DB4C00" w14:textId="77777777" w:rsidR="00C447DA" w:rsidRDefault="00C447DA" w:rsidP="00C447DA">
      <w:pPr>
        <w:pStyle w:val="paragraph"/>
      </w:pPr>
      <w:r>
        <w:tab/>
        <w:t>(a)</w:t>
      </w:r>
      <w:r>
        <w:tab/>
        <w:t>no direct residential real property investment may be made through the fund;</w:t>
      </w:r>
    </w:p>
    <w:p w14:paraId="3BFF4BE1" w14:textId="77777777" w:rsidR="00C447DA" w:rsidRDefault="00C447DA" w:rsidP="00C447DA">
      <w:pPr>
        <w:pStyle w:val="paragraph"/>
      </w:pPr>
      <w:r>
        <w:tab/>
        <w:t>(b)</w:t>
      </w:r>
      <w:r>
        <w:tab/>
        <w:t>no other residential real property investment (including, but not limited to, a debt or equity instrument, or a derivative) may be made through the fund unless:</w:t>
      </w:r>
    </w:p>
    <w:p w14:paraId="4C0ED333" w14:textId="77777777" w:rsidR="00C447DA" w:rsidRDefault="00C447DA" w:rsidP="00C447DA">
      <w:pPr>
        <w:pStyle w:val="paragraphsub"/>
      </w:pPr>
      <w:r>
        <w:tab/>
        <w:t>(i)</w:t>
      </w:r>
      <w:r>
        <w:tab/>
        <w:t>the value of all residential real property investments is no more than 10% of the value of the fund’s net assets; and</w:t>
      </w:r>
    </w:p>
    <w:p w14:paraId="6FC92AE9" w14:textId="77777777" w:rsidR="00C447DA" w:rsidRDefault="00C447DA" w:rsidP="00C447DA">
      <w:pPr>
        <w:pStyle w:val="paragraphsub"/>
      </w:pPr>
      <w:r>
        <w:tab/>
        <w:t>(ii)</w:t>
      </w:r>
      <w:r>
        <w:tab/>
        <w:t>the investment is not made for the dominant purpose of deriving financial benefits; and</w:t>
      </w:r>
    </w:p>
    <w:p w14:paraId="13800F41" w14:textId="77777777" w:rsidR="00C447DA" w:rsidRDefault="00C447DA" w:rsidP="00C447DA">
      <w:pPr>
        <w:pStyle w:val="paragraphsub"/>
      </w:pPr>
      <w:r>
        <w:tab/>
        <w:t>(iii)</w:t>
      </w:r>
      <w:r>
        <w:tab/>
        <w:t>the investment is not made for the dominant purpose covered by subsection (8).</w:t>
      </w:r>
    </w:p>
    <w:p w14:paraId="32D5E597" w14:textId="77777777" w:rsidR="00C447DA" w:rsidRDefault="00C447DA" w:rsidP="00C447DA">
      <w:pPr>
        <w:pStyle w:val="subsection"/>
      </w:pPr>
      <w:r>
        <w:tab/>
        <w:t>(8)</w:t>
      </w:r>
      <w:r>
        <w:tab/>
        <w:t>For the purposes of subparagraph (7)(b)(iii), this subsection covers the dominant purpose of assisting any of the following individuals to reside in or gain legal ownership in Australian residential real property (including any Australian land zoned for residential use):</w:t>
      </w:r>
    </w:p>
    <w:p w14:paraId="52D59571" w14:textId="77777777" w:rsidR="00C447DA" w:rsidRDefault="00C447DA" w:rsidP="00C447DA">
      <w:pPr>
        <w:pStyle w:val="paragraph"/>
      </w:pPr>
      <w:r>
        <w:tab/>
        <w:t>(a)</w:t>
      </w:r>
      <w:r>
        <w:tab/>
        <w:t>the investor;</w:t>
      </w:r>
    </w:p>
    <w:p w14:paraId="66D2E3BE" w14:textId="77777777" w:rsidR="00C447DA" w:rsidRDefault="00C447DA" w:rsidP="00C447DA">
      <w:pPr>
        <w:pStyle w:val="paragraph"/>
      </w:pPr>
      <w:r>
        <w:tab/>
        <w:t>(b)</w:t>
      </w:r>
      <w:r>
        <w:tab/>
        <w:t>the investor’s spouse or de facto partner;</w:t>
      </w:r>
    </w:p>
    <w:p w14:paraId="4377EC1B" w14:textId="77777777" w:rsidR="00C447DA" w:rsidRDefault="00C447DA" w:rsidP="00C447DA">
      <w:pPr>
        <w:pStyle w:val="paragraph"/>
      </w:pPr>
      <w:r>
        <w:tab/>
        <w:t>(c)</w:t>
      </w:r>
      <w:r>
        <w:tab/>
        <w:t>any other member of the family unit of the investor or the investor’s spouse or de facto partner.</w:t>
      </w:r>
    </w:p>
    <w:p w14:paraId="6AA999DA" w14:textId="77777777" w:rsidR="00C447DA" w:rsidRDefault="00C447DA" w:rsidP="00C447DA">
      <w:pPr>
        <w:pStyle w:val="SubsectionHead"/>
      </w:pPr>
      <w:r>
        <w:t>Derivatives</w:t>
      </w:r>
    </w:p>
    <w:p w14:paraId="07803C6E" w14:textId="77777777" w:rsidR="00C447DA" w:rsidRDefault="00C447DA" w:rsidP="00C447DA">
      <w:pPr>
        <w:pStyle w:val="subsection"/>
      </w:pPr>
      <w:r>
        <w:tab/>
        <w:t>(9)</w:t>
      </w:r>
      <w:r>
        <w:tab/>
        <w:t>An investment may be made in a derivative, other than an option mentioned in paragraph (e) of the definition of securities in section 4, only if the investment:</w:t>
      </w:r>
    </w:p>
    <w:p w14:paraId="5D9B0194" w14:textId="77777777" w:rsidR="00C447DA" w:rsidRDefault="00C447DA" w:rsidP="00C447DA">
      <w:pPr>
        <w:pStyle w:val="paragraph"/>
      </w:pPr>
      <w:r>
        <w:tab/>
        <w:t>(a)</w:t>
      </w:r>
      <w:r>
        <w:tab/>
        <w:t>is made for risk management purposes; and</w:t>
      </w:r>
    </w:p>
    <w:p w14:paraId="1E987EC2" w14:textId="77777777" w:rsidR="00C447DA" w:rsidRDefault="00C447DA" w:rsidP="00C447DA">
      <w:pPr>
        <w:pStyle w:val="paragraph"/>
      </w:pPr>
      <w:r>
        <w:tab/>
        <w:t>(b)</w:t>
      </w:r>
      <w:r>
        <w:tab/>
        <w:t>is not a speculative investment; and</w:t>
      </w:r>
    </w:p>
    <w:p w14:paraId="5B4392D8" w14:textId="77777777" w:rsidR="00C447DA" w:rsidRDefault="00C447DA" w:rsidP="00C447DA">
      <w:pPr>
        <w:pStyle w:val="paragraph"/>
      </w:pPr>
      <w:r>
        <w:tab/>
        <w:t>(c)</w:t>
      </w:r>
      <w:r>
        <w:tab/>
        <w:t>is not designed to materially reduce or completely eliminate the exposure of an investor to the risk of loss from changes in the market price of an emerging companies investment.</w:t>
      </w:r>
    </w:p>
    <w:p w14:paraId="4A65556A" w14:textId="77777777" w:rsidR="00C447DA" w:rsidRDefault="00C447DA" w:rsidP="00C447DA">
      <w:pPr>
        <w:pStyle w:val="notetext"/>
        <w:ind w:left="2160" w:hanging="1080"/>
        <w:rPr>
          <w:bCs/>
          <w:iCs/>
        </w:rPr>
      </w:pPr>
      <w:r>
        <w:rPr>
          <w:bCs/>
          <w:iCs/>
        </w:rPr>
        <w:t>Note:</w:t>
      </w:r>
      <w:r>
        <w:rPr>
          <w:bCs/>
          <w:iCs/>
        </w:rPr>
        <w:tab/>
        <w:t>Hedging of currency and interest rate risks will be permitted under subsection (9), however capital guarantee products are not permitted.</w:t>
      </w:r>
    </w:p>
    <w:p w14:paraId="2C8AA165" w14:textId="77777777" w:rsidR="00C447DA" w:rsidRDefault="00C447DA" w:rsidP="00C447DA">
      <w:pPr>
        <w:pStyle w:val="SubsectionHead"/>
      </w:pPr>
      <w:r>
        <w:t>Managed investment fund investments—cash in Australian ADIs</w:t>
      </w:r>
    </w:p>
    <w:p w14:paraId="5D5E6A05" w14:textId="77777777" w:rsidR="00C447DA" w:rsidRDefault="00C447DA" w:rsidP="00C447DA">
      <w:pPr>
        <w:pStyle w:val="subsection"/>
      </w:pPr>
      <w:r>
        <w:tab/>
        <w:t>(10)</w:t>
      </w:r>
      <w:r>
        <w:tab/>
        <w:t>No more than 20% of a managed investment fund’s net assets may be invested in cash held by Australian ADIs (including certificates of deposit, bank bills and other cash like instruments).</w:t>
      </w:r>
    </w:p>
    <w:p w14:paraId="0A1622DA" w14:textId="77777777" w:rsidR="00C447DA" w:rsidRDefault="00C447DA" w:rsidP="00C447DA">
      <w:pPr>
        <w:pStyle w:val="SubsectionHead"/>
      </w:pPr>
      <w:r>
        <w:t>Managed investment fund and venture capital fund investments—fund of funds or investor directed portfolio services</w:t>
      </w:r>
    </w:p>
    <w:p w14:paraId="0E43C14B" w14:textId="77777777" w:rsidR="00C447DA" w:rsidRDefault="00C447DA" w:rsidP="00C447DA">
      <w:pPr>
        <w:pStyle w:val="subsection"/>
      </w:pPr>
      <w:r>
        <w:tab/>
        <w:t>(11)</w:t>
      </w:r>
      <w:r>
        <w:tab/>
        <w:t>An investment in a managed investment fund or venture capital fund may be:</w:t>
      </w:r>
    </w:p>
    <w:p w14:paraId="585B0148" w14:textId="77777777" w:rsidR="00C447DA" w:rsidRDefault="00C447DA" w:rsidP="00C447DA">
      <w:pPr>
        <w:pStyle w:val="paragraph"/>
      </w:pPr>
      <w:r>
        <w:lastRenderedPageBreak/>
        <w:tab/>
        <w:t>(a)</w:t>
      </w:r>
      <w:r>
        <w:tab/>
        <w:t>made through a fund of funds or an investor directed portfolio service, if the investment otherwise complies with this instrument; and</w:t>
      </w:r>
    </w:p>
    <w:p w14:paraId="364D1959" w14:textId="77777777" w:rsidR="00C447DA" w:rsidRDefault="00C447DA" w:rsidP="00C447DA">
      <w:pPr>
        <w:pStyle w:val="paragraph"/>
      </w:pPr>
      <w:r>
        <w:tab/>
        <w:t>(b)</w:t>
      </w:r>
      <w:r>
        <w:tab/>
        <w:t>held in cash in the fund of funds, or investor directed portfolio service:</w:t>
      </w:r>
    </w:p>
    <w:p w14:paraId="46D23E47" w14:textId="77777777" w:rsidR="00C447DA" w:rsidRDefault="00C447DA" w:rsidP="00C447DA">
      <w:pPr>
        <w:pStyle w:val="paragraphsub"/>
      </w:pPr>
      <w:r>
        <w:tab/>
        <w:t>(i)</w:t>
      </w:r>
      <w:r>
        <w:tab/>
        <w:t>for up to 30 days after the funds are first made available for investment; and</w:t>
      </w:r>
    </w:p>
    <w:p w14:paraId="0AAC068F" w14:textId="77777777" w:rsidR="00C447DA" w:rsidRDefault="00C447DA" w:rsidP="00C447DA">
      <w:pPr>
        <w:pStyle w:val="paragraphsub"/>
      </w:pPr>
      <w:r>
        <w:tab/>
        <w:t>(ii)</w:t>
      </w:r>
      <w:r>
        <w:tab/>
        <w:t>during any switching period mentioned in subregulation 5.19C(7) of the Regulations.</w:t>
      </w:r>
    </w:p>
    <w:p w14:paraId="622A22CE" w14:textId="551BB097" w:rsidR="00C447DA" w:rsidRDefault="00C447DA" w:rsidP="00C447DA">
      <w:pPr>
        <w:pStyle w:val="subsection"/>
        <w:rPr>
          <w:b/>
        </w:rPr>
      </w:pPr>
      <w:r>
        <w:rPr>
          <w:b/>
        </w:rPr>
        <w:t xml:space="preserve">13  Allowable non-compliance period </w:t>
      </w:r>
    </w:p>
    <w:p w14:paraId="058615AD" w14:textId="77777777" w:rsidR="00C447DA" w:rsidRDefault="00C447DA" w:rsidP="00C447DA">
      <w:pPr>
        <w:pStyle w:val="subsection"/>
      </w:pPr>
      <w:r>
        <w:tab/>
      </w:r>
      <w:r>
        <w:tab/>
        <w:t>Despite any other provision of this Part, if an investment would (apart from this section) breach of any of section 10 (which deal</w:t>
      </w:r>
      <w:r w:rsidR="00751950">
        <w:t>s</w:t>
      </w:r>
      <w:r>
        <w:t xml:space="preserve"> with emerging companies investments) or subsection 12(10) (which deals with cash holdings in managed investment funds), the investment is taken not to breach the requirement during the period starting on the first day of the breach and ending at the earlier of:</w:t>
      </w:r>
    </w:p>
    <w:p w14:paraId="03FA435A" w14:textId="77777777" w:rsidR="00C447DA" w:rsidRDefault="00C447DA" w:rsidP="00C447DA">
      <w:pPr>
        <w:pStyle w:val="paragraph"/>
      </w:pPr>
      <w:r>
        <w:tab/>
        <w:t>(a)</w:t>
      </w:r>
      <w:r>
        <w:tab/>
        <w:t>the day the breach is remedied; and</w:t>
      </w:r>
    </w:p>
    <w:p w14:paraId="32F67B55" w14:textId="77777777" w:rsidR="00C447DA" w:rsidRDefault="00C447DA" w:rsidP="00C447DA">
      <w:pPr>
        <w:pStyle w:val="paragraph"/>
      </w:pPr>
      <w:r>
        <w:tab/>
        <w:t>(b)</w:t>
      </w:r>
      <w:r>
        <w:tab/>
        <w:t>the day that is 10 business days after the first day of the breach.</w:t>
      </w:r>
    </w:p>
    <w:p w14:paraId="018ECFB3" w14:textId="3C8381D3" w:rsidR="00C447DA" w:rsidRDefault="00C447DA" w:rsidP="00BE721C">
      <w:pPr>
        <w:pStyle w:val="notetext"/>
        <w:ind w:left="2160" w:hanging="1080"/>
      </w:pPr>
      <w:r>
        <w:rPr>
          <w:bCs/>
          <w:iCs/>
        </w:rPr>
        <w:t>Note:</w:t>
      </w:r>
      <w:r>
        <w:rPr>
          <w:bCs/>
          <w:iCs/>
        </w:rPr>
        <w:tab/>
        <w:t>See subregulations 5.19C(7) and (8) of the Regulations for the allowable period during which funds may be transferred from one investment to another.</w:t>
      </w:r>
    </w:p>
    <w:p w14:paraId="168D3619" w14:textId="77777777" w:rsidR="00BE721C" w:rsidRDefault="00BE721C" w:rsidP="00C447DA">
      <w:pPr>
        <w:pStyle w:val="ActHead6"/>
      </w:pPr>
      <w:r>
        <w:br w:type="page"/>
      </w:r>
    </w:p>
    <w:p w14:paraId="1989B52C" w14:textId="61B6D603" w:rsidR="00C447DA" w:rsidRDefault="00C447DA" w:rsidP="00C447DA">
      <w:pPr>
        <w:pStyle w:val="ActHead6"/>
      </w:pPr>
      <w:bookmarkStart w:id="21" w:name="_Toc454512518"/>
      <w:bookmarkStart w:id="22" w:name="_Toc208577217"/>
      <w:r>
        <w:lastRenderedPageBreak/>
        <w:t>Schedule 1—Repeals</w:t>
      </w:r>
      <w:bookmarkEnd w:id="21"/>
      <w:bookmarkEnd w:id="22"/>
    </w:p>
    <w:p w14:paraId="52F8227D" w14:textId="77777777" w:rsidR="00C447DA" w:rsidRDefault="00C447DA" w:rsidP="00C447DA">
      <w:pPr>
        <w:pStyle w:val="ActHead9"/>
      </w:pPr>
      <w:bookmarkStart w:id="23" w:name="_Toc208577218"/>
      <w:r>
        <w:t>Migration (IMMI 15/100: Complying Investments) Instrument 2015</w:t>
      </w:r>
      <w:bookmarkEnd w:id="23"/>
    </w:p>
    <w:p w14:paraId="144FF685" w14:textId="77777777" w:rsidR="00C447DA" w:rsidRDefault="00C447DA" w:rsidP="00C447DA">
      <w:pPr>
        <w:pStyle w:val="ItemHead"/>
      </w:pPr>
      <w:r>
        <w:t>1  The whole of the instrument</w:t>
      </w:r>
    </w:p>
    <w:p w14:paraId="55A7C584" w14:textId="2DFBB47E" w:rsidR="00A75FE9" w:rsidRPr="00C447DA" w:rsidRDefault="00C447DA" w:rsidP="00BE721C">
      <w:pPr>
        <w:pStyle w:val="Item"/>
      </w:pPr>
      <w:r>
        <w:t>Repeal the instrument.</w:t>
      </w:r>
    </w:p>
    <w:sectPr w:rsidR="00A75FE9" w:rsidRPr="00C447DA" w:rsidSect="008C2EAC">
      <w:headerReference w:type="even" r:id="rId12"/>
      <w:headerReference w:type="default" r:id="rId13"/>
      <w:footerReference w:type="even" r:id="rId14"/>
      <w:footerReference w:type="default" r:id="rId15"/>
      <w:headerReference w:type="first" r:id="rId16"/>
      <w:footerReference w:type="first" r:id="rId17"/>
      <w:pgSz w:w="11907" w:h="16839" w:code="9"/>
      <w:pgMar w:top="2234" w:right="1797" w:bottom="1440" w:left="1797" w:header="720"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6B197C" w16cex:dateUtc="2025-08-20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D673F" w16cid:durableId="148D673F"/>
  <w16cid:commentId w16cid:paraId="49CAF0FA" w16cid:durableId="786B1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50A89" w14:textId="77777777" w:rsidR="00F90236" w:rsidRDefault="00F90236" w:rsidP="00715914">
      <w:pPr>
        <w:spacing w:line="240" w:lineRule="auto"/>
      </w:pPr>
      <w:r>
        <w:separator/>
      </w:r>
    </w:p>
  </w:endnote>
  <w:endnote w:type="continuationSeparator" w:id="0">
    <w:p w14:paraId="45B1D460" w14:textId="77777777" w:rsidR="00F90236" w:rsidRDefault="00F9023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E94CEDDE-ECC8-4A97-B0A2-0BC7D17FD420}"/>
  </w:font>
  <w:font w:name="Cordia New">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B027" w14:textId="77777777" w:rsidR="004214C5" w:rsidRPr="002B0EA5" w:rsidRDefault="004214C5" w:rsidP="00CC21C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214C5" w14:paraId="67DAA0C1" w14:textId="77777777" w:rsidTr="00CC21C8">
      <w:tc>
        <w:tcPr>
          <w:tcW w:w="365" w:type="pct"/>
        </w:tcPr>
        <w:p w14:paraId="2429ABF9" w14:textId="28475127" w:rsidR="004214C5" w:rsidRDefault="004214C5" w:rsidP="00CC21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6E2F">
            <w:rPr>
              <w:i/>
              <w:noProof/>
              <w:sz w:val="18"/>
            </w:rPr>
            <w:t>12</w:t>
          </w:r>
          <w:r w:rsidRPr="00ED79B6">
            <w:rPr>
              <w:i/>
              <w:sz w:val="18"/>
            </w:rPr>
            <w:fldChar w:fldCharType="end"/>
          </w:r>
        </w:p>
      </w:tc>
      <w:tc>
        <w:tcPr>
          <w:tcW w:w="3688" w:type="pct"/>
        </w:tcPr>
        <w:p w14:paraId="6DB74732" w14:textId="6991699E" w:rsidR="004214C5" w:rsidRDefault="004214C5" w:rsidP="00CC21C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46E2F">
            <w:rPr>
              <w:i/>
              <w:noProof/>
              <w:sz w:val="18"/>
            </w:rPr>
            <w:t>Migration (Complying Investments) Instrument 2025</w:t>
          </w:r>
          <w:r w:rsidRPr="004E1307">
            <w:rPr>
              <w:i/>
              <w:sz w:val="18"/>
            </w:rPr>
            <w:fldChar w:fldCharType="end"/>
          </w:r>
        </w:p>
      </w:tc>
      <w:tc>
        <w:tcPr>
          <w:tcW w:w="947" w:type="pct"/>
        </w:tcPr>
        <w:p w14:paraId="2B333DE7" w14:textId="77777777" w:rsidR="004214C5" w:rsidRDefault="004214C5" w:rsidP="00CC21C8">
          <w:pPr>
            <w:spacing w:line="0" w:lineRule="atLeast"/>
            <w:jc w:val="right"/>
            <w:rPr>
              <w:sz w:val="18"/>
            </w:rPr>
          </w:pPr>
        </w:p>
      </w:tc>
    </w:tr>
    <w:tr w:rsidR="004214C5" w14:paraId="03E9FF33" w14:textId="77777777" w:rsidTr="00CC21C8">
      <w:tc>
        <w:tcPr>
          <w:tcW w:w="5000" w:type="pct"/>
          <w:gridSpan w:val="3"/>
        </w:tcPr>
        <w:p w14:paraId="49560426" w14:textId="77777777" w:rsidR="004214C5" w:rsidRDefault="004214C5" w:rsidP="00CC21C8">
          <w:pPr>
            <w:jc w:val="right"/>
            <w:rPr>
              <w:sz w:val="18"/>
            </w:rPr>
          </w:pPr>
        </w:p>
      </w:tc>
    </w:tr>
  </w:tbl>
  <w:p w14:paraId="42EFEF64" w14:textId="77777777" w:rsidR="004214C5" w:rsidRPr="00ED79B6" w:rsidRDefault="004214C5" w:rsidP="00CC21C8">
    <w:pPr>
      <w:rPr>
        <w:i/>
        <w:sz w:val="18"/>
      </w:rPr>
    </w:pPr>
  </w:p>
  <w:p w14:paraId="09BF9B16" w14:textId="77777777" w:rsidR="004214C5" w:rsidRDefault="004214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5B32" w14:textId="77777777" w:rsidR="004214C5" w:rsidRPr="002B0EA5" w:rsidRDefault="004214C5" w:rsidP="00CC21C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214C5" w14:paraId="1D176069" w14:textId="77777777" w:rsidTr="00CC21C8">
      <w:tc>
        <w:tcPr>
          <w:tcW w:w="947" w:type="pct"/>
        </w:tcPr>
        <w:p w14:paraId="497B3B52" w14:textId="77777777" w:rsidR="004214C5" w:rsidRDefault="004214C5" w:rsidP="00CC21C8">
          <w:pPr>
            <w:spacing w:line="0" w:lineRule="atLeast"/>
            <w:rPr>
              <w:sz w:val="18"/>
            </w:rPr>
          </w:pPr>
        </w:p>
      </w:tc>
      <w:tc>
        <w:tcPr>
          <w:tcW w:w="3688" w:type="pct"/>
        </w:tcPr>
        <w:p w14:paraId="179F8E6F" w14:textId="7A5CF793" w:rsidR="004214C5" w:rsidRDefault="004214C5" w:rsidP="00CC21C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46E2F">
            <w:rPr>
              <w:i/>
              <w:noProof/>
              <w:sz w:val="18"/>
            </w:rPr>
            <w:t>Migration (Complying Investments) Instrument 2025</w:t>
          </w:r>
          <w:r w:rsidRPr="004E1307">
            <w:rPr>
              <w:i/>
              <w:sz w:val="18"/>
            </w:rPr>
            <w:fldChar w:fldCharType="end"/>
          </w:r>
        </w:p>
      </w:tc>
      <w:tc>
        <w:tcPr>
          <w:tcW w:w="365" w:type="pct"/>
        </w:tcPr>
        <w:p w14:paraId="5F280367" w14:textId="294BD9F4" w:rsidR="004214C5" w:rsidRDefault="004214C5" w:rsidP="00CC21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6E2F">
            <w:rPr>
              <w:i/>
              <w:noProof/>
              <w:sz w:val="18"/>
            </w:rPr>
            <w:t>13</w:t>
          </w:r>
          <w:r w:rsidRPr="00ED79B6">
            <w:rPr>
              <w:i/>
              <w:sz w:val="18"/>
            </w:rPr>
            <w:fldChar w:fldCharType="end"/>
          </w:r>
        </w:p>
      </w:tc>
    </w:tr>
    <w:tr w:rsidR="004214C5" w14:paraId="670AAE79" w14:textId="77777777" w:rsidTr="00CC21C8">
      <w:tc>
        <w:tcPr>
          <w:tcW w:w="5000" w:type="pct"/>
          <w:gridSpan w:val="3"/>
        </w:tcPr>
        <w:p w14:paraId="24DA5564" w14:textId="77777777" w:rsidR="004214C5" w:rsidRDefault="004214C5" w:rsidP="00CC21C8">
          <w:pPr>
            <w:rPr>
              <w:sz w:val="18"/>
            </w:rPr>
          </w:pPr>
        </w:p>
      </w:tc>
    </w:tr>
  </w:tbl>
  <w:p w14:paraId="1FD44D4C" w14:textId="77777777" w:rsidR="004214C5" w:rsidRPr="00ED79B6" w:rsidRDefault="004214C5" w:rsidP="00CC21C8">
    <w:pPr>
      <w:rPr>
        <w:i/>
        <w:sz w:val="18"/>
      </w:rPr>
    </w:pPr>
  </w:p>
  <w:p w14:paraId="2EA62152" w14:textId="77777777" w:rsidR="004214C5" w:rsidRDefault="004214C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C988" w14:textId="77777777" w:rsidR="004214C5" w:rsidRDefault="004214C5">
    <w:pPr>
      <w:pStyle w:val="Footer"/>
    </w:pPr>
    <w:r>
      <w:rPr>
        <w:noProof/>
      </w:rPr>
      <mc:AlternateContent>
        <mc:Choice Requires="wps">
          <w:drawing>
            <wp:anchor distT="0" distB="0" distL="0" distR="0" simplePos="0" relativeHeight="251673600" behindDoc="0" locked="0" layoutInCell="1" allowOverlap="1" wp14:anchorId="6DACF4D6" wp14:editId="1F399D25">
              <wp:simplePos x="635" y="635"/>
              <wp:positionH relativeFrom="page">
                <wp:align>center</wp:align>
              </wp:positionH>
              <wp:positionV relativeFrom="page">
                <wp:align>bottom</wp:align>
              </wp:positionV>
              <wp:extent cx="2459990" cy="376555"/>
              <wp:effectExtent l="0" t="0" r="16510" b="0"/>
              <wp:wrapNone/>
              <wp:docPr id="1731276009" name="Text Box 16" descr="OFFICIAL: Sensitive//Legislative-Secrec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2459990" cy="376555"/>
                      </a:xfrm>
                      <a:prstGeom prst="rect">
                        <a:avLst/>
                      </a:prstGeom>
                      <a:noFill/>
                      <a:ln>
                        <a:noFill/>
                      </a:ln>
                    </wps:spPr>
                    <wps:txbx>
                      <w:txbxContent>
                        <w:p w14:paraId="133D2637" w14:textId="77777777" w:rsidR="004214C5" w:rsidRPr="00323D8E" w:rsidRDefault="004214C5" w:rsidP="00323D8E">
                          <w:pPr>
                            <w:rPr>
                              <w:rFonts w:ascii="Calibri" w:eastAsia="Calibri" w:hAnsi="Calibri" w:cs="Calibri"/>
                              <w:noProof/>
                              <w:color w:val="FF0000"/>
                              <w:sz w:val="24"/>
                              <w:szCs w:val="24"/>
                            </w:rPr>
                          </w:pPr>
                          <w:r w:rsidRPr="00323D8E">
                            <w:rPr>
                              <w:rFonts w:ascii="Calibri" w:eastAsia="Calibri" w:hAnsi="Calibri" w:cs="Calibri"/>
                              <w:noProof/>
                              <w:color w:val="FF0000"/>
                              <w:sz w:val="24"/>
                              <w:szCs w:val="24"/>
                            </w:rPr>
                            <w:t>OFFICIAL: Sensitive//Legislative-Secrecy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CF4D6" id="_x0000_t202" coordsize="21600,21600" o:spt="202" path="m,l,21600r21600,l21600,xe">
              <v:stroke joinstyle="miter"/>
              <v:path gradientshapeok="t" o:connecttype="rect"/>
            </v:shapetype>
            <v:shape id="Text Box 16" o:spid="_x0000_s1027" type="#_x0000_t202" alt="OFFICIAL: Sensitive//Legislative-Secrecy" style="position:absolute;margin-left:0;margin-top:0;width:193.7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" filled="f" stroked="f">
              <v:textbox style="mso-fit-shape-to-text:t" inset="0,0,0,15pt">
                <w:txbxContent>
                  <w:p w14:paraId="133D2637" w14:textId="77777777" w:rsidR="004214C5" w:rsidRPr="00323D8E" w:rsidRDefault="004214C5" w:rsidP="00323D8E">
                    <w:pPr>
                      <w:rPr>
                        <w:rFonts w:ascii="Calibri" w:eastAsia="Calibri" w:hAnsi="Calibri" w:cs="Calibri"/>
                        <w:noProof/>
                        <w:color w:val="FF0000"/>
                        <w:sz w:val="24"/>
                        <w:szCs w:val="24"/>
                      </w:rPr>
                    </w:pPr>
                    <w:r w:rsidRPr="00323D8E">
                      <w:rPr>
                        <w:rFonts w:ascii="Calibri" w:eastAsia="Calibri" w:hAnsi="Calibri" w:cs="Calibri"/>
                        <w:noProof/>
                        <w:color w:val="FF0000"/>
                        <w:sz w:val="24"/>
                        <w:szCs w:val="24"/>
                      </w:rPr>
                      <w:t>OFFICIAL: Sensitive//Legislative-Secrecy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C310" w14:textId="77777777" w:rsidR="00F90236" w:rsidRDefault="00F90236" w:rsidP="00715914">
      <w:pPr>
        <w:spacing w:line="240" w:lineRule="auto"/>
      </w:pPr>
      <w:r>
        <w:separator/>
      </w:r>
    </w:p>
  </w:footnote>
  <w:footnote w:type="continuationSeparator" w:id="0">
    <w:p w14:paraId="5301E3E8" w14:textId="77777777" w:rsidR="00F90236" w:rsidRDefault="00F9023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EAA0" w14:textId="77777777" w:rsidR="004214C5" w:rsidRDefault="004214C5" w:rsidP="00715914">
    <w:pPr>
      <w:rPr>
        <w:sz w:val="20"/>
      </w:rPr>
    </w:pPr>
  </w:p>
  <w:p w14:paraId="72CCD8E2" w14:textId="77777777" w:rsidR="004214C5" w:rsidRDefault="004214C5" w:rsidP="00715914">
    <w:pPr>
      <w:rPr>
        <w:sz w:val="20"/>
      </w:rPr>
    </w:pPr>
  </w:p>
  <w:p w14:paraId="37A9515C" w14:textId="77777777" w:rsidR="004214C5" w:rsidRPr="007A1328" w:rsidRDefault="004214C5" w:rsidP="00715914">
    <w:pPr>
      <w:rPr>
        <w:sz w:val="20"/>
      </w:rPr>
    </w:pPr>
  </w:p>
  <w:p w14:paraId="75A3089E" w14:textId="77777777" w:rsidR="004214C5" w:rsidRPr="007A1328" w:rsidRDefault="004214C5" w:rsidP="00715914">
    <w:pPr>
      <w:rPr>
        <w:b/>
        <w:sz w:val="24"/>
      </w:rPr>
    </w:pPr>
  </w:p>
  <w:p w14:paraId="0A8E7935" w14:textId="77777777" w:rsidR="004214C5" w:rsidRPr="007A1328" w:rsidRDefault="004214C5" w:rsidP="00D6537E">
    <w:pPr>
      <w:pBdr>
        <w:bottom w:val="single" w:sz="6" w:space="1" w:color="auto"/>
      </w:pBdr>
      <w:spacing w:after="120"/>
      <w:rPr>
        <w:sz w:val="24"/>
      </w:rPr>
    </w:pPr>
  </w:p>
  <w:p w14:paraId="16CC97A2" w14:textId="77777777" w:rsidR="004214C5" w:rsidRDefault="004214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BAC3" w14:textId="77777777" w:rsidR="004214C5" w:rsidRPr="007A1328" w:rsidRDefault="004214C5" w:rsidP="00715914">
    <w:pPr>
      <w:jc w:val="right"/>
      <w:rPr>
        <w:sz w:val="20"/>
      </w:rPr>
    </w:pPr>
  </w:p>
  <w:p w14:paraId="3D0E8E93" w14:textId="77777777" w:rsidR="004214C5" w:rsidRPr="007A1328" w:rsidRDefault="004214C5" w:rsidP="00715914">
    <w:pPr>
      <w:jc w:val="right"/>
      <w:rPr>
        <w:sz w:val="20"/>
      </w:rPr>
    </w:pPr>
  </w:p>
  <w:p w14:paraId="72807F08" w14:textId="77777777" w:rsidR="004214C5" w:rsidRPr="007A1328" w:rsidRDefault="004214C5" w:rsidP="00715914">
    <w:pPr>
      <w:jc w:val="right"/>
      <w:rPr>
        <w:sz w:val="20"/>
      </w:rPr>
    </w:pPr>
  </w:p>
  <w:p w14:paraId="469649BF" w14:textId="77777777" w:rsidR="004214C5" w:rsidRPr="007A1328" w:rsidRDefault="004214C5" w:rsidP="00715914">
    <w:pPr>
      <w:jc w:val="right"/>
      <w:rPr>
        <w:b/>
        <w:sz w:val="24"/>
      </w:rPr>
    </w:pPr>
  </w:p>
  <w:p w14:paraId="0E97F756" w14:textId="77777777" w:rsidR="004214C5" w:rsidRPr="007A1328" w:rsidRDefault="004214C5" w:rsidP="00D6537E">
    <w:pPr>
      <w:pBdr>
        <w:bottom w:val="single" w:sz="6" w:space="1" w:color="auto"/>
      </w:pBdr>
      <w:spacing w:after="120"/>
      <w:jc w:val="right"/>
      <w:rPr>
        <w:sz w:val="24"/>
      </w:rPr>
    </w:pPr>
  </w:p>
  <w:p w14:paraId="76F854A3" w14:textId="77777777" w:rsidR="004214C5" w:rsidRDefault="004214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8F01" w14:textId="77777777" w:rsidR="004214C5" w:rsidRDefault="004214C5">
    <w:pPr>
      <w:pStyle w:val="Header"/>
    </w:pPr>
    <w:r>
      <w:rPr>
        <w:noProof/>
      </w:rPr>
      <mc:AlternateContent>
        <mc:Choice Requires="wps">
          <w:drawing>
            <wp:anchor distT="0" distB="0" distL="0" distR="0" simplePos="0" relativeHeight="251664384" behindDoc="0" locked="0" layoutInCell="1" allowOverlap="1" wp14:anchorId="6D9BA586" wp14:editId="0729E7C4">
              <wp:simplePos x="635" y="635"/>
              <wp:positionH relativeFrom="page">
                <wp:align>center</wp:align>
              </wp:positionH>
              <wp:positionV relativeFrom="page">
                <wp:align>top</wp:align>
              </wp:positionV>
              <wp:extent cx="2459990" cy="376555"/>
              <wp:effectExtent l="0" t="0" r="16510" b="4445"/>
              <wp:wrapNone/>
              <wp:docPr id="1607175749" name="Text Box 7" descr="OFFICIAL: Sensitive//Legislative-Secrec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459990" cy="376555"/>
                      </a:xfrm>
                      <a:prstGeom prst="rect">
                        <a:avLst/>
                      </a:prstGeom>
                      <a:noFill/>
                      <a:ln>
                        <a:noFill/>
                      </a:ln>
                    </wps:spPr>
                    <wps:txbx>
                      <w:txbxContent>
                        <w:p w14:paraId="004E6166" w14:textId="77777777" w:rsidR="004214C5" w:rsidRPr="00323D8E" w:rsidRDefault="004214C5" w:rsidP="00323D8E">
                          <w:pPr>
                            <w:rPr>
                              <w:rFonts w:ascii="Calibri" w:eastAsia="Calibri" w:hAnsi="Calibri" w:cs="Calibri"/>
                              <w:noProof/>
                              <w:color w:val="FF0000"/>
                              <w:sz w:val="24"/>
                              <w:szCs w:val="24"/>
                            </w:rPr>
                          </w:pPr>
                          <w:r w:rsidRPr="00323D8E">
                            <w:rPr>
                              <w:rFonts w:ascii="Calibri" w:eastAsia="Calibri" w:hAnsi="Calibri" w:cs="Calibri"/>
                              <w:noProof/>
                              <w:color w:val="FF0000"/>
                              <w:sz w:val="24"/>
                              <w:szCs w:val="24"/>
                            </w:rPr>
                            <w:t>OFFICIAL: Sensitive//Legislative-Secrecy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BA586" id="_x0000_t202" coordsize="21600,21600" o:spt="202" path="m,l,21600r21600,l21600,xe">
              <v:stroke joinstyle="miter"/>
              <v:path gradientshapeok="t" o:connecttype="rect"/>
            </v:shapetype>
            <v:shape id="Text Box 7" o:spid="_x0000_s1026" type="#_x0000_t202" alt="OFFICIAL: Sensitive//Legislative-Secrecy" style="position:absolute;margin-left:0;margin-top:0;width:193.7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" filled="f" stroked="f">
              <v:textbox style="mso-fit-shape-to-text:t" inset="0,15pt,0,0">
                <w:txbxContent>
                  <w:p w14:paraId="004E6166" w14:textId="77777777" w:rsidR="004214C5" w:rsidRPr="00323D8E" w:rsidRDefault="004214C5" w:rsidP="00323D8E">
                    <w:pPr>
                      <w:rPr>
                        <w:rFonts w:ascii="Calibri" w:eastAsia="Calibri" w:hAnsi="Calibri" w:cs="Calibri"/>
                        <w:noProof/>
                        <w:color w:val="FF0000"/>
                        <w:sz w:val="24"/>
                        <w:szCs w:val="24"/>
                      </w:rPr>
                    </w:pPr>
                    <w:r w:rsidRPr="00323D8E">
                      <w:rPr>
                        <w:rFonts w:ascii="Calibri" w:eastAsia="Calibri" w:hAnsi="Calibri" w:cs="Calibri"/>
                        <w:noProof/>
                        <w:color w:val="FF0000"/>
                        <w:sz w:val="24"/>
                        <w:szCs w:val="24"/>
                      </w:rPr>
                      <w:t>OFFICIAL: Sensitive//Legislative-Secrecy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183D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88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ECB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2C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C8E2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0E02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C36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982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529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5845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C43CF"/>
    <w:multiLevelType w:val="hybridMultilevel"/>
    <w:tmpl w:val="95CA0572"/>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DC6F72"/>
    <w:multiLevelType w:val="hybridMultilevel"/>
    <w:tmpl w:val="0180C4B2"/>
    <w:lvl w:ilvl="0" w:tplc="38CE93C8">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E121E4"/>
    <w:multiLevelType w:val="hybridMultilevel"/>
    <w:tmpl w:val="C30E8B14"/>
    <w:lvl w:ilvl="0" w:tplc="E7DEE66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253B0853"/>
    <w:multiLevelType w:val="hybridMultilevel"/>
    <w:tmpl w:val="36FE2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355E3"/>
    <w:multiLevelType w:val="hybridMultilevel"/>
    <w:tmpl w:val="F92C9D14"/>
    <w:lvl w:ilvl="0" w:tplc="21BEC8AC">
      <w:start w:val="9"/>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7" w15:restartNumberingAfterBreak="0">
    <w:nsid w:val="2D3C0171"/>
    <w:multiLevelType w:val="hybridMultilevel"/>
    <w:tmpl w:val="163C6EEA"/>
    <w:lvl w:ilvl="0" w:tplc="007267C2">
      <w:start w:val="1"/>
      <w:numFmt w:val="lowerRoman"/>
      <w:lvlText w:val="(%1)"/>
      <w:lvlJc w:val="left"/>
      <w:pPr>
        <w:ind w:left="2574" w:hanging="72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8" w15:restartNumberingAfterBreak="0">
    <w:nsid w:val="2DDD21F8"/>
    <w:multiLevelType w:val="hybridMultilevel"/>
    <w:tmpl w:val="7F823E9C"/>
    <w:lvl w:ilvl="0" w:tplc="74DA7066">
      <w:start w:val="1"/>
      <w:numFmt w:val="lowerRoman"/>
      <w:lvlText w:val="(%1)"/>
      <w:lvlJc w:val="left"/>
      <w:pPr>
        <w:ind w:left="2574" w:hanging="72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19" w15:restartNumberingAfterBreak="0">
    <w:nsid w:val="34D74A02"/>
    <w:multiLevelType w:val="hybridMultilevel"/>
    <w:tmpl w:val="896EBB08"/>
    <w:lvl w:ilvl="0" w:tplc="6D167734">
      <w:start w:val="1"/>
      <w:numFmt w:val="lowerRoman"/>
      <w:lvlText w:val="(%1)"/>
      <w:lvlJc w:val="left"/>
      <w:pPr>
        <w:ind w:left="2574" w:hanging="72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20" w15:restartNumberingAfterBreak="0">
    <w:nsid w:val="36DD7996"/>
    <w:multiLevelType w:val="hybridMultilevel"/>
    <w:tmpl w:val="2196F4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30983"/>
    <w:multiLevelType w:val="hybridMultilevel"/>
    <w:tmpl w:val="95CA0572"/>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2" w15:restartNumberingAfterBreak="0">
    <w:nsid w:val="37F90910"/>
    <w:multiLevelType w:val="hybridMultilevel"/>
    <w:tmpl w:val="54605D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B8A6291"/>
    <w:multiLevelType w:val="hybridMultilevel"/>
    <w:tmpl w:val="C0F4CCA2"/>
    <w:lvl w:ilvl="0" w:tplc="9CE23752">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3CF41377"/>
    <w:multiLevelType w:val="hybridMultilevel"/>
    <w:tmpl w:val="06184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F7070A"/>
    <w:multiLevelType w:val="hybridMultilevel"/>
    <w:tmpl w:val="71101564"/>
    <w:lvl w:ilvl="0" w:tplc="48F2DAC6">
      <w:start w:val="1"/>
      <w:numFmt w:val="lowerRoman"/>
      <w:lvlText w:val="(%1)"/>
      <w:lvlJc w:val="left"/>
      <w:pPr>
        <w:ind w:left="2874" w:hanging="720"/>
      </w:pPr>
      <w:rPr>
        <w:rFonts w:hint="default"/>
      </w:rPr>
    </w:lvl>
    <w:lvl w:ilvl="1" w:tplc="0C090019" w:tentative="1">
      <w:start w:val="1"/>
      <w:numFmt w:val="lowerLetter"/>
      <w:lvlText w:val="%2."/>
      <w:lvlJc w:val="left"/>
      <w:pPr>
        <w:ind w:left="3234" w:hanging="360"/>
      </w:pPr>
    </w:lvl>
    <w:lvl w:ilvl="2" w:tplc="0C09001B" w:tentative="1">
      <w:start w:val="1"/>
      <w:numFmt w:val="lowerRoman"/>
      <w:lvlText w:val="%3."/>
      <w:lvlJc w:val="right"/>
      <w:pPr>
        <w:ind w:left="3954" w:hanging="180"/>
      </w:pPr>
    </w:lvl>
    <w:lvl w:ilvl="3" w:tplc="0C09000F" w:tentative="1">
      <w:start w:val="1"/>
      <w:numFmt w:val="decimal"/>
      <w:lvlText w:val="%4."/>
      <w:lvlJc w:val="left"/>
      <w:pPr>
        <w:ind w:left="4674" w:hanging="360"/>
      </w:pPr>
    </w:lvl>
    <w:lvl w:ilvl="4" w:tplc="0C090019" w:tentative="1">
      <w:start w:val="1"/>
      <w:numFmt w:val="lowerLetter"/>
      <w:lvlText w:val="%5."/>
      <w:lvlJc w:val="left"/>
      <w:pPr>
        <w:ind w:left="5394" w:hanging="360"/>
      </w:pPr>
    </w:lvl>
    <w:lvl w:ilvl="5" w:tplc="0C09001B" w:tentative="1">
      <w:start w:val="1"/>
      <w:numFmt w:val="lowerRoman"/>
      <w:lvlText w:val="%6."/>
      <w:lvlJc w:val="right"/>
      <w:pPr>
        <w:ind w:left="6114" w:hanging="180"/>
      </w:pPr>
    </w:lvl>
    <w:lvl w:ilvl="6" w:tplc="0C09000F" w:tentative="1">
      <w:start w:val="1"/>
      <w:numFmt w:val="decimal"/>
      <w:lvlText w:val="%7."/>
      <w:lvlJc w:val="left"/>
      <w:pPr>
        <w:ind w:left="6834" w:hanging="360"/>
      </w:pPr>
    </w:lvl>
    <w:lvl w:ilvl="7" w:tplc="0C090019" w:tentative="1">
      <w:start w:val="1"/>
      <w:numFmt w:val="lowerLetter"/>
      <w:lvlText w:val="%8."/>
      <w:lvlJc w:val="left"/>
      <w:pPr>
        <w:ind w:left="7554" w:hanging="360"/>
      </w:pPr>
    </w:lvl>
    <w:lvl w:ilvl="8" w:tplc="0C09001B" w:tentative="1">
      <w:start w:val="1"/>
      <w:numFmt w:val="lowerRoman"/>
      <w:lvlText w:val="%9."/>
      <w:lvlJc w:val="right"/>
      <w:pPr>
        <w:ind w:left="8274" w:hanging="180"/>
      </w:pPr>
    </w:lvl>
  </w:abstractNum>
  <w:abstractNum w:abstractNumId="27" w15:restartNumberingAfterBreak="0">
    <w:nsid w:val="3F427EFC"/>
    <w:multiLevelType w:val="hybridMultilevel"/>
    <w:tmpl w:val="6944E8BE"/>
    <w:lvl w:ilvl="0" w:tplc="8EBA1D1E">
      <w:start w:val="9"/>
      <w:numFmt w:val="lowerLetter"/>
      <w:lvlText w:val="(%1)"/>
      <w:lvlJc w:val="lef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28" w15:restartNumberingAfterBreak="0">
    <w:nsid w:val="4166269C"/>
    <w:multiLevelType w:val="hybridMultilevel"/>
    <w:tmpl w:val="95CA0572"/>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469C14DB"/>
    <w:multiLevelType w:val="hybridMultilevel"/>
    <w:tmpl w:val="33E663B4"/>
    <w:lvl w:ilvl="0" w:tplc="FAA8BE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BC74BED"/>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1" w15:restartNumberingAfterBreak="0">
    <w:nsid w:val="4CEC3290"/>
    <w:multiLevelType w:val="hybridMultilevel"/>
    <w:tmpl w:val="8996CD40"/>
    <w:lvl w:ilvl="0" w:tplc="7CBA74B4">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2" w15:restartNumberingAfterBreak="0">
    <w:nsid w:val="4DAE46B5"/>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3" w15:restartNumberingAfterBreak="0">
    <w:nsid w:val="4FD57023"/>
    <w:multiLevelType w:val="hybridMultilevel"/>
    <w:tmpl w:val="95CA0572"/>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4" w15:restartNumberingAfterBreak="0">
    <w:nsid w:val="4FD728BD"/>
    <w:multiLevelType w:val="hybridMultilevel"/>
    <w:tmpl w:val="A944179E"/>
    <w:lvl w:ilvl="0" w:tplc="0E10B7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0B6512"/>
    <w:multiLevelType w:val="hybridMultilevel"/>
    <w:tmpl w:val="6BF03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FD690A"/>
    <w:multiLevelType w:val="hybridMultilevel"/>
    <w:tmpl w:val="F45AA8C2"/>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7" w15:restartNumberingAfterBreak="0">
    <w:nsid w:val="572863A0"/>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8" w15:restartNumberingAfterBreak="0">
    <w:nsid w:val="5CB305C1"/>
    <w:multiLevelType w:val="hybridMultilevel"/>
    <w:tmpl w:val="5D1C6A10"/>
    <w:lvl w:ilvl="0" w:tplc="FCB420CC">
      <w:start w:val="1"/>
      <w:numFmt w:val="lowerLetter"/>
      <w:lvlText w:val="(%1)"/>
      <w:lvlJc w:val="left"/>
      <w:pPr>
        <w:ind w:left="1794" w:hanging="360"/>
      </w:pPr>
      <w:rPr>
        <w:rFonts w:hint="default"/>
      </w:rPr>
    </w:lvl>
    <w:lvl w:ilvl="1" w:tplc="0C09001B">
      <w:start w:val="1"/>
      <w:numFmt w:val="lowerRoman"/>
      <w:lvlText w:val="%2."/>
      <w:lvlJc w:val="righ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9" w15:restartNumberingAfterBreak="0">
    <w:nsid w:val="5DFF538D"/>
    <w:multiLevelType w:val="hybridMultilevel"/>
    <w:tmpl w:val="424A781C"/>
    <w:lvl w:ilvl="0" w:tplc="FCB420CC">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60AB4EC3"/>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1" w15:restartNumberingAfterBreak="0">
    <w:nsid w:val="6DCD0E97"/>
    <w:multiLevelType w:val="hybridMultilevel"/>
    <w:tmpl w:val="7FE887A4"/>
    <w:lvl w:ilvl="0" w:tplc="F3AA8150">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EF3F5E"/>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3" w15:restartNumberingAfterBreak="0">
    <w:nsid w:val="74F815BC"/>
    <w:multiLevelType w:val="hybridMultilevel"/>
    <w:tmpl w:val="ABCA0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5703D0"/>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5" w15:restartNumberingAfterBreak="0">
    <w:nsid w:val="77BB0D1C"/>
    <w:multiLevelType w:val="hybridMultilevel"/>
    <w:tmpl w:val="95CA0572"/>
    <w:lvl w:ilvl="0" w:tplc="FCB420CC">
      <w:start w:val="1"/>
      <w:numFmt w:val="lowerLetter"/>
      <w:lvlText w:val="(%1)"/>
      <w:lvlJc w:val="left"/>
      <w:pPr>
        <w:ind w:left="1854"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6" w15:restartNumberingAfterBreak="0">
    <w:nsid w:val="7CCB56E6"/>
    <w:multiLevelType w:val="hybridMultilevel"/>
    <w:tmpl w:val="8F58987E"/>
    <w:lvl w:ilvl="0" w:tplc="EA881D04">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7" w15:restartNumberingAfterBreak="0">
    <w:nsid w:val="7F93740C"/>
    <w:multiLevelType w:val="hybridMultilevel"/>
    <w:tmpl w:val="A184F710"/>
    <w:lvl w:ilvl="0" w:tplc="BB346E16">
      <w:start w:val="1"/>
      <w:numFmt w:val="lowerRoman"/>
      <w:lvlText w:val="(%1)"/>
      <w:lvlJc w:val="left"/>
      <w:pPr>
        <w:ind w:left="2574" w:hanging="72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12"/>
  </w:num>
  <w:num w:numId="14">
    <w:abstractNumId w:val="22"/>
  </w:num>
  <w:num w:numId="15">
    <w:abstractNumId w:val="38"/>
  </w:num>
  <w:num w:numId="16">
    <w:abstractNumId w:val="26"/>
  </w:num>
  <w:num w:numId="17">
    <w:abstractNumId w:val="36"/>
  </w:num>
  <w:num w:numId="18">
    <w:abstractNumId w:val="39"/>
  </w:num>
  <w:num w:numId="19">
    <w:abstractNumId w:val="33"/>
  </w:num>
  <w:num w:numId="20">
    <w:abstractNumId w:val="31"/>
  </w:num>
  <w:num w:numId="21">
    <w:abstractNumId w:val="21"/>
  </w:num>
  <w:num w:numId="22">
    <w:abstractNumId w:val="29"/>
  </w:num>
  <w:num w:numId="23">
    <w:abstractNumId w:val="34"/>
  </w:num>
  <w:num w:numId="24">
    <w:abstractNumId w:val="46"/>
  </w:num>
  <w:num w:numId="25">
    <w:abstractNumId w:val="14"/>
  </w:num>
  <w:num w:numId="26">
    <w:abstractNumId w:val="24"/>
  </w:num>
  <w:num w:numId="27">
    <w:abstractNumId w:val="28"/>
  </w:num>
  <w:num w:numId="28">
    <w:abstractNumId w:val="11"/>
  </w:num>
  <w:num w:numId="29">
    <w:abstractNumId w:val="13"/>
  </w:num>
  <w:num w:numId="30">
    <w:abstractNumId w:val="37"/>
  </w:num>
  <w:num w:numId="31">
    <w:abstractNumId w:val="47"/>
  </w:num>
  <w:num w:numId="32">
    <w:abstractNumId w:val="18"/>
  </w:num>
  <w:num w:numId="33">
    <w:abstractNumId w:val="17"/>
  </w:num>
  <w:num w:numId="34">
    <w:abstractNumId w:val="19"/>
  </w:num>
  <w:num w:numId="35">
    <w:abstractNumId w:val="42"/>
  </w:num>
  <w:num w:numId="36">
    <w:abstractNumId w:val="16"/>
  </w:num>
  <w:num w:numId="37">
    <w:abstractNumId w:val="27"/>
  </w:num>
  <w:num w:numId="38">
    <w:abstractNumId w:val="30"/>
  </w:num>
  <w:num w:numId="39">
    <w:abstractNumId w:val="45"/>
  </w:num>
  <w:num w:numId="40">
    <w:abstractNumId w:val="32"/>
  </w:num>
  <w:num w:numId="41">
    <w:abstractNumId w:val="44"/>
  </w:num>
  <w:num w:numId="42">
    <w:abstractNumId w:val="40"/>
  </w:num>
  <w:num w:numId="43">
    <w:abstractNumId w:val="35"/>
  </w:num>
  <w:num w:numId="44">
    <w:abstractNumId w:val="25"/>
  </w:num>
  <w:num w:numId="45">
    <w:abstractNumId w:val="43"/>
  </w:num>
  <w:num w:numId="46">
    <w:abstractNumId w:val="20"/>
  </w:num>
  <w:num w:numId="47">
    <w:abstractNumId w:val="4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80"/>
    <w:rsid w:val="00004174"/>
    <w:rsid w:val="00004470"/>
    <w:rsid w:val="000136AF"/>
    <w:rsid w:val="000222E7"/>
    <w:rsid w:val="00022B11"/>
    <w:rsid w:val="00022F68"/>
    <w:rsid w:val="000258B1"/>
    <w:rsid w:val="0003195D"/>
    <w:rsid w:val="00035BD1"/>
    <w:rsid w:val="00040A89"/>
    <w:rsid w:val="000437C1"/>
    <w:rsid w:val="0004455A"/>
    <w:rsid w:val="000501D8"/>
    <w:rsid w:val="0005365D"/>
    <w:rsid w:val="000614BF"/>
    <w:rsid w:val="000646E2"/>
    <w:rsid w:val="0006709C"/>
    <w:rsid w:val="0007103D"/>
    <w:rsid w:val="00074376"/>
    <w:rsid w:val="0007649D"/>
    <w:rsid w:val="00081531"/>
    <w:rsid w:val="000828F2"/>
    <w:rsid w:val="00092CE3"/>
    <w:rsid w:val="000978F5"/>
    <w:rsid w:val="000A0CEB"/>
    <w:rsid w:val="000B15CD"/>
    <w:rsid w:val="000B26C8"/>
    <w:rsid w:val="000B35EB"/>
    <w:rsid w:val="000C314F"/>
    <w:rsid w:val="000D05EF"/>
    <w:rsid w:val="000D4F9E"/>
    <w:rsid w:val="000E2261"/>
    <w:rsid w:val="000E78B7"/>
    <w:rsid w:val="000F21C1"/>
    <w:rsid w:val="000F3A3A"/>
    <w:rsid w:val="0010745C"/>
    <w:rsid w:val="00122EEE"/>
    <w:rsid w:val="00132CEB"/>
    <w:rsid w:val="001339B0"/>
    <w:rsid w:val="0013633B"/>
    <w:rsid w:val="00137B58"/>
    <w:rsid w:val="00142B62"/>
    <w:rsid w:val="001441B7"/>
    <w:rsid w:val="0015029E"/>
    <w:rsid w:val="00150A90"/>
    <w:rsid w:val="001516CB"/>
    <w:rsid w:val="00152336"/>
    <w:rsid w:val="001574F1"/>
    <w:rsid w:val="00157559"/>
    <w:rsid w:val="00157B8B"/>
    <w:rsid w:val="00161316"/>
    <w:rsid w:val="00162581"/>
    <w:rsid w:val="00166C2F"/>
    <w:rsid w:val="00170094"/>
    <w:rsid w:val="00171060"/>
    <w:rsid w:val="001809D7"/>
    <w:rsid w:val="001939E1"/>
    <w:rsid w:val="00194C3E"/>
    <w:rsid w:val="00195382"/>
    <w:rsid w:val="001A3FD6"/>
    <w:rsid w:val="001A53C5"/>
    <w:rsid w:val="001B2CB6"/>
    <w:rsid w:val="001C61C5"/>
    <w:rsid w:val="001C69C4"/>
    <w:rsid w:val="001D37EF"/>
    <w:rsid w:val="001E3590"/>
    <w:rsid w:val="001E7407"/>
    <w:rsid w:val="001F5D5E"/>
    <w:rsid w:val="001F6219"/>
    <w:rsid w:val="001F6CD4"/>
    <w:rsid w:val="00206C4D"/>
    <w:rsid w:val="00215AF1"/>
    <w:rsid w:val="00215E51"/>
    <w:rsid w:val="00215EDD"/>
    <w:rsid w:val="00223CE0"/>
    <w:rsid w:val="002321E8"/>
    <w:rsid w:val="00232984"/>
    <w:rsid w:val="00237CAD"/>
    <w:rsid w:val="0024010F"/>
    <w:rsid w:val="00240749"/>
    <w:rsid w:val="00243018"/>
    <w:rsid w:val="00246528"/>
    <w:rsid w:val="0025116B"/>
    <w:rsid w:val="00251B6C"/>
    <w:rsid w:val="002564A4"/>
    <w:rsid w:val="00260B6A"/>
    <w:rsid w:val="0026179B"/>
    <w:rsid w:val="0026736C"/>
    <w:rsid w:val="00281308"/>
    <w:rsid w:val="00284719"/>
    <w:rsid w:val="0028710F"/>
    <w:rsid w:val="00295EC2"/>
    <w:rsid w:val="00297ECB"/>
    <w:rsid w:val="002A5E8A"/>
    <w:rsid w:val="002A7BCF"/>
    <w:rsid w:val="002B0156"/>
    <w:rsid w:val="002B1C81"/>
    <w:rsid w:val="002B70AC"/>
    <w:rsid w:val="002C3FD1"/>
    <w:rsid w:val="002C5D6B"/>
    <w:rsid w:val="002D043A"/>
    <w:rsid w:val="002D2194"/>
    <w:rsid w:val="002D266B"/>
    <w:rsid w:val="002D2A14"/>
    <w:rsid w:val="002D6224"/>
    <w:rsid w:val="00300DD5"/>
    <w:rsid w:val="00304F8B"/>
    <w:rsid w:val="0030517C"/>
    <w:rsid w:val="003145C3"/>
    <w:rsid w:val="0031537F"/>
    <w:rsid w:val="00323D8E"/>
    <w:rsid w:val="00333DC5"/>
    <w:rsid w:val="00335BC6"/>
    <w:rsid w:val="003415D3"/>
    <w:rsid w:val="00343311"/>
    <w:rsid w:val="00344338"/>
    <w:rsid w:val="00344701"/>
    <w:rsid w:val="003515C7"/>
    <w:rsid w:val="00352B0F"/>
    <w:rsid w:val="003563AD"/>
    <w:rsid w:val="00360459"/>
    <w:rsid w:val="0036164E"/>
    <w:rsid w:val="00374BFF"/>
    <w:rsid w:val="00375CB0"/>
    <w:rsid w:val="0038049F"/>
    <w:rsid w:val="00387F66"/>
    <w:rsid w:val="003B136A"/>
    <w:rsid w:val="003B48E0"/>
    <w:rsid w:val="003C6231"/>
    <w:rsid w:val="003C65C2"/>
    <w:rsid w:val="003C65C3"/>
    <w:rsid w:val="003C6AF5"/>
    <w:rsid w:val="003D0BFE"/>
    <w:rsid w:val="003D5700"/>
    <w:rsid w:val="003E341B"/>
    <w:rsid w:val="003E4D00"/>
    <w:rsid w:val="003F303C"/>
    <w:rsid w:val="004028BF"/>
    <w:rsid w:val="00403A88"/>
    <w:rsid w:val="00405BA0"/>
    <w:rsid w:val="004116CD"/>
    <w:rsid w:val="00414833"/>
    <w:rsid w:val="00417EB9"/>
    <w:rsid w:val="004214C5"/>
    <w:rsid w:val="00424CA9"/>
    <w:rsid w:val="004276DF"/>
    <w:rsid w:val="00431E9B"/>
    <w:rsid w:val="004379E3"/>
    <w:rsid w:val="0044015E"/>
    <w:rsid w:val="00442477"/>
    <w:rsid w:val="0044291A"/>
    <w:rsid w:val="00450CD4"/>
    <w:rsid w:val="00454889"/>
    <w:rsid w:val="00455212"/>
    <w:rsid w:val="00455428"/>
    <w:rsid w:val="0046598D"/>
    <w:rsid w:val="00467661"/>
    <w:rsid w:val="00471187"/>
    <w:rsid w:val="00472DBE"/>
    <w:rsid w:val="00474A19"/>
    <w:rsid w:val="00477830"/>
    <w:rsid w:val="00477B39"/>
    <w:rsid w:val="004866CF"/>
    <w:rsid w:val="00486BBF"/>
    <w:rsid w:val="00487764"/>
    <w:rsid w:val="00491E5F"/>
    <w:rsid w:val="00492A7E"/>
    <w:rsid w:val="00492FA7"/>
    <w:rsid w:val="0049612A"/>
    <w:rsid w:val="00496F97"/>
    <w:rsid w:val="004A22C5"/>
    <w:rsid w:val="004A3222"/>
    <w:rsid w:val="004B6C48"/>
    <w:rsid w:val="004B778C"/>
    <w:rsid w:val="004C4E59"/>
    <w:rsid w:val="004C6809"/>
    <w:rsid w:val="004E063A"/>
    <w:rsid w:val="004E1307"/>
    <w:rsid w:val="004E6C8A"/>
    <w:rsid w:val="004E7BEC"/>
    <w:rsid w:val="00503277"/>
    <w:rsid w:val="00505D3D"/>
    <w:rsid w:val="00506AF6"/>
    <w:rsid w:val="00510D04"/>
    <w:rsid w:val="0051321B"/>
    <w:rsid w:val="00516B8D"/>
    <w:rsid w:val="00522F79"/>
    <w:rsid w:val="005303C8"/>
    <w:rsid w:val="0053057E"/>
    <w:rsid w:val="00537FBC"/>
    <w:rsid w:val="00540FF9"/>
    <w:rsid w:val="00546E2F"/>
    <w:rsid w:val="00554826"/>
    <w:rsid w:val="0055771E"/>
    <w:rsid w:val="00562877"/>
    <w:rsid w:val="0056497F"/>
    <w:rsid w:val="00584811"/>
    <w:rsid w:val="005848BD"/>
    <w:rsid w:val="00585784"/>
    <w:rsid w:val="00593AA6"/>
    <w:rsid w:val="00594161"/>
    <w:rsid w:val="00594749"/>
    <w:rsid w:val="005979DA"/>
    <w:rsid w:val="005A61DB"/>
    <w:rsid w:val="005A65D5"/>
    <w:rsid w:val="005A7378"/>
    <w:rsid w:val="005B348E"/>
    <w:rsid w:val="005B4067"/>
    <w:rsid w:val="005B62A8"/>
    <w:rsid w:val="005C06B2"/>
    <w:rsid w:val="005C1B7A"/>
    <w:rsid w:val="005C3F41"/>
    <w:rsid w:val="005C7291"/>
    <w:rsid w:val="005D1D92"/>
    <w:rsid w:val="005D2121"/>
    <w:rsid w:val="005D2D09"/>
    <w:rsid w:val="005D2E11"/>
    <w:rsid w:val="005E57E1"/>
    <w:rsid w:val="00600219"/>
    <w:rsid w:val="00604F2A"/>
    <w:rsid w:val="00604F90"/>
    <w:rsid w:val="006134C3"/>
    <w:rsid w:val="00620076"/>
    <w:rsid w:val="0062212E"/>
    <w:rsid w:val="00627E0A"/>
    <w:rsid w:val="00642F6A"/>
    <w:rsid w:val="00650E35"/>
    <w:rsid w:val="0065488B"/>
    <w:rsid w:val="006654A8"/>
    <w:rsid w:val="00670EA1"/>
    <w:rsid w:val="006753CF"/>
    <w:rsid w:val="00677CC2"/>
    <w:rsid w:val="0068744B"/>
    <w:rsid w:val="006905DE"/>
    <w:rsid w:val="0069207B"/>
    <w:rsid w:val="006A154F"/>
    <w:rsid w:val="006A437B"/>
    <w:rsid w:val="006A5904"/>
    <w:rsid w:val="006B5789"/>
    <w:rsid w:val="006C30C5"/>
    <w:rsid w:val="006C748A"/>
    <w:rsid w:val="006C7B45"/>
    <w:rsid w:val="006C7F8C"/>
    <w:rsid w:val="006E2E1C"/>
    <w:rsid w:val="006E6246"/>
    <w:rsid w:val="006E69C2"/>
    <w:rsid w:val="006E6DCC"/>
    <w:rsid w:val="006E76A7"/>
    <w:rsid w:val="006F318F"/>
    <w:rsid w:val="0070017E"/>
    <w:rsid w:val="00700B2C"/>
    <w:rsid w:val="0070222D"/>
    <w:rsid w:val="00703F4A"/>
    <w:rsid w:val="007050A2"/>
    <w:rsid w:val="00713084"/>
    <w:rsid w:val="00714F20"/>
    <w:rsid w:val="0071590F"/>
    <w:rsid w:val="00715914"/>
    <w:rsid w:val="00720DCE"/>
    <w:rsid w:val="0072147A"/>
    <w:rsid w:val="00723279"/>
    <w:rsid w:val="00723791"/>
    <w:rsid w:val="00731915"/>
    <w:rsid w:val="00731E00"/>
    <w:rsid w:val="007437F2"/>
    <w:rsid w:val="007440B7"/>
    <w:rsid w:val="007500C8"/>
    <w:rsid w:val="00751950"/>
    <w:rsid w:val="00756272"/>
    <w:rsid w:val="00762D38"/>
    <w:rsid w:val="007715C9"/>
    <w:rsid w:val="00771613"/>
    <w:rsid w:val="00774EDD"/>
    <w:rsid w:val="007757EC"/>
    <w:rsid w:val="00782C01"/>
    <w:rsid w:val="00783E89"/>
    <w:rsid w:val="007905FE"/>
    <w:rsid w:val="00793915"/>
    <w:rsid w:val="007C2253"/>
    <w:rsid w:val="007C2B72"/>
    <w:rsid w:val="007C5C9E"/>
    <w:rsid w:val="007D7911"/>
    <w:rsid w:val="007E1163"/>
    <w:rsid w:val="007E163D"/>
    <w:rsid w:val="007E2F4D"/>
    <w:rsid w:val="007E596A"/>
    <w:rsid w:val="007E667A"/>
    <w:rsid w:val="007F28C9"/>
    <w:rsid w:val="007F51B2"/>
    <w:rsid w:val="008040DD"/>
    <w:rsid w:val="00807226"/>
    <w:rsid w:val="008079F2"/>
    <w:rsid w:val="008117E9"/>
    <w:rsid w:val="0081691A"/>
    <w:rsid w:val="00824498"/>
    <w:rsid w:val="00826BD1"/>
    <w:rsid w:val="008475FD"/>
    <w:rsid w:val="00854D0B"/>
    <w:rsid w:val="00856A31"/>
    <w:rsid w:val="00860B4E"/>
    <w:rsid w:val="00864736"/>
    <w:rsid w:val="00867B37"/>
    <w:rsid w:val="008754D0"/>
    <w:rsid w:val="00875D13"/>
    <w:rsid w:val="008855C9"/>
    <w:rsid w:val="00886456"/>
    <w:rsid w:val="00896176"/>
    <w:rsid w:val="00897871"/>
    <w:rsid w:val="008A243C"/>
    <w:rsid w:val="008A3CC9"/>
    <w:rsid w:val="008A46E1"/>
    <w:rsid w:val="008A4F43"/>
    <w:rsid w:val="008B2706"/>
    <w:rsid w:val="008C094C"/>
    <w:rsid w:val="008C2EAC"/>
    <w:rsid w:val="008C5A26"/>
    <w:rsid w:val="008D01F2"/>
    <w:rsid w:val="008D0EE0"/>
    <w:rsid w:val="008E0027"/>
    <w:rsid w:val="008E6067"/>
    <w:rsid w:val="008E7AA6"/>
    <w:rsid w:val="008F54E7"/>
    <w:rsid w:val="008F6933"/>
    <w:rsid w:val="0090043B"/>
    <w:rsid w:val="00903422"/>
    <w:rsid w:val="009254C3"/>
    <w:rsid w:val="00932377"/>
    <w:rsid w:val="00941236"/>
    <w:rsid w:val="00943FD5"/>
    <w:rsid w:val="009467F5"/>
    <w:rsid w:val="009474EA"/>
    <w:rsid w:val="00947D5A"/>
    <w:rsid w:val="009532A5"/>
    <w:rsid w:val="009545BD"/>
    <w:rsid w:val="00963721"/>
    <w:rsid w:val="00964CF0"/>
    <w:rsid w:val="00972ACF"/>
    <w:rsid w:val="00977806"/>
    <w:rsid w:val="00982242"/>
    <w:rsid w:val="009868E9"/>
    <w:rsid w:val="009900A3"/>
    <w:rsid w:val="00995681"/>
    <w:rsid w:val="009A5623"/>
    <w:rsid w:val="009B2EBE"/>
    <w:rsid w:val="009C3413"/>
    <w:rsid w:val="009C533A"/>
    <w:rsid w:val="009D7059"/>
    <w:rsid w:val="00A007F9"/>
    <w:rsid w:val="00A02063"/>
    <w:rsid w:val="00A0441E"/>
    <w:rsid w:val="00A06DCA"/>
    <w:rsid w:val="00A12128"/>
    <w:rsid w:val="00A22C98"/>
    <w:rsid w:val="00A231E2"/>
    <w:rsid w:val="00A324CD"/>
    <w:rsid w:val="00A35F31"/>
    <w:rsid w:val="00A369E3"/>
    <w:rsid w:val="00A47B55"/>
    <w:rsid w:val="00A5551C"/>
    <w:rsid w:val="00A57600"/>
    <w:rsid w:val="00A64912"/>
    <w:rsid w:val="00A70A74"/>
    <w:rsid w:val="00A753A0"/>
    <w:rsid w:val="00A759C9"/>
    <w:rsid w:val="00A75FE9"/>
    <w:rsid w:val="00A87444"/>
    <w:rsid w:val="00A876F5"/>
    <w:rsid w:val="00A97AE0"/>
    <w:rsid w:val="00AA5144"/>
    <w:rsid w:val="00AB67F1"/>
    <w:rsid w:val="00AC2706"/>
    <w:rsid w:val="00AD051D"/>
    <w:rsid w:val="00AD53CC"/>
    <w:rsid w:val="00AD5641"/>
    <w:rsid w:val="00AE3D20"/>
    <w:rsid w:val="00AE62D9"/>
    <w:rsid w:val="00AF06CF"/>
    <w:rsid w:val="00AF7EA9"/>
    <w:rsid w:val="00B0227E"/>
    <w:rsid w:val="00B07CDB"/>
    <w:rsid w:val="00B14CCE"/>
    <w:rsid w:val="00B16A31"/>
    <w:rsid w:val="00B173F4"/>
    <w:rsid w:val="00B17DFD"/>
    <w:rsid w:val="00B25306"/>
    <w:rsid w:val="00B26527"/>
    <w:rsid w:val="00B27831"/>
    <w:rsid w:val="00B308FE"/>
    <w:rsid w:val="00B33709"/>
    <w:rsid w:val="00B33B3C"/>
    <w:rsid w:val="00B35695"/>
    <w:rsid w:val="00B36392"/>
    <w:rsid w:val="00B3781F"/>
    <w:rsid w:val="00B418CB"/>
    <w:rsid w:val="00B45E38"/>
    <w:rsid w:val="00B47444"/>
    <w:rsid w:val="00B50ADC"/>
    <w:rsid w:val="00B50F43"/>
    <w:rsid w:val="00B566B1"/>
    <w:rsid w:val="00B5743D"/>
    <w:rsid w:val="00B63834"/>
    <w:rsid w:val="00B735EF"/>
    <w:rsid w:val="00B80199"/>
    <w:rsid w:val="00B80BE2"/>
    <w:rsid w:val="00B83204"/>
    <w:rsid w:val="00B856E7"/>
    <w:rsid w:val="00B96340"/>
    <w:rsid w:val="00BA220B"/>
    <w:rsid w:val="00BA3A57"/>
    <w:rsid w:val="00BA79CB"/>
    <w:rsid w:val="00BB1533"/>
    <w:rsid w:val="00BB4E1A"/>
    <w:rsid w:val="00BC015E"/>
    <w:rsid w:val="00BC5139"/>
    <w:rsid w:val="00BC76AC"/>
    <w:rsid w:val="00BD0ECB"/>
    <w:rsid w:val="00BD1856"/>
    <w:rsid w:val="00BD6259"/>
    <w:rsid w:val="00BD772F"/>
    <w:rsid w:val="00BE2155"/>
    <w:rsid w:val="00BE5975"/>
    <w:rsid w:val="00BE719A"/>
    <w:rsid w:val="00BE720A"/>
    <w:rsid w:val="00BE721C"/>
    <w:rsid w:val="00BF0D73"/>
    <w:rsid w:val="00BF2465"/>
    <w:rsid w:val="00C04BF8"/>
    <w:rsid w:val="00C16619"/>
    <w:rsid w:val="00C240F3"/>
    <w:rsid w:val="00C25E7F"/>
    <w:rsid w:val="00C2746F"/>
    <w:rsid w:val="00C323D6"/>
    <w:rsid w:val="00C324A0"/>
    <w:rsid w:val="00C41762"/>
    <w:rsid w:val="00C42BF8"/>
    <w:rsid w:val="00C42C25"/>
    <w:rsid w:val="00C447DA"/>
    <w:rsid w:val="00C46A6F"/>
    <w:rsid w:val="00C50043"/>
    <w:rsid w:val="00C50E72"/>
    <w:rsid w:val="00C67F42"/>
    <w:rsid w:val="00C7573B"/>
    <w:rsid w:val="00C77F0A"/>
    <w:rsid w:val="00C97A54"/>
    <w:rsid w:val="00CA58B0"/>
    <w:rsid w:val="00CA5B23"/>
    <w:rsid w:val="00CB602E"/>
    <w:rsid w:val="00CB7E90"/>
    <w:rsid w:val="00CC21C8"/>
    <w:rsid w:val="00CE051D"/>
    <w:rsid w:val="00CE1335"/>
    <w:rsid w:val="00CE493D"/>
    <w:rsid w:val="00CF07FA"/>
    <w:rsid w:val="00CF0BB2"/>
    <w:rsid w:val="00CF38C8"/>
    <w:rsid w:val="00CF3EE8"/>
    <w:rsid w:val="00D01C39"/>
    <w:rsid w:val="00D04482"/>
    <w:rsid w:val="00D05F3F"/>
    <w:rsid w:val="00D1266F"/>
    <w:rsid w:val="00D13441"/>
    <w:rsid w:val="00D150E7"/>
    <w:rsid w:val="00D23045"/>
    <w:rsid w:val="00D30ED9"/>
    <w:rsid w:val="00D43452"/>
    <w:rsid w:val="00D456D2"/>
    <w:rsid w:val="00D52DC2"/>
    <w:rsid w:val="00D53BCC"/>
    <w:rsid w:val="00D54C9E"/>
    <w:rsid w:val="00D558CC"/>
    <w:rsid w:val="00D60752"/>
    <w:rsid w:val="00D6537E"/>
    <w:rsid w:val="00D70DFB"/>
    <w:rsid w:val="00D766DF"/>
    <w:rsid w:val="00D8206C"/>
    <w:rsid w:val="00D91F10"/>
    <w:rsid w:val="00D934F3"/>
    <w:rsid w:val="00DA186E"/>
    <w:rsid w:val="00DA4116"/>
    <w:rsid w:val="00DB251C"/>
    <w:rsid w:val="00DB4630"/>
    <w:rsid w:val="00DB7516"/>
    <w:rsid w:val="00DC0D2E"/>
    <w:rsid w:val="00DC4F88"/>
    <w:rsid w:val="00DE107C"/>
    <w:rsid w:val="00DF2388"/>
    <w:rsid w:val="00DF7A4A"/>
    <w:rsid w:val="00E00F09"/>
    <w:rsid w:val="00E01B85"/>
    <w:rsid w:val="00E05704"/>
    <w:rsid w:val="00E11B73"/>
    <w:rsid w:val="00E14C3D"/>
    <w:rsid w:val="00E338EF"/>
    <w:rsid w:val="00E36196"/>
    <w:rsid w:val="00E378C7"/>
    <w:rsid w:val="00E544BB"/>
    <w:rsid w:val="00E54F0A"/>
    <w:rsid w:val="00E623FB"/>
    <w:rsid w:val="00E7267C"/>
    <w:rsid w:val="00E7350D"/>
    <w:rsid w:val="00E74DC7"/>
    <w:rsid w:val="00E8075A"/>
    <w:rsid w:val="00E940D8"/>
    <w:rsid w:val="00E94D5E"/>
    <w:rsid w:val="00E9526A"/>
    <w:rsid w:val="00EA0B7E"/>
    <w:rsid w:val="00EA5A46"/>
    <w:rsid w:val="00EA7100"/>
    <w:rsid w:val="00EA7F9F"/>
    <w:rsid w:val="00EB1274"/>
    <w:rsid w:val="00ED0235"/>
    <w:rsid w:val="00ED13F0"/>
    <w:rsid w:val="00ED2BB6"/>
    <w:rsid w:val="00ED34E1"/>
    <w:rsid w:val="00ED3B8D"/>
    <w:rsid w:val="00EE397E"/>
    <w:rsid w:val="00EE5E36"/>
    <w:rsid w:val="00EF0044"/>
    <w:rsid w:val="00EF2E3A"/>
    <w:rsid w:val="00F02C7C"/>
    <w:rsid w:val="00F072A7"/>
    <w:rsid w:val="00F078DC"/>
    <w:rsid w:val="00F1163A"/>
    <w:rsid w:val="00F117A7"/>
    <w:rsid w:val="00F16D80"/>
    <w:rsid w:val="00F21846"/>
    <w:rsid w:val="00F32BA8"/>
    <w:rsid w:val="00F32EE0"/>
    <w:rsid w:val="00F349F1"/>
    <w:rsid w:val="00F36323"/>
    <w:rsid w:val="00F4350D"/>
    <w:rsid w:val="00F44926"/>
    <w:rsid w:val="00F479C4"/>
    <w:rsid w:val="00F552C2"/>
    <w:rsid w:val="00F567F7"/>
    <w:rsid w:val="00F664E5"/>
    <w:rsid w:val="00F6696E"/>
    <w:rsid w:val="00F7320B"/>
    <w:rsid w:val="00F73BD6"/>
    <w:rsid w:val="00F81980"/>
    <w:rsid w:val="00F83989"/>
    <w:rsid w:val="00F846CA"/>
    <w:rsid w:val="00F85099"/>
    <w:rsid w:val="00F90236"/>
    <w:rsid w:val="00F914C3"/>
    <w:rsid w:val="00F9165B"/>
    <w:rsid w:val="00F92997"/>
    <w:rsid w:val="00F9379C"/>
    <w:rsid w:val="00F9632C"/>
    <w:rsid w:val="00FA1E52"/>
    <w:rsid w:val="00FA6B34"/>
    <w:rsid w:val="00FB5A08"/>
    <w:rsid w:val="00FC15AC"/>
    <w:rsid w:val="00FC6A80"/>
    <w:rsid w:val="00FC7813"/>
    <w:rsid w:val="00FD27E5"/>
    <w:rsid w:val="00FE3AA6"/>
    <w:rsid w:val="00FE4688"/>
    <w:rsid w:val="00FE57F4"/>
    <w:rsid w:val="00FF276F"/>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959A4"/>
  <w15:docId w15:val="{C9BEDF7C-D49F-456E-9DFC-E8751CD5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82C01"/>
    <w:rPr>
      <w:sz w:val="16"/>
      <w:szCs w:val="16"/>
    </w:rPr>
  </w:style>
  <w:style w:type="paragraph" w:styleId="CommentText">
    <w:name w:val="annotation text"/>
    <w:basedOn w:val="Normal"/>
    <w:link w:val="CommentTextChar"/>
    <w:uiPriority w:val="99"/>
    <w:unhideWhenUsed/>
    <w:rsid w:val="00782C01"/>
    <w:pPr>
      <w:spacing w:line="240" w:lineRule="auto"/>
    </w:pPr>
    <w:rPr>
      <w:sz w:val="20"/>
    </w:rPr>
  </w:style>
  <w:style w:type="character" w:customStyle="1" w:styleId="CommentTextChar">
    <w:name w:val="Comment Text Char"/>
    <w:basedOn w:val="DefaultParagraphFont"/>
    <w:link w:val="CommentText"/>
    <w:uiPriority w:val="99"/>
    <w:rsid w:val="00782C01"/>
  </w:style>
  <w:style w:type="paragraph" w:styleId="CommentSubject">
    <w:name w:val="annotation subject"/>
    <w:basedOn w:val="CommentText"/>
    <w:next w:val="CommentText"/>
    <w:link w:val="CommentSubjectChar"/>
    <w:uiPriority w:val="99"/>
    <w:semiHidden/>
    <w:unhideWhenUsed/>
    <w:rsid w:val="00782C01"/>
    <w:rPr>
      <w:b/>
      <w:bCs/>
    </w:rPr>
  </w:style>
  <w:style w:type="character" w:customStyle="1" w:styleId="CommentSubjectChar">
    <w:name w:val="Comment Subject Char"/>
    <w:basedOn w:val="CommentTextChar"/>
    <w:link w:val="CommentSubject"/>
    <w:uiPriority w:val="99"/>
    <w:semiHidden/>
    <w:rsid w:val="00782C01"/>
    <w:rPr>
      <w:b/>
      <w:bCs/>
    </w:rPr>
  </w:style>
  <w:style w:type="character" w:styleId="Hyperlink">
    <w:name w:val="Hyperlink"/>
    <w:basedOn w:val="DefaultParagraphFont"/>
    <w:uiPriority w:val="99"/>
    <w:unhideWhenUsed/>
    <w:rsid w:val="00A876F5"/>
    <w:rPr>
      <w:color w:val="0000FF"/>
      <w:u w:val="single"/>
    </w:rPr>
  </w:style>
  <w:style w:type="paragraph" w:styleId="ListParagraph">
    <w:name w:val="List Paragraph"/>
    <w:basedOn w:val="Normal"/>
    <w:uiPriority w:val="34"/>
    <w:qFormat/>
    <w:rsid w:val="00E14C3D"/>
    <w:pPr>
      <w:ind w:left="720"/>
      <w:contextualSpacing/>
    </w:pPr>
  </w:style>
  <w:style w:type="paragraph" w:styleId="BodyText">
    <w:name w:val="Body Text"/>
    <w:basedOn w:val="Normal"/>
    <w:link w:val="BodyTextChar"/>
    <w:uiPriority w:val="99"/>
    <w:semiHidden/>
    <w:unhideWhenUsed/>
    <w:rsid w:val="00AB67F1"/>
    <w:pPr>
      <w:spacing w:after="120"/>
    </w:pPr>
  </w:style>
  <w:style w:type="character" w:customStyle="1" w:styleId="BodyTextChar">
    <w:name w:val="Body Text Char"/>
    <w:basedOn w:val="DefaultParagraphFont"/>
    <w:link w:val="BodyText"/>
    <w:uiPriority w:val="99"/>
    <w:semiHidden/>
    <w:rsid w:val="00AB67F1"/>
    <w:rPr>
      <w:sz w:val="22"/>
    </w:rPr>
  </w:style>
  <w:style w:type="paragraph" w:styleId="Revision">
    <w:name w:val="Revision"/>
    <w:hidden/>
    <w:uiPriority w:val="99"/>
    <w:semiHidden/>
    <w:rsid w:val="003145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970">
      <w:bodyDiv w:val="1"/>
      <w:marLeft w:val="0"/>
      <w:marRight w:val="0"/>
      <w:marTop w:val="0"/>
      <w:marBottom w:val="0"/>
      <w:divBdr>
        <w:top w:val="none" w:sz="0" w:space="0" w:color="auto"/>
        <w:left w:val="none" w:sz="0" w:space="0" w:color="auto"/>
        <w:bottom w:val="none" w:sz="0" w:space="0" w:color="auto"/>
        <w:right w:val="none" w:sz="0" w:space="0" w:color="auto"/>
      </w:divBdr>
    </w:div>
    <w:div w:id="166218429">
      <w:bodyDiv w:val="1"/>
      <w:marLeft w:val="0"/>
      <w:marRight w:val="0"/>
      <w:marTop w:val="0"/>
      <w:marBottom w:val="0"/>
      <w:divBdr>
        <w:top w:val="none" w:sz="0" w:space="0" w:color="auto"/>
        <w:left w:val="none" w:sz="0" w:space="0" w:color="auto"/>
        <w:bottom w:val="none" w:sz="0" w:space="0" w:color="auto"/>
        <w:right w:val="none" w:sz="0" w:space="0" w:color="auto"/>
      </w:divBdr>
    </w:div>
    <w:div w:id="246765939">
      <w:bodyDiv w:val="1"/>
      <w:marLeft w:val="0"/>
      <w:marRight w:val="0"/>
      <w:marTop w:val="0"/>
      <w:marBottom w:val="0"/>
      <w:divBdr>
        <w:top w:val="none" w:sz="0" w:space="0" w:color="auto"/>
        <w:left w:val="none" w:sz="0" w:space="0" w:color="auto"/>
        <w:bottom w:val="none" w:sz="0" w:space="0" w:color="auto"/>
        <w:right w:val="none" w:sz="0" w:space="0" w:color="auto"/>
      </w:divBdr>
    </w:div>
    <w:div w:id="283267824">
      <w:bodyDiv w:val="1"/>
      <w:marLeft w:val="0"/>
      <w:marRight w:val="0"/>
      <w:marTop w:val="0"/>
      <w:marBottom w:val="0"/>
      <w:divBdr>
        <w:top w:val="none" w:sz="0" w:space="0" w:color="auto"/>
        <w:left w:val="none" w:sz="0" w:space="0" w:color="auto"/>
        <w:bottom w:val="none" w:sz="0" w:space="0" w:color="auto"/>
        <w:right w:val="none" w:sz="0" w:space="0" w:color="auto"/>
      </w:divBdr>
    </w:div>
    <w:div w:id="654457292">
      <w:bodyDiv w:val="1"/>
      <w:marLeft w:val="0"/>
      <w:marRight w:val="0"/>
      <w:marTop w:val="0"/>
      <w:marBottom w:val="0"/>
      <w:divBdr>
        <w:top w:val="none" w:sz="0" w:space="0" w:color="auto"/>
        <w:left w:val="none" w:sz="0" w:space="0" w:color="auto"/>
        <w:bottom w:val="none" w:sz="0" w:space="0" w:color="auto"/>
        <w:right w:val="none" w:sz="0" w:space="0" w:color="auto"/>
      </w:divBdr>
    </w:div>
    <w:div w:id="760416485">
      <w:bodyDiv w:val="1"/>
      <w:marLeft w:val="0"/>
      <w:marRight w:val="0"/>
      <w:marTop w:val="0"/>
      <w:marBottom w:val="0"/>
      <w:divBdr>
        <w:top w:val="none" w:sz="0" w:space="0" w:color="auto"/>
        <w:left w:val="none" w:sz="0" w:space="0" w:color="auto"/>
        <w:bottom w:val="none" w:sz="0" w:space="0" w:color="auto"/>
        <w:right w:val="none" w:sz="0" w:space="0" w:color="auto"/>
      </w:divBdr>
    </w:div>
    <w:div w:id="941569585">
      <w:bodyDiv w:val="1"/>
      <w:marLeft w:val="0"/>
      <w:marRight w:val="0"/>
      <w:marTop w:val="0"/>
      <w:marBottom w:val="0"/>
      <w:divBdr>
        <w:top w:val="none" w:sz="0" w:space="0" w:color="auto"/>
        <w:left w:val="none" w:sz="0" w:space="0" w:color="auto"/>
        <w:bottom w:val="none" w:sz="0" w:space="0" w:color="auto"/>
        <w:right w:val="none" w:sz="0" w:space="0" w:color="auto"/>
      </w:divBdr>
    </w:div>
    <w:div w:id="1105223720">
      <w:bodyDiv w:val="1"/>
      <w:marLeft w:val="0"/>
      <w:marRight w:val="0"/>
      <w:marTop w:val="0"/>
      <w:marBottom w:val="0"/>
      <w:divBdr>
        <w:top w:val="none" w:sz="0" w:space="0" w:color="auto"/>
        <w:left w:val="none" w:sz="0" w:space="0" w:color="auto"/>
        <w:bottom w:val="none" w:sz="0" w:space="0" w:color="auto"/>
        <w:right w:val="none" w:sz="0" w:space="0" w:color="auto"/>
      </w:divBdr>
    </w:div>
    <w:div w:id="1166095570">
      <w:bodyDiv w:val="1"/>
      <w:marLeft w:val="0"/>
      <w:marRight w:val="0"/>
      <w:marTop w:val="0"/>
      <w:marBottom w:val="0"/>
      <w:divBdr>
        <w:top w:val="none" w:sz="0" w:space="0" w:color="auto"/>
        <w:left w:val="none" w:sz="0" w:space="0" w:color="auto"/>
        <w:bottom w:val="none" w:sz="0" w:space="0" w:color="auto"/>
        <w:right w:val="none" w:sz="0" w:space="0" w:color="auto"/>
      </w:divBdr>
    </w:div>
    <w:div w:id="1170563786">
      <w:bodyDiv w:val="1"/>
      <w:marLeft w:val="0"/>
      <w:marRight w:val="0"/>
      <w:marTop w:val="0"/>
      <w:marBottom w:val="0"/>
      <w:divBdr>
        <w:top w:val="none" w:sz="0" w:space="0" w:color="auto"/>
        <w:left w:val="none" w:sz="0" w:space="0" w:color="auto"/>
        <w:bottom w:val="none" w:sz="0" w:space="0" w:color="auto"/>
        <w:right w:val="none" w:sz="0" w:space="0" w:color="auto"/>
      </w:divBdr>
    </w:div>
    <w:div w:id="1212350535">
      <w:bodyDiv w:val="1"/>
      <w:marLeft w:val="0"/>
      <w:marRight w:val="0"/>
      <w:marTop w:val="0"/>
      <w:marBottom w:val="0"/>
      <w:divBdr>
        <w:top w:val="none" w:sz="0" w:space="0" w:color="auto"/>
        <w:left w:val="none" w:sz="0" w:space="0" w:color="auto"/>
        <w:bottom w:val="none" w:sz="0" w:space="0" w:color="auto"/>
        <w:right w:val="none" w:sz="0" w:space="0" w:color="auto"/>
      </w:divBdr>
    </w:div>
    <w:div w:id="1239365510">
      <w:bodyDiv w:val="1"/>
      <w:marLeft w:val="0"/>
      <w:marRight w:val="0"/>
      <w:marTop w:val="0"/>
      <w:marBottom w:val="0"/>
      <w:divBdr>
        <w:top w:val="none" w:sz="0" w:space="0" w:color="auto"/>
        <w:left w:val="none" w:sz="0" w:space="0" w:color="auto"/>
        <w:bottom w:val="none" w:sz="0" w:space="0" w:color="auto"/>
        <w:right w:val="none" w:sz="0" w:space="0" w:color="auto"/>
      </w:divBdr>
    </w:div>
    <w:div w:id="1291932869">
      <w:bodyDiv w:val="1"/>
      <w:marLeft w:val="0"/>
      <w:marRight w:val="0"/>
      <w:marTop w:val="0"/>
      <w:marBottom w:val="0"/>
      <w:divBdr>
        <w:top w:val="none" w:sz="0" w:space="0" w:color="auto"/>
        <w:left w:val="none" w:sz="0" w:space="0" w:color="auto"/>
        <w:bottom w:val="none" w:sz="0" w:space="0" w:color="auto"/>
        <w:right w:val="none" w:sz="0" w:space="0" w:color="auto"/>
      </w:divBdr>
    </w:div>
    <w:div w:id="1466703948">
      <w:bodyDiv w:val="1"/>
      <w:marLeft w:val="0"/>
      <w:marRight w:val="0"/>
      <w:marTop w:val="0"/>
      <w:marBottom w:val="0"/>
      <w:divBdr>
        <w:top w:val="none" w:sz="0" w:space="0" w:color="auto"/>
        <w:left w:val="none" w:sz="0" w:space="0" w:color="auto"/>
        <w:bottom w:val="none" w:sz="0" w:space="0" w:color="auto"/>
        <w:right w:val="none" w:sz="0" w:space="0" w:color="auto"/>
      </w:divBdr>
    </w:div>
    <w:div w:id="1574242380">
      <w:bodyDiv w:val="1"/>
      <w:marLeft w:val="0"/>
      <w:marRight w:val="0"/>
      <w:marTop w:val="0"/>
      <w:marBottom w:val="0"/>
      <w:divBdr>
        <w:top w:val="none" w:sz="0" w:space="0" w:color="auto"/>
        <w:left w:val="none" w:sz="0" w:space="0" w:color="auto"/>
        <w:bottom w:val="none" w:sz="0" w:space="0" w:color="auto"/>
        <w:right w:val="none" w:sz="0" w:space="0" w:color="auto"/>
      </w:divBdr>
    </w:div>
    <w:div w:id="1583833965">
      <w:bodyDiv w:val="1"/>
      <w:marLeft w:val="0"/>
      <w:marRight w:val="0"/>
      <w:marTop w:val="0"/>
      <w:marBottom w:val="0"/>
      <w:divBdr>
        <w:top w:val="none" w:sz="0" w:space="0" w:color="auto"/>
        <w:left w:val="none" w:sz="0" w:space="0" w:color="auto"/>
        <w:bottom w:val="none" w:sz="0" w:space="0" w:color="auto"/>
        <w:right w:val="none" w:sz="0" w:space="0" w:color="auto"/>
      </w:divBdr>
    </w:div>
    <w:div w:id="1695570822">
      <w:bodyDiv w:val="1"/>
      <w:marLeft w:val="0"/>
      <w:marRight w:val="0"/>
      <w:marTop w:val="0"/>
      <w:marBottom w:val="0"/>
      <w:divBdr>
        <w:top w:val="none" w:sz="0" w:space="0" w:color="auto"/>
        <w:left w:val="none" w:sz="0" w:space="0" w:color="auto"/>
        <w:bottom w:val="none" w:sz="0" w:space="0" w:color="auto"/>
        <w:right w:val="none" w:sz="0" w:space="0" w:color="auto"/>
      </w:divBdr>
    </w:div>
    <w:div w:id="1717780297">
      <w:bodyDiv w:val="1"/>
      <w:marLeft w:val="0"/>
      <w:marRight w:val="0"/>
      <w:marTop w:val="0"/>
      <w:marBottom w:val="0"/>
      <w:divBdr>
        <w:top w:val="none" w:sz="0" w:space="0" w:color="auto"/>
        <w:left w:val="none" w:sz="0" w:space="0" w:color="auto"/>
        <w:bottom w:val="none" w:sz="0" w:space="0" w:color="auto"/>
        <w:right w:val="none" w:sz="0" w:space="0" w:color="auto"/>
      </w:divBdr>
    </w:div>
    <w:div w:id="1780027140">
      <w:bodyDiv w:val="1"/>
      <w:marLeft w:val="0"/>
      <w:marRight w:val="0"/>
      <w:marTop w:val="0"/>
      <w:marBottom w:val="0"/>
      <w:divBdr>
        <w:top w:val="none" w:sz="0" w:space="0" w:color="auto"/>
        <w:left w:val="none" w:sz="0" w:space="0" w:color="auto"/>
        <w:bottom w:val="none" w:sz="0" w:space="0" w:color="auto"/>
        <w:right w:val="none" w:sz="0" w:space="0" w:color="auto"/>
      </w:divBdr>
    </w:div>
    <w:div w:id="1833832034">
      <w:bodyDiv w:val="1"/>
      <w:marLeft w:val="0"/>
      <w:marRight w:val="0"/>
      <w:marTop w:val="0"/>
      <w:marBottom w:val="0"/>
      <w:divBdr>
        <w:top w:val="none" w:sz="0" w:space="0" w:color="auto"/>
        <w:left w:val="none" w:sz="0" w:space="0" w:color="auto"/>
        <w:bottom w:val="none" w:sz="0" w:space="0" w:color="auto"/>
        <w:right w:val="none" w:sz="0" w:space="0" w:color="auto"/>
      </w:divBdr>
    </w:div>
    <w:div w:id="1922176970">
      <w:bodyDiv w:val="1"/>
      <w:marLeft w:val="0"/>
      <w:marRight w:val="0"/>
      <w:marTop w:val="0"/>
      <w:marBottom w:val="0"/>
      <w:divBdr>
        <w:top w:val="none" w:sz="0" w:space="0" w:color="auto"/>
        <w:left w:val="none" w:sz="0" w:space="0" w:color="auto"/>
        <w:bottom w:val="none" w:sz="0" w:space="0" w:color="auto"/>
        <w:right w:val="none" w:sz="0" w:space="0" w:color="auto"/>
      </w:divBdr>
    </w:div>
    <w:div w:id="1933582426">
      <w:bodyDiv w:val="1"/>
      <w:marLeft w:val="0"/>
      <w:marRight w:val="0"/>
      <w:marTop w:val="0"/>
      <w:marBottom w:val="0"/>
      <w:divBdr>
        <w:top w:val="none" w:sz="0" w:space="0" w:color="auto"/>
        <w:left w:val="none" w:sz="0" w:space="0" w:color="auto"/>
        <w:bottom w:val="none" w:sz="0" w:space="0" w:color="auto"/>
        <w:right w:val="none" w:sz="0" w:space="0" w:color="auto"/>
      </w:divBdr>
    </w:div>
    <w:div w:id="1958439350">
      <w:bodyDiv w:val="1"/>
      <w:marLeft w:val="0"/>
      <w:marRight w:val="0"/>
      <w:marTop w:val="0"/>
      <w:marBottom w:val="0"/>
      <w:divBdr>
        <w:top w:val="none" w:sz="0" w:space="0" w:color="auto"/>
        <w:left w:val="none" w:sz="0" w:space="0" w:color="auto"/>
        <w:bottom w:val="none" w:sz="0" w:space="0" w:color="auto"/>
        <w:right w:val="none" w:sz="0" w:space="0" w:color="auto"/>
      </w:divBdr>
    </w:div>
    <w:div w:id="19744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35"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ngK\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872BE4C-4EE7-4DBB-BBF1-8154114FC3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2C085C307281A4D90A4CBC1FAA1ABD2" ma:contentTypeVersion="" ma:contentTypeDescription="PDMS Document Site Content Type" ma:contentTypeScope="" ma:versionID="b4e4a06efed7134cc5939a9892348582">
  <xsd:schema xmlns:xsd="http://www.w3.org/2001/XMLSchema" xmlns:xs="http://www.w3.org/2001/XMLSchema" xmlns:p="http://schemas.microsoft.com/office/2006/metadata/properties" xmlns:ns2="6872BE4C-4EE7-4DBB-BBF1-8154114FC313" targetNamespace="http://schemas.microsoft.com/office/2006/metadata/properties" ma:root="true" ma:fieldsID="89931d503c48e97a6206c4943e580050" ns2:_="">
    <xsd:import namespace="6872BE4C-4EE7-4DBB-BBF1-8154114FC3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2BE4C-4EE7-4DBB-BBF1-8154114FC3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1887-5A73-4D5D-86B6-35CA2BBADF40}">
  <ds:schemaRefs>
    <ds:schemaRef ds:uri="6872BE4C-4EE7-4DBB-BBF1-8154114FC3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CB2218D-7B61-4E51-A9CE-063589B6B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2BE4C-4EE7-4DBB-BBF1-8154114FC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92E2A-EE28-4547-9BAB-797D4334D3A8}">
  <ds:schemaRefs>
    <ds:schemaRef ds:uri="http://schemas.microsoft.com/sharepoint/v3/contenttype/forms"/>
  </ds:schemaRefs>
</ds:datastoreItem>
</file>

<file path=customXml/itemProps4.xml><?xml version="1.0" encoding="utf-8"?>
<ds:datastoreItem xmlns:ds="http://schemas.openxmlformats.org/officeDocument/2006/customXml" ds:itemID="{C1D2EDF4-E768-4CC7-938D-3BCCFD3B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12</TotalTime>
  <Pages>17</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Phong, Karen</dc:creator>
  <cp:lastModifiedBy>Gideon SUA</cp:lastModifiedBy>
  <cp:revision>4</cp:revision>
  <dcterms:created xsi:type="dcterms:W3CDTF">2025-09-28T22:35:00Z</dcterms:created>
  <dcterms:modified xsi:type="dcterms:W3CDTF">2025-09-29T03:40:00Z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986e90d,1386b16f,278b9eab,6ec5a760,336f3560,6f12878d,5fcb8e45,729c6cb0,759f1ba4</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Sensitive//Legislative-Secrecy</vt:lpwstr>
  </property>
  <property fmtid="{D5CDD505-2E9C-101B-9397-08002B2CF9AE}" pid="5" name="ClassificationContentMarkingFooterShapeIds">
    <vt:lpwstr>6719c8fe,31497cf9,968e895,428de0ff,241c014a,38a67fda,67312ce9,20de0d24,2c2e84c5</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Sensitive//Legislative-Secrecy</vt:lpwstr>
  </property>
  <property fmtid="{D5CDD505-2E9C-101B-9397-08002B2CF9AE}" pid="8" name="MSIP_Label_6b1bf210-19c1-4a27-9f26-23f7e2e2a38f_Enabled">
    <vt:lpwstr>true</vt:lpwstr>
  </property>
  <property fmtid="{D5CDD505-2E9C-101B-9397-08002B2CF9AE}" pid="9" name="MSIP_Label_6b1bf210-19c1-4a27-9f26-23f7e2e2a38f_SetDate">
    <vt:lpwstr>2025-08-20T02:56:28Z</vt:lpwstr>
  </property>
  <property fmtid="{D5CDD505-2E9C-101B-9397-08002B2CF9AE}" pid="10" name="MSIP_Label_6b1bf210-19c1-4a27-9f26-23f7e2e2a38f_Method">
    <vt:lpwstr>Privileged</vt:lpwstr>
  </property>
  <property fmtid="{D5CDD505-2E9C-101B-9397-08002B2CF9AE}" pid="11" name="MSIP_Label_6b1bf210-19c1-4a27-9f26-23f7e2e2a38f_Name">
    <vt:lpwstr>OS LS</vt:lpwstr>
  </property>
  <property fmtid="{D5CDD505-2E9C-101B-9397-08002B2CF9AE}" pid="12" name="MSIP_Label_6b1bf210-19c1-4a27-9f26-23f7e2e2a38f_SiteId">
    <vt:lpwstr>6872c766-c4c7-42a9-a973-8671fad5e15a</vt:lpwstr>
  </property>
  <property fmtid="{D5CDD505-2E9C-101B-9397-08002B2CF9AE}" pid="13" name="MSIP_Label_6b1bf210-19c1-4a27-9f26-23f7e2e2a38f_ActionId">
    <vt:lpwstr>5cc05ecf-760d-4450-924c-26f08dd87396</vt:lpwstr>
  </property>
  <property fmtid="{D5CDD505-2E9C-101B-9397-08002B2CF9AE}" pid="14" name="MSIP_Label_6b1bf210-19c1-4a27-9f26-23f7e2e2a38f_ContentBits">
    <vt:lpwstr>3</vt:lpwstr>
  </property>
  <property fmtid="{D5CDD505-2E9C-101B-9397-08002B2CF9AE}" pid="15" name="MSIP_Label_6b1bf210-19c1-4a27-9f26-23f7e2e2a38f_Tag">
    <vt:lpwstr>10, 0, 1, 1</vt:lpwstr>
  </property>
  <property fmtid="{D5CDD505-2E9C-101B-9397-08002B2CF9AE}" pid="16" name="ContentTypeId">
    <vt:lpwstr>0x010100266966F133664895A6EE3632470D45F50092C085C307281A4D90A4CBC1FAA1ABD2</vt:lpwstr>
  </property>
</Properties>
</file>