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D277" w14:textId="042EABD8" w:rsidR="002533F0" w:rsidRPr="00972C6A" w:rsidRDefault="002533F0" w:rsidP="00972C6A">
      <w:pPr>
        <w:spacing w:before="0" w:after="120"/>
        <w:ind w:right="91"/>
        <w:jc w:val="center"/>
        <w:rPr>
          <w:rFonts w:ascii="Arial" w:hAnsi="Arial" w:cs="Arial"/>
          <w:b/>
          <w:szCs w:val="24"/>
          <w:u w:val="single"/>
        </w:rPr>
      </w:pPr>
      <w:r w:rsidRPr="00972C6A">
        <w:rPr>
          <w:rFonts w:ascii="Arial" w:hAnsi="Arial" w:cs="Arial"/>
          <w:b/>
          <w:szCs w:val="24"/>
          <w:u w:val="single"/>
        </w:rPr>
        <w:t>EXPLANATORY STATEMENT</w:t>
      </w:r>
      <w:r w:rsidR="00B54C30" w:rsidRPr="00972C6A">
        <w:rPr>
          <w:rFonts w:ascii="Arial" w:hAnsi="Arial" w:cs="Arial"/>
          <w:b/>
          <w:szCs w:val="24"/>
          <w:u w:val="single"/>
        </w:rPr>
        <w:t xml:space="preserve"> </w:t>
      </w:r>
    </w:p>
    <w:p w14:paraId="675DF59F" w14:textId="77777777" w:rsidR="00EC0C59" w:rsidRPr="00972C6A" w:rsidRDefault="00EC0C59" w:rsidP="00972C6A">
      <w:pPr>
        <w:spacing w:before="0"/>
        <w:ind w:right="91"/>
        <w:jc w:val="center"/>
        <w:rPr>
          <w:rFonts w:ascii="Arial" w:hAnsi="Arial" w:cs="Arial"/>
          <w:b/>
          <w:szCs w:val="24"/>
          <w:u w:val="single"/>
        </w:rPr>
      </w:pPr>
    </w:p>
    <w:p w14:paraId="1AA4BF2A" w14:textId="3FE78F38" w:rsidR="002533F0" w:rsidRPr="00972C6A" w:rsidRDefault="002533F0" w:rsidP="00972C6A">
      <w:pPr>
        <w:spacing w:before="0"/>
        <w:ind w:right="91"/>
        <w:jc w:val="center"/>
        <w:rPr>
          <w:rFonts w:ascii="Arial" w:hAnsi="Arial" w:cs="Arial"/>
          <w:szCs w:val="24"/>
        </w:rPr>
      </w:pPr>
      <w:r w:rsidRPr="00972C6A">
        <w:rPr>
          <w:rFonts w:ascii="Arial" w:hAnsi="Arial" w:cs="Arial"/>
          <w:szCs w:val="24"/>
        </w:rPr>
        <w:t>Issued by the authority of the</w:t>
      </w:r>
      <w:r w:rsidR="00AD1645" w:rsidRPr="00972C6A">
        <w:rPr>
          <w:rFonts w:ascii="Arial" w:hAnsi="Arial" w:cs="Arial"/>
          <w:szCs w:val="24"/>
        </w:rPr>
        <w:t xml:space="preserve"> Minister</w:t>
      </w:r>
      <w:r w:rsidR="00C455A2" w:rsidRPr="00972C6A">
        <w:rPr>
          <w:rFonts w:ascii="Arial" w:hAnsi="Arial" w:cs="Arial"/>
          <w:szCs w:val="24"/>
        </w:rPr>
        <w:t xml:space="preserve"> for</w:t>
      </w:r>
      <w:r w:rsidR="00AD1645" w:rsidRPr="00972C6A">
        <w:rPr>
          <w:rFonts w:ascii="Arial" w:hAnsi="Arial" w:cs="Arial"/>
          <w:szCs w:val="24"/>
        </w:rPr>
        <w:t xml:space="preserve"> </w:t>
      </w:r>
      <w:r w:rsidR="00D95B85" w:rsidRPr="00972C6A">
        <w:rPr>
          <w:rFonts w:ascii="Arial" w:hAnsi="Arial" w:cs="Arial"/>
          <w:szCs w:val="24"/>
        </w:rPr>
        <w:t>Social Services</w:t>
      </w:r>
    </w:p>
    <w:p w14:paraId="3D465F09" w14:textId="77777777" w:rsidR="002533F0" w:rsidRPr="00972C6A" w:rsidRDefault="002533F0" w:rsidP="00972C6A">
      <w:pPr>
        <w:spacing w:before="0"/>
        <w:ind w:right="91"/>
        <w:jc w:val="center"/>
        <w:rPr>
          <w:rFonts w:ascii="Arial" w:hAnsi="Arial" w:cs="Arial"/>
          <w:i/>
          <w:szCs w:val="24"/>
        </w:rPr>
      </w:pPr>
    </w:p>
    <w:p w14:paraId="7D9C316A" w14:textId="6CED0F71" w:rsidR="00966756" w:rsidRPr="00972C6A" w:rsidRDefault="00541C99" w:rsidP="00972C6A">
      <w:pPr>
        <w:spacing w:before="0"/>
        <w:ind w:right="91"/>
        <w:jc w:val="center"/>
        <w:rPr>
          <w:rFonts w:ascii="Arial" w:hAnsi="Arial" w:cs="Arial"/>
          <w:b/>
          <w:bCs/>
          <w:i/>
          <w:szCs w:val="24"/>
        </w:rPr>
      </w:pPr>
      <w:r w:rsidRPr="00972C6A">
        <w:rPr>
          <w:rFonts w:ascii="Arial" w:hAnsi="Arial" w:cs="Arial"/>
          <w:b/>
          <w:bCs/>
          <w:i/>
          <w:szCs w:val="24"/>
        </w:rPr>
        <w:t>A New Tax System (Family Assistance) (Administration) Act 1999</w:t>
      </w:r>
    </w:p>
    <w:p w14:paraId="434CFBAA" w14:textId="77777777" w:rsidR="00200F11" w:rsidRPr="00972C6A" w:rsidRDefault="00200F11" w:rsidP="00972C6A">
      <w:pPr>
        <w:spacing w:before="0"/>
        <w:ind w:right="91"/>
        <w:jc w:val="center"/>
        <w:rPr>
          <w:rFonts w:ascii="Arial" w:hAnsi="Arial" w:cs="Arial"/>
          <w:b/>
          <w:bCs/>
          <w:szCs w:val="24"/>
        </w:rPr>
      </w:pPr>
    </w:p>
    <w:p w14:paraId="6C20BCF8" w14:textId="6A7D753B" w:rsidR="002533F0" w:rsidRPr="00972C6A" w:rsidRDefault="00541C99" w:rsidP="00972C6A">
      <w:pPr>
        <w:spacing w:before="0"/>
        <w:ind w:right="91"/>
        <w:jc w:val="center"/>
        <w:rPr>
          <w:rFonts w:ascii="Arial" w:hAnsi="Arial" w:cs="Arial"/>
          <w:b/>
          <w:bCs/>
          <w:i/>
          <w:szCs w:val="24"/>
        </w:rPr>
      </w:pPr>
      <w:bookmarkStart w:id="0" w:name="_Hlk204179791"/>
      <w:r w:rsidRPr="00972C6A">
        <w:rPr>
          <w:rFonts w:ascii="Arial" w:hAnsi="Arial" w:cs="Arial"/>
          <w:b/>
          <w:bCs/>
          <w:i/>
          <w:szCs w:val="24"/>
        </w:rPr>
        <w:t>Family Assistance</w:t>
      </w:r>
      <w:r w:rsidR="00200F11" w:rsidRPr="00972C6A">
        <w:rPr>
          <w:rFonts w:ascii="Arial" w:hAnsi="Arial" w:cs="Arial"/>
          <w:b/>
          <w:bCs/>
          <w:i/>
          <w:szCs w:val="24"/>
        </w:rPr>
        <w:t xml:space="preserve"> (Public Interest Certificate Guidelines) Determination 2025</w:t>
      </w:r>
    </w:p>
    <w:bookmarkEnd w:id="0"/>
    <w:p w14:paraId="3EFE73E6" w14:textId="77777777" w:rsidR="002533F0" w:rsidRPr="00972C6A" w:rsidRDefault="002533F0" w:rsidP="00972C6A">
      <w:pPr>
        <w:spacing w:before="0"/>
        <w:ind w:right="91"/>
        <w:jc w:val="center"/>
        <w:rPr>
          <w:rFonts w:ascii="Arial" w:hAnsi="Arial" w:cs="Arial"/>
          <w:i/>
          <w:szCs w:val="24"/>
        </w:rPr>
      </w:pPr>
    </w:p>
    <w:p w14:paraId="42B1177F" w14:textId="1091282F" w:rsidR="002533F0" w:rsidRPr="00972C6A" w:rsidRDefault="00863B37" w:rsidP="00972C6A">
      <w:pPr>
        <w:spacing w:before="0"/>
        <w:ind w:right="91"/>
        <w:rPr>
          <w:rFonts w:ascii="Arial" w:hAnsi="Arial" w:cs="Arial"/>
          <w:b/>
          <w:szCs w:val="24"/>
        </w:rPr>
      </w:pPr>
      <w:r w:rsidRPr="00972C6A">
        <w:rPr>
          <w:rFonts w:ascii="Arial" w:hAnsi="Arial" w:cs="Arial"/>
          <w:b/>
          <w:szCs w:val="24"/>
        </w:rPr>
        <w:t>Purpose</w:t>
      </w:r>
    </w:p>
    <w:p w14:paraId="434FB744" w14:textId="739AECDF" w:rsidR="00863B37" w:rsidRPr="00972C6A" w:rsidRDefault="00863B37" w:rsidP="00972C6A">
      <w:pPr>
        <w:rPr>
          <w:rFonts w:ascii="Arial" w:hAnsi="Arial" w:cs="Arial"/>
          <w:szCs w:val="24"/>
        </w:rPr>
      </w:pPr>
      <w:r w:rsidRPr="00972C6A">
        <w:rPr>
          <w:rFonts w:ascii="Arial" w:hAnsi="Arial" w:cs="Arial"/>
          <w:szCs w:val="24"/>
        </w:rPr>
        <w:t>Th</w:t>
      </w:r>
      <w:r w:rsidR="00F46F18" w:rsidRPr="00972C6A">
        <w:rPr>
          <w:rFonts w:ascii="Arial" w:hAnsi="Arial" w:cs="Arial"/>
          <w:szCs w:val="24"/>
        </w:rPr>
        <w:t>e</w:t>
      </w:r>
      <w:r w:rsidRPr="00972C6A">
        <w:rPr>
          <w:rFonts w:ascii="Arial" w:hAnsi="Arial" w:cs="Arial"/>
          <w:szCs w:val="24"/>
        </w:rPr>
        <w:t xml:space="preserve"> </w:t>
      </w:r>
      <w:r w:rsidR="00541C99" w:rsidRPr="00972C6A">
        <w:rPr>
          <w:rFonts w:ascii="Arial" w:hAnsi="Arial" w:cs="Arial"/>
          <w:i/>
          <w:szCs w:val="24"/>
        </w:rPr>
        <w:t>Family Assistance</w:t>
      </w:r>
      <w:r w:rsidRPr="00972C6A">
        <w:rPr>
          <w:rFonts w:ascii="Arial" w:hAnsi="Arial" w:cs="Arial"/>
          <w:i/>
          <w:szCs w:val="24"/>
        </w:rPr>
        <w:t xml:space="preserve"> (Public Interest Certificate Guidelines)</w:t>
      </w:r>
      <w:r w:rsidR="00541C99" w:rsidRPr="00972C6A">
        <w:rPr>
          <w:rFonts w:ascii="Arial" w:hAnsi="Arial" w:cs="Arial"/>
          <w:i/>
          <w:szCs w:val="24"/>
        </w:rPr>
        <w:t xml:space="preserve"> </w:t>
      </w:r>
      <w:r w:rsidRPr="00972C6A">
        <w:rPr>
          <w:rFonts w:ascii="Arial" w:hAnsi="Arial" w:cs="Arial"/>
          <w:i/>
          <w:szCs w:val="24"/>
        </w:rPr>
        <w:t>Determination 2025</w:t>
      </w:r>
      <w:r w:rsidRPr="00972C6A">
        <w:rPr>
          <w:rFonts w:ascii="Arial" w:hAnsi="Arial" w:cs="Arial"/>
          <w:szCs w:val="24"/>
        </w:rPr>
        <w:t xml:space="preserve"> (‘Determination’) is made under paragraph </w:t>
      </w:r>
      <w:r w:rsidR="00541C99" w:rsidRPr="00972C6A">
        <w:rPr>
          <w:rFonts w:ascii="Arial" w:hAnsi="Arial" w:cs="Arial"/>
          <w:szCs w:val="24"/>
        </w:rPr>
        <w:t>16</w:t>
      </w:r>
      <w:r w:rsidRPr="00972C6A">
        <w:rPr>
          <w:rFonts w:ascii="Arial" w:hAnsi="Arial" w:cs="Arial"/>
          <w:szCs w:val="24"/>
        </w:rPr>
        <w:t xml:space="preserve">9(a) of the </w:t>
      </w:r>
      <w:r w:rsidR="00541C99" w:rsidRPr="00972C6A">
        <w:rPr>
          <w:rFonts w:ascii="Arial" w:hAnsi="Arial" w:cs="Arial"/>
          <w:i/>
          <w:szCs w:val="24"/>
        </w:rPr>
        <w:t>A New Tax System (Family Assistance)</w:t>
      </w:r>
      <w:r w:rsidRPr="00972C6A">
        <w:rPr>
          <w:rFonts w:ascii="Arial" w:hAnsi="Arial" w:cs="Arial"/>
          <w:i/>
          <w:szCs w:val="24"/>
        </w:rPr>
        <w:t xml:space="preserve"> (Administration) Act 1999 </w:t>
      </w:r>
      <w:r w:rsidRPr="00972C6A">
        <w:rPr>
          <w:rFonts w:ascii="Arial" w:hAnsi="Arial" w:cs="Arial"/>
          <w:iCs/>
          <w:szCs w:val="24"/>
        </w:rPr>
        <w:t>(‘</w:t>
      </w:r>
      <w:r w:rsidR="00541C99" w:rsidRPr="00972C6A">
        <w:rPr>
          <w:rFonts w:ascii="Arial" w:hAnsi="Arial" w:cs="Arial"/>
          <w:iCs/>
          <w:szCs w:val="24"/>
        </w:rPr>
        <w:t>FA</w:t>
      </w:r>
      <w:r w:rsidRPr="00972C6A">
        <w:rPr>
          <w:rFonts w:ascii="Arial" w:hAnsi="Arial" w:cs="Arial"/>
          <w:iCs/>
          <w:szCs w:val="24"/>
        </w:rPr>
        <w:t>A Act’)</w:t>
      </w:r>
      <w:r w:rsidRPr="00972C6A">
        <w:rPr>
          <w:rFonts w:ascii="Arial" w:hAnsi="Arial" w:cs="Arial"/>
          <w:szCs w:val="24"/>
        </w:rPr>
        <w:t xml:space="preserve">. It establishes guidelines that the Secretary of the Department of Social Services (‘DSS’) (or a delegate) must follow when considering whether to disclose information pursuant to </w:t>
      </w:r>
      <w:r w:rsidR="003232FA" w:rsidRPr="00972C6A">
        <w:rPr>
          <w:rFonts w:ascii="Arial" w:hAnsi="Arial" w:cs="Arial"/>
          <w:szCs w:val="24"/>
        </w:rPr>
        <w:t xml:space="preserve">a public interest certificate under </w:t>
      </w:r>
      <w:r w:rsidRPr="00972C6A">
        <w:rPr>
          <w:rFonts w:ascii="Arial" w:hAnsi="Arial" w:cs="Arial"/>
          <w:szCs w:val="24"/>
        </w:rPr>
        <w:t xml:space="preserve">paragraph </w:t>
      </w:r>
      <w:r w:rsidR="00541C99" w:rsidRPr="00972C6A">
        <w:rPr>
          <w:rFonts w:ascii="Arial" w:hAnsi="Arial" w:cs="Arial"/>
          <w:szCs w:val="24"/>
        </w:rPr>
        <w:t>16</w:t>
      </w:r>
      <w:r w:rsidRPr="00972C6A">
        <w:rPr>
          <w:rFonts w:ascii="Arial" w:hAnsi="Arial" w:cs="Arial"/>
          <w:szCs w:val="24"/>
        </w:rPr>
        <w:t xml:space="preserve">8(1)(a) of the </w:t>
      </w:r>
      <w:r w:rsidR="00541C99" w:rsidRPr="00972C6A">
        <w:rPr>
          <w:rFonts w:ascii="Arial" w:hAnsi="Arial" w:cs="Arial"/>
          <w:szCs w:val="24"/>
        </w:rPr>
        <w:t>FA</w:t>
      </w:r>
      <w:r w:rsidRPr="00972C6A">
        <w:rPr>
          <w:rFonts w:ascii="Arial" w:hAnsi="Arial" w:cs="Arial"/>
          <w:szCs w:val="24"/>
        </w:rPr>
        <w:t>A Act.</w:t>
      </w:r>
    </w:p>
    <w:p w14:paraId="4FF55D47" w14:textId="77777777" w:rsidR="00863B37" w:rsidRPr="00972C6A" w:rsidRDefault="00863B37" w:rsidP="00972C6A">
      <w:pPr>
        <w:spacing w:before="0"/>
        <w:ind w:right="91"/>
        <w:rPr>
          <w:rFonts w:ascii="Arial" w:hAnsi="Arial" w:cs="Arial"/>
          <w:bCs/>
          <w:szCs w:val="24"/>
        </w:rPr>
      </w:pPr>
    </w:p>
    <w:p w14:paraId="70162BE9" w14:textId="4FEF18CB" w:rsidR="00863B37" w:rsidRPr="00972C6A" w:rsidRDefault="00863B37" w:rsidP="00972C6A">
      <w:pPr>
        <w:spacing w:before="0"/>
        <w:ind w:right="91"/>
        <w:rPr>
          <w:rFonts w:ascii="Arial" w:hAnsi="Arial" w:cs="Arial"/>
          <w:b/>
          <w:szCs w:val="24"/>
        </w:rPr>
      </w:pPr>
      <w:r w:rsidRPr="00972C6A">
        <w:rPr>
          <w:rFonts w:ascii="Arial" w:hAnsi="Arial" w:cs="Arial"/>
          <w:b/>
          <w:szCs w:val="24"/>
        </w:rPr>
        <w:t>Background</w:t>
      </w:r>
    </w:p>
    <w:p w14:paraId="7AAE1324" w14:textId="1248E5CB" w:rsidR="00167653" w:rsidRPr="00972C6A" w:rsidRDefault="00EB1435" w:rsidP="00972C6A">
      <w:pPr>
        <w:rPr>
          <w:rFonts w:ascii="Arial" w:hAnsi="Arial" w:cs="Arial"/>
          <w:szCs w:val="24"/>
        </w:rPr>
      </w:pPr>
      <w:r w:rsidRPr="00972C6A">
        <w:rPr>
          <w:rFonts w:ascii="Arial" w:hAnsi="Arial" w:cs="Arial"/>
          <w:szCs w:val="24"/>
        </w:rPr>
        <w:t xml:space="preserve">Paragraph </w:t>
      </w:r>
      <w:r w:rsidR="008F6574" w:rsidRPr="00972C6A">
        <w:rPr>
          <w:rFonts w:ascii="Arial" w:hAnsi="Arial" w:cs="Arial"/>
          <w:szCs w:val="24"/>
        </w:rPr>
        <w:t>168(1)(a)</w:t>
      </w:r>
      <w:r w:rsidRPr="00972C6A">
        <w:rPr>
          <w:rFonts w:ascii="Arial" w:hAnsi="Arial" w:cs="Arial"/>
          <w:szCs w:val="24"/>
        </w:rPr>
        <w:t xml:space="preserve"> of the </w:t>
      </w:r>
      <w:r w:rsidR="008F6574" w:rsidRPr="00972C6A">
        <w:rPr>
          <w:rFonts w:ascii="Arial" w:hAnsi="Arial" w:cs="Arial"/>
          <w:szCs w:val="24"/>
        </w:rPr>
        <w:t>FAA Act</w:t>
      </w:r>
      <w:r w:rsidR="009238D7" w:rsidRPr="00972C6A">
        <w:rPr>
          <w:rFonts w:ascii="Arial" w:hAnsi="Arial" w:cs="Arial"/>
          <w:szCs w:val="24"/>
        </w:rPr>
        <w:t xml:space="preserve"> allows the Secretary to disclose information acquired </w:t>
      </w:r>
      <w:r w:rsidR="00291AEE" w:rsidRPr="00972C6A">
        <w:rPr>
          <w:rFonts w:ascii="Arial" w:hAnsi="Arial" w:cs="Arial"/>
          <w:szCs w:val="24"/>
        </w:rPr>
        <w:t xml:space="preserve">by an officer </w:t>
      </w:r>
      <w:r w:rsidR="009238D7" w:rsidRPr="00972C6A">
        <w:rPr>
          <w:rFonts w:ascii="Arial" w:hAnsi="Arial" w:cs="Arial"/>
          <w:szCs w:val="24"/>
        </w:rPr>
        <w:t xml:space="preserve">in the performance of functions or duties </w:t>
      </w:r>
      <w:r w:rsidR="00511DD3" w:rsidRPr="00972C6A">
        <w:rPr>
          <w:rFonts w:ascii="Arial" w:hAnsi="Arial" w:cs="Arial"/>
          <w:szCs w:val="24"/>
        </w:rPr>
        <w:t xml:space="preserve">or exercise of powers under the </w:t>
      </w:r>
      <w:r w:rsidR="001E0BDB" w:rsidRPr="00972C6A">
        <w:rPr>
          <w:rFonts w:ascii="Arial" w:hAnsi="Arial" w:cs="Arial"/>
          <w:szCs w:val="24"/>
        </w:rPr>
        <w:t>family assistance</w:t>
      </w:r>
      <w:r w:rsidR="00511DD3" w:rsidRPr="00972C6A">
        <w:rPr>
          <w:rFonts w:ascii="Arial" w:hAnsi="Arial" w:cs="Arial"/>
          <w:szCs w:val="24"/>
        </w:rPr>
        <w:t xml:space="preserve"> law, where the Secretary certifies that it is necessary in the public interest. </w:t>
      </w:r>
    </w:p>
    <w:p w14:paraId="01056144" w14:textId="4CB57D5B" w:rsidR="00713960" w:rsidRPr="00972C6A" w:rsidRDefault="00AF3D80" w:rsidP="00972C6A">
      <w:pPr>
        <w:rPr>
          <w:rFonts w:ascii="Arial" w:hAnsi="Arial" w:cs="Arial"/>
        </w:rPr>
      </w:pPr>
      <w:r w:rsidRPr="00972C6A">
        <w:rPr>
          <w:rFonts w:ascii="Arial" w:hAnsi="Arial" w:cs="Arial"/>
          <w:szCs w:val="24"/>
        </w:rPr>
        <w:t xml:space="preserve">Paragraph 169(a) of the FAA Act provides that the Minister for Social Services may make guidelines for the exercise of the power for the Secretary to give public interest certificates under paragraph 168(1)(a). </w:t>
      </w:r>
      <w:r w:rsidR="6027A37B" w:rsidRPr="00972C6A">
        <w:rPr>
          <w:rFonts w:ascii="Arial" w:hAnsi="Arial" w:cs="Arial"/>
        </w:rPr>
        <w:t xml:space="preserve">Subsection </w:t>
      </w:r>
      <w:r w:rsidR="356046E9" w:rsidRPr="00972C6A">
        <w:rPr>
          <w:rFonts w:ascii="Arial" w:hAnsi="Arial" w:cs="Arial"/>
        </w:rPr>
        <w:t>16</w:t>
      </w:r>
      <w:r w:rsidR="6027A37B" w:rsidRPr="00972C6A">
        <w:rPr>
          <w:rFonts w:ascii="Arial" w:hAnsi="Arial" w:cs="Arial"/>
        </w:rPr>
        <w:t xml:space="preserve">8(2) of the </w:t>
      </w:r>
      <w:r w:rsidR="356046E9" w:rsidRPr="00972C6A">
        <w:rPr>
          <w:rFonts w:ascii="Arial" w:hAnsi="Arial" w:cs="Arial"/>
        </w:rPr>
        <w:t>FAA Act</w:t>
      </w:r>
      <w:r w:rsidR="6027A37B" w:rsidRPr="00972C6A">
        <w:rPr>
          <w:rFonts w:ascii="Arial" w:hAnsi="Arial" w:cs="Arial"/>
        </w:rPr>
        <w:t xml:space="preserve"> provides that</w:t>
      </w:r>
      <w:r w:rsidR="04FE6237" w:rsidRPr="00972C6A">
        <w:rPr>
          <w:rFonts w:ascii="Arial" w:hAnsi="Arial" w:cs="Arial"/>
        </w:rPr>
        <w:t xml:space="preserve">, in giving certificates for these purposes, the Secretary must act in accordance with guidelines (if any) from time to time in force under section </w:t>
      </w:r>
      <w:r w:rsidR="356046E9" w:rsidRPr="00972C6A">
        <w:rPr>
          <w:rFonts w:ascii="Arial" w:hAnsi="Arial" w:cs="Arial"/>
        </w:rPr>
        <w:t>16</w:t>
      </w:r>
      <w:r w:rsidR="04FE6237" w:rsidRPr="00972C6A">
        <w:rPr>
          <w:rFonts w:ascii="Arial" w:hAnsi="Arial" w:cs="Arial"/>
        </w:rPr>
        <w:t>9.</w:t>
      </w:r>
    </w:p>
    <w:p w14:paraId="7BF1CA08" w14:textId="71E57A1D" w:rsidR="00D65631" w:rsidRPr="00972C6A" w:rsidRDefault="00BD1AFF" w:rsidP="00972C6A">
      <w:pPr>
        <w:rPr>
          <w:rFonts w:ascii="Arial" w:hAnsi="Arial" w:cs="Arial"/>
          <w:szCs w:val="24"/>
        </w:rPr>
      </w:pPr>
      <w:r w:rsidRPr="00972C6A">
        <w:rPr>
          <w:rFonts w:ascii="Arial" w:hAnsi="Arial" w:cs="Arial"/>
          <w:szCs w:val="24"/>
        </w:rPr>
        <w:t xml:space="preserve">Personal information </w:t>
      </w:r>
      <w:r w:rsidR="00D65631" w:rsidRPr="00972C6A">
        <w:rPr>
          <w:rFonts w:ascii="Arial" w:hAnsi="Arial" w:cs="Arial"/>
          <w:szCs w:val="24"/>
        </w:rPr>
        <w:t xml:space="preserve">handled under the </w:t>
      </w:r>
      <w:r w:rsidR="008F6574" w:rsidRPr="00972C6A">
        <w:rPr>
          <w:rFonts w:ascii="Arial" w:hAnsi="Arial" w:cs="Arial"/>
          <w:szCs w:val="24"/>
        </w:rPr>
        <w:t>FAA Act</w:t>
      </w:r>
      <w:r w:rsidR="00D65631" w:rsidRPr="00972C6A">
        <w:rPr>
          <w:rFonts w:ascii="Arial" w:hAnsi="Arial" w:cs="Arial"/>
          <w:szCs w:val="24"/>
        </w:rPr>
        <w:t xml:space="preserve"> is also protected by the </w:t>
      </w:r>
      <w:r w:rsidR="00D65631" w:rsidRPr="00972C6A">
        <w:rPr>
          <w:rFonts w:ascii="Arial" w:hAnsi="Arial" w:cs="Arial"/>
          <w:i/>
          <w:iCs/>
          <w:szCs w:val="24"/>
        </w:rPr>
        <w:t>Privacy Act 1988</w:t>
      </w:r>
      <w:r w:rsidR="00D65631" w:rsidRPr="00972C6A">
        <w:rPr>
          <w:rFonts w:ascii="Arial" w:hAnsi="Arial" w:cs="Arial"/>
          <w:szCs w:val="24"/>
        </w:rPr>
        <w:t>.</w:t>
      </w:r>
    </w:p>
    <w:p w14:paraId="14FD148C" w14:textId="376CB3C0" w:rsidR="00DF706B" w:rsidRPr="00972C6A" w:rsidRDefault="00D65631" w:rsidP="00972C6A">
      <w:pPr>
        <w:rPr>
          <w:rFonts w:ascii="Arial" w:hAnsi="Arial" w:cs="Arial"/>
          <w:szCs w:val="24"/>
        </w:rPr>
      </w:pPr>
      <w:r w:rsidRPr="00972C6A">
        <w:rPr>
          <w:rFonts w:ascii="Arial" w:hAnsi="Arial" w:cs="Arial"/>
          <w:szCs w:val="24"/>
        </w:rPr>
        <w:t xml:space="preserve">This Determination replaces the </w:t>
      </w:r>
      <w:r w:rsidR="008F6574" w:rsidRPr="00972C6A">
        <w:rPr>
          <w:rFonts w:ascii="Arial" w:hAnsi="Arial" w:cs="Arial"/>
          <w:i/>
          <w:iCs/>
          <w:szCs w:val="24"/>
        </w:rPr>
        <w:t>Family Assistance (Public Interest Certificate Guidelines) Determination 2015</w:t>
      </w:r>
      <w:r w:rsidRPr="00972C6A">
        <w:rPr>
          <w:rFonts w:ascii="Arial" w:hAnsi="Arial" w:cs="Arial"/>
          <w:i/>
          <w:iCs/>
          <w:szCs w:val="24"/>
        </w:rPr>
        <w:t xml:space="preserve"> </w:t>
      </w:r>
      <w:r w:rsidRPr="00972C6A">
        <w:rPr>
          <w:rFonts w:ascii="Arial" w:hAnsi="Arial" w:cs="Arial"/>
          <w:szCs w:val="24"/>
        </w:rPr>
        <w:t>(</w:t>
      </w:r>
      <w:r w:rsidR="00047017" w:rsidRPr="00972C6A">
        <w:rPr>
          <w:rFonts w:ascii="Arial" w:hAnsi="Arial" w:cs="Arial"/>
          <w:szCs w:val="24"/>
        </w:rPr>
        <w:t xml:space="preserve">‘2015 Determination’), which </w:t>
      </w:r>
      <w:proofErr w:type="gramStart"/>
      <w:r w:rsidR="00047017" w:rsidRPr="00972C6A">
        <w:rPr>
          <w:rFonts w:ascii="Arial" w:hAnsi="Arial" w:cs="Arial"/>
          <w:szCs w:val="24"/>
        </w:rPr>
        <w:t>will</w:t>
      </w:r>
      <w:proofErr w:type="gramEnd"/>
      <w:r w:rsidR="00047017" w:rsidRPr="00972C6A">
        <w:rPr>
          <w:rFonts w:ascii="Arial" w:hAnsi="Arial" w:cs="Arial"/>
          <w:szCs w:val="24"/>
        </w:rPr>
        <w:t xml:space="preserve"> sunset on 1 October 2025 </w:t>
      </w:r>
      <w:r w:rsidR="008B595A" w:rsidRPr="00972C6A">
        <w:rPr>
          <w:rFonts w:ascii="Arial" w:hAnsi="Arial" w:cs="Arial"/>
          <w:szCs w:val="24"/>
        </w:rPr>
        <w:t xml:space="preserve">pursuant to section 50 of the </w:t>
      </w:r>
      <w:r w:rsidR="008B595A" w:rsidRPr="00972C6A">
        <w:rPr>
          <w:rFonts w:ascii="Arial" w:hAnsi="Arial" w:cs="Arial"/>
          <w:i/>
          <w:iCs/>
          <w:szCs w:val="24"/>
        </w:rPr>
        <w:t xml:space="preserve">Legislation Act 2003. </w:t>
      </w:r>
      <w:r w:rsidR="005C7782" w:rsidRPr="00972C6A">
        <w:rPr>
          <w:rFonts w:ascii="Arial" w:hAnsi="Arial" w:cs="Arial"/>
          <w:szCs w:val="24"/>
        </w:rPr>
        <w:t>The Determination substantively replicates the 2015 Determination</w:t>
      </w:r>
      <w:r w:rsidR="006033D5" w:rsidRPr="00972C6A">
        <w:rPr>
          <w:rFonts w:ascii="Arial" w:hAnsi="Arial" w:cs="Arial"/>
          <w:szCs w:val="24"/>
        </w:rPr>
        <w:t xml:space="preserve">, but includes the following </w:t>
      </w:r>
      <w:r w:rsidR="00E42643" w:rsidRPr="00972C6A">
        <w:rPr>
          <w:rFonts w:ascii="Arial" w:hAnsi="Arial" w:cs="Arial"/>
          <w:szCs w:val="24"/>
        </w:rPr>
        <w:t>adjustments</w:t>
      </w:r>
      <w:r w:rsidR="006033D5" w:rsidRPr="00972C6A">
        <w:rPr>
          <w:rFonts w:ascii="Arial" w:hAnsi="Arial" w:cs="Arial"/>
          <w:szCs w:val="24"/>
        </w:rPr>
        <w:t>:</w:t>
      </w:r>
    </w:p>
    <w:p w14:paraId="704017DD" w14:textId="09ADABD1" w:rsidR="001817E4" w:rsidRPr="00972C6A" w:rsidRDefault="008C6F12" w:rsidP="00972C6A">
      <w:pPr>
        <w:pStyle w:val="ListParagraph"/>
        <w:numPr>
          <w:ilvl w:val="0"/>
          <w:numId w:val="34"/>
        </w:numPr>
        <w:rPr>
          <w:rFonts w:ascii="Arial" w:hAnsi="Arial" w:cs="Arial"/>
          <w:szCs w:val="24"/>
        </w:rPr>
      </w:pPr>
      <w:r w:rsidRPr="00972C6A">
        <w:rPr>
          <w:rFonts w:ascii="Arial" w:hAnsi="Arial" w:cs="Arial"/>
          <w:szCs w:val="24"/>
        </w:rPr>
        <w:t>I</w:t>
      </w:r>
      <w:r w:rsidR="001817E4" w:rsidRPr="00972C6A">
        <w:rPr>
          <w:rFonts w:ascii="Arial" w:hAnsi="Arial" w:cs="Arial"/>
          <w:szCs w:val="24"/>
        </w:rPr>
        <w:t>nclusion of a new safeguard</w:t>
      </w:r>
      <w:r w:rsidR="00291AEE" w:rsidRPr="00972C6A">
        <w:rPr>
          <w:rFonts w:ascii="Arial" w:hAnsi="Arial" w:cs="Arial"/>
          <w:szCs w:val="24"/>
        </w:rPr>
        <w:t>, namely a</w:t>
      </w:r>
      <w:r w:rsidR="001817E4" w:rsidRPr="00972C6A">
        <w:rPr>
          <w:rFonts w:ascii="Arial" w:hAnsi="Arial" w:cs="Arial"/>
          <w:szCs w:val="24"/>
        </w:rPr>
        <w:t xml:space="preserve"> require</w:t>
      </w:r>
      <w:r w:rsidR="00291AEE" w:rsidRPr="00972C6A">
        <w:rPr>
          <w:rFonts w:ascii="Arial" w:hAnsi="Arial" w:cs="Arial"/>
          <w:szCs w:val="24"/>
        </w:rPr>
        <w:t>ment that</w:t>
      </w:r>
      <w:r w:rsidR="001817E4" w:rsidRPr="00972C6A">
        <w:rPr>
          <w:rFonts w:ascii="Arial" w:hAnsi="Arial" w:cs="Arial"/>
          <w:szCs w:val="24"/>
        </w:rPr>
        <w:t xml:space="preserve"> the Secretary consider whether </w:t>
      </w:r>
      <w:r w:rsidR="00291AEE" w:rsidRPr="00972C6A">
        <w:rPr>
          <w:rFonts w:ascii="Arial" w:hAnsi="Arial" w:cs="Arial"/>
          <w:szCs w:val="24"/>
        </w:rPr>
        <w:t>the</w:t>
      </w:r>
      <w:r w:rsidR="001817E4" w:rsidRPr="00972C6A">
        <w:rPr>
          <w:rFonts w:ascii="Arial" w:hAnsi="Arial" w:cs="Arial"/>
          <w:szCs w:val="24"/>
        </w:rPr>
        <w:t xml:space="preserve"> purpose for disclosing information could not be achieved by disclosing that information in a de-identified form</w:t>
      </w:r>
      <w:r w:rsidR="009D587B" w:rsidRPr="00972C6A">
        <w:rPr>
          <w:rFonts w:ascii="Arial" w:hAnsi="Arial" w:cs="Arial"/>
          <w:szCs w:val="24"/>
        </w:rPr>
        <w:t>. Th</w:t>
      </w:r>
      <w:r w:rsidR="00BA52E1" w:rsidRPr="00972C6A">
        <w:rPr>
          <w:rFonts w:ascii="Arial" w:hAnsi="Arial" w:cs="Arial"/>
          <w:szCs w:val="24"/>
        </w:rPr>
        <w:t>ere</w:t>
      </w:r>
      <w:r w:rsidR="009D587B" w:rsidRPr="00972C6A">
        <w:rPr>
          <w:rFonts w:ascii="Arial" w:hAnsi="Arial" w:cs="Arial"/>
          <w:szCs w:val="24"/>
        </w:rPr>
        <w:t xml:space="preserve"> is currently </w:t>
      </w:r>
      <w:r w:rsidR="006547B0" w:rsidRPr="00972C6A">
        <w:rPr>
          <w:rFonts w:ascii="Arial" w:hAnsi="Arial" w:cs="Arial"/>
          <w:szCs w:val="24"/>
        </w:rPr>
        <w:t xml:space="preserve">an </w:t>
      </w:r>
      <w:r w:rsidR="009D587B" w:rsidRPr="00972C6A">
        <w:rPr>
          <w:rFonts w:ascii="Arial" w:hAnsi="Arial" w:cs="Arial"/>
          <w:szCs w:val="24"/>
        </w:rPr>
        <w:t xml:space="preserve">equivalent provision in Part 9 of the </w:t>
      </w:r>
      <w:r w:rsidR="009D587B" w:rsidRPr="00972C6A">
        <w:rPr>
          <w:rFonts w:ascii="Arial" w:hAnsi="Arial" w:cs="Arial"/>
          <w:i/>
          <w:iCs/>
          <w:szCs w:val="24"/>
        </w:rPr>
        <w:t xml:space="preserve">Paid Parental Leave Rules </w:t>
      </w:r>
      <w:proofErr w:type="gramStart"/>
      <w:r w:rsidR="009D587B" w:rsidRPr="00972C6A">
        <w:rPr>
          <w:rFonts w:ascii="Arial" w:hAnsi="Arial" w:cs="Arial"/>
          <w:i/>
          <w:iCs/>
          <w:szCs w:val="24"/>
        </w:rPr>
        <w:t>2021</w:t>
      </w:r>
      <w:r w:rsidR="001817E4" w:rsidRPr="00972C6A">
        <w:rPr>
          <w:rFonts w:ascii="Arial" w:hAnsi="Arial" w:cs="Arial"/>
          <w:szCs w:val="24"/>
        </w:rPr>
        <w:t>;</w:t>
      </w:r>
      <w:proofErr w:type="gramEnd"/>
    </w:p>
    <w:p w14:paraId="0C47EC3D" w14:textId="1A891692" w:rsidR="0005255A" w:rsidRPr="00972C6A" w:rsidRDefault="00191D5D" w:rsidP="00972C6A">
      <w:pPr>
        <w:pStyle w:val="ListParagraph"/>
        <w:numPr>
          <w:ilvl w:val="0"/>
          <w:numId w:val="34"/>
        </w:numPr>
        <w:rPr>
          <w:rFonts w:ascii="Arial" w:hAnsi="Arial" w:cs="Arial"/>
          <w:szCs w:val="24"/>
        </w:rPr>
      </w:pPr>
      <w:r w:rsidRPr="00972C6A">
        <w:rPr>
          <w:rFonts w:ascii="Arial" w:hAnsi="Arial" w:cs="Arial"/>
          <w:szCs w:val="24"/>
        </w:rPr>
        <w:t>Addition of new provision</w:t>
      </w:r>
      <w:r w:rsidR="0005255A" w:rsidRPr="00972C6A">
        <w:rPr>
          <w:rFonts w:ascii="Arial" w:hAnsi="Arial" w:cs="Arial"/>
          <w:szCs w:val="24"/>
        </w:rPr>
        <w:t>s</w:t>
      </w:r>
      <w:r w:rsidRPr="00972C6A">
        <w:rPr>
          <w:rFonts w:ascii="Arial" w:hAnsi="Arial" w:cs="Arial"/>
          <w:szCs w:val="24"/>
        </w:rPr>
        <w:t xml:space="preserve"> that would</w:t>
      </w:r>
      <w:r w:rsidR="0005255A" w:rsidRPr="00972C6A">
        <w:rPr>
          <w:rFonts w:ascii="Arial" w:hAnsi="Arial" w:cs="Arial"/>
          <w:szCs w:val="24"/>
        </w:rPr>
        <w:t xml:space="preserve"> all</w:t>
      </w:r>
      <w:r w:rsidR="00E70851" w:rsidRPr="00972C6A">
        <w:rPr>
          <w:rFonts w:ascii="Arial" w:hAnsi="Arial" w:cs="Arial"/>
          <w:szCs w:val="24"/>
        </w:rPr>
        <w:t>ow</w:t>
      </w:r>
      <w:r w:rsidR="0005255A" w:rsidRPr="00972C6A">
        <w:rPr>
          <w:rFonts w:ascii="Arial" w:hAnsi="Arial" w:cs="Arial"/>
          <w:szCs w:val="24"/>
        </w:rPr>
        <w:t xml:space="preserve"> for the disclosure of information in the public interest where reasonably necessary to:</w:t>
      </w:r>
      <w:r w:rsidRPr="00972C6A">
        <w:rPr>
          <w:rFonts w:ascii="Arial" w:hAnsi="Arial" w:cs="Arial"/>
          <w:szCs w:val="24"/>
        </w:rPr>
        <w:t xml:space="preserve"> </w:t>
      </w:r>
    </w:p>
    <w:p w14:paraId="6CAF5E2B" w14:textId="5CAAE6BA" w:rsidR="00191D5D" w:rsidRPr="00972C6A" w:rsidRDefault="005055E9" w:rsidP="00972C6A">
      <w:pPr>
        <w:pStyle w:val="ListParagraph"/>
        <w:numPr>
          <w:ilvl w:val="1"/>
          <w:numId w:val="34"/>
        </w:numPr>
        <w:rPr>
          <w:rFonts w:ascii="Arial" w:hAnsi="Arial" w:cs="Arial"/>
        </w:rPr>
      </w:pPr>
      <w:r w:rsidRPr="00972C6A">
        <w:rPr>
          <w:rFonts w:ascii="Arial" w:hAnsi="Arial" w:cs="Arial"/>
        </w:rPr>
        <w:t>i</w:t>
      </w:r>
      <w:r w:rsidR="0005255A" w:rsidRPr="00972C6A">
        <w:rPr>
          <w:rFonts w:ascii="Arial" w:hAnsi="Arial" w:cs="Arial"/>
        </w:rPr>
        <w:t>nvestigate</w:t>
      </w:r>
      <w:r w:rsidR="00E70851" w:rsidRPr="00972C6A">
        <w:rPr>
          <w:rFonts w:ascii="Arial" w:hAnsi="Arial" w:cs="Arial"/>
        </w:rPr>
        <w:t>,</w:t>
      </w:r>
      <w:r w:rsidR="0005255A" w:rsidRPr="00972C6A">
        <w:rPr>
          <w:rFonts w:ascii="Arial" w:hAnsi="Arial" w:cs="Arial"/>
        </w:rPr>
        <w:t xml:space="preserve"> or </w:t>
      </w:r>
      <w:proofErr w:type="gramStart"/>
      <w:r w:rsidR="0005255A" w:rsidRPr="00972C6A">
        <w:rPr>
          <w:rFonts w:ascii="Arial" w:hAnsi="Arial" w:cs="Arial"/>
        </w:rPr>
        <w:t>make a decision</w:t>
      </w:r>
      <w:proofErr w:type="gramEnd"/>
      <w:r w:rsidR="0005255A" w:rsidRPr="00972C6A">
        <w:rPr>
          <w:rFonts w:ascii="Arial" w:hAnsi="Arial" w:cs="Arial"/>
        </w:rPr>
        <w:t xml:space="preserve"> </w:t>
      </w:r>
      <w:r w:rsidR="008A2301" w:rsidRPr="00972C6A">
        <w:rPr>
          <w:rFonts w:ascii="Arial" w:hAnsi="Arial" w:cs="Arial"/>
        </w:rPr>
        <w:t>on</w:t>
      </w:r>
      <w:r w:rsidR="00E70851" w:rsidRPr="00972C6A">
        <w:rPr>
          <w:rFonts w:ascii="Arial" w:hAnsi="Arial" w:cs="Arial"/>
        </w:rPr>
        <w:t>,</w:t>
      </w:r>
      <w:r w:rsidR="0005255A" w:rsidRPr="00972C6A">
        <w:rPr>
          <w:rFonts w:ascii="Arial" w:hAnsi="Arial" w:cs="Arial"/>
        </w:rPr>
        <w:t xml:space="preserve"> whether the APS Code of Conduct has been breached; and</w:t>
      </w:r>
    </w:p>
    <w:p w14:paraId="5A2D30DC" w14:textId="1B1504F5" w:rsidR="0005255A" w:rsidRPr="00972C6A" w:rsidRDefault="6527F2FD" w:rsidP="00972C6A">
      <w:pPr>
        <w:pStyle w:val="ListParagraph"/>
        <w:numPr>
          <w:ilvl w:val="1"/>
          <w:numId w:val="34"/>
        </w:numPr>
        <w:rPr>
          <w:rFonts w:ascii="Arial" w:hAnsi="Arial" w:cs="Arial"/>
        </w:rPr>
      </w:pPr>
      <w:r w:rsidRPr="00972C6A">
        <w:rPr>
          <w:rFonts w:ascii="Arial" w:hAnsi="Arial" w:cs="Arial"/>
        </w:rPr>
        <w:t xml:space="preserve">assist a government agency to manage a work health </w:t>
      </w:r>
      <w:r w:rsidR="00CD38F6" w:rsidRPr="00972C6A">
        <w:rPr>
          <w:rFonts w:ascii="Arial" w:hAnsi="Arial" w:cs="Arial"/>
        </w:rPr>
        <w:t>and</w:t>
      </w:r>
      <w:r w:rsidRPr="00972C6A">
        <w:rPr>
          <w:rFonts w:ascii="Arial" w:hAnsi="Arial" w:cs="Arial"/>
        </w:rPr>
        <w:t xml:space="preserve"> safety risk to that </w:t>
      </w:r>
      <w:proofErr w:type="gramStart"/>
      <w:r w:rsidRPr="00972C6A">
        <w:rPr>
          <w:rFonts w:ascii="Arial" w:hAnsi="Arial" w:cs="Arial"/>
        </w:rPr>
        <w:t>agency</w:t>
      </w:r>
      <w:r w:rsidR="792E42E8" w:rsidRPr="00972C6A">
        <w:rPr>
          <w:rFonts w:ascii="Arial" w:hAnsi="Arial" w:cs="Arial"/>
        </w:rPr>
        <w:t>;</w:t>
      </w:r>
      <w:proofErr w:type="gramEnd"/>
    </w:p>
    <w:p w14:paraId="0A716A24" w14:textId="35DCDDC2" w:rsidR="00D46B2A" w:rsidRPr="00972C6A" w:rsidRDefault="00D46B2A" w:rsidP="00972C6A">
      <w:pPr>
        <w:pStyle w:val="ListParagraph"/>
        <w:numPr>
          <w:ilvl w:val="0"/>
          <w:numId w:val="34"/>
        </w:numPr>
        <w:rPr>
          <w:rFonts w:ascii="Arial" w:hAnsi="Arial" w:cs="Arial"/>
        </w:rPr>
      </w:pPr>
      <w:r w:rsidRPr="00972C6A">
        <w:rPr>
          <w:rFonts w:ascii="Arial" w:hAnsi="Arial" w:cs="Arial"/>
        </w:rPr>
        <w:lastRenderedPageBreak/>
        <w:t>Minor changes to promote consistency with equivalent guidelines made</w:t>
      </w:r>
      <w:r w:rsidR="36ADD3C3" w:rsidRPr="00972C6A">
        <w:rPr>
          <w:rFonts w:ascii="Arial" w:hAnsi="Arial" w:cs="Arial"/>
        </w:rPr>
        <w:t xml:space="preserve"> by the Minister for Social Services</w:t>
      </w:r>
      <w:r w:rsidRPr="00972C6A">
        <w:rPr>
          <w:rFonts w:ascii="Arial" w:hAnsi="Arial" w:cs="Arial"/>
        </w:rPr>
        <w:t xml:space="preserve"> for the purposes of the </w:t>
      </w:r>
      <w:r w:rsidRPr="00972C6A">
        <w:rPr>
          <w:rFonts w:ascii="Arial" w:hAnsi="Arial" w:cs="Arial"/>
          <w:i/>
          <w:iCs/>
        </w:rPr>
        <w:t>Paid Parental Leave Act 2010</w:t>
      </w:r>
      <w:r w:rsidRPr="00972C6A">
        <w:rPr>
          <w:rFonts w:ascii="Arial" w:hAnsi="Arial" w:cs="Arial"/>
        </w:rPr>
        <w:t xml:space="preserve">, the </w:t>
      </w:r>
      <w:r w:rsidRPr="00972C6A">
        <w:rPr>
          <w:rFonts w:ascii="Arial" w:hAnsi="Arial" w:cs="Arial"/>
          <w:i/>
          <w:iCs/>
        </w:rPr>
        <w:t xml:space="preserve">Student Assistance Act 1973 </w:t>
      </w:r>
      <w:r w:rsidRPr="00972C6A">
        <w:rPr>
          <w:rFonts w:ascii="Arial" w:hAnsi="Arial" w:cs="Arial"/>
        </w:rPr>
        <w:t xml:space="preserve">and the </w:t>
      </w:r>
      <w:r w:rsidR="0005255A" w:rsidRPr="00972C6A">
        <w:rPr>
          <w:rFonts w:ascii="Arial" w:hAnsi="Arial" w:cs="Arial"/>
          <w:i/>
          <w:iCs/>
        </w:rPr>
        <w:t>Social Security</w:t>
      </w:r>
      <w:r w:rsidRPr="00972C6A">
        <w:rPr>
          <w:rFonts w:ascii="Arial" w:hAnsi="Arial" w:cs="Arial"/>
          <w:i/>
          <w:iCs/>
        </w:rPr>
        <w:t xml:space="preserve"> (Administration) Act </w:t>
      </w:r>
      <w:proofErr w:type="gramStart"/>
      <w:r w:rsidRPr="00972C6A">
        <w:rPr>
          <w:rFonts w:ascii="Arial" w:hAnsi="Arial" w:cs="Arial"/>
          <w:i/>
          <w:iCs/>
        </w:rPr>
        <w:t>1999;</w:t>
      </w:r>
      <w:proofErr w:type="gramEnd"/>
    </w:p>
    <w:p w14:paraId="6C3B638A" w14:textId="7EC1C51E" w:rsidR="00F860A5" w:rsidRPr="00972C6A" w:rsidRDefault="00291AEE" w:rsidP="00972C6A">
      <w:pPr>
        <w:pStyle w:val="ListParagraph"/>
        <w:numPr>
          <w:ilvl w:val="0"/>
          <w:numId w:val="34"/>
        </w:numPr>
        <w:rPr>
          <w:rFonts w:ascii="Arial" w:hAnsi="Arial" w:cs="Arial"/>
          <w:szCs w:val="24"/>
        </w:rPr>
      </w:pPr>
      <w:r w:rsidRPr="00972C6A">
        <w:rPr>
          <w:rFonts w:ascii="Arial" w:hAnsi="Arial" w:cs="Arial"/>
          <w:szCs w:val="24"/>
        </w:rPr>
        <w:t>Not including</w:t>
      </w:r>
      <w:r w:rsidR="008C6F12" w:rsidRPr="00972C6A">
        <w:rPr>
          <w:rFonts w:ascii="Arial" w:hAnsi="Arial" w:cs="Arial"/>
          <w:szCs w:val="24"/>
        </w:rPr>
        <w:t xml:space="preserve"> provisions in the 2015 Determination</w:t>
      </w:r>
      <w:r w:rsidRPr="00972C6A">
        <w:rPr>
          <w:rFonts w:ascii="Arial" w:hAnsi="Arial" w:cs="Arial"/>
          <w:szCs w:val="24"/>
        </w:rPr>
        <w:t xml:space="preserve"> that were spent or redundant</w:t>
      </w:r>
      <w:r w:rsidR="008C6F12" w:rsidRPr="00972C6A">
        <w:rPr>
          <w:rFonts w:ascii="Arial" w:hAnsi="Arial" w:cs="Arial"/>
          <w:szCs w:val="24"/>
        </w:rPr>
        <w:t>;</w:t>
      </w:r>
      <w:r w:rsidR="00D46B2A" w:rsidRPr="00972C6A">
        <w:rPr>
          <w:rFonts w:ascii="Arial" w:hAnsi="Arial" w:cs="Arial"/>
          <w:szCs w:val="24"/>
        </w:rPr>
        <w:t xml:space="preserve"> and</w:t>
      </w:r>
    </w:p>
    <w:p w14:paraId="06C38DAB" w14:textId="7D51512C" w:rsidR="006033D5" w:rsidRPr="00972C6A" w:rsidRDefault="00AF5352" w:rsidP="00972C6A">
      <w:pPr>
        <w:pStyle w:val="ListParagraph"/>
        <w:numPr>
          <w:ilvl w:val="0"/>
          <w:numId w:val="34"/>
        </w:numPr>
        <w:rPr>
          <w:rFonts w:ascii="Arial" w:hAnsi="Arial" w:cs="Arial"/>
          <w:szCs w:val="24"/>
        </w:rPr>
      </w:pPr>
      <w:r w:rsidRPr="00972C6A">
        <w:rPr>
          <w:rFonts w:ascii="Arial" w:hAnsi="Arial" w:cs="Arial"/>
          <w:szCs w:val="24"/>
        </w:rPr>
        <w:t>U</w:t>
      </w:r>
      <w:r w:rsidR="009D2FFA" w:rsidRPr="00972C6A">
        <w:rPr>
          <w:rFonts w:ascii="Arial" w:hAnsi="Arial" w:cs="Arial"/>
          <w:szCs w:val="24"/>
        </w:rPr>
        <w:t xml:space="preserve">pdates to drafting style and structure </w:t>
      </w:r>
      <w:r w:rsidR="00CC5F9D" w:rsidRPr="00972C6A">
        <w:rPr>
          <w:rFonts w:ascii="Arial" w:hAnsi="Arial" w:cs="Arial"/>
          <w:szCs w:val="24"/>
        </w:rPr>
        <w:t>to aid use and interpretation of the Determination</w:t>
      </w:r>
      <w:r w:rsidR="009D470E" w:rsidRPr="00972C6A">
        <w:rPr>
          <w:rFonts w:ascii="Arial" w:hAnsi="Arial" w:cs="Arial"/>
          <w:szCs w:val="24"/>
        </w:rPr>
        <w:t>.</w:t>
      </w:r>
    </w:p>
    <w:p w14:paraId="5EC438C1" w14:textId="3B08A5BB" w:rsidR="008D5E06" w:rsidRPr="00972C6A" w:rsidRDefault="008D5E06" w:rsidP="00972C6A">
      <w:pPr>
        <w:rPr>
          <w:rFonts w:ascii="Arial" w:hAnsi="Arial" w:cs="Arial"/>
        </w:rPr>
      </w:pPr>
      <w:r w:rsidRPr="00972C6A">
        <w:rPr>
          <w:rFonts w:ascii="Arial" w:hAnsi="Arial" w:cs="Arial"/>
        </w:rPr>
        <w:t xml:space="preserve">The </w:t>
      </w:r>
      <w:r w:rsidR="005B1998" w:rsidRPr="00972C6A">
        <w:rPr>
          <w:rFonts w:ascii="Arial" w:hAnsi="Arial" w:cs="Arial"/>
        </w:rPr>
        <w:t>Determination is</w:t>
      </w:r>
      <w:r w:rsidRPr="00972C6A">
        <w:rPr>
          <w:rFonts w:ascii="Arial" w:hAnsi="Arial" w:cs="Arial"/>
        </w:rPr>
        <w:t xml:space="preserve"> a legislative instrument for the purposes of the </w:t>
      </w:r>
      <w:r w:rsidRPr="00972C6A">
        <w:rPr>
          <w:rFonts w:ascii="Arial" w:hAnsi="Arial" w:cs="Arial"/>
          <w:i/>
          <w:iCs/>
        </w:rPr>
        <w:t>Legislati</w:t>
      </w:r>
      <w:r w:rsidR="257646A3" w:rsidRPr="00972C6A">
        <w:rPr>
          <w:rFonts w:ascii="Arial" w:hAnsi="Arial" w:cs="Arial"/>
          <w:i/>
          <w:iCs/>
        </w:rPr>
        <w:t>on</w:t>
      </w:r>
      <w:r w:rsidRPr="00972C6A">
        <w:rPr>
          <w:rFonts w:ascii="Arial" w:hAnsi="Arial" w:cs="Arial"/>
          <w:i/>
          <w:iCs/>
        </w:rPr>
        <w:t xml:space="preserve"> Act 2003</w:t>
      </w:r>
      <w:r w:rsidRPr="00972C6A">
        <w:rPr>
          <w:rFonts w:ascii="Arial" w:hAnsi="Arial" w:cs="Arial"/>
        </w:rPr>
        <w:t>.</w:t>
      </w:r>
    </w:p>
    <w:p w14:paraId="1D116A3A" w14:textId="77777777" w:rsidR="00982478" w:rsidRPr="00972C6A" w:rsidRDefault="00982478" w:rsidP="00972C6A">
      <w:pPr>
        <w:rPr>
          <w:rStyle w:val="BookTitle"/>
          <w:rFonts w:ascii="Arial" w:hAnsi="Arial" w:cs="Arial"/>
          <w:b/>
          <w:i w:val="0"/>
          <w:iCs w:val="0"/>
          <w:smallCaps w:val="0"/>
          <w:spacing w:val="0"/>
          <w:szCs w:val="24"/>
        </w:rPr>
      </w:pPr>
      <w:r w:rsidRPr="00972C6A">
        <w:rPr>
          <w:rStyle w:val="BookTitle"/>
          <w:rFonts w:ascii="Arial" w:hAnsi="Arial" w:cs="Arial"/>
          <w:b/>
          <w:i w:val="0"/>
          <w:iCs w:val="0"/>
          <w:smallCaps w:val="0"/>
          <w:spacing w:val="0"/>
          <w:szCs w:val="24"/>
        </w:rPr>
        <w:t>Commencement</w:t>
      </w:r>
    </w:p>
    <w:p w14:paraId="4024E87F" w14:textId="2473C4E8" w:rsidR="00982478" w:rsidRPr="00972C6A" w:rsidRDefault="00982478" w:rsidP="00972C6A">
      <w:pPr>
        <w:rPr>
          <w:rStyle w:val="BookTitle"/>
          <w:rFonts w:ascii="Arial" w:hAnsi="Arial" w:cs="Arial"/>
          <w:i w:val="0"/>
          <w:iCs w:val="0"/>
          <w:smallCaps w:val="0"/>
          <w:spacing w:val="0"/>
          <w:szCs w:val="24"/>
        </w:rPr>
      </w:pPr>
      <w:r w:rsidRPr="00972C6A">
        <w:rPr>
          <w:rStyle w:val="BookTitle"/>
          <w:rFonts w:ascii="Arial" w:hAnsi="Arial" w:cs="Arial"/>
          <w:i w:val="0"/>
          <w:iCs w:val="0"/>
          <w:smallCaps w:val="0"/>
          <w:spacing w:val="0"/>
          <w:szCs w:val="24"/>
        </w:rPr>
        <w:t xml:space="preserve">The </w:t>
      </w:r>
      <w:r w:rsidR="005B1998" w:rsidRPr="00972C6A">
        <w:rPr>
          <w:rStyle w:val="BookTitle"/>
          <w:rFonts w:ascii="Arial" w:hAnsi="Arial" w:cs="Arial"/>
          <w:i w:val="0"/>
          <w:iCs w:val="0"/>
          <w:smallCaps w:val="0"/>
          <w:spacing w:val="0"/>
          <w:szCs w:val="24"/>
        </w:rPr>
        <w:t>Determination</w:t>
      </w:r>
      <w:r w:rsidRPr="00972C6A">
        <w:rPr>
          <w:rStyle w:val="BookTitle"/>
          <w:rFonts w:ascii="Arial" w:hAnsi="Arial" w:cs="Arial"/>
          <w:i w:val="0"/>
          <w:iCs w:val="0"/>
          <w:smallCaps w:val="0"/>
          <w:spacing w:val="0"/>
          <w:szCs w:val="24"/>
        </w:rPr>
        <w:t xml:space="preserve"> will commence on 1 October 2025.</w:t>
      </w:r>
    </w:p>
    <w:p w14:paraId="62F8172B" w14:textId="77777777" w:rsidR="00982478" w:rsidRPr="00972C6A" w:rsidRDefault="00982478" w:rsidP="00972C6A">
      <w:pPr>
        <w:rPr>
          <w:rStyle w:val="BookTitle"/>
          <w:rFonts w:ascii="Arial" w:hAnsi="Arial" w:cs="Arial"/>
          <w:b/>
          <w:i w:val="0"/>
          <w:iCs w:val="0"/>
          <w:smallCaps w:val="0"/>
          <w:spacing w:val="0"/>
          <w:szCs w:val="24"/>
        </w:rPr>
      </w:pPr>
      <w:r w:rsidRPr="00972C6A">
        <w:rPr>
          <w:rStyle w:val="BookTitle"/>
          <w:rFonts w:ascii="Arial" w:hAnsi="Arial" w:cs="Arial"/>
          <w:b/>
          <w:i w:val="0"/>
          <w:iCs w:val="0"/>
          <w:smallCaps w:val="0"/>
          <w:spacing w:val="0"/>
          <w:szCs w:val="24"/>
        </w:rPr>
        <w:t>Consultation</w:t>
      </w:r>
    </w:p>
    <w:p w14:paraId="629DADF3" w14:textId="54983965" w:rsidR="00982478" w:rsidRPr="00972C6A" w:rsidRDefault="19E761F3" w:rsidP="00972C6A">
      <w:pPr>
        <w:spacing w:before="120"/>
        <w:rPr>
          <w:rFonts w:ascii="Arial" w:hAnsi="Arial" w:cs="Arial"/>
        </w:rPr>
      </w:pPr>
      <w:r w:rsidRPr="00972C6A">
        <w:rPr>
          <w:rFonts w:ascii="Arial" w:hAnsi="Arial" w:cs="Arial"/>
        </w:rPr>
        <w:t>DSS consulted</w:t>
      </w:r>
      <w:r w:rsidR="1C830C47" w:rsidRPr="00972C6A">
        <w:rPr>
          <w:rFonts w:ascii="Arial" w:hAnsi="Arial" w:cs="Arial"/>
        </w:rPr>
        <w:t xml:space="preserve"> with</w:t>
      </w:r>
      <w:r w:rsidRPr="00972C6A">
        <w:rPr>
          <w:rFonts w:ascii="Arial" w:hAnsi="Arial" w:cs="Arial"/>
        </w:rPr>
        <w:t xml:space="preserve"> the Department of </w:t>
      </w:r>
      <w:r w:rsidR="2B0CE0C8" w:rsidRPr="00972C6A">
        <w:rPr>
          <w:rFonts w:ascii="Arial" w:hAnsi="Arial" w:cs="Arial"/>
        </w:rPr>
        <w:t>Education and</w:t>
      </w:r>
      <w:r w:rsidR="72977FE8" w:rsidRPr="00972C6A">
        <w:rPr>
          <w:rFonts w:ascii="Arial" w:hAnsi="Arial" w:cs="Arial"/>
        </w:rPr>
        <w:t xml:space="preserve"> </w:t>
      </w:r>
      <w:r w:rsidRPr="00972C6A">
        <w:rPr>
          <w:rFonts w:ascii="Arial" w:hAnsi="Arial" w:cs="Arial"/>
        </w:rPr>
        <w:t>Services Australia</w:t>
      </w:r>
      <w:r w:rsidR="2B0CE0C8" w:rsidRPr="00972C6A">
        <w:rPr>
          <w:rFonts w:ascii="Arial" w:hAnsi="Arial" w:cs="Arial"/>
        </w:rPr>
        <w:t xml:space="preserve"> </w:t>
      </w:r>
      <w:proofErr w:type="gramStart"/>
      <w:r w:rsidR="1C830C47" w:rsidRPr="00972C6A">
        <w:rPr>
          <w:rFonts w:ascii="Arial" w:hAnsi="Arial" w:cs="Arial"/>
        </w:rPr>
        <w:t>in the course of</w:t>
      </w:r>
      <w:proofErr w:type="gramEnd"/>
      <w:r w:rsidR="1C830C47" w:rsidRPr="00972C6A">
        <w:rPr>
          <w:rFonts w:ascii="Arial" w:hAnsi="Arial" w:cs="Arial"/>
        </w:rPr>
        <w:t xml:space="preserve"> preparing th</w:t>
      </w:r>
      <w:r w:rsidR="00F07920" w:rsidRPr="00972C6A">
        <w:rPr>
          <w:rFonts w:ascii="Arial" w:hAnsi="Arial" w:cs="Arial"/>
        </w:rPr>
        <w:t>e</w:t>
      </w:r>
      <w:r w:rsidR="1C830C47" w:rsidRPr="00972C6A">
        <w:rPr>
          <w:rFonts w:ascii="Arial" w:hAnsi="Arial" w:cs="Arial"/>
        </w:rPr>
        <w:t xml:space="preserve"> Determination</w:t>
      </w:r>
      <w:r w:rsidRPr="00972C6A">
        <w:rPr>
          <w:rFonts w:ascii="Arial" w:hAnsi="Arial" w:cs="Arial"/>
        </w:rPr>
        <w:t>.</w:t>
      </w:r>
      <w:r w:rsidR="72977FE8" w:rsidRPr="00972C6A">
        <w:rPr>
          <w:rFonts w:ascii="Arial" w:hAnsi="Arial" w:cs="Arial"/>
        </w:rPr>
        <w:t xml:space="preserve"> </w:t>
      </w:r>
    </w:p>
    <w:p w14:paraId="6294D135" w14:textId="77777777" w:rsidR="00B251C9" w:rsidRPr="00972C6A" w:rsidRDefault="00B251C9" w:rsidP="00972C6A">
      <w:pPr>
        <w:spacing w:before="0" w:after="200" w:line="276" w:lineRule="auto"/>
        <w:rPr>
          <w:rFonts w:ascii="Arial" w:hAnsi="Arial" w:cs="Arial"/>
          <w:szCs w:val="24"/>
        </w:rPr>
      </w:pPr>
      <w:r w:rsidRPr="00972C6A">
        <w:rPr>
          <w:rFonts w:ascii="Arial" w:hAnsi="Arial" w:cs="Arial"/>
          <w:szCs w:val="24"/>
        </w:rPr>
        <w:br w:type="page"/>
      </w:r>
    </w:p>
    <w:p w14:paraId="6306E343" w14:textId="35E32A44" w:rsidR="00B251C9" w:rsidRPr="00972C6A" w:rsidRDefault="00B251C9" w:rsidP="00972C6A">
      <w:pPr>
        <w:spacing w:before="120"/>
        <w:jc w:val="center"/>
        <w:rPr>
          <w:rFonts w:ascii="Arial" w:hAnsi="Arial" w:cs="Arial"/>
          <w:b/>
          <w:bCs/>
          <w:szCs w:val="24"/>
          <w:u w:val="single"/>
        </w:rPr>
      </w:pPr>
      <w:r w:rsidRPr="00972C6A">
        <w:rPr>
          <w:rFonts w:ascii="Arial" w:hAnsi="Arial" w:cs="Arial"/>
          <w:b/>
          <w:bCs/>
          <w:szCs w:val="24"/>
          <w:u w:val="single"/>
        </w:rPr>
        <w:lastRenderedPageBreak/>
        <w:t>Explanation of the provisions</w:t>
      </w:r>
    </w:p>
    <w:p w14:paraId="53FBD908" w14:textId="020CA882" w:rsidR="00630A28" w:rsidRPr="00972C6A" w:rsidRDefault="001C074C" w:rsidP="00972C6A">
      <w:pPr>
        <w:spacing w:before="120"/>
        <w:jc w:val="center"/>
        <w:rPr>
          <w:rFonts w:ascii="Arial" w:hAnsi="Arial" w:cs="Arial"/>
          <w:b/>
          <w:bCs/>
          <w:i/>
          <w:iCs/>
          <w:szCs w:val="24"/>
        </w:rPr>
      </w:pPr>
      <w:bookmarkStart w:id="1" w:name="_Hlk203054684"/>
      <w:r w:rsidRPr="00972C6A">
        <w:rPr>
          <w:rFonts w:ascii="Arial" w:hAnsi="Arial" w:cs="Arial"/>
          <w:b/>
          <w:bCs/>
          <w:i/>
          <w:iCs/>
          <w:szCs w:val="24"/>
        </w:rPr>
        <w:t>Family Assistance</w:t>
      </w:r>
      <w:r w:rsidR="00630A28" w:rsidRPr="00972C6A">
        <w:rPr>
          <w:rFonts w:ascii="Arial" w:hAnsi="Arial" w:cs="Arial"/>
          <w:b/>
          <w:bCs/>
          <w:i/>
          <w:iCs/>
          <w:szCs w:val="24"/>
        </w:rPr>
        <w:t xml:space="preserve"> (Public Interest Certificate Guidelines) Determination 2025</w:t>
      </w:r>
    </w:p>
    <w:bookmarkEnd w:id="1"/>
    <w:p w14:paraId="4B2D878C" w14:textId="77777777" w:rsidR="00630A28" w:rsidRPr="00972C6A" w:rsidRDefault="00630A28" w:rsidP="00972C6A">
      <w:pPr>
        <w:spacing w:before="120"/>
        <w:jc w:val="center"/>
        <w:rPr>
          <w:rFonts w:ascii="Arial" w:hAnsi="Arial" w:cs="Arial"/>
          <w:b/>
          <w:bCs/>
          <w:i/>
          <w:iCs/>
          <w:szCs w:val="24"/>
        </w:rPr>
      </w:pPr>
    </w:p>
    <w:p w14:paraId="585E1835" w14:textId="7FCFFBC9" w:rsidR="000A2CA2" w:rsidRPr="00972C6A" w:rsidRDefault="000A2CA2" w:rsidP="00972C6A">
      <w:pPr>
        <w:spacing w:before="120" w:after="240"/>
        <w:rPr>
          <w:rFonts w:ascii="Arial" w:hAnsi="Arial" w:cs="Arial"/>
          <w:b/>
          <w:bCs/>
          <w:szCs w:val="24"/>
        </w:rPr>
      </w:pPr>
      <w:r w:rsidRPr="00972C6A">
        <w:rPr>
          <w:rFonts w:ascii="Arial" w:hAnsi="Arial" w:cs="Arial"/>
          <w:b/>
          <w:bCs/>
          <w:szCs w:val="24"/>
        </w:rPr>
        <w:t>PART 1 - PRELIMINARY</w:t>
      </w:r>
    </w:p>
    <w:p w14:paraId="160852D3" w14:textId="6D2B26DA" w:rsidR="002737E5" w:rsidRPr="00972C6A" w:rsidRDefault="003C00B9" w:rsidP="00972C6A">
      <w:pPr>
        <w:spacing w:before="120"/>
        <w:rPr>
          <w:rFonts w:ascii="Arial" w:hAnsi="Arial" w:cs="Arial"/>
          <w:b/>
          <w:bCs/>
          <w:szCs w:val="24"/>
        </w:rPr>
      </w:pPr>
      <w:r w:rsidRPr="00972C6A">
        <w:rPr>
          <w:rFonts w:ascii="Arial" w:hAnsi="Arial" w:cs="Arial"/>
          <w:b/>
          <w:bCs/>
          <w:szCs w:val="24"/>
        </w:rPr>
        <w:t>Section 1 – Name</w:t>
      </w:r>
    </w:p>
    <w:p w14:paraId="32FEA492" w14:textId="7D459BAA" w:rsidR="00044749" w:rsidRPr="00972C6A" w:rsidRDefault="003C00B9" w:rsidP="00972C6A">
      <w:pPr>
        <w:spacing w:before="120"/>
        <w:rPr>
          <w:rFonts w:ascii="Arial" w:hAnsi="Arial" w:cs="Arial"/>
          <w:szCs w:val="24"/>
        </w:rPr>
      </w:pPr>
      <w:r w:rsidRPr="00972C6A">
        <w:rPr>
          <w:rFonts w:ascii="Arial" w:hAnsi="Arial" w:cs="Arial"/>
          <w:szCs w:val="24"/>
        </w:rPr>
        <w:t xml:space="preserve">Section 1 states how the Determination is to be cited, that is, as the </w:t>
      </w:r>
      <w:r w:rsidR="001C074C" w:rsidRPr="00972C6A">
        <w:rPr>
          <w:rFonts w:ascii="Arial" w:hAnsi="Arial" w:cs="Arial"/>
          <w:i/>
          <w:iCs/>
          <w:szCs w:val="24"/>
        </w:rPr>
        <w:t>Family Assistance</w:t>
      </w:r>
      <w:r w:rsidRPr="00972C6A">
        <w:rPr>
          <w:rFonts w:ascii="Arial" w:hAnsi="Arial" w:cs="Arial"/>
          <w:i/>
          <w:iCs/>
          <w:szCs w:val="24"/>
        </w:rPr>
        <w:t xml:space="preserve"> (Public Interest Certificate Guidelines) Determination 2025</w:t>
      </w:r>
      <w:r w:rsidR="002737E5" w:rsidRPr="00972C6A">
        <w:rPr>
          <w:rFonts w:ascii="Arial" w:hAnsi="Arial" w:cs="Arial"/>
          <w:szCs w:val="24"/>
        </w:rPr>
        <w:t>.</w:t>
      </w:r>
    </w:p>
    <w:p w14:paraId="3DA72700" w14:textId="674D9510" w:rsidR="002737E5" w:rsidRPr="00972C6A" w:rsidRDefault="002737E5" w:rsidP="00972C6A">
      <w:pPr>
        <w:spacing w:before="120"/>
        <w:rPr>
          <w:rFonts w:ascii="Arial" w:hAnsi="Arial" w:cs="Arial"/>
          <w:b/>
          <w:bCs/>
          <w:szCs w:val="24"/>
        </w:rPr>
      </w:pPr>
      <w:r w:rsidRPr="00972C6A">
        <w:rPr>
          <w:rFonts w:ascii="Arial" w:hAnsi="Arial" w:cs="Arial"/>
          <w:b/>
          <w:bCs/>
          <w:szCs w:val="24"/>
        </w:rPr>
        <w:t>Section 2 – Commencement</w:t>
      </w:r>
    </w:p>
    <w:p w14:paraId="11B732A5" w14:textId="36E57052" w:rsidR="00377146" w:rsidRPr="00972C6A" w:rsidRDefault="00377146" w:rsidP="00972C6A">
      <w:pPr>
        <w:spacing w:before="120"/>
        <w:rPr>
          <w:rFonts w:ascii="Arial" w:hAnsi="Arial" w:cs="Arial"/>
          <w:szCs w:val="24"/>
        </w:rPr>
      </w:pPr>
      <w:r w:rsidRPr="00972C6A">
        <w:rPr>
          <w:rFonts w:ascii="Arial" w:hAnsi="Arial" w:cs="Arial"/>
          <w:szCs w:val="24"/>
        </w:rPr>
        <w:t xml:space="preserve">Section 2 sets out a table providing for the commencement of the </w:t>
      </w:r>
      <w:r w:rsidR="008D1A65" w:rsidRPr="00972C6A">
        <w:rPr>
          <w:rFonts w:ascii="Arial" w:hAnsi="Arial" w:cs="Arial"/>
          <w:szCs w:val="24"/>
        </w:rPr>
        <w:t>Determination</w:t>
      </w:r>
      <w:r w:rsidRPr="00972C6A">
        <w:rPr>
          <w:rFonts w:ascii="Arial" w:hAnsi="Arial" w:cs="Arial"/>
          <w:szCs w:val="24"/>
        </w:rPr>
        <w:t xml:space="preserve"> on 1 October 2025</w:t>
      </w:r>
      <w:r w:rsidR="008D1A65" w:rsidRPr="00972C6A">
        <w:rPr>
          <w:rFonts w:ascii="Arial" w:hAnsi="Arial" w:cs="Arial"/>
          <w:szCs w:val="24"/>
        </w:rPr>
        <w:t xml:space="preserve">, being the date </w:t>
      </w:r>
      <w:r w:rsidR="00AA4C0B" w:rsidRPr="00972C6A">
        <w:rPr>
          <w:rFonts w:ascii="Arial" w:hAnsi="Arial" w:cs="Arial"/>
          <w:szCs w:val="24"/>
        </w:rPr>
        <w:t xml:space="preserve">that </w:t>
      </w:r>
      <w:r w:rsidR="008D1A65" w:rsidRPr="00972C6A">
        <w:rPr>
          <w:rFonts w:ascii="Arial" w:hAnsi="Arial" w:cs="Arial"/>
          <w:szCs w:val="24"/>
        </w:rPr>
        <w:t>the 2015 Determination will sunset</w:t>
      </w:r>
      <w:r w:rsidRPr="00972C6A">
        <w:rPr>
          <w:rFonts w:ascii="Arial" w:hAnsi="Arial" w:cs="Arial"/>
          <w:szCs w:val="24"/>
        </w:rPr>
        <w:t xml:space="preserve">. </w:t>
      </w:r>
    </w:p>
    <w:p w14:paraId="7F82C986" w14:textId="11949D8F" w:rsidR="008D1A65" w:rsidRPr="00972C6A" w:rsidRDefault="008D1A65" w:rsidP="00972C6A">
      <w:pPr>
        <w:spacing w:before="120"/>
        <w:rPr>
          <w:rFonts w:ascii="Arial" w:hAnsi="Arial" w:cs="Arial"/>
          <w:b/>
          <w:bCs/>
          <w:szCs w:val="24"/>
        </w:rPr>
      </w:pPr>
      <w:r w:rsidRPr="00972C6A">
        <w:rPr>
          <w:rFonts w:ascii="Arial" w:hAnsi="Arial" w:cs="Arial"/>
          <w:b/>
          <w:bCs/>
          <w:szCs w:val="24"/>
        </w:rPr>
        <w:t>Section 3 – Authority</w:t>
      </w:r>
    </w:p>
    <w:p w14:paraId="4D45F905" w14:textId="3D88CDDA" w:rsidR="008D1A65" w:rsidRPr="00972C6A" w:rsidRDefault="00E8162A" w:rsidP="00972C6A">
      <w:pPr>
        <w:spacing w:before="120"/>
        <w:rPr>
          <w:rFonts w:ascii="Arial" w:hAnsi="Arial" w:cs="Arial"/>
          <w:szCs w:val="24"/>
        </w:rPr>
      </w:pPr>
      <w:r w:rsidRPr="00972C6A">
        <w:rPr>
          <w:rFonts w:ascii="Arial" w:hAnsi="Arial" w:cs="Arial"/>
          <w:szCs w:val="24"/>
        </w:rPr>
        <w:t xml:space="preserve">Section 3 provides that the Determination is made under paragraph </w:t>
      </w:r>
      <w:r w:rsidR="001C074C" w:rsidRPr="00972C6A">
        <w:rPr>
          <w:rFonts w:ascii="Arial" w:hAnsi="Arial" w:cs="Arial"/>
          <w:szCs w:val="24"/>
        </w:rPr>
        <w:t>16</w:t>
      </w:r>
      <w:r w:rsidRPr="00972C6A">
        <w:rPr>
          <w:rFonts w:ascii="Arial" w:hAnsi="Arial" w:cs="Arial"/>
          <w:szCs w:val="24"/>
        </w:rPr>
        <w:t xml:space="preserve">9(a) of the </w:t>
      </w:r>
      <w:r w:rsidR="008F6574" w:rsidRPr="00972C6A">
        <w:rPr>
          <w:rFonts w:ascii="Arial" w:hAnsi="Arial" w:cs="Arial"/>
          <w:szCs w:val="24"/>
        </w:rPr>
        <w:t>FAA Act</w:t>
      </w:r>
      <w:r w:rsidR="002B1EEB" w:rsidRPr="00972C6A">
        <w:rPr>
          <w:rFonts w:ascii="Arial" w:hAnsi="Arial" w:cs="Arial"/>
          <w:szCs w:val="24"/>
        </w:rPr>
        <w:t>.</w:t>
      </w:r>
    </w:p>
    <w:p w14:paraId="0FDF825C" w14:textId="24B15A6C" w:rsidR="002B1EEB" w:rsidRPr="00972C6A" w:rsidRDefault="002B1EEB" w:rsidP="00972C6A">
      <w:pPr>
        <w:spacing w:before="120"/>
        <w:rPr>
          <w:rFonts w:ascii="Arial" w:hAnsi="Arial" w:cs="Arial"/>
          <w:b/>
          <w:bCs/>
          <w:szCs w:val="24"/>
        </w:rPr>
      </w:pPr>
      <w:r w:rsidRPr="00972C6A">
        <w:rPr>
          <w:rFonts w:ascii="Arial" w:hAnsi="Arial" w:cs="Arial"/>
          <w:b/>
          <w:bCs/>
          <w:szCs w:val="24"/>
        </w:rPr>
        <w:t>Section 4 – Definitions</w:t>
      </w:r>
    </w:p>
    <w:p w14:paraId="0BCBFE14" w14:textId="7A8896B3" w:rsidR="002B1EEB" w:rsidRPr="00972C6A" w:rsidRDefault="001B598F" w:rsidP="00972C6A">
      <w:pPr>
        <w:spacing w:before="120"/>
        <w:rPr>
          <w:rFonts w:ascii="Arial" w:hAnsi="Arial" w:cs="Arial"/>
          <w:szCs w:val="24"/>
        </w:rPr>
      </w:pPr>
      <w:r w:rsidRPr="00972C6A">
        <w:rPr>
          <w:rFonts w:ascii="Arial" w:hAnsi="Arial" w:cs="Arial"/>
          <w:szCs w:val="24"/>
        </w:rPr>
        <w:t>Section 4 provides a list of definitions used in the Determination.</w:t>
      </w:r>
    </w:p>
    <w:p w14:paraId="48DAD33B" w14:textId="56861DD6" w:rsidR="00D073EC" w:rsidRPr="00972C6A" w:rsidRDefault="00D073EC" w:rsidP="00972C6A">
      <w:pPr>
        <w:spacing w:before="120"/>
        <w:rPr>
          <w:rFonts w:ascii="Arial" w:hAnsi="Arial" w:cs="Arial"/>
          <w:b/>
          <w:bCs/>
          <w:szCs w:val="24"/>
        </w:rPr>
      </w:pPr>
      <w:r w:rsidRPr="00972C6A">
        <w:rPr>
          <w:rFonts w:ascii="Arial" w:hAnsi="Arial" w:cs="Arial"/>
          <w:b/>
          <w:bCs/>
          <w:szCs w:val="24"/>
        </w:rPr>
        <w:t xml:space="preserve">Section 5 </w:t>
      </w:r>
      <w:r w:rsidR="00FA40C8" w:rsidRPr="00972C6A">
        <w:rPr>
          <w:rFonts w:ascii="Arial" w:hAnsi="Arial" w:cs="Arial"/>
          <w:b/>
          <w:bCs/>
          <w:szCs w:val="24"/>
        </w:rPr>
        <w:t>–</w:t>
      </w:r>
      <w:r w:rsidRPr="00972C6A">
        <w:rPr>
          <w:rFonts w:ascii="Arial" w:hAnsi="Arial" w:cs="Arial"/>
          <w:b/>
          <w:bCs/>
          <w:szCs w:val="24"/>
        </w:rPr>
        <w:t xml:space="preserve"> </w:t>
      </w:r>
      <w:r w:rsidR="00FA40C8" w:rsidRPr="00972C6A">
        <w:rPr>
          <w:rFonts w:ascii="Arial" w:hAnsi="Arial" w:cs="Arial"/>
          <w:b/>
          <w:bCs/>
          <w:szCs w:val="24"/>
        </w:rPr>
        <w:t>Savings provision</w:t>
      </w:r>
    </w:p>
    <w:p w14:paraId="2B5DEFD3" w14:textId="64933656" w:rsidR="00FA40C8" w:rsidRPr="00972C6A" w:rsidRDefault="00FA40C8" w:rsidP="00972C6A">
      <w:pPr>
        <w:spacing w:before="120"/>
        <w:rPr>
          <w:rFonts w:ascii="Arial" w:hAnsi="Arial" w:cs="Arial"/>
          <w:szCs w:val="24"/>
        </w:rPr>
      </w:pPr>
      <w:r w:rsidRPr="00972C6A">
        <w:rPr>
          <w:rFonts w:ascii="Arial" w:hAnsi="Arial" w:cs="Arial"/>
          <w:szCs w:val="24"/>
        </w:rPr>
        <w:t>Section 5 provides that the 2015 Determinat</w:t>
      </w:r>
      <w:r w:rsidR="00897C3B" w:rsidRPr="00972C6A">
        <w:rPr>
          <w:rFonts w:ascii="Arial" w:hAnsi="Arial" w:cs="Arial"/>
          <w:szCs w:val="24"/>
        </w:rPr>
        <w:t>ion continues in force in relation to public interest certificates made under and in accordance with that instrument.</w:t>
      </w:r>
    </w:p>
    <w:p w14:paraId="5FA0AC42" w14:textId="5D1C014F" w:rsidR="000A2CA2" w:rsidRPr="00972C6A" w:rsidRDefault="000A2CA2" w:rsidP="00972C6A">
      <w:pPr>
        <w:spacing w:before="120"/>
        <w:rPr>
          <w:rFonts w:ascii="Arial" w:hAnsi="Arial" w:cs="Arial"/>
          <w:b/>
          <w:bCs/>
          <w:szCs w:val="24"/>
        </w:rPr>
      </w:pPr>
      <w:r w:rsidRPr="00972C6A">
        <w:rPr>
          <w:rFonts w:ascii="Arial" w:hAnsi="Arial" w:cs="Arial"/>
          <w:b/>
          <w:bCs/>
          <w:szCs w:val="24"/>
        </w:rPr>
        <w:t xml:space="preserve">Section 6 – </w:t>
      </w:r>
      <w:r w:rsidR="000D62EB" w:rsidRPr="00972C6A">
        <w:rPr>
          <w:rFonts w:ascii="Arial" w:hAnsi="Arial" w:cs="Arial"/>
          <w:b/>
          <w:bCs/>
          <w:szCs w:val="24"/>
        </w:rPr>
        <w:t>Matters to which the Secretary must have regard</w:t>
      </w:r>
    </w:p>
    <w:p w14:paraId="19FB512F" w14:textId="08D2B528" w:rsidR="00F54AB6" w:rsidRPr="00972C6A" w:rsidRDefault="000A2CA2" w:rsidP="00972C6A">
      <w:pPr>
        <w:spacing w:before="120"/>
        <w:rPr>
          <w:rFonts w:ascii="Arial" w:hAnsi="Arial" w:cs="Arial"/>
          <w:szCs w:val="24"/>
        </w:rPr>
      </w:pPr>
      <w:r w:rsidRPr="00972C6A">
        <w:rPr>
          <w:rFonts w:ascii="Arial" w:hAnsi="Arial" w:cs="Arial"/>
          <w:szCs w:val="24"/>
        </w:rPr>
        <w:t xml:space="preserve">This provision </w:t>
      </w:r>
      <w:r w:rsidR="001D248F" w:rsidRPr="00972C6A">
        <w:rPr>
          <w:rFonts w:ascii="Arial" w:hAnsi="Arial" w:cs="Arial"/>
          <w:szCs w:val="24"/>
        </w:rPr>
        <w:t>requires</w:t>
      </w:r>
      <w:r w:rsidRPr="00972C6A">
        <w:rPr>
          <w:rFonts w:ascii="Arial" w:hAnsi="Arial" w:cs="Arial"/>
          <w:szCs w:val="24"/>
        </w:rPr>
        <w:t xml:space="preserve"> the Secretary </w:t>
      </w:r>
      <w:r w:rsidR="001D248F" w:rsidRPr="00972C6A">
        <w:rPr>
          <w:rFonts w:ascii="Arial" w:hAnsi="Arial" w:cs="Arial"/>
          <w:szCs w:val="24"/>
        </w:rPr>
        <w:t xml:space="preserve">to </w:t>
      </w:r>
      <w:r w:rsidRPr="00972C6A">
        <w:rPr>
          <w:rFonts w:ascii="Arial" w:hAnsi="Arial" w:cs="Arial"/>
          <w:szCs w:val="24"/>
        </w:rPr>
        <w:t xml:space="preserve">have regard to certain matters in giving a public interest certificate. The Secretary must have regard to any situation in which a person (to whom the information relates) is, or may be, subject to physical, psychological or emotional abuse. The Secretary must also have regard to whether the person in such a situation may be unable to give notice of </w:t>
      </w:r>
      <w:r w:rsidR="00BA4E17" w:rsidRPr="00972C6A">
        <w:rPr>
          <w:rFonts w:ascii="Arial" w:hAnsi="Arial" w:cs="Arial"/>
          <w:szCs w:val="24"/>
        </w:rPr>
        <w:t>their</w:t>
      </w:r>
      <w:r w:rsidRPr="00972C6A">
        <w:rPr>
          <w:rFonts w:ascii="Arial" w:hAnsi="Arial" w:cs="Arial"/>
          <w:szCs w:val="24"/>
        </w:rPr>
        <w:t xml:space="preserve"> </w:t>
      </w:r>
      <w:r w:rsidR="007D7991" w:rsidRPr="00972C6A">
        <w:rPr>
          <w:rFonts w:ascii="Arial" w:hAnsi="Arial" w:cs="Arial"/>
          <w:szCs w:val="24"/>
        </w:rPr>
        <w:t xml:space="preserve">situation or </w:t>
      </w:r>
      <w:r w:rsidRPr="00972C6A">
        <w:rPr>
          <w:rFonts w:ascii="Arial" w:hAnsi="Arial" w:cs="Arial"/>
          <w:szCs w:val="24"/>
        </w:rPr>
        <w:t xml:space="preserve">circumstances because of </w:t>
      </w:r>
      <w:r w:rsidR="00C65466" w:rsidRPr="00972C6A">
        <w:rPr>
          <w:rFonts w:ascii="Arial" w:hAnsi="Arial" w:cs="Arial"/>
          <w:szCs w:val="24"/>
        </w:rPr>
        <w:t>age</w:t>
      </w:r>
      <w:r w:rsidR="00934725" w:rsidRPr="00972C6A">
        <w:rPr>
          <w:rFonts w:ascii="Arial" w:hAnsi="Arial" w:cs="Arial"/>
          <w:szCs w:val="24"/>
        </w:rPr>
        <w:t xml:space="preserve"> or</w:t>
      </w:r>
      <w:r w:rsidR="00C65466" w:rsidRPr="00972C6A">
        <w:rPr>
          <w:rFonts w:ascii="Arial" w:hAnsi="Arial" w:cs="Arial"/>
          <w:szCs w:val="24"/>
        </w:rPr>
        <w:t xml:space="preserve"> disability</w:t>
      </w:r>
      <w:r w:rsidR="00934725" w:rsidRPr="00972C6A">
        <w:rPr>
          <w:rFonts w:ascii="Arial" w:hAnsi="Arial" w:cs="Arial"/>
          <w:szCs w:val="24"/>
        </w:rPr>
        <w:t>,</w:t>
      </w:r>
      <w:r w:rsidR="00C65466" w:rsidRPr="00972C6A">
        <w:rPr>
          <w:rFonts w:ascii="Arial" w:hAnsi="Arial" w:cs="Arial"/>
          <w:szCs w:val="24"/>
        </w:rPr>
        <w:t xml:space="preserve"> or social, cultural, family or other circumstances. </w:t>
      </w:r>
    </w:p>
    <w:p w14:paraId="38E722DB" w14:textId="4E853300" w:rsidR="00035E9F" w:rsidRPr="00972C6A" w:rsidRDefault="000A2CA2" w:rsidP="00972C6A">
      <w:pPr>
        <w:spacing w:before="120"/>
        <w:rPr>
          <w:rFonts w:ascii="Arial" w:hAnsi="Arial" w:cs="Arial"/>
          <w:szCs w:val="24"/>
        </w:rPr>
      </w:pPr>
      <w:r w:rsidRPr="00972C6A">
        <w:rPr>
          <w:rFonts w:ascii="Arial" w:hAnsi="Arial" w:cs="Arial"/>
          <w:szCs w:val="24"/>
        </w:rPr>
        <w:t>Th</w:t>
      </w:r>
      <w:r w:rsidR="001D248F" w:rsidRPr="00972C6A">
        <w:rPr>
          <w:rFonts w:ascii="Arial" w:hAnsi="Arial" w:cs="Arial"/>
          <w:szCs w:val="24"/>
        </w:rPr>
        <w:t>e provision</w:t>
      </w:r>
      <w:r w:rsidRPr="00972C6A">
        <w:rPr>
          <w:rFonts w:ascii="Arial" w:hAnsi="Arial" w:cs="Arial"/>
          <w:szCs w:val="24"/>
        </w:rPr>
        <w:t xml:space="preserve"> is intended to </w:t>
      </w:r>
      <w:r w:rsidR="00F54AB6" w:rsidRPr="00972C6A">
        <w:rPr>
          <w:rFonts w:ascii="Arial" w:hAnsi="Arial" w:cs="Arial"/>
          <w:szCs w:val="24"/>
        </w:rPr>
        <w:t xml:space="preserve">emphasise the consideration of factors </w:t>
      </w:r>
      <w:r w:rsidR="00434D27" w:rsidRPr="00972C6A">
        <w:rPr>
          <w:rFonts w:ascii="Arial" w:hAnsi="Arial" w:cs="Arial"/>
          <w:szCs w:val="24"/>
        </w:rPr>
        <w:t>that may weigh for or against</w:t>
      </w:r>
      <w:r w:rsidR="00F54AB6" w:rsidRPr="00972C6A">
        <w:rPr>
          <w:rFonts w:ascii="Arial" w:hAnsi="Arial" w:cs="Arial"/>
          <w:szCs w:val="24"/>
        </w:rPr>
        <w:t xml:space="preserve"> the release of protected information where </w:t>
      </w:r>
      <w:r w:rsidR="00372747" w:rsidRPr="00972C6A">
        <w:rPr>
          <w:rFonts w:ascii="Arial" w:hAnsi="Arial" w:cs="Arial"/>
          <w:szCs w:val="24"/>
        </w:rPr>
        <w:t xml:space="preserve">an </w:t>
      </w:r>
      <w:r w:rsidR="00F54AB6" w:rsidRPr="00972C6A">
        <w:rPr>
          <w:rFonts w:ascii="Arial" w:hAnsi="Arial" w:cs="Arial"/>
          <w:szCs w:val="24"/>
        </w:rPr>
        <w:t xml:space="preserve">individual </w:t>
      </w:r>
      <w:r w:rsidR="001D248F" w:rsidRPr="00972C6A">
        <w:rPr>
          <w:rFonts w:ascii="Arial" w:hAnsi="Arial" w:cs="Arial"/>
          <w:szCs w:val="24"/>
        </w:rPr>
        <w:t>to whom the information concerned relates</w:t>
      </w:r>
      <w:r w:rsidR="00372747" w:rsidRPr="00972C6A">
        <w:rPr>
          <w:rFonts w:ascii="Arial" w:hAnsi="Arial" w:cs="Arial"/>
          <w:szCs w:val="24"/>
        </w:rPr>
        <w:t xml:space="preserve"> is</w:t>
      </w:r>
      <w:r w:rsidR="00F54AB6" w:rsidRPr="00972C6A">
        <w:rPr>
          <w:rFonts w:ascii="Arial" w:hAnsi="Arial" w:cs="Arial"/>
          <w:szCs w:val="24"/>
        </w:rPr>
        <w:t xml:space="preserve"> not </w:t>
      </w:r>
      <w:proofErr w:type="gramStart"/>
      <w:r w:rsidR="00F54AB6" w:rsidRPr="00972C6A">
        <w:rPr>
          <w:rFonts w:ascii="Arial" w:hAnsi="Arial" w:cs="Arial"/>
          <w:szCs w:val="24"/>
        </w:rPr>
        <w:t>in a position</w:t>
      </w:r>
      <w:proofErr w:type="gramEnd"/>
      <w:r w:rsidR="00F54AB6" w:rsidRPr="00972C6A">
        <w:rPr>
          <w:rFonts w:ascii="Arial" w:hAnsi="Arial" w:cs="Arial"/>
          <w:szCs w:val="24"/>
        </w:rPr>
        <w:t xml:space="preserve"> to release that information themselves.</w:t>
      </w:r>
      <w:r w:rsidR="005E0272" w:rsidRPr="00972C6A">
        <w:rPr>
          <w:rFonts w:ascii="Arial" w:hAnsi="Arial" w:cs="Arial"/>
          <w:szCs w:val="24"/>
        </w:rPr>
        <w:t xml:space="preserve"> </w:t>
      </w:r>
    </w:p>
    <w:p w14:paraId="4AF014A0" w14:textId="712A15E8" w:rsidR="00492BBD" w:rsidRPr="00972C6A" w:rsidRDefault="00035E9F" w:rsidP="00972C6A">
      <w:pPr>
        <w:spacing w:before="120"/>
        <w:rPr>
          <w:rFonts w:ascii="Arial" w:hAnsi="Arial" w:cs="Arial"/>
          <w:szCs w:val="24"/>
        </w:rPr>
      </w:pPr>
      <w:r w:rsidRPr="00972C6A">
        <w:rPr>
          <w:rFonts w:ascii="Arial" w:hAnsi="Arial" w:cs="Arial"/>
          <w:szCs w:val="24"/>
        </w:rPr>
        <w:t xml:space="preserve">Where a person is identified as having </w:t>
      </w:r>
      <w:r w:rsidR="00634ECF" w:rsidRPr="00972C6A">
        <w:rPr>
          <w:rFonts w:ascii="Arial" w:hAnsi="Arial" w:cs="Arial"/>
          <w:szCs w:val="24"/>
        </w:rPr>
        <w:t>a particular vulnerability</w:t>
      </w:r>
      <w:r w:rsidRPr="00972C6A">
        <w:rPr>
          <w:rFonts w:ascii="Arial" w:hAnsi="Arial" w:cs="Arial"/>
          <w:szCs w:val="24"/>
        </w:rPr>
        <w:t xml:space="preserve">, the </w:t>
      </w:r>
      <w:r w:rsidR="008178A6" w:rsidRPr="00972C6A">
        <w:rPr>
          <w:rFonts w:ascii="Arial" w:hAnsi="Arial" w:cs="Arial"/>
          <w:szCs w:val="24"/>
        </w:rPr>
        <w:t>Secretary</w:t>
      </w:r>
      <w:r w:rsidRPr="00972C6A">
        <w:rPr>
          <w:rFonts w:ascii="Arial" w:hAnsi="Arial" w:cs="Arial"/>
          <w:szCs w:val="24"/>
        </w:rPr>
        <w:t xml:space="preserve"> should adopt a cautious approach in </w:t>
      </w:r>
      <w:r w:rsidR="00F908E0" w:rsidRPr="00972C6A">
        <w:rPr>
          <w:rFonts w:ascii="Arial" w:hAnsi="Arial" w:cs="Arial"/>
          <w:szCs w:val="24"/>
        </w:rPr>
        <w:t xml:space="preserve">considering the giving of </w:t>
      </w:r>
      <w:r w:rsidR="00AE157E" w:rsidRPr="00972C6A">
        <w:rPr>
          <w:rFonts w:ascii="Arial" w:hAnsi="Arial" w:cs="Arial"/>
          <w:szCs w:val="24"/>
        </w:rPr>
        <w:t>a</w:t>
      </w:r>
      <w:r w:rsidRPr="00972C6A">
        <w:rPr>
          <w:rFonts w:ascii="Arial" w:hAnsi="Arial" w:cs="Arial"/>
          <w:szCs w:val="24"/>
        </w:rPr>
        <w:t xml:space="preserve"> public interest certificate.</w:t>
      </w:r>
      <w:r w:rsidR="00EA19C6" w:rsidRPr="00972C6A">
        <w:rPr>
          <w:rFonts w:ascii="Arial" w:hAnsi="Arial" w:cs="Arial"/>
          <w:szCs w:val="24"/>
        </w:rPr>
        <w:t xml:space="preserve"> </w:t>
      </w:r>
      <w:r w:rsidR="00816C3A" w:rsidRPr="00972C6A">
        <w:rPr>
          <w:rFonts w:ascii="Arial" w:hAnsi="Arial" w:cs="Arial"/>
          <w:szCs w:val="24"/>
        </w:rPr>
        <w:t>While a person’s vulnerabilities</w:t>
      </w:r>
      <w:r w:rsidR="004D32A3" w:rsidRPr="00972C6A">
        <w:rPr>
          <w:rFonts w:ascii="Arial" w:hAnsi="Arial" w:cs="Arial"/>
          <w:szCs w:val="24"/>
        </w:rPr>
        <w:t xml:space="preserve"> </w:t>
      </w:r>
      <w:r w:rsidR="004E651D" w:rsidRPr="00972C6A">
        <w:rPr>
          <w:rFonts w:ascii="Arial" w:hAnsi="Arial" w:cs="Arial"/>
          <w:szCs w:val="24"/>
        </w:rPr>
        <w:t>may</w:t>
      </w:r>
      <w:r w:rsidR="0011100D" w:rsidRPr="00972C6A">
        <w:rPr>
          <w:rFonts w:ascii="Arial" w:hAnsi="Arial" w:cs="Arial"/>
          <w:szCs w:val="24"/>
        </w:rPr>
        <w:t xml:space="preserve"> impair their ability to seek </w:t>
      </w:r>
      <w:r w:rsidR="00AE157E" w:rsidRPr="00972C6A">
        <w:rPr>
          <w:rFonts w:ascii="Arial" w:hAnsi="Arial" w:cs="Arial"/>
          <w:szCs w:val="24"/>
        </w:rPr>
        <w:t>assistan</w:t>
      </w:r>
      <w:r w:rsidR="00BE0AE6" w:rsidRPr="00972C6A">
        <w:rPr>
          <w:rFonts w:ascii="Arial" w:hAnsi="Arial" w:cs="Arial"/>
          <w:szCs w:val="24"/>
        </w:rPr>
        <w:t xml:space="preserve">ce to </w:t>
      </w:r>
      <w:r w:rsidR="00CA696B" w:rsidRPr="00972C6A">
        <w:rPr>
          <w:rFonts w:ascii="Arial" w:hAnsi="Arial" w:cs="Arial"/>
          <w:szCs w:val="24"/>
        </w:rPr>
        <w:t>leave an</w:t>
      </w:r>
      <w:r w:rsidR="00BE0AE6" w:rsidRPr="00972C6A">
        <w:rPr>
          <w:rFonts w:ascii="Arial" w:hAnsi="Arial" w:cs="Arial"/>
          <w:szCs w:val="24"/>
        </w:rPr>
        <w:t xml:space="preserve"> abusive situation or otherwise manage their affairs, </w:t>
      </w:r>
      <w:r w:rsidR="001A69FA" w:rsidRPr="00972C6A">
        <w:rPr>
          <w:rFonts w:ascii="Arial" w:hAnsi="Arial" w:cs="Arial"/>
          <w:szCs w:val="24"/>
        </w:rPr>
        <w:t>t</w:t>
      </w:r>
      <w:r w:rsidR="00946E2C" w:rsidRPr="00972C6A">
        <w:rPr>
          <w:rFonts w:ascii="Arial" w:hAnsi="Arial" w:cs="Arial"/>
          <w:szCs w:val="24"/>
        </w:rPr>
        <w:t xml:space="preserve">he </w:t>
      </w:r>
      <w:r w:rsidR="00BE0AE6" w:rsidRPr="00972C6A">
        <w:rPr>
          <w:rFonts w:ascii="Arial" w:hAnsi="Arial" w:cs="Arial"/>
          <w:szCs w:val="24"/>
        </w:rPr>
        <w:t xml:space="preserve">Secretary should </w:t>
      </w:r>
      <w:r w:rsidR="002C24F2" w:rsidRPr="00972C6A">
        <w:rPr>
          <w:rFonts w:ascii="Arial" w:hAnsi="Arial" w:cs="Arial"/>
          <w:szCs w:val="24"/>
        </w:rPr>
        <w:t>consider</w:t>
      </w:r>
      <w:r w:rsidR="00A31DEE" w:rsidRPr="00972C6A">
        <w:rPr>
          <w:rFonts w:ascii="Arial" w:hAnsi="Arial" w:cs="Arial"/>
          <w:szCs w:val="24"/>
        </w:rPr>
        <w:t xml:space="preserve"> </w:t>
      </w:r>
      <w:r w:rsidR="00D25C71" w:rsidRPr="00972C6A">
        <w:rPr>
          <w:rFonts w:ascii="Arial" w:hAnsi="Arial" w:cs="Arial"/>
          <w:szCs w:val="24"/>
        </w:rPr>
        <w:t>whether</w:t>
      </w:r>
      <w:r w:rsidR="002C24F2" w:rsidRPr="00972C6A">
        <w:rPr>
          <w:rFonts w:ascii="Arial" w:hAnsi="Arial" w:cs="Arial"/>
          <w:szCs w:val="24"/>
        </w:rPr>
        <w:t xml:space="preserve"> the purpose for </w:t>
      </w:r>
      <w:r w:rsidR="009D0341" w:rsidRPr="00972C6A">
        <w:rPr>
          <w:rFonts w:ascii="Arial" w:hAnsi="Arial" w:cs="Arial"/>
          <w:szCs w:val="24"/>
        </w:rPr>
        <w:t>disclosing the person’s information</w:t>
      </w:r>
      <w:r w:rsidR="002C24F2" w:rsidRPr="00972C6A">
        <w:rPr>
          <w:rFonts w:ascii="Arial" w:hAnsi="Arial" w:cs="Arial"/>
          <w:szCs w:val="24"/>
        </w:rPr>
        <w:t xml:space="preserve"> outweighs </w:t>
      </w:r>
      <w:r w:rsidR="009D0341" w:rsidRPr="00972C6A">
        <w:rPr>
          <w:rFonts w:ascii="Arial" w:hAnsi="Arial" w:cs="Arial"/>
          <w:szCs w:val="24"/>
        </w:rPr>
        <w:t>the person’s right to privacy</w:t>
      </w:r>
      <w:r w:rsidR="00711DB2" w:rsidRPr="00972C6A">
        <w:rPr>
          <w:rFonts w:ascii="Arial" w:hAnsi="Arial" w:cs="Arial"/>
          <w:szCs w:val="24"/>
        </w:rPr>
        <w:t>. It would be relevant to consider, for example, the person’s capacity to consent to the disclosure of the information and the impact of the disclosure on the person.</w:t>
      </w:r>
      <w:r w:rsidR="00F6498F" w:rsidRPr="00972C6A">
        <w:rPr>
          <w:rFonts w:ascii="Arial" w:hAnsi="Arial" w:cs="Arial"/>
          <w:szCs w:val="24"/>
        </w:rPr>
        <w:t xml:space="preserve"> These considerations may result in the Secretary narrowing the terms of a public interest certificate, such as limiting the recipients </w:t>
      </w:r>
      <w:r w:rsidR="005569AF" w:rsidRPr="00972C6A">
        <w:rPr>
          <w:rFonts w:ascii="Arial" w:hAnsi="Arial" w:cs="Arial"/>
          <w:szCs w:val="24"/>
        </w:rPr>
        <w:t>of the information</w:t>
      </w:r>
      <w:r w:rsidR="00D93F16" w:rsidRPr="00972C6A">
        <w:rPr>
          <w:rFonts w:ascii="Arial" w:hAnsi="Arial" w:cs="Arial"/>
          <w:szCs w:val="24"/>
        </w:rPr>
        <w:t>,</w:t>
      </w:r>
      <w:r w:rsidR="00492BBD" w:rsidRPr="00972C6A">
        <w:rPr>
          <w:rFonts w:ascii="Arial" w:hAnsi="Arial" w:cs="Arial"/>
          <w:szCs w:val="24"/>
        </w:rPr>
        <w:t xml:space="preserve"> </w:t>
      </w:r>
      <w:proofErr w:type="gramStart"/>
      <w:r w:rsidR="00492BBD" w:rsidRPr="00972C6A">
        <w:rPr>
          <w:rFonts w:ascii="Arial" w:hAnsi="Arial" w:cs="Arial"/>
          <w:szCs w:val="24"/>
        </w:rPr>
        <w:t>in order to</w:t>
      </w:r>
      <w:proofErr w:type="gramEnd"/>
      <w:r w:rsidR="00492BBD" w:rsidRPr="00972C6A">
        <w:rPr>
          <w:rFonts w:ascii="Arial" w:hAnsi="Arial" w:cs="Arial"/>
          <w:szCs w:val="24"/>
        </w:rPr>
        <w:t xml:space="preserve"> protect the person’s rights. </w:t>
      </w:r>
      <w:r w:rsidR="00711DB2" w:rsidRPr="00972C6A">
        <w:rPr>
          <w:rFonts w:ascii="Arial" w:hAnsi="Arial" w:cs="Arial"/>
          <w:szCs w:val="24"/>
        </w:rPr>
        <w:t xml:space="preserve"> </w:t>
      </w:r>
    </w:p>
    <w:p w14:paraId="726090C2" w14:textId="0A69C48C" w:rsidR="00F54AB6" w:rsidRPr="00972C6A" w:rsidRDefault="00F54AB6" w:rsidP="00972C6A">
      <w:pPr>
        <w:spacing w:before="120"/>
        <w:rPr>
          <w:rFonts w:ascii="Arial" w:hAnsi="Arial" w:cs="Arial"/>
          <w:szCs w:val="24"/>
        </w:rPr>
      </w:pPr>
      <w:r w:rsidRPr="00972C6A">
        <w:rPr>
          <w:rFonts w:ascii="Arial" w:hAnsi="Arial" w:cs="Arial"/>
          <w:szCs w:val="24"/>
        </w:rPr>
        <w:t xml:space="preserve">This provision </w:t>
      </w:r>
      <w:r w:rsidR="000D62EB" w:rsidRPr="00972C6A">
        <w:rPr>
          <w:rFonts w:ascii="Arial" w:hAnsi="Arial" w:cs="Arial"/>
          <w:szCs w:val="24"/>
        </w:rPr>
        <w:t>applies</w:t>
      </w:r>
      <w:r w:rsidRPr="00972C6A">
        <w:rPr>
          <w:rFonts w:ascii="Arial" w:hAnsi="Arial" w:cs="Arial"/>
          <w:szCs w:val="24"/>
        </w:rPr>
        <w:t xml:space="preserve"> </w:t>
      </w:r>
      <w:r w:rsidR="008E491F" w:rsidRPr="00972C6A">
        <w:rPr>
          <w:rFonts w:ascii="Arial" w:hAnsi="Arial" w:cs="Arial"/>
          <w:szCs w:val="24"/>
        </w:rPr>
        <w:t xml:space="preserve">both </w:t>
      </w:r>
      <w:r w:rsidRPr="00972C6A">
        <w:rPr>
          <w:rFonts w:ascii="Arial" w:hAnsi="Arial" w:cs="Arial"/>
          <w:szCs w:val="24"/>
        </w:rPr>
        <w:t xml:space="preserve">to </w:t>
      </w:r>
      <w:r w:rsidR="00FE1C7C" w:rsidRPr="00972C6A">
        <w:rPr>
          <w:rFonts w:ascii="Arial" w:hAnsi="Arial" w:cs="Arial"/>
          <w:szCs w:val="24"/>
        </w:rPr>
        <w:t xml:space="preserve">public interest certificates issued </w:t>
      </w:r>
      <w:r w:rsidR="000D62EB" w:rsidRPr="00972C6A">
        <w:rPr>
          <w:rFonts w:ascii="Arial" w:hAnsi="Arial" w:cs="Arial"/>
          <w:szCs w:val="24"/>
        </w:rPr>
        <w:t xml:space="preserve">under </w:t>
      </w:r>
      <w:r w:rsidR="00FE1C7C" w:rsidRPr="00972C6A">
        <w:rPr>
          <w:rFonts w:ascii="Arial" w:hAnsi="Arial" w:cs="Arial"/>
          <w:szCs w:val="24"/>
        </w:rPr>
        <w:t xml:space="preserve">Part 2 </w:t>
      </w:r>
      <w:r w:rsidR="000D62EB" w:rsidRPr="00972C6A">
        <w:rPr>
          <w:rFonts w:ascii="Arial" w:hAnsi="Arial" w:cs="Arial"/>
          <w:szCs w:val="24"/>
        </w:rPr>
        <w:t>and</w:t>
      </w:r>
      <w:r w:rsidR="007778D6" w:rsidRPr="00972C6A">
        <w:rPr>
          <w:rFonts w:ascii="Arial" w:hAnsi="Arial" w:cs="Arial"/>
          <w:szCs w:val="24"/>
        </w:rPr>
        <w:t xml:space="preserve"> those issued under Part</w:t>
      </w:r>
      <w:r w:rsidR="00FE1C7C" w:rsidRPr="00972C6A">
        <w:rPr>
          <w:rFonts w:ascii="Arial" w:hAnsi="Arial" w:cs="Arial"/>
          <w:szCs w:val="24"/>
        </w:rPr>
        <w:t xml:space="preserve"> 3 of the Determination.</w:t>
      </w:r>
    </w:p>
    <w:p w14:paraId="2A227B0F" w14:textId="101FC696" w:rsidR="001344D9" w:rsidRPr="00972C6A" w:rsidRDefault="001344D9" w:rsidP="00972C6A">
      <w:pPr>
        <w:spacing w:after="240"/>
        <w:rPr>
          <w:rFonts w:ascii="Arial" w:hAnsi="Arial" w:cs="Arial"/>
          <w:b/>
          <w:bCs/>
          <w:szCs w:val="24"/>
        </w:rPr>
      </w:pPr>
      <w:r w:rsidRPr="00972C6A">
        <w:rPr>
          <w:rFonts w:ascii="Arial" w:hAnsi="Arial" w:cs="Arial"/>
          <w:b/>
          <w:bCs/>
          <w:szCs w:val="24"/>
        </w:rPr>
        <w:lastRenderedPageBreak/>
        <w:t>PART 2 – GUIDELINES – GENERAL</w:t>
      </w:r>
    </w:p>
    <w:p w14:paraId="16E68407" w14:textId="707FD8AC" w:rsidR="001344D9" w:rsidRPr="00972C6A" w:rsidRDefault="001344D9" w:rsidP="00972C6A">
      <w:pPr>
        <w:spacing w:before="120"/>
        <w:rPr>
          <w:rFonts w:ascii="Arial" w:hAnsi="Arial" w:cs="Arial"/>
          <w:b/>
          <w:bCs/>
          <w:szCs w:val="24"/>
        </w:rPr>
      </w:pPr>
      <w:r w:rsidRPr="00972C6A">
        <w:rPr>
          <w:rFonts w:ascii="Arial" w:hAnsi="Arial" w:cs="Arial"/>
          <w:b/>
          <w:bCs/>
          <w:szCs w:val="24"/>
        </w:rPr>
        <w:t xml:space="preserve">Section 7 </w:t>
      </w:r>
      <w:r w:rsidR="00AA4C0B" w:rsidRPr="00972C6A">
        <w:rPr>
          <w:rFonts w:ascii="Arial" w:hAnsi="Arial" w:cs="Arial"/>
          <w:b/>
          <w:bCs/>
          <w:szCs w:val="24"/>
        </w:rPr>
        <w:t>–</w:t>
      </w:r>
      <w:r w:rsidR="00D80E2C" w:rsidRPr="00972C6A">
        <w:rPr>
          <w:rFonts w:ascii="Arial" w:hAnsi="Arial" w:cs="Arial"/>
          <w:b/>
          <w:bCs/>
          <w:szCs w:val="24"/>
        </w:rPr>
        <w:t xml:space="preserve"> </w:t>
      </w:r>
      <w:r w:rsidRPr="00972C6A">
        <w:rPr>
          <w:rFonts w:ascii="Arial" w:hAnsi="Arial" w:cs="Arial"/>
          <w:b/>
          <w:bCs/>
          <w:szCs w:val="24"/>
        </w:rPr>
        <w:t>When public interest certificate may be given</w:t>
      </w:r>
    </w:p>
    <w:p w14:paraId="343DBBEE" w14:textId="2FC4CD28" w:rsidR="00E44B6E" w:rsidRPr="00972C6A" w:rsidRDefault="00E44B6E" w:rsidP="00972C6A">
      <w:pPr>
        <w:spacing w:before="120"/>
        <w:rPr>
          <w:rFonts w:ascii="Arial" w:hAnsi="Arial" w:cs="Arial"/>
          <w:szCs w:val="24"/>
        </w:rPr>
      </w:pPr>
      <w:r w:rsidRPr="00972C6A">
        <w:rPr>
          <w:rFonts w:ascii="Arial" w:hAnsi="Arial" w:cs="Arial"/>
          <w:szCs w:val="24"/>
        </w:rPr>
        <w:t>Subsection</w:t>
      </w:r>
      <w:r w:rsidRPr="00972C6A">
        <w:rPr>
          <w:rFonts w:ascii="Arial" w:hAnsi="Arial" w:cs="Arial"/>
          <w:bCs/>
          <w:szCs w:val="24"/>
        </w:rPr>
        <w:t xml:space="preserve"> 7(1)</w:t>
      </w:r>
      <w:r w:rsidRPr="00972C6A">
        <w:rPr>
          <w:rFonts w:ascii="Arial" w:hAnsi="Arial" w:cs="Arial"/>
          <w:szCs w:val="24"/>
        </w:rPr>
        <w:t xml:space="preserve"> provides that a public interest certificate may be given by the Secretary if the Secretary is satisfied that:</w:t>
      </w:r>
    </w:p>
    <w:p w14:paraId="14E8D53B" w14:textId="4D8A888C" w:rsidR="00E44B6E" w:rsidRPr="00972C6A" w:rsidRDefault="0023214C" w:rsidP="00972C6A">
      <w:pPr>
        <w:pStyle w:val="ListParagraph"/>
        <w:numPr>
          <w:ilvl w:val="0"/>
          <w:numId w:val="35"/>
        </w:numPr>
        <w:spacing w:before="120"/>
        <w:rPr>
          <w:rFonts w:ascii="Arial" w:hAnsi="Arial" w:cs="Arial"/>
          <w:szCs w:val="24"/>
        </w:rPr>
      </w:pPr>
      <w:r w:rsidRPr="00972C6A">
        <w:rPr>
          <w:rFonts w:ascii="Arial" w:hAnsi="Arial" w:cs="Arial"/>
          <w:szCs w:val="24"/>
        </w:rPr>
        <w:t xml:space="preserve">the </w:t>
      </w:r>
      <w:r w:rsidR="00CA23E0" w:rsidRPr="00972C6A">
        <w:rPr>
          <w:rFonts w:ascii="Arial" w:hAnsi="Arial" w:cs="Arial"/>
          <w:szCs w:val="24"/>
        </w:rPr>
        <w:t>i</w:t>
      </w:r>
      <w:r w:rsidR="00E44B6E" w:rsidRPr="00972C6A">
        <w:rPr>
          <w:rFonts w:ascii="Arial" w:hAnsi="Arial" w:cs="Arial"/>
          <w:szCs w:val="24"/>
        </w:rPr>
        <w:t>nformation</w:t>
      </w:r>
      <w:r w:rsidR="00CA23E0" w:rsidRPr="00972C6A">
        <w:rPr>
          <w:rFonts w:ascii="Arial" w:hAnsi="Arial" w:cs="Arial"/>
          <w:szCs w:val="24"/>
        </w:rPr>
        <w:t xml:space="preserve"> </w:t>
      </w:r>
      <w:r w:rsidR="000D62EB" w:rsidRPr="00972C6A">
        <w:rPr>
          <w:rFonts w:ascii="Arial" w:hAnsi="Arial" w:cs="Arial"/>
          <w:szCs w:val="24"/>
        </w:rPr>
        <w:t>to be disclosed</w:t>
      </w:r>
      <w:r w:rsidR="00E44B6E" w:rsidRPr="00972C6A">
        <w:rPr>
          <w:rFonts w:ascii="Arial" w:hAnsi="Arial" w:cs="Arial"/>
          <w:szCs w:val="24"/>
        </w:rPr>
        <w:t xml:space="preserve"> cannot reasonably be obtained from a source other than the Department or Services Australia; and</w:t>
      </w:r>
    </w:p>
    <w:p w14:paraId="43490396" w14:textId="3CFE55B3" w:rsidR="00E44B6E" w:rsidRPr="00972C6A" w:rsidRDefault="0023214C" w:rsidP="00972C6A">
      <w:pPr>
        <w:numPr>
          <w:ilvl w:val="0"/>
          <w:numId w:val="19"/>
        </w:numPr>
        <w:spacing w:before="0"/>
        <w:ind w:left="714" w:hanging="357"/>
        <w:rPr>
          <w:rFonts w:ascii="Arial" w:hAnsi="Arial" w:cs="Arial"/>
          <w:szCs w:val="24"/>
        </w:rPr>
      </w:pPr>
      <w:r w:rsidRPr="00972C6A">
        <w:rPr>
          <w:rFonts w:ascii="Arial" w:hAnsi="Arial" w:cs="Arial"/>
          <w:szCs w:val="24"/>
        </w:rPr>
        <w:t xml:space="preserve">the </w:t>
      </w:r>
      <w:r w:rsidR="00E44B6E" w:rsidRPr="00972C6A">
        <w:rPr>
          <w:rFonts w:ascii="Arial" w:hAnsi="Arial" w:cs="Arial"/>
          <w:szCs w:val="24"/>
        </w:rPr>
        <w:t xml:space="preserve">disclosure is for the purpose of a section in Part 2 of the </w:t>
      </w:r>
      <w:r w:rsidR="00DD22BE" w:rsidRPr="00972C6A">
        <w:rPr>
          <w:rFonts w:ascii="Arial" w:hAnsi="Arial" w:cs="Arial"/>
          <w:szCs w:val="24"/>
        </w:rPr>
        <w:t>Determination</w:t>
      </w:r>
      <w:r w:rsidR="00E44B6E" w:rsidRPr="00972C6A">
        <w:rPr>
          <w:rFonts w:ascii="Arial" w:hAnsi="Arial" w:cs="Arial"/>
          <w:szCs w:val="24"/>
        </w:rPr>
        <w:t>; and</w:t>
      </w:r>
    </w:p>
    <w:p w14:paraId="631B7273" w14:textId="585BDC0E" w:rsidR="00E44B6E" w:rsidRPr="00972C6A" w:rsidRDefault="0023214C" w:rsidP="00972C6A">
      <w:pPr>
        <w:pStyle w:val="paragraph"/>
        <w:numPr>
          <w:ilvl w:val="0"/>
          <w:numId w:val="19"/>
        </w:numPr>
        <w:spacing w:before="0"/>
        <w:ind w:left="714" w:hanging="357"/>
        <w:rPr>
          <w:rFonts w:ascii="Arial" w:hAnsi="Arial" w:cs="Arial"/>
          <w:sz w:val="24"/>
          <w:szCs w:val="24"/>
        </w:rPr>
      </w:pPr>
      <w:r w:rsidRPr="00972C6A">
        <w:rPr>
          <w:rFonts w:ascii="Arial" w:hAnsi="Arial" w:cs="Arial"/>
          <w:bCs/>
          <w:sz w:val="24"/>
          <w:szCs w:val="24"/>
        </w:rPr>
        <w:t xml:space="preserve">the </w:t>
      </w:r>
      <w:r w:rsidR="00E44B6E" w:rsidRPr="00972C6A">
        <w:rPr>
          <w:rFonts w:ascii="Arial" w:hAnsi="Arial" w:cs="Arial"/>
          <w:bCs/>
          <w:sz w:val="24"/>
          <w:szCs w:val="24"/>
        </w:rPr>
        <w:t xml:space="preserve">purpose for disclosing </w:t>
      </w:r>
      <w:r w:rsidR="00C84C17" w:rsidRPr="00972C6A">
        <w:rPr>
          <w:rFonts w:ascii="Arial" w:hAnsi="Arial" w:cs="Arial"/>
          <w:bCs/>
          <w:sz w:val="24"/>
          <w:szCs w:val="24"/>
        </w:rPr>
        <w:t xml:space="preserve">the </w:t>
      </w:r>
      <w:r w:rsidR="00E44B6E" w:rsidRPr="00972C6A">
        <w:rPr>
          <w:rFonts w:ascii="Arial" w:hAnsi="Arial" w:cs="Arial"/>
          <w:bCs/>
          <w:sz w:val="24"/>
          <w:szCs w:val="24"/>
        </w:rPr>
        <w:t>information could not be achieved by disclosing de-identified information</w:t>
      </w:r>
      <w:r w:rsidR="00E44B6E" w:rsidRPr="00972C6A">
        <w:rPr>
          <w:rFonts w:ascii="Arial" w:hAnsi="Arial" w:cs="Arial"/>
          <w:sz w:val="24"/>
          <w:szCs w:val="24"/>
        </w:rPr>
        <w:t>; and</w:t>
      </w:r>
    </w:p>
    <w:p w14:paraId="4DD47624" w14:textId="47985661" w:rsidR="00256461" w:rsidRPr="00972C6A" w:rsidRDefault="0023214C" w:rsidP="00972C6A">
      <w:pPr>
        <w:numPr>
          <w:ilvl w:val="0"/>
          <w:numId w:val="19"/>
        </w:numPr>
        <w:spacing w:before="0"/>
        <w:ind w:left="714" w:hanging="357"/>
        <w:rPr>
          <w:rFonts w:ascii="Arial" w:hAnsi="Arial" w:cs="Arial"/>
          <w:szCs w:val="24"/>
        </w:rPr>
      </w:pPr>
      <w:r w:rsidRPr="00972C6A">
        <w:rPr>
          <w:rFonts w:ascii="Arial" w:hAnsi="Arial" w:cs="Arial"/>
          <w:szCs w:val="24"/>
        </w:rPr>
        <w:t xml:space="preserve">the </w:t>
      </w:r>
      <w:r w:rsidR="00E44B6E" w:rsidRPr="00972C6A">
        <w:rPr>
          <w:rFonts w:ascii="Arial" w:hAnsi="Arial" w:cs="Arial"/>
          <w:szCs w:val="24"/>
        </w:rPr>
        <w:t xml:space="preserve">disclosure will be to a person who </w:t>
      </w:r>
      <w:r w:rsidR="00F85C83" w:rsidRPr="00972C6A">
        <w:rPr>
          <w:rFonts w:ascii="Arial" w:hAnsi="Arial" w:cs="Arial"/>
          <w:szCs w:val="24"/>
        </w:rPr>
        <w:t xml:space="preserve">either has a genuine and legitimate interest in the information, or is a Minister specified by subsection </w:t>
      </w:r>
      <w:r w:rsidR="00256461" w:rsidRPr="00972C6A">
        <w:rPr>
          <w:rFonts w:ascii="Arial" w:hAnsi="Arial" w:cs="Arial"/>
          <w:szCs w:val="24"/>
        </w:rPr>
        <w:t>7(2)</w:t>
      </w:r>
      <w:r w:rsidR="00E44B6E" w:rsidRPr="00972C6A">
        <w:rPr>
          <w:rFonts w:ascii="Arial" w:hAnsi="Arial" w:cs="Arial"/>
          <w:szCs w:val="24"/>
        </w:rPr>
        <w:t>.</w:t>
      </w:r>
    </w:p>
    <w:p w14:paraId="2D705AFD" w14:textId="77777777" w:rsidR="00256461" w:rsidRPr="00972C6A" w:rsidRDefault="00256461" w:rsidP="00972C6A">
      <w:pPr>
        <w:spacing w:before="0"/>
        <w:rPr>
          <w:rFonts w:ascii="Arial" w:hAnsi="Arial" w:cs="Arial"/>
          <w:szCs w:val="24"/>
        </w:rPr>
      </w:pPr>
    </w:p>
    <w:p w14:paraId="1D90BEE4" w14:textId="295B422E" w:rsidR="00E44DB9" w:rsidRPr="00972C6A" w:rsidRDefault="000D62EB" w:rsidP="00972C6A">
      <w:pPr>
        <w:spacing w:before="0"/>
        <w:rPr>
          <w:rFonts w:ascii="Arial" w:hAnsi="Arial" w:cs="Arial"/>
          <w:szCs w:val="24"/>
        </w:rPr>
      </w:pPr>
      <w:r w:rsidRPr="00972C6A">
        <w:rPr>
          <w:rFonts w:ascii="Arial" w:hAnsi="Arial" w:cs="Arial"/>
          <w:bCs/>
          <w:szCs w:val="24"/>
        </w:rPr>
        <w:t>Subsection 7(2)</w:t>
      </w:r>
      <w:r w:rsidRPr="00972C6A">
        <w:rPr>
          <w:rFonts w:ascii="Arial" w:hAnsi="Arial" w:cs="Arial"/>
          <w:b/>
          <w:szCs w:val="24"/>
        </w:rPr>
        <w:t xml:space="preserve"> </w:t>
      </w:r>
      <w:r w:rsidRPr="00972C6A">
        <w:rPr>
          <w:rFonts w:ascii="Arial" w:hAnsi="Arial" w:cs="Arial"/>
          <w:szCs w:val="24"/>
        </w:rPr>
        <w:t xml:space="preserve">specifies which Ministers </w:t>
      </w:r>
      <w:r w:rsidR="000E0104" w:rsidRPr="00972C6A">
        <w:rPr>
          <w:rFonts w:ascii="Arial" w:hAnsi="Arial" w:cs="Arial"/>
          <w:szCs w:val="24"/>
        </w:rPr>
        <w:t>are</w:t>
      </w:r>
      <w:r w:rsidRPr="00972C6A">
        <w:rPr>
          <w:rFonts w:ascii="Arial" w:hAnsi="Arial" w:cs="Arial"/>
          <w:szCs w:val="24"/>
        </w:rPr>
        <w:t xml:space="preserve"> relevant for the purposes of </w:t>
      </w:r>
      <w:r w:rsidR="00896472" w:rsidRPr="00972C6A">
        <w:rPr>
          <w:rFonts w:ascii="Arial" w:hAnsi="Arial" w:cs="Arial"/>
          <w:szCs w:val="24"/>
        </w:rPr>
        <w:t>sub</w:t>
      </w:r>
      <w:r w:rsidRPr="00972C6A">
        <w:rPr>
          <w:rFonts w:ascii="Arial" w:hAnsi="Arial" w:cs="Arial"/>
          <w:szCs w:val="24"/>
        </w:rPr>
        <w:t xml:space="preserve">paragraph 7(1)(d)(ii), namely the Prime Minister and various Ministers administering the legislation specified in </w:t>
      </w:r>
      <w:r w:rsidR="00896472" w:rsidRPr="00972C6A">
        <w:rPr>
          <w:rFonts w:ascii="Arial" w:hAnsi="Arial" w:cs="Arial"/>
          <w:szCs w:val="24"/>
        </w:rPr>
        <w:t>sub</w:t>
      </w:r>
      <w:r w:rsidR="000D4DF1" w:rsidRPr="00972C6A">
        <w:rPr>
          <w:rFonts w:ascii="Arial" w:hAnsi="Arial" w:cs="Arial"/>
          <w:szCs w:val="24"/>
        </w:rPr>
        <w:t>paragraph</w:t>
      </w:r>
      <w:r w:rsidRPr="00972C6A">
        <w:rPr>
          <w:rFonts w:ascii="Arial" w:hAnsi="Arial" w:cs="Arial"/>
          <w:szCs w:val="24"/>
        </w:rPr>
        <w:t xml:space="preserve"> 7(2)</w:t>
      </w:r>
      <w:r w:rsidR="00C27D1A" w:rsidRPr="00972C6A">
        <w:rPr>
          <w:rFonts w:ascii="Arial" w:hAnsi="Arial" w:cs="Arial"/>
          <w:szCs w:val="24"/>
        </w:rPr>
        <w:t>(b)</w:t>
      </w:r>
      <w:r w:rsidRPr="00972C6A">
        <w:rPr>
          <w:rFonts w:ascii="Arial" w:hAnsi="Arial" w:cs="Arial"/>
          <w:szCs w:val="24"/>
        </w:rPr>
        <w:t>.</w:t>
      </w:r>
      <w:r w:rsidR="00F01133" w:rsidRPr="00972C6A">
        <w:rPr>
          <w:rFonts w:ascii="Arial" w:hAnsi="Arial" w:cs="Arial"/>
          <w:szCs w:val="24"/>
        </w:rPr>
        <w:t xml:space="preserve"> </w:t>
      </w:r>
      <w:r w:rsidR="00E44DB9" w:rsidRPr="00972C6A">
        <w:rPr>
          <w:rFonts w:ascii="Arial" w:hAnsi="Arial" w:cs="Arial"/>
          <w:szCs w:val="24"/>
        </w:rPr>
        <w:t xml:space="preserve">The Determination (in section 13) covers disclosures to these Ministers for certain purposes that support them to carry out their ministerial duties. </w:t>
      </w:r>
    </w:p>
    <w:p w14:paraId="746B0E23" w14:textId="527F8BB8" w:rsidR="001344D9" w:rsidRPr="00972C6A" w:rsidRDefault="00066075" w:rsidP="00972C6A">
      <w:pPr>
        <w:spacing w:before="120"/>
        <w:rPr>
          <w:rFonts w:ascii="Arial" w:eastAsia="Arial" w:hAnsi="Arial" w:cs="Arial"/>
          <w:szCs w:val="24"/>
        </w:rPr>
      </w:pPr>
      <w:r w:rsidRPr="00972C6A">
        <w:rPr>
          <w:rFonts w:ascii="Arial" w:hAnsi="Arial" w:cs="Arial"/>
        </w:rPr>
        <w:t xml:space="preserve">Although this provision </w:t>
      </w:r>
      <w:r w:rsidR="00EA0A40" w:rsidRPr="00972C6A">
        <w:rPr>
          <w:rFonts w:ascii="Arial" w:hAnsi="Arial" w:cs="Arial"/>
        </w:rPr>
        <w:t xml:space="preserve">largely replicates an equivalent provision in the 2015 </w:t>
      </w:r>
      <w:r w:rsidR="005B1998" w:rsidRPr="00972C6A">
        <w:rPr>
          <w:rFonts w:ascii="Arial" w:hAnsi="Arial" w:cs="Arial"/>
        </w:rPr>
        <w:t>Determination</w:t>
      </w:r>
      <w:r w:rsidR="00A779C3" w:rsidRPr="00972C6A">
        <w:rPr>
          <w:rFonts w:ascii="Arial" w:hAnsi="Arial" w:cs="Arial"/>
        </w:rPr>
        <w:t>, it includes an additional safeguard</w:t>
      </w:r>
      <w:r w:rsidR="00CA23E0" w:rsidRPr="00972C6A">
        <w:rPr>
          <w:rFonts w:ascii="Arial" w:hAnsi="Arial" w:cs="Arial"/>
        </w:rPr>
        <w:t>, namely</w:t>
      </w:r>
      <w:r w:rsidR="00A779C3" w:rsidRPr="00972C6A">
        <w:rPr>
          <w:rFonts w:ascii="Arial" w:hAnsi="Arial" w:cs="Arial"/>
        </w:rPr>
        <w:t xml:space="preserve"> requiring that the Secretary be satisf</w:t>
      </w:r>
      <w:r w:rsidR="00595D4D" w:rsidRPr="00972C6A">
        <w:rPr>
          <w:rFonts w:ascii="Arial" w:hAnsi="Arial" w:cs="Arial"/>
        </w:rPr>
        <w:t xml:space="preserve">ied that the relevant purpose for disclosing </w:t>
      </w:r>
      <w:r w:rsidR="00CA23E0" w:rsidRPr="00972C6A">
        <w:rPr>
          <w:rFonts w:ascii="Arial" w:hAnsi="Arial" w:cs="Arial"/>
        </w:rPr>
        <w:t xml:space="preserve">the </w:t>
      </w:r>
      <w:r w:rsidR="00595D4D" w:rsidRPr="00972C6A">
        <w:rPr>
          <w:rFonts w:ascii="Arial" w:hAnsi="Arial" w:cs="Arial"/>
        </w:rPr>
        <w:t xml:space="preserve">information </w:t>
      </w:r>
      <w:r w:rsidR="00CA23E0" w:rsidRPr="00972C6A">
        <w:rPr>
          <w:rFonts w:ascii="Arial" w:hAnsi="Arial" w:cs="Arial"/>
        </w:rPr>
        <w:t xml:space="preserve">concerned </w:t>
      </w:r>
      <w:r w:rsidR="00595D4D" w:rsidRPr="00972C6A">
        <w:rPr>
          <w:rFonts w:ascii="Arial" w:hAnsi="Arial" w:cs="Arial"/>
        </w:rPr>
        <w:t>could not be served by disclosing that information in a de-identified form.</w:t>
      </w:r>
      <w:r w:rsidR="004245DB" w:rsidRPr="00972C6A">
        <w:rPr>
          <w:rFonts w:ascii="Arial" w:hAnsi="Arial" w:cs="Arial"/>
        </w:rPr>
        <w:t xml:space="preserve"> </w:t>
      </w:r>
      <w:r w:rsidR="4F0FBA6C" w:rsidRPr="00972C6A">
        <w:rPr>
          <w:rFonts w:ascii="Arial" w:eastAsia="Arial" w:hAnsi="Arial" w:cs="Arial"/>
          <w:color w:val="881798"/>
          <w:szCs w:val="24"/>
          <w:u w:val="single"/>
        </w:rPr>
        <w:t xml:space="preserve"> </w:t>
      </w:r>
      <w:r w:rsidR="4F0FBA6C" w:rsidRPr="00972C6A">
        <w:rPr>
          <w:rFonts w:ascii="Arial" w:eastAsia="Arial" w:hAnsi="Arial" w:cs="Arial"/>
          <w:szCs w:val="24"/>
        </w:rPr>
        <w:t>This could include urgent disclosures (for example to lessen a threat to someone's life, health or safety) where there is insufficient time to de-identify any irrelevant personal information.</w:t>
      </w:r>
    </w:p>
    <w:p w14:paraId="18BEC0A5" w14:textId="2B16C562" w:rsidR="000D62EB" w:rsidRPr="00972C6A" w:rsidRDefault="00306B3A" w:rsidP="00972C6A">
      <w:pPr>
        <w:spacing w:before="120"/>
        <w:rPr>
          <w:rFonts w:ascii="Arial" w:hAnsi="Arial" w:cs="Arial"/>
          <w:szCs w:val="24"/>
        </w:rPr>
      </w:pPr>
      <w:r w:rsidRPr="00972C6A">
        <w:rPr>
          <w:rFonts w:ascii="Arial" w:hAnsi="Arial" w:cs="Arial"/>
          <w:szCs w:val="24"/>
        </w:rPr>
        <w:t xml:space="preserve">This additional </w:t>
      </w:r>
      <w:r w:rsidR="00B33EF1" w:rsidRPr="00972C6A">
        <w:rPr>
          <w:rFonts w:ascii="Arial" w:hAnsi="Arial" w:cs="Arial"/>
          <w:szCs w:val="24"/>
        </w:rPr>
        <w:t>safeguard</w:t>
      </w:r>
      <w:r w:rsidR="002621C6" w:rsidRPr="00972C6A">
        <w:rPr>
          <w:rFonts w:ascii="Arial" w:hAnsi="Arial" w:cs="Arial"/>
          <w:szCs w:val="24"/>
        </w:rPr>
        <w:t xml:space="preserve"> </w:t>
      </w:r>
      <w:r w:rsidR="004F77DE" w:rsidRPr="00972C6A">
        <w:rPr>
          <w:rFonts w:ascii="Arial" w:hAnsi="Arial" w:cs="Arial"/>
          <w:szCs w:val="24"/>
        </w:rPr>
        <w:t xml:space="preserve">helps to </w:t>
      </w:r>
      <w:r w:rsidR="002621C6" w:rsidRPr="00972C6A">
        <w:rPr>
          <w:rFonts w:ascii="Arial" w:hAnsi="Arial" w:cs="Arial"/>
          <w:szCs w:val="24"/>
        </w:rPr>
        <w:t>protects a person’s information by ensuring that only the minimum amount of identifiable information</w:t>
      </w:r>
      <w:r w:rsidR="00492A06" w:rsidRPr="00972C6A">
        <w:rPr>
          <w:rFonts w:ascii="Arial" w:hAnsi="Arial" w:cs="Arial"/>
          <w:szCs w:val="24"/>
        </w:rPr>
        <w:t xml:space="preserve"> necessary for the disclosure</w:t>
      </w:r>
      <w:r w:rsidR="002621C6" w:rsidRPr="00972C6A">
        <w:rPr>
          <w:rFonts w:ascii="Arial" w:hAnsi="Arial" w:cs="Arial"/>
          <w:szCs w:val="24"/>
        </w:rPr>
        <w:t xml:space="preserve"> </w:t>
      </w:r>
      <w:r w:rsidR="00492A06" w:rsidRPr="00972C6A">
        <w:rPr>
          <w:rFonts w:ascii="Arial" w:hAnsi="Arial" w:cs="Arial"/>
          <w:szCs w:val="24"/>
        </w:rPr>
        <w:t>can be</w:t>
      </w:r>
      <w:r w:rsidR="002621C6" w:rsidRPr="00972C6A">
        <w:rPr>
          <w:rFonts w:ascii="Arial" w:hAnsi="Arial" w:cs="Arial"/>
          <w:szCs w:val="24"/>
        </w:rPr>
        <w:t xml:space="preserve"> released.</w:t>
      </w:r>
      <w:r w:rsidR="00492A06" w:rsidRPr="00972C6A">
        <w:rPr>
          <w:rFonts w:ascii="Arial" w:hAnsi="Arial" w:cs="Arial"/>
          <w:szCs w:val="24"/>
        </w:rPr>
        <w:t xml:space="preserve"> </w:t>
      </w:r>
      <w:r w:rsidR="009E56F0" w:rsidRPr="00972C6A">
        <w:rPr>
          <w:rFonts w:ascii="Arial" w:hAnsi="Arial" w:cs="Arial"/>
          <w:szCs w:val="24"/>
        </w:rPr>
        <w:t xml:space="preserve">The </w:t>
      </w:r>
      <w:r w:rsidR="000E1545" w:rsidRPr="00972C6A">
        <w:rPr>
          <w:rFonts w:ascii="Arial" w:hAnsi="Arial" w:cs="Arial"/>
          <w:szCs w:val="24"/>
        </w:rPr>
        <w:t xml:space="preserve">addition </w:t>
      </w:r>
      <w:r w:rsidR="00492A06" w:rsidRPr="00972C6A">
        <w:rPr>
          <w:rFonts w:ascii="Arial" w:hAnsi="Arial" w:cs="Arial"/>
          <w:szCs w:val="24"/>
        </w:rPr>
        <w:t>is</w:t>
      </w:r>
      <w:r w:rsidR="009E56F0" w:rsidRPr="00972C6A">
        <w:rPr>
          <w:rFonts w:ascii="Arial" w:hAnsi="Arial" w:cs="Arial"/>
          <w:szCs w:val="24"/>
        </w:rPr>
        <w:t xml:space="preserve"> </w:t>
      </w:r>
      <w:r w:rsidR="00492A06" w:rsidRPr="00972C6A">
        <w:rPr>
          <w:rFonts w:ascii="Arial" w:hAnsi="Arial" w:cs="Arial"/>
          <w:szCs w:val="24"/>
        </w:rPr>
        <w:t>consistent with</w:t>
      </w:r>
      <w:r w:rsidR="009E56F0" w:rsidRPr="00972C6A">
        <w:rPr>
          <w:rFonts w:ascii="Arial" w:hAnsi="Arial" w:cs="Arial"/>
          <w:szCs w:val="24"/>
        </w:rPr>
        <w:t xml:space="preserve"> </w:t>
      </w:r>
      <w:r w:rsidR="000D62EB" w:rsidRPr="00972C6A">
        <w:rPr>
          <w:rFonts w:ascii="Arial" w:hAnsi="Arial" w:cs="Arial"/>
          <w:szCs w:val="24"/>
        </w:rPr>
        <w:t xml:space="preserve">corresponding public interest certificate provisions in Part 9 of the </w:t>
      </w:r>
      <w:r w:rsidR="000D62EB" w:rsidRPr="00972C6A">
        <w:rPr>
          <w:rFonts w:ascii="Arial" w:hAnsi="Arial" w:cs="Arial"/>
          <w:i/>
          <w:iCs/>
          <w:szCs w:val="24"/>
        </w:rPr>
        <w:t>Paid Parental Leave Rules 2021</w:t>
      </w:r>
      <w:r w:rsidR="000D62EB" w:rsidRPr="00972C6A">
        <w:rPr>
          <w:rFonts w:ascii="Arial" w:hAnsi="Arial" w:cs="Arial"/>
          <w:szCs w:val="24"/>
        </w:rPr>
        <w:t>.</w:t>
      </w:r>
    </w:p>
    <w:p w14:paraId="0EE33916" w14:textId="28CD7371" w:rsidR="00A35627" w:rsidRPr="00972C6A" w:rsidRDefault="00B21730" w:rsidP="00972C6A">
      <w:pPr>
        <w:spacing w:before="120"/>
        <w:rPr>
          <w:rFonts w:ascii="Arial" w:hAnsi="Arial" w:cs="Arial"/>
          <w:b/>
          <w:bCs/>
          <w:szCs w:val="24"/>
        </w:rPr>
      </w:pPr>
      <w:r w:rsidRPr="00972C6A">
        <w:rPr>
          <w:rFonts w:ascii="Arial" w:hAnsi="Arial" w:cs="Arial"/>
          <w:b/>
          <w:bCs/>
          <w:szCs w:val="24"/>
        </w:rPr>
        <w:t xml:space="preserve">Section 8 – Threat to life, health </w:t>
      </w:r>
      <w:r w:rsidR="00F07920" w:rsidRPr="00972C6A">
        <w:rPr>
          <w:rFonts w:ascii="Arial" w:hAnsi="Arial" w:cs="Arial"/>
          <w:b/>
          <w:bCs/>
          <w:szCs w:val="24"/>
        </w:rPr>
        <w:t>or</w:t>
      </w:r>
      <w:r w:rsidRPr="00972C6A">
        <w:rPr>
          <w:rFonts w:ascii="Arial" w:hAnsi="Arial" w:cs="Arial"/>
          <w:b/>
          <w:bCs/>
          <w:szCs w:val="24"/>
        </w:rPr>
        <w:t xml:space="preserve"> safety</w:t>
      </w:r>
    </w:p>
    <w:p w14:paraId="17E75F19" w14:textId="3CF55F4C" w:rsidR="00B21730" w:rsidRPr="00972C6A" w:rsidRDefault="00DD22BE"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 xml:space="preserve">covers </w:t>
      </w:r>
      <w:r w:rsidRPr="00972C6A">
        <w:rPr>
          <w:rFonts w:ascii="Arial" w:hAnsi="Arial" w:cs="Arial"/>
          <w:szCs w:val="24"/>
        </w:rPr>
        <w:t>a disclosure that is necessary to prevent, or lessen, a threat to the life, health or safety of a person.</w:t>
      </w:r>
      <w:r w:rsidR="00E157B6" w:rsidRPr="00972C6A">
        <w:rPr>
          <w:rFonts w:ascii="Arial" w:hAnsi="Arial" w:cs="Arial"/>
          <w:szCs w:val="24"/>
        </w:rPr>
        <w:t xml:space="preserve"> </w:t>
      </w:r>
    </w:p>
    <w:p w14:paraId="59CE9985" w14:textId="20962530" w:rsidR="00DD22BE" w:rsidRPr="00972C6A" w:rsidRDefault="00DD22BE" w:rsidP="00972C6A">
      <w:pPr>
        <w:spacing w:before="120"/>
        <w:rPr>
          <w:rFonts w:ascii="Arial" w:hAnsi="Arial" w:cs="Arial"/>
          <w:b/>
          <w:bCs/>
          <w:szCs w:val="24"/>
        </w:rPr>
      </w:pPr>
      <w:r w:rsidRPr="00972C6A">
        <w:rPr>
          <w:rFonts w:ascii="Arial" w:hAnsi="Arial" w:cs="Arial"/>
          <w:b/>
          <w:bCs/>
        </w:rPr>
        <w:t>Section 9 – Enforcement of laws</w:t>
      </w:r>
    </w:p>
    <w:p w14:paraId="53D1DC3B" w14:textId="2C33E60A" w:rsidR="00556E57" w:rsidRPr="00972C6A" w:rsidRDefault="00556E57" w:rsidP="00972C6A">
      <w:pPr>
        <w:spacing w:before="120"/>
        <w:rPr>
          <w:rFonts w:ascii="Arial" w:hAnsi="Arial" w:cs="Arial"/>
          <w:szCs w:val="24"/>
        </w:rPr>
      </w:pPr>
      <w:r w:rsidRPr="00972C6A">
        <w:rPr>
          <w:rFonts w:ascii="Arial" w:hAnsi="Arial" w:cs="Arial"/>
          <w:szCs w:val="24"/>
        </w:rPr>
        <w:t>This provision covers a disclosure that is necessary</w:t>
      </w:r>
      <w:r w:rsidR="00902959" w:rsidRPr="00972C6A">
        <w:rPr>
          <w:rFonts w:ascii="Arial" w:hAnsi="Arial" w:cs="Arial"/>
          <w:szCs w:val="24"/>
        </w:rPr>
        <w:t xml:space="preserve"> for</w:t>
      </w:r>
      <w:r w:rsidRPr="00972C6A">
        <w:rPr>
          <w:rFonts w:ascii="Arial" w:hAnsi="Arial" w:cs="Arial"/>
          <w:szCs w:val="24"/>
        </w:rPr>
        <w:t>:</w:t>
      </w:r>
    </w:p>
    <w:p w14:paraId="64FF17D9" w14:textId="77777777" w:rsidR="008440EA" w:rsidRPr="00972C6A" w:rsidRDefault="008440EA" w:rsidP="00972C6A">
      <w:pPr>
        <w:pStyle w:val="ListParagraph"/>
        <w:numPr>
          <w:ilvl w:val="0"/>
          <w:numId w:val="35"/>
        </w:numPr>
        <w:spacing w:before="120"/>
        <w:rPr>
          <w:rFonts w:ascii="Arial" w:hAnsi="Arial" w:cs="Arial"/>
          <w:szCs w:val="24"/>
        </w:rPr>
      </w:pPr>
      <w:r w:rsidRPr="00972C6A">
        <w:rPr>
          <w:rFonts w:ascii="Arial" w:hAnsi="Arial" w:cs="Arial"/>
          <w:szCs w:val="24"/>
        </w:rPr>
        <w:t xml:space="preserve">investigating, prosecuting or preventing a breach of the criminal law that relates to an indictable offence punishable by imprisonment of 2 years or </w:t>
      </w:r>
      <w:proofErr w:type="gramStart"/>
      <w:r w:rsidRPr="00972C6A">
        <w:rPr>
          <w:rFonts w:ascii="Arial" w:hAnsi="Arial" w:cs="Arial"/>
          <w:szCs w:val="24"/>
        </w:rPr>
        <w:t>more;</w:t>
      </w:r>
      <w:proofErr w:type="gramEnd"/>
    </w:p>
    <w:p w14:paraId="2942C942" w14:textId="77777777" w:rsidR="008440EA" w:rsidRPr="00972C6A" w:rsidRDefault="008440EA" w:rsidP="00972C6A">
      <w:pPr>
        <w:pStyle w:val="ListParagraph"/>
        <w:numPr>
          <w:ilvl w:val="0"/>
          <w:numId w:val="35"/>
        </w:numPr>
        <w:spacing w:before="120"/>
        <w:rPr>
          <w:rFonts w:ascii="Arial" w:hAnsi="Arial" w:cs="Arial"/>
          <w:szCs w:val="24"/>
        </w:rPr>
      </w:pPr>
      <w:r w:rsidRPr="00972C6A">
        <w:rPr>
          <w:rFonts w:ascii="Arial" w:hAnsi="Arial" w:cs="Arial"/>
          <w:szCs w:val="24"/>
        </w:rPr>
        <w:t xml:space="preserve">investigating, prosecuting, or preventing a breach of a law that imposes a pecuniary penalty equivalent to 40 penalty units or </w:t>
      </w:r>
      <w:proofErr w:type="gramStart"/>
      <w:r w:rsidRPr="00972C6A">
        <w:rPr>
          <w:rFonts w:ascii="Arial" w:hAnsi="Arial" w:cs="Arial"/>
          <w:szCs w:val="24"/>
        </w:rPr>
        <w:t>more;</w:t>
      </w:r>
      <w:proofErr w:type="gramEnd"/>
      <w:r w:rsidRPr="00972C6A">
        <w:rPr>
          <w:rFonts w:ascii="Arial" w:hAnsi="Arial" w:cs="Arial"/>
          <w:szCs w:val="24"/>
        </w:rPr>
        <w:t xml:space="preserve"> </w:t>
      </w:r>
    </w:p>
    <w:p w14:paraId="022FB243" w14:textId="77777777" w:rsidR="008440EA" w:rsidRPr="00972C6A" w:rsidRDefault="008440EA" w:rsidP="00972C6A">
      <w:pPr>
        <w:pStyle w:val="ListParagraph"/>
        <w:numPr>
          <w:ilvl w:val="0"/>
          <w:numId w:val="35"/>
        </w:numPr>
        <w:spacing w:before="120"/>
        <w:rPr>
          <w:rFonts w:ascii="Arial" w:hAnsi="Arial" w:cs="Arial"/>
          <w:szCs w:val="24"/>
        </w:rPr>
      </w:pPr>
      <w:r w:rsidRPr="00972C6A">
        <w:rPr>
          <w:rFonts w:ascii="Arial" w:hAnsi="Arial" w:cs="Arial"/>
          <w:szCs w:val="24"/>
        </w:rPr>
        <w:t xml:space="preserve">preventing an act that may have a significant adverse effect on the public </w:t>
      </w:r>
      <w:proofErr w:type="gramStart"/>
      <w:r w:rsidRPr="00972C6A">
        <w:rPr>
          <w:rFonts w:ascii="Arial" w:hAnsi="Arial" w:cs="Arial"/>
          <w:szCs w:val="24"/>
        </w:rPr>
        <w:t>revenue;</w:t>
      </w:r>
      <w:proofErr w:type="gramEnd"/>
      <w:r w:rsidRPr="00972C6A">
        <w:rPr>
          <w:rFonts w:ascii="Arial" w:hAnsi="Arial" w:cs="Arial"/>
          <w:szCs w:val="24"/>
        </w:rPr>
        <w:t xml:space="preserve"> </w:t>
      </w:r>
    </w:p>
    <w:p w14:paraId="7AD65A2D" w14:textId="77777777" w:rsidR="008440EA" w:rsidRPr="00972C6A" w:rsidRDefault="008440EA" w:rsidP="00972C6A">
      <w:pPr>
        <w:pStyle w:val="ListParagraph"/>
        <w:numPr>
          <w:ilvl w:val="0"/>
          <w:numId w:val="35"/>
        </w:numPr>
        <w:spacing w:before="120"/>
        <w:rPr>
          <w:rFonts w:ascii="Arial" w:hAnsi="Arial" w:cs="Arial"/>
          <w:szCs w:val="24"/>
        </w:rPr>
      </w:pPr>
      <w:r w:rsidRPr="00972C6A">
        <w:rPr>
          <w:rFonts w:ascii="Arial" w:hAnsi="Arial" w:cs="Arial"/>
          <w:szCs w:val="24"/>
        </w:rPr>
        <w:t>the extradition of a person or persons to or from Australia, including making, or considering whether to make or accept, a request for extradition; or</w:t>
      </w:r>
    </w:p>
    <w:p w14:paraId="0C4E6624" w14:textId="6837297E" w:rsidR="008440EA" w:rsidRPr="00972C6A" w:rsidRDefault="008440EA" w:rsidP="00972C6A">
      <w:pPr>
        <w:pStyle w:val="ListParagraph"/>
        <w:numPr>
          <w:ilvl w:val="0"/>
          <w:numId w:val="35"/>
        </w:numPr>
        <w:spacing w:before="120"/>
        <w:rPr>
          <w:rFonts w:ascii="Arial" w:hAnsi="Arial" w:cs="Arial"/>
        </w:rPr>
      </w:pPr>
      <w:r w:rsidRPr="00972C6A">
        <w:rPr>
          <w:rFonts w:ascii="Arial" w:hAnsi="Arial" w:cs="Arial"/>
        </w:rPr>
        <w:lastRenderedPageBreak/>
        <w:t xml:space="preserve">obtaining or providing, or the proposed obtaining or providing, of international assistance in criminal matters by the Attorney-General’s Department, to </w:t>
      </w:r>
      <w:r w:rsidR="002456D7" w:rsidRPr="00972C6A">
        <w:rPr>
          <w:rFonts w:ascii="Arial" w:hAnsi="Arial" w:cs="Arial"/>
        </w:rPr>
        <w:t xml:space="preserve">or from </w:t>
      </w:r>
      <w:r w:rsidRPr="00972C6A">
        <w:rPr>
          <w:rFonts w:ascii="Arial" w:hAnsi="Arial" w:cs="Arial"/>
        </w:rPr>
        <w:t>a foreign country.</w:t>
      </w:r>
    </w:p>
    <w:p w14:paraId="74B95632" w14:textId="77777777" w:rsidR="00556E57" w:rsidRPr="00972C6A" w:rsidRDefault="00556E57" w:rsidP="00972C6A">
      <w:pPr>
        <w:spacing w:before="0"/>
        <w:rPr>
          <w:iCs/>
          <w:color w:val="000000" w:themeColor="text1"/>
          <w:szCs w:val="24"/>
        </w:rPr>
      </w:pPr>
    </w:p>
    <w:p w14:paraId="052CA7C4" w14:textId="77777777" w:rsidR="00556E57" w:rsidRPr="00972C6A" w:rsidRDefault="00556E57" w:rsidP="00972C6A">
      <w:pPr>
        <w:spacing w:before="0"/>
        <w:rPr>
          <w:rFonts w:ascii="Arial" w:hAnsi="Arial" w:cs="Arial"/>
          <w:iCs/>
          <w:color w:val="000000" w:themeColor="text1"/>
          <w:szCs w:val="24"/>
        </w:rPr>
      </w:pPr>
      <w:r w:rsidRPr="00972C6A">
        <w:rPr>
          <w:rFonts w:ascii="Arial" w:hAnsi="Arial" w:cs="Arial"/>
          <w:iCs/>
          <w:color w:val="000000" w:themeColor="text1"/>
          <w:szCs w:val="24"/>
        </w:rPr>
        <w:t xml:space="preserve">This is intended to allow for the timely disclosure of information to enable law enforcement agencies and other relevant entities to monitor and conduct monitoring activities related to serious criminal and civil matters, as well as to investigate, prevent and prosecute criminal activity. </w:t>
      </w:r>
    </w:p>
    <w:p w14:paraId="30B284E8" w14:textId="0789F5E7" w:rsidR="000D62EB" w:rsidRPr="00972C6A" w:rsidRDefault="000D62EB" w:rsidP="00972C6A">
      <w:pPr>
        <w:spacing w:before="120"/>
        <w:rPr>
          <w:rFonts w:ascii="Arial" w:hAnsi="Arial" w:cs="Arial"/>
          <w:szCs w:val="24"/>
        </w:rPr>
      </w:pPr>
      <w:r w:rsidRPr="00972C6A">
        <w:rPr>
          <w:rFonts w:ascii="Arial" w:hAnsi="Arial" w:cs="Arial"/>
          <w:szCs w:val="24"/>
        </w:rPr>
        <w:t xml:space="preserve">A ‘penalty unit’ is defined in section 2B of the </w:t>
      </w:r>
      <w:r w:rsidRPr="00972C6A">
        <w:rPr>
          <w:rFonts w:ascii="Arial" w:hAnsi="Arial" w:cs="Arial"/>
          <w:i/>
          <w:iCs/>
          <w:szCs w:val="24"/>
        </w:rPr>
        <w:t>Acts Interpretation Act 1901,</w:t>
      </w:r>
      <w:r w:rsidRPr="00972C6A">
        <w:rPr>
          <w:rFonts w:ascii="Arial" w:hAnsi="Arial" w:cs="Arial"/>
          <w:szCs w:val="24"/>
        </w:rPr>
        <w:t xml:space="preserve"> which applies to th</w:t>
      </w:r>
      <w:r w:rsidR="002365AA" w:rsidRPr="00972C6A">
        <w:rPr>
          <w:rFonts w:ascii="Arial" w:hAnsi="Arial" w:cs="Arial"/>
          <w:szCs w:val="24"/>
        </w:rPr>
        <w:t>e</w:t>
      </w:r>
      <w:r w:rsidRPr="00972C6A">
        <w:rPr>
          <w:rFonts w:ascii="Arial" w:hAnsi="Arial" w:cs="Arial"/>
          <w:szCs w:val="24"/>
        </w:rPr>
        <w:t xml:space="preserve"> Determination by virtue of section 13 of the </w:t>
      </w:r>
      <w:r w:rsidRPr="00972C6A">
        <w:rPr>
          <w:rFonts w:ascii="Arial" w:hAnsi="Arial" w:cs="Arial"/>
          <w:i/>
          <w:iCs/>
          <w:szCs w:val="24"/>
        </w:rPr>
        <w:t>Legislation Act 2003</w:t>
      </w:r>
      <w:r w:rsidRPr="00972C6A">
        <w:rPr>
          <w:rFonts w:ascii="Arial" w:hAnsi="Arial" w:cs="Arial"/>
          <w:szCs w:val="24"/>
        </w:rPr>
        <w:t>.</w:t>
      </w:r>
      <w:r w:rsidR="00116625" w:rsidRPr="00972C6A">
        <w:rPr>
          <w:rFonts w:ascii="Arial" w:hAnsi="Arial" w:cs="Arial"/>
          <w:szCs w:val="24"/>
        </w:rPr>
        <w:t xml:space="preserve"> </w:t>
      </w:r>
      <w:r w:rsidR="00B46FDD" w:rsidRPr="00972C6A">
        <w:rPr>
          <w:rFonts w:ascii="Arial" w:hAnsi="Arial" w:cs="Arial"/>
          <w:szCs w:val="24"/>
        </w:rPr>
        <w:t>At the date of the commencement of the Determination, a penalty unit is $330.</w:t>
      </w:r>
    </w:p>
    <w:p w14:paraId="7F350DA9" w14:textId="64E59217" w:rsidR="003A4254" w:rsidRPr="00972C6A" w:rsidRDefault="001F7A63" w:rsidP="00972C6A">
      <w:pPr>
        <w:spacing w:before="120"/>
        <w:rPr>
          <w:rFonts w:ascii="Arial" w:hAnsi="Arial" w:cs="Arial"/>
          <w:b/>
          <w:bCs/>
          <w:szCs w:val="24"/>
        </w:rPr>
      </w:pPr>
      <w:r w:rsidRPr="00972C6A">
        <w:rPr>
          <w:rFonts w:ascii="Arial" w:hAnsi="Arial" w:cs="Arial"/>
          <w:b/>
          <w:bCs/>
          <w:szCs w:val="24"/>
        </w:rPr>
        <w:t>Section 10 – Protecting the Commonwealth</w:t>
      </w:r>
    </w:p>
    <w:p w14:paraId="61BF04BD" w14:textId="6CAE6B83" w:rsidR="00E50661" w:rsidRPr="00972C6A" w:rsidRDefault="00CC13B5"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Pr="00972C6A">
        <w:rPr>
          <w:rFonts w:ascii="Arial" w:hAnsi="Arial" w:cs="Arial"/>
          <w:szCs w:val="24"/>
        </w:rPr>
        <w:t xml:space="preserve"> a disclosure that is necessary </w:t>
      </w:r>
      <w:r w:rsidR="0034748D" w:rsidRPr="00972C6A">
        <w:rPr>
          <w:rFonts w:ascii="Arial" w:hAnsi="Arial" w:cs="Arial"/>
          <w:szCs w:val="24"/>
        </w:rPr>
        <w:t>for the purposes of investigating, prosecuting or preventing an offence or threatened off</w:t>
      </w:r>
      <w:r w:rsidR="00E50661" w:rsidRPr="00972C6A">
        <w:rPr>
          <w:rFonts w:ascii="Arial" w:hAnsi="Arial" w:cs="Arial"/>
          <w:szCs w:val="24"/>
        </w:rPr>
        <w:t>ence:</w:t>
      </w:r>
    </w:p>
    <w:p w14:paraId="482F3CAC" w14:textId="50C0840F" w:rsidR="00E50661" w:rsidRPr="00972C6A" w:rsidRDefault="00E50661" w:rsidP="00972C6A">
      <w:pPr>
        <w:pStyle w:val="ListParagraph"/>
        <w:numPr>
          <w:ilvl w:val="0"/>
          <w:numId w:val="35"/>
        </w:numPr>
        <w:spacing w:before="120"/>
        <w:rPr>
          <w:rFonts w:ascii="Arial" w:hAnsi="Arial" w:cs="Arial"/>
          <w:szCs w:val="24"/>
        </w:rPr>
      </w:pPr>
      <w:r w:rsidRPr="00972C6A">
        <w:rPr>
          <w:rFonts w:ascii="Arial" w:hAnsi="Arial" w:cs="Arial"/>
          <w:szCs w:val="24"/>
        </w:rPr>
        <w:t xml:space="preserve">against </w:t>
      </w:r>
      <w:r w:rsidR="006114FA" w:rsidRPr="00972C6A">
        <w:rPr>
          <w:rFonts w:ascii="Arial" w:hAnsi="Arial" w:cs="Arial"/>
          <w:szCs w:val="24"/>
        </w:rPr>
        <w:t xml:space="preserve">a </w:t>
      </w:r>
      <w:r w:rsidRPr="00972C6A">
        <w:rPr>
          <w:rFonts w:ascii="Arial" w:hAnsi="Arial" w:cs="Arial"/>
          <w:szCs w:val="24"/>
        </w:rPr>
        <w:t>Commonwealth</w:t>
      </w:r>
      <w:r w:rsidR="006114FA" w:rsidRPr="00972C6A">
        <w:rPr>
          <w:rFonts w:ascii="Arial" w:hAnsi="Arial" w:cs="Arial"/>
          <w:szCs w:val="24"/>
        </w:rPr>
        <w:t xml:space="preserve"> </w:t>
      </w:r>
      <w:proofErr w:type="gramStart"/>
      <w:r w:rsidR="006114FA" w:rsidRPr="00972C6A">
        <w:rPr>
          <w:rFonts w:ascii="Arial" w:hAnsi="Arial" w:cs="Arial"/>
          <w:szCs w:val="24"/>
        </w:rPr>
        <w:t>official</w:t>
      </w:r>
      <w:r w:rsidRPr="00972C6A">
        <w:rPr>
          <w:rFonts w:ascii="Arial" w:hAnsi="Arial" w:cs="Arial"/>
          <w:szCs w:val="24"/>
        </w:rPr>
        <w:t>;</w:t>
      </w:r>
      <w:proofErr w:type="gramEnd"/>
    </w:p>
    <w:p w14:paraId="7EB771BA" w14:textId="77777777" w:rsidR="00466390" w:rsidRPr="00972C6A" w:rsidRDefault="00E50661" w:rsidP="00972C6A">
      <w:pPr>
        <w:pStyle w:val="ListParagraph"/>
        <w:numPr>
          <w:ilvl w:val="0"/>
          <w:numId w:val="35"/>
        </w:numPr>
        <w:spacing w:before="120"/>
        <w:rPr>
          <w:rFonts w:ascii="Arial" w:hAnsi="Arial" w:cs="Arial"/>
          <w:szCs w:val="24"/>
        </w:rPr>
      </w:pPr>
      <w:r w:rsidRPr="00972C6A">
        <w:rPr>
          <w:rFonts w:ascii="Arial" w:hAnsi="Arial" w:cs="Arial"/>
          <w:szCs w:val="24"/>
        </w:rPr>
        <w:t>against property of the Commonwealth; or</w:t>
      </w:r>
    </w:p>
    <w:p w14:paraId="0E1AF4E0" w14:textId="7249909B" w:rsidR="00CC13B5" w:rsidRPr="00972C6A" w:rsidRDefault="23271209" w:rsidP="00972C6A">
      <w:pPr>
        <w:pStyle w:val="ListParagraph"/>
        <w:numPr>
          <w:ilvl w:val="0"/>
          <w:numId w:val="35"/>
        </w:numPr>
        <w:spacing w:before="120"/>
        <w:rPr>
          <w:rFonts w:ascii="Arial" w:hAnsi="Arial" w:cs="Arial"/>
        </w:rPr>
      </w:pPr>
      <w:r w:rsidRPr="00972C6A">
        <w:rPr>
          <w:rFonts w:ascii="Arial" w:hAnsi="Arial" w:cs="Arial"/>
        </w:rPr>
        <w:t>on premises of DSS, Services Australia, or a service organisation</w:t>
      </w:r>
      <w:r w:rsidR="01184E32" w:rsidRPr="00972C6A">
        <w:rPr>
          <w:rFonts w:ascii="Arial" w:hAnsi="Arial" w:cs="Arial"/>
        </w:rPr>
        <w:t>.</w:t>
      </w:r>
    </w:p>
    <w:p w14:paraId="748E930E" w14:textId="615F22DC" w:rsidR="00B50DCA" w:rsidRPr="00972C6A" w:rsidRDefault="01184E32" w:rsidP="00972C6A">
      <w:pPr>
        <w:spacing w:before="120"/>
        <w:rPr>
          <w:rFonts w:ascii="Arial" w:hAnsi="Arial" w:cs="Arial"/>
        </w:rPr>
      </w:pPr>
      <w:r w:rsidRPr="00972C6A">
        <w:rPr>
          <w:rFonts w:ascii="Arial" w:hAnsi="Arial" w:cs="Arial"/>
        </w:rPr>
        <w:t>A</w:t>
      </w:r>
      <w:r w:rsidR="6CCCE571" w:rsidRPr="00972C6A">
        <w:rPr>
          <w:rFonts w:ascii="Arial" w:hAnsi="Arial" w:cs="Arial"/>
        </w:rPr>
        <w:t xml:space="preserve"> ‘service organisation’ </w:t>
      </w:r>
      <w:r w:rsidRPr="00972C6A">
        <w:rPr>
          <w:rFonts w:ascii="Arial" w:hAnsi="Arial" w:cs="Arial"/>
        </w:rPr>
        <w:t xml:space="preserve">is defined in the Determination </w:t>
      </w:r>
      <w:r w:rsidR="74F6337D" w:rsidRPr="00972C6A">
        <w:rPr>
          <w:rFonts w:ascii="Arial" w:hAnsi="Arial" w:cs="Arial"/>
        </w:rPr>
        <w:t xml:space="preserve">to mean an </w:t>
      </w:r>
      <w:r w:rsidRPr="00972C6A">
        <w:rPr>
          <w:rFonts w:ascii="Arial" w:hAnsi="Arial" w:cs="Arial"/>
        </w:rPr>
        <w:t>a</w:t>
      </w:r>
      <w:r w:rsidR="74F6337D" w:rsidRPr="00972C6A">
        <w:rPr>
          <w:rFonts w:ascii="Arial" w:hAnsi="Arial" w:cs="Arial"/>
        </w:rPr>
        <w:t xml:space="preserve">gency (within the meaning of the </w:t>
      </w:r>
      <w:r w:rsidR="74F6337D" w:rsidRPr="00972C6A">
        <w:rPr>
          <w:rFonts w:ascii="Arial" w:hAnsi="Arial" w:cs="Arial"/>
          <w:i/>
          <w:iCs/>
        </w:rPr>
        <w:t>Public Service Act 1999</w:t>
      </w:r>
      <w:r w:rsidR="74F6337D" w:rsidRPr="00972C6A">
        <w:rPr>
          <w:rFonts w:ascii="Arial" w:hAnsi="Arial" w:cs="Arial"/>
        </w:rPr>
        <w:t>), another authority of the Commonwealth or an organisation that performs services for the Commonwealth.</w:t>
      </w:r>
    </w:p>
    <w:p w14:paraId="3B30EBA9" w14:textId="282F21BE" w:rsidR="00CC13B5" w:rsidRPr="00972C6A" w:rsidRDefault="00A853FC" w:rsidP="00972C6A">
      <w:pPr>
        <w:spacing w:before="120"/>
        <w:rPr>
          <w:rFonts w:ascii="Arial" w:hAnsi="Arial" w:cs="Arial"/>
          <w:szCs w:val="24"/>
        </w:rPr>
      </w:pPr>
      <w:r w:rsidRPr="00972C6A">
        <w:rPr>
          <w:rFonts w:ascii="Arial" w:hAnsi="Arial" w:cs="Arial"/>
          <w:szCs w:val="24"/>
        </w:rPr>
        <w:t xml:space="preserve">This provision </w:t>
      </w:r>
      <w:r w:rsidR="00CC1BAF" w:rsidRPr="00972C6A">
        <w:rPr>
          <w:rFonts w:ascii="Arial" w:hAnsi="Arial" w:cs="Arial"/>
          <w:szCs w:val="24"/>
        </w:rPr>
        <w:t xml:space="preserve">helps to </w:t>
      </w:r>
      <w:r w:rsidRPr="00972C6A">
        <w:rPr>
          <w:rFonts w:ascii="Arial" w:hAnsi="Arial" w:cs="Arial"/>
          <w:szCs w:val="24"/>
        </w:rPr>
        <w:t>ensure</w:t>
      </w:r>
      <w:r w:rsidR="00CC13B5" w:rsidRPr="00972C6A">
        <w:rPr>
          <w:rFonts w:ascii="Arial" w:hAnsi="Arial" w:cs="Arial"/>
          <w:szCs w:val="24"/>
        </w:rPr>
        <w:t xml:space="preserve"> that persons involved, and property used, in providing services to </w:t>
      </w:r>
      <w:r w:rsidR="00E514C2" w:rsidRPr="00972C6A">
        <w:rPr>
          <w:rFonts w:ascii="Arial" w:hAnsi="Arial" w:cs="Arial"/>
          <w:szCs w:val="24"/>
        </w:rPr>
        <w:t>recipients of family assistance payments</w:t>
      </w:r>
      <w:r w:rsidR="00CC13B5" w:rsidRPr="00972C6A">
        <w:rPr>
          <w:rFonts w:ascii="Arial" w:hAnsi="Arial" w:cs="Arial"/>
          <w:szCs w:val="24"/>
        </w:rPr>
        <w:t xml:space="preserve">, are appropriately protected. </w:t>
      </w:r>
    </w:p>
    <w:p w14:paraId="49146CA1" w14:textId="69D8AB05" w:rsidR="001F7A63" w:rsidRPr="00972C6A" w:rsidRDefault="00A853FC" w:rsidP="00972C6A">
      <w:pPr>
        <w:spacing w:before="120"/>
        <w:rPr>
          <w:rFonts w:ascii="Arial" w:hAnsi="Arial" w:cs="Arial"/>
          <w:b/>
          <w:bCs/>
          <w:szCs w:val="24"/>
        </w:rPr>
      </w:pPr>
      <w:r w:rsidRPr="00972C6A">
        <w:rPr>
          <w:rFonts w:ascii="Arial" w:hAnsi="Arial" w:cs="Arial"/>
          <w:b/>
          <w:bCs/>
          <w:szCs w:val="24"/>
        </w:rPr>
        <w:t>Section 11 – Proceeds of crime order</w:t>
      </w:r>
    </w:p>
    <w:p w14:paraId="13739E1C" w14:textId="655DCD04" w:rsidR="00AD689C" w:rsidRPr="00972C6A" w:rsidRDefault="00AD689C"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Pr="00972C6A">
        <w:rPr>
          <w:rFonts w:ascii="Arial" w:hAnsi="Arial" w:cs="Arial"/>
          <w:szCs w:val="24"/>
        </w:rPr>
        <w:t xml:space="preserve"> a disclosure to a Commonwealth, State or Territory law enforcement </w:t>
      </w:r>
      <w:r w:rsidR="006031F8" w:rsidRPr="00972C6A">
        <w:rPr>
          <w:rFonts w:ascii="Arial" w:hAnsi="Arial" w:cs="Arial"/>
          <w:szCs w:val="24"/>
        </w:rPr>
        <w:t xml:space="preserve">officer </w:t>
      </w:r>
      <w:r w:rsidRPr="00972C6A">
        <w:rPr>
          <w:rFonts w:ascii="Arial" w:hAnsi="Arial" w:cs="Arial"/>
          <w:szCs w:val="24"/>
        </w:rPr>
        <w:t>where this is necessary for:</w:t>
      </w:r>
    </w:p>
    <w:p w14:paraId="55855FCD" w14:textId="60D6AD5B" w:rsidR="00AD689C" w:rsidRPr="00972C6A" w:rsidRDefault="00AD689C" w:rsidP="00972C6A">
      <w:pPr>
        <w:pStyle w:val="ListParagraph"/>
        <w:numPr>
          <w:ilvl w:val="0"/>
          <w:numId w:val="35"/>
        </w:numPr>
        <w:spacing w:before="120"/>
        <w:rPr>
          <w:rFonts w:ascii="Arial" w:hAnsi="Arial" w:cs="Arial"/>
          <w:szCs w:val="24"/>
        </w:rPr>
      </w:pPr>
      <w:r w:rsidRPr="00972C6A">
        <w:rPr>
          <w:rFonts w:ascii="Arial" w:hAnsi="Arial" w:cs="Arial"/>
          <w:szCs w:val="24"/>
        </w:rPr>
        <w:t xml:space="preserve">the making, or proposed or possible making, of </w:t>
      </w:r>
      <w:r w:rsidR="007742F6" w:rsidRPr="00972C6A">
        <w:rPr>
          <w:rFonts w:ascii="Arial" w:hAnsi="Arial" w:cs="Arial"/>
          <w:szCs w:val="24"/>
        </w:rPr>
        <w:t>an</w:t>
      </w:r>
      <w:r w:rsidRPr="00972C6A">
        <w:rPr>
          <w:rFonts w:ascii="Arial" w:hAnsi="Arial" w:cs="Arial"/>
          <w:szCs w:val="24"/>
        </w:rPr>
        <w:t xml:space="preserve"> order</w:t>
      </w:r>
      <w:r w:rsidR="007742F6" w:rsidRPr="00972C6A">
        <w:rPr>
          <w:rFonts w:ascii="Arial" w:hAnsi="Arial" w:cs="Arial"/>
          <w:szCs w:val="24"/>
        </w:rPr>
        <w:t xml:space="preserve"> covered by subsection 11(2)</w:t>
      </w:r>
      <w:r w:rsidRPr="00972C6A">
        <w:rPr>
          <w:rFonts w:ascii="Arial" w:hAnsi="Arial" w:cs="Arial"/>
          <w:szCs w:val="24"/>
        </w:rPr>
        <w:t>; or</w:t>
      </w:r>
    </w:p>
    <w:p w14:paraId="732DC4CC" w14:textId="5BA2D4F0" w:rsidR="00AD689C" w:rsidRPr="00972C6A" w:rsidRDefault="00AD689C" w:rsidP="00972C6A">
      <w:pPr>
        <w:numPr>
          <w:ilvl w:val="0"/>
          <w:numId w:val="19"/>
        </w:numPr>
        <w:spacing w:before="0"/>
        <w:rPr>
          <w:rFonts w:ascii="Arial" w:hAnsi="Arial" w:cs="Arial"/>
          <w:szCs w:val="24"/>
        </w:rPr>
      </w:pPr>
      <w:r w:rsidRPr="00972C6A">
        <w:rPr>
          <w:rFonts w:ascii="Arial" w:hAnsi="Arial" w:cs="Arial"/>
          <w:szCs w:val="24"/>
        </w:rPr>
        <w:t xml:space="preserve">supporting or enforcing </w:t>
      </w:r>
      <w:r w:rsidR="007742F6" w:rsidRPr="00972C6A">
        <w:rPr>
          <w:rFonts w:ascii="Arial" w:hAnsi="Arial" w:cs="Arial"/>
          <w:szCs w:val="24"/>
        </w:rPr>
        <w:t>such an order</w:t>
      </w:r>
      <w:r w:rsidRPr="00972C6A">
        <w:rPr>
          <w:rFonts w:ascii="Arial" w:hAnsi="Arial" w:cs="Arial"/>
          <w:szCs w:val="24"/>
        </w:rPr>
        <w:t xml:space="preserve">. </w:t>
      </w:r>
    </w:p>
    <w:p w14:paraId="01CCDF4D" w14:textId="3A26EDDA" w:rsidR="000D62EB" w:rsidRPr="00972C6A" w:rsidRDefault="000D62EB" w:rsidP="00972C6A">
      <w:pPr>
        <w:spacing w:before="120"/>
        <w:rPr>
          <w:rFonts w:ascii="Arial" w:hAnsi="Arial" w:cs="Arial"/>
          <w:szCs w:val="24"/>
        </w:rPr>
      </w:pPr>
      <w:r w:rsidRPr="00972C6A">
        <w:rPr>
          <w:rFonts w:ascii="Arial" w:hAnsi="Arial" w:cs="Arial"/>
          <w:szCs w:val="24"/>
        </w:rPr>
        <w:t>Subsection 11(2) sets out what constitutes a</w:t>
      </w:r>
      <w:r w:rsidR="007742F6" w:rsidRPr="00972C6A">
        <w:rPr>
          <w:rFonts w:ascii="Arial" w:hAnsi="Arial" w:cs="Arial"/>
          <w:szCs w:val="24"/>
        </w:rPr>
        <w:t>n</w:t>
      </w:r>
      <w:r w:rsidRPr="00972C6A">
        <w:rPr>
          <w:rFonts w:ascii="Arial" w:hAnsi="Arial" w:cs="Arial"/>
          <w:szCs w:val="24"/>
        </w:rPr>
        <w:t xml:space="preserve"> ‘order’ for the purposes of subsection 11(1)</w:t>
      </w:r>
      <w:r w:rsidR="000F54FF" w:rsidRPr="00972C6A">
        <w:rPr>
          <w:rFonts w:ascii="Arial" w:hAnsi="Arial" w:cs="Arial"/>
          <w:szCs w:val="24"/>
        </w:rPr>
        <w:t xml:space="preserve"> with reference to Commonwealth, State and Territory laws</w:t>
      </w:r>
      <w:r w:rsidR="00EE296F" w:rsidRPr="00972C6A">
        <w:rPr>
          <w:rFonts w:ascii="Arial" w:hAnsi="Arial" w:cs="Arial"/>
          <w:szCs w:val="24"/>
        </w:rPr>
        <w:t xml:space="preserve"> </w:t>
      </w:r>
      <w:r w:rsidR="00AF2D09" w:rsidRPr="00972C6A">
        <w:rPr>
          <w:rFonts w:ascii="Arial" w:hAnsi="Arial" w:cs="Arial"/>
          <w:szCs w:val="24"/>
        </w:rPr>
        <w:t xml:space="preserve">relating </w:t>
      </w:r>
      <w:r w:rsidR="007742F6" w:rsidRPr="00972C6A">
        <w:rPr>
          <w:rFonts w:ascii="Arial" w:hAnsi="Arial" w:cs="Arial"/>
          <w:szCs w:val="24"/>
        </w:rPr>
        <w:t>to</w:t>
      </w:r>
      <w:r w:rsidR="00AF2D09" w:rsidRPr="00972C6A">
        <w:rPr>
          <w:rFonts w:ascii="Arial" w:hAnsi="Arial" w:cs="Arial"/>
          <w:szCs w:val="24"/>
        </w:rPr>
        <w:t xml:space="preserve"> proceeds of crime</w:t>
      </w:r>
      <w:r w:rsidRPr="00972C6A">
        <w:rPr>
          <w:rFonts w:ascii="Arial" w:hAnsi="Arial" w:cs="Arial"/>
          <w:szCs w:val="24"/>
        </w:rPr>
        <w:t>.</w:t>
      </w:r>
    </w:p>
    <w:p w14:paraId="32393F4E" w14:textId="3CE385A5" w:rsidR="00AD689C" w:rsidRPr="00972C6A" w:rsidRDefault="005F141E" w:rsidP="00972C6A">
      <w:pPr>
        <w:spacing w:before="120"/>
        <w:rPr>
          <w:rFonts w:ascii="Arial" w:hAnsi="Arial" w:cs="Arial"/>
          <w:szCs w:val="24"/>
        </w:rPr>
      </w:pPr>
      <w:r w:rsidRPr="00972C6A">
        <w:rPr>
          <w:rFonts w:ascii="Arial" w:hAnsi="Arial" w:cs="Arial"/>
          <w:szCs w:val="24"/>
        </w:rPr>
        <w:t>This provision</w:t>
      </w:r>
      <w:r w:rsidR="00AD689C" w:rsidRPr="00972C6A">
        <w:rPr>
          <w:rFonts w:ascii="Arial" w:hAnsi="Arial" w:cs="Arial"/>
          <w:szCs w:val="24"/>
        </w:rPr>
        <w:t xml:space="preserve"> is aimed at </w:t>
      </w:r>
      <w:r w:rsidR="00CC1BAF" w:rsidRPr="00972C6A">
        <w:rPr>
          <w:rFonts w:ascii="Arial" w:hAnsi="Arial" w:cs="Arial"/>
          <w:szCs w:val="24"/>
        </w:rPr>
        <w:t xml:space="preserve">helping to </w:t>
      </w:r>
      <w:r w:rsidR="00AD689C" w:rsidRPr="00972C6A">
        <w:rPr>
          <w:rFonts w:ascii="Arial" w:hAnsi="Arial" w:cs="Arial"/>
          <w:szCs w:val="24"/>
        </w:rPr>
        <w:t xml:space="preserve">disrupt and combat serious and organised crime. The measure does this by </w:t>
      </w:r>
      <w:r w:rsidR="00CC1BAF" w:rsidRPr="00972C6A">
        <w:rPr>
          <w:rFonts w:ascii="Arial" w:hAnsi="Arial" w:cs="Arial"/>
          <w:szCs w:val="24"/>
        </w:rPr>
        <w:t>su</w:t>
      </w:r>
      <w:r w:rsidR="00A9060F" w:rsidRPr="00972C6A">
        <w:rPr>
          <w:rFonts w:ascii="Arial" w:hAnsi="Arial" w:cs="Arial"/>
          <w:szCs w:val="24"/>
        </w:rPr>
        <w:t>pporting</w:t>
      </w:r>
      <w:r w:rsidR="00CC1BAF" w:rsidRPr="00972C6A">
        <w:rPr>
          <w:rFonts w:ascii="Arial" w:hAnsi="Arial" w:cs="Arial"/>
          <w:szCs w:val="24"/>
        </w:rPr>
        <w:t xml:space="preserve"> the disclosure of information to </w:t>
      </w:r>
      <w:r w:rsidR="00AD689C" w:rsidRPr="00972C6A">
        <w:rPr>
          <w:rFonts w:ascii="Arial" w:hAnsi="Arial" w:cs="Arial"/>
          <w:szCs w:val="24"/>
        </w:rPr>
        <w:t>assist law enforcement agencies in their efforts to deprive individuals of the proceeds, instruments and benefits derived from unlawful activity.</w:t>
      </w:r>
    </w:p>
    <w:p w14:paraId="116963A2" w14:textId="5E4C248D" w:rsidR="00A853FC" w:rsidRPr="00972C6A" w:rsidRDefault="00AD689C" w:rsidP="00972C6A">
      <w:pPr>
        <w:spacing w:before="120"/>
        <w:rPr>
          <w:rFonts w:ascii="Arial" w:hAnsi="Arial" w:cs="Arial"/>
          <w:szCs w:val="24"/>
        </w:rPr>
      </w:pPr>
      <w:r w:rsidRPr="00972C6A">
        <w:rPr>
          <w:rFonts w:ascii="Arial" w:hAnsi="Arial" w:cs="Arial"/>
          <w:szCs w:val="24"/>
        </w:rPr>
        <w:t xml:space="preserve">Where </w:t>
      </w:r>
      <w:r w:rsidR="00EE296F" w:rsidRPr="00972C6A">
        <w:rPr>
          <w:rFonts w:ascii="Arial" w:hAnsi="Arial" w:cs="Arial"/>
          <w:szCs w:val="24"/>
        </w:rPr>
        <w:t>an order under subsection 11(2)</w:t>
      </w:r>
      <w:r w:rsidRPr="00972C6A">
        <w:rPr>
          <w:rFonts w:ascii="Arial" w:hAnsi="Arial" w:cs="Arial"/>
          <w:szCs w:val="24"/>
        </w:rPr>
        <w:t xml:space="preserve"> has been made or is being sought against an individual under a Commonwealth, State or Territory law, </w:t>
      </w:r>
      <w:r w:rsidR="005F141E" w:rsidRPr="00972C6A">
        <w:rPr>
          <w:rFonts w:ascii="Arial" w:hAnsi="Arial" w:cs="Arial"/>
          <w:szCs w:val="24"/>
        </w:rPr>
        <w:t>this provision</w:t>
      </w:r>
      <w:r w:rsidRPr="00972C6A">
        <w:rPr>
          <w:rFonts w:ascii="Arial" w:hAnsi="Arial" w:cs="Arial"/>
          <w:szCs w:val="24"/>
        </w:rPr>
        <w:t xml:space="preserve"> will </w:t>
      </w:r>
      <w:r w:rsidR="00CC1BAF" w:rsidRPr="00972C6A">
        <w:rPr>
          <w:rFonts w:ascii="Arial" w:hAnsi="Arial" w:cs="Arial"/>
          <w:szCs w:val="24"/>
        </w:rPr>
        <w:t xml:space="preserve">help to </w:t>
      </w:r>
      <w:r w:rsidRPr="00972C6A">
        <w:rPr>
          <w:rFonts w:ascii="Arial" w:hAnsi="Arial" w:cs="Arial"/>
          <w:szCs w:val="24"/>
        </w:rPr>
        <w:t xml:space="preserve">ensure that law enforcement bodies and other relevant entities have access to the </w:t>
      </w:r>
      <w:r w:rsidR="000D62EB" w:rsidRPr="00972C6A">
        <w:rPr>
          <w:rFonts w:ascii="Arial" w:hAnsi="Arial" w:cs="Arial"/>
          <w:szCs w:val="24"/>
        </w:rPr>
        <w:t>information</w:t>
      </w:r>
      <w:r w:rsidR="00F66850" w:rsidRPr="00972C6A">
        <w:rPr>
          <w:rFonts w:ascii="Arial" w:hAnsi="Arial" w:cs="Arial"/>
          <w:szCs w:val="24"/>
        </w:rPr>
        <w:t xml:space="preserve">, </w:t>
      </w:r>
      <w:r w:rsidR="00855B7B" w:rsidRPr="00972C6A">
        <w:rPr>
          <w:rFonts w:ascii="Arial" w:hAnsi="Arial" w:cs="Arial"/>
          <w:szCs w:val="24"/>
        </w:rPr>
        <w:t>such as names and addresses,</w:t>
      </w:r>
      <w:r w:rsidR="000D62EB" w:rsidRPr="00972C6A">
        <w:rPr>
          <w:rFonts w:ascii="Arial" w:hAnsi="Arial" w:cs="Arial"/>
          <w:szCs w:val="24"/>
        </w:rPr>
        <w:t xml:space="preserve"> they need to make</w:t>
      </w:r>
      <w:r w:rsidRPr="00972C6A">
        <w:rPr>
          <w:rFonts w:ascii="Arial" w:hAnsi="Arial" w:cs="Arial"/>
          <w:szCs w:val="24"/>
        </w:rPr>
        <w:t xml:space="preserve">, support or enforce the order. </w:t>
      </w:r>
    </w:p>
    <w:p w14:paraId="6A8BC146" w14:textId="3D252548" w:rsidR="00336EDC" w:rsidRPr="00972C6A" w:rsidRDefault="00336EDC" w:rsidP="00972C6A">
      <w:pPr>
        <w:spacing w:before="120"/>
        <w:rPr>
          <w:rFonts w:ascii="Arial" w:hAnsi="Arial" w:cs="Arial"/>
          <w:b/>
          <w:bCs/>
          <w:szCs w:val="24"/>
        </w:rPr>
      </w:pPr>
      <w:r w:rsidRPr="00972C6A">
        <w:rPr>
          <w:rFonts w:ascii="Arial" w:hAnsi="Arial" w:cs="Arial"/>
          <w:b/>
          <w:bCs/>
          <w:szCs w:val="24"/>
        </w:rPr>
        <w:t xml:space="preserve">Section 12 – </w:t>
      </w:r>
      <w:r w:rsidR="000D62EB" w:rsidRPr="00972C6A">
        <w:rPr>
          <w:rFonts w:ascii="Arial" w:hAnsi="Arial" w:cs="Arial"/>
          <w:b/>
          <w:bCs/>
          <w:szCs w:val="24"/>
        </w:rPr>
        <w:t>Mistake of fact</w:t>
      </w:r>
    </w:p>
    <w:p w14:paraId="064F1BDE" w14:textId="4458250D" w:rsidR="00B85F1A" w:rsidRPr="00972C6A" w:rsidRDefault="00336EDC" w:rsidP="00972C6A">
      <w:pPr>
        <w:spacing w:before="120"/>
        <w:rPr>
          <w:rFonts w:ascii="Arial" w:hAnsi="Arial" w:cs="Arial"/>
        </w:rPr>
      </w:pPr>
      <w:r w:rsidRPr="00972C6A">
        <w:rPr>
          <w:rFonts w:ascii="Arial" w:hAnsi="Arial" w:cs="Arial"/>
        </w:rPr>
        <w:t xml:space="preserve">This provision </w:t>
      </w:r>
      <w:r w:rsidR="002D1F53" w:rsidRPr="00972C6A">
        <w:rPr>
          <w:rFonts w:ascii="Arial" w:hAnsi="Arial" w:cs="Arial"/>
        </w:rPr>
        <w:t>covers</w:t>
      </w:r>
      <w:r w:rsidRPr="00972C6A">
        <w:rPr>
          <w:rFonts w:ascii="Arial" w:hAnsi="Arial" w:cs="Arial"/>
        </w:rPr>
        <w:t xml:space="preserve"> </w:t>
      </w:r>
      <w:r w:rsidR="001327EB" w:rsidRPr="00972C6A">
        <w:rPr>
          <w:rFonts w:ascii="Arial" w:hAnsi="Arial" w:cs="Arial"/>
        </w:rPr>
        <w:t xml:space="preserve">a </w:t>
      </w:r>
      <w:r w:rsidRPr="00972C6A">
        <w:rPr>
          <w:rFonts w:ascii="Arial" w:hAnsi="Arial" w:cs="Arial"/>
        </w:rPr>
        <w:t xml:space="preserve">disclosure that </w:t>
      </w:r>
      <w:r w:rsidR="001327EB" w:rsidRPr="00972C6A">
        <w:rPr>
          <w:rFonts w:ascii="Arial" w:hAnsi="Arial" w:cs="Arial"/>
        </w:rPr>
        <w:t>is</w:t>
      </w:r>
      <w:r w:rsidRPr="00972C6A">
        <w:rPr>
          <w:rFonts w:ascii="Arial" w:hAnsi="Arial" w:cs="Arial"/>
        </w:rPr>
        <w:t xml:space="preserve"> necessary to correct a mistake of fact in relation to the administration of a program of DSS where either the integrity of the program is at risk if the mistake of fact is not corrected or the mistake of fact relates </w:t>
      </w:r>
      <w:r w:rsidRPr="00972C6A">
        <w:rPr>
          <w:rFonts w:ascii="Arial" w:hAnsi="Arial" w:cs="Arial"/>
        </w:rPr>
        <w:lastRenderedPageBreak/>
        <w:t>to a matter that has been, or will be, published</w:t>
      </w:r>
      <w:r w:rsidR="00C53A95" w:rsidRPr="00972C6A">
        <w:rPr>
          <w:rFonts w:ascii="Arial" w:hAnsi="Arial" w:cs="Arial"/>
        </w:rPr>
        <w:t xml:space="preserve">. </w:t>
      </w:r>
      <w:r w:rsidR="003D659C" w:rsidRPr="00972C6A">
        <w:rPr>
          <w:rFonts w:ascii="Arial" w:hAnsi="Arial" w:cs="Arial"/>
        </w:rPr>
        <w:t xml:space="preserve">The provision </w:t>
      </w:r>
      <w:r w:rsidR="00C04B22" w:rsidRPr="00972C6A">
        <w:rPr>
          <w:rFonts w:ascii="Arial" w:hAnsi="Arial" w:cs="Arial"/>
        </w:rPr>
        <w:t xml:space="preserve">supports </w:t>
      </w:r>
      <w:r w:rsidR="00B84277" w:rsidRPr="00972C6A">
        <w:rPr>
          <w:rFonts w:ascii="Arial" w:hAnsi="Arial" w:cs="Arial"/>
        </w:rPr>
        <w:t xml:space="preserve">DSS and Services Australia to maintain public confidence in the administration </w:t>
      </w:r>
      <w:r w:rsidR="00C0344A" w:rsidRPr="00972C6A">
        <w:rPr>
          <w:rFonts w:ascii="Arial" w:hAnsi="Arial" w:cs="Arial"/>
        </w:rPr>
        <w:t>of DSS programs.</w:t>
      </w:r>
      <w:r w:rsidR="001043BE" w:rsidRPr="00972C6A">
        <w:rPr>
          <w:rFonts w:ascii="Arial" w:hAnsi="Arial" w:cs="Arial"/>
        </w:rPr>
        <w:t xml:space="preserve"> </w:t>
      </w:r>
    </w:p>
    <w:p w14:paraId="47E6F36D" w14:textId="6A30FB4D" w:rsidR="00336EDC" w:rsidRPr="00972C6A" w:rsidRDefault="00B50914" w:rsidP="00972C6A">
      <w:pPr>
        <w:spacing w:before="120"/>
        <w:rPr>
          <w:rFonts w:ascii="Arial" w:hAnsi="Arial" w:cs="Arial"/>
          <w:b/>
          <w:bCs/>
          <w:szCs w:val="24"/>
        </w:rPr>
      </w:pPr>
      <w:r w:rsidRPr="00972C6A">
        <w:rPr>
          <w:rFonts w:ascii="Arial" w:hAnsi="Arial" w:cs="Arial"/>
          <w:b/>
          <w:bCs/>
          <w:szCs w:val="24"/>
        </w:rPr>
        <w:t xml:space="preserve">Section 13 – </w:t>
      </w:r>
      <w:r w:rsidR="000D62EB" w:rsidRPr="00972C6A">
        <w:rPr>
          <w:rFonts w:ascii="Arial" w:hAnsi="Arial" w:cs="Arial"/>
          <w:b/>
          <w:bCs/>
          <w:szCs w:val="24"/>
        </w:rPr>
        <w:t>Ministerial Briefing</w:t>
      </w:r>
    </w:p>
    <w:p w14:paraId="5CE1453A" w14:textId="05A7BE76" w:rsidR="00B50914" w:rsidRPr="00972C6A" w:rsidRDefault="00B50914"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001327EB" w:rsidRPr="00972C6A">
        <w:rPr>
          <w:rFonts w:ascii="Arial" w:hAnsi="Arial" w:cs="Arial"/>
          <w:szCs w:val="24"/>
        </w:rPr>
        <w:t xml:space="preserve"> a</w:t>
      </w:r>
      <w:r w:rsidRPr="00972C6A">
        <w:rPr>
          <w:rFonts w:ascii="Arial" w:hAnsi="Arial" w:cs="Arial"/>
          <w:szCs w:val="24"/>
        </w:rPr>
        <w:t xml:space="preserve"> disclosure that </w:t>
      </w:r>
      <w:r w:rsidR="001327EB" w:rsidRPr="00972C6A">
        <w:rPr>
          <w:rFonts w:ascii="Arial" w:hAnsi="Arial" w:cs="Arial"/>
          <w:szCs w:val="24"/>
        </w:rPr>
        <w:t>is</w:t>
      </w:r>
      <w:r w:rsidRPr="00972C6A">
        <w:rPr>
          <w:rFonts w:ascii="Arial" w:hAnsi="Arial" w:cs="Arial"/>
          <w:szCs w:val="24"/>
        </w:rPr>
        <w:t xml:space="preserve"> necessary to brief any of the Ministers specified in subsection 7(2):</w:t>
      </w:r>
    </w:p>
    <w:p w14:paraId="4929A799" w14:textId="063C464F" w:rsidR="00B50914" w:rsidRPr="00972C6A" w:rsidRDefault="00B50914" w:rsidP="00972C6A">
      <w:pPr>
        <w:pStyle w:val="ListParagraph"/>
        <w:numPr>
          <w:ilvl w:val="0"/>
          <w:numId w:val="35"/>
        </w:numPr>
        <w:spacing w:before="120"/>
        <w:rPr>
          <w:rFonts w:ascii="Arial" w:hAnsi="Arial" w:cs="Arial"/>
          <w:szCs w:val="24"/>
        </w:rPr>
      </w:pPr>
      <w:r w:rsidRPr="00972C6A">
        <w:rPr>
          <w:rFonts w:ascii="Arial" w:hAnsi="Arial" w:cs="Arial"/>
          <w:szCs w:val="24"/>
        </w:rPr>
        <w:t xml:space="preserve">to enable the Minister to consider complaints or issues raised by or on behalf of a person, and respond to that person </w:t>
      </w:r>
      <w:proofErr w:type="gramStart"/>
      <w:r w:rsidRPr="00972C6A">
        <w:rPr>
          <w:rFonts w:ascii="Arial" w:hAnsi="Arial" w:cs="Arial"/>
          <w:szCs w:val="24"/>
        </w:rPr>
        <w:t>accordingly;</w:t>
      </w:r>
      <w:proofErr w:type="gramEnd"/>
      <w:r w:rsidRPr="00972C6A">
        <w:rPr>
          <w:rFonts w:ascii="Arial" w:hAnsi="Arial" w:cs="Arial"/>
          <w:szCs w:val="24"/>
        </w:rPr>
        <w:t xml:space="preserve"> </w:t>
      </w:r>
    </w:p>
    <w:p w14:paraId="5E0F7724" w14:textId="77777777" w:rsidR="00B50914" w:rsidRPr="00972C6A" w:rsidRDefault="00B50914" w:rsidP="00972C6A">
      <w:pPr>
        <w:numPr>
          <w:ilvl w:val="0"/>
          <w:numId w:val="19"/>
        </w:numPr>
        <w:spacing w:before="0"/>
        <w:rPr>
          <w:rFonts w:ascii="Arial" w:hAnsi="Arial" w:cs="Arial"/>
          <w:szCs w:val="24"/>
        </w:rPr>
      </w:pPr>
      <w:r w:rsidRPr="00972C6A">
        <w:rPr>
          <w:rFonts w:ascii="Arial" w:hAnsi="Arial" w:cs="Arial"/>
          <w:szCs w:val="24"/>
        </w:rPr>
        <w:t xml:space="preserve">for a meeting or forum that the Minister is to </w:t>
      </w:r>
      <w:proofErr w:type="gramStart"/>
      <w:r w:rsidRPr="00972C6A">
        <w:rPr>
          <w:rFonts w:ascii="Arial" w:hAnsi="Arial" w:cs="Arial"/>
          <w:szCs w:val="24"/>
        </w:rPr>
        <w:t>attend;</w:t>
      </w:r>
      <w:proofErr w:type="gramEnd"/>
      <w:r w:rsidRPr="00972C6A">
        <w:rPr>
          <w:rFonts w:ascii="Arial" w:hAnsi="Arial" w:cs="Arial"/>
          <w:szCs w:val="24"/>
        </w:rPr>
        <w:t xml:space="preserve"> </w:t>
      </w:r>
    </w:p>
    <w:p w14:paraId="125A82C3" w14:textId="08A61F24" w:rsidR="00B50914" w:rsidRPr="00972C6A" w:rsidRDefault="00B50914" w:rsidP="00972C6A">
      <w:pPr>
        <w:numPr>
          <w:ilvl w:val="0"/>
          <w:numId w:val="19"/>
        </w:numPr>
        <w:spacing w:before="0"/>
        <w:rPr>
          <w:rFonts w:ascii="Arial" w:hAnsi="Arial" w:cs="Arial"/>
          <w:szCs w:val="24"/>
        </w:rPr>
      </w:pPr>
      <w:r w:rsidRPr="00972C6A">
        <w:rPr>
          <w:rFonts w:ascii="Arial" w:hAnsi="Arial" w:cs="Arial"/>
          <w:szCs w:val="24"/>
        </w:rPr>
        <w:t>in relation to issues raised, or proposed to be raised</w:t>
      </w:r>
      <w:r w:rsidR="00A9060F" w:rsidRPr="00972C6A">
        <w:rPr>
          <w:rFonts w:ascii="Arial" w:hAnsi="Arial" w:cs="Arial"/>
          <w:szCs w:val="24"/>
        </w:rPr>
        <w:t>,</w:t>
      </w:r>
      <w:r w:rsidRPr="00972C6A">
        <w:rPr>
          <w:rFonts w:ascii="Arial" w:hAnsi="Arial" w:cs="Arial"/>
          <w:szCs w:val="24"/>
        </w:rPr>
        <w:t xml:space="preserve"> by or on behalf of a person so that the Minister can respond by correcting a mistake of fact, a misleading perception or impression, or a misleading </w:t>
      </w:r>
      <w:proofErr w:type="gramStart"/>
      <w:r w:rsidRPr="00972C6A">
        <w:rPr>
          <w:rFonts w:ascii="Arial" w:hAnsi="Arial" w:cs="Arial"/>
          <w:szCs w:val="24"/>
        </w:rPr>
        <w:t>statement;</w:t>
      </w:r>
      <w:proofErr w:type="gramEnd"/>
      <w:r w:rsidRPr="00972C6A">
        <w:rPr>
          <w:rFonts w:ascii="Arial" w:hAnsi="Arial" w:cs="Arial"/>
          <w:szCs w:val="24"/>
        </w:rPr>
        <w:t xml:space="preserve"> </w:t>
      </w:r>
    </w:p>
    <w:p w14:paraId="35572EC9" w14:textId="77777777" w:rsidR="00B50914" w:rsidRPr="00972C6A" w:rsidRDefault="00B50914" w:rsidP="00972C6A">
      <w:pPr>
        <w:numPr>
          <w:ilvl w:val="0"/>
          <w:numId w:val="19"/>
        </w:numPr>
        <w:spacing w:before="0"/>
        <w:rPr>
          <w:rFonts w:ascii="Arial" w:hAnsi="Arial" w:cs="Arial"/>
          <w:szCs w:val="24"/>
        </w:rPr>
      </w:pPr>
      <w:r w:rsidRPr="00972C6A">
        <w:rPr>
          <w:rFonts w:ascii="Arial" w:hAnsi="Arial" w:cs="Arial"/>
          <w:szCs w:val="24"/>
        </w:rPr>
        <w:t>about a Services Australia error or delay; or</w:t>
      </w:r>
    </w:p>
    <w:p w14:paraId="05E8E043" w14:textId="58E7F1B4" w:rsidR="00C47D22" w:rsidRPr="00972C6A" w:rsidRDefault="00B50914" w:rsidP="00972C6A">
      <w:pPr>
        <w:numPr>
          <w:ilvl w:val="0"/>
          <w:numId w:val="19"/>
        </w:numPr>
        <w:spacing w:before="0"/>
        <w:rPr>
          <w:rFonts w:ascii="Arial" w:hAnsi="Arial" w:cs="Arial"/>
          <w:szCs w:val="24"/>
        </w:rPr>
      </w:pPr>
      <w:r w:rsidRPr="00972C6A">
        <w:rPr>
          <w:rFonts w:ascii="Arial" w:hAnsi="Arial" w:cs="Arial"/>
          <w:szCs w:val="24"/>
        </w:rPr>
        <w:t xml:space="preserve">about an anomalous or unusual operation of the </w:t>
      </w:r>
      <w:r w:rsidR="00F02057" w:rsidRPr="00972C6A">
        <w:rPr>
          <w:rFonts w:ascii="Arial" w:hAnsi="Arial" w:cs="Arial"/>
          <w:szCs w:val="24"/>
        </w:rPr>
        <w:t>family assistance</w:t>
      </w:r>
      <w:r w:rsidRPr="00972C6A">
        <w:rPr>
          <w:rFonts w:ascii="Arial" w:hAnsi="Arial" w:cs="Arial"/>
          <w:szCs w:val="24"/>
        </w:rPr>
        <w:t xml:space="preserve"> law.</w:t>
      </w:r>
    </w:p>
    <w:p w14:paraId="16A2BADC" w14:textId="77777777" w:rsidR="00EA417A" w:rsidRPr="00972C6A" w:rsidRDefault="00EA417A" w:rsidP="00972C6A">
      <w:pPr>
        <w:spacing w:before="0"/>
        <w:rPr>
          <w:rFonts w:ascii="Arial" w:hAnsi="Arial" w:cs="Arial"/>
          <w:szCs w:val="24"/>
        </w:rPr>
      </w:pPr>
    </w:p>
    <w:p w14:paraId="145F6F5D" w14:textId="2F3332DF" w:rsidR="00EA417A" w:rsidRPr="00972C6A" w:rsidRDefault="00B2140D" w:rsidP="00972C6A">
      <w:pPr>
        <w:spacing w:before="0"/>
        <w:rPr>
          <w:rFonts w:ascii="Arial" w:hAnsi="Arial" w:cs="Arial"/>
          <w:szCs w:val="24"/>
        </w:rPr>
      </w:pPr>
      <w:r w:rsidRPr="00972C6A">
        <w:rPr>
          <w:rFonts w:ascii="Arial" w:hAnsi="Arial" w:cs="Arial"/>
          <w:szCs w:val="24"/>
        </w:rPr>
        <w:t>For example, information</w:t>
      </w:r>
      <w:r w:rsidR="0014220B" w:rsidRPr="00972C6A">
        <w:rPr>
          <w:rFonts w:ascii="Arial" w:hAnsi="Arial" w:cs="Arial"/>
          <w:szCs w:val="24"/>
        </w:rPr>
        <w:t xml:space="preserve"> about a person’s circumstances</w:t>
      </w:r>
      <w:r w:rsidRPr="00972C6A">
        <w:rPr>
          <w:rFonts w:ascii="Arial" w:hAnsi="Arial" w:cs="Arial"/>
          <w:szCs w:val="24"/>
        </w:rPr>
        <w:t xml:space="preserve"> could be disclosed to the Minister </w:t>
      </w:r>
      <w:r w:rsidR="00C47D22" w:rsidRPr="00972C6A">
        <w:rPr>
          <w:rFonts w:ascii="Arial" w:hAnsi="Arial" w:cs="Arial"/>
          <w:szCs w:val="24"/>
        </w:rPr>
        <w:t>to enable the Minister to respond to a complain</w:t>
      </w:r>
      <w:r w:rsidR="0014220B" w:rsidRPr="00972C6A">
        <w:rPr>
          <w:rFonts w:ascii="Arial" w:hAnsi="Arial" w:cs="Arial"/>
          <w:szCs w:val="24"/>
        </w:rPr>
        <w:t>t</w:t>
      </w:r>
      <w:r w:rsidR="00C47D22" w:rsidRPr="00972C6A">
        <w:rPr>
          <w:rFonts w:ascii="Arial" w:hAnsi="Arial" w:cs="Arial"/>
          <w:szCs w:val="24"/>
        </w:rPr>
        <w:t xml:space="preserve"> received from a member of the public about that person’s </w:t>
      </w:r>
      <w:r w:rsidR="0014220B" w:rsidRPr="00972C6A">
        <w:rPr>
          <w:rFonts w:ascii="Arial" w:hAnsi="Arial" w:cs="Arial"/>
          <w:szCs w:val="24"/>
        </w:rPr>
        <w:t>ability to access government payments</w:t>
      </w:r>
      <w:r w:rsidR="00A17AC7" w:rsidRPr="00972C6A">
        <w:rPr>
          <w:rFonts w:ascii="Arial" w:hAnsi="Arial" w:cs="Arial"/>
          <w:szCs w:val="24"/>
        </w:rPr>
        <w:t>.</w:t>
      </w:r>
    </w:p>
    <w:p w14:paraId="4F0F3054" w14:textId="61287F8B" w:rsidR="00B50914" w:rsidRPr="00972C6A" w:rsidRDefault="001327EB" w:rsidP="00972C6A">
      <w:pPr>
        <w:spacing w:before="120"/>
        <w:rPr>
          <w:rFonts w:ascii="Arial" w:hAnsi="Arial" w:cs="Arial"/>
          <w:b/>
          <w:bCs/>
          <w:szCs w:val="24"/>
        </w:rPr>
      </w:pPr>
      <w:r w:rsidRPr="00972C6A">
        <w:rPr>
          <w:rFonts w:ascii="Arial" w:hAnsi="Arial" w:cs="Arial"/>
          <w:b/>
          <w:bCs/>
          <w:szCs w:val="24"/>
        </w:rPr>
        <w:t xml:space="preserve">Section 14 – </w:t>
      </w:r>
      <w:r w:rsidR="000D62EB" w:rsidRPr="00972C6A">
        <w:rPr>
          <w:rFonts w:ascii="Arial" w:hAnsi="Arial" w:cs="Arial"/>
          <w:b/>
          <w:bCs/>
          <w:szCs w:val="24"/>
        </w:rPr>
        <w:t>Missing person</w:t>
      </w:r>
    </w:p>
    <w:p w14:paraId="291ABAED" w14:textId="13F29FCC" w:rsidR="002229D9" w:rsidRPr="00972C6A" w:rsidRDefault="001327EB"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Pr="00972C6A">
        <w:rPr>
          <w:rFonts w:ascii="Arial" w:hAnsi="Arial" w:cs="Arial"/>
          <w:szCs w:val="24"/>
        </w:rPr>
        <w:t xml:space="preserve"> a disclosure </w:t>
      </w:r>
      <w:r w:rsidR="002229D9" w:rsidRPr="00972C6A">
        <w:rPr>
          <w:rFonts w:ascii="Arial" w:hAnsi="Arial" w:cs="Arial"/>
          <w:szCs w:val="24"/>
        </w:rPr>
        <w:t>of information to a court, coronial inquiry, Royal Commission, department or any other authority of the Commonwealth or a State or Territory if the information is about a reported missing person</w:t>
      </w:r>
      <w:r w:rsidR="002466B8" w:rsidRPr="00972C6A">
        <w:rPr>
          <w:rFonts w:ascii="Arial" w:hAnsi="Arial" w:cs="Arial"/>
          <w:szCs w:val="24"/>
        </w:rPr>
        <w:t xml:space="preserve"> or another relevant person,</w:t>
      </w:r>
      <w:r w:rsidR="002229D9" w:rsidRPr="00972C6A">
        <w:rPr>
          <w:rFonts w:ascii="Arial" w:hAnsi="Arial" w:cs="Arial"/>
          <w:szCs w:val="24"/>
        </w:rPr>
        <w:t xml:space="preserve"> and the disclosure is necessary either to assist such a body in relation to the whereabouts of the missing person or to locate a person (including the missing person). However, </w:t>
      </w:r>
      <w:r w:rsidR="00E82334" w:rsidRPr="00972C6A">
        <w:rPr>
          <w:rFonts w:ascii="Arial" w:hAnsi="Arial" w:cs="Arial"/>
          <w:szCs w:val="24"/>
        </w:rPr>
        <w:t xml:space="preserve">the provision </w:t>
      </w:r>
      <w:r w:rsidR="002229D9" w:rsidRPr="00972C6A">
        <w:rPr>
          <w:rFonts w:ascii="Arial" w:hAnsi="Arial" w:cs="Arial"/>
          <w:szCs w:val="24"/>
        </w:rPr>
        <w:t xml:space="preserve">only </w:t>
      </w:r>
      <w:r w:rsidR="00E82334" w:rsidRPr="00972C6A">
        <w:rPr>
          <w:rFonts w:ascii="Arial" w:hAnsi="Arial" w:cs="Arial"/>
          <w:szCs w:val="24"/>
        </w:rPr>
        <w:t>applies</w:t>
      </w:r>
      <w:r w:rsidR="002229D9" w:rsidRPr="00972C6A">
        <w:rPr>
          <w:rFonts w:ascii="Arial" w:hAnsi="Arial" w:cs="Arial"/>
          <w:szCs w:val="24"/>
        </w:rPr>
        <w:t xml:space="preserve"> if there is no reasonable ground to believe that the missing person would not want the information disclosed.</w:t>
      </w:r>
      <w:r w:rsidR="00AA46D1" w:rsidRPr="00972C6A">
        <w:rPr>
          <w:rFonts w:ascii="Arial" w:hAnsi="Arial" w:cs="Arial"/>
          <w:szCs w:val="24"/>
        </w:rPr>
        <w:t xml:space="preserve"> This provision enables the disclosure of information about a missing person in circumstances where it is unclear whether there is a serious threat to th</w:t>
      </w:r>
      <w:r w:rsidR="008331AC" w:rsidRPr="00972C6A">
        <w:rPr>
          <w:rFonts w:ascii="Arial" w:hAnsi="Arial" w:cs="Arial"/>
          <w:szCs w:val="24"/>
        </w:rPr>
        <w:t>at</w:t>
      </w:r>
      <w:r w:rsidR="00AA46D1" w:rsidRPr="00972C6A">
        <w:rPr>
          <w:rFonts w:ascii="Arial" w:hAnsi="Arial" w:cs="Arial"/>
          <w:szCs w:val="24"/>
        </w:rPr>
        <w:t xml:space="preserve"> person’s life, health or safety.</w:t>
      </w:r>
    </w:p>
    <w:p w14:paraId="0966098C" w14:textId="3908A9B7" w:rsidR="00DD3210" w:rsidRPr="00972C6A" w:rsidRDefault="00DD3210" w:rsidP="00972C6A">
      <w:pPr>
        <w:spacing w:before="120"/>
        <w:rPr>
          <w:rFonts w:ascii="Arial" w:hAnsi="Arial" w:cs="Arial"/>
          <w:szCs w:val="24"/>
        </w:rPr>
      </w:pPr>
      <w:r w:rsidRPr="00972C6A">
        <w:rPr>
          <w:rFonts w:ascii="Arial" w:hAnsi="Arial" w:cs="Arial"/>
          <w:szCs w:val="24"/>
        </w:rPr>
        <w:t>A person who has had a missing person’s report about them filed with the police would be a reported missing person for the purposes of this section.</w:t>
      </w:r>
    </w:p>
    <w:p w14:paraId="5DD131A9" w14:textId="0F4C0CF5" w:rsidR="001327EB" w:rsidRPr="00972C6A" w:rsidRDefault="00FE2479" w:rsidP="00972C6A">
      <w:pPr>
        <w:spacing w:before="120"/>
        <w:rPr>
          <w:rFonts w:ascii="Arial" w:hAnsi="Arial" w:cs="Arial"/>
          <w:b/>
          <w:bCs/>
          <w:szCs w:val="24"/>
        </w:rPr>
      </w:pPr>
      <w:r w:rsidRPr="00972C6A">
        <w:rPr>
          <w:rFonts w:ascii="Arial" w:hAnsi="Arial" w:cs="Arial"/>
          <w:b/>
          <w:bCs/>
          <w:szCs w:val="24"/>
        </w:rPr>
        <w:t>Section 15 – Establishing death of person or place where death is registered</w:t>
      </w:r>
    </w:p>
    <w:p w14:paraId="5A30490C" w14:textId="33740784" w:rsidR="00C937A0" w:rsidRPr="00972C6A" w:rsidRDefault="00FE2479" w:rsidP="00972C6A">
      <w:pPr>
        <w:spacing w:before="120"/>
        <w:rPr>
          <w:rFonts w:ascii="Arial" w:hAnsi="Arial" w:cs="Arial"/>
          <w:szCs w:val="24"/>
        </w:rPr>
      </w:pPr>
      <w:r w:rsidRPr="00972C6A">
        <w:rPr>
          <w:rFonts w:ascii="Arial" w:hAnsi="Arial" w:cs="Arial"/>
          <w:szCs w:val="24"/>
        </w:rPr>
        <w:t>This provision</w:t>
      </w:r>
      <w:r w:rsidR="00C937A0" w:rsidRPr="00972C6A">
        <w:rPr>
          <w:rFonts w:ascii="Arial" w:hAnsi="Arial" w:cs="Arial"/>
          <w:szCs w:val="24"/>
        </w:rPr>
        <w:t xml:space="preserve"> </w:t>
      </w:r>
      <w:r w:rsidR="002D1F53" w:rsidRPr="00972C6A">
        <w:rPr>
          <w:rFonts w:ascii="Arial" w:hAnsi="Arial" w:cs="Arial"/>
          <w:szCs w:val="24"/>
        </w:rPr>
        <w:t>covers</w:t>
      </w:r>
      <w:r w:rsidR="00C937A0" w:rsidRPr="00972C6A">
        <w:rPr>
          <w:rFonts w:ascii="Arial" w:hAnsi="Arial" w:cs="Arial"/>
          <w:szCs w:val="24"/>
        </w:rPr>
        <w:t xml:space="preserve"> a disclosure that is necessary to establish the death of a person or the place where the death of a person is registered.</w:t>
      </w:r>
    </w:p>
    <w:p w14:paraId="096F291B" w14:textId="4FD7BF40" w:rsidR="00C937A0" w:rsidRPr="00972C6A" w:rsidRDefault="00C937A0" w:rsidP="00972C6A">
      <w:pPr>
        <w:spacing w:before="120"/>
        <w:rPr>
          <w:rFonts w:ascii="Arial" w:hAnsi="Arial" w:cs="Arial"/>
          <w:b/>
          <w:szCs w:val="24"/>
        </w:rPr>
      </w:pPr>
      <w:r w:rsidRPr="00972C6A">
        <w:rPr>
          <w:rFonts w:ascii="Arial" w:hAnsi="Arial" w:cs="Arial"/>
          <w:b/>
          <w:szCs w:val="24"/>
        </w:rPr>
        <w:t xml:space="preserve">Section 16 </w:t>
      </w:r>
      <w:r w:rsidR="004676CF" w:rsidRPr="00972C6A">
        <w:rPr>
          <w:rFonts w:ascii="Arial" w:hAnsi="Arial" w:cs="Arial"/>
          <w:b/>
          <w:szCs w:val="24"/>
        </w:rPr>
        <w:t>–</w:t>
      </w:r>
      <w:r w:rsidRPr="00972C6A">
        <w:rPr>
          <w:rFonts w:ascii="Arial" w:hAnsi="Arial" w:cs="Arial"/>
          <w:b/>
          <w:szCs w:val="24"/>
        </w:rPr>
        <w:t xml:space="preserve"> </w:t>
      </w:r>
      <w:r w:rsidR="004676CF" w:rsidRPr="00972C6A">
        <w:rPr>
          <w:rFonts w:ascii="Arial" w:hAnsi="Arial" w:cs="Arial"/>
          <w:b/>
          <w:szCs w:val="24"/>
        </w:rPr>
        <w:t>Deceased person</w:t>
      </w:r>
    </w:p>
    <w:p w14:paraId="3A4148CC" w14:textId="505CF820" w:rsidR="004676CF" w:rsidRPr="00972C6A" w:rsidRDefault="004676CF" w:rsidP="00972C6A">
      <w:pPr>
        <w:spacing w:before="120"/>
        <w:rPr>
          <w:rFonts w:ascii="Arial" w:hAnsi="Arial" w:cs="Arial"/>
          <w:bCs/>
          <w:szCs w:val="24"/>
        </w:rPr>
      </w:pPr>
      <w:r w:rsidRPr="00972C6A">
        <w:rPr>
          <w:rFonts w:ascii="Arial" w:hAnsi="Arial" w:cs="Arial"/>
          <w:bCs/>
          <w:szCs w:val="24"/>
        </w:rPr>
        <w:t xml:space="preserve">This provision </w:t>
      </w:r>
      <w:r w:rsidR="002D1F53" w:rsidRPr="00972C6A">
        <w:rPr>
          <w:rFonts w:ascii="Arial" w:hAnsi="Arial" w:cs="Arial"/>
          <w:bCs/>
          <w:szCs w:val="24"/>
        </w:rPr>
        <w:t>covers</w:t>
      </w:r>
      <w:r w:rsidRPr="00972C6A">
        <w:rPr>
          <w:rFonts w:ascii="Arial" w:hAnsi="Arial" w:cs="Arial"/>
          <w:bCs/>
          <w:szCs w:val="24"/>
        </w:rPr>
        <w:t xml:space="preserve"> a disclosure of information about a deceased person </w:t>
      </w:r>
      <w:r w:rsidR="002466B8" w:rsidRPr="00972C6A">
        <w:rPr>
          <w:rFonts w:ascii="Arial" w:hAnsi="Arial" w:cs="Arial"/>
          <w:bCs/>
          <w:szCs w:val="24"/>
        </w:rPr>
        <w:t xml:space="preserve">or another relevant person </w:t>
      </w:r>
      <w:r w:rsidRPr="00972C6A">
        <w:rPr>
          <w:rFonts w:ascii="Arial" w:hAnsi="Arial" w:cs="Arial"/>
          <w:bCs/>
          <w:szCs w:val="24"/>
        </w:rPr>
        <w:t>where the disclosure is:</w:t>
      </w:r>
    </w:p>
    <w:p w14:paraId="75927C1E" w14:textId="77777777" w:rsidR="004676CF" w:rsidRPr="00972C6A" w:rsidRDefault="004676CF" w:rsidP="00972C6A">
      <w:pPr>
        <w:pStyle w:val="ListParagraph"/>
        <w:numPr>
          <w:ilvl w:val="0"/>
          <w:numId w:val="35"/>
        </w:numPr>
        <w:spacing w:before="120"/>
        <w:rPr>
          <w:rFonts w:ascii="Arial" w:hAnsi="Arial" w:cs="Arial"/>
          <w:szCs w:val="24"/>
        </w:rPr>
      </w:pPr>
      <w:r w:rsidRPr="00972C6A">
        <w:rPr>
          <w:rFonts w:ascii="Arial" w:hAnsi="Arial" w:cs="Arial"/>
          <w:bCs/>
          <w:szCs w:val="24"/>
        </w:rPr>
        <w:t xml:space="preserve">necessary to assist a court, coronial inquiry, Royal Commission, department or </w:t>
      </w:r>
      <w:r w:rsidRPr="00972C6A">
        <w:rPr>
          <w:rFonts w:ascii="Arial" w:hAnsi="Arial" w:cs="Arial"/>
          <w:szCs w:val="24"/>
        </w:rPr>
        <w:t xml:space="preserve">any other authority of the Commonwealth, or a State or Territory in relation to the death of the </w:t>
      </w:r>
      <w:proofErr w:type="gramStart"/>
      <w:r w:rsidRPr="00972C6A">
        <w:rPr>
          <w:rFonts w:ascii="Arial" w:hAnsi="Arial" w:cs="Arial"/>
          <w:szCs w:val="24"/>
        </w:rPr>
        <w:t>person;</w:t>
      </w:r>
      <w:proofErr w:type="gramEnd"/>
    </w:p>
    <w:p w14:paraId="0FB08C14" w14:textId="4B44FB4A" w:rsidR="004676CF" w:rsidRPr="00972C6A" w:rsidRDefault="004676CF" w:rsidP="00972C6A">
      <w:pPr>
        <w:pStyle w:val="ListParagraph"/>
        <w:numPr>
          <w:ilvl w:val="0"/>
          <w:numId w:val="35"/>
        </w:numPr>
        <w:spacing w:before="120"/>
        <w:rPr>
          <w:rFonts w:ascii="Arial" w:hAnsi="Arial" w:cs="Arial"/>
          <w:szCs w:val="24"/>
        </w:rPr>
      </w:pPr>
      <w:r w:rsidRPr="00972C6A">
        <w:rPr>
          <w:rFonts w:ascii="Arial" w:hAnsi="Arial" w:cs="Arial"/>
          <w:szCs w:val="24"/>
        </w:rPr>
        <w:t>necessary to locate a relative or beneficiary of the deceased person;</w:t>
      </w:r>
      <w:r w:rsidR="00F77030" w:rsidRPr="00972C6A">
        <w:rPr>
          <w:rFonts w:ascii="Arial" w:hAnsi="Arial" w:cs="Arial"/>
          <w:szCs w:val="24"/>
        </w:rPr>
        <w:t xml:space="preserve"> or</w:t>
      </w:r>
    </w:p>
    <w:p w14:paraId="39E60E89" w14:textId="77777777" w:rsidR="00F77030" w:rsidRPr="00972C6A" w:rsidRDefault="004676CF" w:rsidP="00972C6A">
      <w:pPr>
        <w:pStyle w:val="ListParagraph"/>
        <w:numPr>
          <w:ilvl w:val="0"/>
          <w:numId w:val="35"/>
        </w:numPr>
        <w:spacing w:before="120"/>
        <w:rPr>
          <w:rFonts w:ascii="Arial" w:hAnsi="Arial" w:cs="Arial"/>
          <w:bCs/>
          <w:szCs w:val="24"/>
        </w:rPr>
      </w:pPr>
      <w:r w:rsidRPr="00972C6A">
        <w:rPr>
          <w:rFonts w:ascii="Arial" w:hAnsi="Arial" w:cs="Arial"/>
          <w:szCs w:val="24"/>
        </w:rPr>
        <w:t>necessary to help an individual or authority responsible for the administration of the estate of the deceased person in relation to the administration of the estate of the deceased person</w:t>
      </w:r>
      <w:r w:rsidR="00F77030" w:rsidRPr="00972C6A">
        <w:rPr>
          <w:rFonts w:ascii="Arial" w:hAnsi="Arial" w:cs="Arial"/>
          <w:szCs w:val="24"/>
        </w:rPr>
        <w:t>.</w:t>
      </w:r>
    </w:p>
    <w:p w14:paraId="2DD85BBA" w14:textId="0EB7BD4E" w:rsidR="004676CF" w:rsidRPr="00972C6A" w:rsidRDefault="004676CF" w:rsidP="00972C6A">
      <w:pPr>
        <w:spacing w:before="120"/>
        <w:rPr>
          <w:rFonts w:ascii="Arial" w:hAnsi="Arial" w:cs="Arial"/>
          <w:bCs/>
          <w:szCs w:val="24"/>
        </w:rPr>
      </w:pPr>
      <w:r w:rsidRPr="00972C6A">
        <w:rPr>
          <w:rFonts w:ascii="Arial" w:hAnsi="Arial" w:cs="Arial"/>
          <w:bCs/>
          <w:szCs w:val="24"/>
        </w:rPr>
        <w:lastRenderedPageBreak/>
        <w:t xml:space="preserve">However, </w:t>
      </w:r>
      <w:r w:rsidR="00E82334" w:rsidRPr="00972C6A">
        <w:rPr>
          <w:rFonts w:ascii="Arial" w:hAnsi="Arial" w:cs="Arial"/>
          <w:bCs/>
          <w:szCs w:val="24"/>
        </w:rPr>
        <w:t>the provision applies</w:t>
      </w:r>
      <w:r w:rsidR="001E0ECA" w:rsidRPr="00972C6A">
        <w:rPr>
          <w:rFonts w:ascii="Arial" w:hAnsi="Arial" w:cs="Arial"/>
          <w:bCs/>
          <w:szCs w:val="24"/>
        </w:rPr>
        <w:t xml:space="preserve"> only where </w:t>
      </w:r>
      <w:r w:rsidRPr="00972C6A">
        <w:rPr>
          <w:rFonts w:ascii="Arial" w:hAnsi="Arial" w:cs="Arial"/>
          <w:bCs/>
          <w:szCs w:val="24"/>
        </w:rPr>
        <w:t>there is no reasonable ground to believe that the deceased person would not have wanted the information disclosed.</w:t>
      </w:r>
    </w:p>
    <w:p w14:paraId="082B888C" w14:textId="68F48C86" w:rsidR="004676CF" w:rsidRPr="00972C6A" w:rsidRDefault="001E0ECA" w:rsidP="00972C6A">
      <w:pPr>
        <w:spacing w:before="120"/>
        <w:rPr>
          <w:rFonts w:ascii="Arial" w:hAnsi="Arial" w:cs="Arial"/>
          <w:b/>
          <w:szCs w:val="24"/>
        </w:rPr>
      </w:pPr>
      <w:r w:rsidRPr="00972C6A">
        <w:rPr>
          <w:rFonts w:ascii="Arial" w:hAnsi="Arial" w:cs="Arial"/>
          <w:b/>
          <w:szCs w:val="24"/>
        </w:rPr>
        <w:t>Section 17 – School enrolment and attendance</w:t>
      </w:r>
    </w:p>
    <w:p w14:paraId="0FA21514" w14:textId="141827ED" w:rsidR="000D62EB" w:rsidRPr="00972C6A" w:rsidRDefault="000D62EB" w:rsidP="00972C6A">
      <w:pPr>
        <w:spacing w:before="120"/>
        <w:rPr>
          <w:rFonts w:ascii="Arial" w:hAnsi="Arial" w:cs="Arial"/>
          <w:szCs w:val="24"/>
        </w:rPr>
      </w:pPr>
      <w:r w:rsidRPr="00972C6A">
        <w:rPr>
          <w:rFonts w:ascii="Arial" w:hAnsi="Arial" w:cs="Arial"/>
          <w:bCs/>
          <w:szCs w:val="24"/>
        </w:rPr>
        <w:t xml:space="preserve">This provision </w:t>
      </w:r>
      <w:r w:rsidR="007B5D14" w:rsidRPr="00972C6A">
        <w:rPr>
          <w:rFonts w:ascii="Arial" w:hAnsi="Arial" w:cs="Arial"/>
          <w:bCs/>
          <w:szCs w:val="24"/>
        </w:rPr>
        <w:t>covers</w:t>
      </w:r>
      <w:r w:rsidRPr="00972C6A">
        <w:rPr>
          <w:rFonts w:ascii="Arial" w:hAnsi="Arial" w:cs="Arial"/>
          <w:bCs/>
          <w:szCs w:val="24"/>
        </w:rPr>
        <w:t xml:space="preserve"> a disclosure of information </w:t>
      </w:r>
      <w:r w:rsidRPr="00972C6A">
        <w:rPr>
          <w:rFonts w:ascii="Arial" w:hAnsi="Arial" w:cs="Arial"/>
          <w:szCs w:val="24"/>
        </w:rPr>
        <w:t>that is necessary</w:t>
      </w:r>
      <w:r w:rsidRPr="00972C6A">
        <w:rPr>
          <w:rFonts w:ascii="Arial" w:hAnsi="Arial" w:cs="Arial"/>
          <w:i/>
          <w:szCs w:val="24"/>
        </w:rPr>
        <w:t xml:space="preserve"> </w:t>
      </w:r>
      <w:r w:rsidRPr="00972C6A">
        <w:rPr>
          <w:rFonts w:ascii="Arial" w:hAnsi="Arial" w:cs="Arial"/>
          <w:szCs w:val="24"/>
        </w:rPr>
        <w:t>to ensure a child who should be enrolled in or attending school is enrolled or attending.</w:t>
      </w:r>
    </w:p>
    <w:p w14:paraId="2127DCF7" w14:textId="77777777" w:rsidR="001E0ECA" w:rsidRPr="00972C6A" w:rsidRDefault="001E0ECA" w:rsidP="00972C6A">
      <w:pPr>
        <w:spacing w:before="0"/>
        <w:rPr>
          <w:rFonts w:ascii="Arial" w:hAnsi="Arial" w:cs="Arial"/>
          <w:szCs w:val="24"/>
        </w:rPr>
      </w:pPr>
    </w:p>
    <w:p w14:paraId="1154B6C4" w14:textId="20025C2C" w:rsidR="001E0ECA" w:rsidRPr="00972C6A" w:rsidRDefault="001E0ECA" w:rsidP="00972C6A">
      <w:pPr>
        <w:spacing w:before="0"/>
        <w:rPr>
          <w:rFonts w:ascii="Arial" w:hAnsi="Arial" w:cs="Arial"/>
          <w:szCs w:val="24"/>
        </w:rPr>
      </w:pPr>
      <w:r w:rsidRPr="00972C6A">
        <w:rPr>
          <w:rFonts w:ascii="Arial" w:hAnsi="Arial" w:cs="Arial"/>
          <w:szCs w:val="24"/>
        </w:rPr>
        <w:t xml:space="preserve">State and Territory education departments and schools may not necessarily have certain information on their own records. For example, they may not be aware of children who are not enrolled at school. </w:t>
      </w:r>
      <w:r w:rsidR="00BF49AD" w:rsidRPr="00972C6A">
        <w:rPr>
          <w:rFonts w:ascii="Arial" w:hAnsi="Arial" w:cs="Arial"/>
          <w:szCs w:val="24"/>
        </w:rPr>
        <w:t>This provision</w:t>
      </w:r>
      <w:r w:rsidRPr="00972C6A">
        <w:rPr>
          <w:rFonts w:ascii="Arial" w:hAnsi="Arial" w:cs="Arial"/>
          <w:szCs w:val="24"/>
        </w:rPr>
        <w:t xml:space="preserve"> will facilitate the release of information to ensure children who should be enrolled</w:t>
      </w:r>
      <w:r w:rsidR="00A83E6A" w:rsidRPr="00972C6A">
        <w:rPr>
          <w:rFonts w:ascii="Arial" w:hAnsi="Arial" w:cs="Arial"/>
          <w:szCs w:val="24"/>
        </w:rPr>
        <w:t xml:space="preserve"> in</w:t>
      </w:r>
      <w:r w:rsidRPr="00972C6A">
        <w:rPr>
          <w:rFonts w:ascii="Arial" w:hAnsi="Arial" w:cs="Arial"/>
          <w:szCs w:val="24"/>
        </w:rPr>
        <w:t xml:space="preserve"> and attending school, under State and Territory laws, are so enrolled and attending in accordance with those laws. </w:t>
      </w:r>
    </w:p>
    <w:p w14:paraId="79F4382B" w14:textId="77777777" w:rsidR="001E0ECA" w:rsidRPr="00972C6A" w:rsidRDefault="001E0ECA" w:rsidP="00972C6A">
      <w:pPr>
        <w:spacing w:before="0"/>
        <w:rPr>
          <w:rFonts w:ascii="Arial" w:hAnsi="Arial" w:cs="Arial"/>
          <w:szCs w:val="24"/>
        </w:rPr>
      </w:pPr>
    </w:p>
    <w:p w14:paraId="291BC7F4" w14:textId="5173540B" w:rsidR="001E0ECA" w:rsidRPr="00972C6A" w:rsidRDefault="7D10093C" w:rsidP="00972C6A">
      <w:pPr>
        <w:spacing w:before="0"/>
        <w:rPr>
          <w:rFonts w:ascii="Arial" w:hAnsi="Arial" w:cs="Arial"/>
        </w:rPr>
      </w:pPr>
      <w:r w:rsidRPr="00972C6A">
        <w:rPr>
          <w:rFonts w:ascii="Arial" w:hAnsi="Arial" w:cs="Arial"/>
        </w:rPr>
        <w:t xml:space="preserve">Attendance at school is one of the principal indicators for school achievement and students who are regularly absent from school are those at greatest risk of dropping out of school early, becoming long-term unemployed, dependent on welfare and being involved in the justice system. </w:t>
      </w:r>
      <w:r w:rsidR="2CF79BD8" w:rsidRPr="00972C6A">
        <w:rPr>
          <w:rFonts w:ascii="Arial" w:hAnsi="Arial" w:cs="Arial"/>
        </w:rPr>
        <w:t>This provision is intended to ensure that relevant information held by the Commonwealth is provided to relevant State</w:t>
      </w:r>
      <w:r w:rsidR="4EA459A3" w:rsidRPr="00972C6A">
        <w:rPr>
          <w:rFonts w:ascii="Arial" w:hAnsi="Arial" w:cs="Arial"/>
        </w:rPr>
        <w:t xml:space="preserve"> or </w:t>
      </w:r>
      <w:r w:rsidR="2CF79BD8" w:rsidRPr="00972C6A">
        <w:rPr>
          <w:rFonts w:ascii="Arial" w:hAnsi="Arial" w:cs="Arial"/>
        </w:rPr>
        <w:t>Territory authorities</w:t>
      </w:r>
      <w:r w:rsidR="0593F731" w:rsidRPr="00972C6A">
        <w:rPr>
          <w:rFonts w:ascii="Arial" w:hAnsi="Arial" w:cs="Arial"/>
        </w:rPr>
        <w:t>,</w:t>
      </w:r>
      <w:r w:rsidR="00BD1B45" w:rsidRPr="00972C6A">
        <w:rPr>
          <w:rFonts w:ascii="Arial" w:hAnsi="Arial" w:cs="Arial"/>
        </w:rPr>
        <w:t xml:space="preserve"> </w:t>
      </w:r>
      <w:r w:rsidR="2CF79BD8" w:rsidRPr="00972C6A">
        <w:rPr>
          <w:rFonts w:ascii="Arial" w:hAnsi="Arial" w:cs="Arial"/>
        </w:rPr>
        <w:t>schools</w:t>
      </w:r>
      <w:r w:rsidR="10C8B7ED" w:rsidRPr="00972C6A">
        <w:rPr>
          <w:rFonts w:ascii="Arial" w:hAnsi="Arial" w:cs="Arial"/>
        </w:rPr>
        <w:t>, or other relevant entities,</w:t>
      </w:r>
      <w:r w:rsidR="2CF79BD8" w:rsidRPr="00972C6A">
        <w:rPr>
          <w:rFonts w:ascii="Arial" w:hAnsi="Arial" w:cs="Arial"/>
        </w:rPr>
        <w:t xml:space="preserve"> so that action can be taken to facilitate enrolment and improve attendance in accordance with State</w:t>
      </w:r>
      <w:r w:rsidR="0F227B67" w:rsidRPr="00972C6A">
        <w:rPr>
          <w:rFonts w:ascii="Arial" w:hAnsi="Arial" w:cs="Arial"/>
        </w:rPr>
        <w:t xml:space="preserve"> or </w:t>
      </w:r>
      <w:r w:rsidR="2CF79BD8" w:rsidRPr="00972C6A">
        <w:rPr>
          <w:rFonts w:ascii="Arial" w:hAnsi="Arial" w:cs="Arial"/>
        </w:rPr>
        <w:t>Territory laws.</w:t>
      </w:r>
    </w:p>
    <w:p w14:paraId="047994BC" w14:textId="24B7C465" w:rsidR="001E0ECA" w:rsidRPr="00972C6A" w:rsidRDefault="00BF49AD" w:rsidP="00972C6A">
      <w:pPr>
        <w:spacing w:before="120"/>
        <w:rPr>
          <w:rFonts w:ascii="Arial" w:hAnsi="Arial" w:cs="Arial"/>
          <w:b/>
          <w:szCs w:val="24"/>
        </w:rPr>
      </w:pPr>
      <w:r w:rsidRPr="00972C6A">
        <w:rPr>
          <w:rFonts w:ascii="Arial" w:hAnsi="Arial" w:cs="Arial"/>
          <w:b/>
          <w:szCs w:val="24"/>
        </w:rPr>
        <w:t>Section 18 – School infrastructure</w:t>
      </w:r>
    </w:p>
    <w:p w14:paraId="30F45519" w14:textId="0D69867E" w:rsidR="000D62EB" w:rsidRPr="00972C6A" w:rsidRDefault="000D62EB" w:rsidP="00972C6A">
      <w:pPr>
        <w:spacing w:before="120"/>
        <w:rPr>
          <w:rFonts w:ascii="Arial" w:hAnsi="Arial" w:cs="Arial"/>
          <w:szCs w:val="24"/>
        </w:rPr>
      </w:pPr>
      <w:r w:rsidRPr="00972C6A">
        <w:rPr>
          <w:rFonts w:ascii="Arial" w:hAnsi="Arial" w:cs="Arial"/>
          <w:szCs w:val="24"/>
        </w:rPr>
        <w:t xml:space="preserve">This provision </w:t>
      </w:r>
      <w:r w:rsidR="007B5D14" w:rsidRPr="00972C6A">
        <w:rPr>
          <w:rFonts w:ascii="Arial" w:hAnsi="Arial" w:cs="Arial"/>
          <w:szCs w:val="24"/>
        </w:rPr>
        <w:t>cover</w:t>
      </w:r>
      <w:r w:rsidRPr="00972C6A">
        <w:rPr>
          <w:rFonts w:ascii="Arial" w:hAnsi="Arial" w:cs="Arial"/>
          <w:szCs w:val="24"/>
        </w:rPr>
        <w:t xml:space="preserve">s a disclosure of information that is necessary to plan for, meet or monitor infrastructure and resource needs in one or more schools. </w:t>
      </w:r>
    </w:p>
    <w:p w14:paraId="5FA612F3" w14:textId="5DE4F7DB" w:rsidR="00FE2479" w:rsidRPr="00972C6A" w:rsidRDefault="00F73703" w:rsidP="00972C6A">
      <w:pPr>
        <w:spacing w:before="120"/>
        <w:rPr>
          <w:rFonts w:ascii="Arial" w:hAnsi="Arial" w:cs="Arial"/>
          <w:b/>
          <w:bCs/>
          <w:szCs w:val="24"/>
        </w:rPr>
      </w:pPr>
      <w:r w:rsidRPr="00972C6A">
        <w:rPr>
          <w:rFonts w:ascii="Arial" w:hAnsi="Arial" w:cs="Arial"/>
          <w:b/>
          <w:bCs/>
          <w:szCs w:val="24"/>
        </w:rPr>
        <w:t>Section 19 – Public housing administration</w:t>
      </w:r>
    </w:p>
    <w:p w14:paraId="3F4DCE46" w14:textId="1DFC0649" w:rsidR="00F701ED" w:rsidRPr="00972C6A" w:rsidRDefault="00DD48B9"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Pr="00972C6A">
        <w:rPr>
          <w:rFonts w:ascii="Arial" w:hAnsi="Arial" w:cs="Arial"/>
          <w:szCs w:val="24"/>
        </w:rPr>
        <w:t xml:space="preserve"> a disclosure </w:t>
      </w:r>
      <w:r w:rsidR="000376C4" w:rsidRPr="00972C6A">
        <w:rPr>
          <w:rFonts w:ascii="Arial" w:hAnsi="Arial" w:cs="Arial"/>
          <w:szCs w:val="24"/>
        </w:rPr>
        <w:t xml:space="preserve">of information </w:t>
      </w:r>
      <w:r w:rsidR="00A53205" w:rsidRPr="00972C6A">
        <w:rPr>
          <w:rFonts w:ascii="Arial" w:hAnsi="Arial" w:cs="Arial"/>
          <w:szCs w:val="24"/>
        </w:rPr>
        <w:t xml:space="preserve">to a department or authority of a </w:t>
      </w:r>
      <w:r w:rsidR="00B841CA" w:rsidRPr="00972C6A">
        <w:rPr>
          <w:rFonts w:ascii="Arial" w:hAnsi="Arial" w:cs="Arial"/>
          <w:szCs w:val="24"/>
        </w:rPr>
        <w:t>S</w:t>
      </w:r>
      <w:r w:rsidR="00A53205" w:rsidRPr="00972C6A">
        <w:rPr>
          <w:rFonts w:ascii="Arial" w:hAnsi="Arial" w:cs="Arial"/>
          <w:szCs w:val="24"/>
        </w:rPr>
        <w:t xml:space="preserve">tate or </w:t>
      </w:r>
      <w:r w:rsidR="00B841CA" w:rsidRPr="00972C6A">
        <w:rPr>
          <w:rFonts w:ascii="Arial" w:hAnsi="Arial" w:cs="Arial"/>
          <w:szCs w:val="24"/>
        </w:rPr>
        <w:t>T</w:t>
      </w:r>
      <w:r w:rsidR="00A53205" w:rsidRPr="00972C6A">
        <w:rPr>
          <w:rFonts w:ascii="Arial" w:hAnsi="Arial" w:cs="Arial"/>
          <w:szCs w:val="24"/>
        </w:rPr>
        <w:t xml:space="preserve">erritory, or an agent or contracted service provider of a department or authority of a </w:t>
      </w:r>
      <w:r w:rsidR="00F6349A" w:rsidRPr="00972C6A">
        <w:rPr>
          <w:rFonts w:ascii="Arial" w:hAnsi="Arial" w:cs="Arial"/>
          <w:szCs w:val="24"/>
        </w:rPr>
        <w:t>S</w:t>
      </w:r>
      <w:r w:rsidR="00A53205" w:rsidRPr="00972C6A">
        <w:rPr>
          <w:rFonts w:ascii="Arial" w:hAnsi="Arial" w:cs="Arial"/>
          <w:szCs w:val="24"/>
        </w:rPr>
        <w:t xml:space="preserve">tate or </w:t>
      </w:r>
      <w:r w:rsidR="00F6349A" w:rsidRPr="00972C6A">
        <w:rPr>
          <w:rFonts w:ascii="Arial" w:hAnsi="Arial" w:cs="Arial"/>
          <w:szCs w:val="24"/>
        </w:rPr>
        <w:t>T</w:t>
      </w:r>
      <w:r w:rsidR="00A53205" w:rsidRPr="00972C6A">
        <w:rPr>
          <w:rFonts w:ascii="Arial" w:hAnsi="Arial" w:cs="Arial"/>
          <w:szCs w:val="24"/>
        </w:rPr>
        <w:t>erritory, if</w:t>
      </w:r>
      <w:r w:rsidR="00F701ED" w:rsidRPr="00972C6A">
        <w:rPr>
          <w:rFonts w:ascii="Arial" w:hAnsi="Arial" w:cs="Arial"/>
          <w:szCs w:val="24"/>
        </w:rPr>
        <w:t>:</w:t>
      </w:r>
    </w:p>
    <w:p w14:paraId="33E03B83" w14:textId="7702EABE" w:rsidR="00E367F4" w:rsidRPr="00972C6A" w:rsidRDefault="00A53205" w:rsidP="00972C6A">
      <w:pPr>
        <w:pStyle w:val="ListParagraph"/>
        <w:numPr>
          <w:ilvl w:val="0"/>
          <w:numId w:val="46"/>
        </w:numPr>
        <w:spacing w:before="120"/>
        <w:rPr>
          <w:rFonts w:ascii="Arial" w:hAnsi="Arial" w:cs="Arial"/>
          <w:szCs w:val="24"/>
        </w:rPr>
      </w:pPr>
      <w:r w:rsidRPr="00972C6A">
        <w:rPr>
          <w:rFonts w:ascii="Arial" w:hAnsi="Arial" w:cs="Arial"/>
          <w:szCs w:val="24"/>
        </w:rPr>
        <w:t xml:space="preserve">the information relates to a person involved in public housing or other </w:t>
      </w:r>
      <w:r w:rsidR="00700075" w:rsidRPr="00972C6A">
        <w:rPr>
          <w:rFonts w:ascii="Arial" w:hAnsi="Arial" w:cs="Arial"/>
          <w:szCs w:val="24"/>
        </w:rPr>
        <w:t>S</w:t>
      </w:r>
      <w:r w:rsidRPr="00972C6A">
        <w:rPr>
          <w:rFonts w:ascii="Arial" w:hAnsi="Arial" w:cs="Arial"/>
          <w:szCs w:val="24"/>
        </w:rPr>
        <w:t xml:space="preserve">tate or </w:t>
      </w:r>
      <w:r w:rsidR="00700075" w:rsidRPr="00972C6A">
        <w:rPr>
          <w:rFonts w:ascii="Arial" w:hAnsi="Arial" w:cs="Arial"/>
          <w:szCs w:val="24"/>
        </w:rPr>
        <w:t>T</w:t>
      </w:r>
      <w:r w:rsidRPr="00972C6A">
        <w:rPr>
          <w:rFonts w:ascii="Arial" w:hAnsi="Arial" w:cs="Arial"/>
          <w:szCs w:val="24"/>
        </w:rPr>
        <w:t>erritory managed housing</w:t>
      </w:r>
      <w:r w:rsidR="00D36419" w:rsidRPr="00972C6A">
        <w:rPr>
          <w:rFonts w:ascii="Arial" w:hAnsi="Arial" w:cs="Arial"/>
          <w:szCs w:val="24"/>
        </w:rPr>
        <w:t>;</w:t>
      </w:r>
      <w:r w:rsidRPr="00972C6A">
        <w:rPr>
          <w:rFonts w:ascii="Arial" w:hAnsi="Arial" w:cs="Arial"/>
          <w:szCs w:val="24"/>
        </w:rPr>
        <w:t xml:space="preserve"> and </w:t>
      </w:r>
    </w:p>
    <w:p w14:paraId="402DF557" w14:textId="3D95B8D3" w:rsidR="00A53205" w:rsidRPr="00972C6A" w:rsidRDefault="00A53205" w:rsidP="00972C6A">
      <w:pPr>
        <w:pStyle w:val="ListParagraph"/>
        <w:numPr>
          <w:ilvl w:val="0"/>
          <w:numId w:val="46"/>
        </w:numPr>
        <w:spacing w:before="120"/>
        <w:rPr>
          <w:rFonts w:ascii="Arial" w:hAnsi="Arial" w:cs="Arial"/>
          <w:szCs w:val="24"/>
        </w:rPr>
      </w:pPr>
      <w:r w:rsidRPr="00972C6A">
        <w:rPr>
          <w:rFonts w:ascii="Arial" w:hAnsi="Arial" w:cs="Arial"/>
          <w:szCs w:val="24"/>
        </w:rPr>
        <w:t xml:space="preserve">subsection 19(2) applies. </w:t>
      </w:r>
    </w:p>
    <w:p w14:paraId="3E29EB90" w14:textId="33E8434E" w:rsidR="00A53205" w:rsidRPr="00972C6A" w:rsidRDefault="00A53205" w:rsidP="00972C6A">
      <w:pPr>
        <w:spacing w:before="120"/>
        <w:rPr>
          <w:rFonts w:ascii="Arial" w:hAnsi="Arial" w:cs="Arial"/>
          <w:szCs w:val="24"/>
        </w:rPr>
      </w:pPr>
      <w:r w:rsidRPr="00972C6A">
        <w:rPr>
          <w:rFonts w:ascii="Arial" w:hAnsi="Arial" w:cs="Arial"/>
          <w:szCs w:val="24"/>
        </w:rPr>
        <w:t xml:space="preserve">Subsection 19(2) </w:t>
      </w:r>
      <w:r w:rsidR="00E8239A" w:rsidRPr="00972C6A">
        <w:rPr>
          <w:rFonts w:ascii="Arial" w:hAnsi="Arial" w:cs="Arial"/>
          <w:szCs w:val="24"/>
        </w:rPr>
        <w:t>applies</w:t>
      </w:r>
      <w:r w:rsidR="000D62EB" w:rsidRPr="00972C6A">
        <w:rPr>
          <w:rFonts w:ascii="Arial" w:hAnsi="Arial" w:cs="Arial"/>
          <w:szCs w:val="24"/>
        </w:rPr>
        <w:t xml:space="preserve"> </w:t>
      </w:r>
      <w:r w:rsidR="00E8239A" w:rsidRPr="00972C6A">
        <w:rPr>
          <w:rFonts w:ascii="Arial" w:hAnsi="Arial" w:cs="Arial"/>
          <w:szCs w:val="24"/>
        </w:rPr>
        <w:t>if the disclosure is</w:t>
      </w:r>
      <w:r w:rsidR="000D62EB" w:rsidRPr="00972C6A">
        <w:rPr>
          <w:rFonts w:ascii="Arial" w:hAnsi="Arial" w:cs="Arial"/>
          <w:szCs w:val="24"/>
        </w:rPr>
        <w:t xml:space="preserve"> </w:t>
      </w:r>
      <w:r w:rsidRPr="00972C6A">
        <w:rPr>
          <w:rFonts w:ascii="Arial" w:hAnsi="Arial" w:cs="Arial"/>
          <w:szCs w:val="24"/>
        </w:rPr>
        <w:t>necessary</w:t>
      </w:r>
      <w:r w:rsidR="000D62EB" w:rsidRPr="00972C6A">
        <w:rPr>
          <w:rFonts w:ascii="Arial" w:hAnsi="Arial" w:cs="Arial"/>
          <w:szCs w:val="24"/>
        </w:rPr>
        <w:t xml:space="preserve"> for one or more of the following purposes</w:t>
      </w:r>
      <w:r w:rsidRPr="00972C6A">
        <w:rPr>
          <w:rFonts w:ascii="Arial" w:hAnsi="Arial" w:cs="Arial"/>
          <w:szCs w:val="24"/>
        </w:rPr>
        <w:t xml:space="preserve">: </w:t>
      </w:r>
    </w:p>
    <w:p w14:paraId="693ECECC" w14:textId="77777777" w:rsidR="00A53205" w:rsidRPr="00972C6A" w:rsidRDefault="00A53205" w:rsidP="00972C6A">
      <w:pPr>
        <w:numPr>
          <w:ilvl w:val="0"/>
          <w:numId w:val="26"/>
        </w:numPr>
        <w:spacing w:before="120"/>
        <w:rPr>
          <w:rFonts w:ascii="Arial" w:hAnsi="Arial" w:cs="Arial"/>
          <w:szCs w:val="24"/>
        </w:rPr>
      </w:pPr>
      <w:r w:rsidRPr="00972C6A">
        <w:rPr>
          <w:rFonts w:ascii="Arial" w:hAnsi="Arial" w:cs="Arial"/>
          <w:szCs w:val="24"/>
        </w:rPr>
        <w:t xml:space="preserve">facilitating rent calculation or </w:t>
      </w:r>
      <w:proofErr w:type="gramStart"/>
      <w:r w:rsidRPr="00972C6A">
        <w:rPr>
          <w:rFonts w:ascii="Arial" w:hAnsi="Arial" w:cs="Arial"/>
          <w:szCs w:val="24"/>
        </w:rPr>
        <w:t>deduction;</w:t>
      </w:r>
      <w:proofErr w:type="gramEnd"/>
      <w:r w:rsidRPr="00972C6A">
        <w:rPr>
          <w:rFonts w:ascii="Arial" w:hAnsi="Arial" w:cs="Arial"/>
          <w:szCs w:val="24"/>
        </w:rPr>
        <w:t xml:space="preserve"> </w:t>
      </w:r>
    </w:p>
    <w:p w14:paraId="29905FFF" w14:textId="2C38ECE6" w:rsidR="00A53205" w:rsidRPr="00972C6A" w:rsidRDefault="00A53205" w:rsidP="00972C6A">
      <w:pPr>
        <w:numPr>
          <w:ilvl w:val="0"/>
          <w:numId w:val="26"/>
        </w:numPr>
        <w:spacing w:before="120"/>
        <w:rPr>
          <w:rFonts w:ascii="Arial" w:hAnsi="Arial" w:cs="Arial"/>
          <w:szCs w:val="24"/>
        </w:rPr>
      </w:pPr>
      <w:r w:rsidRPr="00972C6A">
        <w:rPr>
          <w:rFonts w:ascii="Arial" w:hAnsi="Arial" w:cs="Arial"/>
          <w:szCs w:val="24"/>
        </w:rPr>
        <w:t>facilitating the administration of an income confirmation service to avoid mistakes, underpayments and overpayments of rent, pensions, benefits and allowances;</w:t>
      </w:r>
      <w:r w:rsidR="001D196F" w:rsidRPr="00972C6A">
        <w:rPr>
          <w:rFonts w:ascii="Arial" w:hAnsi="Arial" w:cs="Arial"/>
          <w:szCs w:val="24"/>
        </w:rPr>
        <w:t xml:space="preserve"> and</w:t>
      </w:r>
    </w:p>
    <w:p w14:paraId="286199D3" w14:textId="4C42B1DF" w:rsidR="00A53205" w:rsidRPr="00972C6A" w:rsidRDefault="00A53205" w:rsidP="00972C6A">
      <w:pPr>
        <w:numPr>
          <w:ilvl w:val="0"/>
          <w:numId w:val="26"/>
        </w:numPr>
        <w:spacing w:before="120"/>
        <w:rPr>
          <w:rFonts w:ascii="Arial" w:hAnsi="Arial" w:cs="Arial"/>
          <w:szCs w:val="24"/>
        </w:rPr>
      </w:pPr>
      <w:r w:rsidRPr="00972C6A">
        <w:rPr>
          <w:rFonts w:ascii="Arial" w:hAnsi="Arial" w:cs="Arial"/>
          <w:szCs w:val="24"/>
        </w:rPr>
        <w:t>investigating or tak</w:t>
      </w:r>
      <w:r w:rsidR="001D196F" w:rsidRPr="00972C6A">
        <w:rPr>
          <w:rFonts w:ascii="Arial" w:hAnsi="Arial" w:cs="Arial"/>
          <w:szCs w:val="24"/>
        </w:rPr>
        <w:t>ing</w:t>
      </w:r>
      <w:r w:rsidRPr="00972C6A">
        <w:rPr>
          <w:rFonts w:ascii="Arial" w:hAnsi="Arial" w:cs="Arial"/>
          <w:szCs w:val="24"/>
        </w:rPr>
        <w:t xml:space="preserve"> enforcement action in relation to public housing or </w:t>
      </w:r>
      <w:r w:rsidR="001D196F" w:rsidRPr="00972C6A">
        <w:rPr>
          <w:rFonts w:ascii="Arial" w:hAnsi="Arial" w:cs="Arial"/>
          <w:szCs w:val="24"/>
        </w:rPr>
        <w:t>S</w:t>
      </w:r>
      <w:r w:rsidRPr="00972C6A">
        <w:rPr>
          <w:rFonts w:ascii="Arial" w:hAnsi="Arial" w:cs="Arial"/>
          <w:szCs w:val="24"/>
        </w:rPr>
        <w:t xml:space="preserve">tate or </w:t>
      </w:r>
      <w:r w:rsidR="001D196F" w:rsidRPr="00972C6A">
        <w:rPr>
          <w:rFonts w:ascii="Arial" w:hAnsi="Arial" w:cs="Arial"/>
          <w:szCs w:val="24"/>
        </w:rPr>
        <w:t>T</w:t>
      </w:r>
      <w:r w:rsidRPr="00972C6A">
        <w:rPr>
          <w:rFonts w:ascii="Arial" w:hAnsi="Arial" w:cs="Arial"/>
          <w:szCs w:val="24"/>
        </w:rPr>
        <w:t>erritory managed housing, including assistance with investigations into misreporting of income by tenants, or unauthorised occupation of public housing by any person.</w:t>
      </w:r>
    </w:p>
    <w:p w14:paraId="42D521B4" w14:textId="7F6410C5" w:rsidR="00DD48B9" w:rsidRPr="00972C6A" w:rsidRDefault="00647DD0" w:rsidP="00972C6A">
      <w:pPr>
        <w:jc w:val="both"/>
        <w:rPr>
          <w:rFonts w:ascii="Arial" w:hAnsi="Arial" w:cs="Arial"/>
          <w:bCs/>
          <w:szCs w:val="24"/>
        </w:rPr>
      </w:pPr>
      <w:r w:rsidRPr="00972C6A">
        <w:rPr>
          <w:rFonts w:ascii="Arial" w:hAnsi="Arial" w:cs="Arial"/>
          <w:bCs/>
          <w:szCs w:val="24"/>
        </w:rPr>
        <w:t xml:space="preserve">The disclosure of information under this provision </w:t>
      </w:r>
      <w:r w:rsidR="001E2531" w:rsidRPr="00972C6A">
        <w:rPr>
          <w:rFonts w:ascii="Arial" w:hAnsi="Arial" w:cs="Arial"/>
          <w:bCs/>
          <w:szCs w:val="24"/>
        </w:rPr>
        <w:t>facili</w:t>
      </w:r>
      <w:r w:rsidR="00370828" w:rsidRPr="00972C6A">
        <w:rPr>
          <w:rFonts w:ascii="Arial" w:hAnsi="Arial" w:cs="Arial"/>
          <w:bCs/>
          <w:szCs w:val="24"/>
        </w:rPr>
        <w:t>t</w:t>
      </w:r>
      <w:r w:rsidR="001E2531" w:rsidRPr="00972C6A">
        <w:rPr>
          <w:rFonts w:ascii="Arial" w:hAnsi="Arial" w:cs="Arial"/>
          <w:bCs/>
          <w:szCs w:val="24"/>
        </w:rPr>
        <w:t xml:space="preserve">ates </w:t>
      </w:r>
      <w:r w:rsidRPr="00972C6A">
        <w:rPr>
          <w:rFonts w:ascii="Arial" w:hAnsi="Arial" w:cs="Arial"/>
          <w:bCs/>
          <w:szCs w:val="24"/>
        </w:rPr>
        <w:t xml:space="preserve">administrative efficiency for government agencies and those in public housing who need to have their rents determined according to their household income. </w:t>
      </w:r>
      <w:r w:rsidR="00A53205" w:rsidRPr="00972C6A">
        <w:rPr>
          <w:rFonts w:ascii="Arial" w:hAnsi="Arial" w:cs="Arial"/>
          <w:szCs w:val="24"/>
        </w:rPr>
        <w:t>Th</w:t>
      </w:r>
      <w:r w:rsidR="00433EE8" w:rsidRPr="00972C6A">
        <w:rPr>
          <w:rFonts w:ascii="Arial" w:hAnsi="Arial" w:cs="Arial"/>
          <w:szCs w:val="24"/>
        </w:rPr>
        <w:t>is</w:t>
      </w:r>
      <w:r w:rsidR="00A53205" w:rsidRPr="00972C6A">
        <w:rPr>
          <w:rFonts w:ascii="Arial" w:hAnsi="Arial" w:cs="Arial"/>
          <w:szCs w:val="24"/>
        </w:rPr>
        <w:t xml:space="preserve"> </w:t>
      </w:r>
      <w:r w:rsidR="00433EE8" w:rsidRPr="00972C6A">
        <w:rPr>
          <w:rFonts w:ascii="Arial" w:hAnsi="Arial" w:cs="Arial"/>
          <w:szCs w:val="24"/>
        </w:rPr>
        <w:t>provision</w:t>
      </w:r>
      <w:r w:rsidR="00561174" w:rsidRPr="00972C6A">
        <w:rPr>
          <w:rFonts w:ascii="Arial" w:hAnsi="Arial" w:cs="Arial"/>
          <w:szCs w:val="24"/>
        </w:rPr>
        <w:t xml:space="preserve"> </w:t>
      </w:r>
      <w:r w:rsidR="00A53205" w:rsidRPr="00972C6A">
        <w:rPr>
          <w:rFonts w:ascii="Arial" w:hAnsi="Arial" w:cs="Arial"/>
          <w:szCs w:val="24"/>
        </w:rPr>
        <w:t>further support</w:t>
      </w:r>
      <w:r w:rsidR="00433EE8" w:rsidRPr="00972C6A">
        <w:rPr>
          <w:rFonts w:ascii="Arial" w:hAnsi="Arial" w:cs="Arial"/>
          <w:szCs w:val="24"/>
        </w:rPr>
        <w:t>s</w:t>
      </w:r>
      <w:r w:rsidR="00A53205" w:rsidRPr="00972C6A">
        <w:rPr>
          <w:rFonts w:ascii="Arial" w:hAnsi="Arial" w:cs="Arial"/>
          <w:szCs w:val="24"/>
        </w:rPr>
        <w:t xml:space="preserve"> </w:t>
      </w:r>
      <w:r w:rsidR="00A53205" w:rsidRPr="00972C6A">
        <w:rPr>
          <w:rFonts w:ascii="Arial" w:hAnsi="Arial" w:cs="Arial"/>
          <w:szCs w:val="24"/>
        </w:rPr>
        <w:lastRenderedPageBreak/>
        <w:t>existing income confirmation services and provide</w:t>
      </w:r>
      <w:r w:rsidR="00837B65" w:rsidRPr="00972C6A">
        <w:rPr>
          <w:rFonts w:ascii="Arial" w:hAnsi="Arial" w:cs="Arial"/>
          <w:szCs w:val="24"/>
        </w:rPr>
        <w:t>s</w:t>
      </w:r>
      <w:r w:rsidR="00A53205" w:rsidRPr="00972C6A">
        <w:rPr>
          <w:rFonts w:ascii="Arial" w:hAnsi="Arial" w:cs="Arial"/>
          <w:szCs w:val="24"/>
        </w:rPr>
        <w:t xml:space="preserve"> a clear basis to disclose information where it is necessary to investigate fraudulent activity and the misuse of public housing.</w:t>
      </w:r>
    </w:p>
    <w:p w14:paraId="4E29A94E" w14:textId="486CEC30" w:rsidR="000376C4" w:rsidRPr="00972C6A" w:rsidRDefault="000376C4" w:rsidP="00972C6A">
      <w:pPr>
        <w:spacing w:before="120"/>
        <w:rPr>
          <w:rFonts w:ascii="Arial" w:hAnsi="Arial" w:cs="Arial"/>
          <w:b/>
          <w:bCs/>
          <w:szCs w:val="24"/>
        </w:rPr>
      </w:pPr>
      <w:r w:rsidRPr="00972C6A">
        <w:rPr>
          <w:rFonts w:ascii="Arial" w:hAnsi="Arial" w:cs="Arial"/>
          <w:b/>
          <w:bCs/>
          <w:szCs w:val="24"/>
        </w:rPr>
        <w:t xml:space="preserve">Section 20 – </w:t>
      </w:r>
      <w:r w:rsidR="000D62EB" w:rsidRPr="00972C6A">
        <w:rPr>
          <w:rFonts w:ascii="Arial" w:hAnsi="Arial" w:cs="Arial"/>
          <w:b/>
          <w:bCs/>
          <w:szCs w:val="24"/>
        </w:rPr>
        <w:t>Family Responsibilities Commission</w:t>
      </w:r>
    </w:p>
    <w:p w14:paraId="59FD3CB4" w14:textId="5A69271B" w:rsidR="00E96CE5" w:rsidRPr="00972C6A" w:rsidRDefault="000376C4"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Pr="00972C6A">
        <w:rPr>
          <w:rFonts w:ascii="Arial" w:hAnsi="Arial" w:cs="Arial"/>
          <w:szCs w:val="24"/>
        </w:rPr>
        <w:t xml:space="preserve"> a disclosure of information that is necessary to assist in the performance of the functions, or the exercise of the powers</w:t>
      </w:r>
      <w:r w:rsidR="001D196F" w:rsidRPr="00972C6A">
        <w:rPr>
          <w:rFonts w:ascii="Arial" w:hAnsi="Arial" w:cs="Arial"/>
          <w:szCs w:val="24"/>
        </w:rPr>
        <w:t>,</w:t>
      </w:r>
      <w:r w:rsidRPr="00972C6A">
        <w:rPr>
          <w:rFonts w:ascii="Arial" w:hAnsi="Arial" w:cs="Arial"/>
          <w:szCs w:val="24"/>
        </w:rPr>
        <w:t xml:space="preserve"> of the </w:t>
      </w:r>
      <w:r w:rsidR="00E96CE5" w:rsidRPr="00972C6A">
        <w:rPr>
          <w:rFonts w:ascii="Arial" w:hAnsi="Arial" w:cs="Arial"/>
          <w:szCs w:val="24"/>
        </w:rPr>
        <w:t xml:space="preserve">Queensland </w:t>
      </w:r>
      <w:r w:rsidRPr="00972C6A">
        <w:rPr>
          <w:rFonts w:ascii="Arial" w:hAnsi="Arial" w:cs="Arial"/>
          <w:szCs w:val="24"/>
        </w:rPr>
        <w:t>Family Responsibilities Commission</w:t>
      </w:r>
      <w:r w:rsidR="00E96CE5" w:rsidRPr="00972C6A">
        <w:rPr>
          <w:rFonts w:ascii="Arial" w:hAnsi="Arial" w:cs="Arial"/>
          <w:szCs w:val="24"/>
        </w:rPr>
        <w:t xml:space="preserve"> (‘FRC’)</w:t>
      </w:r>
      <w:r w:rsidRPr="00972C6A">
        <w:rPr>
          <w:rFonts w:ascii="Arial" w:hAnsi="Arial" w:cs="Arial"/>
          <w:szCs w:val="24"/>
        </w:rPr>
        <w:t>.</w:t>
      </w:r>
    </w:p>
    <w:p w14:paraId="026DED98" w14:textId="31E0F9C7" w:rsidR="00C12B63" w:rsidRPr="00972C6A" w:rsidRDefault="00E96CE5" w:rsidP="00972C6A">
      <w:pPr>
        <w:spacing w:before="120"/>
      </w:pPr>
      <w:r w:rsidRPr="00972C6A">
        <w:rPr>
          <w:rFonts w:ascii="Arial" w:hAnsi="Arial" w:cs="Arial"/>
          <w:szCs w:val="24"/>
        </w:rPr>
        <w:t xml:space="preserve">This </w:t>
      </w:r>
      <w:r w:rsidR="0051234A" w:rsidRPr="00972C6A">
        <w:rPr>
          <w:rFonts w:ascii="Arial" w:hAnsi="Arial" w:cs="Arial"/>
          <w:szCs w:val="24"/>
        </w:rPr>
        <w:t>is aimed at supporting the FRC</w:t>
      </w:r>
      <w:r w:rsidR="001D196F" w:rsidRPr="00972C6A">
        <w:rPr>
          <w:rFonts w:ascii="Arial" w:hAnsi="Arial" w:cs="Arial"/>
          <w:szCs w:val="24"/>
        </w:rPr>
        <w:t>,</w:t>
      </w:r>
      <w:r w:rsidR="0051234A" w:rsidRPr="00972C6A">
        <w:rPr>
          <w:rFonts w:ascii="Arial" w:hAnsi="Arial" w:cs="Arial"/>
          <w:szCs w:val="24"/>
        </w:rPr>
        <w:t xml:space="preserve"> which </w:t>
      </w:r>
      <w:r w:rsidR="001D196F" w:rsidRPr="00972C6A">
        <w:rPr>
          <w:rFonts w:ascii="Arial" w:hAnsi="Arial" w:cs="Arial"/>
          <w:szCs w:val="24"/>
        </w:rPr>
        <w:t>was</w:t>
      </w:r>
      <w:r w:rsidR="0051234A" w:rsidRPr="00972C6A">
        <w:rPr>
          <w:rFonts w:ascii="Arial" w:hAnsi="Arial" w:cs="Arial"/>
          <w:szCs w:val="24"/>
        </w:rPr>
        <w:t xml:space="preserve"> established by the </w:t>
      </w:r>
      <w:r w:rsidR="0051234A" w:rsidRPr="00972C6A">
        <w:rPr>
          <w:rFonts w:ascii="Arial" w:hAnsi="Arial" w:cs="Arial"/>
          <w:i/>
          <w:iCs/>
          <w:szCs w:val="24"/>
        </w:rPr>
        <w:t>Family Resp</w:t>
      </w:r>
      <w:r w:rsidR="00EB45CE" w:rsidRPr="00972C6A">
        <w:rPr>
          <w:rFonts w:ascii="Arial" w:hAnsi="Arial" w:cs="Arial"/>
          <w:i/>
          <w:iCs/>
          <w:szCs w:val="24"/>
        </w:rPr>
        <w:t xml:space="preserve">onsibilities Commission Act 2008 </w:t>
      </w:r>
      <w:r w:rsidR="00EB45CE" w:rsidRPr="00972C6A">
        <w:rPr>
          <w:rFonts w:ascii="Arial" w:hAnsi="Arial" w:cs="Arial"/>
          <w:szCs w:val="24"/>
        </w:rPr>
        <w:t>(Qld).</w:t>
      </w:r>
      <w:r w:rsidR="00E41FB4" w:rsidRPr="00972C6A">
        <w:rPr>
          <w:rFonts w:ascii="Arial" w:hAnsi="Arial" w:cs="Arial"/>
          <w:szCs w:val="24"/>
        </w:rPr>
        <w:t xml:space="preserve"> Among other things, the provision supports the disclosure of relevant information to support decision-making by the FRC. This would include enabling the FRC to correctly identify persons who are within its jurisdiction. </w:t>
      </w:r>
      <w:r w:rsidR="00EB45CE" w:rsidRPr="00972C6A">
        <w:rPr>
          <w:rFonts w:ascii="Arial" w:hAnsi="Arial" w:cs="Arial"/>
          <w:szCs w:val="24"/>
        </w:rPr>
        <w:t xml:space="preserve"> </w:t>
      </w:r>
    </w:p>
    <w:p w14:paraId="25657C46" w14:textId="3552D931" w:rsidR="0094065E" w:rsidRPr="00972C6A" w:rsidRDefault="0094065E" w:rsidP="00972C6A">
      <w:pPr>
        <w:spacing w:before="120"/>
        <w:rPr>
          <w:rFonts w:ascii="Arial" w:hAnsi="Arial" w:cs="Arial"/>
          <w:b/>
          <w:bCs/>
          <w:szCs w:val="24"/>
        </w:rPr>
      </w:pPr>
      <w:r w:rsidRPr="00972C6A">
        <w:rPr>
          <w:rFonts w:ascii="Arial" w:hAnsi="Arial" w:cs="Arial"/>
          <w:b/>
          <w:bCs/>
          <w:szCs w:val="24"/>
        </w:rPr>
        <w:t>Section 21 – Reparations</w:t>
      </w:r>
    </w:p>
    <w:p w14:paraId="379B7881" w14:textId="1E1B76B0" w:rsidR="0094065E" w:rsidRPr="00972C6A" w:rsidRDefault="0094065E" w:rsidP="00972C6A">
      <w:pPr>
        <w:pStyle w:val="Numbered"/>
        <w:numPr>
          <w:ilvl w:val="0"/>
          <w:numId w:val="0"/>
        </w:numPr>
        <w:spacing w:before="180" w:after="0"/>
        <w:jc w:val="both"/>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Pr="00972C6A">
        <w:rPr>
          <w:rFonts w:ascii="Arial" w:hAnsi="Arial" w:cs="Arial"/>
          <w:szCs w:val="24"/>
        </w:rPr>
        <w:t xml:space="preserve"> a disclosure of information where the information will be used by a State, Territory or Commonwealth </w:t>
      </w:r>
      <w:r w:rsidR="001D196F" w:rsidRPr="00972C6A">
        <w:rPr>
          <w:rFonts w:ascii="Arial" w:hAnsi="Arial" w:cs="Arial"/>
          <w:szCs w:val="24"/>
        </w:rPr>
        <w:t xml:space="preserve">department or authority </w:t>
      </w:r>
      <w:r w:rsidRPr="00972C6A">
        <w:rPr>
          <w:rFonts w:ascii="Arial" w:hAnsi="Arial" w:cs="Arial"/>
          <w:szCs w:val="24"/>
        </w:rPr>
        <w:t xml:space="preserve">for the purpose of contacting someone in respect of their possible entitlement to compensation or other forms of </w:t>
      </w:r>
      <w:proofErr w:type="gramStart"/>
      <w:r w:rsidRPr="00972C6A">
        <w:rPr>
          <w:rFonts w:ascii="Arial" w:hAnsi="Arial" w:cs="Arial"/>
          <w:szCs w:val="24"/>
        </w:rPr>
        <w:t>recompense</w:t>
      </w:r>
      <w:proofErr w:type="gramEnd"/>
      <w:r w:rsidRPr="00972C6A">
        <w:rPr>
          <w:rFonts w:ascii="Arial" w:hAnsi="Arial" w:cs="Arial"/>
          <w:szCs w:val="24"/>
        </w:rPr>
        <w:t xml:space="preserve"> in a reparation process.</w:t>
      </w:r>
      <w:r w:rsidR="00BF3A7B" w:rsidRPr="00972C6A">
        <w:rPr>
          <w:rFonts w:ascii="Arial" w:hAnsi="Arial" w:cs="Arial"/>
          <w:szCs w:val="24"/>
        </w:rPr>
        <w:t xml:space="preserve"> </w:t>
      </w:r>
    </w:p>
    <w:p w14:paraId="6DDE0F12" w14:textId="20142418" w:rsidR="00F66850" w:rsidRPr="00972C6A" w:rsidRDefault="000D62EB" w:rsidP="00972C6A">
      <w:pPr>
        <w:spacing w:before="120"/>
        <w:rPr>
          <w:rFonts w:ascii="Arial" w:hAnsi="Arial" w:cs="Arial"/>
          <w:b/>
          <w:bCs/>
          <w:szCs w:val="24"/>
        </w:rPr>
      </w:pPr>
      <w:r w:rsidRPr="00972C6A">
        <w:rPr>
          <w:rFonts w:ascii="Arial" w:hAnsi="Arial" w:cs="Arial"/>
          <w:b/>
          <w:bCs/>
          <w:szCs w:val="24"/>
        </w:rPr>
        <w:t>Section 22 – Child protection agencies</w:t>
      </w:r>
    </w:p>
    <w:p w14:paraId="42353A4E" w14:textId="71585B68" w:rsidR="000D62EB" w:rsidRPr="00972C6A" w:rsidRDefault="00F66850" w:rsidP="00972C6A">
      <w:pPr>
        <w:spacing w:before="180"/>
        <w:rPr>
          <w:rFonts w:ascii="Arial" w:hAnsi="Arial" w:cs="Arial"/>
          <w:szCs w:val="24"/>
        </w:rPr>
      </w:pPr>
      <w:r w:rsidRPr="00972C6A">
        <w:rPr>
          <w:rFonts w:ascii="Arial" w:hAnsi="Arial" w:cs="Arial"/>
          <w:bCs/>
          <w:szCs w:val="24"/>
        </w:rPr>
        <w:t>This provision</w:t>
      </w:r>
      <w:r w:rsidRPr="00972C6A">
        <w:rPr>
          <w:rFonts w:ascii="Arial" w:hAnsi="Arial" w:cs="Arial"/>
          <w:szCs w:val="24"/>
        </w:rPr>
        <w:t xml:space="preserve"> covers a disclosure to a State or Territory child protection agency if the disclosure is necessary for the purpose of contacting a child’s parent or relative. For example, section 22 may apply when a child protection agency is seeking to contact a parent to assist in a court case relating to the child. </w:t>
      </w:r>
    </w:p>
    <w:p w14:paraId="624ADA63" w14:textId="347E4630" w:rsidR="00C70C85" w:rsidRPr="00972C6A" w:rsidRDefault="00C70C85" w:rsidP="00972C6A">
      <w:pPr>
        <w:spacing w:before="120"/>
        <w:rPr>
          <w:rFonts w:ascii="Arial" w:hAnsi="Arial" w:cs="Arial"/>
          <w:b/>
          <w:bCs/>
          <w:szCs w:val="24"/>
        </w:rPr>
      </w:pPr>
      <w:r w:rsidRPr="00972C6A">
        <w:rPr>
          <w:rFonts w:ascii="Arial" w:hAnsi="Arial" w:cs="Arial"/>
          <w:b/>
          <w:bCs/>
          <w:szCs w:val="24"/>
        </w:rPr>
        <w:t>Section 23 – Administration and enforcement of the National Law</w:t>
      </w:r>
    </w:p>
    <w:p w14:paraId="36B8C70E" w14:textId="77777777" w:rsidR="00116FCA" w:rsidRPr="00972C6A" w:rsidRDefault="00116FCA" w:rsidP="00972C6A">
      <w:pPr>
        <w:pStyle w:val="Numbered"/>
        <w:numPr>
          <w:ilvl w:val="0"/>
          <w:numId w:val="0"/>
        </w:numPr>
        <w:spacing w:after="0"/>
        <w:jc w:val="both"/>
        <w:rPr>
          <w:rFonts w:ascii="Arial" w:hAnsi="Arial" w:cs="Arial"/>
          <w:szCs w:val="24"/>
          <w:lang w:val="en-AU" w:eastAsia="en-AU"/>
        </w:rPr>
      </w:pPr>
    </w:p>
    <w:p w14:paraId="42604A6C" w14:textId="1EDB2448" w:rsidR="00E65348" w:rsidRPr="00972C6A" w:rsidRDefault="00116FCA" w:rsidP="00972C6A">
      <w:pPr>
        <w:pStyle w:val="Numbered"/>
        <w:numPr>
          <w:ilvl w:val="0"/>
          <w:numId w:val="0"/>
        </w:numPr>
        <w:spacing w:after="0"/>
        <w:jc w:val="both"/>
        <w:rPr>
          <w:rFonts w:ascii="Arial" w:hAnsi="Arial" w:cs="Arial"/>
          <w:szCs w:val="24"/>
          <w:lang w:val="en-AU" w:eastAsia="en-AU"/>
        </w:rPr>
      </w:pPr>
      <w:r w:rsidRPr="00972C6A">
        <w:rPr>
          <w:rFonts w:ascii="Arial" w:hAnsi="Arial" w:cs="Arial"/>
          <w:szCs w:val="24"/>
          <w:lang w:val="en-AU" w:eastAsia="en-AU"/>
        </w:rPr>
        <w:t xml:space="preserve">This provision covers a disclosure to a </w:t>
      </w:r>
      <w:r w:rsidR="00691442" w:rsidRPr="00972C6A">
        <w:rPr>
          <w:rFonts w:ascii="Arial" w:hAnsi="Arial" w:cs="Arial"/>
          <w:szCs w:val="24"/>
          <w:lang w:val="en-AU" w:eastAsia="en-AU"/>
        </w:rPr>
        <w:t xml:space="preserve">State or Territory </w:t>
      </w:r>
      <w:r w:rsidRPr="00972C6A">
        <w:rPr>
          <w:rFonts w:ascii="Arial" w:hAnsi="Arial" w:cs="Arial"/>
          <w:szCs w:val="24"/>
          <w:lang w:val="en-AU" w:eastAsia="en-AU"/>
        </w:rPr>
        <w:t xml:space="preserve">Regulatory Authority or </w:t>
      </w:r>
      <w:r w:rsidR="00691442" w:rsidRPr="00972C6A">
        <w:rPr>
          <w:rFonts w:ascii="Arial" w:hAnsi="Arial" w:cs="Arial"/>
          <w:szCs w:val="24"/>
          <w:lang w:val="en-AU" w:eastAsia="en-AU"/>
        </w:rPr>
        <w:t>the Australian Children’s Education and Care Quality Authority (</w:t>
      </w:r>
      <w:r w:rsidR="001A730C" w:rsidRPr="00972C6A">
        <w:rPr>
          <w:rFonts w:ascii="Arial" w:hAnsi="Arial" w:cs="Arial"/>
          <w:szCs w:val="24"/>
          <w:lang w:val="en-AU" w:eastAsia="en-AU"/>
        </w:rPr>
        <w:t>‘</w:t>
      </w:r>
      <w:r w:rsidR="00691442" w:rsidRPr="00972C6A">
        <w:rPr>
          <w:rFonts w:ascii="Arial" w:hAnsi="Arial" w:cs="Arial"/>
          <w:szCs w:val="24"/>
          <w:lang w:val="en-AU" w:eastAsia="en-AU"/>
        </w:rPr>
        <w:t>ACECQA</w:t>
      </w:r>
      <w:r w:rsidR="001A730C" w:rsidRPr="00972C6A">
        <w:rPr>
          <w:rFonts w:ascii="Arial" w:hAnsi="Arial" w:cs="Arial"/>
          <w:szCs w:val="24"/>
          <w:lang w:val="en-AU" w:eastAsia="en-AU"/>
        </w:rPr>
        <w:t>’</w:t>
      </w:r>
      <w:r w:rsidR="00691442" w:rsidRPr="00972C6A">
        <w:rPr>
          <w:rFonts w:ascii="Arial" w:hAnsi="Arial" w:cs="Arial"/>
          <w:szCs w:val="24"/>
          <w:lang w:val="en-AU" w:eastAsia="en-AU"/>
        </w:rPr>
        <w:t>)</w:t>
      </w:r>
      <w:r w:rsidRPr="00972C6A">
        <w:rPr>
          <w:rFonts w:ascii="Arial" w:hAnsi="Arial" w:cs="Arial"/>
          <w:szCs w:val="24"/>
          <w:lang w:val="en-AU" w:eastAsia="en-AU"/>
        </w:rPr>
        <w:t xml:space="preserve"> for the purposes of </w:t>
      </w:r>
      <w:r w:rsidR="001A730C" w:rsidRPr="00972C6A">
        <w:rPr>
          <w:rFonts w:ascii="Arial" w:hAnsi="Arial" w:cs="Arial"/>
          <w:szCs w:val="24"/>
          <w:lang w:val="en-AU" w:eastAsia="en-AU"/>
        </w:rPr>
        <w:t>the</w:t>
      </w:r>
      <w:r w:rsidRPr="00972C6A">
        <w:rPr>
          <w:rFonts w:ascii="Arial" w:hAnsi="Arial" w:cs="Arial"/>
          <w:szCs w:val="24"/>
          <w:lang w:val="en-AU" w:eastAsia="en-AU"/>
        </w:rPr>
        <w:t xml:space="preserve"> Regulatory Authority or ACECQA where the disclosure is under or connected with the </w:t>
      </w:r>
      <w:r w:rsidR="005F1D77" w:rsidRPr="00972C6A">
        <w:rPr>
          <w:rFonts w:ascii="Arial" w:hAnsi="Arial" w:cs="Arial"/>
          <w:szCs w:val="24"/>
          <w:lang w:val="en-AU" w:eastAsia="en-AU"/>
        </w:rPr>
        <w:t xml:space="preserve">Education and Care Services </w:t>
      </w:r>
      <w:r w:rsidRPr="00972C6A">
        <w:rPr>
          <w:rFonts w:ascii="Arial" w:hAnsi="Arial" w:cs="Arial"/>
          <w:szCs w:val="24"/>
          <w:lang w:val="en-AU" w:eastAsia="en-AU"/>
        </w:rPr>
        <w:t>National Law</w:t>
      </w:r>
      <w:r w:rsidR="00E6318A" w:rsidRPr="00972C6A">
        <w:rPr>
          <w:rFonts w:ascii="Arial" w:hAnsi="Arial" w:cs="Arial"/>
          <w:i/>
          <w:iCs/>
          <w:szCs w:val="24"/>
          <w:lang w:val="en-AU" w:eastAsia="en-AU"/>
        </w:rPr>
        <w:t xml:space="preserve"> </w:t>
      </w:r>
      <w:r w:rsidR="00E65348" w:rsidRPr="00972C6A">
        <w:rPr>
          <w:rFonts w:ascii="Arial" w:hAnsi="Arial" w:cs="Arial"/>
          <w:szCs w:val="24"/>
          <w:lang w:val="en-AU" w:eastAsia="en-AU"/>
        </w:rPr>
        <w:t>set out in the Schedule to the </w:t>
      </w:r>
      <w:r w:rsidR="00E65348" w:rsidRPr="00972C6A">
        <w:rPr>
          <w:rFonts w:ascii="Arial" w:hAnsi="Arial" w:cs="Arial"/>
          <w:i/>
          <w:iCs/>
          <w:szCs w:val="24"/>
          <w:lang w:val="en-AU" w:eastAsia="en-AU"/>
        </w:rPr>
        <w:t>Education and Care Services National Law Act 2010</w:t>
      </w:r>
      <w:r w:rsidR="00E65348" w:rsidRPr="00972C6A">
        <w:rPr>
          <w:rFonts w:ascii="Arial" w:hAnsi="Arial" w:cs="Arial"/>
          <w:szCs w:val="24"/>
          <w:lang w:val="en-AU" w:eastAsia="en-AU"/>
        </w:rPr>
        <w:t> (Vic)</w:t>
      </w:r>
      <w:r w:rsidR="0082742E" w:rsidRPr="00972C6A">
        <w:rPr>
          <w:rFonts w:ascii="Arial" w:hAnsi="Arial" w:cs="Arial"/>
          <w:szCs w:val="24"/>
          <w:lang w:val="en-AU" w:eastAsia="en-AU"/>
        </w:rPr>
        <w:t>.</w:t>
      </w:r>
    </w:p>
    <w:p w14:paraId="56F0E901" w14:textId="37AC140E" w:rsidR="000376C4" w:rsidRPr="00972C6A" w:rsidRDefault="006522BB" w:rsidP="00972C6A">
      <w:pPr>
        <w:spacing w:before="120"/>
        <w:rPr>
          <w:rFonts w:ascii="Arial" w:hAnsi="Arial" w:cs="Arial"/>
          <w:b/>
          <w:bCs/>
          <w:szCs w:val="24"/>
        </w:rPr>
      </w:pPr>
      <w:r w:rsidRPr="00972C6A">
        <w:rPr>
          <w:rFonts w:ascii="Arial" w:hAnsi="Arial" w:cs="Arial"/>
          <w:b/>
          <w:bCs/>
          <w:szCs w:val="24"/>
        </w:rPr>
        <w:t>Section 2</w:t>
      </w:r>
      <w:r w:rsidR="009C1614" w:rsidRPr="00972C6A">
        <w:rPr>
          <w:rFonts w:ascii="Arial" w:hAnsi="Arial" w:cs="Arial"/>
          <w:b/>
          <w:bCs/>
          <w:szCs w:val="24"/>
        </w:rPr>
        <w:t>4</w:t>
      </w:r>
      <w:r w:rsidRPr="00972C6A">
        <w:rPr>
          <w:rFonts w:ascii="Arial" w:hAnsi="Arial" w:cs="Arial"/>
          <w:b/>
          <w:bCs/>
          <w:szCs w:val="24"/>
        </w:rPr>
        <w:t xml:space="preserve"> – </w:t>
      </w:r>
      <w:r w:rsidR="000D62EB" w:rsidRPr="00972C6A">
        <w:rPr>
          <w:rFonts w:ascii="Arial" w:hAnsi="Arial" w:cs="Arial"/>
          <w:b/>
          <w:bCs/>
          <w:szCs w:val="24"/>
        </w:rPr>
        <w:t>Matters of relevance</w:t>
      </w:r>
    </w:p>
    <w:p w14:paraId="5B065B71" w14:textId="479572F3" w:rsidR="00376384" w:rsidRPr="00972C6A" w:rsidRDefault="006522BB"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Pr="00972C6A">
        <w:rPr>
          <w:rFonts w:ascii="Arial" w:hAnsi="Arial" w:cs="Arial"/>
          <w:szCs w:val="24"/>
        </w:rPr>
        <w:t xml:space="preserve"> a disclosure of information </w:t>
      </w:r>
      <w:r w:rsidR="00376384" w:rsidRPr="00972C6A">
        <w:rPr>
          <w:rFonts w:ascii="Arial" w:hAnsi="Arial" w:cs="Arial"/>
          <w:szCs w:val="24"/>
        </w:rPr>
        <w:t>that is necessary to facilitate the progress or resolution of any matters of relevance within the portfolio responsibilities of a department administering any part of the social security or family assistance law.</w:t>
      </w:r>
    </w:p>
    <w:p w14:paraId="41B4DEA3" w14:textId="64FE9061" w:rsidR="006522BB" w:rsidRPr="00972C6A" w:rsidRDefault="00376384" w:rsidP="00972C6A">
      <w:pPr>
        <w:spacing w:before="120"/>
        <w:rPr>
          <w:rFonts w:ascii="Arial" w:hAnsi="Arial" w:cs="Arial"/>
          <w:szCs w:val="24"/>
        </w:rPr>
      </w:pPr>
      <w:r w:rsidRPr="00972C6A">
        <w:rPr>
          <w:rFonts w:ascii="Arial" w:hAnsi="Arial" w:cs="Arial"/>
          <w:bCs/>
          <w:szCs w:val="24"/>
        </w:rPr>
        <w:t>Subsection 24(2)</w:t>
      </w:r>
      <w:r w:rsidRPr="00972C6A">
        <w:rPr>
          <w:rFonts w:ascii="Arial" w:hAnsi="Arial" w:cs="Arial"/>
          <w:szCs w:val="24"/>
        </w:rPr>
        <w:t xml:space="preserve"> provides that a matter of relevance to a department includes a program administered, or activity undertaken, by the department that </w:t>
      </w:r>
      <w:proofErr w:type="gramStart"/>
      <w:r w:rsidRPr="00972C6A">
        <w:rPr>
          <w:rFonts w:ascii="Arial" w:hAnsi="Arial" w:cs="Arial"/>
          <w:szCs w:val="24"/>
        </w:rPr>
        <w:t>provides assistance</w:t>
      </w:r>
      <w:proofErr w:type="gramEnd"/>
      <w:r w:rsidRPr="00972C6A">
        <w:rPr>
          <w:rFonts w:ascii="Arial" w:hAnsi="Arial" w:cs="Arial"/>
          <w:szCs w:val="24"/>
        </w:rPr>
        <w:t xml:space="preserve"> or services to a class of people that includes at least some persons receiving payments or entitlements under the social security law or family assistance law.</w:t>
      </w:r>
    </w:p>
    <w:p w14:paraId="1651613A" w14:textId="77777777" w:rsidR="00476235" w:rsidRPr="00972C6A" w:rsidRDefault="00476235" w:rsidP="00972C6A">
      <w:pPr>
        <w:spacing w:before="120"/>
        <w:rPr>
          <w:rFonts w:ascii="Arial" w:hAnsi="Arial" w:cs="Arial"/>
          <w:szCs w:val="24"/>
        </w:rPr>
      </w:pPr>
      <w:r w:rsidRPr="00972C6A">
        <w:rPr>
          <w:rFonts w:ascii="Arial" w:hAnsi="Arial" w:cs="Arial"/>
          <w:szCs w:val="24"/>
        </w:rPr>
        <w:t xml:space="preserve">DSS and other departments that administer the social security law and family assistance law also administer programs and schemes that deliver additional support and assistance to people who may or may not be in receipt of social security or family assistance payments or entitlements. This additional support does not necessarily fall under the social security law and family assistance law.  Section 24 enables the disclosure of relevant information where it is necessary to facilitate or </w:t>
      </w:r>
      <w:r w:rsidRPr="00972C6A">
        <w:rPr>
          <w:rFonts w:ascii="Arial" w:hAnsi="Arial" w:cs="Arial"/>
          <w:szCs w:val="24"/>
        </w:rPr>
        <w:lastRenderedPageBreak/>
        <w:t xml:space="preserve">progress a departmental program or scheme that is designed to deliver services to support and assist a class of people wholly or partly comprised of social security or family assistance recipients, </w:t>
      </w:r>
      <w:proofErr w:type="gramStart"/>
      <w:r w:rsidRPr="00972C6A">
        <w:rPr>
          <w:rFonts w:ascii="Arial" w:hAnsi="Arial" w:cs="Arial"/>
          <w:szCs w:val="24"/>
        </w:rPr>
        <w:t>whether or not</w:t>
      </w:r>
      <w:proofErr w:type="gramEnd"/>
      <w:r w:rsidRPr="00972C6A">
        <w:rPr>
          <w:rFonts w:ascii="Arial" w:hAnsi="Arial" w:cs="Arial"/>
          <w:szCs w:val="24"/>
        </w:rPr>
        <w:t xml:space="preserve"> that program or scheme is provided under the social security law or family assistance law.</w:t>
      </w:r>
    </w:p>
    <w:p w14:paraId="4B0BB926" w14:textId="77777777" w:rsidR="00476235" w:rsidRPr="00972C6A" w:rsidRDefault="00476235" w:rsidP="00972C6A">
      <w:pPr>
        <w:spacing w:before="0"/>
        <w:rPr>
          <w:rFonts w:ascii="Arial" w:hAnsi="Arial" w:cs="Arial"/>
          <w:szCs w:val="24"/>
        </w:rPr>
      </w:pPr>
    </w:p>
    <w:p w14:paraId="5632C183" w14:textId="2C362F76" w:rsidR="00476235" w:rsidRPr="00972C6A" w:rsidRDefault="00476235" w:rsidP="00972C6A">
      <w:pPr>
        <w:spacing w:before="0"/>
        <w:rPr>
          <w:rFonts w:ascii="Arial" w:hAnsi="Arial" w:cs="Arial"/>
          <w:szCs w:val="24"/>
        </w:rPr>
      </w:pPr>
      <w:r w:rsidRPr="00972C6A">
        <w:rPr>
          <w:rFonts w:ascii="Arial" w:hAnsi="Arial" w:cs="Arial"/>
          <w:szCs w:val="24"/>
        </w:rPr>
        <w:t xml:space="preserve">This section enables </w:t>
      </w:r>
      <w:r w:rsidR="002C1D19" w:rsidRPr="00972C6A">
        <w:rPr>
          <w:rFonts w:ascii="Arial" w:hAnsi="Arial" w:cs="Arial"/>
          <w:szCs w:val="24"/>
        </w:rPr>
        <w:t>the disclosure of</w:t>
      </w:r>
      <w:r w:rsidRPr="00972C6A">
        <w:rPr>
          <w:rFonts w:ascii="Arial" w:hAnsi="Arial" w:cs="Arial"/>
          <w:szCs w:val="24"/>
        </w:rPr>
        <w:t xml:space="preserve"> information where the disclosure is not already authorised by section </w:t>
      </w:r>
      <w:r w:rsidR="00A8092B" w:rsidRPr="00972C6A">
        <w:rPr>
          <w:rFonts w:ascii="Arial" w:hAnsi="Arial" w:cs="Arial"/>
          <w:szCs w:val="24"/>
        </w:rPr>
        <w:t>16</w:t>
      </w:r>
      <w:r w:rsidRPr="00972C6A">
        <w:rPr>
          <w:rFonts w:ascii="Arial" w:hAnsi="Arial" w:cs="Arial"/>
          <w:szCs w:val="24"/>
        </w:rPr>
        <w:t xml:space="preserve">2 of the </w:t>
      </w:r>
      <w:r w:rsidR="00863CD8" w:rsidRPr="00972C6A">
        <w:rPr>
          <w:rFonts w:ascii="Arial" w:hAnsi="Arial" w:cs="Arial"/>
          <w:szCs w:val="24"/>
        </w:rPr>
        <w:t xml:space="preserve">FAA </w:t>
      </w:r>
      <w:r w:rsidRPr="00972C6A">
        <w:rPr>
          <w:rFonts w:ascii="Arial" w:hAnsi="Arial" w:cs="Arial"/>
          <w:szCs w:val="24"/>
        </w:rPr>
        <w:t xml:space="preserve">Act, or by another section in the </w:t>
      </w:r>
      <w:r w:rsidR="005D71DE" w:rsidRPr="00972C6A">
        <w:rPr>
          <w:rFonts w:ascii="Arial" w:hAnsi="Arial" w:cs="Arial"/>
          <w:szCs w:val="24"/>
        </w:rPr>
        <w:t>Determination</w:t>
      </w:r>
      <w:r w:rsidRPr="00972C6A">
        <w:rPr>
          <w:rFonts w:ascii="Arial" w:hAnsi="Arial" w:cs="Arial"/>
          <w:szCs w:val="24"/>
        </w:rPr>
        <w:t xml:space="preserve">.  </w:t>
      </w:r>
    </w:p>
    <w:p w14:paraId="129D38B5" w14:textId="261A3BA5" w:rsidR="00CC2D90" w:rsidRPr="00972C6A" w:rsidRDefault="00CC2D90" w:rsidP="00972C6A">
      <w:pPr>
        <w:spacing w:before="120"/>
        <w:rPr>
          <w:rFonts w:ascii="Arial" w:hAnsi="Arial" w:cs="Arial"/>
          <w:b/>
          <w:bCs/>
          <w:szCs w:val="24"/>
        </w:rPr>
      </w:pPr>
      <w:r w:rsidRPr="00972C6A">
        <w:rPr>
          <w:rFonts w:ascii="Arial" w:hAnsi="Arial" w:cs="Arial"/>
          <w:b/>
          <w:bCs/>
          <w:szCs w:val="24"/>
        </w:rPr>
        <w:t>Section 2</w:t>
      </w:r>
      <w:r w:rsidR="0051174D" w:rsidRPr="00972C6A">
        <w:rPr>
          <w:rFonts w:ascii="Arial" w:hAnsi="Arial" w:cs="Arial"/>
          <w:b/>
          <w:bCs/>
          <w:szCs w:val="24"/>
        </w:rPr>
        <w:t>5</w:t>
      </w:r>
      <w:r w:rsidRPr="00972C6A">
        <w:rPr>
          <w:rFonts w:ascii="Arial" w:hAnsi="Arial" w:cs="Arial"/>
          <w:b/>
          <w:bCs/>
          <w:szCs w:val="24"/>
        </w:rPr>
        <w:t xml:space="preserve"> – </w:t>
      </w:r>
      <w:r w:rsidR="000D62EB" w:rsidRPr="00972C6A">
        <w:rPr>
          <w:rFonts w:ascii="Arial" w:hAnsi="Arial" w:cs="Arial"/>
          <w:b/>
          <w:bCs/>
          <w:szCs w:val="24"/>
        </w:rPr>
        <w:t>Research, statistical analysis and policy development</w:t>
      </w:r>
      <w:r w:rsidR="00092C3B" w:rsidRPr="00972C6A">
        <w:rPr>
          <w:rFonts w:ascii="Arial" w:hAnsi="Arial" w:cs="Arial"/>
          <w:b/>
          <w:bCs/>
          <w:szCs w:val="24"/>
        </w:rPr>
        <w:t xml:space="preserve"> – family assistance law and related purposes</w:t>
      </w:r>
    </w:p>
    <w:p w14:paraId="12BD3CD8" w14:textId="6B0007E1" w:rsidR="008B430E" w:rsidRPr="00972C6A" w:rsidRDefault="28838010" w:rsidP="00972C6A">
      <w:pPr>
        <w:spacing w:before="120"/>
        <w:rPr>
          <w:rFonts w:ascii="Arial" w:hAnsi="Arial" w:cs="Arial"/>
        </w:rPr>
      </w:pPr>
      <w:r w:rsidRPr="00972C6A">
        <w:rPr>
          <w:rFonts w:ascii="Arial" w:hAnsi="Arial" w:cs="Arial"/>
        </w:rPr>
        <w:t xml:space="preserve">This provision </w:t>
      </w:r>
      <w:r w:rsidR="2ACA6892" w:rsidRPr="00972C6A">
        <w:rPr>
          <w:rFonts w:ascii="Arial" w:hAnsi="Arial" w:cs="Arial"/>
        </w:rPr>
        <w:t>covers</w:t>
      </w:r>
      <w:r w:rsidRPr="00972C6A">
        <w:rPr>
          <w:rFonts w:ascii="Arial" w:hAnsi="Arial" w:cs="Arial"/>
        </w:rPr>
        <w:t xml:space="preserve"> a disclosure of information </w:t>
      </w:r>
      <w:r w:rsidR="3CC3AB73" w:rsidRPr="00972C6A">
        <w:rPr>
          <w:rFonts w:ascii="Arial" w:hAnsi="Arial" w:cs="Arial"/>
        </w:rPr>
        <w:t xml:space="preserve">that is necessary for research, statistical analysis or policy development </w:t>
      </w:r>
      <w:r w:rsidR="3C03C1AD" w:rsidRPr="00972C6A">
        <w:rPr>
          <w:rFonts w:ascii="Arial" w:hAnsi="Arial" w:cs="Arial"/>
        </w:rPr>
        <w:t xml:space="preserve">in </w:t>
      </w:r>
      <w:r w:rsidR="3CC3AB73" w:rsidRPr="00972C6A">
        <w:rPr>
          <w:rFonts w:ascii="Arial" w:hAnsi="Arial" w:cs="Arial"/>
        </w:rPr>
        <w:t xml:space="preserve">relation to </w:t>
      </w:r>
      <w:r w:rsidR="286A950D" w:rsidRPr="00972C6A">
        <w:rPr>
          <w:rFonts w:ascii="Arial" w:hAnsi="Arial" w:cs="Arial"/>
        </w:rPr>
        <w:t>matters of relevance</w:t>
      </w:r>
      <w:r w:rsidR="1D264CBC" w:rsidRPr="00972C6A">
        <w:rPr>
          <w:rFonts w:ascii="Arial" w:hAnsi="Arial" w:cs="Arial"/>
        </w:rPr>
        <w:t xml:space="preserve"> </w:t>
      </w:r>
      <w:r w:rsidR="1DB15175" w:rsidRPr="00972C6A">
        <w:rPr>
          <w:rFonts w:ascii="Arial" w:hAnsi="Arial" w:cs="Arial"/>
        </w:rPr>
        <w:t xml:space="preserve">to a </w:t>
      </w:r>
      <w:r w:rsidR="1D264CBC" w:rsidRPr="00972C6A">
        <w:rPr>
          <w:rFonts w:ascii="Arial" w:hAnsi="Arial" w:cs="Arial"/>
        </w:rPr>
        <w:t xml:space="preserve">department administering </w:t>
      </w:r>
      <w:r w:rsidR="3CC3AB73" w:rsidRPr="00972C6A">
        <w:rPr>
          <w:rFonts w:ascii="Arial" w:hAnsi="Arial" w:cs="Arial"/>
        </w:rPr>
        <w:t>any part of the social security law or family assistance law.</w:t>
      </w:r>
      <w:r w:rsidR="6CF1B71E" w:rsidRPr="00972C6A">
        <w:rPr>
          <w:rFonts w:ascii="Arial" w:hAnsi="Arial" w:cs="Arial"/>
        </w:rPr>
        <w:t xml:space="preserve"> </w:t>
      </w:r>
    </w:p>
    <w:p w14:paraId="63B1D938" w14:textId="32760275" w:rsidR="00092C3B" w:rsidRPr="00972C6A" w:rsidRDefault="00092C3B" w:rsidP="00972C6A">
      <w:pPr>
        <w:spacing w:before="120"/>
        <w:rPr>
          <w:rFonts w:ascii="Arial" w:hAnsi="Arial" w:cs="Arial"/>
          <w:b/>
          <w:bCs/>
          <w:szCs w:val="24"/>
        </w:rPr>
      </w:pPr>
      <w:r w:rsidRPr="00972C6A">
        <w:rPr>
          <w:rFonts w:ascii="Arial" w:hAnsi="Arial" w:cs="Arial"/>
          <w:b/>
          <w:bCs/>
          <w:szCs w:val="24"/>
        </w:rPr>
        <w:t>Section 26 – Research, statistical analysis and policy development – education and related purposes</w:t>
      </w:r>
    </w:p>
    <w:p w14:paraId="7F6F0655" w14:textId="58244DCD" w:rsidR="007E0ABD" w:rsidRPr="00972C6A" w:rsidRDefault="70E7D6FE" w:rsidP="00972C6A">
      <w:pPr>
        <w:spacing w:before="120"/>
        <w:rPr>
          <w:rFonts w:ascii="Arial" w:hAnsi="Arial" w:cs="Arial"/>
        </w:rPr>
      </w:pPr>
      <w:r w:rsidRPr="00972C6A">
        <w:rPr>
          <w:rFonts w:ascii="Arial" w:hAnsi="Arial" w:cs="Arial"/>
        </w:rPr>
        <w:t xml:space="preserve">This provision covers a disclosure of information that is necessary for research, statistical analysis or policy development in relation to </w:t>
      </w:r>
      <w:r w:rsidR="3283E94F" w:rsidRPr="00972C6A">
        <w:rPr>
          <w:rFonts w:ascii="Arial" w:hAnsi="Arial" w:cs="Arial"/>
        </w:rPr>
        <w:t>matters of relevance</w:t>
      </w:r>
      <w:r w:rsidR="367ABEDE" w:rsidRPr="00972C6A">
        <w:rPr>
          <w:rFonts w:ascii="Arial" w:hAnsi="Arial" w:cs="Arial"/>
        </w:rPr>
        <w:t xml:space="preserve"> </w:t>
      </w:r>
      <w:r w:rsidR="3283E94F" w:rsidRPr="00972C6A">
        <w:rPr>
          <w:rFonts w:ascii="Arial" w:hAnsi="Arial" w:cs="Arial"/>
        </w:rPr>
        <w:t>to</w:t>
      </w:r>
      <w:r w:rsidR="367ABEDE" w:rsidRPr="00972C6A">
        <w:rPr>
          <w:rFonts w:ascii="Arial" w:hAnsi="Arial" w:cs="Arial"/>
        </w:rPr>
        <w:t xml:space="preserve"> a department </w:t>
      </w:r>
      <w:r w:rsidR="055367D3" w:rsidRPr="00972C6A">
        <w:rPr>
          <w:rFonts w:ascii="Arial" w:hAnsi="Arial" w:cs="Arial"/>
        </w:rPr>
        <w:t>administering early childhood development or preschool education policies and programs</w:t>
      </w:r>
      <w:r w:rsidR="46706E93" w:rsidRPr="00972C6A">
        <w:rPr>
          <w:rFonts w:ascii="Arial" w:hAnsi="Arial" w:cs="Arial"/>
        </w:rPr>
        <w:t xml:space="preserve"> (excluding a department administering any part of the social security law or family assistance law)</w:t>
      </w:r>
      <w:r w:rsidR="055367D3" w:rsidRPr="00972C6A">
        <w:rPr>
          <w:rFonts w:ascii="Arial" w:hAnsi="Arial" w:cs="Arial"/>
        </w:rPr>
        <w:t xml:space="preserve">. </w:t>
      </w:r>
      <w:r w:rsidRPr="00972C6A">
        <w:rPr>
          <w:rFonts w:ascii="Arial" w:hAnsi="Arial" w:cs="Arial"/>
        </w:rPr>
        <w:t xml:space="preserve"> </w:t>
      </w:r>
    </w:p>
    <w:p w14:paraId="5585DF52" w14:textId="1C6397DC" w:rsidR="00920716" w:rsidRPr="00972C6A" w:rsidRDefault="00920716" w:rsidP="00972C6A">
      <w:pPr>
        <w:spacing w:before="120"/>
        <w:rPr>
          <w:rFonts w:ascii="Arial" w:hAnsi="Arial" w:cs="Arial"/>
          <w:b/>
          <w:bCs/>
          <w:szCs w:val="24"/>
        </w:rPr>
      </w:pPr>
      <w:r w:rsidRPr="00972C6A">
        <w:rPr>
          <w:rFonts w:ascii="Arial" w:hAnsi="Arial" w:cs="Arial"/>
          <w:b/>
          <w:bCs/>
          <w:szCs w:val="24"/>
        </w:rPr>
        <w:t>Section 2</w:t>
      </w:r>
      <w:r w:rsidR="006509CB" w:rsidRPr="00972C6A">
        <w:rPr>
          <w:rFonts w:ascii="Arial" w:hAnsi="Arial" w:cs="Arial"/>
          <w:b/>
          <w:bCs/>
          <w:szCs w:val="24"/>
        </w:rPr>
        <w:t>7</w:t>
      </w:r>
      <w:r w:rsidRPr="00972C6A">
        <w:rPr>
          <w:rFonts w:ascii="Arial" w:hAnsi="Arial" w:cs="Arial"/>
          <w:b/>
          <w:bCs/>
          <w:szCs w:val="24"/>
        </w:rPr>
        <w:t xml:space="preserve"> – APS Code of Conduct investigations</w:t>
      </w:r>
    </w:p>
    <w:p w14:paraId="0B2B1785" w14:textId="7CC0C234" w:rsidR="00971B8B" w:rsidRPr="00972C6A" w:rsidRDefault="00920716"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Pr="00972C6A">
        <w:rPr>
          <w:rFonts w:ascii="Arial" w:hAnsi="Arial" w:cs="Arial"/>
          <w:szCs w:val="24"/>
        </w:rPr>
        <w:t xml:space="preserve"> a disclosure of information </w:t>
      </w:r>
      <w:r w:rsidR="00971B8B" w:rsidRPr="00972C6A">
        <w:rPr>
          <w:rFonts w:ascii="Arial" w:hAnsi="Arial" w:cs="Arial"/>
          <w:szCs w:val="24"/>
        </w:rPr>
        <w:t xml:space="preserve">that is </w:t>
      </w:r>
      <w:r w:rsidR="00872F56" w:rsidRPr="00972C6A">
        <w:rPr>
          <w:rFonts w:ascii="Arial" w:hAnsi="Arial" w:cs="Arial"/>
          <w:szCs w:val="24"/>
        </w:rPr>
        <w:t>necessary for</w:t>
      </w:r>
      <w:r w:rsidR="00971B8B" w:rsidRPr="00972C6A">
        <w:rPr>
          <w:rFonts w:ascii="Arial" w:hAnsi="Arial" w:cs="Arial"/>
          <w:szCs w:val="24"/>
        </w:rPr>
        <w:t xml:space="preserve"> investigating </w:t>
      </w:r>
      <w:r w:rsidR="00872F56" w:rsidRPr="00972C6A">
        <w:rPr>
          <w:rFonts w:ascii="Arial" w:hAnsi="Arial" w:cs="Arial"/>
          <w:szCs w:val="24"/>
        </w:rPr>
        <w:t xml:space="preserve">or </w:t>
      </w:r>
      <w:proofErr w:type="gramStart"/>
      <w:r w:rsidR="00872F56" w:rsidRPr="00972C6A">
        <w:rPr>
          <w:rFonts w:ascii="Arial" w:hAnsi="Arial" w:cs="Arial"/>
          <w:szCs w:val="24"/>
        </w:rPr>
        <w:t>making a decision</w:t>
      </w:r>
      <w:proofErr w:type="gramEnd"/>
      <w:r w:rsidR="00872F56" w:rsidRPr="00972C6A">
        <w:rPr>
          <w:rFonts w:ascii="Arial" w:hAnsi="Arial" w:cs="Arial"/>
          <w:szCs w:val="24"/>
        </w:rPr>
        <w:t xml:space="preserve"> regarding </w:t>
      </w:r>
      <w:r w:rsidR="00971B8B" w:rsidRPr="00972C6A">
        <w:rPr>
          <w:rFonts w:ascii="Arial" w:hAnsi="Arial" w:cs="Arial"/>
          <w:szCs w:val="24"/>
        </w:rPr>
        <w:t xml:space="preserve">suspected breaches of the APS Code of Conduct. </w:t>
      </w:r>
    </w:p>
    <w:p w14:paraId="0F32124D" w14:textId="615B2CDC" w:rsidR="00971B8B" w:rsidRPr="00972C6A" w:rsidRDefault="00971B8B" w:rsidP="00972C6A">
      <w:pPr>
        <w:spacing w:before="120"/>
        <w:rPr>
          <w:rFonts w:ascii="Arial" w:hAnsi="Arial" w:cs="Arial"/>
          <w:szCs w:val="24"/>
        </w:rPr>
      </w:pPr>
      <w:r w:rsidRPr="00972C6A">
        <w:rPr>
          <w:rFonts w:ascii="Arial" w:hAnsi="Arial" w:cs="Arial"/>
          <w:szCs w:val="24"/>
        </w:rPr>
        <w:t xml:space="preserve">This </w:t>
      </w:r>
      <w:r w:rsidR="00844934" w:rsidRPr="00972C6A">
        <w:rPr>
          <w:rFonts w:ascii="Arial" w:hAnsi="Arial" w:cs="Arial"/>
          <w:szCs w:val="24"/>
        </w:rPr>
        <w:t xml:space="preserve">will, for example, </w:t>
      </w:r>
      <w:r w:rsidRPr="00972C6A">
        <w:rPr>
          <w:rFonts w:ascii="Arial" w:hAnsi="Arial" w:cs="Arial"/>
          <w:szCs w:val="24"/>
        </w:rPr>
        <w:t xml:space="preserve">assist investigation of circumstances where a person who has access to </w:t>
      </w:r>
      <w:r w:rsidR="002846C4" w:rsidRPr="00972C6A">
        <w:rPr>
          <w:rFonts w:ascii="Arial" w:hAnsi="Arial" w:cs="Arial"/>
          <w:szCs w:val="24"/>
        </w:rPr>
        <w:t xml:space="preserve">family assistance </w:t>
      </w:r>
      <w:r w:rsidRPr="00972C6A">
        <w:rPr>
          <w:rFonts w:ascii="Arial" w:hAnsi="Arial" w:cs="Arial"/>
          <w:szCs w:val="24"/>
        </w:rPr>
        <w:t>payment information</w:t>
      </w:r>
      <w:r w:rsidR="00BB6E6F" w:rsidRPr="00972C6A">
        <w:rPr>
          <w:rFonts w:ascii="Arial" w:hAnsi="Arial" w:cs="Arial"/>
          <w:szCs w:val="24"/>
        </w:rPr>
        <w:t xml:space="preserve"> is suspect</w:t>
      </w:r>
      <w:r w:rsidR="00872A33" w:rsidRPr="00972C6A">
        <w:rPr>
          <w:rFonts w:ascii="Arial" w:hAnsi="Arial" w:cs="Arial"/>
          <w:szCs w:val="24"/>
        </w:rPr>
        <w:t>ed</w:t>
      </w:r>
      <w:r w:rsidR="00BB6E6F" w:rsidRPr="00972C6A">
        <w:rPr>
          <w:rFonts w:ascii="Arial" w:hAnsi="Arial" w:cs="Arial"/>
          <w:szCs w:val="24"/>
        </w:rPr>
        <w:t xml:space="preserve"> of having</w:t>
      </w:r>
      <w:r w:rsidR="00770E1E" w:rsidRPr="00972C6A">
        <w:rPr>
          <w:rFonts w:ascii="Arial" w:hAnsi="Arial" w:cs="Arial"/>
          <w:szCs w:val="24"/>
        </w:rPr>
        <w:t xml:space="preserve"> </w:t>
      </w:r>
      <w:r w:rsidRPr="00972C6A">
        <w:rPr>
          <w:rFonts w:ascii="Arial" w:hAnsi="Arial" w:cs="Arial"/>
          <w:szCs w:val="24"/>
        </w:rPr>
        <w:t>inappropriately use</w:t>
      </w:r>
      <w:r w:rsidR="00501C04" w:rsidRPr="00972C6A">
        <w:rPr>
          <w:rFonts w:ascii="Arial" w:hAnsi="Arial" w:cs="Arial"/>
          <w:szCs w:val="24"/>
        </w:rPr>
        <w:t>d</w:t>
      </w:r>
      <w:r w:rsidRPr="00972C6A">
        <w:rPr>
          <w:rFonts w:ascii="Arial" w:hAnsi="Arial" w:cs="Arial"/>
          <w:szCs w:val="24"/>
        </w:rPr>
        <w:t xml:space="preserve"> that information for a financial benefit (for themselves or others) in breach of the </w:t>
      </w:r>
      <w:r w:rsidRPr="00972C6A">
        <w:rPr>
          <w:rFonts w:ascii="Arial" w:hAnsi="Arial" w:cs="Arial"/>
          <w:i/>
          <w:szCs w:val="24"/>
        </w:rPr>
        <w:t>Public Service Act 1999</w:t>
      </w:r>
      <w:r w:rsidRPr="00972C6A">
        <w:rPr>
          <w:rFonts w:ascii="Arial" w:hAnsi="Arial" w:cs="Arial"/>
          <w:szCs w:val="24"/>
        </w:rPr>
        <w:t>.</w:t>
      </w:r>
    </w:p>
    <w:p w14:paraId="0C28B9E5" w14:textId="3D993384" w:rsidR="00920716" w:rsidRPr="00972C6A" w:rsidRDefault="00B36706" w:rsidP="00972C6A">
      <w:pPr>
        <w:spacing w:before="120"/>
        <w:rPr>
          <w:rFonts w:ascii="Arial" w:hAnsi="Arial" w:cs="Arial"/>
          <w:b/>
          <w:bCs/>
          <w:szCs w:val="24"/>
        </w:rPr>
      </w:pPr>
      <w:r w:rsidRPr="00972C6A">
        <w:rPr>
          <w:rFonts w:ascii="Arial" w:hAnsi="Arial" w:cs="Arial"/>
          <w:b/>
          <w:bCs/>
          <w:szCs w:val="24"/>
        </w:rPr>
        <w:t>Section 2</w:t>
      </w:r>
      <w:r w:rsidR="006509CB" w:rsidRPr="00972C6A">
        <w:rPr>
          <w:rFonts w:ascii="Arial" w:hAnsi="Arial" w:cs="Arial"/>
          <w:b/>
          <w:bCs/>
          <w:szCs w:val="24"/>
        </w:rPr>
        <w:t>8</w:t>
      </w:r>
      <w:r w:rsidRPr="00972C6A">
        <w:rPr>
          <w:rFonts w:ascii="Arial" w:hAnsi="Arial" w:cs="Arial"/>
          <w:b/>
          <w:bCs/>
          <w:szCs w:val="24"/>
        </w:rPr>
        <w:t xml:space="preserve"> – Work health and safety</w:t>
      </w:r>
    </w:p>
    <w:p w14:paraId="00CDC57D" w14:textId="7760F0F5" w:rsidR="005F2AAA" w:rsidRPr="00972C6A" w:rsidRDefault="00B36706"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Pr="00972C6A">
        <w:rPr>
          <w:rFonts w:ascii="Arial" w:hAnsi="Arial" w:cs="Arial"/>
          <w:szCs w:val="24"/>
        </w:rPr>
        <w:t xml:space="preserve"> a disclosure of information </w:t>
      </w:r>
      <w:r w:rsidR="00FF002C" w:rsidRPr="00972C6A">
        <w:rPr>
          <w:rFonts w:ascii="Arial" w:hAnsi="Arial" w:cs="Arial"/>
          <w:szCs w:val="24"/>
        </w:rPr>
        <w:t xml:space="preserve">that is reasonably necessary to assist a government agency to manage a work health </w:t>
      </w:r>
      <w:r w:rsidR="00CD38F6" w:rsidRPr="00972C6A">
        <w:rPr>
          <w:rFonts w:ascii="Arial" w:hAnsi="Arial" w:cs="Arial"/>
          <w:szCs w:val="24"/>
        </w:rPr>
        <w:t>and</w:t>
      </w:r>
      <w:r w:rsidR="00FF002C" w:rsidRPr="00972C6A">
        <w:rPr>
          <w:rFonts w:ascii="Arial" w:hAnsi="Arial" w:cs="Arial"/>
          <w:szCs w:val="24"/>
        </w:rPr>
        <w:t xml:space="preserve"> safety risk to that agency.</w:t>
      </w:r>
    </w:p>
    <w:p w14:paraId="097E9EA0" w14:textId="514309FA" w:rsidR="000153CE" w:rsidRPr="00972C6A" w:rsidRDefault="005F2AAA" w:rsidP="00972C6A">
      <w:pPr>
        <w:rPr>
          <w:rFonts w:ascii="Arial" w:hAnsi="Arial" w:cs="Arial"/>
        </w:rPr>
      </w:pPr>
      <w:r w:rsidRPr="00972C6A">
        <w:rPr>
          <w:rFonts w:ascii="Arial" w:hAnsi="Arial" w:cs="Arial"/>
        </w:rPr>
        <w:t xml:space="preserve">Agencies, such as Services Australia, have obligations including under the </w:t>
      </w:r>
      <w:r w:rsidRPr="00972C6A">
        <w:rPr>
          <w:rFonts w:ascii="Arial" w:hAnsi="Arial" w:cs="Arial"/>
          <w:i/>
          <w:iCs/>
        </w:rPr>
        <w:t>Work Health and Safety Act 2011</w:t>
      </w:r>
      <w:r w:rsidR="008A3C06" w:rsidRPr="00972C6A">
        <w:rPr>
          <w:rFonts w:ascii="Arial" w:hAnsi="Arial" w:cs="Arial"/>
        </w:rPr>
        <w:t xml:space="preserve"> </w:t>
      </w:r>
      <w:r w:rsidRPr="00972C6A">
        <w:rPr>
          <w:rFonts w:ascii="Arial" w:hAnsi="Arial" w:cs="Arial"/>
        </w:rPr>
        <w:t xml:space="preserve">to ensure that the health and safety of workers and other persons, are not put at risk by the conduct of </w:t>
      </w:r>
      <w:r w:rsidR="007543A0" w:rsidRPr="00972C6A">
        <w:rPr>
          <w:rFonts w:ascii="Arial" w:hAnsi="Arial" w:cs="Arial"/>
        </w:rPr>
        <w:t>the</w:t>
      </w:r>
      <w:r w:rsidR="000D62EB" w:rsidRPr="00972C6A">
        <w:rPr>
          <w:rFonts w:ascii="Arial" w:hAnsi="Arial" w:cs="Arial"/>
        </w:rPr>
        <w:t xml:space="preserve"> </w:t>
      </w:r>
      <w:r w:rsidRPr="00972C6A">
        <w:rPr>
          <w:rFonts w:ascii="Arial" w:hAnsi="Arial" w:cs="Arial"/>
        </w:rPr>
        <w:t xml:space="preserve">agency’s operations. Information held by </w:t>
      </w:r>
      <w:r w:rsidR="007865E4" w:rsidRPr="00972C6A">
        <w:rPr>
          <w:rFonts w:ascii="Arial" w:hAnsi="Arial" w:cs="Arial"/>
        </w:rPr>
        <w:t xml:space="preserve">Services Australia </w:t>
      </w:r>
      <w:r w:rsidRPr="00972C6A">
        <w:rPr>
          <w:rFonts w:ascii="Arial" w:hAnsi="Arial" w:cs="Arial"/>
        </w:rPr>
        <w:t xml:space="preserve">about aggressive customers is often critical to identifying and assessing the risk posed to workers and others. </w:t>
      </w:r>
      <w:r w:rsidR="00885DB5" w:rsidRPr="00972C6A">
        <w:rPr>
          <w:rFonts w:ascii="Arial" w:hAnsi="Arial" w:cs="Arial"/>
        </w:rPr>
        <w:t xml:space="preserve">The </w:t>
      </w:r>
      <w:r w:rsidRPr="00972C6A">
        <w:rPr>
          <w:rFonts w:ascii="Arial" w:hAnsi="Arial" w:cs="Arial"/>
        </w:rPr>
        <w:t xml:space="preserve">agency needs to be able to share this information across its master programs (Centrelink, Medicare and Child Support) and externally to individuals working within a co-located premises (such as security guards and other workers in shared office environments). </w:t>
      </w:r>
    </w:p>
    <w:p w14:paraId="18A0FC93" w14:textId="7D1CFD97" w:rsidR="3FB224A6" w:rsidRPr="00972C6A" w:rsidRDefault="44EA34D4" w:rsidP="00972C6A">
      <w:pPr>
        <w:spacing w:before="120"/>
        <w:rPr>
          <w:rFonts w:ascii="Arial" w:eastAsia="Arial" w:hAnsi="Arial" w:cs="Arial"/>
          <w:color w:val="000000" w:themeColor="text1"/>
        </w:rPr>
      </w:pPr>
      <w:r w:rsidRPr="00972C6A">
        <w:rPr>
          <w:rFonts w:ascii="Arial" w:eastAsia="Arial" w:hAnsi="Arial" w:cs="Arial"/>
          <w:color w:val="000000" w:themeColor="text1"/>
        </w:rPr>
        <w:t xml:space="preserve">Among other things, section 28 is intended to improve the arrangements for ensuring worker safety for frontline staff at Services Australia, particularly where there have been instances of customer aggression. </w:t>
      </w:r>
    </w:p>
    <w:p w14:paraId="16EE4298" w14:textId="01E3433C" w:rsidR="3FB224A6" w:rsidRPr="00972C6A" w:rsidRDefault="3FB224A6" w:rsidP="00972C6A">
      <w:pPr>
        <w:spacing w:before="120"/>
        <w:rPr>
          <w:rFonts w:ascii="Arial" w:eastAsia="Arial" w:hAnsi="Arial" w:cs="Arial"/>
          <w:color w:val="000000" w:themeColor="text1"/>
          <w:szCs w:val="24"/>
        </w:rPr>
      </w:pPr>
      <w:r w:rsidRPr="00972C6A">
        <w:rPr>
          <w:rFonts w:ascii="Arial" w:eastAsia="Arial" w:hAnsi="Arial" w:cs="Arial"/>
          <w:color w:val="000000" w:themeColor="text1"/>
          <w:szCs w:val="24"/>
        </w:rPr>
        <w:t>This amendment will assist Services Australia to implement recommendation 35 of the Services Australia Security Risk Management Review by Graham Ashton AM APM from July 2023 (the Ashton Review) to integrate:</w:t>
      </w:r>
    </w:p>
    <w:p w14:paraId="643EC586" w14:textId="4F8AE1D2" w:rsidR="3FB224A6" w:rsidRPr="00972C6A" w:rsidRDefault="3FB224A6" w:rsidP="00972C6A">
      <w:pPr>
        <w:spacing w:before="120"/>
        <w:ind w:left="720"/>
        <w:rPr>
          <w:rFonts w:ascii="Calibri" w:eastAsia="Calibri" w:hAnsi="Calibri" w:cs="Calibri"/>
          <w:color w:val="000000" w:themeColor="text1"/>
          <w:sz w:val="22"/>
          <w:szCs w:val="22"/>
        </w:rPr>
      </w:pPr>
      <w:r w:rsidRPr="00972C6A">
        <w:rPr>
          <w:rFonts w:ascii="Calibri" w:eastAsia="Calibri" w:hAnsi="Calibri" w:cs="Calibri"/>
          <w:i/>
          <w:iCs/>
          <w:color w:val="000000" w:themeColor="text1"/>
          <w:sz w:val="22"/>
          <w:szCs w:val="22"/>
        </w:rPr>
        <w:lastRenderedPageBreak/>
        <w:t>Customer aggression incident information… across systems that record customer interactions to provide an agency enterprise view of customer aggression information.</w:t>
      </w:r>
    </w:p>
    <w:p w14:paraId="1B2DF53B" w14:textId="63AAE9F0" w:rsidR="3FB224A6" w:rsidRPr="00972C6A" w:rsidRDefault="3FB224A6" w:rsidP="00972C6A">
      <w:pPr>
        <w:spacing w:before="120"/>
        <w:rPr>
          <w:rFonts w:ascii="Arial" w:eastAsia="Arial" w:hAnsi="Arial" w:cs="Arial"/>
          <w:color w:val="000000" w:themeColor="text1"/>
          <w:szCs w:val="24"/>
        </w:rPr>
      </w:pPr>
      <w:r w:rsidRPr="00972C6A">
        <w:rPr>
          <w:rFonts w:ascii="Arial" w:eastAsia="Arial" w:hAnsi="Arial" w:cs="Arial"/>
          <w:color w:val="000000" w:themeColor="text1"/>
          <w:szCs w:val="24"/>
        </w:rPr>
        <w:t xml:space="preserve">The principal service delivery model for dealing with customer aggression at Services Australia is known as the Managed Service Plan (‘MSP’). </w:t>
      </w:r>
      <w:proofErr w:type="gramStart"/>
      <w:r w:rsidRPr="00972C6A">
        <w:rPr>
          <w:rFonts w:ascii="Arial" w:eastAsia="Arial" w:hAnsi="Arial" w:cs="Arial"/>
          <w:color w:val="000000" w:themeColor="text1"/>
          <w:szCs w:val="24"/>
        </w:rPr>
        <w:t>A</w:t>
      </w:r>
      <w:proofErr w:type="gramEnd"/>
      <w:r w:rsidRPr="00972C6A">
        <w:rPr>
          <w:rFonts w:ascii="Arial" w:eastAsia="Arial" w:hAnsi="Arial" w:cs="Arial"/>
          <w:color w:val="000000" w:themeColor="text1"/>
          <w:szCs w:val="24"/>
        </w:rPr>
        <w:t xml:space="preserve"> MSP may be put in place when a person poses a risk to staff safety. Currently, MSPs are generally confined to each master program. </w:t>
      </w:r>
    </w:p>
    <w:p w14:paraId="42DDB259" w14:textId="2BB0E67D" w:rsidR="3FB224A6" w:rsidRPr="00972C6A" w:rsidRDefault="44EA34D4" w:rsidP="00972C6A">
      <w:pPr>
        <w:spacing w:before="120"/>
        <w:rPr>
          <w:rFonts w:ascii="Arial" w:eastAsia="Arial" w:hAnsi="Arial" w:cs="Arial"/>
          <w:color w:val="000000" w:themeColor="text1"/>
        </w:rPr>
      </w:pPr>
      <w:r w:rsidRPr="00972C6A">
        <w:rPr>
          <w:rFonts w:ascii="Arial" w:eastAsia="Arial" w:hAnsi="Arial" w:cs="Arial"/>
          <w:color w:val="000000" w:themeColor="text1"/>
        </w:rPr>
        <w:t xml:space="preserve">For example, a person might be placed on </w:t>
      </w:r>
      <w:proofErr w:type="gramStart"/>
      <w:r w:rsidRPr="00972C6A">
        <w:rPr>
          <w:rFonts w:ascii="Arial" w:eastAsia="Arial" w:hAnsi="Arial" w:cs="Arial"/>
          <w:color w:val="000000" w:themeColor="text1"/>
        </w:rPr>
        <w:t>a</w:t>
      </w:r>
      <w:proofErr w:type="gramEnd"/>
      <w:r w:rsidRPr="00972C6A">
        <w:rPr>
          <w:rFonts w:ascii="Arial" w:eastAsia="Arial" w:hAnsi="Arial" w:cs="Arial"/>
          <w:color w:val="000000" w:themeColor="text1"/>
        </w:rPr>
        <w:t xml:space="preserve"> MSP for the Centrelink program because they have used violence or threatened to physically harm staff or others when visiting a service centre. Information about the Centrelink MSP is unlikely to be available to Medicare and Child Support staff. This is because the details of the aggressive behaviour would be considered protected information </w:t>
      </w:r>
      <w:r w:rsidRPr="00972C6A">
        <w:rPr>
          <w:rFonts w:ascii="Arial" w:eastAsia="Arial" w:hAnsi="Arial" w:cs="Arial"/>
        </w:rPr>
        <w:t xml:space="preserve">under </w:t>
      </w:r>
      <w:r w:rsidRPr="00972C6A">
        <w:rPr>
          <w:rFonts w:ascii="Arial" w:eastAsia="Arial" w:hAnsi="Arial" w:cs="Arial"/>
          <w:color w:val="000000" w:themeColor="text1"/>
        </w:rPr>
        <w:t xml:space="preserve">Centrelink program legislation, such as the </w:t>
      </w:r>
      <w:r w:rsidR="158209A3" w:rsidRPr="00972C6A">
        <w:rPr>
          <w:rFonts w:ascii="Arial" w:eastAsia="Arial" w:hAnsi="Arial" w:cs="Arial"/>
          <w:color w:val="000000" w:themeColor="text1"/>
        </w:rPr>
        <w:t>FA</w:t>
      </w:r>
      <w:r w:rsidR="6BB30B5B" w:rsidRPr="00972C6A">
        <w:rPr>
          <w:rFonts w:ascii="Arial" w:eastAsia="Arial" w:hAnsi="Arial" w:cs="Arial"/>
          <w:color w:val="000000" w:themeColor="text1"/>
        </w:rPr>
        <w:t>A</w:t>
      </w:r>
      <w:r w:rsidR="158209A3" w:rsidRPr="00972C6A">
        <w:rPr>
          <w:rFonts w:ascii="Arial" w:eastAsia="Arial" w:hAnsi="Arial" w:cs="Arial"/>
          <w:color w:val="000000" w:themeColor="text1"/>
        </w:rPr>
        <w:t xml:space="preserve"> </w:t>
      </w:r>
      <w:r w:rsidRPr="00972C6A">
        <w:rPr>
          <w:rFonts w:ascii="Arial" w:eastAsia="Arial" w:hAnsi="Arial" w:cs="Arial"/>
          <w:color w:val="000000" w:themeColor="text1"/>
        </w:rPr>
        <w:t xml:space="preserve">Act. Such information can only be disclosed with an individual’s consent, or where there is an authority or requirement under law. </w:t>
      </w:r>
    </w:p>
    <w:p w14:paraId="65B5A816" w14:textId="3ABA946D" w:rsidR="3FB224A6" w:rsidRPr="00972C6A" w:rsidRDefault="44EA34D4" w:rsidP="00972C6A">
      <w:pPr>
        <w:spacing w:before="120"/>
        <w:rPr>
          <w:rFonts w:ascii="Arial" w:eastAsia="Arial" w:hAnsi="Arial" w:cs="Arial"/>
          <w:color w:val="000000" w:themeColor="text1"/>
        </w:rPr>
      </w:pPr>
      <w:r w:rsidRPr="00972C6A">
        <w:rPr>
          <w:rFonts w:ascii="Arial" w:eastAsia="Arial" w:hAnsi="Arial" w:cs="Arial"/>
          <w:color w:val="000000" w:themeColor="text1"/>
        </w:rPr>
        <w:t xml:space="preserve">Services Australia currently discloses information relating to customer aggression incidents under </w:t>
      </w:r>
      <w:r w:rsidRPr="00972C6A">
        <w:rPr>
          <w:rFonts w:ascii="Arial" w:eastAsia="Arial" w:hAnsi="Arial" w:cs="Arial"/>
        </w:rPr>
        <w:t>section</w:t>
      </w:r>
      <w:r w:rsidR="1C2AF904" w:rsidRPr="00972C6A">
        <w:rPr>
          <w:rFonts w:ascii="Arial" w:eastAsia="Arial" w:hAnsi="Arial" w:cs="Arial"/>
        </w:rPr>
        <w:t xml:space="preserve"> </w:t>
      </w:r>
      <w:r w:rsidR="39AA58D9" w:rsidRPr="00972C6A">
        <w:rPr>
          <w:rFonts w:ascii="Arial" w:eastAsia="Arial" w:hAnsi="Arial" w:cs="Arial"/>
        </w:rPr>
        <w:t>8</w:t>
      </w:r>
      <w:r w:rsidR="1C2AF904" w:rsidRPr="00972C6A">
        <w:rPr>
          <w:rFonts w:ascii="Arial" w:eastAsia="Arial" w:hAnsi="Arial" w:cs="Arial"/>
        </w:rPr>
        <w:t xml:space="preserve"> of </w:t>
      </w:r>
      <w:r w:rsidR="5EEA0B01" w:rsidRPr="00972C6A">
        <w:rPr>
          <w:rFonts w:ascii="Arial" w:eastAsia="Arial" w:hAnsi="Arial" w:cs="Arial"/>
        </w:rPr>
        <w:t>the 2015 Determination</w:t>
      </w:r>
      <w:r w:rsidRPr="00972C6A">
        <w:rPr>
          <w:rFonts w:ascii="Arial" w:eastAsia="Arial" w:hAnsi="Arial" w:cs="Arial"/>
        </w:rPr>
        <w:t xml:space="preserve">, </w:t>
      </w:r>
      <w:r w:rsidRPr="00972C6A">
        <w:rPr>
          <w:rFonts w:ascii="Arial" w:eastAsia="Arial" w:hAnsi="Arial" w:cs="Arial"/>
          <w:color w:val="000000" w:themeColor="text1"/>
        </w:rPr>
        <w:t xml:space="preserve">where the disclosure is necessary for the purposes of preventing or lessening a serious threat to the life, health or </w:t>
      </w:r>
      <w:r w:rsidR="228D2AF1" w:rsidRPr="00972C6A">
        <w:rPr>
          <w:rFonts w:ascii="Arial" w:eastAsia="Arial" w:hAnsi="Arial" w:cs="Arial"/>
          <w:color w:val="000000" w:themeColor="text1"/>
        </w:rPr>
        <w:t>welfare</w:t>
      </w:r>
      <w:r w:rsidRPr="00972C6A">
        <w:rPr>
          <w:rFonts w:ascii="Arial" w:eastAsia="Arial" w:hAnsi="Arial" w:cs="Arial"/>
          <w:color w:val="000000" w:themeColor="text1"/>
        </w:rPr>
        <w:t xml:space="preserve"> of a person. However, under this provision a disclosure can generally only be made if there is a threat against a specific individual. As the individual in this example has not made a threat against a particular person, safety-related information is not able to be shared with Medicare and Child Support programs before the person might interact with staff in a different service centre. </w:t>
      </w:r>
    </w:p>
    <w:p w14:paraId="7068A97B" w14:textId="5187EC18" w:rsidR="3FB224A6" w:rsidRPr="00972C6A" w:rsidRDefault="412CBEEE" w:rsidP="00972C6A">
      <w:pPr>
        <w:spacing w:before="120"/>
        <w:rPr>
          <w:rFonts w:ascii="Arial" w:eastAsia="Arial" w:hAnsi="Arial" w:cs="Arial"/>
          <w:color w:val="000000" w:themeColor="text1"/>
        </w:rPr>
      </w:pPr>
      <w:r w:rsidRPr="00972C6A">
        <w:rPr>
          <w:rFonts w:ascii="Arial" w:eastAsia="Arial" w:hAnsi="Arial" w:cs="Arial"/>
          <w:color w:val="000000" w:themeColor="text1"/>
        </w:rPr>
        <w:t>Section 28</w:t>
      </w:r>
      <w:r w:rsidR="44EA34D4" w:rsidRPr="00972C6A">
        <w:rPr>
          <w:rFonts w:ascii="Arial" w:eastAsia="Arial" w:hAnsi="Arial" w:cs="Arial"/>
          <w:color w:val="000000" w:themeColor="text1"/>
        </w:rPr>
        <w:t xml:space="preserve"> </w:t>
      </w:r>
      <w:r w:rsidR="0047211E" w:rsidRPr="00972C6A">
        <w:rPr>
          <w:rFonts w:ascii="Arial" w:eastAsia="Arial" w:hAnsi="Arial" w:cs="Arial"/>
          <w:color w:val="000000" w:themeColor="text1"/>
        </w:rPr>
        <w:t>could facilitate</w:t>
      </w:r>
      <w:r w:rsidR="44EA34D4" w:rsidRPr="00972C6A">
        <w:rPr>
          <w:rFonts w:ascii="Arial" w:eastAsia="Arial" w:hAnsi="Arial" w:cs="Arial"/>
          <w:color w:val="000000" w:themeColor="text1"/>
        </w:rPr>
        <w:t xml:space="preserve"> routine disclosures of protected information where there is an identified risk of generalised harm, meaning that the </w:t>
      </w:r>
      <w:r w:rsidR="0047211E" w:rsidRPr="00972C6A">
        <w:rPr>
          <w:rFonts w:ascii="Arial" w:eastAsia="Arial" w:hAnsi="Arial" w:cs="Arial"/>
          <w:color w:val="000000" w:themeColor="text1"/>
        </w:rPr>
        <w:t>Services Australia can</w:t>
      </w:r>
      <w:r w:rsidR="44EA34D4" w:rsidRPr="00972C6A">
        <w:rPr>
          <w:rFonts w:ascii="Arial" w:eastAsia="Arial" w:hAnsi="Arial" w:cs="Arial"/>
          <w:color w:val="000000" w:themeColor="text1"/>
        </w:rPr>
        <w:t xml:space="preserve"> develop an ICT solution that enables an enterprise-wide view of customer aggression information and is able to respond consistently across the master programs when interacting with individuals.</w:t>
      </w:r>
    </w:p>
    <w:p w14:paraId="039ADD92" w14:textId="407075AC" w:rsidR="001251AD" w:rsidRPr="00972C6A" w:rsidRDefault="00057279" w:rsidP="00972C6A">
      <w:pPr>
        <w:pageBreakBefore/>
        <w:spacing w:after="240"/>
        <w:rPr>
          <w:rFonts w:ascii="Arial" w:hAnsi="Arial" w:cs="Arial"/>
          <w:b/>
          <w:bCs/>
          <w:szCs w:val="24"/>
        </w:rPr>
      </w:pPr>
      <w:r w:rsidRPr="00972C6A">
        <w:rPr>
          <w:rFonts w:ascii="Arial" w:hAnsi="Arial" w:cs="Arial"/>
          <w:b/>
          <w:bCs/>
          <w:szCs w:val="24"/>
        </w:rPr>
        <w:lastRenderedPageBreak/>
        <w:t xml:space="preserve">PART 3 </w:t>
      </w:r>
      <w:r w:rsidR="001251AD" w:rsidRPr="00972C6A">
        <w:rPr>
          <w:rFonts w:ascii="Arial" w:hAnsi="Arial" w:cs="Arial"/>
          <w:b/>
          <w:bCs/>
          <w:szCs w:val="24"/>
        </w:rPr>
        <w:t>–</w:t>
      </w:r>
      <w:r w:rsidRPr="00972C6A">
        <w:rPr>
          <w:rFonts w:ascii="Arial" w:hAnsi="Arial" w:cs="Arial"/>
          <w:b/>
          <w:bCs/>
          <w:szCs w:val="24"/>
        </w:rPr>
        <w:t xml:space="preserve"> </w:t>
      </w:r>
      <w:r w:rsidR="001251AD" w:rsidRPr="00972C6A">
        <w:rPr>
          <w:rFonts w:ascii="Arial" w:hAnsi="Arial" w:cs="Arial"/>
          <w:b/>
          <w:bCs/>
          <w:szCs w:val="24"/>
        </w:rPr>
        <w:t>GUIDELINES – HOMELESS YOUNG PERSO</w:t>
      </w:r>
      <w:r w:rsidR="00DE4F1B" w:rsidRPr="00972C6A">
        <w:rPr>
          <w:rFonts w:ascii="Arial" w:hAnsi="Arial" w:cs="Arial"/>
          <w:b/>
          <w:bCs/>
          <w:szCs w:val="24"/>
        </w:rPr>
        <w:t>N</w:t>
      </w:r>
      <w:r w:rsidR="003C3FF2" w:rsidRPr="00972C6A">
        <w:rPr>
          <w:rFonts w:ascii="Arial" w:hAnsi="Arial" w:cs="Arial"/>
          <w:b/>
          <w:bCs/>
          <w:szCs w:val="24"/>
        </w:rPr>
        <w:t>S</w:t>
      </w:r>
    </w:p>
    <w:p w14:paraId="78B26BE5" w14:textId="5B852395" w:rsidR="001251AD" w:rsidRPr="00972C6A" w:rsidRDefault="001251AD" w:rsidP="00972C6A">
      <w:pPr>
        <w:spacing w:before="120"/>
        <w:rPr>
          <w:rFonts w:ascii="Arial" w:hAnsi="Arial" w:cs="Arial"/>
          <w:b/>
          <w:bCs/>
          <w:szCs w:val="24"/>
        </w:rPr>
      </w:pPr>
      <w:r w:rsidRPr="00972C6A">
        <w:rPr>
          <w:rFonts w:ascii="Arial" w:hAnsi="Arial" w:cs="Arial"/>
          <w:b/>
          <w:bCs/>
          <w:szCs w:val="24"/>
        </w:rPr>
        <w:t>Section 2</w:t>
      </w:r>
      <w:r w:rsidR="007A5B9B" w:rsidRPr="00972C6A">
        <w:rPr>
          <w:rFonts w:ascii="Arial" w:hAnsi="Arial" w:cs="Arial"/>
          <w:b/>
          <w:bCs/>
          <w:szCs w:val="24"/>
        </w:rPr>
        <w:t>9</w:t>
      </w:r>
      <w:r w:rsidRPr="00972C6A">
        <w:rPr>
          <w:rFonts w:ascii="Arial" w:hAnsi="Arial" w:cs="Arial"/>
          <w:b/>
          <w:bCs/>
          <w:szCs w:val="24"/>
        </w:rPr>
        <w:t xml:space="preserve"> – </w:t>
      </w:r>
      <w:r w:rsidR="008A3C06" w:rsidRPr="00972C6A">
        <w:rPr>
          <w:rFonts w:ascii="Arial" w:hAnsi="Arial" w:cs="Arial"/>
          <w:b/>
          <w:bCs/>
          <w:szCs w:val="24"/>
        </w:rPr>
        <w:t>Definition</w:t>
      </w:r>
    </w:p>
    <w:p w14:paraId="7A4367AC" w14:textId="70E457FF" w:rsidR="003C3FF2" w:rsidRPr="00972C6A" w:rsidRDefault="001251AD" w:rsidP="00972C6A">
      <w:pPr>
        <w:spacing w:before="120"/>
        <w:rPr>
          <w:rFonts w:ascii="Arial" w:hAnsi="Arial" w:cs="Arial"/>
          <w:szCs w:val="24"/>
        </w:rPr>
      </w:pPr>
      <w:r w:rsidRPr="00972C6A">
        <w:rPr>
          <w:rFonts w:ascii="Arial" w:hAnsi="Arial" w:cs="Arial"/>
          <w:szCs w:val="24"/>
        </w:rPr>
        <w:t xml:space="preserve">This </w:t>
      </w:r>
      <w:r w:rsidR="006D60C4" w:rsidRPr="00972C6A">
        <w:rPr>
          <w:rFonts w:ascii="Arial" w:hAnsi="Arial" w:cs="Arial"/>
          <w:szCs w:val="24"/>
        </w:rPr>
        <w:t xml:space="preserve">provision defines the term </w:t>
      </w:r>
      <w:r w:rsidR="003C3FF2" w:rsidRPr="00972C6A">
        <w:rPr>
          <w:rFonts w:ascii="Arial" w:hAnsi="Arial" w:cs="Arial"/>
          <w:szCs w:val="24"/>
        </w:rPr>
        <w:t>‘</w:t>
      </w:r>
      <w:r w:rsidR="006D60C4" w:rsidRPr="00972C6A">
        <w:rPr>
          <w:rFonts w:ascii="Arial" w:hAnsi="Arial" w:cs="Arial"/>
          <w:szCs w:val="24"/>
        </w:rPr>
        <w:t>parent</w:t>
      </w:r>
      <w:r w:rsidR="003C3FF2" w:rsidRPr="00972C6A">
        <w:rPr>
          <w:rFonts w:ascii="Arial" w:hAnsi="Arial" w:cs="Arial"/>
          <w:szCs w:val="24"/>
        </w:rPr>
        <w:t>’</w:t>
      </w:r>
      <w:r w:rsidR="006D60C4" w:rsidRPr="00972C6A">
        <w:rPr>
          <w:rFonts w:ascii="Arial" w:hAnsi="Arial" w:cs="Arial"/>
          <w:szCs w:val="24"/>
        </w:rPr>
        <w:t xml:space="preserve"> for the purposes of this Part</w:t>
      </w:r>
      <w:r w:rsidR="00EF7D1A" w:rsidRPr="00972C6A">
        <w:rPr>
          <w:rFonts w:ascii="Arial" w:hAnsi="Arial" w:cs="Arial"/>
          <w:szCs w:val="24"/>
        </w:rPr>
        <w:t xml:space="preserve">. </w:t>
      </w:r>
    </w:p>
    <w:p w14:paraId="3482EC08" w14:textId="0DA34C15" w:rsidR="00D556CA" w:rsidRPr="00972C6A" w:rsidRDefault="00D556CA" w:rsidP="00972C6A">
      <w:pPr>
        <w:spacing w:before="120"/>
        <w:rPr>
          <w:rFonts w:ascii="Arial" w:hAnsi="Arial" w:cs="Arial"/>
          <w:b/>
          <w:bCs/>
          <w:szCs w:val="24"/>
        </w:rPr>
      </w:pPr>
      <w:r w:rsidRPr="00972C6A">
        <w:rPr>
          <w:rFonts w:ascii="Arial" w:hAnsi="Arial" w:cs="Arial"/>
          <w:b/>
          <w:bCs/>
          <w:szCs w:val="24"/>
        </w:rPr>
        <w:t xml:space="preserve">Section </w:t>
      </w:r>
      <w:r w:rsidR="007A5B9B" w:rsidRPr="00972C6A">
        <w:rPr>
          <w:rFonts w:ascii="Arial" w:hAnsi="Arial" w:cs="Arial"/>
          <w:b/>
          <w:bCs/>
          <w:szCs w:val="24"/>
        </w:rPr>
        <w:t>30</w:t>
      </w:r>
      <w:r w:rsidRPr="00972C6A">
        <w:rPr>
          <w:rFonts w:ascii="Arial" w:hAnsi="Arial" w:cs="Arial"/>
          <w:b/>
          <w:bCs/>
          <w:szCs w:val="24"/>
        </w:rPr>
        <w:t xml:space="preserve"> – When a public interest certificate may be given</w:t>
      </w:r>
    </w:p>
    <w:p w14:paraId="29F34E0B" w14:textId="38D2DA10" w:rsidR="00E41E79" w:rsidRPr="00972C6A" w:rsidRDefault="00D556CA" w:rsidP="00972C6A">
      <w:pPr>
        <w:spacing w:before="120"/>
        <w:rPr>
          <w:rFonts w:ascii="Arial" w:hAnsi="Arial" w:cs="Arial"/>
          <w:szCs w:val="24"/>
        </w:rPr>
      </w:pPr>
      <w:r w:rsidRPr="00972C6A">
        <w:rPr>
          <w:rFonts w:ascii="Arial" w:hAnsi="Arial" w:cs="Arial"/>
          <w:szCs w:val="24"/>
        </w:rPr>
        <w:t xml:space="preserve">This provision </w:t>
      </w:r>
      <w:r w:rsidR="00110116" w:rsidRPr="00972C6A">
        <w:rPr>
          <w:rFonts w:ascii="Arial" w:hAnsi="Arial" w:cs="Arial"/>
          <w:szCs w:val="24"/>
        </w:rPr>
        <w:t xml:space="preserve">states that a public interest certificate may be given by the Secretary </w:t>
      </w:r>
      <w:r w:rsidR="00E41E79" w:rsidRPr="00972C6A">
        <w:rPr>
          <w:rFonts w:ascii="Arial" w:hAnsi="Arial" w:cs="Arial"/>
          <w:szCs w:val="24"/>
        </w:rPr>
        <w:t>if:</w:t>
      </w:r>
    </w:p>
    <w:p w14:paraId="54A62652" w14:textId="547B9260" w:rsidR="00FC3A99" w:rsidRPr="00972C6A" w:rsidRDefault="00FC3A99" w:rsidP="00972C6A">
      <w:pPr>
        <w:numPr>
          <w:ilvl w:val="0"/>
          <w:numId w:val="26"/>
        </w:numPr>
        <w:spacing w:before="120"/>
        <w:rPr>
          <w:rFonts w:ascii="Arial" w:hAnsi="Arial" w:cs="Arial"/>
          <w:szCs w:val="24"/>
        </w:rPr>
      </w:pPr>
      <w:r w:rsidRPr="00972C6A">
        <w:rPr>
          <w:rFonts w:ascii="Arial" w:hAnsi="Arial" w:cs="Arial"/>
          <w:szCs w:val="24"/>
        </w:rPr>
        <w:t xml:space="preserve">the information cannot be obtained from a source other than </w:t>
      </w:r>
      <w:r w:rsidR="00765AF3" w:rsidRPr="00972C6A">
        <w:rPr>
          <w:rFonts w:ascii="Arial" w:hAnsi="Arial" w:cs="Arial"/>
          <w:szCs w:val="24"/>
        </w:rPr>
        <w:t xml:space="preserve">DSS or Services </w:t>
      </w:r>
      <w:proofErr w:type="gramStart"/>
      <w:r w:rsidR="00765AF3" w:rsidRPr="00972C6A">
        <w:rPr>
          <w:rFonts w:ascii="Arial" w:hAnsi="Arial" w:cs="Arial"/>
          <w:szCs w:val="24"/>
        </w:rPr>
        <w:t>Australia</w:t>
      </w:r>
      <w:r w:rsidRPr="00972C6A">
        <w:rPr>
          <w:rFonts w:ascii="Arial" w:hAnsi="Arial" w:cs="Arial"/>
          <w:szCs w:val="24"/>
        </w:rPr>
        <w:t>;</w:t>
      </w:r>
      <w:proofErr w:type="gramEnd"/>
    </w:p>
    <w:p w14:paraId="0519008B" w14:textId="70EA854B" w:rsidR="00FC3A99" w:rsidRPr="00972C6A" w:rsidRDefault="00FC3A99" w:rsidP="00972C6A">
      <w:pPr>
        <w:numPr>
          <w:ilvl w:val="0"/>
          <w:numId w:val="19"/>
        </w:numPr>
        <w:spacing w:before="0"/>
        <w:rPr>
          <w:rFonts w:ascii="Arial" w:hAnsi="Arial" w:cs="Arial"/>
          <w:szCs w:val="24"/>
        </w:rPr>
      </w:pPr>
      <w:r w:rsidRPr="00972C6A">
        <w:rPr>
          <w:rFonts w:ascii="Arial" w:hAnsi="Arial" w:cs="Arial"/>
          <w:szCs w:val="24"/>
        </w:rPr>
        <w:t xml:space="preserve">the Secretary is satisfied that </w:t>
      </w:r>
      <w:r w:rsidR="00DC50AE" w:rsidRPr="00972C6A">
        <w:rPr>
          <w:rFonts w:ascii="Arial" w:hAnsi="Arial" w:cs="Arial"/>
          <w:szCs w:val="24"/>
        </w:rPr>
        <w:t xml:space="preserve">the disclosure will not result in </w:t>
      </w:r>
      <w:r w:rsidRPr="00972C6A">
        <w:rPr>
          <w:rFonts w:ascii="Arial" w:hAnsi="Arial" w:cs="Arial"/>
          <w:szCs w:val="24"/>
        </w:rPr>
        <w:t xml:space="preserve">harm to the homeless young person if information is </w:t>
      </w:r>
      <w:proofErr w:type="gramStart"/>
      <w:r w:rsidRPr="00972C6A">
        <w:rPr>
          <w:rFonts w:ascii="Arial" w:hAnsi="Arial" w:cs="Arial"/>
          <w:szCs w:val="24"/>
        </w:rPr>
        <w:t>disclosed;</w:t>
      </w:r>
      <w:proofErr w:type="gramEnd"/>
      <w:r w:rsidRPr="00972C6A">
        <w:rPr>
          <w:rFonts w:ascii="Arial" w:hAnsi="Arial" w:cs="Arial"/>
          <w:szCs w:val="24"/>
        </w:rPr>
        <w:t xml:space="preserve"> </w:t>
      </w:r>
    </w:p>
    <w:p w14:paraId="2B36856D" w14:textId="7CAD8CA3" w:rsidR="00FC3A99" w:rsidRPr="00972C6A" w:rsidRDefault="00FC3A99" w:rsidP="00972C6A">
      <w:pPr>
        <w:numPr>
          <w:ilvl w:val="0"/>
          <w:numId w:val="19"/>
        </w:numPr>
        <w:spacing w:before="0"/>
        <w:rPr>
          <w:rFonts w:ascii="Arial" w:hAnsi="Arial" w:cs="Arial"/>
          <w:szCs w:val="24"/>
        </w:rPr>
      </w:pPr>
      <w:r w:rsidRPr="00972C6A">
        <w:rPr>
          <w:rFonts w:ascii="Arial" w:hAnsi="Arial" w:cs="Arial"/>
          <w:szCs w:val="24"/>
        </w:rPr>
        <w:t xml:space="preserve">the Secretary is satisfied that the disclosure is for the purpose </w:t>
      </w:r>
      <w:r w:rsidR="001A7A7A" w:rsidRPr="00972C6A">
        <w:rPr>
          <w:rFonts w:ascii="Arial" w:hAnsi="Arial" w:cs="Arial"/>
          <w:szCs w:val="24"/>
        </w:rPr>
        <w:t xml:space="preserve">of a section in Part </w:t>
      </w:r>
      <w:r w:rsidR="008A3C06" w:rsidRPr="00972C6A">
        <w:rPr>
          <w:rFonts w:ascii="Arial" w:hAnsi="Arial" w:cs="Arial"/>
          <w:szCs w:val="24"/>
        </w:rPr>
        <w:t>3</w:t>
      </w:r>
      <w:r w:rsidR="001A7A7A" w:rsidRPr="00972C6A">
        <w:rPr>
          <w:rFonts w:ascii="Arial" w:hAnsi="Arial" w:cs="Arial"/>
          <w:szCs w:val="24"/>
        </w:rPr>
        <w:t>; and</w:t>
      </w:r>
    </w:p>
    <w:p w14:paraId="5D55D172" w14:textId="4F7B8D25" w:rsidR="0085790E" w:rsidRPr="00972C6A" w:rsidRDefault="00715FE3" w:rsidP="00972C6A">
      <w:pPr>
        <w:pStyle w:val="OPCParaBase"/>
        <w:numPr>
          <w:ilvl w:val="0"/>
          <w:numId w:val="19"/>
        </w:numPr>
        <w:rPr>
          <w:rFonts w:ascii="Arial" w:hAnsi="Arial" w:cs="Arial"/>
          <w:sz w:val="24"/>
          <w:szCs w:val="24"/>
        </w:rPr>
      </w:pPr>
      <w:r w:rsidRPr="00972C6A">
        <w:rPr>
          <w:rFonts w:ascii="Arial" w:hAnsi="Arial" w:cs="Arial"/>
          <w:sz w:val="24"/>
          <w:szCs w:val="24"/>
        </w:rPr>
        <w:t xml:space="preserve">the purpose of the relevant section in Part </w:t>
      </w:r>
      <w:r w:rsidR="008A3C06" w:rsidRPr="00972C6A">
        <w:rPr>
          <w:rFonts w:ascii="Arial" w:hAnsi="Arial" w:cs="Arial"/>
          <w:sz w:val="24"/>
          <w:szCs w:val="24"/>
        </w:rPr>
        <w:t>3</w:t>
      </w:r>
      <w:r w:rsidRPr="00972C6A">
        <w:rPr>
          <w:rFonts w:ascii="Arial" w:hAnsi="Arial" w:cs="Arial"/>
          <w:sz w:val="24"/>
          <w:szCs w:val="24"/>
        </w:rPr>
        <w:t xml:space="preserve"> </w:t>
      </w:r>
      <w:r w:rsidR="00AE58E0" w:rsidRPr="00972C6A">
        <w:rPr>
          <w:rFonts w:ascii="Arial" w:hAnsi="Arial" w:cs="Arial"/>
          <w:sz w:val="24"/>
          <w:szCs w:val="24"/>
        </w:rPr>
        <w:t>can only be achieved</w:t>
      </w:r>
      <w:r w:rsidRPr="00972C6A">
        <w:rPr>
          <w:rFonts w:ascii="Arial" w:hAnsi="Arial" w:cs="Arial"/>
          <w:sz w:val="24"/>
          <w:szCs w:val="24"/>
        </w:rPr>
        <w:t xml:space="preserve"> by disclosing </w:t>
      </w:r>
      <w:r w:rsidR="00AE58E0" w:rsidRPr="00972C6A">
        <w:rPr>
          <w:rFonts w:ascii="Arial" w:hAnsi="Arial" w:cs="Arial"/>
          <w:sz w:val="24"/>
          <w:szCs w:val="24"/>
        </w:rPr>
        <w:t>identifiable information about a person.</w:t>
      </w:r>
    </w:p>
    <w:p w14:paraId="00E9FA56" w14:textId="378DE903" w:rsidR="00497B95" w:rsidRPr="00972C6A" w:rsidRDefault="00497B95" w:rsidP="00972C6A">
      <w:pPr>
        <w:spacing w:before="120"/>
      </w:pPr>
      <w:r w:rsidRPr="00972C6A">
        <w:rPr>
          <w:rFonts w:ascii="Arial" w:hAnsi="Arial" w:cs="Arial"/>
          <w:szCs w:val="24"/>
        </w:rPr>
        <w:t xml:space="preserve">The provision is broadly </w:t>
      </w:r>
      <w:proofErr w:type="gramStart"/>
      <w:r w:rsidRPr="00972C6A">
        <w:rPr>
          <w:rFonts w:ascii="Arial" w:hAnsi="Arial" w:cs="Arial"/>
          <w:szCs w:val="24"/>
        </w:rPr>
        <w:t>similar to</w:t>
      </w:r>
      <w:proofErr w:type="gramEnd"/>
      <w:r w:rsidRPr="00972C6A">
        <w:rPr>
          <w:rFonts w:ascii="Arial" w:hAnsi="Arial" w:cs="Arial"/>
          <w:szCs w:val="24"/>
        </w:rPr>
        <w:t xml:space="preserve"> section 7 of the Determination, but includes an extra condition</w:t>
      </w:r>
      <w:r w:rsidR="005F131E" w:rsidRPr="00972C6A">
        <w:rPr>
          <w:rFonts w:ascii="Arial" w:hAnsi="Arial" w:cs="Arial"/>
          <w:szCs w:val="24"/>
        </w:rPr>
        <w:t>, namely</w:t>
      </w:r>
      <w:r w:rsidRPr="00972C6A">
        <w:rPr>
          <w:rFonts w:ascii="Arial" w:hAnsi="Arial" w:cs="Arial"/>
          <w:szCs w:val="24"/>
        </w:rPr>
        <w:t xml:space="preserve"> that the Secretary be satisfied that </w:t>
      </w:r>
      <w:r w:rsidR="002846DF" w:rsidRPr="00972C6A">
        <w:rPr>
          <w:rFonts w:ascii="Arial" w:hAnsi="Arial" w:cs="Arial"/>
          <w:szCs w:val="24"/>
        </w:rPr>
        <w:t xml:space="preserve">the disclosure will not result in </w:t>
      </w:r>
      <w:r w:rsidRPr="00972C6A">
        <w:rPr>
          <w:rFonts w:ascii="Arial" w:hAnsi="Arial" w:cs="Arial"/>
          <w:szCs w:val="24"/>
        </w:rPr>
        <w:t>harm to the homeless young person if the information is disclosed.</w:t>
      </w:r>
    </w:p>
    <w:p w14:paraId="65A97186" w14:textId="75FFCA23" w:rsidR="00FC3A99" w:rsidRPr="00972C6A" w:rsidRDefault="00497B95" w:rsidP="00972C6A">
      <w:pPr>
        <w:spacing w:before="120"/>
        <w:rPr>
          <w:rFonts w:ascii="Arial" w:hAnsi="Arial" w:cs="Arial"/>
          <w:szCs w:val="24"/>
        </w:rPr>
      </w:pPr>
      <w:r w:rsidRPr="00972C6A">
        <w:rPr>
          <w:rFonts w:ascii="Arial" w:hAnsi="Arial" w:cs="Arial"/>
          <w:szCs w:val="24"/>
        </w:rPr>
        <w:t>This provision</w:t>
      </w:r>
      <w:r w:rsidR="00C64836" w:rsidRPr="00972C6A">
        <w:rPr>
          <w:rFonts w:ascii="Arial" w:hAnsi="Arial" w:cs="Arial"/>
          <w:szCs w:val="24"/>
        </w:rPr>
        <w:t xml:space="preserve"> is not intended to limit the </w:t>
      </w:r>
      <w:r w:rsidR="00A370F1" w:rsidRPr="00972C6A">
        <w:rPr>
          <w:rFonts w:ascii="Arial" w:hAnsi="Arial" w:cs="Arial"/>
          <w:szCs w:val="24"/>
        </w:rPr>
        <w:t xml:space="preserve">operation of section </w:t>
      </w:r>
      <w:r w:rsidR="006816D8" w:rsidRPr="00972C6A">
        <w:rPr>
          <w:rFonts w:ascii="Arial" w:hAnsi="Arial" w:cs="Arial"/>
          <w:szCs w:val="24"/>
        </w:rPr>
        <w:t>7</w:t>
      </w:r>
      <w:r w:rsidR="005F131E" w:rsidRPr="00972C6A">
        <w:rPr>
          <w:rFonts w:ascii="Arial" w:hAnsi="Arial" w:cs="Arial"/>
          <w:szCs w:val="24"/>
        </w:rPr>
        <w:t xml:space="preserve"> in its application to a </w:t>
      </w:r>
      <w:r w:rsidR="00204567" w:rsidRPr="00972C6A">
        <w:rPr>
          <w:rFonts w:ascii="Arial" w:hAnsi="Arial" w:cs="Arial"/>
          <w:szCs w:val="24"/>
        </w:rPr>
        <w:t xml:space="preserve">disclosure of information </w:t>
      </w:r>
      <w:r w:rsidR="005F131E" w:rsidRPr="00972C6A">
        <w:rPr>
          <w:rFonts w:ascii="Arial" w:hAnsi="Arial" w:cs="Arial"/>
          <w:szCs w:val="24"/>
        </w:rPr>
        <w:t>that relates to a homeless young person</w:t>
      </w:r>
      <w:r w:rsidR="005F131E" w:rsidRPr="00972C6A" w:rsidDel="005F131E">
        <w:rPr>
          <w:rFonts w:ascii="Arial" w:hAnsi="Arial" w:cs="Arial"/>
          <w:szCs w:val="24"/>
        </w:rPr>
        <w:t xml:space="preserve"> </w:t>
      </w:r>
      <w:r w:rsidR="00074AD4" w:rsidRPr="00972C6A">
        <w:rPr>
          <w:rFonts w:ascii="Arial" w:hAnsi="Arial" w:cs="Arial"/>
          <w:szCs w:val="24"/>
        </w:rPr>
        <w:t xml:space="preserve">under Part 2 of the </w:t>
      </w:r>
      <w:r w:rsidRPr="00972C6A">
        <w:rPr>
          <w:rFonts w:ascii="Arial" w:hAnsi="Arial" w:cs="Arial"/>
          <w:szCs w:val="24"/>
        </w:rPr>
        <w:t>Determination</w:t>
      </w:r>
      <w:r w:rsidR="00074AD4" w:rsidRPr="00972C6A">
        <w:rPr>
          <w:rFonts w:ascii="Arial" w:hAnsi="Arial" w:cs="Arial"/>
          <w:szCs w:val="24"/>
        </w:rPr>
        <w:t>.</w:t>
      </w:r>
      <w:r w:rsidR="00A370F1" w:rsidRPr="00972C6A">
        <w:rPr>
          <w:rFonts w:ascii="Arial" w:hAnsi="Arial" w:cs="Arial"/>
          <w:szCs w:val="24"/>
        </w:rPr>
        <w:t xml:space="preserve"> </w:t>
      </w:r>
    </w:p>
    <w:p w14:paraId="23B4D276" w14:textId="406CF4BA" w:rsidR="00DE4F1B" w:rsidRPr="00972C6A" w:rsidRDefault="00FC3A99" w:rsidP="00972C6A">
      <w:pPr>
        <w:spacing w:before="120"/>
        <w:rPr>
          <w:rFonts w:ascii="Arial" w:hAnsi="Arial" w:cs="Arial"/>
          <w:b/>
          <w:szCs w:val="24"/>
        </w:rPr>
      </w:pPr>
      <w:r w:rsidRPr="00972C6A">
        <w:rPr>
          <w:rFonts w:ascii="Arial" w:hAnsi="Arial" w:cs="Arial"/>
          <w:b/>
          <w:szCs w:val="24"/>
        </w:rPr>
        <w:t>Section 3</w:t>
      </w:r>
      <w:r w:rsidR="007A5B9B" w:rsidRPr="00972C6A">
        <w:rPr>
          <w:rFonts w:ascii="Arial" w:hAnsi="Arial" w:cs="Arial"/>
          <w:b/>
          <w:szCs w:val="24"/>
        </w:rPr>
        <w:t>1</w:t>
      </w:r>
      <w:r w:rsidR="00497B95" w:rsidRPr="00972C6A">
        <w:rPr>
          <w:rFonts w:ascii="Arial" w:hAnsi="Arial" w:cs="Arial"/>
          <w:b/>
          <w:szCs w:val="24"/>
        </w:rPr>
        <w:t xml:space="preserve"> </w:t>
      </w:r>
      <w:r w:rsidR="00DE4F1B" w:rsidRPr="00972C6A">
        <w:rPr>
          <w:rFonts w:ascii="Arial" w:hAnsi="Arial" w:cs="Arial"/>
          <w:b/>
          <w:szCs w:val="24"/>
        </w:rPr>
        <w:t>–</w:t>
      </w:r>
      <w:r w:rsidR="00497B95" w:rsidRPr="00972C6A">
        <w:rPr>
          <w:rFonts w:ascii="Arial" w:hAnsi="Arial" w:cs="Arial"/>
          <w:b/>
          <w:szCs w:val="24"/>
        </w:rPr>
        <w:t xml:space="preserve"> </w:t>
      </w:r>
      <w:r w:rsidR="00DE4F1B" w:rsidRPr="00972C6A">
        <w:rPr>
          <w:rFonts w:ascii="Arial" w:hAnsi="Arial" w:cs="Arial"/>
          <w:b/>
          <w:szCs w:val="24"/>
        </w:rPr>
        <w:t>State or Territory welfare authority</w:t>
      </w:r>
    </w:p>
    <w:p w14:paraId="7E96B4A6" w14:textId="77777777" w:rsidR="00D17629" w:rsidRPr="00972C6A" w:rsidRDefault="00D17629" w:rsidP="00972C6A">
      <w:pPr>
        <w:spacing w:before="120"/>
        <w:rPr>
          <w:rFonts w:ascii="Arial" w:hAnsi="Arial" w:cs="Arial"/>
          <w:b/>
          <w:bCs/>
          <w:szCs w:val="24"/>
        </w:rPr>
      </w:pPr>
      <w:r w:rsidRPr="00972C6A">
        <w:rPr>
          <w:rFonts w:ascii="Arial" w:hAnsi="Arial" w:cs="Arial"/>
          <w:szCs w:val="24"/>
        </w:rPr>
        <w:t>This provision covers a disclosure of information to a welfare authority of a State or Territory where the homeless young person to whom the information relates is either in the care of a welfare authority of a State or Territory (in accordance with the law of that State or Territory) or is under 15 years of age.</w:t>
      </w:r>
    </w:p>
    <w:p w14:paraId="4E4DBAC4" w14:textId="12F9BA41" w:rsidR="00FC3A99" w:rsidRPr="00972C6A" w:rsidRDefault="00DE4F1B" w:rsidP="00972C6A">
      <w:pPr>
        <w:spacing w:before="120"/>
        <w:rPr>
          <w:rFonts w:ascii="Arial" w:hAnsi="Arial" w:cs="Arial"/>
          <w:b/>
          <w:bCs/>
          <w:szCs w:val="24"/>
        </w:rPr>
      </w:pPr>
      <w:r w:rsidRPr="00972C6A">
        <w:rPr>
          <w:rFonts w:ascii="Arial" w:hAnsi="Arial" w:cs="Arial"/>
          <w:b/>
          <w:bCs/>
          <w:szCs w:val="24"/>
        </w:rPr>
        <w:t>Section 3</w:t>
      </w:r>
      <w:r w:rsidR="007A5B9B" w:rsidRPr="00972C6A">
        <w:rPr>
          <w:rFonts w:ascii="Arial" w:hAnsi="Arial" w:cs="Arial"/>
          <w:b/>
          <w:bCs/>
          <w:szCs w:val="24"/>
        </w:rPr>
        <w:t>2</w:t>
      </w:r>
      <w:r w:rsidRPr="00972C6A">
        <w:rPr>
          <w:rFonts w:ascii="Arial" w:hAnsi="Arial" w:cs="Arial"/>
          <w:b/>
          <w:bCs/>
          <w:szCs w:val="24"/>
        </w:rPr>
        <w:t xml:space="preserve"> – Abuse or violence</w:t>
      </w:r>
    </w:p>
    <w:p w14:paraId="6B629C46" w14:textId="294EBB4D" w:rsidR="00D50C70" w:rsidRPr="00972C6A" w:rsidRDefault="00DE4F1B"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Pr="00972C6A">
        <w:rPr>
          <w:rFonts w:ascii="Arial" w:hAnsi="Arial" w:cs="Arial"/>
          <w:szCs w:val="24"/>
        </w:rPr>
        <w:t xml:space="preserve"> a disclosure of information </w:t>
      </w:r>
      <w:r w:rsidR="003F6DA8" w:rsidRPr="00972C6A">
        <w:rPr>
          <w:rFonts w:ascii="Arial" w:hAnsi="Arial" w:cs="Arial"/>
          <w:szCs w:val="24"/>
        </w:rPr>
        <w:t xml:space="preserve">where </w:t>
      </w:r>
      <w:r w:rsidR="00FC3A99" w:rsidRPr="00972C6A">
        <w:rPr>
          <w:rFonts w:ascii="Arial" w:hAnsi="Arial" w:cs="Arial"/>
          <w:szCs w:val="24"/>
        </w:rPr>
        <w:t xml:space="preserve">the information is about a family member of a homeless young </w:t>
      </w:r>
      <w:proofErr w:type="gramStart"/>
      <w:r w:rsidR="00FC3A99" w:rsidRPr="00972C6A">
        <w:rPr>
          <w:rFonts w:ascii="Arial" w:hAnsi="Arial" w:cs="Arial"/>
          <w:szCs w:val="24"/>
        </w:rPr>
        <w:t>person</w:t>
      </w:r>
      <w:proofErr w:type="gramEnd"/>
      <w:r w:rsidR="00FC3A99" w:rsidRPr="00972C6A">
        <w:rPr>
          <w:rFonts w:ascii="Arial" w:hAnsi="Arial" w:cs="Arial"/>
          <w:szCs w:val="24"/>
        </w:rPr>
        <w:t xml:space="preserve"> and the Secretary is satisfied that the homeless young person or a family member of the homeless young person has been subjected to abuse or violence.</w:t>
      </w:r>
    </w:p>
    <w:p w14:paraId="2F480A51" w14:textId="53CF3F18" w:rsidR="00D50C70" w:rsidRPr="00972C6A" w:rsidRDefault="00FC3A99" w:rsidP="00972C6A">
      <w:pPr>
        <w:spacing w:before="120"/>
        <w:rPr>
          <w:rFonts w:ascii="Arial" w:hAnsi="Arial" w:cs="Arial"/>
          <w:b/>
          <w:szCs w:val="24"/>
        </w:rPr>
      </w:pPr>
      <w:r w:rsidRPr="00972C6A">
        <w:rPr>
          <w:rFonts w:ascii="Arial" w:hAnsi="Arial" w:cs="Arial"/>
          <w:b/>
          <w:szCs w:val="24"/>
        </w:rPr>
        <w:t xml:space="preserve">Section </w:t>
      </w:r>
      <w:r w:rsidR="001A7A7A" w:rsidRPr="00972C6A">
        <w:rPr>
          <w:rFonts w:ascii="Arial" w:hAnsi="Arial" w:cs="Arial"/>
          <w:b/>
          <w:szCs w:val="24"/>
        </w:rPr>
        <w:t>3</w:t>
      </w:r>
      <w:r w:rsidR="007A5B9B" w:rsidRPr="00972C6A">
        <w:rPr>
          <w:rFonts w:ascii="Arial" w:hAnsi="Arial" w:cs="Arial"/>
          <w:b/>
          <w:szCs w:val="24"/>
        </w:rPr>
        <w:t>3</w:t>
      </w:r>
      <w:r w:rsidR="00D50C70" w:rsidRPr="00972C6A">
        <w:rPr>
          <w:rFonts w:ascii="Arial" w:hAnsi="Arial" w:cs="Arial"/>
          <w:b/>
          <w:szCs w:val="24"/>
        </w:rPr>
        <w:t xml:space="preserve"> – </w:t>
      </w:r>
      <w:r w:rsidR="008A3C06" w:rsidRPr="00972C6A">
        <w:rPr>
          <w:rFonts w:ascii="Arial" w:hAnsi="Arial" w:cs="Arial"/>
          <w:b/>
          <w:szCs w:val="24"/>
        </w:rPr>
        <w:t>Reconciliation</w:t>
      </w:r>
    </w:p>
    <w:p w14:paraId="7EDFB644" w14:textId="5F743E55" w:rsidR="00FC3A99" w:rsidRPr="00972C6A" w:rsidRDefault="00D50C70" w:rsidP="00972C6A">
      <w:pPr>
        <w:spacing w:before="120"/>
        <w:rPr>
          <w:rFonts w:ascii="Arial" w:hAnsi="Arial" w:cs="Arial"/>
          <w:szCs w:val="24"/>
        </w:rPr>
      </w:pPr>
      <w:r w:rsidRPr="00972C6A">
        <w:rPr>
          <w:rFonts w:ascii="Arial" w:hAnsi="Arial" w:cs="Arial"/>
          <w:bCs/>
          <w:szCs w:val="24"/>
        </w:rPr>
        <w:t xml:space="preserve">This provision </w:t>
      </w:r>
      <w:r w:rsidR="002D1F53" w:rsidRPr="00972C6A">
        <w:rPr>
          <w:rFonts w:ascii="Arial" w:hAnsi="Arial" w:cs="Arial"/>
          <w:bCs/>
          <w:szCs w:val="24"/>
        </w:rPr>
        <w:t>covers</w:t>
      </w:r>
      <w:r w:rsidRPr="00972C6A">
        <w:rPr>
          <w:rFonts w:ascii="Arial" w:hAnsi="Arial" w:cs="Arial"/>
          <w:bCs/>
          <w:szCs w:val="24"/>
        </w:rPr>
        <w:t xml:space="preserve"> a disclosure of information </w:t>
      </w:r>
      <w:r w:rsidRPr="00972C6A">
        <w:rPr>
          <w:rFonts w:ascii="Arial" w:hAnsi="Arial" w:cs="Arial"/>
          <w:szCs w:val="24"/>
        </w:rPr>
        <w:t>t</w:t>
      </w:r>
      <w:r w:rsidR="001A7A7A" w:rsidRPr="00972C6A">
        <w:rPr>
          <w:rFonts w:ascii="Arial" w:hAnsi="Arial" w:cs="Arial"/>
          <w:szCs w:val="24"/>
        </w:rPr>
        <w:t>hat is necessary</w:t>
      </w:r>
      <w:r w:rsidR="00FC3A99" w:rsidRPr="00972C6A">
        <w:rPr>
          <w:rFonts w:ascii="Arial" w:hAnsi="Arial" w:cs="Arial"/>
          <w:szCs w:val="24"/>
        </w:rPr>
        <w:t xml:space="preserve"> to facilitate reconciliation, or possible reconciliation, between a homeless young person and </w:t>
      </w:r>
      <w:r w:rsidR="00372B07" w:rsidRPr="00972C6A">
        <w:rPr>
          <w:rFonts w:ascii="Arial" w:hAnsi="Arial" w:cs="Arial"/>
          <w:szCs w:val="24"/>
        </w:rPr>
        <w:t>their</w:t>
      </w:r>
      <w:r w:rsidR="00FC3A99" w:rsidRPr="00972C6A">
        <w:rPr>
          <w:rFonts w:ascii="Arial" w:hAnsi="Arial" w:cs="Arial"/>
          <w:szCs w:val="24"/>
        </w:rPr>
        <w:t xml:space="preserve"> parent</w:t>
      </w:r>
      <w:r w:rsidR="005F131E" w:rsidRPr="00972C6A">
        <w:rPr>
          <w:rFonts w:ascii="Arial" w:hAnsi="Arial" w:cs="Arial"/>
          <w:szCs w:val="24"/>
        </w:rPr>
        <w:t xml:space="preserve"> or parent</w:t>
      </w:r>
      <w:r w:rsidR="00FC3A99" w:rsidRPr="00972C6A">
        <w:rPr>
          <w:rFonts w:ascii="Arial" w:hAnsi="Arial" w:cs="Arial"/>
          <w:szCs w:val="24"/>
        </w:rPr>
        <w:t>s.</w:t>
      </w:r>
    </w:p>
    <w:p w14:paraId="26D14A45" w14:textId="3006EED9" w:rsidR="00D50C70" w:rsidRPr="00972C6A" w:rsidRDefault="00FC3A99" w:rsidP="00972C6A">
      <w:pPr>
        <w:spacing w:before="120"/>
        <w:rPr>
          <w:rFonts w:ascii="Arial" w:hAnsi="Arial" w:cs="Arial"/>
          <w:b/>
          <w:szCs w:val="24"/>
        </w:rPr>
      </w:pPr>
      <w:r w:rsidRPr="00972C6A">
        <w:rPr>
          <w:rFonts w:ascii="Arial" w:hAnsi="Arial" w:cs="Arial"/>
          <w:b/>
          <w:szCs w:val="24"/>
        </w:rPr>
        <w:t xml:space="preserve">Section </w:t>
      </w:r>
      <w:r w:rsidR="001A7A7A" w:rsidRPr="00972C6A">
        <w:rPr>
          <w:rFonts w:ascii="Arial" w:hAnsi="Arial" w:cs="Arial"/>
          <w:b/>
          <w:szCs w:val="24"/>
        </w:rPr>
        <w:t>3</w:t>
      </w:r>
      <w:r w:rsidR="007A5B9B" w:rsidRPr="00972C6A">
        <w:rPr>
          <w:rFonts w:ascii="Arial" w:hAnsi="Arial" w:cs="Arial"/>
          <w:b/>
          <w:szCs w:val="24"/>
        </w:rPr>
        <w:t>4</w:t>
      </w:r>
      <w:r w:rsidR="00D50C70" w:rsidRPr="00972C6A">
        <w:rPr>
          <w:rFonts w:ascii="Arial" w:hAnsi="Arial" w:cs="Arial"/>
          <w:b/>
          <w:szCs w:val="24"/>
        </w:rPr>
        <w:t xml:space="preserve"> – Assurance</w:t>
      </w:r>
    </w:p>
    <w:p w14:paraId="2D6775F5" w14:textId="1BD83237" w:rsidR="00E80757" w:rsidRPr="00972C6A" w:rsidRDefault="00D50C70" w:rsidP="00972C6A">
      <w:pPr>
        <w:spacing w:before="120"/>
        <w:rPr>
          <w:rFonts w:ascii="Arial" w:hAnsi="Arial" w:cs="Arial"/>
          <w:szCs w:val="24"/>
        </w:rPr>
      </w:pPr>
      <w:r w:rsidRPr="00972C6A">
        <w:rPr>
          <w:rFonts w:ascii="Arial" w:hAnsi="Arial" w:cs="Arial"/>
          <w:szCs w:val="24"/>
        </w:rPr>
        <w:t xml:space="preserve">This provision </w:t>
      </w:r>
      <w:r w:rsidR="002D1F53" w:rsidRPr="00972C6A">
        <w:rPr>
          <w:rFonts w:ascii="Arial" w:hAnsi="Arial" w:cs="Arial"/>
          <w:szCs w:val="24"/>
        </w:rPr>
        <w:t>covers</w:t>
      </w:r>
      <w:r w:rsidRPr="00972C6A">
        <w:rPr>
          <w:rFonts w:ascii="Arial" w:hAnsi="Arial" w:cs="Arial"/>
          <w:szCs w:val="24"/>
        </w:rPr>
        <w:t xml:space="preserve"> a disclosure of information </w:t>
      </w:r>
      <w:r w:rsidR="001A7A7A" w:rsidRPr="00972C6A">
        <w:rPr>
          <w:rFonts w:ascii="Arial" w:hAnsi="Arial" w:cs="Arial"/>
          <w:szCs w:val="24"/>
        </w:rPr>
        <w:t>that is</w:t>
      </w:r>
      <w:r w:rsidR="00FC3A99" w:rsidRPr="00972C6A">
        <w:rPr>
          <w:rFonts w:ascii="Arial" w:hAnsi="Arial" w:cs="Arial"/>
          <w:szCs w:val="24"/>
        </w:rPr>
        <w:t xml:space="preserve"> necessary to inform the parent or parents of a homeless young person whether that person has been in contact with DSS or </w:t>
      </w:r>
      <w:r w:rsidR="001A7A7A" w:rsidRPr="00972C6A">
        <w:rPr>
          <w:rFonts w:ascii="Arial" w:hAnsi="Arial" w:cs="Arial"/>
          <w:szCs w:val="24"/>
        </w:rPr>
        <w:t>Services Australia</w:t>
      </w:r>
      <w:r w:rsidR="00FC3A99" w:rsidRPr="00972C6A">
        <w:rPr>
          <w:rFonts w:ascii="Arial" w:hAnsi="Arial" w:cs="Arial"/>
          <w:szCs w:val="24"/>
        </w:rPr>
        <w:t>. This section will only apply where the parent or parents have sought an assurance</w:t>
      </w:r>
      <w:r w:rsidR="00B62877" w:rsidRPr="00972C6A">
        <w:rPr>
          <w:rFonts w:ascii="Arial" w:hAnsi="Arial" w:cs="Arial"/>
          <w:szCs w:val="24"/>
        </w:rPr>
        <w:t xml:space="preserve"> that there has been such contact</w:t>
      </w:r>
      <w:r w:rsidR="00FC3A99" w:rsidRPr="00972C6A">
        <w:rPr>
          <w:rFonts w:ascii="Arial" w:hAnsi="Arial" w:cs="Arial"/>
          <w:szCs w:val="24"/>
        </w:rPr>
        <w:t>.</w:t>
      </w:r>
      <w:r w:rsidR="00E80757" w:rsidRPr="00972C6A">
        <w:rPr>
          <w:rFonts w:ascii="Arial" w:hAnsi="Arial" w:cs="Arial"/>
          <w:szCs w:val="24"/>
        </w:rPr>
        <w:br w:type="page"/>
      </w:r>
    </w:p>
    <w:p w14:paraId="500B1756" w14:textId="77777777" w:rsidR="00FE2738" w:rsidRPr="00972C6A" w:rsidRDefault="00FE2738" w:rsidP="00972C6A">
      <w:pPr>
        <w:spacing w:before="120"/>
        <w:rPr>
          <w:rStyle w:val="BookTitle"/>
          <w:rFonts w:ascii="Arial" w:hAnsi="Arial" w:cs="Arial"/>
          <w:i w:val="0"/>
          <w:iCs w:val="0"/>
          <w:smallCaps w:val="0"/>
          <w:spacing w:val="0"/>
          <w:szCs w:val="24"/>
        </w:rPr>
      </w:pPr>
    </w:p>
    <w:p w14:paraId="00A0BA33" w14:textId="77777777" w:rsidR="00E80757" w:rsidRPr="00972C6A" w:rsidRDefault="00E80757" w:rsidP="00972C6A">
      <w:pPr>
        <w:spacing w:before="0"/>
        <w:jc w:val="center"/>
        <w:rPr>
          <w:rFonts w:ascii="Arial" w:hAnsi="Arial" w:cs="Arial"/>
          <w:b/>
          <w:szCs w:val="24"/>
        </w:rPr>
      </w:pPr>
      <w:bookmarkStart w:id="2" w:name="_Toc290210739"/>
      <w:r w:rsidRPr="00972C6A">
        <w:rPr>
          <w:rFonts w:ascii="Arial" w:hAnsi="Arial" w:cs="Arial"/>
          <w:b/>
          <w:szCs w:val="24"/>
        </w:rPr>
        <w:t>Statement of Compatibility with Human Rights</w:t>
      </w:r>
    </w:p>
    <w:p w14:paraId="3113DED7" w14:textId="77777777" w:rsidR="00E80757" w:rsidRPr="00972C6A" w:rsidRDefault="00E80757" w:rsidP="00972C6A">
      <w:pPr>
        <w:spacing w:before="0"/>
        <w:jc w:val="center"/>
        <w:rPr>
          <w:rFonts w:ascii="Arial" w:hAnsi="Arial" w:cs="Arial"/>
          <w:b/>
          <w:szCs w:val="24"/>
        </w:rPr>
      </w:pPr>
    </w:p>
    <w:p w14:paraId="6258AD4E" w14:textId="77777777" w:rsidR="00E80757" w:rsidRPr="00972C6A" w:rsidRDefault="00E80757" w:rsidP="00972C6A">
      <w:pPr>
        <w:spacing w:before="0"/>
        <w:jc w:val="center"/>
        <w:rPr>
          <w:rFonts w:ascii="Arial" w:hAnsi="Arial" w:cs="Arial"/>
          <w:szCs w:val="24"/>
        </w:rPr>
      </w:pPr>
      <w:r w:rsidRPr="00972C6A">
        <w:rPr>
          <w:rFonts w:ascii="Arial" w:hAnsi="Arial" w:cs="Arial"/>
          <w:i/>
          <w:szCs w:val="24"/>
        </w:rPr>
        <w:t>Prepared in accordance with Part 3 of the Human Rights (Parliamentary Scrutiny) Act 2011</w:t>
      </w:r>
    </w:p>
    <w:p w14:paraId="7EFD6E73" w14:textId="77777777" w:rsidR="00E80757" w:rsidRPr="00972C6A" w:rsidRDefault="00E80757" w:rsidP="00972C6A">
      <w:pPr>
        <w:spacing w:before="0"/>
        <w:jc w:val="center"/>
        <w:rPr>
          <w:rFonts w:ascii="Arial" w:hAnsi="Arial" w:cs="Arial"/>
          <w:szCs w:val="24"/>
        </w:rPr>
      </w:pPr>
    </w:p>
    <w:p w14:paraId="5B832384" w14:textId="1A761BBF" w:rsidR="00E80757" w:rsidRPr="00972C6A" w:rsidRDefault="008A1DE0" w:rsidP="00972C6A">
      <w:pPr>
        <w:spacing w:before="0"/>
        <w:jc w:val="center"/>
        <w:rPr>
          <w:rFonts w:ascii="Arial" w:hAnsi="Arial" w:cs="Arial"/>
          <w:b/>
          <w:bCs/>
          <w:i/>
          <w:iCs/>
          <w:szCs w:val="24"/>
        </w:rPr>
      </w:pPr>
      <w:r w:rsidRPr="00972C6A">
        <w:rPr>
          <w:rFonts w:ascii="Arial" w:hAnsi="Arial" w:cs="Arial"/>
          <w:b/>
          <w:bCs/>
          <w:i/>
          <w:iCs/>
          <w:szCs w:val="24"/>
        </w:rPr>
        <w:t>A New Tax System (Family Assistance)</w:t>
      </w:r>
      <w:r w:rsidR="00E80757" w:rsidRPr="00972C6A">
        <w:rPr>
          <w:rFonts w:ascii="Arial" w:hAnsi="Arial" w:cs="Arial"/>
          <w:b/>
          <w:bCs/>
          <w:i/>
          <w:iCs/>
          <w:szCs w:val="24"/>
        </w:rPr>
        <w:t xml:space="preserve"> (Administration) Act 1999</w:t>
      </w:r>
    </w:p>
    <w:p w14:paraId="50F674F7" w14:textId="77777777" w:rsidR="00E80757" w:rsidRPr="00972C6A" w:rsidRDefault="00E80757" w:rsidP="00972C6A">
      <w:pPr>
        <w:spacing w:before="0"/>
        <w:jc w:val="center"/>
        <w:rPr>
          <w:rFonts w:ascii="Arial" w:hAnsi="Arial" w:cs="Arial"/>
          <w:szCs w:val="24"/>
        </w:rPr>
      </w:pPr>
    </w:p>
    <w:p w14:paraId="19F204CB" w14:textId="06C46497" w:rsidR="00E80757" w:rsidRPr="00972C6A" w:rsidRDefault="008A1DE0" w:rsidP="00972C6A">
      <w:pPr>
        <w:spacing w:before="0"/>
        <w:jc w:val="center"/>
        <w:rPr>
          <w:rFonts w:ascii="Arial" w:hAnsi="Arial" w:cs="Arial"/>
          <w:b/>
          <w:szCs w:val="24"/>
        </w:rPr>
      </w:pPr>
      <w:bookmarkStart w:id="3" w:name="_Hlk202885653"/>
      <w:r w:rsidRPr="00972C6A">
        <w:rPr>
          <w:rFonts w:ascii="Arial" w:hAnsi="Arial" w:cs="Arial"/>
          <w:b/>
          <w:bCs/>
          <w:i/>
          <w:iCs/>
          <w:szCs w:val="24"/>
        </w:rPr>
        <w:t>Family Assistance</w:t>
      </w:r>
      <w:r w:rsidR="00E80757" w:rsidRPr="00972C6A">
        <w:rPr>
          <w:rFonts w:ascii="Arial" w:hAnsi="Arial" w:cs="Arial"/>
          <w:b/>
          <w:bCs/>
          <w:i/>
          <w:iCs/>
          <w:szCs w:val="24"/>
        </w:rPr>
        <w:t xml:space="preserve"> (Public Interest Certificate Guidelines) Determination 2025</w:t>
      </w:r>
      <w:bookmarkEnd w:id="3"/>
    </w:p>
    <w:p w14:paraId="74AEAA26" w14:textId="77777777" w:rsidR="00E80757" w:rsidRPr="00972C6A" w:rsidRDefault="00E80757" w:rsidP="00972C6A">
      <w:pPr>
        <w:spacing w:before="0"/>
        <w:jc w:val="center"/>
        <w:rPr>
          <w:rFonts w:ascii="Arial" w:hAnsi="Arial" w:cs="Arial"/>
          <w:b/>
          <w:szCs w:val="24"/>
        </w:rPr>
      </w:pPr>
    </w:p>
    <w:p w14:paraId="6BC25BCE" w14:textId="4D183CA4" w:rsidR="00E80757" w:rsidRPr="00972C6A" w:rsidRDefault="00E80757" w:rsidP="00972C6A">
      <w:pPr>
        <w:spacing w:before="0"/>
        <w:rPr>
          <w:rFonts w:ascii="Arial" w:hAnsi="Arial" w:cs="Arial"/>
          <w:bCs/>
          <w:szCs w:val="24"/>
        </w:rPr>
      </w:pPr>
      <w:r w:rsidRPr="00972C6A">
        <w:rPr>
          <w:rFonts w:ascii="Arial" w:hAnsi="Arial" w:cs="Arial"/>
          <w:szCs w:val="24"/>
        </w:rPr>
        <w:t xml:space="preserve">The </w:t>
      </w:r>
      <w:r w:rsidR="008A1DE0" w:rsidRPr="00972C6A">
        <w:rPr>
          <w:rFonts w:ascii="Arial" w:hAnsi="Arial" w:cs="Arial"/>
          <w:i/>
          <w:iCs/>
          <w:szCs w:val="24"/>
        </w:rPr>
        <w:t xml:space="preserve">Family Assistance </w:t>
      </w:r>
      <w:r w:rsidRPr="00972C6A">
        <w:rPr>
          <w:rFonts w:ascii="Arial" w:hAnsi="Arial" w:cs="Arial"/>
          <w:i/>
          <w:iCs/>
          <w:szCs w:val="24"/>
        </w:rPr>
        <w:t>(Public Interest Certificate Guidelines) Determination 2025</w:t>
      </w:r>
      <w:r w:rsidRPr="00972C6A">
        <w:rPr>
          <w:rFonts w:ascii="Arial" w:hAnsi="Arial" w:cs="Arial"/>
          <w:b/>
          <w:szCs w:val="24"/>
        </w:rPr>
        <w:t xml:space="preserve"> </w:t>
      </w:r>
      <w:r w:rsidRPr="00972C6A">
        <w:rPr>
          <w:rFonts w:ascii="Arial" w:hAnsi="Arial" w:cs="Arial"/>
          <w:bCs/>
          <w:szCs w:val="24"/>
        </w:rPr>
        <w:t xml:space="preserve">(‘Determination’) is made for the purposes of paragraph </w:t>
      </w:r>
      <w:r w:rsidR="008A1DE0" w:rsidRPr="00972C6A">
        <w:rPr>
          <w:rFonts w:ascii="Arial" w:hAnsi="Arial" w:cs="Arial"/>
          <w:bCs/>
          <w:szCs w:val="24"/>
        </w:rPr>
        <w:t>16</w:t>
      </w:r>
      <w:r w:rsidRPr="00972C6A">
        <w:rPr>
          <w:rFonts w:ascii="Arial" w:hAnsi="Arial" w:cs="Arial"/>
          <w:bCs/>
          <w:szCs w:val="24"/>
        </w:rPr>
        <w:t xml:space="preserve">9(a) of the </w:t>
      </w:r>
      <w:r w:rsidR="008A1DE0" w:rsidRPr="00972C6A">
        <w:rPr>
          <w:rFonts w:ascii="Arial" w:hAnsi="Arial" w:cs="Arial"/>
          <w:bCs/>
          <w:i/>
          <w:iCs/>
          <w:szCs w:val="24"/>
        </w:rPr>
        <w:t>A New Tax System (Family Assistance) (Administration) Act 1999</w:t>
      </w:r>
      <w:r w:rsidRPr="00972C6A">
        <w:rPr>
          <w:rFonts w:ascii="Arial" w:hAnsi="Arial" w:cs="Arial"/>
          <w:bCs/>
          <w:i/>
          <w:iCs/>
          <w:szCs w:val="24"/>
        </w:rPr>
        <w:t xml:space="preserve"> </w:t>
      </w:r>
      <w:r w:rsidRPr="00972C6A">
        <w:rPr>
          <w:rFonts w:ascii="Arial" w:hAnsi="Arial" w:cs="Arial"/>
          <w:bCs/>
          <w:szCs w:val="24"/>
        </w:rPr>
        <w:t>(‘</w:t>
      </w:r>
      <w:r w:rsidR="008F6574" w:rsidRPr="00972C6A">
        <w:rPr>
          <w:rFonts w:ascii="Arial" w:hAnsi="Arial" w:cs="Arial"/>
          <w:bCs/>
          <w:szCs w:val="24"/>
        </w:rPr>
        <w:t>FAA Act</w:t>
      </w:r>
      <w:r w:rsidRPr="00972C6A">
        <w:rPr>
          <w:rFonts w:ascii="Arial" w:hAnsi="Arial" w:cs="Arial"/>
          <w:bCs/>
          <w:szCs w:val="24"/>
        </w:rPr>
        <w:t xml:space="preserve">’). The Determination establishes guidelines the Secretary of the Department of Social Services (‘DSS’) (or a delegate) must follow when exercising power under section </w:t>
      </w:r>
      <w:r w:rsidR="008F6574" w:rsidRPr="00972C6A">
        <w:rPr>
          <w:rFonts w:ascii="Arial" w:hAnsi="Arial" w:cs="Arial"/>
          <w:bCs/>
          <w:szCs w:val="24"/>
        </w:rPr>
        <w:t>168(1)(a)</w:t>
      </w:r>
      <w:r w:rsidRPr="00972C6A">
        <w:rPr>
          <w:rFonts w:ascii="Arial" w:hAnsi="Arial" w:cs="Arial"/>
          <w:bCs/>
          <w:szCs w:val="24"/>
        </w:rPr>
        <w:t xml:space="preserve"> of the </w:t>
      </w:r>
      <w:r w:rsidR="008F6574" w:rsidRPr="00972C6A">
        <w:rPr>
          <w:rFonts w:ascii="Arial" w:hAnsi="Arial" w:cs="Arial"/>
          <w:bCs/>
          <w:szCs w:val="24"/>
        </w:rPr>
        <w:t>FAA Act</w:t>
      </w:r>
      <w:r w:rsidRPr="00972C6A">
        <w:rPr>
          <w:rFonts w:ascii="Arial" w:hAnsi="Arial" w:cs="Arial"/>
          <w:bCs/>
          <w:szCs w:val="24"/>
        </w:rPr>
        <w:t xml:space="preserve"> to disclose information in the public interest.</w:t>
      </w:r>
    </w:p>
    <w:p w14:paraId="1A48CC2C" w14:textId="77777777" w:rsidR="00E80757" w:rsidRPr="00972C6A" w:rsidRDefault="00E80757" w:rsidP="00972C6A">
      <w:pPr>
        <w:spacing w:before="0"/>
        <w:rPr>
          <w:rFonts w:ascii="Arial" w:hAnsi="Arial" w:cs="Arial"/>
          <w:bCs/>
          <w:szCs w:val="24"/>
        </w:rPr>
      </w:pPr>
    </w:p>
    <w:p w14:paraId="75CD81D5" w14:textId="77777777" w:rsidR="00E80757" w:rsidRPr="00972C6A" w:rsidRDefault="00E80757" w:rsidP="00972C6A">
      <w:pPr>
        <w:spacing w:before="0"/>
        <w:rPr>
          <w:rFonts w:ascii="Arial" w:hAnsi="Arial" w:cs="Arial"/>
          <w:b/>
          <w:szCs w:val="24"/>
        </w:rPr>
      </w:pPr>
      <w:r w:rsidRPr="00972C6A">
        <w:rPr>
          <w:rFonts w:ascii="Arial" w:hAnsi="Arial" w:cs="Arial"/>
          <w:bCs/>
          <w:szCs w:val="24"/>
        </w:rPr>
        <w:t xml:space="preserve">The Determination is </w:t>
      </w:r>
      <w:r w:rsidRPr="00972C6A">
        <w:rPr>
          <w:rFonts w:ascii="Arial" w:hAnsi="Arial" w:cs="Arial"/>
          <w:szCs w:val="24"/>
        </w:rPr>
        <w:t xml:space="preserve">compatible with the human rights and freedoms recognised or declared in the international instruments listed in section 3 of the </w:t>
      </w:r>
      <w:r w:rsidRPr="00972C6A">
        <w:rPr>
          <w:rFonts w:ascii="Arial" w:hAnsi="Arial" w:cs="Arial"/>
          <w:i/>
          <w:szCs w:val="24"/>
        </w:rPr>
        <w:t>Human Rights (Parliamentary Scrutiny) Act 2011</w:t>
      </w:r>
      <w:r w:rsidRPr="00972C6A">
        <w:rPr>
          <w:rFonts w:ascii="Arial" w:hAnsi="Arial" w:cs="Arial"/>
          <w:szCs w:val="24"/>
        </w:rPr>
        <w:t>.</w:t>
      </w:r>
    </w:p>
    <w:p w14:paraId="67FABE04" w14:textId="77777777" w:rsidR="00E80757" w:rsidRPr="00972C6A" w:rsidRDefault="00E80757" w:rsidP="00972C6A">
      <w:pPr>
        <w:spacing w:after="120"/>
        <w:jc w:val="both"/>
        <w:rPr>
          <w:rFonts w:ascii="Arial" w:hAnsi="Arial" w:cs="Arial"/>
          <w:b/>
          <w:szCs w:val="24"/>
        </w:rPr>
      </w:pPr>
      <w:r w:rsidRPr="00972C6A">
        <w:rPr>
          <w:rFonts w:ascii="Arial" w:hAnsi="Arial" w:cs="Arial"/>
          <w:b/>
          <w:szCs w:val="24"/>
        </w:rPr>
        <w:t>Overview of the legislative instrument</w:t>
      </w:r>
    </w:p>
    <w:p w14:paraId="19588030" w14:textId="2AC660AE" w:rsidR="00E80757" w:rsidRPr="00972C6A" w:rsidRDefault="00E80757" w:rsidP="00972C6A">
      <w:pPr>
        <w:rPr>
          <w:rFonts w:ascii="Arial" w:hAnsi="Arial" w:cs="Arial"/>
          <w:szCs w:val="24"/>
        </w:rPr>
      </w:pPr>
      <w:r w:rsidRPr="00972C6A">
        <w:rPr>
          <w:rFonts w:ascii="Arial" w:hAnsi="Arial" w:cs="Arial"/>
          <w:szCs w:val="24"/>
        </w:rPr>
        <w:t xml:space="preserve">The Determination is made by the Minister for Social Services under paragraph </w:t>
      </w:r>
      <w:r w:rsidR="00985D3F" w:rsidRPr="00972C6A">
        <w:rPr>
          <w:rFonts w:ascii="Arial" w:hAnsi="Arial" w:cs="Arial"/>
          <w:szCs w:val="24"/>
        </w:rPr>
        <w:t>16</w:t>
      </w:r>
      <w:r w:rsidRPr="00972C6A">
        <w:rPr>
          <w:rFonts w:ascii="Arial" w:hAnsi="Arial" w:cs="Arial"/>
          <w:szCs w:val="24"/>
        </w:rPr>
        <w:t xml:space="preserve">9(a) of the </w:t>
      </w:r>
      <w:r w:rsidR="008F6574" w:rsidRPr="00972C6A">
        <w:rPr>
          <w:rFonts w:ascii="Arial" w:hAnsi="Arial" w:cs="Arial"/>
          <w:szCs w:val="24"/>
        </w:rPr>
        <w:t>FAA Act</w:t>
      </w:r>
      <w:r w:rsidRPr="00972C6A">
        <w:rPr>
          <w:rFonts w:ascii="Arial" w:hAnsi="Arial" w:cs="Arial"/>
          <w:szCs w:val="24"/>
        </w:rPr>
        <w:t xml:space="preserve">. </w:t>
      </w:r>
      <w:r w:rsidR="00B71314" w:rsidRPr="00972C6A">
        <w:rPr>
          <w:rFonts w:ascii="Arial" w:hAnsi="Arial" w:cs="Arial"/>
          <w:szCs w:val="24"/>
        </w:rPr>
        <w:t>Division 2 of Part 6</w:t>
      </w:r>
      <w:r w:rsidRPr="00972C6A">
        <w:rPr>
          <w:rFonts w:ascii="Arial" w:hAnsi="Arial" w:cs="Arial"/>
          <w:szCs w:val="24"/>
        </w:rPr>
        <w:t xml:space="preserve"> of the </w:t>
      </w:r>
      <w:r w:rsidR="008F6574" w:rsidRPr="00972C6A">
        <w:rPr>
          <w:rFonts w:ascii="Arial" w:hAnsi="Arial" w:cs="Arial"/>
          <w:szCs w:val="24"/>
        </w:rPr>
        <w:t>FAA Act</w:t>
      </w:r>
      <w:r w:rsidRPr="00972C6A">
        <w:rPr>
          <w:rFonts w:ascii="Arial" w:hAnsi="Arial" w:cs="Arial"/>
          <w:szCs w:val="24"/>
        </w:rPr>
        <w:t xml:space="preserve"> provides for the confidentiality of information obtained by an officer under the </w:t>
      </w:r>
      <w:r w:rsidR="0002020D" w:rsidRPr="00972C6A">
        <w:rPr>
          <w:rFonts w:ascii="Arial" w:hAnsi="Arial" w:cs="Arial"/>
          <w:szCs w:val="24"/>
        </w:rPr>
        <w:t>family assistance</w:t>
      </w:r>
      <w:r w:rsidRPr="00972C6A">
        <w:rPr>
          <w:rFonts w:ascii="Arial" w:hAnsi="Arial" w:cs="Arial"/>
          <w:szCs w:val="24"/>
        </w:rPr>
        <w:t xml:space="preserve"> law</w:t>
      </w:r>
      <w:r w:rsidR="006754F9" w:rsidRPr="00972C6A">
        <w:rPr>
          <w:rFonts w:ascii="Arial" w:hAnsi="Arial" w:cs="Arial"/>
          <w:szCs w:val="24"/>
        </w:rPr>
        <w:t>.</w:t>
      </w:r>
      <w:r w:rsidRPr="00972C6A">
        <w:rPr>
          <w:rFonts w:ascii="Arial" w:hAnsi="Arial" w:cs="Arial"/>
          <w:szCs w:val="24"/>
        </w:rPr>
        <w:t xml:space="preserve"> </w:t>
      </w:r>
      <w:r w:rsidR="006754F9" w:rsidRPr="00972C6A">
        <w:rPr>
          <w:rFonts w:ascii="Arial" w:hAnsi="Arial" w:cs="Arial"/>
          <w:szCs w:val="24"/>
        </w:rPr>
        <w:t>It specifies</w:t>
      </w:r>
      <w:r w:rsidRPr="00972C6A">
        <w:rPr>
          <w:rFonts w:ascii="Arial" w:hAnsi="Arial" w:cs="Arial"/>
          <w:szCs w:val="24"/>
        </w:rPr>
        <w:t xml:space="preserve"> circumstances where protected information may be disclosed. Disclosing protected information contrary to this Division is a criminal offence. Personal information handled under the </w:t>
      </w:r>
      <w:r w:rsidR="00DF5FD3" w:rsidRPr="00972C6A">
        <w:rPr>
          <w:rFonts w:ascii="Arial" w:hAnsi="Arial" w:cs="Arial"/>
          <w:szCs w:val="24"/>
        </w:rPr>
        <w:t>family assistance</w:t>
      </w:r>
      <w:r w:rsidRPr="00972C6A">
        <w:rPr>
          <w:rFonts w:ascii="Arial" w:hAnsi="Arial" w:cs="Arial"/>
          <w:szCs w:val="24"/>
        </w:rPr>
        <w:t xml:space="preserve"> law is also protected by the </w:t>
      </w:r>
      <w:r w:rsidRPr="00972C6A">
        <w:rPr>
          <w:rFonts w:ascii="Arial" w:hAnsi="Arial" w:cs="Arial"/>
          <w:i/>
          <w:iCs/>
          <w:szCs w:val="24"/>
        </w:rPr>
        <w:t>Privacy Act 1988</w:t>
      </w:r>
      <w:r w:rsidRPr="00972C6A">
        <w:rPr>
          <w:rFonts w:ascii="Arial" w:hAnsi="Arial" w:cs="Arial"/>
          <w:szCs w:val="24"/>
        </w:rPr>
        <w:t>.</w:t>
      </w:r>
    </w:p>
    <w:p w14:paraId="733A7804" w14:textId="71F9B7EB" w:rsidR="00E80757" w:rsidRPr="00972C6A" w:rsidRDefault="00E80757" w:rsidP="00972C6A">
      <w:pPr>
        <w:rPr>
          <w:rFonts w:ascii="Arial" w:hAnsi="Arial" w:cs="Arial"/>
          <w:szCs w:val="24"/>
        </w:rPr>
      </w:pPr>
      <w:r w:rsidRPr="00972C6A">
        <w:rPr>
          <w:rFonts w:ascii="Arial" w:hAnsi="Arial" w:cs="Arial"/>
          <w:szCs w:val="24"/>
        </w:rPr>
        <w:t xml:space="preserve">The purpose of the Determination is to impose guidelines that the DSS Secretary, or their delegate, must follow when exercising power under paragraph </w:t>
      </w:r>
      <w:r w:rsidR="008F6574" w:rsidRPr="00972C6A">
        <w:rPr>
          <w:rFonts w:ascii="Arial" w:hAnsi="Arial" w:cs="Arial"/>
          <w:szCs w:val="24"/>
        </w:rPr>
        <w:t>168(1)(a)</w:t>
      </w:r>
      <w:r w:rsidRPr="00972C6A">
        <w:rPr>
          <w:rFonts w:ascii="Arial" w:hAnsi="Arial" w:cs="Arial"/>
          <w:szCs w:val="24"/>
        </w:rPr>
        <w:t xml:space="preserve"> of the </w:t>
      </w:r>
      <w:r w:rsidR="008F6574" w:rsidRPr="00972C6A">
        <w:rPr>
          <w:rFonts w:ascii="Arial" w:hAnsi="Arial" w:cs="Arial"/>
          <w:szCs w:val="24"/>
        </w:rPr>
        <w:t>FAA Act</w:t>
      </w:r>
      <w:r w:rsidRPr="00972C6A">
        <w:rPr>
          <w:rFonts w:ascii="Arial" w:hAnsi="Arial" w:cs="Arial"/>
          <w:szCs w:val="24"/>
        </w:rPr>
        <w:t xml:space="preserve"> to disclose information acquired by an officer in the performance of functions or duties, or exercise of powers, under the </w:t>
      </w:r>
      <w:r w:rsidR="00102CA6" w:rsidRPr="00972C6A">
        <w:rPr>
          <w:rFonts w:ascii="Arial" w:hAnsi="Arial" w:cs="Arial"/>
          <w:szCs w:val="24"/>
        </w:rPr>
        <w:t>family assistance</w:t>
      </w:r>
      <w:r w:rsidRPr="00972C6A">
        <w:rPr>
          <w:rFonts w:ascii="Arial" w:hAnsi="Arial" w:cs="Arial"/>
          <w:szCs w:val="24"/>
        </w:rPr>
        <w:t xml:space="preserve"> law where it is necessary in the public interest.</w:t>
      </w:r>
    </w:p>
    <w:p w14:paraId="251B35B4" w14:textId="335798E2" w:rsidR="00E80757" w:rsidRPr="00972C6A" w:rsidRDefault="00E80757" w:rsidP="00972C6A">
      <w:pPr>
        <w:rPr>
          <w:rFonts w:ascii="Arial" w:hAnsi="Arial" w:cs="Arial"/>
          <w:szCs w:val="24"/>
        </w:rPr>
      </w:pPr>
      <w:r w:rsidRPr="00972C6A">
        <w:rPr>
          <w:rFonts w:ascii="Arial" w:hAnsi="Arial" w:cs="Arial"/>
          <w:szCs w:val="24"/>
        </w:rPr>
        <w:t xml:space="preserve">The disclosure of information to a person, under paragraph </w:t>
      </w:r>
      <w:r w:rsidR="008F6574" w:rsidRPr="00972C6A">
        <w:rPr>
          <w:rFonts w:ascii="Arial" w:hAnsi="Arial" w:cs="Arial"/>
          <w:szCs w:val="24"/>
        </w:rPr>
        <w:t>168(1)(a)</w:t>
      </w:r>
      <w:r w:rsidRPr="00972C6A">
        <w:rPr>
          <w:rFonts w:ascii="Arial" w:hAnsi="Arial" w:cs="Arial"/>
          <w:szCs w:val="24"/>
        </w:rPr>
        <w:t xml:space="preserve"> of the </w:t>
      </w:r>
      <w:r w:rsidR="008F6574" w:rsidRPr="00972C6A">
        <w:rPr>
          <w:rFonts w:ascii="Arial" w:hAnsi="Arial" w:cs="Arial"/>
          <w:szCs w:val="24"/>
        </w:rPr>
        <w:t>FAA Act</w:t>
      </w:r>
      <w:r w:rsidRPr="00972C6A">
        <w:rPr>
          <w:rFonts w:ascii="Arial" w:hAnsi="Arial" w:cs="Arial"/>
          <w:szCs w:val="24"/>
        </w:rPr>
        <w:t xml:space="preserve"> in accordance with the Determination, does not give that person the authority to disclose that information to further parties, unless this disclosure is for the purpose for which the information was disclosed to the person, as permitted by paragraph </w:t>
      </w:r>
      <w:r w:rsidR="0002020D" w:rsidRPr="00972C6A">
        <w:rPr>
          <w:rFonts w:ascii="Arial" w:hAnsi="Arial" w:cs="Arial"/>
          <w:szCs w:val="24"/>
        </w:rPr>
        <w:t>16</w:t>
      </w:r>
      <w:r w:rsidRPr="00972C6A">
        <w:rPr>
          <w:rFonts w:ascii="Arial" w:hAnsi="Arial" w:cs="Arial"/>
          <w:szCs w:val="24"/>
        </w:rPr>
        <w:t xml:space="preserve">2(2)(e) of the </w:t>
      </w:r>
      <w:r w:rsidR="008F6574" w:rsidRPr="00972C6A">
        <w:rPr>
          <w:rFonts w:ascii="Arial" w:hAnsi="Arial" w:cs="Arial"/>
          <w:szCs w:val="24"/>
        </w:rPr>
        <w:t>FAA Act</w:t>
      </w:r>
      <w:r w:rsidRPr="00972C6A">
        <w:rPr>
          <w:rFonts w:ascii="Arial" w:hAnsi="Arial" w:cs="Arial"/>
          <w:szCs w:val="24"/>
        </w:rPr>
        <w:t>, or the disclosure is otherwise authorised under law.</w:t>
      </w:r>
    </w:p>
    <w:p w14:paraId="1FE804CC" w14:textId="6626CCAB" w:rsidR="00E80757" w:rsidRPr="00972C6A" w:rsidRDefault="00E80757" w:rsidP="00972C6A">
      <w:pPr>
        <w:rPr>
          <w:rFonts w:ascii="Arial" w:hAnsi="Arial" w:cs="Arial"/>
          <w:szCs w:val="24"/>
        </w:rPr>
      </w:pPr>
      <w:r w:rsidRPr="00972C6A">
        <w:rPr>
          <w:rFonts w:ascii="Arial" w:hAnsi="Arial" w:cs="Arial"/>
          <w:szCs w:val="24"/>
        </w:rPr>
        <w:t xml:space="preserve">Further, the protected information provisions in the </w:t>
      </w:r>
      <w:r w:rsidR="00D044A3" w:rsidRPr="00972C6A">
        <w:rPr>
          <w:rFonts w:ascii="Arial" w:hAnsi="Arial" w:cs="Arial"/>
          <w:szCs w:val="24"/>
        </w:rPr>
        <w:t>family assistance</w:t>
      </w:r>
      <w:r w:rsidRPr="00972C6A">
        <w:rPr>
          <w:rFonts w:ascii="Arial" w:hAnsi="Arial" w:cs="Arial"/>
          <w:szCs w:val="24"/>
        </w:rPr>
        <w:t xml:space="preserve"> law will remain operating together with relevant requirements of the </w:t>
      </w:r>
      <w:r w:rsidRPr="00972C6A">
        <w:rPr>
          <w:rFonts w:ascii="Arial" w:hAnsi="Arial" w:cs="Arial"/>
          <w:i/>
          <w:iCs/>
          <w:szCs w:val="24"/>
        </w:rPr>
        <w:t>Privacy Act 1988</w:t>
      </w:r>
      <w:r w:rsidRPr="00972C6A">
        <w:rPr>
          <w:rFonts w:ascii="Arial" w:hAnsi="Arial" w:cs="Arial"/>
          <w:szCs w:val="24"/>
        </w:rPr>
        <w:t xml:space="preserve">. While a public interest certificate will provide </w:t>
      </w:r>
      <w:r w:rsidR="00DD6F87" w:rsidRPr="00972C6A">
        <w:rPr>
          <w:rFonts w:ascii="Arial" w:hAnsi="Arial" w:cs="Arial"/>
          <w:szCs w:val="24"/>
        </w:rPr>
        <w:t>legal authorisation for the use</w:t>
      </w:r>
      <w:r w:rsidRPr="00972C6A">
        <w:rPr>
          <w:rFonts w:ascii="Arial" w:hAnsi="Arial" w:cs="Arial"/>
          <w:szCs w:val="24"/>
        </w:rPr>
        <w:t xml:space="preserve"> and disclosure of protected information, where the protected information is personal information key requirements in the </w:t>
      </w:r>
      <w:r w:rsidRPr="00972C6A">
        <w:rPr>
          <w:rFonts w:ascii="Arial" w:hAnsi="Arial" w:cs="Arial"/>
          <w:i/>
          <w:iCs/>
          <w:szCs w:val="24"/>
        </w:rPr>
        <w:t>Privacy Act 1988</w:t>
      </w:r>
      <w:r w:rsidRPr="00972C6A">
        <w:rPr>
          <w:rFonts w:ascii="Arial" w:hAnsi="Arial" w:cs="Arial"/>
          <w:szCs w:val="24"/>
        </w:rPr>
        <w:t xml:space="preserve"> will still apply to DSS as an APP entity. For example, if the information is personal information DSS must take reasonable steps to protect the information from misuse, interference and loss, as well as unauthorised access, modification or disclosure (APP 11.1).</w:t>
      </w:r>
    </w:p>
    <w:p w14:paraId="230CC7C0" w14:textId="45397D7E" w:rsidR="00E80757" w:rsidRPr="00972C6A" w:rsidRDefault="00E80757" w:rsidP="00972C6A">
      <w:pPr>
        <w:spacing w:after="120"/>
        <w:rPr>
          <w:rFonts w:ascii="Arial" w:hAnsi="Arial" w:cs="Arial"/>
          <w:szCs w:val="24"/>
          <w:lang w:val="en-US"/>
        </w:rPr>
      </w:pPr>
      <w:r w:rsidRPr="00972C6A">
        <w:rPr>
          <w:rFonts w:ascii="Arial" w:hAnsi="Arial" w:cs="Arial"/>
          <w:szCs w:val="24"/>
          <w:lang w:val="en-US"/>
        </w:rPr>
        <w:lastRenderedPageBreak/>
        <w:t xml:space="preserve">The Determination replaces the sunsetting </w:t>
      </w:r>
      <w:r w:rsidR="003C03D1" w:rsidRPr="00972C6A">
        <w:rPr>
          <w:rFonts w:ascii="Arial" w:hAnsi="Arial" w:cs="Arial"/>
          <w:i/>
          <w:szCs w:val="24"/>
          <w:lang w:val="en-US"/>
        </w:rPr>
        <w:t xml:space="preserve">Family </w:t>
      </w:r>
      <w:r w:rsidR="008F6574" w:rsidRPr="00972C6A">
        <w:rPr>
          <w:rFonts w:ascii="Arial" w:hAnsi="Arial" w:cs="Arial"/>
          <w:i/>
          <w:szCs w:val="24"/>
          <w:lang w:val="en-US"/>
        </w:rPr>
        <w:t xml:space="preserve">Assistance (Public Interest Certificate Guidelines) Determination </w:t>
      </w:r>
      <w:proofErr w:type="gramStart"/>
      <w:r w:rsidR="008F6574" w:rsidRPr="00972C6A">
        <w:rPr>
          <w:rFonts w:ascii="Arial" w:hAnsi="Arial" w:cs="Arial"/>
          <w:i/>
          <w:szCs w:val="24"/>
          <w:lang w:val="en-US"/>
        </w:rPr>
        <w:t xml:space="preserve">2015 </w:t>
      </w:r>
      <w:r w:rsidRPr="00972C6A">
        <w:rPr>
          <w:rFonts w:ascii="Arial" w:hAnsi="Arial" w:cs="Arial"/>
          <w:szCs w:val="24"/>
          <w:lang w:val="en-US"/>
        </w:rPr>
        <w:t>(‘</w:t>
      </w:r>
      <w:proofErr w:type="gramEnd"/>
      <w:r w:rsidRPr="00972C6A">
        <w:rPr>
          <w:rFonts w:ascii="Arial" w:hAnsi="Arial" w:cs="Arial"/>
          <w:szCs w:val="24"/>
          <w:lang w:val="en-US"/>
        </w:rPr>
        <w:t xml:space="preserve">2015 Determination’). </w:t>
      </w:r>
    </w:p>
    <w:p w14:paraId="3C57C8B9" w14:textId="77777777" w:rsidR="00E80757" w:rsidRPr="00972C6A" w:rsidRDefault="00E80757" w:rsidP="00972C6A">
      <w:pPr>
        <w:spacing w:after="120"/>
        <w:rPr>
          <w:rFonts w:ascii="Arial" w:hAnsi="Arial" w:cs="Arial"/>
          <w:szCs w:val="24"/>
          <w:lang w:val="en-US"/>
        </w:rPr>
      </w:pPr>
      <w:proofErr w:type="gramStart"/>
      <w:r w:rsidRPr="00972C6A">
        <w:rPr>
          <w:rFonts w:ascii="Arial" w:hAnsi="Arial" w:cs="Arial"/>
          <w:szCs w:val="24"/>
          <w:lang w:val="en-US"/>
        </w:rPr>
        <w:t>The Determination</w:t>
      </w:r>
      <w:proofErr w:type="gramEnd"/>
      <w:r w:rsidRPr="00972C6A">
        <w:rPr>
          <w:rFonts w:ascii="Arial" w:hAnsi="Arial" w:cs="Arial"/>
          <w:szCs w:val="24"/>
          <w:lang w:val="en-US"/>
        </w:rPr>
        <w:t xml:space="preserve"> substantively reproduces much of the content of the 2015 Determination with the following exceptions:</w:t>
      </w:r>
    </w:p>
    <w:p w14:paraId="3B9BAF0E" w14:textId="77777777" w:rsidR="002F7F66" w:rsidRPr="00972C6A" w:rsidRDefault="002F7F66" w:rsidP="00972C6A">
      <w:pPr>
        <w:pStyle w:val="ListParagraph"/>
        <w:numPr>
          <w:ilvl w:val="0"/>
          <w:numId w:val="34"/>
        </w:numPr>
        <w:rPr>
          <w:rFonts w:ascii="Arial" w:hAnsi="Arial" w:cs="Arial"/>
          <w:szCs w:val="24"/>
        </w:rPr>
      </w:pPr>
      <w:r w:rsidRPr="00972C6A">
        <w:rPr>
          <w:rFonts w:ascii="Arial" w:hAnsi="Arial" w:cs="Arial"/>
          <w:szCs w:val="24"/>
        </w:rPr>
        <w:t xml:space="preserve">Inclusion of a new safeguard, namely a requirement that the Secretary consider whether the purpose for disclosing information could not be achieved by disclosing that information in a de-identified form. There is currently an equivalent provision in Part 9 of the </w:t>
      </w:r>
      <w:r w:rsidRPr="00972C6A">
        <w:rPr>
          <w:rFonts w:ascii="Arial" w:hAnsi="Arial" w:cs="Arial"/>
          <w:i/>
          <w:iCs/>
          <w:szCs w:val="24"/>
        </w:rPr>
        <w:t xml:space="preserve">Paid Parental Leave Rules </w:t>
      </w:r>
      <w:proofErr w:type="gramStart"/>
      <w:r w:rsidRPr="00972C6A">
        <w:rPr>
          <w:rFonts w:ascii="Arial" w:hAnsi="Arial" w:cs="Arial"/>
          <w:i/>
          <w:iCs/>
          <w:szCs w:val="24"/>
        </w:rPr>
        <w:t>2021</w:t>
      </w:r>
      <w:r w:rsidRPr="00972C6A">
        <w:rPr>
          <w:rFonts w:ascii="Arial" w:hAnsi="Arial" w:cs="Arial"/>
          <w:szCs w:val="24"/>
        </w:rPr>
        <w:t>;</w:t>
      </w:r>
      <w:proofErr w:type="gramEnd"/>
    </w:p>
    <w:p w14:paraId="5E977F08" w14:textId="5A30E544" w:rsidR="002F7F66" w:rsidRPr="00972C6A" w:rsidRDefault="002F7F66" w:rsidP="00972C6A">
      <w:pPr>
        <w:pStyle w:val="ListParagraph"/>
        <w:numPr>
          <w:ilvl w:val="0"/>
          <w:numId w:val="34"/>
        </w:numPr>
        <w:rPr>
          <w:rFonts w:ascii="Arial" w:hAnsi="Arial" w:cs="Arial"/>
          <w:szCs w:val="24"/>
        </w:rPr>
      </w:pPr>
      <w:r w:rsidRPr="00972C6A">
        <w:rPr>
          <w:rFonts w:ascii="Arial" w:hAnsi="Arial" w:cs="Arial"/>
          <w:szCs w:val="24"/>
        </w:rPr>
        <w:t>Addition of new provisions that would all</w:t>
      </w:r>
      <w:r w:rsidR="00054206" w:rsidRPr="00972C6A">
        <w:rPr>
          <w:rFonts w:ascii="Arial" w:hAnsi="Arial" w:cs="Arial"/>
          <w:szCs w:val="24"/>
        </w:rPr>
        <w:t>ow</w:t>
      </w:r>
      <w:r w:rsidRPr="00972C6A">
        <w:rPr>
          <w:rFonts w:ascii="Arial" w:hAnsi="Arial" w:cs="Arial"/>
          <w:szCs w:val="24"/>
        </w:rPr>
        <w:t xml:space="preserve"> for the disclosure of information in the public interest where reasonably necessary </w:t>
      </w:r>
      <w:r w:rsidR="00874E29" w:rsidRPr="00972C6A">
        <w:rPr>
          <w:rFonts w:ascii="Arial" w:hAnsi="Arial" w:cs="Arial"/>
          <w:szCs w:val="24"/>
        </w:rPr>
        <w:t>to</w:t>
      </w:r>
      <w:r w:rsidRPr="00972C6A">
        <w:rPr>
          <w:rFonts w:ascii="Arial" w:hAnsi="Arial" w:cs="Arial"/>
          <w:szCs w:val="24"/>
        </w:rPr>
        <w:t xml:space="preserve">: </w:t>
      </w:r>
    </w:p>
    <w:p w14:paraId="74F132AA" w14:textId="20D83EFE" w:rsidR="002F7F66" w:rsidRPr="00972C6A" w:rsidRDefault="00874E29" w:rsidP="00972C6A">
      <w:pPr>
        <w:pStyle w:val="ListParagraph"/>
        <w:numPr>
          <w:ilvl w:val="1"/>
          <w:numId w:val="34"/>
        </w:numPr>
        <w:rPr>
          <w:rFonts w:ascii="Arial" w:hAnsi="Arial" w:cs="Arial"/>
        </w:rPr>
      </w:pPr>
      <w:r w:rsidRPr="00972C6A">
        <w:rPr>
          <w:rFonts w:ascii="Arial" w:hAnsi="Arial" w:cs="Arial"/>
        </w:rPr>
        <w:t>i</w:t>
      </w:r>
      <w:r w:rsidR="002F7F66" w:rsidRPr="00972C6A">
        <w:rPr>
          <w:rFonts w:ascii="Arial" w:hAnsi="Arial" w:cs="Arial"/>
        </w:rPr>
        <w:t>nvestigate</w:t>
      </w:r>
      <w:r w:rsidR="00054206" w:rsidRPr="00972C6A">
        <w:rPr>
          <w:rFonts w:ascii="Arial" w:hAnsi="Arial" w:cs="Arial"/>
        </w:rPr>
        <w:t>,</w:t>
      </w:r>
      <w:r w:rsidR="002F7F66" w:rsidRPr="00972C6A">
        <w:rPr>
          <w:rFonts w:ascii="Arial" w:hAnsi="Arial" w:cs="Arial"/>
        </w:rPr>
        <w:t xml:space="preserve"> or </w:t>
      </w:r>
      <w:proofErr w:type="gramStart"/>
      <w:r w:rsidR="002F7F66" w:rsidRPr="00972C6A">
        <w:rPr>
          <w:rFonts w:ascii="Arial" w:hAnsi="Arial" w:cs="Arial"/>
        </w:rPr>
        <w:t>make a decision</w:t>
      </w:r>
      <w:proofErr w:type="gramEnd"/>
      <w:r w:rsidR="002F7F66" w:rsidRPr="00972C6A">
        <w:rPr>
          <w:rFonts w:ascii="Arial" w:hAnsi="Arial" w:cs="Arial"/>
        </w:rPr>
        <w:t xml:space="preserve"> </w:t>
      </w:r>
      <w:r w:rsidR="00B449ED" w:rsidRPr="00972C6A">
        <w:rPr>
          <w:rFonts w:ascii="Arial" w:hAnsi="Arial" w:cs="Arial"/>
        </w:rPr>
        <w:t>on</w:t>
      </w:r>
      <w:r w:rsidR="00054206" w:rsidRPr="00972C6A">
        <w:rPr>
          <w:rFonts w:ascii="Arial" w:hAnsi="Arial" w:cs="Arial"/>
        </w:rPr>
        <w:t>,</w:t>
      </w:r>
      <w:r w:rsidR="002F7F66" w:rsidRPr="00972C6A">
        <w:rPr>
          <w:rFonts w:ascii="Arial" w:hAnsi="Arial" w:cs="Arial"/>
        </w:rPr>
        <w:t xml:space="preserve"> whether the APS Code of Conduct has been breached; and</w:t>
      </w:r>
    </w:p>
    <w:p w14:paraId="64319F03" w14:textId="24263D0F" w:rsidR="002F7F66" w:rsidRPr="00972C6A" w:rsidRDefault="551B5068" w:rsidP="00972C6A">
      <w:pPr>
        <w:pStyle w:val="ListParagraph"/>
        <w:numPr>
          <w:ilvl w:val="1"/>
          <w:numId w:val="34"/>
        </w:numPr>
        <w:rPr>
          <w:rFonts w:ascii="Arial" w:hAnsi="Arial" w:cs="Arial"/>
        </w:rPr>
      </w:pPr>
      <w:r w:rsidRPr="00972C6A">
        <w:rPr>
          <w:rFonts w:ascii="Arial" w:hAnsi="Arial" w:cs="Arial"/>
        </w:rPr>
        <w:t xml:space="preserve">assist a government agency to manage a work health </w:t>
      </w:r>
      <w:r w:rsidR="00CD38F6" w:rsidRPr="00972C6A">
        <w:rPr>
          <w:rFonts w:ascii="Arial" w:hAnsi="Arial" w:cs="Arial"/>
        </w:rPr>
        <w:t>and</w:t>
      </w:r>
      <w:r w:rsidRPr="00972C6A">
        <w:rPr>
          <w:rFonts w:ascii="Arial" w:hAnsi="Arial" w:cs="Arial"/>
        </w:rPr>
        <w:t xml:space="preserve"> safety risk to that agency</w:t>
      </w:r>
      <w:r w:rsidR="52E29751" w:rsidRPr="00972C6A">
        <w:rPr>
          <w:rFonts w:ascii="Arial" w:hAnsi="Arial" w:cs="Arial"/>
        </w:rPr>
        <w:t>.</w:t>
      </w:r>
    </w:p>
    <w:p w14:paraId="5EAE2EA6" w14:textId="77777777" w:rsidR="002F7F66" w:rsidRPr="00972C6A" w:rsidRDefault="002F7F66" w:rsidP="00972C6A">
      <w:pPr>
        <w:pStyle w:val="ListParagraph"/>
        <w:numPr>
          <w:ilvl w:val="0"/>
          <w:numId w:val="34"/>
        </w:numPr>
        <w:rPr>
          <w:rFonts w:ascii="Arial" w:hAnsi="Arial" w:cs="Arial"/>
          <w:szCs w:val="24"/>
        </w:rPr>
      </w:pPr>
      <w:r w:rsidRPr="00972C6A">
        <w:rPr>
          <w:rFonts w:ascii="Arial" w:hAnsi="Arial" w:cs="Arial"/>
          <w:szCs w:val="24"/>
        </w:rPr>
        <w:t xml:space="preserve">Minor changes to promote consistency with equivalent guidelines made for the purposes of the </w:t>
      </w:r>
      <w:r w:rsidRPr="00972C6A">
        <w:rPr>
          <w:rFonts w:ascii="Arial" w:hAnsi="Arial" w:cs="Arial"/>
          <w:i/>
          <w:iCs/>
          <w:szCs w:val="24"/>
        </w:rPr>
        <w:t>Paid Parental Leave Act 2010</w:t>
      </w:r>
      <w:r w:rsidRPr="00972C6A">
        <w:rPr>
          <w:rFonts w:ascii="Arial" w:hAnsi="Arial" w:cs="Arial"/>
          <w:szCs w:val="24"/>
        </w:rPr>
        <w:t xml:space="preserve">, the </w:t>
      </w:r>
      <w:r w:rsidRPr="00972C6A">
        <w:rPr>
          <w:rFonts w:ascii="Arial" w:hAnsi="Arial" w:cs="Arial"/>
          <w:i/>
          <w:iCs/>
          <w:szCs w:val="24"/>
        </w:rPr>
        <w:t xml:space="preserve">Student Assistance Act 1973 </w:t>
      </w:r>
      <w:r w:rsidRPr="00972C6A">
        <w:rPr>
          <w:rFonts w:ascii="Arial" w:hAnsi="Arial" w:cs="Arial"/>
          <w:szCs w:val="24"/>
        </w:rPr>
        <w:t xml:space="preserve">and the </w:t>
      </w:r>
      <w:r w:rsidRPr="00972C6A">
        <w:rPr>
          <w:rFonts w:ascii="Arial" w:hAnsi="Arial" w:cs="Arial"/>
          <w:i/>
          <w:iCs/>
          <w:szCs w:val="24"/>
        </w:rPr>
        <w:t xml:space="preserve">Social Security (Administration) Act </w:t>
      </w:r>
      <w:proofErr w:type="gramStart"/>
      <w:r w:rsidRPr="00972C6A">
        <w:rPr>
          <w:rFonts w:ascii="Arial" w:hAnsi="Arial" w:cs="Arial"/>
          <w:i/>
          <w:iCs/>
          <w:szCs w:val="24"/>
        </w:rPr>
        <w:t>1999;</w:t>
      </w:r>
      <w:proofErr w:type="gramEnd"/>
    </w:p>
    <w:p w14:paraId="5B407A1C" w14:textId="77777777" w:rsidR="002F7F66" w:rsidRPr="00972C6A" w:rsidRDefault="002F7F66" w:rsidP="00972C6A">
      <w:pPr>
        <w:pStyle w:val="ListParagraph"/>
        <w:numPr>
          <w:ilvl w:val="0"/>
          <w:numId w:val="34"/>
        </w:numPr>
        <w:rPr>
          <w:rFonts w:ascii="Arial" w:hAnsi="Arial" w:cs="Arial"/>
          <w:szCs w:val="24"/>
        </w:rPr>
      </w:pPr>
      <w:r w:rsidRPr="00972C6A">
        <w:rPr>
          <w:rFonts w:ascii="Arial" w:hAnsi="Arial" w:cs="Arial"/>
          <w:szCs w:val="24"/>
        </w:rPr>
        <w:t>Not including provisions in the 2015 Determination that were spent or redundant; and</w:t>
      </w:r>
    </w:p>
    <w:p w14:paraId="401AE516" w14:textId="5C3385EF" w:rsidR="00E80757" w:rsidRPr="00972C6A" w:rsidRDefault="002F7F66" w:rsidP="00972C6A">
      <w:pPr>
        <w:pStyle w:val="ListParagraph"/>
        <w:numPr>
          <w:ilvl w:val="0"/>
          <w:numId w:val="34"/>
        </w:numPr>
        <w:rPr>
          <w:rFonts w:ascii="Arial" w:hAnsi="Arial" w:cs="Arial"/>
          <w:szCs w:val="24"/>
        </w:rPr>
      </w:pPr>
      <w:r w:rsidRPr="00972C6A">
        <w:rPr>
          <w:rFonts w:ascii="Arial" w:hAnsi="Arial" w:cs="Arial"/>
          <w:szCs w:val="24"/>
        </w:rPr>
        <w:t>Updates to drafting style and structure to aid use and interpretation of the Determination</w:t>
      </w:r>
      <w:r w:rsidR="00E80757" w:rsidRPr="00972C6A">
        <w:rPr>
          <w:rFonts w:ascii="Arial" w:hAnsi="Arial" w:cs="Arial"/>
          <w:szCs w:val="24"/>
        </w:rPr>
        <w:t>.</w:t>
      </w:r>
    </w:p>
    <w:p w14:paraId="62D35B2D" w14:textId="77777777" w:rsidR="00E80757" w:rsidRPr="00972C6A" w:rsidRDefault="00E80757" w:rsidP="00972C6A">
      <w:pPr>
        <w:rPr>
          <w:rFonts w:ascii="Arial" w:hAnsi="Arial" w:cs="Arial"/>
          <w:szCs w:val="24"/>
        </w:rPr>
      </w:pPr>
      <w:r w:rsidRPr="00972C6A">
        <w:rPr>
          <w:rFonts w:ascii="Arial" w:hAnsi="Arial" w:cs="Arial"/>
          <w:b/>
          <w:szCs w:val="24"/>
        </w:rPr>
        <w:t>Human rights implications</w:t>
      </w:r>
    </w:p>
    <w:p w14:paraId="615DB38C" w14:textId="77777777" w:rsidR="00E80757" w:rsidRPr="00972C6A" w:rsidRDefault="00E80757" w:rsidP="00972C6A">
      <w:pPr>
        <w:rPr>
          <w:rFonts w:ascii="Arial" w:hAnsi="Arial" w:cs="Arial"/>
          <w:szCs w:val="24"/>
        </w:rPr>
      </w:pPr>
      <w:r w:rsidRPr="00972C6A">
        <w:rPr>
          <w:rFonts w:ascii="Arial" w:hAnsi="Arial" w:cs="Arial"/>
          <w:szCs w:val="24"/>
        </w:rPr>
        <w:t>The Guidelines engage the following rights:</w:t>
      </w:r>
    </w:p>
    <w:p w14:paraId="62BDF8C5" w14:textId="3246434F" w:rsidR="00E80757" w:rsidRPr="00972C6A" w:rsidRDefault="00E80757" w:rsidP="00972C6A">
      <w:pPr>
        <w:pStyle w:val="ListParagraph"/>
        <w:numPr>
          <w:ilvl w:val="0"/>
          <w:numId w:val="31"/>
        </w:numPr>
        <w:spacing w:before="0"/>
        <w:rPr>
          <w:rFonts w:ascii="Arial" w:hAnsi="Arial" w:cs="Arial"/>
          <w:b/>
          <w:szCs w:val="24"/>
        </w:rPr>
      </w:pPr>
      <w:r w:rsidRPr="00972C6A">
        <w:rPr>
          <w:rFonts w:ascii="Arial" w:hAnsi="Arial" w:cs="Arial"/>
          <w:bCs/>
          <w:szCs w:val="24"/>
        </w:rPr>
        <w:t>Right to privacy – Article 17 of the International Covenant on Civil and Political Rights (</w:t>
      </w:r>
      <w:r w:rsidR="008241E1" w:rsidRPr="00972C6A">
        <w:rPr>
          <w:rFonts w:ascii="Arial" w:hAnsi="Arial" w:cs="Arial"/>
          <w:bCs/>
          <w:szCs w:val="24"/>
        </w:rPr>
        <w:t>‘</w:t>
      </w:r>
      <w:r w:rsidRPr="00972C6A">
        <w:rPr>
          <w:rFonts w:ascii="Arial" w:hAnsi="Arial" w:cs="Arial"/>
          <w:bCs/>
          <w:szCs w:val="24"/>
        </w:rPr>
        <w:t>ICCPR</w:t>
      </w:r>
      <w:r w:rsidR="008241E1" w:rsidRPr="00972C6A">
        <w:rPr>
          <w:rFonts w:ascii="Arial" w:hAnsi="Arial" w:cs="Arial"/>
          <w:bCs/>
          <w:szCs w:val="24"/>
        </w:rPr>
        <w:t>’</w:t>
      </w:r>
      <w:r w:rsidRPr="00972C6A">
        <w:rPr>
          <w:rFonts w:ascii="Arial" w:hAnsi="Arial" w:cs="Arial"/>
          <w:bCs/>
          <w:szCs w:val="24"/>
        </w:rPr>
        <w:t>)</w:t>
      </w:r>
      <w:r w:rsidR="008241E1" w:rsidRPr="00972C6A">
        <w:rPr>
          <w:rFonts w:ascii="Arial" w:hAnsi="Arial" w:cs="Arial"/>
          <w:bCs/>
          <w:szCs w:val="24"/>
        </w:rPr>
        <w:t xml:space="preserve"> and</w:t>
      </w:r>
      <w:r w:rsidR="00416B8D" w:rsidRPr="00972C6A">
        <w:rPr>
          <w:rFonts w:ascii="Arial" w:hAnsi="Arial" w:cs="Arial"/>
          <w:bCs/>
          <w:szCs w:val="24"/>
        </w:rPr>
        <w:t xml:space="preserve"> Article 16 of the Convention of the Rights of the Child (</w:t>
      </w:r>
      <w:r w:rsidR="008241E1" w:rsidRPr="00972C6A">
        <w:rPr>
          <w:rFonts w:ascii="Arial" w:hAnsi="Arial" w:cs="Arial"/>
          <w:bCs/>
          <w:szCs w:val="24"/>
        </w:rPr>
        <w:t>‘</w:t>
      </w:r>
      <w:r w:rsidR="00416B8D" w:rsidRPr="00972C6A">
        <w:rPr>
          <w:rFonts w:ascii="Arial" w:hAnsi="Arial" w:cs="Arial"/>
          <w:bCs/>
          <w:szCs w:val="24"/>
        </w:rPr>
        <w:t>CRC</w:t>
      </w:r>
      <w:r w:rsidR="008241E1" w:rsidRPr="00972C6A">
        <w:rPr>
          <w:rFonts w:ascii="Arial" w:hAnsi="Arial" w:cs="Arial"/>
          <w:bCs/>
          <w:szCs w:val="24"/>
        </w:rPr>
        <w:t>’</w:t>
      </w:r>
      <w:r w:rsidR="00416B8D" w:rsidRPr="00972C6A">
        <w:rPr>
          <w:rFonts w:ascii="Arial" w:hAnsi="Arial" w:cs="Arial"/>
          <w:bCs/>
          <w:szCs w:val="24"/>
        </w:rPr>
        <w:t>)</w:t>
      </w:r>
    </w:p>
    <w:p w14:paraId="2CFD8186" w14:textId="77777777" w:rsidR="00E80757" w:rsidRPr="00972C6A" w:rsidRDefault="00E80757" w:rsidP="00972C6A">
      <w:pPr>
        <w:pStyle w:val="ListParagraph"/>
        <w:numPr>
          <w:ilvl w:val="0"/>
          <w:numId w:val="31"/>
        </w:numPr>
        <w:spacing w:before="0"/>
        <w:rPr>
          <w:rFonts w:ascii="Arial" w:hAnsi="Arial" w:cs="Arial"/>
          <w:iCs/>
          <w:color w:val="000000" w:themeColor="text1"/>
          <w:szCs w:val="24"/>
        </w:rPr>
      </w:pPr>
      <w:r w:rsidRPr="00972C6A">
        <w:rPr>
          <w:rFonts w:ascii="Arial" w:hAnsi="Arial" w:cs="Arial"/>
          <w:iCs/>
          <w:color w:val="000000" w:themeColor="text1"/>
          <w:szCs w:val="24"/>
        </w:rPr>
        <w:t>Right to liberty and security of person – Article 9 of the ICCPR</w:t>
      </w:r>
    </w:p>
    <w:p w14:paraId="41E704A6" w14:textId="091EB133" w:rsidR="00C15B00" w:rsidRPr="00972C6A" w:rsidRDefault="00C15B00" w:rsidP="00972C6A">
      <w:pPr>
        <w:pStyle w:val="ListParagraph"/>
        <w:numPr>
          <w:ilvl w:val="0"/>
          <w:numId w:val="31"/>
        </w:numPr>
        <w:spacing w:before="0"/>
        <w:rPr>
          <w:rFonts w:ascii="Arial" w:hAnsi="Arial" w:cs="Arial"/>
          <w:iCs/>
          <w:color w:val="000000" w:themeColor="text1"/>
          <w:szCs w:val="24"/>
        </w:rPr>
      </w:pPr>
      <w:r w:rsidRPr="00972C6A">
        <w:rPr>
          <w:rFonts w:ascii="Arial" w:hAnsi="Arial" w:cs="Arial"/>
          <w:iCs/>
          <w:color w:val="000000" w:themeColor="text1"/>
          <w:szCs w:val="24"/>
        </w:rPr>
        <w:t xml:space="preserve">Right to protection from exploitation, violence and abuse – Article 20(2) of the ICCPR, </w:t>
      </w:r>
      <w:r w:rsidRPr="00972C6A">
        <w:rPr>
          <w:rFonts w:ascii="Arial" w:hAnsi="Arial" w:cs="Arial"/>
          <w:iCs/>
          <w:szCs w:val="24"/>
        </w:rPr>
        <w:t xml:space="preserve">Article 19(1) of the </w:t>
      </w:r>
      <w:r w:rsidR="00416B8D" w:rsidRPr="00972C6A">
        <w:rPr>
          <w:rFonts w:ascii="Arial" w:hAnsi="Arial" w:cs="Arial"/>
          <w:iCs/>
          <w:szCs w:val="24"/>
        </w:rPr>
        <w:t>CRC</w:t>
      </w:r>
      <w:r w:rsidRPr="00972C6A">
        <w:rPr>
          <w:rFonts w:ascii="Arial" w:hAnsi="Arial" w:cs="Arial"/>
          <w:iCs/>
          <w:szCs w:val="24"/>
        </w:rPr>
        <w:t xml:space="preserve"> and Article 16(1) of the Convention on the Rights of People with Disabilities (CRPD)</w:t>
      </w:r>
    </w:p>
    <w:p w14:paraId="0FB8ECC6" w14:textId="77777777" w:rsidR="00E80757" w:rsidRPr="00972C6A" w:rsidRDefault="00E80757" w:rsidP="00972C6A">
      <w:pPr>
        <w:pStyle w:val="ListParagraph"/>
        <w:numPr>
          <w:ilvl w:val="0"/>
          <w:numId w:val="31"/>
        </w:numPr>
        <w:spacing w:before="0"/>
        <w:rPr>
          <w:rFonts w:ascii="Arial" w:hAnsi="Arial" w:cs="Arial"/>
          <w:iCs/>
          <w:color w:val="000000" w:themeColor="text1"/>
          <w:szCs w:val="24"/>
          <w:u w:val="single"/>
        </w:rPr>
      </w:pPr>
      <w:r w:rsidRPr="00972C6A">
        <w:rPr>
          <w:rFonts w:ascii="Arial" w:hAnsi="Arial" w:cs="Arial"/>
          <w:bCs/>
          <w:szCs w:val="24"/>
        </w:rPr>
        <w:t>Right to social security – Article 9 of the International Covenant on Economic, Social and Cultural Rights (ICESCR).</w:t>
      </w:r>
    </w:p>
    <w:p w14:paraId="44601C01" w14:textId="77777777" w:rsidR="00E80757" w:rsidRPr="00972C6A" w:rsidRDefault="00E80757" w:rsidP="00972C6A">
      <w:pPr>
        <w:pStyle w:val="ListParagraph"/>
        <w:numPr>
          <w:ilvl w:val="0"/>
          <w:numId w:val="31"/>
        </w:numPr>
        <w:spacing w:before="0"/>
        <w:rPr>
          <w:rFonts w:ascii="Arial" w:hAnsi="Arial" w:cs="Arial"/>
          <w:iCs/>
          <w:color w:val="000000" w:themeColor="text1"/>
          <w:szCs w:val="24"/>
          <w:u w:val="single"/>
        </w:rPr>
      </w:pPr>
      <w:r w:rsidRPr="00972C6A">
        <w:rPr>
          <w:rFonts w:ascii="Arial" w:hAnsi="Arial" w:cs="Arial"/>
          <w:bCs/>
          <w:szCs w:val="24"/>
        </w:rPr>
        <w:t>Right to an adequate standard of living – Article 11 of the ICESCR</w:t>
      </w:r>
    </w:p>
    <w:p w14:paraId="361F356B" w14:textId="77777777" w:rsidR="00E80757" w:rsidRPr="00972C6A" w:rsidRDefault="00E80757" w:rsidP="00972C6A">
      <w:pPr>
        <w:pStyle w:val="ListParagraph"/>
        <w:numPr>
          <w:ilvl w:val="0"/>
          <w:numId w:val="31"/>
        </w:numPr>
        <w:spacing w:before="0"/>
        <w:rPr>
          <w:rFonts w:ascii="Arial" w:hAnsi="Arial" w:cs="Arial"/>
          <w:iCs/>
          <w:color w:val="000000" w:themeColor="text1"/>
          <w:szCs w:val="24"/>
        </w:rPr>
      </w:pPr>
      <w:r w:rsidRPr="00972C6A">
        <w:rPr>
          <w:rFonts w:ascii="Arial" w:hAnsi="Arial" w:cs="Arial"/>
          <w:iCs/>
          <w:szCs w:val="24"/>
        </w:rPr>
        <w:t>Right to safe and healthy working conditions – Article 7(b) of the ICESCR</w:t>
      </w:r>
    </w:p>
    <w:p w14:paraId="665128A7" w14:textId="27CFCD2B" w:rsidR="00E80757" w:rsidRPr="00972C6A" w:rsidRDefault="00E80757" w:rsidP="00972C6A">
      <w:pPr>
        <w:pStyle w:val="ListParagraph"/>
        <w:numPr>
          <w:ilvl w:val="0"/>
          <w:numId w:val="31"/>
        </w:numPr>
        <w:spacing w:before="0"/>
        <w:rPr>
          <w:rFonts w:ascii="Arial" w:hAnsi="Arial" w:cs="Arial"/>
          <w:b/>
          <w:szCs w:val="24"/>
        </w:rPr>
      </w:pPr>
      <w:r w:rsidRPr="00972C6A">
        <w:rPr>
          <w:rFonts w:ascii="Arial" w:hAnsi="Arial" w:cs="Arial"/>
          <w:bCs/>
          <w:szCs w:val="24"/>
        </w:rPr>
        <w:t xml:space="preserve">Right of a child to such protection and care as is necessary for </w:t>
      </w:r>
      <w:r w:rsidR="00DD1F62" w:rsidRPr="00972C6A">
        <w:rPr>
          <w:rFonts w:ascii="Arial" w:hAnsi="Arial" w:cs="Arial"/>
          <w:bCs/>
          <w:szCs w:val="24"/>
        </w:rPr>
        <w:t>their</w:t>
      </w:r>
      <w:r w:rsidRPr="00972C6A">
        <w:rPr>
          <w:rFonts w:ascii="Arial" w:hAnsi="Arial" w:cs="Arial"/>
          <w:bCs/>
          <w:szCs w:val="24"/>
        </w:rPr>
        <w:t xml:space="preserve"> well-being – Article 3.2 of the </w:t>
      </w:r>
      <w:proofErr w:type="gramStart"/>
      <w:r w:rsidR="007F3706" w:rsidRPr="00972C6A">
        <w:rPr>
          <w:rFonts w:ascii="Arial" w:hAnsi="Arial" w:cs="Arial"/>
          <w:bCs/>
          <w:szCs w:val="24"/>
        </w:rPr>
        <w:t>CRC</w:t>
      </w:r>
      <w:r w:rsidRPr="00972C6A">
        <w:rPr>
          <w:rFonts w:ascii="Arial" w:hAnsi="Arial" w:cs="Arial"/>
          <w:bCs/>
          <w:szCs w:val="24"/>
        </w:rPr>
        <w:t>;</w:t>
      </w:r>
      <w:proofErr w:type="gramEnd"/>
    </w:p>
    <w:p w14:paraId="52918641" w14:textId="55714661" w:rsidR="00E80757" w:rsidRPr="00972C6A" w:rsidRDefault="00E80757" w:rsidP="00972C6A">
      <w:pPr>
        <w:pStyle w:val="ListParagraph"/>
        <w:numPr>
          <w:ilvl w:val="0"/>
          <w:numId w:val="31"/>
        </w:numPr>
        <w:spacing w:before="0"/>
        <w:rPr>
          <w:rFonts w:ascii="Arial" w:hAnsi="Arial" w:cs="Arial"/>
          <w:b/>
          <w:szCs w:val="24"/>
        </w:rPr>
      </w:pPr>
      <w:r w:rsidRPr="00972C6A">
        <w:rPr>
          <w:rFonts w:ascii="Arial" w:hAnsi="Arial" w:cs="Arial"/>
          <w:bCs/>
          <w:szCs w:val="24"/>
        </w:rPr>
        <w:t xml:space="preserve">Right of a child to, as far as possible, be cared for by </w:t>
      </w:r>
      <w:r w:rsidR="00DD1F62" w:rsidRPr="00972C6A">
        <w:rPr>
          <w:rFonts w:ascii="Arial" w:hAnsi="Arial" w:cs="Arial"/>
          <w:bCs/>
          <w:szCs w:val="24"/>
        </w:rPr>
        <w:t>their</w:t>
      </w:r>
      <w:r w:rsidRPr="00972C6A">
        <w:rPr>
          <w:rFonts w:ascii="Arial" w:hAnsi="Arial" w:cs="Arial"/>
          <w:bCs/>
          <w:szCs w:val="24"/>
        </w:rPr>
        <w:t xml:space="preserve"> parents – Article 7 of the </w:t>
      </w:r>
      <w:proofErr w:type="gramStart"/>
      <w:r w:rsidRPr="00972C6A">
        <w:rPr>
          <w:rFonts w:ascii="Arial" w:hAnsi="Arial" w:cs="Arial"/>
          <w:bCs/>
          <w:szCs w:val="24"/>
        </w:rPr>
        <w:t>CRC;</w:t>
      </w:r>
      <w:proofErr w:type="gramEnd"/>
    </w:p>
    <w:p w14:paraId="33D8418F" w14:textId="77777777" w:rsidR="00E80757" w:rsidRPr="00972C6A" w:rsidRDefault="00E80757" w:rsidP="00972C6A">
      <w:pPr>
        <w:pStyle w:val="ListParagraph"/>
        <w:numPr>
          <w:ilvl w:val="0"/>
          <w:numId w:val="31"/>
        </w:numPr>
        <w:spacing w:before="0"/>
        <w:rPr>
          <w:rFonts w:ascii="Arial" w:hAnsi="Arial" w:cs="Arial"/>
          <w:b/>
          <w:szCs w:val="24"/>
        </w:rPr>
      </w:pPr>
      <w:r w:rsidRPr="00972C6A">
        <w:rPr>
          <w:rFonts w:ascii="Arial" w:hAnsi="Arial" w:cs="Arial"/>
          <w:bCs/>
          <w:szCs w:val="24"/>
        </w:rPr>
        <w:t>Right of a child to be protected from all forms of physical or mental violence, injury or abuse, neglect or negligent treatment, maltreatment or exploitation – Article 19 of the CRC; and</w:t>
      </w:r>
    </w:p>
    <w:p w14:paraId="0A57CB8A" w14:textId="429FFC10" w:rsidR="00E80757" w:rsidRPr="00972C6A" w:rsidRDefault="00E80757" w:rsidP="00972C6A">
      <w:pPr>
        <w:pStyle w:val="ListParagraph"/>
        <w:numPr>
          <w:ilvl w:val="0"/>
          <w:numId w:val="31"/>
        </w:numPr>
        <w:spacing w:before="0"/>
        <w:rPr>
          <w:rFonts w:ascii="Arial" w:hAnsi="Arial" w:cs="Arial"/>
          <w:b/>
          <w:szCs w:val="24"/>
        </w:rPr>
      </w:pPr>
      <w:r w:rsidRPr="00972C6A">
        <w:rPr>
          <w:rFonts w:ascii="Arial" w:hAnsi="Arial" w:cs="Arial"/>
          <w:bCs/>
          <w:szCs w:val="24"/>
        </w:rPr>
        <w:t xml:space="preserve">Right of a child who is temporarily or permanently deprived of </w:t>
      </w:r>
      <w:r w:rsidR="00DD1F62" w:rsidRPr="00972C6A">
        <w:rPr>
          <w:rFonts w:ascii="Arial" w:hAnsi="Arial" w:cs="Arial"/>
          <w:bCs/>
          <w:szCs w:val="24"/>
        </w:rPr>
        <w:t>their</w:t>
      </w:r>
      <w:r w:rsidRPr="00972C6A">
        <w:rPr>
          <w:rFonts w:ascii="Arial" w:hAnsi="Arial" w:cs="Arial"/>
          <w:bCs/>
          <w:szCs w:val="24"/>
        </w:rPr>
        <w:t xml:space="preserve"> family environment to special protection and assistance – Article 20.1 of the CRC</w:t>
      </w:r>
    </w:p>
    <w:p w14:paraId="652836A3" w14:textId="77777777" w:rsidR="00E80757" w:rsidRPr="00972C6A" w:rsidRDefault="00E80757" w:rsidP="00972C6A">
      <w:pPr>
        <w:rPr>
          <w:rFonts w:ascii="Arial" w:hAnsi="Arial" w:cs="Arial"/>
          <w:iCs/>
          <w:color w:val="000000" w:themeColor="text1"/>
          <w:szCs w:val="24"/>
          <w:u w:val="single"/>
        </w:rPr>
      </w:pPr>
      <w:r w:rsidRPr="00972C6A">
        <w:rPr>
          <w:rFonts w:ascii="Arial" w:hAnsi="Arial" w:cs="Arial"/>
          <w:bCs/>
          <w:szCs w:val="24"/>
          <w:u w:val="single"/>
        </w:rPr>
        <w:t>Right to privacy</w:t>
      </w:r>
    </w:p>
    <w:p w14:paraId="52C4EC52" w14:textId="77777777" w:rsidR="00E80757" w:rsidRPr="00972C6A" w:rsidRDefault="00E80757" w:rsidP="00972C6A">
      <w:pPr>
        <w:rPr>
          <w:rFonts w:ascii="Arial" w:hAnsi="Arial" w:cs="Arial"/>
          <w:iCs/>
          <w:color w:val="000000" w:themeColor="text1"/>
          <w:szCs w:val="24"/>
        </w:rPr>
      </w:pPr>
      <w:r w:rsidRPr="00972C6A">
        <w:rPr>
          <w:rFonts w:ascii="Arial" w:hAnsi="Arial" w:cs="Arial"/>
          <w:iCs/>
          <w:color w:val="000000" w:themeColor="text1"/>
          <w:szCs w:val="24"/>
        </w:rPr>
        <w:lastRenderedPageBreak/>
        <w:t>Article 17 of the ICCPR relevantly provides that no one shall be subject to arbitrary or unlawful interference with their privacy and that everyone has the right to the protection of law against such interference or attacks. The right to privacy encompasses respect for information privacy, including the right to respect for private and confidential information, particularly the use and sharing of such information and the right to control dissemination of such information.</w:t>
      </w:r>
    </w:p>
    <w:p w14:paraId="67AAEF36" w14:textId="77777777" w:rsidR="00E80757" w:rsidRPr="00972C6A" w:rsidRDefault="00E80757" w:rsidP="00972C6A">
      <w:pPr>
        <w:spacing w:after="120"/>
        <w:rPr>
          <w:rFonts w:ascii="Arial" w:hAnsi="Arial" w:cs="Arial"/>
          <w:szCs w:val="24"/>
        </w:rPr>
      </w:pPr>
      <w:r w:rsidRPr="00972C6A">
        <w:rPr>
          <w:rFonts w:ascii="Arial" w:hAnsi="Arial" w:cs="Arial"/>
          <w:szCs w:val="24"/>
        </w:rPr>
        <w:t xml:space="preserve">The use of the term “arbitrary” in Article 17 means that any interference with privacy must be in accordance with the provisions, aims and objectives of the ICCPR and should be reasonable in all the circumstances.  It recognises that limitations may be imposed on the general prohibition on interference with privacy, provided that such limitations are reasonable, necessary and proportionate. </w:t>
      </w:r>
    </w:p>
    <w:p w14:paraId="40A2F857" w14:textId="0D84C2B0" w:rsidR="00416B8D" w:rsidRPr="00972C6A" w:rsidRDefault="00416B8D" w:rsidP="00972C6A">
      <w:pPr>
        <w:spacing w:after="120"/>
        <w:rPr>
          <w:rFonts w:ascii="Arial" w:hAnsi="Arial" w:cs="Arial"/>
          <w:szCs w:val="24"/>
        </w:rPr>
      </w:pPr>
      <w:r w:rsidRPr="00972C6A">
        <w:rPr>
          <w:rFonts w:ascii="Arial" w:hAnsi="Arial" w:cs="Arial"/>
          <w:szCs w:val="24"/>
        </w:rPr>
        <w:t xml:space="preserve">Article 16 of the CRC </w:t>
      </w:r>
      <w:r w:rsidR="000374DE" w:rsidRPr="00972C6A">
        <w:rPr>
          <w:rFonts w:ascii="Arial" w:hAnsi="Arial" w:cs="Arial"/>
          <w:szCs w:val="24"/>
        </w:rPr>
        <w:t>recognises an equivalent right to privacy for children.</w:t>
      </w:r>
    </w:p>
    <w:p w14:paraId="23A7DA43" w14:textId="77777777" w:rsidR="00E80757" w:rsidRPr="00972C6A" w:rsidRDefault="00E80757" w:rsidP="00972C6A">
      <w:pPr>
        <w:spacing w:after="120"/>
        <w:rPr>
          <w:rFonts w:ascii="Arial" w:hAnsi="Arial" w:cs="Arial"/>
          <w:i/>
          <w:iCs/>
          <w:szCs w:val="24"/>
        </w:rPr>
      </w:pPr>
      <w:r w:rsidRPr="00972C6A">
        <w:rPr>
          <w:rFonts w:ascii="Arial" w:hAnsi="Arial" w:cs="Arial"/>
          <w:i/>
          <w:iCs/>
          <w:szCs w:val="24"/>
        </w:rPr>
        <w:t>Safeguards to ensure limitations are proportionate and necessary</w:t>
      </w:r>
    </w:p>
    <w:p w14:paraId="796D088A" w14:textId="77777777" w:rsidR="00E80757" w:rsidRPr="00972C6A" w:rsidRDefault="00E80757" w:rsidP="00972C6A">
      <w:pPr>
        <w:spacing w:after="120"/>
        <w:rPr>
          <w:rFonts w:ascii="Arial" w:hAnsi="Arial" w:cs="Arial"/>
          <w:szCs w:val="24"/>
        </w:rPr>
      </w:pPr>
      <w:r w:rsidRPr="00972C6A">
        <w:rPr>
          <w:rFonts w:ascii="Arial" w:hAnsi="Arial" w:cs="Arial"/>
          <w:szCs w:val="24"/>
        </w:rPr>
        <w:t>The Determination and its legislative context contain safeguards to ensure any interference with a person’s privacy is reasonable, necessary and proportionate. These are:</w:t>
      </w:r>
    </w:p>
    <w:p w14:paraId="66ED8BEB" w14:textId="49200A2B" w:rsidR="00E80757" w:rsidRPr="00972C6A" w:rsidRDefault="00E80757" w:rsidP="00972C6A">
      <w:pPr>
        <w:pStyle w:val="ListParagraph"/>
        <w:numPr>
          <w:ilvl w:val="0"/>
          <w:numId w:val="30"/>
        </w:numPr>
        <w:ind w:left="714" w:hanging="357"/>
        <w:contextualSpacing w:val="0"/>
        <w:jc w:val="both"/>
        <w:rPr>
          <w:rFonts w:ascii="Arial" w:hAnsi="Arial" w:cs="Arial"/>
          <w:szCs w:val="24"/>
        </w:rPr>
      </w:pPr>
      <w:r w:rsidRPr="00972C6A">
        <w:rPr>
          <w:rFonts w:ascii="Arial" w:hAnsi="Arial" w:cs="Arial"/>
          <w:szCs w:val="24"/>
        </w:rPr>
        <w:t xml:space="preserve">The </w:t>
      </w:r>
      <w:r w:rsidR="008F6574" w:rsidRPr="00972C6A">
        <w:rPr>
          <w:rFonts w:ascii="Arial" w:hAnsi="Arial" w:cs="Arial"/>
          <w:szCs w:val="24"/>
        </w:rPr>
        <w:t>FAA Act</w:t>
      </w:r>
      <w:r w:rsidRPr="00972C6A">
        <w:rPr>
          <w:rFonts w:ascii="Arial" w:hAnsi="Arial" w:cs="Arial"/>
          <w:szCs w:val="24"/>
        </w:rPr>
        <w:t xml:space="preserve"> imposes a higher level of protection to </w:t>
      </w:r>
      <w:r w:rsidR="002F7F66" w:rsidRPr="00972C6A">
        <w:rPr>
          <w:rFonts w:ascii="Arial" w:hAnsi="Arial" w:cs="Arial"/>
          <w:szCs w:val="24"/>
        </w:rPr>
        <w:t>family assistance</w:t>
      </w:r>
      <w:r w:rsidRPr="00972C6A">
        <w:rPr>
          <w:rFonts w:ascii="Arial" w:hAnsi="Arial" w:cs="Arial"/>
          <w:szCs w:val="24"/>
        </w:rPr>
        <w:t xml:space="preserve"> law information than is imposed on personal information under the </w:t>
      </w:r>
      <w:r w:rsidRPr="00972C6A">
        <w:rPr>
          <w:rFonts w:ascii="Arial" w:hAnsi="Arial" w:cs="Arial"/>
          <w:i/>
          <w:szCs w:val="24"/>
        </w:rPr>
        <w:t>Privacy Act 1988</w:t>
      </w:r>
      <w:r w:rsidRPr="00972C6A">
        <w:rPr>
          <w:rFonts w:ascii="Arial" w:hAnsi="Arial" w:cs="Arial"/>
          <w:szCs w:val="24"/>
        </w:rPr>
        <w:t xml:space="preserve">.  For example, criminal sanctions apply for the unauthorised use or disclosure of information (see section </w:t>
      </w:r>
      <w:r w:rsidR="002F7F66" w:rsidRPr="00972C6A">
        <w:rPr>
          <w:rFonts w:ascii="Arial" w:hAnsi="Arial" w:cs="Arial"/>
          <w:szCs w:val="24"/>
        </w:rPr>
        <w:t>16</w:t>
      </w:r>
      <w:r w:rsidRPr="00972C6A">
        <w:rPr>
          <w:rFonts w:ascii="Arial" w:hAnsi="Arial" w:cs="Arial"/>
          <w:szCs w:val="24"/>
        </w:rPr>
        <w:t xml:space="preserve">4 of the </w:t>
      </w:r>
      <w:r w:rsidR="008F6574" w:rsidRPr="00972C6A">
        <w:rPr>
          <w:rFonts w:ascii="Arial" w:hAnsi="Arial" w:cs="Arial"/>
          <w:szCs w:val="24"/>
        </w:rPr>
        <w:t>FAA Act</w:t>
      </w:r>
      <w:proofErr w:type="gramStart"/>
      <w:r w:rsidRPr="00972C6A">
        <w:rPr>
          <w:rFonts w:ascii="Arial" w:hAnsi="Arial" w:cs="Arial"/>
          <w:szCs w:val="24"/>
        </w:rPr>
        <w:t>);</w:t>
      </w:r>
      <w:proofErr w:type="gramEnd"/>
    </w:p>
    <w:p w14:paraId="421DA4E4" w14:textId="6C4496B2" w:rsidR="00E80757" w:rsidRPr="00972C6A" w:rsidRDefault="00E80757" w:rsidP="00972C6A">
      <w:pPr>
        <w:pStyle w:val="ListParagraph"/>
        <w:numPr>
          <w:ilvl w:val="0"/>
          <w:numId w:val="30"/>
        </w:numPr>
        <w:ind w:left="714" w:hanging="357"/>
        <w:contextualSpacing w:val="0"/>
        <w:jc w:val="both"/>
        <w:rPr>
          <w:rFonts w:ascii="Arial" w:hAnsi="Arial" w:cs="Arial"/>
          <w:szCs w:val="24"/>
        </w:rPr>
      </w:pPr>
      <w:r w:rsidRPr="00972C6A">
        <w:rPr>
          <w:rFonts w:ascii="Arial" w:hAnsi="Arial" w:cs="Arial"/>
          <w:szCs w:val="24"/>
        </w:rPr>
        <w:t xml:space="preserve">Paragraph </w:t>
      </w:r>
      <w:r w:rsidR="008F6574" w:rsidRPr="00972C6A">
        <w:rPr>
          <w:rFonts w:ascii="Arial" w:hAnsi="Arial" w:cs="Arial"/>
          <w:szCs w:val="24"/>
        </w:rPr>
        <w:t>168(1)(a)</w:t>
      </w:r>
      <w:r w:rsidRPr="00972C6A">
        <w:rPr>
          <w:rFonts w:ascii="Arial" w:hAnsi="Arial" w:cs="Arial"/>
          <w:szCs w:val="24"/>
        </w:rPr>
        <w:t xml:space="preserve"> of the </w:t>
      </w:r>
      <w:r w:rsidR="008F6574" w:rsidRPr="00972C6A">
        <w:rPr>
          <w:rFonts w:ascii="Arial" w:hAnsi="Arial" w:cs="Arial"/>
          <w:szCs w:val="24"/>
        </w:rPr>
        <w:t>FAA Act</w:t>
      </w:r>
      <w:r w:rsidRPr="00972C6A">
        <w:rPr>
          <w:rFonts w:ascii="Arial" w:hAnsi="Arial" w:cs="Arial"/>
          <w:szCs w:val="24"/>
        </w:rPr>
        <w:t xml:space="preserve"> only enables the disclosure of information where a decision-maker certifies that the disclosure is necessary in the public </w:t>
      </w:r>
      <w:proofErr w:type="gramStart"/>
      <w:r w:rsidRPr="00972C6A">
        <w:rPr>
          <w:rFonts w:ascii="Arial" w:hAnsi="Arial" w:cs="Arial"/>
          <w:szCs w:val="24"/>
        </w:rPr>
        <w:t>interest;</w:t>
      </w:r>
      <w:proofErr w:type="gramEnd"/>
    </w:p>
    <w:p w14:paraId="5EAA0CD6" w14:textId="77777777" w:rsidR="004C2153" w:rsidRPr="00972C6A" w:rsidRDefault="004C2153" w:rsidP="00972C6A">
      <w:pPr>
        <w:pStyle w:val="ListParagraph"/>
        <w:ind w:left="714"/>
        <w:jc w:val="both"/>
        <w:rPr>
          <w:rFonts w:ascii="Arial" w:hAnsi="Arial" w:cs="Arial"/>
        </w:rPr>
      </w:pPr>
    </w:p>
    <w:p w14:paraId="064B9599" w14:textId="183266A5" w:rsidR="00E80757" w:rsidRPr="00972C6A" w:rsidRDefault="00E80757" w:rsidP="00972C6A">
      <w:pPr>
        <w:pStyle w:val="ListParagraph"/>
        <w:numPr>
          <w:ilvl w:val="0"/>
          <w:numId w:val="30"/>
        </w:numPr>
        <w:ind w:left="714" w:hanging="357"/>
        <w:jc w:val="both"/>
        <w:rPr>
          <w:rFonts w:ascii="Arial" w:hAnsi="Arial" w:cs="Arial"/>
        </w:rPr>
      </w:pPr>
      <w:r w:rsidRPr="00972C6A">
        <w:rPr>
          <w:rFonts w:ascii="Arial" w:hAnsi="Arial" w:cs="Arial"/>
        </w:rPr>
        <w:t xml:space="preserve">A decision to disclose information under paragraph </w:t>
      </w:r>
      <w:r w:rsidR="008F6574" w:rsidRPr="00972C6A">
        <w:rPr>
          <w:rFonts w:ascii="Arial" w:hAnsi="Arial" w:cs="Arial"/>
        </w:rPr>
        <w:t>168(1)(a)</w:t>
      </w:r>
      <w:r w:rsidRPr="00972C6A">
        <w:rPr>
          <w:rFonts w:ascii="Arial" w:hAnsi="Arial" w:cs="Arial"/>
        </w:rPr>
        <w:t xml:space="preserve"> of the </w:t>
      </w:r>
      <w:r w:rsidR="008F6574" w:rsidRPr="00972C6A">
        <w:rPr>
          <w:rFonts w:ascii="Arial" w:hAnsi="Arial" w:cs="Arial"/>
        </w:rPr>
        <w:t>FAA Act</w:t>
      </w:r>
      <w:r w:rsidRPr="00972C6A">
        <w:rPr>
          <w:rFonts w:ascii="Arial" w:hAnsi="Arial" w:cs="Arial"/>
        </w:rPr>
        <w:t xml:space="preserve"> can only be made by the Secretary or a delegate. The delegates are Commonwealth officers (predominantly in Services Australia) that are required to undertake relevant </w:t>
      </w:r>
      <w:proofErr w:type="gramStart"/>
      <w:r w:rsidRPr="00972C6A">
        <w:rPr>
          <w:rFonts w:ascii="Arial" w:hAnsi="Arial" w:cs="Arial"/>
        </w:rPr>
        <w:t>training</w:t>
      </w:r>
      <w:r w:rsidR="365466C1" w:rsidRPr="00972C6A">
        <w:rPr>
          <w:rFonts w:ascii="Arial" w:hAnsi="Arial" w:cs="Arial"/>
        </w:rPr>
        <w:t>;</w:t>
      </w:r>
      <w:proofErr w:type="gramEnd"/>
      <w:r w:rsidRPr="00972C6A">
        <w:rPr>
          <w:rFonts w:ascii="Arial" w:hAnsi="Arial" w:cs="Arial"/>
        </w:rPr>
        <w:t xml:space="preserve"> </w:t>
      </w:r>
    </w:p>
    <w:p w14:paraId="6741F4AD" w14:textId="77777777" w:rsidR="004C2153" w:rsidRPr="00972C6A" w:rsidDel="00995A6D" w:rsidRDefault="004C2153" w:rsidP="00972C6A">
      <w:pPr>
        <w:pStyle w:val="ListParagraph"/>
        <w:ind w:left="714"/>
        <w:jc w:val="both"/>
        <w:rPr>
          <w:rFonts w:ascii="Arial" w:hAnsi="Arial" w:cs="Arial"/>
        </w:rPr>
      </w:pPr>
    </w:p>
    <w:p w14:paraId="1CB6CF19" w14:textId="60988B27" w:rsidR="00E80757" w:rsidRPr="00972C6A" w:rsidRDefault="00E80757" w:rsidP="00972C6A">
      <w:pPr>
        <w:pStyle w:val="ListParagraph"/>
        <w:numPr>
          <w:ilvl w:val="0"/>
          <w:numId w:val="30"/>
        </w:numPr>
        <w:ind w:left="714" w:hanging="357"/>
        <w:jc w:val="both"/>
        <w:rPr>
          <w:rFonts w:ascii="Arial" w:hAnsi="Arial" w:cs="Arial"/>
        </w:rPr>
      </w:pPr>
      <w:r w:rsidRPr="00972C6A">
        <w:rPr>
          <w:rFonts w:ascii="Arial" w:hAnsi="Arial" w:cs="Arial"/>
        </w:rPr>
        <w:t xml:space="preserve">Recipients of information disclosed </w:t>
      </w:r>
      <w:proofErr w:type="gramStart"/>
      <w:r w:rsidRPr="00972C6A">
        <w:rPr>
          <w:rFonts w:ascii="Arial" w:hAnsi="Arial" w:cs="Arial"/>
        </w:rPr>
        <w:t>on the basis of</w:t>
      </w:r>
      <w:proofErr w:type="gramEnd"/>
      <w:r w:rsidRPr="00972C6A">
        <w:rPr>
          <w:rFonts w:ascii="Arial" w:hAnsi="Arial" w:cs="Arial"/>
        </w:rPr>
        <w:t xml:space="preserve"> a public interest certificate cannot disclose the information to other parties unless the disclosure is for the same purpose or the disclosure is otherwise authorised by law</w:t>
      </w:r>
      <w:r w:rsidR="675CEAE6" w:rsidRPr="00972C6A">
        <w:rPr>
          <w:rFonts w:ascii="Arial" w:hAnsi="Arial" w:cs="Arial"/>
        </w:rPr>
        <w:t>; and</w:t>
      </w:r>
      <w:r w:rsidRPr="00972C6A">
        <w:rPr>
          <w:rFonts w:ascii="Arial" w:hAnsi="Arial" w:cs="Arial"/>
        </w:rPr>
        <w:t xml:space="preserve">    </w:t>
      </w:r>
    </w:p>
    <w:p w14:paraId="2C33B49F" w14:textId="77777777" w:rsidR="00E80757" w:rsidRPr="00972C6A" w:rsidRDefault="00E80757" w:rsidP="00972C6A">
      <w:pPr>
        <w:pStyle w:val="ListParagraph"/>
        <w:numPr>
          <w:ilvl w:val="0"/>
          <w:numId w:val="30"/>
        </w:numPr>
        <w:ind w:left="714" w:hanging="357"/>
        <w:contextualSpacing w:val="0"/>
        <w:jc w:val="both"/>
        <w:rPr>
          <w:rFonts w:ascii="Arial" w:hAnsi="Arial" w:cs="Arial"/>
          <w:szCs w:val="24"/>
        </w:rPr>
      </w:pPr>
      <w:r w:rsidRPr="00972C6A">
        <w:rPr>
          <w:rFonts w:ascii="Arial" w:hAnsi="Arial" w:cs="Arial"/>
          <w:szCs w:val="24"/>
        </w:rPr>
        <w:t>The Determination contains the following safeguards to ensure that any disclosure of information is reasonable and necessary:</w:t>
      </w:r>
    </w:p>
    <w:p w14:paraId="56A4F6A0" w14:textId="77777777" w:rsidR="00E80757" w:rsidRPr="00972C6A" w:rsidRDefault="00E80757" w:rsidP="00972C6A">
      <w:pPr>
        <w:pStyle w:val="ListParagraph"/>
        <w:numPr>
          <w:ilvl w:val="1"/>
          <w:numId w:val="30"/>
        </w:numPr>
        <w:contextualSpacing w:val="0"/>
        <w:jc w:val="both"/>
        <w:rPr>
          <w:rFonts w:ascii="Arial" w:hAnsi="Arial" w:cs="Arial"/>
          <w:szCs w:val="24"/>
        </w:rPr>
      </w:pPr>
      <w:r w:rsidRPr="00972C6A">
        <w:rPr>
          <w:rFonts w:ascii="Arial" w:hAnsi="Arial" w:cs="Arial"/>
          <w:szCs w:val="24"/>
        </w:rPr>
        <w:t xml:space="preserve">Paragraph 7(1)(a), which requires the decision-maker to be satisfied that the information cannot reasonably be obtained from a source other than DSS or Services Australia, helps to stop them being regarded as an automatic or even ready source of the information and to ensure the decision-maker considers whether there are other avenues for the recipient to obtain information about a person. </w:t>
      </w:r>
      <w:r w:rsidRPr="00972C6A" w:rsidDel="0008499E">
        <w:rPr>
          <w:rFonts w:ascii="Arial" w:hAnsi="Arial" w:cs="Arial"/>
          <w:szCs w:val="24"/>
        </w:rPr>
        <w:t xml:space="preserve"> </w:t>
      </w:r>
    </w:p>
    <w:p w14:paraId="1196412D" w14:textId="665A2F6E" w:rsidR="00E80757" w:rsidRPr="00972C6A" w:rsidRDefault="00E80757" w:rsidP="00972C6A">
      <w:pPr>
        <w:pStyle w:val="ListParagraph"/>
        <w:numPr>
          <w:ilvl w:val="1"/>
          <w:numId w:val="30"/>
        </w:numPr>
        <w:jc w:val="both"/>
        <w:rPr>
          <w:rFonts w:ascii="Arial" w:hAnsi="Arial" w:cs="Arial"/>
        </w:rPr>
      </w:pPr>
      <w:r w:rsidRPr="00972C6A">
        <w:rPr>
          <w:rFonts w:ascii="Arial" w:hAnsi="Arial" w:cs="Arial"/>
        </w:rPr>
        <w:t xml:space="preserve">The new requirement in paragraphs 7(1)(c) and </w:t>
      </w:r>
      <w:r w:rsidR="00FB2A67" w:rsidRPr="00972C6A">
        <w:rPr>
          <w:rFonts w:ascii="Arial" w:hAnsi="Arial" w:cs="Arial"/>
        </w:rPr>
        <w:t>30</w:t>
      </w:r>
      <w:r w:rsidRPr="00972C6A">
        <w:rPr>
          <w:rFonts w:ascii="Arial" w:hAnsi="Arial" w:cs="Arial"/>
        </w:rPr>
        <w:t xml:space="preserve">(d), requiring that the decision-maker disclose de-identified information about a person unless doing so would not achieve the purpose for which the information is </w:t>
      </w:r>
      <w:r w:rsidRPr="00972C6A">
        <w:rPr>
          <w:rFonts w:ascii="Arial" w:hAnsi="Arial" w:cs="Arial"/>
        </w:rPr>
        <w:lastRenderedPageBreak/>
        <w:t>being disclosed</w:t>
      </w:r>
      <w:r w:rsidR="00B16037" w:rsidRPr="00972C6A">
        <w:rPr>
          <w:rFonts w:ascii="Arial" w:hAnsi="Arial" w:cs="Arial"/>
        </w:rPr>
        <w:t>,</w:t>
      </w:r>
      <w:r w:rsidR="00A1570B" w:rsidRPr="00972C6A">
        <w:rPr>
          <w:rFonts w:ascii="Arial" w:hAnsi="Arial" w:cs="Arial"/>
        </w:rPr>
        <w:t xml:space="preserve"> helps to</w:t>
      </w:r>
      <w:r w:rsidRPr="00972C6A">
        <w:rPr>
          <w:rFonts w:ascii="Arial" w:hAnsi="Arial" w:cs="Arial"/>
        </w:rPr>
        <w:t xml:space="preserve"> safeguard against unnecessary disclosures of personal information.</w:t>
      </w:r>
    </w:p>
    <w:p w14:paraId="4C4F2826" w14:textId="64D0A970" w:rsidR="00E80757" w:rsidRPr="00972C6A" w:rsidDel="00AC6766" w:rsidRDefault="00E80757" w:rsidP="00972C6A">
      <w:pPr>
        <w:pStyle w:val="ListParagraph"/>
        <w:numPr>
          <w:ilvl w:val="1"/>
          <w:numId w:val="30"/>
        </w:numPr>
        <w:contextualSpacing w:val="0"/>
        <w:jc w:val="both"/>
        <w:rPr>
          <w:rFonts w:ascii="Arial" w:hAnsi="Arial" w:cs="Arial"/>
          <w:szCs w:val="24"/>
        </w:rPr>
      </w:pPr>
      <w:r w:rsidRPr="00972C6A" w:rsidDel="00AC6766">
        <w:rPr>
          <w:rFonts w:ascii="Arial" w:hAnsi="Arial" w:cs="Arial"/>
          <w:szCs w:val="24"/>
        </w:rPr>
        <w:t xml:space="preserve">Paragraph </w:t>
      </w:r>
      <w:r w:rsidR="00832E25" w:rsidRPr="00972C6A">
        <w:rPr>
          <w:rFonts w:ascii="Arial" w:hAnsi="Arial" w:cs="Arial"/>
          <w:szCs w:val="24"/>
        </w:rPr>
        <w:t>30</w:t>
      </w:r>
      <w:r w:rsidRPr="00972C6A" w:rsidDel="00AC6766">
        <w:rPr>
          <w:rFonts w:ascii="Arial" w:hAnsi="Arial" w:cs="Arial"/>
          <w:szCs w:val="24"/>
        </w:rPr>
        <w:t>(b), which provides that information about a homeless young person can only be disclosed if that</w:t>
      </w:r>
      <w:r w:rsidRPr="00972C6A">
        <w:rPr>
          <w:rFonts w:ascii="Arial" w:hAnsi="Arial" w:cs="Arial"/>
          <w:szCs w:val="24"/>
        </w:rPr>
        <w:t xml:space="preserve"> the</w:t>
      </w:r>
      <w:r w:rsidRPr="00972C6A" w:rsidDel="00AC6766">
        <w:rPr>
          <w:rFonts w:ascii="Arial" w:hAnsi="Arial" w:cs="Arial"/>
          <w:szCs w:val="24"/>
        </w:rPr>
        <w:t xml:space="preserve"> disclosure will not cause them any harm, </w:t>
      </w:r>
      <w:r w:rsidRPr="00972C6A">
        <w:rPr>
          <w:rFonts w:ascii="Arial" w:hAnsi="Arial" w:cs="Arial"/>
          <w:szCs w:val="24"/>
        </w:rPr>
        <w:t xml:space="preserve">helps to </w:t>
      </w:r>
      <w:r w:rsidRPr="00972C6A" w:rsidDel="00AC6766">
        <w:rPr>
          <w:rFonts w:ascii="Arial" w:hAnsi="Arial" w:cs="Arial"/>
          <w:szCs w:val="24"/>
        </w:rPr>
        <w:t xml:space="preserve">ensure that the right to privacy is only limited </w:t>
      </w:r>
      <w:r w:rsidR="005E1B9F" w:rsidRPr="00972C6A">
        <w:rPr>
          <w:rFonts w:ascii="Arial" w:hAnsi="Arial" w:cs="Arial"/>
          <w:szCs w:val="24"/>
        </w:rPr>
        <w:t xml:space="preserve">to </w:t>
      </w:r>
      <w:r w:rsidRPr="00972C6A">
        <w:rPr>
          <w:rFonts w:ascii="Arial" w:hAnsi="Arial" w:cs="Arial"/>
          <w:szCs w:val="24"/>
        </w:rPr>
        <w:t>circumstances where the</w:t>
      </w:r>
      <w:r w:rsidRPr="00972C6A" w:rsidDel="00AC6766">
        <w:rPr>
          <w:rFonts w:ascii="Arial" w:hAnsi="Arial" w:cs="Arial"/>
          <w:szCs w:val="24"/>
        </w:rPr>
        <w:t xml:space="preserve"> homeless young person</w:t>
      </w:r>
      <w:r w:rsidRPr="00972C6A">
        <w:rPr>
          <w:rFonts w:ascii="Arial" w:hAnsi="Arial" w:cs="Arial"/>
          <w:szCs w:val="24"/>
        </w:rPr>
        <w:t xml:space="preserve"> will not be adversely affected</w:t>
      </w:r>
      <w:r w:rsidRPr="00972C6A" w:rsidDel="00AC6766">
        <w:rPr>
          <w:rFonts w:ascii="Arial" w:hAnsi="Arial" w:cs="Arial"/>
          <w:szCs w:val="24"/>
        </w:rPr>
        <w:t>.</w:t>
      </w:r>
    </w:p>
    <w:p w14:paraId="19943AB3" w14:textId="7C84D640" w:rsidR="00E80757" w:rsidRPr="00972C6A" w:rsidRDefault="00E80757" w:rsidP="00972C6A">
      <w:pPr>
        <w:pStyle w:val="ListParagraph"/>
        <w:numPr>
          <w:ilvl w:val="1"/>
          <w:numId w:val="30"/>
        </w:numPr>
        <w:contextualSpacing w:val="0"/>
        <w:jc w:val="both"/>
        <w:rPr>
          <w:rFonts w:ascii="Arial" w:hAnsi="Arial" w:cs="Arial"/>
          <w:szCs w:val="24"/>
        </w:rPr>
      </w:pPr>
      <w:r w:rsidRPr="00972C6A">
        <w:rPr>
          <w:rFonts w:ascii="Arial" w:hAnsi="Arial" w:cs="Arial"/>
          <w:szCs w:val="24"/>
        </w:rPr>
        <w:t xml:space="preserve">Paragraphs 7(1)(b) and </w:t>
      </w:r>
      <w:r w:rsidR="00832E25" w:rsidRPr="00972C6A">
        <w:rPr>
          <w:rFonts w:ascii="Arial" w:hAnsi="Arial" w:cs="Arial"/>
          <w:szCs w:val="24"/>
        </w:rPr>
        <w:t>30</w:t>
      </w:r>
      <w:r w:rsidRPr="00972C6A">
        <w:rPr>
          <w:rFonts w:ascii="Arial" w:hAnsi="Arial" w:cs="Arial"/>
          <w:szCs w:val="24"/>
        </w:rPr>
        <w:t>(</w:t>
      </w:r>
      <w:r w:rsidR="001E6720" w:rsidRPr="00972C6A">
        <w:rPr>
          <w:rFonts w:ascii="Arial" w:hAnsi="Arial" w:cs="Arial"/>
          <w:szCs w:val="24"/>
        </w:rPr>
        <w:t>c</w:t>
      </w:r>
      <w:r w:rsidRPr="00972C6A">
        <w:rPr>
          <w:rFonts w:ascii="Arial" w:hAnsi="Arial" w:cs="Arial"/>
          <w:szCs w:val="24"/>
        </w:rPr>
        <w:t>)</w:t>
      </w:r>
      <w:r w:rsidR="005E1B9F" w:rsidRPr="00972C6A">
        <w:rPr>
          <w:rFonts w:ascii="Arial" w:hAnsi="Arial" w:cs="Arial"/>
          <w:szCs w:val="24"/>
        </w:rPr>
        <w:t xml:space="preserve"> require the Secretary to be satisfied </w:t>
      </w:r>
      <w:r w:rsidRPr="00972C6A">
        <w:rPr>
          <w:rFonts w:ascii="Arial" w:hAnsi="Arial" w:cs="Arial"/>
          <w:szCs w:val="24"/>
        </w:rPr>
        <w:t xml:space="preserve">that the disclosure is necessary for a particular purpose covered by the Determination. These purposes, and relevant human rights engaged by those purposes, are discussed further below. </w:t>
      </w:r>
    </w:p>
    <w:p w14:paraId="0D067FEC" w14:textId="571F2E62" w:rsidR="00E80757" w:rsidRPr="00972C6A" w:rsidRDefault="00E80757" w:rsidP="00972C6A">
      <w:pPr>
        <w:pStyle w:val="ListParagraph"/>
        <w:numPr>
          <w:ilvl w:val="1"/>
          <w:numId w:val="30"/>
        </w:numPr>
        <w:contextualSpacing w:val="0"/>
        <w:jc w:val="both"/>
        <w:rPr>
          <w:rFonts w:ascii="Arial" w:hAnsi="Arial" w:cs="Arial"/>
          <w:szCs w:val="24"/>
        </w:rPr>
      </w:pPr>
      <w:r w:rsidRPr="00972C6A">
        <w:rPr>
          <w:rFonts w:ascii="Arial" w:hAnsi="Arial" w:cs="Arial"/>
          <w:szCs w:val="24"/>
        </w:rPr>
        <w:t>Section 6 of the Determination also confers an overarching requirement for the Secretary</w:t>
      </w:r>
      <w:r w:rsidR="00D938BE" w:rsidRPr="00972C6A">
        <w:rPr>
          <w:rFonts w:ascii="Arial" w:hAnsi="Arial" w:cs="Arial"/>
          <w:szCs w:val="24"/>
        </w:rPr>
        <w:t xml:space="preserve"> to weigh</w:t>
      </w:r>
      <w:r w:rsidRPr="00972C6A">
        <w:rPr>
          <w:rFonts w:ascii="Arial" w:hAnsi="Arial" w:cs="Arial"/>
          <w:szCs w:val="24"/>
        </w:rPr>
        <w:t xml:space="preserve"> disclosures of information in circumstances where there is information to suggest a person whose information is being released is or may be subject to physical psychological or emotional abuse and may not be able to report information about the abuse of their circumstances because of their age</w:t>
      </w:r>
      <w:r w:rsidR="00EB6038" w:rsidRPr="00972C6A">
        <w:rPr>
          <w:rFonts w:ascii="Arial" w:hAnsi="Arial" w:cs="Arial"/>
          <w:szCs w:val="24"/>
        </w:rPr>
        <w:t xml:space="preserve"> or</w:t>
      </w:r>
      <w:r w:rsidRPr="00972C6A">
        <w:rPr>
          <w:rFonts w:ascii="Arial" w:hAnsi="Arial" w:cs="Arial"/>
          <w:szCs w:val="24"/>
        </w:rPr>
        <w:t xml:space="preserve"> disability</w:t>
      </w:r>
      <w:r w:rsidR="00EB6038" w:rsidRPr="00972C6A">
        <w:rPr>
          <w:rFonts w:ascii="Arial" w:hAnsi="Arial" w:cs="Arial"/>
          <w:szCs w:val="24"/>
        </w:rPr>
        <w:t>, or</w:t>
      </w:r>
      <w:r w:rsidRPr="00972C6A">
        <w:rPr>
          <w:rFonts w:ascii="Arial" w:hAnsi="Arial" w:cs="Arial"/>
          <w:szCs w:val="24"/>
        </w:rPr>
        <w:t xml:space="preserve"> social, cultural, family or other circumstances. </w:t>
      </w:r>
    </w:p>
    <w:p w14:paraId="771B90F0" w14:textId="23B14446" w:rsidR="00E80757" w:rsidRPr="00972C6A" w:rsidRDefault="00E80757" w:rsidP="00972C6A">
      <w:pPr>
        <w:pStyle w:val="ListParagraph"/>
        <w:ind w:left="1440"/>
        <w:contextualSpacing w:val="0"/>
        <w:jc w:val="both"/>
        <w:rPr>
          <w:rFonts w:ascii="Arial" w:hAnsi="Arial" w:cs="Arial"/>
          <w:szCs w:val="24"/>
        </w:rPr>
      </w:pPr>
      <w:r w:rsidRPr="00972C6A">
        <w:rPr>
          <w:rFonts w:ascii="Arial" w:hAnsi="Arial" w:cs="Arial"/>
          <w:szCs w:val="24"/>
        </w:rPr>
        <w:t xml:space="preserve">This provision does not expressly provide for the provision of information if these </w:t>
      </w:r>
      <w:r w:rsidR="005E1B9F" w:rsidRPr="00972C6A">
        <w:rPr>
          <w:rFonts w:ascii="Arial" w:hAnsi="Arial" w:cs="Arial"/>
          <w:szCs w:val="24"/>
        </w:rPr>
        <w:t>circumstances exist</w:t>
      </w:r>
      <w:r w:rsidRPr="00972C6A">
        <w:rPr>
          <w:rFonts w:ascii="Arial" w:hAnsi="Arial" w:cs="Arial"/>
          <w:szCs w:val="24"/>
        </w:rPr>
        <w:t xml:space="preserve"> but is intended to prompt the Secretary to weigh whether the disclosure is in the best interests of the person, in view of their vulnerabilities. </w:t>
      </w:r>
      <w:r w:rsidR="00726590" w:rsidRPr="00972C6A">
        <w:rPr>
          <w:rFonts w:ascii="Arial" w:hAnsi="Arial" w:cs="Arial"/>
          <w:szCs w:val="24"/>
        </w:rPr>
        <w:t>A</w:t>
      </w:r>
      <w:r w:rsidRPr="00972C6A">
        <w:rPr>
          <w:rFonts w:ascii="Arial" w:hAnsi="Arial" w:cs="Arial"/>
          <w:szCs w:val="24"/>
        </w:rPr>
        <w:t xml:space="preserve"> person’s individual autonomy and freedom to make decisions (noting for example, Article 3 of the </w:t>
      </w:r>
      <w:r w:rsidR="00DC038E" w:rsidRPr="00972C6A">
        <w:rPr>
          <w:rFonts w:ascii="Arial" w:hAnsi="Arial" w:cs="Arial"/>
          <w:szCs w:val="24"/>
        </w:rPr>
        <w:t>CRPD</w:t>
      </w:r>
      <w:r w:rsidRPr="00972C6A">
        <w:rPr>
          <w:rFonts w:ascii="Arial" w:hAnsi="Arial" w:cs="Arial"/>
          <w:szCs w:val="24"/>
        </w:rPr>
        <w:t xml:space="preserve"> which promotes these principles for rights of people with disability) </w:t>
      </w:r>
      <w:r w:rsidR="00726590" w:rsidRPr="00972C6A">
        <w:rPr>
          <w:rFonts w:ascii="Arial" w:hAnsi="Arial" w:cs="Arial"/>
          <w:szCs w:val="24"/>
        </w:rPr>
        <w:t xml:space="preserve">should be balanced </w:t>
      </w:r>
      <w:r w:rsidRPr="00972C6A">
        <w:rPr>
          <w:rFonts w:ascii="Arial" w:hAnsi="Arial" w:cs="Arial"/>
          <w:szCs w:val="24"/>
        </w:rPr>
        <w:t>with the right of t</w:t>
      </w:r>
      <w:r w:rsidR="00C06734" w:rsidRPr="00972C6A">
        <w:rPr>
          <w:rFonts w:ascii="Arial" w:hAnsi="Arial" w:cs="Arial"/>
          <w:szCs w:val="24"/>
        </w:rPr>
        <w:t>hat</w:t>
      </w:r>
      <w:r w:rsidRPr="00972C6A">
        <w:rPr>
          <w:rFonts w:ascii="Arial" w:hAnsi="Arial" w:cs="Arial"/>
          <w:szCs w:val="24"/>
        </w:rPr>
        <w:t xml:space="preserve"> person to protection from exploitation, violence and abuse </w:t>
      </w:r>
      <w:r w:rsidR="00D97A89" w:rsidRPr="00972C6A">
        <w:rPr>
          <w:rFonts w:ascii="Arial" w:hAnsi="Arial" w:cs="Arial"/>
          <w:szCs w:val="24"/>
        </w:rPr>
        <w:t>(as provided in Article 16(1) of the CRPD).</w:t>
      </w:r>
      <w:r w:rsidRPr="00972C6A">
        <w:rPr>
          <w:rFonts w:ascii="Arial" w:hAnsi="Arial" w:cs="Arial"/>
          <w:szCs w:val="24"/>
        </w:rPr>
        <w:t xml:space="preserve"> </w:t>
      </w:r>
    </w:p>
    <w:p w14:paraId="653DC696" w14:textId="744D94A1" w:rsidR="00E80757" w:rsidRPr="00972C6A" w:rsidRDefault="00E80757" w:rsidP="00972C6A">
      <w:pPr>
        <w:spacing w:after="120"/>
        <w:rPr>
          <w:rFonts w:ascii="Arial" w:hAnsi="Arial" w:cs="Arial"/>
          <w:bCs/>
          <w:szCs w:val="24"/>
          <w:u w:val="single"/>
        </w:rPr>
      </w:pPr>
      <w:r w:rsidRPr="00972C6A">
        <w:rPr>
          <w:rFonts w:ascii="Arial" w:hAnsi="Arial" w:cs="Arial"/>
          <w:bCs/>
          <w:szCs w:val="24"/>
          <w:u w:val="single"/>
        </w:rPr>
        <w:t>Disclosure purposes are</w:t>
      </w:r>
      <w:r w:rsidR="009A0772" w:rsidRPr="00972C6A">
        <w:rPr>
          <w:rFonts w:ascii="Arial" w:hAnsi="Arial" w:cs="Arial"/>
          <w:bCs/>
          <w:szCs w:val="24"/>
          <w:u w:val="single"/>
        </w:rPr>
        <w:t xml:space="preserve"> a</w:t>
      </w:r>
      <w:r w:rsidRPr="00972C6A">
        <w:rPr>
          <w:rFonts w:ascii="Arial" w:hAnsi="Arial" w:cs="Arial"/>
          <w:bCs/>
          <w:szCs w:val="24"/>
          <w:u w:val="single"/>
        </w:rPr>
        <w:t xml:space="preserve"> proportionate limit on the right to privacy</w:t>
      </w:r>
    </w:p>
    <w:p w14:paraId="5131D1B9" w14:textId="4B4BFFCC" w:rsidR="00E80757" w:rsidRPr="00972C6A" w:rsidRDefault="00E80757" w:rsidP="00972C6A">
      <w:pPr>
        <w:spacing w:after="120"/>
        <w:rPr>
          <w:rFonts w:ascii="Arial" w:hAnsi="Arial" w:cs="Arial"/>
          <w:szCs w:val="24"/>
        </w:rPr>
      </w:pPr>
      <w:r w:rsidRPr="00972C6A">
        <w:rPr>
          <w:rFonts w:ascii="Arial" w:hAnsi="Arial" w:cs="Arial"/>
          <w:bCs/>
          <w:szCs w:val="24"/>
        </w:rPr>
        <w:t>To the extent that the Determination limits a person’s right to privacy</w:t>
      </w:r>
      <w:r w:rsidRPr="00972C6A">
        <w:rPr>
          <w:rFonts w:ascii="Arial" w:hAnsi="Arial" w:cs="Arial"/>
          <w:szCs w:val="24"/>
        </w:rPr>
        <w:t>, the limitations pursue a legitimate objective and are a reasonable and proportionate means of achieving that objective, as follows:</w:t>
      </w:r>
    </w:p>
    <w:p w14:paraId="7F4786C9" w14:textId="3E35EB44" w:rsidR="00E80757" w:rsidRPr="00972C6A" w:rsidRDefault="00E80757" w:rsidP="00972C6A">
      <w:pPr>
        <w:pStyle w:val="ListParagraph"/>
        <w:numPr>
          <w:ilvl w:val="0"/>
          <w:numId w:val="43"/>
        </w:numPr>
        <w:spacing w:after="120"/>
        <w:rPr>
          <w:rFonts w:ascii="Arial" w:hAnsi="Arial" w:cs="Arial"/>
          <w:szCs w:val="24"/>
        </w:rPr>
      </w:pPr>
      <w:r w:rsidRPr="00972C6A">
        <w:rPr>
          <w:rFonts w:ascii="Arial" w:hAnsi="Arial" w:cs="Arial"/>
          <w:szCs w:val="24"/>
        </w:rPr>
        <w:t xml:space="preserve">Sections 8, 14, 15 and 16 of the Determination assist with ensuring or reporting on the welfare of individuals, including preventing serious threats to their life, health and safety, as well as assisting government bodies to carry out their functions with respect to missing and deceased persons. These purposes are consistent with Article 9 of the ICCPR, which provides for the right to a person’s physical security </w:t>
      </w:r>
      <w:r w:rsidRPr="00972C6A">
        <w:rPr>
          <w:rFonts w:ascii="Arial" w:hAnsi="Arial" w:cs="Arial"/>
          <w:iCs/>
          <w:szCs w:val="24"/>
        </w:rPr>
        <w:t xml:space="preserve">as well as the right to protection from exploitation, violence and abuse </w:t>
      </w:r>
      <w:r w:rsidR="00D57C6B" w:rsidRPr="00972C6A">
        <w:rPr>
          <w:rFonts w:ascii="Arial" w:hAnsi="Arial" w:cs="Arial"/>
          <w:iCs/>
          <w:szCs w:val="24"/>
        </w:rPr>
        <w:t>provided by</w:t>
      </w:r>
      <w:r w:rsidRPr="00972C6A">
        <w:rPr>
          <w:rFonts w:ascii="Arial" w:hAnsi="Arial" w:cs="Arial"/>
          <w:iCs/>
          <w:szCs w:val="24"/>
        </w:rPr>
        <w:t xml:space="preserve"> Article 20(2) of the ICCPR</w:t>
      </w:r>
      <w:r w:rsidR="00BA0622" w:rsidRPr="00972C6A">
        <w:rPr>
          <w:rFonts w:ascii="Arial" w:hAnsi="Arial" w:cs="Arial"/>
          <w:iCs/>
          <w:szCs w:val="24"/>
        </w:rPr>
        <w:t xml:space="preserve">, </w:t>
      </w:r>
      <w:r w:rsidR="002E1299" w:rsidRPr="00972C6A">
        <w:rPr>
          <w:rFonts w:ascii="Arial" w:hAnsi="Arial" w:cs="Arial"/>
          <w:iCs/>
          <w:szCs w:val="24"/>
        </w:rPr>
        <w:t>Article 19(1) of the CRC and Article 16(1) of the CRPD</w:t>
      </w:r>
      <w:r w:rsidRPr="00972C6A">
        <w:rPr>
          <w:rFonts w:ascii="Arial" w:hAnsi="Arial" w:cs="Arial"/>
          <w:iCs/>
          <w:szCs w:val="24"/>
        </w:rPr>
        <w:t xml:space="preserve">.  </w:t>
      </w:r>
      <w:r w:rsidRPr="00972C6A">
        <w:rPr>
          <w:rFonts w:ascii="Arial" w:hAnsi="Arial" w:cs="Arial"/>
          <w:iCs/>
          <w:szCs w:val="24"/>
        </w:rPr>
        <w:br/>
      </w:r>
    </w:p>
    <w:p w14:paraId="760AD264" w14:textId="77777777" w:rsidR="00E80757" w:rsidRPr="00972C6A" w:rsidRDefault="00E80757" w:rsidP="00972C6A">
      <w:pPr>
        <w:pStyle w:val="ListParagraph"/>
        <w:spacing w:after="120"/>
        <w:rPr>
          <w:rFonts w:ascii="Arial" w:hAnsi="Arial" w:cs="Arial"/>
          <w:szCs w:val="24"/>
        </w:rPr>
      </w:pPr>
      <w:r w:rsidRPr="00972C6A">
        <w:rPr>
          <w:rFonts w:ascii="Arial" w:hAnsi="Arial" w:cs="Arial"/>
          <w:szCs w:val="24"/>
        </w:rPr>
        <w:t>Paragraphs 14(c) and 16(c) of the Determination also provide a safeguard that requires a decision-maker that is disclosing information about a missing or deceased person to be satisfied that there is no reasonable ground to believe that a missing or deceased person would not have wanted the information disclosed.</w:t>
      </w:r>
    </w:p>
    <w:p w14:paraId="18362C75" w14:textId="77777777" w:rsidR="00E80757" w:rsidRPr="00972C6A" w:rsidRDefault="00E80757" w:rsidP="00972C6A">
      <w:pPr>
        <w:pStyle w:val="ListParagraph"/>
        <w:spacing w:after="120"/>
        <w:rPr>
          <w:rFonts w:ascii="Arial" w:hAnsi="Arial" w:cs="Arial"/>
          <w:szCs w:val="24"/>
        </w:rPr>
      </w:pPr>
    </w:p>
    <w:p w14:paraId="71544E28" w14:textId="7926A73A" w:rsidR="00E80757" w:rsidRPr="00972C6A" w:rsidRDefault="00E80757" w:rsidP="00972C6A">
      <w:pPr>
        <w:pStyle w:val="ListParagraph"/>
        <w:numPr>
          <w:ilvl w:val="0"/>
          <w:numId w:val="43"/>
        </w:numPr>
        <w:spacing w:after="120"/>
        <w:rPr>
          <w:rFonts w:ascii="Arial" w:hAnsi="Arial" w:cs="Arial"/>
          <w:szCs w:val="24"/>
        </w:rPr>
      </w:pPr>
      <w:r w:rsidRPr="00972C6A">
        <w:rPr>
          <w:rFonts w:ascii="Arial" w:hAnsi="Arial" w:cs="Arial"/>
          <w:szCs w:val="24"/>
        </w:rPr>
        <w:t>Sections 9 and 11 of the Determination are designed to assist in preventing and responding to serious offences or threatened offences as well as disrupting criminal activity through international co-operation and depriving offenders from the proceeds of their crimes. These provisions promote the right to security in Article 9 of the IC</w:t>
      </w:r>
      <w:r w:rsidR="00660C21" w:rsidRPr="00972C6A">
        <w:rPr>
          <w:rFonts w:ascii="Arial" w:hAnsi="Arial" w:cs="Arial"/>
          <w:szCs w:val="24"/>
        </w:rPr>
        <w:t>C</w:t>
      </w:r>
      <w:r w:rsidRPr="00972C6A">
        <w:rPr>
          <w:rFonts w:ascii="Arial" w:hAnsi="Arial" w:cs="Arial"/>
          <w:szCs w:val="24"/>
        </w:rPr>
        <w:t>PR, which requires States to provide measures to protect a person’s physical security, particularly in circumstances public authorities know or ought to know of the existence of a real and imminent risk to the physical security of an individual or group of individuals from the criminal acts of another party.</w:t>
      </w:r>
    </w:p>
    <w:p w14:paraId="4A474393" w14:textId="77777777" w:rsidR="00E80757" w:rsidRPr="00972C6A" w:rsidRDefault="00E80757" w:rsidP="00972C6A">
      <w:pPr>
        <w:pStyle w:val="ListParagraph"/>
        <w:rPr>
          <w:rFonts w:ascii="Arial" w:hAnsi="Arial" w:cs="Arial"/>
          <w:szCs w:val="24"/>
        </w:rPr>
      </w:pPr>
    </w:p>
    <w:p w14:paraId="2AF83FBC" w14:textId="1090D8B5" w:rsidR="00E80757" w:rsidRPr="00972C6A" w:rsidRDefault="00E80757" w:rsidP="00972C6A">
      <w:pPr>
        <w:pStyle w:val="ListParagraph"/>
        <w:numPr>
          <w:ilvl w:val="0"/>
          <w:numId w:val="43"/>
        </w:numPr>
        <w:spacing w:after="120"/>
        <w:rPr>
          <w:rFonts w:ascii="Arial" w:hAnsi="Arial" w:cs="Arial"/>
          <w:szCs w:val="24"/>
        </w:rPr>
      </w:pPr>
      <w:r w:rsidRPr="00972C6A">
        <w:rPr>
          <w:rFonts w:ascii="Arial" w:hAnsi="Arial" w:cs="Arial"/>
          <w:szCs w:val="24"/>
        </w:rPr>
        <w:t>Sections 10, 12, 13</w:t>
      </w:r>
      <w:r w:rsidR="005F2AD1" w:rsidRPr="00972C6A">
        <w:rPr>
          <w:rFonts w:ascii="Arial" w:hAnsi="Arial" w:cs="Arial"/>
          <w:szCs w:val="24"/>
        </w:rPr>
        <w:t xml:space="preserve">, </w:t>
      </w:r>
      <w:r w:rsidRPr="00972C6A">
        <w:rPr>
          <w:rFonts w:ascii="Arial" w:hAnsi="Arial" w:cs="Arial"/>
          <w:szCs w:val="24"/>
        </w:rPr>
        <w:t>2</w:t>
      </w:r>
      <w:r w:rsidR="00522FEA" w:rsidRPr="00972C6A">
        <w:rPr>
          <w:rFonts w:ascii="Arial" w:hAnsi="Arial" w:cs="Arial"/>
          <w:szCs w:val="24"/>
        </w:rPr>
        <w:t>7</w:t>
      </w:r>
      <w:r w:rsidRPr="00972C6A">
        <w:rPr>
          <w:rFonts w:ascii="Arial" w:hAnsi="Arial" w:cs="Arial"/>
          <w:szCs w:val="24"/>
        </w:rPr>
        <w:t xml:space="preserve"> and 2</w:t>
      </w:r>
      <w:r w:rsidR="00522FEA" w:rsidRPr="00972C6A">
        <w:rPr>
          <w:rFonts w:ascii="Arial" w:hAnsi="Arial" w:cs="Arial"/>
          <w:szCs w:val="24"/>
        </w:rPr>
        <w:t>8</w:t>
      </w:r>
      <w:r w:rsidRPr="00972C6A">
        <w:rPr>
          <w:rFonts w:ascii="Arial" w:hAnsi="Arial" w:cs="Arial"/>
          <w:szCs w:val="24"/>
        </w:rPr>
        <w:t xml:space="preserve"> of the Determination are designed to assist in ensuring the integrity, security and effective administration of government programs and resources. The provisions permit disclosures of information that are necessary to correct critical mistakes of fact, consider </w:t>
      </w:r>
      <w:r w:rsidR="00C54FEB" w:rsidRPr="00972C6A">
        <w:rPr>
          <w:rFonts w:ascii="Arial" w:hAnsi="Arial" w:cs="Arial"/>
          <w:szCs w:val="24"/>
        </w:rPr>
        <w:t xml:space="preserve">suspected </w:t>
      </w:r>
      <w:r w:rsidRPr="00972C6A">
        <w:rPr>
          <w:rFonts w:ascii="Arial" w:hAnsi="Arial" w:cs="Arial"/>
          <w:szCs w:val="24"/>
        </w:rPr>
        <w:t>breaches of the APS Code of Conduct, brief Ministers about relevant matters affecting their portfolio, safeguard Commonwealth property and personnel, and manage work health and safety risks. Safeguarding against these risks helps to ensure efficient delivery of services to the public and potentially helps to minimise disruptions to service delivery. Section 2</w:t>
      </w:r>
      <w:r w:rsidR="000C3EDB" w:rsidRPr="00972C6A">
        <w:rPr>
          <w:rFonts w:ascii="Arial" w:hAnsi="Arial" w:cs="Arial"/>
          <w:szCs w:val="24"/>
        </w:rPr>
        <w:t>8</w:t>
      </w:r>
      <w:r w:rsidRPr="00972C6A">
        <w:rPr>
          <w:rFonts w:ascii="Arial" w:hAnsi="Arial" w:cs="Arial"/>
          <w:szCs w:val="24"/>
        </w:rPr>
        <w:t>, which assists government agencies to manage work health and safety risks, including those arising from customer aggression incidents in service delivery settings, promotes the right to safe and healthy working conditions, as provided by Article 7(b) of the ICESCR.</w:t>
      </w:r>
    </w:p>
    <w:p w14:paraId="10B1E744" w14:textId="77777777" w:rsidR="00E80757" w:rsidRPr="00972C6A" w:rsidRDefault="00E80757" w:rsidP="00972C6A">
      <w:pPr>
        <w:pStyle w:val="ListParagraph"/>
        <w:rPr>
          <w:rFonts w:ascii="Arial" w:hAnsi="Arial" w:cs="Arial"/>
          <w:szCs w:val="24"/>
        </w:rPr>
      </w:pPr>
    </w:p>
    <w:p w14:paraId="1401D89F" w14:textId="2EACBB14" w:rsidR="00E80757" w:rsidRPr="00972C6A" w:rsidRDefault="00E80757" w:rsidP="00972C6A">
      <w:pPr>
        <w:pStyle w:val="ListParagraph"/>
        <w:numPr>
          <w:ilvl w:val="0"/>
          <w:numId w:val="43"/>
        </w:numPr>
        <w:spacing w:after="120"/>
        <w:rPr>
          <w:rFonts w:ascii="Arial" w:hAnsi="Arial" w:cs="Arial"/>
          <w:szCs w:val="24"/>
        </w:rPr>
      </w:pPr>
      <w:r w:rsidRPr="00972C6A">
        <w:rPr>
          <w:rFonts w:ascii="Arial" w:hAnsi="Arial" w:cs="Arial"/>
          <w:szCs w:val="24"/>
        </w:rPr>
        <w:t xml:space="preserve">Sections 19, 20, </w:t>
      </w:r>
      <w:r w:rsidR="001076F8" w:rsidRPr="00972C6A">
        <w:rPr>
          <w:rFonts w:ascii="Arial" w:hAnsi="Arial" w:cs="Arial"/>
          <w:szCs w:val="24"/>
        </w:rPr>
        <w:t>and 2</w:t>
      </w:r>
      <w:r w:rsidR="00B07BAC" w:rsidRPr="00972C6A">
        <w:rPr>
          <w:rFonts w:ascii="Arial" w:hAnsi="Arial" w:cs="Arial"/>
          <w:szCs w:val="24"/>
        </w:rPr>
        <w:t>1</w:t>
      </w:r>
      <w:r w:rsidRPr="00972C6A">
        <w:rPr>
          <w:rFonts w:ascii="Arial" w:hAnsi="Arial" w:cs="Arial"/>
          <w:szCs w:val="24"/>
        </w:rPr>
        <w:t xml:space="preserve"> of the Determination are designed to provide a benefit to individuals by supporting government agencies to administer public housing schemes, undertake statutory functions to support </w:t>
      </w:r>
      <w:proofErr w:type="gramStart"/>
      <w:r w:rsidR="003C1CDC" w:rsidRPr="00972C6A">
        <w:rPr>
          <w:rFonts w:ascii="Arial" w:hAnsi="Arial" w:cs="Arial"/>
          <w:szCs w:val="24"/>
        </w:rPr>
        <w:t>particular</w:t>
      </w:r>
      <w:r w:rsidR="007610A5" w:rsidRPr="00972C6A">
        <w:rPr>
          <w:rFonts w:ascii="Arial" w:hAnsi="Arial" w:cs="Arial"/>
          <w:szCs w:val="24"/>
        </w:rPr>
        <w:t xml:space="preserve"> communities</w:t>
      </w:r>
      <w:proofErr w:type="gramEnd"/>
      <w:r w:rsidR="001076F8" w:rsidRPr="00972C6A">
        <w:rPr>
          <w:rFonts w:ascii="Arial" w:hAnsi="Arial" w:cs="Arial"/>
          <w:szCs w:val="24"/>
        </w:rPr>
        <w:t xml:space="preserve"> and </w:t>
      </w:r>
      <w:r w:rsidRPr="00972C6A">
        <w:rPr>
          <w:rFonts w:ascii="Arial" w:hAnsi="Arial" w:cs="Arial"/>
          <w:szCs w:val="24"/>
        </w:rPr>
        <w:t xml:space="preserve">contact individuals in </w:t>
      </w:r>
      <w:r w:rsidRPr="00972C6A">
        <w:rPr>
          <w:rFonts w:ascii="Arial" w:hAnsi="Arial" w:cs="Arial"/>
          <w:iCs/>
          <w:szCs w:val="24"/>
        </w:rPr>
        <w:t xml:space="preserve">relation to their possible entitlement to compensation or reparations. These purposes, which connect people to </w:t>
      </w:r>
      <w:r w:rsidR="001076F8" w:rsidRPr="00972C6A">
        <w:rPr>
          <w:rFonts w:ascii="Arial" w:hAnsi="Arial" w:cs="Arial"/>
          <w:iCs/>
          <w:szCs w:val="24"/>
        </w:rPr>
        <w:t xml:space="preserve">services </w:t>
      </w:r>
      <w:r w:rsidR="00ED6216" w:rsidRPr="00972C6A">
        <w:rPr>
          <w:rFonts w:ascii="Arial" w:hAnsi="Arial" w:cs="Arial"/>
          <w:iCs/>
          <w:szCs w:val="24"/>
        </w:rPr>
        <w:t xml:space="preserve">or </w:t>
      </w:r>
      <w:r w:rsidRPr="00972C6A">
        <w:rPr>
          <w:rFonts w:ascii="Arial" w:hAnsi="Arial" w:cs="Arial"/>
          <w:iCs/>
          <w:szCs w:val="24"/>
        </w:rPr>
        <w:t xml:space="preserve">programs they need or are eligible for, promote the right to an adequate standard of living, as provided under Article 11 of the ICESCR. </w:t>
      </w:r>
    </w:p>
    <w:p w14:paraId="25E01917" w14:textId="77777777" w:rsidR="00E80757" w:rsidRPr="00972C6A" w:rsidRDefault="00E80757" w:rsidP="00972C6A">
      <w:pPr>
        <w:pStyle w:val="ListParagraph"/>
        <w:rPr>
          <w:rFonts w:ascii="Arial" w:hAnsi="Arial" w:cs="Arial"/>
          <w:iCs/>
          <w:szCs w:val="24"/>
        </w:rPr>
      </w:pPr>
    </w:p>
    <w:p w14:paraId="212F4C37" w14:textId="4BB9F5C0" w:rsidR="00E80757" w:rsidRPr="00972C6A" w:rsidRDefault="00E80757" w:rsidP="00972C6A">
      <w:pPr>
        <w:pStyle w:val="ListParagraph"/>
        <w:spacing w:after="120"/>
        <w:rPr>
          <w:rFonts w:ascii="Arial" w:hAnsi="Arial" w:cs="Arial"/>
          <w:szCs w:val="24"/>
        </w:rPr>
      </w:pPr>
      <w:r w:rsidRPr="00972C6A">
        <w:rPr>
          <w:rFonts w:ascii="Arial" w:hAnsi="Arial" w:cs="Arial"/>
          <w:iCs/>
          <w:szCs w:val="24"/>
        </w:rPr>
        <w:t>The enforcement related purpose in section 19(</w:t>
      </w:r>
      <w:r w:rsidR="00ED6216" w:rsidRPr="00972C6A">
        <w:rPr>
          <w:rFonts w:ascii="Arial" w:hAnsi="Arial" w:cs="Arial"/>
          <w:iCs/>
          <w:szCs w:val="24"/>
        </w:rPr>
        <w:t>2)(c)</w:t>
      </w:r>
      <w:r w:rsidRPr="00972C6A">
        <w:rPr>
          <w:rFonts w:ascii="Arial" w:hAnsi="Arial" w:cs="Arial"/>
          <w:iCs/>
          <w:szCs w:val="24"/>
        </w:rPr>
        <w:t xml:space="preserve">, which provides for disclosures </w:t>
      </w:r>
      <w:r w:rsidR="00BB336A" w:rsidRPr="00972C6A">
        <w:rPr>
          <w:rFonts w:ascii="Arial" w:hAnsi="Arial" w:cs="Arial"/>
          <w:iCs/>
          <w:szCs w:val="24"/>
        </w:rPr>
        <w:t xml:space="preserve">to assist </w:t>
      </w:r>
      <w:r w:rsidRPr="00972C6A">
        <w:rPr>
          <w:rFonts w:ascii="Arial" w:hAnsi="Arial" w:cs="Arial"/>
          <w:iCs/>
          <w:szCs w:val="24"/>
        </w:rPr>
        <w:t xml:space="preserve">State and Territory housing authorities to investigate the misreporting of income by tenants of public housing or unauthorised occupation of public housing by any person, engages the right to social security in Article 9 of the ICESCR by enabling public housing authorities to fairly and equitably distribute public housing assistance. </w:t>
      </w:r>
    </w:p>
    <w:p w14:paraId="2E8BB10C" w14:textId="77777777" w:rsidR="00E80757" w:rsidRPr="00972C6A" w:rsidRDefault="00E80757" w:rsidP="00972C6A">
      <w:pPr>
        <w:pStyle w:val="ListParagraph"/>
        <w:rPr>
          <w:rFonts w:ascii="Arial" w:hAnsi="Arial" w:cs="Arial"/>
          <w:szCs w:val="24"/>
        </w:rPr>
      </w:pPr>
    </w:p>
    <w:p w14:paraId="4013F5BF" w14:textId="6BC3A510" w:rsidR="00E80757" w:rsidRPr="00972C6A" w:rsidRDefault="00E80757" w:rsidP="00972C6A">
      <w:pPr>
        <w:pStyle w:val="ListParagraph"/>
        <w:numPr>
          <w:ilvl w:val="0"/>
          <w:numId w:val="43"/>
        </w:numPr>
        <w:spacing w:after="120"/>
        <w:rPr>
          <w:rFonts w:ascii="Arial" w:hAnsi="Arial" w:cs="Arial"/>
          <w:szCs w:val="24"/>
        </w:rPr>
      </w:pPr>
      <w:r w:rsidRPr="00972C6A">
        <w:rPr>
          <w:rFonts w:ascii="Arial" w:hAnsi="Arial" w:cs="Arial"/>
          <w:szCs w:val="24"/>
        </w:rPr>
        <w:t xml:space="preserve">Sections </w:t>
      </w:r>
      <w:r w:rsidR="00522FEA" w:rsidRPr="00972C6A">
        <w:rPr>
          <w:rFonts w:ascii="Arial" w:hAnsi="Arial" w:cs="Arial"/>
          <w:szCs w:val="24"/>
        </w:rPr>
        <w:t>24</w:t>
      </w:r>
      <w:r w:rsidR="003B13A8" w:rsidRPr="00972C6A">
        <w:rPr>
          <w:rFonts w:ascii="Arial" w:hAnsi="Arial" w:cs="Arial"/>
          <w:szCs w:val="24"/>
        </w:rPr>
        <w:t xml:space="preserve"> and 25</w:t>
      </w:r>
      <w:r w:rsidRPr="00972C6A">
        <w:rPr>
          <w:rFonts w:ascii="Arial" w:hAnsi="Arial" w:cs="Arial"/>
          <w:szCs w:val="24"/>
        </w:rPr>
        <w:t xml:space="preserve"> of the Determination are designed to facilitate public policy development through research and statistical analysis on matters relevant to the portfolio responsibilities of a Commonwealth government department administering part of the social security or family assistance law. This is intended to benefit or assist people who receive social security or family assistance payments, including contributing to research that examines whether the policy settings for the social security system adequately and sustainably provides for cohorts of the population that require access to </w:t>
      </w:r>
      <w:r w:rsidR="003D403F" w:rsidRPr="00972C6A">
        <w:rPr>
          <w:rFonts w:ascii="Arial" w:hAnsi="Arial" w:cs="Arial"/>
          <w:szCs w:val="24"/>
        </w:rPr>
        <w:t>entitlements, benefits and payments</w:t>
      </w:r>
      <w:r w:rsidRPr="00972C6A">
        <w:rPr>
          <w:rFonts w:ascii="Arial" w:hAnsi="Arial" w:cs="Arial"/>
          <w:szCs w:val="24"/>
        </w:rPr>
        <w:t xml:space="preserve">. These objectives are consistent with the right to social security provided under Article 9 of the ICESCR, which requires </w:t>
      </w:r>
      <w:r w:rsidRPr="00972C6A">
        <w:rPr>
          <w:rFonts w:ascii="Arial" w:hAnsi="Arial" w:cs="Arial"/>
          <w:szCs w:val="24"/>
        </w:rPr>
        <w:lastRenderedPageBreak/>
        <w:t>the establishment of a social security system and the effective administration of that system by public authorities.</w:t>
      </w:r>
    </w:p>
    <w:p w14:paraId="58C778CD" w14:textId="77777777" w:rsidR="00E80757" w:rsidRPr="00972C6A" w:rsidRDefault="00E80757" w:rsidP="00972C6A">
      <w:pPr>
        <w:pStyle w:val="ListParagraph"/>
        <w:spacing w:after="120"/>
        <w:rPr>
          <w:rFonts w:ascii="Arial" w:hAnsi="Arial" w:cs="Arial"/>
          <w:szCs w:val="24"/>
        </w:rPr>
      </w:pPr>
    </w:p>
    <w:p w14:paraId="77723732" w14:textId="38F7D82B" w:rsidR="00E80757" w:rsidRPr="00972C6A" w:rsidRDefault="00E80757" w:rsidP="00972C6A">
      <w:pPr>
        <w:pStyle w:val="ListParagraph"/>
        <w:numPr>
          <w:ilvl w:val="0"/>
          <w:numId w:val="43"/>
        </w:numPr>
        <w:spacing w:after="120"/>
        <w:rPr>
          <w:rFonts w:ascii="Arial" w:hAnsi="Arial" w:cs="Arial"/>
          <w:szCs w:val="24"/>
        </w:rPr>
      </w:pPr>
      <w:r w:rsidRPr="00972C6A">
        <w:rPr>
          <w:rFonts w:ascii="Arial" w:hAnsi="Arial" w:cs="Arial"/>
          <w:szCs w:val="24"/>
        </w:rPr>
        <w:t>Sections 17, 18, 22,</w:t>
      </w:r>
      <w:r w:rsidR="00142187" w:rsidRPr="00972C6A">
        <w:rPr>
          <w:rFonts w:ascii="Arial" w:hAnsi="Arial" w:cs="Arial"/>
          <w:szCs w:val="24"/>
        </w:rPr>
        <w:t xml:space="preserve"> 23,</w:t>
      </w:r>
      <w:r w:rsidR="000C0469" w:rsidRPr="00972C6A">
        <w:rPr>
          <w:rFonts w:ascii="Arial" w:hAnsi="Arial" w:cs="Arial"/>
          <w:szCs w:val="24"/>
        </w:rPr>
        <w:t xml:space="preserve"> 26,</w:t>
      </w:r>
      <w:r w:rsidRPr="00972C6A">
        <w:rPr>
          <w:rFonts w:ascii="Arial" w:hAnsi="Arial" w:cs="Arial"/>
          <w:szCs w:val="24"/>
        </w:rPr>
        <w:t xml:space="preserve"> 31, 32</w:t>
      </w:r>
      <w:r w:rsidR="005C74B1" w:rsidRPr="00972C6A">
        <w:rPr>
          <w:rFonts w:ascii="Arial" w:hAnsi="Arial" w:cs="Arial"/>
          <w:szCs w:val="24"/>
        </w:rPr>
        <w:t xml:space="preserve">, </w:t>
      </w:r>
      <w:r w:rsidRPr="00972C6A">
        <w:rPr>
          <w:rFonts w:ascii="Arial" w:hAnsi="Arial" w:cs="Arial"/>
          <w:szCs w:val="24"/>
        </w:rPr>
        <w:t>33</w:t>
      </w:r>
      <w:r w:rsidR="005C74B1" w:rsidRPr="00972C6A">
        <w:rPr>
          <w:rFonts w:ascii="Arial" w:hAnsi="Arial" w:cs="Arial"/>
          <w:szCs w:val="24"/>
        </w:rPr>
        <w:t xml:space="preserve"> and 34</w:t>
      </w:r>
      <w:r w:rsidRPr="00972C6A">
        <w:rPr>
          <w:rFonts w:ascii="Arial" w:hAnsi="Arial" w:cs="Arial"/>
          <w:szCs w:val="24"/>
        </w:rPr>
        <w:t xml:space="preserve"> of the Determination engage various rights of children provided under the CRC and ICESCR. For example:</w:t>
      </w:r>
    </w:p>
    <w:p w14:paraId="73BC7A7D" w14:textId="77777777" w:rsidR="00E80757" w:rsidRPr="00972C6A" w:rsidRDefault="00E80757" w:rsidP="00972C6A">
      <w:pPr>
        <w:pStyle w:val="ListParagraph"/>
        <w:rPr>
          <w:rFonts w:ascii="Arial" w:hAnsi="Arial" w:cs="Arial"/>
          <w:szCs w:val="24"/>
        </w:rPr>
      </w:pPr>
    </w:p>
    <w:p w14:paraId="20A91A47" w14:textId="77777777" w:rsidR="00E16955" w:rsidRPr="00972C6A" w:rsidRDefault="00E80757" w:rsidP="00972C6A">
      <w:pPr>
        <w:pStyle w:val="ListParagraph"/>
        <w:numPr>
          <w:ilvl w:val="1"/>
          <w:numId w:val="43"/>
        </w:numPr>
        <w:rPr>
          <w:rFonts w:ascii="Arial" w:hAnsi="Arial" w:cs="Arial"/>
          <w:iCs/>
          <w:szCs w:val="24"/>
        </w:rPr>
      </w:pPr>
      <w:r w:rsidRPr="00972C6A">
        <w:rPr>
          <w:rFonts w:ascii="Arial" w:hAnsi="Arial" w:cs="Arial"/>
          <w:iCs/>
          <w:szCs w:val="24"/>
        </w:rPr>
        <w:t xml:space="preserve">Article 28 of the CRC and Article 13 of the ICESCR recognise the right of the child to education. Sections 17 and 18 of the Determination promote this right by permitting disclosures to help ensure children are enrolled or attending school and that the infrastructure needs of schools are met. </w:t>
      </w:r>
    </w:p>
    <w:p w14:paraId="33B231DB" w14:textId="494C317F" w:rsidR="00E80757" w:rsidRPr="00972C6A" w:rsidRDefault="00E80757" w:rsidP="00972C6A">
      <w:pPr>
        <w:pStyle w:val="ListParagraph"/>
        <w:ind w:left="1440"/>
        <w:rPr>
          <w:rFonts w:ascii="Arial" w:hAnsi="Arial" w:cs="Arial"/>
          <w:iCs/>
          <w:szCs w:val="24"/>
        </w:rPr>
      </w:pPr>
    </w:p>
    <w:p w14:paraId="2FDEE6BB" w14:textId="6A730288" w:rsidR="00CB01BF" w:rsidRPr="00972C6A" w:rsidRDefault="00E80757" w:rsidP="00972C6A">
      <w:pPr>
        <w:pStyle w:val="ListParagraph"/>
        <w:spacing w:after="120"/>
        <w:ind w:left="1440"/>
        <w:rPr>
          <w:rFonts w:ascii="Arial" w:hAnsi="Arial" w:cs="Arial"/>
          <w:szCs w:val="24"/>
        </w:rPr>
      </w:pPr>
      <w:r w:rsidRPr="00972C6A">
        <w:rPr>
          <w:rFonts w:ascii="Arial" w:hAnsi="Arial" w:cs="Arial"/>
          <w:iCs/>
          <w:szCs w:val="24"/>
        </w:rPr>
        <w:t xml:space="preserve">Article 3.2 of the CRC provides that a child is entitled to such protection and care as is necessary for </w:t>
      </w:r>
      <w:r w:rsidR="00F00A25" w:rsidRPr="00972C6A">
        <w:rPr>
          <w:rFonts w:ascii="Arial" w:hAnsi="Arial" w:cs="Arial"/>
          <w:iCs/>
          <w:szCs w:val="24"/>
        </w:rPr>
        <w:t>their</w:t>
      </w:r>
      <w:r w:rsidRPr="00972C6A">
        <w:rPr>
          <w:rFonts w:ascii="Arial" w:hAnsi="Arial" w:cs="Arial"/>
          <w:iCs/>
          <w:szCs w:val="24"/>
        </w:rPr>
        <w:t xml:space="preserve"> well-being. </w:t>
      </w:r>
      <w:r w:rsidR="00CB01BF" w:rsidRPr="00972C6A">
        <w:rPr>
          <w:rFonts w:ascii="Arial" w:hAnsi="Arial" w:cs="Arial"/>
          <w:iCs/>
          <w:szCs w:val="24"/>
        </w:rPr>
        <w:t>Sections 22 and 31 of the Determination promote this right by permitting disclosures of information about a child from a child protection agency to the child’s parents as well as information about a homeless young person under 15 years old to a government welfare authority with legal responsibility to care for the homeless young person.</w:t>
      </w:r>
    </w:p>
    <w:p w14:paraId="15466BD4" w14:textId="77777777" w:rsidR="00CB01BF" w:rsidRPr="00972C6A" w:rsidRDefault="00CB01BF" w:rsidP="00972C6A">
      <w:pPr>
        <w:pStyle w:val="ListParagraph"/>
        <w:rPr>
          <w:rFonts w:ascii="Arial" w:hAnsi="Arial" w:cs="Arial"/>
          <w:iCs/>
          <w:szCs w:val="24"/>
        </w:rPr>
      </w:pPr>
    </w:p>
    <w:p w14:paraId="7C60BC7A" w14:textId="7BC366A4" w:rsidR="00AA6F71" w:rsidRPr="00972C6A" w:rsidRDefault="004F1097" w:rsidP="00972C6A">
      <w:pPr>
        <w:pStyle w:val="ListParagraph"/>
        <w:numPr>
          <w:ilvl w:val="1"/>
          <w:numId w:val="43"/>
        </w:numPr>
        <w:spacing w:after="120"/>
        <w:rPr>
          <w:rFonts w:ascii="Arial" w:hAnsi="Arial" w:cs="Arial"/>
          <w:szCs w:val="24"/>
        </w:rPr>
      </w:pPr>
      <w:r w:rsidRPr="00972C6A">
        <w:rPr>
          <w:rFonts w:ascii="Arial" w:hAnsi="Arial" w:cs="Arial"/>
          <w:iCs/>
          <w:szCs w:val="24"/>
        </w:rPr>
        <w:t xml:space="preserve">Article 3.3 </w:t>
      </w:r>
      <w:r w:rsidR="00AA6F71" w:rsidRPr="00972C6A">
        <w:rPr>
          <w:rFonts w:ascii="Arial" w:hAnsi="Arial" w:cs="Arial"/>
          <w:iCs/>
          <w:szCs w:val="24"/>
        </w:rPr>
        <w:t xml:space="preserve">of the CRC </w:t>
      </w:r>
      <w:r w:rsidRPr="00972C6A">
        <w:rPr>
          <w:rFonts w:ascii="Arial" w:hAnsi="Arial" w:cs="Arial"/>
          <w:iCs/>
          <w:szCs w:val="24"/>
        </w:rPr>
        <w:t>requires</w:t>
      </w:r>
      <w:r w:rsidR="00CB01BF" w:rsidRPr="00972C6A">
        <w:rPr>
          <w:rFonts w:ascii="Arial" w:hAnsi="Arial" w:cs="Arial"/>
          <w:iCs/>
          <w:szCs w:val="24"/>
        </w:rPr>
        <w:t xml:space="preserve"> that </w:t>
      </w:r>
      <w:r w:rsidR="00F17ED9" w:rsidRPr="00972C6A">
        <w:rPr>
          <w:rFonts w:ascii="Arial" w:hAnsi="Arial" w:cs="Arial"/>
          <w:iCs/>
          <w:szCs w:val="24"/>
        </w:rPr>
        <w:t xml:space="preserve">institutions, services and facilities responsible for the care or protection of children </w:t>
      </w:r>
      <w:r w:rsidR="00CB01BF" w:rsidRPr="00972C6A">
        <w:rPr>
          <w:rFonts w:ascii="Arial" w:hAnsi="Arial" w:cs="Arial"/>
          <w:iCs/>
          <w:szCs w:val="24"/>
        </w:rPr>
        <w:t>conform</w:t>
      </w:r>
      <w:r w:rsidR="00F17ED9" w:rsidRPr="00972C6A">
        <w:rPr>
          <w:rFonts w:ascii="Arial" w:hAnsi="Arial" w:cs="Arial"/>
          <w:iCs/>
          <w:szCs w:val="24"/>
        </w:rPr>
        <w:t xml:space="preserve"> with standards established by competent authorities, particularly in the areas of safety</w:t>
      </w:r>
      <w:r w:rsidR="00CE44C7" w:rsidRPr="00972C6A">
        <w:rPr>
          <w:rFonts w:ascii="Arial" w:hAnsi="Arial" w:cs="Arial"/>
          <w:iCs/>
          <w:szCs w:val="24"/>
        </w:rPr>
        <w:t xml:space="preserve"> and health. Section 26 of the Determination promotes these rights by permitting disclosures to government authorities with responsibilities for regulating compliance with the Education and Care Services </w:t>
      </w:r>
      <w:r w:rsidR="006F6896" w:rsidRPr="00972C6A">
        <w:rPr>
          <w:rFonts w:ascii="Arial" w:hAnsi="Arial" w:cs="Arial"/>
          <w:iCs/>
          <w:szCs w:val="24"/>
        </w:rPr>
        <w:t xml:space="preserve">National Law which establishes a nationally consistent framework to regulate </w:t>
      </w:r>
      <w:r w:rsidR="00E03813" w:rsidRPr="00972C6A">
        <w:rPr>
          <w:rFonts w:ascii="Arial" w:hAnsi="Arial" w:cs="Arial"/>
          <w:iCs/>
          <w:szCs w:val="24"/>
        </w:rPr>
        <w:t xml:space="preserve">education and care services for children. </w:t>
      </w:r>
    </w:p>
    <w:p w14:paraId="7513DF45" w14:textId="77777777" w:rsidR="00E80757" w:rsidRPr="00972C6A" w:rsidRDefault="00E80757" w:rsidP="00972C6A">
      <w:pPr>
        <w:pStyle w:val="ListParagraph"/>
        <w:rPr>
          <w:rFonts w:ascii="Arial" w:hAnsi="Arial" w:cs="Arial"/>
          <w:szCs w:val="24"/>
        </w:rPr>
      </w:pPr>
    </w:p>
    <w:p w14:paraId="16694391" w14:textId="17091B34" w:rsidR="00E80757" w:rsidRPr="00972C6A" w:rsidRDefault="00E80757" w:rsidP="00972C6A">
      <w:pPr>
        <w:pStyle w:val="ListParagraph"/>
        <w:numPr>
          <w:ilvl w:val="1"/>
          <w:numId w:val="43"/>
        </w:numPr>
        <w:spacing w:after="120"/>
        <w:rPr>
          <w:rFonts w:ascii="Arial" w:hAnsi="Arial" w:cs="Arial"/>
          <w:szCs w:val="24"/>
        </w:rPr>
      </w:pPr>
      <w:r w:rsidRPr="00972C6A">
        <w:rPr>
          <w:rFonts w:ascii="Arial" w:hAnsi="Arial" w:cs="Arial"/>
          <w:szCs w:val="24"/>
        </w:rPr>
        <w:t xml:space="preserve">Article 19 of the CRC provides for the right of a child to be protected from all forms of physical or mental violence. </w:t>
      </w:r>
      <w:r w:rsidRPr="00972C6A">
        <w:rPr>
          <w:rFonts w:ascii="Arial" w:hAnsi="Arial" w:cs="Arial"/>
          <w:iCs/>
          <w:szCs w:val="24"/>
        </w:rPr>
        <w:t xml:space="preserve">Article 20.1 of the CRC provides for the right of a child who is temporarily or permanently deprived of </w:t>
      </w:r>
      <w:r w:rsidR="00F00A25" w:rsidRPr="00972C6A">
        <w:rPr>
          <w:rFonts w:ascii="Arial" w:hAnsi="Arial" w:cs="Arial"/>
          <w:iCs/>
          <w:szCs w:val="24"/>
        </w:rPr>
        <w:t>their</w:t>
      </w:r>
      <w:r w:rsidRPr="00972C6A">
        <w:rPr>
          <w:rFonts w:ascii="Arial" w:hAnsi="Arial" w:cs="Arial"/>
          <w:iCs/>
          <w:szCs w:val="24"/>
        </w:rPr>
        <w:t xml:space="preserve"> family environment to special protection and assistance. Section 3</w:t>
      </w:r>
      <w:r w:rsidR="00266034" w:rsidRPr="00972C6A">
        <w:rPr>
          <w:rFonts w:ascii="Arial" w:hAnsi="Arial" w:cs="Arial"/>
          <w:iCs/>
          <w:szCs w:val="24"/>
        </w:rPr>
        <w:t>2</w:t>
      </w:r>
      <w:r w:rsidRPr="00972C6A">
        <w:rPr>
          <w:rFonts w:ascii="Arial" w:hAnsi="Arial" w:cs="Arial"/>
          <w:iCs/>
          <w:szCs w:val="24"/>
        </w:rPr>
        <w:t xml:space="preserve"> of the Determination promotes these rights by permitting disclosures of information about abuse or violence to which a homeless young person or their family member has been subjected or exposed. </w:t>
      </w:r>
    </w:p>
    <w:p w14:paraId="5F51E1EC" w14:textId="77777777" w:rsidR="00E80757" w:rsidRPr="00972C6A" w:rsidRDefault="00E80757" w:rsidP="00972C6A">
      <w:pPr>
        <w:pStyle w:val="ListParagraph"/>
        <w:rPr>
          <w:rFonts w:ascii="Arial" w:hAnsi="Arial" w:cs="Arial"/>
          <w:iCs/>
          <w:szCs w:val="24"/>
        </w:rPr>
      </w:pPr>
    </w:p>
    <w:p w14:paraId="6355092D" w14:textId="05C1D09D" w:rsidR="00E80757" w:rsidRPr="00972C6A" w:rsidRDefault="00E80757" w:rsidP="00972C6A">
      <w:pPr>
        <w:pStyle w:val="ListParagraph"/>
        <w:numPr>
          <w:ilvl w:val="1"/>
          <w:numId w:val="43"/>
        </w:numPr>
        <w:spacing w:after="120"/>
        <w:rPr>
          <w:rFonts w:ascii="Arial" w:hAnsi="Arial" w:cs="Arial"/>
          <w:szCs w:val="24"/>
        </w:rPr>
      </w:pPr>
      <w:r w:rsidRPr="00972C6A">
        <w:rPr>
          <w:rFonts w:ascii="Arial" w:hAnsi="Arial" w:cs="Arial"/>
          <w:iCs/>
          <w:szCs w:val="24"/>
        </w:rPr>
        <w:t xml:space="preserve">Article 7 of the CRC includes provision for the right of a child to, as far as possible, be cared for by </w:t>
      </w:r>
      <w:r w:rsidR="00F00A25" w:rsidRPr="00972C6A">
        <w:rPr>
          <w:rFonts w:ascii="Arial" w:hAnsi="Arial" w:cs="Arial"/>
          <w:iCs/>
          <w:szCs w:val="24"/>
        </w:rPr>
        <w:t>their</w:t>
      </w:r>
      <w:r w:rsidRPr="00972C6A">
        <w:rPr>
          <w:rFonts w:ascii="Arial" w:hAnsi="Arial" w:cs="Arial"/>
          <w:iCs/>
          <w:szCs w:val="24"/>
        </w:rPr>
        <w:t xml:space="preserve"> parents. Sections 3</w:t>
      </w:r>
      <w:r w:rsidR="00266034" w:rsidRPr="00972C6A">
        <w:rPr>
          <w:rFonts w:ascii="Arial" w:hAnsi="Arial" w:cs="Arial"/>
          <w:iCs/>
          <w:szCs w:val="24"/>
        </w:rPr>
        <w:t>3</w:t>
      </w:r>
      <w:r w:rsidRPr="00972C6A">
        <w:rPr>
          <w:rFonts w:ascii="Arial" w:hAnsi="Arial" w:cs="Arial"/>
          <w:iCs/>
          <w:szCs w:val="24"/>
        </w:rPr>
        <w:t xml:space="preserve"> and 3</w:t>
      </w:r>
      <w:r w:rsidR="00266034" w:rsidRPr="00972C6A">
        <w:rPr>
          <w:rFonts w:ascii="Arial" w:hAnsi="Arial" w:cs="Arial"/>
          <w:iCs/>
          <w:szCs w:val="24"/>
        </w:rPr>
        <w:t>4</w:t>
      </w:r>
      <w:r w:rsidRPr="00972C6A">
        <w:rPr>
          <w:rFonts w:ascii="Arial" w:hAnsi="Arial" w:cs="Arial"/>
          <w:iCs/>
          <w:szCs w:val="24"/>
        </w:rPr>
        <w:t xml:space="preserve"> of the Determination promote this right by permitting the disclosure of information to facilitate continuing connection between a homeless young person and their parents, whilst not forcing the homeless young person to communicate with their parents if it is against their wishes. To the extent that these provisions limit a person’s privacy by circumventing their ability to consent to such a disclosure, the safeguard in paragraph </w:t>
      </w:r>
      <w:r w:rsidR="00811BB7" w:rsidRPr="00972C6A">
        <w:rPr>
          <w:rFonts w:ascii="Arial" w:hAnsi="Arial" w:cs="Arial"/>
          <w:iCs/>
          <w:szCs w:val="24"/>
        </w:rPr>
        <w:t>30</w:t>
      </w:r>
      <w:r w:rsidRPr="00972C6A">
        <w:rPr>
          <w:rFonts w:ascii="Arial" w:hAnsi="Arial" w:cs="Arial"/>
          <w:iCs/>
          <w:szCs w:val="24"/>
        </w:rPr>
        <w:t xml:space="preserve">(b) operates to </w:t>
      </w:r>
      <w:r w:rsidR="007332FC" w:rsidRPr="00972C6A">
        <w:rPr>
          <w:rFonts w:ascii="Arial" w:hAnsi="Arial" w:cs="Arial"/>
          <w:iCs/>
          <w:szCs w:val="24"/>
        </w:rPr>
        <w:t xml:space="preserve">help </w:t>
      </w:r>
      <w:r w:rsidRPr="00972C6A">
        <w:rPr>
          <w:rFonts w:ascii="Arial" w:hAnsi="Arial" w:cs="Arial"/>
          <w:iCs/>
          <w:szCs w:val="24"/>
        </w:rPr>
        <w:t xml:space="preserve">ensure that the person will not be adversely impacted by the disclosure of that information. </w:t>
      </w:r>
    </w:p>
    <w:p w14:paraId="0C1AFFE7" w14:textId="77777777" w:rsidR="00CC637B" w:rsidRPr="00972C6A" w:rsidRDefault="00CC637B" w:rsidP="00972C6A">
      <w:pPr>
        <w:pStyle w:val="ListParagraph"/>
        <w:rPr>
          <w:rFonts w:ascii="Arial" w:hAnsi="Arial" w:cs="Arial"/>
          <w:szCs w:val="24"/>
        </w:rPr>
      </w:pPr>
    </w:p>
    <w:p w14:paraId="2E18E521" w14:textId="04636251" w:rsidR="00CC637B" w:rsidRPr="00972C6A" w:rsidRDefault="00CC637B" w:rsidP="00972C6A">
      <w:pPr>
        <w:pStyle w:val="ListParagraph"/>
        <w:numPr>
          <w:ilvl w:val="1"/>
          <w:numId w:val="43"/>
        </w:numPr>
        <w:spacing w:after="120"/>
        <w:rPr>
          <w:rFonts w:ascii="Arial" w:hAnsi="Arial" w:cs="Arial"/>
          <w:szCs w:val="24"/>
        </w:rPr>
      </w:pPr>
      <w:r w:rsidRPr="00972C6A">
        <w:rPr>
          <w:rFonts w:ascii="Arial" w:hAnsi="Arial" w:cs="Arial"/>
          <w:szCs w:val="24"/>
        </w:rPr>
        <w:lastRenderedPageBreak/>
        <w:t xml:space="preserve">Article 4 of the CRC </w:t>
      </w:r>
      <w:r w:rsidR="00647C37" w:rsidRPr="00972C6A">
        <w:rPr>
          <w:rFonts w:ascii="Arial" w:hAnsi="Arial" w:cs="Arial"/>
          <w:szCs w:val="24"/>
        </w:rPr>
        <w:t xml:space="preserve">requires appropriate </w:t>
      </w:r>
      <w:proofErr w:type="gramStart"/>
      <w:r w:rsidR="00647C37" w:rsidRPr="00972C6A">
        <w:rPr>
          <w:rFonts w:ascii="Arial" w:hAnsi="Arial" w:cs="Arial"/>
          <w:szCs w:val="24"/>
        </w:rPr>
        <w:t>legislative,</w:t>
      </w:r>
      <w:proofErr w:type="gramEnd"/>
      <w:r w:rsidR="00647C37" w:rsidRPr="00972C6A">
        <w:rPr>
          <w:rFonts w:ascii="Arial" w:hAnsi="Arial" w:cs="Arial"/>
          <w:szCs w:val="24"/>
        </w:rPr>
        <w:t xml:space="preserve"> administrative and other measures be undertaken </w:t>
      </w:r>
      <w:proofErr w:type="gramStart"/>
      <w:r w:rsidR="00647C37" w:rsidRPr="00972C6A">
        <w:rPr>
          <w:rFonts w:ascii="Arial" w:hAnsi="Arial" w:cs="Arial"/>
          <w:szCs w:val="24"/>
        </w:rPr>
        <w:t>in order to</w:t>
      </w:r>
      <w:proofErr w:type="gramEnd"/>
      <w:r w:rsidR="00647C37" w:rsidRPr="00972C6A">
        <w:rPr>
          <w:rFonts w:ascii="Arial" w:hAnsi="Arial" w:cs="Arial"/>
          <w:szCs w:val="24"/>
        </w:rPr>
        <w:t xml:space="preserve"> implement the rights of the child recognised by the CRC. </w:t>
      </w:r>
      <w:r w:rsidR="00E80B51" w:rsidRPr="00972C6A">
        <w:rPr>
          <w:rFonts w:ascii="Arial" w:hAnsi="Arial" w:cs="Arial"/>
          <w:szCs w:val="24"/>
        </w:rPr>
        <w:t xml:space="preserve">Section 26 of the Determination </w:t>
      </w:r>
      <w:r w:rsidR="00E25D03" w:rsidRPr="00972C6A">
        <w:rPr>
          <w:rFonts w:ascii="Arial" w:hAnsi="Arial" w:cs="Arial"/>
          <w:szCs w:val="24"/>
        </w:rPr>
        <w:t>is designed to support</w:t>
      </w:r>
      <w:r w:rsidR="00E80B51" w:rsidRPr="00972C6A">
        <w:rPr>
          <w:rFonts w:ascii="Arial" w:hAnsi="Arial" w:cs="Arial"/>
          <w:szCs w:val="24"/>
        </w:rPr>
        <w:t xml:space="preserve"> public policy development through research and statistical analysis on matters relevant to the portfolio responsibilities of government authorities </w:t>
      </w:r>
      <w:r w:rsidR="00F44B74" w:rsidRPr="00972C6A">
        <w:rPr>
          <w:rFonts w:ascii="Arial" w:hAnsi="Arial" w:cs="Arial"/>
          <w:szCs w:val="24"/>
        </w:rPr>
        <w:t xml:space="preserve">that administer early childhood development or preschool education policies. </w:t>
      </w:r>
      <w:r w:rsidR="00E25D03" w:rsidRPr="00972C6A">
        <w:rPr>
          <w:rFonts w:ascii="Arial" w:hAnsi="Arial" w:cs="Arial"/>
          <w:szCs w:val="24"/>
        </w:rPr>
        <w:t>This</w:t>
      </w:r>
      <w:r w:rsidR="00C85115" w:rsidRPr="00972C6A">
        <w:rPr>
          <w:rFonts w:ascii="Arial" w:hAnsi="Arial" w:cs="Arial"/>
          <w:szCs w:val="24"/>
        </w:rPr>
        <w:t xml:space="preserve"> ground promotes</w:t>
      </w:r>
      <w:r w:rsidR="00E136F9" w:rsidRPr="00972C6A">
        <w:rPr>
          <w:rFonts w:ascii="Arial" w:hAnsi="Arial" w:cs="Arial"/>
          <w:szCs w:val="24"/>
        </w:rPr>
        <w:t xml:space="preserve"> various rights of the child provided by the CRC, including the right of the child to education</w:t>
      </w:r>
      <w:r w:rsidR="00625828" w:rsidRPr="00972C6A">
        <w:rPr>
          <w:rFonts w:ascii="Arial" w:hAnsi="Arial" w:cs="Arial"/>
          <w:szCs w:val="24"/>
        </w:rPr>
        <w:t xml:space="preserve"> (Article 28)</w:t>
      </w:r>
      <w:r w:rsidR="00E136F9" w:rsidRPr="00972C6A">
        <w:rPr>
          <w:rFonts w:ascii="Arial" w:hAnsi="Arial" w:cs="Arial"/>
          <w:szCs w:val="24"/>
        </w:rPr>
        <w:t xml:space="preserve">, </w:t>
      </w:r>
      <w:r w:rsidR="00D83D7F" w:rsidRPr="00972C6A">
        <w:rPr>
          <w:rFonts w:ascii="Arial" w:hAnsi="Arial" w:cs="Arial"/>
          <w:szCs w:val="24"/>
        </w:rPr>
        <w:t>the enjoyment of the highest attainable standard of health</w:t>
      </w:r>
      <w:r w:rsidR="00625828" w:rsidRPr="00972C6A">
        <w:rPr>
          <w:rFonts w:ascii="Arial" w:hAnsi="Arial" w:cs="Arial"/>
          <w:szCs w:val="24"/>
        </w:rPr>
        <w:t xml:space="preserve"> (Article 24)</w:t>
      </w:r>
      <w:r w:rsidR="00D83D7F" w:rsidRPr="00972C6A">
        <w:rPr>
          <w:rFonts w:ascii="Arial" w:hAnsi="Arial" w:cs="Arial"/>
          <w:szCs w:val="24"/>
        </w:rPr>
        <w:t xml:space="preserve"> and </w:t>
      </w:r>
      <w:r w:rsidR="00625828" w:rsidRPr="00972C6A">
        <w:rPr>
          <w:rFonts w:ascii="Arial" w:hAnsi="Arial" w:cs="Arial"/>
          <w:szCs w:val="24"/>
        </w:rPr>
        <w:t xml:space="preserve">to a standard of living adequate for the child’s physical, mental, spiritual and moral development (Article 27). </w:t>
      </w:r>
    </w:p>
    <w:p w14:paraId="504DF982" w14:textId="77777777" w:rsidR="00E80757" w:rsidRPr="00972C6A" w:rsidRDefault="00E80757" w:rsidP="00972C6A">
      <w:pPr>
        <w:spacing w:after="120"/>
        <w:rPr>
          <w:rFonts w:ascii="Arial" w:hAnsi="Arial" w:cs="Arial"/>
          <w:b/>
          <w:szCs w:val="24"/>
        </w:rPr>
      </w:pPr>
      <w:r w:rsidRPr="00972C6A">
        <w:rPr>
          <w:rFonts w:ascii="Arial" w:hAnsi="Arial" w:cs="Arial"/>
          <w:b/>
          <w:szCs w:val="24"/>
        </w:rPr>
        <w:t>Conclusion</w:t>
      </w:r>
    </w:p>
    <w:p w14:paraId="5A69DB39" w14:textId="77777777" w:rsidR="00E80757" w:rsidRPr="00972C6A" w:rsidRDefault="00E80757" w:rsidP="00972C6A">
      <w:pPr>
        <w:spacing w:before="120" w:after="120"/>
        <w:rPr>
          <w:rFonts w:ascii="Arial" w:hAnsi="Arial" w:cs="Arial"/>
          <w:bCs/>
          <w:szCs w:val="24"/>
        </w:rPr>
      </w:pPr>
      <w:r w:rsidRPr="00972C6A">
        <w:rPr>
          <w:rFonts w:ascii="Arial" w:hAnsi="Arial" w:cs="Arial"/>
          <w:szCs w:val="24"/>
        </w:rPr>
        <w:t>The Guidelines are compatible with human rights.</w:t>
      </w:r>
      <w:r w:rsidRPr="00972C6A">
        <w:rPr>
          <w:rFonts w:eastAsiaTheme="minorHAnsi"/>
          <w:bCs/>
          <w:szCs w:val="24"/>
          <w:lang w:eastAsia="en-US"/>
        </w:rPr>
        <w:t xml:space="preserve"> </w:t>
      </w:r>
      <w:r w:rsidRPr="00972C6A">
        <w:rPr>
          <w:rFonts w:ascii="Arial" w:hAnsi="Arial" w:cs="Arial"/>
          <w:bCs/>
          <w:szCs w:val="24"/>
        </w:rPr>
        <w:t>To the extent that the right to privacy is limited, those limitations are reasonable, necessary and proportionate, and appropriate safeguards are in place.</w:t>
      </w:r>
    </w:p>
    <w:p w14:paraId="2A0C023C" w14:textId="77777777" w:rsidR="00E80757" w:rsidRPr="00972C6A" w:rsidRDefault="00E80757" w:rsidP="00972C6A">
      <w:pPr>
        <w:spacing w:before="120" w:after="120"/>
        <w:jc w:val="center"/>
        <w:rPr>
          <w:rFonts w:ascii="Arial" w:hAnsi="Arial" w:cs="Arial"/>
          <w:szCs w:val="24"/>
        </w:rPr>
      </w:pPr>
    </w:p>
    <w:p w14:paraId="29BE7A2F" w14:textId="61512993" w:rsidR="00E80757" w:rsidRPr="00BC76EB" w:rsidRDefault="00B334D5" w:rsidP="00972C6A">
      <w:pPr>
        <w:spacing w:before="120" w:after="120"/>
        <w:jc w:val="center"/>
        <w:rPr>
          <w:rFonts w:ascii="Arial" w:hAnsi="Arial" w:cs="Arial"/>
          <w:szCs w:val="24"/>
        </w:rPr>
      </w:pPr>
      <w:r w:rsidRPr="00972C6A">
        <w:rPr>
          <w:rFonts w:ascii="Arial" w:hAnsi="Arial" w:cs="Arial"/>
          <w:b/>
          <w:szCs w:val="24"/>
        </w:rPr>
        <w:t xml:space="preserve">The Hon </w:t>
      </w:r>
      <w:r w:rsidR="00E80757" w:rsidRPr="00972C6A">
        <w:rPr>
          <w:rFonts w:ascii="Arial" w:hAnsi="Arial" w:cs="Arial"/>
          <w:b/>
          <w:szCs w:val="24"/>
        </w:rPr>
        <w:t>Tanya Plibersek</w:t>
      </w:r>
      <w:r w:rsidRPr="00972C6A">
        <w:rPr>
          <w:rFonts w:ascii="Arial" w:hAnsi="Arial" w:cs="Arial"/>
          <w:b/>
          <w:szCs w:val="24"/>
        </w:rPr>
        <w:t xml:space="preserve"> MP</w:t>
      </w:r>
      <w:r w:rsidR="00E80757" w:rsidRPr="00972C6A">
        <w:rPr>
          <w:rFonts w:ascii="Arial" w:hAnsi="Arial" w:cs="Arial"/>
          <w:b/>
          <w:szCs w:val="24"/>
        </w:rPr>
        <w:t>, Minister for Social Services</w:t>
      </w:r>
    </w:p>
    <w:bookmarkEnd w:id="2"/>
    <w:p w14:paraId="50D8F1A5" w14:textId="11A1A0C1" w:rsidR="002810A5" w:rsidRPr="00C01305" w:rsidRDefault="002810A5" w:rsidP="00972C6A">
      <w:pPr>
        <w:spacing w:before="0"/>
        <w:rPr>
          <w:rStyle w:val="BookTitle"/>
          <w:rFonts w:ascii="Arial" w:eastAsiaTheme="majorEastAsia" w:hAnsi="Arial" w:cs="Arial"/>
          <w:b/>
          <w:bCs/>
          <w:i w:val="0"/>
          <w:iCs w:val="0"/>
          <w:smallCaps w:val="0"/>
          <w:spacing w:val="0"/>
          <w:szCs w:val="24"/>
        </w:rPr>
      </w:pPr>
    </w:p>
    <w:sectPr w:rsidR="002810A5" w:rsidRPr="00C0130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D8C5" w14:textId="77777777" w:rsidR="00A20735" w:rsidRDefault="00A20735" w:rsidP="00AD1645">
      <w:pPr>
        <w:spacing w:before="0"/>
      </w:pPr>
      <w:r>
        <w:separator/>
      </w:r>
    </w:p>
  </w:endnote>
  <w:endnote w:type="continuationSeparator" w:id="0">
    <w:p w14:paraId="4FBFED30" w14:textId="77777777" w:rsidR="00A20735" w:rsidRDefault="00A20735"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0268" w14:textId="77777777" w:rsidR="004200DA" w:rsidRDefault="00420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5AEA" w14:textId="77777777" w:rsidR="004200DA" w:rsidRDefault="00420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173E" w14:textId="77777777" w:rsidR="004200DA" w:rsidRDefault="00420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A7BC" w14:textId="77777777" w:rsidR="00A20735" w:rsidRDefault="00A20735" w:rsidP="00AD1645">
      <w:pPr>
        <w:spacing w:before="0"/>
      </w:pPr>
      <w:r>
        <w:separator/>
      </w:r>
    </w:p>
  </w:footnote>
  <w:footnote w:type="continuationSeparator" w:id="0">
    <w:p w14:paraId="7A50D38E" w14:textId="77777777" w:rsidR="00A20735" w:rsidRDefault="00A20735"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3261" w14:textId="77777777" w:rsidR="004200DA" w:rsidRDefault="00420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EDD5" w14:textId="1584EA37" w:rsidR="004200DA" w:rsidRDefault="00420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D828" w14:textId="77777777" w:rsidR="004200DA" w:rsidRDefault="00420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358"/>
    <w:multiLevelType w:val="hybridMultilevel"/>
    <w:tmpl w:val="C126871E"/>
    <w:lvl w:ilvl="0" w:tplc="0C090001">
      <w:numFmt w:val="bullet"/>
      <w:lvlText w:val=""/>
      <w:lvlJc w:val="left"/>
      <w:pPr>
        <w:tabs>
          <w:tab w:val="num" w:pos="720"/>
        </w:tabs>
        <w:ind w:left="720" w:hanging="360"/>
      </w:pPr>
      <w:rPr>
        <w:rFonts w:ascii="Symbol" w:eastAsia="Times New Roman" w:hAnsi="Symbol"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A0CDF"/>
    <w:multiLevelType w:val="hybridMultilevel"/>
    <w:tmpl w:val="FB8813E4"/>
    <w:lvl w:ilvl="0" w:tplc="735C12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F7250"/>
    <w:multiLevelType w:val="hybridMultilevel"/>
    <w:tmpl w:val="60E0DC5C"/>
    <w:lvl w:ilvl="0" w:tplc="6D46A12A">
      <w:start w:val="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92860"/>
    <w:multiLevelType w:val="hybridMultilevel"/>
    <w:tmpl w:val="453CA2E0"/>
    <w:lvl w:ilvl="0" w:tplc="810ADB4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3E3A47"/>
    <w:multiLevelType w:val="hybridMultilevel"/>
    <w:tmpl w:val="AD90F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FA23E56"/>
    <w:multiLevelType w:val="hybridMultilevel"/>
    <w:tmpl w:val="47CA9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457B8A"/>
    <w:multiLevelType w:val="hybridMultilevel"/>
    <w:tmpl w:val="71A64BA0"/>
    <w:lvl w:ilvl="0" w:tplc="DEEA5BCC">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7D06A8"/>
    <w:multiLevelType w:val="hybridMultilevel"/>
    <w:tmpl w:val="16D41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E307AD"/>
    <w:multiLevelType w:val="hybridMultilevel"/>
    <w:tmpl w:val="FBCECC72"/>
    <w:lvl w:ilvl="0" w:tplc="DEEA5BCC">
      <w:start w:val="1"/>
      <w:numFmt w:val="bullet"/>
      <w:lvlText w:val=""/>
      <w:lvlJc w:val="left"/>
      <w:pPr>
        <w:ind w:left="720" w:hanging="360"/>
      </w:pPr>
      <w:rPr>
        <w:rFonts w:ascii="Symbol" w:hAnsi="Symbol"/>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9341BD"/>
    <w:multiLevelType w:val="hybridMultilevel"/>
    <w:tmpl w:val="30F8E5E8"/>
    <w:lvl w:ilvl="0" w:tplc="EE12A9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6C23CF"/>
    <w:multiLevelType w:val="hybridMultilevel"/>
    <w:tmpl w:val="F56A6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1477D3"/>
    <w:multiLevelType w:val="hybridMultilevel"/>
    <w:tmpl w:val="78EA1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E4E5371"/>
    <w:multiLevelType w:val="hybridMultilevel"/>
    <w:tmpl w:val="CECAC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D92077"/>
    <w:multiLevelType w:val="hybridMultilevel"/>
    <w:tmpl w:val="43043AB8"/>
    <w:lvl w:ilvl="0" w:tplc="0C090001">
      <w:numFmt w:val="bullet"/>
      <w:lvlText w:val=""/>
      <w:lvlJc w:val="left"/>
      <w:pPr>
        <w:tabs>
          <w:tab w:val="num" w:pos="720"/>
        </w:tabs>
        <w:ind w:left="720" w:hanging="360"/>
      </w:pPr>
      <w:rPr>
        <w:rFonts w:ascii="Symbol" w:eastAsia="Times New Roman" w:hAnsi="Symbol"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4D2D45"/>
    <w:multiLevelType w:val="hybridMultilevel"/>
    <w:tmpl w:val="B35A1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037C87"/>
    <w:multiLevelType w:val="hybridMultilevel"/>
    <w:tmpl w:val="16646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4B6291"/>
    <w:multiLevelType w:val="hybridMultilevel"/>
    <w:tmpl w:val="2E3C3F7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20B0DF2"/>
    <w:multiLevelType w:val="hybridMultilevel"/>
    <w:tmpl w:val="45AA06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2" w15:restartNumberingAfterBreak="0">
    <w:nsid w:val="639A557E"/>
    <w:multiLevelType w:val="hybridMultilevel"/>
    <w:tmpl w:val="34CA7F20"/>
    <w:lvl w:ilvl="0" w:tplc="297E1A7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F26C04"/>
    <w:multiLevelType w:val="hybridMultilevel"/>
    <w:tmpl w:val="504A9C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DF4650"/>
    <w:multiLevelType w:val="hybridMultilevel"/>
    <w:tmpl w:val="A7EEE0A8"/>
    <w:lvl w:ilvl="0" w:tplc="6D46A12A">
      <w:start w:val="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F071D5"/>
    <w:multiLevelType w:val="hybridMultilevel"/>
    <w:tmpl w:val="A9F6C8C0"/>
    <w:lvl w:ilvl="0" w:tplc="759666FA">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7" w15:restartNumberingAfterBreak="0">
    <w:nsid w:val="6F457116"/>
    <w:multiLevelType w:val="hybridMultilevel"/>
    <w:tmpl w:val="62968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985E1E"/>
    <w:multiLevelType w:val="hybridMultilevel"/>
    <w:tmpl w:val="970047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5D02B3"/>
    <w:multiLevelType w:val="hybridMultilevel"/>
    <w:tmpl w:val="7E2CF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39026E"/>
    <w:multiLevelType w:val="singleLevel"/>
    <w:tmpl w:val="5F5A9236"/>
    <w:lvl w:ilvl="0">
      <w:start w:val="2"/>
      <w:numFmt w:val="decimal"/>
      <w:pStyle w:val="Numbered"/>
      <w:lvlText w:val="%1."/>
      <w:lvlJc w:val="left"/>
      <w:pPr>
        <w:tabs>
          <w:tab w:val="num" w:pos="360"/>
        </w:tabs>
        <w:ind w:left="360" w:hanging="360"/>
      </w:pPr>
      <w:rPr>
        <w:rFonts w:ascii="Times New Roman" w:hAnsi="Times New Roman" w:hint="default"/>
      </w:rPr>
    </w:lvl>
  </w:abstractNum>
  <w:num w:numId="1" w16cid:durableId="756949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7752895">
    <w:abstractNumId w:val="9"/>
  </w:num>
  <w:num w:numId="3" w16cid:durableId="1129130273">
    <w:abstractNumId w:val="23"/>
  </w:num>
  <w:num w:numId="4" w16cid:durableId="1763912889">
    <w:abstractNumId w:val="28"/>
  </w:num>
  <w:num w:numId="5" w16cid:durableId="722101403">
    <w:abstractNumId w:val="25"/>
  </w:num>
  <w:num w:numId="6" w16cid:durableId="1783957545">
    <w:abstractNumId w:val="4"/>
  </w:num>
  <w:num w:numId="7" w16cid:durableId="1806656390">
    <w:abstractNumId w:val="20"/>
  </w:num>
  <w:num w:numId="8" w16cid:durableId="1470703055">
    <w:abstractNumId w:val="31"/>
  </w:num>
  <w:num w:numId="9" w16cid:durableId="437261956">
    <w:abstractNumId w:val="14"/>
  </w:num>
  <w:num w:numId="10" w16cid:durableId="1833794138">
    <w:abstractNumId w:val="34"/>
  </w:num>
  <w:num w:numId="11" w16cid:durableId="1734890173">
    <w:abstractNumId w:val="6"/>
  </w:num>
  <w:num w:numId="12" w16cid:durableId="1813717515">
    <w:abstractNumId w:val="10"/>
  </w:num>
  <w:num w:numId="13" w16cid:durableId="1372221751">
    <w:abstractNumId w:val="2"/>
  </w:num>
  <w:num w:numId="14" w16cid:durableId="2106150926">
    <w:abstractNumId w:val="15"/>
  </w:num>
  <w:num w:numId="15" w16cid:durableId="1347487872">
    <w:abstractNumId w:val="12"/>
  </w:num>
  <w:num w:numId="16" w16cid:durableId="15393162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7500267">
    <w:abstractNumId w:val="38"/>
  </w:num>
  <w:num w:numId="18" w16cid:durableId="1573151652">
    <w:abstractNumId w:val="24"/>
  </w:num>
  <w:num w:numId="19" w16cid:durableId="1415129540">
    <w:abstractNumId w:val="0"/>
  </w:num>
  <w:num w:numId="20" w16cid:durableId="1250583645">
    <w:abstractNumId w:val="1"/>
  </w:num>
  <w:num w:numId="21" w16cid:durableId="246426675">
    <w:abstractNumId w:val="0"/>
  </w:num>
  <w:num w:numId="22" w16cid:durableId="236288098">
    <w:abstractNumId w:val="13"/>
  </w:num>
  <w:num w:numId="23" w16cid:durableId="601688244">
    <w:abstractNumId w:val="32"/>
  </w:num>
  <w:num w:numId="24" w16cid:durableId="363943641">
    <w:abstractNumId w:val="29"/>
  </w:num>
  <w:num w:numId="25" w16cid:durableId="1446659827">
    <w:abstractNumId w:val="7"/>
  </w:num>
  <w:num w:numId="26" w16cid:durableId="197359237">
    <w:abstractNumId w:val="22"/>
  </w:num>
  <w:num w:numId="27" w16cid:durableId="302001574">
    <w:abstractNumId w:val="40"/>
  </w:num>
  <w:num w:numId="28" w16cid:durableId="1121798462">
    <w:abstractNumId w:val="5"/>
  </w:num>
  <w:num w:numId="29" w16cid:durableId="1170679735">
    <w:abstractNumId w:val="36"/>
  </w:num>
  <w:num w:numId="30" w16cid:durableId="2136680149">
    <w:abstractNumId w:val="37"/>
  </w:num>
  <w:num w:numId="31" w16cid:durableId="1052195573">
    <w:abstractNumId w:val="27"/>
  </w:num>
  <w:num w:numId="32" w16cid:durableId="857699935">
    <w:abstractNumId w:val="17"/>
  </w:num>
  <w:num w:numId="33" w16cid:durableId="915674966">
    <w:abstractNumId w:val="27"/>
  </w:num>
  <w:num w:numId="34" w16cid:durableId="197277497">
    <w:abstractNumId w:val="3"/>
  </w:num>
  <w:num w:numId="35" w16cid:durableId="1980529814">
    <w:abstractNumId w:val="35"/>
  </w:num>
  <w:num w:numId="36" w16cid:durableId="639270662">
    <w:abstractNumId w:val="21"/>
  </w:num>
  <w:num w:numId="37" w16cid:durableId="1253977533">
    <w:abstractNumId w:val="26"/>
  </w:num>
  <w:num w:numId="38" w16cid:durableId="1606115063">
    <w:abstractNumId w:val="33"/>
  </w:num>
  <w:num w:numId="39" w16cid:durableId="1147553951">
    <w:abstractNumId w:val="19"/>
  </w:num>
  <w:num w:numId="40" w16cid:durableId="1796367840">
    <w:abstractNumId w:val="8"/>
  </w:num>
  <w:num w:numId="41" w16cid:durableId="870872869">
    <w:abstractNumId w:val="11"/>
  </w:num>
  <w:num w:numId="42" w16cid:durableId="499346771">
    <w:abstractNumId w:val="39"/>
  </w:num>
  <w:num w:numId="43" w16cid:durableId="1824422387">
    <w:abstractNumId w:val="16"/>
  </w:num>
  <w:num w:numId="44" w16cid:durableId="219177941">
    <w:abstractNumId w:val="18"/>
  </w:num>
  <w:num w:numId="45" w16cid:durableId="192963837">
    <w:abstractNumId w:val="41"/>
  </w:num>
  <w:num w:numId="46" w16cid:durableId="14740631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F0"/>
    <w:rsid w:val="0000099B"/>
    <w:rsid w:val="00000E2A"/>
    <w:rsid w:val="000015CF"/>
    <w:rsid w:val="00001D42"/>
    <w:rsid w:val="00002353"/>
    <w:rsid w:val="00002876"/>
    <w:rsid w:val="00004004"/>
    <w:rsid w:val="00004006"/>
    <w:rsid w:val="0000668E"/>
    <w:rsid w:val="0001079B"/>
    <w:rsid w:val="000153CE"/>
    <w:rsid w:val="00015F72"/>
    <w:rsid w:val="0002020D"/>
    <w:rsid w:val="00020F84"/>
    <w:rsid w:val="00021ED2"/>
    <w:rsid w:val="00027A6D"/>
    <w:rsid w:val="00030B79"/>
    <w:rsid w:val="00031BEA"/>
    <w:rsid w:val="00031D0B"/>
    <w:rsid w:val="00032FB1"/>
    <w:rsid w:val="00033758"/>
    <w:rsid w:val="00035E9F"/>
    <w:rsid w:val="00036380"/>
    <w:rsid w:val="00036F42"/>
    <w:rsid w:val="000374DE"/>
    <w:rsid w:val="000376C4"/>
    <w:rsid w:val="00042066"/>
    <w:rsid w:val="00042A5B"/>
    <w:rsid w:val="00042FA9"/>
    <w:rsid w:val="00043B6D"/>
    <w:rsid w:val="00044749"/>
    <w:rsid w:val="00045BF2"/>
    <w:rsid w:val="00047017"/>
    <w:rsid w:val="00051C3F"/>
    <w:rsid w:val="0005255A"/>
    <w:rsid w:val="00054206"/>
    <w:rsid w:val="00057279"/>
    <w:rsid w:val="00057711"/>
    <w:rsid w:val="00057A4A"/>
    <w:rsid w:val="00063A74"/>
    <w:rsid w:val="00066075"/>
    <w:rsid w:val="0006693F"/>
    <w:rsid w:val="00066DAE"/>
    <w:rsid w:val="000703E6"/>
    <w:rsid w:val="00071B68"/>
    <w:rsid w:val="00074AD4"/>
    <w:rsid w:val="00074C1A"/>
    <w:rsid w:val="00074C81"/>
    <w:rsid w:val="00075BFD"/>
    <w:rsid w:val="000760DC"/>
    <w:rsid w:val="00076120"/>
    <w:rsid w:val="000776A0"/>
    <w:rsid w:val="00080B3B"/>
    <w:rsid w:val="000844AF"/>
    <w:rsid w:val="0008499E"/>
    <w:rsid w:val="00084B46"/>
    <w:rsid w:val="00085730"/>
    <w:rsid w:val="00087567"/>
    <w:rsid w:val="00090AC5"/>
    <w:rsid w:val="00092205"/>
    <w:rsid w:val="00092C3B"/>
    <w:rsid w:val="00092C7E"/>
    <w:rsid w:val="000932D9"/>
    <w:rsid w:val="00096B8D"/>
    <w:rsid w:val="00096E6B"/>
    <w:rsid w:val="00097C47"/>
    <w:rsid w:val="000A0A44"/>
    <w:rsid w:val="000A194B"/>
    <w:rsid w:val="000A1A44"/>
    <w:rsid w:val="000A2390"/>
    <w:rsid w:val="000A2A76"/>
    <w:rsid w:val="000A2CA2"/>
    <w:rsid w:val="000A3595"/>
    <w:rsid w:val="000A3CB0"/>
    <w:rsid w:val="000A3D42"/>
    <w:rsid w:val="000A54CD"/>
    <w:rsid w:val="000A5707"/>
    <w:rsid w:val="000A772F"/>
    <w:rsid w:val="000A7CC1"/>
    <w:rsid w:val="000B4130"/>
    <w:rsid w:val="000C0469"/>
    <w:rsid w:val="000C2DDB"/>
    <w:rsid w:val="000C3EDB"/>
    <w:rsid w:val="000C5204"/>
    <w:rsid w:val="000D2914"/>
    <w:rsid w:val="000D2A2A"/>
    <w:rsid w:val="000D2A82"/>
    <w:rsid w:val="000D365F"/>
    <w:rsid w:val="000D4DF1"/>
    <w:rsid w:val="000D62EB"/>
    <w:rsid w:val="000D7BD2"/>
    <w:rsid w:val="000D7F1B"/>
    <w:rsid w:val="000E0104"/>
    <w:rsid w:val="000E02A0"/>
    <w:rsid w:val="000E0557"/>
    <w:rsid w:val="000E1545"/>
    <w:rsid w:val="000E1C94"/>
    <w:rsid w:val="000E31AD"/>
    <w:rsid w:val="000E3915"/>
    <w:rsid w:val="000E7B7D"/>
    <w:rsid w:val="000F22EF"/>
    <w:rsid w:val="000F2901"/>
    <w:rsid w:val="000F2B03"/>
    <w:rsid w:val="000F2B21"/>
    <w:rsid w:val="000F54FF"/>
    <w:rsid w:val="00101A6C"/>
    <w:rsid w:val="00102CA6"/>
    <w:rsid w:val="001043BE"/>
    <w:rsid w:val="001076CB"/>
    <w:rsid w:val="001076F8"/>
    <w:rsid w:val="00110116"/>
    <w:rsid w:val="0011100D"/>
    <w:rsid w:val="00112BD8"/>
    <w:rsid w:val="00112C90"/>
    <w:rsid w:val="00112DCC"/>
    <w:rsid w:val="0011396D"/>
    <w:rsid w:val="00113F5A"/>
    <w:rsid w:val="00114C11"/>
    <w:rsid w:val="00116625"/>
    <w:rsid w:val="00116FCA"/>
    <w:rsid w:val="0011719D"/>
    <w:rsid w:val="00117F37"/>
    <w:rsid w:val="00122D30"/>
    <w:rsid w:val="00122FDB"/>
    <w:rsid w:val="001235AE"/>
    <w:rsid w:val="001251AD"/>
    <w:rsid w:val="00125C3C"/>
    <w:rsid w:val="00126429"/>
    <w:rsid w:val="00127568"/>
    <w:rsid w:val="00127FCC"/>
    <w:rsid w:val="0013080F"/>
    <w:rsid w:val="001310C6"/>
    <w:rsid w:val="00131743"/>
    <w:rsid w:val="001327EB"/>
    <w:rsid w:val="001344D9"/>
    <w:rsid w:val="00137405"/>
    <w:rsid w:val="00140359"/>
    <w:rsid w:val="001415FC"/>
    <w:rsid w:val="00142187"/>
    <w:rsid w:val="0014220B"/>
    <w:rsid w:val="00147E97"/>
    <w:rsid w:val="001502F9"/>
    <w:rsid w:val="001512BD"/>
    <w:rsid w:val="0015134A"/>
    <w:rsid w:val="00152472"/>
    <w:rsid w:val="00152FA1"/>
    <w:rsid w:val="00155CE3"/>
    <w:rsid w:val="001563DB"/>
    <w:rsid w:val="00161193"/>
    <w:rsid w:val="001617DF"/>
    <w:rsid w:val="00163809"/>
    <w:rsid w:val="0016653C"/>
    <w:rsid w:val="00167653"/>
    <w:rsid w:val="00167F0B"/>
    <w:rsid w:val="001710CB"/>
    <w:rsid w:val="00173766"/>
    <w:rsid w:val="00175BC6"/>
    <w:rsid w:val="001773ED"/>
    <w:rsid w:val="00177478"/>
    <w:rsid w:val="00177862"/>
    <w:rsid w:val="001817E4"/>
    <w:rsid w:val="0018292F"/>
    <w:rsid w:val="00182DB3"/>
    <w:rsid w:val="001874FC"/>
    <w:rsid w:val="00191AEC"/>
    <w:rsid w:val="00191D5D"/>
    <w:rsid w:val="001920F3"/>
    <w:rsid w:val="001939A0"/>
    <w:rsid w:val="0019694D"/>
    <w:rsid w:val="0019719F"/>
    <w:rsid w:val="001A2D78"/>
    <w:rsid w:val="001A6821"/>
    <w:rsid w:val="001A69FA"/>
    <w:rsid w:val="001A730C"/>
    <w:rsid w:val="001A737C"/>
    <w:rsid w:val="001A7936"/>
    <w:rsid w:val="001A7A7A"/>
    <w:rsid w:val="001B5379"/>
    <w:rsid w:val="001B5826"/>
    <w:rsid w:val="001B598F"/>
    <w:rsid w:val="001B6511"/>
    <w:rsid w:val="001B672B"/>
    <w:rsid w:val="001C0413"/>
    <w:rsid w:val="001C074C"/>
    <w:rsid w:val="001C0821"/>
    <w:rsid w:val="001C3F60"/>
    <w:rsid w:val="001C4600"/>
    <w:rsid w:val="001C4703"/>
    <w:rsid w:val="001C5599"/>
    <w:rsid w:val="001C64F9"/>
    <w:rsid w:val="001D196F"/>
    <w:rsid w:val="001D1A79"/>
    <w:rsid w:val="001D248F"/>
    <w:rsid w:val="001D69AF"/>
    <w:rsid w:val="001E0BDB"/>
    <w:rsid w:val="001E0ECA"/>
    <w:rsid w:val="001E13A3"/>
    <w:rsid w:val="001E2531"/>
    <w:rsid w:val="001E2A95"/>
    <w:rsid w:val="001E588D"/>
    <w:rsid w:val="001E5B72"/>
    <w:rsid w:val="001E5D12"/>
    <w:rsid w:val="001E630D"/>
    <w:rsid w:val="001E6720"/>
    <w:rsid w:val="001E6FFD"/>
    <w:rsid w:val="001E7422"/>
    <w:rsid w:val="001F1579"/>
    <w:rsid w:val="001F2296"/>
    <w:rsid w:val="001F4805"/>
    <w:rsid w:val="001F4E3C"/>
    <w:rsid w:val="001F65A9"/>
    <w:rsid w:val="001F7A63"/>
    <w:rsid w:val="00200F11"/>
    <w:rsid w:val="00204567"/>
    <w:rsid w:val="0020631C"/>
    <w:rsid w:val="0020754E"/>
    <w:rsid w:val="00212531"/>
    <w:rsid w:val="002128F2"/>
    <w:rsid w:val="002154EE"/>
    <w:rsid w:val="00215AA0"/>
    <w:rsid w:val="002178D6"/>
    <w:rsid w:val="0022062A"/>
    <w:rsid w:val="002208F9"/>
    <w:rsid w:val="00221F8B"/>
    <w:rsid w:val="002229D9"/>
    <w:rsid w:val="00223E48"/>
    <w:rsid w:val="00224887"/>
    <w:rsid w:val="00225367"/>
    <w:rsid w:val="0022542E"/>
    <w:rsid w:val="0023214C"/>
    <w:rsid w:val="002329E1"/>
    <w:rsid w:val="002334D9"/>
    <w:rsid w:val="00234F9E"/>
    <w:rsid w:val="00235673"/>
    <w:rsid w:val="00235902"/>
    <w:rsid w:val="002365AA"/>
    <w:rsid w:val="002419D6"/>
    <w:rsid w:val="0024465E"/>
    <w:rsid w:val="002456D7"/>
    <w:rsid w:val="002466B8"/>
    <w:rsid w:val="0024760C"/>
    <w:rsid w:val="00251725"/>
    <w:rsid w:val="002533F0"/>
    <w:rsid w:val="00254352"/>
    <w:rsid w:val="00255175"/>
    <w:rsid w:val="00255F85"/>
    <w:rsid w:val="00256461"/>
    <w:rsid w:val="002576DB"/>
    <w:rsid w:val="0025779F"/>
    <w:rsid w:val="00257862"/>
    <w:rsid w:val="002621C6"/>
    <w:rsid w:val="002637F1"/>
    <w:rsid w:val="00264138"/>
    <w:rsid w:val="002642C7"/>
    <w:rsid w:val="002645D0"/>
    <w:rsid w:val="00264C31"/>
    <w:rsid w:val="00265187"/>
    <w:rsid w:val="00266034"/>
    <w:rsid w:val="002714AB"/>
    <w:rsid w:val="002737E5"/>
    <w:rsid w:val="002741BD"/>
    <w:rsid w:val="00274CAF"/>
    <w:rsid w:val="00276475"/>
    <w:rsid w:val="00276C76"/>
    <w:rsid w:val="00276D06"/>
    <w:rsid w:val="00276EBA"/>
    <w:rsid w:val="00276F09"/>
    <w:rsid w:val="00280BC0"/>
    <w:rsid w:val="002810A5"/>
    <w:rsid w:val="00281F24"/>
    <w:rsid w:val="00283079"/>
    <w:rsid w:val="0028309C"/>
    <w:rsid w:val="002846C4"/>
    <w:rsid w:val="002846DF"/>
    <w:rsid w:val="00284BF0"/>
    <w:rsid w:val="00291AEE"/>
    <w:rsid w:val="002926E3"/>
    <w:rsid w:val="00292840"/>
    <w:rsid w:val="00294DDF"/>
    <w:rsid w:val="002959D4"/>
    <w:rsid w:val="00296EA9"/>
    <w:rsid w:val="002A06CD"/>
    <w:rsid w:val="002A094B"/>
    <w:rsid w:val="002A0E63"/>
    <w:rsid w:val="002A1570"/>
    <w:rsid w:val="002A2A71"/>
    <w:rsid w:val="002A4E72"/>
    <w:rsid w:val="002A523B"/>
    <w:rsid w:val="002A6007"/>
    <w:rsid w:val="002A63EA"/>
    <w:rsid w:val="002A790A"/>
    <w:rsid w:val="002B0175"/>
    <w:rsid w:val="002B1EEB"/>
    <w:rsid w:val="002B26BD"/>
    <w:rsid w:val="002B2D05"/>
    <w:rsid w:val="002B50B4"/>
    <w:rsid w:val="002B5A09"/>
    <w:rsid w:val="002B6393"/>
    <w:rsid w:val="002B66DC"/>
    <w:rsid w:val="002B77AA"/>
    <w:rsid w:val="002C07D6"/>
    <w:rsid w:val="002C0F57"/>
    <w:rsid w:val="002C1403"/>
    <w:rsid w:val="002C1938"/>
    <w:rsid w:val="002C1D19"/>
    <w:rsid w:val="002C2252"/>
    <w:rsid w:val="002C24F2"/>
    <w:rsid w:val="002C39A1"/>
    <w:rsid w:val="002C43D3"/>
    <w:rsid w:val="002C5857"/>
    <w:rsid w:val="002C5AB1"/>
    <w:rsid w:val="002C6177"/>
    <w:rsid w:val="002D0F1C"/>
    <w:rsid w:val="002D1F53"/>
    <w:rsid w:val="002D35D8"/>
    <w:rsid w:val="002D4522"/>
    <w:rsid w:val="002D47EA"/>
    <w:rsid w:val="002D53F0"/>
    <w:rsid w:val="002D54BA"/>
    <w:rsid w:val="002D5EDB"/>
    <w:rsid w:val="002E07D5"/>
    <w:rsid w:val="002E0BB1"/>
    <w:rsid w:val="002E1299"/>
    <w:rsid w:val="002E233E"/>
    <w:rsid w:val="002E45E2"/>
    <w:rsid w:val="002E5AF2"/>
    <w:rsid w:val="002E692A"/>
    <w:rsid w:val="002E6A2B"/>
    <w:rsid w:val="002F0796"/>
    <w:rsid w:val="002F19D4"/>
    <w:rsid w:val="002F3113"/>
    <w:rsid w:val="002F3D94"/>
    <w:rsid w:val="002F4AC3"/>
    <w:rsid w:val="002F62D9"/>
    <w:rsid w:val="002F7F66"/>
    <w:rsid w:val="003009A7"/>
    <w:rsid w:val="00300D8B"/>
    <w:rsid w:val="00301420"/>
    <w:rsid w:val="00302108"/>
    <w:rsid w:val="00303455"/>
    <w:rsid w:val="00305F73"/>
    <w:rsid w:val="00306B3A"/>
    <w:rsid w:val="003119FD"/>
    <w:rsid w:val="00312904"/>
    <w:rsid w:val="003131F5"/>
    <w:rsid w:val="00316F35"/>
    <w:rsid w:val="003232FA"/>
    <w:rsid w:val="00324CB5"/>
    <w:rsid w:val="00333A9C"/>
    <w:rsid w:val="00334D8F"/>
    <w:rsid w:val="00334F9D"/>
    <w:rsid w:val="00335437"/>
    <w:rsid w:val="00335B87"/>
    <w:rsid w:val="00335F3B"/>
    <w:rsid w:val="003366CC"/>
    <w:rsid w:val="00336EDC"/>
    <w:rsid w:val="00337065"/>
    <w:rsid w:val="003400A1"/>
    <w:rsid w:val="003430FC"/>
    <w:rsid w:val="003434E2"/>
    <w:rsid w:val="00345191"/>
    <w:rsid w:val="00345F77"/>
    <w:rsid w:val="00345FFE"/>
    <w:rsid w:val="0034748D"/>
    <w:rsid w:val="00351228"/>
    <w:rsid w:val="00351E79"/>
    <w:rsid w:val="003520CA"/>
    <w:rsid w:val="0035378F"/>
    <w:rsid w:val="003573D5"/>
    <w:rsid w:val="003606C5"/>
    <w:rsid w:val="003641AA"/>
    <w:rsid w:val="00365424"/>
    <w:rsid w:val="003702CD"/>
    <w:rsid w:val="00370828"/>
    <w:rsid w:val="00372478"/>
    <w:rsid w:val="00372747"/>
    <w:rsid w:val="00372B07"/>
    <w:rsid w:val="0037387C"/>
    <w:rsid w:val="00374A77"/>
    <w:rsid w:val="00376384"/>
    <w:rsid w:val="00377146"/>
    <w:rsid w:val="00380666"/>
    <w:rsid w:val="00380790"/>
    <w:rsid w:val="00382254"/>
    <w:rsid w:val="00382470"/>
    <w:rsid w:val="00382E55"/>
    <w:rsid w:val="00383901"/>
    <w:rsid w:val="00385708"/>
    <w:rsid w:val="00385FB6"/>
    <w:rsid w:val="00387D89"/>
    <w:rsid w:val="0039018E"/>
    <w:rsid w:val="003913B5"/>
    <w:rsid w:val="00392EB6"/>
    <w:rsid w:val="0039311F"/>
    <w:rsid w:val="00393D4E"/>
    <w:rsid w:val="00394743"/>
    <w:rsid w:val="00397BBC"/>
    <w:rsid w:val="00397D03"/>
    <w:rsid w:val="003A04AD"/>
    <w:rsid w:val="003A11E9"/>
    <w:rsid w:val="003A1D86"/>
    <w:rsid w:val="003A34CC"/>
    <w:rsid w:val="003A4254"/>
    <w:rsid w:val="003A4FB1"/>
    <w:rsid w:val="003A61ED"/>
    <w:rsid w:val="003A6412"/>
    <w:rsid w:val="003A6AAE"/>
    <w:rsid w:val="003B13A8"/>
    <w:rsid w:val="003B1EA5"/>
    <w:rsid w:val="003B2BB8"/>
    <w:rsid w:val="003B44E1"/>
    <w:rsid w:val="003B5E66"/>
    <w:rsid w:val="003C00B9"/>
    <w:rsid w:val="003C03D1"/>
    <w:rsid w:val="003C1CDC"/>
    <w:rsid w:val="003C2024"/>
    <w:rsid w:val="003C2C05"/>
    <w:rsid w:val="003C3368"/>
    <w:rsid w:val="003C3FF2"/>
    <w:rsid w:val="003C4127"/>
    <w:rsid w:val="003C54B6"/>
    <w:rsid w:val="003D34FF"/>
    <w:rsid w:val="003D403F"/>
    <w:rsid w:val="003D659C"/>
    <w:rsid w:val="003D71F6"/>
    <w:rsid w:val="003E0AF3"/>
    <w:rsid w:val="003E1704"/>
    <w:rsid w:val="003E1784"/>
    <w:rsid w:val="003E2E4E"/>
    <w:rsid w:val="003E5C6B"/>
    <w:rsid w:val="003E7BA0"/>
    <w:rsid w:val="003F051E"/>
    <w:rsid w:val="003F589D"/>
    <w:rsid w:val="003F6455"/>
    <w:rsid w:val="003F6DA8"/>
    <w:rsid w:val="003F7491"/>
    <w:rsid w:val="00400273"/>
    <w:rsid w:val="00413E54"/>
    <w:rsid w:val="004157ED"/>
    <w:rsid w:val="00416B8D"/>
    <w:rsid w:val="00417ACC"/>
    <w:rsid w:val="004200DA"/>
    <w:rsid w:val="00420349"/>
    <w:rsid w:val="00420387"/>
    <w:rsid w:val="0042132E"/>
    <w:rsid w:val="00422148"/>
    <w:rsid w:val="004245DB"/>
    <w:rsid w:val="00426CE4"/>
    <w:rsid w:val="00431A75"/>
    <w:rsid w:val="00433EE8"/>
    <w:rsid w:val="00434D27"/>
    <w:rsid w:val="00442AFF"/>
    <w:rsid w:val="00444349"/>
    <w:rsid w:val="00445376"/>
    <w:rsid w:val="00446D6C"/>
    <w:rsid w:val="0045240C"/>
    <w:rsid w:val="00453FC9"/>
    <w:rsid w:val="00454405"/>
    <w:rsid w:val="00456FBD"/>
    <w:rsid w:val="00457792"/>
    <w:rsid w:val="00457FC0"/>
    <w:rsid w:val="004622EA"/>
    <w:rsid w:val="004646E1"/>
    <w:rsid w:val="00464B86"/>
    <w:rsid w:val="00466390"/>
    <w:rsid w:val="004676CF"/>
    <w:rsid w:val="00467CE3"/>
    <w:rsid w:val="00470C3D"/>
    <w:rsid w:val="0047211E"/>
    <w:rsid w:val="004726FF"/>
    <w:rsid w:val="00472797"/>
    <w:rsid w:val="00474D10"/>
    <w:rsid w:val="00476235"/>
    <w:rsid w:val="00480A13"/>
    <w:rsid w:val="004814F1"/>
    <w:rsid w:val="00482411"/>
    <w:rsid w:val="00482C25"/>
    <w:rsid w:val="00482CA7"/>
    <w:rsid w:val="00492A06"/>
    <w:rsid w:val="00492BBD"/>
    <w:rsid w:val="00494873"/>
    <w:rsid w:val="004949D4"/>
    <w:rsid w:val="004956ED"/>
    <w:rsid w:val="00495944"/>
    <w:rsid w:val="00495B4E"/>
    <w:rsid w:val="0049646F"/>
    <w:rsid w:val="00496493"/>
    <w:rsid w:val="00496E34"/>
    <w:rsid w:val="00497768"/>
    <w:rsid w:val="00497B95"/>
    <w:rsid w:val="00497DD0"/>
    <w:rsid w:val="004A0C19"/>
    <w:rsid w:val="004A126A"/>
    <w:rsid w:val="004A152C"/>
    <w:rsid w:val="004A24AF"/>
    <w:rsid w:val="004A3C30"/>
    <w:rsid w:val="004A3DFF"/>
    <w:rsid w:val="004A47DC"/>
    <w:rsid w:val="004B058E"/>
    <w:rsid w:val="004B0816"/>
    <w:rsid w:val="004B3147"/>
    <w:rsid w:val="004B54CA"/>
    <w:rsid w:val="004B5927"/>
    <w:rsid w:val="004C163F"/>
    <w:rsid w:val="004C2153"/>
    <w:rsid w:val="004C2581"/>
    <w:rsid w:val="004C469F"/>
    <w:rsid w:val="004C4D33"/>
    <w:rsid w:val="004C51E6"/>
    <w:rsid w:val="004C5E52"/>
    <w:rsid w:val="004C7022"/>
    <w:rsid w:val="004D0153"/>
    <w:rsid w:val="004D1E14"/>
    <w:rsid w:val="004D293E"/>
    <w:rsid w:val="004D2AE2"/>
    <w:rsid w:val="004D32A3"/>
    <w:rsid w:val="004D336A"/>
    <w:rsid w:val="004D3E8F"/>
    <w:rsid w:val="004D48B5"/>
    <w:rsid w:val="004D7056"/>
    <w:rsid w:val="004E159C"/>
    <w:rsid w:val="004E3A61"/>
    <w:rsid w:val="004E5CBF"/>
    <w:rsid w:val="004E651D"/>
    <w:rsid w:val="004E77C1"/>
    <w:rsid w:val="004E79CD"/>
    <w:rsid w:val="004F07E6"/>
    <w:rsid w:val="004F1097"/>
    <w:rsid w:val="004F1CD0"/>
    <w:rsid w:val="004F25DB"/>
    <w:rsid w:val="004F264A"/>
    <w:rsid w:val="004F28D1"/>
    <w:rsid w:val="004F5308"/>
    <w:rsid w:val="004F69ED"/>
    <w:rsid w:val="004F77DE"/>
    <w:rsid w:val="004F7BC5"/>
    <w:rsid w:val="00500322"/>
    <w:rsid w:val="00501C04"/>
    <w:rsid w:val="005035EB"/>
    <w:rsid w:val="005055E9"/>
    <w:rsid w:val="00511520"/>
    <w:rsid w:val="0051174D"/>
    <w:rsid w:val="00511DD3"/>
    <w:rsid w:val="005121A4"/>
    <w:rsid w:val="0051234A"/>
    <w:rsid w:val="005123AC"/>
    <w:rsid w:val="00512B72"/>
    <w:rsid w:val="00512DAD"/>
    <w:rsid w:val="005150D5"/>
    <w:rsid w:val="00516A6F"/>
    <w:rsid w:val="0051726A"/>
    <w:rsid w:val="00520DD3"/>
    <w:rsid w:val="00522FBB"/>
    <w:rsid w:val="00522FEA"/>
    <w:rsid w:val="00527238"/>
    <w:rsid w:val="00527416"/>
    <w:rsid w:val="00531AF5"/>
    <w:rsid w:val="00531E15"/>
    <w:rsid w:val="005332C8"/>
    <w:rsid w:val="00534E37"/>
    <w:rsid w:val="005350B4"/>
    <w:rsid w:val="00535D7B"/>
    <w:rsid w:val="00536060"/>
    <w:rsid w:val="005408FC"/>
    <w:rsid w:val="00540BD8"/>
    <w:rsid w:val="005414D9"/>
    <w:rsid w:val="00541C99"/>
    <w:rsid w:val="00544BF1"/>
    <w:rsid w:val="00546166"/>
    <w:rsid w:val="005506BD"/>
    <w:rsid w:val="005549AF"/>
    <w:rsid w:val="0055503B"/>
    <w:rsid w:val="005569AF"/>
    <w:rsid w:val="00556C68"/>
    <w:rsid w:val="00556E57"/>
    <w:rsid w:val="00561174"/>
    <w:rsid w:val="00561EBD"/>
    <w:rsid w:val="00562285"/>
    <w:rsid w:val="00562CBC"/>
    <w:rsid w:val="005638FE"/>
    <w:rsid w:val="00563BFF"/>
    <w:rsid w:val="00564951"/>
    <w:rsid w:val="00566538"/>
    <w:rsid w:val="00566BF6"/>
    <w:rsid w:val="00567093"/>
    <w:rsid w:val="00567B42"/>
    <w:rsid w:val="00570884"/>
    <w:rsid w:val="0057106B"/>
    <w:rsid w:val="005729D7"/>
    <w:rsid w:val="0057361B"/>
    <w:rsid w:val="005756B2"/>
    <w:rsid w:val="00576330"/>
    <w:rsid w:val="0057641C"/>
    <w:rsid w:val="005766D2"/>
    <w:rsid w:val="00576747"/>
    <w:rsid w:val="00581E10"/>
    <w:rsid w:val="00585F86"/>
    <w:rsid w:val="00591D1A"/>
    <w:rsid w:val="0059247F"/>
    <w:rsid w:val="00594030"/>
    <w:rsid w:val="00594251"/>
    <w:rsid w:val="00594EF8"/>
    <w:rsid w:val="005958E7"/>
    <w:rsid w:val="00595D4D"/>
    <w:rsid w:val="005A291E"/>
    <w:rsid w:val="005A5CF8"/>
    <w:rsid w:val="005A638A"/>
    <w:rsid w:val="005B1998"/>
    <w:rsid w:val="005B2203"/>
    <w:rsid w:val="005B2F9A"/>
    <w:rsid w:val="005B66C0"/>
    <w:rsid w:val="005C268A"/>
    <w:rsid w:val="005C3551"/>
    <w:rsid w:val="005C390A"/>
    <w:rsid w:val="005C3AA9"/>
    <w:rsid w:val="005C54B4"/>
    <w:rsid w:val="005C7334"/>
    <w:rsid w:val="005C74B1"/>
    <w:rsid w:val="005C7782"/>
    <w:rsid w:val="005C78B2"/>
    <w:rsid w:val="005D0411"/>
    <w:rsid w:val="005D158C"/>
    <w:rsid w:val="005D2F0E"/>
    <w:rsid w:val="005D6D7B"/>
    <w:rsid w:val="005D71DE"/>
    <w:rsid w:val="005D7ED3"/>
    <w:rsid w:val="005E01D5"/>
    <w:rsid w:val="005E0272"/>
    <w:rsid w:val="005E0A21"/>
    <w:rsid w:val="005E1B9F"/>
    <w:rsid w:val="005E24AD"/>
    <w:rsid w:val="005E3B91"/>
    <w:rsid w:val="005E4167"/>
    <w:rsid w:val="005E4362"/>
    <w:rsid w:val="005E4607"/>
    <w:rsid w:val="005E562F"/>
    <w:rsid w:val="005E7B26"/>
    <w:rsid w:val="005E7EB5"/>
    <w:rsid w:val="005F131E"/>
    <w:rsid w:val="005F141E"/>
    <w:rsid w:val="005F1D77"/>
    <w:rsid w:val="005F2202"/>
    <w:rsid w:val="005F2AAA"/>
    <w:rsid w:val="005F2AD1"/>
    <w:rsid w:val="005F31E9"/>
    <w:rsid w:val="005F41C9"/>
    <w:rsid w:val="005F5D37"/>
    <w:rsid w:val="005F5E17"/>
    <w:rsid w:val="005F7458"/>
    <w:rsid w:val="00600B9B"/>
    <w:rsid w:val="00602402"/>
    <w:rsid w:val="006031E2"/>
    <w:rsid w:val="006031F8"/>
    <w:rsid w:val="006033D5"/>
    <w:rsid w:val="00604823"/>
    <w:rsid w:val="006067D9"/>
    <w:rsid w:val="0060743E"/>
    <w:rsid w:val="006114FA"/>
    <w:rsid w:val="0061472F"/>
    <w:rsid w:val="00614C63"/>
    <w:rsid w:val="006156B6"/>
    <w:rsid w:val="00615C9A"/>
    <w:rsid w:val="006160A8"/>
    <w:rsid w:val="00620359"/>
    <w:rsid w:val="00620404"/>
    <w:rsid w:val="00622668"/>
    <w:rsid w:val="00622B71"/>
    <w:rsid w:val="00622D63"/>
    <w:rsid w:val="00624E34"/>
    <w:rsid w:val="00625828"/>
    <w:rsid w:val="00630A28"/>
    <w:rsid w:val="00632F44"/>
    <w:rsid w:val="00634ECF"/>
    <w:rsid w:val="00635DD5"/>
    <w:rsid w:val="00636711"/>
    <w:rsid w:val="00636F1B"/>
    <w:rsid w:val="00637E34"/>
    <w:rsid w:val="006402A6"/>
    <w:rsid w:val="006407D3"/>
    <w:rsid w:val="0064167D"/>
    <w:rsid w:val="00642522"/>
    <w:rsid w:val="00645EAB"/>
    <w:rsid w:val="00647C37"/>
    <w:rsid w:val="00647DD0"/>
    <w:rsid w:val="006509CB"/>
    <w:rsid w:val="00650B9C"/>
    <w:rsid w:val="00650C1C"/>
    <w:rsid w:val="00650C80"/>
    <w:rsid w:val="006522BB"/>
    <w:rsid w:val="00654615"/>
    <w:rsid w:val="006546B7"/>
    <w:rsid w:val="006547B0"/>
    <w:rsid w:val="00654E07"/>
    <w:rsid w:val="00660C21"/>
    <w:rsid w:val="00663121"/>
    <w:rsid w:val="00663255"/>
    <w:rsid w:val="006643AB"/>
    <w:rsid w:val="00664E89"/>
    <w:rsid w:val="006702F9"/>
    <w:rsid w:val="0067070B"/>
    <w:rsid w:val="006710D5"/>
    <w:rsid w:val="00671336"/>
    <w:rsid w:val="006740D0"/>
    <w:rsid w:val="006754F9"/>
    <w:rsid w:val="00675F42"/>
    <w:rsid w:val="006767CD"/>
    <w:rsid w:val="006816D8"/>
    <w:rsid w:val="00681C7F"/>
    <w:rsid w:val="00683FF5"/>
    <w:rsid w:val="00684244"/>
    <w:rsid w:val="006850C8"/>
    <w:rsid w:val="00685700"/>
    <w:rsid w:val="00686DF8"/>
    <w:rsid w:val="006872B2"/>
    <w:rsid w:val="00687351"/>
    <w:rsid w:val="00691442"/>
    <w:rsid w:val="00692533"/>
    <w:rsid w:val="00692A75"/>
    <w:rsid w:val="006975B2"/>
    <w:rsid w:val="00697C92"/>
    <w:rsid w:val="006A1F70"/>
    <w:rsid w:val="006A48CA"/>
    <w:rsid w:val="006A4CE7"/>
    <w:rsid w:val="006A5D55"/>
    <w:rsid w:val="006A6D51"/>
    <w:rsid w:val="006A7561"/>
    <w:rsid w:val="006B2561"/>
    <w:rsid w:val="006B4177"/>
    <w:rsid w:val="006B6043"/>
    <w:rsid w:val="006C02C9"/>
    <w:rsid w:val="006C3E99"/>
    <w:rsid w:val="006C5E5E"/>
    <w:rsid w:val="006C7363"/>
    <w:rsid w:val="006C7901"/>
    <w:rsid w:val="006D2334"/>
    <w:rsid w:val="006D5474"/>
    <w:rsid w:val="006D60C4"/>
    <w:rsid w:val="006D7E0F"/>
    <w:rsid w:val="006E04F2"/>
    <w:rsid w:val="006E0A31"/>
    <w:rsid w:val="006E1B19"/>
    <w:rsid w:val="006E28AC"/>
    <w:rsid w:val="006E4F5C"/>
    <w:rsid w:val="006E66FB"/>
    <w:rsid w:val="006E7F94"/>
    <w:rsid w:val="006F0769"/>
    <w:rsid w:val="006F0BD1"/>
    <w:rsid w:val="006F51A7"/>
    <w:rsid w:val="006F6896"/>
    <w:rsid w:val="00700075"/>
    <w:rsid w:val="00701486"/>
    <w:rsid w:val="00703491"/>
    <w:rsid w:val="00703BFF"/>
    <w:rsid w:val="00705F94"/>
    <w:rsid w:val="007073A2"/>
    <w:rsid w:val="007079D9"/>
    <w:rsid w:val="00711DB2"/>
    <w:rsid w:val="00713960"/>
    <w:rsid w:val="0071415B"/>
    <w:rsid w:val="00714DA3"/>
    <w:rsid w:val="00715FE3"/>
    <w:rsid w:val="00716C2C"/>
    <w:rsid w:val="00720E42"/>
    <w:rsid w:val="007231F8"/>
    <w:rsid w:val="007240A3"/>
    <w:rsid w:val="00725131"/>
    <w:rsid w:val="00726590"/>
    <w:rsid w:val="007332FC"/>
    <w:rsid w:val="00733476"/>
    <w:rsid w:val="00733E98"/>
    <w:rsid w:val="0073766B"/>
    <w:rsid w:val="00741CA1"/>
    <w:rsid w:val="007438A3"/>
    <w:rsid w:val="00743ADF"/>
    <w:rsid w:val="00743B72"/>
    <w:rsid w:val="0075246F"/>
    <w:rsid w:val="007543A0"/>
    <w:rsid w:val="00754A44"/>
    <w:rsid w:val="007610A5"/>
    <w:rsid w:val="00762A05"/>
    <w:rsid w:val="00763107"/>
    <w:rsid w:val="007633CE"/>
    <w:rsid w:val="00764A45"/>
    <w:rsid w:val="00765AF3"/>
    <w:rsid w:val="00766ADD"/>
    <w:rsid w:val="00770E1E"/>
    <w:rsid w:val="00771003"/>
    <w:rsid w:val="0077185E"/>
    <w:rsid w:val="0077187E"/>
    <w:rsid w:val="007742F6"/>
    <w:rsid w:val="0077461F"/>
    <w:rsid w:val="00775C0C"/>
    <w:rsid w:val="00776782"/>
    <w:rsid w:val="00777230"/>
    <w:rsid w:val="007778D6"/>
    <w:rsid w:val="00780373"/>
    <w:rsid w:val="0078126B"/>
    <w:rsid w:val="00781AEE"/>
    <w:rsid w:val="00781D60"/>
    <w:rsid w:val="007830A6"/>
    <w:rsid w:val="00785261"/>
    <w:rsid w:val="007865E4"/>
    <w:rsid w:val="00786DAA"/>
    <w:rsid w:val="007907A8"/>
    <w:rsid w:val="00790BC9"/>
    <w:rsid w:val="007912B4"/>
    <w:rsid w:val="007938F3"/>
    <w:rsid w:val="0079481B"/>
    <w:rsid w:val="0079557B"/>
    <w:rsid w:val="00795FD0"/>
    <w:rsid w:val="00797CFF"/>
    <w:rsid w:val="007A2B36"/>
    <w:rsid w:val="007A3A36"/>
    <w:rsid w:val="007A3AD7"/>
    <w:rsid w:val="007A53DD"/>
    <w:rsid w:val="007A5B9B"/>
    <w:rsid w:val="007B0256"/>
    <w:rsid w:val="007B1ADD"/>
    <w:rsid w:val="007B2E38"/>
    <w:rsid w:val="007B3254"/>
    <w:rsid w:val="007B332B"/>
    <w:rsid w:val="007B3704"/>
    <w:rsid w:val="007B4A49"/>
    <w:rsid w:val="007B5D14"/>
    <w:rsid w:val="007B69DD"/>
    <w:rsid w:val="007C0984"/>
    <w:rsid w:val="007C4039"/>
    <w:rsid w:val="007C4060"/>
    <w:rsid w:val="007C4078"/>
    <w:rsid w:val="007C49C3"/>
    <w:rsid w:val="007C5234"/>
    <w:rsid w:val="007D2A81"/>
    <w:rsid w:val="007D36A9"/>
    <w:rsid w:val="007D559F"/>
    <w:rsid w:val="007D5AF8"/>
    <w:rsid w:val="007D6273"/>
    <w:rsid w:val="007D6790"/>
    <w:rsid w:val="007D7885"/>
    <w:rsid w:val="007D7991"/>
    <w:rsid w:val="007E01EF"/>
    <w:rsid w:val="007E06D8"/>
    <w:rsid w:val="007E0ABD"/>
    <w:rsid w:val="007E18E8"/>
    <w:rsid w:val="007E1BD7"/>
    <w:rsid w:val="007E4FAD"/>
    <w:rsid w:val="007E51D4"/>
    <w:rsid w:val="007E52C3"/>
    <w:rsid w:val="007E594B"/>
    <w:rsid w:val="007E70C4"/>
    <w:rsid w:val="007F3706"/>
    <w:rsid w:val="007F44F6"/>
    <w:rsid w:val="007F4A00"/>
    <w:rsid w:val="007F7B5E"/>
    <w:rsid w:val="008017E2"/>
    <w:rsid w:val="00803755"/>
    <w:rsid w:val="0080387C"/>
    <w:rsid w:val="00805728"/>
    <w:rsid w:val="008061C4"/>
    <w:rsid w:val="0080637E"/>
    <w:rsid w:val="008066C1"/>
    <w:rsid w:val="0080680E"/>
    <w:rsid w:val="00807CD7"/>
    <w:rsid w:val="00811BB7"/>
    <w:rsid w:val="00812947"/>
    <w:rsid w:val="00814E53"/>
    <w:rsid w:val="00816C3A"/>
    <w:rsid w:val="00816CFA"/>
    <w:rsid w:val="008178A6"/>
    <w:rsid w:val="008217C1"/>
    <w:rsid w:val="008241E1"/>
    <w:rsid w:val="00825F70"/>
    <w:rsid w:val="0082742E"/>
    <w:rsid w:val="0083135C"/>
    <w:rsid w:val="00832E25"/>
    <w:rsid w:val="008330F9"/>
    <w:rsid w:val="008331AC"/>
    <w:rsid w:val="00834C85"/>
    <w:rsid w:val="00837282"/>
    <w:rsid w:val="00837B65"/>
    <w:rsid w:val="00841C22"/>
    <w:rsid w:val="00842105"/>
    <w:rsid w:val="008440EA"/>
    <w:rsid w:val="00844934"/>
    <w:rsid w:val="00850A89"/>
    <w:rsid w:val="008520E7"/>
    <w:rsid w:val="00852254"/>
    <w:rsid w:val="00853B2A"/>
    <w:rsid w:val="00853E01"/>
    <w:rsid w:val="00855B7B"/>
    <w:rsid w:val="0085790E"/>
    <w:rsid w:val="0085795B"/>
    <w:rsid w:val="00860BE9"/>
    <w:rsid w:val="00863B37"/>
    <w:rsid w:val="00863CD8"/>
    <w:rsid w:val="00864188"/>
    <w:rsid w:val="0086549C"/>
    <w:rsid w:val="0086587A"/>
    <w:rsid w:val="008669B7"/>
    <w:rsid w:val="008707FE"/>
    <w:rsid w:val="00870C38"/>
    <w:rsid w:val="0087193E"/>
    <w:rsid w:val="00871F28"/>
    <w:rsid w:val="00872A33"/>
    <w:rsid w:val="00872F56"/>
    <w:rsid w:val="00874E29"/>
    <w:rsid w:val="008761FF"/>
    <w:rsid w:val="0088092F"/>
    <w:rsid w:val="00880E92"/>
    <w:rsid w:val="00882DED"/>
    <w:rsid w:val="0088599E"/>
    <w:rsid w:val="00885DB5"/>
    <w:rsid w:val="008954BF"/>
    <w:rsid w:val="00896466"/>
    <w:rsid w:val="00896472"/>
    <w:rsid w:val="00896498"/>
    <w:rsid w:val="00897C3B"/>
    <w:rsid w:val="008A0D9F"/>
    <w:rsid w:val="008A1DE0"/>
    <w:rsid w:val="008A2301"/>
    <w:rsid w:val="008A3C06"/>
    <w:rsid w:val="008A3CBE"/>
    <w:rsid w:val="008A60C7"/>
    <w:rsid w:val="008A6649"/>
    <w:rsid w:val="008A6AAB"/>
    <w:rsid w:val="008A7390"/>
    <w:rsid w:val="008B026E"/>
    <w:rsid w:val="008B0293"/>
    <w:rsid w:val="008B1AA5"/>
    <w:rsid w:val="008B430E"/>
    <w:rsid w:val="008B4CF1"/>
    <w:rsid w:val="008B595A"/>
    <w:rsid w:val="008C17AD"/>
    <w:rsid w:val="008C1C52"/>
    <w:rsid w:val="008C56EC"/>
    <w:rsid w:val="008C6F12"/>
    <w:rsid w:val="008D14F6"/>
    <w:rsid w:val="008D1A65"/>
    <w:rsid w:val="008D2D41"/>
    <w:rsid w:val="008D2FC2"/>
    <w:rsid w:val="008D59CA"/>
    <w:rsid w:val="008D5B2E"/>
    <w:rsid w:val="008D5E06"/>
    <w:rsid w:val="008D68B6"/>
    <w:rsid w:val="008D7A97"/>
    <w:rsid w:val="008E1D0E"/>
    <w:rsid w:val="008E1DB0"/>
    <w:rsid w:val="008E2370"/>
    <w:rsid w:val="008E320A"/>
    <w:rsid w:val="008E491F"/>
    <w:rsid w:val="008E56A2"/>
    <w:rsid w:val="008E5BFC"/>
    <w:rsid w:val="008F42F1"/>
    <w:rsid w:val="008F5702"/>
    <w:rsid w:val="008F6574"/>
    <w:rsid w:val="008F7EFD"/>
    <w:rsid w:val="0090001F"/>
    <w:rsid w:val="00900547"/>
    <w:rsid w:val="00900BEE"/>
    <w:rsid w:val="00901E8F"/>
    <w:rsid w:val="00902959"/>
    <w:rsid w:val="00904713"/>
    <w:rsid w:val="00906AD6"/>
    <w:rsid w:val="0090702B"/>
    <w:rsid w:val="009070DC"/>
    <w:rsid w:val="009105C5"/>
    <w:rsid w:val="00911104"/>
    <w:rsid w:val="009140F6"/>
    <w:rsid w:val="00915A96"/>
    <w:rsid w:val="00916828"/>
    <w:rsid w:val="00917422"/>
    <w:rsid w:val="00920140"/>
    <w:rsid w:val="00920716"/>
    <w:rsid w:val="009225F0"/>
    <w:rsid w:val="009238D7"/>
    <w:rsid w:val="009242D1"/>
    <w:rsid w:val="00925633"/>
    <w:rsid w:val="00930624"/>
    <w:rsid w:val="00932E80"/>
    <w:rsid w:val="009332B3"/>
    <w:rsid w:val="009343FA"/>
    <w:rsid w:val="00934725"/>
    <w:rsid w:val="00935A03"/>
    <w:rsid w:val="00936E6E"/>
    <w:rsid w:val="0094065E"/>
    <w:rsid w:val="009411C2"/>
    <w:rsid w:val="00942544"/>
    <w:rsid w:val="009426E4"/>
    <w:rsid w:val="00944B5C"/>
    <w:rsid w:val="00944FCB"/>
    <w:rsid w:val="00946730"/>
    <w:rsid w:val="00946E2C"/>
    <w:rsid w:val="00946E6D"/>
    <w:rsid w:val="00950ACB"/>
    <w:rsid w:val="0095196E"/>
    <w:rsid w:val="00953358"/>
    <w:rsid w:val="009534BC"/>
    <w:rsid w:val="009554C4"/>
    <w:rsid w:val="00956519"/>
    <w:rsid w:val="00957328"/>
    <w:rsid w:val="00957B4A"/>
    <w:rsid w:val="00960274"/>
    <w:rsid w:val="009604FD"/>
    <w:rsid w:val="0096329C"/>
    <w:rsid w:val="00965273"/>
    <w:rsid w:val="00966756"/>
    <w:rsid w:val="00966F79"/>
    <w:rsid w:val="00970C88"/>
    <w:rsid w:val="00971B8B"/>
    <w:rsid w:val="00972178"/>
    <w:rsid w:val="00972C6A"/>
    <w:rsid w:val="00972D69"/>
    <w:rsid w:val="00973FA4"/>
    <w:rsid w:val="00974651"/>
    <w:rsid w:val="00980532"/>
    <w:rsid w:val="00980B5D"/>
    <w:rsid w:val="009817A9"/>
    <w:rsid w:val="00982478"/>
    <w:rsid w:val="009824E1"/>
    <w:rsid w:val="009848DF"/>
    <w:rsid w:val="00985038"/>
    <w:rsid w:val="00985D3F"/>
    <w:rsid w:val="00986E79"/>
    <w:rsid w:val="0099226D"/>
    <w:rsid w:val="00995A6D"/>
    <w:rsid w:val="0099649B"/>
    <w:rsid w:val="009968B5"/>
    <w:rsid w:val="009A072B"/>
    <w:rsid w:val="009A0772"/>
    <w:rsid w:val="009A4EAB"/>
    <w:rsid w:val="009A5D3E"/>
    <w:rsid w:val="009A6803"/>
    <w:rsid w:val="009B0BE9"/>
    <w:rsid w:val="009B20DD"/>
    <w:rsid w:val="009B28CF"/>
    <w:rsid w:val="009B3920"/>
    <w:rsid w:val="009B4A36"/>
    <w:rsid w:val="009B6751"/>
    <w:rsid w:val="009B71A9"/>
    <w:rsid w:val="009C0285"/>
    <w:rsid w:val="009C1614"/>
    <w:rsid w:val="009C257B"/>
    <w:rsid w:val="009C5E02"/>
    <w:rsid w:val="009C63A9"/>
    <w:rsid w:val="009C63B6"/>
    <w:rsid w:val="009C722C"/>
    <w:rsid w:val="009D0341"/>
    <w:rsid w:val="009D03A6"/>
    <w:rsid w:val="009D1BE5"/>
    <w:rsid w:val="009D2030"/>
    <w:rsid w:val="009D2FFA"/>
    <w:rsid w:val="009D470E"/>
    <w:rsid w:val="009D587B"/>
    <w:rsid w:val="009E1873"/>
    <w:rsid w:val="009E1F69"/>
    <w:rsid w:val="009E4192"/>
    <w:rsid w:val="009E43F3"/>
    <w:rsid w:val="009E56F0"/>
    <w:rsid w:val="009E73E5"/>
    <w:rsid w:val="009F38AF"/>
    <w:rsid w:val="009F3C43"/>
    <w:rsid w:val="009F5535"/>
    <w:rsid w:val="009F6EFE"/>
    <w:rsid w:val="009F6F70"/>
    <w:rsid w:val="009F7821"/>
    <w:rsid w:val="00A01535"/>
    <w:rsid w:val="00A01EEB"/>
    <w:rsid w:val="00A02452"/>
    <w:rsid w:val="00A02F4A"/>
    <w:rsid w:val="00A040D5"/>
    <w:rsid w:val="00A04CD1"/>
    <w:rsid w:val="00A06B72"/>
    <w:rsid w:val="00A116C6"/>
    <w:rsid w:val="00A139A3"/>
    <w:rsid w:val="00A1497F"/>
    <w:rsid w:val="00A1570B"/>
    <w:rsid w:val="00A17AC7"/>
    <w:rsid w:val="00A20735"/>
    <w:rsid w:val="00A24716"/>
    <w:rsid w:val="00A2588B"/>
    <w:rsid w:val="00A27E85"/>
    <w:rsid w:val="00A31DEE"/>
    <w:rsid w:val="00A34069"/>
    <w:rsid w:val="00A35627"/>
    <w:rsid w:val="00A357E2"/>
    <w:rsid w:val="00A370F1"/>
    <w:rsid w:val="00A375D4"/>
    <w:rsid w:val="00A37984"/>
    <w:rsid w:val="00A42690"/>
    <w:rsid w:val="00A42AE6"/>
    <w:rsid w:val="00A43556"/>
    <w:rsid w:val="00A4616D"/>
    <w:rsid w:val="00A4706B"/>
    <w:rsid w:val="00A5213E"/>
    <w:rsid w:val="00A53205"/>
    <w:rsid w:val="00A55A81"/>
    <w:rsid w:val="00A57EE4"/>
    <w:rsid w:val="00A6045B"/>
    <w:rsid w:val="00A62BBB"/>
    <w:rsid w:val="00A63D74"/>
    <w:rsid w:val="00A66DD0"/>
    <w:rsid w:val="00A67AA2"/>
    <w:rsid w:val="00A719D2"/>
    <w:rsid w:val="00A72DB8"/>
    <w:rsid w:val="00A763EC"/>
    <w:rsid w:val="00A779C3"/>
    <w:rsid w:val="00A779E2"/>
    <w:rsid w:val="00A8092B"/>
    <w:rsid w:val="00A83E6A"/>
    <w:rsid w:val="00A853FC"/>
    <w:rsid w:val="00A85869"/>
    <w:rsid w:val="00A8767B"/>
    <w:rsid w:val="00A9060F"/>
    <w:rsid w:val="00A94C22"/>
    <w:rsid w:val="00A954BB"/>
    <w:rsid w:val="00A97D01"/>
    <w:rsid w:val="00AA0F80"/>
    <w:rsid w:val="00AA1312"/>
    <w:rsid w:val="00AA20A4"/>
    <w:rsid w:val="00AA337C"/>
    <w:rsid w:val="00AA37AC"/>
    <w:rsid w:val="00AA3C3B"/>
    <w:rsid w:val="00AA45C6"/>
    <w:rsid w:val="00AA46D1"/>
    <w:rsid w:val="00AA4C0B"/>
    <w:rsid w:val="00AA51E7"/>
    <w:rsid w:val="00AA60DF"/>
    <w:rsid w:val="00AA6F71"/>
    <w:rsid w:val="00AB01E9"/>
    <w:rsid w:val="00AB1E77"/>
    <w:rsid w:val="00AB23F0"/>
    <w:rsid w:val="00AB3A8A"/>
    <w:rsid w:val="00AB4280"/>
    <w:rsid w:val="00AB6488"/>
    <w:rsid w:val="00AB67B7"/>
    <w:rsid w:val="00AB7205"/>
    <w:rsid w:val="00AB7356"/>
    <w:rsid w:val="00AC0FBF"/>
    <w:rsid w:val="00AC271F"/>
    <w:rsid w:val="00AC2BB5"/>
    <w:rsid w:val="00AC2C29"/>
    <w:rsid w:val="00AC36A1"/>
    <w:rsid w:val="00AC3882"/>
    <w:rsid w:val="00AC57AB"/>
    <w:rsid w:val="00AC635D"/>
    <w:rsid w:val="00AC6766"/>
    <w:rsid w:val="00AC7B04"/>
    <w:rsid w:val="00AD1242"/>
    <w:rsid w:val="00AD1347"/>
    <w:rsid w:val="00AD1645"/>
    <w:rsid w:val="00AD1D16"/>
    <w:rsid w:val="00AD345B"/>
    <w:rsid w:val="00AD496A"/>
    <w:rsid w:val="00AD5432"/>
    <w:rsid w:val="00AD689C"/>
    <w:rsid w:val="00AD69FE"/>
    <w:rsid w:val="00AE11F6"/>
    <w:rsid w:val="00AE157E"/>
    <w:rsid w:val="00AE2522"/>
    <w:rsid w:val="00AE3176"/>
    <w:rsid w:val="00AE3654"/>
    <w:rsid w:val="00AE3E18"/>
    <w:rsid w:val="00AE4597"/>
    <w:rsid w:val="00AE530D"/>
    <w:rsid w:val="00AE58E0"/>
    <w:rsid w:val="00AF0E6A"/>
    <w:rsid w:val="00AF2D09"/>
    <w:rsid w:val="00AF3536"/>
    <w:rsid w:val="00AF3D80"/>
    <w:rsid w:val="00AF5352"/>
    <w:rsid w:val="00AF6006"/>
    <w:rsid w:val="00AF6703"/>
    <w:rsid w:val="00B0057B"/>
    <w:rsid w:val="00B01538"/>
    <w:rsid w:val="00B04EB0"/>
    <w:rsid w:val="00B05769"/>
    <w:rsid w:val="00B06A2D"/>
    <w:rsid w:val="00B07BAC"/>
    <w:rsid w:val="00B1171C"/>
    <w:rsid w:val="00B13BCF"/>
    <w:rsid w:val="00B16037"/>
    <w:rsid w:val="00B20B78"/>
    <w:rsid w:val="00B20D45"/>
    <w:rsid w:val="00B2140D"/>
    <w:rsid w:val="00B21730"/>
    <w:rsid w:val="00B24528"/>
    <w:rsid w:val="00B24DFE"/>
    <w:rsid w:val="00B251C9"/>
    <w:rsid w:val="00B261D9"/>
    <w:rsid w:val="00B31832"/>
    <w:rsid w:val="00B334D5"/>
    <w:rsid w:val="00B33E33"/>
    <w:rsid w:val="00B33EF1"/>
    <w:rsid w:val="00B35123"/>
    <w:rsid w:val="00B36706"/>
    <w:rsid w:val="00B376E6"/>
    <w:rsid w:val="00B4110C"/>
    <w:rsid w:val="00B43AFA"/>
    <w:rsid w:val="00B43B57"/>
    <w:rsid w:val="00B4406C"/>
    <w:rsid w:val="00B449ED"/>
    <w:rsid w:val="00B45295"/>
    <w:rsid w:val="00B46FDD"/>
    <w:rsid w:val="00B47072"/>
    <w:rsid w:val="00B50914"/>
    <w:rsid w:val="00B50DCA"/>
    <w:rsid w:val="00B52739"/>
    <w:rsid w:val="00B52B87"/>
    <w:rsid w:val="00B52D6E"/>
    <w:rsid w:val="00B54C30"/>
    <w:rsid w:val="00B569DD"/>
    <w:rsid w:val="00B57278"/>
    <w:rsid w:val="00B60346"/>
    <w:rsid w:val="00B62877"/>
    <w:rsid w:val="00B64226"/>
    <w:rsid w:val="00B6472A"/>
    <w:rsid w:val="00B71314"/>
    <w:rsid w:val="00B71A3E"/>
    <w:rsid w:val="00B72495"/>
    <w:rsid w:val="00B73680"/>
    <w:rsid w:val="00B73C93"/>
    <w:rsid w:val="00B74531"/>
    <w:rsid w:val="00B777D9"/>
    <w:rsid w:val="00B77940"/>
    <w:rsid w:val="00B77CD4"/>
    <w:rsid w:val="00B80EAF"/>
    <w:rsid w:val="00B821A0"/>
    <w:rsid w:val="00B83226"/>
    <w:rsid w:val="00B841CA"/>
    <w:rsid w:val="00B84277"/>
    <w:rsid w:val="00B8436C"/>
    <w:rsid w:val="00B846E3"/>
    <w:rsid w:val="00B85F1A"/>
    <w:rsid w:val="00B92442"/>
    <w:rsid w:val="00B93258"/>
    <w:rsid w:val="00B97F45"/>
    <w:rsid w:val="00BA0622"/>
    <w:rsid w:val="00BA2DB9"/>
    <w:rsid w:val="00BA4E17"/>
    <w:rsid w:val="00BA5242"/>
    <w:rsid w:val="00BA52E1"/>
    <w:rsid w:val="00BA6731"/>
    <w:rsid w:val="00BB0CE6"/>
    <w:rsid w:val="00BB0D37"/>
    <w:rsid w:val="00BB14A2"/>
    <w:rsid w:val="00BB336A"/>
    <w:rsid w:val="00BB34AD"/>
    <w:rsid w:val="00BB5A98"/>
    <w:rsid w:val="00BB6E6F"/>
    <w:rsid w:val="00BB6F69"/>
    <w:rsid w:val="00BC10EE"/>
    <w:rsid w:val="00BC20AC"/>
    <w:rsid w:val="00BC35F6"/>
    <w:rsid w:val="00BC76EB"/>
    <w:rsid w:val="00BD0973"/>
    <w:rsid w:val="00BD0DFE"/>
    <w:rsid w:val="00BD1AFF"/>
    <w:rsid w:val="00BD1B45"/>
    <w:rsid w:val="00BD25AE"/>
    <w:rsid w:val="00BD28FE"/>
    <w:rsid w:val="00BD49E9"/>
    <w:rsid w:val="00BD4C25"/>
    <w:rsid w:val="00BD7D45"/>
    <w:rsid w:val="00BD7E9D"/>
    <w:rsid w:val="00BE0AE6"/>
    <w:rsid w:val="00BE1C34"/>
    <w:rsid w:val="00BE3BDE"/>
    <w:rsid w:val="00BE56A0"/>
    <w:rsid w:val="00BE5B87"/>
    <w:rsid w:val="00BE6A0E"/>
    <w:rsid w:val="00BE7148"/>
    <w:rsid w:val="00BF208B"/>
    <w:rsid w:val="00BF252A"/>
    <w:rsid w:val="00BF2FB3"/>
    <w:rsid w:val="00BF3A7B"/>
    <w:rsid w:val="00BF41DC"/>
    <w:rsid w:val="00BF49AD"/>
    <w:rsid w:val="00BF5C20"/>
    <w:rsid w:val="00BF70E7"/>
    <w:rsid w:val="00C00691"/>
    <w:rsid w:val="00C0120D"/>
    <w:rsid w:val="00C01305"/>
    <w:rsid w:val="00C02F50"/>
    <w:rsid w:val="00C0344A"/>
    <w:rsid w:val="00C03A6F"/>
    <w:rsid w:val="00C04B22"/>
    <w:rsid w:val="00C06734"/>
    <w:rsid w:val="00C06E47"/>
    <w:rsid w:val="00C10CFB"/>
    <w:rsid w:val="00C12033"/>
    <w:rsid w:val="00C12B63"/>
    <w:rsid w:val="00C14DC4"/>
    <w:rsid w:val="00C15B00"/>
    <w:rsid w:val="00C16042"/>
    <w:rsid w:val="00C167EF"/>
    <w:rsid w:val="00C16E4C"/>
    <w:rsid w:val="00C20D8F"/>
    <w:rsid w:val="00C21C68"/>
    <w:rsid w:val="00C229C2"/>
    <w:rsid w:val="00C24D03"/>
    <w:rsid w:val="00C24FD0"/>
    <w:rsid w:val="00C26FEC"/>
    <w:rsid w:val="00C2733D"/>
    <w:rsid w:val="00C276DD"/>
    <w:rsid w:val="00C27D1A"/>
    <w:rsid w:val="00C31796"/>
    <w:rsid w:val="00C3204C"/>
    <w:rsid w:val="00C3470C"/>
    <w:rsid w:val="00C3524D"/>
    <w:rsid w:val="00C36E84"/>
    <w:rsid w:val="00C37944"/>
    <w:rsid w:val="00C37AB2"/>
    <w:rsid w:val="00C37BA8"/>
    <w:rsid w:val="00C4511C"/>
    <w:rsid w:val="00C455A2"/>
    <w:rsid w:val="00C456DE"/>
    <w:rsid w:val="00C47D22"/>
    <w:rsid w:val="00C52D07"/>
    <w:rsid w:val="00C53A95"/>
    <w:rsid w:val="00C54C26"/>
    <w:rsid w:val="00C54FEB"/>
    <w:rsid w:val="00C559BF"/>
    <w:rsid w:val="00C56E76"/>
    <w:rsid w:val="00C60155"/>
    <w:rsid w:val="00C6157C"/>
    <w:rsid w:val="00C64459"/>
    <w:rsid w:val="00C64836"/>
    <w:rsid w:val="00C6535A"/>
    <w:rsid w:val="00C65466"/>
    <w:rsid w:val="00C664ED"/>
    <w:rsid w:val="00C66CFA"/>
    <w:rsid w:val="00C70C85"/>
    <w:rsid w:val="00C7238E"/>
    <w:rsid w:val="00C7450C"/>
    <w:rsid w:val="00C76027"/>
    <w:rsid w:val="00C76C23"/>
    <w:rsid w:val="00C77B41"/>
    <w:rsid w:val="00C844A3"/>
    <w:rsid w:val="00C846FD"/>
    <w:rsid w:val="00C84C17"/>
    <w:rsid w:val="00C85115"/>
    <w:rsid w:val="00C912D7"/>
    <w:rsid w:val="00C937A0"/>
    <w:rsid w:val="00CA0E4A"/>
    <w:rsid w:val="00CA1CC1"/>
    <w:rsid w:val="00CA23E0"/>
    <w:rsid w:val="00CA33B2"/>
    <w:rsid w:val="00CA3D78"/>
    <w:rsid w:val="00CA3DC1"/>
    <w:rsid w:val="00CA43C4"/>
    <w:rsid w:val="00CA696B"/>
    <w:rsid w:val="00CA6F15"/>
    <w:rsid w:val="00CA7715"/>
    <w:rsid w:val="00CA7F42"/>
    <w:rsid w:val="00CB01BF"/>
    <w:rsid w:val="00CB344C"/>
    <w:rsid w:val="00CB42CE"/>
    <w:rsid w:val="00CB4AFE"/>
    <w:rsid w:val="00CB6774"/>
    <w:rsid w:val="00CB71E6"/>
    <w:rsid w:val="00CC0D08"/>
    <w:rsid w:val="00CC13B5"/>
    <w:rsid w:val="00CC1BAF"/>
    <w:rsid w:val="00CC1DC7"/>
    <w:rsid w:val="00CC2D90"/>
    <w:rsid w:val="00CC5016"/>
    <w:rsid w:val="00CC5F9D"/>
    <w:rsid w:val="00CC637B"/>
    <w:rsid w:val="00CC7EC4"/>
    <w:rsid w:val="00CD016E"/>
    <w:rsid w:val="00CD0DDB"/>
    <w:rsid w:val="00CD1B95"/>
    <w:rsid w:val="00CD2395"/>
    <w:rsid w:val="00CD32F5"/>
    <w:rsid w:val="00CD38F6"/>
    <w:rsid w:val="00CD5F70"/>
    <w:rsid w:val="00CE122B"/>
    <w:rsid w:val="00CE12A6"/>
    <w:rsid w:val="00CE1802"/>
    <w:rsid w:val="00CE311C"/>
    <w:rsid w:val="00CE44C7"/>
    <w:rsid w:val="00CE6650"/>
    <w:rsid w:val="00CF0527"/>
    <w:rsid w:val="00CF110E"/>
    <w:rsid w:val="00CF15BD"/>
    <w:rsid w:val="00CF1E0B"/>
    <w:rsid w:val="00CF2AA6"/>
    <w:rsid w:val="00CF3E99"/>
    <w:rsid w:val="00D021D9"/>
    <w:rsid w:val="00D044A3"/>
    <w:rsid w:val="00D04A4A"/>
    <w:rsid w:val="00D073EC"/>
    <w:rsid w:val="00D074DE"/>
    <w:rsid w:val="00D1007D"/>
    <w:rsid w:val="00D10D00"/>
    <w:rsid w:val="00D12178"/>
    <w:rsid w:val="00D1706F"/>
    <w:rsid w:val="00D17629"/>
    <w:rsid w:val="00D17E16"/>
    <w:rsid w:val="00D2037B"/>
    <w:rsid w:val="00D2075E"/>
    <w:rsid w:val="00D217E5"/>
    <w:rsid w:val="00D21923"/>
    <w:rsid w:val="00D21D83"/>
    <w:rsid w:val="00D220EF"/>
    <w:rsid w:val="00D239E8"/>
    <w:rsid w:val="00D243C5"/>
    <w:rsid w:val="00D2452C"/>
    <w:rsid w:val="00D25C71"/>
    <w:rsid w:val="00D27E65"/>
    <w:rsid w:val="00D3071D"/>
    <w:rsid w:val="00D3120F"/>
    <w:rsid w:val="00D31C51"/>
    <w:rsid w:val="00D3328D"/>
    <w:rsid w:val="00D36419"/>
    <w:rsid w:val="00D367AA"/>
    <w:rsid w:val="00D37C2C"/>
    <w:rsid w:val="00D4001A"/>
    <w:rsid w:val="00D41223"/>
    <w:rsid w:val="00D41912"/>
    <w:rsid w:val="00D459E0"/>
    <w:rsid w:val="00D461CF"/>
    <w:rsid w:val="00D467F8"/>
    <w:rsid w:val="00D46B2A"/>
    <w:rsid w:val="00D47FDC"/>
    <w:rsid w:val="00D50C70"/>
    <w:rsid w:val="00D50F0E"/>
    <w:rsid w:val="00D51562"/>
    <w:rsid w:val="00D520A1"/>
    <w:rsid w:val="00D52F36"/>
    <w:rsid w:val="00D556CA"/>
    <w:rsid w:val="00D560B8"/>
    <w:rsid w:val="00D56962"/>
    <w:rsid w:val="00D56C7F"/>
    <w:rsid w:val="00D56D05"/>
    <w:rsid w:val="00D57C6B"/>
    <w:rsid w:val="00D60FBE"/>
    <w:rsid w:val="00D61C4B"/>
    <w:rsid w:val="00D65631"/>
    <w:rsid w:val="00D708CA"/>
    <w:rsid w:val="00D72F4B"/>
    <w:rsid w:val="00D758E3"/>
    <w:rsid w:val="00D80572"/>
    <w:rsid w:val="00D80E2C"/>
    <w:rsid w:val="00D812A1"/>
    <w:rsid w:val="00D819D8"/>
    <w:rsid w:val="00D81AEA"/>
    <w:rsid w:val="00D82B04"/>
    <w:rsid w:val="00D82F19"/>
    <w:rsid w:val="00D83D7F"/>
    <w:rsid w:val="00D8487F"/>
    <w:rsid w:val="00D849AE"/>
    <w:rsid w:val="00D92BD7"/>
    <w:rsid w:val="00D938BE"/>
    <w:rsid w:val="00D93F16"/>
    <w:rsid w:val="00D95B85"/>
    <w:rsid w:val="00D96065"/>
    <w:rsid w:val="00D96222"/>
    <w:rsid w:val="00D96C7A"/>
    <w:rsid w:val="00D97A89"/>
    <w:rsid w:val="00DA09D4"/>
    <w:rsid w:val="00DA28E1"/>
    <w:rsid w:val="00DA4AA8"/>
    <w:rsid w:val="00DA552C"/>
    <w:rsid w:val="00DA721C"/>
    <w:rsid w:val="00DB2B4B"/>
    <w:rsid w:val="00DB6E7A"/>
    <w:rsid w:val="00DB7190"/>
    <w:rsid w:val="00DB7CF8"/>
    <w:rsid w:val="00DB7D68"/>
    <w:rsid w:val="00DB7EBD"/>
    <w:rsid w:val="00DC038E"/>
    <w:rsid w:val="00DC1A77"/>
    <w:rsid w:val="00DC2380"/>
    <w:rsid w:val="00DC3991"/>
    <w:rsid w:val="00DC50AE"/>
    <w:rsid w:val="00DC7564"/>
    <w:rsid w:val="00DC765C"/>
    <w:rsid w:val="00DC794A"/>
    <w:rsid w:val="00DD1F62"/>
    <w:rsid w:val="00DD22BE"/>
    <w:rsid w:val="00DD273C"/>
    <w:rsid w:val="00DD2E88"/>
    <w:rsid w:val="00DD3210"/>
    <w:rsid w:val="00DD342D"/>
    <w:rsid w:val="00DD3BC1"/>
    <w:rsid w:val="00DD48B9"/>
    <w:rsid w:val="00DD6F87"/>
    <w:rsid w:val="00DE0717"/>
    <w:rsid w:val="00DE33A0"/>
    <w:rsid w:val="00DE3A1F"/>
    <w:rsid w:val="00DE4231"/>
    <w:rsid w:val="00DE4EDC"/>
    <w:rsid w:val="00DE4F1B"/>
    <w:rsid w:val="00DE762C"/>
    <w:rsid w:val="00DE7C16"/>
    <w:rsid w:val="00DE7EF4"/>
    <w:rsid w:val="00DF0212"/>
    <w:rsid w:val="00DF12C5"/>
    <w:rsid w:val="00DF271B"/>
    <w:rsid w:val="00DF5FD3"/>
    <w:rsid w:val="00DF706B"/>
    <w:rsid w:val="00E01E71"/>
    <w:rsid w:val="00E0224B"/>
    <w:rsid w:val="00E027AF"/>
    <w:rsid w:val="00E02871"/>
    <w:rsid w:val="00E03813"/>
    <w:rsid w:val="00E136F9"/>
    <w:rsid w:val="00E157B6"/>
    <w:rsid w:val="00E15CFF"/>
    <w:rsid w:val="00E16955"/>
    <w:rsid w:val="00E16ABA"/>
    <w:rsid w:val="00E20667"/>
    <w:rsid w:val="00E220AE"/>
    <w:rsid w:val="00E22124"/>
    <w:rsid w:val="00E22C04"/>
    <w:rsid w:val="00E230ED"/>
    <w:rsid w:val="00E23C53"/>
    <w:rsid w:val="00E25D03"/>
    <w:rsid w:val="00E32139"/>
    <w:rsid w:val="00E321B9"/>
    <w:rsid w:val="00E352B0"/>
    <w:rsid w:val="00E3530F"/>
    <w:rsid w:val="00E35926"/>
    <w:rsid w:val="00E367F4"/>
    <w:rsid w:val="00E370C0"/>
    <w:rsid w:val="00E40A0D"/>
    <w:rsid w:val="00E41E79"/>
    <w:rsid w:val="00E41FB4"/>
    <w:rsid w:val="00E42340"/>
    <w:rsid w:val="00E42643"/>
    <w:rsid w:val="00E44B6E"/>
    <w:rsid w:val="00E44DB9"/>
    <w:rsid w:val="00E44FD4"/>
    <w:rsid w:val="00E45626"/>
    <w:rsid w:val="00E47064"/>
    <w:rsid w:val="00E50661"/>
    <w:rsid w:val="00E51272"/>
    <w:rsid w:val="00E514C2"/>
    <w:rsid w:val="00E5331B"/>
    <w:rsid w:val="00E543C5"/>
    <w:rsid w:val="00E6318A"/>
    <w:rsid w:val="00E65348"/>
    <w:rsid w:val="00E70851"/>
    <w:rsid w:val="00E708B1"/>
    <w:rsid w:val="00E72DC6"/>
    <w:rsid w:val="00E72E3B"/>
    <w:rsid w:val="00E735A3"/>
    <w:rsid w:val="00E745BB"/>
    <w:rsid w:val="00E74FD8"/>
    <w:rsid w:val="00E7675B"/>
    <w:rsid w:val="00E76A28"/>
    <w:rsid w:val="00E77970"/>
    <w:rsid w:val="00E80757"/>
    <w:rsid w:val="00E80B51"/>
    <w:rsid w:val="00E8162A"/>
    <w:rsid w:val="00E82334"/>
    <w:rsid w:val="00E8239A"/>
    <w:rsid w:val="00E84940"/>
    <w:rsid w:val="00E87016"/>
    <w:rsid w:val="00E907A4"/>
    <w:rsid w:val="00E94033"/>
    <w:rsid w:val="00E95490"/>
    <w:rsid w:val="00E964E0"/>
    <w:rsid w:val="00E96CE5"/>
    <w:rsid w:val="00E9738E"/>
    <w:rsid w:val="00E97667"/>
    <w:rsid w:val="00EA03F0"/>
    <w:rsid w:val="00EA0A40"/>
    <w:rsid w:val="00EA16F9"/>
    <w:rsid w:val="00EA19C6"/>
    <w:rsid w:val="00EA2DDC"/>
    <w:rsid w:val="00EA3666"/>
    <w:rsid w:val="00EA3D9D"/>
    <w:rsid w:val="00EA417A"/>
    <w:rsid w:val="00EA437B"/>
    <w:rsid w:val="00EA6443"/>
    <w:rsid w:val="00EA677D"/>
    <w:rsid w:val="00EA6829"/>
    <w:rsid w:val="00EA76C2"/>
    <w:rsid w:val="00EB1435"/>
    <w:rsid w:val="00EB37E6"/>
    <w:rsid w:val="00EB40CC"/>
    <w:rsid w:val="00EB45CE"/>
    <w:rsid w:val="00EB51BC"/>
    <w:rsid w:val="00EB6038"/>
    <w:rsid w:val="00EC0C59"/>
    <w:rsid w:val="00EC25F5"/>
    <w:rsid w:val="00EC4695"/>
    <w:rsid w:val="00EC47F6"/>
    <w:rsid w:val="00EC4A91"/>
    <w:rsid w:val="00EC4E7B"/>
    <w:rsid w:val="00EC6907"/>
    <w:rsid w:val="00EC720D"/>
    <w:rsid w:val="00EC741F"/>
    <w:rsid w:val="00ED178D"/>
    <w:rsid w:val="00ED1D5E"/>
    <w:rsid w:val="00ED3484"/>
    <w:rsid w:val="00ED51FB"/>
    <w:rsid w:val="00ED6216"/>
    <w:rsid w:val="00ED6613"/>
    <w:rsid w:val="00EE07BC"/>
    <w:rsid w:val="00EE1236"/>
    <w:rsid w:val="00EE1528"/>
    <w:rsid w:val="00EE2764"/>
    <w:rsid w:val="00EE296F"/>
    <w:rsid w:val="00EE5678"/>
    <w:rsid w:val="00EF0F94"/>
    <w:rsid w:val="00EF2580"/>
    <w:rsid w:val="00EF267F"/>
    <w:rsid w:val="00EF54F0"/>
    <w:rsid w:val="00EF731B"/>
    <w:rsid w:val="00EF7D1A"/>
    <w:rsid w:val="00F00A25"/>
    <w:rsid w:val="00F01133"/>
    <w:rsid w:val="00F02057"/>
    <w:rsid w:val="00F04053"/>
    <w:rsid w:val="00F04782"/>
    <w:rsid w:val="00F0576D"/>
    <w:rsid w:val="00F06C57"/>
    <w:rsid w:val="00F07920"/>
    <w:rsid w:val="00F108ED"/>
    <w:rsid w:val="00F17ED9"/>
    <w:rsid w:val="00F227A4"/>
    <w:rsid w:val="00F25A17"/>
    <w:rsid w:val="00F25A74"/>
    <w:rsid w:val="00F3062A"/>
    <w:rsid w:val="00F328DA"/>
    <w:rsid w:val="00F33BD3"/>
    <w:rsid w:val="00F35271"/>
    <w:rsid w:val="00F35580"/>
    <w:rsid w:val="00F36443"/>
    <w:rsid w:val="00F444F7"/>
    <w:rsid w:val="00F44B74"/>
    <w:rsid w:val="00F46F18"/>
    <w:rsid w:val="00F502A9"/>
    <w:rsid w:val="00F5109C"/>
    <w:rsid w:val="00F52853"/>
    <w:rsid w:val="00F54AB6"/>
    <w:rsid w:val="00F572A7"/>
    <w:rsid w:val="00F601DF"/>
    <w:rsid w:val="00F61747"/>
    <w:rsid w:val="00F61A88"/>
    <w:rsid w:val="00F6349A"/>
    <w:rsid w:val="00F6498F"/>
    <w:rsid w:val="00F66850"/>
    <w:rsid w:val="00F66AB2"/>
    <w:rsid w:val="00F701ED"/>
    <w:rsid w:val="00F70C03"/>
    <w:rsid w:val="00F73703"/>
    <w:rsid w:val="00F74231"/>
    <w:rsid w:val="00F754A3"/>
    <w:rsid w:val="00F77030"/>
    <w:rsid w:val="00F77FBF"/>
    <w:rsid w:val="00F85668"/>
    <w:rsid w:val="00F85C83"/>
    <w:rsid w:val="00F860A5"/>
    <w:rsid w:val="00F86DC5"/>
    <w:rsid w:val="00F908E0"/>
    <w:rsid w:val="00F925B9"/>
    <w:rsid w:val="00F931DE"/>
    <w:rsid w:val="00F942ED"/>
    <w:rsid w:val="00F94CA4"/>
    <w:rsid w:val="00F97107"/>
    <w:rsid w:val="00FA0631"/>
    <w:rsid w:val="00FA087C"/>
    <w:rsid w:val="00FA180E"/>
    <w:rsid w:val="00FA40C8"/>
    <w:rsid w:val="00FA6F53"/>
    <w:rsid w:val="00FA7196"/>
    <w:rsid w:val="00FA7FAB"/>
    <w:rsid w:val="00FB030F"/>
    <w:rsid w:val="00FB1BBD"/>
    <w:rsid w:val="00FB2A67"/>
    <w:rsid w:val="00FB4965"/>
    <w:rsid w:val="00FC0B19"/>
    <w:rsid w:val="00FC299E"/>
    <w:rsid w:val="00FC31E0"/>
    <w:rsid w:val="00FC33A2"/>
    <w:rsid w:val="00FC3A99"/>
    <w:rsid w:val="00FC42E9"/>
    <w:rsid w:val="00FC5F82"/>
    <w:rsid w:val="00FC601D"/>
    <w:rsid w:val="00FD272F"/>
    <w:rsid w:val="00FD2F20"/>
    <w:rsid w:val="00FD368E"/>
    <w:rsid w:val="00FD46C3"/>
    <w:rsid w:val="00FD4961"/>
    <w:rsid w:val="00FD6BF4"/>
    <w:rsid w:val="00FD7A80"/>
    <w:rsid w:val="00FE1C7C"/>
    <w:rsid w:val="00FE2339"/>
    <w:rsid w:val="00FE2479"/>
    <w:rsid w:val="00FE2738"/>
    <w:rsid w:val="00FE5C69"/>
    <w:rsid w:val="00FE73A0"/>
    <w:rsid w:val="00FE7FE2"/>
    <w:rsid w:val="00FF002C"/>
    <w:rsid w:val="00FF20B0"/>
    <w:rsid w:val="00FF4C3F"/>
    <w:rsid w:val="00FF5304"/>
    <w:rsid w:val="01184E32"/>
    <w:rsid w:val="04FE6237"/>
    <w:rsid w:val="055367D3"/>
    <w:rsid w:val="0593F731"/>
    <w:rsid w:val="08AA2854"/>
    <w:rsid w:val="0DDB1FBC"/>
    <w:rsid w:val="0F227B67"/>
    <w:rsid w:val="0F65CC37"/>
    <w:rsid w:val="10C8B7ED"/>
    <w:rsid w:val="158209A3"/>
    <w:rsid w:val="168B674E"/>
    <w:rsid w:val="19E761F3"/>
    <w:rsid w:val="1C2AF904"/>
    <w:rsid w:val="1C830C47"/>
    <w:rsid w:val="1D264CBC"/>
    <w:rsid w:val="1DB15175"/>
    <w:rsid w:val="20E366EE"/>
    <w:rsid w:val="228D2AF1"/>
    <w:rsid w:val="22FDD7B9"/>
    <w:rsid w:val="23271209"/>
    <w:rsid w:val="257646A3"/>
    <w:rsid w:val="2599D13B"/>
    <w:rsid w:val="25DAF2A5"/>
    <w:rsid w:val="261232F0"/>
    <w:rsid w:val="282B6F80"/>
    <w:rsid w:val="286A950D"/>
    <w:rsid w:val="28838010"/>
    <w:rsid w:val="2ACA6892"/>
    <w:rsid w:val="2B0CE0C8"/>
    <w:rsid w:val="2CF79BD8"/>
    <w:rsid w:val="3283E94F"/>
    <w:rsid w:val="356046E9"/>
    <w:rsid w:val="35D38D9D"/>
    <w:rsid w:val="365466C1"/>
    <w:rsid w:val="367ABEDE"/>
    <w:rsid w:val="36ADD3C3"/>
    <w:rsid w:val="3801A754"/>
    <w:rsid w:val="3937F0B3"/>
    <w:rsid w:val="39AA58D9"/>
    <w:rsid w:val="3C03C1AD"/>
    <w:rsid w:val="3CC3AB73"/>
    <w:rsid w:val="3D209990"/>
    <w:rsid w:val="3DD67243"/>
    <w:rsid w:val="3FB224A6"/>
    <w:rsid w:val="40E48AB6"/>
    <w:rsid w:val="412CBEEE"/>
    <w:rsid w:val="4175FD75"/>
    <w:rsid w:val="42C5C90F"/>
    <w:rsid w:val="43401EAF"/>
    <w:rsid w:val="44CF9F16"/>
    <w:rsid w:val="44EA34D4"/>
    <w:rsid w:val="46706E93"/>
    <w:rsid w:val="4754AC86"/>
    <w:rsid w:val="4A99EE37"/>
    <w:rsid w:val="4E89B8ED"/>
    <w:rsid w:val="4EA459A3"/>
    <w:rsid w:val="4F0FBA6C"/>
    <w:rsid w:val="52E29751"/>
    <w:rsid w:val="551B5068"/>
    <w:rsid w:val="556CCCCE"/>
    <w:rsid w:val="58F2B622"/>
    <w:rsid w:val="5EEA0B01"/>
    <w:rsid w:val="5F515026"/>
    <w:rsid w:val="5FC49BE8"/>
    <w:rsid w:val="6027A37B"/>
    <w:rsid w:val="61C6D8BD"/>
    <w:rsid w:val="6527F2FD"/>
    <w:rsid w:val="675CEAE6"/>
    <w:rsid w:val="6BB30B5B"/>
    <w:rsid w:val="6CCCE571"/>
    <w:rsid w:val="6CD2E4D4"/>
    <w:rsid w:val="6CF1B71E"/>
    <w:rsid w:val="6F1A5E94"/>
    <w:rsid w:val="70E7D6FE"/>
    <w:rsid w:val="718BB287"/>
    <w:rsid w:val="72977FE8"/>
    <w:rsid w:val="7457726F"/>
    <w:rsid w:val="7458AF7B"/>
    <w:rsid w:val="74F6337D"/>
    <w:rsid w:val="792E42E8"/>
    <w:rsid w:val="7D10093C"/>
    <w:rsid w:val="7D8FB8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89E0"/>
  <w15:docId w15:val="{ED3DABBB-ACA3-4E95-A25B-2B0873BF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A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Body Bullets 1,Bullet Point,Bullet point,Bullet points,Content descriptions,L,0Bullet,Bulletr List Paragraph,FooterText,Indented bullet,List Paragraph Number,List Paragraph2,List Paragraph21"/>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character" w:customStyle="1" w:styleId="ListParagraphChar">
    <w:name w:val="List Paragraph Char"/>
    <w:aliases w:val="List Paragraph1 Char,List Paragraph11 Char,Recommendation Char,Body Bullets 1 Char,Bullet Point Char,Bullet point Char,Bullet points Char,Content descriptions Char,L Char,0Bullet Char,Bulletr List Paragraph Char,FooterText Char"/>
    <w:basedOn w:val="DefaultParagraphFont"/>
    <w:link w:val="ListParagraph"/>
    <w:uiPriority w:val="34"/>
    <w:qFormat/>
    <w:locked/>
    <w:rsid w:val="00980532"/>
    <w:rPr>
      <w:rFonts w:ascii="Times New Roman" w:eastAsia="Times New Roman" w:hAnsi="Times New Roman" w:cs="Times New Roman"/>
      <w:sz w:val="24"/>
      <w:szCs w:val="20"/>
      <w:lang w:eastAsia="en-AU"/>
    </w:rPr>
  </w:style>
  <w:style w:type="paragraph" w:customStyle="1" w:styleId="OPCParaBase">
    <w:name w:val="OPCParaBase"/>
    <w:qFormat/>
    <w:rsid w:val="00715FE3"/>
    <w:pPr>
      <w:spacing w:after="0" w:line="260" w:lineRule="atLeast"/>
    </w:pPr>
    <w:rPr>
      <w:rFonts w:ascii="Times New Roman" w:eastAsia="Times New Roman" w:hAnsi="Times New Roman" w:cs="Times New Roman"/>
      <w:szCs w:val="20"/>
      <w:lang w:eastAsia="en-AU"/>
    </w:rPr>
  </w:style>
  <w:style w:type="paragraph" w:customStyle="1" w:styleId="Char1CharChar">
    <w:name w:val="Char1 Char Char"/>
    <w:basedOn w:val="Normal"/>
    <w:rsid w:val="00225367"/>
    <w:pPr>
      <w:spacing w:before="0" w:after="160" w:line="240" w:lineRule="exact"/>
    </w:pPr>
    <w:rPr>
      <w:rFonts w:ascii="Verdana" w:hAnsi="Verdana"/>
      <w:sz w:val="20"/>
      <w:szCs w:val="24"/>
      <w:lang w:val="en-US" w:eastAsia="en-US"/>
    </w:rPr>
  </w:style>
  <w:style w:type="paragraph" w:customStyle="1" w:styleId="Char1CharChar1">
    <w:name w:val="Char1 Char Char1"/>
    <w:basedOn w:val="Normal"/>
    <w:rsid w:val="006031E2"/>
    <w:pPr>
      <w:spacing w:before="0" w:after="160" w:line="240" w:lineRule="exact"/>
    </w:pPr>
    <w:rPr>
      <w:rFonts w:ascii="Verdana" w:hAnsi="Verdana"/>
      <w:sz w:val="20"/>
      <w:szCs w:val="24"/>
      <w:lang w:val="en-US" w:eastAsia="en-US"/>
    </w:rPr>
  </w:style>
  <w:style w:type="paragraph" w:styleId="Revision">
    <w:name w:val="Revision"/>
    <w:hidden/>
    <w:uiPriority w:val="99"/>
    <w:semiHidden/>
    <w:rsid w:val="004A47DC"/>
    <w:pPr>
      <w:spacing w:after="0" w:line="240" w:lineRule="auto"/>
    </w:pPr>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23214C"/>
    <w:rPr>
      <w:color w:val="605E5C"/>
      <w:shd w:val="clear" w:color="auto" w:fill="E1DFDD"/>
    </w:rPr>
  </w:style>
  <w:style w:type="paragraph" w:customStyle="1" w:styleId="Char1CharChar0">
    <w:name w:val="Char1 Char Char0"/>
    <w:basedOn w:val="Normal"/>
    <w:rsid w:val="00E157B6"/>
    <w:pPr>
      <w:spacing w:before="0" w:after="160" w:line="240" w:lineRule="exact"/>
    </w:pPr>
    <w:rPr>
      <w:rFonts w:ascii="Verdana" w:hAnsi="Verdana"/>
      <w:sz w:val="20"/>
      <w:szCs w:val="24"/>
      <w:lang w:val="en-US" w:eastAsia="en-US"/>
    </w:rPr>
  </w:style>
  <w:style w:type="paragraph" w:customStyle="1" w:styleId="Numbered">
    <w:name w:val="Numbered"/>
    <w:basedOn w:val="Header"/>
    <w:rsid w:val="00C12B63"/>
    <w:pPr>
      <w:keepLines/>
      <w:numPr>
        <w:numId w:val="45"/>
      </w:numPr>
      <w:tabs>
        <w:tab w:val="clear" w:pos="4513"/>
        <w:tab w:val="clear" w:pos="9026"/>
      </w:tabs>
      <w:spacing w:after="24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8226">
      <w:bodyDiv w:val="1"/>
      <w:marLeft w:val="0"/>
      <w:marRight w:val="0"/>
      <w:marTop w:val="0"/>
      <w:marBottom w:val="0"/>
      <w:divBdr>
        <w:top w:val="none" w:sz="0" w:space="0" w:color="auto"/>
        <w:left w:val="none" w:sz="0" w:space="0" w:color="auto"/>
        <w:bottom w:val="none" w:sz="0" w:space="0" w:color="auto"/>
        <w:right w:val="none" w:sz="0" w:space="0" w:color="auto"/>
      </w:divBdr>
    </w:div>
    <w:div w:id="27922171">
      <w:bodyDiv w:val="1"/>
      <w:marLeft w:val="0"/>
      <w:marRight w:val="0"/>
      <w:marTop w:val="0"/>
      <w:marBottom w:val="0"/>
      <w:divBdr>
        <w:top w:val="none" w:sz="0" w:space="0" w:color="auto"/>
        <w:left w:val="none" w:sz="0" w:space="0" w:color="auto"/>
        <w:bottom w:val="none" w:sz="0" w:space="0" w:color="auto"/>
        <w:right w:val="none" w:sz="0" w:space="0" w:color="auto"/>
      </w:divBdr>
    </w:div>
    <w:div w:id="45841941">
      <w:bodyDiv w:val="1"/>
      <w:marLeft w:val="0"/>
      <w:marRight w:val="0"/>
      <w:marTop w:val="0"/>
      <w:marBottom w:val="0"/>
      <w:divBdr>
        <w:top w:val="none" w:sz="0" w:space="0" w:color="auto"/>
        <w:left w:val="none" w:sz="0" w:space="0" w:color="auto"/>
        <w:bottom w:val="none" w:sz="0" w:space="0" w:color="auto"/>
        <w:right w:val="none" w:sz="0" w:space="0" w:color="auto"/>
      </w:divBdr>
    </w:div>
    <w:div w:id="58794208">
      <w:bodyDiv w:val="1"/>
      <w:marLeft w:val="0"/>
      <w:marRight w:val="0"/>
      <w:marTop w:val="0"/>
      <w:marBottom w:val="0"/>
      <w:divBdr>
        <w:top w:val="none" w:sz="0" w:space="0" w:color="auto"/>
        <w:left w:val="none" w:sz="0" w:space="0" w:color="auto"/>
        <w:bottom w:val="none" w:sz="0" w:space="0" w:color="auto"/>
        <w:right w:val="none" w:sz="0" w:space="0" w:color="auto"/>
      </w:divBdr>
    </w:div>
    <w:div w:id="80445075">
      <w:bodyDiv w:val="1"/>
      <w:marLeft w:val="0"/>
      <w:marRight w:val="0"/>
      <w:marTop w:val="0"/>
      <w:marBottom w:val="0"/>
      <w:divBdr>
        <w:top w:val="none" w:sz="0" w:space="0" w:color="auto"/>
        <w:left w:val="none" w:sz="0" w:space="0" w:color="auto"/>
        <w:bottom w:val="none" w:sz="0" w:space="0" w:color="auto"/>
        <w:right w:val="none" w:sz="0" w:space="0" w:color="auto"/>
      </w:divBdr>
    </w:div>
    <w:div w:id="146211611">
      <w:bodyDiv w:val="1"/>
      <w:marLeft w:val="0"/>
      <w:marRight w:val="0"/>
      <w:marTop w:val="0"/>
      <w:marBottom w:val="0"/>
      <w:divBdr>
        <w:top w:val="none" w:sz="0" w:space="0" w:color="auto"/>
        <w:left w:val="none" w:sz="0" w:space="0" w:color="auto"/>
        <w:bottom w:val="none" w:sz="0" w:space="0" w:color="auto"/>
        <w:right w:val="none" w:sz="0" w:space="0" w:color="auto"/>
      </w:divBdr>
    </w:div>
    <w:div w:id="151069314">
      <w:bodyDiv w:val="1"/>
      <w:marLeft w:val="0"/>
      <w:marRight w:val="0"/>
      <w:marTop w:val="0"/>
      <w:marBottom w:val="0"/>
      <w:divBdr>
        <w:top w:val="none" w:sz="0" w:space="0" w:color="auto"/>
        <w:left w:val="none" w:sz="0" w:space="0" w:color="auto"/>
        <w:bottom w:val="none" w:sz="0" w:space="0" w:color="auto"/>
        <w:right w:val="none" w:sz="0" w:space="0" w:color="auto"/>
      </w:divBdr>
    </w:div>
    <w:div w:id="185025950">
      <w:bodyDiv w:val="1"/>
      <w:marLeft w:val="0"/>
      <w:marRight w:val="0"/>
      <w:marTop w:val="0"/>
      <w:marBottom w:val="0"/>
      <w:divBdr>
        <w:top w:val="none" w:sz="0" w:space="0" w:color="auto"/>
        <w:left w:val="none" w:sz="0" w:space="0" w:color="auto"/>
        <w:bottom w:val="none" w:sz="0" w:space="0" w:color="auto"/>
        <w:right w:val="none" w:sz="0" w:space="0" w:color="auto"/>
      </w:divBdr>
    </w:div>
    <w:div w:id="213926361">
      <w:bodyDiv w:val="1"/>
      <w:marLeft w:val="0"/>
      <w:marRight w:val="0"/>
      <w:marTop w:val="0"/>
      <w:marBottom w:val="0"/>
      <w:divBdr>
        <w:top w:val="none" w:sz="0" w:space="0" w:color="auto"/>
        <w:left w:val="none" w:sz="0" w:space="0" w:color="auto"/>
        <w:bottom w:val="none" w:sz="0" w:space="0" w:color="auto"/>
        <w:right w:val="none" w:sz="0" w:space="0" w:color="auto"/>
      </w:divBdr>
    </w:div>
    <w:div w:id="244538400">
      <w:bodyDiv w:val="1"/>
      <w:marLeft w:val="0"/>
      <w:marRight w:val="0"/>
      <w:marTop w:val="0"/>
      <w:marBottom w:val="0"/>
      <w:divBdr>
        <w:top w:val="none" w:sz="0" w:space="0" w:color="auto"/>
        <w:left w:val="none" w:sz="0" w:space="0" w:color="auto"/>
        <w:bottom w:val="none" w:sz="0" w:space="0" w:color="auto"/>
        <w:right w:val="none" w:sz="0" w:space="0" w:color="auto"/>
      </w:divBdr>
    </w:div>
    <w:div w:id="262149426">
      <w:bodyDiv w:val="1"/>
      <w:marLeft w:val="0"/>
      <w:marRight w:val="0"/>
      <w:marTop w:val="0"/>
      <w:marBottom w:val="0"/>
      <w:divBdr>
        <w:top w:val="none" w:sz="0" w:space="0" w:color="auto"/>
        <w:left w:val="none" w:sz="0" w:space="0" w:color="auto"/>
        <w:bottom w:val="none" w:sz="0" w:space="0" w:color="auto"/>
        <w:right w:val="none" w:sz="0" w:space="0" w:color="auto"/>
      </w:divBdr>
    </w:div>
    <w:div w:id="274597458">
      <w:bodyDiv w:val="1"/>
      <w:marLeft w:val="0"/>
      <w:marRight w:val="0"/>
      <w:marTop w:val="0"/>
      <w:marBottom w:val="0"/>
      <w:divBdr>
        <w:top w:val="none" w:sz="0" w:space="0" w:color="auto"/>
        <w:left w:val="none" w:sz="0" w:space="0" w:color="auto"/>
        <w:bottom w:val="none" w:sz="0" w:space="0" w:color="auto"/>
        <w:right w:val="none" w:sz="0" w:space="0" w:color="auto"/>
      </w:divBdr>
    </w:div>
    <w:div w:id="279649439">
      <w:bodyDiv w:val="1"/>
      <w:marLeft w:val="0"/>
      <w:marRight w:val="0"/>
      <w:marTop w:val="0"/>
      <w:marBottom w:val="0"/>
      <w:divBdr>
        <w:top w:val="none" w:sz="0" w:space="0" w:color="auto"/>
        <w:left w:val="none" w:sz="0" w:space="0" w:color="auto"/>
        <w:bottom w:val="none" w:sz="0" w:space="0" w:color="auto"/>
        <w:right w:val="none" w:sz="0" w:space="0" w:color="auto"/>
      </w:divBdr>
    </w:div>
    <w:div w:id="308294045">
      <w:bodyDiv w:val="1"/>
      <w:marLeft w:val="0"/>
      <w:marRight w:val="0"/>
      <w:marTop w:val="0"/>
      <w:marBottom w:val="0"/>
      <w:divBdr>
        <w:top w:val="none" w:sz="0" w:space="0" w:color="auto"/>
        <w:left w:val="none" w:sz="0" w:space="0" w:color="auto"/>
        <w:bottom w:val="none" w:sz="0" w:space="0" w:color="auto"/>
        <w:right w:val="none" w:sz="0" w:space="0" w:color="auto"/>
      </w:divBdr>
    </w:div>
    <w:div w:id="345403010">
      <w:bodyDiv w:val="1"/>
      <w:marLeft w:val="0"/>
      <w:marRight w:val="0"/>
      <w:marTop w:val="0"/>
      <w:marBottom w:val="0"/>
      <w:divBdr>
        <w:top w:val="none" w:sz="0" w:space="0" w:color="auto"/>
        <w:left w:val="none" w:sz="0" w:space="0" w:color="auto"/>
        <w:bottom w:val="none" w:sz="0" w:space="0" w:color="auto"/>
        <w:right w:val="none" w:sz="0" w:space="0" w:color="auto"/>
      </w:divBdr>
    </w:div>
    <w:div w:id="345449082">
      <w:bodyDiv w:val="1"/>
      <w:marLeft w:val="0"/>
      <w:marRight w:val="0"/>
      <w:marTop w:val="0"/>
      <w:marBottom w:val="0"/>
      <w:divBdr>
        <w:top w:val="none" w:sz="0" w:space="0" w:color="auto"/>
        <w:left w:val="none" w:sz="0" w:space="0" w:color="auto"/>
        <w:bottom w:val="none" w:sz="0" w:space="0" w:color="auto"/>
        <w:right w:val="none" w:sz="0" w:space="0" w:color="auto"/>
      </w:divBdr>
    </w:div>
    <w:div w:id="348609773">
      <w:bodyDiv w:val="1"/>
      <w:marLeft w:val="0"/>
      <w:marRight w:val="0"/>
      <w:marTop w:val="0"/>
      <w:marBottom w:val="0"/>
      <w:divBdr>
        <w:top w:val="none" w:sz="0" w:space="0" w:color="auto"/>
        <w:left w:val="none" w:sz="0" w:space="0" w:color="auto"/>
        <w:bottom w:val="none" w:sz="0" w:space="0" w:color="auto"/>
        <w:right w:val="none" w:sz="0" w:space="0" w:color="auto"/>
      </w:divBdr>
    </w:div>
    <w:div w:id="359403391">
      <w:bodyDiv w:val="1"/>
      <w:marLeft w:val="0"/>
      <w:marRight w:val="0"/>
      <w:marTop w:val="0"/>
      <w:marBottom w:val="0"/>
      <w:divBdr>
        <w:top w:val="none" w:sz="0" w:space="0" w:color="auto"/>
        <w:left w:val="none" w:sz="0" w:space="0" w:color="auto"/>
        <w:bottom w:val="none" w:sz="0" w:space="0" w:color="auto"/>
        <w:right w:val="none" w:sz="0" w:space="0" w:color="auto"/>
      </w:divBdr>
    </w:div>
    <w:div w:id="362025468">
      <w:bodyDiv w:val="1"/>
      <w:marLeft w:val="0"/>
      <w:marRight w:val="0"/>
      <w:marTop w:val="0"/>
      <w:marBottom w:val="0"/>
      <w:divBdr>
        <w:top w:val="none" w:sz="0" w:space="0" w:color="auto"/>
        <w:left w:val="none" w:sz="0" w:space="0" w:color="auto"/>
        <w:bottom w:val="none" w:sz="0" w:space="0" w:color="auto"/>
        <w:right w:val="none" w:sz="0" w:space="0" w:color="auto"/>
      </w:divBdr>
    </w:div>
    <w:div w:id="362639330">
      <w:bodyDiv w:val="1"/>
      <w:marLeft w:val="0"/>
      <w:marRight w:val="0"/>
      <w:marTop w:val="0"/>
      <w:marBottom w:val="0"/>
      <w:divBdr>
        <w:top w:val="none" w:sz="0" w:space="0" w:color="auto"/>
        <w:left w:val="none" w:sz="0" w:space="0" w:color="auto"/>
        <w:bottom w:val="none" w:sz="0" w:space="0" w:color="auto"/>
        <w:right w:val="none" w:sz="0" w:space="0" w:color="auto"/>
      </w:divBdr>
    </w:div>
    <w:div w:id="435911310">
      <w:bodyDiv w:val="1"/>
      <w:marLeft w:val="0"/>
      <w:marRight w:val="0"/>
      <w:marTop w:val="0"/>
      <w:marBottom w:val="0"/>
      <w:divBdr>
        <w:top w:val="none" w:sz="0" w:space="0" w:color="auto"/>
        <w:left w:val="none" w:sz="0" w:space="0" w:color="auto"/>
        <w:bottom w:val="none" w:sz="0" w:space="0" w:color="auto"/>
        <w:right w:val="none" w:sz="0" w:space="0" w:color="auto"/>
      </w:divBdr>
    </w:div>
    <w:div w:id="462385794">
      <w:bodyDiv w:val="1"/>
      <w:marLeft w:val="0"/>
      <w:marRight w:val="0"/>
      <w:marTop w:val="0"/>
      <w:marBottom w:val="0"/>
      <w:divBdr>
        <w:top w:val="none" w:sz="0" w:space="0" w:color="auto"/>
        <w:left w:val="none" w:sz="0" w:space="0" w:color="auto"/>
        <w:bottom w:val="none" w:sz="0" w:space="0" w:color="auto"/>
        <w:right w:val="none" w:sz="0" w:space="0" w:color="auto"/>
      </w:divBdr>
    </w:div>
    <w:div w:id="519852359">
      <w:bodyDiv w:val="1"/>
      <w:marLeft w:val="0"/>
      <w:marRight w:val="0"/>
      <w:marTop w:val="0"/>
      <w:marBottom w:val="0"/>
      <w:divBdr>
        <w:top w:val="none" w:sz="0" w:space="0" w:color="auto"/>
        <w:left w:val="none" w:sz="0" w:space="0" w:color="auto"/>
        <w:bottom w:val="none" w:sz="0" w:space="0" w:color="auto"/>
        <w:right w:val="none" w:sz="0" w:space="0" w:color="auto"/>
      </w:divBdr>
    </w:div>
    <w:div w:id="522673385">
      <w:bodyDiv w:val="1"/>
      <w:marLeft w:val="0"/>
      <w:marRight w:val="0"/>
      <w:marTop w:val="0"/>
      <w:marBottom w:val="0"/>
      <w:divBdr>
        <w:top w:val="none" w:sz="0" w:space="0" w:color="auto"/>
        <w:left w:val="none" w:sz="0" w:space="0" w:color="auto"/>
        <w:bottom w:val="none" w:sz="0" w:space="0" w:color="auto"/>
        <w:right w:val="none" w:sz="0" w:space="0" w:color="auto"/>
      </w:divBdr>
    </w:div>
    <w:div w:id="560362981">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237585">
      <w:bodyDiv w:val="1"/>
      <w:marLeft w:val="0"/>
      <w:marRight w:val="0"/>
      <w:marTop w:val="0"/>
      <w:marBottom w:val="0"/>
      <w:divBdr>
        <w:top w:val="none" w:sz="0" w:space="0" w:color="auto"/>
        <w:left w:val="none" w:sz="0" w:space="0" w:color="auto"/>
        <w:bottom w:val="none" w:sz="0" w:space="0" w:color="auto"/>
        <w:right w:val="none" w:sz="0" w:space="0" w:color="auto"/>
      </w:divBdr>
    </w:div>
    <w:div w:id="621571736">
      <w:bodyDiv w:val="1"/>
      <w:marLeft w:val="0"/>
      <w:marRight w:val="0"/>
      <w:marTop w:val="0"/>
      <w:marBottom w:val="0"/>
      <w:divBdr>
        <w:top w:val="none" w:sz="0" w:space="0" w:color="auto"/>
        <w:left w:val="none" w:sz="0" w:space="0" w:color="auto"/>
        <w:bottom w:val="none" w:sz="0" w:space="0" w:color="auto"/>
        <w:right w:val="none" w:sz="0" w:space="0" w:color="auto"/>
      </w:divBdr>
    </w:div>
    <w:div w:id="638455218">
      <w:bodyDiv w:val="1"/>
      <w:marLeft w:val="0"/>
      <w:marRight w:val="0"/>
      <w:marTop w:val="0"/>
      <w:marBottom w:val="0"/>
      <w:divBdr>
        <w:top w:val="none" w:sz="0" w:space="0" w:color="auto"/>
        <w:left w:val="none" w:sz="0" w:space="0" w:color="auto"/>
        <w:bottom w:val="none" w:sz="0" w:space="0" w:color="auto"/>
        <w:right w:val="none" w:sz="0" w:space="0" w:color="auto"/>
      </w:divBdr>
    </w:div>
    <w:div w:id="642470891">
      <w:bodyDiv w:val="1"/>
      <w:marLeft w:val="0"/>
      <w:marRight w:val="0"/>
      <w:marTop w:val="0"/>
      <w:marBottom w:val="0"/>
      <w:divBdr>
        <w:top w:val="none" w:sz="0" w:space="0" w:color="auto"/>
        <w:left w:val="none" w:sz="0" w:space="0" w:color="auto"/>
        <w:bottom w:val="none" w:sz="0" w:space="0" w:color="auto"/>
        <w:right w:val="none" w:sz="0" w:space="0" w:color="auto"/>
      </w:divBdr>
    </w:div>
    <w:div w:id="645282945">
      <w:bodyDiv w:val="1"/>
      <w:marLeft w:val="0"/>
      <w:marRight w:val="0"/>
      <w:marTop w:val="0"/>
      <w:marBottom w:val="0"/>
      <w:divBdr>
        <w:top w:val="none" w:sz="0" w:space="0" w:color="auto"/>
        <w:left w:val="none" w:sz="0" w:space="0" w:color="auto"/>
        <w:bottom w:val="none" w:sz="0" w:space="0" w:color="auto"/>
        <w:right w:val="none" w:sz="0" w:space="0" w:color="auto"/>
      </w:divBdr>
    </w:div>
    <w:div w:id="663827101">
      <w:bodyDiv w:val="1"/>
      <w:marLeft w:val="0"/>
      <w:marRight w:val="0"/>
      <w:marTop w:val="0"/>
      <w:marBottom w:val="0"/>
      <w:divBdr>
        <w:top w:val="none" w:sz="0" w:space="0" w:color="auto"/>
        <w:left w:val="none" w:sz="0" w:space="0" w:color="auto"/>
        <w:bottom w:val="none" w:sz="0" w:space="0" w:color="auto"/>
        <w:right w:val="none" w:sz="0" w:space="0" w:color="auto"/>
      </w:divBdr>
    </w:div>
    <w:div w:id="692804307">
      <w:bodyDiv w:val="1"/>
      <w:marLeft w:val="0"/>
      <w:marRight w:val="0"/>
      <w:marTop w:val="0"/>
      <w:marBottom w:val="0"/>
      <w:divBdr>
        <w:top w:val="none" w:sz="0" w:space="0" w:color="auto"/>
        <w:left w:val="none" w:sz="0" w:space="0" w:color="auto"/>
        <w:bottom w:val="none" w:sz="0" w:space="0" w:color="auto"/>
        <w:right w:val="none" w:sz="0" w:space="0" w:color="auto"/>
      </w:divBdr>
    </w:div>
    <w:div w:id="693968876">
      <w:bodyDiv w:val="1"/>
      <w:marLeft w:val="0"/>
      <w:marRight w:val="0"/>
      <w:marTop w:val="0"/>
      <w:marBottom w:val="0"/>
      <w:divBdr>
        <w:top w:val="none" w:sz="0" w:space="0" w:color="auto"/>
        <w:left w:val="none" w:sz="0" w:space="0" w:color="auto"/>
        <w:bottom w:val="none" w:sz="0" w:space="0" w:color="auto"/>
        <w:right w:val="none" w:sz="0" w:space="0" w:color="auto"/>
      </w:divBdr>
    </w:div>
    <w:div w:id="704789515">
      <w:bodyDiv w:val="1"/>
      <w:marLeft w:val="0"/>
      <w:marRight w:val="0"/>
      <w:marTop w:val="0"/>
      <w:marBottom w:val="0"/>
      <w:divBdr>
        <w:top w:val="none" w:sz="0" w:space="0" w:color="auto"/>
        <w:left w:val="none" w:sz="0" w:space="0" w:color="auto"/>
        <w:bottom w:val="none" w:sz="0" w:space="0" w:color="auto"/>
        <w:right w:val="none" w:sz="0" w:space="0" w:color="auto"/>
      </w:divBdr>
    </w:div>
    <w:div w:id="720056996">
      <w:bodyDiv w:val="1"/>
      <w:marLeft w:val="0"/>
      <w:marRight w:val="0"/>
      <w:marTop w:val="0"/>
      <w:marBottom w:val="0"/>
      <w:divBdr>
        <w:top w:val="none" w:sz="0" w:space="0" w:color="auto"/>
        <w:left w:val="none" w:sz="0" w:space="0" w:color="auto"/>
        <w:bottom w:val="none" w:sz="0" w:space="0" w:color="auto"/>
        <w:right w:val="none" w:sz="0" w:space="0" w:color="auto"/>
      </w:divBdr>
    </w:div>
    <w:div w:id="723987867">
      <w:bodyDiv w:val="1"/>
      <w:marLeft w:val="0"/>
      <w:marRight w:val="0"/>
      <w:marTop w:val="0"/>
      <w:marBottom w:val="0"/>
      <w:divBdr>
        <w:top w:val="none" w:sz="0" w:space="0" w:color="auto"/>
        <w:left w:val="none" w:sz="0" w:space="0" w:color="auto"/>
        <w:bottom w:val="none" w:sz="0" w:space="0" w:color="auto"/>
        <w:right w:val="none" w:sz="0" w:space="0" w:color="auto"/>
      </w:divBdr>
    </w:div>
    <w:div w:id="737216530">
      <w:bodyDiv w:val="1"/>
      <w:marLeft w:val="0"/>
      <w:marRight w:val="0"/>
      <w:marTop w:val="0"/>
      <w:marBottom w:val="0"/>
      <w:divBdr>
        <w:top w:val="none" w:sz="0" w:space="0" w:color="auto"/>
        <w:left w:val="none" w:sz="0" w:space="0" w:color="auto"/>
        <w:bottom w:val="none" w:sz="0" w:space="0" w:color="auto"/>
        <w:right w:val="none" w:sz="0" w:space="0" w:color="auto"/>
      </w:divBdr>
    </w:div>
    <w:div w:id="748501069">
      <w:bodyDiv w:val="1"/>
      <w:marLeft w:val="0"/>
      <w:marRight w:val="0"/>
      <w:marTop w:val="0"/>
      <w:marBottom w:val="0"/>
      <w:divBdr>
        <w:top w:val="none" w:sz="0" w:space="0" w:color="auto"/>
        <w:left w:val="none" w:sz="0" w:space="0" w:color="auto"/>
        <w:bottom w:val="none" w:sz="0" w:space="0" w:color="auto"/>
        <w:right w:val="none" w:sz="0" w:space="0" w:color="auto"/>
      </w:divBdr>
    </w:div>
    <w:div w:id="754590727">
      <w:bodyDiv w:val="1"/>
      <w:marLeft w:val="0"/>
      <w:marRight w:val="0"/>
      <w:marTop w:val="0"/>
      <w:marBottom w:val="0"/>
      <w:divBdr>
        <w:top w:val="none" w:sz="0" w:space="0" w:color="auto"/>
        <w:left w:val="none" w:sz="0" w:space="0" w:color="auto"/>
        <w:bottom w:val="none" w:sz="0" w:space="0" w:color="auto"/>
        <w:right w:val="none" w:sz="0" w:space="0" w:color="auto"/>
      </w:divBdr>
    </w:div>
    <w:div w:id="772407920">
      <w:bodyDiv w:val="1"/>
      <w:marLeft w:val="0"/>
      <w:marRight w:val="0"/>
      <w:marTop w:val="0"/>
      <w:marBottom w:val="0"/>
      <w:divBdr>
        <w:top w:val="none" w:sz="0" w:space="0" w:color="auto"/>
        <w:left w:val="none" w:sz="0" w:space="0" w:color="auto"/>
        <w:bottom w:val="none" w:sz="0" w:space="0" w:color="auto"/>
        <w:right w:val="none" w:sz="0" w:space="0" w:color="auto"/>
      </w:divBdr>
    </w:div>
    <w:div w:id="777457108">
      <w:bodyDiv w:val="1"/>
      <w:marLeft w:val="0"/>
      <w:marRight w:val="0"/>
      <w:marTop w:val="0"/>
      <w:marBottom w:val="0"/>
      <w:divBdr>
        <w:top w:val="none" w:sz="0" w:space="0" w:color="auto"/>
        <w:left w:val="none" w:sz="0" w:space="0" w:color="auto"/>
        <w:bottom w:val="none" w:sz="0" w:space="0" w:color="auto"/>
        <w:right w:val="none" w:sz="0" w:space="0" w:color="auto"/>
      </w:divBdr>
    </w:div>
    <w:div w:id="799958019">
      <w:bodyDiv w:val="1"/>
      <w:marLeft w:val="0"/>
      <w:marRight w:val="0"/>
      <w:marTop w:val="0"/>
      <w:marBottom w:val="0"/>
      <w:divBdr>
        <w:top w:val="none" w:sz="0" w:space="0" w:color="auto"/>
        <w:left w:val="none" w:sz="0" w:space="0" w:color="auto"/>
        <w:bottom w:val="none" w:sz="0" w:space="0" w:color="auto"/>
        <w:right w:val="none" w:sz="0" w:space="0" w:color="auto"/>
      </w:divBdr>
    </w:div>
    <w:div w:id="801848710">
      <w:bodyDiv w:val="1"/>
      <w:marLeft w:val="0"/>
      <w:marRight w:val="0"/>
      <w:marTop w:val="0"/>
      <w:marBottom w:val="0"/>
      <w:divBdr>
        <w:top w:val="none" w:sz="0" w:space="0" w:color="auto"/>
        <w:left w:val="none" w:sz="0" w:space="0" w:color="auto"/>
        <w:bottom w:val="none" w:sz="0" w:space="0" w:color="auto"/>
        <w:right w:val="none" w:sz="0" w:space="0" w:color="auto"/>
      </w:divBdr>
    </w:div>
    <w:div w:id="833028525">
      <w:bodyDiv w:val="1"/>
      <w:marLeft w:val="0"/>
      <w:marRight w:val="0"/>
      <w:marTop w:val="0"/>
      <w:marBottom w:val="0"/>
      <w:divBdr>
        <w:top w:val="none" w:sz="0" w:space="0" w:color="auto"/>
        <w:left w:val="none" w:sz="0" w:space="0" w:color="auto"/>
        <w:bottom w:val="none" w:sz="0" w:space="0" w:color="auto"/>
        <w:right w:val="none" w:sz="0" w:space="0" w:color="auto"/>
      </w:divBdr>
    </w:div>
    <w:div w:id="848831687">
      <w:bodyDiv w:val="1"/>
      <w:marLeft w:val="0"/>
      <w:marRight w:val="0"/>
      <w:marTop w:val="0"/>
      <w:marBottom w:val="0"/>
      <w:divBdr>
        <w:top w:val="none" w:sz="0" w:space="0" w:color="auto"/>
        <w:left w:val="none" w:sz="0" w:space="0" w:color="auto"/>
        <w:bottom w:val="none" w:sz="0" w:space="0" w:color="auto"/>
        <w:right w:val="none" w:sz="0" w:space="0" w:color="auto"/>
      </w:divBdr>
    </w:div>
    <w:div w:id="938026018">
      <w:bodyDiv w:val="1"/>
      <w:marLeft w:val="0"/>
      <w:marRight w:val="0"/>
      <w:marTop w:val="0"/>
      <w:marBottom w:val="0"/>
      <w:divBdr>
        <w:top w:val="none" w:sz="0" w:space="0" w:color="auto"/>
        <w:left w:val="none" w:sz="0" w:space="0" w:color="auto"/>
        <w:bottom w:val="none" w:sz="0" w:space="0" w:color="auto"/>
        <w:right w:val="none" w:sz="0" w:space="0" w:color="auto"/>
      </w:divBdr>
    </w:div>
    <w:div w:id="959606954">
      <w:bodyDiv w:val="1"/>
      <w:marLeft w:val="0"/>
      <w:marRight w:val="0"/>
      <w:marTop w:val="0"/>
      <w:marBottom w:val="0"/>
      <w:divBdr>
        <w:top w:val="none" w:sz="0" w:space="0" w:color="auto"/>
        <w:left w:val="none" w:sz="0" w:space="0" w:color="auto"/>
        <w:bottom w:val="none" w:sz="0" w:space="0" w:color="auto"/>
        <w:right w:val="none" w:sz="0" w:space="0" w:color="auto"/>
      </w:divBdr>
    </w:div>
    <w:div w:id="963927214">
      <w:bodyDiv w:val="1"/>
      <w:marLeft w:val="0"/>
      <w:marRight w:val="0"/>
      <w:marTop w:val="0"/>
      <w:marBottom w:val="0"/>
      <w:divBdr>
        <w:top w:val="none" w:sz="0" w:space="0" w:color="auto"/>
        <w:left w:val="none" w:sz="0" w:space="0" w:color="auto"/>
        <w:bottom w:val="none" w:sz="0" w:space="0" w:color="auto"/>
        <w:right w:val="none" w:sz="0" w:space="0" w:color="auto"/>
      </w:divBdr>
    </w:div>
    <w:div w:id="991367325">
      <w:bodyDiv w:val="1"/>
      <w:marLeft w:val="0"/>
      <w:marRight w:val="0"/>
      <w:marTop w:val="0"/>
      <w:marBottom w:val="0"/>
      <w:divBdr>
        <w:top w:val="none" w:sz="0" w:space="0" w:color="auto"/>
        <w:left w:val="none" w:sz="0" w:space="0" w:color="auto"/>
        <w:bottom w:val="none" w:sz="0" w:space="0" w:color="auto"/>
        <w:right w:val="none" w:sz="0" w:space="0" w:color="auto"/>
      </w:divBdr>
    </w:div>
    <w:div w:id="1000111470">
      <w:bodyDiv w:val="1"/>
      <w:marLeft w:val="0"/>
      <w:marRight w:val="0"/>
      <w:marTop w:val="0"/>
      <w:marBottom w:val="0"/>
      <w:divBdr>
        <w:top w:val="none" w:sz="0" w:space="0" w:color="auto"/>
        <w:left w:val="none" w:sz="0" w:space="0" w:color="auto"/>
        <w:bottom w:val="none" w:sz="0" w:space="0" w:color="auto"/>
        <w:right w:val="none" w:sz="0" w:space="0" w:color="auto"/>
      </w:divBdr>
    </w:div>
    <w:div w:id="1033916842">
      <w:bodyDiv w:val="1"/>
      <w:marLeft w:val="0"/>
      <w:marRight w:val="0"/>
      <w:marTop w:val="0"/>
      <w:marBottom w:val="0"/>
      <w:divBdr>
        <w:top w:val="none" w:sz="0" w:space="0" w:color="auto"/>
        <w:left w:val="none" w:sz="0" w:space="0" w:color="auto"/>
        <w:bottom w:val="none" w:sz="0" w:space="0" w:color="auto"/>
        <w:right w:val="none" w:sz="0" w:space="0" w:color="auto"/>
      </w:divBdr>
    </w:div>
    <w:div w:id="1037899844">
      <w:bodyDiv w:val="1"/>
      <w:marLeft w:val="0"/>
      <w:marRight w:val="0"/>
      <w:marTop w:val="0"/>
      <w:marBottom w:val="0"/>
      <w:divBdr>
        <w:top w:val="none" w:sz="0" w:space="0" w:color="auto"/>
        <w:left w:val="none" w:sz="0" w:space="0" w:color="auto"/>
        <w:bottom w:val="none" w:sz="0" w:space="0" w:color="auto"/>
        <w:right w:val="none" w:sz="0" w:space="0" w:color="auto"/>
      </w:divBdr>
    </w:div>
    <w:div w:id="1071658864">
      <w:bodyDiv w:val="1"/>
      <w:marLeft w:val="0"/>
      <w:marRight w:val="0"/>
      <w:marTop w:val="0"/>
      <w:marBottom w:val="0"/>
      <w:divBdr>
        <w:top w:val="none" w:sz="0" w:space="0" w:color="auto"/>
        <w:left w:val="none" w:sz="0" w:space="0" w:color="auto"/>
        <w:bottom w:val="none" w:sz="0" w:space="0" w:color="auto"/>
        <w:right w:val="none" w:sz="0" w:space="0" w:color="auto"/>
      </w:divBdr>
    </w:div>
    <w:div w:id="1091007131">
      <w:bodyDiv w:val="1"/>
      <w:marLeft w:val="0"/>
      <w:marRight w:val="0"/>
      <w:marTop w:val="0"/>
      <w:marBottom w:val="0"/>
      <w:divBdr>
        <w:top w:val="none" w:sz="0" w:space="0" w:color="auto"/>
        <w:left w:val="none" w:sz="0" w:space="0" w:color="auto"/>
        <w:bottom w:val="none" w:sz="0" w:space="0" w:color="auto"/>
        <w:right w:val="none" w:sz="0" w:space="0" w:color="auto"/>
      </w:divBdr>
    </w:div>
    <w:div w:id="1098908256">
      <w:bodyDiv w:val="1"/>
      <w:marLeft w:val="0"/>
      <w:marRight w:val="0"/>
      <w:marTop w:val="0"/>
      <w:marBottom w:val="0"/>
      <w:divBdr>
        <w:top w:val="none" w:sz="0" w:space="0" w:color="auto"/>
        <w:left w:val="none" w:sz="0" w:space="0" w:color="auto"/>
        <w:bottom w:val="none" w:sz="0" w:space="0" w:color="auto"/>
        <w:right w:val="none" w:sz="0" w:space="0" w:color="auto"/>
      </w:divBdr>
    </w:div>
    <w:div w:id="1124426514">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
    <w:div w:id="1256940712">
      <w:bodyDiv w:val="1"/>
      <w:marLeft w:val="0"/>
      <w:marRight w:val="0"/>
      <w:marTop w:val="0"/>
      <w:marBottom w:val="0"/>
      <w:divBdr>
        <w:top w:val="none" w:sz="0" w:space="0" w:color="auto"/>
        <w:left w:val="none" w:sz="0" w:space="0" w:color="auto"/>
        <w:bottom w:val="none" w:sz="0" w:space="0" w:color="auto"/>
        <w:right w:val="none" w:sz="0" w:space="0" w:color="auto"/>
      </w:divBdr>
    </w:div>
    <w:div w:id="1261139390">
      <w:bodyDiv w:val="1"/>
      <w:marLeft w:val="0"/>
      <w:marRight w:val="0"/>
      <w:marTop w:val="0"/>
      <w:marBottom w:val="0"/>
      <w:divBdr>
        <w:top w:val="none" w:sz="0" w:space="0" w:color="auto"/>
        <w:left w:val="none" w:sz="0" w:space="0" w:color="auto"/>
        <w:bottom w:val="none" w:sz="0" w:space="0" w:color="auto"/>
        <w:right w:val="none" w:sz="0" w:space="0" w:color="auto"/>
      </w:divBdr>
    </w:div>
    <w:div w:id="1275207008">
      <w:bodyDiv w:val="1"/>
      <w:marLeft w:val="0"/>
      <w:marRight w:val="0"/>
      <w:marTop w:val="0"/>
      <w:marBottom w:val="0"/>
      <w:divBdr>
        <w:top w:val="none" w:sz="0" w:space="0" w:color="auto"/>
        <w:left w:val="none" w:sz="0" w:space="0" w:color="auto"/>
        <w:bottom w:val="none" w:sz="0" w:space="0" w:color="auto"/>
        <w:right w:val="none" w:sz="0" w:space="0" w:color="auto"/>
      </w:divBdr>
    </w:div>
    <w:div w:id="1280842511">
      <w:bodyDiv w:val="1"/>
      <w:marLeft w:val="0"/>
      <w:marRight w:val="0"/>
      <w:marTop w:val="0"/>
      <w:marBottom w:val="0"/>
      <w:divBdr>
        <w:top w:val="none" w:sz="0" w:space="0" w:color="auto"/>
        <w:left w:val="none" w:sz="0" w:space="0" w:color="auto"/>
        <w:bottom w:val="none" w:sz="0" w:space="0" w:color="auto"/>
        <w:right w:val="none" w:sz="0" w:space="0" w:color="auto"/>
      </w:divBdr>
    </w:div>
    <w:div w:id="1296447490">
      <w:bodyDiv w:val="1"/>
      <w:marLeft w:val="0"/>
      <w:marRight w:val="0"/>
      <w:marTop w:val="0"/>
      <w:marBottom w:val="0"/>
      <w:divBdr>
        <w:top w:val="none" w:sz="0" w:space="0" w:color="auto"/>
        <w:left w:val="none" w:sz="0" w:space="0" w:color="auto"/>
        <w:bottom w:val="none" w:sz="0" w:space="0" w:color="auto"/>
        <w:right w:val="none" w:sz="0" w:space="0" w:color="auto"/>
      </w:divBdr>
    </w:div>
    <w:div w:id="1306813336">
      <w:bodyDiv w:val="1"/>
      <w:marLeft w:val="0"/>
      <w:marRight w:val="0"/>
      <w:marTop w:val="0"/>
      <w:marBottom w:val="0"/>
      <w:divBdr>
        <w:top w:val="none" w:sz="0" w:space="0" w:color="auto"/>
        <w:left w:val="none" w:sz="0" w:space="0" w:color="auto"/>
        <w:bottom w:val="none" w:sz="0" w:space="0" w:color="auto"/>
        <w:right w:val="none" w:sz="0" w:space="0" w:color="auto"/>
      </w:divBdr>
    </w:div>
    <w:div w:id="1358846426">
      <w:bodyDiv w:val="1"/>
      <w:marLeft w:val="0"/>
      <w:marRight w:val="0"/>
      <w:marTop w:val="0"/>
      <w:marBottom w:val="0"/>
      <w:divBdr>
        <w:top w:val="none" w:sz="0" w:space="0" w:color="auto"/>
        <w:left w:val="none" w:sz="0" w:space="0" w:color="auto"/>
        <w:bottom w:val="none" w:sz="0" w:space="0" w:color="auto"/>
        <w:right w:val="none" w:sz="0" w:space="0" w:color="auto"/>
      </w:divBdr>
    </w:div>
    <w:div w:id="1430858066">
      <w:bodyDiv w:val="1"/>
      <w:marLeft w:val="0"/>
      <w:marRight w:val="0"/>
      <w:marTop w:val="0"/>
      <w:marBottom w:val="0"/>
      <w:divBdr>
        <w:top w:val="none" w:sz="0" w:space="0" w:color="auto"/>
        <w:left w:val="none" w:sz="0" w:space="0" w:color="auto"/>
        <w:bottom w:val="none" w:sz="0" w:space="0" w:color="auto"/>
        <w:right w:val="none" w:sz="0" w:space="0" w:color="auto"/>
      </w:divBdr>
    </w:div>
    <w:div w:id="1436362039">
      <w:bodyDiv w:val="1"/>
      <w:marLeft w:val="0"/>
      <w:marRight w:val="0"/>
      <w:marTop w:val="0"/>
      <w:marBottom w:val="0"/>
      <w:divBdr>
        <w:top w:val="none" w:sz="0" w:space="0" w:color="auto"/>
        <w:left w:val="none" w:sz="0" w:space="0" w:color="auto"/>
        <w:bottom w:val="none" w:sz="0" w:space="0" w:color="auto"/>
        <w:right w:val="none" w:sz="0" w:space="0" w:color="auto"/>
      </w:divBdr>
    </w:div>
    <w:div w:id="1468207961">
      <w:bodyDiv w:val="1"/>
      <w:marLeft w:val="0"/>
      <w:marRight w:val="0"/>
      <w:marTop w:val="0"/>
      <w:marBottom w:val="0"/>
      <w:divBdr>
        <w:top w:val="none" w:sz="0" w:space="0" w:color="auto"/>
        <w:left w:val="none" w:sz="0" w:space="0" w:color="auto"/>
        <w:bottom w:val="none" w:sz="0" w:space="0" w:color="auto"/>
        <w:right w:val="none" w:sz="0" w:space="0" w:color="auto"/>
      </w:divBdr>
    </w:div>
    <w:div w:id="1475559356">
      <w:bodyDiv w:val="1"/>
      <w:marLeft w:val="0"/>
      <w:marRight w:val="0"/>
      <w:marTop w:val="0"/>
      <w:marBottom w:val="0"/>
      <w:divBdr>
        <w:top w:val="none" w:sz="0" w:space="0" w:color="auto"/>
        <w:left w:val="none" w:sz="0" w:space="0" w:color="auto"/>
        <w:bottom w:val="none" w:sz="0" w:space="0" w:color="auto"/>
        <w:right w:val="none" w:sz="0" w:space="0" w:color="auto"/>
      </w:divBdr>
    </w:div>
    <w:div w:id="1482967494">
      <w:bodyDiv w:val="1"/>
      <w:marLeft w:val="0"/>
      <w:marRight w:val="0"/>
      <w:marTop w:val="0"/>
      <w:marBottom w:val="0"/>
      <w:divBdr>
        <w:top w:val="none" w:sz="0" w:space="0" w:color="auto"/>
        <w:left w:val="none" w:sz="0" w:space="0" w:color="auto"/>
        <w:bottom w:val="none" w:sz="0" w:space="0" w:color="auto"/>
        <w:right w:val="none" w:sz="0" w:space="0" w:color="auto"/>
      </w:divBdr>
    </w:div>
    <w:div w:id="1524436514">
      <w:bodyDiv w:val="1"/>
      <w:marLeft w:val="0"/>
      <w:marRight w:val="0"/>
      <w:marTop w:val="0"/>
      <w:marBottom w:val="0"/>
      <w:divBdr>
        <w:top w:val="none" w:sz="0" w:space="0" w:color="auto"/>
        <w:left w:val="none" w:sz="0" w:space="0" w:color="auto"/>
        <w:bottom w:val="none" w:sz="0" w:space="0" w:color="auto"/>
        <w:right w:val="none" w:sz="0" w:space="0" w:color="auto"/>
      </w:divBdr>
    </w:div>
    <w:div w:id="1567032116">
      <w:bodyDiv w:val="1"/>
      <w:marLeft w:val="0"/>
      <w:marRight w:val="0"/>
      <w:marTop w:val="0"/>
      <w:marBottom w:val="0"/>
      <w:divBdr>
        <w:top w:val="none" w:sz="0" w:space="0" w:color="auto"/>
        <w:left w:val="none" w:sz="0" w:space="0" w:color="auto"/>
        <w:bottom w:val="none" w:sz="0" w:space="0" w:color="auto"/>
        <w:right w:val="none" w:sz="0" w:space="0" w:color="auto"/>
      </w:divBdr>
    </w:div>
    <w:div w:id="1569535436">
      <w:bodyDiv w:val="1"/>
      <w:marLeft w:val="0"/>
      <w:marRight w:val="0"/>
      <w:marTop w:val="0"/>
      <w:marBottom w:val="0"/>
      <w:divBdr>
        <w:top w:val="none" w:sz="0" w:space="0" w:color="auto"/>
        <w:left w:val="none" w:sz="0" w:space="0" w:color="auto"/>
        <w:bottom w:val="none" w:sz="0" w:space="0" w:color="auto"/>
        <w:right w:val="none" w:sz="0" w:space="0" w:color="auto"/>
      </w:divBdr>
    </w:div>
    <w:div w:id="1594633500">
      <w:bodyDiv w:val="1"/>
      <w:marLeft w:val="0"/>
      <w:marRight w:val="0"/>
      <w:marTop w:val="0"/>
      <w:marBottom w:val="0"/>
      <w:divBdr>
        <w:top w:val="none" w:sz="0" w:space="0" w:color="auto"/>
        <w:left w:val="none" w:sz="0" w:space="0" w:color="auto"/>
        <w:bottom w:val="none" w:sz="0" w:space="0" w:color="auto"/>
        <w:right w:val="none" w:sz="0" w:space="0" w:color="auto"/>
      </w:divBdr>
    </w:div>
    <w:div w:id="1610239994">
      <w:bodyDiv w:val="1"/>
      <w:marLeft w:val="0"/>
      <w:marRight w:val="0"/>
      <w:marTop w:val="0"/>
      <w:marBottom w:val="0"/>
      <w:divBdr>
        <w:top w:val="none" w:sz="0" w:space="0" w:color="auto"/>
        <w:left w:val="none" w:sz="0" w:space="0" w:color="auto"/>
        <w:bottom w:val="none" w:sz="0" w:space="0" w:color="auto"/>
        <w:right w:val="none" w:sz="0" w:space="0" w:color="auto"/>
      </w:divBdr>
    </w:div>
    <w:div w:id="1637643420">
      <w:bodyDiv w:val="1"/>
      <w:marLeft w:val="0"/>
      <w:marRight w:val="0"/>
      <w:marTop w:val="0"/>
      <w:marBottom w:val="0"/>
      <w:divBdr>
        <w:top w:val="none" w:sz="0" w:space="0" w:color="auto"/>
        <w:left w:val="none" w:sz="0" w:space="0" w:color="auto"/>
        <w:bottom w:val="none" w:sz="0" w:space="0" w:color="auto"/>
        <w:right w:val="none" w:sz="0" w:space="0" w:color="auto"/>
      </w:divBdr>
    </w:div>
    <w:div w:id="1656959189">
      <w:bodyDiv w:val="1"/>
      <w:marLeft w:val="0"/>
      <w:marRight w:val="0"/>
      <w:marTop w:val="0"/>
      <w:marBottom w:val="0"/>
      <w:divBdr>
        <w:top w:val="none" w:sz="0" w:space="0" w:color="auto"/>
        <w:left w:val="none" w:sz="0" w:space="0" w:color="auto"/>
        <w:bottom w:val="none" w:sz="0" w:space="0" w:color="auto"/>
        <w:right w:val="none" w:sz="0" w:space="0" w:color="auto"/>
      </w:divBdr>
    </w:div>
    <w:div w:id="1720661979">
      <w:bodyDiv w:val="1"/>
      <w:marLeft w:val="0"/>
      <w:marRight w:val="0"/>
      <w:marTop w:val="0"/>
      <w:marBottom w:val="0"/>
      <w:divBdr>
        <w:top w:val="none" w:sz="0" w:space="0" w:color="auto"/>
        <w:left w:val="none" w:sz="0" w:space="0" w:color="auto"/>
        <w:bottom w:val="none" w:sz="0" w:space="0" w:color="auto"/>
        <w:right w:val="none" w:sz="0" w:space="0" w:color="auto"/>
      </w:divBdr>
    </w:div>
    <w:div w:id="1737898267">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8601444">
      <w:bodyDiv w:val="1"/>
      <w:marLeft w:val="0"/>
      <w:marRight w:val="0"/>
      <w:marTop w:val="0"/>
      <w:marBottom w:val="0"/>
      <w:divBdr>
        <w:top w:val="none" w:sz="0" w:space="0" w:color="auto"/>
        <w:left w:val="none" w:sz="0" w:space="0" w:color="auto"/>
        <w:bottom w:val="none" w:sz="0" w:space="0" w:color="auto"/>
        <w:right w:val="none" w:sz="0" w:space="0" w:color="auto"/>
      </w:divBdr>
    </w:div>
    <w:div w:id="1780710834">
      <w:bodyDiv w:val="1"/>
      <w:marLeft w:val="0"/>
      <w:marRight w:val="0"/>
      <w:marTop w:val="0"/>
      <w:marBottom w:val="0"/>
      <w:divBdr>
        <w:top w:val="none" w:sz="0" w:space="0" w:color="auto"/>
        <w:left w:val="none" w:sz="0" w:space="0" w:color="auto"/>
        <w:bottom w:val="none" w:sz="0" w:space="0" w:color="auto"/>
        <w:right w:val="none" w:sz="0" w:space="0" w:color="auto"/>
      </w:divBdr>
    </w:div>
    <w:div w:id="1804687518">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295546">
      <w:bodyDiv w:val="1"/>
      <w:marLeft w:val="0"/>
      <w:marRight w:val="0"/>
      <w:marTop w:val="0"/>
      <w:marBottom w:val="0"/>
      <w:divBdr>
        <w:top w:val="none" w:sz="0" w:space="0" w:color="auto"/>
        <w:left w:val="none" w:sz="0" w:space="0" w:color="auto"/>
        <w:bottom w:val="none" w:sz="0" w:space="0" w:color="auto"/>
        <w:right w:val="none" w:sz="0" w:space="0" w:color="auto"/>
      </w:divBdr>
    </w:div>
    <w:div w:id="1862737719">
      <w:bodyDiv w:val="1"/>
      <w:marLeft w:val="0"/>
      <w:marRight w:val="0"/>
      <w:marTop w:val="0"/>
      <w:marBottom w:val="0"/>
      <w:divBdr>
        <w:top w:val="none" w:sz="0" w:space="0" w:color="auto"/>
        <w:left w:val="none" w:sz="0" w:space="0" w:color="auto"/>
        <w:bottom w:val="none" w:sz="0" w:space="0" w:color="auto"/>
        <w:right w:val="none" w:sz="0" w:space="0" w:color="auto"/>
      </w:divBdr>
    </w:div>
    <w:div w:id="1868984823">
      <w:bodyDiv w:val="1"/>
      <w:marLeft w:val="0"/>
      <w:marRight w:val="0"/>
      <w:marTop w:val="0"/>
      <w:marBottom w:val="0"/>
      <w:divBdr>
        <w:top w:val="none" w:sz="0" w:space="0" w:color="auto"/>
        <w:left w:val="none" w:sz="0" w:space="0" w:color="auto"/>
        <w:bottom w:val="none" w:sz="0" w:space="0" w:color="auto"/>
        <w:right w:val="none" w:sz="0" w:space="0" w:color="auto"/>
      </w:divBdr>
    </w:div>
    <w:div w:id="1895655457">
      <w:bodyDiv w:val="1"/>
      <w:marLeft w:val="0"/>
      <w:marRight w:val="0"/>
      <w:marTop w:val="0"/>
      <w:marBottom w:val="0"/>
      <w:divBdr>
        <w:top w:val="none" w:sz="0" w:space="0" w:color="auto"/>
        <w:left w:val="none" w:sz="0" w:space="0" w:color="auto"/>
        <w:bottom w:val="none" w:sz="0" w:space="0" w:color="auto"/>
        <w:right w:val="none" w:sz="0" w:space="0" w:color="auto"/>
      </w:divBdr>
    </w:div>
    <w:div w:id="1914392511">
      <w:bodyDiv w:val="1"/>
      <w:marLeft w:val="0"/>
      <w:marRight w:val="0"/>
      <w:marTop w:val="0"/>
      <w:marBottom w:val="0"/>
      <w:divBdr>
        <w:top w:val="none" w:sz="0" w:space="0" w:color="auto"/>
        <w:left w:val="none" w:sz="0" w:space="0" w:color="auto"/>
        <w:bottom w:val="none" w:sz="0" w:space="0" w:color="auto"/>
        <w:right w:val="none" w:sz="0" w:space="0" w:color="auto"/>
      </w:divBdr>
    </w:div>
    <w:div w:id="1929970644">
      <w:bodyDiv w:val="1"/>
      <w:marLeft w:val="0"/>
      <w:marRight w:val="0"/>
      <w:marTop w:val="0"/>
      <w:marBottom w:val="0"/>
      <w:divBdr>
        <w:top w:val="none" w:sz="0" w:space="0" w:color="auto"/>
        <w:left w:val="none" w:sz="0" w:space="0" w:color="auto"/>
        <w:bottom w:val="none" w:sz="0" w:space="0" w:color="auto"/>
        <w:right w:val="none" w:sz="0" w:space="0" w:color="auto"/>
      </w:divBdr>
    </w:div>
    <w:div w:id="1939832502">
      <w:bodyDiv w:val="1"/>
      <w:marLeft w:val="0"/>
      <w:marRight w:val="0"/>
      <w:marTop w:val="0"/>
      <w:marBottom w:val="0"/>
      <w:divBdr>
        <w:top w:val="none" w:sz="0" w:space="0" w:color="auto"/>
        <w:left w:val="none" w:sz="0" w:space="0" w:color="auto"/>
        <w:bottom w:val="none" w:sz="0" w:space="0" w:color="auto"/>
        <w:right w:val="none" w:sz="0" w:space="0" w:color="auto"/>
      </w:divBdr>
    </w:div>
    <w:div w:id="1950970420">
      <w:bodyDiv w:val="1"/>
      <w:marLeft w:val="0"/>
      <w:marRight w:val="0"/>
      <w:marTop w:val="0"/>
      <w:marBottom w:val="0"/>
      <w:divBdr>
        <w:top w:val="none" w:sz="0" w:space="0" w:color="auto"/>
        <w:left w:val="none" w:sz="0" w:space="0" w:color="auto"/>
        <w:bottom w:val="none" w:sz="0" w:space="0" w:color="auto"/>
        <w:right w:val="none" w:sz="0" w:space="0" w:color="auto"/>
      </w:divBdr>
    </w:div>
    <w:div w:id="1966934364">
      <w:bodyDiv w:val="1"/>
      <w:marLeft w:val="0"/>
      <w:marRight w:val="0"/>
      <w:marTop w:val="0"/>
      <w:marBottom w:val="0"/>
      <w:divBdr>
        <w:top w:val="none" w:sz="0" w:space="0" w:color="auto"/>
        <w:left w:val="none" w:sz="0" w:space="0" w:color="auto"/>
        <w:bottom w:val="none" w:sz="0" w:space="0" w:color="auto"/>
        <w:right w:val="none" w:sz="0" w:space="0" w:color="auto"/>
      </w:divBdr>
    </w:div>
    <w:div w:id="1975284134">
      <w:bodyDiv w:val="1"/>
      <w:marLeft w:val="0"/>
      <w:marRight w:val="0"/>
      <w:marTop w:val="0"/>
      <w:marBottom w:val="0"/>
      <w:divBdr>
        <w:top w:val="none" w:sz="0" w:space="0" w:color="auto"/>
        <w:left w:val="none" w:sz="0" w:space="0" w:color="auto"/>
        <w:bottom w:val="none" w:sz="0" w:space="0" w:color="auto"/>
        <w:right w:val="none" w:sz="0" w:space="0" w:color="auto"/>
      </w:divBdr>
    </w:div>
    <w:div w:id="1976325725">
      <w:bodyDiv w:val="1"/>
      <w:marLeft w:val="0"/>
      <w:marRight w:val="0"/>
      <w:marTop w:val="0"/>
      <w:marBottom w:val="0"/>
      <w:divBdr>
        <w:top w:val="none" w:sz="0" w:space="0" w:color="auto"/>
        <w:left w:val="none" w:sz="0" w:space="0" w:color="auto"/>
        <w:bottom w:val="none" w:sz="0" w:space="0" w:color="auto"/>
        <w:right w:val="none" w:sz="0" w:space="0" w:color="auto"/>
      </w:divBdr>
    </w:div>
    <w:div w:id="2029985621">
      <w:bodyDiv w:val="1"/>
      <w:marLeft w:val="0"/>
      <w:marRight w:val="0"/>
      <w:marTop w:val="0"/>
      <w:marBottom w:val="0"/>
      <w:divBdr>
        <w:top w:val="none" w:sz="0" w:space="0" w:color="auto"/>
        <w:left w:val="none" w:sz="0" w:space="0" w:color="auto"/>
        <w:bottom w:val="none" w:sz="0" w:space="0" w:color="auto"/>
        <w:right w:val="none" w:sz="0" w:space="0" w:color="auto"/>
      </w:divBdr>
    </w:div>
    <w:div w:id="2137789534">
      <w:bodyDiv w:val="1"/>
      <w:marLeft w:val="0"/>
      <w:marRight w:val="0"/>
      <w:marTop w:val="0"/>
      <w:marBottom w:val="0"/>
      <w:divBdr>
        <w:top w:val="none" w:sz="0" w:space="0" w:color="auto"/>
        <w:left w:val="none" w:sz="0" w:space="0" w:color="auto"/>
        <w:bottom w:val="none" w:sz="0" w:space="0" w:color="auto"/>
        <w:right w:val="none" w:sz="0" w:space="0" w:color="auto"/>
      </w:divBdr>
    </w:div>
    <w:div w:id="213818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76120B2-1BFA-4EFB-B8F3-00CA5CECB0D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77CCFC5C33BD748B59509ACB6267006" ma:contentTypeVersion="" ma:contentTypeDescription="PDMS Document Site Content Type" ma:contentTypeScope="" ma:versionID="dc7746e1524c766727412d0100ef8428">
  <xsd:schema xmlns:xsd="http://www.w3.org/2001/XMLSchema" xmlns:xs="http://www.w3.org/2001/XMLSchema" xmlns:p="http://schemas.microsoft.com/office/2006/metadata/properties" xmlns:ns2="376120B2-1BFA-4EFB-B8F3-00CA5CECB0DF" targetNamespace="http://schemas.microsoft.com/office/2006/metadata/properties" ma:root="true" ma:fieldsID="549d18dddd9ffb58a122f84d1a3d7fa2" ns2:_="">
    <xsd:import namespace="376120B2-1BFA-4EFB-B8F3-00CA5CECB0D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120B2-1BFA-4EFB-B8F3-00CA5CECB0D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002C5-5301-40D0-9B8B-529381AEF3F7}">
  <ds:schemaRefs>
    <ds:schemaRef ds:uri="http://schemas.microsoft.com/sharepoint/v3/contenttype/forms"/>
  </ds:schemaRefs>
</ds:datastoreItem>
</file>

<file path=customXml/itemProps2.xml><?xml version="1.0" encoding="utf-8"?>
<ds:datastoreItem xmlns:ds="http://schemas.openxmlformats.org/officeDocument/2006/customXml" ds:itemID="{47910CD4-1C73-4C56-ADD7-05C9953DADC1}">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76120B2-1BFA-4EFB-B8F3-00CA5CECB0DF"/>
    <ds:schemaRef ds:uri="http://www.w3.org/XML/1998/namespace"/>
  </ds:schemaRefs>
</ds:datastoreItem>
</file>

<file path=customXml/itemProps3.xml><?xml version="1.0" encoding="utf-8"?>
<ds:datastoreItem xmlns:ds="http://schemas.openxmlformats.org/officeDocument/2006/customXml" ds:itemID="{62463502-6581-4207-A445-725826F61535}">
  <ds:schemaRefs>
    <ds:schemaRef ds:uri="http://schemas.openxmlformats.org/officeDocument/2006/bibliography"/>
  </ds:schemaRefs>
</ds:datastoreItem>
</file>

<file path=customXml/itemProps4.xml><?xml version="1.0" encoding="utf-8"?>
<ds:datastoreItem xmlns:ds="http://schemas.openxmlformats.org/officeDocument/2006/customXml" ds:itemID="{B28ACA7E-4073-4372-BB38-C94998737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120B2-1BFA-4EFB-B8F3-00CA5CECB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7027</Words>
  <Characters>38592</Characters>
  <Application>Microsoft Office Word</Application>
  <DocSecurity>0</DocSecurity>
  <Lines>721</Lines>
  <Paragraphs>230</Paragraphs>
  <ScaleCrop>false</ScaleCrop>
  <Company>FaHCSIA</Company>
  <LinksUpToDate>false</LinksUpToDate>
  <CharactersWithSpaces>45573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Duncan</dc:creator>
  <cp:keywords>[SEC=OFFICIAL]</cp:keywords>
  <dc:description/>
  <cp:lastModifiedBy>Sofia Gongolidis</cp:lastModifiedBy>
  <cp:revision>4</cp:revision>
  <cp:lastPrinted>2025-07-10T01:25:00Z</cp:lastPrinted>
  <dcterms:created xsi:type="dcterms:W3CDTF">2025-09-26T00:14:00Z</dcterms:created>
  <dcterms:modified xsi:type="dcterms:W3CDTF">2025-09-26T00:17:00Z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v=2022.1;a=SHA256;h=8E1AAEE495425B179A5C4C16F5B64EE1585475FEA42DCF19E8296211D7D6FCBF</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2025-07-08T02:23:52Z</vt:lpwstr>
  </property>
  <property fmtid="{D5CDD505-2E9C-101B-9397-08002B2CF9AE}" pid="12" name="PM_DownTo">
    <vt:lpwstr/>
  </property>
  <property fmtid="{D5CDD505-2E9C-101B-9397-08002B2CF9AE}" pid="13" name="PM_Markers">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MSIP_Label_eb34d90b-fc41-464d-af60-f74d721d0790_SiteId">
    <vt:lpwstr>61e36dd1-ca6e-4d61-aa0a-2b4eb88317a3</vt:lpwstr>
  </property>
  <property fmtid="{D5CDD505-2E9C-101B-9397-08002B2CF9AE}" pid="17" name="MSIP_Label_eb34d90b-fc41-464d-af60-f74d721d0790_ContentBits">
    <vt:lpwstr>0</vt:lpwstr>
  </property>
  <property fmtid="{D5CDD505-2E9C-101B-9397-08002B2CF9AE}" pid="18" name="MSIP_Label_eb34d90b-fc41-464d-af60-f74d721d0790_Enabled">
    <vt:lpwstr>true</vt:lpwstr>
  </property>
  <property fmtid="{D5CDD505-2E9C-101B-9397-08002B2CF9AE}" pid="19" name="MSIP_Label_eb34d90b-fc41-464d-af60-f74d721d0790_SetDate">
    <vt:lpwstr>2025-07-08T02:23:52Z</vt:lpwstr>
  </property>
  <property fmtid="{D5CDD505-2E9C-101B-9397-08002B2CF9AE}" pid="20" name="MSIP_Label_eb34d90b-fc41-464d-af60-f74d721d0790_Method">
    <vt:lpwstr>Privileged</vt:lpwstr>
  </property>
  <property fmtid="{D5CDD505-2E9C-101B-9397-08002B2CF9AE}" pid="21" name="MSIP_Label_eb34d90b-fc41-464d-af60-f74d721d0790_ActionId">
    <vt:lpwstr>0cd4ad4f63a446879b6e852021e8a693</vt:lpwstr>
  </property>
  <property fmtid="{D5CDD505-2E9C-101B-9397-08002B2CF9AE}" pid="22" name="PM_InsertionValue">
    <vt:lpwstr>OFFICIAL</vt:lpwstr>
  </property>
  <property fmtid="{D5CDD505-2E9C-101B-9397-08002B2CF9AE}" pid="23" name="PM_Originator_Hash_SHA1">
    <vt:lpwstr>3A7D6CCFFAC43F7CC1B6031596302527D474C9FC</vt:lpwstr>
  </property>
  <property fmtid="{D5CDD505-2E9C-101B-9397-08002B2CF9AE}" pid="24" name="PM_Originating_FileId">
    <vt:lpwstr>C09DD769DFED42B2B4DF1F4151C38EA1</vt:lpwstr>
  </property>
  <property fmtid="{D5CDD505-2E9C-101B-9397-08002B2CF9AE}" pid="25" name="PM_ProtectiveMarkingValue_Footer">
    <vt:lpwstr>OFFICIAL</vt:lpwstr>
  </property>
  <property fmtid="{D5CDD505-2E9C-101B-9397-08002B2CF9AE}" pid="26" name="PM_Display">
    <vt:lpwstr>OFFICIAL</vt:lpwstr>
  </property>
  <property fmtid="{D5CDD505-2E9C-101B-9397-08002B2CF9AE}" pid="27" name="PM_OriginatorUserAccountName_SHA256">
    <vt:lpwstr>279BECFA750F65F5D8F2D082588F2D075A51A9269FFB4F7566248B432C685EC1</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E86C678D0A3905F5474D2DEA00C23040</vt:lpwstr>
  </property>
  <property fmtid="{D5CDD505-2E9C-101B-9397-08002B2CF9AE}" pid="32" name="PM_Hash_Salt">
    <vt:lpwstr>A901E5F415E88401DAC1B002D3A3CBDB</vt:lpwstr>
  </property>
  <property fmtid="{D5CDD505-2E9C-101B-9397-08002B2CF9AE}" pid="33" name="PM_Hash_SHA1">
    <vt:lpwstr>739B6A334D0C8041827C697602B57E9647223807</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0x010100266966F133664895A6EE3632470D45F500A77CCFC5C33BD748B59509ACB6267006</vt:lpwstr>
  </property>
</Properties>
</file>