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BA83" w14:textId="77777777" w:rsidR="00892394" w:rsidRPr="00C52125" w:rsidRDefault="00892394" w:rsidP="00892394">
      <w:pPr>
        <w:jc w:val="center"/>
        <w:rPr>
          <w:rFonts w:ascii="Times New Roman" w:hAnsi="Times New Roman" w:cs="Times New Roman"/>
          <w:b/>
          <w:sz w:val="24"/>
          <w:szCs w:val="24"/>
        </w:rPr>
      </w:pPr>
      <w:r w:rsidRPr="00C52125">
        <w:rPr>
          <w:rFonts w:ascii="Times New Roman" w:hAnsi="Times New Roman" w:cs="Times New Roman"/>
          <w:b/>
          <w:sz w:val="24"/>
          <w:szCs w:val="24"/>
        </w:rPr>
        <w:t>Explanatory Statement</w:t>
      </w:r>
    </w:p>
    <w:p w14:paraId="3F8B050A"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CA34AD">
        <w:rPr>
          <w:rFonts w:ascii="Times New Roman" w:hAnsi="Times New Roman" w:cs="Times New Roman"/>
          <w:sz w:val="24"/>
          <w:szCs w:val="24"/>
        </w:rPr>
        <w:t>Communications</w:t>
      </w:r>
    </w:p>
    <w:p w14:paraId="534D151E" w14:textId="77777777" w:rsidR="00892394" w:rsidRPr="00C52125" w:rsidRDefault="00CA34AD" w:rsidP="00892394">
      <w:pPr>
        <w:jc w:val="center"/>
        <w:rPr>
          <w:rFonts w:ascii="Times New Roman" w:hAnsi="Times New Roman" w:cs="Times New Roman"/>
          <w:i/>
          <w:sz w:val="24"/>
          <w:szCs w:val="24"/>
        </w:rPr>
      </w:pPr>
      <w:r w:rsidRPr="00CA34AD">
        <w:rPr>
          <w:rFonts w:ascii="Times New Roman" w:hAnsi="Times New Roman" w:cs="Times New Roman"/>
          <w:i/>
          <w:sz w:val="24"/>
          <w:szCs w:val="24"/>
        </w:rPr>
        <w:t xml:space="preserve">Telecommunications (Consumer Protection and Service Standards) </w:t>
      </w:r>
      <w:r>
        <w:rPr>
          <w:rFonts w:ascii="Times New Roman" w:hAnsi="Times New Roman" w:cs="Times New Roman"/>
          <w:i/>
          <w:sz w:val="24"/>
          <w:szCs w:val="24"/>
        </w:rPr>
        <w:t>Act 199</w:t>
      </w:r>
      <w:r w:rsidR="00C8119D">
        <w:rPr>
          <w:rFonts w:ascii="Times New Roman" w:hAnsi="Times New Roman" w:cs="Times New Roman"/>
          <w:i/>
          <w:sz w:val="24"/>
          <w:szCs w:val="24"/>
        </w:rPr>
        <w:t>9</w:t>
      </w:r>
    </w:p>
    <w:p w14:paraId="4F2FFA7C" w14:textId="77777777" w:rsidR="00892394" w:rsidRDefault="00CA34AD" w:rsidP="006007DA">
      <w:pPr>
        <w:jc w:val="center"/>
        <w:rPr>
          <w:rFonts w:ascii="Times New Roman" w:hAnsi="Times New Roman" w:cs="Times New Roman"/>
          <w:b/>
          <w:sz w:val="24"/>
          <w:szCs w:val="24"/>
        </w:rPr>
      </w:pPr>
      <w:bookmarkStart w:id="0" w:name="_Hlk204784124"/>
      <w:r w:rsidRPr="00CA34AD">
        <w:rPr>
          <w:rFonts w:ascii="Times New Roman" w:hAnsi="Times New Roman" w:cs="Times New Roman"/>
          <w:b/>
          <w:sz w:val="24"/>
          <w:szCs w:val="24"/>
        </w:rPr>
        <w:t>Telecommunications (Consumer Protection and Service Standards) (Non-Participating Persons) Determination 2025</w:t>
      </w:r>
    </w:p>
    <w:bookmarkEnd w:id="0"/>
    <w:p w14:paraId="7EA95809"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41A34E2D" w14:textId="77777777" w:rsidR="00C8119D" w:rsidRDefault="00C8119D" w:rsidP="00C8119D">
      <w:pPr>
        <w:pStyle w:val="NormalWeb"/>
        <w:spacing w:before="280" w:beforeAutospacing="0" w:after="280" w:afterAutospacing="0"/>
        <w:rPr>
          <w:rFonts w:ascii="Calibri" w:hAnsi="Calibri"/>
          <w:color w:val="000000"/>
        </w:rPr>
      </w:pPr>
      <w:r>
        <w:rPr>
          <w:color w:val="000000"/>
        </w:rPr>
        <w:t>The </w:t>
      </w:r>
      <w:r w:rsidRPr="00C8119D">
        <w:rPr>
          <w:i/>
          <w:iCs/>
          <w:color w:val="000000"/>
        </w:rPr>
        <w:t>Telecommunications (Consumer Protection and Service Standards) (Non-Participating Persons) Determination 2025</w:t>
      </w:r>
      <w:r>
        <w:rPr>
          <w:i/>
          <w:iCs/>
          <w:color w:val="000000"/>
        </w:rPr>
        <w:t> </w:t>
      </w:r>
      <w:r>
        <w:rPr>
          <w:color w:val="000000"/>
        </w:rPr>
        <w:t>(</w:t>
      </w:r>
      <w:r>
        <w:rPr>
          <w:b/>
          <w:bCs/>
          <w:color w:val="000000"/>
        </w:rPr>
        <w:t>Determination</w:t>
      </w:r>
      <w:r>
        <w:rPr>
          <w:color w:val="000000"/>
        </w:rPr>
        <w:t>) is made by the Minister for Communications (the </w:t>
      </w:r>
      <w:r>
        <w:rPr>
          <w:b/>
          <w:bCs/>
          <w:color w:val="000000"/>
        </w:rPr>
        <w:t>Minister</w:t>
      </w:r>
      <w:r>
        <w:rPr>
          <w:color w:val="000000"/>
        </w:rPr>
        <w:t>) under subsection 44(2) of the </w:t>
      </w:r>
      <w:r>
        <w:rPr>
          <w:i/>
          <w:iCs/>
          <w:color w:val="000000"/>
        </w:rPr>
        <w:t>Telecommunications (Consumer Protection and Service Standards) Act 1999</w:t>
      </w:r>
      <w:r>
        <w:rPr>
          <w:color w:val="000000"/>
        </w:rPr>
        <w:t> (</w:t>
      </w:r>
      <w:r>
        <w:rPr>
          <w:b/>
          <w:bCs/>
          <w:color w:val="000000"/>
        </w:rPr>
        <w:t>Act</w:t>
      </w:r>
      <w:r>
        <w:rPr>
          <w:color w:val="000000"/>
        </w:rPr>
        <w:t xml:space="preserve">). </w:t>
      </w:r>
    </w:p>
    <w:p w14:paraId="30FAE665"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24658690" w14:textId="77777777" w:rsidR="007105B8" w:rsidRPr="00371A5D" w:rsidRDefault="007105B8" w:rsidP="007105B8">
      <w:pPr>
        <w:rPr>
          <w:rFonts w:ascii="Times New Roman" w:hAnsi="Times New Roman"/>
          <w:sz w:val="24"/>
          <w:szCs w:val="24"/>
        </w:rPr>
      </w:pPr>
      <w:r w:rsidRPr="00371A5D">
        <w:rPr>
          <w:rFonts w:ascii="Times New Roman" w:hAnsi="Times New Roman"/>
          <w:sz w:val="24"/>
          <w:szCs w:val="24"/>
        </w:rPr>
        <w:t>The purpose of the</w:t>
      </w:r>
      <w:r>
        <w:rPr>
          <w:rFonts w:ascii="Times New Roman" w:hAnsi="Times New Roman"/>
          <w:sz w:val="24"/>
          <w:szCs w:val="24"/>
        </w:rPr>
        <w:t xml:space="preserve"> Determination is to set a </w:t>
      </w:r>
      <w:r w:rsidR="00DD3BA1">
        <w:rPr>
          <w:rFonts w:ascii="Times New Roman" w:hAnsi="Times New Roman"/>
          <w:sz w:val="24"/>
          <w:szCs w:val="24"/>
        </w:rPr>
        <w:t xml:space="preserve">revenue </w:t>
      </w:r>
      <w:r>
        <w:rPr>
          <w:rFonts w:ascii="Times New Roman" w:hAnsi="Times New Roman"/>
          <w:sz w:val="24"/>
          <w:szCs w:val="24"/>
        </w:rPr>
        <w:t xml:space="preserve">threshold </w:t>
      </w:r>
      <w:r w:rsidR="00DD3BA1">
        <w:rPr>
          <w:rFonts w:ascii="Times New Roman" w:hAnsi="Times New Roman"/>
          <w:sz w:val="24"/>
          <w:szCs w:val="24"/>
        </w:rPr>
        <w:t xml:space="preserve">of $25 million </w:t>
      </w:r>
      <w:r>
        <w:rPr>
          <w:rFonts w:ascii="Times New Roman" w:hAnsi="Times New Roman"/>
          <w:sz w:val="24"/>
          <w:szCs w:val="24"/>
        </w:rPr>
        <w:t xml:space="preserve">that exempts certain persons </w:t>
      </w:r>
      <w:r w:rsidR="00412691">
        <w:rPr>
          <w:rFonts w:ascii="Times New Roman" w:hAnsi="Times New Roman"/>
          <w:sz w:val="24"/>
          <w:szCs w:val="24"/>
        </w:rPr>
        <w:t>from being ‘participating persons’</w:t>
      </w:r>
      <w:r w:rsidR="00407575">
        <w:rPr>
          <w:rFonts w:ascii="Times New Roman" w:hAnsi="Times New Roman"/>
          <w:sz w:val="24"/>
          <w:szCs w:val="24"/>
        </w:rPr>
        <w:t xml:space="preserve"> and required to</w:t>
      </w:r>
      <w:r>
        <w:rPr>
          <w:rFonts w:ascii="Times New Roman" w:hAnsi="Times New Roman"/>
          <w:sz w:val="24"/>
          <w:szCs w:val="24"/>
        </w:rPr>
        <w:t xml:space="preserve"> contribute to the Telecommunications Industry Levy (TIL)</w:t>
      </w:r>
      <w:r w:rsidR="00407575">
        <w:rPr>
          <w:rFonts w:ascii="Times New Roman" w:hAnsi="Times New Roman"/>
          <w:sz w:val="24"/>
          <w:szCs w:val="24"/>
        </w:rPr>
        <w:t xml:space="preserve"> under the Act</w:t>
      </w:r>
      <w:r>
        <w:rPr>
          <w:rFonts w:ascii="Times New Roman" w:hAnsi="Times New Roman"/>
          <w:sz w:val="24"/>
          <w:szCs w:val="24"/>
        </w:rPr>
        <w:t>.</w:t>
      </w:r>
    </w:p>
    <w:p w14:paraId="65E7FBEE" w14:textId="77777777" w:rsidR="00892394" w:rsidRPr="00C3335C" w:rsidDel="00C3335C" w:rsidRDefault="00892394" w:rsidP="00892394">
      <w:pPr>
        <w:pStyle w:val="ListParagraph"/>
        <w:shd w:val="clear" w:color="auto" w:fill="FFFFFF"/>
        <w:spacing w:before="100" w:beforeAutospacing="1" w:after="100" w:afterAutospacing="1"/>
        <w:ind w:left="0"/>
        <w:rPr>
          <w:rFonts w:ascii="Times New Roman" w:hAnsi="Times New Roman" w:cs="Times New Roman"/>
          <w:sz w:val="24"/>
          <w:szCs w:val="24"/>
        </w:rPr>
      </w:pPr>
      <w:r w:rsidRPr="006007DA" w:rsidDel="00C3335C">
        <w:rPr>
          <w:rFonts w:ascii="Times New Roman" w:hAnsi="Times New Roman" w:cs="Times New Roman"/>
          <w:b/>
          <w:sz w:val="24"/>
          <w:szCs w:val="24"/>
        </w:rPr>
        <w:t>Background</w:t>
      </w:r>
    </w:p>
    <w:p w14:paraId="0FB8CD74" w14:textId="77777777" w:rsidR="00A17DA0" w:rsidRPr="00DC1928" w:rsidRDefault="006007DA" w:rsidP="00ED641B">
      <w:pPr>
        <w:rPr>
          <w:rFonts w:ascii="Times New Roman" w:hAnsi="Times New Roman" w:cs="Times New Roman"/>
          <w:color w:val="000000"/>
          <w:sz w:val="24"/>
          <w:szCs w:val="24"/>
        </w:rPr>
      </w:pPr>
      <w:r>
        <w:rPr>
          <w:rFonts w:ascii="Times New Roman" w:hAnsi="Times New Roman" w:cs="Times New Roman"/>
          <w:sz w:val="24"/>
          <w:szCs w:val="24"/>
        </w:rPr>
        <w:t xml:space="preserve">Division 6 of </w:t>
      </w:r>
      <w:r w:rsidR="000F25B9">
        <w:rPr>
          <w:rFonts w:ascii="Times New Roman" w:hAnsi="Times New Roman" w:cs="Times New Roman"/>
          <w:sz w:val="24"/>
          <w:szCs w:val="24"/>
        </w:rPr>
        <w:t xml:space="preserve">Part 2 of </w:t>
      </w:r>
      <w:r w:rsidR="00C3335C" w:rsidRPr="00C3335C">
        <w:rPr>
          <w:rFonts w:ascii="Times New Roman" w:hAnsi="Times New Roman" w:cs="Times New Roman"/>
          <w:sz w:val="24"/>
          <w:szCs w:val="24"/>
        </w:rPr>
        <w:t>t</w:t>
      </w:r>
      <w:r w:rsidR="00DE09E2" w:rsidRPr="00C3335C">
        <w:rPr>
          <w:rFonts w:ascii="Times New Roman" w:hAnsi="Times New Roman" w:cs="Times New Roman"/>
          <w:sz w:val="24"/>
          <w:szCs w:val="24"/>
        </w:rPr>
        <w:t xml:space="preserve">he Act provides </w:t>
      </w:r>
      <w:r w:rsidR="00C3335C">
        <w:rPr>
          <w:rFonts w:ascii="Times New Roman" w:hAnsi="Times New Roman" w:cs="Times New Roman"/>
          <w:sz w:val="24"/>
          <w:szCs w:val="24"/>
        </w:rPr>
        <w:t xml:space="preserve">a framework that allows for the Australian Communications and Media Authority (ACMA) to assess and collect </w:t>
      </w:r>
      <w:r w:rsidR="007105B8">
        <w:rPr>
          <w:rFonts w:ascii="Times New Roman" w:hAnsi="Times New Roman" w:cs="Times New Roman"/>
          <w:sz w:val="24"/>
          <w:szCs w:val="24"/>
        </w:rPr>
        <w:t>the TIL</w:t>
      </w:r>
      <w:r w:rsidR="00407575">
        <w:rPr>
          <w:rFonts w:ascii="Times New Roman" w:hAnsi="Times New Roman" w:cs="Times New Roman"/>
          <w:sz w:val="24"/>
          <w:szCs w:val="24"/>
        </w:rPr>
        <w:t xml:space="preserve">. </w:t>
      </w:r>
      <w:r w:rsidR="0046472A">
        <w:rPr>
          <w:rFonts w:ascii="Times New Roman" w:hAnsi="Times New Roman" w:cs="Times New Roman"/>
          <w:sz w:val="24"/>
          <w:szCs w:val="24"/>
        </w:rPr>
        <w:t xml:space="preserve">The TIL </w:t>
      </w:r>
      <w:r w:rsidR="00407575">
        <w:rPr>
          <w:rFonts w:ascii="Times New Roman" w:hAnsi="Times New Roman" w:cs="Times New Roman"/>
          <w:sz w:val="24"/>
          <w:szCs w:val="24"/>
        </w:rPr>
        <w:t>itself</w:t>
      </w:r>
      <w:r w:rsidR="007105B8">
        <w:rPr>
          <w:rFonts w:ascii="Times New Roman" w:hAnsi="Times New Roman" w:cs="Times New Roman"/>
          <w:sz w:val="24"/>
          <w:szCs w:val="24"/>
        </w:rPr>
        <w:t xml:space="preserve"> </w:t>
      </w:r>
      <w:r w:rsidR="00C3335C" w:rsidRPr="00C3335C">
        <w:rPr>
          <w:rFonts w:ascii="Times New Roman" w:hAnsi="Times New Roman" w:cs="Times New Roman"/>
          <w:sz w:val="24"/>
          <w:szCs w:val="24"/>
        </w:rPr>
        <w:t>is</w:t>
      </w:r>
      <w:r w:rsidR="00A17DA0" w:rsidRPr="00C3335C">
        <w:rPr>
          <w:rFonts w:ascii="Times New Roman" w:hAnsi="Times New Roman" w:cs="Times New Roman"/>
          <w:sz w:val="24"/>
          <w:szCs w:val="24"/>
        </w:rPr>
        <w:t xml:space="preserve"> </w:t>
      </w:r>
      <w:r w:rsidR="00C3335C" w:rsidRPr="00C3335C">
        <w:rPr>
          <w:rFonts w:ascii="Times New Roman" w:hAnsi="Times New Roman" w:cs="Times New Roman"/>
          <w:sz w:val="24"/>
          <w:szCs w:val="24"/>
        </w:rPr>
        <w:t xml:space="preserve">imposed by the </w:t>
      </w:r>
      <w:r w:rsidR="00C3335C" w:rsidRPr="006007DA">
        <w:rPr>
          <w:rFonts w:ascii="Times New Roman" w:hAnsi="Times New Roman" w:cs="Times New Roman"/>
          <w:i/>
          <w:iCs/>
          <w:color w:val="000000"/>
          <w:sz w:val="24"/>
          <w:szCs w:val="24"/>
        </w:rPr>
        <w:t>Telecommunications (Industry Levy) Act 2012</w:t>
      </w:r>
      <w:r w:rsidR="00C3335C" w:rsidRPr="006007DA">
        <w:rPr>
          <w:rFonts w:ascii="Times New Roman" w:hAnsi="Times New Roman" w:cs="Times New Roman"/>
          <w:color w:val="000000"/>
          <w:sz w:val="24"/>
          <w:szCs w:val="24"/>
        </w:rPr>
        <w:t>.</w:t>
      </w:r>
    </w:p>
    <w:p w14:paraId="3FAE9583" w14:textId="77777777" w:rsidR="00DC1928" w:rsidRDefault="00C3335C" w:rsidP="00C3335C">
      <w:pPr>
        <w:rPr>
          <w:rFonts w:ascii="Times New Roman" w:hAnsi="Times New Roman" w:cs="Times New Roman"/>
          <w:sz w:val="24"/>
          <w:szCs w:val="24"/>
        </w:rPr>
      </w:pPr>
      <w:r w:rsidRPr="006007DA">
        <w:rPr>
          <w:rFonts w:ascii="Times New Roman" w:hAnsi="Times New Roman" w:cs="Times New Roman"/>
          <w:sz w:val="24"/>
          <w:szCs w:val="24"/>
        </w:rPr>
        <w:t xml:space="preserve">The eligible revenue of ‘participating persons’ determined by the ACMA </w:t>
      </w:r>
      <w:r w:rsidR="00DC1928" w:rsidRPr="006007DA">
        <w:rPr>
          <w:rFonts w:ascii="Times New Roman" w:hAnsi="Times New Roman" w:cs="Times New Roman"/>
          <w:sz w:val="24"/>
          <w:szCs w:val="24"/>
        </w:rPr>
        <w:t xml:space="preserve">for a given eligible revenue period </w:t>
      </w:r>
      <w:r w:rsidRPr="006007DA">
        <w:rPr>
          <w:rFonts w:ascii="Times New Roman" w:hAnsi="Times New Roman" w:cs="Times New Roman"/>
          <w:sz w:val="24"/>
          <w:szCs w:val="24"/>
        </w:rPr>
        <w:t>is used to calculate the amount of TIL payable</w:t>
      </w:r>
      <w:r w:rsidR="00DC1928" w:rsidRPr="006007DA">
        <w:rPr>
          <w:rFonts w:ascii="Times New Roman" w:hAnsi="Times New Roman" w:cs="Times New Roman"/>
          <w:sz w:val="24"/>
          <w:szCs w:val="24"/>
        </w:rPr>
        <w:t xml:space="preserve"> in </w:t>
      </w:r>
      <w:r w:rsidR="00DC1928">
        <w:rPr>
          <w:rFonts w:ascii="Times New Roman" w:hAnsi="Times New Roman" w:cs="Times New Roman"/>
          <w:sz w:val="24"/>
          <w:szCs w:val="24"/>
        </w:rPr>
        <w:t>the following</w:t>
      </w:r>
      <w:r w:rsidR="00DC1928" w:rsidRPr="006007DA">
        <w:rPr>
          <w:rFonts w:ascii="Times New Roman" w:hAnsi="Times New Roman" w:cs="Times New Roman"/>
          <w:sz w:val="24"/>
          <w:szCs w:val="24"/>
        </w:rPr>
        <w:t xml:space="preserve"> eligible levy period</w:t>
      </w:r>
      <w:r w:rsidRPr="006007DA">
        <w:rPr>
          <w:rFonts w:ascii="Times New Roman" w:hAnsi="Times New Roman" w:cs="Times New Roman"/>
          <w:sz w:val="24"/>
          <w:szCs w:val="24"/>
        </w:rPr>
        <w:t xml:space="preserve">. </w:t>
      </w:r>
    </w:p>
    <w:p w14:paraId="27AA892D" w14:textId="05F7D6E8" w:rsidR="00C3335C" w:rsidRPr="00DC1928" w:rsidRDefault="00DC1928" w:rsidP="00C3335C">
      <w:pPr>
        <w:rPr>
          <w:rFonts w:ascii="Times New Roman" w:hAnsi="Times New Roman" w:cs="Times New Roman"/>
          <w:sz w:val="24"/>
          <w:szCs w:val="24"/>
        </w:rPr>
      </w:pPr>
      <w:r>
        <w:rPr>
          <w:rFonts w:ascii="Times New Roman" w:hAnsi="Times New Roman" w:cs="Times New Roman"/>
          <w:sz w:val="24"/>
          <w:szCs w:val="24"/>
        </w:rPr>
        <w:t>Funds raised by the TIL</w:t>
      </w:r>
      <w:r w:rsidR="007105B8">
        <w:rPr>
          <w:rFonts w:ascii="Times New Roman" w:hAnsi="Times New Roman" w:cs="Times New Roman"/>
          <w:sz w:val="24"/>
          <w:szCs w:val="24"/>
        </w:rPr>
        <w:t>, along with contributions from the Australian Government, meet</w:t>
      </w:r>
      <w:r w:rsidRPr="006007DA">
        <w:rPr>
          <w:rFonts w:ascii="Times New Roman" w:hAnsi="Times New Roman" w:cs="Times New Roman"/>
          <w:sz w:val="24"/>
          <w:szCs w:val="24"/>
        </w:rPr>
        <w:t xml:space="preserve"> the costs of </w:t>
      </w:r>
      <w:r w:rsidR="00C3335C" w:rsidRPr="006007DA">
        <w:rPr>
          <w:rFonts w:ascii="Times New Roman" w:hAnsi="Times New Roman" w:cs="Times New Roman"/>
          <w:sz w:val="24"/>
          <w:szCs w:val="24"/>
        </w:rPr>
        <w:t>contractors and grant recipients to deliver public interest telecommunications services</w:t>
      </w:r>
      <w:r w:rsidRPr="006007DA">
        <w:rPr>
          <w:rFonts w:ascii="Times New Roman" w:hAnsi="Times New Roman" w:cs="Times New Roman"/>
          <w:sz w:val="24"/>
          <w:szCs w:val="24"/>
        </w:rPr>
        <w:t xml:space="preserve"> (see </w:t>
      </w:r>
      <w:r>
        <w:rPr>
          <w:rFonts w:ascii="Times New Roman" w:hAnsi="Times New Roman" w:cs="Times New Roman"/>
          <w:sz w:val="24"/>
          <w:szCs w:val="24"/>
        </w:rPr>
        <w:t xml:space="preserve">section </w:t>
      </w:r>
      <w:r w:rsidRPr="006007DA">
        <w:rPr>
          <w:rFonts w:ascii="Times New Roman" w:hAnsi="Times New Roman" w:cs="Times New Roman"/>
          <w:sz w:val="24"/>
          <w:szCs w:val="24"/>
        </w:rPr>
        <w:t xml:space="preserve">14 of the Act) and </w:t>
      </w:r>
      <w:r w:rsidR="00C3335C" w:rsidRPr="006007DA">
        <w:rPr>
          <w:rFonts w:ascii="Times New Roman" w:hAnsi="Times New Roman" w:cs="Times New Roman"/>
          <w:sz w:val="24"/>
          <w:szCs w:val="24"/>
        </w:rPr>
        <w:t xml:space="preserve">costs of the Commonwealth in administering these contracts and grants. </w:t>
      </w:r>
      <w:r>
        <w:rPr>
          <w:rFonts w:ascii="Times New Roman" w:hAnsi="Times New Roman" w:cs="Times New Roman"/>
          <w:sz w:val="24"/>
          <w:szCs w:val="24"/>
        </w:rPr>
        <w:t>Public interest telecommunications services</w:t>
      </w:r>
      <w:r w:rsidR="00972114">
        <w:rPr>
          <w:rFonts w:ascii="Times New Roman" w:hAnsi="Times New Roman" w:cs="Times New Roman"/>
          <w:sz w:val="24"/>
          <w:szCs w:val="24"/>
        </w:rPr>
        <w:t>, which are designed to meet the policy objectives set out</w:t>
      </w:r>
      <w:r>
        <w:rPr>
          <w:rFonts w:ascii="Times New Roman" w:hAnsi="Times New Roman" w:cs="Times New Roman"/>
          <w:sz w:val="24"/>
          <w:szCs w:val="24"/>
        </w:rPr>
        <w:t xml:space="preserve"> in section 13 of the Act</w:t>
      </w:r>
      <w:r w:rsidR="00972114">
        <w:rPr>
          <w:rFonts w:ascii="Times New Roman" w:hAnsi="Times New Roman" w:cs="Times New Roman"/>
          <w:sz w:val="24"/>
          <w:szCs w:val="24"/>
        </w:rPr>
        <w:t>,</w:t>
      </w:r>
      <w:r>
        <w:rPr>
          <w:rFonts w:ascii="Times New Roman" w:hAnsi="Times New Roman" w:cs="Times New Roman"/>
          <w:sz w:val="24"/>
          <w:szCs w:val="24"/>
        </w:rPr>
        <w:t xml:space="preserve"> currently </w:t>
      </w:r>
      <w:r w:rsidR="00C3335C" w:rsidRPr="006007DA">
        <w:rPr>
          <w:rFonts w:ascii="Times New Roman" w:hAnsi="Times New Roman" w:cs="Times New Roman"/>
          <w:sz w:val="24"/>
          <w:szCs w:val="24"/>
        </w:rPr>
        <w:t xml:space="preserve">include </w:t>
      </w:r>
      <w:r>
        <w:rPr>
          <w:rFonts w:ascii="Times New Roman" w:hAnsi="Times New Roman" w:cs="Times New Roman"/>
          <w:sz w:val="24"/>
          <w:szCs w:val="24"/>
        </w:rPr>
        <w:t xml:space="preserve">but are not limited to </w:t>
      </w:r>
      <w:r w:rsidR="00C3335C" w:rsidRPr="006007DA">
        <w:rPr>
          <w:rFonts w:ascii="Times New Roman" w:hAnsi="Times New Roman" w:cs="Times New Roman"/>
          <w:sz w:val="24"/>
          <w:szCs w:val="24"/>
        </w:rPr>
        <w:t>universal service obligations for standard telephone service</w:t>
      </w:r>
      <w:r w:rsidR="00972114">
        <w:rPr>
          <w:rFonts w:ascii="Times New Roman" w:hAnsi="Times New Roman" w:cs="Times New Roman"/>
          <w:sz w:val="24"/>
          <w:szCs w:val="24"/>
        </w:rPr>
        <w:t>s</w:t>
      </w:r>
      <w:r w:rsidR="00C3335C" w:rsidRPr="006007DA">
        <w:rPr>
          <w:rFonts w:ascii="Times New Roman" w:hAnsi="Times New Roman" w:cs="Times New Roman"/>
          <w:sz w:val="24"/>
          <w:szCs w:val="24"/>
        </w:rPr>
        <w:t xml:space="preserve"> and payphones, emergency call services and the National Relay Service.</w:t>
      </w:r>
    </w:p>
    <w:p w14:paraId="2DC5B5A4" w14:textId="77777777" w:rsidR="00925CAB" w:rsidRPr="00925CAB" w:rsidRDefault="00C3335C" w:rsidP="00925CAB">
      <w:pPr>
        <w:rPr>
          <w:rFonts w:ascii="Times New Roman" w:hAnsi="Times New Roman"/>
          <w:sz w:val="24"/>
          <w:szCs w:val="24"/>
        </w:rPr>
      </w:pPr>
      <w:r>
        <w:rPr>
          <w:rFonts w:ascii="Times New Roman" w:hAnsi="Times New Roman"/>
          <w:sz w:val="24"/>
          <w:szCs w:val="24"/>
        </w:rPr>
        <w:t>U</w:t>
      </w:r>
      <w:r w:rsidR="00925CAB" w:rsidRPr="00925CAB">
        <w:rPr>
          <w:rFonts w:ascii="Times New Roman" w:hAnsi="Times New Roman"/>
          <w:sz w:val="24"/>
          <w:szCs w:val="24"/>
        </w:rPr>
        <w:t>nder subsection 44(1) of the Act, a person is a ‘participating person’ for an eligible revenue period if:</w:t>
      </w:r>
    </w:p>
    <w:p w14:paraId="14D610AC" w14:textId="77777777" w:rsidR="00925CAB" w:rsidRPr="00925CAB" w:rsidRDefault="00925CAB" w:rsidP="00925CAB">
      <w:pPr>
        <w:pStyle w:val="ListParagraph"/>
        <w:numPr>
          <w:ilvl w:val="0"/>
          <w:numId w:val="3"/>
        </w:numPr>
        <w:rPr>
          <w:rFonts w:ascii="Times New Roman" w:hAnsi="Times New Roman"/>
          <w:sz w:val="24"/>
          <w:szCs w:val="24"/>
        </w:rPr>
      </w:pPr>
      <w:r w:rsidRPr="00925CAB">
        <w:rPr>
          <w:rFonts w:ascii="Times New Roman" w:hAnsi="Times New Roman"/>
          <w:sz w:val="24"/>
          <w:szCs w:val="24"/>
        </w:rPr>
        <w:t>the person was a carrier at any time during the eligible revenue period (paragraph 44(1)(a) of the Act); or</w:t>
      </w:r>
    </w:p>
    <w:p w14:paraId="734A63E2" w14:textId="77777777" w:rsidR="00925CAB" w:rsidRDefault="00925CAB" w:rsidP="00925CAB">
      <w:pPr>
        <w:pStyle w:val="ListParagraph"/>
        <w:numPr>
          <w:ilvl w:val="0"/>
          <w:numId w:val="3"/>
        </w:numPr>
        <w:rPr>
          <w:rFonts w:ascii="Times New Roman" w:hAnsi="Times New Roman"/>
          <w:sz w:val="24"/>
          <w:szCs w:val="24"/>
        </w:rPr>
      </w:pPr>
      <w:r w:rsidRPr="00925CAB">
        <w:rPr>
          <w:rFonts w:ascii="Times New Roman" w:hAnsi="Times New Roman"/>
          <w:sz w:val="24"/>
          <w:szCs w:val="24"/>
        </w:rPr>
        <w:t>the Minister has made a written determination that carriage service providers are participating persons for the eligible revenue period and the person was a carriage service provider at any time during the eligible revenue period (paragraph 44(1)(b) of the Act)</w:t>
      </w:r>
      <w:r w:rsidR="001C2C3A">
        <w:rPr>
          <w:rFonts w:ascii="Times New Roman" w:hAnsi="Times New Roman"/>
          <w:sz w:val="24"/>
          <w:szCs w:val="24"/>
        </w:rPr>
        <w:t>; or</w:t>
      </w:r>
    </w:p>
    <w:p w14:paraId="07E6C74C" w14:textId="77777777" w:rsidR="00BA7BC4" w:rsidRPr="00925CAB" w:rsidRDefault="003D017E" w:rsidP="00925CAB">
      <w:pPr>
        <w:pStyle w:val="ListParagraph"/>
        <w:numPr>
          <w:ilvl w:val="0"/>
          <w:numId w:val="3"/>
        </w:numPr>
        <w:rPr>
          <w:rFonts w:ascii="Times New Roman" w:hAnsi="Times New Roman"/>
          <w:sz w:val="24"/>
          <w:szCs w:val="24"/>
        </w:rPr>
      </w:pPr>
      <w:r>
        <w:rPr>
          <w:rFonts w:ascii="Times New Roman" w:hAnsi="Times New Roman"/>
          <w:sz w:val="24"/>
          <w:szCs w:val="24"/>
        </w:rPr>
        <w:t>at any time during the eligible reven</w:t>
      </w:r>
      <w:r w:rsidR="00FF0E33">
        <w:rPr>
          <w:rFonts w:ascii="Times New Roman" w:hAnsi="Times New Roman"/>
          <w:sz w:val="24"/>
          <w:szCs w:val="24"/>
        </w:rPr>
        <w:t>u</w:t>
      </w:r>
      <w:r>
        <w:rPr>
          <w:rFonts w:ascii="Times New Roman" w:hAnsi="Times New Roman"/>
          <w:sz w:val="24"/>
          <w:szCs w:val="24"/>
        </w:rPr>
        <w:t>e period, the person was in a class of persons specified in the regulations</w:t>
      </w:r>
      <w:r w:rsidR="001C2C3A">
        <w:rPr>
          <w:rFonts w:ascii="Times New Roman" w:hAnsi="Times New Roman"/>
          <w:sz w:val="24"/>
          <w:szCs w:val="24"/>
        </w:rPr>
        <w:t xml:space="preserve"> (paragraph 44(1)(c) of the Act</w:t>
      </w:r>
      <w:r w:rsidR="00FF0E33">
        <w:rPr>
          <w:rFonts w:ascii="Times New Roman" w:hAnsi="Times New Roman"/>
          <w:sz w:val="24"/>
          <w:szCs w:val="24"/>
        </w:rPr>
        <w:t>)</w:t>
      </w:r>
      <w:r w:rsidR="001C2C3A">
        <w:rPr>
          <w:rFonts w:ascii="Times New Roman" w:hAnsi="Times New Roman"/>
          <w:sz w:val="24"/>
          <w:szCs w:val="24"/>
        </w:rPr>
        <w:t>.</w:t>
      </w:r>
    </w:p>
    <w:p w14:paraId="3B785B31" w14:textId="0FFC3F47" w:rsidR="00925CAB" w:rsidRPr="006007DA" w:rsidRDefault="00925CAB" w:rsidP="00925CAB">
      <w:pPr>
        <w:rPr>
          <w:rFonts w:ascii="Times New Roman" w:hAnsi="Times New Roman"/>
          <w:sz w:val="24"/>
          <w:szCs w:val="24"/>
        </w:rPr>
      </w:pPr>
      <w:r w:rsidRPr="006007DA">
        <w:rPr>
          <w:rFonts w:ascii="Times New Roman" w:hAnsi="Times New Roman"/>
          <w:sz w:val="24"/>
          <w:szCs w:val="24"/>
        </w:rPr>
        <w:lastRenderedPageBreak/>
        <w:t xml:space="preserve">Currently, there is no written Ministerial determination </w:t>
      </w:r>
      <w:r w:rsidR="00412691">
        <w:rPr>
          <w:rFonts w:ascii="Times New Roman" w:hAnsi="Times New Roman"/>
          <w:sz w:val="24"/>
          <w:szCs w:val="24"/>
        </w:rPr>
        <w:t xml:space="preserve">made </w:t>
      </w:r>
      <w:r w:rsidRPr="006007DA">
        <w:rPr>
          <w:rFonts w:ascii="Times New Roman" w:hAnsi="Times New Roman"/>
          <w:sz w:val="24"/>
          <w:szCs w:val="24"/>
        </w:rPr>
        <w:t>under paragraph 44(1)(b) of the Act</w:t>
      </w:r>
      <w:r w:rsidR="001C2C3A" w:rsidRPr="006007DA">
        <w:rPr>
          <w:rFonts w:ascii="Times New Roman" w:hAnsi="Times New Roman"/>
          <w:sz w:val="24"/>
          <w:szCs w:val="24"/>
        </w:rPr>
        <w:t xml:space="preserve">, or a regulation </w:t>
      </w:r>
      <w:r w:rsidR="00412691">
        <w:rPr>
          <w:rFonts w:ascii="Times New Roman" w:hAnsi="Times New Roman"/>
          <w:sz w:val="24"/>
          <w:szCs w:val="24"/>
        </w:rPr>
        <w:t xml:space="preserve">made </w:t>
      </w:r>
      <w:r w:rsidR="00FF0E33">
        <w:rPr>
          <w:rFonts w:ascii="Times New Roman" w:hAnsi="Times New Roman"/>
          <w:sz w:val="24"/>
          <w:szCs w:val="24"/>
        </w:rPr>
        <w:t>for the purposes of paragraph</w:t>
      </w:r>
      <w:r w:rsidR="001C2C3A" w:rsidRPr="006007DA">
        <w:rPr>
          <w:rFonts w:ascii="Times New Roman" w:hAnsi="Times New Roman"/>
          <w:sz w:val="24"/>
          <w:szCs w:val="24"/>
        </w:rPr>
        <w:t xml:space="preserve"> 44(1)(c) of the Act</w:t>
      </w:r>
      <w:r w:rsidRPr="006007DA">
        <w:rPr>
          <w:rFonts w:ascii="Times New Roman" w:hAnsi="Times New Roman"/>
          <w:sz w:val="24"/>
          <w:szCs w:val="24"/>
        </w:rPr>
        <w:t>.</w:t>
      </w:r>
    </w:p>
    <w:p w14:paraId="134F4391" w14:textId="77777777" w:rsidR="0047760E" w:rsidRPr="006007DA" w:rsidRDefault="00EF3C01" w:rsidP="0047760E">
      <w:pPr>
        <w:spacing w:before="280" w:after="280" w:line="240" w:lineRule="auto"/>
        <w:rPr>
          <w:rFonts w:ascii="Calibri" w:eastAsia="Times New Roman" w:hAnsi="Calibri" w:cs="Calibri"/>
          <w:color w:val="000000"/>
          <w:sz w:val="24"/>
          <w:szCs w:val="24"/>
          <w:lang w:eastAsia="en-AU"/>
        </w:rPr>
      </w:pPr>
      <w:r w:rsidRPr="00925CAB">
        <w:rPr>
          <w:rFonts w:ascii="Times New Roman" w:hAnsi="Times New Roman"/>
          <w:sz w:val="24"/>
          <w:szCs w:val="24"/>
        </w:rPr>
        <w:t xml:space="preserve">The Determination replaces the </w:t>
      </w:r>
      <w:r w:rsidRPr="00116CA5">
        <w:rPr>
          <w:rFonts w:ascii="Times New Roman" w:hAnsi="Times New Roman"/>
          <w:i/>
          <w:sz w:val="24"/>
          <w:szCs w:val="24"/>
        </w:rPr>
        <w:t>Telecommunications (Participating Persons) Determination 2015</w:t>
      </w:r>
      <w:r w:rsidR="001046A8" w:rsidRPr="00116CA5">
        <w:rPr>
          <w:rFonts w:ascii="Times New Roman" w:eastAsia="Times New Roman" w:hAnsi="Times New Roman" w:cs="Times New Roman"/>
          <w:i/>
          <w:iCs/>
          <w:color w:val="000000"/>
          <w:sz w:val="24"/>
          <w:szCs w:val="24"/>
          <w:lang w:eastAsia="en-AU"/>
        </w:rPr>
        <w:t>) </w:t>
      </w:r>
      <w:r w:rsidR="001046A8" w:rsidRPr="00116CA5">
        <w:rPr>
          <w:rFonts w:ascii="Times New Roman" w:eastAsia="Times New Roman" w:hAnsi="Times New Roman" w:cs="Times New Roman"/>
          <w:color w:val="000000"/>
          <w:sz w:val="24"/>
          <w:szCs w:val="24"/>
          <w:lang w:eastAsia="en-AU"/>
        </w:rPr>
        <w:t>(</w:t>
      </w:r>
      <w:r w:rsidR="001046A8" w:rsidRPr="00116CA5">
        <w:rPr>
          <w:rFonts w:ascii="Times New Roman" w:eastAsia="Times New Roman" w:hAnsi="Times New Roman" w:cs="Times New Roman"/>
          <w:b/>
          <w:bCs/>
          <w:color w:val="000000"/>
          <w:sz w:val="24"/>
          <w:szCs w:val="24"/>
          <w:lang w:eastAsia="en-AU"/>
        </w:rPr>
        <w:t>PP Determination 2015</w:t>
      </w:r>
      <w:r w:rsidR="001046A8" w:rsidRPr="00116CA5">
        <w:rPr>
          <w:rFonts w:ascii="Times New Roman" w:eastAsia="Times New Roman" w:hAnsi="Times New Roman" w:cs="Times New Roman"/>
          <w:color w:val="000000"/>
          <w:sz w:val="24"/>
          <w:szCs w:val="24"/>
          <w:lang w:eastAsia="en-AU"/>
        </w:rPr>
        <w:t>) </w:t>
      </w:r>
      <w:r w:rsidRPr="00116CA5">
        <w:rPr>
          <w:rFonts w:ascii="Times New Roman" w:hAnsi="Times New Roman"/>
          <w:sz w:val="24"/>
          <w:szCs w:val="24"/>
        </w:rPr>
        <w:t xml:space="preserve">previously made </w:t>
      </w:r>
      <w:r w:rsidR="0047760E" w:rsidRPr="00116CA5">
        <w:rPr>
          <w:rFonts w:ascii="Times New Roman" w:eastAsia="Times New Roman" w:hAnsi="Times New Roman" w:cs="Times New Roman"/>
          <w:color w:val="000000"/>
          <w:sz w:val="24"/>
          <w:szCs w:val="24"/>
          <w:lang w:eastAsia="en-AU"/>
        </w:rPr>
        <w:t>under the Act</w:t>
      </w:r>
      <w:r w:rsidR="00DC1928" w:rsidRPr="00116CA5">
        <w:rPr>
          <w:rFonts w:ascii="Times New Roman" w:eastAsia="Times New Roman" w:hAnsi="Times New Roman" w:cs="Times New Roman"/>
          <w:color w:val="000000"/>
          <w:sz w:val="24"/>
          <w:szCs w:val="24"/>
          <w:lang w:eastAsia="en-AU"/>
        </w:rPr>
        <w:t>.</w:t>
      </w:r>
      <w:r w:rsidR="007105B8" w:rsidRPr="00116CA5">
        <w:rPr>
          <w:rFonts w:ascii="Times New Roman" w:eastAsia="Times New Roman" w:hAnsi="Times New Roman" w:cs="Times New Roman"/>
          <w:color w:val="000000"/>
          <w:sz w:val="24"/>
          <w:szCs w:val="24"/>
          <w:lang w:eastAsia="en-AU"/>
        </w:rPr>
        <w:t xml:space="preserve"> </w:t>
      </w:r>
      <w:r w:rsidR="00976723" w:rsidRPr="006007DA">
        <w:rPr>
          <w:rFonts w:ascii="Times New Roman" w:eastAsia="Times New Roman" w:hAnsi="Times New Roman" w:cs="Times New Roman"/>
          <w:color w:val="000000"/>
          <w:sz w:val="24"/>
          <w:szCs w:val="24"/>
          <w:lang w:eastAsia="en-AU"/>
        </w:rPr>
        <w:t>Th</w:t>
      </w:r>
      <w:r w:rsidR="007105B8" w:rsidRPr="006007DA">
        <w:rPr>
          <w:rFonts w:ascii="Times New Roman" w:eastAsia="Times New Roman" w:hAnsi="Times New Roman" w:cs="Times New Roman"/>
          <w:color w:val="000000"/>
          <w:sz w:val="24"/>
          <w:szCs w:val="24"/>
          <w:lang w:eastAsia="en-AU"/>
        </w:rPr>
        <w:t>is</w:t>
      </w:r>
      <w:r w:rsidR="00976723" w:rsidRPr="006007DA">
        <w:rPr>
          <w:rFonts w:ascii="Times New Roman" w:eastAsia="Times New Roman" w:hAnsi="Times New Roman" w:cs="Times New Roman"/>
          <w:color w:val="000000"/>
          <w:sz w:val="24"/>
          <w:szCs w:val="24"/>
          <w:lang w:eastAsia="en-AU"/>
        </w:rPr>
        <w:t xml:space="preserve"> Determination </w:t>
      </w:r>
      <w:r w:rsidR="006007DA">
        <w:rPr>
          <w:rFonts w:ascii="Times New Roman" w:eastAsia="Times New Roman" w:hAnsi="Times New Roman" w:cs="Times New Roman"/>
          <w:color w:val="000000"/>
          <w:sz w:val="24"/>
          <w:szCs w:val="24"/>
          <w:lang w:eastAsia="en-AU"/>
        </w:rPr>
        <w:t xml:space="preserve">includes </w:t>
      </w:r>
      <w:r w:rsidR="000A66A2" w:rsidRPr="006007DA">
        <w:rPr>
          <w:rFonts w:ascii="Times New Roman" w:eastAsia="Times New Roman" w:hAnsi="Times New Roman" w:cs="Times New Roman"/>
          <w:color w:val="000000"/>
          <w:sz w:val="24"/>
          <w:szCs w:val="24"/>
          <w:lang w:eastAsia="en-AU"/>
        </w:rPr>
        <w:t xml:space="preserve">minor, </w:t>
      </w:r>
      <w:r w:rsidR="00240268" w:rsidRPr="006007DA">
        <w:rPr>
          <w:rFonts w:ascii="Times New Roman" w:eastAsia="Times New Roman" w:hAnsi="Times New Roman" w:cs="Times New Roman"/>
          <w:color w:val="000000"/>
          <w:sz w:val="24"/>
          <w:szCs w:val="24"/>
          <w:lang w:eastAsia="en-AU"/>
        </w:rPr>
        <w:t>stylistic drafting changes</w:t>
      </w:r>
      <w:r w:rsidR="00FF58CE">
        <w:rPr>
          <w:rFonts w:ascii="Times New Roman" w:eastAsia="Times New Roman" w:hAnsi="Times New Roman" w:cs="Times New Roman"/>
          <w:color w:val="000000"/>
          <w:sz w:val="24"/>
          <w:szCs w:val="24"/>
          <w:lang w:eastAsia="en-AU"/>
        </w:rPr>
        <w:t>,</w:t>
      </w:r>
      <w:r w:rsidR="004F4B34" w:rsidRPr="006007DA">
        <w:rPr>
          <w:rFonts w:ascii="Times New Roman" w:eastAsia="Times New Roman" w:hAnsi="Times New Roman" w:cs="Times New Roman"/>
          <w:color w:val="000000"/>
          <w:sz w:val="24"/>
          <w:szCs w:val="24"/>
          <w:lang w:eastAsia="en-AU"/>
        </w:rPr>
        <w:t xml:space="preserve"> </w:t>
      </w:r>
      <w:r w:rsidR="007105B8" w:rsidRPr="006007DA">
        <w:rPr>
          <w:rFonts w:ascii="Times New Roman" w:eastAsia="Times New Roman" w:hAnsi="Times New Roman" w:cs="Times New Roman"/>
          <w:color w:val="000000"/>
          <w:sz w:val="24"/>
          <w:szCs w:val="24"/>
          <w:lang w:eastAsia="en-AU"/>
        </w:rPr>
        <w:t xml:space="preserve">but continues to maintain the same $25 million revenue threshold </w:t>
      </w:r>
      <w:r w:rsidR="00407575">
        <w:rPr>
          <w:rFonts w:ascii="Times New Roman" w:eastAsia="Times New Roman" w:hAnsi="Times New Roman" w:cs="Times New Roman"/>
          <w:color w:val="000000"/>
          <w:sz w:val="24"/>
          <w:szCs w:val="24"/>
          <w:lang w:eastAsia="en-AU"/>
        </w:rPr>
        <w:t xml:space="preserve">and associated administrative processes </w:t>
      </w:r>
      <w:r w:rsidR="007105B8" w:rsidRPr="006007DA">
        <w:rPr>
          <w:rFonts w:ascii="Times New Roman" w:eastAsia="Times New Roman" w:hAnsi="Times New Roman" w:cs="Times New Roman"/>
          <w:color w:val="000000"/>
          <w:sz w:val="24"/>
          <w:szCs w:val="24"/>
          <w:lang w:eastAsia="en-AU"/>
        </w:rPr>
        <w:t>set out in the</w:t>
      </w:r>
      <w:r w:rsidR="004F4B34" w:rsidRPr="006007DA">
        <w:rPr>
          <w:rFonts w:ascii="Times New Roman" w:eastAsia="Times New Roman" w:hAnsi="Times New Roman" w:cs="Times New Roman"/>
          <w:color w:val="000000"/>
          <w:sz w:val="24"/>
          <w:szCs w:val="24"/>
          <w:lang w:eastAsia="en-AU"/>
        </w:rPr>
        <w:t xml:space="preserve"> PP Determination 2015.</w:t>
      </w:r>
      <w:r w:rsidR="00240268" w:rsidRPr="006007DA">
        <w:rPr>
          <w:rFonts w:ascii="Times New Roman" w:eastAsia="Times New Roman" w:hAnsi="Times New Roman" w:cs="Times New Roman"/>
          <w:color w:val="000000"/>
          <w:sz w:val="24"/>
          <w:szCs w:val="24"/>
          <w:lang w:eastAsia="en-AU"/>
        </w:rPr>
        <w:t xml:space="preserve"> </w:t>
      </w:r>
    </w:p>
    <w:p w14:paraId="62DFC034" w14:textId="5B1434B9" w:rsidR="0047760E" w:rsidRPr="0047760E" w:rsidRDefault="0047760E" w:rsidP="0047760E">
      <w:pPr>
        <w:spacing w:before="280" w:after="280" w:line="240" w:lineRule="auto"/>
        <w:rPr>
          <w:rFonts w:ascii="Calibri" w:eastAsia="Times New Roman" w:hAnsi="Calibri" w:cs="Calibri"/>
          <w:color w:val="000000"/>
          <w:sz w:val="24"/>
          <w:szCs w:val="24"/>
          <w:lang w:eastAsia="en-AU"/>
        </w:rPr>
      </w:pPr>
      <w:r w:rsidRPr="0047760E">
        <w:rPr>
          <w:rFonts w:ascii="Times New Roman" w:eastAsia="Times New Roman" w:hAnsi="Times New Roman" w:cs="Times New Roman"/>
          <w:color w:val="000000"/>
          <w:sz w:val="24"/>
          <w:szCs w:val="24"/>
          <w:lang w:eastAsia="en-AU"/>
        </w:rPr>
        <w:t>As with the PP Determination 201</w:t>
      </w:r>
      <w:r w:rsidR="009644D0">
        <w:rPr>
          <w:rFonts w:ascii="Times New Roman" w:eastAsia="Times New Roman" w:hAnsi="Times New Roman" w:cs="Times New Roman"/>
          <w:color w:val="000000"/>
          <w:sz w:val="24"/>
          <w:szCs w:val="24"/>
          <w:lang w:eastAsia="en-AU"/>
        </w:rPr>
        <w:t>5</w:t>
      </w:r>
      <w:r w:rsidRPr="0047760E">
        <w:rPr>
          <w:rFonts w:ascii="Times New Roman" w:eastAsia="Times New Roman" w:hAnsi="Times New Roman" w:cs="Times New Roman"/>
          <w:color w:val="000000"/>
          <w:sz w:val="24"/>
          <w:szCs w:val="24"/>
          <w:lang w:eastAsia="en-AU"/>
        </w:rPr>
        <w:t xml:space="preserve">, the Determination </w:t>
      </w:r>
      <w:r w:rsidR="007105B8">
        <w:rPr>
          <w:rFonts w:ascii="Times New Roman" w:eastAsia="Times New Roman" w:hAnsi="Times New Roman" w:cs="Times New Roman"/>
          <w:color w:val="000000"/>
          <w:sz w:val="24"/>
          <w:szCs w:val="24"/>
          <w:lang w:eastAsia="en-AU"/>
        </w:rPr>
        <w:t xml:space="preserve">is intended to reduce the </w:t>
      </w:r>
      <w:r w:rsidRPr="0047760E">
        <w:rPr>
          <w:rFonts w:ascii="Times New Roman" w:eastAsia="Times New Roman" w:hAnsi="Times New Roman" w:cs="Times New Roman"/>
          <w:color w:val="000000"/>
          <w:sz w:val="24"/>
          <w:szCs w:val="24"/>
          <w:lang w:eastAsia="en-AU"/>
        </w:rPr>
        <w:t>compliance burden</w:t>
      </w:r>
      <w:r w:rsidR="007105B8">
        <w:rPr>
          <w:rFonts w:ascii="Times New Roman" w:eastAsia="Times New Roman" w:hAnsi="Times New Roman" w:cs="Times New Roman"/>
          <w:color w:val="000000"/>
          <w:sz w:val="24"/>
          <w:szCs w:val="24"/>
          <w:lang w:eastAsia="en-AU"/>
        </w:rPr>
        <w:t xml:space="preserve"> o</w:t>
      </w:r>
      <w:r w:rsidR="00FF0E33">
        <w:rPr>
          <w:rFonts w:ascii="Times New Roman" w:eastAsia="Times New Roman" w:hAnsi="Times New Roman" w:cs="Times New Roman"/>
          <w:color w:val="000000"/>
          <w:sz w:val="24"/>
          <w:szCs w:val="24"/>
          <w:lang w:eastAsia="en-AU"/>
        </w:rPr>
        <w:t>n</w:t>
      </w:r>
      <w:r w:rsidR="007105B8">
        <w:rPr>
          <w:rFonts w:ascii="Times New Roman" w:eastAsia="Times New Roman" w:hAnsi="Times New Roman" w:cs="Times New Roman"/>
          <w:color w:val="000000"/>
          <w:sz w:val="24"/>
          <w:szCs w:val="24"/>
          <w:lang w:eastAsia="en-AU"/>
        </w:rPr>
        <w:t xml:space="preserve"> smaller entities with less than $25 million in relevant revenue that would otherwise </w:t>
      </w:r>
      <w:r w:rsidR="00150575">
        <w:rPr>
          <w:rFonts w:ascii="Times New Roman" w:eastAsia="Times New Roman" w:hAnsi="Times New Roman" w:cs="Times New Roman"/>
          <w:color w:val="000000"/>
          <w:sz w:val="24"/>
          <w:szCs w:val="24"/>
          <w:lang w:eastAsia="en-AU"/>
        </w:rPr>
        <w:t xml:space="preserve">be required to contribute </w:t>
      </w:r>
      <w:r w:rsidR="007105B8">
        <w:rPr>
          <w:rFonts w:ascii="Times New Roman" w:eastAsia="Times New Roman" w:hAnsi="Times New Roman" w:cs="Times New Roman"/>
          <w:color w:val="000000"/>
          <w:sz w:val="24"/>
          <w:szCs w:val="24"/>
          <w:lang w:eastAsia="en-AU"/>
        </w:rPr>
        <w:t>to the TIL</w:t>
      </w:r>
      <w:r w:rsidRPr="0047760E">
        <w:rPr>
          <w:rFonts w:ascii="Times New Roman" w:eastAsia="Times New Roman" w:hAnsi="Times New Roman" w:cs="Times New Roman"/>
          <w:color w:val="000000"/>
          <w:sz w:val="24"/>
          <w:szCs w:val="24"/>
          <w:lang w:eastAsia="en-AU"/>
        </w:rPr>
        <w:t>.  </w:t>
      </w:r>
      <w:r w:rsidR="00150575">
        <w:rPr>
          <w:rFonts w:ascii="Times New Roman" w:eastAsia="Times New Roman" w:hAnsi="Times New Roman" w:cs="Times New Roman"/>
          <w:color w:val="000000"/>
          <w:sz w:val="24"/>
          <w:szCs w:val="24"/>
          <w:lang w:eastAsia="en-AU"/>
        </w:rPr>
        <w:t>By determining these entities</w:t>
      </w:r>
      <w:r w:rsidR="007105B8">
        <w:rPr>
          <w:rFonts w:ascii="Times New Roman" w:eastAsia="Times New Roman" w:hAnsi="Times New Roman" w:cs="Times New Roman"/>
          <w:color w:val="000000"/>
          <w:sz w:val="24"/>
          <w:szCs w:val="24"/>
          <w:lang w:eastAsia="en-AU"/>
        </w:rPr>
        <w:t xml:space="preserve"> </w:t>
      </w:r>
      <w:r w:rsidR="00150575">
        <w:rPr>
          <w:rFonts w:ascii="Times New Roman" w:eastAsia="Times New Roman" w:hAnsi="Times New Roman" w:cs="Times New Roman"/>
          <w:color w:val="000000"/>
          <w:sz w:val="24"/>
          <w:szCs w:val="24"/>
          <w:lang w:eastAsia="en-AU"/>
        </w:rPr>
        <w:t xml:space="preserve">are not participating persons, they are then not </w:t>
      </w:r>
      <w:r w:rsidR="007105B8">
        <w:rPr>
          <w:rFonts w:ascii="Times New Roman" w:eastAsia="Times New Roman" w:hAnsi="Times New Roman" w:cs="Times New Roman"/>
          <w:color w:val="000000"/>
          <w:sz w:val="24"/>
          <w:szCs w:val="24"/>
          <w:lang w:eastAsia="en-AU"/>
        </w:rPr>
        <w:t xml:space="preserve">required to </w:t>
      </w:r>
      <w:r w:rsidRPr="0047760E">
        <w:rPr>
          <w:rFonts w:ascii="Times New Roman" w:eastAsia="Times New Roman" w:hAnsi="Times New Roman" w:cs="Times New Roman"/>
          <w:color w:val="000000"/>
          <w:sz w:val="24"/>
          <w:szCs w:val="24"/>
          <w:lang w:eastAsia="en-AU"/>
        </w:rPr>
        <w:t>submit eligible revenue returns to the ACMA under the Act, which can be a resource</w:t>
      </w:r>
      <w:r w:rsidRPr="0047760E">
        <w:rPr>
          <w:rFonts w:ascii="Times New Roman" w:eastAsia="Times New Roman" w:hAnsi="Times New Roman" w:cs="Times New Roman"/>
          <w:color w:val="000000"/>
          <w:sz w:val="24"/>
          <w:szCs w:val="24"/>
          <w:lang w:eastAsia="en-AU"/>
        </w:rPr>
        <w:noBreakHyphen/>
        <w:t>intensive and time</w:t>
      </w:r>
      <w:r w:rsidRPr="0047760E">
        <w:rPr>
          <w:rFonts w:ascii="Times New Roman" w:eastAsia="Times New Roman" w:hAnsi="Times New Roman" w:cs="Times New Roman"/>
          <w:color w:val="000000"/>
          <w:sz w:val="24"/>
          <w:szCs w:val="24"/>
          <w:lang w:eastAsia="en-AU"/>
        </w:rPr>
        <w:noBreakHyphen/>
        <w:t>consuming process. While larger entities may be able to absorb such burdens, smaller entities may have greater difficulties in doing so.</w:t>
      </w:r>
    </w:p>
    <w:p w14:paraId="3CDD8360" w14:textId="77777777" w:rsidR="00892394" w:rsidRDefault="007105B8"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00240268">
        <w:rPr>
          <w:rFonts w:ascii="Times New Roman" w:hAnsi="Times New Roman"/>
          <w:sz w:val="24"/>
          <w:szCs w:val="24"/>
        </w:rPr>
        <w:t xml:space="preserve">Determination </w:t>
      </w:r>
      <w:r w:rsidR="00892394" w:rsidRPr="00E04BE4">
        <w:rPr>
          <w:rFonts w:ascii="Times New Roman" w:hAnsi="Times New Roman"/>
          <w:sz w:val="24"/>
          <w:szCs w:val="24"/>
        </w:rPr>
        <w:t>is</w:t>
      </w:r>
      <w:r w:rsidR="00892394" w:rsidRPr="005168E5">
        <w:rPr>
          <w:rFonts w:ascii="Times New Roman" w:hAnsi="Times New Roman"/>
          <w:sz w:val="24"/>
          <w:szCs w:val="24"/>
        </w:rPr>
        <w:t xml:space="preserve"> a legislative instrument for the purposes of the </w:t>
      </w:r>
      <w:r w:rsidR="00892394" w:rsidRPr="005168E5">
        <w:rPr>
          <w:rFonts w:ascii="Times New Roman" w:hAnsi="Times New Roman"/>
          <w:i/>
          <w:iCs/>
          <w:sz w:val="24"/>
          <w:szCs w:val="24"/>
        </w:rPr>
        <w:t>Legislation Act 2003</w:t>
      </w:r>
      <w:r w:rsidR="00275778">
        <w:rPr>
          <w:rFonts w:ascii="Times New Roman" w:hAnsi="Times New Roman"/>
          <w:iCs/>
          <w:sz w:val="24"/>
          <w:szCs w:val="24"/>
        </w:rPr>
        <w:t xml:space="preserve"> and is</w:t>
      </w:r>
      <w:r w:rsidR="007A7679">
        <w:rPr>
          <w:rFonts w:ascii="Times New Roman" w:hAnsi="Times New Roman"/>
          <w:iCs/>
          <w:sz w:val="24"/>
          <w:szCs w:val="24"/>
        </w:rPr>
        <w:t xml:space="preserve"> </w:t>
      </w:r>
      <w:r w:rsidR="00275778">
        <w:rPr>
          <w:rFonts w:ascii="Times New Roman" w:hAnsi="Times New Roman"/>
          <w:iCs/>
          <w:sz w:val="24"/>
          <w:szCs w:val="24"/>
        </w:rPr>
        <w:t xml:space="preserve">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00892394" w:rsidRPr="005168E5">
        <w:rPr>
          <w:rFonts w:ascii="Times New Roman" w:hAnsi="Times New Roman"/>
          <w:i/>
          <w:iCs/>
          <w:sz w:val="24"/>
          <w:szCs w:val="24"/>
        </w:rPr>
        <w:t>.</w:t>
      </w:r>
      <w:r w:rsidR="00892394" w:rsidRPr="005168E5">
        <w:rPr>
          <w:rFonts w:ascii="Times New Roman" w:hAnsi="Times New Roman"/>
          <w:sz w:val="24"/>
          <w:szCs w:val="24"/>
        </w:rPr>
        <w:t xml:space="preserve"> </w:t>
      </w:r>
    </w:p>
    <w:p w14:paraId="1905D6B7"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240268">
        <w:rPr>
          <w:rFonts w:ascii="Times New Roman" w:hAnsi="Times New Roman"/>
          <w:sz w:val="24"/>
          <w:szCs w:val="24"/>
        </w:rPr>
        <w:t xml:space="preserve">Details of the </w:t>
      </w:r>
      <w:r w:rsidR="00240268" w:rsidRPr="00240268">
        <w:rPr>
          <w:rFonts w:ascii="Times New Roman" w:hAnsi="Times New Roman"/>
          <w:sz w:val="24"/>
          <w:szCs w:val="24"/>
        </w:rPr>
        <w:t>Determination</w:t>
      </w:r>
      <w:r w:rsidRPr="00240268">
        <w:rPr>
          <w:rFonts w:ascii="Times New Roman" w:hAnsi="Times New Roman"/>
          <w:sz w:val="24"/>
          <w:szCs w:val="24"/>
        </w:rPr>
        <w:t xml:space="preserve"> are set out in </w:t>
      </w:r>
      <w:r w:rsidRPr="00240268">
        <w:rPr>
          <w:rFonts w:ascii="Times New Roman" w:hAnsi="Times New Roman"/>
          <w:sz w:val="24"/>
          <w:szCs w:val="24"/>
          <w:u w:val="single"/>
        </w:rPr>
        <w:t>Attachment A</w:t>
      </w:r>
      <w:r w:rsidRPr="00240268">
        <w:rPr>
          <w:rFonts w:ascii="Times New Roman" w:hAnsi="Times New Roman"/>
          <w:sz w:val="24"/>
          <w:szCs w:val="24"/>
        </w:rPr>
        <w:t>.</w:t>
      </w:r>
    </w:p>
    <w:p w14:paraId="100ADFFC" w14:textId="77777777" w:rsidR="00892394" w:rsidRPr="00DD3BA1" w:rsidRDefault="00892394" w:rsidP="00892394">
      <w:pPr>
        <w:shd w:val="clear" w:color="auto" w:fill="FFFFFF"/>
        <w:spacing w:before="100" w:beforeAutospacing="1" w:after="100" w:afterAutospacing="1"/>
        <w:rPr>
          <w:rFonts w:ascii="Times New Roman" w:hAnsi="Times New Roman" w:cs="Times New Roman"/>
          <w:sz w:val="24"/>
          <w:szCs w:val="24"/>
        </w:rPr>
      </w:pPr>
      <w:r w:rsidRPr="00DD3BA1">
        <w:rPr>
          <w:rFonts w:ascii="Times New Roman" w:hAnsi="Times New Roman" w:cs="Times New Roman"/>
          <w:b/>
          <w:sz w:val="24"/>
          <w:szCs w:val="24"/>
        </w:rPr>
        <w:t>Consultation</w:t>
      </w:r>
    </w:p>
    <w:p w14:paraId="0C3F6E30" w14:textId="77777777" w:rsidR="00150575" w:rsidRDefault="00892394" w:rsidP="00412B54">
      <w:pPr>
        <w:spacing w:after="0" w:line="240" w:lineRule="auto"/>
        <w:rPr>
          <w:rFonts w:ascii="Times New Roman" w:hAnsi="Times New Roman" w:cs="Times New Roman"/>
          <w:sz w:val="24"/>
          <w:szCs w:val="24"/>
        </w:rPr>
      </w:pPr>
      <w:r w:rsidRPr="00DD3BA1">
        <w:rPr>
          <w:rFonts w:ascii="Times New Roman" w:hAnsi="Times New Roman" w:cs="Times New Roman"/>
          <w:sz w:val="24"/>
          <w:szCs w:val="24"/>
        </w:rPr>
        <w:t xml:space="preserve">The Department </w:t>
      </w:r>
      <w:r w:rsidR="00DD3BA1">
        <w:rPr>
          <w:rFonts w:ascii="Times New Roman" w:hAnsi="Times New Roman" w:cs="Times New Roman"/>
          <w:sz w:val="24"/>
          <w:szCs w:val="24"/>
        </w:rPr>
        <w:t xml:space="preserve">publicly </w:t>
      </w:r>
      <w:r w:rsidR="007105B8" w:rsidRPr="00DD3BA1">
        <w:rPr>
          <w:rFonts w:ascii="Times New Roman" w:hAnsi="Times New Roman" w:cs="Times New Roman"/>
          <w:sz w:val="24"/>
          <w:szCs w:val="24"/>
        </w:rPr>
        <w:t xml:space="preserve">released </w:t>
      </w:r>
      <w:r w:rsidR="00412B54" w:rsidRPr="00DD3BA1">
        <w:rPr>
          <w:rFonts w:ascii="Times New Roman" w:hAnsi="Times New Roman" w:cs="Times New Roman"/>
          <w:sz w:val="24"/>
          <w:szCs w:val="24"/>
        </w:rPr>
        <w:t>an exposure draft of this Determination in August 2025</w:t>
      </w:r>
      <w:r w:rsidR="00DD3BA1" w:rsidRPr="00DD3BA1">
        <w:rPr>
          <w:rFonts w:ascii="Times New Roman" w:hAnsi="Times New Roman" w:cs="Times New Roman"/>
          <w:sz w:val="24"/>
          <w:szCs w:val="24"/>
        </w:rPr>
        <w:t xml:space="preserve">, and all carriers </w:t>
      </w:r>
      <w:r w:rsidR="00150575">
        <w:rPr>
          <w:rFonts w:ascii="Times New Roman" w:hAnsi="Times New Roman" w:cs="Times New Roman"/>
          <w:sz w:val="24"/>
          <w:szCs w:val="24"/>
        </w:rPr>
        <w:t>were advised of this</w:t>
      </w:r>
      <w:r w:rsidR="00DD3BA1" w:rsidRPr="00DD3BA1">
        <w:rPr>
          <w:rFonts w:ascii="Times New Roman" w:hAnsi="Times New Roman" w:cs="Times New Roman"/>
          <w:sz w:val="24"/>
          <w:szCs w:val="24"/>
        </w:rPr>
        <w:t xml:space="preserve"> consultation</w:t>
      </w:r>
      <w:r w:rsidR="00150575">
        <w:rPr>
          <w:rFonts w:ascii="Times New Roman" w:hAnsi="Times New Roman" w:cs="Times New Roman"/>
          <w:sz w:val="24"/>
          <w:szCs w:val="24"/>
        </w:rPr>
        <w:t xml:space="preserve"> (this was done by the ACMA as it maintains a register of carriers)</w:t>
      </w:r>
      <w:r w:rsidR="00116CA5">
        <w:rPr>
          <w:rFonts w:ascii="Times New Roman" w:hAnsi="Times New Roman" w:cs="Times New Roman"/>
          <w:sz w:val="24"/>
          <w:szCs w:val="24"/>
        </w:rPr>
        <w:t xml:space="preserve">. The Department also </w:t>
      </w:r>
      <w:r w:rsidR="00412691">
        <w:rPr>
          <w:rFonts w:ascii="Times New Roman" w:hAnsi="Times New Roman" w:cs="Times New Roman"/>
          <w:sz w:val="24"/>
          <w:szCs w:val="24"/>
        </w:rPr>
        <w:t xml:space="preserve">notified </w:t>
      </w:r>
      <w:r w:rsidR="00116CA5">
        <w:rPr>
          <w:rFonts w:ascii="Times New Roman" w:hAnsi="Times New Roman" w:cs="Times New Roman"/>
          <w:sz w:val="24"/>
          <w:szCs w:val="24"/>
        </w:rPr>
        <w:t>peak telecommunications industry and consumer group</w:t>
      </w:r>
      <w:r w:rsidR="00412691">
        <w:rPr>
          <w:rFonts w:ascii="Times New Roman" w:hAnsi="Times New Roman" w:cs="Times New Roman"/>
          <w:sz w:val="24"/>
          <w:szCs w:val="24"/>
        </w:rPr>
        <w:t>s of th</w:t>
      </w:r>
      <w:r w:rsidR="006007DA">
        <w:rPr>
          <w:rFonts w:ascii="Times New Roman" w:hAnsi="Times New Roman" w:cs="Times New Roman"/>
          <w:sz w:val="24"/>
          <w:szCs w:val="24"/>
        </w:rPr>
        <w:t>e</w:t>
      </w:r>
      <w:r w:rsidR="00412691">
        <w:rPr>
          <w:rFonts w:ascii="Times New Roman" w:hAnsi="Times New Roman" w:cs="Times New Roman"/>
          <w:sz w:val="24"/>
          <w:szCs w:val="24"/>
        </w:rPr>
        <w:t xml:space="preserve"> consultation</w:t>
      </w:r>
      <w:r w:rsidR="00116CA5">
        <w:rPr>
          <w:rFonts w:ascii="Times New Roman" w:hAnsi="Times New Roman" w:cs="Times New Roman"/>
          <w:sz w:val="24"/>
          <w:szCs w:val="24"/>
        </w:rPr>
        <w:t>.</w:t>
      </w:r>
    </w:p>
    <w:p w14:paraId="7872DE48" w14:textId="77777777" w:rsidR="00150575" w:rsidRDefault="00150575" w:rsidP="00412B54">
      <w:pPr>
        <w:spacing w:after="0" w:line="240" w:lineRule="auto"/>
        <w:rPr>
          <w:rFonts w:ascii="Times New Roman" w:hAnsi="Times New Roman" w:cs="Times New Roman"/>
          <w:sz w:val="24"/>
          <w:szCs w:val="24"/>
        </w:rPr>
      </w:pPr>
    </w:p>
    <w:p w14:paraId="69C66EDC" w14:textId="7DA15CD5" w:rsidR="00C7655E" w:rsidRPr="00DD3BA1" w:rsidRDefault="00412B54" w:rsidP="00412B54">
      <w:pPr>
        <w:spacing w:after="0" w:line="240" w:lineRule="auto"/>
        <w:rPr>
          <w:rFonts w:ascii="Times New Roman" w:hAnsi="Times New Roman" w:cs="Times New Roman"/>
          <w:sz w:val="24"/>
          <w:szCs w:val="24"/>
        </w:rPr>
      </w:pPr>
      <w:r w:rsidRPr="00DD3BA1">
        <w:rPr>
          <w:rFonts w:ascii="Times New Roman" w:hAnsi="Times New Roman" w:cs="Times New Roman"/>
          <w:sz w:val="24"/>
          <w:szCs w:val="24"/>
        </w:rPr>
        <w:t xml:space="preserve">Stakeholders were provided with a two-week period to review the exposure draft and provide any comments. </w:t>
      </w:r>
      <w:r w:rsidR="002D33AD" w:rsidRPr="002D33AD">
        <w:rPr>
          <w:rFonts w:ascii="Times New Roman" w:hAnsi="Times New Roman" w:cs="Times New Roman"/>
          <w:sz w:val="24"/>
          <w:szCs w:val="24"/>
        </w:rPr>
        <w:t>Submissions were received from six companies involved in the telecommunications sector and the Australian Communications Consumer Action Network. Submissions were generally in favour of the proposed Determination, with the majority supporting maintaining an eligible revenue threshold of $25 million.</w:t>
      </w:r>
    </w:p>
    <w:p w14:paraId="06F97363" w14:textId="5DC5A52F" w:rsidR="00892394" w:rsidRDefault="00892394" w:rsidP="00412B54">
      <w:pPr>
        <w:shd w:val="clear" w:color="auto" w:fill="FFFFFF"/>
        <w:spacing w:before="100" w:beforeAutospacing="1" w:after="100" w:afterAutospacing="1"/>
        <w:ind w:right="91"/>
        <w:rPr>
          <w:rFonts w:ascii="Times New Roman" w:hAnsi="Times New Roman"/>
          <w:b/>
          <w:sz w:val="24"/>
          <w:szCs w:val="24"/>
        </w:rPr>
      </w:pPr>
      <w:r w:rsidRPr="00412B54">
        <w:rPr>
          <w:rFonts w:ascii="Times New Roman" w:hAnsi="Times New Roman"/>
          <w:b/>
          <w:sz w:val="24"/>
          <w:szCs w:val="24"/>
        </w:rPr>
        <w:t>Statement of Compatibility</w:t>
      </w:r>
      <w:r>
        <w:rPr>
          <w:rFonts w:ascii="Times New Roman" w:hAnsi="Times New Roman"/>
          <w:b/>
          <w:sz w:val="24"/>
          <w:szCs w:val="24"/>
        </w:rPr>
        <w:t xml:space="preserve"> with Human Rights</w:t>
      </w:r>
    </w:p>
    <w:p w14:paraId="2ACC4A5F" w14:textId="77777777" w:rsidR="00892394" w:rsidRDefault="00892394" w:rsidP="00892394">
      <w:pPr>
        <w:spacing w:before="100" w:beforeAutospacing="1" w:after="100" w:afterAutospacing="1"/>
        <w:rPr>
          <w:rFonts w:ascii="Times New Roman" w:hAnsi="Times New Roman"/>
          <w:color w:val="000000"/>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7A4DFB3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1CAAA175"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5900B562" w14:textId="77777777"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Details of the</w:t>
      </w:r>
      <w:r w:rsidR="00E47C34">
        <w:rPr>
          <w:rFonts w:ascii="Times New Roman" w:hAnsi="Times New Roman" w:cs="Times New Roman"/>
          <w:b/>
          <w:sz w:val="24"/>
          <w:szCs w:val="24"/>
        </w:rPr>
        <w:t xml:space="preserve"> </w:t>
      </w:r>
      <w:r w:rsidR="00E47C34" w:rsidRPr="00E47C34">
        <w:rPr>
          <w:rFonts w:ascii="Times New Roman" w:hAnsi="Times New Roman" w:cs="Times New Roman"/>
          <w:b/>
          <w:sz w:val="24"/>
          <w:szCs w:val="24"/>
        </w:rPr>
        <w:t>Telecommunications (Consumer Protection and Service Standards) (Non-Participating Persons) Determination 2025</w:t>
      </w:r>
    </w:p>
    <w:p w14:paraId="0B3B4D11" w14:textId="77777777" w:rsidR="00892394" w:rsidRPr="005233CF" w:rsidRDefault="00892394" w:rsidP="00892394">
      <w:pPr>
        <w:ind w:right="91"/>
        <w:rPr>
          <w:rFonts w:ascii="Times New Roman" w:hAnsi="Times New Roman" w:cs="Times New Roman"/>
          <w:b/>
          <w:i/>
          <w:sz w:val="24"/>
          <w:szCs w:val="24"/>
        </w:rPr>
      </w:pPr>
      <w:r w:rsidRPr="005233CF">
        <w:rPr>
          <w:rFonts w:ascii="Times New Roman" w:hAnsi="Times New Roman" w:cs="Times New Roman"/>
          <w:b/>
          <w:kern w:val="24"/>
          <w:sz w:val="24"/>
          <w:szCs w:val="24"/>
          <w:u w:val="single"/>
        </w:rPr>
        <w:t>Section 1 –</w:t>
      </w:r>
      <w:r w:rsidR="00D72982" w:rsidRPr="005233CF">
        <w:rPr>
          <w:rFonts w:ascii="Times New Roman" w:hAnsi="Times New Roman" w:cs="Times New Roman"/>
          <w:b/>
          <w:kern w:val="24"/>
          <w:sz w:val="24"/>
          <w:szCs w:val="24"/>
          <w:u w:val="single"/>
        </w:rPr>
        <w:t xml:space="preserve"> Name</w:t>
      </w:r>
    </w:p>
    <w:p w14:paraId="7D083E31" w14:textId="77777777" w:rsidR="00892394" w:rsidRPr="00A54CEA" w:rsidRDefault="00892394"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00D72982" w:rsidRPr="00D72982">
        <w:rPr>
          <w:rFonts w:ascii="Times New Roman" w:hAnsi="Times New Roman" w:cs="Times New Roman"/>
          <w:i/>
          <w:kern w:val="24"/>
          <w:sz w:val="24"/>
          <w:szCs w:val="24"/>
        </w:rPr>
        <w:t>Telecommunications (Consumer Protection and Service Standards) (Non-Participating Persons) Determination 2025</w:t>
      </w:r>
      <w:r w:rsidR="00D72982">
        <w:rPr>
          <w:rFonts w:ascii="Times New Roman" w:hAnsi="Times New Roman" w:cs="Times New Roman"/>
          <w:kern w:val="24"/>
          <w:sz w:val="24"/>
          <w:szCs w:val="24"/>
        </w:rPr>
        <w:t>.</w:t>
      </w:r>
      <w:r w:rsidR="00EB01B2">
        <w:rPr>
          <w:rFonts w:ascii="Times New Roman" w:hAnsi="Times New Roman" w:cs="Times New Roman"/>
          <w:i/>
          <w:sz w:val="24"/>
          <w:szCs w:val="24"/>
        </w:rPr>
        <w:t xml:space="preserve"> </w:t>
      </w:r>
    </w:p>
    <w:p w14:paraId="4046E6C5" w14:textId="77777777" w:rsidR="00892394" w:rsidRPr="005233CF" w:rsidRDefault="00892394" w:rsidP="00892394">
      <w:pPr>
        <w:widowControl w:val="0"/>
        <w:ind w:right="91"/>
        <w:rPr>
          <w:rFonts w:ascii="Times New Roman" w:hAnsi="Times New Roman" w:cs="Times New Roman"/>
          <w:b/>
          <w:kern w:val="24"/>
          <w:sz w:val="24"/>
          <w:szCs w:val="24"/>
          <w:u w:val="single"/>
        </w:rPr>
      </w:pPr>
      <w:r w:rsidRPr="005233CF">
        <w:rPr>
          <w:rFonts w:ascii="Times New Roman" w:hAnsi="Times New Roman" w:cs="Times New Roman"/>
          <w:b/>
          <w:kern w:val="24"/>
          <w:sz w:val="24"/>
          <w:szCs w:val="24"/>
          <w:u w:val="single"/>
        </w:rPr>
        <w:t>Section 2 – Commencement</w:t>
      </w:r>
    </w:p>
    <w:p w14:paraId="7B0FEEE7" w14:textId="77777777"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w:t>
      </w:r>
      <w:r w:rsidR="003C4A0C">
        <w:rPr>
          <w:rFonts w:ascii="Times New Roman" w:hAnsi="Times New Roman" w:cs="Times New Roman"/>
          <w:kern w:val="24"/>
          <w:sz w:val="24"/>
          <w:szCs w:val="24"/>
        </w:rPr>
        <w:t xml:space="preserve">that </w:t>
      </w:r>
      <w:r w:rsidRPr="00A54CEA">
        <w:rPr>
          <w:rFonts w:ascii="Times New Roman" w:hAnsi="Times New Roman" w:cs="Times New Roman"/>
          <w:kern w:val="24"/>
          <w:sz w:val="24"/>
          <w:szCs w:val="24"/>
        </w:rPr>
        <w:t xml:space="preserve">the </w:t>
      </w:r>
      <w:r w:rsidR="003C4A0C">
        <w:rPr>
          <w:rFonts w:ascii="Times New Roman" w:hAnsi="Times New Roman" w:cs="Times New Roman"/>
          <w:kern w:val="24"/>
          <w:sz w:val="24"/>
          <w:szCs w:val="24"/>
        </w:rPr>
        <w:t xml:space="preserve">whole of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w:t>
      </w:r>
      <w:r w:rsidR="003C4A0C">
        <w:rPr>
          <w:rFonts w:ascii="Times New Roman" w:hAnsi="Times New Roman" w:cs="Times New Roman"/>
          <w:kern w:val="24"/>
          <w:sz w:val="24"/>
          <w:szCs w:val="24"/>
        </w:rPr>
        <w:t>will</w:t>
      </w:r>
      <w:r w:rsidRPr="00A54CEA">
        <w:rPr>
          <w:rFonts w:ascii="Times New Roman" w:hAnsi="Times New Roman" w:cs="Times New Roman"/>
          <w:kern w:val="24"/>
          <w:sz w:val="24"/>
          <w:szCs w:val="24"/>
        </w:rPr>
        <w:t xml:space="preserve"> commence on the day after it is registered on the Federal Register of Legislation.</w:t>
      </w:r>
    </w:p>
    <w:p w14:paraId="2D4CFDDE" w14:textId="77777777" w:rsidR="00892394" w:rsidRPr="005233CF" w:rsidRDefault="00892394" w:rsidP="00892394">
      <w:pPr>
        <w:widowControl w:val="0"/>
        <w:ind w:right="91"/>
        <w:rPr>
          <w:rFonts w:ascii="Times New Roman" w:hAnsi="Times New Roman" w:cs="Times New Roman"/>
          <w:b/>
          <w:kern w:val="24"/>
          <w:sz w:val="24"/>
          <w:szCs w:val="24"/>
          <w:u w:val="single"/>
        </w:rPr>
      </w:pPr>
      <w:r w:rsidRPr="005233CF">
        <w:rPr>
          <w:rFonts w:ascii="Times New Roman" w:hAnsi="Times New Roman" w:cs="Times New Roman"/>
          <w:b/>
          <w:kern w:val="24"/>
          <w:sz w:val="24"/>
          <w:szCs w:val="24"/>
          <w:u w:val="single"/>
        </w:rPr>
        <w:t xml:space="preserve">Section 3 – Authority </w:t>
      </w:r>
    </w:p>
    <w:p w14:paraId="7DB4017D" w14:textId="10040CD9"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is made under </w:t>
      </w:r>
      <w:r w:rsidR="00E47C34" w:rsidRPr="00E47C34">
        <w:rPr>
          <w:rFonts w:ascii="Times New Roman" w:hAnsi="Times New Roman" w:cs="Times New Roman"/>
          <w:kern w:val="24"/>
          <w:sz w:val="24"/>
          <w:szCs w:val="24"/>
        </w:rPr>
        <w:t>subsection 44(2) of the</w:t>
      </w:r>
      <w:r w:rsidR="001D3DB0">
        <w:rPr>
          <w:rFonts w:ascii="Times New Roman" w:hAnsi="Times New Roman" w:cs="Times New Roman"/>
          <w:kern w:val="24"/>
          <w:sz w:val="24"/>
          <w:szCs w:val="24"/>
        </w:rPr>
        <w:t xml:space="preserve"> </w:t>
      </w:r>
      <w:r w:rsidR="00E47C34" w:rsidRPr="005233CF">
        <w:rPr>
          <w:rFonts w:ascii="Times New Roman" w:hAnsi="Times New Roman" w:cs="Times New Roman"/>
          <w:i/>
          <w:kern w:val="24"/>
          <w:sz w:val="24"/>
          <w:szCs w:val="24"/>
        </w:rPr>
        <w:t>Telecommunications (Consumer Protection and Service Standards) Act 1999</w:t>
      </w:r>
      <w:r w:rsidR="00E47C34" w:rsidRPr="00E47C34">
        <w:rPr>
          <w:rFonts w:ascii="Times New Roman" w:hAnsi="Times New Roman" w:cs="Times New Roman"/>
          <w:kern w:val="24"/>
          <w:sz w:val="24"/>
          <w:szCs w:val="24"/>
        </w:rPr>
        <w:t>.</w:t>
      </w:r>
      <w:r w:rsidR="00ED641B">
        <w:rPr>
          <w:rFonts w:ascii="Times New Roman" w:hAnsi="Times New Roman" w:cs="Times New Roman"/>
          <w:kern w:val="24"/>
          <w:sz w:val="24"/>
          <w:szCs w:val="24"/>
        </w:rPr>
        <w:t xml:space="preserve"> </w:t>
      </w:r>
    </w:p>
    <w:p w14:paraId="7DAA226D" w14:textId="77777777" w:rsidR="00410ADF" w:rsidRPr="005233CF" w:rsidRDefault="00410ADF" w:rsidP="00410ADF">
      <w:pPr>
        <w:widowControl w:val="0"/>
        <w:ind w:right="91"/>
        <w:rPr>
          <w:rFonts w:ascii="Times New Roman" w:hAnsi="Times New Roman" w:cs="Times New Roman"/>
          <w:b/>
          <w:kern w:val="24"/>
          <w:sz w:val="24"/>
          <w:szCs w:val="24"/>
          <w:u w:val="single"/>
        </w:rPr>
      </w:pPr>
      <w:r w:rsidRPr="005233CF">
        <w:rPr>
          <w:rFonts w:ascii="Times New Roman" w:hAnsi="Times New Roman" w:cs="Times New Roman"/>
          <w:b/>
          <w:kern w:val="24"/>
          <w:sz w:val="24"/>
          <w:szCs w:val="24"/>
          <w:u w:val="single"/>
        </w:rPr>
        <w:t xml:space="preserve">Section 4 – Definitions </w:t>
      </w:r>
    </w:p>
    <w:p w14:paraId="02F79FEB" w14:textId="2B1BA367" w:rsidR="008623B2" w:rsidRDefault="00CC0602" w:rsidP="008623B2">
      <w:pPr>
        <w:spacing w:before="120"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Pr="00A66994">
        <w:rPr>
          <w:rFonts w:ascii="Times New Roman" w:eastAsia="Times New Roman" w:hAnsi="Times New Roman" w:cs="Times New Roman"/>
          <w:sz w:val="24"/>
          <w:szCs w:val="24"/>
          <w:lang w:eastAsia="en-AU"/>
        </w:rPr>
        <w:t>ection</w:t>
      </w:r>
      <w:r>
        <w:rPr>
          <w:rFonts w:ascii="Times New Roman" w:eastAsia="Times New Roman" w:hAnsi="Times New Roman" w:cs="Times New Roman"/>
          <w:sz w:val="24"/>
          <w:szCs w:val="24"/>
          <w:lang w:eastAsia="en-AU"/>
        </w:rPr>
        <w:t xml:space="preserve"> 4</w:t>
      </w:r>
      <w:r w:rsidRPr="00A66994">
        <w:rPr>
          <w:rFonts w:ascii="Times New Roman" w:eastAsia="Times New Roman" w:hAnsi="Times New Roman" w:cs="Times New Roman"/>
          <w:sz w:val="24"/>
          <w:szCs w:val="24"/>
          <w:lang w:eastAsia="en-AU"/>
        </w:rPr>
        <w:t xml:space="preserve"> defines </w:t>
      </w:r>
      <w:r w:rsidR="00150575">
        <w:rPr>
          <w:rFonts w:ascii="Times New Roman" w:eastAsia="Times New Roman" w:hAnsi="Times New Roman" w:cs="Times New Roman"/>
          <w:sz w:val="24"/>
          <w:szCs w:val="24"/>
          <w:lang w:eastAsia="en-AU"/>
        </w:rPr>
        <w:t xml:space="preserve">a number of </w:t>
      </w:r>
      <w:r w:rsidRPr="00A66994">
        <w:rPr>
          <w:rFonts w:ascii="Times New Roman" w:eastAsia="Times New Roman" w:hAnsi="Times New Roman" w:cs="Times New Roman"/>
          <w:sz w:val="24"/>
          <w:szCs w:val="24"/>
          <w:lang w:eastAsia="en-AU"/>
        </w:rPr>
        <w:t>the terms used in the Determination.</w:t>
      </w:r>
      <w:r w:rsidR="00716A57">
        <w:rPr>
          <w:rFonts w:ascii="Times New Roman" w:eastAsia="Times New Roman" w:hAnsi="Times New Roman" w:cs="Times New Roman"/>
          <w:sz w:val="24"/>
          <w:szCs w:val="24"/>
          <w:lang w:eastAsia="en-AU"/>
        </w:rPr>
        <w:t xml:space="preserve"> </w:t>
      </w:r>
      <w:r w:rsidR="00DA11BB">
        <w:rPr>
          <w:rFonts w:ascii="Times New Roman" w:eastAsia="Times New Roman" w:hAnsi="Times New Roman" w:cs="Times New Roman"/>
          <w:sz w:val="24"/>
          <w:szCs w:val="24"/>
          <w:lang w:eastAsia="en-AU"/>
        </w:rPr>
        <w:t>A</w:t>
      </w:r>
      <w:r w:rsidR="00150575">
        <w:rPr>
          <w:rFonts w:ascii="Times New Roman" w:eastAsia="Times New Roman" w:hAnsi="Times New Roman" w:cs="Times New Roman"/>
          <w:sz w:val="24"/>
          <w:szCs w:val="24"/>
          <w:lang w:eastAsia="en-AU"/>
        </w:rPr>
        <w:t xml:space="preserve"> number of definitions </w:t>
      </w:r>
      <w:r w:rsidR="00DA11BB">
        <w:rPr>
          <w:rFonts w:ascii="Times New Roman" w:eastAsia="Times New Roman" w:hAnsi="Times New Roman" w:cs="Times New Roman"/>
          <w:sz w:val="24"/>
          <w:szCs w:val="24"/>
          <w:lang w:eastAsia="en-AU"/>
        </w:rPr>
        <w:t>refer to</w:t>
      </w:r>
      <w:r w:rsidR="00150575">
        <w:rPr>
          <w:rFonts w:ascii="Times New Roman" w:eastAsia="Times New Roman" w:hAnsi="Times New Roman" w:cs="Times New Roman"/>
          <w:sz w:val="24"/>
          <w:szCs w:val="24"/>
          <w:lang w:eastAsia="en-AU"/>
        </w:rPr>
        <w:t xml:space="preserve"> the</w:t>
      </w:r>
      <w:r w:rsidR="000E6056">
        <w:rPr>
          <w:rFonts w:ascii="Times New Roman" w:eastAsia="Times New Roman" w:hAnsi="Times New Roman" w:cs="Times New Roman"/>
          <w:sz w:val="24"/>
          <w:szCs w:val="24"/>
          <w:lang w:eastAsia="en-AU"/>
        </w:rPr>
        <w:t xml:space="preserve"> </w:t>
      </w:r>
      <w:r w:rsidR="00DD3BA1" w:rsidRPr="006007DA">
        <w:rPr>
          <w:rFonts w:ascii="Times New Roman" w:eastAsia="Times New Roman" w:hAnsi="Times New Roman" w:cs="Times New Roman"/>
          <w:i/>
          <w:sz w:val="24"/>
          <w:szCs w:val="24"/>
          <w:lang w:eastAsia="en-AU"/>
        </w:rPr>
        <w:t>Telecommunications (Eligible Revenue) Determination 2025</w:t>
      </w:r>
      <w:r w:rsidR="008623B2" w:rsidRPr="006007DA">
        <w:rPr>
          <w:rFonts w:ascii="Times New Roman" w:eastAsia="Times New Roman" w:hAnsi="Times New Roman" w:cs="Times New Roman"/>
          <w:sz w:val="24"/>
          <w:szCs w:val="24"/>
          <w:lang w:eastAsia="en-AU"/>
        </w:rPr>
        <w:t xml:space="preserve"> </w:t>
      </w:r>
      <w:r w:rsidR="00412691">
        <w:rPr>
          <w:rFonts w:ascii="Times New Roman" w:eastAsia="Times New Roman" w:hAnsi="Times New Roman" w:cs="Times New Roman"/>
          <w:sz w:val="24"/>
          <w:szCs w:val="24"/>
          <w:lang w:eastAsia="en-AU"/>
        </w:rPr>
        <w:t xml:space="preserve">(Eligible Revenue Determination) </w:t>
      </w:r>
      <w:r w:rsidR="008623B2" w:rsidRPr="006007DA">
        <w:rPr>
          <w:rFonts w:ascii="Times New Roman" w:eastAsia="Times New Roman" w:hAnsi="Times New Roman" w:cs="Times New Roman"/>
          <w:sz w:val="24"/>
          <w:szCs w:val="24"/>
          <w:lang w:eastAsia="en-AU"/>
        </w:rPr>
        <w:t>made by the ACMA.</w:t>
      </w:r>
      <w:r w:rsidR="00DA11BB">
        <w:rPr>
          <w:rFonts w:ascii="Times New Roman" w:eastAsia="Times New Roman" w:hAnsi="Times New Roman" w:cs="Times New Roman"/>
          <w:sz w:val="24"/>
          <w:szCs w:val="24"/>
          <w:lang w:eastAsia="en-AU"/>
        </w:rPr>
        <w:t xml:space="preserve"> The note explains that some terms are also defined in the Act.</w:t>
      </w:r>
    </w:p>
    <w:p w14:paraId="7FCA5961" w14:textId="45F8C01C" w:rsidR="002D33AD" w:rsidRDefault="002D33AD" w:rsidP="000E6056">
      <w:pPr>
        <w:spacing w:before="120" w:after="240" w:line="240" w:lineRule="auto"/>
        <w:rPr>
          <w:rFonts w:ascii="Times New Roman" w:eastAsia="Times New Roman" w:hAnsi="Times New Roman" w:cs="Times New Roman"/>
          <w:sz w:val="24"/>
          <w:szCs w:val="24"/>
          <w:lang w:eastAsia="en-AU"/>
        </w:rPr>
      </w:pPr>
      <w:r w:rsidRPr="002D33AD">
        <w:rPr>
          <w:rFonts w:ascii="Times New Roman" w:eastAsia="Times New Roman" w:hAnsi="Times New Roman" w:cs="Times New Roman"/>
          <w:sz w:val="24"/>
          <w:szCs w:val="24"/>
          <w:lang w:eastAsia="en-AU"/>
        </w:rPr>
        <w:t>The term ‘eligible statutory declaration’ is defined in this section as the Determination allows persons to declare eligible revenue to the ACMA (see further explanation under section 6 below)</w:t>
      </w:r>
      <w:r>
        <w:rPr>
          <w:rFonts w:ascii="Times New Roman" w:eastAsia="Times New Roman" w:hAnsi="Times New Roman" w:cs="Times New Roman"/>
          <w:sz w:val="24"/>
          <w:szCs w:val="24"/>
          <w:lang w:eastAsia="en-AU"/>
        </w:rPr>
        <w:t xml:space="preserve"> </w:t>
      </w:r>
      <w:r w:rsidRPr="002D33AD">
        <w:rPr>
          <w:rFonts w:ascii="Times New Roman" w:eastAsia="Times New Roman" w:hAnsi="Times New Roman" w:cs="Times New Roman"/>
          <w:sz w:val="24"/>
          <w:szCs w:val="24"/>
          <w:lang w:eastAsia="en-AU"/>
        </w:rPr>
        <w:t xml:space="preserve">used in section 6. If the person is a company, such a declaration can be made by a director, company secretary or other persons authorised in writing by the company. ‘Director’ and ‘company secretary’ take their meanings from the </w:t>
      </w:r>
      <w:r w:rsidRPr="002D33AD">
        <w:rPr>
          <w:rFonts w:ascii="Times New Roman" w:eastAsia="Times New Roman" w:hAnsi="Times New Roman" w:cs="Times New Roman"/>
          <w:i/>
          <w:sz w:val="24"/>
          <w:szCs w:val="24"/>
          <w:lang w:eastAsia="en-AU"/>
        </w:rPr>
        <w:t>Corporations Act 2001</w:t>
      </w:r>
      <w:r w:rsidRPr="002D33AD">
        <w:rPr>
          <w:rFonts w:ascii="Times New Roman" w:eastAsia="Times New Roman" w:hAnsi="Times New Roman" w:cs="Times New Roman"/>
          <w:sz w:val="24"/>
          <w:szCs w:val="24"/>
          <w:lang w:eastAsia="en-AU"/>
        </w:rPr>
        <w:t xml:space="preserve">. This provides flexibility within companies for this administrative task to be delegated to a relevant person. </w:t>
      </w:r>
    </w:p>
    <w:p w14:paraId="1B66E897" w14:textId="33091DD6" w:rsidR="008623B2" w:rsidRDefault="000E6056" w:rsidP="000E6056">
      <w:pPr>
        <w:spacing w:before="120"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eligible statutory declaration would need to </w:t>
      </w:r>
      <w:r w:rsidRPr="000E6056">
        <w:rPr>
          <w:rFonts w:ascii="Times New Roman" w:eastAsia="Times New Roman" w:hAnsi="Times New Roman" w:cs="Times New Roman"/>
          <w:sz w:val="24"/>
          <w:szCs w:val="24"/>
          <w:lang w:eastAsia="en-AU"/>
        </w:rPr>
        <w:t xml:space="preserve">comply with the requirements set out in the </w:t>
      </w:r>
      <w:r w:rsidRPr="006007DA">
        <w:rPr>
          <w:rFonts w:ascii="Times New Roman" w:eastAsia="Times New Roman" w:hAnsi="Times New Roman" w:cs="Times New Roman"/>
          <w:i/>
          <w:sz w:val="24"/>
          <w:szCs w:val="24"/>
          <w:lang w:eastAsia="en-AU"/>
        </w:rPr>
        <w:t>Statutory Declarations Act 1959</w:t>
      </w:r>
      <w:r>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 xml:space="preserve">and under that Act, a </w:t>
      </w:r>
      <w:r w:rsidRPr="000E6056">
        <w:rPr>
          <w:rFonts w:ascii="Times New Roman" w:eastAsia="Times New Roman" w:hAnsi="Times New Roman" w:cs="Times New Roman"/>
          <w:sz w:val="24"/>
          <w:szCs w:val="24"/>
          <w:lang w:eastAsia="en-AU"/>
        </w:rPr>
        <w:t xml:space="preserve">person who </w:t>
      </w:r>
      <w:r w:rsidR="00860BC0">
        <w:rPr>
          <w:rFonts w:ascii="Times New Roman" w:eastAsia="Times New Roman" w:hAnsi="Times New Roman" w:cs="Times New Roman"/>
          <w:sz w:val="24"/>
          <w:szCs w:val="24"/>
          <w:lang w:eastAsia="en-AU"/>
        </w:rPr>
        <w:t>intentionally</w:t>
      </w:r>
      <w:r w:rsidR="00860BC0" w:rsidRPr="000E6056">
        <w:rPr>
          <w:rFonts w:ascii="Times New Roman" w:eastAsia="Times New Roman" w:hAnsi="Times New Roman" w:cs="Times New Roman"/>
          <w:sz w:val="24"/>
          <w:szCs w:val="24"/>
          <w:lang w:eastAsia="en-AU"/>
        </w:rPr>
        <w:t xml:space="preserve"> </w:t>
      </w:r>
      <w:r w:rsidRPr="000E6056">
        <w:rPr>
          <w:rFonts w:ascii="Times New Roman" w:eastAsia="Times New Roman" w:hAnsi="Times New Roman" w:cs="Times New Roman"/>
          <w:sz w:val="24"/>
          <w:szCs w:val="24"/>
          <w:lang w:eastAsia="en-AU"/>
        </w:rPr>
        <w:t xml:space="preserve">makes a false statement </w:t>
      </w:r>
      <w:r w:rsidR="00860BC0">
        <w:rPr>
          <w:rFonts w:ascii="Times New Roman" w:eastAsia="Times New Roman" w:hAnsi="Times New Roman" w:cs="Times New Roman"/>
          <w:sz w:val="24"/>
          <w:szCs w:val="24"/>
          <w:lang w:eastAsia="en-AU"/>
        </w:rPr>
        <w:t>commits</w:t>
      </w:r>
      <w:r w:rsidRPr="000E6056">
        <w:rPr>
          <w:rFonts w:ascii="Times New Roman" w:eastAsia="Times New Roman" w:hAnsi="Times New Roman" w:cs="Times New Roman"/>
          <w:sz w:val="24"/>
          <w:szCs w:val="24"/>
          <w:lang w:eastAsia="en-AU"/>
        </w:rPr>
        <w:t xml:space="preserve"> an offence and may be fined, jailed or both.</w:t>
      </w:r>
    </w:p>
    <w:p w14:paraId="55F59E34" w14:textId="77777777" w:rsidR="00892394" w:rsidRPr="005233CF" w:rsidRDefault="00892394" w:rsidP="00892394">
      <w:pPr>
        <w:ind w:right="91"/>
        <w:rPr>
          <w:rFonts w:ascii="Times New Roman" w:hAnsi="Times New Roman" w:cs="Times New Roman"/>
          <w:b/>
          <w:sz w:val="24"/>
          <w:szCs w:val="24"/>
          <w:u w:val="single"/>
        </w:rPr>
      </w:pPr>
      <w:r w:rsidRPr="005233CF">
        <w:rPr>
          <w:rFonts w:ascii="Times New Roman" w:hAnsi="Times New Roman" w:cs="Times New Roman"/>
          <w:b/>
          <w:kern w:val="24"/>
          <w:sz w:val="24"/>
          <w:szCs w:val="24"/>
          <w:u w:val="single"/>
        </w:rPr>
        <w:t xml:space="preserve">Section </w:t>
      </w:r>
      <w:r w:rsidR="00410ADF" w:rsidRPr="005233CF">
        <w:rPr>
          <w:rFonts w:ascii="Times New Roman" w:hAnsi="Times New Roman" w:cs="Times New Roman"/>
          <w:b/>
          <w:kern w:val="24"/>
          <w:sz w:val="24"/>
          <w:szCs w:val="24"/>
          <w:u w:val="single"/>
        </w:rPr>
        <w:t>5</w:t>
      </w:r>
      <w:r w:rsidRPr="005233CF">
        <w:rPr>
          <w:rFonts w:ascii="Times New Roman" w:hAnsi="Times New Roman" w:cs="Times New Roman"/>
          <w:b/>
          <w:kern w:val="24"/>
          <w:sz w:val="24"/>
          <w:szCs w:val="24"/>
          <w:u w:val="single"/>
        </w:rPr>
        <w:t xml:space="preserve"> – Schedule</w:t>
      </w:r>
      <w:r w:rsidR="003C7D1A" w:rsidRPr="005233CF">
        <w:rPr>
          <w:rFonts w:ascii="Times New Roman" w:hAnsi="Times New Roman" w:cs="Times New Roman"/>
          <w:b/>
          <w:kern w:val="24"/>
          <w:sz w:val="24"/>
          <w:szCs w:val="24"/>
          <w:u w:val="single"/>
        </w:rPr>
        <w:t>s</w:t>
      </w:r>
    </w:p>
    <w:p w14:paraId="4AC31751" w14:textId="338225C8" w:rsidR="00892394" w:rsidRDefault="00892394" w:rsidP="00892394">
      <w:pPr>
        <w:tabs>
          <w:tab w:val="left" w:pos="3610"/>
        </w:tabs>
        <w:ind w:right="91"/>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provides that each instrument specified in </w:t>
      </w:r>
      <w:r w:rsidR="000070AB">
        <w:rPr>
          <w:rFonts w:ascii="Times New Roman" w:hAnsi="Times New Roman" w:cs="Times New Roman"/>
          <w:color w:val="000000"/>
          <w:sz w:val="24"/>
          <w:szCs w:val="24"/>
          <w:shd w:val="clear" w:color="auto" w:fill="FFFFFF"/>
        </w:rPr>
        <w:t>a</w:t>
      </w:r>
      <w:r w:rsidR="000070AB" w:rsidRPr="00A54CEA">
        <w:rPr>
          <w:rFonts w:ascii="Times New Roman" w:hAnsi="Times New Roman" w:cs="Times New Roman"/>
          <w:color w:val="000000"/>
          <w:sz w:val="24"/>
          <w:szCs w:val="24"/>
          <w:shd w:val="clear" w:color="auto" w:fill="FFFFFF"/>
        </w:rPr>
        <w:t xml:space="preserve"> </w:t>
      </w:r>
      <w:r w:rsidRPr="00A54CEA">
        <w:rPr>
          <w:rFonts w:ascii="Times New Roman" w:hAnsi="Times New Roman" w:cs="Times New Roman"/>
          <w:color w:val="000000"/>
          <w:sz w:val="24"/>
          <w:szCs w:val="24"/>
          <w:shd w:val="clear" w:color="auto" w:fill="FFFFFF"/>
        </w:rPr>
        <w:t xml:space="preserve">Schedule </w:t>
      </w:r>
      <w:r w:rsidR="000070AB">
        <w:rPr>
          <w:rFonts w:ascii="Times New Roman" w:hAnsi="Times New Roman" w:cs="Times New Roman"/>
          <w:color w:val="000000"/>
          <w:sz w:val="24"/>
          <w:szCs w:val="24"/>
          <w:shd w:val="clear" w:color="auto" w:fill="FFFFFF"/>
        </w:rPr>
        <w:t xml:space="preserve">to the instrument </w:t>
      </w:r>
      <w:r w:rsidRPr="00A54CEA">
        <w:rPr>
          <w:rFonts w:ascii="Times New Roman" w:hAnsi="Times New Roman" w:cs="Times New Roman"/>
          <w:color w:val="000000"/>
          <w:sz w:val="24"/>
          <w:szCs w:val="24"/>
          <w:shd w:val="clear" w:color="auto" w:fill="FFFFFF"/>
        </w:rPr>
        <w:t xml:space="preserve">is amended or repealed as set out in the applicable item in the Schedule concerned, and that any other item in a Schedule to </w:t>
      </w:r>
      <w:r w:rsidR="00887CC8" w:rsidRPr="00A54CEA">
        <w:rPr>
          <w:rFonts w:ascii="Times New Roman" w:hAnsi="Times New Roman" w:cs="Times New Roman"/>
          <w:color w:val="000000"/>
          <w:sz w:val="24"/>
          <w:szCs w:val="24"/>
          <w:shd w:val="clear" w:color="auto" w:fill="FFFFFF"/>
        </w:rPr>
        <w:t>th</w:t>
      </w:r>
      <w:r w:rsidR="00887CC8">
        <w:rPr>
          <w:rFonts w:ascii="Times New Roman" w:hAnsi="Times New Roman" w:cs="Times New Roman"/>
          <w:color w:val="000000"/>
          <w:sz w:val="24"/>
          <w:szCs w:val="24"/>
          <w:shd w:val="clear" w:color="auto" w:fill="FFFFFF"/>
        </w:rPr>
        <w:t>e</w:t>
      </w:r>
      <w:r w:rsidR="00887CC8" w:rsidRPr="00A54CEA">
        <w:rPr>
          <w:rFonts w:ascii="Times New Roman" w:hAnsi="Times New Roman" w:cs="Times New Roman"/>
          <w:color w:val="000000"/>
          <w:sz w:val="24"/>
          <w:szCs w:val="24"/>
          <w:shd w:val="clear" w:color="auto" w:fill="FFFFFF"/>
        </w:rPr>
        <w:t xml:space="preserve"> </w:t>
      </w:r>
      <w:r w:rsidRPr="00A54CEA">
        <w:rPr>
          <w:rFonts w:ascii="Times New Roman" w:hAnsi="Times New Roman" w:cs="Times New Roman"/>
          <w:color w:val="000000"/>
          <w:sz w:val="24"/>
          <w:szCs w:val="24"/>
          <w:shd w:val="clear" w:color="auto" w:fill="FFFFFF"/>
        </w:rPr>
        <w:t>instrument has effect according to its terms.</w:t>
      </w:r>
      <w:r w:rsidR="00C172E8">
        <w:rPr>
          <w:rFonts w:ascii="Times New Roman" w:hAnsi="Times New Roman" w:cs="Times New Roman"/>
          <w:color w:val="000000"/>
          <w:sz w:val="24"/>
          <w:szCs w:val="24"/>
          <w:shd w:val="clear" w:color="auto" w:fill="FFFFFF"/>
        </w:rPr>
        <w:t xml:space="preserve"> There is one item in the </w:t>
      </w:r>
      <w:r w:rsidR="003944C6">
        <w:rPr>
          <w:rFonts w:ascii="Times New Roman" w:hAnsi="Times New Roman" w:cs="Times New Roman"/>
          <w:color w:val="000000"/>
          <w:sz w:val="24"/>
          <w:szCs w:val="24"/>
          <w:shd w:val="clear" w:color="auto" w:fill="FFFFFF"/>
        </w:rPr>
        <w:t>S</w:t>
      </w:r>
      <w:r w:rsidR="00C172E8">
        <w:rPr>
          <w:rFonts w:ascii="Times New Roman" w:hAnsi="Times New Roman" w:cs="Times New Roman"/>
          <w:color w:val="000000"/>
          <w:sz w:val="24"/>
          <w:szCs w:val="24"/>
          <w:shd w:val="clear" w:color="auto" w:fill="FFFFFF"/>
        </w:rPr>
        <w:t>chedule relating to the repeal of the PP Determination 2015.</w:t>
      </w:r>
    </w:p>
    <w:p w14:paraId="396263E1" w14:textId="77777777" w:rsidR="00CD5409" w:rsidRPr="005233CF" w:rsidRDefault="00CD5409" w:rsidP="00CD5409">
      <w:pPr>
        <w:ind w:right="91"/>
        <w:rPr>
          <w:rFonts w:ascii="Times New Roman" w:hAnsi="Times New Roman" w:cs="Times New Roman"/>
          <w:b/>
          <w:sz w:val="24"/>
          <w:szCs w:val="24"/>
          <w:u w:val="single"/>
        </w:rPr>
      </w:pPr>
      <w:r w:rsidRPr="005233CF">
        <w:rPr>
          <w:rFonts w:ascii="Times New Roman" w:hAnsi="Times New Roman" w:cs="Times New Roman"/>
          <w:b/>
          <w:kern w:val="24"/>
          <w:sz w:val="24"/>
          <w:szCs w:val="24"/>
          <w:u w:val="single"/>
        </w:rPr>
        <w:t>Section 6 – Persons who are not participating persons for an eligible revenue period</w:t>
      </w:r>
    </w:p>
    <w:p w14:paraId="0E9E8655" w14:textId="77777777" w:rsidR="007159BA" w:rsidRDefault="007159BA" w:rsidP="00892394">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Subsection 6(1) </w:t>
      </w:r>
      <w:r w:rsidR="00BC4582">
        <w:rPr>
          <w:rFonts w:ascii="Times New Roman" w:hAnsi="Times New Roman" w:cs="Times New Roman"/>
          <w:sz w:val="24"/>
          <w:szCs w:val="24"/>
        </w:rPr>
        <w:t xml:space="preserve">sets out that </w:t>
      </w:r>
      <w:r w:rsidR="005370B2">
        <w:rPr>
          <w:rFonts w:ascii="Times New Roman" w:hAnsi="Times New Roman" w:cs="Times New Roman"/>
          <w:sz w:val="24"/>
          <w:szCs w:val="24"/>
        </w:rPr>
        <w:t xml:space="preserve">a person is exempt from section 44 of the Act </w:t>
      </w:r>
      <w:r w:rsidR="005370B2" w:rsidRPr="005370B2">
        <w:rPr>
          <w:rFonts w:ascii="Times New Roman" w:hAnsi="Times New Roman" w:cs="Times New Roman"/>
          <w:sz w:val="24"/>
          <w:szCs w:val="24"/>
        </w:rPr>
        <w:t xml:space="preserve">for an eligible revenue period if any of subsections (2), (3) and (4) of </w:t>
      </w:r>
      <w:r w:rsidR="005370B2">
        <w:rPr>
          <w:rFonts w:ascii="Times New Roman" w:hAnsi="Times New Roman" w:cs="Times New Roman"/>
          <w:sz w:val="24"/>
          <w:szCs w:val="24"/>
        </w:rPr>
        <w:t>S</w:t>
      </w:r>
      <w:r w:rsidR="005370B2" w:rsidRPr="005370B2">
        <w:rPr>
          <w:rFonts w:ascii="Times New Roman" w:hAnsi="Times New Roman" w:cs="Times New Roman"/>
          <w:sz w:val="24"/>
          <w:szCs w:val="24"/>
        </w:rPr>
        <w:t xml:space="preserve">ection </w:t>
      </w:r>
      <w:r w:rsidR="005370B2">
        <w:rPr>
          <w:rFonts w:ascii="Times New Roman" w:hAnsi="Times New Roman" w:cs="Times New Roman"/>
          <w:sz w:val="24"/>
          <w:szCs w:val="24"/>
        </w:rPr>
        <w:t xml:space="preserve">6 </w:t>
      </w:r>
      <w:r w:rsidR="005370B2" w:rsidRPr="005370B2">
        <w:rPr>
          <w:rFonts w:ascii="Times New Roman" w:hAnsi="Times New Roman" w:cs="Times New Roman"/>
          <w:sz w:val="24"/>
          <w:szCs w:val="24"/>
        </w:rPr>
        <w:t>applies to the person for the period.</w:t>
      </w:r>
      <w:r w:rsidR="00CC4CC3">
        <w:rPr>
          <w:rFonts w:ascii="Times New Roman" w:hAnsi="Times New Roman" w:cs="Times New Roman"/>
          <w:sz w:val="24"/>
          <w:szCs w:val="24"/>
        </w:rPr>
        <w:t xml:space="preserve"> A </w:t>
      </w:r>
      <w:r w:rsidR="005F577F">
        <w:rPr>
          <w:rFonts w:ascii="Times New Roman" w:hAnsi="Times New Roman" w:cs="Times New Roman"/>
          <w:sz w:val="24"/>
          <w:szCs w:val="24"/>
        </w:rPr>
        <w:t>n</w:t>
      </w:r>
      <w:r w:rsidR="00CC4CC3">
        <w:rPr>
          <w:rFonts w:ascii="Times New Roman" w:hAnsi="Times New Roman" w:cs="Times New Roman"/>
          <w:sz w:val="24"/>
          <w:szCs w:val="24"/>
        </w:rPr>
        <w:t xml:space="preserve">ote in the subsection </w:t>
      </w:r>
      <w:r w:rsidR="005F577F">
        <w:rPr>
          <w:rFonts w:ascii="Times New Roman" w:hAnsi="Times New Roman" w:cs="Times New Roman"/>
          <w:sz w:val="24"/>
          <w:szCs w:val="24"/>
        </w:rPr>
        <w:t xml:space="preserve">reminds readers </w:t>
      </w:r>
      <w:r w:rsidR="00CC4CC3">
        <w:rPr>
          <w:rFonts w:ascii="Times New Roman" w:hAnsi="Times New Roman" w:cs="Times New Roman"/>
          <w:sz w:val="24"/>
          <w:szCs w:val="24"/>
        </w:rPr>
        <w:t xml:space="preserve">that a person who is exempt from </w:t>
      </w:r>
      <w:r w:rsidR="00CC4CC3" w:rsidRPr="00CC4CC3">
        <w:rPr>
          <w:rFonts w:ascii="Times New Roman" w:hAnsi="Times New Roman" w:cs="Times New Roman"/>
          <w:sz w:val="24"/>
          <w:szCs w:val="24"/>
        </w:rPr>
        <w:t xml:space="preserve">section 44 of the Act for an eligible revenue period </w:t>
      </w:r>
      <w:r w:rsidR="008623B2">
        <w:rPr>
          <w:rFonts w:ascii="Times New Roman" w:hAnsi="Times New Roman" w:cs="Times New Roman"/>
          <w:sz w:val="24"/>
          <w:szCs w:val="24"/>
        </w:rPr>
        <w:t>is not</w:t>
      </w:r>
      <w:r w:rsidR="00CC4CC3" w:rsidRPr="00CC4CC3">
        <w:rPr>
          <w:rFonts w:ascii="Times New Roman" w:hAnsi="Times New Roman" w:cs="Times New Roman"/>
          <w:sz w:val="24"/>
          <w:szCs w:val="24"/>
        </w:rPr>
        <w:t xml:space="preserve"> </w:t>
      </w:r>
      <w:r w:rsidR="008623B2">
        <w:rPr>
          <w:rFonts w:ascii="Times New Roman" w:hAnsi="Times New Roman" w:cs="Times New Roman"/>
          <w:sz w:val="24"/>
          <w:szCs w:val="24"/>
        </w:rPr>
        <w:t xml:space="preserve">a </w:t>
      </w:r>
      <w:r w:rsidR="00CC4CC3">
        <w:rPr>
          <w:rFonts w:ascii="Times New Roman" w:hAnsi="Times New Roman" w:cs="Times New Roman"/>
          <w:sz w:val="24"/>
          <w:szCs w:val="24"/>
        </w:rPr>
        <w:t>‘</w:t>
      </w:r>
      <w:r w:rsidR="00CC4CC3" w:rsidRPr="00CC4CC3">
        <w:rPr>
          <w:rFonts w:ascii="Times New Roman" w:hAnsi="Times New Roman" w:cs="Times New Roman"/>
          <w:sz w:val="24"/>
          <w:szCs w:val="24"/>
        </w:rPr>
        <w:t>participating person</w:t>
      </w:r>
      <w:r w:rsidR="00CC4CC3">
        <w:rPr>
          <w:rFonts w:ascii="Times New Roman" w:hAnsi="Times New Roman" w:cs="Times New Roman"/>
          <w:sz w:val="24"/>
          <w:szCs w:val="24"/>
        </w:rPr>
        <w:t>’</w:t>
      </w:r>
      <w:r w:rsidR="00CC4CC3" w:rsidRPr="00CC4CC3">
        <w:rPr>
          <w:rFonts w:ascii="Times New Roman" w:hAnsi="Times New Roman" w:cs="Times New Roman"/>
          <w:sz w:val="24"/>
          <w:szCs w:val="24"/>
        </w:rPr>
        <w:t xml:space="preserve"> for the period</w:t>
      </w:r>
      <w:r w:rsidR="00CC4CC3">
        <w:rPr>
          <w:rFonts w:ascii="Times New Roman" w:hAnsi="Times New Roman" w:cs="Times New Roman"/>
          <w:sz w:val="24"/>
          <w:szCs w:val="24"/>
        </w:rPr>
        <w:t>.</w:t>
      </w:r>
    </w:p>
    <w:p w14:paraId="72942B51" w14:textId="22F036AF" w:rsidR="00A77BE3" w:rsidRDefault="005370B2" w:rsidP="006B2719">
      <w:pPr>
        <w:tabs>
          <w:tab w:val="left" w:pos="3610"/>
        </w:tabs>
        <w:ind w:right="91"/>
        <w:rPr>
          <w:rFonts w:ascii="Times New Roman" w:hAnsi="Times New Roman" w:cs="Times New Roman"/>
          <w:sz w:val="24"/>
          <w:szCs w:val="24"/>
        </w:rPr>
      </w:pPr>
      <w:r>
        <w:rPr>
          <w:rFonts w:ascii="Times New Roman" w:hAnsi="Times New Roman" w:cs="Times New Roman"/>
          <w:sz w:val="24"/>
          <w:szCs w:val="24"/>
        </w:rPr>
        <w:lastRenderedPageBreak/>
        <w:t>Subsection</w:t>
      </w:r>
      <w:r w:rsidR="00CC4CC3">
        <w:rPr>
          <w:rFonts w:ascii="Times New Roman" w:hAnsi="Times New Roman" w:cs="Times New Roman"/>
          <w:sz w:val="24"/>
          <w:szCs w:val="24"/>
        </w:rPr>
        <w:t>s</w:t>
      </w:r>
      <w:r>
        <w:rPr>
          <w:rFonts w:ascii="Times New Roman" w:hAnsi="Times New Roman" w:cs="Times New Roman"/>
          <w:sz w:val="24"/>
          <w:szCs w:val="24"/>
        </w:rPr>
        <w:t xml:space="preserve"> 6(</w:t>
      </w:r>
      <w:r w:rsidR="001976F0">
        <w:rPr>
          <w:rFonts w:ascii="Times New Roman" w:hAnsi="Times New Roman" w:cs="Times New Roman"/>
          <w:sz w:val="24"/>
          <w:szCs w:val="24"/>
        </w:rPr>
        <w:t>2), (3) and (4) set out</w:t>
      </w:r>
      <w:r w:rsidRPr="005370B2">
        <w:rPr>
          <w:rFonts w:ascii="Times New Roman" w:hAnsi="Times New Roman" w:cs="Times New Roman"/>
          <w:sz w:val="24"/>
          <w:szCs w:val="24"/>
        </w:rPr>
        <w:t xml:space="preserve"> that if a</w:t>
      </w:r>
      <w:r w:rsidR="00F96F59">
        <w:rPr>
          <w:rFonts w:ascii="Times New Roman" w:hAnsi="Times New Roman" w:cs="Times New Roman"/>
          <w:sz w:val="24"/>
          <w:szCs w:val="24"/>
        </w:rPr>
        <w:t>n</w:t>
      </w:r>
      <w:r w:rsidRPr="005370B2">
        <w:rPr>
          <w:rFonts w:ascii="Times New Roman" w:hAnsi="Times New Roman" w:cs="Times New Roman"/>
          <w:sz w:val="24"/>
          <w:szCs w:val="24"/>
        </w:rPr>
        <w:t xml:space="preserve"> </w:t>
      </w:r>
      <w:r w:rsidR="00116CA5" w:rsidRPr="005370B2">
        <w:rPr>
          <w:rFonts w:ascii="Times New Roman" w:hAnsi="Times New Roman" w:cs="Times New Roman"/>
          <w:sz w:val="24"/>
          <w:szCs w:val="24"/>
        </w:rPr>
        <w:t xml:space="preserve">eligible statutory declaration </w:t>
      </w:r>
      <w:r w:rsidR="00116CA5">
        <w:rPr>
          <w:rFonts w:ascii="Times New Roman" w:hAnsi="Times New Roman" w:cs="Times New Roman"/>
          <w:sz w:val="24"/>
          <w:szCs w:val="24"/>
        </w:rPr>
        <w:t xml:space="preserve">is </w:t>
      </w:r>
      <w:r w:rsidR="00116CA5" w:rsidRPr="005370B2">
        <w:rPr>
          <w:rFonts w:ascii="Times New Roman" w:hAnsi="Times New Roman" w:cs="Times New Roman"/>
          <w:sz w:val="24"/>
          <w:szCs w:val="24"/>
        </w:rPr>
        <w:t xml:space="preserve">provided to the ACMA within the specified timeframe </w:t>
      </w:r>
      <w:r w:rsidR="00116CA5">
        <w:rPr>
          <w:rFonts w:ascii="Times New Roman" w:hAnsi="Times New Roman" w:cs="Times New Roman"/>
          <w:sz w:val="24"/>
          <w:szCs w:val="24"/>
        </w:rPr>
        <w:t xml:space="preserve">stating the </w:t>
      </w:r>
      <w:r w:rsidRPr="005370B2">
        <w:rPr>
          <w:rFonts w:ascii="Times New Roman" w:hAnsi="Times New Roman" w:cs="Times New Roman"/>
          <w:sz w:val="24"/>
          <w:szCs w:val="24"/>
        </w:rPr>
        <w:t>person’s initial sales revenue, gross telecommunications sales revenue or eligible revenue</w:t>
      </w:r>
      <w:r w:rsidR="00CC4CC3">
        <w:rPr>
          <w:rFonts w:ascii="Times New Roman" w:hAnsi="Times New Roman" w:cs="Times New Roman"/>
          <w:sz w:val="24"/>
          <w:szCs w:val="24"/>
        </w:rPr>
        <w:t>, respectively,</w:t>
      </w:r>
      <w:r w:rsidRPr="005370B2">
        <w:rPr>
          <w:rFonts w:ascii="Times New Roman" w:hAnsi="Times New Roman" w:cs="Times New Roman"/>
          <w:sz w:val="24"/>
          <w:szCs w:val="24"/>
        </w:rPr>
        <w:t xml:space="preserve"> is less than $25 million</w:t>
      </w:r>
      <w:r w:rsidR="00CC4CC3">
        <w:rPr>
          <w:rFonts w:ascii="Times New Roman" w:hAnsi="Times New Roman" w:cs="Times New Roman"/>
          <w:sz w:val="24"/>
          <w:szCs w:val="24"/>
        </w:rPr>
        <w:t>,</w:t>
      </w:r>
      <w:r w:rsidRPr="005370B2">
        <w:rPr>
          <w:rFonts w:ascii="Times New Roman" w:hAnsi="Times New Roman" w:cs="Times New Roman"/>
          <w:sz w:val="24"/>
          <w:szCs w:val="24"/>
        </w:rPr>
        <w:t xml:space="preserve"> or </w:t>
      </w:r>
      <w:r w:rsidR="00150575">
        <w:rPr>
          <w:rFonts w:ascii="Times New Roman" w:hAnsi="Times New Roman" w:cs="Times New Roman"/>
          <w:sz w:val="24"/>
          <w:szCs w:val="24"/>
        </w:rPr>
        <w:t>if</w:t>
      </w:r>
      <w:r w:rsidR="00150575" w:rsidRPr="005370B2">
        <w:rPr>
          <w:rFonts w:ascii="Times New Roman" w:hAnsi="Times New Roman" w:cs="Times New Roman"/>
          <w:sz w:val="24"/>
          <w:szCs w:val="24"/>
        </w:rPr>
        <w:t xml:space="preserve"> </w:t>
      </w:r>
      <w:r w:rsidRPr="005370B2">
        <w:rPr>
          <w:rFonts w:ascii="Times New Roman" w:hAnsi="Times New Roman" w:cs="Times New Roman"/>
          <w:sz w:val="24"/>
          <w:szCs w:val="24"/>
        </w:rPr>
        <w:t xml:space="preserve">the ACMA </w:t>
      </w:r>
      <w:r w:rsidR="00150575">
        <w:rPr>
          <w:rFonts w:ascii="Times New Roman" w:hAnsi="Times New Roman" w:cs="Times New Roman"/>
          <w:sz w:val="24"/>
          <w:szCs w:val="24"/>
        </w:rPr>
        <w:t xml:space="preserve">is </w:t>
      </w:r>
      <w:r w:rsidRPr="005370B2">
        <w:rPr>
          <w:rFonts w:ascii="Times New Roman" w:hAnsi="Times New Roman" w:cs="Times New Roman"/>
          <w:sz w:val="24"/>
          <w:szCs w:val="24"/>
        </w:rPr>
        <w:t>otherwise reasonably satisfied</w:t>
      </w:r>
      <w:r w:rsidR="00116CA5">
        <w:rPr>
          <w:rFonts w:ascii="Times New Roman" w:hAnsi="Times New Roman" w:cs="Times New Roman"/>
          <w:sz w:val="24"/>
          <w:szCs w:val="24"/>
        </w:rPr>
        <w:t xml:space="preserve"> of this</w:t>
      </w:r>
      <w:r w:rsidRPr="005370B2">
        <w:rPr>
          <w:rFonts w:ascii="Times New Roman" w:hAnsi="Times New Roman" w:cs="Times New Roman"/>
          <w:sz w:val="24"/>
          <w:szCs w:val="24"/>
        </w:rPr>
        <w:t xml:space="preserve">, then </w:t>
      </w:r>
      <w:r w:rsidR="00116CA5">
        <w:rPr>
          <w:rFonts w:ascii="Times New Roman" w:hAnsi="Times New Roman" w:cs="Times New Roman"/>
          <w:sz w:val="24"/>
          <w:szCs w:val="24"/>
        </w:rPr>
        <w:t>that</w:t>
      </w:r>
      <w:r w:rsidRPr="005370B2">
        <w:rPr>
          <w:rFonts w:ascii="Times New Roman" w:hAnsi="Times New Roman" w:cs="Times New Roman"/>
          <w:sz w:val="24"/>
          <w:szCs w:val="24"/>
        </w:rPr>
        <w:t xml:space="preserve"> person will </w:t>
      </w:r>
      <w:r w:rsidR="00CC4CC3">
        <w:rPr>
          <w:rFonts w:ascii="Times New Roman" w:hAnsi="Times New Roman" w:cs="Times New Roman"/>
          <w:sz w:val="24"/>
          <w:szCs w:val="24"/>
        </w:rPr>
        <w:t>not be a ‘</w:t>
      </w:r>
      <w:r w:rsidRPr="005370B2">
        <w:rPr>
          <w:rFonts w:ascii="Times New Roman" w:hAnsi="Times New Roman" w:cs="Times New Roman"/>
          <w:sz w:val="24"/>
          <w:szCs w:val="24"/>
        </w:rPr>
        <w:t>participating person’.</w:t>
      </w:r>
      <w:r w:rsidR="008623B2">
        <w:rPr>
          <w:rFonts w:ascii="Times New Roman" w:hAnsi="Times New Roman" w:cs="Times New Roman"/>
          <w:sz w:val="24"/>
          <w:szCs w:val="24"/>
        </w:rPr>
        <w:t xml:space="preserve"> </w:t>
      </w:r>
      <w:r w:rsidR="00116CA5">
        <w:rPr>
          <w:rFonts w:ascii="Times New Roman" w:hAnsi="Times New Roman" w:cs="Times New Roman"/>
          <w:sz w:val="24"/>
          <w:szCs w:val="24"/>
        </w:rPr>
        <w:t>This latter part provides the ACMA with some discretion, as</w:t>
      </w:r>
      <w:r w:rsidR="00116CA5" w:rsidRPr="006007DA">
        <w:rPr>
          <w:rFonts w:ascii="Times New Roman" w:hAnsi="Times New Roman" w:cs="Times New Roman"/>
          <w:sz w:val="24"/>
          <w:szCs w:val="24"/>
        </w:rPr>
        <w:t xml:space="preserve"> </w:t>
      </w:r>
      <w:r w:rsidR="00116CA5">
        <w:rPr>
          <w:rFonts w:ascii="Times New Roman" w:hAnsi="Times New Roman" w:cs="Times New Roman"/>
          <w:sz w:val="24"/>
          <w:szCs w:val="24"/>
        </w:rPr>
        <w:t xml:space="preserve">a </w:t>
      </w:r>
      <w:r w:rsidR="00116CA5" w:rsidRPr="006007DA">
        <w:rPr>
          <w:rFonts w:ascii="Times New Roman" w:hAnsi="Times New Roman" w:cs="Times New Roman"/>
          <w:sz w:val="24"/>
          <w:szCs w:val="24"/>
        </w:rPr>
        <w:t xml:space="preserve">person may have </w:t>
      </w:r>
      <w:r w:rsidR="00116CA5">
        <w:rPr>
          <w:rFonts w:ascii="Times New Roman" w:hAnsi="Times New Roman" w:cs="Times New Roman"/>
          <w:sz w:val="24"/>
          <w:szCs w:val="24"/>
        </w:rPr>
        <w:t xml:space="preserve">otherwise </w:t>
      </w:r>
      <w:r w:rsidR="00116CA5" w:rsidRPr="006007DA">
        <w:rPr>
          <w:rFonts w:ascii="Times New Roman" w:hAnsi="Times New Roman" w:cs="Times New Roman"/>
          <w:sz w:val="24"/>
          <w:szCs w:val="24"/>
        </w:rPr>
        <w:t>submitted a full return of its eligible revenue</w:t>
      </w:r>
      <w:r w:rsidR="00116CA5">
        <w:rPr>
          <w:rFonts w:ascii="Times New Roman" w:hAnsi="Times New Roman" w:cs="Times New Roman"/>
          <w:sz w:val="24"/>
          <w:szCs w:val="24"/>
        </w:rPr>
        <w:t xml:space="preserve"> under s</w:t>
      </w:r>
      <w:r w:rsidR="00F96F59">
        <w:rPr>
          <w:rFonts w:ascii="Times New Roman" w:hAnsi="Times New Roman" w:cs="Times New Roman"/>
          <w:sz w:val="24"/>
          <w:szCs w:val="24"/>
        </w:rPr>
        <w:t xml:space="preserve">ection </w:t>
      </w:r>
      <w:r w:rsidR="00116CA5">
        <w:rPr>
          <w:rFonts w:ascii="Times New Roman" w:hAnsi="Times New Roman" w:cs="Times New Roman"/>
          <w:sz w:val="24"/>
          <w:szCs w:val="24"/>
        </w:rPr>
        <w:t>43 of the Act,</w:t>
      </w:r>
      <w:r w:rsidR="00116CA5" w:rsidRPr="006007DA">
        <w:rPr>
          <w:rFonts w:ascii="Times New Roman" w:hAnsi="Times New Roman" w:cs="Times New Roman"/>
          <w:sz w:val="24"/>
          <w:szCs w:val="24"/>
        </w:rPr>
        <w:t xml:space="preserve"> or may have submitted a statutory declaration which, due to a minor administrative error, did not meet the requirement for submission of an ‘eligible statutory declaration’ within the specified timeframe.</w:t>
      </w:r>
      <w:r w:rsidR="00116CA5">
        <w:rPr>
          <w:color w:val="000000"/>
        </w:rPr>
        <w:t> </w:t>
      </w:r>
    </w:p>
    <w:p w14:paraId="394EA45C" w14:textId="1B4D328F" w:rsidR="006B2719" w:rsidRPr="006B2719" w:rsidRDefault="00A85AA6" w:rsidP="006B2719">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Subsection 6(5) </w:t>
      </w:r>
      <w:r w:rsidR="006B2719" w:rsidRPr="006B2719">
        <w:rPr>
          <w:rFonts w:ascii="Times New Roman" w:hAnsi="Times New Roman" w:cs="Times New Roman"/>
          <w:sz w:val="24"/>
          <w:szCs w:val="24"/>
        </w:rPr>
        <w:t xml:space="preserve">sets out that if a person has the same ‘ultimate Australian parent entity’ </w:t>
      </w:r>
      <w:r w:rsidR="006B2719" w:rsidRPr="00DB5A34">
        <w:rPr>
          <w:rFonts w:ascii="Times New Roman" w:hAnsi="Times New Roman" w:cs="Times New Roman"/>
          <w:sz w:val="24"/>
          <w:szCs w:val="24"/>
        </w:rPr>
        <w:t xml:space="preserve">(a term defined in the </w:t>
      </w:r>
      <w:r w:rsidR="006B2719" w:rsidRPr="00506968">
        <w:rPr>
          <w:rFonts w:ascii="Times New Roman" w:hAnsi="Times New Roman" w:cs="Times New Roman"/>
          <w:sz w:val="24"/>
          <w:szCs w:val="24"/>
        </w:rPr>
        <w:t>Eligible Revenue Determination) as</w:t>
      </w:r>
      <w:r w:rsidR="006B2719" w:rsidRPr="00FF3D7E">
        <w:rPr>
          <w:rFonts w:ascii="Times New Roman" w:hAnsi="Times New Roman" w:cs="Times New Roman"/>
          <w:sz w:val="24"/>
          <w:szCs w:val="24"/>
        </w:rPr>
        <w:t xml:space="preserve"> one</w:t>
      </w:r>
      <w:r w:rsidR="006B2719" w:rsidRPr="006B2719">
        <w:rPr>
          <w:rFonts w:ascii="Times New Roman" w:hAnsi="Times New Roman" w:cs="Times New Roman"/>
          <w:sz w:val="24"/>
          <w:szCs w:val="24"/>
        </w:rPr>
        <w:t xml:space="preserve"> or more other carriers</w:t>
      </w:r>
      <w:r w:rsidR="004A3A22">
        <w:rPr>
          <w:rFonts w:ascii="Times New Roman" w:hAnsi="Times New Roman" w:cs="Times New Roman"/>
          <w:sz w:val="24"/>
          <w:szCs w:val="24"/>
        </w:rPr>
        <w:t>,</w:t>
      </w:r>
      <w:r w:rsidR="006B2719" w:rsidRPr="006B2719">
        <w:rPr>
          <w:rFonts w:ascii="Times New Roman" w:hAnsi="Times New Roman" w:cs="Times New Roman"/>
          <w:sz w:val="24"/>
          <w:szCs w:val="24"/>
        </w:rPr>
        <w:t xml:space="preserve"> carriage service providers </w:t>
      </w:r>
      <w:r w:rsidR="004A3A22">
        <w:rPr>
          <w:rFonts w:ascii="Times New Roman" w:hAnsi="Times New Roman" w:cs="Times New Roman"/>
          <w:sz w:val="24"/>
          <w:szCs w:val="24"/>
        </w:rPr>
        <w:t>(</w:t>
      </w:r>
      <w:r w:rsidR="006B2719" w:rsidRPr="006B2719">
        <w:rPr>
          <w:rFonts w:ascii="Times New Roman" w:hAnsi="Times New Roman" w:cs="Times New Roman"/>
          <w:sz w:val="24"/>
          <w:szCs w:val="24"/>
        </w:rPr>
        <w:t xml:space="preserve">if a determination under paragraph 44(1)(b) of the Act is in force), </w:t>
      </w:r>
      <w:r w:rsidR="001C2C3A">
        <w:rPr>
          <w:rFonts w:ascii="Times New Roman" w:hAnsi="Times New Roman" w:cs="Times New Roman"/>
          <w:sz w:val="24"/>
          <w:szCs w:val="24"/>
        </w:rPr>
        <w:t xml:space="preserve">or </w:t>
      </w:r>
      <w:r w:rsidR="001C2C3A" w:rsidRPr="001C2C3A">
        <w:rPr>
          <w:rFonts w:ascii="Times New Roman" w:hAnsi="Times New Roman" w:cs="Times New Roman"/>
          <w:sz w:val="24"/>
          <w:szCs w:val="24"/>
        </w:rPr>
        <w:t>persons specified in regulations in force under paragraph 44(1)(c) of the Act</w:t>
      </w:r>
      <w:r w:rsidR="001C2C3A">
        <w:rPr>
          <w:rFonts w:ascii="Times New Roman" w:hAnsi="Times New Roman" w:cs="Times New Roman"/>
          <w:sz w:val="24"/>
          <w:szCs w:val="24"/>
        </w:rPr>
        <w:t xml:space="preserve">, </w:t>
      </w:r>
      <w:r w:rsidR="006B2719" w:rsidRPr="006B2719">
        <w:rPr>
          <w:rFonts w:ascii="Times New Roman" w:hAnsi="Times New Roman" w:cs="Times New Roman"/>
          <w:sz w:val="24"/>
          <w:szCs w:val="24"/>
        </w:rPr>
        <w:t xml:space="preserve">then </w:t>
      </w:r>
      <w:r w:rsidR="00E95BBF">
        <w:rPr>
          <w:rFonts w:ascii="Times New Roman" w:hAnsi="Times New Roman" w:cs="Times New Roman"/>
          <w:sz w:val="24"/>
          <w:szCs w:val="24"/>
        </w:rPr>
        <w:t>that</w:t>
      </w:r>
      <w:r w:rsidR="00E95BBF" w:rsidRPr="00E95BBF">
        <w:rPr>
          <w:rFonts w:ascii="Times New Roman" w:hAnsi="Times New Roman" w:cs="Times New Roman"/>
          <w:sz w:val="24"/>
          <w:szCs w:val="24"/>
        </w:rPr>
        <w:t xml:space="preserve"> person and each of those carriers, carriage service providers or other persons</w:t>
      </w:r>
      <w:r w:rsidR="006B2719" w:rsidRPr="006B2719">
        <w:rPr>
          <w:rFonts w:ascii="Times New Roman" w:hAnsi="Times New Roman" w:cs="Times New Roman"/>
          <w:sz w:val="24"/>
          <w:szCs w:val="24"/>
        </w:rPr>
        <w:t xml:space="preserve"> must calculate initial sales revenue, gross telecommunications sales revenue or eligible revenue on a group basis, accounting for revenue and deductions as a whole. </w:t>
      </w:r>
    </w:p>
    <w:p w14:paraId="1904207C" w14:textId="260C1A98" w:rsidR="00A85AA6" w:rsidRDefault="006B2719" w:rsidP="006B2719">
      <w:pPr>
        <w:tabs>
          <w:tab w:val="left" w:pos="3610"/>
        </w:tabs>
        <w:ind w:right="91"/>
        <w:rPr>
          <w:rFonts w:ascii="Times New Roman" w:hAnsi="Times New Roman" w:cs="Times New Roman"/>
          <w:sz w:val="24"/>
          <w:szCs w:val="24"/>
        </w:rPr>
      </w:pPr>
      <w:r w:rsidRPr="006B2719">
        <w:rPr>
          <w:rFonts w:ascii="Times New Roman" w:hAnsi="Times New Roman" w:cs="Times New Roman"/>
          <w:sz w:val="24"/>
          <w:szCs w:val="24"/>
        </w:rPr>
        <w:t>As with the PP Determination 201</w:t>
      </w:r>
      <w:r w:rsidR="006D53A5">
        <w:rPr>
          <w:rFonts w:ascii="Times New Roman" w:hAnsi="Times New Roman" w:cs="Times New Roman"/>
          <w:sz w:val="24"/>
          <w:szCs w:val="24"/>
        </w:rPr>
        <w:t>5</w:t>
      </w:r>
      <w:r w:rsidRPr="006B2719">
        <w:rPr>
          <w:rFonts w:ascii="Times New Roman" w:hAnsi="Times New Roman" w:cs="Times New Roman"/>
          <w:sz w:val="24"/>
          <w:szCs w:val="24"/>
        </w:rPr>
        <w:t xml:space="preserve">, subsection </w:t>
      </w:r>
      <w:r w:rsidR="00710F31">
        <w:rPr>
          <w:rFonts w:ascii="Times New Roman" w:hAnsi="Times New Roman" w:cs="Times New Roman"/>
          <w:sz w:val="24"/>
          <w:szCs w:val="24"/>
        </w:rPr>
        <w:t>6</w:t>
      </w:r>
      <w:r w:rsidRPr="006B2719">
        <w:rPr>
          <w:rFonts w:ascii="Times New Roman" w:hAnsi="Times New Roman" w:cs="Times New Roman"/>
          <w:sz w:val="24"/>
          <w:szCs w:val="24"/>
        </w:rPr>
        <w:t>(</w:t>
      </w:r>
      <w:r w:rsidR="00710F31">
        <w:rPr>
          <w:rFonts w:ascii="Times New Roman" w:hAnsi="Times New Roman" w:cs="Times New Roman"/>
          <w:sz w:val="24"/>
          <w:szCs w:val="24"/>
        </w:rPr>
        <w:t>5</w:t>
      </w:r>
      <w:r w:rsidRPr="006B2719">
        <w:rPr>
          <w:rFonts w:ascii="Times New Roman" w:hAnsi="Times New Roman" w:cs="Times New Roman"/>
          <w:sz w:val="24"/>
          <w:szCs w:val="24"/>
        </w:rPr>
        <w:t xml:space="preserve">) has been included to protect against an ultimate Australian parent entity from artificially restructuring a group of entities so that no individual entity had revenue that exceeded the $25 million threshold (i.e. so that each individual entity was a ‘non‑participating person’). </w:t>
      </w:r>
    </w:p>
    <w:p w14:paraId="2D4FA8B8" w14:textId="77777777" w:rsidR="00634C71" w:rsidRPr="005233CF" w:rsidRDefault="00634C71" w:rsidP="00634C71">
      <w:pPr>
        <w:ind w:right="91"/>
        <w:rPr>
          <w:rFonts w:ascii="Times New Roman" w:hAnsi="Times New Roman" w:cs="Times New Roman"/>
          <w:b/>
          <w:kern w:val="24"/>
          <w:sz w:val="24"/>
          <w:szCs w:val="24"/>
          <w:u w:val="single"/>
        </w:rPr>
      </w:pPr>
      <w:r w:rsidRPr="005233CF">
        <w:rPr>
          <w:rFonts w:ascii="Times New Roman" w:hAnsi="Times New Roman" w:cs="Times New Roman"/>
          <w:b/>
          <w:kern w:val="24"/>
          <w:sz w:val="24"/>
          <w:szCs w:val="24"/>
          <w:u w:val="single"/>
        </w:rPr>
        <w:t>Section 7 – Application and savings provisions</w:t>
      </w:r>
    </w:p>
    <w:p w14:paraId="64086A44" w14:textId="77777777" w:rsidR="005966E7" w:rsidRDefault="00C0346F" w:rsidP="00C0346F">
      <w:pPr>
        <w:tabs>
          <w:tab w:val="left" w:pos="3610"/>
        </w:tabs>
        <w:ind w:right="91"/>
        <w:rPr>
          <w:rFonts w:ascii="Times New Roman" w:hAnsi="Times New Roman" w:cs="Times New Roman"/>
          <w:sz w:val="24"/>
          <w:szCs w:val="24"/>
        </w:rPr>
      </w:pPr>
      <w:r w:rsidRPr="00C0346F">
        <w:rPr>
          <w:rFonts w:ascii="Times New Roman" w:hAnsi="Times New Roman" w:cs="Times New Roman"/>
          <w:sz w:val="24"/>
          <w:szCs w:val="24"/>
        </w:rPr>
        <w:t>S</w:t>
      </w:r>
      <w:r w:rsidR="005233CF">
        <w:rPr>
          <w:rFonts w:ascii="Times New Roman" w:hAnsi="Times New Roman" w:cs="Times New Roman"/>
          <w:sz w:val="24"/>
          <w:szCs w:val="24"/>
        </w:rPr>
        <w:t>ubs</w:t>
      </w:r>
      <w:r w:rsidRPr="00C0346F">
        <w:rPr>
          <w:rFonts w:ascii="Times New Roman" w:hAnsi="Times New Roman" w:cs="Times New Roman"/>
          <w:sz w:val="24"/>
          <w:szCs w:val="24"/>
        </w:rPr>
        <w:t xml:space="preserve">ection </w:t>
      </w:r>
      <w:r>
        <w:rPr>
          <w:rFonts w:ascii="Times New Roman" w:hAnsi="Times New Roman" w:cs="Times New Roman"/>
          <w:sz w:val="24"/>
          <w:szCs w:val="24"/>
        </w:rPr>
        <w:t>7</w:t>
      </w:r>
      <w:r w:rsidR="005233CF">
        <w:rPr>
          <w:rFonts w:ascii="Times New Roman" w:hAnsi="Times New Roman" w:cs="Times New Roman"/>
          <w:sz w:val="24"/>
          <w:szCs w:val="24"/>
        </w:rPr>
        <w:t>(1)</w:t>
      </w:r>
      <w:r w:rsidRPr="00C0346F">
        <w:rPr>
          <w:rFonts w:ascii="Times New Roman" w:hAnsi="Times New Roman" w:cs="Times New Roman"/>
          <w:sz w:val="24"/>
          <w:szCs w:val="24"/>
        </w:rPr>
        <w:t xml:space="preserve"> provides that the Determination applies</w:t>
      </w:r>
      <w:r w:rsidR="00394925">
        <w:rPr>
          <w:rFonts w:ascii="Times New Roman" w:hAnsi="Times New Roman" w:cs="Times New Roman"/>
          <w:sz w:val="24"/>
          <w:szCs w:val="24"/>
        </w:rPr>
        <w:t xml:space="preserve"> to the</w:t>
      </w:r>
      <w:r w:rsidRPr="00C0346F">
        <w:rPr>
          <w:rFonts w:ascii="Times New Roman" w:hAnsi="Times New Roman" w:cs="Times New Roman"/>
          <w:sz w:val="24"/>
          <w:szCs w:val="24"/>
        </w:rPr>
        <w:t xml:space="preserve"> 20</w:t>
      </w:r>
      <w:r w:rsidR="005233CF">
        <w:rPr>
          <w:rFonts w:ascii="Times New Roman" w:hAnsi="Times New Roman" w:cs="Times New Roman"/>
          <w:sz w:val="24"/>
          <w:szCs w:val="24"/>
        </w:rPr>
        <w:t>25</w:t>
      </w:r>
      <w:r w:rsidRPr="00C0346F">
        <w:rPr>
          <w:rFonts w:ascii="Times New Roman" w:hAnsi="Times New Roman" w:cs="Times New Roman"/>
          <w:sz w:val="24"/>
          <w:szCs w:val="24"/>
        </w:rPr>
        <w:t>-</w:t>
      </w:r>
      <w:r w:rsidR="005233CF">
        <w:rPr>
          <w:rFonts w:ascii="Times New Roman" w:hAnsi="Times New Roman" w:cs="Times New Roman"/>
          <w:sz w:val="24"/>
          <w:szCs w:val="24"/>
        </w:rPr>
        <w:t>26</w:t>
      </w:r>
      <w:r w:rsidRPr="00C0346F">
        <w:rPr>
          <w:rFonts w:ascii="Times New Roman" w:hAnsi="Times New Roman" w:cs="Times New Roman"/>
          <w:sz w:val="24"/>
          <w:szCs w:val="24"/>
        </w:rPr>
        <w:t xml:space="preserve"> eligible revenue period and subsequent eligible revenue periods.</w:t>
      </w:r>
    </w:p>
    <w:p w14:paraId="31E1A139" w14:textId="7203914D" w:rsidR="005233CF" w:rsidRPr="00C0346F" w:rsidRDefault="005233CF" w:rsidP="00C0346F">
      <w:pPr>
        <w:tabs>
          <w:tab w:val="left" w:pos="3610"/>
        </w:tabs>
        <w:ind w:right="91"/>
        <w:rPr>
          <w:rFonts w:ascii="Times New Roman" w:hAnsi="Times New Roman" w:cs="Times New Roman"/>
          <w:sz w:val="24"/>
          <w:szCs w:val="24"/>
        </w:rPr>
      </w:pPr>
      <w:r>
        <w:rPr>
          <w:rFonts w:ascii="Times New Roman" w:hAnsi="Times New Roman" w:cs="Times New Roman"/>
          <w:sz w:val="24"/>
          <w:szCs w:val="24"/>
        </w:rPr>
        <w:t xml:space="preserve">Subsection 7(2) provides that the PP Determination 2015 </w:t>
      </w:r>
      <w:r w:rsidR="00772156">
        <w:rPr>
          <w:rFonts w:ascii="Times New Roman" w:hAnsi="Times New Roman" w:cs="Times New Roman"/>
          <w:sz w:val="24"/>
          <w:szCs w:val="24"/>
        </w:rPr>
        <w:t xml:space="preserve">(despite its repeal due to the operation of Schedule 1) </w:t>
      </w:r>
      <w:r>
        <w:rPr>
          <w:rFonts w:ascii="Times New Roman" w:hAnsi="Times New Roman" w:cs="Times New Roman"/>
          <w:sz w:val="24"/>
          <w:szCs w:val="24"/>
        </w:rPr>
        <w:t xml:space="preserve">continues to apply for the eligible revenue periods from </w:t>
      </w:r>
      <w:r w:rsidR="002E5412">
        <w:rPr>
          <w:rFonts w:ascii="Times New Roman" w:hAnsi="Times New Roman" w:cs="Times New Roman"/>
          <w:sz w:val="24"/>
          <w:szCs w:val="24"/>
        </w:rPr>
        <w:t>1 July 20</w:t>
      </w:r>
      <w:r w:rsidR="00191AC8">
        <w:rPr>
          <w:rFonts w:ascii="Times New Roman" w:hAnsi="Times New Roman" w:cs="Times New Roman"/>
          <w:sz w:val="24"/>
          <w:szCs w:val="24"/>
        </w:rPr>
        <w:t>1</w:t>
      </w:r>
      <w:r w:rsidR="002E5412">
        <w:rPr>
          <w:rFonts w:ascii="Times New Roman" w:hAnsi="Times New Roman" w:cs="Times New Roman"/>
          <w:sz w:val="24"/>
          <w:szCs w:val="24"/>
        </w:rPr>
        <w:t>5</w:t>
      </w:r>
      <w:r>
        <w:rPr>
          <w:rFonts w:ascii="Times New Roman" w:hAnsi="Times New Roman" w:cs="Times New Roman"/>
          <w:sz w:val="24"/>
          <w:szCs w:val="24"/>
        </w:rPr>
        <w:t xml:space="preserve"> to </w:t>
      </w:r>
      <w:r w:rsidR="002E5412">
        <w:rPr>
          <w:rFonts w:ascii="Times New Roman" w:hAnsi="Times New Roman" w:cs="Times New Roman"/>
          <w:sz w:val="24"/>
          <w:szCs w:val="24"/>
        </w:rPr>
        <w:t>30 June 20</w:t>
      </w:r>
      <w:r>
        <w:rPr>
          <w:rFonts w:ascii="Times New Roman" w:hAnsi="Times New Roman" w:cs="Times New Roman"/>
          <w:sz w:val="24"/>
          <w:szCs w:val="24"/>
        </w:rPr>
        <w:t>25.</w:t>
      </w:r>
    </w:p>
    <w:p w14:paraId="7B4DAED5" w14:textId="77777777" w:rsidR="00892394" w:rsidRPr="00AD7514" w:rsidRDefault="00892394" w:rsidP="00892394">
      <w:pPr>
        <w:rPr>
          <w:rFonts w:ascii="Times New Roman" w:hAnsi="Times New Roman" w:cs="Times New Roman"/>
          <w:b/>
          <w:sz w:val="24"/>
          <w:szCs w:val="24"/>
          <w:u w:val="single"/>
        </w:rPr>
      </w:pPr>
      <w:r w:rsidRPr="00AD7514">
        <w:rPr>
          <w:rFonts w:ascii="Times New Roman" w:hAnsi="Times New Roman" w:cs="Times New Roman"/>
          <w:b/>
          <w:sz w:val="24"/>
          <w:szCs w:val="24"/>
          <w:u w:val="single"/>
        </w:rPr>
        <w:t xml:space="preserve">Schedule 1 – </w:t>
      </w:r>
      <w:r w:rsidR="005233CF" w:rsidRPr="00AD7514">
        <w:rPr>
          <w:rFonts w:ascii="Times New Roman" w:hAnsi="Times New Roman" w:cs="Times New Roman"/>
          <w:b/>
          <w:sz w:val="24"/>
          <w:szCs w:val="24"/>
          <w:u w:val="single"/>
        </w:rPr>
        <w:t>Repeals</w:t>
      </w:r>
    </w:p>
    <w:p w14:paraId="6E390A47" w14:textId="77777777" w:rsidR="0084614C" w:rsidRDefault="0084614C" w:rsidP="00DF787F">
      <w:pPr>
        <w:pStyle w:val="ItemHead"/>
        <w:spacing w:line="276" w:lineRule="auto"/>
        <w:ind w:left="0" w:firstLine="0"/>
        <w:rPr>
          <w:rFonts w:ascii="Times New Roman" w:hAnsi="Times New Roman"/>
          <w:b w:val="0"/>
          <w:szCs w:val="24"/>
        </w:rPr>
      </w:pPr>
      <w:r w:rsidRPr="0042141B">
        <w:rPr>
          <w:rFonts w:ascii="Times New Roman" w:hAnsi="Times New Roman"/>
          <w:b w:val="0"/>
          <w:szCs w:val="24"/>
        </w:rPr>
        <w:t xml:space="preserve">Item 1 in Schedule 1 </w:t>
      </w:r>
      <w:r w:rsidR="004C76B5" w:rsidRPr="000E2D69">
        <w:rPr>
          <w:rFonts w:ascii="Times New Roman" w:hAnsi="Times New Roman"/>
          <w:b w:val="0"/>
          <w:szCs w:val="24"/>
        </w:rPr>
        <w:t>repeal</w:t>
      </w:r>
      <w:r w:rsidR="000E2D69" w:rsidRPr="000E2D69">
        <w:rPr>
          <w:rFonts w:ascii="Times New Roman" w:hAnsi="Times New Roman"/>
          <w:b w:val="0"/>
          <w:szCs w:val="24"/>
        </w:rPr>
        <w:t xml:space="preserve">s the </w:t>
      </w:r>
      <w:r w:rsidR="000E2D69" w:rsidRPr="00DF787F">
        <w:rPr>
          <w:rFonts w:ascii="Times New Roman" w:hAnsi="Times New Roman"/>
          <w:b w:val="0"/>
          <w:i/>
          <w:szCs w:val="24"/>
        </w:rPr>
        <w:t xml:space="preserve">Telecommunications (Participating Persons) Determination </w:t>
      </w:r>
      <w:r w:rsidR="00410ADF" w:rsidRPr="00DF787F">
        <w:rPr>
          <w:rFonts w:ascii="Times New Roman" w:hAnsi="Times New Roman"/>
          <w:b w:val="0"/>
          <w:i/>
          <w:szCs w:val="24"/>
        </w:rPr>
        <w:t>2015</w:t>
      </w:r>
      <w:r w:rsidR="005F577F">
        <w:rPr>
          <w:rFonts w:ascii="Times New Roman" w:hAnsi="Times New Roman"/>
          <w:b w:val="0"/>
          <w:szCs w:val="24"/>
        </w:rPr>
        <w:t>.</w:t>
      </w:r>
    </w:p>
    <w:p w14:paraId="1D4C2B06" w14:textId="77777777" w:rsidR="00360834" w:rsidRPr="00360834" w:rsidRDefault="00360834" w:rsidP="00360834">
      <w:pPr>
        <w:pStyle w:val="ItemHead"/>
        <w:spacing w:line="276" w:lineRule="auto"/>
        <w:ind w:left="0" w:firstLine="0"/>
        <w:rPr>
          <w:rFonts w:ascii="Times New Roman" w:hAnsi="Times New Roman"/>
          <w:b w:val="0"/>
          <w:szCs w:val="24"/>
        </w:rPr>
      </w:pPr>
      <w:r>
        <w:rPr>
          <w:rFonts w:ascii="Times New Roman" w:hAnsi="Times New Roman"/>
          <w:b w:val="0"/>
          <w:szCs w:val="24"/>
        </w:rPr>
        <w:t xml:space="preserve">The Determination relies on subsection 33(3) of the </w:t>
      </w:r>
      <w:r>
        <w:rPr>
          <w:rFonts w:ascii="Times New Roman" w:hAnsi="Times New Roman"/>
          <w:b w:val="0"/>
          <w:i/>
          <w:szCs w:val="24"/>
        </w:rPr>
        <w:t xml:space="preserve">Acts Interpretation Act 1901 </w:t>
      </w:r>
      <w:r>
        <w:rPr>
          <w:rFonts w:ascii="Times New Roman" w:hAnsi="Times New Roman"/>
          <w:b w:val="0"/>
          <w:szCs w:val="24"/>
        </w:rPr>
        <w:t xml:space="preserve">for the power to repeal the PP Determination 2015. </w:t>
      </w:r>
      <w:r w:rsidRPr="00360834">
        <w:rPr>
          <w:rFonts w:ascii="Times New Roman" w:hAnsi="Times New Roman"/>
          <w:b w:val="0"/>
          <w:szCs w:val="24"/>
        </w:rPr>
        <w:t>Under</w:t>
      </w:r>
      <w:r w:rsidRPr="00360834">
        <w:rPr>
          <w:rFonts w:ascii="Times New Roman" w:hAnsi="Times New Roman"/>
          <w:b w:val="0"/>
          <w:color w:val="000000"/>
          <w:szCs w:val="24"/>
        </w:rPr>
        <w:t xml:space="preserve"> subsection 33(3) of the </w:t>
      </w:r>
      <w:r w:rsidRPr="00360834">
        <w:rPr>
          <w:rFonts w:ascii="Times New Roman" w:hAnsi="Times New Roman"/>
          <w:b w:val="0"/>
          <w:i/>
          <w:color w:val="000000"/>
          <w:szCs w:val="24"/>
        </w:rPr>
        <w:t>Acts Interpretation Act 1901</w:t>
      </w:r>
      <w:r w:rsidRPr="00360834">
        <w:rPr>
          <w:rFonts w:ascii="Times New Roman" w:hAnsi="Times New Roman"/>
          <w:b w:val="0"/>
          <w:color w:val="000000"/>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A3BC52"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br w:type="page"/>
      </w:r>
    </w:p>
    <w:p w14:paraId="6F7C7279"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14408040" w14:textId="77777777" w:rsidR="00892394" w:rsidRPr="00B72D3E" w:rsidRDefault="00892394" w:rsidP="00892394">
      <w:pPr>
        <w:pStyle w:val="Heading2"/>
        <w:spacing w:after="0"/>
        <w:rPr>
          <w:rFonts w:eastAsiaTheme="minorHAnsi"/>
          <w:sz w:val="24"/>
          <w:szCs w:val="24"/>
        </w:rPr>
      </w:pPr>
      <w:r w:rsidRPr="00B72D3E">
        <w:rPr>
          <w:rFonts w:eastAsiaTheme="minorHAnsi"/>
          <w:sz w:val="24"/>
          <w:szCs w:val="24"/>
        </w:rPr>
        <w:t>Statement of Compatibility with Human Rights</w:t>
      </w:r>
    </w:p>
    <w:p w14:paraId="0984C722" w14:textId="77777777" w:rsidR="00892394" w:rsidRPr="00B72D3E" w:rsidRDefault="00892394" w:rsidP="00892394">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45D81973" w14:textId="77777777" w:rsidR="00892394" w:rsidRPr="00B72D3E" w:rsidRDefault="00892394" w:rsidP="00892394">
      <w:pPr>
        <w:spacing w:after="0"/>
        <w:jc w:val="center"/>
        <w:rPr>
          <w:rFonts w:ascii="Times New Roman" w:hAnsi="Times New Roman"/>
          <w:sz w:val="24"/>
          <w:szCs w:val="24"/>
        </w:rPr>
      </w:pPr>
    </w:p>
    <w:p w14:paraId="0E55302A" w14:textId="77777777" w:rsidR="00892394" w:rsidRPr="00B72D3E" w:rsidRDefault="00772AEB" w:rsidP="00892394">
      <w:pPr>
        <w:jc w:val="center"/>
        <w:rPr>
          <w:rFonts w:ascii="Times New Roman" w:hAnsi="Times New Roman"/>
          <w:b/>
          <w:sz w:val="24"/>
          <w:szCs w:val="24"/>
        </w:rPr>
      </w:pPr>
      <w:r w:rsidRPr="00772AEB">
        <w:rPr>
          <w:rFonts w:ascii="Times New Roman" w:hAnsi="Times New Roman"/>
          <w:b/>
          <w:sz w:val="24"/>
          <w:szCs w:val="24"/>
        </w:rPr>
        <w:t>Telecommunications (Consumer Protection and Service Standards) (Non-Participating Persons) Determination 2025</w:t>
      </w:r>
    </w:p>
    <w:p w14:paraId="7525777F" w14:textId="77777777" w:rsidR="00DC3E9A" w:rsidRPr="00D26723" w:rsidRDefault="00506968" w:rsidP="00A83FED">
      <w:pPr>
        <w:spacing w:before="160"/>
        <w:rPr>
          <w:rFonts w:ascii="Times New Roman" w:hAnsi="Times New Roman"/>
          <w:sz w:val="24"/>
          <w:szCs w:val="24"/>
        </w:rPr>
      </w:pPr>
      <w:bookmarkStart w:id="1" w:name="_GoBack"/>
      <w:bookmarkEnd w:id="1"/>
      <w:r w:rsidRPr="00D26723">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D26723">
        <w:rPr>
          <w:rFonts w:ascii="Times New Roman" w:hAnsi="Times New Roman"/>
          <w:i/>
          <w:sz w:val="24"/>
          <w:szCs w:val="24"/>
        </w:rPr>
        <w:t>Human Rights (Parliamentary Scrutiny) Act 2011</w:t>
      </w:r>
      <w:r w:rsidRPr="00D26723">
        <w:rPr>
          <w:rFonts w:ascii="Times New Roman" w:hAnsi="Times New Roman"/>
          <w:sz w:val="24"/>
          <w:szCs w:val="24"/>
        </w:rPr>
        <w:t>.</w:t>
      </w:r>
    </w:p>
    <w:p w14:paraId="396644D7" w14:textId="77777777" w:rsidR="00DC3E9A" w:rsidRDefault="00DC3E9A" w:rsidP="00C40589">
      <w:pPr>
        <w:spacing w:before="160"/>
        <w:rPr>
          <w:rFonts w:ascii="Times New Roman" w:hAnsi="Times New Roman"/>
          <w:b/>
          <w:sz w:val="24"/>
          <w:szCs w:val="24"/>
        </w:rPr>
      </w:pPr>
      <w:r w:rsidRPr="00DC3E9A">
        <w:rPr>
          <w:rFonts w:ascii="Times New Roman" w:hAnsi="Times New Roman"/>
          <w:b/>
          <w:sz w:val="24"/>
          <w:szCs w:val="24"/>
        </w:rPr>
        <w:t>Overview</w:t>
      </w:r>
    </w:p>
    <w:p w14:paraId="236BAFC5" w14:textId="4FAD1AA6" w:rsidR="00DC3E9A" w:rsidRDefault="00DC3E9A" w:rsidP="00DC3E9A">
      <w:pPr>
        <w:rPr>
          <w:rFonts w:ascii="Times New Roman" w:hAnsi="Times New Roman"/>
          <w:sz w:val="24"/>
          <w:szCs w:val="24"/>
        </w:rPr>
      </w:pPr>
      <w:r w:rsidRPr="00772AEB">
        <w:rPr>
          <w:rFonts w:ascii="Times New Roman" w:hAnsi="Times New Roman"/>
          <w:sz w:val="24"/>
          <w:szCs w:val="24"/>
        </w:rPr>
        <w:t xml:space="preserve">The </w:t>
      </w:r>
      <w:r w:rsidRPr="00DC3E9A">
        <w:rPr>
          <w:rFonts w:ascii="Times New Roman" w:hAnsi="Times New Roman"/>
          <w:i/>
          <w:sz w:val="24"/>
          <w:szCs w:val="24"/>
        </w:rPr>
        <w:t>Telecommunications (Consumer Protection and Service Standards) (Non-Participating Persons) Determination 2025</w:t>
      </w:r>
      <w:r>
        <w:rPr>
          <w:rFonts w:ascii="Times New Roman" w:hAnsi="Times New Roman"/>
          <w:sz w:val="24"/>
          <w:szCs w:val="24"/>
        </w:rPr>
        <w:t xml:space="preserve"> (</w:t>
      </w:r>
      <w:r w:rsidRPr="00772AEB">
        <w:rPr>
          <w:rFonts w:ascii="Times New Roman" w:hAnsi="Times New Roman"/>
          <w:sz w:val="24"/>
          <w:szCs w:val="24"/>
        </w:rPr>
        <w:t>Determination</w:t>
      </w:r>
      <w:r>
        <w:rPr>
          <w:rFonts w:ascii="Times New Roman" w:hAnsi="Times New Roman"/>
          <w:sz w:val="24"/>
          <w:szCs w:val="24"/>
        </w:rPr>
        <w:t>)</w:t>
      </w:r>
      <w:r w:rsidRPr="00772AEB">
        <w:rPr>
          <w:rFonts w:ascii="Times New Roman" w:hAnsi="Times New Roman"/>
          <w:sz w:val="24"/>
          <w:szCs w:val="24"/>
        </w:rPr>
        <w:t xml:space="preserve"> exempts certain persons from being participating persons for the purposes of the</w:t>
      </w:r>
      <w:r>
        <w:rPr>
          <w:rFonts w:ascii="Times New Roman" w:hAnsi="Times New Roman"/>
          <w:sz w:val="24"/>
          <w:szCs w:val="24"/>
        </w:rPr>
        <w:t xml:space="preserve"> </w:t>
      </w:r>
      <w:r w:rsidRPr="00394925">
        <w:rPr>
          <w:rFonts w:ascii="Times New Roman" w:hAnsi="Times New Roman"/>
          <w:i/>
          <w:sz w:val="24"/>
          <w:szCs w:val="24"/>
        </w:rPr>
        <w:t>Telecommunications (Consumer Protection and Service Standards) Act 1999</w:t>
      </w:r>
      <w:r w:rsidRPr="00394925">
        <w:rPr>
          <w:rFonts w:ascii="Times New Roman" w:hAnsi="Times New Roman"/>
          <w:sz w:val="24"/>
          <w:szCs w:val="24"/>
        </w:rPr>
        <w:t xml:space="preserve"> </w:t>
      </w:r>
      <w:r>
        <w:rPr>
          <w:rFonts w:ascii="Times New Roman" w:hAnsi="Times New Roman"/>
          <w:sz w:val="24"/>
          <w:szCs w:val="24"/>
        </w:rPr>
        <w:t>(</w:t>
      </w:r>
      <w:r w:rsidRPr="00772AEB">
        <w:rPr>
          <w:rFonts w:ascii="Times New Roman" w:hAnsi="Times New Roman"/>
          <w:sz w:val="24"/>
          <w:szCs w:val="24"/>
        </w:rPr>
        <w:t>Act</w:t>
      </w:r>
      <w:r>
        <w:rPr>
          <w:rFonts w:ascii="Times New Roman" w:hAnsi="Times New Roman"/>
          <w:sz w:val="24"/>
          <w:szCs w:val="24"/>
        </w:rPr>
        <w:t>)</w:t>
      </w:r>
      <w:r w:rsidRPr="00772AEB">
        <w:rPr>
          <w:rFonts w:ascii="Times New Roman" w:hAnsi="Times New Roman"/>
          <w:sz w:val="24"/>
          <w:szCs w:val="24"/>
        </w:rPr>
        <w:t xml:space="preserve">. This will </w:t>
      </w:r>
      <w:r w:rsidR="002E5412">
        <w:rPr>
          <w:rFonts w:ascii="Times New Roman" w:hAnsi="Times New Roman"/>
          <w:sz w:val="24"/>
          <w:szCs w:val="24"/>
        </w:rPr>
        <w:t>exempt</w:t>
      </w:r>
      <w:r w:rsidR="002E5412" w:rsidRPr="00772AEB">
        <w:rPr>
          <w:rFonts w:ascii="Times New Roman" w:hAnsi="Times New Roman"/>
          <w:sz w:val="24"/>
          <w:szCs w:val="24"/>
        </w:rPr>
        <w:t xml:space="preserve"> </w:t>
      </w:r>
      <w:r w:rsidRPr="00772AEB">
        <w:rPr>
          <w:rFonts w:ascii="Times New Roman" w:hAnsi="Times New Roman"/>
          <w:sz w:val="24"/>
          <w:szCs w:val="24"/>
        </w:rPr>
        <w:t xml:space="preserve">these persons from </w:t>
      </w:r>
      <w:r w:rsidR="002E5412">
        <w:rPr>
          <w:rFonts w:ascii="Times New Roman" w:hAnsi="Times New Roman"/>
          <w:sz w:val="24"/>
          <w:szCs w:val="24"/>
        </w:rPr>
        <w:t>needing to lodge</w:t>
      </w:r>
      <w:r w:rsidR="002E5412" w:rsidRPr="00772AEB">
        <w:rPr>
          <w:rFonts w:ascii="Times New Roman" w:hAnsi="Times New Roman"/>
          <w:sz w:val="24"/>
          <w:szCs w:val="24"/>
        </w:rPr>
        <w:t xml:space="preserve"> </w:t>
      </w:r>
      <w:r w:rsidRPr="00772AEB">
        <w:rPr>
          <w:rFonts w:ascii="Times New Roman" w:hAnsi="Times New Roman"/>
          <w:sz w:val="24"/>
          <w:szCs w:val="24"/>
        </w:rPr>
        <w:t>an eligible revenue return with the A</w:t>
      </w:r>
      <w:r>
        <w:rPr>
          <w:rFonts w:ascii="Times New Roman" w:hAnsi="Times New Roman"/>
          <w:sz w:val="24"/>
          <w:szCs w:val="24"/>
        </w:rPr>
        <w:t xml:space="preserve">ustralian </w:t>
      </w:r>
      <w:r w:rsidRPr="00772AEB">
        <w:rPr>
          <w:rFonts w:ascii="Times New Roman" w:hAnsi="Times New Roman"/>
          <w:sz w:val="24"/>
          <w:szCs w:val="24"/>
        </w:rPr>
        <w:t>C</w:t>
      </w:r>
      <w:r>
        <w:rPr>
          <w:rFonts w:ascii="Times New Roman" w:hAnsi="Times New Roman"/>
          <w:sz w:val="24"/>
          <w:szCs w:val="24"/>
        </w:rPr>
        <w:t xml:space="preserve">ommunications and </w:t>
      </w:r>
      <w:r w:rsidRPr="00772AEB">
        <w:rPr>
          <w:rFonts w:ascii="Times New Roman" w:hAnsi="Times New Roman"/>
          <w:sz w:val="24"/>
          <w:szCs w:val="24"/>
        </w:rPr>
        <w:t>M</w:t>
      </w:r>
      <w:r>
        <w:rPr>
          <w:rFonts w:ascii="Times New Roman" w:hAnsi="Times New Roman"/>
          <w:sz w:val="24"/>
          <w:szCs w:val="24"/>
        </w:rPr>
        <w:t xml:space="preserve">edia </w:t>
      </w:r>
      <w:r w:rsidRPr="00772AEB">
        <w:rPr>
          <w:rFonts w:ascii="Times New Roman" w:hAnsi="Times New Roman"/>
          <w:sz w:val="24"/>
          <w:szCs w:val="24"/>
        </w:rPr>
        <w:t>A</w:t>
      </w:r>
      <w:r>
        <w:rPr>
          <w:rFonts w:ascii="Times New Roman" w:hAnsi="Times New Roman"/>
          <w:sz w:val="24"/>
          <w:szCs w:val="24"/>
        </w:rPr>
        <w:t>uthority (ACMA)</w:t>
      </w:r>
      <w:r w:rsidRPr="00772AEB">
        <w:rPr>
          <w:rFonts w:ascii="Times New Roman" w:hAnsi="Times New Roman"/>
          <w:sz w:val="24"/>
          <w:szCs w:val="24"/>
        </w:rPr>
        <w:t xml:space="preserve">.  As a consequence, no eligible revenue will be assessed and those persons will not have a levy liability assessed under the Act for the </w:t>
      </w:r>
      <w:r w:rsidR="00984B97">
        <w:rPr>
          <w:rFonts w:ascii="Times New Roman" w:hAnsi="Times New Roman"/>
          <w:sz w:val="24"/>
          <w:szCs w:val="24"/>
        </w:rPr>
        <w:t>relevant</w:t>
      </w:r>
      <w:r w:rsidR="00984B97" w:rsidRPr="00772AEB">
        <w:rPr>
          <w:rFonts w:ascii="Times New Roman" w:hAnsi="Times New Roman"/>
          <w:sz w:val="24"/>
          <w:szCs w:val="24"/>
        </w:rPr>
        <w:t xml:space="preserve"> </w:t>
      </w:r>
      <w:r w:rsidRPr="00772AEB">
        <w:rPr>
          <w:rFonts w:ascii="Times New Roman" w:hAnsi="Times New Roman"/>
          <w:sz w:val="24"/>
          <w:szCs w:val="24"/>
        </w:rPr>
        <w:t>eligible levy period</w:t>
      </w:r>
      <w:r>
        <w:rPr>
          <w:rFonts w:ascii="Times New Roman" w:hAnsi="Times New Roman"/>
          <w:sz w:val="24"/>
          <w:szCs w:val="24"/>
        </w:rPr>
        <w:t xml:space="preserve"> (i.e. financial year)</w:t>
      </w:r>
      <w:r w:rsidRPr="00772AEB">
        <w:rPr>
          <w:rFonts w:ascii="Times New Roman" w:hAnsi="Times New Roman"/>
          <w:sz w:val="24"/>
          <w:szCs w:val="24"/>
        </w:rPr>
        <w:t xml:space="preserve">.  </w:t>
      </w:r>
    </w:p>
    <w:p w14:paraId="7542CCDD" w14:textId="77777777" w:rsidR="00DC3E9A" w:rsidRPr="00DC1928" w:rsidRDefault="00DC3E9A" w:rsidP="00DC3E9A">
      <w:pPr>
        <w:rPr>
          <w:rFonts w:ascii="Times New Roman" w:hAnsi="Times New Roman" w:cs="Times New Roman"/>
          <w:sz w:val="24"/>
          <w:szCs w:val="24"/>
        </w:rPr>
      </w:pPr>
      <w:r w:rsidRPr="0047760E">
        <w:rPr>
          <w:rFonts w:ascii="Times New Roman" w:eastAsia="Times New Roman" w:hAnsi="Times New Roman" w:cs="Times New Roman"/>
          <w:color w:val="000000"/>
          <w:sz w:val="24"/>
          <w:szCs w:val="24"/>
          <w:lang w:eastAsia="en-AU"/>
        </w:rPr>
        <w:t>As with the</w:t>
      </w:r>
      <w:r>
        <w:rPr>
          <w:rFonts w:ascii="Times New Roman" w:eastAsia="Times New Roman" w:hAnsi="Times New Roman" w:cs="Times New Roman"/>
          <w:color w:val="000000"/>
          <w:sz w:val="24"/>
          <w:szCs w:val="24"/>
          <w:lang w:eastAsia="en-AU"/>
        </w:rPr>
        <w:t xml:space="preserve"> </w:t>
      </w:r>
      <w:r w:rsidRPr="00116CA5">
        <w:rPr>
          <w:rFonts w:ascii="Times New Roman" w:hAnsi="Times New Roman"/>
          <w:i/>
          <w:sz w:val="24"/>
          <w:szCs w:val="24"/>
        </w:rPr>
        <w:t>Telecommunications (Participating Persons) Determination 2015</w:t>
      </w:r>
      <w:r>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it replaces, </w:t>
      </w:r>
      <w:r w:rsidRPr="0047760E">
        <w:rPr>
          <w:rFonts w:ascii="Times New Roman" w:eastAsia="Times New Roman" w:hAnsi="Times New Roman" w:cs="Times New Roman"/>
          <w:color w:val="000000"/>
          <w:sz w:val="24"/>
          <w:szCs w:val="24"/>
          <w:lang w:eastAsia="en-AU"/>
        </w:rPr>
        <w:t xml:space="preserve">the Determination </w:t>
      </w:r>
      <w:r>
        <w:rPr>
          <w:rFonts w:ascii="Times New Roman" w:eastAsia="Times New Roman" w:hAnsi="Times New Roman" w:cs="Times New Roman"/>
          <w:color w:val="000000"/>
          <w:sz w:val="24"/>
          <w:szCs w:val="24"/>
          <w:lang w:eastAsia="en-AU"/>
        </w:rPr>
        <w:t xml:space="preserve">is intended to reduce the </w:t>
      </w:r>
      <w:r w:rsidRPr="0047760E">
        <w:rPr>
          <w:rFonts w:ascii="Times New Roman" w:eastAsia="Times New Roman" w:hAnsi="Times New Roman" w:cs="Times New Roman"/>
          <w:color w:val="000000"/>
          <w:sz w:val="24"/>
          <w:szCs w:val="24"/>
          <w:lang w:eastAsia="en-AU"/>
        </w:rPr>
        <w:t>compliance burden</w:t>
      </w:r>
      <w:r>
        <w:rPr>
          <w:rFonts w:ascii="Times New Roman" w:eastAsia="Times New Roman" w:hAnsi="Times New Roman" w:cs="Times New Roman"/>
          <w:color w:val="000000"/>
          <w:sz w:val="24"/>
          <w:szCs w:val="24"/>
          <w:lang w:eastAsia="en-AU"/>
        </w:rPr>
        <w:t xml:space="preserve"> of smaller entities with less than $25 million in relevant revenue that would otherwise be required to contribute to the Telecommunications Industry Levy (TIL)</w:t>
      </w:r>
      <w:r w:rsidRPr="0047760E">
        <w:rPr>
          <w:rFonts w:ascii="Times New Roman" w:eastAsia="Times New Roman" w:hAnsi="Times New Roman" w:cs="Times New Roman"/>
          <w:color w:val="000000"/>
          <w:sz w:val="24"/>
          <w:szCs w:val="24"/>
          <w:lang w:eastAsia="en-AU"/>
        </w:rPr>
        <w:t>. </w:t>
      </w:r>
      <w:r>
        <w:rPr>
          <w:rFonts w:ascii="Times New Roman" w:hAnsi="Times New Roman" w:cs="Times New Roman"/>
          <w:sz w:val="24"/>
          <w:szCs w:val="24"/>
        </w:rPr>
        <w:t xml:space="preserve">Funds raised by the TIL, along with contributions from the Australian Government, are </w:t>
      </w:r>
      <w:r w:rsidRPr="00721AA1">
        <w:rPr>
          <w:rFonts w:ascii="Times New Roman" w:hAnsi="Times New Roman" w:cs="Times New Roman"/>
          <w:sz w:val="24"/>
          <w:szCs w:val="24"/>
        </w:rPr>
        <w:t>used to meet the costs of service contracts or grants to deliver universal service</w:t>
      </w:r>
      <w:r>
        <w:rPr>
          <w:rFonts w:ascii="Times New Roman" w:hAnsi="Times New Roman" w:cs="Times New Roman"/>
          <w:sz w:val="24"/>
          <w:szCs w:val="24"/>
        </w:rPr>
        <w:t>s</w:t>
      </w:r>
      <w:r w:rsidRPr="00721AA1">
        <w:rPr>
          <w:rFonts w:ascii="Times New Roman" w:hAnsi="Times New Roman" w:cs="Times New Roman"/>
          <w:sz w:val="24"/>
          <w:szCs w:val="24"/>
        </w:rPr>
        <w:t xml:space="preserve"> </w:t>
      </w:r>
      <w:r>
        <w:rPr>
          <w:rFonts w:ascii="Times New Roman" w:hAnsi="Times New Roman" w:cs="Times New Roman"/>
          <w:sz w:val="24"/>
          <w:szCs w:val="24"/>
        </w:rPr>
        <w:t xml:space="preserve">(i.e. residential voice and payphone services) </w:t>
      </w:r>
      <w:r w:rsidRPr="00721AA1">
        <w:rPr>
          <w:rFonts w:ascii="Times New Roman" w:hAnsi="Times New Roman" w:cs="Times New Roman"/>
          <w:sz w:val="24"/>
          <w:szCs w:val="24"/>
        </w:rPr>
        <w:t xml:space="preserve">and other public policy telecommunications outcomes </w:t>
      </w:r>
      <w:r>
        <w:rPr>
          <w:rFonts w:ascii="Times New Roman" w:hAnsi="Times New Roman" w:cs="Times New Roman"/>
          <w:sz w:val="24"/>
          <w:szCs w:val="24"/>
        </w:rPr>
        <w:t>(e.g. emergency call service and the National Relay Service for voice-equivalent services for people who are deaf, hard-of-hearing or have</w:t>
      </w:r>
      <w:r w:rsidR="00BF7DFB">
        <w:rPr>
          <w:rFonts w:ascii="Times New Roman" w:hAnsi="Times New Roman" w:cs="Times New Roman"/>
          <w:sz w:val="24"/>
          <w:szCs w:val="24"/>
        </w:rPr>
        <w:t xml:space="preserve"> a</w:t>
      </w:r>
      <w:r>
        <w:rPr>
          <w:rFonts w:ascii="Times New Roman" w:hAnsi="Times New Roman" w:cs="Times New Roman"/>
          <w:sz w:val="24"/>
          <w:szCs w:val="24"/>
        </w:rPr>
        <w:t xml:space="preserve"> speech impairment), and</w:t>
      </w:r>
      <w:r w:rsidRPr="006007DA">
        <w:rPr>
          <w:rFonts w:ascii="Times New Roman" w:hAnsi="Times New Roman" w:cs="Times New Roman"/>
          <w:sz w:val="24"/>
          <w:szCs w:val="24"/>
        </w:rPr>
        <w:t xml:space="preserve"> costs of the Commonwealth in administering these contracts and grants.</w:t>
      </w:r>
    </w:p>
    <w:p w14:paraId="1EBA323F" w14:textId="77777777" w:rsidR="00DC3E9A" w:rsidRPr="0047760E" w:rsidRDefault="00DC3E9A" w:rsidP="00DC3E9A">
      <w:pPr>
        <w:spacing w:before="280" w:after="280" w:line="240" w:lineRule="auto"/>
        <w:rPr>
          <w:rFonts w:ascii="Calibri" w:eastAsia="Times New Roman" w:hAnsi="Calibri" w:cs="Calibri"/>
          <w:color w:val="000000"/>
          <w:sz w:val="24"/>
          <w:szCs w:val="24"/>
          <w:lang w:eastAsia="en-AU"/>
        </w:rPr>
      </w:pPr>
      <w:r>
        <w:rPr>
          <w:rFonts w:ascii="Times New Roman" w:eastAsia="Times New Roman" w:hAnsi="Times New Roman" w:cs="Times New Roman"/>
          <w:color w:val="000000"/>
          <w:sz w:val="24"/>
          <w:szCs w:val="24"/>
          <w:lang w:eastAsia="en-AU"/>
        </w:rPr>
        <w:t xml:space="preserve">By determining that smaller entities are not participating persons, they are then not required to </w:t>
      </w:r>
      <w:r w:rsidRPr="0047760E">
        <w:rPr>
          <w:rFonts w:ascii="Times New Roman" w:eastAsia="Times New Roman" w:hAnsi="Times New Roman" w:cs="Times New Roman"/>
          <w:color w:val="000000"/>
          <w:sz w:val="24"/>
          <w:szCs w:val="24"/>
          <w:lang w:eastAsia="en-AU"/>
        </w:rPr>
        <w:t>submit eligible revenue returns to the ACMA under the Act, which can be a resource</w:t>
      </w:r>
      <w:r w:rsidRPr="0047760E">
        <w:rPr>
          <w:rFonts w:ascii="Times New Roman" w:eastAsia="Times New Roman" w:hAnsi="Times New Roman" w:cs="Times New Roman"/>
          <w:color w:val="000000"/>
          <w:sz w:val="24"/>
          <w:szCs w:val="24"/>
          <w:lang w:eastAsia="en-AU"/>
        </w:rPr>
        <w:noBreakHyphen/>
        <w:t>intensive and time</w:t>
      </w:r>
      <w:r w:rsidRPr="0047760E">
        <w:rPr>
          <w:rFonts w:ascii="Times New Roman" w:eastAsia="Times New Roman" w:hAnsi="Times New Roman" w:cs="Times New Roman"/>
          <w:color w:val="000000"/>
          <w:sz w:val="24"/>
          <w:szCs w:val="24"/>
          <w:lang w:eastAsia="en-AU"/>
        </w:rPr>
        <w:noBreakHyphen/>
        <w:t>consuming process. While larger entities may be able to absorb such burdens, smaller entities may have greater difficulties in doing so.</w:t>
      </w:r>
    </w:p>
    <w:p w14:paraId="68266D61" w14:textId="77777777" w:rsidR="00C40589" w:rsidRPr="00B72D3E" w:rsidRDefault="00C40589" w:rsidP="00C40589">
      <w:pPr>
        <w:spacing w:before="160"/>
        <w:rPr>
          <w:rFonts w:ascii="Times New Roman" w:hAnsi="Times New Roman"/>
          <w:b/>
          <w:i/>
          <w:sz w:val="24"/>
          <w:szCs w:val="24"/>
        </w:rPr>
      </w:pPr>
      <w:r w:rsidRPr="00B72D3E">
        <w:rPr>
          <w:rFonts w:ascii="Times New Roman" w:hAnsi="Times New Roman"/>
          <w:b/>
          <w:i/>
          <w:sz w:val="24"/>
          <w:szCs w:val="24"/>
        </w:rPr>
        <w:t xml:space="preserve">Human rights implications </w:t>
      </w:r>
    </w:p>
    <w:p w14:paraId="253F21EB" w14:textId="77777777" w:rsidR="00DC3E9A" w:rsidRPr="00F65B09" w:rsidRDefault="00DC3E9A" w:rsidP="00DC3E9A">
      <w:pPr>
        <w:shd w:val="clear" w:color="auto" w:fill="FFFFFF"/>
        <w:spacing w:before="160"/>
        <w:rPr>
          <w:rFonts w:ascii="Times New Roman" w:hAnsi="Times New Roman"/>
          <w:sz w:val="24"/>
          <w:szCs w:val="24"/>
        </w:rPr>
      </w:pPr>
      <w:r w:rsidRPr="00B72D3E">
        <w:rPr>
          <w:rFonts w:ascii="Times New Roman" w:hAnsi="Times New Roman"/>
          <w:sz w:val="24"/>
          <w:szCs w:val="24"/>
        </w:rPr>
        <w:t xml:space="preserve">The </w:t>
      </w:r>
      <w:r>
        <w:rPr>
          <w:rFonts w:ascii="Times New Roman" w:hAnsi="Times New Roman"/>
          <w:sz w:val="24"/>
          <w:szCs w:val="24"/>
        </w:rPr>
        <w:t>Determination</w:t>
      </w:r>
      <w:r w:rsidRPr="00B72D3E">
        <w:rPr>
          <w:rFonts w:ascii="Times New Roman" w:hAnsi="Times New Roman"/>
          <w:sz w:val="24"/>
          <w:szCs w:val="24"/>
        </w:rPr>
        <w:t xml:space="preserve"> </w:t>
      </w:r>
      <w:r w:rsidRPr="00772AEB">
        <w:rPr>
          <w:rFonts w:ascii="Times New Roman" w:hAnsi="Times New Roman"/>
          <w:sz w:val="24"/>
          <w:szCs w:val="24"/>
        </w:rPr>
        <w:t>does not engage any of the applicable rights or freedoms and does not raise any human rights issues</w:t>
      </w:r>
      <w:r>
        <w:rPr>
          <w:rFonts w:ascii="Times New Roman" w:hAnsi="Times New Roman"/>
          <w:sz w:val="24"/>
          <w:szCs w:val="24"/>
        </w:rPr>
        <w:t>.</w:t>
      </w:r>
    </w:p>
    <w:p w14:paraId="0204FBA2" w14:textId="77777777" w:rsidR="00C40589" w:rsidRPr="00B72D3E" w:rsidRDefault="00C40589" w:rsidP="00C40589">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14361F5D" w14:textId="3EE43463" w:rsidR="00456659" w:rsidRPr="00F65B09" w:rsidRDefault="00DC3E9A" w:rsidP="002A7E70">
      <w:pPr>
        <w:shd w:val="clear" w:color="auto" w:fill="FFFFFF"/>
        <w:spacing w:before="160"/>
        <w:rPr>
          <w:rFonts w:ascii="Times New Roman" w:hAnsi="Times New Roman"/>
          <w:sz w:val="24"/>
          <w:szCs w:val="24"/>
        </w:rPr>
      </w:pPr>
      <w:r w:rsidRPr="00772AEB">
        <w:rPr>
          <w:rFonts w:ascii="Times New Roman" w:hAnsi="Times New Roman"/>
          <w:sz w:val="24"/>
          <w:szCs w:val="24"/>
        </w:rPr>
        <w:t xml:space="preserve">The Determination is compatible with human rights </w:t>
      </w:r>
      <w:r w:rsidR="00BF7DFB">
        <w:rPr>
          <w:rFonts w:ascii="Times New Roman" w:hAnsi="Times New Roman"/>
          <w:sz w:val="24"/>
          <w:szCs w:val="24"/>
        </w:rPr>
        <w:t>as it does not raise any human rights issues.</w:t>
      </w:r>
      <w:r w:rsidRPr="00772AEB">
        <w:rPr>
          <w:rFonts w:ascii="Times New Roman" w:hAnsi="Times New Roman"/>
          <w:sz w:val="24"/>
          <w:szCs w:val="24"/>
        </w:rPr>
        <w:t xml:space="preserve">  </w:t>
      </w:r>
    </w:p>
    <w:sectPr w:rsidR="00456659" w:rsidRPr="00F65B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70AF" w14:textId="77777777" w:rsidR="00F33032" w:rsidRDefault="00F33032">
      <w:pPr>
        <w:spacing w:after="0" w:line="240" w:lineRule="auto"/>
      </w:pPr>
      <w:r>
        <w:separator/>
      </w:r>
    </w:p>
  </w:endnote>
  <w:endnote w:type="continuationSeparator" w:id="0">
    <w:p w14:paraId="6962B09B" w14:textId="77777777" w:rsidR="00F33032" w:rsidRDefault="00F3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1378" w14:textId="77777777" w:rsidR="00CA34AD" w:rsidRDefault="00CA3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09795B5C" w14:textId="77777777"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FB29737" w14:textId="77777777" w:rsidR="002D2F32" w:rsidRDefault="00A83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1831" w14:textId="77777777" w:rsidR="00CA34AD" w:rsidRDefault="00CA3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7481" w14:textId="77777777" w:rsidR="00F33032" w:rsidRDefault="00F33032">
      <w:pPr>
        <w:spacing w:after="0" w:line="240" w:lineRule="auto"/>
      </w:pPr>
      <w:r>
        <w:separator/>
      </w:r>
    </w:p>
  </w:footnote>
  <w:footnote w:type="continuationSeparator" w:id="0">
    <w:p w14:paraId="1047302A" w14:textId="77777777" w:rsidR="00F33032" w:rsidRDefault="00F3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175F" w14:textId="77777777" w:rsidR="00CA34AD" w:rsidRDefault="00CA3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D080" w14:textId="33B43E2D" w:rsidR="00CA34AD" w:rsidRDefault="00CA3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FA7F3" w14:textId="77777777" w:rsidR="00CA34AD" w:rsidRDefault="00CA3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7F4A44"/>
    <w:multiLevelType w:val="hybridMultilevel"/>
    <w:tmpl w:val="9F70F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891E17"/>
    <w:multiLevelType w:val="multilevel"/>
    <w:tmpl w:val="FC1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25BA2"/>
    <w:multiLevelType w:val="multilevel"/>
    <w:tmpl w:val="43C6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070AB"/>
    <w:rsid w:val="00041302"/>
    <w:rsid w:val="000678AA"/>
    <w:rsid w:val="000A45A5"/>
    <w:rsid w:val="000A66A2"/>
    <w:rsid w:val="000B6CF7"/>
    <w:rsid w:val="000D6EEF"/>
    <w:rsid w:val="000E2D69"/>
    <w:rsid w:val="000E6056"/>
    <w:rsid w:val="000F25B9"/>
    <w:rsid w:val="001046A8"/>
    <w:rsid w:val="0010694C"/>
    <w:rsid w:val="0011203D"/>
    <w:rsid w:val="00116CA5"/>
    <w:rsid w:val="00120480"/>
    <w:rsid w:val="00143E63"/>
    <w:rsid w:val="00150575"/>
    <w:rsid w:val="00152DC6"/>
    <w:rsid w:val="001563E2"/>
    <w:rsid w:val="00172D85"/>
    <w:rsid w:val="00191AC8"/>
    <w:rsid w:val="001976F0"/>
    <w:rsid w:val="001A1F32"/>
    <w:rsid w:val="001C2C3A"/>
    <w:rsid w:val="001C37E5"/>
    <w:rsid w:val="001D073C"/>
    <w:rsid w:val="001D3650"/>
    <w:rsid w:val="001D3DB0"/>
    <w:rsid w:val="00204B60"/>
    <w:rsid w:val="002062EF"/>
    <w:rsid w:val="00217850"/>
    <w:rsid w:val="00230B89"/>
    <w:rsid w:val="00240268"/>
    <w:rsid w:val="00275778"/>
    <w:rsid w:val="00282723"/>
    <w:rsid w:val="002A7E70"/>
    <w:rsid w:val="002B1B97"/>
    <w:rsid w:val="002C108D"/>
    <w:rsid w:val="002D33AD"/>
    <w:rsid w:val="002E5412"/>
    <w:rsid w:val="002F3D23"/>
    <w:rsid w:val="003513FF"/>
    <w:rsid w:val="00351634"/>
    <w:rsid w:val="00360834"/>
    <w:rsid w:val="00365655"/>
    <w:rsid w:val="00366611"/>
    <w:rsid w:val="00383D55"/>
    <w:rsid w:val="003944C6"/>
    <w:rsid w:val="00394925"/>
    <w:rsid w:val="003C4A0C"/>
    <w:rsid w:val="003C7D1A"/>
    <w:rsid w:val="003D017E"/>
    <w:rsid w:val="00405FD8"/>
    <w:rsid w:val="00407575"/>
    <w:rsid w:val="00410ADF"/>
    <w:rsid w:val="00412691"/>
    <w:rsid w:val="00412B54"/>
    <w:rsid w:val="00415044"/>
    <w:rsid w:val="0042141B"/>
    <w:rsid w:val="00433542"/>
    <w:rsid w:val="00441E20"/>
    <w:rsid w:val="004421EC"/>
    <w:rsid w:val="004550EE"/>
    <w:rsid w:val="00456659"/>
    <w:rsid w:val="0046472A"/>
    <w:rsid w:val="00476D57"/>
    <w:rsid w:val="0047760E"/>
    <w:rsid w:val="004834FF"/>
    <w:rsid w:val="00491015"/>
    <w:rsid w:val="004A3A22"/>
    <w:rsid w:val="004A7445"/>
    <w:rsid w:val="004A76A1"/>
    <w:rsid w:val="004B0D2E"/>
    <w:rsid w:val="004C76B5"/>
    <w:rsid w:val="004F4B34"/>
    <w:rsid w:val="005037A3"/>
    <w:rsid w:val="00506968"/>
    <w:rsid w:val="005233CF"/>
    <w:rsid w:val="005370B2"/>
    <w:rsid w:val="00540CF1"/>
    <w:rsid w:val="00581FB3"/>
    <w:rsid w:val="0058721A"/>
    <w:rsid w:val="005966E7"/>
    <w:rsid w:val="005A1169"/>
    <w:rsid w:val="005B7BB2"/>
    <w:rsid w:val="005C43B9"/>
    <w:rsid w:val="005F577F"/>
    <w:rsid w:val="006007DA"/>
    <w:rsid w:val="00605F4B"/>
    <w:rsid w:val="00620A75"/>
    <w:rsid w:val="00634C71"/>
    <w:rsid w:val="0065097F"/>
    <w:rsid w:val="00651BA7"/>
    <w:rsid w:val="006708D1"/>
    <w:rsid w:val="006725A3"/>
    <w:rsid w:val="006B2719"/>
    <w:rsid w:val="006B471F"/>
    <w:rsid w:val="006B6B1C"/>
    <w:rsid w:val="006D53A5"/>
    <w:rsid w:val="006E6C07"/>
    <w:rsid w:val="006F3DFC"/>
    <w:rsid w:val="00704C8C"/>
    <w:rsid w:val="007105B8"/>
    <w:rsid w:val="00710F31"/>
    <w:rsid w:val="007159BA"/>
    <w:rsid w:val="00716A57"/>
    <w:rsid w:val="00721AA1"/>
    <w:rsid w:val="00727BB5"/>
    <w:rsid w:val="00735699"/>
    <w:rsid w:val="00750FB1"/>
    <w:rsid w:val="00751250"/>
    <w:rsid w:val="00772156"/>
    <w:rsid w:val="00772AEB"/>
    <w:rsid w:val="0079085D"/>
    <w:rsid w:val="007A62D3"/>
    <w:rsid w:val="007A7679"/>
    <w:rsid w:val="007C6AF7"/>
    <w:rsid w:val="007C6B7E"/>
    <w:rsid w:val="007F7D3F"/>
    <w:rsid w:val="00802CBC"/>
    <w:rsid w:val="0081603E"/>
    <w:rsid w:val="00824964"/>
    <w:rsid w:val="0084614C"/>
    <w:rsid w:val="00860BC0"/>
    <w:rsid w:val="008623B2"/>
    <w:rsid w:val="008657A9"/>
    <w:rsid w:val="00887CC8"/>
    <w:rsid w:val="00890D4C"/>
    <w:rsid w:val="00892394"/>
    <w:rsid w:val="008C6F9C"/>
    <w:rsid w:val="008E4681"/>
    <w:rsid w:val="008F14E4"/>
    <w:rsid w:val="0090436C"/>
    <w:rsid w:val="00925CAB"/>
    <w:rsid w:val="00933FC1"/>
    <w:rsid w:val="00942283"/>
    <w:rsid w:val="00953E79"/>
    <w:rsid w:val="00960670"/>
    <w:rsid w:val="00961199"/>
    <w:rsid w:val="0096277F"/>
    <w:rsid w:val="009644D0"/>
    <w:rsid w:val="009704E3"/>
    <w:rsid w:val="00972114"/>
    <w:rsid w:val="00976723"/>
    <w:rsid w:val="00984B97"/>
    <w:rsid w:val="009C50F0"/>
    <w:rsid w:val="009E5E66"/>
    <w:rsid w:val="009E79DB"/>
    <w:rsid w:val="00A06894"/>
    <w:rsid w:val="00A17DA0"/>
    <w:rsid w:val="00A27F47"/>
    <w:rsid w:val="00A309FC"/>
    <w:rsid w:val="00A4273F"/>
    <w:rsid w:val="00A65E06"/>
    <w:rsid w:val="00A77BE3"/>
    <w:rsid w:val="00A83BCE"/>
    <w:rsid w:val="00A83FED"/>
    <w:rsid w:val="00A854F4"/>
    <w:rsid w:val="00A85AA6"/>
    <w:rsid w:val="00AC08AB"/>
    <w:rsid w:val="00AD7514"/>
    <w:rsid w:val="00AE2013"/>
    <w:rsid w:val="00B145BB"/>
    <w:rsid w:val="00B406FD"/>
    <w:rsid w:val="00B96FC4"/>
    <w:rsid w:val="00BA7BC4"/>
    <w:rsid w:val="00BC4582"/>
    <w:rsid w:val="00BF7DFB"/>
    <w:rsid w:val="00C0346F"/>
    <w:rsid w:val="00C07E8B"/>
    <w:rsid w:val="00C172E8"/>
    <w:rsid w:val="00C17772"/>
    <w:rsid w:val="00C3335C"/>
    <w:rsid w:val="00C40589"/>
    <w:rsid w:val="00C42C3D"/>
    <w:rsid w:val="00C45961"/>
    <w:rsid w:val="00C50F56"/>
    <w:rsid w:val="00C50F58"/>
    <w:rsid w:val="00C75A8F"/>
    <w:rsid w:val="00C7655E"/>
    <w:rsid w:val="00C8119D"/>
    <w:rsid w:val="00C82D11"/>
    <w:rsid w:val="00C91D35"/>
    <w:rsid w:val="00CA34AD"/>
    <w:rsid w:val="00CC0602"/>
    <w:rsid w:val="00CC4CC3"/>
    <w:rsid w:val="00CD5409"/>
    <w:rsid w:val="00CE6682"/>
    <w:rsid w:val="00D00AB2"/>
    <w:rsid w:val="00D25C37"/>
    <w:rsid w:val="00D26723"/>
    <w:rsid w:val="00D33ECB"/>
    <w:rsid w:val="00D63053"/>
    <w:rsid w:val="00D72982"/>
    <w:rsid w:val="00D73A55"/>
    <w:rsid w:val="00D81EE9"/>
    <w:rsid w:val="00D83782"/>
    <w:rsid w:val="00DA11BB"/>
    <w:rsid w:val="00DA5543"/>
    <w:rsid w:val="00DB5A34"/>
    <w:rsid w:val="00DC1928"/>
    <w:rsid w:val="00DC3E9A"/>
    <w:rsid w:val="00DC5A4D"/>
    <w:rsid w:val="00DD21B8"/>
    <w:rsid w:val="00DD3BA1"/>
    <w:rsid w:val="00DD53E3"/>
    <w:rsid w:val="00DE09E2"/>
    <w:rsid w:val="00DE6D34"/>
    <w:rsid w:val="00DE73E9"/>
    <w:rsid w:val="00DF787F"/>
    <w:rsid w:val="00E04BE4"/>
    <w:rsid w:val="00E157E8"/>
    <w:rsid w:val="00E361EB"/>
    <w:rsid w:val="00E45363"/>
    <w:rsid w:val="00E47C34"/>
    <w:rsid w:val="00E50146"/>
    <w:rsid w:val="00E67F36"/>
    <w:rsid w:val="00E73336"/>
    <w:rsid w:val="00E764A1"/>
    <w:rsid w:val="00E95BBF"/>
    <w:rsid w:val="00EA2610"/>
    <w:rsid w:val="00EB01B2"/>
    <w:rsid w:val="00EB14F9"/>
    <w:rsid w:val="00EC192F"/>
    <w:rsid w:val="00ED131A"/>
    <w:rsid w:val="00ED641B"/>
    <w:rsid w:val="00EF3C01"/>
    <w:rsid w:val="00EF5599"/>
    <w:rsid w:val="00F03938"/>
    <w:rsid w:val="00F33032"/>
    <w:rsid w:val="00F36A93"/>
    <w:rsid w:val="00F511FE"/>
    <w:rsid w:val="00F53717"/>
    <w:rsid w:val="00F65B09"/>
    <w:rsid w:val="00F76CD7"/>
    <w:rsid w:val="00F92E95"/>
    <w:rsid w:val="00F9312A"/>
    <w:rsid w:val="00F9549B"/>
    <w:rsid w:val="00F96F59"/>
    <w:rsid w:val="00FA1E54"/>
    <w:rsid w:val="00FA28F4"/>
    <w:rsid w:val="00FA4BF4"/>
    <w:rsid w:val="00FE28C5"/>
    <w:rsid w:val="00FF0E33"/>
    <w:rsid w:val="00FF3D7E"/>
    <w:rsid w:val="00FF5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081B6"/>
  <w15:chartTrackingRefBased/>
  <w15:docId w15:val="{4DD9035C-2610-4FAE-999E-84C1C1A8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styleId="NormalWeb">
    <w:name w:val="Normal (Web)"/>
    <w:basedOn w:val="Normal"/>
    <w:uiPriority w:val="99"/>
    <w:semiHidden/>
    <w:unhideWhenUsed/>
    <w:rsid w:val="00C8119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4776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F0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938"/>
    <w:rPr>
      <w:sz w:val="20"/>
      <w:szCs w:val="20"/>
    </w:rPr>
  </w:style>
  <w:style w:type="character" w:styleId="FootnoteReference">
    <w:name w:val="footnote reference"/>
    <w:basedOn w:val="DefaultParagraphFont"/>
    <w:uiPriority w:val="99"/>
    <w:semiHidden/>
    <w:unhideWhenUsed/>
    <w:rsid w:val="00F03938"/>
    <w:rPr>
      <w:vertAlign w:val="superscript"/>
    </w:rPr>
  </w:style>
  <w:style w:type="character" w:styleId="UnresolvedMention">
    <w:name w:val="Unresolved Mention"/>
    <w:basedOn w:val="DefaultParagraphFont"/>
    <w:uiPriority w:val="99"/>
    <w:semiHidden/>
    <w:unhideWhenUsed/>
    <w:rsid w:val="00365655"/>
    <w:rPr>
      <w:color w:val="605E5C"/>
      <w:shd w:val="clear" w:color="auto" w:fill="E1DFDD"/>
    </w:rPr>
  </w:style>
  <w:style w:type="paragraph" w:styleId="Revision">
    <w:name w:val="Revision"/>
    <w:hidden/>
    <w:uiPriority w:val="99"/>
    <w:semiHidden/>
    <w:rsid w:val="008623B2"/>
    <w:pPr>
      <w:spacing w:after="0" w:line="240" w:lineRule="auto"/>
    </w:pPr>
  </w:style>
  <w:style w:type="character" w:styleId="FollowedHyperlink">
    <w:name w:val="FollowedHyperlink"/>
    <w:basedOn w:val="DefaultParagraphFont"/>
    <w:uiPriority w:val="99"/>
    <w:semiHidden/>
    <w:unhideWhenUsed/>
    <w:rsid w:val="00E73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5896">
      <w:bodyDiv w:val="1"/>
      <w:marLeft w:val="0"/>
      <w:marRight w:val="0"/>
      <w:marTop w:val="0"/>
      <w:marBottom w:val="0"/>
      <w:divBdr>
        <w:top w:val="none" w:sz="0" w:space="0" w:color="auto"/>
        <w:left w:val="none" w:sz="0" w:space="0" w:color="auto"/>
        <w:bottom w:val="none" w:sz="0" w:space="0" w:color="auto"/>
        <w:right w:val="none" w:sz="0" w:space="0" w:color="auto"/>
      </w:divBdr>
    </w:div>
    <w:div w:id="802431436">
      <w:bodyDiv w:val="1"/>
      <w:marLeft w:val="0"/>
      <w:marRight w:val="0"/>
      <w:marTop w:val="0"/>
      <w:marBottom w:val="0"/>
      <w:divBdr>
        <w:top w:val="none" w:sz="0" w:space="0" w:color="auto"/>
        <w:left w:val="none" w:sz="0" w:space="0" w:color="auto"/>
        <w:bottom w:val="none" w:sz="0" w:space="0" w:color="auto"/>
        <w:right w:val="none" w:sz="0" w:space="0" w:color="auto"/>
      </w:divBdr>
    </w:div>
    <w:div w:id="814102861">
      <w:bodyDiv w:val="1"/>
      <w:marLeft w:val="0"/>
      <w:marRight w:val="0"/>
      <w:marTop w:val="0"/>
      <w:marBottom w:val="0"/>
      <w:divBdr>
        <w:top w:val="none" w:sz="0" w:space="0" w:color="auto"/>
        <w:left w:val="none" w:sz="0" w:space="0" w:color="auto"/>
        <w:bottom w:val="none" w:sz="0" w:space="0" w:color="auto"/>
        <w:right w:val="none" w:sz="0" w:space="0" w:color="auto"/>
      </w:divBdr>
    </w:div>
    <w:div w:id="910895812">
      <w:bodyDiv w:val="1"/>
      <w:marLeft w:val="0"/>
      <w:marRight w:val="0"/>
      <w:marTop w:val="0"/>
      <w:marBottom w:val="0"/>
      <w:divBdr>
        <w:top w:val="none" w:sz="0" w:space="0" w:color="auto"/>
        <w:left w:val="none" w:sz="0" w:space="0" w:color="auto"/>
        <w:bottom w:val="none" w:sz="0" w:space="0" w:color="auto"/>
        <w:right w:val="none" w:sz="0" w:space="0" w:color="auto"/>
      </w:divBdr>
    </w:div>
    <w:div w:id="1089544270">
      <w:bodyDiv w:val="1"/>
      <w:marLeft w:val="0"/>
      <w:marRight w:val="0"/>
      <w:marTop w:val="0"/>
      <w:marBottom w:val="0"/>
      <w:divBdr>
        <w:top w:val="none" w:sz="0" w:space="0" w:color="auto"/>
        <w:left w:val="none" w:sz="0" w:space="0" w:color="auto"/>
        <w:bottom w:val="none" w:sz="0" w:space="0" w:color="auto"/>
        <w:right w:val="none" w:sz="0" w:space="0" w:color="auto"/>
      </w:divBdr>
    </w:div>
    <w:div w:id="1107196707">
      <w:bodyDiv w:val="1"/>
      <w:marLeft w:val="0"/>
      <w:marRight w:val="0"/>
      <w:marTop w:val="0"/>
      <w:marBottom w:val="0"/>
      <w:divBdr>
        <w:top w:val="none" w:sz="0" w:space="0" w:color="auto"/>
        <w:left w:val="none" w:sz="0" w:space="0" w:color="auto"/>
        <w:bottom w:val="none" w:sz="0" w:space="0" w:color="auto"/>
        <w:right w:val="none" w:sz="0" w:space="0" w:color="auto"/>
      </w:divBdr>
    </w:div>
    <w:div w:id="1123766243">
      <w:bodyDiv w:val="1"/>
      <w:marLeft w:val="0"/>
      <w:marRight w:val="0"/>
      <w:marTop w:val="0"/>
      <w:marBottom w:val="0"/>
      <w:divBdr>
        <w:top w:val="none" w:sz="0" w:space="0" w:color="auto"/>
        <w:left w:val="none" w:sz="0" w:space="0" w:color="auto"/>
        <w:bottom w:val="none" w:sz="0" w:space="0" w:color="auto"/>
        <w:right w:val="none" w:sz="0" w:space="0" w:color="auto"/>
      </w:divBdr>
    </w:div>
    <w:div w:id="1146893614">
      <w:bodyDiv w:val="1"/>
      <w:marLeft w:val="0"/>
      <w:marRight w:val="0"/>
      <w:marTop w:val="0"/>
      <w:marBottom w:val="0"/>
      <w:divBdr>
        <w:top w:val="none" w:sz="0" w:space="0" w:color="auto"/>
        <w:left w:val="none" w:sz="0" w:space="0" w:color="auto"/>
        <w:bottom w:val="none" w:sz="0" w:space="0" w:color="auto"/>
        <w:right w:val="none" w:sz="0" w:space="0" w:color="auto"/>
      </w:divBdr>
    </w:div>
    <w:div w:id="1329095589">
      <w:bodyDiv w:val="1"/>
      <w:marLeft w:val="0"/>
      <w:marRight w:val="0"/>
      <w:marTop w:val="0"/>
      <w:marBottom w:val="0"/>
      <w:divBdr>
        <w:top w:val="none" w:sz="0" w:space="0" w:color="auto"/>
        <w:left w:val="none" w:sz="0" w:space="0" w:color="auto"/>
        <w:bottom w:val="none" w:sz="0" w:space="0" w:color="auto"/>
        <w:right w:val="none" w:sz="0" w:space="0" w:color="auto"/>
      </w:divBdr>
    </w:div>
    <w:div w:id="1415938014">
      <w:bodyDiv w:val="1"/>
      <w:marLeft w:val="0"/>
      <w:marRight w:val="0"/>
      <w:marTop w:val="0"/>
      <w:marBottom w:val="0"/>
      <w:divBdr>
        <w:top w:val="none" w:sz="0" w:space="0" w:color="auto"/>
        <w:left w:val="none" w:sz="0" w:space="0" w:color="auto"/>
        <w:bottom w:val="none" w:sz="0" w:space="0" w:color="auto"/>
        <w:right w:val="none" w:sz="0" w:space="0" w:color="auto"/>
      </w:divBdr>
    </w:div>
    <w:div w:id="1483084789">
      <w:bodyDiv w:val="1"/>
      <w:marLeft w:val="0"/>
      <w:marRight w:val="0"/>
      <w:marTop w:val="0"/>
      <w:marBottom w:val="0"/>
      <w:divBdr>
        <w:top w:val="none" w:sz="0" w:space="0" w:color="auto"/>
        <w:left w:val="none" w:sz="0" w:space="0" w:color="auto"/>
        <w:bottom w:val="none" w:sz="0" w:space="0" w:color="auto"/>
        <w:right w:val="none" w:sz="0" w:space="0" w:color="auto"/>
      </w:divBdr>
    </w:div>
    <w:div w:id="1763331843">
      <w:bodyDiv w:val="1"/>
      <w:marLeft w:val="0"/>
      <w:marRight w:val="0"/>
      <w:marTop w:val="0"/>
      <w:marBottom w:val="0"/>
      <w:divBdr>
        <w:top w:val="none" w:sz="0" w:space="0" w:color="auto"/>
        <w:left w:val="none" w:sz="0" w:space="0" w:color="auto"/>
        <w:bottom w:val="none" w:sz="0" w:space="0" w:color="auto"/>
        <w:right w:val="none" w:sz="0" w:space="0" w:color="auto"/>
      </w:divBdr>
    </w:div>
    <w:div w:id="17961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1BF62CD-65CB-4858-AA9E-AC2EBA7CC5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0767237029E6439A0CD082B5272078" ma:contentTypeVersion="" ma:contentTypeDescription="PDMS Document Site Content Type" ma:contentTypeScope="" ma:versionID="cb61d123a6538306949f58777b433717">
  <xsd:schema xmlns:xsd="http://www.w3.org/2001/XMLSchema" xmlns:xs="http://www.w3.org/2001/XMLSchema" xmlns:p="http://schemas.microsoft.com/office/2006/metadata/properties" xmlns:ns2="C1BF62CD-65CB-4858-AA9E-AC2EBA7CC5FF" targetNamespace="http://schemas.microsoft.com/office/2006/metadata/properties" ma:root="true" ma:fieldsID="d7b98691f55edaff0e4299b33cebf882" ns2:_="">
    <xsd:import namespace="C1BF62CD-65CB-4858-AA9E-AC2EBA7CC5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F62CD-65CB-4858-AA9E-AC2EBA7CC5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purl.org/dc/elements/1.1/"/>
    <ds:schemaRef ds:uri="http://schemas.microsoft.com/office/2006/metadata/properties"/>
    <ds:schemaRef ds:uri="C1BF62CD-65CB-4858-AA9E-AC2EBA7CC5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CFB503-A9E5-44EE-B9A5-2C943A56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F62CD-65CB-4858-AA9E-AC2EBA7C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113F9C9F-D90B-44C3-B783-ADBE8596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Garth</dc:creator>
  <cp:keywords/>
  <dc:description/>
  <cp:lastModifiedBy>MURRAY, Elizabeth</cp:lastModifiedBy>
  <cp:revision>3</cp:revision>
  <dcterms:created xsi:type="dcterms:W3CDTF">2025-09-10T02:39:00Z</dcterms:created>
  <dcterms:modified xsi:type="dcterms:W3CDTF">2025-09-10T03:27:00Z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0x010100266966F133664895A6EE3632470D45F500810767237029E6439A0CD082B5272078</vt:lpwstr>
  </property>
  <property fmtid="{D5CDD505-2E9C-101B-9397-08002B2CF9AE}" pid="3" name="_dlc_DocIdItemGuid">
    <vt:lpwstr>0bfc15ff-2125-461c-84cf-153763e47e19</vt:lpwstr>
  </property>
</Properties>
</file>