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BEB3D" w14:textId="77777777" w:rsidR="00955175" w:rsidRDefault="00955175" w:rsidP="00E2168B">
      <w:pPr>
        <w:spacing w:before="280" w:after="240"/>
        <w:rPr>
          <w:b/>
          <w:sz w:val="32"/>
          <w:szCs w:val="32"/>
        </w:rPr>
      </w:pPr>
    </w:p>
    <w:p w14:paraId="0AAC3FC8" w14:textId="781C253F" w:rsidR="00955175" w:rsidRPr="009B1DDC" w:rsidRDefault="00FC6D88" w:rsidP="00E2168B">
      <w:pPr>
        <w:spacing w:before="280" w:after="240"/>
        <w:rPr>
          <w:b/>
          <w:sz w:val="32"/>
          <w:szCs w:val="32"/>
        </w:rPr>
      </w:pPr>
      <w:r w:rsidRPr="009B1DDC">
        <w:rPr>
          <w:noProof/>
        </w:rPr>
        <w:drawing>
          <wp:anchor distT="0" distB="0" distL="114300" distR="114300" simplePos="0" relativeHeight="251658240" behindDoc="0" locked="0" layoutInCell="1" allowOverlap="1" wp14:anchorId="7F506AFA" wp14:editId="5DCC0D03">
            <wp:simplePos x="0" y="0"/>
            <wp:positionH relativeFrom="margin">
              <wp:align>center</wp:align>
            </wp:positionH>
            <wp:positionV relativeFrom="margin">
              <wp:align>top</wp:align>
            </wp:positionV>
            <wp:extent cx="3542030" cy="746760"/>
            <wp:effectExtent l="0" t="0" r="0" b="0"/>
            <wp:wrapSquare wrapText="bothSides"/>
            <wp:docPr id="3" name="Picture 3" descr="Commonwealth Coat of Arms and ASIC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and ASIC logo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2030" cy="746760"/>
                    </a:xfrm>
                    <a:prstGeom prst="rect">
                      <a:avLst/>
                    </a:prstGeom>
                    <a:noFill/>
                  </pic:spPr>
                </pic:pic>
              </a:graphicData>
            </a:graphic>
            <wp14:sizeRelH relativeFrom="page">
              <wp14:pctWidth>0</wp14:pctWidth>
            </wp14:sizeRelH>
            <wp14:sizeRelV relativeFrom="page">
              <wp14:pctHeight>0</wp14:pctHeight>
            </wp14:sizeRelV>
          </wp:anchor>
        </w:drawing>
      </w:r>
    </w:p>
    <w:p w14:paraId="0D178D1D" w14:textId="77777777" w:rsidR="00955175" w:rsidRPr="009B1DDC" w:rsidRDefault="00955175" w:rsidP="00955175">
      <w:pPr>
        <w:pStyle w:val="LI-Title"/>
        <w:pBdr>
          <w:top w:val="none" w:sz="0" w:space="0" w:color="auto"/>
        </w:pBdr>
        <w:jc w:val="center"/>
      </w:pPr>
    </w:p>
    <w:p w14:paraId="5B8D4084" w14:textId="77777777" w:rsidR="00955175" w:rsidRPr="009B1DDC" w:rsidRDefault="00955175" w:rsidP="00955175">
      <w:pPr>
        <w:pStyle w:val="LI-Title"/>
        <w:pBdr>
          <w:top w:val="none" w:sz="0" w:space="0" w:color="auto"/>
        </w:pBdr>
        <w:jc w:val="center"/>
      </w:pPr>
      <w:r w:rsidRPr="009B1DDC">
        <w:t>Explanatory Statement</w:t>
      </w:r>
    </w:p>
    <w:p w14:paraId="54F0DD85" w14:textId="77777777" w:rsidR="00955175" w:rsidRPr="009B1DDC" w:rsidRDefault="00955175" w:rsidP="00955175">
      <w:pPr>
        <w:rPr>
          <w:lang w:eastAsia="en-AU"/>
        </w:rPr>
      </w:pPr>
    </w:p>
    <w:p w14:paraId="376F21CA" w14:textId="43EEBC9F" w:rsidR="00C4170B" w:rsidRPr="009B1DDC" w:rsidRDefault="00B851BA" w:rsidP="00C4170B">
      <w:pPr>
        <w:jc w:val="center"/>
        <w:rPr>
          <w:b/>
          <w:iCs/>
          <w:sz w:val="28"/>
          <w:szCs w:val="28"/>
          <w:lang w:eastAsia="en-AU"/>
        </w:rPr>
      </w:pPr>
      <w:r w:rsidRPr="009B1DDC">
        <w:rPr>
          <w:b/>
          <w:iCs/>
          <w:sz w:val="28"/>
          <w:szCs w:val="28"/>
          <w:lang w:eastAsia="en-AU"/>
        </w:rPr>
        <w:t>ASIC Corporations (</w:t>
      </w:r>
      <w:proofErr w:type="gramStart"/>
      <w:r w:rsidRPr="009B1DDC">
        <w:rPr>
          <w:b/>
          <w:iCs/>
          <w:sz w:val="28"/>
          <w:szCs w:val="28"/>
          <w:lang w:eastAsia="en-AU"/>
        </w:rPr>
        <w:t>Externally-Administered</w:t>
      </w:r>
      <w:proofErr w:type="gramEnd"/>
      <w:r w:rsidRPr="009B1DDC">
        <w:rPr>
          <w:b/>
          <w:iCs/>
          <w:sz w:val="28"/>
          <w:szCs w:val="28"/>
          <w:lang w:eastAsia="en-AU"/>
        </w:rPr>
        <w:t xml:space="preserve"> Bodies) Instrument 2025/584</w:t>
      </w:r>
    </w:p>
    <w:p w14:paraId="3D70207E" w14:textId="6A8CB52D" w:rsidR="00863657" w:rsidRPr="009B1DDC" w:rsidRDefault="00F800C9" w:rsidP="00F800C9">
      <w:pPr>
        <w:pStyle w:val="LI-BodyTextParaa"/>
        <w:ind w:left="0" w:firstLine="0"/>
      </w:pPr>
      <w:bookmarkStart w:id="0" w:name="BK_S3P1L1C1"/>
      <w:bookmarkEnd w:id="0"/>
      <w:r w:rsidRPr="009B1DDC">
        <w:t>This is the Explanatory Statement for</w:t>
      </w:r>
      <w:r w:rsidR="00B851BA" w:rsidRPr="009B1DDC">
        <w:t xml:space="preserve"> </w:t>
      </w:r>
      <w:r w:rsidR="00B851BA" w:rsidRPr="009B1DDC">
        <w:rPr>
          <w:i/>
          <w:iCs/>
        </w:rPr>
        <w:t>ASIC Corporations (</w:t>
      </w:r>
      <w:proofErr w:type="gramStart"/>
      <w:r w:rsidR="00B851BA" w:rsidRPr="009B1DDC">
        <w:rPr>
          <w:i/>
          <w:iCs/>
        </w:rPr>
        <w:t>Externally-Administered</w:t>
      </w:r>
      <w:proofErr w:type="gramEnd"/>
      <w:r w:rsidR="00B851BA" w:rsidRPr="009B1DDC">
        <w:rPr>
          <w:i/>
          <w:iCs/>
        </w:rPr>
        <w:t xml:space="preserve"> Bodies) Instrument 2025/584</w:t>
      </w:r>
      <w:r w:rsidR="00ED2EAF" w:rsidRPr="009B1DDC">
        <w:t>.</w:t>
      </w:r>
    </w:p>
    <w:p w14:paraId="119B6103" w14:textId="77777777" w:rsidR="00F800C9" w:rsidRPr="009B1DDC" w:rsidRDefault="00863657" w:rsidP="00F800C9">
      <w:pPr>
        <w:pStyle w:val="LI-BodyTextParaa"/>
        <w:ind w:left="0" w:firstLine="0"/>
      </w:pPr>
      <w:r w:rsidRPr="009B1DDC">
        <w:t>Th</w:t>
      </w:r>
      <w:r w:rsidR="00F800C9" w:rsidRPr="009B1DDC">
        <w:t>e</w:t>
      </w:r>
      <w:r w:rsidRPr="009B1DDC">
        <w:t xml:space="preserve"> </w:t>
      </w:r>
      <w:r w:rsidR="00F800C9" w:rsidRPr="009B1DDC">
        <w:t>Explanatory Statement is approved by the Australian Securities and Investments Commission (</w:t>
      </w:r>
      <w:r w:rsidR="00F800C9" w:rsidRPr="009B1DDC">
        <w:rPr>
          <w:b/>
          <w:i/>
        </w:rPr>
        <w:t>ASIC</w:t>
      </w:r>
      <w:r w:rsidR="00F800C9" w:rsidRPr="009B1DDC">
        <w:t>).</w:t>
      </w:r>
    </w:p>
    <w:p w14:paraId="04B69637" w14:textId="4CBE774E" w:rsidR="001C7304" w:rsidRPr="009B1DDC" w:rsidRDefault="005D1FEA" w:rsidP="001C7304">
      <w:pPr>
        <w:pStyle w:val="LI-BodyTextNumbered"/>
        <w:keepNext/>
        <w:ind w:left="0" w:firstLine="0"/>
        <w:rPr>
          <w:b/>
        </w:rPr>
      </w:pPr>
      <w:r w:rsidRPr="009B1DDC">
        <w:rPr>
          <w:b/>
        </w:rPr>
        <w:t>Summary</w:t>
      </w:r>
    </w:p>
    <w:p w14:paraId="1138A653" w14:textId="26B86B79" w:rsidR="001C7304" w:rsidRPr="009B1DDC" w:rsidRDefault="001C7304" w:rsidP="001C7304">
      <w:pPr>
        <w:pStyle w:val="LI-BodyTextParaa"/>
        <w:ind w:left="567"/>
      </w:pPr>
      <w:r w:rsidRPr="009B1DDC">
        <w:t>1.</w:t>
      </w:r>
      <w:r w:rsidRPr="009B1DDC">
        <w:tab/>
      </w:r>
      <w:r w:rsidR="00594BB8" w:rsidRPr="009B1DDC">
        <w:rPr>
          <w:i/>
          <w:iCs/>
        </w:rPr>
        <w:t>ASIC Corporations (</w:t>
      </w:r>
      <w:proofErr w:type="gramStart"/>
      <w:r w:rsidR="00594BB8" w:rsidRPr="009B1DDC">
        <w:rPr>
          <w:i/>
          <w:iCs/>
        </w:rPr>
        <w:t>Externally-Administered</w:t>
      </w:r>
      <w:proofErr w:type="gramEnd"/>
      <w:r w:rsidR="00594BB8" w:rsidRPr="009B1DDC">
        <w:rPr>
          <w:i/>
          <w:iCs/>
        </w:rPr>
        <w:t xml:space="preserve"> Bodies) Instrument 2025/584 </w:t>
      </w:r>
      <w:r w:rsidR="00594BB8" w:rsidRPr="009B1DDC">
        <w:t xml:space="preserve">(the </w:t>
      </w:r>
      <w:r w:rsidR="00E535F2" w:rsidRPr="009B1DDC">
        <w:rPr>
          <w:b/>
          <w:bCs/>
          <w:i/>
          <w:iCs/>
        </w:rPr>
        <w:t>i</w:t>
      </w:r>
      <w:r w:rsidR="00594BB8" w:rsidRPr="009B1DDC">
        <w:rPr>
          <w:b/>
          <w:bCs/>
          <w:i/>
          <w:iCs/>
        </w:rPr>
        <w:t>nstrument</w:t>
      </w:r>
      <w:r w:rsidR="00594BB8" w:rsidRPr="009B1DDC">
        <w:t xml:space="preserve">) </w:t>
      </w:r>
      <w:r w:rsidR="00276DCD" w:rsidRPr="009B1DDC">
        <w:t xml:space="preserve">temporarily relieves entities under external administration from </w:t>
      </w:r>
      <w:r w:rsidR="006C62BE" w:rsidRPr="009B1DDC">
        <w:t>certain</w:t>
      </w:r>
      <w:r w:rsidR="00276DCD" w:rsidRPr="009B1DDC">
        <w:t xml:space="preserve"> financial reporting and annual general meeting (</w:t>
      </w:r>
      <w:r w:rsidR="00276DCD" w:rsidRPr="009B1DDC">
        <w:rPr>
          <w:b/>
          <w:bCs/>
          <w:i/>
          <w:iCs/>
        </w:rPr>
        <w:t>AGM</w:t>
      </w:r>
      <w:r w:rsidR="00276DCD" w:rsidRPr="009B1DDC">
        <w:t>) obligations</w:t>
      </w:r>
      <w:r w:rsidR="00D54753" w:rsidRPr="009B1DDC">
        <w:t xml:space="preserve"> imposed by the </w:t>
      </w:r>
      <w:r w:rsidR="00D54753" w:rsidRPr="009B1DDC">
        <w:rPr>
          <w:i/>
          <w:iCs/>
        </w:rPr>
        <w:t>Corporations Act 2001</w:t>
      </w:r>
      <w:r w:rsidR="00D54753" w:rsidRPr="009B1DDC">
        <w:t xml:space="preserve"> (the </w:t>
      </w:r>
      <w:r w:rsidR="00D54753" w:rsidRPr="009B1DDC">
        <w:rPr>
          <w:b/>
          <w:bCs/>
          <w:i/>
          <w:iCs/>
        </w:rPr>
        <w:t>Act</w:t>
      </w:r>
      <w:r w:rsidR="00D54753" w:rsidRPr="009B1DDC">
        <w:t>)</w:t>
      </w:r>
      <w:r w:rsidR="00276DCD" w:rsidRPr="009B1DDC">
        <w:t xml:space="preserve">. </w:t>
      </w:r>
      <w:r w:rsidR="00FB58AB" w:rsidRPr="009B1DDC">
        <w:t xml:space="preserve">The </w:t>
      </w:r>
      <w:r w:rsidR="00B74D30" w:rsidRPr="009B1DDC">
        <w:t>i</w:t>
      </w:r>
      <w:r w:rsidR="00FB58AB" w:rsidRPr="009B1DDC">
        <w:t xml:space="preserve">nstrument also </w:t>
      </w:r>
      <w:r w:rsidR="000D40AD" w:rsidRPr="009B1DDC">
        <w:t xml:space="preserve">provides </w:t>
      </w:r>
      <w:r w:rsidR="0066291D" w:rsidRPr="009B1DDC">
        <w:t xml:space="preserve">more extensive </w:t>
      </w:r>
      <w:r w:rsidR="000D40AD" w:rsidRPr="009B1DDC">
        <w:t>financial reporting relief for entities that are</w:t>
      </w:r>
      <w:r w:rsidR="00DC3526" w:rsidRPr="009B1DDC">
        <w:t xml:space="preserve"> being wound</w:t>
      </w:r>
      <w:r w:rsidR="0066291D" w:rsidRPr="009B1DDC">
        <w:t>-</w:t>
      </w:r>
      <w:r w:rsidR="00DC3526" w:rsidRPr="009B1DDC">
        <w:t>up</w:t>
      </w:r>
      <w:r w:rsidR="000D40AD" w:rsidRPr="009B1DDC">
        <w:t>.</w:t>
      </w:r>
    </w:p>
    <w:p w14:paraId="5213684A" w14:textId="247DBFCE" w:rsidR="001C7304" w:rsidRPr="009B1DDC" w:rsidRDefault="001C7304" w:rsidP="001C7304">
      <w:pPr>
        <w:pStyle w:val="LI-BodyTextNumbered"/>
        <w:keepNext/>
        <w:ind w:left="0" w:firstLine="0"/>
        <w:rPr>
          <w:b/>
        </w:rPr>
      </w:pPr>
      <w:r w:rsidRPr="009B1DDC">
        <w:rPr>
          <w:b/>
        </w:rPr>
        <w:t>Background</w:t>
      </w:r>
    </w:p>
    <w:p w14:paraId="2C2F75E8" w14:textId="41176113" w:rsidR="001C7304" w:rsidRPr="009B1DDC" w:rsidRDefault="003077E7" w:rsidP="001C7304">
      <w:pPr>
        <w:pStyle w:val="LI-BodyTextParaa"/>
        <w:ind w:left="567"/>
      </w:pPr>
      <w:r w:rsidRPr="009B1DDC">
        <w:t>2</w:t>
      </w:r>
      <w:r w:rsidR="001C7304" w:rsidRPr="009B1DDC">
        <w:t>.</w:t>
      </w:r>
      <w:r w:rsidR="001C7304" w:rsidRPr="009B1DDC">
        <w:tab/>
      </w:r>
      <w:proofErr w:type="gramStart"/>
      <w:r w:rsidR="00F43180" w:rsidRPr="009B1DDC">
        <w:t>Companies</w:t>
      </w:r>
      <w:r w:rsidR="00A9304A" w:rsidRPr="009B1DDC">
        <w:t>,</w:t>
      </w:r>
      <w:proofErr w:type="gramEnd"/>
      <w:r w:rsidR="00A9304A" w:rsidRPr="009B1DDC">
        <w:t xml:space="preserve"> </w:t>
      </w:r>
      <w:r w:rsidR="00F43180" w:rsidRPr="009B1DDC">
        <w:t>registered managed investment scheme</w:t>
      </w:r>
      <w:r w:rsidR="00D968C7" w:rsidRPr="009B1DDC">
        <w:t xml:space="preserve">s </w:t>
      </w:r>
      <w:r w:rsidR="00A9304A" w:rsidRPr="009B1DDC">
        <w:t xml:space="preserve">and other entities </w:t>
      </w:r>
      <w:r w:rsidR="00D968C7" w:rsidRPr="009B1DDC">
        <w:t>have financial reporting obligations</w:t>
      </w:r>
      <w:r w:rsidR="00A9304A" w:rsidRPr="009B1DDC">
        <w:t xml:space="preserve"> under </w:t>
      </w:r>
      <w:r w:rsidR="0019444A" w:rsidRPr="009B1DDC">
        <w:t>P</w:t>
      </w:r>
      <w:r w:rsidR="00492049" w:rsidRPr="009B1DDC">
        <w:t>ar</w:t>
      </w:r>
      <w:r w:rsidR="0019444A" w:rsidRPr="009B1DDC">
        <w:t xml:space="preserve">t </w:t>
      </w:r>
      <w:r w:rsidR="00A9304A" w:rsidRPr="009B1DDC">
        <w:t>2M</w:t>
      </w:r>
      <w:r w:rsidR="0019444A" w:rsidRPr="009B1DDC">
        <w:t>.3</w:t>
      </w:r>
      <w:r w:rsidR="00A9304A" w:rsidRPr="009B1DDC">
        <w:t xml:space="preserve"> of the Act</w:t>
      </w:r>
      <w:r w:rsidR="005E2D98" w:rsidRPr="009B1DDC">
        <w:t>, and public companies must hold annual general meetings. Companies that are Australian financial services (</w:t>
      </w:r>
      <w:r w:rsidR="005E2D98" w:rsidRPr="009B1DDC">
        <w:rPr>
          <w:b/>
          <w:bCs/>
        </w:rPr>
        <w:t>AFS</w:t>
      </w:r>
      <w:r w:rsidR="005E2D98" w:rsidRPr="009B1DDC">
        <w:t>) licensees, including responsible entities of registered schemes, also have AFS financial reporting obligations</w:t>
      </w:r>
      <w:r w:rsidR="00A9304A" w:rsidRPr="009B1DDC">
        <w:t xml:space="preserve"> under P</w:t>
      </w:r>
      <w:r w:rsidR="00492049" w:rsidRPr="009B1DDC">
        <w:t>ar</w:t>
      </w:r>
      <w:r w:rsidR="00A9304A" w:rsidRPr="009B1DDC">
        <w:t>t 7.8 of the Act</w:t>
      </w:r>
      <w:r w:rsidR="005E2D98" w:rsidRPr="009B1DDC">
        <w:t xml:space="preserve">. </w:t>
      </w:r>
      <w:r w:rsidR="00F431C3" w:rsidRPr="009B1DDC">
        <w:t xml:space="preserve">These obligations </w:t>
      </w:r>
      <w:r w:rsidR="006751E6" w:rsidRPr="009B1DDC">
        <w:t xml:space="preserve">would ordinarily </w:t>
      </w:r>
      <w:r w:rsidR="00F431C3" w:rsidRPr="009B1DDC">
        <w:t xml:space="preserve">apply even if an entity </w:t>
      </w:r>
      <w:proofErr w:type="gramStart"/>
      <w:r w:rsidR="00F431C3" w:rsidRPr="009B1DDC">
        <w:t>is</w:t>
      </w:r>
      <w:proofErr w:type="gramEnd"/>
      <w:r w:rsidR="00F431C3" w:rsidRPr="009B1DDC">
        <w:t xml:space="preserve"> under external administration or a registered scheme is being wound</w:t>
      </w:r>
      <w:r w:rsidR="00D22FAF" w:rsidRPr="009B1DDC">
        <w:t>-</w:t>
      </w:r>
      <w:r w:rsidR="00F431C3" w:rsidRPr="009B1DDC">
        <w:t xml:space="preserve">up. </w:t>
      </w:r>
      <w:r w:rsidR="00D968C7" w:rsidRPr="009B1DDC">
        <w:t xml:space="preserve"> </w:t>
      </w:r>
    </w:p>
    <w:p w14:paraId="710FB66E" w14:textId="0069BC0A" w:rsidR="00BC491E" w:rsidRPr="009B1DDC" w:rsidRDefault="003077E7" w:rsidP="001C7304">
      <w:pPr>
        <w:pStyle w:val="LI-BodyTextParaa"/>
        <w:ind w:left="567"/>
      </w:pPr>
      <w:r w:rsidRPr="009B1DDC">
        <w:t>3</w:t>
      </w:r>
      <w:r w:rsidR="001C7304" w:rsidRPr="009B1DDC">
        <w:t>.</w:t>
      </w:r>
      <w:r w:rsidR="001C7304" w:rsidRPr="009B1DDC">
        <w:tab/>
      </w:r>
      <w:r w:rsidR="000C7A85" w:rsidRPr="009B1DDC">
        <w:t>C</w:t>
      </w:r>
      <w:r w:rsidR="00B76614" w:rsidRPr="009B1DDC">
        <w:t xml:space="preserve">ompliance with financial reporting </w:t>
      </w:r>
      <w:r w:rsidR="004D76FA" w:rsidRPr="009B1DDC">
        <w:t xml:space="preserve">and AGM </w:t>
      </w:r>
      <w:r w:rsidR="00B76614" w:rsidRPr="009B1DDC">
        <w:t xml:space="preserve">obligations may be an unreasonable burden </w:t>
      </w:r>
      <w:r w:rsidR="0033002F" w:rsidRPr="009B1DDC">
        <w:t>in circumstances</w:t>
      </w:r>
      <w:r w:rsidR="000C7A85" w:rsidRPr="009B1DDC">
        <w:t xml:space="preserve"> where the entity is in external administration </w:t>
      </w:r>
      <w:r w:rsidR="00BC491E" w:rsidRPr="009B1DDC">
        <w:t>or being wound-up</w:t>
      </w:r>
      <w:r w:rsidR="009558B3" w:rsidRPr="009B1DDC">
        <w:t xml:space="preserve">, when balanced against </w:t>
      </w:r>
      <w:r w:rsidR="00C20EA4" w:rsidRPr="009B1DDC">
        <w:t>the cost to creditors and members in complying with these obligations and the</w:t>
      </w:r>
      <w:r w:rsidR="002041E3" w:rsidRPr="009B1DDC">
        <w:t xml:space="preserve"> </w:t>
      </w:r>
      <w:r w:rsidR="0002308F" w:rsidRPr="009B1DDC">
        <w:t>availability of information</w:t>
      </w:r>
      <w:r w:rsidR="00F00106" w:rsidRPr="009B1DDC">
        <w:t xml:space="preserve"> </w:t>
      </w:r>
      <w:r w:rsidR="00C65A40" w:rsidRPr="009B1DDC">
        <w:t xml:space="preserve">to creditors and members </w:t>
      </w:r>
      <w:r w:rsidR="00F00106" w:rsidRPr="009B1DDC">
        <w:t>under Chapter 5 of the Act.</w:t>
      </w:r>
    </w:p>
    <w:p w14:paraId="00706950" w14:textId="6F87EAF0" w:rsidR="001C7304" w:rsidRPr="009B1DDC" w:rsidRDefault="006D79C2" w:rsidP="001C7304">
      <w:pPr>
        <w:pStyle w:val="LI-BodyTextParaa"/>
        <w:ind w:left="567"/>
      </w:pPr>
      <w:r w:rsidRPr="009B1DDC">
        <w:t>4</w:t>
      </w:r>
      <w:r w:rsidR="00BC491E" w:rsidRPr="009B1DDC">
        <w:t>.</w:t>
      </w:r>
      <w:r w:rsidRPr="009B1DDC">
        <w:tab/>
      </w:r>
      <w:r w:rsidR="00655825" w:rsidRPr="009B1DDC">
        <w:t xml:space="preserve">The instrument therefore provides exemptions from financial reporting </w:t>
      </w:r>
      <w:r w:rsidR="00BE3FC8" w:rsidRPr="009B1DDC">
        <w:t xml:space="preserve">and </w:t>
      </w:r>
      <w:r w:rsidR="7B8B6706" w:rsidRPr="009B1DDC">
        <w:t>AGM</w:t>
      </w:r>
      <w:r w:rsidR="00BE3FC8" w:rsidRPr="009B1DDC">
        <w:t xml:space="preserve"> </w:t>
      </w:r>
      <w:r w:rsidR="00655825" w:rsidRPr="009B1DDC">
        <w:t xml:space="preserve">obligations consistent with the policy in </w:t>
      </w:r>
      <w:r w:rsidR="004A544F" w:rsidRPr="009B1DDC">
        <w:t xml:space="preserve">Regulatory Guide 174 </w:t>
      </w:r>
      <w:r w:rsidR="004A544F" w:rsidRPr="009B1DDC">
        <w:rPr>
          <w:i/>
          <w:iCs/>
        </w:rPr>
        <w:t>Relief for externally administered companies and registered schemes being wound up</w:t>
      </w:r>
      <w:r w:rsidR="00A16430" w:rsidRPr="009B1DDC">
        <w:rPr>
          <w:i/>
          <w:iCs/>
        </w:rPr>
        <w:t xml:space="preserve"> </w:t>
      </w:r>
      <w:r w:rsidR="00A16430" w:rsidRPr="009B1DDC">
        <w:t>(</w:t>
      </w:r>
      <w:r w:rsidR="00A16430" w:rsidRPr="009B1DDC">
        <w:rPr>
          <w:b/>
          <w:bCs/>
        </w:rPr>
        <w:t>RG 174</w:t>
      </w:r>
      <w:r w:rsidR="00A16430" w:rsidRPr="009B1DDC">
        <w:t>)</w:t>
      </w:r>
      <w:r w:rsidR="001C7304" w:rsidRPr="009B1DDC">
        <w:t>.</w:t>
      </w:r>
      <w:r w:rsidR="00BC491E" w:rsidRPr="009B1DDC">
        <w:t xml:space="preserve"> </w:t>
      </w:r>
      <w:r w:rsidR="00C54D3C" w:rsidRPr="009B1DDC">
        <w:t xml:space="preserve">The instrument replaces </w:t>
      </w:r>
      <w:r w:rsidR="00F519F2" w:rsidRPr="009B1DDC">
        <w:rPr>
          <w:i/>
          <w:iCs/>
        </w:rPr>
        <w:t>ASIC Corporations (</w:t>
      </w:r>
      <w:proofErr w:type="gramStart"/>
      <w:r w:rsidR="00F519F2" w:rsidRPr="009B1DDC">
        <w:rPr>
          <w:i/>
          <w:iCs/>
        </w:rPr>
        <w:t>Externally-Administered</w:t>
      </w:r>
      <w:proofErr w:type="gramEnd"/>
      <w:r w:rsidR="00F519F2" w:rsidRPr="009B1DDC">
        <w:rPr>
          <w:i/>
          <w:iCs/>
        </w:rPr>
        <w:t xml:space="preserve"> Bodies) Instrument 2015/251</w:t>
      </w:r>
      <w:r w:rsidR="00F519F2" w:rsidRPr="009B1DDC">
        <w:t xml:space="preserve"> (</w:t>
      </w:r>
      <w:r w:rsidR="00F519F2" w:rsidRPr="009B1DDC">
        <w:rPr>
          <w:b/>
          <w:bCs/>
        </w:rPr>
        <w:t>ASIC Instrument 2015/251</w:t>
      </w:r>
      <w:r w:rsidR="00F519F2" w:rsidRPr="009B1DDC">
        <w:t xml:space="preserve">), which was repealed by </w:t>
      </w:r>
      <w:r w:rsidR="008D16AA" w:rsidRPr="009B1DDC">
        <w:rPr>
          <w:i/>
          <w:iCs/>
        </w:rPr>
        <w:t>ASIC Corporations (Repeal) Instrument 2025/440</w:t>
      </w:r>
      <w:r w:rsidR="008D16AA" w:rsidRPr="009B1DDC">
        <w:t>.</w:t>
      </w:r>
    </w:p>
    <w:p w14:paraId="7B85634B" w14:textId="5C8CFE9B" w:rsidR="001C7304" w:rsidRPr="009B1DDC" w:rsidRDefault="001C7304" w:rsidP="00B74696">
      <w:pPr>
        <w:pStyle w:val="LI-BodyTextParaa"/>
        <w:keepNext/>
        <w:keepLines/>
        <w:ind w:left="0" w:firstLine="0"/>
        <w:rPr>
          <w:b/>
        </w:rPr>
      </w:pPr>
      <w:r w:rsidRPr="009B1DDC">
        <w:rPr>
          <w:b/>
        </w:rPr>
        <w:lastRenderedPageBreak/>
        <w:t>Purpose of the instrument</w:t>
      </w:r>
    </w:p>
    <w:p w14:paraId="32A09AE7" w14:textId="2D195FB2" w:rsidR="00D97A5B" w:rsidRPr="009B1DDC" w:rsidRDefault="006D79C2" w:rsidP="00B74696">
      <w:pPr>
        <w:pStyle w:val="LI-BodyTextParaa"/>
        <w:keepNext/>
        <w:keepLines/>
        <w:ind w:left="567"/>
      </w:pPr>
      <w:r w:rsidRPr="009B1DDC">
        <w:t>5</w:t>
      </w:r>
      <w:r w:rsidR="00FC01ED" w:rsidRPr="009B1DDC">
        <w:t>.</w:t>
      </w:r>
      <w:r w:rsidR="00FC01ED" w:rsidRPr="009B1DDC">
        <w:tab/>
      </w:r>
      <w:r w:rsidR="00941ACB" w:rsidRPr="009B1DDC">
        <w:t xml:space="preserve">The </w:t>
      </w:r>
      <w:r w:rsidR="00E1001D" w:rsidRPr="009B1DDC">
        <w:t>i</w:t>
      </w:r>
      <w:r w:rsidR="001E2C54" w:rsidRPr="009B1DDC">
        <w:t xml:space="preserve">nstrument’s </w:t>
      </w:r>
      <w:r w:rsidR="00941ACB" w:rsidRPr="009B1DDC">
        <w:t>purpose is to</w:t>
      </w:r>
      <w:r w:rsidR="00A85503" w:rsidRPr="009B1DDC">
        <w:t xml:space="preserve"> </w:t>
      </w:r>
      <w:r w:rsidR="00941ACB" w:rsidRPr="009B1DDC">
        <w:t>reduce the regulatory burden</w:t>
      </w:r>
      <w:r w:rsidR="00A85503" w:rsidRPr="009B1DDC">
        <w:t xml:space="preserve"> </w:t>
      </w:r>
      <w:r w:rsidR="00941ACB" w:rsidRPr="009B1DDC">
        <w:t>on</w:t>
      </w:r>
      <w:r w:rsidR="00A85503" w:rsidRPr="009B1DDC">
        <w:t xml:space="preserve"> </w:t>
      </w:r>
      <w:r w:rsidR="00941ACB" w:rsidRPr="009B1DDC">
        <w:t>financially distressed</w:t>
      </w:r>
      <w:r w:rsidR="00A85503" w:rsidRPr="009B1DDC">
        <w:t xml:space="preserve"> </w:t>
      </w:r>
      <w:r w:rsidR="00621924" w:rsidRPr="009B1DDC">
        <w:t>entities</w:t>
      </w:r>
      <w:r w:rsidR="00941ACB" w:rsidRPr="009B1DDC">
        <w:t xml:space="preserve"> that are under a form of external administration</w:t>
      </w:r>
      <w:r w:rsidR="00A85503" w:rsidRPr="009B1DDC">
        <w:t xml:space="preserve"> </w:t>
      </w:r>
      <w:r w:rsidR="00AF3D77" w:rsidRPr="009B1DDC">
        <w:t xml:space="preserve">by providing relief </w:t>
      </w:r>
      <w:r w:rsidR="00941ACB" w:rsidRPr="009B1DDC">
        <w:t>from</w:t>
      </w:r>
      <w:r w:rsidR="00BF0EB2" w:rsidRPr="009B1DDC">
        <w:t xml:space="preserve"> </w:t>
      </w:r>
      <w:r w:rsidR="0040612B" w:rsidRPr="009B1DDC">
        <w:t xml:space="preserve">certain </w:t>
      </w:r>
      <w:r w:rsidR="00BF0EB2" w:rsidRPr="009B1DDC">
        <w:t>obligations</w:t>
      </w:r>
      <w:r w:rsidR="00D54753" w:rsidRPr="009B1DDC">
        <w:t xml:space="preserve"> imposed by the </w:t>
      </w:r>
      <w:r w:rsidR="007E3432" w:rsidRPr="009B1DDC">
        <w:t>Act</w:t>
      </w:r>
      <w:r w:rsidR="00D54753" w:rsidRPr="009B1DDC">
        <w:t xml:space="preserve">. </w:t>
      </w:r>
      <w:r w:rsidR="66D34004" w:rsidRPr="009B1DDC">
        <w:t>Some of the types of relief this</w:t>
      </w:r>
      <w:r w:rsidR="007E3432" w:rsidRPr="009B1DDC">
        <w:t xml:space="preserve"> </w:t>
      </w:r>
      <w:r w:rsidR="008D3298" w:rsidRPr="009B1DDC">
        <w:t>i</w:t>
      </w:r>
      <w:r w:rsidR="007E3432" w:rsidRPr="009B1DDC">
        <w:t>nstrument grant</w:t>
      </w:r>
      <w:r w:rsidR="00B233CD" w:rsidRPr="009B1DDC">
        <w:t>s</w:t>
      </w:r>
      <w:r w:rsidR="5D75AD72" w:rsidRPr="009B1DDC">
        <w:t xml:space="preserve"> include</w:t>
      </w:r>
      <w:r w:rsidR="00B233CD" w:rsidRPr="009B1DDC">
        <w:t>:</w:t>
      </w:r>
      <w:r w:rsidR="00BF0EB2" w:rsidRPr="009B1DDC">
        <w:t xml:space="preserve"> </w:t>
      </w:r>
    </w:p>
    <w:p w14:paraId="37D3A9A9" w14:textId="219C0E91" w:rsidR="0064527F" w:rsidRPr="009B1DDC" w:rsidRDefault="0064527F" w:rsidP="00A65AAB">
      <w:pPr>
        <w:pStyle w:val="LI-BodyTextNumbered"/>
        <w:spacing w:before="120" w:after="120"/>
        <w:ind w:hanging="601"/>
      </w:pPr>
      <w:r w:rsidRPr="009B1DDC">
        <w:t>(a)</w:t>
      </w:r>
      <w:r w:rsidRPr="009B1DDC">
        <w:tab/>
        <w:t xml:space="preserve">for a company that has a liquidator appointed—an exemption from annual and half-yearly financial reporting requirements under Part 2M.3 of the Act and from the requirement in section 250N of the Act to hold an annual general meeting. These exemptions do not apply to financial services licensees and certain other </w:t>
      </w:r>
      <w:proofErr w:type="gramStart"/>
      <w:r w:rsidRPr="009B1DDC">
        <w:t>companies;</w:t>
      </w:r>
      <w:proofErr w:type="gramEnd"/>
      <w:r w:rsidRPr="009B1DDC">
        <w:t xml:space="preserve"> </w:t>
      </w:r>
    </w:p>
    <w:p w14:paraId="4E2097DA" w14:textId="1636CF7F" w:rsidR="0064527F" w:rsidRPr="009B1DDC" w:rsidRDefault="0064527F" w:rsidP="00A65AAB">
      <w:pPr>
        <w:pStyle w:val="LI-BodyTextNumbered"/>
        <w:spacing w:before="120" w:after="120"/>
        <w:ind w:hanging="601"/>
      </w:pPr>
      <w:r w:rsidRPr="009B1DDC">
        <w:t>(b)</w:t>
      </w:r>
      <w:r w:rsidRPr="009B1DDC">
        <w:tab/>
        <w:t xml:space="preserve">for a company that is under other forms of external administration—a temporary exemption from annual and half-yearly financial reporting requirements under Part 2M.3 of the Act and from the requirement in section 250N of the Act to hold an annual general </w:t>
      </w:r>
      <w:proofErr w:type="gramStart"/>
      <w:r w:rsidRPr="009B1DDC">
        <w:t>meeting;</w:t>
      </w:r>
      <w:proofErr w:type="gramEnd"/>
      <w:r w:rsidRPr="009B1DDC">
        <w:t xml:space="preserve"> </w:t>
      </w:r>
    </w:p>
    <w:p w14:paraId="536E6FC5" w14:textId="09D7C90A" w:rsidR="0064527F" w:rsidRDefault="0064527F" w:rsidP="00A65AAB">
      <w:pPr>
        <w:pStyle w:val="LI-BodyTextNumbered"/>
        <w:spacing w:before="120" w:after="120"/>
        <w:ind w:hanging="601"/>
      </w:pPr>
      <w:r w:rsidRPr="009B1DDC">
        <w:t>(c)</w:t>
      </w:r>
      <w:r w:rsidRPr="009B1DDC">
        <w:tab/>
        <w:t xml:space="preserve">for registered schemes, notified passport funds and </w:t>
      </w:r>
      <w:proofErr w:type="spellStart"/>
      <w:r w:rsidRPr="009B1DDC">
        <w:t>CCIVs</w:t>
      </w:r>
      <w:proofErr w:type="spellEnd"/>
      <w:r w:rsidRPr="009B1DDC">
        <w:t xml:space="preserve"> that are being wound up and that have passed insolvency resolutions—from annual and half-yearly financial reporting requirements under Part 2M.3 of the Act and, in the case of a registered scheme, an exemption from compliance plan audit requirements under section 601HG</w:t>
      </w:r>
      <w:r>
        <w:t xml:space="preserve"> of the </w:t>
      </w:r>
      <w:proofErr w:type="gramStart"/>
      <w:r>
        <w:t>Act;</w:t>
      </w:r>
      <w:proofErr w:type="gramEnd"/>
      <w:r>
        <w:t xml:space="preserve"> </w:t>
      </w:r>
    </w:p>
    <w:p w14:paraId="4EC2AFC8" w14:textId="77777777" w:rsidR="0064527F" w:rsidRDefault="0064527F" w:rsidP="00A65AAB">
      <w:pPr>
        <w:pStyle w:val="LI-BodyTextNumbered"/>
        <w:spacing w:before="120" w:after="120"/>
        <w:ind w:hanging="601"/>
      </w:pPr>
      <w:r>
        <w:t>(d)</w:t>
      </w:r>
      <w:r>
        <w:tab/>
        <w:t xml:space="preserve">for a company that has ceased to hold an Australian financial services licence and that has a liquidator appointed—an exemption from the financial reporting requirements in Subdivision C of Division 6 of Part 7.8 of the </w:t>
      </w:r>
      <w:proofErr w:type="gramStart"/>
      <w:r>
        <w:t>Act;</w:t>
      </w:r>
      <w:proofErr w:type="gramEnd"/>
      <w:r>
        <w:t xml:space="preserve"> </w:t>
      </w:r>
    </w:p>
    <w:p w14:paraId="1DDE75FB" w14:textId="77777777" w:rsidR="0064527F" w:rsidRDefault="0064527F" w:rsidP="00A65AAB">
      <w:pPr>
        <w:pStyle w:val="LI-BodyTextNumbered"/>
        <w:spacing w:before="120" w:after="120"/>
        <w:ind w:hanging="601"/>
      </w:pPr>
      <w:r>
        <w:t>(e)</w:t>
      </w:r>
      <w:r>
        <w:tab/>
        <w:t>for a company that is a financial services licensee that is under certain forms of external administration—a temporary exemption from the requirement to lodge reports with ASIC under Subdivision C of Division 6 of Part 7.8 of the Act.</w:t>
      </w:r>
    </w:p>
    <w:p w14:paraId="475CA979" w14:textId="6C2A11C5" w:rsidR="006C561C" w:rsidRDefault="0091173A" w:rsidP="00573387">
      <w:pPr>
        <w:pStyle w:val="LI-BodyTextParaa"/>
        <w:ind w:left="567"/>
      </w:pPr>
      <w:r>
        <w:t>6</w:t>
      </w:r>
      <w:r w:rsidR="00573387">
        <w:t>.</w:t>
      </w:r>
      <w:r w:rsidR="00573387">
        <w:tab/>
      </w:r>
      <w:r w:rsidR="006C561C">
        <w:t xml:space="preserve">The exemptions are subject to various </w:t>
      </w:r>
      <w:r w:rsidR="006666E0">
        <w:t xml:space="preserve">requirements </w:t>
      </w:r>
      <w:r w:rsidR="006C561C">
        <w:t xml:space="preserve">to ensure </w:t>
      </w:r>
      <w:r w:rsidR="006666E0">
        <w:t>that adequate information is available to members and creditors.</w:t>
      </w:r>
    </w:p>
    <w:p w14:paraId="3FEFE29E" w14:textId="3B1E666D" w:rsidR="009A3F74" w:rsidRDefault="009A3F74" w:rsidP="00B74696">
      <w:pPr>
        <w:pStyle w:val="LI-BodyTextParaa"/>
        <w:ind w:left="0" w:firstLine="0"/>
        <w:rPr>
          <w:b/>
        </w:rPr>
      </w:pPr>
      <w:bookmarkStart w:id="1" w:name="_Hlk534291624"/>
      <w:r>
        <w:rPr>
          <w:b/>
        </w:rPr>
        <w:t>Consultation</w:t>
      </w:r>
    </w:p>
    <w:p w14:paraId="70D595B2" w14:textId="49065F82" w:rsidR="009A3F74" w:rsidRPr="001D2906" w:rsidRDefault="0091173A" w:rsidP="001D2906">
      <w:pPr>
        <w:pStyle w:val="LI-BodyTextParaa"/>
        <w:ind w:left="567"/>
      </w:pPr>
      <w:r>
        <w:t>7</w:t>
      </w:r>
      <w:r w:rsidR="009A3F74">
        <w:t>.</w:t>
      </w:r>
      <w:r w:rsidR="009A3F74">
        <w:tab/>
      </w:r>
      <w:r w:rsidR="0030189E">
        <w:t xml:space="preserve">On 7 July 2025, </w:t>
      </w:r>
      <w:r w:rsidR="001D2906" w:rsidRPr="001D2906">
        <w:t xml:space="preserve">ASIC consulted publicly on our proposal to remake the relief </w:t>
      </w:r>
      <w:r w:rsidR="00844499">
        <w:t xml:space="preserve">formerly in </w:t>
      </w:r>
      <w:r w:rsidR="00844499" w:rsidRPr="008A59D7">
        <w:t>ASIC Instrument 2015/251</w:t>
      </w:r>
      <w:r w:rsidR="00844499">
        <w:t xml:space="preserve"> </w:t>
      </w:r>
      <w:r w:rsidR="001D2906" w:rsidRPr="001D2906">
        <w:t xml:space="preserve">through CS 24 </w:t>
      </w:r>
      <w:r w:rsidR="001D2906" w:rsidRPr="001D2906">
        <w:rPr>
          <w:i/>
          <w:iCs/>
        </w:rPr>
        <w:t>Proposed remake of financial reporting-related legislative instruments</w:t>
      </w:r>
      <w:r w:rsidR="001D2906" w:rsidRPr="001D2906">
        <w:t xml:space="preserve">. </w:t>
      </w:r>
    </w:p>
    <w:p w14:paraId="7243E9D2" w14:textId="38B1D721" w:rsidR="00696739" w:rsidRPr="001D2906" w:rsidRDefault="0091173A" w:rsidP="001D2906">
      <w:pPr>
        <w:pStyle w:val="LI-BodyTextParaa"/>
        <w:ind w:left="567"/>
      </w:pPr>
      <w:r>
        <w:t>8</w:t>
      </w:r>
      <w:r w:rsidR="00696739">
        <w:t>.</w:t>
      </w:r>
      <w:r w:rsidR="00696739">
        <w:tab/>
      </w:r>
      <w:r w:rsidR="001D2906" w:rsidRPr="001D2906">
        <w:t>We received one submission</w:t>
      </w:r>
      <w:r w:rsidR="00844499">
        <w:t xml:space="preserve">. The submission </w:t>
      </w:r>
      <w:r w:rsidR="007E7037">
        <w:t xml:space="preserve">suggested extending the exemptions provided by </w:t>
      </w:r>
      <w:r w:rsidR="00844499">
        <w:t xml:space="preserve">ASIC Instrument 2015/251 </w:t>
      </w:r>
      <w:r w:rsidR="007E7037">
        <w:t xml:space="preserve">to cover entities being voluntarily </w:t>
      </w:r>
      <w:r w:rsidR="0030189E">
        <w:t>deregistered</w:t>
      </w:r>
      <w:r w:rsidR="007E7037">
        <w:t xml:space="preserve"> on the basis that these companies will have minimal assets or liabilities</w:t>
      </w:r>
      <w:r w:rsidR="00FC6857">
        <w:t xml:space="preserve">. The submission </w:t>
      </w:r>
      <w:r w:rsidR="000F6CCB">
        <w:t xml:space="preserve">argued that </w:t>
      </w:r>
      <w:r w:rsidR="00ED5FAD">
        <w:t xml:space="preserve">financial reporting </w:t>
      </w:r>
      <w:r w:rsidR="000F6CCB">
        <w:t>wa</w:t>
      </w:r>
      <w:r w:rsidR="00ED5FAD">
        <w:t>s unwarranted on cost-benefit grounds</w:t>
      </w:r>
      <w:r w:rsidR="00FC6857">
        <w:t xml:space="preserve"> in these circumstances</w:t>
      </w:r>
      <w:r w:rsidR="001D2906">
        <w:t xml:space="preserve">. </w:t>
      </w:r>
      <w:r w:rsidR="000F6CCB">
        <w:t xml:space="preserve">We decided </w:t>
      </w:r>
      <w:r w:rsidR="001D2906">
        <w:t>not to extend the relief to include companies that are in the process of voluntary deregist</w:t>
      </w:r>
      <w:r w:rsidR="00FC6857">
        <w:t>ration</w:t>
      </w:r>
      <w:r w:rsidR="001D2906">
        <w:t xml:space="preserve"> under s</w:t>
      </w:r>
      <w:r w:rsidR="00043607">
        <w:t xml:space="preserve">ection </w:t>
      </w:r>
      <w:r w:rsidR="001D2906">
        <w:t>601AA of the Act</w:t>
      </w:r>
      <w:r w:rsidR="0008584D">
        <w:t xml:space="preserve">. </w:t>
      </w:r>
      <w:r w:rsidR="00A85228" w:rsidRPr="00A85228">
        <w:t xml:space="preserve">We considered that extending the relief in this way would involve different policy considerations to the </w:t>
      </w:r>
      <w:r w:rsidR="00403FA7">
        <w:t>relief under ASIC Instrument 2015/521</w:t>
      </w:r>
      <w:r w:rsidR="00A85228" w:rsidRPr="00A85228">
        <w:t xml:space="preserve"> which focuses on relieving the regulatory burden on </w:t>
      </w:r>
      <w:r w:rsidR="00FE2261">
        <w:t xml:space="preserve">entities </w:t>
      </w:r>
      <w:r w:rsidR="00A85228" w:rsidRPr="00A85228">
        <w:t>under external administration.</w:t>
      </w:r>
      <w:r w:rsidR="001D2906">
        <w:t xml:space="preserve"> </w:t>
      </w:r>
      <w:r w:rsidR="00CE00D4">
        <w:t xml:space="preserve">The instrument has therefore </w:t>
      </w:r>
      <w:r w:rsidR="00CE00D4">
        <w:lastRenderedPageBreak/>
        <w:t>been remade substantively in the same form as ASIC Instrument 2015/251</w:t>
      </w:r>
      <w:r w:rsidR="00B323D0">
        <w:t xml:space="preserve"> with only minor drafting changes. </w:t>
      </w:r>
    </w:p>
    <w:p w14:paraId="4CDCC6BF" w14:textId="77777777" w:rsidR="005D1FEA" w:rsidRDefault="005D1FEA" w:rsidP="006D6079">
      <w:pPr>
        <w:pStyle w:val="LI-BodyTextNumbered"/>
        <w:keepNext/>
        <w:ind w:left="0" w:firstLine="0"/>
        <w:rPr>
          <w:b/>
        </w:rPr>
      </w:pPr>
      <w:r>
        <w:rPr>
          <w:b/>
        </w:rPr>
        <w:t>Operation of the instrument</w:t>
      </w:r>
    </w:p>
    <w:p w14:paraId="4CC17B9B" w14:textId="294D6D44" w:rsidR="00474B52" w:rsidRDefault="0091173A" w:rsidP="00696739">
      <w:pPr>
        <w:pStyle w:val="LI-BodyTextParaa"/>
        <w:ind w:left="567"/>
      </w:pPr>
      <w:r>
        <w:t>9</w:t>
      </w:r>
      <w:r w:rsidR="005D1FEA">
        <w:t>.</w:t>
      </w:r>
      <w:r w:rsidR="005D1FEA">
        <w:tab/>
      </w:r>
      <w:r w:rsidR="00B92CD1">
        <w:t>Section 4 of the instrument provides a simplified outline for the instrument. Its purpose is to assist readers in understanding the substantive provisions</w:t>
      </w:r>
      <w:r w:rsidR="00511316">
        <w:t>. However, the outline is not</w:t>
      </w:r>
      <w:r w:rsidR="00566969">
        <w:t xml:space="preserve"> intended to be</w:t>
      </w:r>
      <w:r w:rsidR="00511316">
        <w:t xml:space="preserve"> </w:t>
      </w:r>
      <w:proofErr w:type="gramStart"/>
      <w:r w:rsidR="00511316">
        <w:t>comprehensive</w:t>
      </w:r>
      <w:proofErr w:type="gramEnd"/>
      <w:r w:rsidR="00511316">
        <w:t xml:space="preserve"> and readers should rely on the substantive provisions when considering the instrument’s effect</w:t>
      </w:r>
      <w:r w:rsidR="00696739">
        <w:t xml:space="preserve">. </w:t>
      </w:r>
    </w:p>
    <w:p w14:paraId="03B5806D" w14:textId="7DF73A6C" w:rsidR="007D42DD" w:rsidRPr="00B74696" w:rsidRDefault="00220189" w:rsidP="000B1D9F">
      <w:pPr>
        <w:pStyle w:val="LI-BodyTextParaa"/>
        <w:tabs>
          <w:tab w:val="left" w:pos="1276"/>
        </w:tabs>
        <w:ind w:left="0" w:firstLine="0"/>
        <w:rPr>
          <w:b/>
          <w:bCs/>
          <w:i/>
          <w:iCs/>
        </w:rPr>
      </w:pPr>
      <w:r w:rsidRPr="00B74696">
        <w:rPr>
          <w:b/>
          <w:bCs/>
          <w:i/>
          <w:iCs/>
        </w:rPr>
        <w:t xml:space="preserve">Section </w:t>
      </w:r>
      <w:r w:rsidR="0051797B">
        <w:rPr>
          <w:b/>
          <w:bCs/>
          <w:i/>
          <w:iCs/>
        </w:rPr>
        <w:t>6</w:t>
      </w:r>
      <w:r w:rsidR="000B1D9F">
        <w:rPr>
          <w:b/>
          <w:bCs/>
          <w:i/>
          <w:iCs/>
        </w:rPr>
        <w:tab/>
        <w:t>C</w:t>
      </w:r>
      <w:r w:rsidR="007D42DD" w:rsidRPr="00B74696">
        <w:rPr>
          <w:b/>
          <w:bCs/>
          <w:i/>
          <w:iCs/>
        </w:rPr>
        <w:t>ompanies being wound up</w:t>
      </w:r>
    </w:p>
    <w:p w14:paraId="5199CB75" w14:textId="560C0F3C" w:rsidR="007D42DD" w:rsidRDefault="007D42DD" w:rsidP="00B74696">
      <w:pPr>
        <w:pStyle w:val="LI-BodyTextParaa"/>
        <w:keepNext/>
        <w:keepLines/>
        <w:ind w:left="567"/>
      </w:pPr>
      <w:r>
        <w:t>1</w:t>
      </w:r>
      <w:r w:rsidR="00716B84">
        <w:t>0</w:t>
      </w:r>
      <w:r>
        <w:t>.</w:t>
      </w:r>
      <w:r w:rsidR="00716B84">
        <w:tab/>
      </w:r>
      <w:r>
        <w:t>The exemption</w:t>
      </w:r>
      <w:r w:rsidR="00F84F7B">
        <w:t xml:space="preserve"> </w:t>
      </w:r>
      <w:r>
        <w:t xml:space="preserve">in </w:t>
      </w:r>
      <w:r w:rsidR="00C67E03">
        <w:t xml:space="preserve">paragraph </w:t>
      </w:r>
      <w:r w:rsidR="009F7FC3">
        <w:t>6</w:t>
      </w:r>
      <w:r>
        <w:t>(1)</w:t>
      </w:r>
      <w:r w:rsidR="00494410">
        <w:t>(a)</w:t>
      </w:r>
      <w:r w:rsidR="00F84F7B">
        <w:t xml:space="preserve"> </w:t>
      </w:r>
      <w:r w:rsidR="002D639D">
        <w:t xml:space="preserve">of the </w:t>
      </w:r>
      <w:r w:rsidR="00CC14EE">
        <w:t>i</w:t>
      </w:r>
      <w:r w:rsidR="002D639D">
        <w:t xml:space="preserve">nstrument </w:t>
      </w:r>
      <w:r>
        <w:t xml:space="preserve">means that a company that has a liquidator appointed is not required to </w:t>
      </w:r>
      <w:r w:rsidR="00015053">
        <w:t>comply with financial reporting obligations</w:t>
      </w:r>
      <w:r w:rsidR="0000253D">
        <w:t xml:space="preserve"> in P</w:t>
      </w:r>
      <w:r w:rsidR="00C67E03">
        <w:t>ar</w:t>
      </w:r>
      <w:r w:rsidR="0000253D">
        <w:t>t 2M.3</w:t>
      </w:r>
      <w:r w:rsidR="00015053">
        <w:t xml:space="preserve"> </w:t>
      </w:r>
      <w:r>
        <w:t>for</w:t>
      </w:r>
      <w:r w:rsidR="00F84F7B">
        <w:t xml:space="preserve"> </w:t>
      </w:r>
      <w:r>
        <w:t>each</w:t>
      </w:r>
      <w:r w:rsidR="00F84F7B">
        <w:t xml:space="preserve"> </w:t>
      </w:r>
      <w:r>
        <w:t>financial year</w:t>
      </w:r>
      <w:r w:rsidR="00F84F7B">
        <w:t xml:space="preserve"> </w:t>
      </w:r>
      <w:r>
        <w:t>during which</w:t>
      </w:r>
      <w:r w:rsidR="00F84F7B">
        <w:t xml:space="preserve"> </w:t>
      </w:r>
      <w:r>
        <w:t>a</w:t>
      </w:r>
      <w:r w:rsidR="00F84F7B">
        <w:t xml:space="preserve"> </w:t>
      </w:r>
      <w:r>
        <w:t>liquidator is appointed.</w:t>
      </w:r>
      <w:r w:rsidR="00F84F7B">
        <w:t xml:space="preserve"> </w:t>
      </w:r>
      <w:r>
        <w:t>The exemption is prospective i.e. it applies to the company’s financial reporting obligations that arise after the date of the appointment of the liquidator.</w:t>
      </w:r>
      <w:r w:rsidR="00A47000">
        <w:t xml:space="preserve"> </w:t>
      </w:r>
      <w:r w:rsidRPr="007D42DD">
        <w:t>The</w:t>
      </w:r>
      <w:r w:rsidR="00F84F7B">
        <w:t xml:space="preserve"> </w:t>
      </w:r>
      <w:r w:rsidRPr="007D42DD">
        <w:t>exemption applies where</w:t>
      </w:r>
      <w:r w:rsidR="00F84F7B">
        <w:t xml:space="preserve"> </w:t>
      </w:r>
      <w:r w:rsidRPr="007D42DD">
        <w:t>a liquidator</w:t>
      </w:r>
      <w:r w:rsidR="00F84F7B">
        <w:t xml:space="preserve"> </w:t>
      </w:r>
      <w:r w:rsidRPr="007D42DD">
        <w:t>is</w:t>
      </w:r>
      <w:r w:rsidR="00F84F7B">
        <w:t xml:space="preserve"> </w:t>
      </w:r>
      <w:r w:rsidRPr="007D42DD">
        <w:t xml:space="preserve">appointed as at the day that the company would otherwise have been required to lodge a report. </w:t>
      </w:r>
    </w:p>
    <w:p w14:paraId="08CE28C6" w14:textId="58B41370" w:rsidR="007D42DD" w:rsidRDefault="000A6EF0" w:rsidP="007D42DD">
      <w:pPr>
        <w:pStyle w:val="LI-BodyTextParaa"/>
        <w:ind w:left="567"/>
      </w:pPr>
      <w:r>
        <w:t>1</w:t>
      </w:r>
      <w:r w:rsidR="00716B84">
        <w:t>1</w:t>
      </w:r>
      <w:r w:rsidR="007D42DD">
        <w:t>.</w:t>
      </w:r>
      <w:r w:rsidR="007D42DD">
        <w:tab/>
      </w:r>
      <w:r w:rsidR="007D42DD" w:rsidRPr="007D42DD">
        <w:t xml:space="preserve">The exemption in </w:t>
      </w:r>
      <w:r w:rsidR="00C67E03">
        <w:t xml:space="preserve">paragraph </w:t>
      </w:r>
      <w:r w:rsidR="009F7FC3">
        <w:t>6</w:t>
      </w:r>
      <w:r w:rsidR="007D42DD" w:rsidRPr="007D42DD">
        <w:t>(1)</w:t>
      </w:r>
      <w:r w:rsidR="005F0046">
        <w:t>(b)</w:t>
      </w:r>
      <w:r w:rsidR="00BA02DF">
        <w:t xml:space="preserve"> of the </w:t>
      </w:r>
      <w:r w:rsidR="00CC14EE">
        <w:t>i</w:t>
      </w:r>
      <w:r w:rsidR="00BA02DF">
        <w:t>nstrument</w:t>
      </w:r>
      <w:r w:rsidR="005F0046" w:rsidRPr="007D42DD" w:rsidDel="005F0046">
        <w:t xml:space="preserve"> </w:t>
      </w:r>
      <w:r w:rsidR="007D42DD" w:rsidRPr="007D42DD">
        <w:t xml:space="preserve">means that a company </w:t>
      </w:r>
      <w:r w:rsidR="00BA02DF">
        <w:t xml:space="preserve">in liquidation </w:t>
      </w:r>
      <w:r w:rsidR="007D42DD" w:rsidRPr="007D42DD">
        <w:t xml:space="preserve">is not required to </w:t>
      </w:r>
      <w:r w:rsidR="0022347F">
        <w:t xml:space="preserve">comply with </w:t>
      </w:r>
      <w:r w:rsidR="007D42DD" w:rsidRPr="007D42DD">
        <w:t>any outstanding financial report</w:t>
      </w:r>
      <w:r w:rsidR="0022347F">
        <w:t xml:space="preserve">ing obligations </w:t>
      </w:r>
      <w:r w:rsidR="007D42DD" w:rsidRPr="007D42DD">
        <w:t>that were</w:t>
      </w:r>
      <w:r w:rsidR="007266CD">
        <w:t xml:space="preserve"> </w:t>
      </w:r>
      <w:r w:rsidR="007D42DD" w:rsidRPr="007D42DD">
        <w:t xml:space="preserve">due </w:t>
      </w:r>
      <w:r w:rsidR="00D45E69">
        <w:t xml:space="preserve">before </w:t>
      </w:r>
      <w:r w:rsidR="007D42DD" w:rsidRPr="007D42DD">
        <w:t xml:space="preserve">the </w:t>
      </w:r>
      <w:r w:rsidR="00D45E69">
        <w:t>liquidator’s</w:t>
      </w:r>
      <w:r w:rsidR="0022347F">
        <w:t xml:space="preserve"> a</w:t>
      </w:r>
      <w:r w:rsidR="007D42DD" w:rsidRPr="007D42DD">
        <w:t>ppointment.</w:t>
      </w:r>
      <w:r w:rsidR="0022347F">
        <w:t xml:space="preserve"> </w:t>
      </w:r>
      <w:r w:rsidR="007D42DD" w:rsidRPr="007D42DD">
        <w:t>This</w:t>
      </w:r>
      <w:r w:rsidR="007266CD">
        <w:t xml:space="preserve"> </w:t>
      </w:r>
      <w:r w:rsidR="007D42DD" w:rsidRPr="007D42DD">
        <w:t>exemption</w:t>
      </w:r>
      <w:r w:rsidR="007266CD">
        <w:t xml:space="preserve"> </w:t>
      </w:r>
      <w:r w:rsidR="007D42DD" w:rsidRPr="007D42DD">
        <w:t>only applies</w:t>
      </w:r>
      <w:r w:rsidR="007266CD">
        <w:t xml:space="preserve"> </w:t>
      </w:r>
      <w:r w:rsidR="007D42DD" w:rsidRPr="007D42DD">
        <w:t xml:space="preserve">to the </w:t>
      </w:r>
      <w:r w:rsidR="007266CD">
        <w:t xml:space="preserve">company’s </w:t>
      </w:r>
      <w:r w:rsidR="007D42DD" w:rsidRPr="007D42DD">
        <w:t>continuing obligation from the date the liquidator is appointed</w:t>
      </w:r>
      <w:r w:rsidR="008634EF">
        <w:t>. I</w:t>
      </w:r>
      <w:r w:rsidR="005F0046">
        <w:t xml:space="preserve">t </w:t>
      </w:r>
      <w:r w:rsidR="007D42DD" w:rsidRPr="007D42DD">
        <w:t>does</w:t>
      </w:r>
      <w:r w:rsidR="005F0046">
        <w:t xml:space="preserve"> affect any liability of</w:t>
      </w:r>
      <w:r w:rsidR="007D42DD" w:rsidRPr="007D42DD">
        <w:t xml:space="preserve"> the company</w:t>
      </w:r>
      <w:r w:rsidR="00ED10E5">
        <w:t xml:space="preserve"> </w:t>
      </w:r>
      <w:r w:rsidR="007D42DD" w:rsidRPr="007D42DD">
        <w:t>or its directors</w:t>
      </w:r>
      <w:r w:rsidR="00ED10E5">
        <w:t xml:space="preserve"> </w:t>
      </w:r>
      <w:r w:rsidR="005F0046">
        <w:t xml:space="preserve">for </w:t>
      </w:r>
      <w:r w:rsidR="007D42DD" w:rsidRPr="007D42DD">
        <w:t>contraventions</w:t>
      </w:r>
      <w:r w:rsidR="005F0046">
        <w:t xml:space="preserve"> of </w:t>
      </w:r>
      <w:r w:rsidR="0000253D">
        <w:t>P</w:t>
      </w:r>
      <w:r w:rsidR="00C67E03">
        <w:t>ar</w:t>
      </w:r>
      <w:r w:rsidR="0000253D">
        <w:t xml:space="preserve">t </w:t>
      </w:r>
      <w:r w:rsidR="005F0046">
        <w:t>2M</w:t>
      </w:r>
      <w:r w:rsidR="0000253D">
        <w:t>.3</w:t>
      </w:r>
      <w:r w:rsidR="007D42DD" w:rsidRPr="007D42DD">
        <w:t xml:space="preserve"> </w:t>
      </w:r>
      <w:r w:rsidR="00032092">
        <w:t xml:space="preserve">before </w:t>
      </w:r>
      <w:r w:rsidR="007D42DD" w:rsidRPr="007D42DD">
        <w:t>the appointment of the liquidator.</w:t>
      </w:r>
    </w:p>
    <w:p w14:paraId="38B98EAD" w14:textId="5BE72E57" w:rsidR="00716B84" w:rsidRDefault="00716B84" w:rsidP="007D42DD">
      <w:pPr>
        <w:pStyle w:val="LI-BodyTextParaa"/>
        <w:ind w:left="567"/>
      </w:pPr>
      <w:r>
        <w:t>12.</w:t>
      </w:r>
      <w:r>
        <w:tab/>
        <w:t>The exemptions in s</w:t>
      </w:r>
      <w:r w:rsidR="00C67E03">
        <w:t xml:space="preserve">ection </w:t>
      </w:r>
      <w:r>
        <w:t xml:space="preserve">6 are conditional </w:t>
      </w:r>
      <w:r w:rsidR="003B760A">
        <w:t>on the company having adequate arrangements in place to answer</w:t>
      </w:r>
      <w:r w:rsidR="00E819A0">
        <w:t xml:space="preserve"> a member’s reasonable questions about the winding up</w:t>
      </w:r>
      <w:r w:rsidR="001A636A">
        <w:t>: see s</w:t>
      </w:r>
      <w:r w:rsidR="00C67E03">
        <w:t xml:space="preserve">ubsection </w:t>
      </w:r>
      <w:r w:rsidR="001A636A">
        <w:t>6(2) of the instrument</w:t>
      </w:r>
      <w:r w:rsidR="003B760A">
        <w:t>.</w:t>
      </w:r>
    </w:p>
    <w:p w14:paraId="383A6224" w14:textId="732C2009" w:rsidR="00D52BA3" w:rsidRDefault="00D52BA3" w:rsidP="007D42DD">
      <w:pPr>
        <w:pStyle w:val="LI-BodyTextParaa"/>
        <w:ind w:left="567"/>
      </w:pPr>
    </w:p>
    <w:p w14:paraId="5B0DA92D" w14:textId="3D51F5AE" w:rsidR="00C92F03" w:rsidRPr="00B74696" w:rsidRDefault="00C92F03" w:rsidP="009B1DD6">
      <w:pPr>
        <w:pStyle w:val="LI-BodyTextParaa"/>
        <w:ind w:left="567"/>
        <w:rPr>
          <w:i/>
          <w:iCs/>
        </w:rPr>
      </w:pPr>
      <w:r w:rsidRPr="00B74696">
        <w:rPr>
          <w:i/>
          <w:iCs/>
        </w:rPr>
        <w:t>Exclusions</w:t>
      </w:r>
    </w:p>
    <w:p w14:paraId="40198A12" w14:textId="14EDC482" w:rsidR="00DE5BD2" w:rsidRDefault="00522EAC" w:rsidP="00C92F03">
      <w:pPr>
        <w:pStyle w:val="LI-BodyTextParaa"/>
        <w:ind w:left="567"/>
      </w:pPr>
      <w:r>
        <w:t>1</w:t>
      </w:r>
      <w:r w:rsidR="000E6BE8">
        <w:t>3</w:t>
      </w:r>
      <w:r w:rsidR="00C92F03">
        <w:t>.</w:t>
      </w:r>
      <w:r w:rsidR="00C92F03">
        <w:tab/>
      </w:r>
      <w:r w:rsidR="004824E0">
        <w:t>The exemption in s</w:t>
      </w:r>
      <w:r w:rsidR="00C67E03">
        <w:t xml:space="preserve">ubsection </w:t>
      </w:r>
      <w:r w:rsidR="0056004C">
        <w:t>(</w:t>
      </w:r>
      <w:r w:rsidR="00ED10E5">
        <w:t>6</w:t>
      </w:r>
      <w:r w:rsidR="0056004C">
        <w:t>)</w:t>
      </w:r>
      <w:r w:rsidR="00290E5E">
        <w:t>(1)</w:t>
      </w:r>
      <w:r w:rsidR="0056004C">
        <w:t xml:space="preserve"> of the </w:t>
      </w:r>
      <w:r w:rsidR="00CC14EE">
        <w:t>i</w:t>
      </w:r>
      <w:r w:rsidR="0056004C">
        <w:t>nstrument do</w:t>
      </w:r>
      <w:r w:rsidR="00290E5E">
        <w:t>es</w:t>
      </w:r>
      <w:r w:rsidR="0056004C">
        <w:t xml:space="preserve"> not apply to a company that has an administrator appo</w:t>
      </w:r>
      <w:r w:rsidR="00AB4CDA">
        <w:t>inted to it under P</w:t>
      </w:r>
      <w:r w:rsidR="00C67E03">
        <w:t>ar</w:t>
      </w:r>
      <w:r w:rsidR="00AB4CDA">
        <w:t>t 5.3A of the Act or is subject to a deed of company arrangement: s</w:t>
      </w:r>
      <w:r w:rsidR="00C67E03">
        <w:t xml:space="preserve">ubsection </w:t>
      </w:r>
      <w:r w:rsidR="00ED10E5">
        <w:t>6</w:t>
      </w:r>
      <w:r w:rsidR="00AB4CDA">
        <w:t xml:space="preserve">(3). </w:t>
      </w:r>
      <w:r w:rsidR="007030C9">
        <w:t>This is because the winding</w:t>
      </w:r>
      <w:r w:rsidR="00CD69CB">
        <w:t>-</w:t>
      </w:r>
      <w:r w:rsidR="007030C9">
        <w:t xml:space="preserve">up is suspended if a voluntary administrator is appointed by the liquidator or while the company is subject to a deed of company arrangement. </w:t>
      </w:r>
    </w:p>
    <w:p w14:paraId="218BB386" w14:textId="6ED2273E" w:rsidR="00C87F1C" w:rsidRDefault="002B0686" w:rsidP="00C92F03">
      <w:pPr>
        <w:pStyle w:val="LI-BodyTextParaa"/>
        <w:ind w:left="567"/>
      </w:pPr>
      <w:r>
        <w:t>14</w:t>
      </w:r>
      <w:r w:rsidR="00DE5BD2">
        <w:t>.</w:t>
      </w:r>
      <w:r w:rsidR="00DE5BD2">
        <w:tab/>
      </w:r>
      <w:r w:rsidR="007030C9">
        <w:t>The exemption in s</w:t>
      </w:r>
      <w:r w:rsidR="00C67E03">
        <w:t xml:space="preserve">ubsection </w:t>
      </w:r>
      <w:r w:rsidR="006A286F">
        <w:t>6</w:t>
      </w:r>
      <w:r w:rsidR="00A434DC">
        <w:t>(1) of the instrument also does not apply if the company holds an A</w:t>
      </w:r>
      <w:r w:rsidR="00755A59">
        <w:t>FS</w:t>
      </w:r>
      <w:r w:rsidR="00A434DC">
        <w:t xml:space="preserve"> licence.</w:t>
      </w:r>
      <w:r w:rsidR="00DE5BD2">
        <w:t xml:space="preserve"> </w:t>
      </w:r>
      <w:r w:rsidR="00DE5BD2" w:rsidRPr="00B97A7C">
        <w:t>The obligation</w:t>
      </w:r>
      <w:r w:rsidR="006A286F">
        <w:t xml:space="preserve"> </w:t>
      </w:r>
      <w:r w:rsidR="00DE5BD2" w:rsidRPr="00B97A7C">
        <w:t>under paragraph 912A(1)(d)</w:t>
      </w:r>
      <w:r w:rsidR="006A286F">
        <w:t xml:space="preserve"> </w:t>
      </w:r>
      <w:r w:rsidR="00DE5BD2" w:rsidRPr="00B97A7C">
        <w:t>for an AFS licensee to have available adequate financial resources to provide the financial services covered by the AFS licence and to carry out supervisory arrangements</w:t>
      </w:r>
      <w:r w:rsidR="009D3326">
        <w:t xml:space="preserve"> </w:t>
      </w:r>
      <w:r w:rsidR="00DE5BD2" w:rsidRPr="00B97A7C">
        <w:t>continue to apply for so long as the AFS licence is held by the</w:t>
      </w:r>
      <w:r w:rsidR="009D3326">
        <w:t xml:space="preserve"> </w:t>
      </w:r>
      <w:r w:rsidR="00DE5BD2" w:rsidRPr="00B97A7C">
        <w:t>AFS</w:t>
      </w:r>
      <w:r w:rsidR="009D3326">
        <w:t xml:space="preserve"> </w:t>
      </w:r>
      <w:r w:rsidR="00DE5BD2" w:rsidRPr="00B97A7C">
        <w:t>licensee.</w:t>
      </w:r>
      <w:r w:rsidR="009D3326">
        <w:t xml:space="preserve"> </w:t>
      </w:r>
      <w:r w:rsidR="00DE5BD2" w:rsidRPr="00B97A7C">
        <w:t>We consider that it would be</w:t>
      </w:r>
      <w:r w:rsidR="009D3326">
        <w:t xml:space="preserve"> </w:t>
      </w:r>
      <w:r w:rsidR="00DE5BD2" w:rsidRPr="00B97A7C">
        <w:t>inconsistent</w:t>
      </w:r>
      <w:r w:rsidR="009D3326">
        <w:t xml:space="preserve"> </w:t>
      </w:r>
      <w:r w:rsidR="00DE5BD2" w:rsidRPr="00B97A7C">
        <w:t xml:space="preserve">to grant a </w:t>
      </w:r>
      <w:r w:rsidR="005D46F1">
        <w:t xml:space="preserve">broad </w:t>
      </w:r>
      <w:r w:rsidR="00DE5BD2" w:rsidRPr="00B97A7C">
        <w:t xml:space="preserve">exemption from the financial reporting obligations in Part 2M.3 while the </w:t>
      </w:r>
      <w:r w:rsidR="000A6B9E">
        <w:t xml:space="preserve">company </w:t>
      </w:r>
      <w:r w:rsidR="00DE5BD2" w:rsidRPr="00B97A7C">
        <w:t>continues to</w:t>
      </w:r>
      <w:r w:rsidR="009D3326">
        <w:t xml:space="preserve"> </w:t>
      </w:r>
      <w:r w:rsidR="00DE5BD2" w:rsidRPr="00B97A7C">
        <w:t>hold an AFS licence</w:t>
      </w:r>
      <w:r w:rsidR="00DE5BD2">
        <w:t>.</w:t>
      </w:r>
    </w:p>
    <w:p w14:paraId="50877929" w14:textId="77777777" w:rsidR="00B97A7C" w:rsidRDefault="00B97A7C">
      <w:pPr>
        <w:spacing w:line="240" w:lineRule="auto"/>
        <w:rPr>
          <w:i/>
          <w:iCs/>
        </w:rPr>
      </w:pPr>
    </w:p>
    <w:p w14:paraId="67CB6F86" w14:textId="21DEAEFF" w:rsidR="00B97A7C" w:rsidRPr="00B74696" w:rsidRDefault="00220189" w:rsidP="003E0589">
      <w:pPr>
        <w:pStyle w:val="LI-BodyTextParaa"/>
        <w:keepNext/>
        <w:keepLines/>
        <w:tabs>
          <w:tab w:val="left" w:pos="1276"/>
        </w:tabs>
        <w:ind w:left="0" w:firstLine="0"/>
        <w:rPr>
          <w:b/>
          <w:bCs/>
          <w:i/>
          <w:iCs/>
        </w:rPr>
      </w:pPr>
      <w:r w:rsidRPr="00B74696">
        <w:rPr>
          <w:b/>
          <w:bCs/>
          <w:i/>
          <w:iCs/>
        </w:rPr>
        <w:lastRenderedPageBreak/>
        <w:t xml:space="preserve">Section </w:t>
      </w:r>
      <w:r w:rsidR="002B14D0">
        <w:rPr>
          <w:b/>
          <w:bCs/>
          <w:i/>
          <w:iCs/>
        </w:rPr>
        <w:t>7</w:t>
      </w:r>
      <w:r w:rsidR="006F03C7">
        <w:rPr>
          <w:b/>
          <w:bCs/>
          <w:i/>
          <w:iCs/>
        </w:rPr>
        <w:tab/>
      </w:r>
      <w:r w:rsidR="00B97A7C" w:rsidRPr="00B74696">
        <w:rPr>
          <w:b/>
          <w:bCs/>
          <w:i/>
          <w:iCs/>
        </w:rPr>
        <w:t>Public companies being wound up: AGMs</w:t>
      </w:r>
    </w:p>
    <w:p w14:paraId="0D600081" w14:textId="6DF85B63" w:rsidR="00F025ED" w:rsidRDefault="003E0589" w:rsidP="003E0589">
      <w:pPr>
        <w:pStyle w:val="LI-BodyTextParaa"/>
        <w:keepNext/>
        <w:keepLines/>
        <w:ind w:left="567"/>
      </w:pPr>
      <w:r>
        <w:t>15</w:t>
      </w:r>
      <w:r w:rsidR="00B97A7C">
        <w:t>.</w:t>
      </w:r>
      <w:r w:rsidR="00B97A7C">
        <w:tab/>
      </w:r>
      <w:r w:rsidR="00CC4CDB">
        <w:t xml:space="preserve">A public company that is exempt from financial reporting requirements under </w:t>
      </w:r>
      <w:r w:rsidR="00BE58CC">
        <w:t xml:space="preserve">paragraph </w:t>
      </w:r>
      <w:r w:rsidR="00B46886">
        <w:t>6</w:t>
      </w:r>
      <w:r w:rsidR="00C35892">
        <w:t>(1)</w:t>
      </w:r>
      <w:r w:rsidR="009B3301">
        <w:t>(a)</w:t>
      </w:r>
      <w:r w:rsidR="00C35892">
        <w:t xml:space="preserve"> of</w:t>
      </w:r>
      <w:r w:rsidR="00ED102A">
        <w:t xml:space="preserve"> </w:t>
      </w:r>
      <w:r w:rsidR="00B97A7C" w:rsidRPr="00B97A7C">
        <w:t xml:space="preserve">the </w:t>
      </w:r>
      <w:r w:rsidR="00CF7B33">
        <w:t>i</w:t>
      </w:r>
      <w:r w:rsidR="00B97A7C" w:rsidRPr="00B97A7C">
        <w:t>nstrument</w:t>
      </w:r>
      <w:r w:rsidR="00ED102A">
        <w:t xml:space="preserve"> </w:t>
      </w:r>
      <w:r w:rsidR="00C35892">
        <w:t xml:space="preserve">is also exempt </w:t>
      </w:r>
      <w:r w:rsidR="00B97A7C" w:rsidRPr="00B97A7C">
        <w:t xml:space="preserve">from </w:t>
      </w:r>
      <w:r w:rsidR="005E2D54">
        <w:t>the requirement under s</w:t>
      </w:r>
      <w:r w:rsidR="00F02A2E">
        <w:t xml:space="preserve">ection </w:t>
      </w:r>
      <w:r w:rsidR="005E2D54">
        <w:t>250N of the Act to hold an AGM</w:t>
      </w:r>
      <w:r w:rsidR="00F025ED">
        <w:t>: s</w:t>
      </w:r>
      <w:r w:rsidR="00F02A2E">
        <w:t xml:space="preserve">ubsection </w:t>
      </w:r>
      <w:r w:rsidR="00ED102A">
        <w:t>7</w:t>
      </w:r>
      <w:r w:rsidR="00F025ED">
        <w:t>(1)</w:t>
      </w:r>
      <w:r w:rsidR="005E2D54">
        <w:t>.</w:t>
      </w:r>
      <w:r w:rsidR="00F025ED">
        <w:t xml:space="preserve"> </w:t>
      </w:r>
    </w:p>
    <w:p w14:paraId="02825082" w14:textId="25E5B508" w:rsidR="00B97A7C" w:rsidRDefault="003E0589" w:rsidP="00B97A7C">
      <w:pPr>
        <w:pStyle w:val="LI-BodyTextParaa"/>
        <w:ind w:left="567"/>
      </w:pPr>
      <w:r>
        <w:t>16.</w:t>
      </w:r>
      <w:r w:rsidR="00F025ED">
        <w:tab/>
      </w:r>
      <w:r w:rsidR="00B97A7C" w:rsidRPr="00B97A7C">
        <w:t xml:space="preserve">For public companies that have a liquidator appointed, the safeguard function served by the AGM in ordinary circumstances is diminished when a company </w:t>
      </w:r>
      <w:proofErr w:type="gramStart"/>
      <w:r w:rsidR="00B97A7C" w:rsidRPr="00B97A7C">
        <w:t>enters into</w:t>
      </w:r>
      <w:proofErr w:type="gramEnd"/>
      <w:r w:rsidR="00B97A7C" w:rsidRPr="00B97A7C">
        <w:t xml:space="preserve"> liquidation. The business ordinarily conducted at an AGM—including the appointment and replacement of directors, and the presentation of financial reports to members—will no longer be relevant and the AGM will be an unnecessary expense.</w:t>
      </w:r>
    </w:p>
    <w:p w14:paraId="2FD7AA6D" w14:textId="579E65D9" w:rsidR="00230F7D" w:rsidRPr="00B74696" w:rsidRDefault="00230F7D" w:rsidP="000B1D9F">
      <w:pPr>
        <w:pStyle w:val="LI-BodyTextParaa"/>
        <w:tabs>
          <w:tab w:val="left" w:pos="1276"/>
        </w:tabs>
        <w:ind w:left="0" w:firstLine="0"/>
        <w:rPr>
          <w:b/>
          <w:bCs/>
          <w:i/>
          <w:iCs/>
        </w:rPr>
      </w:pPr>
      <w:r w:rsidRPr="00B74696">
        <w:rPr>
          <w:b/>
          <w:bCs/>
          <w:i/>
          <w:iCs/>
        </w:rPr>
        <w:t>Section 8</w:t>
      </w:r>
      <w:r w:rsidR="000B1D9F">
        <w:rPr>
          <w:b/>
          <w:bCs/>
          <w:i/>
          <w:iCs/>
        </w:rPr>
        <w:tab/>
      </w:r>
      <w:r w:rsidRPr="035F4EEF">
        <w:rPr>
          <w:b/>
          <w:bCs/>
          <w:i/>
          <w:iCs/>
        </w:rPr>
        <w:t xml:space="preserve">Deferral </w:t>
      </w:r>
      <w:r w:rsidRPr="00B74696">
        <w:rPr>
          <w:b/>
          <w:bCs/>
          <w:i/>
          <w:iCs/>
        </w:rPr>
        <w:t>of</w:t>
      </w:r>
      <w:r w:rsidRPr="035F4EEF">
        <w:rPr>
          <w:b/>
          <w:bCs/>
          <w:i/>
          <w:iCs/>
        </w:rPr>
        <w:t xml:space="preserve"> Pt 2M.3</w:t>
      </w:r>
      <w:r w:rsidRPr="00B74696">
        <w:rPr>
          <w:b/>
          <w:bCs/>
          <w:i/>
          <w:iCs/>
        </w:rPr>
        <w:t xml:space="preserve"> financial re</w:t>
      </w:r>
      <w:r w:rsidR="000B1D9F">
        <w:rPr>
          <w:b/>
          <w:bCs/>
          <w:i/>
          <w:iCs/>
        </w:rPr>
        <w:t>p</w:t>
      </w:r>
      <w:r w:rsidRPr="00B74696">
        <w:rPr>
          <w:b/>
          <w:bCs/>
          <w:i/>
          <w:iCs/>
        </w:rPr>
        <w:t>orting obligations</w:t>
      </w:r>
      <w:r w:rsidRPr="035F4EEF">
        <w:rPr>
          <w:b/>
          <w:bCs/>
          <w:i/>
          <w:iCs/>
        </w:rPr>
        <w:t xml:space="preserve"> for certain companies</w:t>
      </w:r>
    </w:p>
    <w:p w14:paraId="7FB1F2A2" w14:textId="540243C4" w:rsidR="00230F7D" w:rsidRDefault="00F43E3F" w:rsidP="00230F7D">
      <w:pPr>
        <w:pStyle w:val="LI-BodyTextParaa"/>
        <w:ind w:left="567"/>
      </w:pPr>
      <w:r>
        <w:t>17</w:t>
      </w:r>
      <w:r w:rsidR="00230F7D">
        <w:t>.</w:t>
      </w:r>
      <w:r w:rsidR="00230F7D">
        <w:tab/>
        <w:t>Subsection 8(1) of the instrument provides a conditional, temporary exemption from financial reporting obligations in P</w:t>
      </w:r>
      <w:r w:rsidR="00990831">
        <w:t>ar</w:t>
      </w:r>
      <w:r w:rsidR="00230F7D">
        <w:t>t 2M.3 of the Act to companies in external administration</w:t>
      </w:r>
      <w:r w:rsidR="00230F7D" w:rsidRPr="00D258D3">
        <w:t>.</w:t>
      </w:r>
      <w:r w:rsidR="00230F7D">
        <w:t xml:space="preserve"> The relief expires at the end of the deferral period.</w:t>
      </w:r>
    </w:p>
    <w:p w14:paraId="68B6254A" w14:textId="13703EDD" w:rsidR="00230F7D" w:rsidRDefault="00F43E3F" w:rsidP="00230F7D">
      <w:pPr>
        <w:pStyle w:val="LI-BodyTextParaa"/>
        <w:ind w:left="567"/>
      </w:pPr>
      <w:r>
        <w:t>18</w:t>
      </w:r>
      <w:r w:rsidR="00230F7D">
        <w:t>.</w:t>
      </w:r>
      <w:r w:rsidR="00230F7D">
        <w:tab/>
      </w:r>
      <w:r w:rsidR="00230F7D" w:rsidRPr="00B97A7C">
        <w:t>Th</w:t>
      </w:r>
      <w:r w:rsidR="00230F7D">
        <w:t>e length of the deferral period depends on how long the external administration lasts. If an external administration ends within 6 months, the deferral period is from the date the external administrator is appointed to 6 months after that date. If the company is still under administration after 6 months, the deferral period is from the date the external administrator is appointed until the earliest of the following:</w:t>
      </w:r>
    </w:p>
    <w:p w14:paraId="2EC16C37" w14:textId="77777777" w:rsidR="00230F7D" w:rsidRDefault="00230F7D" w:rsidP="00230F7D">
      <w:pPr>
        <w:pStyle w:val="LI-BodyTextParaa"/>
        <w:ind w:left="1134"/>
      </w:pPr>
      <w:r>
        <w:t>(a)</w:t>
      </w:r>
      <w:r>
        <w:tab/>
        <w:t xml:space="preserve">24 months after the </w:t>
      </w:r>
      <w:proofErr w:type="gramStart"/>
      <w:r>
        <w:t>appointment;</w:t>
      </w:r>
      <w:proofErr w:type="gramEnd"/>
    </w:p>
    <w:p w14:paraId="4D6135C6" w14:textId="77777777" w:rsidR="00230F7D" w:rsidRPr="006C1D4D" w:rsidRDefault="00230F7D" w:rsidP="00230F7D">
      <w:pPr>
        <w:pStyle w:val="LI-BodyTextParaa"/>
        <w:ind w:left="1134"/>
      </w:pPr>
      <w:r w:rsidRPr="00F46947">
        <w:t>(b)</w:t>
      </w:r>
      <w:r w:rsidRPr="00F46947">
        <w:tab/>
      </w:r>
      <w:r>
        <w:t xml:space="preserve">where a deed administrator is appointed – the day a director regains management powers under a deed of company arrangement or consent of the deed administrator; and </w:t>
      </w:r>
    </w:p>
    <w:p w14:paraId="2558C4D3" w14:textId="77777777" w:rsidR="00230F7D" w:rsidRPr="006C1D4D" w:rsidRDefault="00230F7D" w:rsidP="00230F7D">
      <w:pPr>
        <w:pStyle w:val="LI-BodyTextParaa"/>
        <w:ind w:left="1134"/>
      </w:pPr>
      <w:r w:rsidRPr="00F46947">
        <w:t>(</w:t>
      </w:r>
      <w:r>
        <w:t>c</w:t>
      </w:r>
      <w:r w:rsidRPr="00F46947">
        <w:t>)</w:t>
      </w:r>
      <w:r w:rsidRPr="00F46947">
        <w:tab/>
      </w:r>
      <w:r>
        <w:t xml:space="preserve">the day the external administration ends. </w:t>
      </w:r>
    </w:p>
    <w:p w14:paraId="59838899" w14:textId="77777777" w:rsidR="00230F7D" w:rsidRPr="00B74696" w:rsidRDefault="00230F7D" w:rsidP="00230F7D">
      <w:pPr>
        <w:pStyle w:val="LI-BodyTextParaa"/>
        <w:ind w:left="567"/>
        <w:rPr>
          <w:i/>
          <w:iCs/>
        </w:rPr>
      </w:pPr>
      <w:r>
        <w:rPr>
          <w:i/>
          <w:iCs/>
        </w:rPr>
        <w:t>Conditions</w:t>
      </w:r>
    </w:p>
    <w:p w14:paraId="261C4D65" w14:textId="029C0D6C" w:rsidR="00230F7D" w:rsidRDefault="000B6257" w:rsidP="00230F7D">
      <w:pPr>
        <w:pStyle w:val="LI-BodyTextParaa"/>
        <w:ind w:left="567"/>
      </w:pPr>
      <w:r>
        <w:t>19</w:t>
      </w:r>
      <w:r w:rsidR="00230F7D">
        <w:t>.</w:t>
      </w:r>
      <w:r w:rsidR="00230F7D">
        <w:tab/>
        <w:t>The exemptions in s</w:t>
      </w:r>
      <w:r w:rsidR="00990831">
        <w:t xml:space="preserve">ubsection </w:t>
      </w:r>
      <w:r w:rsidR="00230F7D">
        <w:t>8(1) and (2) of the instrument are conditional on:</w:t>
      </w:r>
    </w:p>
    <w:p w14:paraId="26D1E02D" w14:textId="77777777" w:rsidR="00230F7D" w:rsidRDefault="00230F7D" w:rsidP="00230F7D">
      <w:pPr>
        <w:pStyle w:val="LI-BodyTextParaa"/>
        <w:ind w:left="1134"/>
      </w:pPr>
      <w:r>
        <w:t>(a)</w:t>
      </w:r>
      <w:r>
        <w:tab/>
        <w:t xml:space="preserve">the company complying with the relevant obligations by the last day of the deferral </w:t>
      </w:r>
      <w:proofErr w:type="gramStart"/>
      <w:r>
        <w:t>period;</w:t>
      </w:r>
      <w:proofErr w:type="gramEnd"/>
    </w:p>
    <w:p w14:paraId="5C91F8EF" w14:textId="77777777" w:rsidR="00230F7D" w:rsidRDefault="00230F7D" w:rsidP="00230F7D">
      <w:pPr>
        <w:pStyle w:val="LI-BodyTextParaa"/>
        <w:ind w:left="1134"/>
      </w:pPr>
      <w:r>
        <w:t>(b)</w:t>
      </w:r>
      <w:r>
        <w:tab/>
        <w:t xml:space="preserve">the company having adequate arrangements in place to answer members’ questions about the relevant external administration during the deferral </w:t>
      </w:r>
      <w:proofErr w:type="gramStart"/>
      <w:r>
        <w:t>period;</w:t>
      </w:r>
      <w:proofErr w:type="gramEnd"/>
    </w:p>
    <w:p w14:paraId="6707D9D0" w14:textId="32E55CF6" w:rsidR="00230F7D" w:rsidRDefault="00230F7D" w:rsidP="00230F7D">
      <w:pPr>
        <w:pStyle w:val="LI-BodyTextParaa"/>
        <w:ind w:left="1134"/>
      </w:pPr>
      <w:r>
        <w:t>(c)</w:t>
      </w:r>
      <w:r>
        <w:tab/>
        <w:t>the company publishing a notice of the company’s intention to rely on the exemption on the company’s website, the external administrator’s website and if the company is listed on a prescribed financial market – on a website maintained by the financial market operator. This notice must be published before the</w:t>
      </w:r>
      <w:r w:rsidR="006D387D">
        <w:t xml:space="preserve"> earliest time the</w:t>
      </w:r>
      <w:r>
        <w:t xml:space="preserve"> financial reporting obligations would </w:t>
      </w:r>
      <w:r>
        <w:lastRenderedPageBreak/>
        <w:t>have arisen but for s</w:t>
      </w:r>
      <w:r w:rsidR="00990831">
        <w:t xml:space="preserve">ubsection </w:t>
      </w:r>
      <w:r>
        <w:t>8(1) of the instrument</w:t>
      </w:r>
      <w:r w:rsidR="00E229BA">
        <w:t>: see s</w:t>
      </w:r>
      <w:r w:rsidR="00990831">
        <w:t xml:space="preserve">ubsection </w:t>
      </w:r>
      <w:r w:rsidR="00E229BA">
        <w:t>8(3) of the instrument</w:t>
      </w:r>
      <w:r>
        <w:t>.</w:t>
      </w:r>
    </w:p>
    <w:p w14:paraId="3BAD15E1" w14:textId="6FA898E9" w:rsidR="006519E9" w:rsidRPr="00134533" w:rsidRDefault="00134533" w:rsidP="00230F7D">
      <w:pPr>
        <w:pStyle w:val="LI-BodyTextParaa"/>
        <w:ind w:left="567"/>
        <w:rPr>
          <w:i/>
          <w:iCs/>
        </w:rPr>
      </w:pPr>
      <w:r>
        <w:rPr>
          <w:i/>
          <w:iCs/>
        </w:rPr>
        <w:t>Alternative methods for distributing deferred annual report</w:t>
      </w:r>
    </w:p>
    <w:p w14:paraId="333BFD78" w14:textId="3E5F8302" w:rsidR="00230F7D" w:rsidRDefault="0036553F" w:rsidP="00230F7D">
      <w:pPr>
        <w:pStyle w:val="LI-BodyTextParaa"/>
        <w:ind w:left="567"/>
      </w:pPr>
      <w:r>
        <w:t>20</w:t>
      </w:r>
      <w:r w:rsidR="00230F7D">
        <w:t>.</w:t>
      </w:r>
      <w:r w:rsidR="00230F7D">
        <w:tab/>
        <w:t>Subsection 8(4) of the</w:t>
      </w:r>
      <w:r w:rsidR="00230F7D" w:rsidRPr="00B97A7C">
        <w:t xml:space="preserve"> instrument allows an externally administered company that relies on the </w:t>
      </w:r>
      <w:r w:rsidR="00230F7D">
        <w:t xml:space="preserve">deferral relief </w:t>
      </w:r>
      <w:r w:rsidR="00230F7D" w:rsidRPr="00B97A7C">
        <w:t>to use alternative methods of distributing a deferred annual report to members, instead of sending it to them personally</w:t>
      </w:r>
      <w:r w:rsidR="00230F7D">
        <w:t xml:space="preserve"> (as is required by s</w:t>
      </w:r>
      <w:r w:rsidR="00990831">
        <w:t xml:space="preserve">ubsection </w:t>
      </w:r>
      <w:r w:rsidR="00230F7D">
        <w:t>8(3)(a) of the instrument)</w:t>
      </w:r>
      <w:r w:rsidR="00230F7D" w:rsidRPr="00B97A7C">
        <w:t xml:space="preserve">. </w:t>
      </w:r>
      <w:r w:rsidR="00713A3F">
        <w:t>T</w:t>
      </w:r>
      <w:r w:rsidR="00230F7D">
        <w:t>o take advantage of alternate distribution methods, t</w:t>
      </w:r>
      <w:r w:rsidR="00230F7D" w:rsidRPr="00B97A7C">
        <w:t>he company and the relevant external administrator must give notice on the company’s</w:t>
      </w:r>
      <w:r w:rsidR="00645AD7">
        <w:t xml:space="preserve"> </w:t>
      </w:r>
      <w:r w:rsidR="00230F7D" w:rsidRPr="00B97A7C">
        <w:t>website</w:t>
      </w:r>
      <w:r w:rsidR="00645AD7">
        <w:t xml:space="preserve"> </w:t>
      </w:r>
      <w:r w:rsidR="00230F7D" w:rsidRPr="00B97A7C">
        <w:t>and</w:t>
      </w:r>
      <w:r w:rsidR="00645AD7">
        <w:t xml:space="preserve"> </w:t>
      </w:r>
      <w:r w:rsidR="00230F7D" w:rsidRPr="00B97A7C">
        <w:t>notice on</w:t>
      </w:r>
      <w:r w:rsidR="00645AD7">
        <w:t xml:space="preserve"> </w:t>
      </w:r>
      <w:r w:rsidR="00230F7D" w:rsidRPr="00B97A7C">
        <w:t>the relevant external administrator’s website that the annual report has been lodged with ASIC and is available to members free of charge</w:t>
      </w:r>
      <w:r w:rsidR="00645AD7">
        <w:t xml:space="preserve"> </w:t>
      </w:r>
      <w:r w:rsidR="00230F7D" w:rsidRPr="00B97A7C">
        <w:t>on request</w:t>
      </w:r>
      <w:r w:rsidR="00230F7D">
        <w:t xml:space="preserve"> (see the definition of ‘prescribed notice’ in s</w:t>
      </w:r>
      <w:r w:rsidR="00990831">
        <w:t xml:space="preserve">ection </w:t>
      </w:r>
      <w:r w:rsidR="00230F7D">
        <w:t>4 of the instrument</w:t>
      </w:r>
      <w:r w:rsidR="009C004C">
        <w:t xml:space="preserve"> for the full requirements</w:t>
      </w:r>
      <w:r w:rsidR="00230F7D">
        <w:t>)</w:t>
      </w:r>
      <w:r w:rsidR="00230F7D" w:rsidRPr="00B97A7C">
        <w:t>. </w:t>
      </w:r>
    </w:p>
    <w:p w14:paraId="1F77B691" w14:textId="77777777" w:rsidR="00230F7D" w:rsidRPr="00B74696" w:rsidRDefault="00230F7D" w:rsidP="00230F7D">
      <w:pPr>
        <w:pStyle w:val="LI-BodyTextParaa"/>
        <w:ind w:left="567"/>
        <w:rPr>
          <w:i/>
          <w:iCs/>
        </w:rPr>
      </w:pPr>
      <w:r>
        <w:rPr>
          <w:i/>
          <w:iCs/>
        </w:rPr>
        <w:t>Exclusions</w:t>
      </w:r>
    </w:p>
    <w:p w14:paraId="4EA3A793" w14:textId="78769063" w:rsidR="00230F7D" w:rsidRDefault="0036553F" w:rsidP="00230F7D">
      <w:pPr>
        <w:pStyle w:val="LI-BodyTextParaa"/>
        <w:ind w:left="567"/>
      </w:pPr>
      <w:r>
        <w:t>21</w:t>
      </w:r>
      <w:r w:rsidR="00230F7D">
        <w:t>.</w:t>
      </w:r>
      <w:r w:rsidR="00230F7D">
        <w:tab/>
      </w:r>
      <w:r w:rsidR="00230F7D" w:rsidRPr="00B97A7C">
        <w:t>The exemption</w:t>
      </w:r>
      <w:r w:rsidR="00230F7D">
        <w:t>s in s</w:t>
      </w:r>
      <w:r w:rsidR="00990831">
        <w:t xml:space="preserve">ection </w:t>
      </w:r>
      <w:r w:rsidR="00230F7D">
        <w:t>8</w:t>
      </w:r>
      <w:r w:rsidR="00230F7D" w:rsidRPr="00B97A7C">
        <w:t xml:space="preserve"> </w:t>
      </w:r>
      <w:r w:rsidR="00230F7D">
        <w:t xml:space="preserve">of the instrument </w:t>
      </w:r>
      <w:r w:rsidR="00230F7D" w:rsidRPr="00B97A7C">
        <w:t xml:space="preserve">do not apply to </w:t>
      </w:r>
      <w:r w:rsidR="00230F7D">
        <w:t xml:space="preserve">a retail CCIV in relation to a sub-fund of the CCIV, </w:t>
      </w:r>
      <w:r w:rsidR="00230F7D" w:rsidRPr="00B97A7C">
        <w:t>small proprietary companies or small companies limited by guarantee that have received a direction from their members requesting financial reports</w:t>
      </w:r>
      <w:r w:rsidR="00230F7D">
        <w:t>: s</w:t>
      </w:r>
      <w:r w:rsidR="00990831">
        <w:t xml:space="preserve">ubsection </w:t>
      </w:r>
      <w:r w:rsidR="00230F7D">
        <w:t>8(5)</w:t>
      </w:r>
      <w:r w:rsidR="00134533">
        <w:t xml:space="preserve"> of the instrument</w:t>
      </w:r>
      <w:r w:rsidR="00230F7D" w:rsidRPr="00B97A7C">
        <w:t xml:space="preserve">. </w:t>
      </w:r>
    </w:p>
    <w:p w14:paraId="77609681" w14:textId="54C73B73" w:rsidR="00230F7D" w:rsidRDefault="0036553F" w:rsidP="00230F7D">
      <w:pPr>
        <w:pStyle w:val="LI-BodyTextParaa"/>
        <w:ind w:left="567"/>
      </w:pPr>
      <w:r>
        <w:t>22</w:t>
      </w:r>
      <w:r w:rsidR="00230F7D">
        <w:t>.</w:t>
      </w:r>
      <w:r w:rsidR="00230F7D">
        <w:tab/>
        <w:t xml:space="preserve">The exemptions also not </w:t>
      </w:r>
      <w:r w:rsidR="00230F7D" w:rsidRPr="00B97A7C">
        <w:t>apply where</w:t>
      </w:r>
      <w:r w:rsidR="00230F7D">
        <w:t>:</w:t>
      </w:r>
    </w:p>
    <w:p w14:paraId="4F7AC67A" w14:textId="1CC4FD14" w:rsidR="00230F7D" w:rsidRDefault="00230F7D" w:rsidP="00230F7D">
      <w:pPr>
        <w:pStyle w:val="LI-BodyTextParaa"/>
        <w:ind w:left="1134"/>
      </w:pPr>
      <w:r>
        <w:t>(a)</w:t>
      </w:r>
      <w:r>
        <w:tab/>
      </w:r>
      <w:r w:rsidRPr="00B97A7C">
        <w:t>ASIC has issued a direction to a company</w:t>
      </w:r>
      <w:r>
        <w:t xml:space="preserve"> under </w:t>
      </w:r>
      <w:r w:rsidR="00990831">
        <w:t xml:space="preserve">section </w:t>
      </w:r>
      <w:r>
        <w:t>321 of the Act</w:t>
      </w:r>
      <w:r w:rsidRPr="00B97A7C">
        <w:t xml:space="preserve"> requiring the company to lodge a financial report</w:t>
      </w:r>
      <w:r>
        <w:t>; or</w:t>
      </w:r>
    </w:p>
    <w:p w14:paraId="341D1AA6" w14:textId="77777777" w:rsidR="00230F7D" w:rsidRDefault="00230F7D" w:rsidP="00230F7D">
      <w:pPr>
        <w:pStyle w:val="LI-BodyTextParaa"/>
        <w:ind w:left="1134"/>
      </w:pPr>
      <w:r>
        <w:t>(b)</w:t>
      </w:r>
      <w:r>
        <w:tab/>
      </w:r>
      <w:r w:rsidRPr="004269FF">
        <w:t>ASIC has given</w:t>
      </w:r>
      <w:r>
        <w:t xml:space="preserve"> </w:t>
      </w:r>
      <w:r w:rsidRPr="004269FF">
        <w:t>the company a notice stating that the company is excluded from relying on the deferral relief </w:t>
      </w:r>
      <w:r>
        <w:t xml:space="preserve">in subsection 8(1) and 8(2) of the principal instrument </w:t>
      </w:r>
      <w:r w:rsidRPr="004269FF">
        <w:t>and ASIC has not withdrawn the notice. </w:t>
      </w:r>
    </w:p>
    <w:p w14:paraId="03CC2180" w14:textId="06AE5DE0" w:rsidR="00880B51" w:rsidRPr="00B74696" w:rsidRDefault="00880B51" w:rsidP="000B1D9F">
      <w:pPr>
        <w:pStyle w:val="LI-BodyTextParaa"/>
        <w:tabs>
          <w:tab w:val="left" w:pos="1276"/>
        </w:tabs>
        <w:ind w:left="0" w:firstLine="0"/>
        <w:rPr>
          <w:b/>
          <w:bCs/>
          <w:i/>
          <w:iCs/>
        </w:rPr>
      </w:pPr>
      <w:r w:rsidRPr="035F4EEF">
        <w:rPr>
          <w:b/>
          <w:bCs/>
          <w:i/>
          <w:iCs/>
        </w:rPr>
        <w:t xml:space="preserve">Section </w:t>
      </w:r>
      <w:r>
        <w:rPr>
          <w:b/>
          <w:bCs/>
          <w:i/>
          <w:iCs/>
        </w:rPr>
        <w:t>9</w:t>
      </w:r>
      <w:r w:rsidR="000B1D9F">
        <w:rPr>
          <w:b/>
          <w:bCs/>
          <w:i/>
          <w:iCs/>
        </w:rPr>
        <w:tab/>
      </w:r>
      <w:r w:rsidRPr="00B74696">
        <w:rPr>
          <w:b/>
          <w:bCs/>
          <w:i/>
          <w:iCs/>
        </w:rPr>
        <w:t>Public companies under external administration: AGMs</w:t>
      </w:r>
    </w:p>
    <w:p w14:paraId="492DE3EC" w14:textId="7AC862E7" w:rsidR="00880B51" w:rsidRDefault="0036553F" w:rsidP="00880B51">
      <w:pPr>
        <w:pStyle w:val="LI-BodyTextParaa"/>
        <w:keepNext/>
        <w:keepLines/>
        <w:ind w:left="567"/>
      </w:pPr>
      <w:r>
        <w:t>23</w:t>
      </w:r>
      <w:r w:rsidR="00880B51">
        <w:t>.</w:t>
      </w:r>
      <w:r w:rsidR="00880B51">
        <w:tab/>
      </w:r>
      <w:r w:rsidR="00880B51" w:rsidRPr="00B97A7C">
        <w:t>S</w:t>
      </w:r>
      <w:r w:rsidR="00B7651A">
        <w:t>ubs</w:t>
      </w:r>
      <w:r w:rsidR="00880B51" w:rsidRPr="00B97A7C">
        <w:t xml:space="preserve">ection </w:t>
      </w:r>
      <w:r w:rsidR="00880B51">
        <w:t>9</w:t>
      </w:r>
      <w:r w:rsidR="00B7651A">
        <w:t>(1)</w:t>
      </w:r>
      <w:r w:rsidR="00880B51">
        <w:t xml:space="preserve"> of the instrument exempts p</w:t>
      </w:r>
      <w:r w:rsidR="00880B51" w:rsidRPr="00AB3F52">
        <w:t>ublic companies</w:t>
      </w:r>
      <w:r w:rsidR="00880B51">
        <w:t xml:space="preserve"> </w:t>
      </w:r>
      <w:r w:rsidR="00880B51" w:rsidRPr="00AB3F52">
        <w:t>that are</w:t>
      </w:r>
      <w:r w:rsidR="00880B51">
        <w:t xml:space="preserve"> </w:t>
      </w:r>
      <w:r w:rsidR="00880B51" w:rsidRPr="00AB3F52">
        <w:t>relying on the</w:t>
      </w:r>
      <w:r w:rsidR="00880B51">
        <w:t xml:space="preserve"> </w:t>
      </w:r>
      <w:r w:rsidR="00880B51" w:rsidRPr="00AB3F52">
        <w:t>deferral relief</w:t>
      </w:r>
      <w:r w:rsidR="00880B51">
        <w:t xml:space="preserve"> </w:t>
      </w:r>
      <w:r w:rsidR="00880B51" w:rsidRPr="00AB3F52">
        <w:t>in</w:t>
      </w:r>
      <w:r w:rsidR="00880B51">
        <w:t xml:space="preserve"> </w:t>
      </w:r>
      <w:r w:rsidR="00880B51" w:rsidRPr="00AB3F52">
        <w:t>s</w:t>
      </w:r>
      <w:r w:rsidR="00990831">
        <w:t>ubsection</w:t>
      </w:r>
      <w:r w:rsidR="00B47654">
        <w:t>s</w:t>
      </w:r>
      <w:r w:rsidR="00990831">
        <w:t xml:space="preserve"> </w:t>
      </w:r>
      <w:r w:rsidR="00B7651A">
        <w:t>8</w:t>
      </w:r>
      <w:r w:rsidR="00880B51" w:rsidRPr="00AB3F52">
        <w:t xml:space="preserve">(1) or </w:t>
      </w:r>
      <w:r w:rsidR="00B7651A">
        <w:t>8</w:t>
      </w:r>
      <w:r w:rsidR="00880B51" w:rsidRPr="00AB3F52">
        <w:t>(2) of</w:t>
      </w:r>
      <w:r w:rsidR="00880B51">
        <w:t xml:space="preserve"> the </w:t>
      </w:r>
      <w:r w:rsidR="00880B51" w:rsidRPr="00AB3F52">
        <w:t>instrument</w:t>
      </w:r>
      <w:r w:rsidR="00880B51">
        <w:t xml:space="preserve"> </w:t>
      </w:r>
      <w:r w:rsidR="00880B51" w:rsidRPr="00AB3F52">
        <w:t>from the obligation</w:t>
      </w:r>
      <w:r w:rsidR="00880B51">
        <w:t xml:space="preserve"> </w:t>
      </w:r>
      <w:r w:rsidR="00880B51" w:rsidRPr="00AB3F52">
        <w:t>under s</w:t>
      </w:r>
      <w:r w:rsidR="00B47654">
        <w:t xml:space="preserve">ection </w:t>
      </w:r>
      <w:r w:rsidR="00880B51" w:rsidRPr="00AB3F52">
        <w:t>250N of the Act</w:t>
      </w:r>
      <w:r w:rsidR="00880B51">
        <w:t xml:space="preserve"> </w:t>
      </w:r>
      <w:r w:rsidR="00880B51" w:rsidRPr="00AB3F52">
        <w:t>to</w:t>
      </w:r>
      <w:r w:rsidR="00880B51">
        <w:t xml:space="preserve"> </w:t>
      </w:r>
      <w:r w:rsidR="00880B51" w:rsidRPr="00AB3F52">
        <w:t>hold</w:t>
      </w:r>
      <w:r w:rsidR="00880B51">
        <w:t xml:space="preserve"> </w:t>
      </w:r>
      <w:r w:rsidR="00880B51" w:rsidRPr="00AB3F52">
        <w:t>an</w:t>
      </w:r>
      <w:r w:rsidR="00880B51">
        <w:t xml:space="preserve"> </w:t>
      </w:r>
      <w:r w:rsidR="00880B51" w:rsidRPr="00AB3F52">
        <w:t>AGM,</w:t>
      </w:r>
      <w:r w:rsidR="00880B51">
        <w:t xml:space="preserve"> </w:t>
      </w:r>
      <w:r w:rsidR="00880B51" w:rsidRPr="00AB3F52">
        <w:t>or</w:t>
      </w:r>
      <w:r w:rsidR="00880B51">
        <w:t xml:space="preserve"> </w:t>
      </w:r>
      <w:r w:rsidR="00880B51" w:rsidRPr="00AB3F52">
        <w:t>any continuing obligation</w:t>
      </w:r>
      <w:r w:rsidR="00880B51">
        <w:t xml:space="preserve"> </w:t>
      </w:r>
      <w:r w:rsidR="00880B51" w:rsidRPr="00AB3F52">
        <w:t>on the</w:t>
      </w:r>
      <w:r w:rsidR="00880B51">
        <w:t xml:space="preserve"> </w:t>
      </w:r>
      <w:r w:rsidR="00880B51" w:rsidRPr="00AB3F52">
        <w:t>company</w:t>
      </w:r>
      <w:r w:rsidR="00880B51">
        <w:t xml:space="preserve"> </w:t>
      </w:r>
      <w:r w:rsidR="00880B51" w:rsidRPr="00AB3F52">
        <w:t>to hold an AGM</w:t>
      </w:r>
      <w:r w:rsidR="00880B51">
        <w:t xml:space="preserve"> </w:t>
      </w:r>
      <w:r w:rsidR="00880B51" w:rsidRPr="00AB3F52">
        <w:t>that</w:t>
      </w:r>
      <w:r w:rsidR="00880B51">
        <w:t xml:space="preserve"> </w:t>
      </w:r>
      <w:r w:rsidR="00880B51" w:rsidRPr="00AB3F52">
        <w:t>the</w:t>
      </w:r>
      <w:r w:rsidR="00880B51">
        <w:t xml:space="preserve"> </w:t>
      </w:r>
      <w:r w:rsidR="00880B51" w:rsidRPr="00AB3F52">
        <w:t>company</w:t>
      </w:r>
      <w:r w:rsidR="00880B51">
        <w:t xml:space="preserve"> </w:t>
      </w:r>
      <w:r w:rsidR="00880B51" w:rsidRPr="00AB3F52">
        <w:t xml:space="preserve">had not complied with </w:t>
      </w:r>
      <w:r w:rsidR="00880B51">
        <w:t xml:space="preserve">before </w:t>
      </w:r>
      <w:r w:rsidR="00880B51" w:rsidRPr="00AB3F52">
        <w:t>the appointment of</w:t>
      </w:r>
      <w:r w:rsidR="00880B51">
        <w:t xml:space="preserve"> </w:t>
      </w:r>
      <w:r w:rsidR="00880B51" w:rsidRPr="00AB3F52">
        <w:t>the</w:t>
      </w:r>
      <w:r w:rsidR="00880B51">
        <w:t xml:space="preserve"> </w:t>
      </w:r>
      <w:r w:rsidR="00880B51" w:rsidRPr="00AB3F52">
        <w:t>relevant external administrator,</w:t>
      </w:r>
      <w:r w:rsidR="00880B51">
        <w:t xml:space="preserve"> </w:t>
      </w:r>
      <w:r w:rsidR="00880B51" w:rsidRPr="00AB3F52">
        <w:t>until the end of</w:t>
      </w:r>
      <w:r w:rsidR="00880B51">
        <w:t xml:space="preserve"> </w:t>
      </w:r>
      <w:r w:rsidR="00880B51" w:rsidRPr="00AB3F52">
        <w:t>the</w:t>
      </w:r>
      <w:r w:rsidR="00880B51">
        <w:t xml:space="preserve"> </w:t>
      </w:r>
      <w:r w:rsidR="00880B51" w:rsidRPr="00AB3F52">
        <w:t>deferral</w:t>
      </w:r>
      <w:r w:rsidR="00880B51">
        <w:t xml:space="preserve"> </w:t>
      </w:r>
      <w:r w:rsidR="00880B51" w:rsidRPr="00AB3F52">
        <w:t>period.</w:t>
      </w:r>
    </w:p>
    <w:p w14:paraId="008DA5F6" w14:textId="1EF16B47" w:rsidR="00880B51" w:rsidRDefault="0036553F" w:rsidP="00880B51">
      <w:pPr>
        <w:pStyle w:val="LI-BodyTextParaa"/>
        <w:ind w:left="567"/>
      </w:pPr>
      <w:r>
        <w:t>24</w:t>
      </w:r>
      <w:r w:rsidR="00880B51">
        <w:t>.</w:t>
      </w:r>
      <w:r w:rsidR="00880B51">
        <w:tab/>
      </w:r>
      <w:r w:rsidR="00880B51" w:rsidRPr="00AB3F52">
        <w:t>A</w:t>
      </w:r>
      <w:r w:rsidR="00880B51">
        <w:t xml:space="preserve"> </w:t>
      </w:r>
      <w:r w:rsidR="00880B51" w:rsidRPr="00AB3F52">
        <w:t>company</w:t>
      </w:r>
      <w:r w:rsidR="00880B51">
        <w:t xml:space="preserve"> </w:t>
      </w:r>
      <w:r w:rsidR="00880B51" w:rsidRPr="00AB3F52">
        <w:t>relying</w:t>
      </w:r>
      <w:r w:rsidR="00880B51">
        <w:t xml:space="preserve"> </w:t>
      </w:r>
      <w:r w:rsidR="00880B51" w:rsidRPr="00AB3F52">
        <w:t>on</w:t>
      </w:r>
      <w:r w:rsidR="00880B51">
        <w:t xml:space="preserve"> </w:t>
      </w:r>
      <w:r w:rsidR="00880B51" w:rsidRPr="00AB3F52">
        <w:t>the</w:t>
      </w:r>
      <w:r w:rsidR="00880B51">
        <w:t xml:space="preserve"> </w:t>
      </w:r>
      <w:r w:rsidR="00880B51" w:rsidRPr="00AB3F52">
        <w:t>AGM deferral</w:t>
      </w:r>
      <w:r w:rsidR="00880B51">
        <w:t xml:space="preserve"> </w:t>
      </w:r>
      <w:r w:rsidR="00880B51" w:rsidRPr="00AB3F52">
        <w:t>relief</w:t>
      </w:r>
      <w:r w:rsidR="00880B51">
        <w:t xml:space="preserve"> </w:t>
      </w:r>
      <w:r w:rsidR="00880B51" w:rsidRPr="00AB3F52">
        <w:t>must:</w:t>
      </w:r>
    </w:p>
    <w:p w14:paraId="55247DF2" w14:textId="77777777" w:rsidR="00880B51" w:rsidRDefault="00880B51" w:rsidP="00880B51">
      <w:pPr>
        <w:pStyle w:val="LI-BodyTextParaa"/>
        <w:ind w:left="1134"/>
      </w:pPr>
      <w:r>
        <w:t>(a)</w:t>
      </w:r>
      <w:r>
        <w:tab/>
      </w:r>
      <w:r w:rsidRPr="00AB3F52">
        <w:t>hold</w:t>
      </w:r>
      <w:r>
        <w:t xml:space="preserve"> </w:t>
      </w:r>
      <w:r w:rsidRPr="00AB3F52">
        <w:t>an</w:t>
      </w:r>
      <w:r>
        <w:t xml:space="preserve"> </w:t>
      </w:r>
      <w:r w:rsidRPr="00AB3F52">
        <w:t>AGM within</w:t>
      </w:r>
      <w:r>
        <w:t xml:space="preserve"> </w:t>
      </w:r>
      <w:r w:rsidRPr="00AB3F52">
        <w:t>two months after the end</w:t>
      </w:r>
      <w:r>
        <w:t xml:space="preserve"> </w:t>
      </w:r>
      <w:r w:rsidRPr="00AB3F52">
        <w:t>of the</w:t>
      </w:r>
      <w:r>
        <w:t xml:space="preserve"> </w:t>
      </w:r>
      <w:r w:rsidRPr="00AB3F52">
        <w:t>deferral</w:t>
      </w:r>
      <w:r>
        <w:t xml:space="preserve"> </w:t>
      </w:r>
      <w:r w:rsidRPr="00AB3F52">
        <w:t>period,</w:t>
      </w:r>
      <w:r>
        <w:t xml:space="preserve"> </w:t>
      </w:r>
      <w:r w:rsidRPr="00AB3F52">
        <w:t>and</w:t>
      </w:r>
      <w:r>
        <w:t xml:space="preserve"> </w:t>
      </w:r>
      <w:r w:rsidRPr="00AB3F52">
        <w:t>lay before that</w:t>
      </w:r>
      <w:r>
        <w:t xml:space="preserve"> </w:t>
      </w:r>
      <w:r w:rsidRPr="00AB3F52">
        <w:t>AGM all</w:t>
      </w:r>
      <w:r>
        <w:t xml:space="preserve"> </w:t>
      </w:r>
      <w:r w:rsidRPr="00AB3F52">
        <w:t>the</w:t>
      </w:r>
      <w:r>
        <w:t xml:space="preserve"> </w:t>
      </w:r>
      <w:r w:rsidRPr="00AB3F52">
        <w:t xml:space="preserve">deferred financial </w:t>
      </w:r>
      <w:proofErr w:type="gramStart"/>
      <w:r w:rsidRPr="00AB3F52">
        <w:t>reports;</w:t>
      </w:r>
      <w:proofErr w:type="gramEnd"/>
    </w:p>
    <w:p w14:paraId="740093DD" w14:textId="77777777" w:rsidR="00880B51" w:rsidRDefault="00880B51" w:rsidP="00880B51">
      <w:pPr>
        <w:pStyle w:val="LI-BodyTextParaa"/>
        <w:ind w:left="1134"/>
      </w:pPr>
      <w:r w:rsidRPr="00F46947">
        <w:t>(b)</w:t>
      </w:r>
      <w:r w:rsidRPr="00F46947">
        <w:tab/>
      </w:r>
      <w:r w:rsidRPr="00AB3F52">
        <w:t>before the end of the period</w:t>
      </w:r>
      <w:r>
        <w:t xml:space="preserve"> </w:t>
      </w:r>
      <w:r w:rsidRPr="00AB3F52">
        <w:t>within which</w:t>
      </w:r>
      <w:r>
        <w:t xml:space="preserve"> </w:t>
      </w:r>
      <w:r w:rsidRPr="00AB3F52">
        <w:t>the</w:t>
      </w:r>
      <w:r>
        <w:t xml:space="preserve"> </w:t>
      </w:r>
      <w:r w:rsidRPr="00AB3F52">
        <w:t>company</w:t>
      </w:r>
      <w:r>
        <w:t xml:space="preserve"> </w:t>
      </w:r>
      <w:r w:rsidRPr="00AB3F52">
        <w:t>would otherwise be</w:t>
      </w:r>
      <w:r>
        <w:t xml:space="preserve"> </w:t>
      </w:r>
      <w:r w:rsidRPr="00AB3F52">
        <w:t>required</w:t>
      </w:r>
      <w:r>
        <w:t xml:space="preserve"> </w:t>
      </w:r>
      <w:r w:rsidRPr="00AB3F52">
        <w:t>to hold its next AGM</w:t>
      </w:r>
      <w:r>
        <w:t xml:space="preserve"> </w:t>
      </w:r>
      <w:r w:rsidRPr="00AB3F52">
        <w:t>after the start of the</w:t>
      </w:r>
      <w:r>
        <w:t xml:space="preserve"> </w:t>
      </w:r>
      <w:r w:rsidRPr="00AB3F52">
        <w:t>deferral period,</w:t>
      </w:r>
      <w:r>
        <w:t xml:space="preserve"> </w:t>
      </w:r>
      <w:r w:rsidRPr="00AB3F52">
        <w:t>but</w:t>
      </w:r>
      <w:r>
        <w:t xml:space="preserve"> </w:t>
      </w:r>
      <w:r w:rsidRPr="00AB3F52">
        <w:t>for</w:t>
      </w:r>
      <w:r>
        <w:t xml:space="preserve"> </w:t>
      </w:r>
      <w:r w:rsidRPr="00AB3F52">
        <w:t>the</w:t>
      </w:r>
      <w:r>
        <w:t xml:space="preserve"> </w:t>
      </w:r>
      <w:r w:rsidRPr="00AB3F52">
        <w:t>AGM deferral relief,</w:t>
      </w:r>
      <w:r>
        <w:t xml:space="preserve"> </w:t>
      </w:r>
      <w:r w:rsidRPr="00AB3F52">
        <w:t>arrange</w:t>
      </w:r>
      <w:r>
        <w:t xml:space="preserve"> </w:t>
      </w:r>
      <w:r w:rsidRPr="00AB3F52">
        <w:t>for</w:t>
      </w:r>
      <w:r>
        <w:t xml:space="preserve"> </w:t>
      </w:r>
      <w:r w:rsidRPr="00AB3F52">
        <w:t>a notice of the company’s intention to rely on</w:t>
      </w:r>
      <w:r>
        <w:t xml:space="preserve"> the deferral relief </w:t>
      </w:r>
      <w:r w:rsidRPr="00AB3F52">
        <w:t>to be published:</w:t>
      </w:r>
    </w:p>
    <w:p w14:paraId="5535809E" w14:textId="77777777" w:rsidR="00880B51" w:rsidRPr="006F5058" w:rsidRDefault="00880B51" w:rsidP="00880B51">
      <w:pPr>
        <w:pStyle w:val="LI-BodyTextParaa"/>
        <w:tabs>
          <w:tab w:val="left" w:pos="1560"/>
        </w:tabs>
        <w:ind w:left="1560" w:hanging="426"/>
      </w:pPr>
      <w:r w:rsidRPr="006F5058">
        <w:lastRenderedPageBreak/>
        <w:t>(</w:t>
      </w:r>
      <w:proofErr w:type="spellStart"/>
      <w:r w:rsidRPr="006F5058">
        <w:t>i</w:t>
      </w:r>
      <w:proofErr w:type="spellEnd"/>
      <w:r w:rsidRPr="006F5058">
        <w:t>)</w:t>
      </w:r>
      <w:r>
        <w:tab/>
      </w:r>
      <w:r w:rsidRPr="00AB3F52">
        <w:t>in</w:t>
      </w:r>
      <w:r>
        <w:t xml:space="preserve"> </w:t>
      </w:r>
      <w:r w:rsidRPr="00AB3F52">
        <w:t>a</w:t>
      </w:r>
      <w:r>
        <w:t xml:space="preserve"> </w:t>
      </w:r>
      <w:r w:rsidRPr="00AB3F52">
        <w:t>prominent</w:t>
      </w:r>
      <w:r>
        <w:t xml:space="preserve"> </w:t>
      </w:r>
      <w:r w:rsidRPr="00AB3F52">
        <w:t>place</w:t>
      </w:r>
      <w:r>
        <w:t xml:space="preserve"> </w:t>
      </w:r>
      <w:r w:rsidRPr="00AB3F52">
        <w:t>on the</w:t>
      </w:r>
      <w:r>
        <w:t xml:space="preserve"> </w:t>
      </w:r>
      <w:r w:rsidRPr="00AB3F52">
        <w:t>company’s</w:t>
      </w:r>
      <w:r>
        <w:t xml:space="preserve"> </w:t>
      </w:r>
      <w:r w:rsidRPr="00AB3F52">
        <w:t>website</w:t>
      </w:r>
      <w:r>
        <w:t xml:space="preserve"> </w:t>
      </w:r>
      <w:r w:rsidRPr="00AB3F52">
        <w:t>(if any</w:t>
      </w:r>
      <w:proofErr w:type="gramStart"/>
      <w:r w:rsidRPr="00AB3F52">
        <w:t>);</w:t>
      </w:r>
      <w:proofErr w:type="gramEnd"/>
    </w:p>
    <w:p w14:paraId="009406A4" w14:textId="77777777" w:rsidR="00880B51" w:rsidRDefault="00880B51" w:rsidP="00880B51">
      <w:pPr>
        <w:pStyle w:val="LI-BodyTextParaa"/>
        <w:tabs>
          <w:tab w:val="left" w:pos="1560"/>
        </w:tabs>
        <w:ind w:left="1560" w:hanging="426"/>
      </w:pPr>
      <w:r w:rsidRPr="006F5058">
        <w:t>(ii)</w:t>
      </w:r>
      <w:r>
        <w:tab/>
      </w:r>
      <w:r w:rsidRPr="00AB3F52">
        <w:t>in a place that is readily accessible on</w:t>
      </w:r>
      <w:r>
        <w:t xml:space="preserve"> a </w:t>
      </w:r>
      <w:r w:rsidRPr="00AB3F52">
        <w:t>website</w:t>
      </w:r>
      <w:r>
        <w:t xml:space="preserve"> </w:t>
      </w:r>
      <w:r w:rsidRPr="00AB3F52">
        <w:t>(if</w:t>
      </w:r>
      <w:r>
        <w:t xml:space="preserve"> </w:t>
      </w:r>
      <w:r w:rsidRPr="00AB3F52">
        <w:t>any)</w:t>
      </w:r>
      <w:r>
        <w:t xml:space="preserve"> </w:t>
      </w:r>
      <w:r w:rsidRPr="00AB3F52">
        <w:t>maintained</w:t>
      </w:r>
      <w:r>
        <w:t xml:space="preserve"> </w:t>
      </w:r>
      <w:r w:rsidRPr="00AB3F52">
        <w:t>by the</w:t>
      </w:r>
      <w:r>
        <w:t xml:space="preserve"> </w:t>
      </w:r>
      <w:r w:rsidRPr="00AB3F52">
        <w:t>relevant</w:t>
      </w:r>
      <w:r>
        <w:t xml:space="preserve"> </w:t>
      </w:r>
      <w:r w:rsidRPr="00AB3F52">
        <w:t>external</w:t>
      </w:r>
      <w:r>
        <w:t xml:space="preserve"> </w:t>
      </w:r>
      <w:r w:rsidRPr="00AB3F52">
        <w:t>administrator</w:t>
      </w:r>
      <w:r>
        <w:t xml:space="preserve"> </w:t>
      </w:r>
      <w:r w:rsidRPr="00AB3F52">
        <w:t>or any external administrator appointed after the relevant external administrator;</w:t>
      </w:r>
      <w:r>
        <w:t xml:space="preserve"> </w:t>
      </w:r>
      <w:r w:rsidRPr="00AB3F52">
        <w:t xml:space="preserve">and </w:t>
      </w:r>
    </w:p>
    <w:p w14:paraId="49CF81DE" w14:textId="77777777" w:rsidR="00880B51" w:rsidRPr="006F5058" w:rsidRDefault="00880B51" w:rsidP="00880B51">
      <w:pPr>
        <w:pStyle w:val="LI-BodyTextParaa"/>
        <w:tabs>
          <w:tab w:val="left" w:pos="1560"/>
        </w:tabs>
        <w:ind w:left="1560" w:hanging="426"/>
      </w:pPr>
      <w:r w:rsidRPr="006F5058">
        <w:t>(iii)</w:t>
      </w:r>
      <w:r>
        <w:tab/>
      </w:r>
      <w:r w:rsidRPr="00AB3F52">
        <w:t>if the company is</w:t>
      </w:r>
      <w:r>
        <w:t xml:space="preserve"> </w:t>
      </w:r>
      <w:r w:rsidRPr="00AB3F52">
        <w:t>listed—on</w:t>
      </w:r>
      <w:r>
        <w:t xml:space="preserve"> </w:t>
      </w:r>
      <w:r w:rsidRPr="00AB3F52">
        <w:t>a website</w:t>
      </w:r>
      <w:r>
        <w:t xml:space="preserve"> </w:t>
      </w:r>
      <w:r w:rsidRPr="00AB3F52">
        <w:t>maintained by the</w:t>
      </w:r>
      <w:r>
        <w:t xml:space="preserve"> </w:t>
      </w:r>
      <w:r w:rsidRPr="00AB3F52">
        <w:t>financial</w:t>
      </w:r>
      <w:r>
        <w:t xml:space="preserve"> </w:t>
      </w:r>
      <w:r w:rsidRPr="00AB3F52">
        <w:t>market operator;</w:t>
      </w:r>
      <w:r>
        <w:t xml:space="preserve"> </w:t>
      </w:r>
      <w:r w:rsidRPr="00AB3F52">
        <w:t>and</w:t>
      </w:r>
    </w:p>
    <w:p w14:paraId="38B5F5A5" w14:textId="77777777" w:rsidR="00880B51" w:rsidRPr="00CE18B6" w:rsidRDefault="00880B51" w:rsidP="00880B51">
      <w:pPr>
        <w:pStyle w:val="LI-BodyTextParaa"/>
        <w:ind w:left="1134"/>
        <w:rPr>
          <w:iCs/>
        </w:rPr>
      </w:pPr>
      <w:r w:rsidRPr="00610709">
        <w:t>(</w:t>
      </w:r>
      <w:r>
        <w:t>c</w:t>
      </w:r>
      <w:r w:rsidRPr="00610709">
        <w:t>)</w:t>
      </w:r>
      <w:r w:rsidRPr="00610709">
        <w:tab/>
      </w:r>
      <w:r w:rsidRPr="00AB3F52">
        <w:t>have adequate arrangements</w:t>
      </w:r>
      <w:r>
        <w:t xml:space="preserve"> </w:t>
      </w:r>
      <w:r w:rsidRPr="00AB3F52">
        <w:t>in place during the deferral</w:t>
      </w:r>
      <w:r>
        <w:t xml:space="preserve"> </w:t>
      </w:r>
      <w:r w:rsidRPr="00AB3F52">
        <w:t>period</w:t>
      </w:r>
      <w:r>
        <w:t xml:space="preserve"> </w:t>
      </w:r>
      <w:r w:rsidRPr="00AB3F52">
        <w:t>to answer,</w:t>
      </w:r>
      <w:r>
        <w:t xml:space="preserve"> </w:t>
      </w:r>
      <w:r w:rsidRPr="00AB3F52">
        <w:t>within</w:t>
      </w:r>
      <w:r>
        <w:t xml:space="preserve"> </w:t>
      </w:r>
      <w:r w:rsidRPr="00AB3F52">
        <w:t>a</w:t>
      </w:r>
      <w:r>
        <w:t xml:space="preserve"> </w:t>
      </w:r>
      <w:r w:rsidRPr="00AB3F52">
        <w:t xml:space="preserve">reasonable </w:t>
      </w:r>
      <w:proofErr w:type="gramStart"/>
      <w:r w:rsidRPr="00AB3F52">
        <w:t>period of time</w:t>
      </w:r>
      <w:proofErr w:type="gramEnd"/>
      <w:r w:rsidRPr="00AB3F52">
        <w:t xml:space="preserve"> and</w:t>
      </w:r>
      <w:r>
        <w:t xml:space="preserve"> </w:t>
      </w:r>
      <w:r w:rsidRPr="00AB3F52">
        <w:t>without charge, any reasonable questions</w:t>
      </w:r>
      <w:r>
        <w:t xml:space="preserve"> </w:t>
      </w:r>
      <w:r w:rsidRPr="00AB3F52">
        <w:t>asked by a member of the company about</w:t>
      </w:r>
      <w:r>
        <w:t xml:space="preserve"> </w:t>
      </w:r>
      <w:r w:rsidRPr="00AB3F52">
        <w:t>its</w:t>
      </w:r>
      <w:r>
        <w:t xml:space="preserve"> </w:t>
      </w:r>
      <w:r w:rsidRPr="00AB3F52">
        <w:t>external</w:t>
      </w:r>
      <w:r>
        <w:t xml:space="preserve"> </w:t>
      </w:r>
      <w:r w:rsidRPr="00AB3F52">
        <w:t>administration and</w:t>
      </w:r>
      <w:r>
        <w:t xml:space="preserve"> </w:t>
      </w:r>
      <w:r w:rsidRPr="00AB3F52">
        <w:t>its obligations to</w:t>
      </w:r>
      <w:r>
        <w:t xml:space="preserve"> </w:t>
      </w:r>
      <w:r w:rsidRPr="00AB3F52">
        <w:t>hold</w:t>
      </w:r>
      <w:r>
        <w:t xml:space="preserve"> </w:t>
      </w:r>
      <w:r w:rsidRPr="00AB3F52">
        <w:t>any</w:t>
      </w:r>
      <w:r>
        <w:t xml:space="preserve"> </w:t>
      </w:r>
      <w:r w:rsidRPr="00AB3F52">
        <w:t>deferred AGM.</w:t>
      </w:r>
    </w:p>
    <w:p w14:paraId="379D91A2" w14:textId="0FBD81FA" w:rsidR="00880B51" w:rsidRDefault="0036553F" w:rsidP="00880B51">
      <w:pPr>
        <w:pStyle w:val="LI-BodyTextParaa"/>
        <w:ind w:left="567"/>
      </w:pPr>
      <w:r>
        <w:t>25</w:t>
      </w:r>
      <w:r w:rsidR="00880B51">
        <w:t>.</w:t>
      </w:r>
      <w:r w:rsidR="00880B51">
        <w:tab/>
      </w:r>
      <w:r w:rsidR="00880B51" w:rsidRPr="00AB3F52">
        <w:t>The AGM deferral relief</w:t>
      </w:r>
      <w:r w:rsidR="00880B51">
        <w:t xml:space="preserve"> </w:t>
      </w:r>
      <w:r w:rsidR="00880B51" w:rsidRPr="00AB3F52">
        <w:t>in s</w:t>
      </w:r>
      <w:r w:rsidR="00B47654">
        <w:t xml:space="preserve">ubsection </w:t>
      </w:r>
      <w:r w:rsidR="0096023A">
        <w:t>9</w:t>
      </w:r>
      <w:r w:rsidR="00FB4891">
        <w:t>(1)</w:t>
      </w:r>
      <w:r w:rsidR="0096023A">
        <w:t xml:space="preserve"> of the instrument</w:t>
      </w:r>
      <w:r w:rsidR="00880B51">
        <w:t xml:space="preserve"> </w:t>
      </w:r>
      <w:r w:rsidR="00880B51" w:rsidRPr="00AB3F52">
        <w:t>does not apply where ASIC</w:t>
      </w:r>
      <w:r w:rsidR="00880B51">
        <w:t xml:space="preserve"> </w:t>
      </w:r>
      <w:r w:rsidR="00880B51" w:rsidRPr="00AB3F52">
        <w:t>has given the</w:t>
      </w:r>
      <w:r w:rsidR="00880B51">
        <w:t xml:space="preserve"> </w:t>
      </w:r>
      <w:r w:rsidR="00880B51" w:rsidRPr="00AB3F52">
        <w:t>company</w:t>
      </w:r>
      <w:r w:rsidR="00880B51">
        <w:t xml:space="preserve"> </w:t>
      </w:r>
      <w:r w:rsidR="00880B51" w:rsidRPr="00AB3F52">
        <w:t>a</w:t>
      </w:r>
      <w:r w:rsidR="00880B51">
        <w:t xml:space="preserve"> </w:t>
      </w:r>
      <w:r w:rsidR="00880B51" w:rsidRPr="00AB3F52">
        <w:t>notice</w:t>
      </w:r>
      <w:r w:rsidR="00880B51">
        <w:t xml:space="preserve"> </w:t>
      </w:r>
      <w:r w:rsidR="00880B51" w:rsidRPr="00AB3F52">
        <w:t>stating that</w:t>
      </w:r>
      <w:r w:rsidR="00880B51">
        <w:t xml:space="preserve"> </w:t>
      </w:r>
      <w:r w:rsidR="00880B51" w:rsidRPr="00AB3F52">
        <w:t>the</w:t>
      </w:r>
      <w:r w:rsidR="00880B51">
        <w:t xml:space="preserve"> </w:t>
      </w:r>
      <w:r w:rsidR="00880B51" w:rsidRPr="00AB3F52">
        <w:t>company</w:t>
      </w:r>
      <w:r w:rsidR="00880B51">
        <w:t xml:space="preserve"> </w:t>
      </w:r>
      <w:r w:rsidR="00880B51" w:rsidRPr="00AB3F52">
        <w:t>is excluded from relying</w:t>
      </w:r>
      <w:r w:rsidR="00880B51">
        <w:t xml:space="preserve"> </w:t>
      </w:r>
      <w:r w:rsidR="00880B51" w:rsidRPr="00AB3F52">
        <w:t>on the</w:t>
      </w:r>
      <w:r w:rsidR="00880B51">
        <w:t xml:space="preserve"> </w:t>
      </w:r>
      <w:r w:rsidR="00880B51" w:rsidRPr="00AB3F52">
        <w:t>AGM</w:t>
      </w:r>
      <w:r w:rsidR="00880B51">
        <w:t xml:space="preserve"> </w:t>
      </w:r>
      <w:r w:rsidR="00880B51" w:rsidRPr="00AB3F52">
        <w:t>deferral</w:t>
      </w:r>
      <w:r w:rsidR="00880B51">
        <w:t xml:space="preserve"> </w:t>
      </w:r>
      <w:r w:rsidR="00880B51" w:rsidRPr="00AB3F52">
        <w:t>relief</w:t>
      </w:r>
      <w:r w:rsidR="00880B51">
        <w:t xml:space="preserve"> </w:t>
      </w:r>
      <w:r w:rsidR="00880B51" w:rsidRPr="00AB3F52">
        <w:t>and ASIC has not withdrawn the notice.</w:t>
      </w:r>
      <w:r w:rsidR="00880B51">
        <w:t xml:space="preserve"> </w:t>
      </w:r>
    </w:p>
    <w:p w14:paraId="0A0C91A5" w14:textId="74300628" w:rsidR="00B97A7C" w:rsidRPr="00B74696" w:rsidRDefault="00F922A4" w:rsidP="000B1D9F">
      <w:pPr>
        <w:pStyle w:val="LI-BodyTextParaa"/>
        <w:tabs>
          <w:tab w:val="left" w:pos="1276"/>
        </w:tabs>
        <w:ind w:left="0" w:firstLine="0"/>
        <w:rPr>
          <w:b/>
          <w:bCs/>
          <w:i/>
          <w:iCs/>
        </w:rPr>
      </w:pPr>
      <w:r w:rsidRPr="00B74696">
        <w:rPr>
          <w:b/>
          <w:bCs/>
          <w:i/>
          <w:iCs/>
        </w:rPr>
        <w:t xml:space="preserve">Section </w:t>
      </w:r>
      <w:r w:rsidR="00245672">
        <w:rPr>
          <w:b/>
          <w:bCs/>
          <w:i/>
          <w:iCs/>
        </w:rPr>
        <w:t>10</w:t>
      </w:r>
      <w:r w:rsidR="000B1D9F">
        <w:rPr>
          <w:b/>
          <w:bCs/>
          <w:i/>
          <w:iCs/>
        </w:rPr>
        <w:tab/>
      </w:r>
      <w:r w:rsidR="00F43CCF">
        <w:rPr>
          <w:b/>
          <w:bCs/>
          <w:i/>
          <w:iCs/>
        </w:rPr>
        <w:t>S</w:t>
      </w:r>
      <w:r w:rsidR="00B97A7C" w:rsidRPr="00B74696">
        <w:rPr>
          <w:b/>
          <w:bCs/>
          <w:i/>
          <w:iCs/>
        </w:rPr>
        <w:t>chemes being wound up</w:t>
      </w:r>
    </w:p>
    <w:p w14:paraId="408861DD" w14:textId="584060A1" w:rsidR="00B537FF" w:rsidRDefault="00B97A7C" w:rsidP="0030189E">
      <w:pPr>
        <w:pStyle w:val="LI-BodyTextParaa"/>
        <w:ind w:left="567"/>
      </w:pPr>
      <w:r>
        <w:t>2</w:t>
      </w:r>
      <w:r w:rsidR="0036553F">
        <w:t>6</w:t>
      </w:r>
      <w:r>
        <w:t>.</w:t>
      </w:r>
      <w:r>
        <w:tab/>
      </w:r>
      <w:r w:rsidRPr="00B97A7C">
        <w:t xml:space="preserve">Section </w:t>
      </w:r>
      <w:r w:rsidR="00245672">
        <w:t>10</w:t>
      </w:r>
      <w:r w:rsidRPr="00B97A7C">
        <w:t xml:space="preserve"> of</w:t>
      </w:r>
      <w:r w:rsidR="00245672">
        <w:t xml:space="preserve"> </w:t>
      </w:r>
      <w:r w:rsidRPr="00B97A7C">
        <w:t xml:space="preserve">the </w:t>
      </w:r>
      <w:r w:rsidR="009249C6">
        <w:t>i</w:t>
      </w:r>
      <w:r w:rsidRPr="00B97A7C">
        <w:t>nstrument</w:t>
      </w:r>
      <w:r w:rsidR="00245672">
        <w:t xml:space="preserve"> </w:t>
      </w:r>
      <w:r w:rsidRPr="00B97A7C">
        <w:t>exempts</w:t>
      </w:r>
      <w:r w:rsidR="001F5A06" w:rsidRPr="001F5A06">
        <w:t xml:space="preserve"> a responsible entity of a registered scheme which is being wound up</w:t>
      </w:r>
      <w:r w:rsidR="00245672">
        <w:t xml:space="preserve"> </w:t>
      </w:r>
      <w:r w:rsidRPr="00B97A7C">
        <w:t>from</w:t>
      </w:r>
      <w:r w:rsidR="00B537FF">
        <w:t>:</w:t>
      </w:r>
    </w:p>
    <w:p w14:paraId="0F832D62" w14:textId="495D782B" w:rsidR="00996A15" w:rsidRDefault="00996A15" w:rsidP="00B74696">
      <w:pPr>
        <w:pStyle w:val="LI-BodyTextParaa"/>
        <w:ind w:left="1134"/>
      </w:pPr>
      <w:r>
        <w:t>(a)</w:t>
      </w:r>
      <w:r>
        <w:tab/>
      </w:r>
      <w:r w:rsidR="00B97A7C" w:rsidRPr="00B97A7C">
        <w:t>all current and future financial reporting obligations under Part 2M.3,</w:t>
      </w:r>
    </w:p>
    <w:p w14:paraId="1C942114" w14:textId="785352AA" w:rsidR="00996A15" w:rsidRDefault="00996A15" w:rsidP="00B74696">
      <w:pPr>
        <w:pStyle w:val="LI-BodyTextParaa"/>
        <w:ind w:left="1134"/>
      </w:pPr>
      <w:r>
        <w:t>(b)</w:t>
      </w:r>
      <w:r>
        <w:tab/>
      </w:r>
      <w:r w:rsidR="00B97A7C" w:rsidRPr="00B97A7C">
        <w:t>section</w:t>
      </w:r>
      <w:r w:rsidR="00245672">
        <w:t xml:space="preserve"> </w:t>
      </w:r>
      <w:r w:rsidR="00B97A7C" w:rsidRPr="00B97A7C">
        <w:t>601HG</w:t>
      </w:r>
      <w:r w:rsidR="00245672">
        <w:t xml:space="preserve"> </w:t>
      </w:r>
      <w:r w:rsidR="00B97A7C" w:rsidRPr="00B97A7C">
        <w:t>(audit of compliance plan)</w:t>
      </w:r>
      <w:r w:rsidR="00245672">
        <w:t xml:space="preserve"> </w:t>
      </w:r>
      <w:r w:rsidR="00B97A7C" w:rsidRPr="00B97A7C">
        <w:t xml:space="preserve">of the Act, and </w:t>
      </w:r>
    </w:p>
    <w:p w14:paraId="23FA4E83" w14:textId="1DB7EC2D" w:rsidR="007072AF" w:rsidRDefault="00996A15" w:rsidP="00B74696">
      <w:pPr>
        <w:pStyle w:val="LI-BodyTextParaa"/>
        <w:ind w:left="1134"/>
      </w:pPr>
      <w:r>
        <w:t>(c)</w:t>
      </w:r>
      <w:r>
        <w:tab/>
      </w:r>
      <w:r w:rsidR="00B97A7C" w:rsidRPr="00B97A7C">
        <w:t>regulation 5C.9.01</w:t>
      </w:r>
      <w:r w:rsidR="00245672">
        <w:t xml:space="preserve"> </w:t>
      </w:r>
      <w:r w:rsidR="00B97A7C" w:rsidRPr="00B97A7C">
        <w:t>(final report</w:t>
      </w:r>
      <w:r w:rsidR="00245672">
        <w:t xml:space="preserve"> </w:t>
      </w:r>
      <w:r w:rsidR="00B97A7C" w:rsidRPr="00B97A7C">
        <w:t>on completion of the winding up)</w:t>
      </w:r>
      <w:r w:rsidR="00245672">
        <w:t xml:space="preserve"> </w:t>
      </w:r>
      <w:r w:rsidR="00B97A7C" w:rsidRPr="00B97A7C">
        <w:t xml:space="preserve">of the </w:t>
      </w:r>
      <w:r w:rsidR="00DD69E3" w:rsidRPr="00B74696">
        <w:rPr>
          <w:i/>
          <w:iCs/>
        </w:rPr>
        <w:t xml:space="preserve">Corporations </w:t>
      </w:r>
      <w:r w:rsidR="00B97A7C" w:rsidRPr="00B74696">
        <w:rPr>
          <w:i/>
          <w:iCs/>
        </w:rPr>
        <w:t>Regulations</w:t>
      </w:r>
      <w:r w:rsidR="009249C6" w:rsidRPr="00B74696">
        <w:rPr>
          <w:i/>
          <w:iCs/>
        </w:rPr>
        <w:t xml:space="preserve"> 2001</w:t>
      </w:r>
      <w:r w:rsidR="00245672">
        <w:t xml:space="preserve"> </w:t>
      </w:r>
      <w:r w:rsidR="00B97A7C" w:rsidRPr="00B97A7C">
        <w:t>in certain circumstances. </w:t>
      </w:r>
    </w:p>
    <w:p w14:paraId="05326544" w14:textId="7E517C77" w:rsidR="00B97A7C" w:rsidRDefault="00105E96" w:rsidP="00B97A7C">
      <w:pPr>
        <w:pStyle w:val="LI-BodyTextParaa"/>
        <w:ind w:left="567"/>
      </w:pPr>
      <w:r>
        <w:t>2</w:t>
      </w:r>
      <w:r w:rsidR="0036553F">
        <w:t>7</w:t>
      </w:r>
      <w:r>
        <w:t>.</w:t>
      </w:r>
      <w:r>
        <w:tab/>
      </w:r>
      <w:r w:rsidR="00B97A7C" w:rsidRPr="00B97A7C">
        <w:t>The exemption</w:t>
      </w:r>
      <w:r w:rsidR="00245672">
        <w:t xml:space="preserve"> </w:t>
      </w:r>
      <w:r w:rsidR="00E13A8A">
        <w:t>in s</w:t>
      </w:r>
      <w:r w:rsidR="00B47654">
        <w:t xml:space="preserve">ubsection </w:t>
      </w:r>
      <w:r w:rsidR="00245672">
        <w:t>10</w:t>
      </w:r>
      <w:r w:rsidR="00E13A8A">
        <w:t xml:space="preserve">(1) of the instrument for </w:t>
      </w:r>
      <w:r w:rsidR="007C36BD">
        <w:t xml:space="preserve">the </w:t>
      </w:r>
      <w:r w:rsidR="00E13A8A">
        <w:t xml:space="preserve">current </w:t>
      </w:r>
      <w:r w:rsidR="007C36BD">
        <w:t xml:space="preserve">financial year </w:t>
      </w:r>
      <w:r w:rsidR="00B97A7C" w:rsidRPr="00B97A7C">
        <w:t>is available where:</w:t>
      </w:r>
    </w:p>
    <w:p w14:paraId="78204ACF" w14:textId="0E4CE170" w:rsidR="00B97A7C" w:rsidRDefault="00B97A7C" w:rsidP="00B97A7C">
      <w:pPr>
        <w:pStyle w:val="LI-BodyTextParaa"/>
        <w:ind w:left="1134"/>
      </w:pPr>
      <w:r>
        <w:t>(a)</w:t>
      </w:r>
      <w:r>
        <w:tab/>
      </w:r>
      <w:r w:rsidRPr="00B97A7C">
        <w:t>the responsible entity</w:t>
      </w:r>
      <w:r w:rsidR="00245672">
        <w:t xml:space="preserve"> </w:t>
      </w:r>
      <w:r w:rsidRPr="00B97A7C">
        <w:t>has</w:t>
      </w:r>
      <w:r w:rsidR="00245672">
        <w:t xml:space="preserve"> </w:t>
      </w:r>
      <w:r w:rsidRPr="00B97A7C">
        <w:t>notified ASIC of the commencement of the winding-up of the registered scheme</w:t>
      </w:r>
      <w:r w:rsidR="00245672">
        <w:t xml:space="preserve"> </w:t>
      </w:r>
      <w:r w:rsidR="00917266">
        <w:t>under reg</w:t>
      </w:r>
      <w:r w:rsidR="00B47654">
        <w:t>ulation</w:t>
      </w:r>
      <w:r w:rsidR="00917266">
        <w:t xml:space="preserve"> 5C.9.01 </w:t>
      </w:r>
      <w:r w:rsidRPr="00B97A7C">
        <w:t xml:space="preserve">or, if a person appointed by the Court </w:t>
      </w:r>
      <w:r w:rsidR="007A457F">
        <w:t>under s</w:t>
      </w:r>
      <w:r w:rsidR="00B47654">
        <w:t xml:space="preserve">ubsection </w:t>
      </w:r>
      <w:r w:rsidR="007A457F">
        <w:t>601</w:t>
      </w:r>
      <w:proofErr w:type="gramStart"/>
      <w:r w:rsidR="007A457F">
        <w:t>NF(</w:t>
      </w:r>
      <w:proofErr w:type="gramEnd"/>
      <w:r w:rsidR="007A457F">
        <w:t xml:space="preserve">1) </w:t>
      </w:r>
      <w:r w:rsidRPr="00B97A7C">
        <w:t>to take responsibility for winding up the scheme, has notified ASIC of their appointment; and</w:t>
      </w:r>
    </w:p>
    <w:p w14:paraId="09E2E6F5" w14:textId="1AED339B" w:rsidR="00B97A7C" w:rsidRPr="006C1D4D" w:rsidRDefault="00B97A7C" w:rsidP="00B97A7C">
      <w:pPr>
        <w:pStyle w:val="LI-BodyTextParaa"/>
        <w:ind w:left="1134"/>
      </w:pPr>
      <w:r w:rsidRPr="00F46947">
        <w:t>(b)</w:t>
      </w:r>
      <w:r w:rsidRPr="00F46947">
        <w:tab/>
      </w:r>
      <w:r w:rsidRPr="00B97A7C">
        <w:t>the</w:t>
      </w:r>
      <w:r w:rsidR="00245672">
        <w:t xml:space="preserve"> </w:t>
      </w:r>
      <w:r w:rsidRPr="00B97A7C">
        <w:t xml:space="preserve">responsible entity or </w:t>
      </w:r>
      <w:r w:rsidR="00BF6649">
        <w:t xml:space="preserve">the </w:t>
      </w:r>
      <w:r w:rsidRPr="00B97A7C">
        <w:t xml:space="preserve">person appointed </w:t>
      </w:r>
      <w:r w:rsidR="00BF6649">
        <w:t>under s</w:t>
      </w:r>
      <w:r w:rsidR="00B47654">
        <w:t xml:space="preserve">ubsection </w:t>
      </w:r>
      <w:r w:rsidR="00BF6649">
        <w:t>601</w:t>
      </w:r>
      <w:proofErr w:type="gramStart"/>
      <w:r w:rsidR="00BF6649">
        <w:t>NF(</w:t>
      </w:r>
      <w:proofErr w:type="gramEnd"/>
      <w:r w:rsidR="00BF6649">
        <w:t xml:space="preserve">1) </w:t>
      </w:r>
      <w:r w:rsidRPr="00B97A7C">
        <w:t>has lodged with ASIC a ‘scheme insolvency resolution’ stating that, for at least 12 months, the scheme property has been insufficient to meet the debts of the responsible entity incurred in that capacity as and when they were due and payable.</w:t>
      </w:r>
    </w:p>
    <w:p w14:paraId="7C5F031C" w14:textId="67255C10" w:rsidR="00B97A7C" w:rsidRDefault="003E29B5" w:rsidP="00B97A7C">
      <w:pPr>
        <w:pStyle w:val="LI-BodyTextParaa"/>
        <w:ind w:left="567"/>
      </w:pPr>
      <w:r>
        <w:t>2</w:t>
      </w:r>
      <w:r w:rsidR="0036553F">
        <w:t>8</w:t>
      </w:r>
      <w:r w:rsidR="00B97A7C">
        <w:t>.</w:t>
      </w:r>
      <w:r w:rsidR="00B97A7C">
        <w:tab/>
      </w:r>
      <w:r w:rsidR="00B97A7C" w:rsidRPr="00B97A7C">
        <w:t>The requirement that a registered scheme be insolvent for 12 months provides sufficient certainty that scheme property</w:t>
      </w:r>
      <w:r w:rsidR="004759C3">
        <w:t xml:space="preserve"> </w:t>
      </w:r>
      <w:r w:rsidR="00B97A7C" w:rsidRPr="00B97A7C">
        <w:t>has</w:t>
      </w:r>
      <w:r w:rsidR="004759C3">
        <w:t xml:space="preserve"> </w:t>
      </w:r>
      <w:r w:rsidR="00B97A7C" w:rsidRPr="00B97A7C">
        <w:t>not been</w:t>
      </w:r>
      <w:r w:rsidR="004759C3">
        <w:t xml:space="preserve"> </w:t>
      </w:r>
      <w:r w:rsidR="00B97A7C" w:rsidRPr="00B97A7C">
        <w:t xml:space="preserve">available to meet the debts of the responsible entity in its capacity as responsible entity of the </w:t>
      </w:r>
      <w:r w:rsidR="00F26551">
        <w:t xml:space="preserve">registered </w:t>
      </w:r>
      <w:r w:rsidR="00B97A7C" w:rsidRPr="00B97A7C">
        <w:t>scheme.</w:t>
      </w:r>
    </w:p>
    <w:p w14:paraId="6C2297D1" w14:textId="2C009F66" w:rsidR="00817AFE" w:rsidRDefault="003F3736" w:rsidP="00B97A7C">
      <w:pPr>
        <w:pStyle w:val="LI-BodyTextParaa"/>
        <w:ind w:left="567"/>
      </w:pPr>
      <w:r>
        <w:lastRenderedPageBreak/>
        <w:t>2</w:t>
      </w:r>
      <w:r w:rsidR="0036553F">
        <w:t>9</w:t>
      </w:r>
      <w:r w:rsidR="00B97A7C">
        <w:t>.</w:t>
      </w:r>
      <w:r w:rsidR="00B97A7C">
        <w:tab/>
      </w:r>
      <w:r w:rsidR="00075E03">
        <w:t xml:space="preserve">Paragraph </w:t>
      </w:r>
      <w:r w:rsidR="004759C3">
        <w:t>10</w:t>
      </w:r>
      <w:r w:rsidR="005F1580">
        <w:t>(2)</w:t>
      </w:r>
      <w:r w:rsidR="00C21BD7">
        <w:t>(a)</w:t>
      </w:r>
      <w:r w:rsidR="005F1580">
        <w:t xml:space="preserve"> of the </w:t>
      </w:r>
      <w:r w:rsidR="00F26551">
        <w:t>i</w:t>
      </w:r>
      <w:r w:rsidR="005F1580">
        <w:t xml:space="preserve">nstrument provides that the responsible entity does not have to comply with </w:t>
      </w:r>
      <w:r w:rsidR="00C44A2B">
        <w:t xml:space="preserve">financial reporting obligations for subsequent periods or earlier financial periods (to the extent that the responsible entity would have </w:t>
      </w:r>
      <w:proofErr w:type="gramStart"/>
      <w:r w:rsidR="00C44A2B">
        <w:t>continuing</w:t>
      </w:r>
      <w:proofErr w:type="gramEnd"/>
      <w:r w:rsidR="00C44A2B">
        <w:t xml:space="preserve"> obligations). </w:t>
      </w:r>
    </w:p>
    <w:p w14:paraId="64074BD8" w14:textId="31ECFF0D" w:rsidR="00B97A7C" w:rsidRDefault="0036553F" w:rsidP="00B97A7C">
      <w:pPr>
        <w:pStyle w:val="LI-BodyTextParaa"/>
        <w:ind w:left="567"/>
      </w:pPr>
      <w:r>
        <w:t>30</w:t>
      </w:r>
      <w:r w:rsidR="00817AFE">
        <w:t>.</w:t>
      </w:r>
      <w:r w:rsidR="00817AFE">
        <w:tab/>
      </w:r>
      <w:r w:rsidR="00075E03">
        <w:t>Paragraph</w:t>
      </w:r>
      <w:r w:rsidR="00B97A7C" w:rsidRPr="00B97A7C">
        <w:t xml:space="preserve"> </w:t>
      </w:r>
      <w:r w:rsidR="003D7B93">
        <w:t>10</w:t>
      </w:r>
      <w:r w:rsidR="00B97A7C" w:rsidRPr="00B97A7C">
        <w:t>(2)</w:t>
      </w:r>
      <w:r w:rsidR="00C21BD7">
        <w:t>(b)</w:t>
      </w:r>
      <w:r w:rsidR="00B97A7C" w:rsidRPr="00B97A7C">
        <w:t xml:space="preserve"> of</w:t>
      </w:r>
      <w:r w:rsidR="003D7B93">
        <w:t xml:space="preserve"> </w:t>
      </w:r>
      <w:r w:rsidR="00B97A7C" w:rsidRPr="00B97A7C">
        <w:t xml:space="preserve">the </w:t>
      </w:r>
      <w:r w:rsidR="00C21BD7">
        <w:t>i</w:t>
      </w:r>
      <w:r w:rsidR="00B97A7C" w:rsidRPr="00B97A7C">
        <w:t>nstrument</w:t>
      </w:r>
      <w:r w:rsidR="00817AFE">
        <w:t xml:space="preserve"> </w:t>
      </w:r>
      <w:r w:rsidR="00B97A7C" w:rsidRPr="00B97A7C">
        <w:t>provides relief from the obligation in s</w:t>
      </w:r>
      <w:r w:rsidR="00075E03">
        <w:t xml:space="preserve">ection </w:t>
      </w:r>
      <w:r w:rsidR="00B97A7C" w:rsidRPr="00B97A7C">
        <w:t>601HG</w:t>
      </w:r>
      <w:r w:rsidR="003D7B93">
        <w:t xml:space="preserve"> </w:t>
      </w:r>
      <w:r w:rsidR="00B97A7C" w:rsidRPr="00B97A7C">
        <w:t>of the Act</w:t>
      </w:r>
      <w:r w:rsidR="003D7B93">
        <w:t xml:space="preserve"> </w:t>
      </w:r>
      <w:r w:rsidR="00B97A7C" w:rsidRPr="00B97A7C">
        <w:t>to obtain a compliance plan audit report</w:t>
      </w:r>
      <w:r w:rsidR="003D7B93">
        <w:t xml:space="preserve"> </w:t>
      </w:r>
      <w:r w:rsidR="00B97A7C" w:rsidRPr="00B97A7C">
        <w:t>and the obligations in reg 5C.9.01 and approved form 5138</w:t>
      </w:r>
      <w:r w:rsidR="003D7B93">
        <w:t xml:space="preserve"> </w:t>
      </w:r>
      <w:r w:rsidR="00B97A7C" w:rsidRPr="00B97A7C">
        <w:t>to</w:t>
      </w:r>
      <w:r w:rsidR="00774E16">
        <w:t xml:space="preserve"> </w:t>
      </w:r>
      <w:r w:rsidR="00B97A7C" w:rsidRPr="00B97A7C">
        <w:t>lodge</w:t>
      </w:r>
      <w:r w:rsidR="00774E16">
        <w:t xml:space="preserve"> </w:t>
      </w:r>
      <w:r w:rsidR="00B97A7C" w:rsidRPr="00B97A7C">
        <w:t>a</w:t>
      </w:r>
      <w:r w:rsidR="00774E16">
        <w:t xml:space="preserve"> </w:t>
      </w:r>
      <w:r w:rsidR="00B97A7C" w:rsidRPr="00B97A7C">
        <w:t>final audited financial report and auditor’s reports on completion of the winding up</w:t>
      </w:r>
      <w:r w:rsidR="003F69FF">
        <w:t xml:space="preserve"> </w:t>
      </w:r>
      <w:r w:rsidR="00B97A7C" w:rsidRPr="00B97A7C">
        <w:t xml:space="preserve">of an insolvent registered scheme. </w:t>
      </w:r>
      <w:proofErr w:type="gramStart"/>
      <w:r w:rsidR="004E66B5">
        <w:t>C</w:t>
      </w:r>
      <w:r w:rsidR="00B97A7C" w:rsidRPr="00B97A7C">
        <w:t>ompliance plan audit reports</w:t>
      </w:r>
      <w:r w:rsidR="004A0C84">
        <w:t>,</w:t>
      </w:r>
      <w:proofErr w:type="gramEnd"/>
      <w:r w:rsidR="004A0C84">
        <w:t xml:space="preserve"> audited financial reports and auditor’s reports</w:t>
      </w:r>
      <w:r w:rsidR="00B97A7C" w:rsidRPr="00B97A7C">
        <w:t xml:space="preserve"> on completion of the winding up may be of limited value</w:t>
      </w:r>
      <w:r w:rsidR="00B6656B" w:rsidRPr="00B97A7C" w:rsidDel="00B6656B">
        <w:t xml:space="preserve"> </w:t>
      </w:r>
      <w:r w:rsidR="00B97A7C" w:rsidRPr="00B97A7C">
        <w:t>and create an unreasonable burden in these circumstances.</w:t>
      </w:r>
    </w:p>
    <w:p w14:paraId="318E6A54" w14:textId="7DE1AB13" w:rsidR="00BD2CE3" w:rsidRPr="000B1D9F" w:rsidRDefault="157771AC" w:rsidP="000B1D9F">
      <w:pPr>
        <w:pStyle w:val="LI-BodyTextParaa"/>
        <w:tabs>
          <w:tab w:val="left" w:pos="1276"/>
        </w:tabs>
        <w:ind w:left="0" w:firstLine="0"/>
        <w:rPr>
          <w:b/>
          <w:bCs/>
          <w:i/>
          <w:iCs/>
        </w:rPr>
      </w:pPr>
      <w:r w:rsidRPr="00B74696">
        <w:rPr>
          <w:b/>
          <w:bCs/>
          <w:i/>
          <w:iCs/>
        </w:rPr>
        <w:t>Section 1</w:t>
      </w:r>
      <w:r w:rsidR="000A1DB2">
        <w:rPr>
          <w:b/>
          <w:bCs/>
          <w:i/>
          <w:iCs/>
        </w:rPr>
        <w:t>8</w:t>
      </w:r>
      <w:r w:rsidR="000B1D9F">
        <w:rPr>
          <w:b/>
          <w:bCs/>
          <w:i/>
          <w:iCs/>
        </w:rPr>
        <w:tab/>
      </w:r>
      <w:r w:rsidR="00CC4BC3" w:rsidRPr="00B74696">
        <w:rPr>
          <w:b/>
          <w:bCs/>
          <w:i/>
          <w:iCs/>
        </w:rPr>
        <w:t xml:space="preserve">Alternate disclosure </w:t>
      </w:r>
      <w:r w:rsidR="00BD2CE3" w:rsidRPr="00B74696">
        <w:rPr>
          <w:b/>
          <w:bCs/>
          <w:i/>
          <w:iCs/>
        </w:rPr>
        <w:t>required by insolvent registered schemes being wound</w:t>
      </w:r>
      <w:r w:rsidR="005C6DA4" w:rsidRPr="00B74696">
        <w:rPr>
          <w:b/>
          <w:bCs/>
          <w:i/>
          <w:iCs/>
        </w:rPr>
        <w:t>-</w:t>
      </w:r>
      <w:r w:rsidR="00BD2CE3" w:rsidRPr="00B74696">
        <w:rPr>
          <w:b/>
          <w:bCs/>
          <w:i/>
          <w:iCs/>
        </w:rPr>
        <w:t>u</w:t>
      </w:r>
      <w:r w:rsidR="00BD2CE3" w:rsidRPr="000B1D9F">
        <w:rPr>
          <w:b/>
          <w:bCs/>
          <w:i/>
          <w:iCs/>
        </w:rPr>
        <w:t>p</w:t>
      </w:r>
    </w:p>
    <w:p w14:paraId="2B8584F4" w14:textId="57BC6E11" w:rsidR="00F920E9" w:rsidRDefault="005066CF" w:rsidP="00F920E9">
      <w:pPr>
        <w:pStyle w:val="LI-BodyTextParaa"/>
        <w:ind w:left="567"/>
      </w:pPr>
      <w:r>
        <w:t>31</w:t>
      </w:r>
      <w:r w:rsidR="00F920E9">
        <w:t>.</w:t>
      </w:r>
      <w:r w:rsidR="00F920E9">
        <w:tab/>
      </w:r>
      <w:r w:rsidR="00F920E9" w:rsidRPr="006F5058">
        <w:t>Insolvent registered schemes that are being wound</w:t>
      </w:r>
      <w:r w:rsidR="00AE7714">
        <w:t>-</w:t>
      </w:r>
      <w:r w:rsidR="00F920E9" w:rsidRPr="006F5058">
        <w:t>up and relying on the exemption in s</w:t>
      </w:r>
      <w:r w:rsidR="00075E03">
        <w:t xml:space="preserve">ection </w:t>
      </w:r>
      <w:r w:rsidR="000A1DB2">
        <w:t>10</w:t>
      </w:r>
      <w:r w:rsidR="00F920E9" w:rsidRPr="006F5058">
        <w:t xml:space="preserve"> of</w:t>
      </w:r>
      <w:r w:rsidR="008C6C31">
        <w:t xml:space="preserve"> </w:t>
      </w:r>
      <w:r w:rsidR="00F920E9" w:rsidRPr="006F5058">
        <w:t>the instrument</w:t>
      </w:r>
      <w:r w:rsidR="008C6C31">
        <w:t xml:space="preserve"> </w:t>
      </w:r>
      <w:r w:rsidR="00F920E9" w:rsidRPr="006F5058">
        <w:t>must comply with s</w:t>
      </w:r>
      <w:r w:rsidR="00075E03">
        <w:t xml:space="preserve">ection </w:t>
      </w:r>
      <w:r w:rsidR="00F920E9" w:rsidRPr="006F5058">
        <w:t xml:space="preserve">601NFA as notionally inserted by </w:t>
      </w:r>
      <w:r w:rsidR="004D5F76">
        <w:t>s</w:t>
      </w:r>
      <w:r w:rsidR="00075E03">
        <w:t xml:space="preserve">ection </w:t>
      </w:r>
      <w:r w:rsidR="004D5F76">
        <w:t xml:space="preserve">18 of </w:t>
      </w:r>
      <w:r w:rsidR="00F920E9" w:rsidRPr="006F5058">
        <w:t>the</w:t>
      </w:r>
      <w:r w:rsidR="000A1DB2">
        <w:t xml:space="preserve"> </w:t>
      </w:r>
      <w:r w:rsidR="00F920E9" w:rsidRPr="006F5058">
        <w:t>instrument.</w:t>
      </w:r>
    </w:p>
    <w:p w14:paraId="3C4A483A" w14:textId="1F059035" w:rsidR="00F920E9" w:rsidRDefault="000A7C19" w:rsidP="00F920E9">
      <w:pPr>
        <w:pStyle w:val="LI-BodyTextParaa"/>
        <w:ind w:left="567"/>
      </w:pPr>
      <w:r>
        <w:t>3</w:t>
      </w:r>
      <w:r w:rsidR="005066CF">
        <w:t>2</w:t>
      </w:r>
      <w:r w:rsidR="00F920E9">
        <w:t>.</w:t>
      </w:r>
      <w:r w:rsidR="00F920E9">
        <w:tab/>
      </w:r>
      <w:r w:rsidR="00F920E9" w:rsidRPr="006F5058">
        <w:t xml:space="preserve">Section 601NFA requires </w:t>
      </w:r>
      <w:r w:rsidR="00C81E02">
        <w:t xml:space="preserve">the </w:t>
      </w:r>
      <w:r w:rsidR="00F920E9" w:rsidRPr="006F5058">
        <w:t xml:space="preserve">responsible entity or </w:t>
      </w:r>
      <w:r w:rsidR="00C81E02">
        <w:t xml:space="preserve">the </w:t>
      </w:r>
      <w:r w:rsidR="00F920E9" w:rsidRPr="006F5058">
        <w:t xml:space="preserve">person appointed </w:t>
      </w:r>
      <w:r w:rsidR="003973D3">
        <w:t xml:space="preserve">under </w:t>
      </w:r>
      <w:r w:rsidR="00075E03">
        <w:t>sub</w:t>
      </w:r>
      <w:r w:rsidR="003973D3">
        <w:t>s</w:t>
      </w:r>
      <w:r w:rsidR="00075E03">
        <w:t xml:space="preserve">ection </w:t>
      </w:r>
      <w:r w:rsidR="003973D3">
        <w:t>601</w:t>
      </w:r>
      <w:proofErr w:type="gramStart"/>
      <w:r w:rsidR="003973D3">
        <w:t>NF(</w:t>
      </w:r>
      <w:proofErr w:type="gramEnd"/>
      <w:r w:rsidR="003973D3">
        <w:t xml:space="preserve">1) of the Act </w:t>
      </w:r>
      <w:r w:rsidR="00F920E9" w:rsidRPr="006F5058">
        <w:t xml:space="preserve">to </w:t>
      </w:r>
      <w:r w:rsidR="003973D3">
        <w:t xml:space="preserve">give </w:t>
      </w:r>
      <w:r w:rsidR="00F920E9" w:rsidRPr="006F5058">
        <w:t>members a report</w:t>
      </w:r>
      <w:r>
        <w:t xml:space="preserve"> </w:t>
      </w:r>
      <w:r w:rsidR="004D5F76">
        <w:t xml:space="preserve">that </w:t>
      </w:r>
      <w:r w:rsidR="00F920E9" w:rsidRPr="006F5058">
        <w:t xml:space="preserve">includes the following information </w:t>
      </w:r>
      <w:r w:rsidR="003973D3">
        <w:t>(</w:t>
      </w:r>
      <w:r w:rsidR="00F920E9" w:rsidRPr="006F5058">
        <w:t>unless the disclosure</w:t>
      </w:r>
      <w:r w:rsidR="000A1DB2">
        <w:t xml:space="preserve"> </w:t>
      </w:r>
      <w:r w:rsidR="00F920E9" w:rsidRPr="006F5058">
        <w:t>of that information</w:t>
      </w:r>
      <w:r w:rsidR="000A1DB2">
        <w:t xml:space="preserve"> </w:t>
      </w:r>
      <w:r w:rsidR="00F920E9" w:rsidRPr="006F5058">
        <w:t>would be prejudicial to the winding</w:t>
      </w:r>
      <w:r w:rsidR="003973D3">
        <w:t>-</w:t>
      </w:r>
      <w:r w:rsidR="00F920E9" w:rsidRPr="006F5058">
        <w:t>up</w:t>
      </w:r>
      <w:r w:rsidR="003973D3">
        <w:t>)</w:t>
      </w:r>
      <w:r w:rsidR="00F920E9" w:rsidRPr="006F5058">
        <w:t>:</w:t>
      </w:r>
    </w:p>
    <w:p w14:paraId="08C1ACC5" w14:textId="13FDC3BE" w:rsidR="00F920E9" w:rsidRDefault="00F920E9" w:rsidP="00F920E9">
      <w:pPr>
        <w:pStyle w:val="LI-BodyTextParaa"/>
        <w:ind w:left="1134"/>
      </w:pPr>
      <w:r>
        <w:t>(a)</w:t>
      </w:r>
      <w:r>
        <w:tab/>
      </w:r>
      <w:r w:rsidRPr="006F5058">
        <w:t>information</w:t>
      </w:r>
      <w:r w:rsidR="000A7C19">
        <w:t xml:space="preserve"> </w:t>
      </w:r>
      <w:r w:rsidRPr="006F5058">
        <w:t>about the progress and status of the winding</w:t>
      </w:r>
      <w:r w:rsidR="003973D3">
        <w:t>-</w:t>
      </w:r>
      <w:r w:rsidRPr="006F5058">
        <w:t>up of the scheme, including details (as applicable) of:</w:t>
      </w:r>
    </w:p>
    <w:p w14:paraId="090DB0ED" w14:textId="77777777" w:rsidR="00F920E9" w:rsidRPr="006F5058" w:rsidRDefault="00F920E9" w:rsidP="00F920E9">
      <w:pPr>
        <w:pStyle w:val="LI-BodyTextParaa"/>
        <w:ind w:left="1134" w:firstLine="0"/>
      </w:pPr>
      <w:r w:rsidRPr="006F5058">
        <w:t>(</w:t>
      </w:r>
      <w:proofErr w:type="spellStart"/>
      <w:r w:rsidRPr="006F5058">
        <w:t>i</w:t>
      </w:r>
      <w:proofErr w:type="spellEnd"/>
      <w:r w:rsidRPr="006F5058">
        <w:t xml:space="preserve">) the actions taken during the </w:t>
      </w:r>
      <w:proofErr w:type="gramStart"/>
      <w:r w:rsidRPr="006F5058">
        <w:t>period;</w:t>
      </w:r>
      <w:proofErr w:type="gramEnd"/>
    </w:p>
    <w:p w14:paraId="6D491FC7" w14:textId="094B1E2D" w:rsidR="00F920E9" w:rsidRPr="006F5058" w:rsidRDefault="00F920E9" w:rsidP="00F920E9">
      <w:pPr>
        <w:pStyle w:val="LI-BodyTextParaa"/>
        <w:ind w:left="1134" w:firstLine="0"/>
      </w:pPr>
      <w:r w:rsidRPr="006F5058">
        <w:t>(ii) the actions required to complete the winding</w:t>
      </w:r>
      <w:r w:rsidR="00200339">
        <w:t>-</w:t>
      </w:r>
      <w:proofErr w:type="gramStart"/>
      <w:r w:rsidRPr="006F5058">
        <w:t>up;</w:t>
      </w:r>
      <w:proofErr w:type="gramEnd"/>
    </w:p>
    <w:p w14:paraId="29551187" w14:textId="77777777" w:rsidR="00F920E9" w:rsidRPr="006F5058" w:rsidRDefault="00F920E9" w:rsidP="00F920E9">
      <w:pPr>
        <w:pStyle w:val="LI-BodyTextParaa"/>
        <w:ind w:left="1134" w:firstLine="0"/>
      </w:pPr>
      <w:r w:rsidRPr="006F5058">
        <w:t xml:space="preserve">(iii) the actions proposed to be taken in the next 12 </w:t>
      </w:r>
      <w:proofErr w:type="gramStart"/>
      <w:r w:rsidRPr="006F5058">
        <w:t>months;</w:t>
      </w:r>
      <w:proofErr w:type="gramEnd"/>
    </w:p>
    <w:p w14:paraId="3F8E21D0" w14:textId="21D16922" w:rsidR="00F920E9" w:rsidRDefault="00F920E9" w:rsidP="00F920E9">
      <w:pPr>
        <w:pStyle w:val="LI-BodyTextParaa"/>
        <w:ind w:left="1134" w:firstLine="0"/>
      </w:pPr>
      <w:r w:rsidRPr="006F5058">
        <w:t>(iv) the expected time to complete the winding</w:t>
      </w:r>
      <w:r w:rsidR="00200339">
        <w:t>-</w:t>
      </w:r>
      <w:r w:rsidRPr="006F5058">
        <w:t>up; and</w:t>
      </w:r>
    </w:p>
    <w:p w14:paraId="4AB40420" w14:textId="77777777" w:rsidR="00F920E9" w:rsidRPr="006C1D4D" w:rsidRDefault="00F920E9" w:rsidP="00F920E9">
      <w:pPr>
        <w:pStyle w:val="LI-BodyTextParaa"/>
        <w:ind w:left="1134"/>
      </w:pPr>
      <w:r w:rsidRPr="00F46947">
        <w:t>(b)</w:t>
      </w:r>
      <w:r w:rsidRPr="00F46947">
        <w:tab/>
      </w:r>
      <w:r w:rsidRPr="006F5058">
        <w:t>financial information about receipts and payments for the scheme during the period; and</w:t>
      </w:r>
    </w:p>
    <w:p w14:paraId="770F181D" w14:textId="77777777" w:rsidR="00F920E9" w:rsidRPr="00CE18B6" w:rsidRDefault="00F920E9" w:rsidP="00F920E9">
      <w:pPr>
        <w:pStyle w:val="LI-BodyTextParaa"/>
        <w:ind w:left="1134"/>
        <w:rPr>
          <w:iCs/>
        </w:rPr>
      </w:pPr>
      <w:r w:rsidRPr="00610709">
        <w:t>(</w:t>
      </w:r>
      <w:r>
        <w:t>c</w:t>
      </w:r>
      <w:r w:rsidRPr="00610709">
        <w:t>)</w:t>
      </w:r>
      <w:r w:rsidRPr="00610709">
        <w:tab/>
      </w:r>
      <w:r w:rsidRPr="006F5058">
        <w:t>the following information as at the end of the period:</w:t>
      </w:r>
    </w:p>
    <w:p w14:paraId="191CFE3C" w14:textId="79BB0D72" w:rsidR="00F920E9" w:rsidRPr="006F5058" w:rsidRDefault="00F920E9" w:rsidP="00B74696">
      <w:pPr>
        <w:pStyle w:val="LI-BodyTextParaa"/>
        <w:ind w:left="1134" w:firstLine="0"/>
      </w:pPr>
      <w:r w:rsidRPr="006F5058">
        <w:t>(</w:t>
      </w:r>
      <w:proofErr w:type="spellStart"/>
      <w:r w:rsidRPr="006F5058">
        <w:t>i</w:t>
      </w:r>
      <w:proofErr w:type="spellEnd"/>
      <w:r w:rsidRPr="006F5058">
        <w:t>)</w:t>
      </w:r>
      <w:r w:rsidR="00200339">
        <w:tab/>
      </w:r>
      <w:r w:rsidRPr="006F5058">
        <w:t>the value of scheme property; and</w:t>
      </w:r>
    </w:p>
    <w:p w14:paraId="0851F447" w14:textId="77777777" w:rsidR="00F920E9" w:rsidRPr="006F5058" w:rsidRDefault="00F920E9" w:rsidP="00B74696">
      <w:pPr>
        <w:pStyle w:val="LI-BodyTextParaa"/>
        <w:ind w:left="1134" w:firstLine="0"/>
      </w:pPr>
      <w:r w:rsidRPr="006F5058">
        <w:t>(ii) any potential return to scheme members.</w:t>
      </w:r>
    </w:p>
    <w:p w14:paraId="4B150F46" w14:textId="78550016" w:rsidR="00F920E9" w:rsidRDefault="000A7C19" w:rsidP="00F920E9">
      <w:pPr>
        <w:pStyle w:val="LI-BodyTextParaa"/>
        <w:ind w:left="567"/>
      </w:pPr>
      <w:r>
        <w:t>3</w:t>
      </w:r>
      <w:r w:rsidR="005066CF">
        <w:t>3</w:t>
      </w:r>
      <w:r w:rsidR="00F920E9">
        <w:t>.</w:t>
      </w:r>
      <w:r w:rsidR="00F920E9">
        <w:tab/>
      </w:r>
      <w:r w:rsidR="00F920E9" w:rsidRPr="006F5058">
        <w:t>The reporting obligations under Ch</w:t>
      </w:r>
      <w:r w:rsidR="00075E03">
        <w:t>apter</w:t>
      </w:r>
      <w:r w:rsidR="00204BEB">
        <w:t xml:space="preserve"> </w:t>
      </w:r>
      <w:r w:rsidR="00F920E9" w:rsidRPr="006F5058">
        <w:t>5</w:t>
      </w:r>
      <w:r w:rsidR="00204BEB">
        <w:t xml:space="preserve"> of the Act</w:t>
      </w:r>
      <w:r w:rsidR="00F920E9" w:rsidRPr="006F5058">
        <w:t xml:space="preserve"> </w:t>
      </w:r>
      <w:r w:rsidR="0061416C">
        <w:t>for c</w:t>
      </w:r>
      <w:r w:rsidR="00193673">
        <w:t>orporate</w:t>
      </w:r>
      <w:r w:rsidR="0061416C">
        <w:t xml:space="preserve"> external administration </w:t>
      </w:r>
      <w:r w:rsidR="00F920E9" w:rsidRPr="006F5058">
        <w:t xml:space="preserve">do not </w:t>
      </w:r>
      <w:r w:rsidR="00204BEB">
        <w:t xml:space="preserve">ordinarily </w:t>
      </w:r>
      <w:r w:rsidR="00F920E9" w:rsidRPr="006F5058">
        <w:t xml:space="preserve">apply to </w:t>
      </w:r>
      <w:r w:rsidR="009B1298">
        <w:t xml:space="preserve">the winding-up of a registered scheme. </w:t>
      </w:r>
      <w:r w:rsidR="00F920E9" w:rsidRPr="006F5058">
        <w:t xml:space="preserve">The reporting requirements under </w:t>
      </w:r>
      <w:r w:rsidR="009B1298">
        <w:t xml:space="preserve">notional </w:t>
      </w:r>
      <w:r w:rsidR="00F920E9" w:rsidRPr="006F5058">
        <w:t>s</w:t>
      </w:r>
      <w:r w:rsidR="00075E03">
        <w:t xml:space="preserve">ection </w:t>
      </w:r>
      <w:r w:rsidR="00F920E9" w:rsidRPr="006F5058">
        <w:t xml:space="preserve">601NFA </w:t>
      </w:r>
      <w:r w:rsidR="00193673">
        <w:t xml:space="preserve">inserted by the instrument </w:t>
      </w:r>
      <w:r w:rsidR="00F920E9" w:rsidRPr="006F5058">
        <w:t>will ensure that</w:t>
      </w:r>
      <w:r w:rsidR="00E52F55">
        <w:t xml:space="preserve"> </w:t>
      </w:r>
      <w:r w:rsidR="00F920E9" w:rsidRPr="006F5058">
        <w:t>scheme</w:t>
      </w:r>
      <w:r w:rsidR="00E52F55">
        <w:t xml:space="preserve"> </w:t>
      </w:r>
      <w:r w:rsidR="00F920E9" w:rsidRPr="006F5058">
        <w:t>members receive important information about the winding</w:t>
      </w:r>
      <w:r w:rsidR="00193673">
        <w:t>-</w:t>
      </w:r>
      <w:r w:rsidR="00F920E9" w:rsidRPr="006F5058">
        <w:t>up</w:t>
      </w:r>
      <w:r w:rsidR="0061416C">
        <w:t>,</w:t>
      </w:r>
      <w:r w:rsidR="00E52F55">
        <w:t xml:space="preserve"> </w:t>
      </w:r>
      <w:r w:rsidR="00F920E9" w:rsidRPr="006F5058">
        <w:t>similar</w:t>
      </w:r>
      <w:r w:rsidR="0061416C">
        <w:t>,</w:t>
      </w:r>
      <w:r w:rsidR="00F920E9" w:rsidRPr="006F5058">
        <w:t xml:space="preserve"> to that available to creditors and members of an externally administered company.</w:t>
      </w:r>
    </w:p>
    <w:p w14:paraId="532A616C" w14:textId="64235C51" w:rsidR="007B769E" w:rsidRPr="00B74696" w:rsidRDefault="00F922A4" w:rsidP="003715CA">
      <w:pPr>
        <w:pStyle w:val="LI-BodyTextParaa"/>
        <w:keepNext/>
        <w:keepLines/>
        <w:tabs>
          <w:tab w:val="left" w:pos="1276"/>
        </w:tabs>
        <w:ind w:left="0" w:firstLine="0"/>
        <w:rPr>
          <w:b/>
          <w:bCs/>
          <w:i/>
          <w:iCs/>
        </w:rPr>
      </w:pPr>
      <w:r w:rsidRPr="00B74696">
        <w:rPr>
          <w:b/>
          <w:bCs/>
          <w:i/>
          <w:iCs/>
        </w:rPr>
        <w:lastRenderedPageBreak/>
        <w:t xml:space="preserve">Section </w:t>
      </w:r>
      <w:r w:rsidR="00725291">
        <w:rPr>
          <w:b/>
          <w:bCs/>
          <w:i/>
          <w:iCs/>
        </w:rPr>
        <w:t>11</w:t>
      </w:r>
      <w:r w:rsidR="000B1D9F">
        <w:rPr>
          <w:b/>
          <w:bCs/>
          <w:i/>
          <w:iCs/>
        </w:rPr>
        <w:tab/>
      </w:r>
      <w:r w:rsidR="007B769E" w:rsidRPr="00B74696">
        <w:rPr>
          <w:b/>
          <w:bCs/>
          <w:i/>
          <w:iCs/>
        </w:rPr>
        <w:t>Notified foreign passport funds being wound up</w:t>
      </w:r>
    </w:p>
    <w:p w14:paraId="585EF17F" w14:textId="69B8B006" w:rsidR="007B769E" w:rsidRDefault="00D91C90" w:rsidP="003715CA">
      <w:pPr>
        <w:pStyle w:val="LI-BodyTextParaa"/>
        <w:keepNext/>
        <w:keepLines/>
        <w:ind w:left="567"/>
      </w:pPr>
      <w:r>
        <w:t>3</w:t>
      </w:r>
      <w:r w:rsidR="005066CF">
        <w:t>4</w:t>
      </w:r>
      <w:r w:rsidR="007B769E">
        <w:t>.</w:t>
      </w:r>
      <w:r w:rsidR="007B769E">
        <w:tab/>
        <w:t>S</w:t>
      </w:r>
      <w:r w:rsidR="00A958B5">
        <w:t>ubs</w:t>
      </w:r>
      <w:r w:rsidR="007B769E" w:rsidRPr="007B769E">
        <w:t xml:space="preserve">ection </w:t>
      </w:r>
      <w:r w:rsidR="00725291">
        <w:t>11</w:t>
      </w:r>
      <w:r w:rsidR="00A958B5">
        <w:t>(1) of the instrument</w:t>
      </w:r>
      <w:r w:rsidR="007B769E">
        <w:t xml:space="preserve"> </w:t>
      </w:r>
      <w:r w:rsidR="007B769E" w:rsidRPr="007B769E">
        <w:t xml:space="preserve">exempts </w:t>
      </w:r>
      <w:r w:rsidR="005D47B7">
        <w:t xml:space="preserve">the operator of a </w:t>
      </w:r>
      <w:r w:rsidR="007B769E" w:rsidRPr="007B769E">
        <w:t>notified foreign passport fund</w:t>
      </w:r>
      <w:r w:rsidR="005D47B7">
        <w:t xml:space="preserve"> that is being wound up</w:t>
      </w:r>
      <w:r w:rsidR="007B769E" w:rsidRPr="007B769E">
        <w:t xml:space="preserve"> from financial reporting obligations under P</w:t>
      </w:r>
      <w:r w:rsidR="00075E03">
        <w:t>ar</w:t>
      </w:r>
      <w:r w:rsidR="00E43F51">
        <w:t>t</w:t>
      </w:r>
      <w:r w:rsidR="007B769E" w:rsidRPr="007B769E">
        <w:t> 2M.3</w:t>
      </w:r>
      <w:r w:rsidR="00A958B5">
        <w:t xml:space="preserve"> of the Act</w:t>
      </w:r>
      <w:r w:rsidR="007B769E" w:rsidRPr="007B769E">
        <w:t xml:space="preserve"> in certain circumstances. The exemption</w:t>
      </w:r>
      <w:r w:rsidR="00773C84">
        <w:t xml:space="preserve"> </w:t>
      </w:r>
      <w:r w:rsidR="009E71A0">
        <w:t>applies where the operator has lodged</w:t>
      </w:r>
      <w:r w:rsidR="007B769E" w:rsidRPr="007B769E">
        <w:t>:</w:t>
      </w:r>
    </w:p>
    <w:p w14:paraId="5792D548" w14:textId="46E8BA6C" w:rsidR="007B769E" w:rsidRDefault="007B769E" w:rsidP="007B769E">
      <w:pPr>
        <w:pStyle w:val="LI-BodyTextParaa"/>
        <w:ind w:left="1134"/>
      </w:pPr>
      <w:r>
        <w:t>(a)</w:t>
      </w:r>
      <w:r>
        <w:tab/>
      </w:r>
      <w:r w:rsidRPr="007B769E">
        <w:t>a notice under s</w:t>
      </w:r>
      <w:r w:rsidR="00075E03">
        <w:t>ubsection</w:t>
      </w:r>
      <w:r w:rsidR="00AB6445">
        <w:t xml:space="preserve"> </w:t>
      </w:r>
      <w:r w:rsidRPr="007B769E">
        <w:t>12(5) of the Australian Passport Rules in the approved form that the winding</w:t>
      </w:r>
      <w:r w:rsidR="00A469EE">
        <w:t>-</w:t>
      </w:r>
      <w:r w:rsidRPr="007B769E">
        <w:t>up of the fund has commenced;</w:t>
      </w:r>
      <w:r w:rsidR="00A50C20">
        <w:t xml:space="preserve"> and</w:t>
      </w:r>
    </w:p>
    <w:p w14:paraId="432C217B" w14:textId="181E8481" w:rsidR="007B769E" w:rsidRPr="006C1D4D" w:rsidRDefault="007B769E" w:rsidP="006E5AFC">
      <w:pPr>
        <w:pStyle w:val="LI-BodyTextParaa"/>
        <w:ind w:left="1134"/>
      </w:pPr>
      <w:r w:rsidRPr="00F46947">
        <w:t>(b)</w:t>
      </w:r>
      <w:r w:rsidRPr="00F46947">
        <w:tab/>
      </w:r>
      <w:r w:rsidR="000E2755">
        <w:t>a copy of a notified foreign passport fund insolvency resolution</w:t>
      </w:r>
      <w:r w:rsidRPr="007B769E">
        <w:t>.</w:t>
      </w:r>
    </w:p>
    <w:p w14:paraId="6E1C88B3" w14:textId="3864A354" w:rsidR="007B769E" w:rsidRDefault="00D91C90" w:rsidP="007B769E">
      <w:pPr>
        <w:pStyle w:val="LI-BodyTextParaa"/>
        <w:ind w:left="567"/>
      </w:pPr>
      <w:r>
        <w:t>3</w:t>
      </w:r>
      <w:r w:rsidR="005066CF">
        <w:t>5</w:t>
      </w:r>
      <w:r w:rsidR="007B769E">
        <w:t>.</w:t>
      </w:r>
      <w:r w:rsidR="007B769E">
        <w:tab/>
      </w:r>
      <w:r w:rsidR="007B769E" w:rsidRPr="007B769E">
        <w:t>Complying with the financial reporting obligations in P</w:t>
      </w:r>
      <w:r w:rsidR="00075E03">
        <w:t>ar</w:t>
      </w:r>
      <w:r w:rsidR="007B769E" w:rsidRPr="007B769E">
        <w:t>t 2M.3 of the Act will impose unreasonable burdens on</w:t>
      </w:r>
      <w:r w:rsidR="008E4430">
        <w:t xml:space="preserve"> the operator of</w:t>
      </w:r>
      <w:r w:rsidR="007B769E" w:rsidRPr="007B769E">
        <w:t xml:space="preserve"> a notified foreign passport fund where </w:t>
      </w:r>
      <w:proofErr w:type="gramStart"/>
      <w:r w:rsidR="007B769E" w:rsidRPr="007B769E">
        <w:t>it is clear that the</w:t>
      </w:r>
      <w:proofErr w:type="gramEnd"/>
      <w:r w:rsidR="007B769E" w:rsidRPr="007B769E">
        <w:t xml:space="preserve"> assets of the fund are insufficient to meet the debts of the operator of the fund incurred in that capacity as and when they were due and payable.</w:t>
      </w:r>
    </w:p>
    <w:p w14:paraId="41C75FBC" w14:textId="10A3FFFD" w:rsidR="00732D36" w:rsidRPr="00B74696" w:rsidRDefault="5C13CC73" w:rsidP="000B1D9F">
      <w:pPr>
        <w:pStyle w:val="LI-BodyTextParaa"/>
        <w:tabs>
          <w:tab w:val="left" w:pos="1276"/>
        </w:tabs>
        <w:ind w:left="0" w:firstLine="0"/>
        <w:rPr>
          <w:b/>
          <w:bCs/>
          <w:i/>
          <w:iCs/>
        </w:rPr>
      </w:pPr>
      <w:r w:rsidRPr="00B74696">
        <w:rPr>
          <w:b/>
          <w:bCs/>
          <w:i/>
          <w:iCs/>
        </w:rPr>
        <w:t>Section 1</w:t>
      </w:r>
      <w:r w:rsidR="00E52F55">
        <w:rPr>
          <w:b/>
          <w:bCs/>
          <w:i/>
          <w:iCs/>
        </w:rPr>
        <w:t>9</w:t>
      </w:r>
      <w:r w:rsidR="00DF3ADF">
        <w:rPr>
          <w:b/>
          <w:bCs/>
          <w:i/>
          <w:iCs/>
        </w:rPr>
        <w:tab/>
      </w:r>
      <w:r w:rsidR="00291948" w:rsidRPr="00B74696">
        <w:rPr>
          <w:b/>
          <w:bCs/>
          <w:i/>
          <w:iCs/>
        </w:rPr>
        <w:t>Alternate disclosure required by n</w:t>
      </w:r>
      <w:r w:rsidR="00732D36" w:rsidRPr="00B74696">
        <w:rPr>
          <w:b/>
          <w:bCs/>
          <w:i/>
          <w:iCs/>
        </w:rPr>
        <w:t>otified foreign passport funds being wound up</w:t>
      </w:r>
    </w:p>
    <w:p w14:paraId="18B09940" w14:textId="6943D7A2" w:rsidR="00732D36" w:rsidRDefault="00773C84" w:rsidP="00732D36">
      <w:pPr>
        <w:pStyle w:val="LI-BodyTextParaa"/>
        <w:ind w:left="567"/>
      </w:pPr>
      <w:r>
        <w:t>3</w:t>
      </w:r>
      <w:r w:rsidR="005066CF">
        <w:t>6</w:t>
      </w:r>
      <w:r w:rsidR="00732D36">
        <w:t>.</w:t>
      </w:r>
      <w:r w:rsidR="00732D36">
        <w:tab/>
      </w:r>
      <w:r w:rsidR="00B51060">
        <w:t>T</w:t>
      </w:r>
      <w:r w:rsidR="00431326">
        <w:t xml:space="preserve">he </w:t>
      </w:r>
      <w:r w:rsidR="00B51060">
        <w:t>operator of a n</w:t>
      </w:r>
      <w:r w:rsidR="00732D36" w:rsidRPr="008D6532">
        <w:t xml:space="preserve">otified foreign passport fund that </w:t>
      </w:r>
      <w:r w:rsidR="00B51060">
        <w:t>is</w:t>
      </w:r>
      <w:r w:rsidR="00732D36" w:rsidRPr="008D6532">
        <w:t> relying on the exemption in s</w:t>
      </w:r>
      <w:r w:rsidR="00075E03">
        <w:t xml:space="preserve">ection </w:t>
      </w:r>
      <w:r w:rsidR="00A50C20">
        <w:t>11</w:t>
      </w:r>
      <w:r w:rsidR="004D10DC">
        <w:t xml:space="preserve"> of the instrument</w:t>
      </w:r>
      <w:r w:rsidR="00732D36" w:rsidRPr="008D6532">
        <w:t xml:space="preserve"> must comply with </w:t>
      </w:r>
      <w:r w:rsidR="00291948">
        <w:t xml:space="preserve">notional </w:t>
      </w:r>
      <w:r w:rsidR="00732D36" w:rsidRPr="008D6532">
        <w:t>s</w:t>
      </w:r>
      <w:r w:rsidR="00075E03">
        <w:t xml:space="preserve">ection </w:t>
      </w:r>
      <w:r w:rsidR="00732D36" w:rsidRPr="008D6532">
        <w:t>1213MA</w:t>
      </w:r>
      <w:r w:rsidR="00F038EC">
        <w:t xml:space="preserve"> (</w:t>
      </w:r>
      <w:r w:rsidR="00291948">
        <w:t>inserted by s</w:t>
      </w:r>
      <w:r w:rsidR="00075E03">
        <w:t xml:space="preserve">ection </w:t>
      </w:r>
      <w:r w:rsidR="00291948">
        <w:t>1</w:t>
      </w:r>
      <w:r w:rsidR="00CB729C">
        <w:t>9</w:t>
      </w:r>
      <w:r w:rsidR="00291948">
        <w:t xml:space="preserve"> of the instrument</w:t>
      </w:r>
      <w:r w:rsidR="00F038EC">
        <w:t>)</w:t>
      </w:r>
      <w:r w:rsidR="00732D36" w:rsidRPr="008D6532">
        <w:t>.</w:t>
      </w:r>
    </w:p>
    <w:p w14:paraId="49F3D995" w14:textId="137E3140" w:rsidR="00732D36" w:rsidRDefault="00773C84" w:rsidP="00732D36">
      <w:pPr>
        <w:pStyle w:val="LI-BodyTextParaa"/>
        <w:ind w:left="567"/>
      </w:pPr>
      <w:r>
        <w:t>3</w:t>
      </w:r>
      <w:r w:rsidR="005066CF">
        <w:t>7</w:t>
      </w:r>
      <w:r w:rsidR="00732D36">
        <w:t>.</w:t>
      </w:r>
      <w:r w:rsidR="00732D36">
        <w:tab/>
      </w:r>
      <w:r w:rsidR="00732D36" w:rsidRPr="008D6532">
        <w:t>Section 1213MA requires the operator of a notified foreign passport fund</w:t>
      </w:r>
      <w:r w:rsidR="00CB729C">
        <w:t xml:space="preserve"> </w:t>
      </w:r>
      <w:r w:rsidR="00732D36" w:rsidRPr="008D6532">
        <w:t>to make available to members</w:t>
      </w:r>
      <w:r w:rsidR="00CB729C">
        <w:t xml:space="preserve"> </w:t>
      </w:r>
      <w:r w:rsidR="00732D36" w:rsidRPr="008D6532">
        <w:t>a report</w:t>
      </w:r>
      <w:r w:rsidR="00CB729C">
        <w:t xml:space="preserve"> </w:t>
      </w:r>
      <w:r w:rsidR="00732D36" w:rsidRPr="008D6532">
        <w:t>at regular intervals</w:t>
      </w:r>
      <w:r w:rsidR="00873A0F">
        <w:t xml:space="preserve">. This report must include </w:t>
      </w:r>
      <w:r w:rsidR="00732D36" w:rsidRPr="008D6532">
        <w:t xml:space="preserve">the following information </w:t>
      </w:r>
      <w:r w:rsidR="007607C0">
        <w:t>(</w:t>
      </w:r>
      <w:r w:rsidR="00732D36" w:rsidRPr="008D6532">
        <w:t>unless the disclosure of that information would be prejudicial to the winding</w:t>
      </w:r>
      <w:r w:rsidR="007607C0">
        <w:t>-</w:t>
      </w:r>
      <w:r w:rsidR="00732D36" w:rsidRPr="008D6532">
        <w:t>up</w:t>
      </w:r>
      <w:r w:rsidR="007607C0">
        <w:t>)</w:t>
      </w:r>
      <w:r w:rsidR="00732D36" w:rsidRPr="008D6532">
        <w:t>:</w:t>
      </w:r>
    </w:p>
    <w:p w14:paraId="2AEEFED9" w14:textId="06DAA196" w:rsidR="00732D36" w:rsidRDefault="00732D36" w:rsidP="00732D36">
      <w:pPr>
        <w:pStyle w:val="LI-BodyTextParaa"/>
        <w:ind w:left="1134"/>
      </w:pPr>
      <w:r>
        <w:t>(a)</w:t>
      </w:r>
      <w:r>
        <w:tab/>
      </w:r>
      <w:r w:rsidRPr="006F5058">
        <w:t>information</w:t>
      </w:r>
      <w:r w:rsidR="00CB729C">
        <w:t xml:space="preserve"> </w:t>
      </w:r>
      <w:r w:rsidRPr="006F5058">
        <w:t>about the progress and status of the winding</w:t>
      </w:r>
      <w:r w:rsidR="00873A0F">
        <w:t>-</w:t>
      </w:r>
      <w:r w:rsidRPr="006F5058">
        <w:t>up, including details (as applicable) of:</w:t>
      </w:r>
    </w:p>
    <w:p w14:paraId="2DB39CE1" w14:textId="77777777" w:rsidR="00732D36" w:rsidRPr="006F5058" w:rsidRDefault="00732D36" w:rsidP="00732D36">
      <w:pPr>
        <w:pStyle w:val="LI-BodyTextParaa"/>
        <w:ind w:left="1134" w:firstLine="0"/>
      </w:pPr>
      <w:r w:rsidRPr="006F5058">
        <w:t>(</w:t>
      </w:r>
      <w:proofErr w:type="spellStart"/>
      <w:r w:rsidRPr="006F5058">
        <w:t>i</w:t>
      </w:r>
      <w:proofErr w:type="spellEnd"/>
      <w:r w:rsidRPr="006F5058">
        <w:t xml:space="preserve">) the actions taken during the </w:t>
      </w:r>
      <w:proofErr w:type="gramStart"/>
      <w:r w:rsidRPr="006F5058">
        <w:t>period;</w:t>
      </w:r>
      <w:proofErr w:type="gramEnd"/>
    </w:p>
    <w:p w14:paraId="5E96399B" w14:textId="52FC5E06" w:rsidR="00732D36" w:rsidRPr="006F5058" w:rsidRDefault="00732D36" w:rsidP="00732D36">
      <w:pPr>
        <w:pStyle w:val="LI-BodyTextParaa"/>
        <w:ind w:left="1134" w:firstLine="0"/>
      </w:pPr>
      <w:r w:rsidRPr="006F5058">
        <w:t>(ii) the actions required to complete the winding</w:t>
      </w:r>
      <w:r w:rsidR="004358D7">
        <w:t>-</w:t>
      </w:r>
      <w:proofErr w:type="gramStart"/>
      <w:r w:rsidRPr="006F5058">
        <w:t>up;</w:t>
      </w:r>
      <w:proofErr w:type="gramEnd"/>
    </w:p>
    <w:p w14:paraId="442CCF4B" w14:textId="77777777" w:rsidR="00732D36" w:rsidRPr="006F5058" w:rsidRDefault="00732D36" w:rsidP="00732D36">
      <w:pPr>
        <w:pStyle w:val="LI-BodyTextParaa"/>
        <w:ind w:left="1134" w:firstLine="0"/>
      </w:pPr>
      <w:r w:rsidRPr="006F5058">
        <w:t xml:space="preserve">(iii) the actions proposed to be taken in the next 12 </w:t>
      </w:r>
      <w:proofErr w:type="gramStart"/>
      <w:r w:rsidRPr="006F5058">
        <w:t>months;</w:t>
      </w:r>
      <w:proofErr w:type="gramEnd"/>
    </w:p>
    <w:p w14:paraId="06193DE0" w14:textId="5C6213F3" w:rsidR="00732D36" w:rsidRDefault="00732D36" w:rsidP="00732D36">
      <w:pPr>
        <w:pStyle w:val="LI-BodyTextParaa"/>
        <w:ind w:left="1134" w:firstLine="0"/>
      </w:pPr>
      <w:r w:rsidRPr="006F5058">
        <w:t>(iv) the expected time to complete the winding</w:t>
      </w:r>
      <w:r w:rsidR="004358D7">
        <w:t>-</w:t>
      </w:r>
      <w:r w:rsidRPr="006F5058">
        <w:t>up; and</w:t>
      </w:r>
    </w:p>
    <w:p w14:paraId="116774BF" w14:textId="1D3C626B" w:rsidR="00732D36" w:rsidRPr="006C1D4D" w:rsidRDefault="00732D36" w:rsidP="00732D36">
      <w:pPr>
        <w:pStyle w:val="LI-BodyTextParaa"/>
        <w:ind w:left="1134"/>
      </w:pPr>
      <w:r w:rsidRPr="00F46947">
        <w:t>(b)</w:t>
      </w:r>
      <w:r w:rsidRPr="00F46947">
        <w:tab/>
      </w:r>
      <w:r w:rsidRPr="006F5058">
        <w:t xml:space="preserve">financial information about receipts and payments for the </w:t>
      </w:r>
      <w:r w:rsidR="005F522F">
        <w:t>fund</w:t>
      </w:r>
      <w:r w:rsidRPr="006F5058">
        <w:t xml:space="preserve"> during the period; and</w:t>
      </w:r>
    </w:p>
    <w:p w14:paraId="48F689F8" w14:textId="77777777" w:rsidR="00732D36" w:rsidRPr="00CE18B6" w:rsidRDefault="00732D36" w:rsidP="00732D36">
      <w:pPr>
        <w:pStyle w:val="LI-BodyTextParaa"/>
        <w:ind w:left="1134"/>
        <w:rPr>
          <w:iCs/>
        </w:rPr>
      </w:pPr>
      <w:r w:rsidRPr="00610709">
        <w:t>(</w:t>
      </w:r>
      <w:r>
        <w:t>c</w:t>
      </w:r>
      <w:r w:rsidRPr="00610709">
        <w:t>)</w:t>
      </w:r>
      <w:r w:rsidRPr="00610709">
        <w:tab/>
      </w:r>
      <w:r w:rsidRPr="006F5058">
        <w:t>the following information as at the end of the period:</w:t>
      </w:r>
    </w:p>
    <w:p w14:paraId="3517CCFB" w14:textId="6C842D14" w:rsidR="00732D36" w:rsidRPr="006F5058" w:rsidRDefault="00732D36" w:rsidP="00732D36">
      <w:pPr>
        <w:pStyle w:val="LI-BodyTextParaa"/>
        <w:ind w:left="981" w:firstLine="153"/>
      </w:pPr>
      <w:r w:rsidRPr="006F5058">
        <w:t>(</w:t>
      </w:r>
      <w:proofErr w:type="spellStart"/>
      <w:r w:rsidRPr="006F5058">
        <w:t>i</w:t>
      </w:r>
      <w:proofErr w:type="spellEnd"/>
      <w:r w:rsidRPr="006F5058">
        <w:t xml:space="preserve">) the value of </w:t>
      </w:r>
      <w:r w:rsidR="005F522F">
        <w:t>fund</w:t>
      </w:r>
      <w:r w:rsidRPr="006F5058">
        <w:t>; and</w:t>
      </w:r>
    </w:p>
    <w:p w14:paraId="6D1F8383" w14:textId="3CF62AFF" w:rsidR="00732D36" w:rsidRPr="006F5058" w:rsidRDefault="00732D36" w:rsidP="00B74696">
      <w:pPr>
        <w:pStyle w:val="LI-BodyTextParaa"/>
        <w:ind w:left="1134" w:firstLine="0"/>
      </w:pPr>
      <w:r w:rsidRPr="006F5058">
        <w:t xml:space="preserve">(ii) any potential return to </w:t>
      </w:r>
      <w:r w:rsidR="005F522F">
        <w:t>fund</w:t>
      </w:r>
      <w:r w:rsidRPr="006F5058">
        <w:t xml:space="preserve"> members.</w:t>
      </w:r>
    </w:p>
    <w:p w14:paraId="6D05199F" w14:textId="4A117A23" w:rsidR="00732D36" w:rsidRPr="008D6532" w:rsidRDefault="00773C84" w:rsidP="00732D36">
      <w:pPr>
        <w:pStyle w:val="LI-BodyTextParaa"/>
        <w:ind w:left="567"/>
      </w:pPr>
      <w:r>
        <w:t>3</w:t>
      </w:r>
      <w:r w:rsidR="005066CF">
        <w:t>8</w:t>
      </w:r>
      <w:r w:rsidR="00732D36">
        <w:t>.</w:t>
      </w:r>
      <w:r w:rsidR="00732D36">
        <w:tab/>
      </w:r>
      <w:r w:rsidR="00732D36" w:rsidRPr="008D6532">
        <w:t xml:space="preserve">Section 1213MA also requires the operator of a notified foreign passport fund to have adequate arrangements in place to answer, within a reasonable </w:t>
      </w:r>
      <w:proofErr w:type="gramStart"/>
      <w:r w:rsidR="00732D36" w:rsidRPr="008D6532">
        <w:t xml:space="preserve">period of </w:t>
      </w:r>
      <w:r w:rsidR="00732D36" w:rsidRPr="008D6532">
        <w:lastRenderedPageBreak/>
        <w:t>time</w:t>
      </w:r>
      <w:proofErr w:type="gramEnd"/>
      <w:r w:rsidR="00732D36" w:rsidRPr="008D6532">
        <w:t xml:space="preserve"> and without charge, any reasonable questions asked by a member of the fund about the winding up.</w:t>
      </w:r>
    </w:p>
    <w:p w14:paraId="0BBFB95A" w14:textId="559F2F98" w:rsidR="00900E24" w:rsidRPr="00B74696" w:rsidRDefault="00F922A4" w:rsidP="0080146C">
      <w:pPr>
        <w:pStyle w:val="LI-BodyTextParaa"/>
        <w:ind w:left="0" w:firstLine="0"/>
        <w:rPr>
          <w:b/>
          <w:bCs/>
        </w:rPr>
      </w:pPr>
      <w:r w:rsidRPr="00B74696">
        <w:rPr>
          <w:b/>
          <w:bCs/>
          <w:i/>
          <w:iCs/>
        </w:rPr>
        <w:t xml:space="preserve">Section </w:t>
      </w:r>
      <w:r w:rsidR="00107518">
        <w:rPr>
          <w:b/>
          <w:bCs/>
          <w:i/>
          <w:iCs/>
        </w:rPr>
        <w:t>12</w:t>
      </w:r>
      <w:r w:rsidR="00DF3ADF">
        <w:rPr>
          <w:b/>
          <w:bCs/>
          <w:i/>
          <w:iCs/>
        </w:rPr>
        <w:tab/>
      </w:r>
      <w:r w:rsidR="00900E24" w:rsidRPr="00B74696">
        <w:rPr>
          <w:b/>
          <w:bCs/>
          <w:i/>
          <w:iCs/>
        </w:rPr>
        <w:t>Winding</w:t>
      </w:r>
      <w:r w:rsidR="00BA63C4" w:rsidRPr="500C1F5B">
        <w:rPr>
          <w:b/>
          <w:bCs/>
          <w:i/>
          <w:iCs/>
        </w:rPr>
        <w:t>-</w:t>
      </w:r>
      <w:r w:rsidR="00900E24" w:rsidRPr="00B74696">
        <w:rPr>
          <w:b/>
          <w:bCs/>
          <w:i/>
          <w:iCs/>
        </w:rPr>
        <w:t xml:space="preserve">up of sub-funds of retail </w:t>
      </w:r>
      <w:proofErr w:type="spellStart"/>
      <w:r w:rsidR="00900E24" w:rsidRPr="00B74696">
        <w:rPr>
          <w:b/>
          <w:bCs/>
          <w:i/>
          <w:iCs/>
        </w:rPr>
        <w:t>CCIVs</w:t>
      </w:r>
      <w:proofErr w:type="spellEnd"/>
    </w:p>
    <w:p w14:paraId="7A352BBA" w14:textId="5328C714" w:rsidR="00441EF6" w:rsidRDefault="00773C84" w:rsidP="00900E24">
      <w:pPr>
        <w:pStyle w:val="LI-BodyTextParaa"/>
        <w:ind w:left="567"/>
      </w:pPr>
      <w:r>
        <w:t>3</w:t>
      </w:r>
      <w:r w:rsidR="005066CF">
        <w:t>9</w:t>
      </w:r>
      <w:r w:rsidR="00900E24">
        <w:t>.</w:t>
      </w:r>
      <w:r w:rsidR="00900E24">
        <w:tab/>
        <w:t>S</w:t>
      </w:r>
      <w:r w:rsidR="00900E24" w:rsidRPr="00900E24">
        <w:t xml:space="preserve">ection </w:t>
      </w:r>
      <w:r w:rsidR="00107518">
        <w:t>12</w:t>
      </w:r>
      <w:r w:rsidR="00900E24" w:rsidRPr="00900E24">
        <w:t xml:space="preserve"> of the </w:t>
      </w:r>
      <w:r w:rsidR="0097660A">
        <w:t>i</w:t>
      </w:r>
      <w:r w:rsidR="00900E24" w:rsidRPr="00900E24">
        <w:t xml:space="preserve">nstrument </w:t>
      </w:r>
      <w:r w:rsidR="00900E24">
        <w:t xml:space="preserve">exempts </w:t>
      </w:r>
      <w:r w:rsidR="00EA2EC8">
        <w:t xml:space="preserve">a </w:t>
      </w:r>
      <w:r w:rsidR="00900E24" w:rsidRPr="00900E24">
        <w:t xml:space="preserve">retail CCIV </w:t>
      </w:r>
      <w:r w:rsidR="00900E24">
        <w:t>from having</w:t>
      </w:r>
      <w:r w:rsidR="00900E24" w:rsidRPr="00900E24">
        <w:t xml:space="preserve"> to comply with P</w:t>
      </w:r>
      <w:r w:rsidR="00075E03">
        <w:t>ar</w:t>
      </w:r>
      <w:r w:rsidR="00900E24" w:rsidRPr="00900E24">
        <w:t xml:space="preserve">t 2M.3 of the Act in relation to a sub-fund if at the date the retail CCIV was obliged to lodge a report, the sub-fund had a liquidator appointed to it. </w:t>
      </w:r>
    </w:p>
    <w:p w14:paraId="38330FD1" w14:textId="7CE79CB5" w:rsidR="00900E24" w:rsidRPr="00900E24" w:rsidRDefault="005066CF" w:rsidP="00900E24">
      <w:pPr>
        <w:pStyle w:val="LI-BodyTextParaa"/>
        <w:ind w:left="567"/>
      </w:pPr>
      <w:r>
        <w:t>40</w:t>
      </w:r>
      <w:r w:rsidR="00441EF6">
        <w:t>.</w:t>
      </w:r>
      <w:r w:rsidR="00441EF6">
        <w:tab/>
      </w:r>
      <w:r w:rsidR="00900E24" w:rsidRPr="00900E24">
        <w:t>The availability of the relief is subject to the condition that the retail CCIV must have adequate arrangements in place to answer questions asked by a member of the sub-fund about the winding up.</w:t>
      </w:r>
    </w:p>
    <w:p w14:paraId="1CF42D89" w14:textId="0714C4C4" w:rsidR="009302A4" w:rsidRPr="00B74696" w:rsidRDefault="51DD8360" w:rsidP="009E16AF">
      <w:pPr>
        <w:pStyle w:val="LI-BodyTextParaa"/>
        <w:tabs>
          <w:tab w:val="left" w:pos="1276"/>
        </w:tabs>
        <w:ind w:left="0" w:firstLine="0"/>
        <w:rPr>
          <w:b/>
          <w:bCs/>
          <w:i/>
          <w:iCs/>
        </w:rPr>
      </w:pPr>
      <w:r w:rsidRPr="035F4EEF">
        <w:rPr>
          <w:b/>
          <w:bCs/>
          <w:i/>
          <w:iCs/>
        </w:rPr>
        <w:t xml:space="preserve">Section </w:t>
      </w:r>
      <w:r w:rsidR="00657B64">
        <w:rPr>
          <w:b/>
          <w:bCs/>
          <w:i/>
          <w:iCs/>
        </w:rPr>
        <w:t>13</w:t>
      </w:r>
      <w:r w:rsidR="00DF3ADF">
        <w:rPr>
          <w:b/>
          <w:bCs/>
          <w:i/>
          <w:iCs/>
        </w:rPr>
        <w:tab/>
      </w:r>
      <w:r w:rsidR="00350E08" w:rsidRPr="00B74696">
        <w:rPr>
          <w:b/>
          <w:bCs/>
          <w:i/>
          <w:iCs/>
        </w:rPr>
        <w:t xml:space="preserve">Former AFS </w:t>
      </w:r>
      <w:r w:rsidR="009302A4" w:rsidRPr="00B74696">
        <w:rPr>
          <w:b/>
          <w:bCs/>
          <w:i/>
          <w:iCs/>
        </w:rPr>
        <w:t>licensees being wound up</w:t>
      </w:r>
    </w:p>
    <w:p w14:paraId="5E83AC72" w14:textId="2C228D03" w:rsidR="009302A4" w:rsidRDefault="005066CF" w:rsidP="009302A4">
      <w:pPr>
        <w:pStyle w:val="LI-BodyTextParaa"/>
        <w:ind w:left="567"/>
      </w:pPr>
      <w:r>
        <w:t>41</w:t>
      </w:r>
      <w:r w:rsidR="009302A4">
        <w:t>.</w:t>
      </w:r>
      <w:r w:rsidR="009302A4">
        <w:tab/>
      </w:r>
      <w:r w:rsidR="009302A4" w:rsidRPr="00B97A7C">
        <w:t>S</w:t>
      </w:r>
      <w:r w:rsidR="002B0D46">
        <w:t>ubs</w:t>
      </w:r>
      <w:r w:rsidR="009302A4" w:rsidRPr="00B97A7C">
        <w:t xml:space="preserve">ection </w:t>
      </w:r>
      <w:r w:rsidR="00657B64">
        <w:t>13</w:t>
      </w:r>
      <w:r w:rsidR="002B0D46">
        <w:t>(1)</w:t>
      </w:r>
      <w:r w:rsidR="009302A4" w:rsidRPr="00B97A7C">
        <w:t xml:space="preserve"> of the </w:t>
      </w:r>
      <w:r w:rsidR="00BB1E54">
        <w:t>i</w:t>
      </w:r>
      <w:r w:rsidR="009302A4" w:rsidRPr="00B97A7C">
        <w:t xml:space="preserve">nstrument exempts </w:t>
      </w:r>
      <w:r w:rsidR="001114CA">
        <w:t xml:space="preserve">a </w:t>
      </w:r>
      <w:r w:rsidR="009302A4" w:rsidRPr="00B97A7C">
        <w:t>compan</w:t>
      </w:r>
      <w:r w:rsidR="001114CA">
        <w:t>y</w:t>
      </w:r>
      <w:r w:rsidR="009302A4" w:rsidRPr="00B97A7C">
        <w:t xml:space="preserve"> that</w:t>
      </w:r>
      <w:r w:rsidR="001114CA">
        <w:t xml:space="preserve"> held an AFS licence </w:t>
      </w:r>
      <w:r w:rsidR="00DA1672">
        <w:t>as at the end of the</w:t>
      </w:r>
      <w:r w:rsidR="00D354A9">
        <w:t xml:space="preserve"> company’s</w:t>
      </w:r>
      <w:r w:rsidR="00DA1672">
        <w:t xml:space="preserve"> financial year </w:t>
      </w:r>
      <w:r w:rsidR="00374497">
        <w:t>from the financial reporting obligations in P</w:t>
      </w:r>
      <w:r w:rsidR="00075E03">
        <w:t>ar</w:t>
      </w:r>
      <w:r w:rsidR="00374497">
        <w:t>t 7.8 of the Act in relation to the financial year if the company</w:t>
      </w:r>
      <w:r w:rsidR="009302A4" w:rsidRPr="00B97A7C">
        <w:t xml:space="preserve"> ha</w:t>
      </w:r>
      <w:r w:rsidR="001114CA">
        <w:t>s</w:t>
      </w:r>
      <w:r w:rsidR="009302A4" w:rsidRPr="00B97A7C">
        <w:t xml:space="preserve"> a liquidator appointed</w:t>
      </w:r>
      <w:r w:rsidR="00C64C38">
        <w:t>. The company is also exempt from a</w:t>
      </w:r>
      <w:r w:rsidR="009302A4" w:rsidRPr="00B97A7C">
        <w:t>ny continuing</w:t>
      </w:r>
      <w:r w:rsidR="009E51C9">
        <w:t xml:space="preserve"> </w:t>
      </w:r>
      <w:r w:rsidR="009302A4" w:rsidRPr="00B97A7C">
        <w:t>AFS licensee financial reporting obligations</w:t>
      </w:r>
      <w:r w:rsidR="009E51C9">
        <w:t xml:space="preserve"> </w:t>
      </w:r>
      <w:r w:rsidR="009302A4" w:rsidRPr="00B97A7C">
        <w:t>that the company had not complied with before the appointment of the liquidator</w:t>
      </w:r>
      <w:r w:rsidR="009E51C9">
        <w:t xml:space="preserve"> </w:t>
      </w:r>
      <w:r w:rsidR="009302A4" w:rsidRPr="00B97A7C">
        <w:t>and before cancellation of the AFS licence.</w:t>
      </w:r>
    </w:p>
    <w:p w14:paraId="7C7B7CC8" w14:textId="3EDED65D" w:rsidR="009302A4" w:rsidRDefault="009302A4" w:rsidP="009302A4">
      <w:pPr>
        <w:pStyle w:val="LI-BodyTextParaa"/>
        <w:ind w:left="567"/>
      </w:pPr>
      <w:r>
        <w:t>4</w:t>
      </w:r>
      <w:r w:rsidR="005066CF">
        <w:t>2</w:t>
      </w:r>
      <w:r>
        <w:t>.</w:t>
      </w:r>
      <w:r>
        <w:tab/>
      </w:r>
      <w:r w:rsidR="009B6604">
        <w:t>The exemption in s</w:t>
      </w:r>
      <w:r w:rsidR="00075E03">
        <w:t xml:space="preserve">ubsection </w:t>
      </w:r>
      <w:r w:rsidR="009E51C9">
        <w:t>13</w:t>
      </w:r>
      <w:r w:rsidR="009B6604">
        <w:t xml:space="preserve">(1) of the </w:t>
      </w:r>
      <w:r w:rsidR="00BB1E54">
        <w:t>i</w:t>
      </w:r>
      <w:r w:rsidR="009B6604">
        <w:t>nstrument does not apply to a company that has an administrator appointed under P</w:t>
      </w:r>
      <w:r w:rsidR="00075E03">
        <w:t>ar</w:t>
      </w:r>
      <w:r w:rsidR="009B6604">
        <w:t>t 5.3A of the Act, is subject to a deed of company arrangement or continues to hold an AFS licence</w:t>
      </w:r>
      <w:r w:rsidR="00DA0AE7">
        <w:t>.</w:t>
      </w:r>
    </w:p>
    <w:p w14:paraId="445CEF7E" w14:textId="452713E4" w:rsidR="00B97A7C" w:rsidRPr="00B74696" w:rsidRDefault="00F922A4" w:rsidP="009E16AF">
      <w:pPr>
        <w:pStyle w:val="LI-BodyTextParaa"/>
        <w:tabs>
          <w:tab w:val="left" w:pos="1276"/>
        </w:tabs>
        <w:ind w:left="0" w:firstLine="0"/>
        <w:rPr>
          <w:b/>
          <w:bCs/>
          <w:i/>
          <w:iCs/>
        </w:rPr>
      </w:pPr>
      <w:r w:rsidRPr="00B74696">
        <w:rPr>
          <w:b/>
          <w:bCs/>
          <w:i/>
          <w:iCs/>
        </w:rPr>
        <w:t>Section 1</w:t>
      </w:r>
      <w:r w:rsidR="000172AA">
        <w:rPr>
          <w:b/>
          <w:bCs/>
          <w:i/>
          <w:iCs/>
        </w:rPr>
        <w:t>4</w:t>
      </w:r>
      <w:r w:rsidR="009E16AF">
        <w:rPr>
          <w:b/>
          <w:bCs/>
          <w:i/>
          <w:iCs/>
        </w:rPr>
        <w:tab/>
      </w:r>
      <w:r w:rsidR="00B97A7C" w:rsidRPr="00B74696">
        <w:rPr>
          <w:b/>
          <w:bCs/>
          <w:i/>
          <w:iCs/>
        </w:rPr>
        <w:t>Financial services licensees under other external administration</w:t>
      </w:r>
    </w:p>
    <w:p w14:paraId="19BA10F8" w14:textId="75935A5C" w:rsidR="00B97A7C" w:rsidRDefault="005066CF" w:rsidP="00B97A7C">
      <w:pPr>
        <w:pStyle w:val="LI-BodyTextParaa"/>
        <w:ind w:left="567"/>
      </w:pPr>
      <w:r>
        <w:t>43</w:t>
      </w:r>
      <w:r w:rsidR="00B97A7C">
        <w:t>.</w:t>
      </w:r>
      <w:r w:rsidR="00B97A7C">
        <w:tab/>
      </w:r>
      <w:r w:rsidR="00B97A7C" w:rsidRPr="00B97A7C">
        <w:t>S</w:t>
      </w:r>
      <w:r w:rsidR="00030FF1">
        <w:t>ection</w:t>
      </w:r>
      <w:r w:rsidR="00B97A7C" w:rsidRPr="00B97A7C">
        <w:t xml:space="preserve"> 1</w:t>
      </w:r>
      <w:r w:rsidR="000172AA">
        <w:t>4</w:t>
      </w:r>
      <w:r w:rsidR="00B97A7C" w:rsidRPr="00B97A7C">
        <w:t xml:space="preserve"> of</w:t>
      </w:r>
      <w:r w:rsidR="00905324">
        <w:t xml:space="preserve"> </w:t>
      </w:r>
      <w:r w:rsidR="00B97A7C" w:rsidRPr="00B97A7C">
        <w:t>the instrument</w:t>
      </w:r>
      <w:r w:rsidR="00905324">
        <w:t xml:space="preserve"> </w:t>
      </w:r>
      <w:r w:rsidR="00B97A7C" w:rsidRPr="00B97A7C">
        <w:t xml:space="preserve">extends the time for reporting under </w:t>
      </w:r>
      <w:r w:rsidR="00076176">
        <w:t>P</w:t>
      </w:r>
      <w:r w:rsidR="00075E03">
        <w:t>ar</w:t>
      </w:r>
      <w:r w:rsidR="00B97A7C" w:rsidRPr="00B97A7C">
        <w:t>t 7.8 of the Act</w:t>
      </w:r>
      <w:r w:rsidR="00905324">
        <w:t xml:space="preserve"> </w:t>
      </w:r>
      <w:r w:rsidR="00B97A7C" w:rsidRPr="00B97A7C">
        <w:t xml:space="preserve">for companies that hold an AFS licence and </w:t>
      </w:r>
      <w:r w:rsidR="00F35D6B">
        <w:t xml:space="preserve">have a relevant external administrator </w:t>
      </w:r>
      <w:r w:rsidR="00B97A7C" w:rsidRPr="00B97A7C">
        <w:t>appointed.</w:t>
      </w:r>
      <w:r w:rsidR="00412A23">
        <w:t xml:space="preserve"> </w:t>
      </w:r>
      <w:r w:rsidR="00B97A7C" w:rsidRPr="00B97A7C">
        <w:t>The exemption applies to</w:t>
      </w:r>
      <w:r w:rsidR="00412A23">
        <w:t xml:space="preserve"> A</w:t>
      </w:r>
      <w:r w:rsidR="00B97A7C" w:rsidRPr="00B97A7C">
        <w:t>FS licensee financial reporting obligations</w:t>
      </w:r>
      <w:r w:rsidR="00412A23">
        <w:t xml:space="preserve"> </w:t>
      </w:r>
      <w:r w:rsidR="00B97A7C" w:rsidRPr="00B97A7C">
        <w:t xml:space="preserve">that fall due in the six-month period following the appointment of the relevant external administrator and </w:t>
      </w:r>
      <w:r w:rsidR="00F35D6B">
        <w:t xml:space="preserve">to any </w:t>
      </w:r>
      <w:r w:rsidR="00B97A7C" w:rsidRPr="00B97A7C">
        <w:t>outstanding</w:t>
      </w:r>
      <w:r w:rsidR="00F35D6B">
        <w:t xml:space="preserve"> </w:t>
      </w:r>
      <w:r w:rsidR="00B97A7C" w:rsidRPr="00B97A7C">
        <w:t>AFS licensee financial reporting obligations</w:t>
      </w:r>
      <w:r w:rsidR="00F35D6B">
        <w:t xml:space="preserve"> </w:t>
      </w:r>
      <w:r w:rsidR="00B97A7C" w:rsidRPr="00B97A7C">
        <w:t>that were due before the appointment the relevant external administrator.</w:t>
      </w:r>
    </w:p>
    <w:p w14:paraId="1229BC7C" w14:textId="16B34F73" w:rsidR="00B97A7C" w:rsidRDefault="005066CF" w:rsidP="00B97A7C">
      <w:pPr>
        <w:pStyle w:val="LI-BodyTextParaa"/>
        <w:ind w:left="567"/>
      </w:pPr>
      <w:r>
        <w:t>44</w:t>
      </w:r>
      <w:r w:rsidR="00B97A7C">
        <w:t>.</w:t>
      </w:r>
      <w:r w:rsidR="00B97A7C">
        <w:tab/>
      </w:r>
      <w:r w:rsidR="007E2AC2">
        <w:t>The exemptions for AFS licens</w:t>
      </w:r>
      <w:r w:rsidR="00FE5D97">
        <w:t>ee financial reporting obligations in P</w:t>
      </w:r>
      <w:r w:rsidR="00075E03">
        <w:t>ar</w:t>
      </w:r>
      <w:r w:rsidR="00FE5D97">
        <w:t>t 7.8 of the Act</w:t>
      </w:r>
      <w:r w:rsidR="007E2AC2">
        <w:t xml:space="preserve"> </w:t>
      </w:r>
      <w:r w:rsidR="003D3BA1">
        <w:t xml:space="preserve">apply until the last day of the licensee deferral period (which </w:t>
      </w:r>
      <w:r w:rsidR="002A0755">
        <w:t>ends o</w:t>
      </w:r>
      <w:r w:rsidR="00E95D89">
        <w:t>n</w:t>
      </w:r>
      <w:r w:rsidR="002A0755">
        <w:t xml:space="preserve"> the day that is 6 months after the day of the appointment of the relevant external administra</w:t>
      </w:r>
      <w:r w:rsidR="00376CEB">
        <w:t>tor): see the definition of licensee deferral period in s</w:t>
      </w:r>
      <w:r w:rsidR="00670EA9">
        <w:t xml:space="preserve">ection </w:t>
      </w:r>
      <w:r w:rsidR="00376CEB">
        <w:t>4 of the instrument</w:t>
      </w:r>
      <w:r w:rsidR="00B97A7C" w:rsidRPr="00B97A7C">
        <w:t>.</w:t>
      </w:r>
      <w:r w:rsidR="0078065E">
        <w:t xml:space="preserve"> AFS licensees may also be able to rely on the deferral exemption</w:t>
      </w:r>
      <w:r w:rsidR="00FE5D97">
        <w:t xml:space="preserve"> in s</w:t>
      </w:r>
      <w:r w:rsidR="00670EA9">
        <w:t xml:space="preserve">ection </w:t>
      </w:r>
      <w:r w:rsidR="00FE5D97">
        <w:t>8 of the instrument</w:t>
      </w:r>
      <w:r w:rsidR="0078065E">
        <w:t xml:space="preserve"> for financial reporting</w:t>
      </w:r>
      <w:r w:rsidR="00FE5D97">
        <w:t xml:space="preserve"> obligations under P</w:t>
      </w:r>
      <w:r w:rsidR="00670EA9">
        <w:t>ar</w:t>
      </w:r>
      <w:r w:rsidR="00FE5D97">
        <w:t>t 2.M.3 of the Act.</w:t>
      </w:r>
    </w:p>
    <w:p w14:paraId="436539DB" w14:textId="51F01974" w:rsidR="006F5058" w:rsidRPr="00B74696" w:rsidRDefault="00362B54" w:rsidP="003715CA">
      <w:pPr>
        <w:pStyle w:val="LI-BodyTextParaa"/>
        <w:keepNext/>
        <w:keepLines/>
        <w:tabs>
          <w:tab w:val="left" w:pos="1276"/>
        </w:tabs>
        <w:ind w:left="0" w:firstLine="0"/>
        <w:rPr>
          <w:b/>
          <w:bCs/>
          <w:i/>
          <w:iCs/>
        </w:rPr>
      </w:pPr>
      <w:r w:rsidRPr="00B74696">
        <w:rPr>
          <w:b/>
          <w:bCs/>
          <w:i/>
          <w:iCs/>
        </w:rPr>
        <w:lastRenderedPageBreak/>
        <w:t>Section 1</w:t>
      </w:r>
      <w:r w:rsidR="005C7501">
        <w:rPr>
          <w:b/>
          <w:bCs/>
          <w:i/>
          <w:iCs/>
        </w:rPr>
        <w:t>5</w:t>
      </w:r>
      <w:r w:rsidR="00813AEB">
        <w:rPr>
          <w:b/>
          <w:bCs/>
          <w:i/>
          <w:iCs/>
        </w:rPr>
        <w:tab/>
      </w:r>
      <w:r w:rsidR="006F5058" w:rsidRPr="00B74696">
        <w:rPr>
          <w:b/>
          <w:bCs/>
          <w:i/>
          <w:iCs/>
        </w:rPr>
        <w:t>Effect of specifications under s915H of the Act</w:t>
      </w:r>
    </w:p>
    <w:p w14:paraId="31281D87" w14:textId="7A3A3A27" w:rsidR="006F5058" w:rsidRDefault="005066CF" w:rsidP="003715CA">
      <w:pPr>
        <w:pStyle w:val="LI-BodyTextParaa"/>
        <w:keepNext/>
        <w:keepLines/>
        <w:ind w:left="567"/>
      </w:pPr>
      <w:r>
        <w:t>45</w:t>
      </w:r>
      <w:r w:rsidR="006F5058">
        <w:t>.</w:t>
      </w:r>
      <w:r w:rsidR="006F5058">
        <w:tab/>
      </w:r>
      <w:r w:rsidR="006F5058" w:rsidRPr="006F5058">
        <w:t>Section 1</w:t>
      </w:r>
      <w:r w:rsidR="005F1385">
        <w:t>5</w:t>
      </w:r>
      <w:r w:rsidR="006F5058" w:rsidRPr="006F5058">
        <w:t xml:space="preserve"> of</w:t>
      </w:r>
      <w:r w:rsidR="005C4657">
        <w:t xml:space="preserve"> </w:t>
      </w:r>
      <w:r w:rsidR="006F5058" w:rsidRPr="006F5058">
        <w:t>the instrument</w:t>
      </w:r>
      <w:r w:rsidR="005C4657">
        <w:t xml:space="preserve"> </w:t>
      </w:r>
      <w:r w:rsidR="006F5058" w:rsidRPr="006F5058">
        <w:t>ensures that any</w:t>
      </w:r>
      <w:r w:rsidR="005C4657">
        <w:t xml:space="preserve"> </w:t>
      </w:r>
      <w:r w:rsidR="006F5058" w:rsidRPr="006F5058">
        <w:t>AFS licensee</w:t>
      </w:r>
      <w:r w:rsidR="005C4657">
        <w:t xml:space="preserve"> </w:t>
      </w:r>
      <w:r w:rsidR="006F5058" w:rsidRPr="006F5058">
        <w:t>whose licence has been cancelled or suspended and who has been given a specification under s</w:t>
      </w:r>
      <w:r w:rsidR="00670EA9">
        <w:t xml:space="preserve">ection </w:t>
      </w:r>
      <w:r w:rsidR="006F5058" w:rsidRPr="006F5058">
        <w:t>915H must comply with the specification in the event of any inconsistency with the relief under the instrument.</w:t>
      </w:r>
      <w:r w:rsidR="005C4657">
        <w:t xml:space="preserve"> </w:t>
      </w:r>
      <w:r w:rsidR="006F5058" w:rsidRPr="006F5058">
        <w:t>Under s</w:t>
      </w:r>
      <w:r w:rsidR="00670EA9">
        <w:t xml:space="preserve">ection </w:t>
      </w:r>
      <w:r w:rsidR="006F5058" w:rsidRPr="006F5058">
        <w:t>915H of the Act, ASIC may, in the written notice of suspension or cancellation of an AFS licence specify the licence continues in effect as though the suspension or cancellation had not happened for the purposes of specified provisions of the Act.</w:t>
      </w:r>
    </w:p>
    <w:p w14:paraId="6B018A8C" w14:textId="5E778313" w:rsidR="006F5058" w:rsidRDefault="00CE04FE" w:rsidP="006F5058">
      <w:pPr>
        <w:pStyle w:val="LI-BodyTextParaa"/>
        <w:ind w:left="567"/>
      </w:pPr>
      <w:r>
        <w:t>46</w:t>
      </w:r>
      <w:r w:rsidR="006F5058">
        <w:t>.</w:t>
      </w:r>
      <w:r w:rsidR="006F5058">
        <w:tab/>
      </w:r>
      <w:r w:rsidR="006F5058" w:rsidRPr="006F5058">
        <w:t>A specification under s</w:t>
      </w:r>
      <w:r w:rsidR="00670EA9">
        <w:t xml:space="preserve">ection </w:t>
      </w:r>
      <w:r w:rsidR="006F5058" w:rsidRPr="006F5058">
        <w:t>915H is an important regulatory tool by which ASIC</w:t>
      </w:r>
      <w:r w:rsidR="005C4657">
        <w:t xml:space="preserve"> </w:t>
      </w:r>
      <w:r w:rsidR="006F5058" w:rsidRPr="006F5058">
        <w:t>may require the</w:t>
      </w:r>
      <w:r w:rsidR="005C4657">
        <w:t xml:space="preserve"> </w:t>
      </w:r>
      <w:r w:rsidR="006F5058" w:rsidRPr="006F5058">
        <w:t>AFS licensee</w:t>
      </w:r>
      <w:r w:rsidR="005C4657">
        <w:t xml:space="preserve"> </w:t>
      </w:r>
      <w:r w:rsidR="006F5058" w:rsidRPr="006F5058">
        <w:t>to comply with</w:t>
      </w:r>
      <w:r w:rsidR="00981529">
        <w:t xml:space="preserve"> </w:t>
      </w:r>
      <w:r w:rsidR="006F5058" w:rsidRPr="006F5058">
        <w:t>financial reporting</w:t>
      </w:r>
      <w:r w:rsidR="005F1385">
        <w:t xml:space="preserve"> </w:t>
      </w:r>
      <w:r w:rsidR="006F5058" w:rsidRPr="006F5058">
        <w:t xml:space="preserve">obligations under </w:t>
      </w:r>
      <w:r w:rsidR="00981529">
        <w:t>P</w:t>
      </w:r>
      <w:r w:rsidR="00670EA9">
        <w:t>ar</w:t>
      </w:r>
      <w:r w:rsidR="006F5058" w:rsidRPr="006F5058">
        <w:t>t 2M.3</w:t>
      </w:r>
      <w:r w:rsidR="00981529">
        <w:t xml:space="preserve"> </w:t>
      </w:r>
      <w:r w:rsidR="006F5058" w:rsidRPr="006F5058">
        <w:t>or</w:t>
      </w:r>
      <w:r w:rsidR="00981529">
        <w:t xml:space="preserve"> P</w:t>
      </w:r>
      <w:r w:rsidR="00670EA9">
        <w:t>ar</w:t>
      </w:r>
      <w:r w:rsidR="00981529">
        <w:t>t 7.8 of the Act</w:t>
      </w:r>
      <w:r w:rsidR="006F5058" w:rsidRPr="006F5058">
        <w:t>.</w:t>
      </w:r>
    </w:p>
    <w:p w14:paraId="417E1D45" w14:textId="779E435C" w:rsidR="00BE3067" w:rsidRPr="00BE3067" w:rsidRDefault="00BE3067" w:rsidP="00BE3067">
      <w:pPr>
        <w:pStyle w:val="LI-BodyTextParaa"/>
        <w:tabs>
          <w:tab w:val="left" w:pos="1276"/>
        </w:tabs>
        <w:ind w:left="0" w:firstLine="0"/>
        <w:rPr>
          <w:b/>
          <w:bCs/>
          <w:i/>
          <w:iCs/>
        </w:rPr>
      </w:pPr>
      <w:r w:rsidRPr="00BE3067">
        <w:rPr>
          <w:b/>
          <w:bCs/>
          <w:i/>
          <w:iCs/>
        </w:rPr>
        <w:t>Section 16</w:t>
      </w:r>
      <w:r>
        <w:rPr>
          <w:b/>
          <w:bCs/>
          <w:i/>
          <w:iCs/>
        </w:rPr>
        <w:tab/>
      </w:r>
      <w:r w:rsidRPr="00BE3067">
        <w:rPr>
          <w:b/>
          <w:bCs/>
          <w:i/>
          <w:iCs/>
        </w:rPr>
        <w:t xml:space="preserve">Application for review by Administrative Review Tribunal </w:t>
      </w:r>
    </w:p>
    <w:p w14:paraId="1E35B70F" w14:textId="17FA5695" w:rsidR="00BE3067" w:rsidRPr="00AC5794" w:rsidRDefault="00CE04FE" w:rsidP="00BE3067">
      <w:pPr>
        <w:pStyle w:val="LI-BodyTextParaa"/>
        <w:ind w:left="567"/>
      </w:pPr>
      <w:r>
        <w:t>47</w:t>
      </w:r>
      <w:r w:rsidR="00BE3067" w:rsidRPr="00BE3067">
        <w:t>.</w:t>
      </w:r>
      <w:r w:rsidR="00BE3067" w:rsidRPr="00BE3067">
        <w:tab/>
        <w:t>Section 16 of the instrument to provides that applications may be made to the Administrative Review Tribunal for review of a decision by ASIC to give a notice stating that a company is excluded from relying on the deferral relief or the AGM deferral relief.</w:t>
      </w:r>
    </w:p>
    <w:p w14:paraId="4DD00793" w14:textId="5EDD2FC1" w:rsidR="00910551" w:rsidRPr="009E16AF" w:rsidRDefault="00813AEB" w:rsidP="009E16AF">
      <w:pPr>
        <w:pStyle w:val="LI-BodyTextParaa"/>
        <w:tabs>
          <w:tab w:val="left" w:pos="1276"/>
        </w:tabs>
        <w:ind w:left="0" w:firstLine="0"/>
        <w:rPr>
          <w:b/>
          <w:bCs/>
          <w:i/>
          <w:iCs/>
        </w:rPr>
      </w:pPr>
      <w:r w:rsidRPr="009E16AF">
        <w:rPr>
          <w:b/>
          <w:bCs/>
          <w:i/>
          <w:iCs/>
        </w:rPr>
        <w:t>Section 17</w:t>
      </w:r>
      <w:r w:rsidRPr="009E16AF">
        <w:rPr>
          <w:b/>
          <w:bCs/>
          <w:i/>
          <w:iCs/>
        </w:rPr>
        <w:tab/>
        <w:t>Transitional arrangements</w:t>
      </w:r>
    </w:p>
    <w:p w14:paraId="6833EEBD" w14:textId="3035A4B2" w:rsidR="00813AEB" w:rsidRPr="00813AEB" w:rsidRDefault="00CE04FE" w:rsidP="006D6079">
      <w:pPr>
        <w:pStyle w:val="LI-BodyTextParaa"/>
        <w:keepNext/>
        <w:ind w:left="567"/>
      </w:pPr>
      <w:r>
        <w:t>4</w:t>
      </w:r>
      <w:r w:rsidR="00813AEB" w:rsidRPr="00813AEB">
        <w:t>8.</w:t>
      </w:r>
      <w:r w:rsidR="00813AEB" w:rsidRPr="00813AEB">
        <w:tab/>
      </w:r>
      <w:r w:rsidR="0023413B">
        <w:t>Section 17 of the instrument continues the exemptions in s</w:t>
      </w:r>
      <w:r w:rsidR="00670EA9">
        <w:t xml:space="preserve">ections </w:t>
      </w:r>
      <w:r w:rsidR="0023413B">
        <w:t xml:space="preserve">6A and 8 of ASIC Instrument 2015/252 </w:t>
      </w:r>
      <w:r w:rsidR="00906464">
        <w:t xml:space="preserve">provided the company published the required notice under </w:t>
      </w:r>
      <w:r w:rsidR="00670EA9">
        <w:t xml:space="preserve">paragraph </w:t>
      </w:r>
      <w:r w:rsidR="00906464">
        <w:t>6A(3)(a) or 8(3)(a)</w:t>
      </w:r>
      <w:r w:rsidR="006A530A">
        <w:t>.</w:t>
      </w:r>
    </w:p>
    <w:p w14:paraId="57A93CEC" w14:textId="1A230DAB" w:rsidR="00C52E7C" w:rsidRPr="006D6079" w:rsidRDefault="00C52E7C" w:rsidP="006D6079">
      <w:pPr>
        <w:pStyle w:val="LI-BodyTextParaa"/>
        <w:keepNext/>
        <w:ind w:left="567"/>
        <w:rPr>
          <w:b/>
          <w:bCs/>
        </w:rPr>
      </w:pPr>
      <w:r w:rsidRPr="006D6079">
        <w:rPr>
          <w:b/>
          <w:bCs/>
        </w:rPr>
        <w:t xml:space="preserve">Legislative instrument </w:t>
      </w:r>
      <w:r w:rsidR="00610709" w:rsidRPr="006D6079">
        <w:rPr>
          <w:b/>
          <w:bCs/>
        </w:rPr>
        <w:t xml:space="preserve">and </w:t>
      </w:r>
      <w:r w:rsidRPr="006D6079">
        <w:rPr>
          <w:b/>
          <w:bCs/>
        </w:rPr>
        <w:t xml:space="preserve">primary legislation  </w:t>
      </w:r>
    </w:p>
    <w:p w14:paraId="362F1AEA" w14:textId="69255E97" w:rsidR="005D1770" w:rsidRDefault="00CE04FE" w:rsidP="007D42DD">
      <w:pPr>
        <w:pStyle w:val="LI-BodyTextParaa"/>
        <w:ind w:left="567"/>
      </w:pPr>
      <w:r>
        <w:t>49</w:t>
      </w:r>
      <w:r w:rsidR="00C52E7C">
        <w:t>.</w:t>
      </w:r>
      <w:r w:rsidR="00C52E7C">
        <w:tab/>
      </w:r>
      <w:r w:rsidR="007D42DD" w:rsidRPr="007D42DD">
        <w:t xml:space="preserve">The subject matter and policy implemented by the </w:t>
      </w:r>
      <w:r w:rsidR="00167156">
        <w:t>instrument</w:t>
      </w:r>
      <w:r w:rsidR="007D42DD" w:rsidRPr="007D42DD">
        <w:t xml:space="preserve"> is more appropriate for a legislative instrument than primary legislation because it provides relief where strict compliance with the primary legislation produces anomalous outcomes that would be inconsistent with the intent of the primary law.  </w:t>
      </w:r>
    </w:p>
    <w:p w14:paraId="20A80448" w14:textId="05A3B325" w:rsidR="007D42DD" w:rsidRPr="007D42DD" w:rsidRDefault="000E559F" w:rsidP="007D42DD">
      <w:pPr>
        <w:pStyle w:val="LI-BodyTextParaa"/>
        <w:ind w:left="567"/>
      </w:pPr>
      <w:r>
        <w:t>5</w:t>
      </w:r>
      <w:r w:rsidR="00CE04FE">
        <w:t>0</w:t>
      </w:r>
      <w:r w:rsidR="007D42DD">
        <w:t>.</w:t>
      </w:r>
      <w:r w:rsidR="007D42DD">
        <w:tab/>
      </w:r>
      <w:r w:rsidR="007D42DD" w:rsidRPr="007D42DD">
        <w:t xml:space="preserve">If the matters in the </w:t>
      </w:r>
      <w:r w:rsidR="00167156">
        <w:t>instrument</w:t>
      </w:r>
      <w:r w:rsidR="007D42DD" w:rsidRPr="007D42DD">
        <w:t xml:space="preserve"> were to be inserted into the primary legislation, they would insert, into an already complex statutory framework, a set of specific provisions that would apply only to a relatively small group of entities. This would result in additional cost and unnecessary complexity for other users of the primary legislation. </w:t>
      </w:r>
    </w:p>
    <w:p w14:paraId="4828665D" w14:textId="0EC27C5D" w:rsidR="009A2319" w:rsidRPr="006D6079" w:rsidRDefault="00CE04FE" w:rsidP="006D6079">
      <w:pPr>
        <w:pStyle w:val="LI-BodyTextParaa"/>
        <w:ind w:left="567"/>
        <w:rPr>
          <w:color w:val="000000"/>
          <w:shd w:val="clear" w:color="auto" w:fill="FFFFFF"/>
        </w:rPr>
      </w:pPr>
      <w:r>
        <w:rPr>
          <w:color w:val="000000"/>
        </w:rPr>
        <w:t>51</w:t>
      </w:r>
      <w:r w:rsidR="005D1770">
        <w:rPr>
          <w:color w:val="000000"/>
        </w:rPr>
        <w:t>.</w:t>
      </w:r>
      <w:r w:rsidR="005D1770">
        <w:rPr>
          <w:color w:val="000000"/>
        </w:rPr>
        <w:tab/>
        <w:t xml:space="preserve">It will be a matter for the Government and for Parliament as to whether the Act or Regulations may be amended in future to include the relief </w:t>
      </w:r>
      <w:r w:rsidR="0016728D">
        <w:rPr>
          <w:color w:val="000000"/>
        </w:rPr>
        <w:t xml:space="preserve">provided by </w:t>
      </w:r>
      <w:r w:rsidR="005D1770">
        <w:rPr>
          <w:color w:val="000000"/>
        </w:rPr>
        <w:t>the</w:t>
      </w:r>
      <w:r w:rsidR="00167156">
        <w:rPr>
          <w:color w:val="000000"/>
        </w:rPr>
        <w:t xml:space="preserve"> i</w:t>
      </w:r>
      <w:r w:rsidR="005D1770">
        <w:rPr>
          <w:color w:val="000000"/>
        </w:rPr>
        <w:t>nstrument.</w:t>
      </w:r>
    </w:p>
    <w:p w14:paraId="50EBD214" w14:textId="4B30EF95" w:rsidR="005D1770" w:rsidRDefault="00511316" w:rsidP="00F61A66">
      <w:pPr>
        <w:pStyle w:val="LI-BodyTextParaa"/>
        <w:keepNext/>
        <w:ind w:left="567"/>
        <w:rPr>
          <w:u w:val="single"/>
        </w:rPr>
      </w:pPr>
      <w:r>
        <w:rPr>
          <w:b/>
          <w:bCs/>
        </w:rPr>
        <w:t>Commencement and d</w:t>
      </w:r>
      <w:r w:rsidR="00F61A66" w:rsidRPr="006D6079">
        <w:rPr>
          <w:b/>
          <w:bCs/>
        </w:rPr>
        <w:t>uration</w:t>
      </w:r>
      <w:r w:rsidR="009A2319" w:rsidRPr="006D6079">
        <w:rPr>
          <w:b/>
          <w:bCs/>
        </w:rPr>
        <w:t xml:space="preserve"> of the instrument</w:t>
      </w:r>
      <w:r w:rsidR="00F61A66">
        <w:rPr>
          <w:u w:val="single"/>
        </w:rPr>
        <w:t xml:space="preserve"> </w:t>
      </w:r>
    </w:p>
    <w:p w14:paraId="700E42B8" w14:textId="6AABCBBD" w:rsidR="009A2319" w:rsidRPr="008E09C7" w:rsidRDefault="00CE04FE" w:rsidP="008E09C7">
      <w:pPr>
        <w:pStyle w:val="LI-BodyTextParaa"/>
        <w:ind w:left="567"/>
      </w:pPr>
      <w:r>
        <w:t>52</w:t>
      </w:r>
      <w:r w:rsidR="00F61A66" w:rsidRPr="006D6079">
        <w:t>.</w:t>
      </w:r>
      <w:r w:rsidR="00F61A66" w:rsidRPr="006D6079">
        <w:tab/>
      </w:r>
      <w:r w:rsidR="008E09C7">
        <w:t>The</w:t>
      </w:r>
      <w:r w:rsidR="00511316">
        <w:t xml:space="preserve"> instrument was made on </w:t>
      </w:r>
      <w:r w:rsidR="005A185F">
        <w:t>19 September 2025</w:t>
      </w:r>
      <w:r w:rsidR="00511316">
        <w:t xml:space="preserve"> and</w:t>
      </w:r>
      <w:r w:rsidR="00266FA6">
        <w:t xml:space="preserve"> commences on the da</w:t>
      </w:r>
      <w:r w:rsidR="000115DB">
        <w:t>y</w:t>
      </w:r>
      <w:r w:rsidR="00266FA6">
        <w:t xml:space="preserve"> after it is registered. The</w:t>
      </w:r>
      <w:r w:rsidR="008E09C7">
        <w:t xml:space="preserve"> duration of th</w:t>
      </w:r>
      <w:r w:rsidR="00C3154C">
        <w:t>e</w:t>
      </w:r>
      <w:r w:rsidR="008E09C7">
        <w:t xml:space="preserve"> </w:t>
      </w:r>
      <w:r w:rsidR="0030189E">
        <w:t>i</w:t>
      </w:r>
      <w:r w:rsidR="008E09C7">
        <w:t>nstrument is 5 years</w:t>
      </w:r>
      <w:r w:rsidR="0030189E">
        <w:t>.</w:t>
      </w:r>
    </w:p>
    <w:bookmarkEnd w:id="1"/>
    <w:p w14:paraId="6E228E05" w14:textId="77777777" w:rsidR="00F03BB5" w:rsidRDefault="00474B52" w:rsidP="006D6079">
      <w:pPr>
        <w:pStyle w:val="LI-BodyTextNumbered"/>
        <w:keepNext/>
        <w:ind w:left="0" w:firstLine="0"/>
        <w:rPr>
          <w:b/>
        </w:rPr>
      </w:pPr>
      <w:r>
        <w:rPr>
          <w:b/>
        </w:rPr>
        <w:lastRenderedPageBreak/>
        <w:t>Legislative authority</w:t>
      </w:r>
    </w:p>
    <w:p w14:paraId="3EAF355A" w14:textId="0C54F7D6" w:rsidR="009A3F74" w:rsidRDefault="00CE04FE" w:rsidP="00F558C9">
      <w:pPr>
        <w:pStyle w:val="LI-BodyTextParaa"/>
        <w:ind w:left="567"/>
      </w:pPr>
      <w:r>
        <w:t>53</w:t>
      </w:r>
      <w:r w:rsidR="00F03BB5">
        <w:t>.</w:t>
      </w:r>
      <w:r w:rsidR="00F03BB5">
        <w:tab/>
      </w:r>
      <w:r w:rsidR="008E09C7" w:rsidRPr="008E09C7">
        <w:t>Th</w:t>
      </w:r>
      <w:r w:rsidR="00C3154C">
        <w:t>e principal</w:t>
      </w:r>
      <w:r w:rsidR="008E09C7" w:rsidRPr="008E09C7">
        <w:t xml:space="preserve"> instrument is made under sections 250PAA, 341, 341A, 601QA, 992B</w:t>
      </w:r>
      <w:r w:rsidR="00B5107E">
        <w:t>,</w:t>
      </w:r>
      <w:r w:rsidR="008E09C7" w:rsidRPr="008E09C7">
        <w:t xml:space="preserve"> 1217</w:t>
      </w:r>
      <w:r w:rsidR="00B5107E">
        <w:t xml:space="preserve"> and 1</w:t>
      </w:r>
      <w:r w:rsidR="00B95587">
        <w:t>243</w:t>
      </w:r>
      <w:r w:rsidR="008E09C7" w:rsidRPr="008E09C7">
        <w:t> of the</w:t>
      </w:r>
      <w:r w:rsidR="008E09C7">
        <w:t xml:space="preserve"> Act.</w:t>
      </w:r>
    </w:p>
    <w:p w14:paraId="0AE2DC5D" w14:textId="3E895698" w:rsidR="0030189E" w:rsidRDefault="00CE04FE" w:rsidP="0030189E">
      <w:pPr>
        <w:pStyle w:val="LI-BodyTextParaa"/>
        <w:ind w:left="567"/>
      </w:pPr>
      <w:r>
        <w:t>54</w:t>
      </w:r>
      <w:r w:rsidR="0030189E">
        <w:t>.</w:t>
      </w:r>
      <w:r w:rsidR="0030189E">
        <w:tab/>
      </w:r>
      <w:r w:rsidR="0030189E" w:rsidRPr="0030189E">
        <w:t>The</w:t>
      </w:r>
      <w:r w:rsidR="00C3154C">
        <w:t xml:space="preserve"> principal</w:t>
      </w:r>
      <w:r w:rsidR="0030189E" w:rsidRPr="0030189E">
        <w:t xml:space="preserve"> </w:t>
      </w:r>
      <w:r w:rsidR="0030189E">
        <w:t>i</w:t>
      </w:r>
      <w:r w:rsidR="0030189E" w:rsidRPr="0030189E">
        <w:t>nstrument is a disallowable legislative instrument.  </w:t>
      </w:r>
    </w:p>
    <w:p w14:paraId="4D930F2D" w14:textId="77777777" w:rsidR="00EA17A6" w:rsidRPr="00EA17A6" w:rsidRDefault="00EA17A6" w:rsidP="006D6079">
      <w:pPr>
        <w:pStyle w:val="LI-BodyTextNumbered"/>
        <w:keepNext/>
        <w:ind w:left="0" w:firstLine="0"/>
        <w:rPr>
          <w:b/>
        </w:rPr>
      </w:pPr>
      <w:r w:rsidRPr="00EA17A6">
        <w:rPr>
          <w:b/>
        </w:rPr>
        <w:t xml:space="preserve">Statement of Compatibility with Human Rights  </w:t>
      </w:r>
    </w:p>
    <w:p w14:paraId="1DBA07BE" w14:textId="54A35961" w:rsidR="00223DCF" w:rsidRPr="00EA17A6" w:rsidRDefault="00CE04FE" w:rsidP="00435EEF">
      <w:pPr>
        <w:pStyle w:val="LI-BodyTextParaa"/>
        <w:ind w:left="567"/>
      </w:pPr>
      <w:r>
        <w:t>55</w:t>
      </w:r>
      <w:r w:rsidR="00223DCF" w:rsidRPr="00EA17A6">
        <w:t>.</w:t>
      </w:r>
      <w:r w:rsidR="00223DCF" w:rsidRPr="00EA17A6">
        <w:tab/>
        <w:t xml:space="preserve">The Explanatory Statement for a disallowable legislative instrument must contain a Statement of Compatibility with Human Rights under subsection 9(1) of the </w:t>
      </w:r>
      <w:r w:rsidR="00223DCF" w:rsidRPr="00EA17A6">
        <w:rPr>
          <w:i/>
          <w:iCs/>
        </w:rPr>
        <w:t>Human Rights (Parliamentary Scrutiny) Act 2011.</w:t>
      </w:r>
      <w:r w:rsidR="00223DCF" w:rsidRPr="00EA17A6">
        <w:rPr>
          <w:iCs/>
        </w:rPr>
        <w:t xml:space="preserve"> </w:t>
      </w:r>
      <w:r w:rsidR="00223DCF" w:rsidRPr="00EA17A6">
        <w:t xml:space="preserve">A Statement of Compatibility with Human Rights is in the </w:t>
      </w:r>
      <w:r w:rsidR="00223DCF" w:rsidRPr="00EA17A6">
        <w:rPr>
          <w:u w:val="single"/>
        </w:rPr>
        <w:t>Attachment</w:t>
      </w:r>
      <w:r w:rsidR="00223DCF" w:rsidRPr="00EA17A6">
        <w:t xml:space="preserve">. </w:t>
      </w:r>
    </w:p>
    <w:p w14:paraId="04C7C810" w14:textId="77777777" w:rsidR="00223DCF" w:rsidRPr="00EA17A6" w:rsidRDefault="00223DCF" w:rsidP="00223DCF">
      <w:pPr>
        <w:pStyle w:val="LI-BodyTextParaa"/>
        <w:ind w:left="567"/>
        <w:jc w:val="right"/>
        <w:rPr>
          <w:u w:val="single"/>
        </w:rPr>
      </w:pPr>
      <w:r>
        <w:rPr>
          <w:color w:val="FF0000"/>
        </w:rPr>
        <w:br w:type="page"/>
      </w:r>
      <w:r w:rsidRPr="00EA17A6">
        <w:rPr>
          <w:u w:val="single"/>
        </w:rPr>
        <w:lastRenderedPageBreak/>
        <w:t xml:space="preserve">Attachment </w:t>
      </w:r>
    </w:p>
    <w:p w14:paraId="7F52BE96" w14:textId="77777777" w:rsidR="00A15512" w:rsidRPr="00EA17A6" w:rsidRDefault="001E77ED" w:rsidP="00223DCF">
      <w:pPr>
        <w:pStyle w:val="LI-BodyTextParaa"/>
        <w:ind w:left="567"/>
        <w:jc w:val="center"/>
        <w:rPr>
          <w:b/>
          <w:sz w:val="28"/>
          <w:szCs w:val="28"/>
        </w:rPr>
      </w:pPr>
      <w:r w:rsidRPr="00EA17A6">
        <w:rPr>
          <w:b/>
          <w:sz w:val="28"/>
          <w:szCs w:val="28"/>
        </w:rPr>
        <w:t xml:space="preserve">Statement of </w:t>
      </w:r>
      <w:r w:rsidR="00223DCF" w:rsidRPr="00EA17A6">
        <w:rPr>
          <w:b/>
          <w:sz w:val="28"/>
          <w:szCs w:val="28"/>
        </w:rPr>
        <w:t>C</w:t>
      </w:r>
      <w:r w:rsidRPr="00EA17A6">
        <w:rPr>
          <w:b/>
          <w:sz w:val="28"/>
          <w:szCs w:val="28"/>
        </w:rPr>
        <w:t xml:space="preserve">ompatibility with </w:t>
      </w:r>
      <w:r w:rsidR="00223DCF" w:rsidRPr="00EA17A6">
        <w:rPr>
          <w:b/>
          <w:sz w:val="28"/>
          <w:szCs w:val="28"/>
        </w:rPr>
        <w:t>H</w:t>
      </w:r>
      <w:r w:rsidRPr="00EA17A6">
        <w:rPr>
          <w:b/>
          <w:sz w:val="28"/>
          <w:szCs w:val="28"/>
        </w:rPr>
        <w:t xml:space="preserve">uman </w:t>
      </w:r>
      <w:r w:rsidR="00223DCF" w:rsidRPr="00EA17A6">
        <w:rPr>
          <w:b/>
          <w:sz w:val="28"/>
          <w:szCs w:val="28"/>
        </w:rPr>
        <w:t>R</w:t>
      </w:r>
      <w:r w:rsidRPr="00EA17A6">
        <w:rPr>
          <w:b/>
          <w:sz w:val="28"/>
          <w:szCs w:val="28"/>
        </w:rPr>
        <w:t>ights</w:t>
      </w:r>
    </w:p>
    <w:p w14:paraId="24668A36" w14:textId="77777777" w:rsidR="00AE787B" w:rsidRPr="00EA17A6" w:rsidRDefault="00AE787B" w:rsidP="00223DCF">
      <w:pPr>
        <w:pStyle w:val="LI-BodyTextNumbered"/>
        <w:ind w:left="0" w:firstLine="0"/>
        <w:rPr>
          <w:iCs/>
        </w:rPr>
      </w:pPr>
      <w:bookmarkStart w:id="2" w:name="_Hlk534286677"/>
    </w:p>
    <w:p w14:paraId="0CD10E11" w14:textId="77777777" w:rsidR="00223DCF" w:rsidRPr="00EA17A6" w:rsidRDefault="00223DCF" w:rsidP="00223DCF">
      <w:pPr>
        <w:pStyle w:val="LI-BodyTextNumbered"/>
        <w:ind w:left="0" w:firstLine="0"/>
        <w:rPr>
          <w:iCs/>
        </w:rPr>
      </w:pPr>
      <w:r w:rsidRPr="00EA17A6">
        <w:rPr>
          <w:iCs/>
        </w:rPr>
        <w:t xml:space="preserve">This Statement of Compatibility with Human Rights is prepared in accordance with Part 3 of </w:t>
      </w:r>
      <w:bookmarkStart w:id="3" w:name="_Hlk4054932"/>
      <w:r w:rsidRPr="00EA17A6">
        <w:rPr>
          <w:iCs/>
        </w:rPr>
        <w:t xml:space="preserve">the </w:t>
      </w:r>
      <w:r w:rsidRPr="00EA17A6">
        <w:rPr>
          <w:i/>
          <w:iCs/>
        </w:rPr>
        <w:t>Human Rights (Parliamentary Scrutiny) Act 2011</w:t>
      </w:r>
      <w:bookmarkEnd w:id="3"/>
      <w:r w:rsidRPr="00EA17A6">
        <w:rPr>
          <w:iCs/>
        </w:rPr>
        <w:t xml:space="preserve">.   </w:t>
      </w:r>
    </w:p>
    <w:p w14:paraId="44299199" w14:textId="77777777" w:rsidR="00CE0883" w:rsidRPr="00CE0883" w:rsidRDefault="00CE0883" w:rsidP="001872DC">
      <w:pPr>
        <w:pStyle w:val="LI-BodyTextNumbered"/>
        <w:ind w:left="567"/>
        <w:rPr>
          <w:b/>
          <w:bCs/>
          <w:i/>
          <w:iCs/>
        </w:rPr>
      </w:pPr>
      <w:r w:rsidRPr="00CE0883">
        <w:rPr>
          <w:b/>
          <w:bCs/>
          <w:i/>
          <w:iCs/>
        </w:rPr>
        <w:t>ASIC Corporations (</w:t>
      </w:r>
      <w:proofErr w:type="gramStart"/>
      <w:r w:rsidRPr="00CE0883">
        <w:rPr>
          <w:b/>
          <w:bCs/>
          <w:i/>
          <w:iCs/>
        </w:rPr>
        <w:t>Externally-Administered</w:t>
      </w:r>
      <w:proofErr w:type="gramEnd"/>
      <w:r w:rsidRPr="00CE0883">
        <w:rPr>
          <w:b/>
          <w:bCs/>
          <w:i/>
          <w:iCs/>
        </w:rPr>
        <w:t xml:space="preserve"> Bodies) Instrument 2025/584</w:t>
      </w:r>
    </w:p>
    <w:p w14:paraId="0AD76C9D" w14:textId="3CF95473" w:rsidR="00223DCF" w:rsidRPr="00EA17A6" w:rsidRDefault="00223DCF" w:rsidP="001872DC">
      <w:pPr>
        <w:pStyle w:val="LI-BodyTextNumbered"/>
        <w:ind w:left="567"/>
        <w:rPr>
          <w:u w:val="single"/>
        </w:rPr>
      </w:pPr>
      <w:r w:rsidRPr="00EA17A6">
        <w:rPr>
          <w:u w:val="single"/>
        </w:rPr>
        <w:t>Overview</w:t>
      </w:r>
    </w:p>
    <w:p w14:paraId="056E764A" w14:textId="4A62C8A9" w:rsidR="00CB2D96" w:rsidRPr="00CE0883" w:rsidRDefault="00CB2D96" w:rsidP="00CB2D96">
      <w:pPr>
        <w:spacing w:before="240" w:line="240" w:lineRule="auto"/>
        <w:ind w:left="567" w:hanging="567"/>
        <w:rPr>
          <w:rFonts w:eastAsia="Times New Roman"/>
          <w:sz w:val="24"/>
          <w:szCs w:val="24"/>
          <w:lang w:eastAsia="en-AU"/>
        </w:rPr>
      </w:pPr>
      <w:r w:rsidRPr="00EA17A6">
        <w:rPr>
          <w:rFonts w:eastAsia="Times New Roman"/>
          <w:sz w:val="24"/>
          <w:szCs w:val="24"/>
          <w:lang w:eastAsia="en-AU"/>
        </w:rPr>
        <w:t>1.</w:t>
      </w:r>
      <w:r w:rsidRPr="00EA17A6">
        <w:rPr>
          <w:rFonts w:eastAsia="Times New Roman"/>
          <w:sz w:val="24"/>
          <w:szCs w:val="24"/>
          <w:lang w:eastAsia="en-AU"/>
        </w:rPr>
        <w:tab/>
      </w:r>
      <w:r w:rsidR="00CE0883" w:rsidRPr="00CE0883">
        <w:rPr>
          <w:i/>
          <w:iCs/>
        </w:rPr>
        <w:t>ASIC Corporations (</w:t>
      </w:r>
      <w:proofErr w:type="gramStart"/>
      <w:r w:rsidR="00CE0883" w:rsidRPr="00CE0883">
        <w:rPr>
          <w:i/>
          <w:iCs/>
        </w:rPr>
        <w:t>Externally-Administered</w:t>
      </w:r>
      <w:proofErr w:type="gramEnd"/>
      <w:r w:rsidR="00CE0883" w:rsidRPr="00CE0883">
        <w:rPr>
          <w:i/>
          <w:iCs/>
        </w:rPr>
        <w:t xml:space="preserve"> Bodies) Instrument 2025/584</w:t>
      </w:r>
      <w:r w:rsidR="00CE0883">
        <w:rPr>
          <w:i/>
          <w:iCs/>
        </w:rPr>
        <w:t xml:space="preserve"> </w:t>
      </w:r>
      <w:r w:rsidR="00CE0883">
        <w:t xml:space="preserve">provides relief to certain externally administered entities by easing financial reporting and AGM obligations. </w:t>
      </w:r>
    </w:p>
    <w:p w14:paraId="79BCB1A5" w14:textId="77777777" w:rsidR="001872DC" w:rsidRPr="00EA17A6" w:rsidRDefault="001872DC" w:rsidP="001872DC">
      <w:pPr>
        <w:pStyle w:val="LI-BodyTextNumbered"/>
        <w:ind w:left="567"/>
        <w:rPr>
          <w:u w:val="single"/>
        </w:rPr>
      </w:pPr>
      <w:bookmarkStart w:id="4" w:name="_Hlk534286807"/>
      <w:bookmarkEnd w:id="2"/>
      <w:r w:rsidRPr="00EA17A6">
        <w:rPr>
          <w:u w:val="single"/>
        </w:rPr>
        <w:t>Assessment of human rights implications</w:t>
      </w:r>
    </w:p>
    <w:p w14:paraId="56F8130E" w14:textId="6FA56A2F" w:rsidR="00946759" w:rsidRPr="00EA17A6" w:rsidRDefault="00CB2D96" w:rsidP="00D306F8">
      <w:pPr>
        <w:pStyle w:val="LI-BodyTextNumbered"/>
        <w:ind w:left="567"/>
      </w:pPr>
      <w:r w:rsidRPr="00EA17A6">
        <w:t>2</w:t>
      </w:r>
      <w:r w:rsidR="001872DC" w:rsidRPr="00EA17A6">
        <w:t>.</w:t>
      </w:r>
      <w:r w:rsidR="001872DC" w:rsidRPr="00EA17A6">
        <w:tab/>
      </w:r>
      <w:bookmarkEnd w:id="4"/>
      <w:r w:rsidR="001872DC" w:rsidRPr="00EA17A6">
        <w:t xml:space="preserve">This instrument </w:t>
      </w:r>
      <w:r w:rsidR="00D306F8" w:rsidRPr="00EA17A6">
        <w:t>does not engage any of the applicable rights or freedoms</w:t>
      </w:r>
      <w:r w:rsidR="00CE0883">
        <w:t>.</w:t>
      </w:r>
    </w:p>
    <w:p w14:paraId="05FFF3B4" w14:textId="77777777" w:rsidR="00CB2D96" w:rsidRPr="00EA17A6" w:rsidRDefault="00CB2D96" w:rsidP="00D306F8">
      <w:pPr>
        <w:pStyle w:val="LI-BodyTextNumbered"/>
        <w:ind w:left="567"/>
        <w:rPr>
          <w:u w:val="single"/>
        </w:rPr>
      </w:pPr>
      <w:r w:rsidRPr="00EA17A6">
        <w:rPr>
          <w:u w:val="single"/>
        </w:rPr>
        <w:t>Conclusion</w:t>
      </w:r>
    </w:p>
    <w:p w14:paraId="4734FE48" w14:textId="77777777" w:rsidR="00CB2D96" w:rsidRPr="00EA17A6" w:rsidRDefault="00CB2D96" w:rsidP="00CB2D96">
      <w:pPr>
        <w:pStyle w:val="LI-BodyTextNumbered"/>
        <w:ind w:left="567"/>
      </w:pPr>
      <w:r w:rsidRPr="00EA17A6">
        <w:t>3.</w:t>
      </w:r>
      <w:r w:rsidRPr="00EA17A6">
        <w:tab/>
        <w:t xml:space="preserve">This instrument is compatible with the human rights and freedoms recognised or declared in the international instruments listed in section 3 of </w:t>
      </w:r>
      <w:r w:rsidRPr="00EA17A6">
        <w:rPr>
          <w:iCs/>
        </w:rPr>
        <w:t xml:space="preserve">the </w:t>
      </w:r>
      <w:r w:rsidRPr="00EA17A6">
        <w:rPr>
          <w:i/>
          <w:iCs/>
        </w:rPr>
        <w:t>Human Rights (Parliamentary Scrutiny) Act 2011</w:t>
      </w:r>
      <w:r w:rsidRPr="00EA17A6">
        <w:t>.</w:t>
      </w:r>
    </w:p>
    <w:p w14:paraId="570BEB58" w14:textId="77777777" w:rsidR="00CB2D96" w:rsidRPr="00EA17A6" w:rsidRDefault="00CB2D96" w:rsidP="00D306F8">
      <w:pPr>
        <w:pStyle w:val="LI-BodyTextNumbered"/>
        <w:ind w:left="567"/>
      </w:pPr>
    </w:p>
    <w:sectPr w:rsidR="00CB2D96" w:rsidRPr="00EA17A6" w:rsidSect="00863657">
      <w:headerReference w:type="even" r:id="rId15"/>
      <w:headerReference w:type="default" r:id="rId16"/>
      <w:footerReference w:type="default" r:id="rId17"/>
      <w:pgSz w:w="11907" w:h="16839" w:code="9"/>
      <w:pgMar w:top="1537"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A4863" w14:textId="77777777" w:rsidR="00FE5C50" w:rsidRDefault="00FE5C50" w:rsidP="00715914">
      <w:pPr>
        <w:spacing w:line="240" w:lineRule="auto"/>
      </w:pPr>
      <w:r>
        <w:separator/>
      </w:r>
    </w:p>
  </w:endnote>
  <w:endnote w:type="continuationSeparator" w:id="0">
    <w:p w14:paraId="17C2322A" w14:textId="77777777" w:rsidR="00FE5C50" w:rsidRDefault="00FE5C50" w:rsidP="00715914">
      <w:pPr>
        <w:spacing w:line="240" w:lineRule="auto"/>
      </w:pPr>
      <w:r>
        <w:continuationSeparator/>
      </w:r>
    </w:p>
  </w:endnote>
  <w:endnote w:type="continuationNotice" w:id="1">
    <w:p w14:paraId="16C4CA5E" w14:textId="77777777" w:rsidR="00FE5C50" w:rsidRDefault="00FE5C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3F61" w14:textId="77777777" w:rsidR="00863657" w:rsidRDefault="00863657">
    <w:pPr>
      <w:pStyle w:val="Footer"/>
      <w:jc w:val="center"/>
    </w:pPr>
    <w:r>
      <w:fldChar w:fldCharType="begin"/>
    </w:r>
    <w:r>
      <w:instrText xml:space="preserve"> PAGE   \* MERGEFORMAT </w:instrText>
    </w:r>
    <w:r>
      <w:fldChar w:fldCharType="separate"/>
    </w:r>
    <w:r>
      <w:rPr>
        <w:noProof/>
      </w:rPr>
      <w:t>2</w:t>
    </w:r>
    <w:r>
      <w:rPr>
        <w:noProof/>
      </w:rPr>
      <w:fldChar w:fldCharType="end"/>
    </w:r>
  </w:p>
  <w:p w14:paraId="22ED3D50" w14:textId="77777777" w:rsidR="00863657" w:rsidRDefault="00863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CD90C" w14:textId="77777777" w:rsidR="00FE5C50" w:rsidRDefault="00FE5C50" w:rsidP="00715914">
      <w:pPr>
        <w:spacing w:line="240" w:lineRule="auto"/>
      </w:pPr>
      <w:r>
        <w:separator/>
      </w:r>
    </w:p>
  </w:footnote>
  <w:footnote w:type="continuationSeparator" w:id="0">
    <w:p w14:paraId="7CD7138D" w14:textId="77777777" w:rsidR="00FE5C50" w:rsidRDefault="00FE5C50" w:rsidP="00715914">
      <w:pPr>
        <w:spacing w:line="240" w:lineRule="auto"/>
      </w:pPr>
      <w:r>
        <w:continuationSeparator/>
      </w:r>
    </w:p>
  </w:footnote>
  <w:footnote w:type="continuationNotice" w:id="1">
    <w:p w14:paraId="01CCB53E" w14:textId="77777777" w:rsidR="00FE5C50" w:rsidRDefault="00FE5C5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83CE4" w14:textId="77777777" w:rsidR="00E2168B" w:rsidRPr="00243EC0" w:rsidRDefault="00E2168B"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4253"/>
      <w:gridCol w:w="4060"/>
    </w:tblGrid>
    <w:tr w:rsidR="00F4215A" w:rsidRPr="00E40FF8" w14:paraId="243A6639" w14:textId="77777777" w:rsidTr="001E77ED">
      <w:tc>
        <w:tcPr>
          <w:tcW w:w="4253" w:type="dxa"/>
        </w:tcPr>
        <w:p w14:paraId="4D19EF3A" w14:textId="77777777" w:rsidR="00F4215A" w:rsidRDefault="00F4215A" w:rsidP="00E40FF8">
          <w:pPr>
            <w:pStyle w:val="LI-Header"/>
            <w:pBdr>
              <w:bottom w:val="none" w:sz="0" w:space="0" w:color="auto"/>
            </w:pBdr>
            <w:jc w:val="left"/>
          </w:pPr>
        </w:p>
      </w:tc>
      <w:tc>
        <w:tcPr>
          <w:tcW w:w="4060" w:type="dxa"/>
        </w:tcPr>
        <w:p w14:paraId="76FB5D62" w14:textId="77777777" w:rsidR="00F4215A" w:rsidRDefault="00F4215A" w:rsidP="00F03BB5">
          <w:pPr>
            <w:pStyle w:val="LI-BodyTextNumbered"/>
          </w:pPr>
        </w:p>
      </w:tc>
    </w:tr>
  </w:tbl>
  <w:p w14:paraId="6F7068A7" w14:textId="77777777" w:rsidR="0040053F" w:rsidRPr="00F4215A" w:rsidRDefault="0040053F" w:rsidP="00F42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59868421">
    <w:abstractNumId w:val="9"/>
  </w:num>
  <w:num w:numId="2" w16cid:durableId="223107082">
    <w:abstractNumId w:val="7"/>
  </w:num>
  <w:num w:numId="3" w16cid:durableId="738407609">
    <w:abstractNumId w:val="6"/>
  </w:num>
  <w:num w:numId="4" w16cid:durableId="917132900">
    <w:abstractNumId w:val="5"/>
  </w:num>
  <w:num w:numId="5" w16cid:durableId="464547238">
    <w:abstractNumId w:val="4"/>
  </w:num>
  <w:num w:numId="6" w16cid:durableId="1346859651">
    <w:abstractNumId w:val="8"/>
  </w:num>
  <w:num w:numId="7" w16cid:durableId="846990079">
    <w:abstractNumId w:val="3"/>
  </w:num>
  <w:num w:numId="8" w16cid:durableId="697703092">
    <w:abstractNumId w:val="2"/>
  </w:num>
  <w:num w:numId="9" w16cid:durableId="1148012361">
    <w:abstractNumId w:val="1"/>
  </w:num>
  <w:num w:numId="10" w16cid:durableId="166410172">
    <w:abstractNumId w:val="0"/>
  </w:num>
  <w:num w:numId="11" w16cid:durableId="330446348">
    <w:abstractNumId w:val="12"/>
  </w:num>
  <w:num w:numId="12" w16cid:durableId="1380130046">
    <w:abstractNumId w:val="10"/>
  </w:num>
  <w:num w:numId="13" w16cid:durableId="1614940614">
    <w:abstractNumId w:val="11"/>
  </w:num>
  <w:num w:numId="14" w16cid:durableId="15736165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saveSubsetFonts/>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253D"/>
    <w:rsid w:val="00004470"/>
    <w:rsid w:val="00005446"/>
    <w:rsid w:val="00010C75"/>
    <w:rsid w:val="000115DB"/>
    <w:rsid w:val="000136AF"/>
    <w:rsid w:val="00013B8D"/>
    <w:rsid w:val="00015053"/>
    <w:rsid w:val="00015719"/>
    <w:rsid w:val="000172AA"/>
    <w:rsid w:val="00021B8F"/>
    <w:rsid w:val="0002308F"/>
    <w:rsid w:val="00023D53"/>
    <w:rsid w:val="000242A8"/>
    <w:rsid w:val="00030FF1"/>
    <w:rsid w:val="00032092"/>
    <w:rsid w:val="00036F5F"/>
    <w:rsid w:val="00043607"/>
    <w:rsid w:val="000437C1"/>
    <w:rsid w:val="00044717"/>
    <w:rsid w:val="000460B2"/>
    <w:rsid w:val="00052F7D"/>
    <w:rsid w:val="0005365D"/>
    <w:rsid w:val="000541B1"/>
    <w:rsid w:val="000614BF"/>
    <w:rsid w:val="0006250C"/>
    <w:rsid w:val="00066448"/>
    <w:rsid w:val="00070FBB"/>
    <w:rsid w:val="00071EE4"/>
    <w:rsid w:val="0007313C"/>
    <w:rsid w:val="00075E03"/>
    <w:rsid w:val="00076176"/>
    <w:rsid w:val="000771B7"/>
    <w:rsid w:val="00081794"/>
    <w:rsid w:val="000843D5"/>
    <w:rsid w:val="00084FF4"/>
    <w:rsid w:val="0008584D"/>
    <w:rsid w:val="00094A6B"/>
    <w:rsid w:val="00097DCB"/>
    <w:rsid w:val="000A142F"/>
    <w:rsid w:val="000A1DB2"/>
    <w:rsid w:val="000A2CDC"/>
    <w:rsid w:val="000A57E2"/>
    <w:rsid w:val="000A6B9E"/>
    <w:rsid w:val="000A6C39"/>
    <w:rsid w:val="000A6EF0"/>
    <w:rsid w:val="000A7C19"/>
    <w:rsid w:val="000B1D9F"/>
    <w:rsid w:val="000B58FA"/>
    <w:rsid w:val="000B6257"/>
    <w:rsid w:val="000B6BA2"/>
    <w:rsid w:val="000C0C6C"/>
    <w:rsid w:val="000C2FFE"/>
    <w:rsid w:val="000C39F6"/>
    <w:rsid w:val="000C4A5D"/>
    <w:rsid w:val="000C55A0"/>
    <w:rsid w:val="000C7A85"/>
    <w:rsid w:val="000D041F"/>
    <w:rsid w:val="000D05EF"/>
    <w:rsid w:val="000D2BB5"/>
    <w:rsid w:val="000D40AD"/>
    <w:rsid w:val="000E2261"/>
    <w:rsid w:val="000E2755"/>
    <w:rsid w:val="000E28D4"/>
    <w:rsid w:val="000E3C2E"/>
    <w:rsid w:val="000E559F"/>
    <w:rsid w:val="000E6BE8"/>
    <w:rsid w:val="000F162C"/>
    <w:rsid w:val="000F21C1"/>
    <w:rsid w:val="000F6CCB"/>
    <w:rsid w:val="00102CA6"/>
    <w:rsid w:val="00105E96"/>
    <w:rsid w:val="001068F7"/>
    <w:rsid w:val="00106930"/>
    <w:rsid w:val="0010745C"/>
    <w:rsid w:val="00107518"/>
    <w:rsid w:val="001114CA"/>
    <w:rsid w:val="001134F9"/>
    <w:rsid w:val="00125141"/>
    <w:rsid w:val="001319D6"/>
    <w:rsid w:val="00131D6B"/>
    <w:rsid w:val="00132CEB"/>
    <w:rsid w:val="00134533"/>
    <w:rsid w:val="00135E06"/>
    <w:rsid w:val="001375CF"/>
    <w:rsid w:val="00142B62"/>
    <w:rsid w:val="001465E4"/>
    <w:rsid w:val="00153B32"/>
    <w:rsid w:val="00157B8B"/>
    <w:rsid w:val="00157F25"/>
    <w:rsid w:val="001624E1"/>
    <w:rsid w:val="00166C2F"/>
    <w:rsid w:val="00167156"/>
    <w:rsid w:val="0016728D"/>
    <w:rsid w:val="00171A6E"/>
    <w:rsid w:val="00173429"/>
    <w:rsid w:val="00173D98"/>
    <w:rsid w:val="00174915"/>
    <w:rsid w:val="00175C4D"/>
    <w:rsid w:val="001778F9"/>
    <w:rsid w:val="001809D7"/>
    <w:rsid w:val="001818F0"/>
    <w:rsid w:val="00183D2C"/>
    <w:rsid w:val="001840A7"/>
    <w:rsid w:val="00184A0C"/>
    <w:rsid w:val="001863C3"/>
    <w:rsid w:val="0018659E"/>
    <w:rsid w:val="001872DC"/>
    <w:rsid w:val="00193637"/>
    <w:rsid w:val="00193673"/>
    <w:rsid w:val="001939E1"/>
    <w:rsid w:val="00194049"/>
    <w:rsid w:val="0019444A"/>
    <w:rsid w:val="00194C3E"/>
    <w:rsid w:val="00195382"/>
    <w:rsid w:val="00195BD4"/>
    <w:rsid w:val="0019695C"/>
    <w:rsid w:val="001A4924"/>
    <w:rsid w:val="001A636A"/>
    <w:rsid w:val="001A6F40"/>
    <w:rsid w:val="001B36EF"/>
    <w:rsid w:val="001B3CD7"/>
    <w:rsid w:val="001B4AC8"/>
    <w:rsid w:val="001B4F15"/>
    <w:rsid w:val="001C4D9B"/>
    <w:rsid w:val="001C5E2C"/>
    <w:rsid w:val="001C61C5"/>
    <w:rsid w:val="001C69C4"/>
    <w:rsid w:val="001C7304"/>
    <w:rsid w:val="001C7589"/>
    <w:rsid w:val="001D03A0"/>
    <w:rsid w:val="001D1493"/>
    <w:rsid w:val="001D221D"/>
    <w:rsid w:val="001D2906"/>
    <w:rsid w:val="001D37EF"/>
    <w:rsid w:val="001E2C54"/>
    <w:rsid w:val="001E3590"/>
    <w:rsid w:val="001E3D94"/>
    <w:rsid w:val="001E7407"/>
    <w:rsid w:val="001E77ED"/>
    <w:rsid w:val="001E7E2B"/>
    <w:rsid w:val="001F02B1"/>
    <w:rsid w:val="001F09D7"/>
    <w:rsid w:val="001F29B4"/>
    <w:rsid w:val="001F5A06"/>
    <w:rsid w:val="001F5D5E"/>
    <w:rsid w:val="001F6219"/>
    <w:rsid w:val="001F6CD4"/>
    <w:rsid w:val="00200339"/>
    <w:rsid w:val="00200779"/>
    <w:rsid w:val="00200B0F"/>
    <w:rsid w:val="002041E3"/>
    <w:rsid w:val="00204BEB"/>
    <w:rsid w:val="00205379"/>
    <w:rsid w:val="0020637A"/>
    <w:rsid w:val="00206C4D"/>
    <w:rsid w:val="0021053C"/>
    <w:rsid w:val="00214850"/>
    <w:rsid w:val="00215AF1"/>
    <w:rsid w:val="00220189"/>
    <w:rsid w:val="0022087F"/>
    <w:rsid w:val="00220A36"/>
    <w:rsid w:val="00221A16"/>
    <w:rsid w:val="0022347F"/>
    <w:rsid w:val="00223DCF"/>
    <w:rsid w:val="0022439D"/>
    <w:rsid w:val="00230F7D"/>
    <w:rsid w:val="002321E8"/>
    <w:rsid w:val="0023413B"/>
    <w:rsid w:val="0023535C"/>
    <w:rsid w:val="00236EEC"/>
    <w:rsid w:val="0024010F"/>
    <w:rsid w:val="00240749"/>
    <w:rsid w:val="00240E18"/>
    <w:rsid w:val="00242101"/>
    <w:rsid w:val="00243018"/>
    <w:rsid w:val="0024322D"/>
    <w:rsid w:val="00243EC0"/>
    <w:rsid w:val="00244742"/>
    <w:rsid w:val="00245672"/>
    <w:rsid w:val="002475EA"/>
    <w:rsid w:val="002503AF"/>
    <w:rsid w:val="002564A4"/>
    <w:rsid w:val="00265060"/>
    <w:rsid w:val="00266212"/>
    <w:rsid w:val="00266FA6"/>
    <w:rsid w:val="002670F6"/>
    <w:rsid w:val="0026736C"/>
    <w:rsid w:val="00275287"/>
    <w:rsid w:val="00276DCD"/>
    <w:rsid w:val="002810C5"/>
    <w:rsid w:val="00281308"/>
    <w:rsid w:val="00281813"/>
    <w:rsid w:val="002838EC"/>
    <w:rsid w:val="00284719"/>
    <w:rsid w:val="002872C1"/>
    <w:rsid w:val="00290E5E"/>
    <w:rsid w:val="00291948"/>
    <w:rsid w:val="0029640B"/>
    <w:rsid w:val="00297ECB"/>
    <w:rsid w:val="002A0755"/>
    <w:rsid w:val="002A7328"/>
    <w:rsid w:val="002A7BCF"/>
    <w:rsid w:val="002B0686"/>
    <w:rsid w:val="002B0D46"/>
    <w:rsid w:val="002B14D0"/>
    <w:rsid w:val="002B19F3"/>
    <w:rsid w:val="002B1A91"/>
    <w:rsid w:val="002B3ED0"/>
    <w:rsid w:val="002B4A0D"/>
    <w:rsid w:val="002B6B04"/>
    <w:rsid w:val="002B6C21"/>
    <w:rsid w:val="002C137F"/>
    <w:rsid w:val="002C7AD2"/>
    <w:rsid w:val="002C7B6F"/>
    <w:rsid w:val="002D043A"/>
    <w:rsid w:val="002D6224"/>
    <w:rsid w:val="002D639D"/>
    <w:rsid w:val="002D65C6"/>
    <w:rsid w:val="002D742C"/>
    <w:rsid w:val="002D7F2B"/>
    <w:rsid w:val="002E3F4B"/>
    <w:rsid w:val="002E5BD4"/>
    <w:rsid w:val="002E7366"/>
    <w:rsid w:val="002E7B12"/>
    <w:rsid w:val="002F37E4"/>
    <w:rsid w:val="002F3F73"/>
    <w:rsid w:val="0030189E"/>
    <w:rsid w:val="00304F8B"/>
    <w:rsid w:val="003077E7"/>
    <w:rsid w:val="00311793"/>
    <w:rsid w:val="00314D91"/>
    <w:rsid w:val="00326389"/>
    <w:rsid w:val="0032703B"/>
    <w:rsid w:val="00327DDF"/>
    <w:rsid w:val="0033002F"/>
    <w:rsid w:val="003354D2"/>
    <w:rsid w:val="00335BC6"/>
    <w:rsid w:val="003415D3"/>
    <w:rsid w:val="0034227A"/>
    <w:rsid w:val="00344701"/>
    <w:rsid w:val="003468C6"/>
    <w:rsid w:val="00350E08"/>
    <w:rsid w:val="003522B0"/>
    <w:rsid w:val="003528DA"/>
    <w:rsid w:val="00352B0F"/>
    <w:rsid w:val="00356690"/>
    <w:rsid w:val="00357DD0"/>
    <w:rsid w:val="00360454"/>
    <w:rsid w:val="00360459"/>
    <w:rsid w:val="00360A6E"/>
    <w:rsid w:val="00362B54"/>
    <w:rsid w:val="00363ADD"/>
    <w:rsid w:val="00364DA9"/>
    <w:rsid w:val="00365497"/>
    <w:rsid w:val="0036553F"/>
    <w:rsid w:val="0037071D"/>
    <w:rsid w:val="00370AE2"/>
    <w:rsid w:val="003715CA"/>
    <w:rsid w:val="00374497"/>
    <w:rsid w:val="00376CEB"/>
    <w:rsid w:val="003773D9"/>
    <w:rsid w:val="00383C37"/>
    <w:rsid w:val="00384A7F"/>
    <w:rsid w:val="003866C3"/>
    <w:rsid w:val="00387A96"/>
    <w:rsid w:val="00392663"/>
    <w:rsid w:val="00393F72"/>
    <w:rsid w:val="00396344"/>
    <w:rsid w:val="003973D3"/>
    <w:rsid w:val="003A169B"/>
    <w:rsid w:val="003A2178"/>
    <w:rsid w:val="003A2A48"/>
    <w:rsid w:val="003A507F"/>
    <w:rsid w:val="003A632C"/>
    <w:rsid w:val="003A7518"/>
    <w:rsid w:val="003B28C3"/>
    <w:rsid w:val="003B732F"/>
    <w:rsid w:val="003B760A"/>
    <w:rsid w:val="003C2F65"/>
    <w:rsid w:val="003C6231"/>
    <w:rsid w:val="003C7C8D"/>
    <w:rsid w:val="003D0BFE"/>
    <w:rsid w:val="003D0EE4"/>
    <w:rsid w:val="003D13F9"/>
    <w:rsid w:val="003D1F1B"/>
    <w:rsid w:val="003D3BA1"/>
    <w:rsid w:val="003D5700"/>
    <w:rsid w:val="003D581D"/>
    <w:rsid w:val="003D692E"/>
    <w:rsid w:val="003D69B0"/>
    <w:rsid w:val="003D7B93"/>
    <w:rsid w:val="003E0589"/>
    <w:rsid w:val="003E0F99"/>
    <w:rsid w:val="003E29B5"/>
    <w:rsid w:val="003E2D85"/>
    <w:rsid w:val="003E341B"/>
    <w:rsid w:val="003E6B92"/>
    <w:rsid w:val="003F070B"/>
    <w:rsid w:val="003F1848"/>
    <w:rsid w:val="003F1EF4"/>
    <w:rsid w:val="003F25B3"/>
    <w:rsid w:val="003F28DC"/>
    <w:rsid w:val="003F2FCE"/>
    <w:rsid w:val="003F3736"/>
    <w:rsid w:val="003F3EFD"/>
    <w:rsid w:val="003F69FF"/>
    <w:rsid w:val="003F6D7D"/>
    <w:rsid w:val="0040053F"/>
    <w:rsid w:val="00403FA7"/>
    <w:rsid w:val="0040612B"/>
    <w:rsid w:val="00406370"/>
    <w:rsid w:val="00406BBE"/>
    <w:rsid w:val="004116CD"/>
    <w:rsid w:val="00412A23"/>
    <w:rsid w:val="004144EC"/>
    <w:rsid w:val="00414830"/>
    <w:rsid w:val="00417EB9"/>
    <w:rsid w:val="00420154"/>
    <w:rsid w:val="00421A67"/>
    <w:rsid w:val="00424CA9"/>
    <w:rsid w:val="0042506F"/>
    <w:rsid w:val="004269FF"/>
    <w:rsid w:val="00426EC7"/>
    <w:rsid w:val="00427B3C"/>
    <w:rsid w:val="00427C41"/>
    <w:rsid w:val="00427E0E"/>
    <w:rsid w:val="00431326"/>
    <w:rsid w:val="00431E9B"/>
    <w:rsid w:val="004358D7"/>
    <w:rsid w:val="00435EEF"/>
    <w:rsid w:val="004379E3"/>
    <w:rsid w:val="0044015E"/>
    <w:rsid w:val="00441EF6"/>
    <w:rsid w:val="0044291A"/>
    <w:rsid w:val="00444ABD"/>
    <w:rsid w:val="00445584"/>
    <w:rsid w:val="00447DB4"/>
    <w:rsid w:val="0045007F"/>
    <w:rsid w:val="00457761"/>
    <w:rsid w:val="00460F1D"/>
    <w:rsid w:val="00465DC1"/>
    <w:rsid w:val="00467661"/>
    <w:rsid w:val="004705B7"/>
    <w:rsid w:val="00471306"/>
    <w:rsid w:val="00472DBE"/>
    <w:rsid w:val="004734BD"/>
    <w:rsid w:val="00474A19"/>
    <w:rsid w:val="00474B52"/>
    <w:rsid w:val="004759C3"/>
    <w:rsid w:val="00476F07"/>
    <w:rsid w:val="00481C24"/>
    <w:rsid w:val="00481F6A"/>
    <w:rsid w:val="004823C0"/>
    <w:rsid w:val="004824E0"/>
    <w:rsid w:val="0048276B"/>
    <w:rsid w:val="00482A3B"/>
    <w:rsid w:val="0048370C"/>
    <w:rsid w:val="00485AA2"/>
    <w:rsid w:val="00492049"/>
    <w:rsid w:val="00494190"/>
    <w:rsid w:val="00494410"/>
    <w:rsid w:val="00494F3B"/>
    <w:rsid w:val="00495D4D"/>
    <w:rsid w:val="004969F6"/>
    <w:rsid w:val="00496B5F"/>
    <w:rsid w:val="00496DD5"/>
    <w:rsid w:val="00496F97"/>
    <w:rsid w:val="004A0C84"/>
    <w:rsid w:val="004A363D"/>
    <w:rsid w:val="004A44FC"/>
    <w:rsid w:val="004A544F"/>
    <w:rsid w:val="004B2379"/>
    <w:rsid w:val="004B5B44"/>
    <w:rsid w:val="004B7A4C"/>
    <w:rsid w:val="004C1CB1"/>
    <w:rsid w:val="004C32F2"/>
    <w:rsid w:val="004C685E"/>
    <w:rsid w:val="004C6D9F"/>
    <w:rsid w:val="004C7D64"/>
    <w:rsid w:val="004D04FD"/>
    <w:rsid w:val="004D10DC"/>
    <w:rsid w:val="004D5F76"/>
    <w:rsid w:val="004D60D6"/>
    <w:rsid w:val="004D76FA"/>
    <w:rsid w:val="004D7E7F"/>
    <w:rsid w:val="004E063A"/>
    <w:rsid w:val="004E66B5"/>
    <w:rsid w:val="004E6B6A"/>
    <w:rsid w:val="004E79B1"/>
    <w:rsid w:val="004E7BEC"/>
    <w:rsid w:val="0050044F"/>
    <w:rsid w:val="005012F1"/>
    <w:rsid w:val="00505270"/>
    <w:rsid w:val="005053B5"/>
    <w:rsid w:val="00505D3D"/>
    <w:rsid w:val="005066CF"/>
    <w:rsid w:val="00506AF6"/>
    <w:rsid w:val="00507129"/>
    <w:rsid w:val="00507335"/>
    <w:rsid w:val="00511316"/>
    <w:rsid w:val="0051530E"/>
    <w:rsid w:val="0051614F"/>
    <w:rsid w:val="00516B8D"/>
    <w:rsid w:val="0051797B"/>
    <w:rsid w:val="00517E56"/>
    <w:rsid w:val="00522EAC"/>
    <w:rsid w:val="00522F11"/>
    <w:rsid w:val="00532049"/>
    <w:rsid w:val="00532313"/>
    <w:rsid w:val="005356A7"/>
    <w:rsid w:val="00536184"/>
    <w:rsid w:val="00537FBC"/>
    <w:rsid w:val="00543EE6"/>
    <w:rsid w:val="00544030"/>
    <w:rsid w:val="00545205"/>
    <w:rsid w:val="005511AB"/>
    <w:rsid w:val="005536D2"/>
    <w:rsid w:val="00554A29"/>
    <w:rsid w:val="005557FF"/>
    <w:rsid w:val="005574D1"/>
    <w:rsid w:val="0056004C"/>
    <w:rsid w:val="00561ABB"/>
    <w:rsid w:val="00561F2D"/>
    <w:rsid w:val="00563AA6"/>
    <w:rsid w:val="005657FE"/>
    <w:rsid w:val="0056592A"/>
    <w:rsid w:val="00565B86"/>
    <w:rsid w:val="00566969"/>
    <w:rsid w:val="005671D5"/>
    <w:rsid w:val="00572BB1"/>
    <w:rsid w:val="00573387"/>
    <w:rsid w:val="0057670F"/>
    <w:rsid w:val="00576A8A"/>
    <w:rsid w:val="005804E7"/>
    <w:rsid w:val="00581B8D"/>
    <w:rsid w:val="005832D2"/>
    <w:rsid w:val="00584811"/>
    <w:rsid w:val="00585784"/>
    <w:rsid w:val="00585AFA"/>
    <w:rsid w:val="00586C56"/>
    <w:rsid w:val="00587063"/>
    <w:rsid w:val="0059042C"/>
    <w:rsid w:val="00590C94"/>
    <w:rsid w:val="0059110C"/>
    <w:rsid w:val="00592FD6"/>
    <w:rsid w:val="005934D7"/>
    <w:rsid w:val="00593AA6"/>
    <w:rsid w:val="00594161"/>
    <w:rsid w:val="00594749"/>
    <w:rsid w:val="00594BB8"/>
    <w:rsid w:val="005A185F"/>
    <w:rsid w:val="005A5012"/>
    <w:rsid w:val="005A511F"/>
    <w:rsid w:val="005B1BD0"/>
    <w:rsid w:val="005B3B85"/>
    <w:rsid w:val="005B4067"/>
    <w:rsid w:val="005B5B3F"/>
    <w:rsid w:val="005B62B7"/>
    <w:rsid w:val="005B780C"/>
    <w:rsid w:val="005C3F41"/>
    <w:rsid w:val="005C4657"/>
    <w:rsid w:val="005C6DA4"/>
    <w:rsid w:val="005C7501"/>
    <w:rsid w:val="005D0489"/>
    <w:rsid w:val="005D1770"/>
    <w:rsid w:val="005D1FEA"/>
    <w:rsid w:val="005D2D09"/>
    <w:rsid w:val="005D3D41"/>
    <w:rsid w:val="005D46F1"/>
    <w:rsid w:val="005D47B7"/>
    <w:rsid w:val="005D7204"/>
    <w:rsid w:val="005E2D54"/>
    <w:rsid w:val="005E2D98"/>
    <w:rsid w:val="005E4810"/>
    <w:rsid w:val="005E582A"/>
    <w:rsid w:val="005E75DE"/>
    <w:rsid w:val="005F0046"/>
    <w:rsid w:val="005F1385"/>
    <w:rsid w:val="005F1580"/>
    <w:rsid w:val="005F1DB6"/>
    <w:rsid w:val="005F3D7E"/>
    <w:rsid w:val="005F4140"/>
    <w:rsid w:val="005F522F"/>
    <w:rsid w:val="005F65CD"/>
    <w:rsid w:val="005F6EA9"/>
    <w:rsid w:val="00600219"/>
    <w:rsid w:val="00601955"/>
    <w:rsid w:val="006027DA"/>
    <w:rsid w:val="00603DC4"/>
    <w:rsid w:val="00607A71"/>
    <w:rsid w:val="00610709"/>
    <w:rsid w:val="006117CB"/>
    <w:rsid w:val="0061416C"/>
    <w:rsid w:val="00620076"/>
    <w:rsid w:val="00621924"/>
    <w:rsid w:val="006241AE"/>
    <w:rsid w:val="00626196"/>
    <w:rsid w:val="006311FF"/>
    <w:rsid w:val="00633A6B"/>
    <w:rsid w:val="00634044"/>
    <w:rsid w:val="00636367"/>
    <w:rsid w:val="00640161"/>
    <w:rsid w:val="00641A42"/>
    <w:rsid w:val="0064216B"/>
    <w:rsid w:val="0064527F"/>
    <w:rsid w:val="00645AD7"/>
    <w:rsid w:val="006519E9"/>
    <w:rsid w:val="00652769"/>
    <w:rsid w:val="00652F39"/>
    <w:rsid w:val="0065542F"/>
    <w:rsid w:val="006554FF"/>
    <w:rsid w:val="00655825"/>
    <w:rsid w:val="0065651A"/>
    <w:rsid w:val="00656B5C"/>
    <w:rsid w:val="006577C8"/>
    <w:rsid w:val="00657B64"/>
    <w:rsid w:val="0066291D"/>
    <w:rsid w:val="006647E3"/>
    <w:rsid w:val="006666E0"/>
    <w:rsid w:val="00670752"/>
    <w:rsid w:val="00670EA1"/>
    <w:rsid w:val="00670EA9"/>
    <w:rsid w:val="00671842"/>
    <w:rsid w:val="00673300"/>
    <w:rsid w:val="006751E6"/>
    <w:rsid w:val="00677CC2"/>
    <w:rsid w:val="00682AD9"/>
    <w:rsid w:val="00685F34"/>
    <w:rsid w:val="006905DE"/>
    <w:rsid w:val="00691313"/>
    <w:rsid w:val="00691846"/>
    <w:rsid w:val="0069207B"/>
    <w:rsid w:val="00692A83"/>
    <w:rsid w:val="0069340F"/>
    <w:rsid w:val="00693592"/>
    <w:rsid w:val="00693F29"/>
    <w:rsid w:val="00695508"/>
    <w:rsid w:val="00696739"/>
    <w:rsid w:val="006A0028"/>
    <w:rsid w:val="006A0449"/>
    <w:rsid w:val="006A0936"/>
    <w:rsid w:val="006A286F"/>
    <w:rsid w:val="006A3677"/>
    <w:rsid w:val="006A3C96"/>
    <w:rsid w:val="006A530A"/>
    <w:rsid w:val="006A6BE2"/>
    <w:rsid w:val="006A744A"/>
    <w:rsid w:val="006B1B7F"/>
    <w:rsid w:val="006B3595"/>
    <w:rsid w:val="006B3685"/>
    <w:rsid w:val="006B5789"/>
    <w:rsid w:val="006B6659"/>
    <w:rsid w:val="006C1D4D"/>
    <w:rsid w:val="006C30C5"/>
    <w:rsid w:val="006C33A4"/>
    <w:rsid w:val="006C48FA"/>
    <w:rsid w:val="006C561C"/>
    <w:rsid w:val="006C62BE"/>
    <w:rsid w:val="006C6F42"/>
    <w:rsid w:val="006C7F8C"/>
    <w:rsid w:val="006D387D"/>
    <w:rsid w:val="006D3C01"/>
    <w:rsid w:val="006D3C67"/>
    <w:rsid w:val="006D5F95"/>
    <w:rsid w:val="006D6079"/>
    <w:rsid w:val="006D68F9"/>
    <w:rsid w:val="006D79C2"/>
    <w:rsid w:val="006E443F"/>
    <w:rsid w:val="006E5320"/>
    <w:rsid w:val="006E5AFC"/>
    <w:rsid w:val="006E5C43"/>
    <w:rsid w:val="006E6246"/>
    <w:rsid w:val="006E6D80"/>
    <w:rsid w:val="006F03C7"/>
    <w:rsid w:val="006F128B"/>
    <w:rsid w:val="006F1520"/>
    <w:rsid w:val="006F318F"/>
    <w:rsid w:val="006F4226"/>
    <w:rsid w:val="006F5058"/>
    <w:rsid w:val="0070017E"/>
    <w:rsid w:val="00700B2C"/>
    <w:rsid w:val="00702EFD"/>
    <w:rsid w:val="007030C9"/>
    <w:rsid w:val="007050A2"/>
    <w:rsid w:val="007065A6"/>
    <w:rsid w:val="007072AF"/>
    <w:rsid w:val="00707D2F"/>
    <w:rsid w:val="007112A7"/>
    <w:rsid w:val="00713084"/>
    <w:rsid w:val="0071399B"/>
    <w:rsid w:val="00713A3F"/>
    <w:rsid w:val="00714F20"/>
    <w:rsid w:val="0071590F"/>
    <w:rsid w:val="00715914"/>
    <w:rsid w:val="00715FB4"/>
    <w:rsid w:val="00716B84"/>
    <w:rsid w:val="0072157A"/>
    <w:rsid w:val="007230BE"/>
    <w:rsid w:val="00725291"/>
    <w:rsid w:val="007266CD"/>
    <w:rsid w:val="00726CA7"/>
    <w:rsid w:val="00731E00"/>
    <w:rsid w:val="00732D36"/>
    <w:rsid w:val="00733595"/>
    <w:rsid w:val="00741EE8"/>
    <w:rsid w:val="007440B7"/>
    <w:rsid w:val="007500C8"/>
    <w:rsid w:val="00755A59"/>
    <w:rsid w:val="00756272"/>
    <w:rsid w:val="007607C0"/>
    <w:rsid w:val="00760F62"/>
    <w:rsid w:val="00765001"/>
    <w:rsid w:val="007662B5"/>
    <w:rsid w:val="0076681A"/>
    <w:rsid w:val="00767222"/>
    <w:rsid w:val="007715C9"/>
    <w:rsid w:val="00771613"/>
    <w:rsid w:val="00773C84"/>
    <w:rsid w:val="00774E16"/>
    <w:rsid w:val="00774EDD"/>
    <w:rsid w:val="0077506D"/>
    <w:rsid w:val="007757EC"/>
    <w:rsid w:val="00776DE0"/>
    <w:rsid w:val="0078065E"/>
    <w:rsid w:val="00783E89"/>
    <w:rsid w:val="007842CE"/>
    <w:rsid w:val="00785A9E"/>
    <w:rsid w:val="007873E2"/>
    <w:rsid w:val="00793915"/>
    <w:rsid w:val="007A07DB"/>
    <w:rsid w:val="007A3522"/>
    <w:rsid w:val="007A457F"/>
    <w:rsid w:val="007A5B60"/>
    <w:rsid w:val="007B01D0"/>
    <w:rsid w:val="007B0998"/>
    <w:rsid w:val="007B1CA5"/>
    <w:rsid w:val="007B34E9"/>
    <w:rsid w:val="007B3655"/>
    <w:rsid w:val="007B3CEF"/>
    <w:rsid w:val="007B4C4F"/>
    <w:rsid w:val="007B769E"/>
    <w:rsid w:val="007C2253"/>
    <w:rsid w:val="007C36BD"/>
    <w:rsid w:val="007C7EAB"/>
    <w:rsid w:val="007D15DE"/>
    <w:rsid w:val="007D230B"/>
    <w:rsid w:val="007D42DD"/>
    <w:rsid w:val="007E163D"/>
    <w:rsid w:val="007E2AC2"/>
    <w:rsid w:val="007E2C2E"/>
    <w:rsid w:val="007E3432"/>
    <w:rsid w:val="007E5BDB"/>
    <w:rsid w:val="007E667A"/>
    <w:rsid w:val="007E7037"/>
    <w:rsid w:val="007E77B5"/>
    <w:rsid w:val="007F28C9"/>
    <w:rsid w:val="008006F0"/>
    <w:rsid w:val="0080146C"/>
    <w:rsid w:val="00801529"/>
    <w:rsid w:val="0080312D"/>
    <w:rsid w:val="00803587"/>
    <w:rsid w:val="008106FC"/>
    <w:rsid w:val="008117E9"/>
    <w:rsid w:val="00811946"/>
    <w:rsid w:val="00813AEB"/>
    <w:rsid w:val="00817AFE"/>
    <w:rsid w:val="00821250"/>
    <w:rsid w:val="00824498"/>
    <w:rsid w:val="00825DDF"/>
    <w:rsid w:val="008346A0"/>
    <w:rsid w:val="00835179"/>
    <w:rsid w:val="008356AC"/>
    <w:rsid w:val="00840442"/>
    <w:rsid w:val="00843FFC"/>
    <w:rsid w:val="00844499"/>
    <w:rsid w:val="00845ED6"/>
    <w:rsid w:val="00846721"/>
    <w:rsid w:val="008504F9"/>
    <w:rsid w:val="008527C0"/>
    <w:rsid w:val="00856504"/>
    <w:rsid w:val="00856A31"/>
    <w:rsid w:val="0085700F"/>
    <w:rsid w:val="00860B58"/>
    <w:rsid w:val="008634EF"/>
    <w:rsid w:val="0086355E"/>
    <w:rsid w:val="00863657"/>
    <w:rsid w:val="00866108"/>
    <w:rsid w:val="00867B37"/>
    <w:rsid w:val="008718DD"/>
    <w:rsid w:val="00873A0F"/>
    <w:rsid w:val="008740AC"/>
    <w:rsid w:val="008754D0"/>
    <w:rsid w:val="00880175"/>
    <w:rsid w:val="00880B51"/>
    <w:rsid w:val="00881F4C"/>
    <w:rsid w:val="0088366E"/>
    <w:rsid w:val="008855C9"/>
    <w:rsid w:val="0088620E"/>
    <w:rsid w:val="00886456"/>
    <w:rsid w:val="00887C55"/>
    <w:rsid w:val="00891395"/>
    <w:rsid w:val="0089389B"/>
    <w:rsid w:val="00893BB8"/>
    <w:rsid w:val="008945E0"/>
    <w:rsid w:val="0089527F"/>
    <w:rsid w:val="00895D19"/>
    <w:rsid w:val="008A362B"/>
    <w:rsid w:val="008A46E1"/>
    <w:rsid w:val="008A4F43"/>
    <w:rsid w:val="008A50FD"/>
    <w:rsid w:val="008A59D7"/>
    <w:rsid w:val="008A65DF"/>
    <w:rsid w:val="008A67D0"/>
    <w:rsid w:val="008B2706"/>
    <w:rsid w:val="008B40B8"/>
    <w:rsid w:val="008B6B59"/>
    <w:rsid w:val="008C0F29"/>
    <w:rsid w:val="008C6C31"/>
    <w:rsid w:val="008D0B74"/>
    <w:rsid w:val="008D0EE0"/>
    <w:rsid w:val="008D16AA"/>
    <w:rsid w:val="008D265E"/>
    <w:rsid w:val="008D3013"/>
    <w:rsid w:val="008D3298"/>
    <w:rsid w:val="008D3422"/>
    <w:rsid w:val="008D56DD"/>
    <w:rsid w:val="008D61F8"/>
    <w:rsid w:val="008D6532"/>
    <w:rsid w:val="008E09C7"/>
    <w:rsid w:val="008E4430"/>
    <w:rsid w:val="008E6067"/>
    <w:rsid w:val="008E682E"/>
    <w:rsid w:val="008F186C"/>
    <w:rsid w:val="008F1D09"/>
    <w:rsid w:val="008F2EB8"/>
    <w:rsid w:val="008F4A4B"/>
    <w:rsid w:val="008F54E7"/>
    <w:rsid w:val="00900E24"/>
    <w:rsid w:val="009016BE"/>
    <w:rsid w:val="00903422"/>
    <w:rsid w:val="00905324"/>
    <w:rsid w:val="00906464"/>
    <w:rsid w:val="00910551"/>
    <w:rsid w:val="0091173A"/>
    <w:rsid w:val="00911882"/>
    <w:rsid w:val="00911BDB"/>
    <w:rsid w:val="00912A58"/>
    <w:rsid w:val="00913B2D"/>
    <w:rsid w:val="009157B9"/>
    <w:rsid w:val="00915DF9"/>
    <w:rsid w:val="00917266"/>
    <w:rsid w:val="0092190A"/>
    <w:rsid w:val="00924910"/>
    <w:rsid w:val="009249C6"/>
    <w:rsid w:val="009254C3"/>
    <w:rsid w:val="00926940"/>
    <w:rsid w:val="009302A4"/>
    <w:rsid w:val="00930A0A"/>
    <w:rsid w:val="00932377"/>
    <w:rsid w:val="0093419A"/>
    <w:rsid w:val="00936A59"/>
    <w:rsid w:val="00941ACB"/>
    <w:rsid w:val="0094375C"/>
    <w:rsid w:val="009460DC"/>
    <w:rsid w:val="00946759"/>
    <w:rsid w:val="00947D5A"/>
    <w:rsid w:val="009532A5"/>
    <w:rsid w:val="009540A3"/>
    <w:rsid w:val="00955175"/>
    <w:rsid w:val="0095528E"/>
    <w:rsid w:val="00955514"/>
    <w:rsid w:val="009558B3"/>
    <w:rsid w:val="009565A5"/>
    <w:rsid w:val="0096023A"/>
    <w:rsid w:val="009666A3"/>
    <w:rsid w:val="0096753E"/>
    <w:rsid w:val="00976056"/>
    <w:rsid w:val="00976177"/>
    <w:rsid w:val="0097660A"/>
    <w:rsid w:val="00981529"/>
    <w:rsid w:val="00982242"/>
    <w:rsid w:val="009868E9"/>
    <w:rsid w:val="00990831"/>
    <w:rsid w:val="00993752"/>
    <w:rsid w:val="00993CB5"/>
    <w:rsid w:val="009944E6"/>
    <w:rsid w:val="00996A15"/>
    <w:rsid w:val="009A129A"/>
    <w:rsid w:val="009A2319"/>
    <w:rsid w:val="009A3A6F"/>
    <w:rsid w:val="009A3F74"/>
    <w:rsid w:val="009A49C9"/>
    <w:rsid w:val="009B1298"/>
    <w:rsid w:val="009B1DD6"/>
    <w:rsid w:val="009B1DDC"/>
    <w:rsid w:val="009B3301"/>
    <w:rsid w:val="009B46F7"/>
    <w:rsid w:val="009B5905"/>
    <w:rsid w:val="009B62B9"/>
    <w:rsid w:val="009B6604"/>
    <w:rsid w:val="009C004C"/>
    <w:rsid w:val="009C1BCE"/>
    <w:rsid w:val="009C1D0B"/>
    <w:rsid w:val="009C2791"/>
    <w:rsid w:val="009C36AF"/>
    <w:rsid w:val="009C6093"/>
    <w:rsid w:val="009D1818"/>
    <w:rsid w:val="009D195A"/>
    <w:rsid w:val="009D286F"/>
    <w:rsid w:val="009D3326"/>
    <w:rsid w:val="009D7993"/>
    <w:rsid w:val="009E16AF"/>
    <w:rsid w:val="009E3961"/>
    <w:rsid w:val="009E51C9"/>
    <w:rsid w:val="009E5CFC"/>
    <w:rsid w:val="009E71A0"/>
    <w:rsid w:val="009E75A7"/>
    <w:rsid w:val="009F1B1A"/>
    <w:rsid w:val="009F410B"/>
    <w:rsid w:val="009F45CF"/>
    <w:rsid w:val="009F4DB7"/>
    <w:rsid w:val="009F79EA"/>
    <w:rsid w:val="009F7FC3"/>
    <w:rsid w:val="00A02CE9"/>
    <w:rsid w:val="00A03319"/>
    <w:rsid w:val="00A03867"/>
    <w:rsid w:val="00A03AF1"/>
    <w:rsid w:val="00A079CB"/>
    <w:rsid w:val="00A12128"/>
    <w:rsid w:val="00A12F48"/>
    <w:rsid w:val="00A131F5"/>
    <w:rsid w:val="00A14A32"/>
    <w:rsid w:val="00A14F6A"/>
    <w:rsid w:val="00A15228"/>
    <w:rsid w:val="00A15512"/>
    <w:rsid w:val="00A16430"/>
    <w:rsid w:val="00A17AEF"/>
    <w:rsid w:val="00A22217"/>
    <w:rsid w:val="00A22C98"/>
    <w:rsid w:val="00A231E2"/>
    <w:rsid w:val="00A24EDC"/>
    <w:rsid w:val="00A274F4"/>
    <w:rsid w:val="00A32796"/>
    <w:rsid w:val="00A33D55"/>
    <w:rsid w:val="00A34412"/>
    <w:rsid w:val="00A366DF"/>
    <w:rsid w:val="00A37F74"/>
    <w:rsid w:val="00A40424"/>
    <w:rsid w:val="00A413DA"/>
    <w:rsid w:val="00A43439"/>
    <w:rsid w:val="00A434DC"/>
    <w:rsid w:val="00A44C99"/>
    <w:rsid w:val="00A469EE"/>
    <w:rsid w:val="00A47000"/>
    <w:rsid w:val="00A50C20"/>
    <w:rsid w:val="00A51012"/>
    <w:rsid w:val="00A52765"/>
    <w:rsid w:val="00A52B0F"/>
    <w:rsid w:val="00A559B3"/>
    <w:rsid w:val="00A5632E"/>
    <w:rsid w:val="00A60D60"/>
    <w:rsid w:val="00A60E13"/>
    <w:rsid w:val="00A64912"/>
    <w:rsid w:val="00A65AAB"/>
    <w:rsid w:val="00A70A74"/>
    <w:rsid w:val="00A70F02"/>
    <w:rsid w:val="00A77937"/>
    <w:rsid w:val="00A83DFB"/>
    <w:rsid w:val="00A85228"/>
    <w:rsid w:val="00A85503"/>
    <w:rsid w:val="00A87D04"/>
    <w:rsid w:val="00A91966"/>
    <w:rsid w:val="00A9304A"/>
    <w:rsid w:val="00A93571"/>
    <w:rsid w:val="00A94F8F"/>
    <w:rsid w:val="00A958B5"/>
    <w:rsid w:val="00A97188"/>
    <w:rsid w:val="00A9719E"/>
    <w:rsid w:val="00AA0CA6"/>
    <w:rsid w:val="00AA66AC"/>
    <w:rsid w:val="00AA7162"/>
    <w:rsid w:val="00AA74D4"/>
    <w:rsid w:val="00AB1DE8"/>
    <w:rsid w:val="00AB3552"/>
    <w:rsid w:val="00AB3F52"/>
    <w:rsid w:val="00AB4CDA"/>
    <w:rsid w:val="00AB6445"/>
    <w:rsid w:val="00AB69D9"/>
    <w:rsid w:val="00AC0886"/>
    <w:rsid w:val="00AC5794"/>
    <w:rsid w:val="00AC6319"/>
    <w:rsid w:val="00AD02B8"/>
    <w:rsid w:val="00AD0621"/>
    <w:rsid w:val="00AD16E4"/>
    <w:rsid w:val="00AD1F73"/>
    <w:rsid w:val="00AD4147"/>
    <w:rsid w:val="00AD5287"/>
    <w:rsid w:val="00AD5315"/>
    <w:rsid w:val="00AD5641"/>
    <w:rsid w:val="00AD57D1"/>
    <w:rsid w:val="00AD7889"/>
    <w:rsid w:val="00AE4729"/>
    <w:rsid w:val="00AE7714"/>
    <w:rsid w:val="00AE787B"/>
    <w:rsid w:val="00AF021B"/>
    <w:rsid w:val="00AF06CF"/>
    <w:rsid w:val="00AF3D77"/>
    <w:rsid w:val="00AF5522"/>
    <w:rsid w:val="00B00232"/>
    <w:rsid w:val="00B04305"/>
    <w:rsid w:val="00B05C8C"/>
    <w:rsid w:val="00B06B77"/>
    <w:rsid w:val="00B06F32"/>
    <w:rsid w:val="00B07CDB"/>
    <w:rsid w:val="00B13A5A"/>
    <w:rsid w:val="00B1648A"/>
    <w:rsid w:val="00B16A31"/>
    <w:rsid w:val="00B16F22"/>
    <w:rsid w:val="00B17DFD"/>
    <w:rsid w:val="00B23306"/>
    <w:rsid w:val="00B233CD"/>
    <w:rsid w:val="00B24538"/>
    <w:rsid w:val="00B2799D"/>
    <w:rsid w:val="00B27F29"/>
    <w:rsid w:val="00B3063A"/>
    <w:rsid w:val="00B308FE"/>
    <w:rsid w:val="00B323D0"/>
    <w:rsid w:val="00B33709"/>
    <w:rsid w:val="00B33B3C"/>
    <w:rsid w:val="00B33BD1"/>
    <w:rsid w:val="00B35D67"/>
    <w:rsid w:val="00B42D7A"/>
    <w:rsid w:val="00B436FB"/>
    <w:rsid w:val="00B463C6"/>
    <w:rsid w:val="00B46886"/>
    <w:rsid w:val="00B47654"/>
    <w:rsid w:val="00B47E99"/>
    <w:rsid w:val="00B50063"/>
    <w:rsid w:val="00B50ADC"/>
    <w:rsid w:val="00B51060"/>
    <w:rsid w:val="00B5107E"/>
    <w:rsid w:val="00B535CC"/>
    <w:rsid w:val="00B537FF"/>
    <w:rsid w:val="00B566B1"/>
    <w:rsid w:val="00B57776"/>
    <w:rsid w:val="00B577C8"/>
    <w:rsid w:val="00B60EEE"/>
    <w:rsid w:val="00B63834"/>
    <w:rsid w:val="00B6656B"/>
    <w:rsid w:val="00B70AD3"/>
    <w:rsid w:val="00B72646"/>
    <w:rsid w:val="00B72734"/>
    <w:rsid w:val="00B73BC5"/>
    <w:rsid w:val="00B74037"/>
    <w:rsid w:val="00B74696"/>
    <w:rsid w:val="00B74D30"/>
    <w:rsid w:val="00B7651A"/>
    <w:rsid w:val="00B76614"/>
    <w:rsid w:val="00B80199"/>
    <w:rsid w:val="00B82D81"/>
    <w:rsid w:val="00B83204"/>
    <w:rsid w:val="00B851BA"/>
    <w:rsid w:val="00B86D29"/>
    <w:rsid w:val="00B90D54"/>
    <w:rsid w:val="00B9126E"/>
    <w:rsid w:val="00B92CD1"/>
    <w:rsid w:val="00B95587"/>
    <w:rsid w:val="00B959E0"/>
    <w:rsid w:val="00B97A7C"/>
    <w:rsid w:val="00BA02DF"/>
    <w:rsid w:val="00BA220B"/>
    <w:rsid w:val="00BA326E"/>
    <w:rsid w:val="00BA3A57"/>
    <w:rsid w:val="00BA4E22"/>
    <w:rsid w:val="00BA63C4"/>
    <w:rsid w:val="00BB1E54"/>
    <w:rsid w:val="00BB4DB6"/>
    <w:rsid w:val="00BB4E1A"/>
    <w:rsid w:val="00BB5C17"/>
    <w:rsid w:val="00BC015E"/>
    <w:rsid w:val="00BC47DE"/>
    <w:rsid w:val="00BC491E"/>
    <w:rsid w:val="00BC7183"/>
    <w:rsid w:val="00BC76AC"/>
    <w:rsid w:val="00BD0542"/>
    <w:rsid w:val="00BD0ECB"/>
    <w:rsid w:val="00BD2CE3"/>
    <w:rsid w:val="00BD337A"/>
    <w:rsid w:val="00BD35EC"/>
    <w:rsid w:val="00BD7CEE"/>
    <w:rsid w:val="00BE0664"/>
    <w:rsid w:val="00BE12BE"/>
    <w:rsid w:val="00BE2155"/>
    <w:rsid w:val="00BE2213"/>
    <w:rsid w:val="00BE3067"/>
    <w:rsid w:val="00BE3FC8"/>
    <w:rsid w:val="00BE58CC"/>
    <w:rsid w:val="00BE6EF9"/>
    <w:rsid w:val="00BE719A"/>
    <w:rsid w:val="00BE720A"/>
    <w:rsid w:val="00BF0D73"/>
    <w:rsid w:val="00BF0EB2"/>
    <w:rsid w:val="00BF2465"/>
    <w:rsid w:val="00BF6340"/>
    <w:rsid w:val="00BF6517"/>
    <w:rsid w:val="00BF6649"/>
    <w:rsid w:val="00BF6BD8"/>
    <w:rsid w:val="00BF75C9"/>
    <w:rsid w:val="00C0544A"/>
    <w:rsid w:val="00C06AC9"/>
    <w:rsid w:val="00C06C29"/>
    <w:rsid w:val="00C07EE8"/>
    <w:rsid w:val="00C1062D"/>
    <w:rsid w:val="00C11452"/>
    <w:rsid w:val="00C17457"/>
    <w:rsid w:val="00C20EA4"/>
    <w:rsid w:val="00C21BD7"/>
    <w:rsid w:val="00C25E7F"/>
    <w:rsid w:val="00C2746F"/>
    <w:rsid w:val="00C3154C"/>
    <w:rsid w:val="00C324A0"/>
    <w:rsid w:val="00C3300F"/>
    <w:rsid w:val="00C3389D"/>
    <w:rsid w:val="00C34E77"/>
    <w:rsid w:val="00C35875"/>
    <w:rsid w:val="00C35892"/>
    <w:rsid w:val="00C35DAF"/>
    <w:rsid w:val="00C3775C"/>
    <w:rsid w:val="00C40C84"/>
    <w:rsid w:val="00C4170B"/>
    <w:rsid w:val="00C42979"/>
    <w:rsid w:val="00C42BF8"/>
    <w:rsid w:val="00C44A2B"/>
    <w:rsid w:val="00C45171"/>
    <w:rsid w:val="00C45BAB"/>
    <w:rsid w:val="00C47D01"/>
    <w:rsid w:val="00C50043"/>
    <w:rsid w:val="00C50B97"/>
    <w:rsid w:val="00C52E7C"/>
    <w:rsid w:val="00C54D3C"/>
    <w:rsid w:val="00C56527"/>
    <w:rsid w:val="00C56A4A"/>
    <w:rsid w:val="00C57B76"/>
    <w:rsid w:val="00C60338"/>
    <w:rsid w:val="00C605FF"/>
    <w:rsid w:val="00C6349A"/>
    <w:rsid w:val="00C6434E"/>
    <w:rsid w:val="00C64C38"/>
    <w:rsid w:val="00C65A40"/>
    <w:rsid w:val="00C65DCD"/>
    <w:rsid w:val="00C66BAC"/>
    <w:rsid w:val="00C67E03"/>
    <w:rsid w:val="00C7013F"/>
    <w:rsid w:val="00C70CA8"/>
    <w:rsid w:val="00C72E32"/>
    <w:rsid w:val="00C73A49"/>
    <w:rsid w:val="00C73F37"/>
    <w:rsid w:val="00C74C73"/>
    <w:rsid w:val="00C7573B"/>
    <w:rsid w:val="00C75AB6"/>
    <w:rsid w:val="00C7761F"/>
    <w:rsid w:val="00C81E02"/>
    <w:rsid w:val="00C82562"/>
    <w:rsid w:val="00C83E27"/>
    <w:rsid w:val="00C85B9A"/>
    <w:rsid w:val="00C86B32"/>
    <w:rsid w:val="00C87F1C"/>
    <w:rsid w:val="00C90FD7"/>
    <w:rsid w:val="00C917A9"/>
    <w:rsid w:val="00C92F03"/>
    <w:rsid w:val="00C93C03"/>
    <w:rsid w:val="00C95F58"/>
    <w:rsid w:val="00CA344A"/>
    <w:rsid w:val="00CA3867"/>
    <w:rsid w:val="00CA66DC"/>
    <w:rsid w:val="00CA6EB4"/>
    <w:rsid w:val="00CB29F5"/>
    <w:rsid w:val="00CB2A6C"/>
    <w:rsid w:val="00CB2C8E"/>
    <w:rsid w:val="00CB2D96"/>
    <w:rsid w:val="00CB356F"/>
    <w:rsid w:val="00CB40FF"/>
    <w:rsid w:val="00CB59F4"/>
    <w:rsid w:val="00CB602E"/>
    <w:rsid w:val="00CB615E"/>
    <w:rsid w:val="00CB729C"/>
    <w:rsid w:val="00CC14EE"/>
    <w:rsid w:val="00CC255C"/>
    <w:rsid w:val="00CC3AEC"/>
    <w:rsid w:val="00CC4BC3"/>
    <w:rsid w:val="00CC4CDB"/>
    <w:rsid w:val="00CC51B1"/>
    <w:rsid w:val="00CC6102"/>
    <w:rsid w:val="00CD2E90"/>
    <w:rsid w:val="00CD2F06"/>
    <w:rsid w:val="00CD370C"/>
    <w:rsid w:val="00CD390F"/>
    <w:rsid w:val="00CD69CB"/>
    <w:rsid w:val="00CE00D4"/>
    <w:rsid w:val="00CE0149"/>
    <w:rsid w:val="00CE04FE"/>
    <w:rsid w:val="00CE051D"/>
    <w:rsid w:val="00CE0883"/>
    <w:rsid w:val="00CE1335"/>
    <w:rsid w:val="00CE18B6"/>
    <w:rsid w:val="00CE22ED"/>
    <w:rsid w:val="00CE3D2A"/>
    <w:rsid w:val="00CE493D"/>
    <w:rsid w:val="00CE4C26"/>
    <w:rsid w:val="00CE541A"/>
    <w:rsid w:val="00CE6D42"/>
    <w:rsid w:val="00CF07FA"/>
    <w:rsid w:val="00CF0BB2"/>
    <w:rsid w:val="00CF14B9"/>
    <w:rsid w:val="00CF1B52"/>
    <w:rsid w:val="00CF3EE8"/>
    <w:rsid w:val="00CF4660"/>
    <w:rsid w:val="00CF5313"/>
    <w:rsid w:val="00CF7B33"/>
    <w:rsid w:val="00D016F2"/>
    <w:rsid w:val="00D0300A"/>
    <w:rsid w:val="00D050E6"/>
    <w:rsid w:val="00D05C29"/>
    <w:rsid w:val="00D05FC6"/>
    <w:rsid w:val="00D1098A"/>
    <w:rsid w:val="00D13441"/>
    <w:rsid w:val="00D150E7"/>
    <w:rsid w:val="00D20A4B"/>
    <w:rsid w:val="00D21363"/>
    <w:rsid w:val="00D21BDC"/>
    <w:rsid w:val="00D226B0"/>
    <w:rsid w:val="00D22FAF"/>
    <w:rsid w:val="00D24BE1"/>
    <w:rsid w:val="00D258D3"/>
    <w:rsid w:val="00D306F8"/>
    <w:rsid w:val="00D31ACF"/>
    <w:rsid w:val="00D320A3"/>
    <w:rsid w:val="00D32F65"/>
    <w:rsid w:val="00D341C4"/>
    <w:rsid w:val="00D354A9"/>
    <w:rsid w:val="00D40BC1"/>
    <w:rsid w:val="00D41A47"/>
    <w:rsid w:val="00D422E5"/>
    <w:rsid w:val="00D442A2"/>
    <w:rsid w:val="00D45E69"/>
    <w:rsid w:val="00D51C72"/>
    <w:rsid w:val="00D52BA3"/>
    <w:rsid w:val="00D52DC2"/>
    <w:rsid w:val="00D53BCC"/>
    <w:rsid w:val="00D54753"/>
    <w:rsid w:val="00D550CA"/>
    <w:rsid w:val="00D600B9"/>
    <w:rsid w:val="00D648BB"/>
    <w:rsid w:val="00D6607F"/>
    <w:rsid w:val="00D66AF0"/>
    <w:rsid w:val="00D702DE"/>
    <w:rsid w:val="00D70DFB"/>
    <w:rsid w:val="00D72CF7"/>
    <w:rsid w:val="00D732EC"/>
    <w:rsid w:val="00D73C22"/>
    <w:rsid w:val="00D7428F"/>
    <w:rsid w:val="00D766DF"/>
    <w:rsid w:val="00D77602"/>
    <w:rsid w:val="00D91C90"/>
    <w:rsid w:val="00D93EF0"/>
    <w:rsid w:val="00D95545"/>
    <w:rsid w:val="00D968C7"/>
    <w:rsid w:val="00D97A5B"/>
    <w:rsid w:val="00DA0AE7"/>
    <w:rsid w:val="00DA1672"/>
    <w:rsid w:val="00DA186E"/>
    <w:rsid w:val="00DA1C0A"/>
    <w:rsid w:val="00DA3E35"/>
    <w:rsid w:val="00DA4116"/>
    <w:rsid w:val="00DA71BF"/>
    <w:rsid w:val="00DB251C"/>
    <w:rsid w:val="00DB38AD"/>
    <w:rsid w:val="00DB4630"/>
    <w:rsid w:val="00DB51FD"/>
    <w:rsid w:val="00DB5A2B"/>
    <w:rsid w:val="00DC1135"/>
    <w:rsid w:val="00DC1571"/>
    <w:rsid w:val="00DC1F09"/>
    <w:rsid w:val="00DC3526"/>
    <w:rsid w:val="00DC4445"/>
    <w:rsid w:val="00DC4F88"/>
    <w:rsid w:val="00DC52C7"/>
    <w:rsid w:val="00DC5F56"/>
    <w:rsid w:val="00DC6B55"/>
    <w:rsid w:val="00DC7E88"/>
    <w:rsid w:val="00DD010C"/>
    <w:rsid w:val="00DD1F53"/>
    <w:rsid w:val="00DD69E3"/>
    <w:rsid w:val="00DD7EFD"/>
    <w:rsid w:val="00DE0A85"/>
    <w:rsid w:val="00DE3235"/>
    <w:rsid w:val="00DE5BD2"/>
    <w:rsid w:val="00DE679F"/>
    <w:rsid w:val="00DE79F9"/>
    <w:rsid w:val="00DF306F"/>
    <w:rsid w:val="00DF3ADF"/>
    <w:rsid w:val="00DF460F"/>
    <w:rsid w:val="00DF6F0C"/>
    <w:rsid w:val="00DF7298"/>
    <w:rsid w:val="00E01A8E"/>
    <w:rsid w:val="00E01CE9"/>
    <w:rsid w:val="00E05704"/>
    <w:rsid w:val="00E0669A"/>
    <w:rsid w:val="00E06CC3"/>
    <w:rsid w:val="00E1001D"/>
    <w:rsid w:val="00E11E44"/>
    <w:rsid w:val="00E13A8A"/>
    <w:rsid w:val="00E13AFA"/>
    <w:rsid w:val="00E14120"/>
    <w:rsid w:val="00E2168B"/>
    <w:rsid w:val="00E21F03"/>
    <w:rsid w:val="00E229BA"/>
    <w:rsid w:val="00E24F4A"/>
    <w:rsid w:val="00E338EF"/>
    <w:rsid w:val="00E406E9"/>
    <w:rsid w:val="00E40FF8"/>
    <w:rsid w:val="00E41634"/>
    <w:rsid w:val="00E43F51"/>
    <w:rsid w:val="00E52C6C"/>
    <w:rsid w:val="00E52F55"/>
    <w:rsid w:val="00E535F2"/>
    <w:rsid w:val="00E544BB"/>
    <w:rsid w:val="00E563CC"/>
    <w:rsid w:val="00E578EC"/>
    <w:rsid w:val="00E60423"/>
    <w:rsid w:val="00E605AB"/>
    <w:rsid w:val="00E614F2"/>
    <w:rsid w:val="00E62710"/>
    <w:rsid w:val="00E649D7"/>
    <w:rsid w:val="00E64E5F"/>
    <w:rsid w:val="00E662CB"/>
    <w:rsid w:val="00E665C7"/>
    <w:rsid w:val="00E712A5"/>
    <w:rsid w:val="00E74A4A"/>
    <w:rsid w:val="00E74DC7"/>
    <w:rsid w:val="00E75657"/>
    <w:rsid w:val="00E8075A"/>
    <w:rsid w:val="00E818A6"/>
    <w:rsid w:val="00E819A0"/>
    <w:rsid w:val="00E85A91"/>
    <w:rsid w:val="00E85EA5"/>
    <w:rsid w:val="00E872B9"/>
    <w:rsid w:val="00E87718"/>
    <w:rsid w:val="00E90388"/>
    <w:rsid w:val="00E94D5E"/>
    <w:rsid w:val="00E95D89"/>
    <w:rsid w:val="00E95EB7"/>
    <w:rsid w:val="00EA0BF6"/>
    <w:rsid w:val="00EA17A6"/>
    <w:rsid w:val="00EA2D9E"/>
    <w:rsid w:val="00EA2EC8"/>
    <w:rsid w:val="00EA5CC7"/>
    <w:rsid w:val="00EA7100"/>
    <w:rsid w:val="00EA7F9F"/>
    <w:rsid w:val="00EB0D23"/>
    <w:rsid w:val="00EB0E70"/>
    <w:rsid w:val="00EB1274"/>
    <w:rsid w:val="00EB1498"/>
    <w:rsid w:val="00EB4B03"/>
    <w:rsid w:val="00EB653E"/>
    <w:rsid w:val="00EB6A82"/>
    <w:rsid w:val="00EC2E5E"/>
    <w:rsid w:val="00EC4757"/>
    <w:rsid w:val="00EC7EDB"/>
    <w:rsid w:val="00ED0D10"/>
    <w:rsid w:val="00ED102A"/>
    <w:rsid w:val="00ED10E5"/>
    <w:rsid w:val="00ED14FB"/>
    <w:rsid w:val="00ED2BB6"/>
    <w:rsid w:val="00ED2EAF"/>
    <w:rsid w:val="00ED34E1"/>
    <w:rsid w:val="00ED3B8D"/>
    <w:rsid w:val="00ED4BE2"/>
    <w:rsid w:val="00ED5FAD"/>
    <w:rsid w:val="00ED796D"/>
    <w:rsid w:val="00ED7C99"/>
    <w:rsid w:val="00EE16AE"/>
    <w:rsid w:val="00EE3C05"/>
    <w:rsid w:val="00EF15D3"/>
    <w:rsid w:val="00EF2E3A"/>
    <w:rsid w:val="00EF3183"/>
    <w:rsid w:val="00EF6A8C"/>
    <w:rsid w:val="00F00106"/>
    <w:rsid w:val="00F014E1"/>
    <w:rsid w:val="00F02232"/>
    <w:rsid w:val="00F025ED"/>
    <w:rsid w:val="00F02A2E"/>
    <w:rsid w:val="00F02EF9"/>
    <w:rsid w:val="00F038EC"/>
    <w:rsid w:val="00F03BB5"/>
    <w:rsid w:val="00F04431"/>
    <w:rsid w:val="00F047D8"/>
    <w:rsid w:val="00F059B6"/>
    <w:rsid w:val="00F071AF"/>
    <w:rsid w:val="00F072A7"/>
    <w:rsid w:val="00F078DC"/>
    <w:rsid w:val="00F13061"/>
    <w:rsid w:val="00F135D5"/>
    <w:rsid w:val="00F13729"/>
    <w:rsid w:val="00F14593"/>
    <w:rsid w:val="00F14A04"/>
    <w:rsid w:val="00F171A1"/>
    <w:rsid w:val="00F20409"/>
    <w:rsid w:val="00F21445"/>
    <w:rsid w:val="00F24773"/>
    <w:rsid w:val="00F26551"/>
    <w:rsid w:val="00F32BA8"/>
    <w:rsid w:val="00F349F1"/>
    <w:rsid w:val="00F35D6B"/>
    <w:rsid w:val="00F40FCF"/>
    <w:rsid w:val="00F4215A"/>
    <w:rsid w:val="00F43180"/>
    <w:rsid w:val="00F431C3"/>
    <w:rsid w:val="00F4350D"/>
    <w:rsid w:val="00F43CCF"/>
    <w:rsid w:val="00F43E3F"/>
    <w:rsid w:val="00F44693"/>
    <w:rsid w:val="00F45C97"/>
    <w:rsid w:val="00F46947"/>
    <w:rsid w:val="00F50532"/>
    <w:rsid w:val="00F51246"/>
    <w:rsid w:val="00F519F2"/>
    <w:rsid w:val="00F52288"/>
    <w:rsid w:val="00F52CA6"/>
    <w:rsid w:val="00F53873"/>
    <w:rsid w:val="00F558C9"/>
    <w:rsid w:val="00F567F7"/>
    <w:rsid w:val="00F61A66"/>
    <w:rsid w:val="00F61B09"/>
    <w:rsid w:val="00F62036"/>
    <w:rsid w:val="00F64F0A"/>
    <w:rsid w:val="00F65B52"/>
    <w:rsid w:val="00F6668F"/>
    <w:rsid w:val="00F67BCA"/>
    <w:rsid w:val="00F70799"/>
    <w:rsid w:val="00F73BD6"/>
    <w:rsid w:val="00F74D1E"/>
    <w:rsid w:val="00F74F7A"/>
    <w:rsid w:val="00F76903"/>
    <w:rsid w:val="00F800C9"/>
    <w:rsid w:val="00F81C55"/>
    <w:rsid w:val="00F8266D"/>
    <w:rsid w:val="00F83989"/>
    <w:rsid w:val="00F84F7B"/>
    <w:rsid w:val="00F85099"/>
    <w:rsid w:val="00F8606C"/>
    <w:rsid w:val="00F861E9"/>
    <w:rsid w:val="00F87E83"/>
    <w:rsid w:val="00F91D0C"/>
    <w:rsid w:val="00F920E9"/>
    <w:rsid w:val="00F922A4"/>
    <w:rsid w:val="00F9368F"/>
    <w:rsid w:val="00F9379C"/>
    <w:rsid w:val="00F956C3"/>
    <w:rsid w:val="00F9632C"/>
    <w:rsid w:val="00FA13A8"/>
    <w:rsid w:val="00FA1E52"/>
    <w:rsid w:val="00FA31DE"/>
    <w:rsid w:val="00FA4F41"/>
    <w:rsid w:val="00FA521A"/>
    <w:rsid w:val="00FA5F7D"/>
    <w:rsid w:val="00FA7D17"/>
    <w:rsid w:val="00FB4891"/>
    <w:rsid w:val="00FB58AB"/>
    <w:rsid w:val="00FB73E3"/>
    <w:rsid w:val="00FC01ED"/>
    <w:rsid w:val="00FC3EB8"/>
    <w:rsid w:val="00FC4495"/>
    <w:rsid w:val="00FC5441"/>
    <w:rsid w:val="00FC6857"/>
    <w:rsid w:val="00FC6D88"/>
    <w:rsid w:val="00FC6F5B"/>
    <w:rsid w:val="00FC7D25"/>
    <w:rsid w:val="00FD0EED"/>
    <w:rsid w:val="00FD13CC"/>
    <w:rsid w:val="00FD2E53"/>
    <w:rsid w:val="00FD343A"/>
    <w:rsid w:val="00FE0275"/>
    <w:rsid w:val="00FE2261"/>
    <w:rsid w:val="00FE2FB8"/>
    <w:rsid w:val="00FE4688"/>
    <w:rsid w:val="00FE5C50"/>
    <w:rsid w:val="00FE5D97"/>
    <w:rsid w:val="00FE72D6"/>
    <w:rsid w:val="00FE79D0"/>
    <w:rsid w:val="00FF3858"/>
    <w:rsid w:val="00FF477E"/>
    <w:rsid w:val="00FF5C31"/>
    <w:rsid w:val="00FF68C3"/>
    <w:rsid w:val="00FF6BC4"/>
    <w:rsid w:val="01818F08"/>
    <w:rsid w:val="035F4EEF"/>
    <w:rsid w:val="12BB3797"/>
    <w:rsid w:val="157771AC"/>
    <w:rsid w:val="23265F1A"/>
    <w:rsid w:val="27410F28"/>
    <w:rsid w:val="321A2E55"/>
    <w:rsid w:val="4B769DE1"/>
    <w:rsid w:val="4BC5A54D"/>
    <w:rsid w:val="4DEA9F33"/>
    <w:rsid w:val="4E2655A7"/>
    <w:rsid w:val="4FB9A54A"/>
    <w:rsid w:val="500C1F5B"/>
    <w:rsid w:val="517B82FE"/>
    <w:rsid w:val="51DD8360"/>
    <w:rsid w:val="5C13CC73"/>
    <w:rsid w:val="5D75AD72"/>
    <w:rsid w:val="64A171D8"/>
    <w:rsid w:val="6617FF23"/>
    <w:rsid w:val="66D34004"/>
    <w:rsid w:val="7A85CF2C"/>
    <w:rsid w:val="7B8B670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A39DB"/>
  <w15:chartTrackingRefBased/>
  <w15:docId w15:val="{FE14026F-B519-4138-99F0-B5B0BD364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uiPriority w:val="99"/>
    <w:rsid w:val="00F61B09"/>
    <w:pPr>
      <w:tabs>
        <w:tab w:val="center" w:pos="4153"/>
        <w:tab w:val="right" w:pos="8306"/>
      </w:tabs>
    </w:pPr>
    <w:rPr>
      <w:rFonts w:eastAsia="Times New Roman"/>
      <w:sz w:val="22"/>
      <w:szCs w:val="24"/>
    </w:rPr>
  </w:style>
  <w:style w:type="character" w:customStyle="1" w:styleId="FooterChar">
    <w:name w:val="Footer Char"/>
    <w:link w:val="Footer"/>
    <w:uiPriority w:val="99"/>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character" w:customStyle="1" w:styleId="LI-SectionsubsubparaAChar">
    <w:name w:val="LI - Section subsubpara (A) Char"/>
    <w:link w:val="LI-SectionsubsubparaA"/>
    <w:rsid w:val="006554FF"/>
    <w:rPr>
      <w:rFonts w:eastAsia="Times New Roman"/>
      <w:sz w:val="24"/>
      <w:szCs w:val="24"/>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unhideWhenUsed/>
    <w:rsid w:val="00D702DE"/>
    <w:rPr>
      <w:sz w:val="20"/>
    </w:rPr>
  </w:style>
  <w:style w:type="character" w:customStyle="1" w:styleId="CommentTextChar">
    <w:name w:val="Comment Text Char"/>
    <w:link w:val="CommentText"/>
    <w:uiPriority w:val="99"/>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character" w:customStyle="1" w:styleId="LI-SubtitleChar">
    <w:name w:val="LI - Subtitle Char"/>
    <w:link w:val="LI-Subtitle"/>
    <w:rsid w:val="00243EC0"/>
    <w:rPr>
      <w:b/>
      <w:sz w:val="28"/>
      <w:szCs w:val="28"/>
    </w:rPr>
  </w:style>
  <w:style w:type="paragraph" w:styleId="Revision">
    <w:name w:val="Revision"/>
    <w:hidden/>
    <w:uiPriority w:val="99"/>
    <w:semiHidden/>
    <w:rsid w:val="00FB58AB"/>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87055">
      <w:bodyDiv w:val="1"/>
      <w:marLeft w:val="0"/>
      <w:marRight w:val="0"/>
      <w:marTop w:val="0"/>
      <w:marBottom w:val="0"/>
      <w:divBdr>
        <w:top w:val="none" w:sz="0" w:space="0" w:color="auto"/>
        <w:left w:val="none" w:sz="0" w:space="0" w:color="auto"/>
        <w:bottom w:val="none" w:sz="0" w:space="0" w:color="auto"/>
        <w:right w:val="none" w:sz="0" w:space="0" w:color="auto"/>
      </w:divBdr>
    </w:div>
    <w:div w:id="172497673">
      <w:bodyDiv w:val="1"/>
      <w:marLeft w:val="0"/>
      <w:marRight w:val="0"/>
      <w:marTop w:val="0"/>
      <w:marBottom w:val="0"/>
      <w:divBdr>
        <w:top w:val="none" w:sz="0" w:space="0" w:color="auto"/>
        <w:left w:val="none" w:sz="0" w:space="0" w:color="auto"/>
        <w:bottom w:val="none" w:sz="0" w:space="0" w:color="auto"/>
        <w:right w:val="none" w:sz="0" w:space="0" w:color="auto"/>
      </w:divBdr>
    </w:div>
    <w:div w:id="256138385">
      <w:bodyDiv w:val="1"/>
      <w:marLeft w:val="0"/>
      <w:marRight w:val="0"/>
      <w:marTop w:val="0"/>
      <w:marBottom w:val="0"/>
      <w:divBdr>
        <w:top w:val="none" w:sz="0" w:space="0" w:color="auto"/>
        <w:left w:val="none" w:sz="0" w:space="0" w:color="auto"/>
        <w:bottom w:val="none" w:sz="0" w:space="0" w:color="auto"/>
        <w:right w:val="none" w:sz="0" w:space="0" w:color="auto"/>
      </w:divBdr>
    </w:div>
    <w:div w:id="274023102">
      <w:bodyDiv w:val="1"/>
      <w:marLeft w:val="0"/>
      <w:marRight w:val="0"/>
      <w:marTop w:val="0"/>
      <w:marBottom w:val="0"/>
      <w:divBdr>
        <w:top w:val="none" w:sz="0" w:space="0" w:color="auto"/>
        <w:left w:val="none" w:sz="0" w:space="0" w:color="auto"/>
        <w:bottom w:val="none" w:sz="0" w:space="0" w:color="auto"/>
        <w:right w:val="none" w:sz="0" w:space="0" w:color="auto"/>
      </w:divBdr>
    </w:div>
    <w:div w:id="442578538">
      <w:bodyDiv w:val="1"/>
      <w:marLeft w:val="0"/>
      <w:marRight w:val="0"/>
      <w:marTop w:val="0"/>
      <w:marBottom w:val="0"/>
      <w:divBdr>
        <w:top w:val="none" w:sz="0" w:space="0" w:color="auto"/>
        <w:left w:val="none" w:sz="0" w:space="0" w:color="auto"/>
        <w:bottom w:val="none" w:sz="0" w:space="0" w:color="auto"/>
        <w:right w:val="none" w:sz="0" w:space="0" w:color="auto"/>
      </w:divBdr>
    </w:div>
    <w:div w:id="501706349">
      <w:bodyDiv w:val="1"/>
      <w:marLeft w:val="0"/>
      <w:marRight w:val="0"/>
      <w:marTop w:val="0"/>
      <w:marBottom w:val="0"/>
      <w:divBdr>
        <w:top w:val="none" w:sz="0" w:space="0" w:color="auto"/>
        <w:left w:val="none" w:sz="0" w:space="0" w:color="auto"/>
        <w:bottom w:val="none" w:sz="0" w:space="0" w:color="auto"/>
        <w:right w:val="none" w:sz="0" w:space="0" w:color="auto"/>
      </w:divBdr>
    </w:div>
    <w:div w:id="561723127">
      <w:bodyDiv w:val="1"/>
      <w:marLeft w:val="0"/>
      <w:marRight w:val="0"/>
      <w:marTop w:val="0"/>
      <w:marBottom w:val="0"/>
      <w:divBdr>
        <w:top w:val="none" w:sz="0" w:space="0" w:color="auto"/>
        <w:left w:val="none" w:sz="0" w:space="0" w:color="auto"/>
        <w:bottom w:val="none" w:sz="0" w:space="0" w:color="auto"/>
        <w:right w:val="none" w:sz="0" w:space="0" w:color="auto"/>
      </w:divBdr>
    </w:div>
    <w:div w:id="648247979">
      <w:bodyDiv w:val="1"/>
      <w:marLeft w:val="0"/>
      <w:marRight w:val="0"/>
      <w:marTop w:val="0"/>
      <w:marBottom w:val="0"/>
      <w:divBdr>
        <w:top w:val="none" w:sz="0" w:space="0" w:color="auto"/>
        <w:left w:val="none" w:sz="0" w:space="0" w:color="auto"/>
        <w:bottom w:val="none" w:sz="0" w:space="0" w:color="auto"/>
        <w:right w:val="none" w:sz="0" w:space="0" w:color="auto"/>
      </w:divBdr>
    </w:div>
    <w:div w:id="692731220">
      <w:bodyDiv w:val="1"/>
      <w:marLeft w:val="0"/>
      <w:marRight w:val="0"/>
      <w:marTop w:val="0"/>
      <w:marBottom w:val="0"/>
      <w:divBdr>
        <w:top w:val="none" w:sz="0" w:space="0" w:color="auto"/>
        <w:left w:val="none" w:sz="0" w:space="0" w:color="auto"/>
        <w:bottom w:val="none" w:sz="0" w:space="0" w:color="auto"/>
        <w:right w:val="none" w:sz="0" w:space="0" w:color="auto"/>
      </w:divBdr>
    </w:div>
    <w:div w:id="764885057">
      <w:bodyDiv w:val="1"/>
      <w:marLeft w:val="0"/>
      <w:marRight w:val="0"/>
      <w:marTop w:val="0"/>
      <w:marBottom w:val="0"/>
      <w:divBdr>
        <w:top w:val="none" w:sz="0" w:space="0" w:color="auto"/>
        <w:left w:val="none" w:sz="0" w:space="0" w:color="auto"/>
        <w:bottom w:val="none" w:sz="0" w:space="0" w:color="auto"/>
        <w:right w:val="none" w:sz="0" w:space="0" w:color="auto"/>
      </w:divBdr>
    </w:div>
    <w:div w:id="882474341">
      <w:bodyDiv w:val="1"/>
      <w:marLeft w:val="0"/>
      <w:marRight w:val="0"/>
      <w:marTop w:val="0"/>
      <w:marBottom w:val="0"/>
      <w:divBdr>
        <w:top w:val="none" w:sz="0" w:space="0" w:color="auto"/>
        <w:left w:val="none" w:sz="0" w:space="0" w:color="auto"/>
        <w:bottom w:val="none" w:sz="0" w:space="0" w:color="auto"/>
        <w:right w:val="none" w:sz="0" w:space="0" w:color="auto"/>
      </w:divBdr>
    </w:div>
    <w:div w:id="1045373051">
      <w:bodyDiv w:val="1"/>
      <w:marLeft w:val="0"/>
      <w:marRight w:val="0"/>
      <w:marTop w:val="0"/>
      <w:marBottom w:val="0"/>
      <w:divBdr>
        <w:top w:val="none" w:sz="0" w:space="0" w:color="auto"/>
        <w:left w:val="none" w:sz="0" w:space="0" w:color="auto"/>
        <w:bottom w:val="none" w:sz="0" w:space="0" w:color="auto"/>
        <w:right w:val="none" w:sz="0" w:space="0" w:color="auto"/>
      </w:divBdr>
    </w:div>
    <w:div w:id="1208104315">
      <w:bodyDiv w:val="1"/>
      <w:marLeft w:val="0"/>
      <w:marRight w:val="0"/>
      <w:marTop w:val="0"/>
      <w:marBottom w:val="0"/>
      <w:divBdr>
        <w:top w:val="none" w:sz="0" w:space="0" w:color="auto"/>
        <w:left w:val="none" w:sz="0" w:space="0" w:color="auto"/>
        <w:bottom w:val="none" w:sz="0" w:space="0" w:color="auto"/>
        <w:right w:val="none" w:sz="0" w:space="0" w:color="auto"/>
      </w:divBdr>
    </w:div>
    <w:div w:id="1277981005">
      <w:bodyDiv w:val="1"/>
      <w:marLeft w:val="0"/>
      <w:marRight w:val="0"/>
      <w:marTop w:val="0"/>
      <w:marBottom w:val="0"/>
      <w:divBdr>
        <w:top w:val="none" w:sz="0" w:space="0" w:color="auto"/>
        <w:left w:val="none" w:sz="0" w:space="0" w:color="auto"/>
        <w:bottom w:val="none" w:sz="0" w:space="0" w:color="auto"/>
        <w:right w:val="none" w:sz="0" w:space="0" w:color="auto"/>
      </w:divBdr>
    </w:div>
    <w:div w:id="1297416932">
      <w:bodyDiv w:val="1"/>
      <w:marLeft w:val="0"/>
      <w:marRight w:val="0"/>
      <w:marTop w:val="0"/>
      <w:marBottom w:val="0"/>
      <w:divBdr>
        <w:top w:val="none" w:sz="0" w:space="0" w:color="auto"/>
        <w:left w:val="none" w:sz="0" w:space="0" w:color="auto"/>
        <w:bottom w:val="none" w:sz="0" w:space="0" w:color="auto"/>
        <w:right w:val="none" w:sz="0" w:space="0" w:color="auto"/>
      </w:divBdr>
    </w:div>
    <w:div w:id="1349403910">
      <w:bodyDiv w:val="1"/>
      <w:marLeft w:val="0"/>
      <w:marRight w:val="0"/>
      <w:marTop w:val="0"/>
      <w:marBottom w:val="0"/>
      <w:divBdr>
        <w:top w:val="none" w:sz="0" w:space="0" w:color="auto"/>
        <w:left w:val="none" w:sz="0" w:space="0" w:color="auto"/>
        <w:bottom w:val="none" w:sz="0" w:space="0" w:color="auto"/>
        <w:right w:val="none" w:sz="0" w:space="0" w:color="auto"/>
      </w:divBdr>
    </w:div>
    <w:div w:id="1848321264">
      <w:bodyDiv w:val="1"/>
      <w:marLeft w:val="0"/>
      <w:marRight w:val="0"/>
      <w:marTop w:val="0"/>
      <w:marBottom w:val="0"/>
      <w:divBdr>
        <w:top w:val="none" w:sz="0" w:space="0" w:color="auto"/>
        <w:left w:val="none" w:sz="0" w:space="0" w:color="auto"/>
        <w:bottom w:val="none" w:sz="0" w:space="0" w:color="auto"/>
        <w:right w:val="none" w:sz="0" w:space="0" w:color="auto"/>
      </w:divBdr>
    </w:div>
    <w:div w:id="1941449998">
      <w:bodyDiv w:val="1"/>
      <w:marLeft w:val="0"/>
      <w:marRight w:val="0"/>
      <w:marTop w:val="0"/>
      <w:marBottom w:val="0"/>
      <w:divBdr>
        <w:top w:val="none" w:sz="0" w:space="0" w:color="auto"/>
        <w:left w:val="none" w:sz="0" w:space="0" w:color="auto"/>
        <w:bottom w:val="none" w:sz="0" w:space="0" w:color="auto"/>
        <w:right w:val="none" w:sz="0" w:space="0" w:color="auto"/>
      </w:divBdr>
    </w:div>
    <w:div w:id="204964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1abb5e704a84578aa4b8ef0390c3b25 xmlns="db2b92ca-6ed0-4085-802d-4c686a2e8c3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cffd3088-7a74-4edb-8c9e-fbf79371a422</TermId>
        </TermInfo>
      </Terms>
    </p1abb5e704a84578aa4b8ef0390c3b25>
    <DocumentNotes xmlns="db2b92ca-6ed0-4085-802d-4c686a2e8c3f" xsi:nil="true"/>
    <NAPReason xmlns="db2b92ca-6ed0-4085-802d-4c686a2e8c3f" xsi:nil="true"/>
    <_dlc_DocId xmlns="6d01ba57-bcb9-4c1f-9f73-80759da4b854">011046-1804898402-307</_dlc_DocId>
    <_dlc_DocIdUrl xmlns="6d01ba57-bcb9-4c1f-9f73-80759da4b854">
      <Url>https://asiclink.sharepoint.com/teams/011046/_layouts/15/DocIdRedir.aspx?ID=011046-1804898402-307</Url>
      <Description>011046-1804898402-307</Description>
    </_dlc_DocIdUrl>
    <TaxCatchAll xmlns="db2b92ca-6ed0-4085-802d-4c686a2e8c3f">
      <Value>1</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IC Document" ma:contentTypeID="0x010100B5F685A1365F544391EF8C813B164F3A0019988CD1B89559429EEB8038619BA6D2" ma:contentTypeVersion="13" ma:contentTypeDescription="Create a new document." ma:contentTypeScope="" ma:versionID="abf46831c5aa06e2dc86915ed01d2cc5">
  <xsd:schema xmlns:xsd="http://www.w3.org/2001/XMLSchema" xmlns:xs="http://www.w3.org/2001/XMLSchema" xmlns:p="http://schemas.microsoft.com/office/2006/metadata/properties" xmlns:ns2="db2b92ca-6ed0-4085-802d-4c686a2e8c3f" xmlns:ns3="6d01ba57-bcb9-4c1f-9f73-80759da4b854" targetNamespace="http://schemas.microsoft.com/office/2006/metadata/properties" ma:root="true" ma:fieldsID="f4f3068bab19d68f03ce77f1c637e99c" ns2:_="" ns3:_="">
    <xsd:import namespace="db2b92ca-6ed0-4085-802d-4c686a2e8c3f"/>
    <xsd:import namespace="6d01ba57-bcb9-4c1f-9f73-80759da4b854"/>
    <xsd:element name="properties">
      <xsd:complexType>
        <xsd:sequence>
          <xsd:element name="documentManagement">
            <xsd:complexType>
              <xsd:all>
                <xsd:element ref="ns2:NAPReason" minOccurs="0"/>
                <xsd:element ref="ns2:p1abb5e704a84578aa4b8ef0390c3b25" minOccurs="0"/>
                <xsd:element ref="ns2:TaxCatchAll" minOccurs="0"/>
                <xsd:element ref="ns2:TaxCatchAllLabel" minOccurs="0"/>
                <xsd:element ref="ns2:DocumentNot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ma:taxonomy="true" ma:internalName="p1abb5e704a84578aa4b8ef0390c3b25" ma:taxonomyFieldName="SecurityClassification" ma:displayName="Security Classification" ma:readOnly="false" ma:fieldId="{91abb5e7-04a8-4578-aa4b-8ef0390c3b25}" ma:sspId="af302855-5de3-48f9-83c2-fc1acc0f760b" ma:termSetId="1d2f2699-c9ac-44b7-aa84-d64945e6f0b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c34a4ef-e6e7-4e0f-9e28-c4f3abaea4fd}" ma:internalName="TaxCatchAll" ma:showField="CatchAllData" ma:web="6d01ba57-bcb9-4c1f-9f73-80759da4b85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5c34a4ef-e6e7-4e0f-9e28-c4f3abaea4fd}" ma:internalName="TaxCatchAllLabel" ma:readOnly="true" ma:showField="CatchAllDataLabel" ma:web="6d01ba57-bcb9-4c1f-9f73-80759da4b854">
      <xsd:complexType>
        <xsd:complexContent>
          <xsd:extension base="dms:MultiChoiceLookup">
            <xsd:sequence>
              <xsd:element name="Value" type="dms:Lookup" maxOccurs="unbounded" minOccurs="0" nillable="true"/>
            </xsd:sequence>
          </xsd:extension>
        </xsd:complexContent>
      </xsd:complexType>
    </xsd:element>
    <xsd:element name="DocumentNotes" ma:index="13"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01ba57-bcb9-4c1f-9f73-80759da4b854"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7.xml><?xml version="1.0" encoding="utf-8"?>
<?mso-contentType ?>
<SharedContentType xmlns="Microsoft.SharePoint.Taxonomy.ContentTypeSync" SourceId="af302855-5de3-48f9-83c2-fc1acc0f760b" ContentTypeId="0x010100B5F685A1365F544391EF8C813B164F3A" PreviousValue="false"/>
</file>

<file path=customXml/itemProps1.xml><?xml version="1.0" encoding="utf-8"?>
<ds:datastoreItem xmlns:ds="http://schemas.openxmlformats.org/officeDocument/2006/customXml" ds:itemID="{E2CA826B-73E7-4F17-9BA1-76589DEFEB3C}">
  <ds:schemaRefs>
    <ds:schemaRef ds:uri="http://schemas.microsoft.com/sharepoint/events"/>
  </ds:schemaRefs>
</ds:datastoreItem>
</file>

<file path=customXml/itemProps2.xml><?xml version="1.0" encoding="utf-8"?>
<ds:datastoreItem xmlns:ds="http://schemas.openxmlformats.org/officeDocument/2006/customXml" ds:itemID="{DFF62D22-A1E5-4B55-8E5F-394F06BC6000}">
  <ds:schemaRefs>
    <ds:schemaRef ds:uri="http://schemas.openxmlformats.org/officeDocument/2006/bibliography"/>
  </ds:schemaRefs>
</ds:datastoreItem>
</file>

<file path=customXml/itemProps3.xml><?xml version="1.0" encoding="utf-8"?>
<ds:datastoreItem xmlns:ds="http://schemas.openxmlformats.org/officeDocument/2006/customXml" ds:itemID="{A954CD4F-4ADE-45EC-8760-0728E2692B40}">
  <ds:schemaRefs>
    <ds:schemaRef ds:uri="http://schemas.microsoft.com/office/2006/metadata/properties"/>
    <ds:schemaRef ds:uri="http://schemas.microsoft.com/office/infopath/2007/PartnerControls"/>
    <ds:schemaRef ds:uri="db2b92ca-6ed0-4085-802d-4c686a2e8c3f"/>
    <ds:schemaRef ds:uri="6d01ba57-bcb9-4c1f-9f73-80759da4b854"/>
  </ds:schemaRefs>
</ds:datastoreItem>
</file>

<file path=customXml/itemProps4.xml><?xml version="1.0" encoding="utf-8"?>
<ds:datastoreItem xmlns:ds="http://schemas.openxmlformats.org/officeDocument/2006/customXml" ds:itemID="{1B914A11-A6CE-469A-88F9-60907E8738B0}">
  <ds:schemaRefs>
    <ds:schemaRef ds:uri="http://schemas.microsoft.com/sharepoint/v3/contenttype/forms"/>
  </ds:schemaRefs>
</ds:datastoreItem>
</file>

<file path=customXml/itemProps5.xml><?xml version="1.0" encoding="utf-8"?>
<ds:datastoreItem xmlns:ds="http://schemas.openxmlformats.org/officeDocument/2006/customXml" ds:itemID="{4B58D9DD-0369-4C37-9856-08B8CBA27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6d01ba57-bcb9-4c1f-9f73-80759da4b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D751942-C67F-4D0C-9A01-EDA69EE9D211}">
  <ds:schemaRefs>
    <ds:schemaRef ds:uri="http://schemas.microsoft.com/office/2006/metadata/longProperties"/>
  </ds:schemaRefs>
</ds:datastoreItem>
</file>

<file path=customXml/itemProps7.xml><?xml version="1.0" encoding="utf-8"?>
<ds:datastoreItem xmlns:ds="http://schemas.openxmlformats.org/officeDocument/2006/customXml" ds:itemID="{F72D521A-DAB7-4FB7-B2F4-979DB9280F3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INST_NEW</Template>
  <TotalTime>80</TotalTime>
  <Pages>12</Pages>
  <Words>3778</Words>
  <Characters>21536</Characters>
  <Application>Microsoft Office Word</Application>
  <DocSecurity>0</DocSecurity>
  <PresentationFormat/>
  <Lines>179</Lines>
  <Paragraphs>50</Paragraphs>
  <ScaleCrop>false</ScaleCrop>
  <Company>ASIC</Company>
  <LinksUpToDate>false</LinksUpToDate>
  <CharactersWithSpaces>25264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Template (Explanatory Statement - Jan 2019).docx</dc:title>
  <dc:subject/>
  <dc:creator>Elinor Egan</dc:creator>
  <cp:keywords/>
  <cp:lastModifiedBy>Narelle Kane</cp:lastModifiedBy>
  <cp:revision>13</cp:revision>
  <cp:lastPrinted>2025-09-17T03:50:00Z</cp:lastPrinted>
  <dcterms:created xsi:type="dcterms:W3CDTF">2025-09-18T23:42:00Z</dcterms:created>
  <dcterms:modified xsi:type="dcterms:W3CDTF">2025-09-22T05:51:00Z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A4330949</vt:lpwstr>
  </property>
  <property fmtid="{D5CDD505-2E9C-101B-9397-08002B2CF9AE}" pid="20" name="Objective-Title">
    <vt:lpwstr>ASIC Template (Principal Legislative Instruments - May 2015)</vt:lpwstr>
  </property>
  <property fmtid="{D5CDD505-2E9C-101B-9397-08002B2CF9AE}" pid="21" name="Objective-Comment">
    <vt:lpwstr/>
  </property>
  <property fmtid="{D5CDD505-2E9C-101B-9397-08002B2CF9AE}" pid="22" name="Objective-CreationStamp">
    <vt:filetime>2014-11-19T05:20:39Z</vt:filetime>
  </property>
  <property fmtid="{D5CDD505-2E9C-101B-9397-08002B2CF9AE}" pid="23" name="Objective-IsApproved">
    <vt:bool>false</vt:bool>
  </property>
  <property fmtid="{D5CDD505-2E9C-101B-9397-08002B2CF9AE}" pid="24" name="Objective-IsPublished">
    <vt:bool>false</vt:bool>
  </property>
  <property fmtid="{D5CDD505-2E9C-101B-9397-08002B2CF9AE}" pid="25" name="Objective-DatePublished">
    <vt:lpwstr/>
  </property>
  <property fmtid="{D5CDD505-2E9C-101B-9397-08002B2CF9AE}" pid="26" name="Objective-ModificationStamp">
    <vt:filetime>2015-09-03T05:00:51Z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 Templates:</vt:lpwstr>
  </property>
  <property fmtid="{D5CDD505-2E9C-101B-9397-08002B2CF9AE}" pid="29" name="Objective-Parent">
    <vt:lpwstr>Legislative Instrument Templates</vt:lpwstr>
  </property>
  <property fmtid="{D5CDD505-2E9C-101B-9397-08002B2CF9AE}" pid="30" name="Objective-State">
    <vt:lpwstr>Being Drafted</vt:lpwstr>
  </property>
  <property fmtid="{D5CDD505-2E9C-101B-9397-08002B2CF9AE}" pid="31" name="Objective-Version">
    <vt:lpwstr>3.1</vt:lpwstr>
  </property>
  <property fmtid="{D5CDD505-2E9C-101B-9397-08002B2CF9AE}" pid="32" name="Objective-VersionNumber">
    <vt:i4>15</vt:i4>
  </property>
  <property fmtid="{D5CDD505-2E9C-101B-9397-08002B2CF9AE}" pid="33" name="Objective-VersionComment">
    <vt:lpwstr/>
  </property>
  <property fmtid="{D5CDD505-2E9C-101B-9397-08002B2CF9AE}" pid="34" name="Objective-FileNumber">
    <vt:lpwstr>2014 - 005986</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k274875fb6994245bc6e4e8c07243a23">
    <vt:lpwstr>Sensitive|19fd2cb8-3e97-4464-ae71-8c2c2095d028</vt:lpwstr>
  </property>
  <property fmtid="{D5CDD505-2E9C-101B-9397-08002B2CF9AE}" pid="39" name="TaxCatchAll">
    <vt:lpwstr>7;#Sensitive|19fd2cb8-3e97-4464-ae71-8c2c2095d028</vt:lpwstr>
  </property>
  <property fmtid="{D5CDD505-2E9C-101B-9397-08002B2CF9AE}" pid="40" name="RecordPoint_WorkflowType">
    <vt:lpwstr>ActiveSubmitStub</vt:lpwstr>
  </property>
  <property fmtid="{D5CDD505-2E9C-101B-9397-08002B2CF9AE}" pid="41" name="RecordPoint_ActiveItemSiteId">
    <vt:lpwstr>{fa96e6fb-4129-44b7-b105-10ec3844cb78}</vt:lpwstr>
  </property>
  <property fmtid="{D5CDD505-2E9C-101B-9397-08002B2CF9AE}" pid="42" name="RecordPoint_ActiveItemListId">
    <vt:lpwstr>{e8634c1b-1868-4a02-8de8-ef4b1316a551}</vt:lpwstr>
  </property>
  <property fmtid="{D5CDD505-2E9C-101B-9397-08002B2CF9AE}" pid="43" name="RecordPoint_ActiveItemUniqueId">
    <vt:lpwstr>{0f4c5c6f-0dad-4deb-a834-375fa2501599}</vt:lpwstr>
  </property>
  <property fmtid="{D5CDD505-2E9C-101B-9397-08002B2CF9AE}" pid="44" name="RecordPoint_ActiveItemWebId">
    <vt:lpwstr>{6fdf923d-1605-456d-9034-49e4c2a6593d}</vt:lpwstr>
  </property>
  <property fmtid="{D5CDD505-2E9C-101B-9397-08002B2CF9AE}" pid="45" name="IconOverlay">
    <vt:lpwstr/>
  </property>
  <property fmtid="{D5CDD505-2E9C-101B-9397-08002B2CF9AE}" pid="46" name="RecordNumber">
    <vt:lpwstr>R20210000583158</vt:lpwstr>
  </property>
  <property fmtid="{D5CDD505-2E9C-101B-9397-08002B2CF9AE}" pid="47" name="RecordPoint_SubmissionCompleted">
    <vt:lpwstr>2021-09-14T18:42:49.7315500+10:00</vt:lpwstr>
  </property>
  <property fmtid="{D5CDD505-2E9C-101B-9397-08002B2CF9AE}" pid="48" name="RecordPoint_RecordNumberSubmitted">
    <vt:lpwstr>R20210000583158</vt:lpwstr>
  </property>
  <property fmtid="{D5CDD505-2E9C-101B-9397-08002B2CF9AE}" pid="49" name="Reviewers">
    <vt:lpwstr/>
  </property>
  <property fmtid="{D5CDD505-2E9C-101B-9397-08002B2CF9AE}" pid="50" name="NotesLinks">
    <vt:lpwstr/>
  </property>
  <property fmtid="{D5CDD505-2E9C-101B-9397-08002B2CF9AE}" pid="51" name="Approvers">
    <vt:lpwstr/>
  </property>
  <property fmtid="{D5CDD505-2E9C-101B-9397-08002B2CF9AE}" pid="52" name="SecurityClassification">
    <vt:lpwstr>1;#OFFICIAL|cffd3088-7a74-4edb-8c9e-fbf79371a422</vt:lpwstr>
  </property>
  <property fmtid="{D5CDD505-2E9C-101B-9397-08002B2CF9AE}" pid="53" name="ObjectiveID">
    <vt:lpwstr/>
  </property>
  <property fmtid="{D5CDD505-2E9C-101B-9397-08002B2CF9AE}" pid="54" name="SignificantFlag">
    <vt:lpwstr>0</vt:lpwstr>
  </property>
  <property fmtid="{D5CDD505-2E9C-101B-9397-08002B2CF9AE}" pid="55" name="SenateOrder12">
    <vt:lpwstr>0</vt:lpwstr>
  </property>
  <property fmtid="{D5CDD505-2E9C-101B-9397-08002B2CF9AE}" pid="56" name="ded95d7ab059406991d558011d18c177">
    <vt:lpwstr/>
  </property>
  <property fmtid="{D5CDD505-2E9C-101B-9397-08002B2CF9AE}" pid="57" name="SignificantReason">
    <vt:lpwstr/>
  </property>
  <property fmtid="{D5CDD505-2E9C-101B-9397-08002B2CF9AE}" pid="58" name="Order">
    <vt:lpwstr>71900.0000000000</vt:lpwstr>
  </property>
  <property fmtid="{D5CDD505-2E9C-101B-9397-08002B2CF9AE}" pid="59" name="RecordPoint_SubmissionDate">
    <vt:lpwstr/>
  </property>
  <property fmtid="{D5CDD505-2E9C-101B-9397-08002B2CF9AE}" pid="60" name="RecordPoint_RecordFormat">
    <vt:lpwstr/>
  </property>
  <property fmtid="{D5CDD505-2E9C-101B-9397-08002B2CF9AE}" pid="61" name="_dlc_DocId">
    <vt:lpwstr>000853-1726373233-1250</vt:lpwstr>
  </property>
  <property fmtid="{D5CDD505-2E9C-101B-9397-08002B2CF9AE}" pid="62" name="_dlc_DocIdItemGuid">
    <vt:lpwstr>e63c0151-acc4-48ba-816b-bc751bcc53dd</vt:lpwstr>
  </property>
  <property fmtid="{D5CDD505-2E9C-101B-9397-08002B2CF9AE}" pid="63" name="_dlc_DocIdUrl">
    <vt:lpwstr>https://asiclink.sharepoint.com/teams/000853/_layouts/15/DocIdRedir.aspx?ID=000853-1726373233-1250, 000853-1726373233-1250</vt:lpwstr>
  </property>
  <property fmtid="{D5CDD505-2E9C-101B-9397-08002B2CF9AE}" pid="64" name="ContentTypeId">
    <vt:lpwstr>0x010100B5F685A1365F544391EF8C813B164F3A0019988CD1B89559429EEB8038619BA6D2</vt:lpwstr>
  </property>
  <property fmtid="{D5CDD505-2E9C-101B-9397-08002B2CF9AE}" pid="65" name="MSIP_Label_a6aead41-07f8-4767-ac8e-ef1c9c793766_Enabled">
    <vt:lpwstr>true</vt:lpwstr>
  </property>
  <property fmtid="{D5CDD505-2E9C-101B-9397-08002B2CF9AE}" pid="66" name="MSIP_Label_a6aead41-07f8-4767-ac8e-ef1c9c793766_SetDate">
    <vt:lpwstr>2023-07-21T02:05:38Z</vt:lpwstr>
  </property>
  <property fmtid="{D5CDD505-2E9C-101B-9397-08002B2CF9AE}" pid="67" name="MSIP_Label_a6aead41-07f8-4767-ac8e-ef1c9c793766_Method">
    <vt:lpwstr>Standard</vt:lpwstr>
  </property>
  <property fmtid="{D5CDD505-2E9C-101B-9397-08002B2CF9AE}" pid="68" name="MSIP_Label_a6aead41-07f8-4767-ac8e-ef1c9c793766_Name">
    <vt:lpwstr>OFFICIAL</vt:lpwstr>
  </property>
  <property fmtid="{D5CDD505-2E9C-101B-9397-08002B2CF9AE}" pid="69" name="MSIP_Label_a6aead41-07f8-4767-ac8e-ef1c9c793766_SiteId">
    <vt:lpwstr>5f1de7c6-55cd-4bb2-902d-514c78cf10f4</vt:lpwstr>
  </property>
  <property fmtid="{D5CDD505-2E9C-101B-9397-08002B2CF9AE}" pid="70" name="MSIP_Label_a6aead41-07f8-4767-ac8e-ef1c9c793766_ActionId">
    <vt:lpwstr>59538b45-0da9-4ad6-a28d-b86ecde4c0ff</vt:lpwstr>
  </property>
  <property fmtid="{D5CDD505-2E9C-101B-9397-08002B2CF9AE}" pid="71" name="MSIP_Label_a6aead41-07f8-4767-ac8e-ef1c9c793766_ContentBits">
    <vt:lpwstr>0</vt:lpwstr>
  </property>
  <property fmtid="{D5CDD505-2E9C-101B-9397-08002B2CF9AE}" pid="72" name="docLang">
    <vt:lpwstr>en</vt:lpwstr>
  </property>
</Properties>
</file>