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F46CF3" w:rsidRDefault="00FC6D88" w:rsidP="00E2168B">
      <w:pPr>
        <w:spacing w:before="280" w:after="240"/>
        <w:rPr>
          <w:b/>
          <w:sz w:val="32"/>
          <w:szCs w:val="32"/>
        </w:rPr>
      </w:pPr>
      <w:r w:rsidRPr="00F46CF3">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F46CF3" w:rsidRDefault="00955175" w:rsidP="00955175">
      <w:pPr>
        <w:pStyle w:val="LI-Title"/>
        <w:pBdr>
          <w:top w:val="none" w:sz="0" w:space="0" w:color="auto"/>
        </w:pBdr>
        <w:jc w:val="center"/>
      </w:pPr>
    </w:p>
    <w:p w14:paraId="5B8D4084" w14:textId="77777777" w:rsidR="00955175" w:rsidRPr="00F46CF3" w:rsidRDefault="00955175" w:rsidP="00955175">
      <w:pPr>
        <w:pStyle w:val="LI-Title"/>
        <w:pBdr>
          <w:top w:val="none" w:sz="0" w:space="0" w:color="auto"/>
        </w:pBdr>
        <w:jc w:val="center"/>
      </w:pPr>
      <w:r w:rsidRPr="00F46CF3">
        <w:t>Explanatory Statement</w:t>
      </w:r>
    </w:p>
    <w:p w14:paraId="54F0DD85" w14:textId="77777777" w:rsidR="00955175" w:rsidRPr="00F46CF3" w:rsidRDefault="00955175" w:rsidP="00955175">
      <w:pPr>
        <w:rPr>
          <w:lang w:eastAsia="en-AU"/>
        </w:rPr>
      </w:pPr>
    </w:p>
    <w:p w14:paraId="376F21CA" w14:textId="0CF296F3" w:rsidR="00C4170B" w:rsidRPr="00F46CF3" w:rsidRDefault="00240460" w:rsidP="00C4170B">
      <w:pPr>
        <w:jc w:val="center"/>
        <w:rPr>
          <w:b/>
          <w:i/>
          <w:sz w:val="28"/>
          <w:szCs w:val="28"/>
          <w:lang w:eastAsia="en-AU"/>
        </w:rPr>
      </w:pPr>
      <w:r w:rsidRPr="00F46CF3">
        <w:rPr>
          <w:b/>
          <w:i/>
          <w:sz w:val="28"/>
          <w:szCs w:val="28"/>
          <w:lang w:eastAsia="en-AU"/>
        </w:rPr>
        <w:t>ASIC Corporations (Non-Reporting Entities) Instrument 20</w:t>
      </w:r>
      <w:r w:rsidR="00E80E41" w:rsidRPr="00F46CF3">
        <w:rPr>
          <w:b/>
          <w:i/>
          <w:sz w:val="28"/>
          <w:szCs w:val="28"/>
          <w:lang w:eastAsia="en-AU"/>
        </w:rPr>
        <w:t>2</w:t>
      </w:r>
      <w:r w:rsidRPr="00F46CF3">
        <w:rPr>
          <w:b/>
          <w:i/>
          <w:sz w:val="28"/>
          <w:szCs w:val="28"/>
          <w:lang w:eastAsia="en-AU"/>
        </w:rPr>
        <w:t>5/</w:t>
      </w:r>
      <w:r w:rsidR="00051F91" w:rsidRPr="00F46CF3">
        <w:rPr>
          <w:b/>
          <w:i/>
          <w:sz w:val="28"/>
          <w:szCs w:val="28"/>
          <w:lang w:eastAsia="en-AU"/>
        </w:rPr>
        <w:t>436</w:t>
      </w:r>
      <w:r w:rsidR="00E52497" w:rsidRPr="00F46CF3">
        <w:rPr>
          <w:b/>
          <w:i/>
          <w:sz w:val="28"/>
          <w:szCs w:val="28"/>
          <w:lang w:eastAsia="en-AU"/>
        </w:rPr>
        <w:t xml:space="preserve"> </w:t>
      </w:r>
      <w:r w:rsidR="00E52497" w:rsidRPr="00F46CF3">
        <w:rPr>
          <w:bCs/>
          <w:iCs/>
          <w:sz w:val="28"/>
          <w:szCs w:val="28"/>
          <w:lang w:eastAsia="en-AU"/>
        </w:rPr>
        <w:t>and</w:t>
      </w:r>
      <w:r w:rsidR="00E52497" w:rsidRPr="00F46CF3">
        <w:rPr>
          <w:b/>
          <w:i/>
          <w:sz w:val="28"/>
          <w:szCs w:val="28"/>
          <w:lang w:eastAsia="en-AU"/>
        </w:rPr>
        <w:t xml:space="preserve"> ASIC Corporations (Repeal) Instrument 2025/</w:t>
      </w:r>
      <w:r w:rsidR="00A24950" w:rsidRPr="00F46CF3">
        <w:rPr>
          <w:b/>
          <w:i/>
          <w:sz w:val="28"/>
          <w:szCs w:val="28"/>
          <w:lang w:eastAsia="en-AU"/>
        </w:rPr>
        <w:t>440</w:t>
      </w:r>
    </w:p>
    <w:p w14:paraId="3D70207E" w14:textId="66DA2E4E" w:rsidR="00863657" w:rsidRPr="00F46CF3" w:rsidRDefault="00F800C9" w:rsidP="00F800C9">
      <w:pPr>
        <w:pStyle w:val="LI-BodyTextParaa"/>
        <w:ind w:left="0" w:firstLine="0"/>
        <w:rPr>
          <w:iCs/>
        </w:rPr>
      </w:pPr>
      <w:bookmarkStart w:id="0" w:name="BK_S3P1L1C1"/>
      <w:bookmarkEnd w:id="0"/>
      <w:r w:rsidRPr="00F46CF3">
        <w:t xml:space="preserve">This is the Explanatory Statement for </w:t>
      </w:r>
      <w:r w:rsidR="00240460" w:rsidRPr="00F46CF3">
        <w:rPr>
          <w:i/>
        </w:rPr>
        <w:t>ASIC Corporations (Non-Reporting Entities) Instrument 20</w:t>
      </w:r>
      <w:r w:rsidR="00E80E41" w:rsidRPr="00F46CF3">
        <w:rPr>
          <w:i/>
        </w:rPr>
        <w:t>2</w:t>
      </w:r>
      <w:r w:rsidR="00240460" w:rsidRPr="00F46CF3">
        <w:rPr>
          <w:i/>
        </w:rPr>
        <w:t>5/</w:t>
      </w:r>
      <w:r w:rsidR="00AC4D42" w:rsidRPr="00F46CF3">
        <w:rPr>
          <w:i/>
        </w:rPr>
        <w:t>436</w:t>
      </w:r>
      <w:r w:rsidR="00A24950" w:rsidRPr="00F46CF3">
        <w:rPr>
          <w:iCs/>
        </w:rPr>
        <w:t xml:space="preserve"> and </w:t>
      </w:r>
      <w:r w:rsidR="00A24950" w:rsidRPr="00F46CF3">
        <w:rPr>
          <w:i/>
        </w:rPr>
        <w:t>ASIC Corporations (Repeal) Instrument 2025/440</w:t>
      </w:r>
      <w:r w:rsidR="00240460" w:rsidRPr="00F46CF3">
        <w:rPr>
          <w:iCs/>
        </w:rPr>
        <w:t xml:space="preserve">. </w:t>
      </w:r>
    </w:p>
    <w:p w14:paraId="119B6103" w14:textId="77777777" w:rsidR="00F800C9" w:rsidRPr="00F46CF3" w:rsidRDefault="00863657" w:rsidP="00F800C9">
      <w:pPr>
        <w:pStyle w:val="LI-BodyTextParaa"/>
        <w:ind w:left="0" w:firstLine="0"/>
      </w:pPr>
      <w:r w:rsidRPr="00F46CF3">
        <w:t>Th</w:t>
      </w:r>
      <w:r w:rsidR="00F800C9" w:rsidRPr="00F46CF3">
        <w:t>e</w:t>
      </w:r>
      <w:r w:rsidRPr="00F46CF3">
        <w:t xml:space="preserve"> </w:t>
      </w:r>
      <w:r w:rsidR="00F800C9" w:rsidRPr="00F46CF3">
        <w:t>Explanatory Statement is approved by the Australian Securities and Investments Commission (</w:t>
      </w:r>
      <w:r w:rsidR="00F800C9" w:rsidRPr="00F46CF3">
        <w:rPr>
          <w:b/>
          <w:i/>
        </w:rPr>
        <w:t>ASIC</w:t>
      </w:r>
      <w:r w:rsidR="00F800C9" w:rsidRPr="00F46CF3">
        <w:t>).</w:t>
      </w:r>
    </w:p>
    <w:p w14:paraId="10E55E66" w14:textId="77777777" w:rsidR="00F800C9" w:rsidRPr="00F46CF3" w:rsidRDefault="005D1FEA" w:rsidP="006D6079">
      <w:pPr>
        <w:pStyle w:val="LI-BodyTextNumbered"/>
        <w:keepNext/>
        <w:ind w:left="0" w:firstLine="0"/>
        <w:rPr>
          <w:b/>
        </w:rPr>
      </w:pPr>
      <w:r w:rsidRPr="00F46CF3">
        <w:rPr>
          <w:b/>
        </w:rPr>
        <w:t>Summary</w:t>
      </w:r>
    </w:p>
    <w:p w14:paraId="4A632C45" w14:textId="2686A014" w:rsidR="00F800C9" w:rsidRPr="00F46CF3" w:rsidRDefault="002D1CB9" w:rsidP="00A35BFB">
      <w:pPr>
        <w:pStyle w:val="LI-BodyTextParaa"/>
        <w:numPr>
          <w:ilvl w:val="0"/>
          <w:numId w:val="16"/>
        </w:numPr>
        <w:ind w:left="567" w:hanging="567"/>
        <w:rPr>
          <w:bCs/>
        </w:rPr>
      </w:pPr>
      <w:r w:rsidRPr="00F46CF3">
        <w:rPr>
          <w:i/>
          <w:iCs/>
        </w:rPr>
        <w:t>ASIC Corporations (Non-Reporting Entities) Instrument 2025/</w:t>
      </w:r>
      <w:r w:rsidR="00D0003E" w:rsidRPr="00F46CF3">
        <w:rPr>
          <w:i/>
          <w:iCs/>
        </w:rPr>
        <w:t>436</w:t>
      </w:r>
      <w:r w:rsidR="00D0003E" w:rsidRPr="00F46CF3">
        <w:t xml:space="preserve"> </w:t>
      </w:r>
      <w:r w:rsidR="00101099" w:rsidRPr="00F46CF3">
        <w:t xml:space="preserve">(the </w:t>
      </w:r>
      <w:r w:rsidR="00101099" w:rsidRPr="00F46CF3">
        <w:rPr>
          <w:b/>
          <w:bCs/>
          <w:i/>
          <w:iCs/>
        </w:rPr>
        <w:t>Instrument</w:t>
      </w:r>
      <w:r w:rsidR="00101099" w:rsidRPr="00F46CF3">
        <w:t xml:space="preserve">) </w:t>
      </w:r>
      <w:r w:rsidR="00556E9E" w:rsidRPr="00F46CF3">
        <w:t xml:space="preserve">allows non-reporting entities to prepare their financial statements using the concessions and transitional provisions for recognition and measurement in accounting standards which apply to reporting entities. </w:t>
      </w:r>
    </w:p>
    <w:p w14:paraId="35FF11E5" w14:textId="5673B387" w:rsidR="00D84210" w:rsidRPr="00F46CF3" w:rsidRDefault="00D84210" w:rsidP="00A35BFB">
      <w:pPr>
        <w:pStyle w:val="LI-BodyTextParaa"/>
        <w:numPr>
          <w:ilvl w:val="0"/>
          <w:numId w:val="16"/>
        </w:numPr>
        <w:ind w:left="567" w:hanging="567"/>
        <w:rPr>
          <w:bCs/>
        </w:rPr>
      </w:pPr>
      <w:r w:rsidRPr="00F46CF3">
        <w:rPr>
          <w:i/>
          <w:iCs/>
        </w:rPr>
        <w:t>ASIC Corporations (Repeal) Instrument 2025/440</w:t>
      </w:r>
      <w:r w:rsidRPr="00F46CF3">
        <w:t xml:space="preserve"> (the Repeal Instrument) repeals </w:t>
      </w:r>
      <w:r w:rsidR="009525CF" w:rsidRPr="00F46CF3">
        <w:t xml:space="preserve">five </w:t>
      </w:r>
      <w:r w:rsidR="000741EA" w:rsidRPr="00F46CF3">
        <w:t xml:space="preserve">financial reporting-related </w:t>
      </w:r>
      <w:r w:rsidR="009525CF" w:rsidRPr="00F46CF3">
        <w:t xml:space="preserve">legislative instruments: </w:t>
      </w:r>
      <w:r w:rsidR="00880263" w:rsidRPr="00F46CF3">
        <w:rPr>
          <w:i/>
          <w:iCs/>
        </w:rPr>
        <w:t>ASIC Corporations (Stapled Group Reports) Instrument 2015/838</w:t>
      </w:r>
      <w:r w:rsidR="00880263" w:rsidRPr="00F46CF3">
        <w:t xml:space="preserve">, </w:t>
      </w:r>
      <w:r w:rsidR="00F12EC4" w:rsidRPr="00F46CF3">
        <w:rPr>
          <w:i/>
          <w:iCs/>
        </w:rPr>
        <w:t>ASIC Corporations (Related Scheme Reports) Instrument 2015/839</w:t>
      </w:r>
      <w:r w:rsidR="00F12EC4" w:rsidRPr="00F46CF3">
        <w:t xml:space="preserve">, </w:t>
      </w:r>
      <w:r w:rsidR="00921595" w:rsidRPr="00F46CF3">
        <w:rPr>
          <w:i/>
          <w:iCs/>
        </w:rPr>
        <w:t>ASIC Corporations (Non-Reporting Entities) Instrument 2015/841</w:t>
      </w:r>
      <w:r w:rsidR="00640C81" w:rsidRPr="00F46CF3">
        <w:t xml:space="preserve">, </w:t>
      </w:r>
      <w:r w:rsidR="00640C81" w:rsidRPr="00F46CF3">
        <w:rPr>
          <w:i/>
          <w:iCs/>
        </w:rPr>
        <w:t>ASIC Corporations (Post Balance Date Reporting) Instrument 2015/842</w:t>
      </w:r>
      <w:r w:rsidR="00640C81" w:rsidRPr="00F46CF3">
        <w:t xml:space="preserve"> and </w:t>
      </w:r>
      <w:r w:rsidR="00EE30C0" w:rsidRPr="00F46CF3">
        <w:rPr>
          <w:i/>
          <w:iCs/>
        </w:rPr>
        <w:t>ASIC Corporations (</w:t>
      </w:r>
      <w:proofErr w:type="gramStart"/>
      <w:r w:rsidR="00EE30C0" w:rsidRPr="00F46CF3">
        <w:rPr>
          <w:i/>
          <w:iCs/>
        </w:rPr>
        <w:t>Externally-Administered</w:t>
      </w:r>
      <w:proofErr w:type="gramEnd"/>
      <w:r w:rsidR="00EE30C0" w:rsidRPr="00F46CF3">
        <w:rPr>
          <w:i/>
          <w:iCs/>
        </w:rPr>
        <w:t xml:space="preserve"> Bodies) Instrument 2015/251</w:t>
      </w:r>
      <w:r w:rsidR="00B94AC7" w:rsidRPr="00F46CF3">
        <w:t xml:space="preserve">. </w:t>
      </w:r>
    </w:p>
    <w:p w14:paraId="59A63C44" w14:textId="77777777" w:rsidR="005D1FEA" w:rsidRPr="00F46CF3" w:rsidRDefault="005D1FEA" w:rsidP="006D6079">
      <w:pPr>
        <w:pStyle w:val="LI-BodyTextNumbered"/>
        <w:keepNext/>
        <w:ind w:left="0" w:firstLine="0"/>
        <w:rPr>
          <w:b/>
        </w:rPr>
      </w:pPr>
      <w:r w:rsidRPr="00F46CF3">
        <w:rPr>
          <w:b/>
        </w:rPr>
        <w:t>Purpose of the instrument</w:t>
      </w:r>
    </w:p>
    <w:p w14:paraId="67A3A3FB" w14:textId="59BA71E7" w:rsidR="00AB5CBC" w:rsidRPr="00F46CF3" w:rsidRDefault="00AB5CBC" w:rsidP="002D1CB9">
      <w:pPr>
        <w:pStyle w:val="LI-BodyTextParaa"/>
        <w:numPr>
          <w:ilvl w:val="0"/>
          <w:numId w:val="16"/>
        </w:numPr>
        <w:ind w:left="567" w:hanging="567"/>
      </w:pPr>
      <w:r w:rsidRPr="00F46CF3">
        <w:t xml:space="preserve">Section 296(1) of the </w:t>
      </w:r>
      <w:r w:rsidRPr="00F46CF3">
        <w:rPr>
          <w:i/>
          <w:iCs/>
        </w:rPr>
        <w:t xml:space="preserve">Corporations Act </w:t>
      </w:r>
      <w:r w:rsidR="00381C42" w:rsidRPr="00F46CF3">
        <w:rPr>
          <w:i/>
          <w:iCs/>
        </w:rPr>
        <w:t>2001</w:t>
      </w:r>
      <w:r w:rsidR="00381C42" w:rsidRPr="00F46CF3">
        <w:t xml:space="preserve"> (</w:t>
      </w:r>
      <w:r w:rsidR="00381C42" w:rsidRPr="00F46CF3">
        <w:rPr>
          <w:b/>
          <w:bCs/>
          <w:i/>
          <w:iCs/>
        </w:rPr>
        <w:t>Corporations Act</w:t>
      </w:r>
      <w:r w:rsidR="00381C42" w:rsidRPr="00F46CF3">
        <w:t xml:space="preserve">) </w:t>
      </w:r>
      <w:r w:rsidRPr="00F46CF3">
        <w:t>requires all entities that prepare financial reports under Chapter 2M to comply with</w:t>
      </w:r>
      <w:r w:rsidR="00FE5C2E" w:rsidRPr="00F46CF3">
        <w:t xml:space="preserve"> </w:t>
      </w:r>
      <w:r w:rsidRPr="00F46CF3">
        <w:t xml:space="preserve">accounting standards. Some accounting standards are stated to apply to all entities reporting under Chapter 2M and others are stated to apply only to entities reporting under Chapter 2M that are ‘reporting </w:t>
      </w:r>
      <w:proofErr w:type="gramStart"/>
      <w:r w:rsidRPr="00F46CF3">
        <w:t>entities’</w:t>
      </w:r>
      <w:proofErr w:type="gramEnd"/>
      <w:r w:rsidRPr="00F46CF3">
        <w:t>.</w:t>
      </w:r>
    </w:p>
    <w:p w14:paraId="0BD6B179" w14:textId="77777777" w:rsidR="00AB5CBC" w:rsidRPr="00F46CF3" w:rsidRDefault="00AB5CBC" w:rsidP="002D1CB9">
      <w:pPr>
        <w:pStyle w:val="LI-BodyTextParaa"/>
        <w:numPr>
          <w:ilvl w:val="0"/>
          <w:numId w:val="16"/>
        </w:numPr>
        <w:ind w:left="567" w:hanging="567"/>
      </w:pPr>
      <w:r w:rsidRPr="00F46CF3">
        <w:t xml:space="preserve">Regulatory Guide 85 </w:t>
      </w:r>
      <w:r w:rsidRPr="00F46CF3">
        <w:rPr>
          <w:i/>
          <w:iCs/>
        </w:rPr>
        <w:t>Reporting requirements for non-reporting entities</w:t>
      </w:r>
      <w:r w:rsidRPr="00F46CF3">
        <w:t xml:space="preserve"> (RG 85) outlines our view that non-reporting entities preparing financial reports under Chapter 2M must comply with the recognition and measurement requirements of accounting standards </w:t>
      </w:r>
      <w:proofErr w:type="gramStart"/>
      <w:r w:rsidRPr="00F46CF3">
        <w:t>in order to</w:t>
      </w:r>
      <w:proofErr w:type="gramEnd"/>
      <w:r w:rsidRPr="00F46CF3">
        <w:t xml:space="preserve"> meet </w:t>
      </w:r>
      <w:proofErr w:type="gramStart"/>
      <w:r w:rsidRPr="00F46CF3">
        <w:t>a number of</w:t>
      </w:r>
      <w:proofErr w:type="gramEnd"/>
      <w:r w:rsidRPr="00F46CF3">
        <w:t xml:space="preserve"> general obligations under the Corporations Act.</w:t>
      </w:r>
    </w:p>
    <w:p w14:paraId="466327E7" w14:textId="77777777" w:rsidR="00AB5CBC" w:rsidRPr="00F46CF3" w:rsidRDefault="00AB5CBC" w:rsidP="002D1CB9">
      <w:pPr>
        <w:pStyle w:val="LI-BodyTextParaa"/>
        <w:numPr>
          <w:ilvl w:val="0"/>
          <w:numId w:val="16"/>
        </w:numPr>
        <w:ind w:left="567" w:hanging="567"/>
      </w:pPr>
      <w:r w:rsidRPr="00F46CF3">
        <w:t xml:space="preserve">Non-reporting entities that apply only the recognition and measurement requirements of accounting standards and not the disclosure requirements may </w:t>
      </w:r>
      <w:r w:rsidRPr="00F46CF3">
        <w:lastRenderedPageBreak/>
        <w:t>not be able to take advantage of certain concessions from those requirements that are available to reporting entities. These concessions include:</w:t>
      </w:r>
    </w:p>
    <w:p w14:paraId="64FEA48E" w14:textId="77777777" w:rsidR="00AB5CBC" w:rsidRPr="00F46CF3" w:rsidRDefault="00AB5CBC" w:rsidP="0025378C">
      <w:pPr>
        <w:pStyle w:val="LI-BodyTextParaa"/>
        <w:numPr>
          <w:ilvl w:val="1"/>
          <w:numId w:val="16"/>
        </w:numPr>
      </w:pPr>
      <w:r w:rsidRPr="00F46CF3">
        <w:t xml:space="preserve">concessions available under Australian Accounting Standard AASB 1 </w:t>
      </w:r>
      <w:r w:rsidRPr="00F46CF3">
        <w:rPr>
          <w:i/>
          <w:iCs/>
        </w:rPr>
        <w:t>First-time adoption of Australian accounting standards</w:t>
      </w:r>
      <w:r w:rsidRPr="00F46CF3">
        <w:t xml:space="preserve"> (AASB 1); and</w:t>
      </w:r>
    </w:p>
    <w:p w14:paraId="17FBBB0C" w14:textId="77777777" w:rsidR="00AB5CBC" w:rsidRPr="00F46CF3" w:rsidRDefault="00AB5CBC" w:rsidP="0025378C">
      <w:pPr>
        <w:pStyle w:val="LI-BodyTextParaa"/>
        <w:numPr>
          <w:ilvl w:val="1"/>
          <w:numId w:val="16"/>
        </w:numPr>
      </w:pPr>
      <w:r w:rsidRPr="00F46CF3">
        <w:t>transitional provisions or other concessions under a non-mandatory accounting standard.</w:t>
      </w:r>
    </w:p>
    <w:p w14:paraId="2F437E92" w14:textId="701B2A0D" w:rsidR="00AB5CBC" w:rsidRPr="00F46CF3" w:rsidRDefault="00AB5CBC" w:rsidP="002D1CB9">
      <w:pPr>
        <w:pStyle w:val="LI-BodyTextParaa"/>
        <w:numPr>
          <w:ilvl w:val="0"/>
          <w:numId w:val="16"/>
        </w:numPr>
        <w:ind w:left="567" w:hanging="567"/>
      </w:pPr>
      <w:r w:rsidRPr="00F46CF3">
        <w:t xml:space="preserve">For example, AASB 1 provides some concessions from reworking information to comply with the recognition and measurement requirements when an entity adopts the </w:t>
      </w:r>
      <w:r w:rsidR="00691DAD" w:rsidRPr="00F46CF3">
        <w:t xml:space="preserve">Australian </w:t>
      </w:r>
      <w:r w:rsidR="005A39DD" w:rsidRPr="00F46CF3">
        <w:t>accounting standards for the first time</w:t>
      </w:r>
      <w:r w:rsidRPr="00F46CF3">
        <w:t xml:space="preserve">. These concessions would appear to be available only to entities that apply </w:t>
      </w:r>
      <w:proofErr w:type="gramStart"/>
      <w:r w:rsidRPr="00F46CF3">
        <w:t>all of</w:t>
      </w:r>
      <w:proofErr w:type="gramEnd"/>
      <w:r w:rsidRPr="00F46CF3">
        <w:t xml:space="preserve"> the requirements of the </w:t>
      </w:r>
      <w:r w:rsidR="005A39DD" w:rsidRPr="00F46CF3">
        <w:t xml:space="preserve">Australian accounting </w:t>
      </w:r>
      <w:r w:rsidRPr="00F46CF3">
        <w:t>standards, including all disclosure requirements. As non-reporting entities may not be required to comply with all disclosure requirements, the concessions may not be available to them.</w:t>
      </w:r>
    </w:p>
    <w:p w14:paraId="5962D771" w14:textId="4F576493" w:rsidR="005D1FEA" w:rsidRPr="00F46CF3" w:rsidRDefault="002D1CB9" w:rsidP="00A35BFB">
      <w:pPr>
        <w:pStyle w:val="LI-BodyTextParaa"/>
        <w:numPr>
          <w:ilvl w:val="0"/>
          <w:numId w:val="16"/>
        </w:numPr>
        <w:ind w:left="567" w:hanging="567"/>
      </w:pPr>
      <w:r w:rsidRPr="00F46CF3">
        <w:t xml:space="preserve">It would be inconsistent for non-reporting entities to not have the advantage of concessions available to reporting entities. </w:t>
      </w:r>
      <w:r w:rsidR="0025378C" w:rsidRPr="00F46CF3">
        <w:t xml:space="preserve">This instrument </w:t>
      </w:r>
      <w:r w:rsidRPr="00F46CF3">
        <w:t>ensures that non-reporting entities can take advantage of concessions or other modifications of the recognition and measurement standards of accounting standards that are available to reporting entities.</w:t>
      </w:r>
      <w:r w:rsidR="001872DC" w:rsidRPr="00F46CF3">
        <w:t xml:space="preserve"> </w:t>
      </w:r>
    </w:p>
    <w:p w14:paraId="2304EC82" w14:textId="07B4E56B" w:rsidR="00FF6B70" w:rsidRPr="00F46CF3" w:rsidRDefault="00FF6B70" w:rsidP="00A35BFB">
      <w:pPr>
        <w:pStyle w:val="LI-BodyTextParaa"/>
        <w:numPr>
          <w:ilvl w:val="0"/>
          <w:numId w:val="16"/>
        </w:numPr>
        <w:ind w:left="567" w:hanging="567"/>
        <w:rPr>
          <w:bCs/>
        </w:rPr>
      </w:pPr>
      <w:r w:rsidRPr="00F46CF3">
        <w:t xml:space="preserve">Relief </w:t>
      </w:r>
      <w:r w:rsidR="00E83E73" w:rsidRPr="00F46CF3">
        <w:t xml:space="preserve">for </w:t>
      </w:r>
      <w:r w:rsidR="00047270" w:rsidRPr="00F46CF3">
        <w:t xml:space="preserve">the application of accounting standards by </w:t>
      </w:r>
      <w:r w:rsidR="00E83E73" w:rsidRPr="00F46CF3">
        <w:t xml:space="preserve">non-reporting entities </w:t>
      </w:r>
      <w:r w:rsidRPr="00F46CF3">
        <w:t xml:space="preserve">was </w:t>
      </w:r>
      <w:r w:rsidR="00047270" w:rsidRPr="00F46CF3">
        <w:t>previously</w:t>
      </w:r>
      <w:r w:rsidRPr="00F46CF3">
        <w:t xml:space="preserve"> provided </w:t>
      </w:r>
      <w:r w:rsidR="000526E2" w:rsidRPr="00F46CF3">
        <w:t>by ASIC</w:t>
      </w:r>
      <w:r w:rsidRPr="00F46CF3">
        <w:t xml:space="preserve"> through ASIC Class Order [CO </w:t>
      </w:r>
      <w:r w:rsidR="001A5FCC" w:rsidRPr="00F46CF3">
        <w:t xml:space="preserve">05/639]. This was continued on substantially the same terms in </w:t>
      </w:r>
      <w:r w:rsidR="001A5FCC" w:rsidRPr="00F46CF3">
        <w:rPr>
          <w:i/>
          <w:iCs/>
        </w:rPr>
        <w:t xml:space="preserve">ASIC Corporations (Non-Reporting Entities) Instrument </w:t>
      </w:r>
      <w:r w:rsidR="00E80E41" w:rsidRPr="00F46CF3">
        <w:rPr>
          <w:i/>
          <w:iCs/>
        </w:rPr>
        <w:t>2015/841</w:t>
      </w:r>
      <w:r w:rsidR="0004546F" w:rsidRPr="00F46CF3">
        <w:t>, which sunsets on 1 October 2025</w:t>
      </w:r>
      <w:r w:rsidR="00E80E41" w:rsidRPr="00F46CF3">
        <w:t xml:space="preserve">.  </w:t>
      </w:r>
    </w:p>
    <w:p w14:paraId="62FA66CB" w14:textId="41AAD984" w:rsidR="002935A5" w:rsidRPr="00F46CF3" w:rsidRDefault="0043453F" w:rsidP="00A35BFB">
      <w:pPr>
        <w:pStyle w:val="LI-BodyTextParaa"/>
        <w:numPr>
          <w:ilvl w:val="0"/>
          <w:numId w:val="16"/>
        </w:numPr>
        <w:ind w:left="567" w:hanging="567"/>
        <w:rPr>
          <w:bCs/>
        </w:rPr>
      </w:pPr>
      <w:r w:rsidRPr="00F46CF3">
        <w:t xml:space="preserve">The purpose of the Repeal Instrument is to repeal five </w:t>
      </w:r>
      <w:r w:rsidR="000741EA" w:rsidRPr="00F46CF3">
        <w:t xml:space="preserve">financial reporting-related </w:t>
      </w:r>
      <w:r w:rsidRPr="00F46CF3">
        <w:t>legislative instruments that are due to sunset on 1 October 2025</w:t>
      </w:r>
      <w:r w:rsidR="000741EA" w:rsidRPr="00F46CF3">
        <w:t xml:space="preserve">. </w:t>
      </w:r>
    </w:p>
    <w:p w14:paraId="3FEFE29E" w14:textId="77777777" w:rsidR="009A3F74" w:rsidRDefault="009A3F74" w:rsidP="006D6079">
      <w:pPr>
        <w:pStyle w:val="LI-BodyTextNumbered"/>
        <w:keepNext/>
        <w:ind w:left="0" w:firstLine="0"/>
        <w:rPr>
          <w:b/>
        </w:rPr>
      </w:pPr>
      <w:bookmarkStart w:id="1" w:name="_Hlk534291624"/>
      <w:r w:rsidRPr="00F46CF3">
        <w:rPr>
          <w:b/>
        </w:rPr>
        <w:t>Consultation</w:t>
      </w:r>
    </w:p>
    <w:p w14:paraId="70D595B2" w14:textId="5C76491E" w:rsidR="009A3F74" w:rsidRPr="00FE2FB8" w:rsidRDefault="00C62371" w:rsidP="00A35BFB">
      <w:pPr>
        <w:pStyle w:val="LI-BodyTextParaa"/>
        <w:numPr>
          <w:ilvl w:val="0"/>
          <w:numId w:val="16"/>
        </w:numPr>
        <w:ind w:left="567" w:hanging="567"/>
        <w:rPr>
          <w:bCs/>
        </w:rPr>
      </w:pPr>
      <w:r>
        <w:rPr>
          <w:bCs/>
        </w:rPr>
        <w:t xml:space="preserve">ASIC consulted publicly on our proposal to remake the relief </w:t>
      </w:r>
      <w:r w:rsidR="00E44F07">
        <w:rPr>
          <w:bCs/>
        </w:rPr>
        <w:t xml:space="preserve">through CS 24 </w:t>
      </w:r>
      <w:r w:rsidR="00E44F07" w:rsidRPr="00E44F07">
        <w:rPr>
          <w:bCs/>
          <w:i/>
          <w:iCs/>
        </w:rPr>
        <w:t>Proposed remake of financial reporting-related legislative instruments</w:t>
      </w:r>
      <w:r w:rsidR="00E44F07">
        <w:rPr>
          <w:bCs/>
        </w:rPr>
        <w:t xml:space="preserve">. We received </w:t>
      </w:r>
      <w:r w:rsidR="005A21B8">
        <w:rPr>
          <w:bCs/>
        </w:rPr>
        <w:t xml:space="preserve">one </w:t>
      </w:r>
      <w:r w:rsidR="00E44F07">
        <w:rPr>
          <w:bCs/>
        </w:rPr>
        <w:t>submission</w:t>
      </w:r>
      <w:r w:rsidR="005A21B8">
        <w:rPr>
          <w:bCs/>
        </w:rPr>
        <w:t xml:space="preserve">, which </w:t>
      </w:r>
      <w:r w:rsidR="005A6771">
        <w:rPr>
          <w:bCs/>
        </w:rPr>
        <w:t xml:space="preserve">supported remaking the instrument. </w:t>
      </w:r>
    </w:p>
    <w:p w14:paraId="4CDCC6BF" w14:textId="77777777" w:rsidR="005D1FEA" w:rsidRDefault="005D1FEA" w:rsidP="006D6079">
      <w:pPr>
        <w:pStyle w:val="LI-BodyTextNumbered"/>
        <w:keepNext/>
        <w:ind w:left="0" w:firstLine="0"/>
        <w:rPr>
          <w:b/>
        </w:rPr>
      </w:pPr>
      <w:r>
        <w:rPr>
          <w:b/>
        </w:rPr>
        <w:t>Operation of the instrument</w:t>
      </w:r>
    </w:p>
    <w:p w14:paraId="537B734F" w14:textId="69B5FBD2" w:rsidR="004F3BC5" w:rsidRDefault="004F3BC5" w:rsidP="00AB0999">
      <w:pPr>
        <w:pStyle w:val="LI-BodyTextParaa"/>
        <w:numPr>
          <w:ilvl w:val="0"/>
          <w:numId w:val="16"/>
        </w:numPr>
        <w:ind w:left="567" w:hanging="567"/>
      </w:pPr>
      <w:r w:rsidRPr="004F3BC5">
        <w:t xml:space="preserve">Section </w:t>
      </w:r>
      <w:r w:rsidR="00F301D5">
        <w:t>4</w:t>
      </w:r>
      <w:r w:rsidRPr="004F3BC5">
        <w:t xml:space="preserve"> </w:t>
      </w:r>
      <w:r w:rsidR="006B778A">
        <w:t xml:space="preserve">of the Instrument </w:t>
      </w:r>
      <w:r w:rsidRPr="004F3BC5">
        <w:t xml:space="preserve">provides a simplified outline for the instrument. Its purpose is to assist readers in understanding the substantive provisions. However, the outline is not intended to be comprehensive, and readers should rely on the substantive provisions when considering the instrument’s effect.  </w:t>
      </w:r>
    </w:p>
    <w:p w14:paraId="2D40E3E0" w14:textId="1A98EF6E" w:rsidR="001E6595" w:rsidRDefault="004F3BC5" w:rsidP="00AB0999">
      <w:pPr>
        <w:pStyle w:val="LI-BodyTextParaa"/>
        <w:numPr>
          <w:ilvl w:val="0"/>
          <w:numId w:val="16"/>
        </w:numPr>
        <w:ind w:left="567" w:hanging="567"/>
      </w:pPr>
      <w:r>
        <w:t xml:space="preserve">Section 6 </w:t>
      </w:r>
      <w:r w:rsidR="006B778A">
        <w:t xml:space="preserve">of the Instrument </w:t>
      </w:r>
      <w:r>
        <w:t>provides that a</w:t>
      </w:r>
      <w:r w:rsidR="001E6595" w:rsidRPr="00ED2425">
        <w:t xml:space="preserve"> company or registered scheme </w:t>
      </w:r>
      <w:r w:rsidR="009842E6">
        <w:t>that</w:t>
      </w:r>
      <w:r w:rsidR="009842E6" w:rsidRPr="00ED2425">
        <w:t xml:space="preserve"> </w:t>
      </w:r>
      <w:r w:rsidR="001E6595" w:rsidRPr="00ED2425">
        <w:t xml:space="preserve">is not a reporting entity is allowed to comply with the recognition and measurement requirements of accounting standards as if it is a reporting entity provided it takes all reasonable steps to ensure that the financial report complies with all recognition and measurement requirements that apply to a reporting entity. That is, the company or registered scheme </w:t>
      </w:r>
      <w:r w:rsidR="00045C55">
        <w:t xml:space="preserve">can </w:t>
      </w:r>
      <w:r w:rsidR="001E6595" w:rsidRPr="00ED2425">
        <w:t xml:space="preserve">take advantage of </w:t>
      </w:r>
      <w:r w:rsidR="001E6595" w:rsidRPr="00ED2425">
        <w:lastRenderedPageBreak/>
        <w:t xml:space="preserve">concessions and transitional provisions in accounting standards that are otherwise only available to reporting entities. </w:t>
      </w:r>
    </w:p>
    <w:p w14:paraId="7147D88C" w14:textId="2DA220A2" w:rsidR="006B778A" w:rsidRPr="00ED2425" w:rsidRDefault="006B778A" w:rsidP="00AB0999">
      <w:pPr>
        <w:pStyle w:val="LI-BodyTextParaa"/>
        <w:numPr>
          <w:ilvl w:val="0"/>
          <w:numId w:val="16"/>
        </w:numPr>
        <w:ind w:left="567" w:hanging="567"/>
      </w:pPr>
      <w:r>
        <w:t>Schedule 1 of the Repeal Instrument repeals the five financial reporting</w:t>
      </w:r>
      <w:r w:rsidR="000741EA">
        <w:t xml:space="preserve">-related instruments. </w:t>
      </w:r>
    </w:p>
    <w:p w14:paraId="57A93CEC" w14:textId="77777777"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021E1211" w14:textId="77777777" w:rsidR="00C44273" w:rsidRDefault="00614DBC" w:rsidP="00614DBC">
      <w:pPr>
        <w:pStyle w:val="LI-BodyTextParaa"/>
        <w:numPr>
          <w:ilvl w:val="0"/>
          <w:numId w:val="16"/>
        </w:numPr>
        <w:ind w:left="567" w:hanging="567"/>
      </w:pPr>
      <w:r>
        <w:t xml:space="preserve">The subject matter and policy implemented by </w:t>
      </w:r>
      <w:r w:rsidR="00101099">
        <w:t>the</w:t>
      </w:r>
      <w:r>
        <w:t xml:space="preserve"> </w:t>
      </w:r>
      <w:r w:rsidR="00101099">
        <w:t>I</w:t>
      </w:r>
      <w:r>
        <w:t xml:space="preserve">nstrument is more appropriate for a legislative instrument than primary legislation because it provides relief where strict compliance with the primary legislation produces anomalous outcomes that would be inconsistent with the intent of the primary law. </w:t>
      </w:r>
    </w:p>
    <w:p w14:paraId="5A148CB5" w14:textId="210CC63F" w:rsidR="00614DBC" w:rsidRDefault="00614DBC" w:rsidP="00614DBC">
      <w:pPr>
        <w:pStyle w:val="LI-BodyTextParaa"/>
        <w:numPr>
          <w:ilvl w:val="0"/>
          <w:numId w:val="16"/>
        </w:numPr>
        <w:ind w:left="567" w:hanging="567"/>
      </w:pPr>
      <w:r>
        <w:t xml:space="preserve">If the matters in </w:t>
      </w:r>
      <w:r w:rsidR="00101099">
        <w:t>the</w:t>
      </w:r>
      <w:r>
        <w:t xml:space="preserve"> </w:t>
      </w:r>
      <w:r w:rsidR="00101099">
        <w:t>I</w:t>
      </w:r>
      <w:r>
        <w:t>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p>
    <w:p w14:paraId="719FDBFF" w14:textId="267AB53A" w:rsidR="00614DBC" w:rsidRDefault="00614DBC" w:rsidP="00614DBC">
      <w:pPr>
        <w:pStyle w:val="LI-BodyTextParaa"/>
        <w:numPr>
          <w:ilvl w:val="0"/>
          <w:numId w:val="16"/>
        </w:numPr>
        <w:ind w:left="567" w:hanging="567"/>
      </w:pPr>
      <w:r>
        <w:t xml:space="preserve">It will be a matter for the Government and for Parliament to consider whether the primary legislation may need to be amended in the future to include the substance of the relief in </w:t>
      </w:r>
      <w:r w:rsidR="00101099">
        <w:t>the</w:t>
      </w:r>
      <w:r>
        <w:t xml:space="preserve"> </w:t>
      </w:r>
      <w:r w:rsidR="00101099">
        <w:t>I</w:t>
      </w:r>
      <w:r>
        <w:t xml:space="preserve">nstrument in legislation. </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0CC36235" w14:textId="1EACFE42" w:rsidR="007E254B" w:rsidRPr="007E254B" w:rsidRDefault="007E254B" w:rsidP="007E254B">
      <w:pPr>
        <w:pStyle w:val="LI-BodyTextParaa"/>
        <w:numPr>
          <w:ilvl w:val="0"/>
          <w:numId w:val="16"/>
        </w:numPr>
        <w:ind w:left="567" w:hanging="567"/>
      </w:pPr>
      <w:r>
        <w:t xml:space="preserve">The duration of </w:t>
      </w:r>
      <w:r w:rsidR="00101099">
        <w:t>the</w:t>
      </w:r>
      <w:r>
        <w:t xml:space="preserve"> </w:t>
      </w:r>
      <w:r w:rsidR="00101099">
        <w:t>I</w:t>
      </w:r>
      <w:r>
        <w:t xml:space="preserve">nstrument is </w:t>
      </w:r>
      <w:r w:rsidR="007D6DB8">
        <w:t xml:space="preserve">5 years. </w:t>
      </w:r>
    </w:p>
    <w:bookmarkEnd w:id="1"/>
    <w:p w14:paraId="6E228E05" w14:textId="77777777" w:rsidR="00F03BB5" w:rsidRDefault="00474B52" w:rsidP="006D6079">
      <w:pPr>
        <w:pStyle w:val="LI-BodyTextNumbered"/>
        <w:keepNext/>
        <w:ind w:left="0" w:firstLine="0"/>
        <w:rPr>
          <w:b/>
        </w:rPr>
      </w:pPr>
      <w:r>
        <w:rPr>
          <w:b/>
        </w:rPr>
        <w:t>Legislative authority</w:t>
      </w:r>
    </w:p>
    <w:p w14:paraId="64E8BE03" w14:textId="7FC48C18" w:rsidR="00791E1D" w:rsidRDefault="00101099" w:rsidP="00791E1D">
      <w:pPr>
        <w:pStyle w:val="LI-BodyTextParaa"/>
        <w:numPr>
          <w:ilvl w:val="0"/>
          <w:numId w:val="16"/>
        </w:numPr>
        <w:ind w:left="567" w:hanging="567"/>
      </w:pPr>
      <w:r>
        <w:t>The</w:t>
      </w:r>
      <w:r w:rsidR="00791E1D" w:rsidRPr="00791E1D">
        <w:t xml:space="preserve"> </w:t>
      </w:r>
      <w:r>
        <w:t>I</w:t>
      </w:r>
      <w:r w:rsidR="00791E1D" w:rsidRPr="00791E1D">
        <w:t xml:space="preserve">nstrument is made under subsection 341(1) of the </w:t>
      </w:r>
      <w:r w:rsidR="00791E1D" w:rsidRPr="00247905">
        <w:rPr>
          <w:i/>
          <w:iCs/>
        </w:rPr>
        <w:t>Corporations Act 2001</w:t>
      </w:r>
      <w:r w:rsidR="00791E1D" w:rsidRPr="00791E1D">
        <w:t>.</w:t>
      </w:r>
    </w:p>
    <w:p w14:paraId="2F963C40" w14:textId="75548FDF" w:rsidR="00542CE9" w:rsidRDefault="00542CE9" w:rsidP="00791E1D">
      <w:pPr>
        <w:pStyle w:val="LI-BodyTextParaa"/>
        <w:numPr>
          <w:ilvl w:val="0"/>
          <w:numId w:val="16"/>
        </w:numPr>
        <w:ind w:left="567" w:hanging="567"/>
      </w:pPr>
      <w:r>
        <w:t xml:space="preserve">The Repeal Instrument is made under </w:t>
      </w:r>
      <w:r w:rsidR="00FA28F5" w:rsidRPr="00FA28F5">
        <w:t xml:space="preserve">sections 250PAA, 341, 341A, 601QA, 992B and 1217 of the </w:t>
      </w:r>
      <w:r w:rsidR="00FA28F5" w:rsidRPr="00247905">
        <w:rPr>
          <w:i/>
          <w:iCs/>
        </w:rPr>
        <w:t>Corporations Act 2001</w:t>
      </w:r>
      <w:r w:rsidR="00FA28F5">
        <w:rPr>
          <w:i/>
          <w:iCs/>
        </w:rPr>
        <w:t>.</w:t>
      </w:r>
    </w:p>
    <w:p w14:paraId="5F09D9FE" w14:textId="1EEAC04E" w:rsidR="00791E1D" w:rsidRDefault="00791E1D" w:rsidP="00791E1D">
      <w:pPr>
        <w:pStyle w:val="LI-BodyTextParaa"/>
        <w:numPr>
          <w:ilvl w:val="0"/>
          <w:numId w:val="16"/>
        </w:numPr>
        <w:ind w:left="567" w:hanging="567"/>
      </w:pPr>
      <w:r>
        <w:t>Th</w:t>
      </w:r>
      <w:r w:rsidR="00101099">
        <w:t>e</w:t>
      </w:r>
      <w:r>
        <w:t xml:space="preserve"> </w:t>
      </w:r>
      <w:r w:rsidR="00101099">
        <w:t>I</w:t>
      </w:r>
      <w:r>
        <w:t xml:space="preserve">nstrument </w:t>
      </w:r>
      <w:r w:rsidR="00FA28F5">
        <w:t xml:space="preserve">and the Repeal Instrument are </w:t>
      </w:r>
      <w:r>
        <w:t>disallowable legislative instrument</w:t>
      </w:r>
      <w:r w:rsidR="00FA28F5">
        <w:t>s</w:t>
      </w:r>
      <w:r>
        <w:t xml:space="preserve">. </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64F583A6" w:rsidR="00223DCF" w:rsidRPr="00EA17A6" w:rsidRDefault="00223DCF" w:rsidP="00791E1D">
      <w:pPr>
        <w:pStyle w:val="LI-BodyTextParaa"/>
        <w:numPr>
          <w:ilvl w:val="0"/>
          <w:numId w:val="16"/>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B154A7D" w14:textId="33721CDE" w:rsidR="00223DCF" w:rsidRPr="00247905" w:rsidRDefault="00791E1D" w:rsidP="00223DCF">
      <w:pPr>
        <w:pStyle w:val="LI-BodyTextNumbered"/>
        <w:ind w:left="0" w:firstLine="0"/>
        <w:rPr>
          <w:b/>
          <w:iCs/>
        </w:rPr>
      </w:pPr>
      <w:r w:rsidRPr="00791E1D">
        <w:rPr>
          <w:b/>
          <w:i/>
        </w:rPr>
        <w:t>ASIC Corporations (Non-Reporting Entities) Instrument 2025/</w:t>
      </w:r>
      <w:r w:rsidR="00AC4D42">
        <w:rPr>
          <w:b/>
          <w:i/>
        </w:rPr>
        <w:t>436</w:t>
      </w:r>
      <w:r w:rsidR="0048181A">
        <w:rPr>
          <w:b/>
          <w:iCs/>
        </w:rPr>
        <w:t xml:space="preserve"> </w:t>
      </w:r>
      <w:r w:rsidR="0048181A" w:rsidRPr="00247905">
        <w:rPr>
          <w:bCs/>
          <w:iCs/>
        </w:rPr>
        <w:t>and</w:t>
      </w:r>
      <w:r w:rsidR="0048181A">
        <w:rPr>
          <w:b/>
          <w:iCs/>
        </w:rPr>
        <w:t xml:space="preserve"> </w:t>
      </w:r>
      <w:r w:rsidR="0048181A" w:rsidRPr="00247905">
        <w:rPr>
          <w:b/>
          <w:i/>
        </w:rPr>
        <w:t>ASIC Corporations (Repeal) Instrument 2025/440</w:t>
      </w:r>
    </w:p>
    <w:p w14:paraId="0AD76C9D" w14:textId="77777777" w:rsidR="00223DCF" w:rsidRPr="00EA17A6" w:rsidRDefault="00223DCF" w:rsidP="001872DC">
      <w:pPr>
        <w:pStyle w:val="LI-BodyTextNumbered"/>
        <w:ind w:left="567"/>
        <w:rPr>
          <w:u w:val="single"/>
        </w:rPr>
      </w:pPr>
      <w:r w:rsidRPr="00EA17A6">
        <w:rPr>
          <w:u w:val="single"/>
        </w:rPr>
        <w:t>Overview</w:t>
      </w:r>
    </w:p>
    <w:p w14:paraId="0CA90124" w14:textId="36CF321A" w:rsidR="00791E1D" w:rsidRDefault="00CB2D96" w:rsidP="00791E1D">
      <w:pPr>
        <w:spacing w:before="240" w:line="240" w:lineRule="auto"/>
        <w:ind w:left="567" w:hanging="567"/>
        <w:rPr>
          <w:rFonts w:eastAsia="Times New Roman"/>
          <w:iCs/>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bookmarkStart w:id="4" w:name="_Hlk534286807"/>
      <w:bookmarkEnd w:id="2"/>
      <w:r w:rsidR="00791E1D" w:rsidRPr="00791E1D">
        <w:rPr>
          <w:rFonts w:eastAsia="Times New Roman"/>
          <w:i/>
          <w:sz w:val="24"/>
          <w:szCs w:val="24"/>
          <w:lang w:eastAsia="en-AU"/>
        </w:rPr>
        <w:t>ASIC Corporations (Non-Reporting Entities) Instrument 2025/</w:t>
      </w:r>
      <w:r w:rsidR="00AC4D42">
        <w:rPr>
          <w:rFonts w:eastAsia="Times New Roman"/>
          <w:i/>
          <w:sz w:val="24"/>
          <w:szCs w:val="24"/>
          <w:lang w:eastAsia="en-AU"/>
        </w:rPr>
        <w:t>436</w:t>
      </w:r>
      <w:r w:rsidR="00791E1D" w:rsidRPr="00791E1D">
        <w:rPr>
          <w:rFonts w:eastAsia="Times New Roman"/>
          <w:iCs/>
          <w:sz w:val="24"/>
          <w:szCs w:val="24"/>
          <w:lang w:eastAsia="en-AU"/>
        </w:rPr>
        <w:t xml:space="preserve"> </w:t>
      </w:r>
      <w:r w:rsidR="00AD6496">
        <w:rPr>
          <w:rFonts w:eastAsia="Times New Roman"/>
          <w:iCs/>
          <w:sz w:val="24"/>
          <w:szCs w:val="24"/>
          <w:lang w:eastAsia="en-AU"/>
        </w:rPr>
        <w:t xml:space="preserve">(the </w:t>
      </w:r>
      <w:r w:rsidR="00AD6496" w:rsidRPr="00247905">
        <w:rPr>
          <w:rFonts w:eastAsia="Times New Roman"/>
          <w:b/>
          <w:bCs/>
          <w:i/>
          <w:sz w:val="24"/>
          <w:szCs w:val="24"/>
          <w:lang w:eastAsia="en-AU"/>
        </w:rPr>
        <w:t>Instrument</w:t>
      </w:r>
      <w:r w:rsidR="00AD6496">
        <w:rPr>
          <w:rFonts w:eastAsia="Times New Roman"/>
          <w:iCs/>
          <w:sz w:val="24"/>
          <w:szCs w:val="24"/>
          <w:lang w:eastAsia="en-AU"/>
        </w:rPr>
        <w:t xml:space="preserve">) </w:t>
      </w:r>
      <w:r w:rsidR="00791E1D" w:rsidRPr="00791E1D">
        <w:rPr>
          <w:rFonts w:eastAsia="Times New Roman"/>
          <w:iCs/>
          <w:sz w:val="24"/>
          <w:szCs w:val="24"/>
          <w:lang w:eastAsia="en-AU"/>
        </w:rPr>
        <w:t>allows non-reporting entities to prepare their financial statements using the concessions and transitional provisions for recognition and measurement in accounting standards which apply to reporting entities.</w:t>
      </w:r>
    </w:p>
    <w:p w14:paraId="162700A0" w14:textId="061D92C1" w:rsidR="00227AA6" w:rsidRPr="00247905" w:rsidRDefault="00227AA6" w:rsidP="00247905">
      <w:pPr>
        <w:spacing w:before="240" w:line="240" w:lineRule="auto"/>
        <w:ind w:left="567" w:hanging="567"/>
        <w:rPr>
          <w:rFonts w:eastAsia="Times New Roman"/>
          <w:iCs/>
          <w:sz w:val="24"/>
          <w:szCs w:val="24"/>
          <w:lang w:eastAsia="en-AU"/>
        </w:rPr>
      </w:pPr>
      <w:r>
        <w:rPr>
          <w:rFonts w:eastAsia="Times New Roman"/>
          <w:iCs/>
          <w:sz w:val="24"/>
          <w:szCs w:val="24"/>
          <w:lang w:eastAsia="en-AU"/>
        </w:rPr>
        <w:t>2.</w:t>
      </w:r>
      <w:r w:rsidR="00A51EFA">
        <w:rPr>
          <w:rFonts w:eastAsia="Times New Roman"/>
          <w:iCs/>
          <w:sz w:val="24"/>
          <w:szCs w:val="24"/>
          <w:lang w:eastAsia="en-AU"/>
        </w:rPr>
        <w:tab/>
      </w:r>
      <w:r w:rsidRPr="00247905">
        <w:rPr>
          <w:rFonts w:eastAsia="Times New Roman"/>
          <w:i/>
          <w:sz w:val="24"/>
          <w:szCs w:val="24"/>
          <w:lang w:eastAsia="en-AU"/>
        </w:rPr>
        <w:t>ASIC Corporations (Repeal) Instrument 2025/440</w:t>
      </w:r>
      <w:r w:rsidRPr="00247905">
        <w:rPr>
          <w:rFonts w:eastAsia="Times New Roman"/>
          <w:iCs/>
          <w:sz w:val="24"/>
          <w:szCs w:val="24"/>
          <w:lang w:eastAsia="en-AU"/>
        </w:rPr>
        <w:t xml:space="preserve"> </w:t>
      </w:r>
      <w:r w:rsidR="00AD6496">
        <w:rPr>
          <w:rFonts w:eastAsia="Times New Roman"/>
          <w:iCs/>
          <w:sz w:val="24"/>
          <w:szCs w:val="24"/>
          <w:lang w:eastAsia="en-AU"/>
        </w:rPr>
        <w:t xml:space="preserve">(the </w:t>
      </w:r>
      <w:r w:rsidR="00AD6496" w:rsidRPr="00247905">
        <w:rPr>
          <w:rFonts w:eastAsia="Times New Roman"/>
          <w:b/>
          <w:bCs/>
          <w:i/>
          <w:sz w:val="24"/>
          <w:szCs w:val="24"/>
          <w:lang w:eastAsia="en-AU"/>
        </w:rPr>
        <w:t>Repeal Instrument</w:t>
      </w:r>
      <w:r w:rsidR="00AD6496">
        <w:rPr>
          <w:rFonts w:eastAsia="Times New Roman"/>
          <w:iCs/>
          <w:sz w:val="24"/>
          <w:szCs w:val="24"/>
          <w:lang w:eastAsia="en-AU"/>
        </w:rPr>
        <w:t xml:space="preserve">) </w:t>
      </w:r>
      <w:r w:rsidRPr="00247905">
        <w:rPr>
          <w:rFonts w:eastAsia="Times New Roman"/>
          <w:iCs/>
          <w:sz w:val="24"/>
          <w:szCs w:val="24"/>
          <w:lang w:eastAsia="en-AU"/>
        </w:rPr>
        <w:t xml:space="preserve">repeals five </w:t>
      </w:r>
      <w:r w:rsidR="00A51EFA">
        <w:rPr>
          <w:rFonts w:eastAsia="Times New Roman"/>
          <w:iCs/>
          <w:sz w:val="24"/>
          <w:szCs w:val="24"/>
          <w:lang w:eastAsia="en-AU"/>
        </w:rPr>
        <w:t xml:space="preserve">financial reporting-related </w:t>
      </w:r>
      <w:r w:rsidRPr="00247905">
        <w:rPr>
          <w:rFonts w:eastAsia="Times New Roman"/>
          <w:iCs/>
          <w:sz w:val="24"/>
          <w:szCs w:val="24"/>
          <w:lang w:eastAsia="en-AU"/>
        </w:rPr>
        <w:t>legislative instruments</w:t>
      </w:r>
      <w:r w:rsidR="00A51EFA">
        <w:rPr>
          <w:rFonts w:eastAsia="Times New Roman"/>
          <w:iCs/>
          <w:sz w:val="24"/>
          <w:szCs w:val="24"/>
          <w:lang w:eastAsia="en-AU"/>
        </w:rPr>
        <w:t xml:space="preserve"> that are scheduled to sunset on 1 October 2025</w:t>
      </w:r>
      <w:r w:rsidRPr="00247905">
        <w:rPr>
          <w:rFonts w:eastAsia="Times New Roman"/>
          <w:iCs/>
          <w:sz w:val="24"/>
          <w:szCs w:val="24"/>
          <w:lang w:eastAsia="en-AU"/>
        </w:rPr>
        <w:t xml:space="preserve">: </w:t>
      </w:r>
      <w:r w:rsidRPr="00247905">
        <w:rPr>
          <w:rFonts w:eastAsia="Times New Roman"/>
          <w:i/>
          <w:sz w:val="24"/>
          <w:szCs w:val="24"/>
          <w:lang w:eastAsia="en-AU"/>
        </w:rPr>
        <w:t>ASIC Corporations (Stapled Group Reports) Instrument 2015/838</w:t>
      </w:r>
      <w:r w:rsidRPr="00247905">
        <w:rPr>
          <w:rFonts w:eastAsia="Times New Roman"/>
          <w:iCs/>
          <w:sz w:val="24"/>
          <w:szCs w:val="24"/>
          <w:lang w:eastAsia="en-AU"/>
        </w:rPr>
        <w:t xml:space="preserve">, </w:t>
      </w:r>
      <w:r w:rsidRPr="00247905">
        <w:rPr>
          <w:rFonts w:eastAsia="Times New Roman"/>
          <w:i/>
          <w:sz w:val="24"/>
          <w:szCs w:val="24"/>
          <w:lang w:eastAsia="en-AU"/>
        </w:rPr>
        <w:t>ASIC Corporations (Related Scheme Reports) Instrument 2015/839</w:t>
      </w:r>
      <w:r w:rsidRPr="00247905">
        <w:rPr>
          <w:rFonts w:eastAsia="Times New Roman"/>
          <w:iCs/>
          <w:sz w:val="24"/>
          <w:szCs w:val="24"/>
          <w:lang w:eastAsia="en-AU"/>
        </w:rPr>
        <w:t xml:space="preserve">, </w:t>
      </w:r>
      <w:r w:rsidRPr="00247905">
        <w:rPr>
          <w:rFonts w:eastAsia="Times New Roman"/>
          <w:i/>
          <w:sz w:val="24"/>
          <w:szCs w:val="24"/>
          <w:lang w:eastAsia="en-AU"/>
        </w:rPr>
        <w:t>ASIC Corporations (Non-Reporting Entities) Instrument 2015/841</w:t>
      </w:r>
      <w:r w:rsidRPr="00247905">
        <w:rPr>
          <w:rFonts w:eastAsia="Times New Roman"/>
          <w:iCs/>
          <w:sz w:val="24"/>
          <w:szCs w:val="24"/>
          <w:lang w:eastAsia="en-AU"/>
        </w:rPr>
        <w:t xml:space="preserve">, </w:t>
      </w:r>
      <w:r w:rsidRPr="00247905">
        <w:rPr>
          <w:rFonts w:eastAsia="Times New Roman"/>
          <w:i/>
          <w:sz w:val="24"/>
          <w:szCs w:val="24"/>
          <w:lang w:eastAsia="en-AU"/>
        </w:rPr>
        <w:t>ASIC Corporations (Post Balance Date Reporting) Instrument 2015/842</w:t>
      </w:r>
      <w:r w:rsidRPr="00247905">
        <w:rPr>
          <w:rFonts w:eastAsia="Times New Roman"/>
          <w:iCs/>
          <w:sz w:val="24"/>
          <w:szCs w:val="24"/>
          <w:lang w:eastAsia="en-AU"/>
        </w:rPr>
        <w:t xml:space="preserve"> and </w:t>
      </w:r>
      <w:r w:rsidRPr="00247905">
        <w:rPr>
          <w:rFonts w:eastAsia="Times New Roman"/>
          <w:i/>
          <w:sz w:val="24"/>
          <w:szCs w:val="24"/>
          <w:lang w:eastAsia="en-AU"/>
        </w:rPr>
        <w:t>ASIC Corporations (Externally-Administered Bodies) Instrument 2015/251</w:t>
      </w:r>
      <w:r w:rsidRPr="00247905">
        <w:rPr>
          <w:rFonts w:eastAsia="Times New Roman"/>
          <w:iCs/>
          <w:sz w:val="24"/>
          <w:szCs w:val="24"/>
          <w:lang w:eastAsia="en-AU"/>
        </w:rPr>
        <w:t xml:space="preserve">. </w:t>
      </w:r>
    </w:p>
    <w:p w14:paraId="79BCB1A5" w14:textId="3FA734FF" w:rsidR="001872DC" w:rsidRPr="00EA17A6" w:rsidRDefault="001872DC" w:rsidP="00791E1D">
      <w:pPr>
        <w:spacing w:before="240" w:line="240" w:lineRule="auto"/>
        <w:ind w:left="567" w:hanging="567"/>
        <w:rPr>
          <w:u w:val="single"/>
        </w:rPr>
      </w:pPr>
      <w:r w:rsidRPr="00EA17A6">
        <w:rPr>
          <w:u w:val="single"/>
        </w:rPr>
        <w:t>Assessment of human rights implications</w:t>
      </w:r>
    </w:p>
    <w:p w14:paraId="56F8130E" w14:textId="08B867DF" w:rsidR="00946759" w:rsidRPr="00EA17A6" w:rsidRDefault="001B1787" w:rsidP="00D306F8">
      <w:pPr>
        <w:pStyle w:val="LI-BodyTextNumbered"/>
        <w:ind w:left="567"/>
      </w:pPr>
      <w:r>
        <w:t>3</w:t>
      </w:r>
      <w:r w:rsidR="001872DC" w:rsidRPr="00EA17A6">
        <w:t>.</w:t>
      </w:r>
      <w:r w:rsidR="001872DC" w:rsidRPr="00EA17A6">
        <w:tab/>
      </w:r>
      <w:bookmarkEnd w:id="4"/>
      <w:r>
        <w:t>The</w:t>
      </w:r>
      <w:r w:rsidRPr="00EA17A6">
        <w:t xml:space="preserve"> </w:t>
      </w:r>
      <w:r>
        <w:t>I</w:t>
      </w:r>
      <w:r w:rsidR="001872DC" w:rsidRPr="00EA17A6">
        <w:t xml:space="preserve">nstrument </w:t>
      </w:r>
      <w:r>
        <w:t xml:space="preserve">and the Repeal Instrument </w:t>
      </w:r>
      <w:r w:rsidR="00D306F8" w:rsidRPr="00EA17A6">
        <w:t>do not engage any of the applicable rights or freedom</w:t>
      </w:r>
      <w:r w:rsidR="00791E1D">
        <w:t xml:space="preserve">s. </w:t>
      </w:r>
      <w:r w:rsidR="00946759"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01A09176" w:rsidR="00CB2D96" w:rsidRPr="00EA17A6" w:rsidRDefault="00A51EFA" w:rsidP="00CB2D96">
      <w:pPr>
        <w:pStyle w:val="LI-BodyTextNumbered"/>
        <w:ind w:left="567"/>
      </w:pPr>
      <w:r>
        <w:t>4</w:t>
      </w:r>
      <w:r w:rsidR="00CB2D96" w:rsidRPr="00EA17A6">
        <w:t>.</w:t>
      </w:r>
      <w:r w:rsidR="00CB2D96" w:rsidRPr="00EA17A6">
        <w:tab/>
        <w:t>Th</w:t>
      </w:r>
      <w:r w:rsidR="00AD6496">
        <w:t>e</w:t>
      </w:r>
      <w:r w:rsidR="00CB2D96" w:rsidRPr="00EA17A6">
        <w:t xml:space="preserve"> </w:t>
      </w:r>
      <w:r w:rsidR="00AD6496">
        <w:t>I</w:t>
      </w:r>
      <w:r w:rsidR="00CB2D96" w:rsidRPr="00EA17A6">
        <w:t xml:space="preserve">nstrument </w:t>
      </w:r>
      <w:r w:rsidR="00AD6496">
        <w:t>and the Repeal Instrument are</w:t>
      </w:r>
      <w:r w:rsidR="00CB2D96" w:rsidRPr="00EA17A6">
        <w:t xml:space="preserve">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2E34" w14:textId="77777777" w:rsidR="004E4E3D" w:rsidRDefault="004E4E3D" w:rsidP="00715914">
      <w:pPr>
        <w:spacing w:line="240" w:lineRule="auto"/>
      </w:pPr>
      <w:r>
        <w:separator/>
      </w:r>
    </w:p>
  </w:endnote>
  <w:endnote w:type="continuationSeparator" w:id="0">
    <w:p w14:paraId="1CA59809" w14:textId="77777777" w:rsidR="004E4E3D" w:rsidRDefault="004E4E3D" w:rsidP="00715914">
      <w:pPr>
        <w:spacing w:line="240" w:lineRule="auto"/>
      </w:pPr>
      <w:r>
        <w:continuationSeparator/>
      </w:r>
    </w:p>
  </w:endnote>
  <w:endnote w:type="continuationNotice" w:id="1">
    <w:p w14:paraId="2F75A076" w14:textId="77777777" w:rsidR="004E4E3D" w:rsidRDefault="004E4E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8166" w14:textId="77777777" w:rsidR="004E4E3D" w:rsidRDefault="004E4E3D" w:rsidP="00715914">
      <w:pPr>
        <w:spacing w:line="240" w:lineRule="auto"/>
      </w:pPr>
      <w:r>
        <w:separator/>
      </w:r>
    </w:p>
  </w:footnote>
  <w:footnote w:type="continuationSeparator" w:id="0">
    <w:p w14:paraId="47537819" w14:textId="77777777" w:rsidR="004E4E3D" w:rsidRDefault="004E4E3D" w:rsidP="00715914">
      <w:pPr>
        <w:spacing w:line="240" w:lineRule="auto"/>
      </w:pPr>
      <w:r>
        <w:continuationSeparator/>
      </w:r>
    </w:p>
  </w:footnote>
  <w:footnote w:type="continuationNotice" w:id="1">
    <w:p w14:paraId="0FAEF67C" w14:textId="77777777" w:rsidR="004E4E3D" w:rsidRDefault="004E4E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0FF356F"/>
    <w:multiLevelType w:val="hybridMultilevel"/>
    <w:tmpl w:val="042E9366"/>
    <w:lvl w:ilvl="0" w:tplc="85E4FAFE">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19423A"/>
    <w:multiLevelType w:val="hybridMultilevel"/>
    <w:tmpl w:val="BEF44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4"/>
  </w:num>
  <w:num w:numId="15" w16cid:durableId="335957393">
    <w:abstractNumId w:val="15"/>
  </w:num>
  <w:num w:numId="16" w16cid:durableId="1972247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2479"/>
    <w:rsid w:val="00023D53"/>
    <w:rsid w:val="000437C1"/>
    <w:rsid w:val="0004546F"/>
    <w:rsid w:val="00045C55"/>
    <w:rsid w:val="00047270"/>
    <w:rsid w:val="00051F91"/>
    <w:rsid w:val="000526E2"/>
    <w:rsid w:val="0005365D"/>
    <w:rsid w:val="000614BF"/>
    <w:rsid w:val="0006250C"/>
    <w:rsid w:val="000741EA"/>
    <w:rsid w:val="00081794"/>
    <w:rsid w:val="00084FF4"/>
    <w:rsid w:val="000A142F"/>
    <w:rsid w:val="000A4FA1"/>
    <w:rsid w:val="000A6C39"/>
    <w:rsid w:val="000B58FA"/>
    <w:rsid w:val="000C2B97"/>
    <w:rsid w:val="000C55A0"/>
    <w:rsid w:val="000D041F"/>
    <w:rsid w:val="000D05EF"/>
    <w:rsid w:val="000E2261"/>
    <w:rsid w:val="000E2E5D"/>
    <w:rsid w:val="000E3C2E"/>
    <w:rsid w:val="000F21C1"/>
    <w:rsid w:val="00101099"/>
    <w:rsid w:val="00102CA6"/>
    <w:rsid w:val="0010745C"/>
    <w:rsid w:val="00125141"/>
    <w:rsid w:val="00132CEB"/>
    <w:rsid w:val="00142B62"/>
    <w:rsid w:val="00153B32"/>
    <w:rsid w:val="00157B8B"/>
    <w:rsid w:val="001624E1"/>
    <w:rsid w:val="00166C2F"/>
    <w:rsid w:val="00171A6E"/>
    <w:rsid w:val="001809D7"/>
    <w:rsid w:val="001863C3"/>
    <w:rsid w:val="0018659E"/>
    <w:rsid w:val="00187240"/>
    <w:rsid w:val="001872DC"/>
    <w:rsid w:val="001939E1"/>
    <w:rsid w:val="00194C3E"/>
    <w:rsid w:val="00194E7D"/>
    <w:rsid w:val="00195382"/>
    <w:rsid w:val="00195BD4"/>
    <w:rsid w:val="00196851"/>
    <w:rsid w:val="001A5FCC"/>
    <w:rsid w:val="001B1787"/>
    <w:rsid w:val="001C61C5"/>
    <w:rsid w:val="001C69C4"/>
    <w:rsid w:val="001D37EF"/>
    <w:rsid w:val="001E3590"/>
    <w:rsid w:val="001E6595"/>
    <w:rsid w:val="001E7407"/>
    <w:rsid w:val="001E77ED"/>
    <w:rsid w:val="001E7E2B"/>
    <w:rsid w:val="001F02B1"/>
    <w:rsid w:val="001F5D5E"/>
    <w:rsid w:val="001F6219"/>
    <w:rsid w:val="001F6CD4"/>
    <w:rsid w:val="00206C4D"/>
    <w:rsid w:val="0021053C"/>
    <w:rsid w:val="00215AF1"/>
    <w:rsid w:val="0022087F"/>
    <w:rsid w:val="00220A36"/>
    <w:rsid w:val="00223DCF"/>
    <w:rsid w:val="00227AA6"/>
    <w:rsid w:val="002321E8"/>
    <w:rsid w:val="00236EEC"/>
    <w:rsid w:val="0024010F"/>
    <w:rsid w:val="00240460"/>
    <w:rsid w:val="00240749"/>
    <w:rsid w:val="00243018"/>
    <w:rsid w:val="00243EC0"/>
    <w:rsid w:val="00244742"/>
    <w:rsid w:val="00247905"/>
    <w:rsid w:val="00252DF9"/>
    <w:rsid w:val="0025378C"/>
    <w:rsid w:val="002564A4"/>
    <w:rsid w:val="0026736C"/>
    <w:rsid w:val="002744D5"/>
    <w:rsid w:val="00281308"/>
    <w:rsid w:val="00281813"/>
    <w:rsid w:val="00284719"/>
    <w:rsid w:val="002935A5"/>
    <w:rsid w:val="00297ECB"/>
    <w:rsid w:val="002A4C9B"/>
    <w:rsid w:val="002A7328"/>
    <w:rsid w:val="002A7BCF"/>
    <w:rsid w:val="002B19F3"/>
    <w:rsid w:val="002B1A91"/>
    <w:rsid w:val="002B4A0D"/>
    <w:rsid w:val="002C7AD2"/>
    <w:rsid w:val="002C7B6F"/>
    <w:rsid w:val="002D043A"/>
    <w:rsid w:val="002D1CB9"/>
    <w:rsid w:val="002D6224"/>
    <w:rsid w:val="002E3F4B"/>
    <w:rsid w:val="00304F8B"/>
    <w:rsid w:val="003269D5"/>
    <w:rsid w:val="00327DDF"/>
    <w:rsid w:val="003354D2"/>
    <w:rsid w:val="00335BC6"/>
    <w:rsid w:val="003415D3"/>
    <w:rsid w:val="00344701"/>
    <w:rsid w:val="003528DA"/>
    <w:rsid w:val="00352B0F"/>
    <w:rsid w:val="00356690"/>
    <w:rsid w:val="00357DD0"/>
    <w:rsid w:val="00360459"/>
    <w:rsid w:val="00364DA9"/>
    <w:rsid w:val="00365497"/>
    <w:rsid w:val="00381C42"/>
    <w:rsid w:val="00387A96"/>
    <w:rsid w:val="003A2178"/>
    <w:rsid w:val="003A2A48"/>
    <w:rsid w:val="003B28C3"/>
    <w:rsid w:val="003B732F"/>
    <w:rsid w:val="003C6231"/>
    <w:rsid w:val="003D0BFE"/>
    <w:rsid w:val="003D5700"/>
    <w:rsid w:val="003D6A4B"/>
    <w:rsid w:val="003E0F99"/>
    <w:rsid w:val="003E341B"/>
    <w:rsid w:val="003F3EFD"/>
    <w:rsid w:val="0040053F"/>
    <w:rsid w:val="004116CD"/>
    <w:rsid w:val="004144EC"/>
    <w:rsid w:val="00417EB9"/>
    <w:rsid w:val="00424CA9"/>
    <w:rsid w:val="00426EC7"/>
    <w:rsid w:val="00431E9B"/>
    <w:rsid w:val="0043453F"/>
    <w:rsid w:val="0043544B"/>
    <w:rsid w:val="00435EEF"/>
    <w:rsid w:val="004379E3"/>
    <w:rsid w:val="0044015E"/>
    <w:rsid w:val="0044291A"/>
    <w:rsid w:val="00444ABD"/>
    <w:rsid w:val="00447DB4"/>
    <w:rsid w:val="0045007F"/>
    <w:rsid w:val="00460F1D"/>
    <w:rsid w:val="00465DC1"/>
    <w:rsid w:val="00467661"/>
    <w:rsid w:val="004705B7"/>
    <w:rsid w:val="00472DBE"/>
    <w:rsid w:val="00474A19"/>
    <w:rsid w:val="00474B52"/>
    <w:rsid w:val="0048181A"/>
    <w:rsid w:val="00481C24"/>
    <w:rsid w:val="00481F6A"/>
    <w:rsid w:val="004823C0"/>
    <w:rsid w:val="0048276B"/>
    <w:rsid w:val="00495D4D"/>
    <w:rsid w:val="00496B5F"/>
    <w:rsid w:val="00496F97"/>
    <w:rsid w:val="004A44FC"/>
    <w:rsid w:val="004B5B44"/>
    <w:rsid w:val="004C1CB1"/>
    <w:rsid w:val="004D7E7F"/>
    <w:rsid w:val="004E063A"/>
    <w:rsid w:val="004E4E3D"/>
    <w:rsid w:val="004E7BEC"/>
    <w:rsid w:val="004F3BC5"/>
    <w:rsid w:val="0050044F"/>
    <w:rsid w:val="00505D3D"/>
    <w:rsid w:val="00506AF6"/>
    <w:rsid w:val="00507335"/>
    <w:rsid w:val="00516B8D"/>
    <w:rsid w:val="00517E56"/>
    <w:rsid w:val="00532049"/>
    <w:rsid w:val="005356A7"/>
    <w:rsid w:val="00536184"/>
    <w:rsid w:val="00537FBC"/>
    <w:rsid w:val="00542CE9"/>
    <w:rsid w:val="00556E9E"/>
    <w:rsid w:val="005574D1"/>
    <w:rsid w:val="00561ABB"/>
    <w:rsid w:val="005657FE"/>
    <w:rsid w:val="00572BB1"/>
    <w:rsid w:val="0057670F"/>
    <w:rsid w:val="00580B44"/>
    <w:rsid w:val="00584811"/>
    <w:rsid w:val="00585784"/>
    <w:rsid w:val="00585FEB"/>
    <w:rsid w:val="00593AA6"/>
    <w:rsid w:val="00594161"/>
    <w:rsid w:val="00594749"/>
    <w:rsid w:val="005A21B8"/>
    <w:rsid w:val="005A39DD"/>
    <w:rsid w:val="005A6771"/>
    <w:rsid w:val="005B4067"/>
    <w:rsid w:val="005B780C"/>
    <w:rsid w:val="005C3F41"/>
    <w:rsid w:val="005D0489"/>
    <w:rsid w:val="005D1770"/>
    <w:rsid w:val="005D1FEA"/>
    <w:rsid w:val="005D2D09"/>
    <w:rsid w:val="005D3D41"/>
    <w:rsid w:val="005E4810"/>
    <w:rsid w:val="005F1DB6"/>
    <w:rsid w:val="005F4140"/>
    <w:rsid w:val="005F65CD"/>
    <w:rsid w:val="00600219"/>
    <w:rsid w:val="00601955"/>
    <w:rsid w:val="00602C4C"/>
    <w:rsid w:val="00603DC4"/>
    <w:rsid w:val="00607A71"/>
    <w:rsid w:val="00610709"/>
    <w:rsid w:val="006117CB"/>
    <w:rsid w:val="00614DBC"/>
    <w:rsid w:val="00620076"/>
    <w:rsid w:val="00633A6B"/>
    <w:rsid w:val="00634044"/>
    <w:rsid w:val="00640161"/>
    <w:rsid w:val="00640C81"/>
    <w:rsid w:val="00652769"/>
    <w:rsid w:val="0065542F"/>
    <w:rsid w:val="006554FF"/>
    <w:rsid w:val="00670752"/>
    <w:rsid w:val="00670EA1"/>
    <w:rsid w:val="00677CC2"/>
    <w:rsid w:val="006905DE"/>
    <w:rsid w:val="00691DAD"/>
    <w:rsid w:val="0069207B"/>
    <w:rsid w:val="00692A83"/>
    <w:rsid w:val="00693F29"/>
    <w:rsid w:val="006B5789"/>
    <w:rsid w:val="006B778A"/>
    <w:rsid w:val="006C30C5"/>
    <w:rsid w:val="006C48FA"/>
    <w:rsid w:val="006C7F8C"/>
    <w:rsid w:val="006D6079"/>
    <w:rsid w:val="006E5320"/>
    <w:rsid w:val="006E6246"/>
    <w:rsid w:val="006F318F"/>
    <w:rsid w:val="006F4226"/>
    <w:rsid w:val="0070017E"/>
    <w:rsid w:val="00700B2C"/>
    <w:rsid w:val="00702EFD"/>
    <w:rsid w:val="007050A2"/>
    <w:rsid w:val="00705816"/>
    <w:rsid w:val="00713084"/>
    <w:rsid w:val="0071399B"/>
    <w:rsid w:val="00714F20"/>
    <w:rsid w:val="0071590F"/>
    <w:rsid w:val="00715914"/>
    <w:rsid w:val="00730B18"/>
    <w:rsid w:val="00731E00"/>
    <w:rsid w:val="00741EE8"/>
    <w:rsid w:val="007440B7"/>
    <w:rsid w:val="007500C8"/>
    <w:rsid w:val="00755FA3"/>
    <w:rsid w:val="00756272"/>
    <w:rsid w:val="00765001"/>
    <w:rsid w:val="007662B5"/>
    <w:rsid w:val="0076681A"/>
    <w:rsid w:val="007715C9"/>
    <w:rsid w:val="00771613"/>
    <w:rsid w:val="00774EDD"/>
    <w:rsid w:val="0077506D"/>
    <w:rsid w:val="007757EC"/>
    <w:rsid w:val="00783E89"/>
    <w:rsid w:val="007842CE"/>
    <w:rsid w:val="00785A9E"/>
    <w:rsid w:val="007873E2"/>
    <w:rsid w:val="00791E1D"/>
    <w:rsid w:val="00793915"/>
    <w:rsid w:val="007A01BA"/>
    <w:rsid w:val="007B4C4F"/>
    <w:rsid w:val="007C2253"/>
    <w:rsid w:val="007D230B"/>
    <w:rsid w:val="007D6DB8"/>
    <w:rsid w:val="007E163D"/>
    <w:rsid w:val="007E254B"/>
    <w:rsid w:val="007E32C3"/>
    <w:rsid w:val="007E667A"/>
    <w:rsid w:val="007F28C9"/>
    <w:rsid w:val="0080312D"/>
    <w:rsid w:val="00803587"/>
    <w:rsid w:val="008117E9"/>
    <w:rsid w:val="00824498"/>
    <w:rsid w:val="008346A0"/>
    <w:rsid w:val="00835179"/>
    <w:rsid w:val="008356AC"/>
    <w:rsid w:val="00840442"/>
    <w:rsid w:val="008527C0"/>
    <w:rsid w:val="00856A31"/>
    <w:rsid w:val="00860B58"/>
    <w:rsid w:val="00863657"/>
    <w:rsid w:val="00867B37"/>
    <w:rsid w:val="008718DD"/>
    <w:rsid w:val="008754D0"/>
    <w:rsid w:val="00880263"/>
    <w:rsid w:val="008855C9"/>
    <w:rsid w:val="00886456"/>
    <w:rsid w:val="008945E0"/>
    <w:rsid w:val="0089527F"/>
    <w:rsid w:val="008A362B"/>
    <w:rsid w:val="008A46E1"/>
    <w:rsid w:val="008A4F43"/>
    <w:rsid w:val="008B2706"/>
    <w:rsid w:val="008C0F29"/>
    <w:rsid w:val="008D0B74"/>
    <w:rsid w:val="008D0EE0"/>
    <w:rsid w:val="008D3422"/>
    <w:rsid w:val="008D68DD"/>
    <w:rsid w:val="008E00FA"/>
    <w:rsid w:val="008E6067"/>
    <w:rsid w:val="008F54E7"/>
    <w:rsid w:val="009016BE"/>
    <w:rsid w:val="00903422"/>
    <w:rsid w:val="00912A58"/>
    <w:rsid w:val="009157B9"/>
    <w:rsid w:val="00915DF9"/>
    <w:rsid w:val="00921595"/>
    <w:rsid w:val="009254C3"/>
    <w:rsid w:val="00926940"/>
    <w:rsid w:val="00930A0A"/>
    <w:rsid w:val="00932377"/>
    <w:rsid w:val="009460DC"/>
    <w:rsid w:val="00946759"/>
    <w:rsid w:val="00947D5A"/>
    <w:rsid w:val="009525CF"/>
    <w:rsid w:val="009532A5"/>
    <w:rsid w:val="00955175"/>
    <w:rsid w:val="0095528E"/>
    <w:rsid w:val="0096753E"/>
    <w:rsid w:val="00982242"/>
    <w:rsid w:val="009842E6"/>
    <w:rsid w:val="009868E9"/>
    <w:rsid w:val="009911AF"/>
    <w:rsid w:val="009944E6"/>
    <w:rsid w:val="009A2319"/>
    <w:rsid w:val="009A3A6F"/>
    <w:rsid w:val="009A3F74"/>
    <w:rsid w:val="009A49C9"/>
    <w:rsid w:val="009C2791"/>
    <w:rsid w:val="009D1818"/>
    <w:rsid w:val="009D195A"/>
    <w:rsid w:val="009D7993"/>
    <w:rsid w:val="009E5CFC"/>
    <w:rsid w:val="009E75A7"/>
    <w:rsid w:val="009F4F7E"/>
    <w:rsid w:val="00A03319"/>
    <w:rsid w:val="00A03AF1"/>
    <w:rsid w:val="00A079CB"/>
    <w:rsid w:val="00A12128"/>
    <w:rsid w:val="00A12F48"/>
    <w:rsid w:val="00A14F6A"/>
    <w:rsid w:val="00A15512"/>
    <w:rsid w:val="00A22C98"/>
    <w:rsid w:val="00A231E2"/>
    <w:rsid w:val="00A24950"/>
    <w:rsid w:val="00A24EDC"/>
    <w:rsid w:val="00A305FB"/>
    <w:rsid w:val="00A33D55"/>
    <w:rsid w:val="00A34412"/>
    <w:rsid w:val="00A35BFB"/>
    <w:rsid w:val="00A40424"/>
    <w:rsid w:val="00A44C99"/>
    <w:rsid w:val="00A51EFA"/>
    <w:rsid w:val="00A52B0F"/>
    <w:rsid w:val="00A559B3"/>
    <w:rsid w:val="00A5632E"/>
    <w:rsid w:val="00A64912"/>
    <w:rsid w:val="00A66B78"/>
    <w:rsid w:val="00A70A74"/>
    <w:rsid w:val="00A84130"/>
    <w:rsid w:val="00A91966"/>
    <w:rsid w:val="00A94F8F"/>
    <w:rsid w:val="00AA66AC"/>
    <w:rsid w:val="00AA7162"/>
    <w:rsid w:val="00AB0999"/>
    <w:rsid w:val="00AB1DE8"/>
    <w:rsid w:val="00AB5CBC"/>
    <w:rsid w:val="00AB69D9"/>
    <w:rsid w:val="00AC0886"/>
    <w:rsid w:val="00AC2D59"/>
    <w:rsid w:val="00AC4D42"/>
    <w:rsid w:val="00AD02B8"/>
    <w:rsid w:val="00AD1F73"/>
    <w:rsid w:val="00AD5315"/>
    <w:rsid w:val="00AD5641"/>
    <w:rsid w:val="00AD57D1"/>
    <w:rsid w:val="00AD5B9D"/>
    <w:rsid w:val="00AD6496"/>
    <w:rsid w:val="00AD7889"/>
    <w:rsid w:val="00AE787B"/>
    <w:rsid w:val="00AF021B"/>
    <w:rsid w:val="00AF06CF"/>
    <w:rsid w:val="00B04305"/>
    <w:rsid w:val="00B07CDB"/>
    <w:rsid w:val="00B16A31"/>
    <w:rsid w:val="00B17DFD"/>
    <w:rsid w:val="00B2799D"/>
    <w:rsid w:val="00B308FE"/>
    <w:rsid w:val="00B33709"/>
    <w:rsid w:val="00B33B3C"/>
    <w:rsid w:val="00B33BD1"/>
    <w:rsid w:val="00B370F9"/>
    <w:rsid w:val="00B436FB"/>
    <w:rsid w:val="00B50ADC"/>
    <w:rsid w:val="00B566B1"/>
    <w:rsid w:val="00B577C8"/>
    <w:rsid w:val="00B63834"/>
    <w:rsid w:val="00B726C6"/>
    <w:rsid w:val="00B72734"/>
    <w:rsid w:val="00B80199"/>
    <w:rsid w:val="00B82D81"/>
    <w:rsid w:val="00B83204"/>
    <w:rsid w:val="00B9126E"/>
    <w:rsid w:val="00B94AC7"/>
    <w:rsid w:val="00BA220B"/>
    <w:rsid w:val="00BA3A57"/>
    <w:rsid w:val="00BB4DB6"/>
    <w:rsid w:val="00BB4E1A"/>
    <w:rsid w:val="00BB5C17"/>
    <w:rsid w:val="00BC015E"/>
    <w:rsid w:val="00BC1629"/>
    <w:rsid w:val="00BC7183"/>
    <w:rsid w:val="00BC76AC"/>
    <w:rsid w:val="00BD0ECB"/>
    <w:rsid w:val="00BD2645"/>
    <w:rsid w:val="00BD7CEE"/>
    <w:rsid w:val="00BE0883"/>
    <w:rsid w:val="00BE12BE"/>
    <w:rsid w:val="00BE2155"/>
    <w:rsid w:val="00BE2213"/>
    <w:rsid w:val="00BE6EF9"/>
    <w:rsid w:val="00BE719A"/>
    <w:rsid w:val="00BE720A"/>
    <w:rsid w:val="00BF0D73"/>
    <w:rsid w:val="00BF2465"/>
    <w:rsid w:val="00BF75C9"/>
    <w:rsid w:val="00C0544A"/>
    <w:rsid w:val="00C06AC9"/>
    <w:rsid w:val="00C06C29"/>
    <w:rsid w:val="00C11452"/>
    <w:rsid w:val="00C17457"/>
    <w:rsid w:val="00C25419"/>
    <w:rsid w:val="00C25E7F"/>
    <w:rsid w:val="00C2746F"/>
    <w:rsid w:val="00C324A0"/>
    <w:rsid w:val="00C3300F"/>
    <w:rsid w:val="00C34E77"/>
    <w:rsid w:val="00C35875"/>
    <w:rsid w:val="00C35DAF"/>
    <w:rsid w:val="00C4170B"/>
    <w:rsid w:val="00C42BF8"/>
    <w:rsid w:val="00C44273"/>
    <w:rsid w:val="00C45171"/>
    <w:rsid w:val="00C47D01"/>
    <w:rsid w:val="00C50043"/>
    <w:rsid w:val="00C50B97"/>
    <w:rsid w:val="00C52E7C"/>
    <w:rsid w:val="00C62371"/>
    <w:rsid w:val="00C6434E"/>
    <w:rsid w:val="00C70CA8"/>
    <w:rsid w:val="00C7573B"/>
    <w:rsid w:val="00C7761F"/>
    <w:rsid w:val="00C86B32"/>
    <w:rsid w:val="00C93C03"/>
    <w:rsid w:val="00C95359"/>
    <w:rsid w:val="00CA344A"/>
    <w:rsid w:val="00CA66DC"/>
    <w:rsid w:val="00CB2C8E"/>
    <w:rsid w:val="00CB2D96"/>
    <w:rsid w:val="00CB602E"/>
    <w:rsid w:val="00CC3AEC"/>
    <w:rsid w:val="00CD2E90"/>
    <w:rsid w:val="00CE0149"/>
    <w:rsid w:val="00CE051D"/>
    <w:rsid w:val="00CE1335"/>
    <w:rsid w:val="00CE3D2A"/>
    <w:rsid w:val="00CE493D"/>
    <w:rsid w:val="00CE541A"/>
    <w:rsid w:val="00CE6D42"/>
    <w:rsid w:val="00CF07FA"/>
    <w:rsid w:val="00CF0BB2"/>
    <w:rsid w:val="00CF3EE8"/>
    <w:rsid w:val="00CF5313"/>
    <w:rsid w:val="00D0003E"/>
    <w:rsid w:val="00D050E6"/>
    <w:rsid w:val="00D13441"/>
    <w:rsid w:val="00D150E7"/>
    <w:rsid w:val="00D20A4B"/>
    <w:rsid w:val="00D306F8"/>
    <w:rsid w:val="00D32F65"/>
    <w:rsid w:val="00D341C4"/>
    <w:rsid w:val="00D3751F"/>
    <w:rsid w:val="00D40BC1"/>
    <w:rsid w:val="00D41A47"/>
    <w:rsid w:val="00D442A2"/>
    <w:rsid w:val="00D453BE"/>
    <w:rsid w:val="00D52DC2"/>
    <w:rsid w:val="00D53BCC"/>
    <w:rsid w:val="00D648BB"/>
    <w:rsid w:val="00D6607F"/>
    <w:rsid w:val="00D702DE"/>
    <w:rsid w:val="00D70DFB"/>
    <w:rsid w:val="00D732EC"/>
    <w:rsid w:val="00D73C22"/>
    <w:rsid w:val="00D766DF"/>
    <w:rsid w:val="00D84210"/>
    <w:rsid w:val="00DA186E"/>
    <w:rsid w:val="00DA4116"/>
    <w:rsid w:val="00DB251C"/>
    <w:rsid w:val="00DB38AD"/>
    <w:rsid w:val="00DB4630"/>
    <w:rsid w:val="00DB51FD"/>
    <w:rsid w:val="00DC1135"/>
    <w:rsid w:val="00DC1F09"/>
    <w:rsid w:val="00DC4445"/>
    <w:rsid w:val="00DC4F88"/>
    <w:rsid w:val="00DE0A85"/>
    <w:rsid w:val="00DE79F9"/>
    <w:rsid w:val="00DF3DC1"/>
    <w:rsid w:val="00E05704"/>
    <w:rsid w:val="00E06CC3"/>
    <w:rsid w:val="00E11E44"/>
    <w:rsid w:val="00E13AFA"/>
    <w:rsid w:val="00E2168B"/>
    <w:rsid w:val="00E21F03"/>
    <w:rsid w:val="00E338EF"/>
    <w:rsid w:val="00E40FF8"/>
    <w:rsid w:val="00E42D7A"/>
    <w:rsid w:val="00E44F07"/>
    <w:rsid w:val="00E52497"/>
    <w:rsid w:val="00E544BB"/>
    <w:rsid w:val="00E578EC"/>
    <w:rsid w:val="00E60423"/>
    <w:rsid w:val="00E649D7"/>
    <w:rsid w:val="00E662CB"/>
    <w:rsid w:val="00E74DC7"/>
    <w:rsid w:val="00E8075A"/>
    <w:rsid w:val="00E80E41"/>
    <w:rsid w:val="00E818A6"/>
    <w:rsid w:val="00E83E73"/>
    <w:rsid w:val="00E85A91"/>
    <w:rsid w:val="00E87718"/>
    <w:rsid w:val="00E94D5E"/>
    <w:rsid w:val="00EA0BF6"/>
    <w:rsid w:val="00EA17A6"/>
    <w:rsid w:val="00EA7100"/>
    <w:rsid w:val="00EA7F9F"/>
    <w:rsid w:val="00EB0E70"/>
    <w:rsid w:val="00EB1274"/>
    <w:rsid w:val="00EB4B03"/>
    <w:rsid w:val="00EC4757"/>
    <w:rsid w:val="00EC7EDB"/>
    <w:rsid w:val="00ED0D10"/>
    <w:rsid w:val="00ED14FB"/>
    <w:rsid w:val="00ED2425"/>
    <w:rsid w:val="00ED2BB6"/>
    <w:rsid w:val="00ED34E1"/>
    <w:rsid w:val="00ED3B8D"/>
    <w:rsid w:val="00ED796D"/>
    <w:rsid w:val="00EE30C0"/>
    <w:rsid w:val="00EF15D3"/>
    <w:rsid w:val="00EF2E3A"/>
    <w:rsid w:val="00F02EF9"/>
    <w:rsid w:val="00F03BB5"/>
    <w:rsid w:val="00F047D8"/>
    <w:rsid w:val="00F072A7"/>
    <w:rsid w:val="00F078DC"/>
    <w:rsid w:val="00F12EC4"/>
    <w:rsid w:val="00F14593"/>
    <w:rsid w:val="00F171A1"/>
    <w:rsid w:val="00F301D5"/>
    <w:rsid w:val="00F32BA8"/>
    <w:rsid w:val="00F349F1"/>
    <w:rsid w:val="00F4215A"/>
    <w:rsid w:val="00F4350D"/>
    <w:rsid w:val="00F45C97"/>
    <w:rsid w:val="00F46947"/>
    <w:rsid w:val="00F46CF3"/>
    <w:rsid w:val="00F50532"/>
    <w:rsid w:val="00F52CA6"/>
    <w:rsid w:val="00F567F7"/>
    <w:rsid w:val="00F61A66"/>
    <w:rsid w:val="00F61B09"/>
    <w:rsid w:val="00F62036"/>
    <w:rsid w:val="00F65B52"/>
    <w:rsid w:val="00F67BCA"/>
    <w:rsid w:val="00F73BD6"/>
    <w:rsid w:val="00F800C9"/>
    <w:rsid w:val="00F83989"/>
    <w:rsid w:val="00F85099"/>
    <w:rsid w:val="00F87E83"/>
    <w:rsid w:val="00F9379C"/>
    <w:rsid w:val="00F9632C"/>
    <w:rsid w:val="00FA13A8"/>
    <w:rsid w:val="00FA1E52"/>
    <w:rsid w:val="00FA28F5"/>
    <w:rsid w:val="00FA31DE"/>
    <w:rsid w:val="00FA7D17"/>
    <w:rsid w:val="00FC3EB8"/>
    <w:rsid w:val="00FC4495"/>
    <w:rsid w:val="00FC6D88"/>
    <w:rsid w:val="00FC7D25"/>
    <w:rsid w:val="00FD13CC"/>
    <w:rsid w:val="00FD2E53"/>
    <w:rsid w:val="00FD506A"/>
    <w:rsid w:val="00FE2FB8"/>
    <w:rsid w:val="00FE4688"/>
    <w:rsid w:val="00FE5C2E"/>
    <w:rsid w:val="00FE72D6"/>
    <w:rsid w:val="00FE79D0"/>
    <w:rsid w:val="00FF3858"/>
    <w:rsid w:val="00FF6B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FE14026F-B519-4138-99F0-B5B0BD36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2D1CB9"/>
    <w:pPr>
      <w:ind w:left="720"/>
      <w:contextualSpacing/>
    </w:pPr>
  </w:style>
  <w:style w:type="paragraph" w:styleId="Revision">
    <w:name w:val="Revision"/>
    <w:hidden/>
    <w:uiPriority w:val="99"/>
    <w:semiHidden/>
    <w:rsid w:val="00B726C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629">
      <w:bodyDiv w:val="1"/>
      <w:marLeft w:val="0"/>
      <w:marRight w:val="0"/>
      <w:marTop w:val="0"/>
      <w:marBottom w:val="0"/>
      <w:divBdr>
        <w:top w:val="none" w:sz="0" w:space="0" w:color="auto"/>
        <w:left w:val="none" w:sz="0" w:space="0" w:color="auto"/>
        <w:bottom w:val="none" w:sz="0" w:space="0" w:color="auto"/>
        <w:right w:val="none" w:sz="0" w:space="0" w:color="auto"/>
      </w:divBdr>
    </w:div>
    <w:div w:id="123159042">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451884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084063542">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1985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EC681FEE0BA94644AA388D730866C815" ma:contentTypeVersion="2" ma:contentTypeDescription="Create a new document." ma:contentTypeScope="" ma:versionID="6e3d8024e09b9a1e7b8bdbe64e5fc4c5">
  <xsd:schema xmlns:xsd="http://www.w3.org/2001/XMLSchema" xmlns:xs="http://www.w3.org/2001/XMLSchema" xmlns:p="http://schemas.microsoft.com/office/2006/metadata/properties" xmlns:ns2="328b3020-90c0-41e9-bed9-e8e94ad64a63" xmlns:ns3="db2b92ca-6ed0-4085-802d-4c686a2e8c3f" xmlns:ns4="53068b4f-ef4a-4535-9fa9-f1d251ba7e18" targetNamespace="http://schemas.microsoft.com/office/2006/metadata/properties" ma:root="true" ma:fieldsID="c9d13f11f6acf66643c606a7e5975f0d" ns2:_="" ns3:_="" ns4:_="">
    <xsd:import namespace="328b3020-90c0-41e9-bed9-e8e94ad64a63"/>
    <xsd:import namespace="db2b92ca-6ed0-4085-802d-4c686a2e8c3f"/>
    <xsd:import namespace="53068b4f-ef4a-4535-9fa9-f1d251ba7e18"/>
    <xsd:element name="properties">
      <xsd:complexType>
        <xsd:sequence>
          <xsd:element name="documentManagement">
            <xsd:complexType>
              <xsd:all>
                <xsd:element ref="ns2:NAPReason" minOccurs="0"/>
                <xsd:element ref="ns2:p1abb5e704a84578aa4b8ef0390c3b25" minOccurs="0"/>
                <xsd:element ref="ns3:TaxCatchAll" minOccurs="0"/>
                <xsd:element ref="ns2:TaxCatchAllLabel" minOccurs="0"/>
                <xsd:element ref="ns2:Document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b3020-90c0-41e9-bed9-e8e94ad64a63"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TaxCatchAllLabel" ma:index="11" nillable="true" ma:displayName="Taxonomy Catch All Column1" ma:hidden="true" ma:list="{f7896b66-3389-4af5-a393-e3ac60cc0f3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f7896b66-3389-4af5-a393-e3ac60cc0f3b}" ma:internalName="TaxCatchAll" ma:showField="CatchAllData" ma:web="53068b4f-ef4a-4535-9fa9-f1d251ba7e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8b4f-ef4a-4535-9fa9-f1d251ba7e18"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f302855-5de3-48f9-83c2-fc1acc0f760b" ContentTypeId="0x010100B5F685A1365F544391EF8C813B164F3A" PreviousValue="false" LastSyncTimeStamp="2023-09-11T06:23:17.76Z"/>
</file>

<file path=customXml/item6.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6</Value>
    </TaxCatchAll>
    <p1abb5e704a84578aa4b8ef0390c3b25 xmlns="328b3020-90c0-41e9-bed9-e8e94ad64a63">OFFICIALcffd3088-7a74-4edb-8c9e-fbf79371a422</p1abb5e704a84578aa4b8ef0390c3b25>
    <DocumentNotes xmlns="328b3020-90c0-41e9-bed9-e8e94ad64a63" xsi:nil="true"/>
    <NAPReason xmlns="328b3020-90c0-41e9-bed9-e8e94ad64a63" xsi:nil="true"/>
    <_dlc_DocId xmlns="53068b4f-ef4a-4535-9fa9-f1d251ba7e18">010950-1208912575-817</_dlc_DocId>
    <_dlc_DocIdUrl xmlns="53068b4f-ef4a-4535-9fa9-f1d251ba7e18">
      <Url>https://asiclink.sharepoint.com/teams/012384/_layouts/15/DocIdRedir.aspx?ID=010950-1208912575-817</Url>
      <Description>010950-1208912575-817</Description>
    </_dlc_DocIdUrl>
    <_dlc_DocIdPersistId xmlns="53068b4f-ef4a-4535-9fa9-f1d251ba7e18">false</_dlc_DocIdPersistI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2.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3.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4.xml><?xml version="1.0" encoding="utf-8"?>
<ds:datastoreItem xmlns:ds="http://schemas.openxmlformats.org/officeDocument/2006/customXml" ds:itemID="{5DA9B5C9-70D8-45AF-8024-823CF1D1B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b3020-90c0-41e9-bed9-e8e94ad64a63"/>
    <ds:schemaRef ds:uri="db2b92ca-6ed0-4085-802d-4c686a2e8c3f"/>
    <ds:schemaRef ds:uri="53068b4f-ef4a-4535-9fa9-f1d251ba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557B8C-0B26-49C9-BEE1-BFBEEC02BF16}">
  <ds:schemaRefs>
    <ds:schemaRef ds:uri="Microsoft.SharePoint.Taxonomy.ContentTypeSync"/>
  </ds:schemaRefs>
</ds:datastoreItem>
</file>

<file path=customXml/itemProps6.xml><?xml version="1.0" encoding="utf-8"?>
<ds:datastoreItem xmlns:ds="http://schemas.openxmlformats.org/officeDocument/2006/customXml" ds:itemID="{A954CD4F-4ADE-45EC-8760-0728E2692B40}">
  <ds:schemaRefs>
    <ds:schemaRef ds:uri="http://purl.org/dc/terms/"/>
    <ds:schemaRef ds:uri="328b3020-90c0-41e9-bed9-e8e94ad64a63"/>
    <ds:schemaRef ds:uri="http://schemas.microsoft.com/office/2006/documentManagement/types"/>
    <ds:schemaRef ds:uri="db2b92ca-6ed0-4085-802d-4c686a2e8c3f"/>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3068b4f-ef4a-4535-9fa9-f1d251ba7e18"/>
    <ds:schemaRef ds:uri="http://www.w3.org/XML/1998/namespace"/>
    <ds:schemaRef ds:uri="http://purl.org/dc/dcmitype/"/>
  </ds:schemaRefs>
</ds:datastoreItem>
</file>

<file path=customXml/itemProps7.xml><?xml version="1.0" encoding="utf-8"?>
<ds:datastoreItem xmlns:ds="http://schemas.openxmlformats.org/officeDocument/2006/customXml" ds:itemID="{1B914A11-A6CE-469A-88F9-60907E873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289</TotalTime>
  <Pages>4</Pages>
  <Words>1210</Words>
  <Characters>6899</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8093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80</cp:revision>
  <cp:lastPrinted>2019-01-02T07:56:00Z</cp:lastPrinted>
  <dcterms:created xsi:type="dcterms:W3CDTF">2025-06-24T05:30:00Z</dcterms:created>
  <dcterms:modified xsi:type="dcterms:W3CDTF">2025-09-22T00:11:00Z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6;#Sensitive|19fd2cb8-3e97-4464-ae71-8c2c2095d028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Url">
    <vt:lpwstr>https://asiclink.sharepoint.com/teams/000853/_layouts/15/DocIdRedir.aspx?ID=000853-1726373233-1250, 000853-1726373233-1250</vt:lpwstr>
  </property>
  <property fmtid="{D5CDD505-2E9C-101B-9397-08002B2CF9AE}" pid="63" name="ContentTypeId">
    <vt:lpwstr>0x010100B5F685A1365F544391EF8C813B164F3A00EC681FEE0BA94644AA388D730866C815</vt:lpwstr>
  </property>
  <property fmtid="{D5CDD505-2E9C-101B-9397-08002B2CF9AE}" pid="64" name="MSIP_Label_a6aead41-07f8-4767-ac8e-ef1c9c793766_Enabled">
    <vt:lpwstr>true</vt:lpwstr>
  </property>
  <property fmtid="{D5CDD505-2E9C-101B-9397-08002B2CF9AE}" pid="65" name="MSIP_Label_a6aead41-07f8-4767-ac8e-ef1c9c793766_SetDate">
    <vt:lpwstr>2023-07-21T02:05:38Z</vt:lpwstr>
  </property>
  <property fmtid="{D5CDD505-2E9C-101B-9397-08002B2CF9AE}" pid="66" name="MSIP_Label_a6aead41-07f8-4767-ac8e-ef1c9c793766_Method">
    <vt:lpwstr>Standard</vt:lpwstr>
  </property>
  <property fmtid="{D5CDD505-2E9C-101B-9397-08002B2CF9AE}" pid="67" name="MSIP_Label_a6aead41-07f8-4767-ac8e-ef1c9c793766_Name">
    <vt:lpwstr>OFFICIAL</vt:lpwstr>
  </property>
  <property fmtid="{D5CDD505-2E9C-101B-9397-08002B2CF9AE}" pid="68" name="MSIP_Label_a6aead41-07f8-4767-ac8e-ef1c9c793766_SiteId">
    <vt:lpwstr>5f1de7c6-55cd-4bb2-902d-514c78cf10f4</vt:lpwstr>
  </property>
  <property fmtid="{D5CDD505-2E9C-101B-9397-08002B2CF9AE}" pid="69" name="MSIP_Label_a6aead41-07f8-4767-ac8e-ef1c9c793766_ActionId">
    <vt:lpwstr>59538b45-0da9-4ad6-a28d-b86ecde4c0ff</vt:lpwstr>
  </property>
  <property fmtid="{D5CDD505-2E9C-101B-9397-08002B2CF9AE}" pid="70" name="MSIP_Label_a6aead41-07f8-4767-ac8e-ef1c9c793766_ContentBits">
    <vt:lpwstr>0</vt:lpwstr>
  </property>
  <property fmtid="{D5CDD505-2E9C-101B-9397-08002B2CF9AE}" pid="71" name="_dlc_DocIdItemGuid">
    <vt:lpwstr>d2440aa9-5dd5-4bdc-9d0d-00a9cf9fd575</vt:lpwstr>
  </property>
  <property fmtid="{D5CDD505-2E9C-101B-9397-08002B2CF9AE}" pid="72" name="MediaServiceImageTags">
    <vt:lpwstr/>
  </property>
  <property fmtid="{D5CDD505-2E9C-101B-9397-08002B2CF9AE}" pid="73" name="p1abb5e704a84578aa4b8ef0390c3b250">
    <vt:lpwstr>Sensitive|19fd2cb8-3e97-4464-ae71-8c2c2095d028</vt:lpwstr>
  </property>
  <property fmtid="{D5CDD505-2E9C-101B-9397-08002B2CF9AE}" pid="74" name="lcf76f155ced4ddcb4097134ff3c332f">
    <vt:lpwstr/>
  </property>
  <property fmtid="{D5CDD505-2E9C-101B-9397-08002B2CF9AE}" pid="75" name="DocumentSetDescription">
    <vt:lpwstr/>
  </property>
  <property fmtid="{D5CDD505-2E9C-101B-9397-08002B2CF9AE}" pid="76" name="MailIn-Reply-To">
    <vt:lpwstr/>
  </property>
  <property fmtid="{D5CDD505-2E9C-101B-9397-08002B2CF9AE}" pid="77" name="ComplianceAssetId">
    <vt:lpwstr/>
  </property>
  <property fmtid="{D5CDD505-2E9C-101B-9397-08002B2CF9AE}" pid="78" name="MailOriginalSubject">
    <vt:lpwstr/>
  </property>
  <property fmtid="{D5CDD505-2E9C-101B-9397-08002B2CF9AE}" pid="79" name="MailFrom">
    <vt:lpwstr/>
  </property>
  <property fmtid="{D5CDD505-2E9C-101B-9397-08002B2CF9AE}" pid="80" name="_ExtendedDescription">
    <vt:lpwstr/>
  </property>
  <property fmtid="{D5CDD505-2E9C-101B-9397-08002B2CF9AE}" pid="81" name="MailCc">
    <vt:lpwstr/>
  </property>
  <property fmtid="{D5CDD505-2E9C-101B-9397-08002B2CF9AE}" pid="82" name="xd_Signature">
    <vt:bool>false</vt:bool>
  </property>
  <property fmtid="{D5CDD505-2E9C-101B-9397-08002B2CF9AE}" pid="83" name="MailReferences">
    <vt:lpwstr/>
  </property>
  <property fmtid="{D5CDD505-2E9C-101B-9397-08002B2CF9AE}" pid="84" name="MailReply-To">
    <vt:lpwstr/>
  </property>
  <property fmtid="{D5CDD505-2E9C-101B-9397-08002B2CF9AE}" pid="85" name="TriggerFlowInfo">
    <vt:lpwstr/>
  </property>
  <property fmtid="{D5CDD505-2E9C-101B-9397-08002B2CF9AE}" pid="86" name="MailSubject">
    <vt:lpwstr/>
  </property>
  <property fmtid="{D5CDD505-2E9C-101B-9397-08002B2CF9AE}" pid="87" name="MailAttachments">
    <vt:bool>false</vt:bool>
  </property>
  <property fmtid="{D5CDD505-2E9C-101B-9397-08002B2CF9AE}" pid="88" name="xd_ProgID">
    <vt:lpwstr/>
  </property>
  <property fmtid="{D5CDD505-2E9C-101B-9397-08002B2CF9AE}" pid="89" name="TemplateUrl">
    <vt:lpwstr/>
  </property>
  <property fmtid="{D5CDD505-2E9C-101B-9397-08002B2CF9AE}" pid="90" name="MailTo">
    <vt:lpwstr/>
  </property>
  <property fmtid="{D5CDD505-2E9C-101B-9397-08002B2CF9AE}" pid="91" name="docLang">
    <vt:lpwstr>en</vt:lpwstr>
  </property>
</Properties>
</file>