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F31748" w:rsidRDefault="003904F4" w:rsidP="009460DC">
      <w:pPr>
        <w:spacing w:after="600"/>
        <w:rPr>
          <w:sz w:val="28"/>
        </w:rPr>
      </w:pPr>
      <w:r w:rsidRPr="00F31748">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245A67B4" w:rsidR="00243EC0" w:rsidRPr="00F31748" w:rsidRDefault="00447DB4" w:rsidP="003B28C3">
      <w:pPr>
        <w:pStyle w:val="LI-Title"/>
        <w:pBdr>
          <w:bottom w:val="single" w:sz="4" w:space="1" w:color="auto"/>
        </w:pBdr>
      </w:pPr>
      <w:r w:rsidRPr="00F31748">
        <w:t>A</w:t>
      </w:r>
      <w:r w:rsidR="00327DDF" w:rsidRPr="00F31748">
        <w:t xml:space="preserve">SIC Corporations </w:t>
      </w:r>
      <w:r w:rsidR="00653CB2" w:rsidRPr="00F31748">
        <w:t>(</w:t>
      </w:r>
      <w:r w:rsidR="003A32AC" w:rsidRPr="00F31748">
        <w:t>Stapled Group</w:t>
      </w:r>
      <w:r w:rsidR="004B60C8" w:rsidRPr="00F31748">
        <w:t xml:space="preserve"> Reports</w:t>
      </w:r>
      <w:r w:rsidR="00653CB2" w:rsidRPr="00F31748">
        <w:t xml:space="preserve">) Instrument </w:t>
      </w:r>
      <w:r w:rsidR="006231C4" w:rsidRPr="00F31748">
        <w:t>2025</w:t>
      </w:r>
      <w:r w:rsidR="00653CB2" w:rsidRPr="00F31748">
        <w:t>/</w:t>
      </w:r>
      <w:r w:rsidR="006231C4" w:rsidRPr="00F31748">
        <w:t>43</w:t>
      </w:r>
      <w:r w:rsidR="003A32AC" w:rsidRPr="00F31748">
        <w:t>9</w:t>
      </w:r>
    </w:p>
    <w:p w14:paraId="59A19406" w14:textId="17CC3790" w:rsidR="00F171A1" w:rsidRPr="00F31748" w:rsidRDefault="00F171A1" w:rsidP="00005446">
      <w:pPr>
        <w:pStyle w:val="LI-Fronttext"/>
        <w:rPr>
          <w:sz w:val="24"/>
          <w:szCs w:val="24"/>
        </w:rPr>
      </w:pPr>
      <w:r w:rsidRPr="00F31748">
        <w:rPr>
          <w:sz w:val="24"/>
          <w:szCs w:val="24"/>
        </w:rPr>
        <w:t xml:space="preserve">I, </w:t>
      </w:r>
      <w:r w:rsidR="00954B1D" w:rsidRPr="00F31748">
        <w:rPr>
          <w:sz w:val="24"/>
          <w:szCs w:val="24"/>
        </w:rPr>
        <w:t>Claire LaBouchardiere</w:t>
      </w:r>
      <w:r w:rsidR="00C0544A" w:rsidRPr="00F31748">
        <w:rPr>
          <w:sz w:val="24"/>
          <w:szCs w:val="24"/>
        </w:rPr>
        <w:t>, delegate of the Australian Securities and Investments Commission</w:t>
      </w:r>
      <w:r w:rsidRPr="00F31748">
        <w:rPr>
          <w:sz w:val="24"/>
          <w:szCs w:val="24"/>
        </w:rPr>
        <w:t xml:space="preserve">, make the following </w:t>
      </w:r>
      <w:r w:rsidR="008C0F29" w:rsidRPr="00F31748">
        <w:rPr>
          <w:sz w:val="24"/>
          <w:szCs w:val="24"/>
        </w:rPr>
        <w:t>legislative instrument</w:t>
      </w:r>
      <w:r w:rsidRPr="00F31748">
        <w:rPr>
          <w:sz w:val="24"/>
          <w:szCs w:val="24"/>
        </w:rPr>
        <w:t>.</w:t>
      </w:r>
    </w:p>
    <w:p w14:paraId="26B891BC" w14:textId="77777777" w:rsidR="003A2A48" w:rsidRPr="00F31748" w:rsidRDefault="003A2A48" w:rsidP="00005446">
      <w:pPr>
        <w:pStyle w:val="LI-Fronttext"/>
      </w:pPr>
    </w:p>
    <w:p w14:paraId="11BB8DD3" w14:textId="6DE8F8ED" w:rsidR="006554FF" w:rsidRPr="00F31748" w:rsidRDefault="00F171A1" w:rsidP="00005446">
      <w:pPr>
        <w:pStyle w:val="LI-Fronttext"/>
        <w:rPr>
          <w:sz w:val="24"/>
          <w:szCs w:val="24"/>
        </w:rPr>
      </w:pPr>
      <w:r w:rsidRPr="00F31748">
        <w:rPr>
          <w:sz w:val="24"/>
          <w:szCs w:val="24"/>
        </w:rPr>
        <w:t>Date</w:t>
      </w:r>
      <w:r w:rsidRPr="00F31748">
        <w:rPr>
          <w:sz w:val="24"/>
          <w:szCs w:val="24"/>
        </w:rPr>
        <w:tab/>
      </w:r>
      <w:bookmarkStart w:id="0" w:name="BKCheck15B_1"/>
      <w:bookmarkEnd w:id="0"/>
      <w:r w:rsidR="00FD3626" w:rsidRPr="00F31748">
        <w:rPr>
          <w:sz w:val="24"/>
          <w:szCs w:val="24"/>
        </w:rPr>
        <w:t xml:space="preserve">19 September </w:t>
      </w:r>
      <w:r w:rsidR="00CE6D42" w:rsidRPr="00F31748">
        <w:rPr>
          <w:sz w:val="24"/>
          <w:szCs w:val="24"/>
        </w:rPr>
        <w:t>20</w:t>
      </w:r>
      <w:r w:rsidR="00E67AEE" w:rsidRPr="00F31748">
        <w:rPr>
          <w:sz w:val="24"/>
          <w:szCs w:val="24"/>
        </w:rPr>
        <w:t>2</w:t>
      </w:r>
      <w:r w:rsidR="002C23B8" w:rsidRPr="00F31748">
        <w:rPr>
          <w:sz w:val="24"/>
          <w:szCs w:val="24"/>
        </w:rPr>
        <w:t>5</w:t>
      </w:r>
    </w:p>
    <w:p w14:paraId="376AEE02" w14:textId="77777777" w:rsidR="00FD3626" w:rsidRPr="00F31748" w:rsidRDefault="00FD3626" w:rsidP="00FD3626">
      <w:pPr>
        <w:rPr>
          <w:lang w:eastAsia="en-AU"/>
        </w:rPr>
      </w:pPr>
    </w:p>
    <w:p w14:paraId="3251128A" w14:textId="77777777" w:rsidR="00FD3626" w:rsidRPr="00F31748" w:rsidRDefault="00FD3626" w:rsidP="00465DC1">
      <w:pPr>
        <w:pStyle w:val="LI-Fronttext"/>
        <w:pBdr>
          <w:bottom w:val="single" w:sz="4" w:space="1" w:color="auto"/>
        </w:pBdr>
        <w:rPr>
          <w:sz w:val="24"/>
          <w:szCs w:val="24"/>
        </w:rPr>
      </w:pPr>
    </w:p>
    <w:p w14:paraId="32300E4F" w14:textId="5E9C6EBC" w:rsidR="00F171A1" w:rsidRPr="00F31748" w:rsidRDefault="00FD3626" w:rsidP="00465DC1">
      <w:pPr>
        <w:pStyle w:val="LI-Fronttext"/>
        <w:pBdr>
          <w:bottom w:val="single" w:sz="4" w:space="1" w:color="auto"/>
        </w:pBdr>
        <w:rPr>
          <w:sz w:val="24"/>
          <w:szCs w:val="24"/>
        </w:rPr>
      </w:pPr>
      <w:r w:rsidRPr="00F31748">
        <w:rPr>
          <w:sz w:val="24"/>
          <w:szCs w:val="24"/>
        </w:rPr>
        <w:t>Claire LaBouchardiere</w:t>
      </w:r>
    </w:p>
    <w:p w14:paraId="78A1AD82" w14:textId="77777777" w:rsidR="00715914" w:rsidRPr="00F31748" w:rsidRDefault="00715914" w:rsidP="00715914">
      <w:pPr>
        <w:pStyle w:val="Header"/>
        <w:tabs>
          <w:tab w:val="clear" w:pos="4150"/>
          <w:tab w:val="clear" w:pos="8307"/>
        </w:tabs>
      </w:pPr>
    </w:p>
    <w:p w14:paraId="6D8A58FF" w14:textId="77777777" w:rsidR="00715914" w:rsidRPr="00F31748" w:rsidRDefault="00715914" w:rsidP="00715914">
      <w:pPr>
        <w:sectPr w:rsidR="00715914" w:rsidRPr="00F31748"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F31748" w:rsidRDefault="00715914" w:rsidP="00E2168B">
      <w:pPr>
        <w:spacing w:before="280" w:after="240"/>
        <w:rPr>
          <w:sz w:val="36"/>
        </w:rPr>
      </w:pPr>
      <w:r w:rsidRPr="00F31748">
        <w:rPr>
          <w:b/>
          <w:sz w:val="32"/>
          <w:szCs w:val="32"/>
        </w:rPr>
        <w:lastRenderedPageBreak/>
        <w:t>Contents</w:t>
      </w:r>
    </w:p>
    <w:p w14:paraId="168B888A" w14:textId="11CCB660" w:rsidR="0081372B" w:rsidRPr="00F31748" w:rsidRDefault="0081372B">
      <w:pPr>
        <w:pStyle w:val="TOC1"/>
        <w:rPr>
          <w:rFonts w:asciiTheme="minorHAnsi" w:eastAsiaTheme="minorEastAsia" w:hAnsiTheme="minorHAnsi" w:cstheme="minorBidi"/>
          <w:b w:val="0"/>
          <w:noProof/>
          <w:color w:val="000000" w:themeColor="text1"/>
          <w:kern w:val="2"/>
          <w:szCs w:val="24"/>
          <w14:ligatures w14:val="standardContextual"/>
        </w:rPr>
      </w:pPr>
      <w:bookmarkStart w:id="1" w:name="BKCheck15B_2"/>
      <w:bookmarkEnd w:id="1"/>
      <w:r w:rsidRPr="00F31748">
        <w:rPr>
          <w:rStyle w:val="Hyperlink"/>
          <w:noProof/>
          <w:color w:val="000000" w:themeColor="text1"/>
          <w:u w:val="none"/>
        </w:rPr>
        <w:t>Part 1—Preliminary</w:t>
      </w:r>
      <w:r w:rsidRPr="00F31748">
        <w:rPr>
          <w:noProof/>
          <w:webHidden/>
          <w:color w:val="000000" w:themeColor="text1"/>
        </w:rPr>
        <w:tab/>
        <w:t>3</w:t>
      </w:r>
    </w:p>
    <w:p w14:paraId="0201E2F0" w14:textId="606EEAB6" w:rsidR="0081372B" w:rsidRPr="00F31748"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1</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Name of legislative instrument</w:t>
      </w:r>
      <w:r w:rsidRPr="00F31748">
        <w:rPr>
          <w:noProof/>
          <w:webHidden/>
          <w:color w:val="000000" w:themeColor="text1"/>
        </w:rPr>
        <w:tab/>
        <w:t>3</w:t>
      </w:r>
    </w:p>
    <w:p w14:paraId="1D6BCBA2" w14:textId="01BDE441" w:rsidR="0081372B" w:rsidRPr="00F31748"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2</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Commencement</w:t>
      </w:r>
      <w:r w:rsidRPr="00F31748">
        <w:rPr>
          <w:noProof/>
          <w:webHidden/>
          <w:color w:val="000000" w:themeColor="text1"/>
        </w:rPr>
        <w:tab/>
        <w:t>3</w:t>
      </w:r>
    </w:p>
    <w:p w14:paraId="4B6FD368" w14:textId="46D2FD17" w:rsidR="0081372B" w:rsidRPr="00F31748"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3</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Authority</w:t>
      </w:r>
      <w:r w:rsidRPr="00F31748">
        <w:rPr>
          <w:noProof/>
          <w:webHidden/>
          <w:color w:val="000000" w:themeColor="text1"/>
        </w:rPr>
        <w:tab/>
        <w:t>3</w:t>
      </w:r>
    </w:p>
    <w:p w14:paraId="1C0E0730" w14:textId="4F9B2F65" w:rsidR="0081372B" w:rsidRPr="00F31748"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4</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Simplified outline of this instrument</w:t>
      </w:r>
      <w:r w:rsidRPr="00F31748">
        <w:rPr>
          <w:noProof/>
          <w:webHidden/>
          <w:color w:val="000000" w:themeColor="text1"/>
        </w:rPr>
        <w:tab/>
        <w:t>3</w:t>
      </w:r>
    </w:p>
    <w:p w14:paraId="61367E13" w14:textId="5BFE21BB" w:rsidR="0081372B" w:rsidRPr="00F31748"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5</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Definitions</w:t>
      </w:r>
      <w:r w:rsidRPr="00F31748">
        <w:rPr>
          <w:noProof/>
          <w:webHidden/>
          <w:color w:val="000000" w:themeColor="text1"/>
        </w:rPr>
        <w:tab/>
        <w:t>3</w:t>
      </w:r>
    </w:p>
    <w:p w14:paraId="028F7D3E" w14:textId="0D664AFE" w:rsidR="0081372B" w:rsidRPr="00F31748" w:rsidRDefault="0081372B">
      <w:pPr>
        <w:pStyle w:val="TOC1"/>
        <w:rPr>
          <w:rFonts w:asciiTheme="minorHAnsi" w:eastAsiaTheme="minorEastAsia" w:hAnsiTheme="minorHAnsi" w:cstheme="minorBidi"/>
          <w:b w:val="0"/>
          <w:noProof/>
          <w:color w:val="000000" w:themeColor="text1"/>
          <w:kern w:val="2"/>
          <w:szCs w:val="24"/>
          <w14:ligatures w14:val="standardContextual"/>
        </w:rPr>
      </w:pPr>
      <w:r w:rsidRPr="00F31748">
        <w:rPr>
          <w:rStyle w:val="Hyperlink"/>
          <w:noProof/>
          <w:color w:val="000000" w:themeColor="text1"/>
          <w:u w:val="none"/>
        </w:rPr>
        <w:t>Part 2—Order</w:t>
      </w:r>
      <w:r w:rsidRPr="00F31748">
        <w:rPr>
          <w:noProof/>
          <w:webHidden/>
          <w:color w:val="000000" w:themeColor="text1"/>
        </w:rPr>
        <w:tab/>
        <w:t>5</w:t>
      </w:r>
    </w:p>
    <w:p w14:paraId="55C45AEF" w14:textId="2B0FBC61" w:rsidR="0081372B" w:rsidRPr="00F31748"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6</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Relief for the presentation of financial reports of stapled groups</w:t>
      </w:r>
      <w:r w:rsidRPr="00F31748">
        <w:rPr>
          <w:noProof/>
          <w:webHidden/>
          <w:color w:val="000000" w:themeColor="text1"/>
        </w:rPr>
        <w:tab/>
        <w:t>5</w:t>
      </w:r>
    </w:p>
    <w:p w14:paraId="68E1717E" w14:textId="428DD73B" w:rsidR="0081372B" w:rsidRPr="00F31748" w:rsidRDefault="0081372B">
      <w:pPr>
        <w:pStyle w:val="TOC1"/>
        <w:rPr>
          <w:rFonts w:asciiTheme="minorHAnsi" w:eastAsiaTheme="minorEastAsia" w:hAnsiTheme="minorHAnsi" w:cstheme="minorBidi"/>
          <w:b w:val="0"/>
          <w:noProof/>
          <w:color w:val="000000" w:themeColor="text1"/>
          <w:kern w:val="2"/>
          <w:szCs w:val="24"/>
          <w14:ligatures w14:val="standardContextual"/>
        </w:rPr>
      </w:pPr>
      <w:r w:rsidRPr="00F31748">
        <w:rPr>
          <w:rStyle w:val="Hyperlink"/>
          <w:noProof/>
          <w:color w:val="000000" w:themeColor="text1"/>
          <w:u w:val="none"/>
        </w:rPr>
        <w:t>Part 3—Repeal</w:t>
      </w:r>
      <w:r w:rsidRPr="00F31748">
        <w:rPr>
          <w:noProof/>
          <w:webHidden/>
          <w:color w:val="000000" w:themeColor="text1"/>
        </w:rPr>
        <w:tab/>
        <w:t>7</w:t>
      </w:r>
    </w:p>
    <w:p w14:paraId="2BCBEA7B" w14:textId="08E47303" w:rsidR="0081372B" w:rsidRPr="0081372B" w:rsidRDefault="0081372B">
      <w:pPr>
        <w:pStyle w:val="TOC2"/>
        <w:tabs>
          <w:tab w:val="left" w:pos="1474"/>
        </w:tabs>
        <w:rPr>
          <w:rFonts w:asciiTheme="minorHAnsi" w:eastAsiaTheme="minorEastAsia" w:hAnsiTheme="minorHAnsi" w:cstheme="minorBidi"/>
          <w:noProof/>
          <w:color w:val="000000" w:themeColor="text1"/>
          <w:kern w:val="2"/>
          <w:szCs w:val="24"/>
          <w14:ligatures w14:val="standardContextual"/>
        </w:rPr>
      </w:pPr>
      <w:r w:rsidRPr="00F31748">
        <w:rPr>
          <w:rStyle w:val="Hyperlink"/>
          <w:noProof/>
          <w:color w:val="000000" w:themeColor="text1"/>
          <w:u w:val="none"/>
        </w:rPr>
        <w:t>7</w:t>
      </w:r>
      <w:r w:rsidRPr="00F31748">
        <w:rPr>
          <w:rFonts w:asciiTheme="minorHAnsi" w:eastAsiaTheme="minorEastAsia" w:hAnsiTheme="minorHAnsi" w:cstheme="minorBidi"/>
          <w:noProof/>
          <w:color w:val="000000" w:themeColor="text1"/>
          <w:kern w:val="2"/>
          <w:szCs w:val="24"/>
          <w14:ligatures w14:val="standardContextual"/>
        </w:rPr>
        <w:tab/>
      </w:r>
      <w:r w:rsidRPr="00F31748">
        <w:rPr>
          <w:rStyle w:val="Hyperlink"/>
          <w:noProof/>
          <w:color w:val="000000" w:themeColor="text1"/>
          <w:u w:val="none"/>
        </w:rPr>
        <w:t>Repeal</w:t>
      </w:r>
      <w:r w:rsidRPr="00F31748">
        <w:rPr>
          <w:noProof/>
          <w:webHidden/>
          <w:color w:val="000000" w:themeColor="text1"/>
        </w:rPr>
        <w:tab/>
        <w:t>7</w:t>
      </w:r>
    </w:p>
    <w:p w14:paraId="34C1D0AC" w14:textId="460D92FC"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209170905"/>
      <w:bookmarkEnd w:id="2"/>
      <w:r w:rsidRPr="006554FF">
        <w:lastRenderedPageBreak/>
        <w:t>Part</w:t>
      </w:r>
      <w:r w:rsidR="00F61B09" w:rsidRPr="006554FF">
        <w:t> </w:t>
      </w:r>
      <w:r w:rsidRPr="006E5320">
        <w:t>1</w:t>
      </w:r>
      <w:r w:rsidRPr="00F61B09">
        <w:t>—</w:t>
      </w:r>
      <w:r w:rsidRPr="00005446">
        <w:t>Preliminary</w:t>
      </w:r>
      <w:bookmarkEnd w:id="3"/>
    </w:p>
    <w:p w14:paraId="15EC5A0A" w14:textId="6563D0C2" w:rsidR="00FA31DE" w:rsidRDefault="006B7301" w:rsidP="00C54738">
      <w:pPr>
        <w:pStyle w:val="LI-Heading2"/>
        <w:spacing w:before="240"/>
        <w:rPr>
          <w:szCs w:val="24"/>
        </w:rPr>
      </w:pPr>
      <w:bookmarkStart w:id="4" w:name="_Toc209170906"/>
      <w:r>
        <w:rPr>
          <w:szCs w:val="24"/>
        </w:rPr>
        <w:t>1</w:t>
      </w:r>
      <w:r>
        <w:rPr>
          <w:szCs w:val="24"/>
        </w:rPr>
        <w:tab/>
      </w:r>
      <w:r w:rsidR="00FA31DE" w:rsidRPr="008C0F29">
        <w:rPr>
          <w:szCs w:val="24"/>
        </w:rPr>
        <w:t xml:space="preserve">Name of </w:t>
      </w:r>
      <w:r w:rsidR="008C0F29" w:rsidRPr="008C0F29">
        <w:rPr>
          <w:szCs w:val="24"/>
        </w:rPr>
        <w:t>legislative instrument</w:t>
      </w:r>
      <w:bookmarkEnd w:id="4"/>
      <w:r w:rsidR="008F7B27">
        <w:rPr>
          <w:szCs w:val="24"/>
        </w:rPr>
        <w:t xml:space="preserve"> </w:t>
      </w:r>
    </w:p>
    <w:p w14:paraId="2746DE4B" w14:textId="4E7EDE57"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C11452" w:rsidRPr="005D3D41">
        <w:rPr>
          <w:i/>
          <w:szCs w:val="24"/>
        </w:rPr>
        <w:t>(</w:t>
      </w:r>
      <w:r w:rsidR="00BF23F8">
        <w:rPr>
          <w:i/>
          <w:szCs w:val="24"/>
        </w:rPr>
        <w:t>Stapled Group Reports</w:t>
      </w:r>
      <w:r w:rsidR="00C11452" w:rsidRPr="005D3D41">
        <w:rPr>
          <w:i/>
          <w:szCs w:val="24"/>
        </w:rPr>
        <w:t xml:space="preserve">) Instrument </w:t>
      </w:r>
      <w:r w:rsidR="006231C4">
        <w:rPr>
          <w:i/>
          <w:szCs w:val="24"/>
        </w:rPr>
        <w:t>2025</w:t>
      </w:r>
      <w:r w:rsidR="00FD13CC">
        <w:rPr>
          <w:i/>
          <w:szCs w:val="24"/>
        </w:rPr>
        <w:t>/</w:t>
      </w:r>
      <w:r w:rsidR="006231C4">
        <w:rPr>
          <w:i/>
          <w:szCs w:val="24"/>
        </w:rPr>
        <w:t>43</w:t>
      </w:r>
      <w:r w:rsidR="00BF23F8">
        <w:rPr>
          <w:i/>
          <w:szCs w:val="24"/>
        </w:rPr>
        <w:t>9</w:t>
      </w:r>
      <w:r w:rsidRPr="005D3D41">
        <w:rPr>
          <w:szCs w:val="24"/>
        </w:rPr>
        <w:t>.</w:t>
      </w:r>
    </w:p>
    <w:p w14:paraId="64CAA09C" w14:textId="0BB6DC6C" w:rsidR="00FA31DE" w:rsidRPr="008C0F29" w:rsidRDefault="006B7301" w:rsidP="00C11452">
      <w:pPr>
        <w:pStyle w:val="LI-Heading2"/>
        <w:rPr>
          <w:szCs w:val="24"/>
        </w:rPr>
      </w:pPr>
      <w:bookmarkStart w:id="5" w:name="_Toc209170907"/>
      <w:r>
        <w:rPr>
          <w:szCs w:val="24"/>
        </w:rPr>
        <w:t>2</w:t>
      </w:r>
      <w:r w:rsidR="00FC3EB8">
        <w:rPr>
          <w:szCs w:val="24"/>
        </w:rPr>
        <w:tab/>
      </w:r>
      <w:r w:rsidR="00FA31DE" w:rsidRPr="008C0F29">
        <w:rPr>
          <w:szCs w:val="24"/>
        </w:rPr>
        <w:t>Commencement</w:t>
      </w:r>
      <w:bookmarkEnd w:id="5"/>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3B61E04B"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r w:rsidR="00F047D8" w:rsidRPr="00567761">
        <w:t>www.legislation.gov.au</w:t>
      </w:r>
      <w:r w:rsidR="004823C0">
        <w:t>.</w:t>
      </w:r>
    </w:p>
    <w:p w14:paraId="2DB70FFB" w14:textId="36FCCAFA" w:rsidR="00FA31DE" w:rsidRPr="008C0F29" w:rsidRDefault="006B7301" w:rsidP="00EC4757">
      <w:pPr>
        <w:pStyle w:val="LI-Heading2"/>
        <w:spacing w:before="240"/>
        <w:rPr>
          <w:szCs w:val="24"/>
        </w:rPr>
      </w:pPr>
      <w:bookmarkStart w:id="6" w:name="_Toc209170908"/>
      <w:r>
        <w:rPr>
          <w:szCs w:val="24"/>
        </w:rPr>
        <w:t>3</w:t>
      </w:r>
      <w:r w:rsidR="00FC3EB8">
        <w:rPr>
          <w:szCs w:val="24"/>
        </w:rPr>
        <w:tab/>
      </w:r>
      <w:r w:rsidR="00FA31DE" w:rsidRPr="008C0F29">
        <w:rPr>
          <w:szCs w:val="24"/>
        </w:rPr>
        <w:t>Authority</w:t>
      </w:r>
      <w:bookmarkEnd w:id="6"/>
    </w:p>
    <w:p w14:paraId="62ECD770" w14:textId="32EAFA7E" w:rsidR="00FA31DE"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6231C4">
        <w:rPr>
          <w:szCs w:val="24"/>
        </w:rPr>
        <w:t>subsection 341(1)</w:t>
      </w:r>
      <w:r w:rsidR="008C0F29" w:rsidRPr="005D3D41">
        <w:rPr>
          <w:szCs w:val="24"/>
        </w:rPr>
        <w:t xml:space="preserve"> </w:t>
      </w:r>
      <w:r w:rsidR="006231C4">
        <w:rPr>
          <w:szCs w:val="24"/>
        </w:rPr>
        <w:t xml:space="preserve">of the </w:t>
      </w:r>
      <w:r w:rsidR="006231C4" w:rsidRPr="006231C4">
        <w:rPr>
          <w:i/>
          <w:iCs/>
          <w:szCs w:val="24"/>
        </w:rPr>
        <w:t>Corporations Act 2001</w:t>
      </w:r>
      <w:r w:rsidRPr="008C0F29">
        <w:rPr>
          <w:szCs w:val="24"/>
        </w:rPr>
        <w:t>.</w:t>
      </w:r>
    </w:p>
    <w:p w14:paraId="77958D98" w14:textId="573CC9CF" w:rsidR="006B7301" w:rsidRPr="00A67B66" w:rsidRDefault="006B7301" w:rsidP="006B7301">
      <w:pPr>
        <w:pStyle w:val="LI-Heading2"/>
        <w:spacing w:before="240"/>
      </w:pPr>
      <w:bookmarkStart w:id="7" w:name="_Toc209170909"/>
      <w:r>
        <w:rPr>
          <w:szCs w:val="24"/>
        </w:rPr>
        <w:t>4</w:t>
      </w:r>
      <w:r w:rsidR="00FC3EB8">
        <w:rPr>
          <w:szCs w:val="24"/>
        </w:rPr>
        <w:tab/>
      </w:r>
      <w:r>
        <w:rPr>
          <w:szCs w:val="24"/>
        </w:rPr>
        <w:t xml:space="preserve">Simplified </w:t>
      </w:r>
      <w:proofErr w:type="gramStart"/>
      <w:r>
        <w:rPr>
          <w:szCs w:val="24"/>
        </w:rPr>
        <w:t>outline</w:t>
      </w:r>
      <w:proofErr w:type="gramEnd"/>
      <w:r>
        <w:rPr>
          <w:szCs w:val="24"/>
        </w:rPr>
        <w:t xml:space="preserve"> of this instrument</w:t>
      </w:r>
      <w:bookmarkEnd w:id="7"/>
      <w:r>
        <w:br/>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tblGrid>
      <w:tr w:rsidR="006B7301" w:rsidRPr="0008489C" w14:paraId="5A0F4D6C" w14:textId="77777777" w:rsidTr="00EC3590">
        <w:trPr>
          <w:trHeight w:val="300"/>
        </w:trPr>
        <w:tc>
          <w:tcPr>
            <w:tcW w:w="7371" w:type="dxa"/>
            <w:tcBorders>
              <w:top w:val="single" w:sz="4" w:space="0" w:color="auto"/>
              <w:left w:val="single" w:sz="4" w:space="0" w:color="auto"/>
              <w:bottom w:val="single" w:sz="4" w:space="0" w:color="auto"/>
              <w:right w:val="single" w:sz="4" w:space="0" w:color="auto"/>
            </w:tcBorders>
          </w:tcPr>
          <w:p w14:paraId="3F65E958" w14:textId="77777777" w:rsidR="006B7301" w:rsidRDefault="006B7301" w:rsidP="00EC3590">
            <w:pPr>
              <w:pStyle w:val="LI-BodyTextNumbered"/>
              <w:spacing w:before="120" w:after="120"/>
              <w:ind w:left="0" w:firstLine="0"/>
            </w:pPr>
            <w:r>
              <w:t>This instrument contains</w:t>
            </w:r>
            <w:r w:rsidRPr="00CB54AA">
              <w:t xml:space="preserve"> </w:t>
            </w:r>
            <w:r>
              <w:t xml:space="preserve">an </w:t>
            </w:r>
            <w:r w:rsidRPr="00CB54AA">
              <w:t xml:space="preserve">exemption from the financial reporting requirements </w:t>
            </w:r>
            <w:r>
              <w:t>in</w:t>
            </w:r>
            <w:r w:rsidRPr="00CB54AA">
              <w:t xml:space="preserve"> Part 2M.3 of the Act for stapled </w:t>
            </w:r>
            <w:r>
              <w:t>issuers</w:t>
            </w:r>
            <w:r w:rsidRPr="00CB54AA">
              <w:t>.</w:t>
            </w:r>
            <w:r>
              <w:t xml:space="preserve"> </w:t>
            </w:r>
          </w:p>
          <w:p w14:paraId="43B5A8D0" w14:textId="77777777" w:rsidR="006B7301" w:rsidRDefault="006B7301" w:rsidP="00EC3590">
            <w:pPr>
              <w:pStyle w:val="LI-BodyTextNumbered"/>
              <w:spacing w:before="120" w:after="120"/>
              <w:ind w:left="0" w:firstLine="0"/>
            </w:pPr>
            <w:r w:rsidRPr="00CB54AA">
              <w:t>Subject to meeting various</w:t>
            </w:r>
            <w:r>
              <w:t xml:space="preserve"> requirements</w:t>
            </w:r>
            <w:r w:rsidRPr="00CB54AA">
              <w:t>, the exemption</w:t>
            </w:r>
            <w:r>
              <w:t xml:space="preserve"> allows a stapled issuer and its directors to include: </w:t>
            </w:r>
          </w:p>
          <w:p w14:paraId="2B1A1738" w14:textId="77777777" w:rsidR="006B7301" w:rsidRDefault="006B7301" w:rsidP="00EC3590">
            <w:pPr>
              <w:pStyle w:val="LI-BodyTextNumbered"/>
              <w:spacing w:before="120" w:after="120"/>
              <w:ind w:left="601"/>
            </w:pPr>
            <w:r>
              <w:t>(a)</w:t>
            </w:r>
            <w:r>
              <w:tab/>
              <w:t xml:space="preserve">in the financial report or concise report of the stapled issuer—the single entity or consolidated </w:t>
            </w:r>
            <w:r w:rsidRPr="00173DE1">
              <w:t xml:space="preserve">financial statements </w:t>
            </w:r>
            <w:r>
              <w:t xml:space="preserve">of other stapled issuers in the same stapled group; and  </w:t>
            </w:r>
          </w:p>
          <w:p w14:paraId="22F98926" w14:textId="77777777" w:rsidR="006B7301" w:rsidRPr="001D0195" w:rsidRDefault="006B7301" w:rsidP="00EC3590">
            <w:pPr>
              <w:pStyle w:val="LI-BodyTextNumbered"/>
              <w:spacing w:before="120" w:after="120"/>
              <w:ind w:left="601"/>
              <w:rPr>
                <w:sz w:val="20"/>
                <w:szCs w:val="20"/>
              </w:rPr>
            </w:pPr>
            <w:r>
              <w:t>(b)</w:t>
            </w:r>
            <w:r>
              <w:tab/>
              <w:t xml:space="preserve">in the directors’ report of the stapled issuer—the directors’ reports of the other stapled issuers. </w:t>
            </w:r>
          </w:p>
        </w:tc>
      </w:tr>
    </w:tbl>
    <w:p w14:paraId="3311D9ED" w14:textId="48493F92" w:rsidR="00FA31DE" w:rsidRPr="00BB5C17" w:rsidRDefault="006B7301" w:rsidP="00EC4757">
      <w:pPr>
        <w:pStyle w:val="LI-Heading2"/>
        <w:spacing w:before="240"/>
        <w:rPr>
          <w:szCs w:val="24"/>
        </w:rPr>
      </w:pPr>
      <w:bookmarkStart w:id="8" w:name="_Toc209170910"/>
      <w:r>
        <w:rPr>
          <w:szCs w:val="24"/>
        </w:rPr>
        <w:t>5</w:t>
      </w:r>
      <w:r>
        <w:rPr>
          <w:szCs w:val="24"/>
        </w:rPr>
        <w:tab/>
      </w:r>
      <w:r w:rsidR="00FA31DE" w:rsidRPr="00BB5C17">
        <w:rPr>
          <w:szCs w:val="24"/>
        </w:rPr>
        <w:t>Definitions</w:t>
      </w:r>
      <w:bookmarkEnd w:id="8"/>
    </w:p>
    <w:p w14:paraId="3D72C272" w14:textId="77777777" w:rsidR="005B74BE" w:rsidRDefault="005B74BE" w:rsidP="005B74BE">
      <w:pPr>
        <w:pStyle w:val="LI-BodyTextNumbered"/>
      </w:pPr>
      <w:r>
        <w:t>(1)</w:t>
      </w:r>
      <w:r>
        <w:tab/>
        <w:t>In this instrument:</w:t>
      </w:r>
    </w:p>
    <w:p w14:paraId="769A6FC5" w14:textId="77777777" w:rsidR="005B74BE" w:rsidRDefault="005B74BE" w:rsidP="005B74BE">
      <w:pPr>
        <w:pStyle w:val="LI-BodyTextUnnumbered"/>
      </w:pPr>
      <w:r>
        <w:rPr>
          <w:b/>
          <w:i/>
        </w:rPr>
        <w:t>Act</w:t>
      </w:r>
      <w:r>
        <w:t xml:space="preserve"> means the </w:t>
      </w:r>
      <w:r>
        <w:rPr>
          <w:i/>
        </w:rPr>
        <w:t>Corporations Act 2001</w:t>
      </w:r>
      <w:r>
        <w:t>.</w:t>
      </w:r>
    </w:p>
    <w:p w14:paraId="1DBEE00A" w14:textId="77777777" w:rsidR="005B74BE" w:rsidRDefault="005B74BE" w:rsidP="005B74BE">
      <w:pPr>
        <w:pStyle w:val="LI-BodyTextUnnumbered"/>
      </w:pPr>
      <w:r>
        <w:rPr>
          <w:b/>
          <w:i/>
        </w:rPr>
        <w:t>combined financial statements</w:t>
      </w:r>
      <w:r>
        <w:t xml:space="preserve"> means, in relation to a stapled group, financial statements that aggregate two or more entities that are members of the group, eliminating inter-entity transactions and balances, but without:</w:t>
      </w:r>
    </w:p>
    <w:p w14:paraId="3EA5A2B2" w14:textId="77777777" w:rsidR="005B74BE" w:rsidRDefault="005B74BE" w:rsidP="005B74BE">
      <w:pPr>
        <w:pStyle w:val="LI-BodyTextParaa"/>
      </w:pPr>
      <w:r>
        <w:t>(a)</w:t>
      </w:r>
      <w:r>
        <w:tab/>
        <w:t>identifying an acquirer or one or more acquirees; and</w:t>
      </w:r>
    </w:p>
    <w:p w14:paraId="735F4FF1" w14:textId="77777777" w:rsidR="005B74BE" w:rsidRDefault="005B74BE" w:rsidP="005B74BE">
      <w:pPr>
        <w:pStyle w:val="LI-BodyTextParaa"/>
      </w:pPr>
      <w:r>
        <w:t>(b)</w:t>
      </w:r>
      <w:r>
        <w:tab/>
        <w:t>eliminating equity or reserves of the acquirees that existed when the terms on which the securities of the entities were traded on a prescribed financial market first required the securities to be transferred together.</w:t>
      </w:r>
    </w:p>
    <w:p w14:paraId="2A8AC31E" w14:textId="77777777" w:rsidR="005B74BE" w:rsidRDefault="005B74BE" w:rsidP="005B74BE">
      <w:pPr>
        <w:pStyle w:val="LI-BodyTextUnnumbered"/>
      </w:pPr>
      <w:r>
        <w:rPr>
          <w:b/>
          <w:i/>
        </w:rPr>
        <w:lastRenderedPageBreak/>
        <w:t>control</w:t>
      </w:r>
      <w:r>
        <w:t xml:space="preserve"> has the same meaning as in Accounting Standard </w:t>
      </w:r>
      <w:r>
        <w:rPr>
          <w:i/>
        </w:rPr>
        <w:t>AASB 10 Consolidated Financial Statements</w:t>
      </w:r>
      <w:r>
        <w:t>.</w:t>
      </w:r>
    </w:p>
    <w:p w14:paraId="286C2566" w14:textId="5D196FE6" w:rsidR="005B74BE" w:rsidRDefault="005B74BE" w:rsidP="005B74BE">
      <w:pPr>
        <w:pStyle w:val="LI-BodyTextUnnumbered"/>
      </w:pPr>
      <w:r>
        <w:rPr>
          <w:b/>
          <w:i/>
        </w:rPr>
        <w:t xml:space="preserve">relevant entity </w:t>
      </w:r>
      <w:r>
        <w:t>means a company, registered scheme or disclosing entity.</w:t>
      </w:r>
    </w:p>
    <w:p w14:paraId="57E3892E" w14:textId="77777777" w:rsidR="005B74BE" w:rsidRDefault="005B74BE" w:rsidP="005B74BE">
      <w:pPr>
        <w:pStyle w:val="LI-BodyTextUnnumbered"/>
      </w:pPr>
      <w:r>
        <w:rPr>
          <w:b/>
          <w:i/>
        </w:rPr>
        <w:t>stapled group</w:t>
      </w:r>
      <w:r>
        <w:t xml:space="preserve"> means the group of entities consisting of:</w:t>
      </w:r>
    </w:p>
    <w:p w14:paraId="4F127C5B" w14:textId="77777777" w:rsidR="005B74BE" w:rsidRDefault="005B74BE" w:rsidP="005B74BE">
      <w:pPr>
        <w:pStyle w:val="LI-BodyTextParaa"/>
      </w:pPr>
      <w:r>
        <w:t xml:space="preserve">(a) </w:t>
      </w:r>
      <w:r>
        <w:tab/>
        <w:t>a stapled issuer and each other stapled issuer a security of which under the terms on which it is traded on a prescribed financial market must be transferred with a security of the first-mentioned stapled issuer; and</w:t>
      </w:r>
    </w:p>
    <w:p w14:paraId="13399650" w14:textId="77777777" w:rsidR="005B74BE" w:rsidRDefault="005B74BE" w:rsidP="005B74BE">
      <w:pPr>
        <w:pStyle w:val="LI-BodyTextParaa"/>
      </w:pPr>
      <w:r>
        <w:t>(b)</w:t>
      </w:r>
      <w:r>
        <w:tab/>
        <w:t>all other entities controlled by the stapled issuers referred to in paragraph (a).</w:t>
      </w:r>
    </w:p>
    <w:p w14:paraId="23483A14" w14:textId="33E6A18C" w:rsidR="005B74BE" w:rsidRDefault="005B74BE" w:rsidP="005B74BE">
      <w:pPr>
        <w:pStyle w:val="LI-BodyTextUnnumbered"/>
      </w:pPr>
      <w:r>
        <w:rPr>
          <w:b/>
          <w:i/>
        </w:rPr>
        <w:t>stapled issuer</w:t>
      </w:r>
      <w:r>
        <w:t xml:space="preserve"> means a</w:t>
      </w:r>
      <w:r w:rsidR="00E9715F">
        <w:t xml:space="preserve"> relevant</w:t>
      </w:r>
      <w:r>
        <w:t xml:space="preserve"> entity to which both of the following apply:</w:t>
      </w:r>
    </w:p>
    <w:p w14:paraId="24E8E1E4" w14:textId="427695DC" w:rsidR="005B74BE" w:rsidRDefault="005B74BE" w:rsidP="005B74BE">
      <w:pPr>
        <w:pStyle w:val="LI-BodyTextParaa"/>
      </w:pPr>
      <w:r>
        <w:t>(a)</w:t>
      </w:r>
      <w:r>
        <w:tab/>
        <w:t xml:space="preserve">a security of the entity under the terms on which it is traded on a prescribed financial market, must be transferred together with a security of one or more other </w:t>
      </w:r>
      <w:proofErr w:type="gramStart"/>
      <w:r>
        <w:t>entities;</w:t>
      </w:r>
      <w:proofErr w:type="gramEnd"/>
    </w:p>
    <w:p w14:paraId="152EAC64" w14:textId="734573D4" w:rsidR="005B74BE" w:rsidRDefault="005B74BE" w:rsidP="005B74BE">
      <w:pPr>
        <w:pStyle w:val="LI-BodyTextParaa"/>
      </w:pPr>
      <w:r>
        <w:t>(b)</w:t>
      </w:r>
      <w:r>
        <w:tab/>
        <w:t>there are no securities in the same class as the security first mentioned in paragraph (a) which may be transferred separately.</w:t>
      </w:r>
    </w:p>
    <w:p w14:paraId="3A983386" w14:textId="77777777" w:rsidR="005B74BE" w:rsidRDefault="005B74BE" w:rsidP="005B74BE">
      <w:pPr>
        <w:pStyle w:val="LI-BodyTextNumbered"/>
      </w:pPr>
      <w:r>
        <w:t>(2)</w:t>
      </w:r>
      <w:r>
        <w:tab/>
        <w:t>A person is a director of a registered scheme at a particular time if the person is a director of the responsible entity of the registered scheme at that time.</w:t>
      </w:r>
    </w:p>
    <w:p w14:paraId="2427F01C" w14:textId="77777777" w:rsidR="00EE4119" w:rsidRDefault="00EE4119" w:rsidP="00FC3EB8">
      <w:pPr>
        <w:pStyle w:val="LI-BodyTextParaa"/>
        <w:sectPr w:rsidR="00EE4119"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p>
    <w:p w14:paraId="2B3325C2" w14:textId="433E58BB" w:rsidR="00FA31DE" w:rsidRPr="00F61B09" w:rsidRDefault="00FA31DE" w:rsidP="00015719">
      <w:pPr>
        <w:pStyle w:val="LI-Heading1"/>
        <w:ind w:left="1138" w:hanging="1138"/>
      </w:pPr>
      <w:bookmarkStart w:id="9" w:name="_Toc209170911"/>
      <w:r w:rsidRPr="006554FF">
        <w:lastRenderedPageBreak/>
        <w:t>Part</w:t>
      </w:r>
      <w:r w:rsidR="005D0489" w:rsidRPr="006554FF">
        <w:t xml:space="preserve"> </w:t>
      </w:r>
      <w:r w:rsidR="005D0489" w:rsidRPr="006E5320">
        <w:t>2</w:t>
      </w:r>
      <w:r w:rsidRPr="00F61B09">
        <w:t>—</w:t>
      </w:r>
      <w:r w:rsidR="00DC52DC">
        <w:t>Order</w:t>
      </w:r>
      <w:bookmarkEnd w:id="9"/>
    </w:p>
    <w:p w14:paraId="6DDF6043" w14:textId="31D04D47" w:rsidR="000A31D7" w:rsidRDefault="007458D2" w:rsidP="000A31D7">
      <w:pPr>
        <w:pStyle w:val="LI-Heading2"/>
      </w:pPr>
      <w:bookmarkStart w:id="10" w:name="_Toc413930578"/>
      <w:bookmarkStart w:id="11" w:name="_Toc68856809"/>
      <w:bookmarkStart w:id="12" w:name="_Toc209170912"/>
      <w:r>
        <w:t>6</w:t>
      </w:r>
      <w:r w:rsidR="000A31D7">
        <w:tab/>
        <w:t>Relief for the presentation of financial reports of stapled groups</w:t>
      </w:r>
      <w:bookmarkEnd w:id="10"/>
      <w:bookmarkEnd w:id="11"/>
      <w:bookmarkEnd w:id="12"/>
    </w:p>
    <w:p w14:paraId="2D7CE60C" w14:textId="77777777" w:rsidR="000A31D7" w:rsidRDefault="000A31D7" w:rsidP="000A31D7">
      <w:pPr>
        <w:pStyle w:val="LI-Heading3"/>
        <w:rPr>
          <w:sz w:val="24"/>
          <w:szCs w:val="24"/>
        </w:rPr>
      </w:pPr>
      <w:r>
        <w:rPr>
          <w:sz w:val="24"/>
          <w:szCs w:val="24"/>
        </w:rPr>
        <w:t>Relief</w:t>
      </w:r>
    </w:p>
    <w:p w14:paraId="2B923001" w14:textId="13A0CA2C" w:rsidR="000A31D7" w:rsidRDefault="000A31D7" w:rsidP="000A31D7">
      <w:pPr>
        <w:pStyle w:val="LI-BodyTextNumbered"/>
      </w:pPr>
      <w:r>
        <w:t>(1)</w:t>
      </w:r>
      <w:r>
        <w:tab/>
        <w:t xml:space="preserve">A </w:t>
      </w:r>
      <w:r w:rsidR="00344E68">
        <w:t>stapled issuer</w:t>
      </w:r>
      <w:r>
        <w:t xml:space="preserve"> and its directors do not have to comply with Part 2M.3 of the Act in relation to a half-year or a financial year (</w:t>
      </w:r>
      <w:r w:rsidR="007A6175">
        <w:t xml:space="preserve">each </w:t>
      </w:r>
      <w:r w:rsidR="00BF4394">
        <w:t xml:space="preserve">a </w:t>
      </w:r>
      <w:r>
        <w:rPr>
          <w:b/>
          <w:i/>
        </w:rPr>
        <w:t>relevant period</w:t>
      </w:r>
      <w:r>
        <w:t>) to the extent that that Part prevents</w:t>
      </w:r>
      <w:r w:rsidR="00786E44">
        <w:t xml:space="preserve"> the inclusion of</w:t>
      </w:r>
      <w:r>
        <w:t>:</w:t>
      </w:r>
    </w:p>
    <w:p w14:paraId="22486172" w14:textId="08D592B0" w:rsidR="000A31D7" w:rsidRDefault="000A31D7" w:rsidP="000A31D7">
      <w:pPr>
        <w:pStyle w:val="LI-BodyTextParaa"/>
      </w:pPr>
      <w:r>
        <w:t>(a)</w:t>
      </w:r>
      <w:r>
        <w:tab/>
        <w:t>in the financial report or concise report (</w:t>
      </w:r>
      <w:r w:rsidR="00C52B87">
        <w:t>each a</w:t>
      </w:r>
      <w:r>
        <w:t xml:space="preserve"> </w:t>
      </w:r>
      <w:r w:rsidR="00344E68">
        <w:rPr>
          <w:b/>
          <w:i/>
        </w:rPr>
        <w:t>stapled issuer</w:t>
      </w:r>
      <w:r>
        <w:rPr>
          <w:b/>
          <w:i/>
        </w:rPr>
        <w:t xml:space="preserve"> report</w:t>
      </w:r>
      <w:r>
        <w:t xml:space="preserve">) of the </w:t>
      </w:r>
      <w:r w:rsidR="00344E68">
        <w:t>stapled</w:t>
      </w:r>
      <w:r w:rsidR="00786E44">
        <w:t xml:space="preserve"> issuer—</w:t>
      </w:r>
      <w:r>
        <w:t xml:space="preserve">the single entity or consolidated financial statements, notes to those statements and directors’ declaration of other </w:t>
      </w:r>
      <w:r w:rsidR="008B7FFE">
        <w:t xml:space="preserve">stapled issuers </w:t>
      </w:r>
      <w:r>
        <w:t xml:space="preserve">(the </w:t>
      </w:r>
      <w:r>
        <w:rPr>
          <w:b/>
          <w:i/>
        </w:rPr>
        <w:t>other</w:t>
      </w:r>
      <w:r w:rsidR="00041911">
        <w:rPr>
          <w:b/>
          <w:i/>
        </w:rPr>
        <w:t xml:space="preserve"> stapled</w:t>
      </w:r>
      <w:r>
        <w:rPr>
          <w:b/>
          <w:i/>
        </w:rPr>
        <w:t xml:space="preserve"> </w:t>
      </w:r>
      <w:r w:rsidR="00041911">
        <w:rPr>
          <w:b/>
          <w:i/>
        </w:rPr>
        <w:t>issuers</w:t>
      </w:r>
      <w:r>
        <w:t xml:space="preserve">) in the same stapled group as the </w:t>
      </w:r>
      <w:r w:rsidR="004105DA">
        <w:t>stapled issuer</w:t>
      </w:r>
      <w:r>
        <w:t>; and</w:t>
      </w:r>
    </w:p>
    <w:p w14:paraId="4DCF060A" w14:textId="3CFB7A94" w:rsidR="000A31D7" w:rsidRDefault="000A31D7" w:rsidP="000A31D7">
      <w:pPr>
        <w:pStyle w:val="LI-BodyTextParaa"/>
      </w:pPr>
      <w:r>
        <w:t>(b)</w:t>
      </w:r>
      <w:r>
        <w:tab/>
        <w:t xml:space="preserve">in the directors’ report of the </w:t>
      </w:r>
      <w:r w:rsidR="004105DA">
        <w:t>stapled issuer</w:t>
      </w:r>
      <w:r w:rsidR="00B600D6">
        <w:t>—</w:t>
      </w:r>
      <w:r>
        <w:t>the directors’ report</w:t>
      </w:r>
      <w:r w:rsidR="00081BF1">
        <w:t>s</w:t>
      </w:r>
      <w:r>
        <w:t xml:space="preserve"> of </w:t>
      </w:r>
      <w:r w:rsidR="00940C35">
        <w:t xml:space="preserve">the </w:t>
      </w:r>
      <w:r>
        <w:t xml:space="preserve">other </w:t>
      </w:r>
      <w:r w:rsidR="004105DA">
        <w:t>stapled issuers</w:t>
      </w:r>
      <w:r>
        <w:t>.</w:t>
      </w:r>
    </w:p>
    <w:p w14:paraId="063AC8FD" w14:textId="08327F48" w:rsidR="005C4EDE" w:rsidRDefault="00E32A63" w:rsidP="00C54738">
      <w:pPr>
        <w:pStyle w:val="LI-BodyTextNote"/>
        <w:spacing w:before="240"/>
      </w:pPr>
      <w:r>
        <w:t>Note:</w:t>
      </w:r>
      <w:r>
        <w:tab/>
        <w:t>The relief in subsection (1) does not cover the inclusion of combined financial statements.  Such financial statements may only be presented where doing so is otherwise permitted under Chapter 2M of the Act and applicable accounting standards.</w:t>
      </w:r>
    </w:p>
    <w:p w14:paraId="1A278D3E" w14:textId="1CA1CCCE" w:rsidR="000A31D7" w:rsidRDefault="000A31D7" w:rsidP="000A31D7">
      <w:pPr>
        <w:pStyle w:val="LI-Heading3"/>
      </w:pPr>
      <w:r>
        <w:t>Where relief applies</w:t>
      </w:r>
    </w:p>
    <w:p w14:paraId="7A6254AB" w14:textId="1449B4DE" w:rsidR="000A31D7" w:rsidRDefault="000A31D7" w:rsidP="000A31D7">
      <w:pPr>
        <w:pStyle w:val="LI-BodyTextNumbered"/>
      </w:pPr>
      <w:r>
        <w:t>(2)</w:t>
      </w:r>
      <w:r>
        <w:tab/>
        <w:t xml:space="preserve">The relief in subsection (1) is available where </w:t>
      </w:r>
      <w:proofErr w:type="gramStart"/>
      <w:r>
        <w:t>all of</w:t>
      </w:r>
      <w:proofErr w:type="gramEnd"/>
      <w:r>
        <w:t xml:space="preserve"> the following apply:</w:t>
      </w:r>
    </w:p>
    <w:p w14:paraId="29571976" w14:textId="705CF48C" w:rsidR="000A31D7" w:rsidRDefault="000A31D7" w:rsidP="000A31D7">
      <w:pPr>
        <w:pStyle w:val="LI-BodyTextParaa"/>
      </w:pPr>
      <w:r>
        <w:t>(a)</w:t>
      </w:r>
      <w:r>
        <w:tab/>
        <w:t xml:space="preserve">all the other </w:t>
      </w:r>
      <w:r w:rsidR="005E07A6">
        <w:t>stapled issuers</w:t>
      </w:r>
      <w:r>
        <w:t>:</w:t>
      </w:r>
    </w:p>
    <w:p w14:paraId="0D7888BB" w14:textId="77777777" w:rsidR="000A31D7" w:rsidRDefault="000A31D7" w:rsidP="000A31D7">
      <w:pPr>
        <w:pStyle w:val="LI-BodyTextSubparai"/>
      </w:pPr>
      <w:r>
        <w:t>(</w:t>
      </w:r>
      <w:proofErr w:type="spellStart"/>
      <w:r>
        <w:t>i</w:t>
      </w:r>
      <w:proofErr w:type="spellEnd"/>
      <w:r>
        <w:t>)</w:t>
      </w:r>
      <w:r>
        <w:tab/>
        <w:t>are required to prepare financial reports for the relevant period under Chapter 2M of the Act; and</w:t>
      </w:r>
    </w:p>
    <w:p w14:paraId="64221EA3" w14:textId="77777777" w:rsidR="000A31D7" w:rsidRDefault="000A31D7" w:rsidP="000A31D7">
      <w:pPr>
        <w:pStyle w:val="LI-BodyTextSubparai"/>
      </w:pPr>
      <w:r>
        <w:t>(ii)</w:t>
      </w:r>
      <w:r>
        <w:tab/>
        <w:t>rely on the relief in subsection (1</w:t>
      </w:r>
      <w:proofErr w:type="gramStart"/>
      <w:r>
        <w:t>);</w:t>
      </w:r>
      <w:proofErr w:type="gramEnd"/>
    </w:p>
    <w:p w14:paraId="0BFE2F9B" w14:textId="77777777" w:rsidR="000A31D7" w:rsidRDefault="000A31D7" w:rsidP="000A31D7">
      <w:pPr>
        <w:pStyle w:val="LI-BodyTextParaa"/>
      </w:pPr>
      <w:r>
        <w:t>(b)</w:t>
      </w:r>
      <w:r>
        <w:tab/>
        <w:t>one of the following applies in relation to the financial statements for the relevant period:</w:t>
      </w:r>
    </w:p>
    <w:p w14:paraId="3174FF5D" w14:textId="6378F376" w:rsidR="000A31D7" w:rsidRDefault="000A31D7" w:rsidP="000A31D7">
      <w:pPr>
        <w:pStyle w:val="LI-BodyTextSubparai"/>
      </w:pPr>
      <w:r>
        <w:t>(</w:t>
      </w:r>
      <w:proofErr w:type="spellStart"/>
      <w:r>
        <w:t>i</w:t>
      </w:r>
      <w:proofErr w:type="spellEnd"/>
      <w:r>
        <w:t>)</w:t>
      </w:r>
      <w:r>
        <w:tab/>
        <w:t xml:space="preserve">the financial statements of the </w:t>
      </w:r>
      <w:r w:rsidR="005F21AD">
        <w:t>stapled issuer</w:t>
      </w:r>
      <w:r>
        <w:t xml:space="preserve"> and all </w:t>
      </w:r>
      <w:r w:rsidR="00081BF1">
        <w:t xml:space="preserve">the </w:t>
      </w:r>
      <w:r>
        <w:t xml:space="preserve">other </w:t>
      </w:r>
      <w:r w:rsidR="00A3777B">
        <w:t>stapled issuers</w:t>
      </w:r>
      <w:r>
        <w:t xml:space="preserve"> (including any single entity financial statements presented where </w:t>
      </w:r>
      <w:r>
        <w:rPr>
          <w:i/>
          <w:iCs/>
        </w:rPr>
        <w:t>ASIC Corporations (Parent Entity Financial Statements) Instrument 2021/195</w:t>
      </w:r>
      <w:r>
        <w:t xml:space="preserve"> is relied on) are presented in adjacent columns in the </w:t>
      </w:r>
      <w:r w:rsidR="009E2DE2">
        <w:t>stapled issuer</w:t>
      </w:r>
      <w:r>
        <w:t xml:space="preserve"> </w:t>
      </w:r>
      <w:proofErr w:type="gramStart"/>
      <w:r>
        <w:t>report;</w:t>
      </w:r>
      <w:proofErr w:type="gramEnd"/>
      <w:r>
        <w:t xml:space="preserve"> </w:t>
      </w:r>
    </w:p>
    <w:p w14:paraId="70755325" w14:textId="3220D58D" w:rsidR="000A31D7" w:rsidRDefault="000A31D7" w:rsidP="000A31D7">
      <w:pPr>
        <w:pStyle w:val="LI-BodyTextSubparai"/>
      </w:pPr>
      <w:r>
        <w:t>(ii)</w:t>
      </w:r>
      <w:r>
        <w:tab/>
        <w:t xml:space="preserve">the financial statements are presented as follows in separate sections of the </w:t>
      </w:r>
      <w:r w:rsidR="009E2DE2">
        <w:t>stapled issuer</w:t>
      </w:r>
      <w:r>
        <w:t xml:space="preserve"> report:</w:t>
      </w:r>
    </w:p>
    <w:p w14:paraId="6003B3C4" w14:textId="30AD5A57" w:rsidR="000A31D7" w:rsidRDefault="000A31D7" w:rsidP="000A31D7">
      <w:pPr>
        <w:pStyle w:val="LI-BodyTextSubsubparaA"/>
      </w:pPr>
      <w:r>
        <w:t>(A)</w:t>
      </w:r>
      <w:r>
        <w:tab/>
        <w:t xml:space="preserve">in the first section—the consolidated financial statements or combined financial statements and, where </w:t>
      </w:r>
      <w:r>
        <w:rPr>
          <w:i/>
          <w:iCs/>
        </w:rPr>
        <w:t>ASIC Corporations (Parent Entity Financial Statements) Instrument 2021/195</w:t>
      </w:r>
      <w:r>
        <w:t xml:space="preserve"> is relied on, the single entity financial statements of the </w:t>
      </w:r>
      <w:r w:rsidR="0029392D">
        <w:t>stapled issuer</w:t>
      </w:r>
      <w:r>
        <w:t>; and</w:t>
      </w:r>
    </w:p>
    <w:p w14:paraId="091453D4" w14:textId="0ED15341" w:rsidR="000A31D7" w:rsidRDefault="000A31D7" w:rsidP="000A31D7">
      <w:pPr>
        <w:pStyle w:val="LI-BodyTextSubsubparaA"/>
      </w:pPr>
      <w:r>
        <w:lastRenderedPageBreak/>
        <w:t>(B)</w:t>
      </w:r>
      <w:r>
        <w:tab/>
        <w:t xml:space="preserve">in the second section in adjacent columns—all other consolidated financial statements of the </w:t>
      </w:r>
      <w:r w:rsidR="0029392D">
        <w:t>stapled issuer</w:t>
      </w:r>
      <w:r>
        <w:t xml:space="preserve"> and </w:t>
      </w:r>
      <w:r w:rsidR="00081BF1">
        <w:t xml:space="preserve">the </w:t>
      </w:r>
      <w:r>
        <w:t xml:space="preserve">other </w:t>
      </w:r>
      <w:r w:rsidR="0029392D">
        <w:t>stapled issuers</w:t>
      </w:r>
      <w:r>
        <w:t xml:space="preserve"> and any single entity financial statements (including those presented where </w:t>
      </w:r>
      <w:r>
        <w:rPr>
          <w:i/>
          <w:iCs/>
        </w:rPr>
        <w:t>ASIC Corporations (Parent Entity Financial Statements) Instrument 2021/195</w:t>
      </w:r>
      <w:r>
        <w:t xml:space="preserve"> is relied on); or</w:t>
      </w:r>
    </w:p>
    <w:p w14:paraId="6BE09586" w14:textId="5F25ECF8" w:rsidR="000A31D7" w:rsidRDefault="000A31D7" w:rsidP="000A31D7">
      <w:pPr>
        <w:pStyle w:val="LI-BodyTextSubparai"/>
      </w:pPr>
      <w:r>
        <w:t>(iii)</w:t>
      </w:r>
      <w:r>
        <w:tab/>
        <w:t>in the case of a financial report for a half-year or a concise report—one of the sets of financial statements permitted under subparagraphs (</w:t>
      </w:r>
      <w:proofErr w:type="spellStart"/>
      <w:r>
        <w:t>i</w:t>
      </w:r>
      <w:proofErr w:type="spellEnd"/>
      <w:r>
        <w:t xml:space="preserve">) or (ii) (excluding any single entity financial statement that is not required under the Act and the accounting standard applicable to the report) is presented in adjacent columns in the </w:t>
      </w:r>
      <w:r w:rsidR="00F83AFB">
        <w:t>stapled issuer</w:t>
      </w:r>
      <w:r>
        <w:t xml:space="preserve"> report where, if the set includes consolidated or combined financial statements covering all of the entities in the stapled group, those financial statements are presented first</w:t>
      </w:r>
      <w:r w:rsidR="00A679E6">
        <w:t>;</w:t>
      </w:r>
    </w:p>
    <w:p w14:paraId="21D527A6" w14:textId="77777777" w:rsidR="000A31D7" w:rsidRDefault="000A31D7" w:rsidP="000A31D7">
      <w:pPr>
        <w:pStyle w:val="LI-BodyTextParaa"/>
      </w:pPr>
      <w:r>
        <w:t>(c)</w:t>
      </w:r>
      <w:r>
        <w:tab/>
        <w:t>a directors’ declaration covers more than one stapled issuer only where:</w:t>
      </w:r>
    </w:p>
    <w:p w14:paraId="095EC96D" w14:textId="77777777" w:rsidR="000A31D7" w:rsidRDefault="000A31D7" w:rsidP="000A31D7">
      <w:pPr>
        <w:pStyle w:val="LI-BodyTextSubparai"/>
      </w:pPr>
      <w:r>
        <w:t>(</w:t>
      </w:r>
      <w:proofErr w:type="spellStart"/>
      <w:r>
        <w:t>i</w:t>
      </w:r>
      <w:proofErr w:type="spellEnd"/>
      <w:r>
        <w:t>)</w:t>
      </w:r>
      <w:r>
        <w:tab/>
        <w:t xml:space="preserve">each person who was a director of an issuer covered by the declaration at any time during the relevant period or when the declaration is made was also a director of each other issuer </w:t>
      </w:r>
      <w:proofErr w:type="gramStart"/>
      <w:r>
        <w:t>covered by the declaration at all times</w:t>
      </w:r>
      <w:proofErr w:type="gramEnd"/>
      <w:r>
        <w:t xml:space="preserve"> during the relevant period and when the declaration is made; and</w:t>
      </w:r>
    </w:p>
    <w:p w14:paraId="1461FDF8" w14:textId="77777777" w:rsidR="000A31D7" w:rsidRDefault="000A31D7" w:rsidP="000A31D7">
      <w:pPr>
        <w:pStyle w:val="LI-BodyTextSubparai"/>
      </w:pPr>
      <w:r>
        <w:t>(ii)</w:t>
      </w:r>
      <w:r>
        <w:tab/>
        <w:t xml:space="preserve">each declaration required by subsection 295(4) or 303(4) of the Act (as relevant) is presented in a way that enables each issuer to which it relates to be readily </w:t>
      </w:r>
      <w:proofErr w:type="gramStart"/>
      <w:r>
        <w:t>identified;</w:t>
      </w:r>
      <w:proofErr w:type="gramEnd"/>
    </w:p>
    <w:p w14:paraId="0E58BC62" w14:textId="3129217D" w:rsidR="000A31D7" w:rsidRDefault="000A31D7" w:rsidP="000A31D7">
      <w:pPr>
        <w:pStyle w:val="LI-BodyTextParaa"/>
      </w:pPr>
      <w:r>
        <w:t>(d)</w:t>
      </w:r>
      <w:r>
        <w:tab/>
        <w:t xml:space="preserve">where the </w:t>
      </w:r>
      <w:r w:rsidR="00F83AFB">
        <w:t>stapled issuer</w:t>
      </w:r>
      <w:r>
        <w:t xml:space="preserve"> or one or more of the other </w:t>
      </w:r>
      <w:r w:rsidR="007E2A46">
        <w:t>stapled issuers</w:t>
      </w:r>
      <w:r>
        <w:t xml:space="preserve"> is a registered scheme, the financial report</w:t>
      </w:r>
      <w:r w:rsidR="43458D57">
        <w:t xml:space="preserve"> or concise report </w:t>
      </w:r>
      <w:r w:rsidR="007D738C">
        <w:t xml:space="preserve">(as applicable) </w:t>
      </w:r>
      <w:r>
        <w:t xml:space="preserve">contains a prominent statement to the effect that only the responsible entity of a scheme takes responsibility for the financial report </w:t>
      </w:r>
      <w:r w:rsidR="446D70BE">
        <w:t>or concise report</w:t>
      </w:r>
      <w:r>
        <w:t xml:space="preserve"> </w:t>
      </w:r>
      <w:r w:rsidR="007D738C">
        <w:t xml:space="preserve">(as applicable) </w:t>
      </w:r>
      <w:r>
        <w:t xml:space="preserve">for the </w:t>
      </w:r>
      <w:proofErr w:type="gramStart"/>
      <w:r>
        <w:t>scheme;</w:t>
      </w:r>
      <w:proofErr w:type="gramEnd"/>
    </w:p>
    <w:p w14:paraId="7D3FB24C" w14:textId="77777777" w:rsidR="000A31D7" w:rsidRDefault="000A31D7" w:rsidP="000A31D7">
      <w:pPr>
        <w:pStyle w:val="LI-BodyTextParaa"/>
      </w:pPr>
      <w:r>
        <w:t>(e)</w:t>
      </w:r>
      <w:r>
        <w:tab/>
        <w:t>a directors’ report covers more than one stapled issuer only where:</w:t>
      </w:r>
    </w:p>
    <w:p w14:paraId="0FA7FE61" w14:textId="77777777" w:rsidR="000A31D7" w:rsidRDefault="000A31D7" w:rsidP="000A31D7">
      <w:pPr>
        <w:pStyle w:val="LI-BodyTextSubparai"/>
      </w:pPr>
      <w:r>
        <w:t>(</w:t>
      </w:r>
      <w:proofErr w:type="spellStart"/>
      <w:r>
        <w:t>i</w:t>
      </w:r>
      <w:proofErr w:type="spellEnd"/>
      <w:r>
        <w:t>)</w:t>
      </w:r>
      <w:r>
        <w:tab/>
        <w:t xml:space="preserve">each person who was a director of an issuer covered by the report at any time during the relevant period or when the report is made was also a director of each other issuer </w:t>
      </w:r>
      <w:proofErr w:type="gramStart"/>
      <w:r>
        <w:t>covered by the report at all times</w:t>
      </w:r>
      <w:proofErr w:type="gramEnd"/>
      <w:r>
        <w:t xml:space="preserve"> during the relevant period and when the report is made; and</w:t>
      </w:r>
    </w:p>
    <w:p w14:paraId="3AD690F3" w14:textId="77777777" w:rsidR="000A31D7" w:rsidRDefault="000A31D7" w:rsidP="000A31D7">
      <w:pPr>
        <w:pStyle w:val="LI-BodyTextSubparai"/>
      </w:pPr>
      <w:r>
        <w:t>(ii)</w:t>
      </w:r>
      <w:r>
        <w:tab/>
        <w:t>the information included in the report is presented in a way that enables each issuer for which any aspect is relevant to be readily identified.</w:t>
      </w:r>
    </w:p>
    <w:p w14:paraId="21A3E39F" w14:textId="1639F522" w:rsidR="008C330E" w:rsidRDefault="008C330E" w:rsidP="008C330E">
      <w:pPr>
        <w:pStyle w:val="LI-Heading1"/>
      </w:pPr>
      <w:bookmarkStart w:id="13" w:name="_Toc209170913"/>
      <w:r w:rsidRPr="006E5320">
        <w:lastRenderedPageBreak/>
        <w:t>Part </w:t>
      </w:r>
      <w:r w:rsidR="000A31D7">
        <w:t>3</w:t>
      </w:r>
      <w:r w:rsidRPr="006554FF">
        <w:t>—</w:t>
      </w:r>
      <w:r>
        <w:t>Repeal</w:t>
      </w:r>
      <w:bookmarkEnd w:id="13"/>
    </w:p>
    <w:p w14:paraId="27601D8F" w14:textId="583F39B6" w:rsidR="008C330E" w:rsidRPr="008C330E" w:rsidRDefault="007458D2" w:rsidP="008C330E">
      <w:pPr>
        <w:pStyle w:val="LI-Heading2"/>
      </w:pPr>
      <w:bookmarkStart w:id="14" w:name="_Toc209170914"/>
      <w:r>
        <w:t>7</w:t>
      </w:r>
      <w:r w:rsidR="008C330E">
        <w:tab/>
        <w:t>Repeal</w:t>
      </w:r>
      <w:bookmarkEnd w:id="14"/>
    </w:p>
    <w:p w14:paraId="2D5AC5C6" w14:textId="6C95358F" w:rsidR="008C330E" w:rsidRDefault="008C330E" w:rsidP="008C330E">
      <w:pPr>
        <w:pStyle w:val="LI-BodyTextNumbered"/>
        <w:ind w:firstLine="0"/>
      </w:pPr>
      <w:r>
        <w:rPr>
          <w:shd w:val="clear" w:color="auto" w:fill="FFFFFF"/>
        </w:rPr>
        <w:t xml:space="preserve">This instrument is </w:t>
      </w:r>
      <w:r w:rsidRPr="00FE4DD2">
        <w:t>repealed</w:t>
      </w:r>
      <w:r>
        <w:rPr>
          <w:shd w:val="clear" w:color="auto" w:fill="FFFFFF"/>
        </w:rPr>
        <w:t xml:space="preserve"> at the start of </w:t>
      </w:r>
      <w:r w:rsidR="00273033">
        <w:rPr>
          <w:shd w:val="clear" w:color="auto" w:fill="FFFFFF"/>
        </w:rPr>
        <w:t>1 October 2030</w:t>
      </w:r>
      <w:r>
        <w:rPr>
          <w:shd w:val="clear" w:color="auto" w:fill="FFFFFF"/>
        </w:rPr>
        <w:t>.</w:t>
      </w:r>
    </w:p>
    <w:p w14:paraId="0E621A12" w14:textId="77777777" w:rsidR="008C330E" w:rsidRDefault="008C330E" w:rsidP="006554FF">
      <w:pPr>
        <w:pStyle w:val="LI-BodyTextParaa"/>
      </w:pPr>
    </w:p>
    <w:sectPr w:rsidR="008C330E" w:rsidSect="0040053F">
      <w:headerReference w:type="even" r:id="rId31"/>
      <w:headerReference w:type="default" r:id="rId32"/>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F0A8" w14:textId="77777777" w:rsidR="00881441" w:rsidRDefault="00881441" w:rsidP="00715914">
      <w:pPr>
        <w:spacing w:line="240" w:lineRule="auto"/>
      </w:pPr>
      <w:r>
        <w:separator/>
      </w:r>
    </w:p>
  </w:endnote>
  <w:endnote w:type="continuationSeparator" w:id="0">
    <w:p w14:paraId="2BC5DACC" w14:textId="77777777" w:rsidR="00881441" w:rsidRDefault="0088144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BE07"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010"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6883EA" w14:textId="77777777" w:rsidTr="00081794">
      <w:tc>
        <w:tcPr>
          <w:tcW w:w="1384" w:type="dxa"/>
          <w:tcBorders>
            <w:top w:val="nil"/>
            <w:left w:val="nil"/>
            <w:bottom w:val="nil"/>
            <w:right w:val="nil"/>
          </w:tcBorders>
        </w:tcPr>
        <w:p w14:paraId="69A506F7" w14:textId="77777777" w:rsidR="00102CA6" w:rsidRPr="00081794" w:rsidRDefault="00102CA6" w:rsidP="00081794">
          <w:pPr>
            <w:spacing w:line="0" w:lineRule="atLeast"/>
            <w:rPr>
              <w:sz w:val="18"/>
            </w:rPr>
          </w:pPr>
        </w:p>
      </w:tc>
      <w:tc>
        <w:tcPr>
          <w:tcW w:w="6379" w:type="dxa"/>
          <w:tcBorders>
            <w:top w:val="nil"/>
            <w:left w:val="nil"/>
            <w:bottom w:val="nil"/>
            <w:right w:val="nil"/>
          </w:tcBorders>
        </w:tcPr>
        <w:p w14:paraId="7B09118F"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C35DAF">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tcPr>
        <w:p w14:paraId="25F3A75E"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106EA033"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99556A"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7F046C16"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6B12" w14:textId="77777777" w:rsidR="00881441" w:rsidRDefault="00881441" w:rsidP="00715914">
      <w:pPr>
        <w:spacing w:line="240" w:lineRule="auto"/>
      </w:pPr>
      <w:r>
        <w:separator/>
      </w:r>
    </w:p>
  </w:footnote>
  <w:footnote w:type="continuationSeparator" w:id="0">
    <w:p w14:paraId="50242A47" w14:textId="77777777" w:rsidR="00881441" w:rsidRDefault="0088144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tcPr>
        <w:p w14:paraId="52B0B84F" w14:textId="14350EDF"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F31748">
            <w:rPr>
              <w:noProof/>
            </w:rPr>
            <w:t>ASIC Corporations (Stapled Group Reports) Instrument 2025/439</w:t>
          </w:r>
          <w:r>
            <w:rPr>
              <w:noProof/>
            </w:rPr>
            <w:fldChar w:fldCharType="end"/>
          </w:r>
        </w:p>
      </w:tc>
      <w:tc>
        <w:tcPr>
          <w:tcW w:w="1509" w:type="dxa"/>
        </w:tcPr>
        <w:p w14:paraId="609BA203" w14:textId="4D66BBB0"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F31748">
            <w:rPr>
              <w:noProof/>
            </w:rPr>
            <w:t>Part 3—Repeal</w:t>
          </w:r>
          <w:r>
            <w:rPr>
              <w:noProof/>
            </w:rPr>
            <w:fldChar w:fldCharType="end"/>
          </w:r>
        </w:p>
      </w:tc>
    </w:tr>
  </w:tbl>
  <w:p w14:paraId="0A3B460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tcPr>
        <w:p w14:paraId="7D4B953D" w14:textId="7DACB640"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F31748">
            <w:rPr>
              <w:noProof/>
            </w:rPr>
            <w:t>ASIC Corporations (Stapled Group Reports) Instrument 2025/439</w:t>
          </w:r>
          <w:r>
            <w:rPr>
              <w:noProof/>
            </w:rPr>
            <w:fldChar w:fldCharType="end"/>
          </w:r>
        </w:p>
      </w:tc>
      <w:tc>
        <w:tcPr>
          <w:tcW w:w="1509" w:type="dxa"/>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A95E"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1D4C9972" w14:textId="77777777" w:rsidTr="00BF75C9">
      <w:tc>
        <w:tcPr>
          <w:tcW w:w="6804" w:type="dxa"/>
        </w:tcPr>
        <w:p w14:paraId="0DC4E02D" w14:textId="222BBB48"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F31748">
            <w:rPr>
              <w:noProof/>
            </w:rPr>
            <w:t>ASIC Corporations (Stapled Group Reports) Instrument 2025/439</w:t>
          </w:r>
          <w:r>
            <w:rPr>
              <w:noProof/>
            </w:rPr>
            <w:fldChar w:fldCharType="end"/>
          </w:r>
        </w:p>
      </w:tc>
      <w:tc>
        <w:tcPr>
          <w:tcW w:w="1509" w:type="dxa"/>
        </w:tcPr>
        <w:p w14:paraId="54D8D412" w14:textId="15B3C595"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F31748">
            <w:rPr>
              <w:noProof/>
            </w:rPr>
            <w:t>Part 1—Preliminary</w:t>
          </w:r>
          <w:r>
            <w:rPr>
              <w:noProof/>
            </w:rPr>
            <w:fldChar w:fldCharType="end"/>
          </w:r>
        </w:p>
      </w:tc>
    </w:tr>
  </w:tbl>
  <w:p w14:paraId="1EA77B44"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A7C"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3B06AFA"/>
    <w:multiLevelType w:val="hybridMultilevel"/>
    <w:tmpl w:val="D6AC2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2"/>
  </w:num>
  <w:num w:numId="12" w16cid:durableId="2011325484">
    <w:abstractNumId w:val="10"/>
  </w:num>
  <w:num w:numId="13" w16cid:durableId="1560164308">
    <w:abstractNumId w:val="11"/>
  </w:num>
  <w:num w:numId="14" w16cid:durableId="1266616556">
    <w:abstractNumId w:val="14"/>
  </w:num>
  <w:num w:numId="15" w16cid:durableId="1030227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21F"/>
    <w:rsid w:val="00004470"/>
    <w:rsid w:val="000047B2"/>
    <w:rsid w:val="00005446"/>
    <w:rsid w:val="000136AF"/>
    <w:rsid w:val="00013B8D"/>
    <w:rsid w:val="00015719"/>
    <w:rsid w:val="00017EB7"/>
    <w:rsid w:val="000228BF"/>
    <w:rsid w:val="00023D53"/>
    <w:rsid w:val="00027AFF"/>
    <w:rsid w:val="00031C7F"/>
    <w:rsid w:val="00041911"/>
    <w:rsid w:val="000437C1"/>
    <w:rsid w:val="0005365D"/>
    <w:rsid w:val="000614BF"/>
    <w:rsid w:val="0006250C"/>
    <w:rsid w:val="00064D85"/>
    <w:rsid w:val="00066B61"/>
    <w:rsid w:val="00081794"/>
    <w:rsid w:val="00081BF1"/>
    <w:rsid w:val="00084FF4"/>
    <w:rsid w:val="000A142F"/>
    <w:rsid w:val="000A2646"/>
    <w:rsid w:val="000A31D7"/>
    <w:rsid w:val="000A6C39"/>
    <w:rsid w:val="000B58FA"/>
    <w:rsid w:val="000B5E30"/>
    <w:rsid w:val="000C55A0"/>
    <w:rsid w:val="000C5688"/>
    <w:rsid w:val="000C7658"/>
    <w:rsid w:val="000D041F"/>
    <w:rsid w:val="000D05EF"/>
    <w:rsid w:val="000D50E9"/>
    <w:rsid w:val="000D6140"/>
    <w:rsid w:val="000D7A3E"/>
    <w:rsid w:val="000E0976"/>
    <w:rsid w:val="000E2261"/>
    <w:rsid w:val="000E3C2E"/>
    <w:rsid w:val="000E6732"/>
    <w:rsid w:val="000F21C1"/>
    <w:rsid w:val="00102CA6"/>
    <w:rsid w:val="0010717E"/>
    <w:rsid w:val="0010745C"/>
    <w:rsid w:val="00107A99"/>
    <w:rsid w:val="00121B4B"/>
    <w:rsid w:val="00122C44"/>
    <w:rsid w:val="00123ADA"/>
    <w:rsid w:val="00125141"/>
    <w:rsid w:val="00132CEB"/>
    <w:rsid w:val="00137BB9"/>
    <w:rsid w:val="00142B62"/>
    <w:rsid w:val="00153B32"/>
    <w:rsid w:val="00156054"/>
    <w:rsid w:val="00157B8B"/>
    <w:rsid w:val="00160A12"/>
    <w:rsid w:val="00165711"/>
    <w:rsid w:val="00166C2F"/>
    <w:rsid w:val="00170058"/>
    <w:rsid w:val="00170650"/>
    <w:rsid w:val="00171A6E"/>
    <w:rsid w:val="001809D7"/>
    <w:rsid w:val="0018764D"/>
    <w:rsid w:val="001939E1"/>
    <w:rsid w:val="00194C3E"/>
    <w:rsid w:val="00194E7D"/>
    <w:rsid w:val="00195382"/>
    <w:rsid w:val="00195BD4"/>
    <w:rsid w:val="001960CF"/>
    <w:rsid w:val="00196851"/>
    <w:rsid w:val="001A412D"/>
    <w:rsid w:val="001B5CCE"/>
    <w:rsid w:val="001B6F0E"/>
    <w:rsid w:val="001C2EDE"/>
    <w:rsid w:val="001C61C5"/>
    <w:rsid w:val="001C693F"/>
    <w:rsid w:val="001C69C4"/>
    <w:rsid w:val="001D0195"/>
    <w:rsid w:val="001D37EF"/>
    <w:rsid w:val="001E3590"/>
    <w:rsid w:val="001E5DEC"/>
    <w:rsid w:val="001E7407"/>
    <w:rsid w:val="001F02B1"/>
    <w:rsid w:val="001F1740"/>
    <w:rsid w:val="001F2FA9"/>
    <w:rsid w:val="001F5D5E"/>
    <w:rsid w:val="001F6219"/>
    <w:rsid w:val="001F6CD4"/>
    <w:rsid w:val="00203102"/>
    <w:rsid w:val="002042D3"/>
    <w:rsid w:val="00206C4D"/>
    <w:rsid w:val="00210390"/>
    <w:rsid w:val="0021053C"/>
    <w:rsid w:val="00215AF1"/>
    <w:rsid w:val="00225B5F"/>
    <w:rsid w:val="00226691"/>
    <w:rsid w:val="00231A03"/>
    <w:rsid w:val="002321E8"/>
    <w:rsid w:val="00236EEC"/>
    <w:rsid w:val="0024010F"/>
    <w:rsid w:val="00240749"/>
    <w:rsid w:val="00243018"/>
    <w:rsid w:val="00243EC0"/>
    <w:rsid w:val="00244742"/>
    <w:rsid w:val="00247633"/>
    <w:rsid w:val="00254232"/>
    <w:rsid w:val="002564A4"/>
    <w:rsid w:val="00263575"/>
    <w:rsid w:val="00264C32"/>
    <w:rsid w:val="0026736C"/>
    <w:rsid w:val="00272C3C"/>
    <w:rsid w:val="00273033"/>
    <w:rsid w:val="0027323D"/>
    <w:rsid w:val="00275B52"/>
    <w:rsid w:val="00280587"/>
    <w:rsid w:val="00280915"/>
    <w:rsid w:val="00281308"/>
    <w:rsid w:val="00281813"/>
    <w:rsid w:val="00282262"/>
    <w:rsid w:val="00284719"/>
    <w:rsid w:val="00291C1E"/>
    <w:rsid w:val="00292C62"/>
    <w:rsid w:val="0029392D"/>
    <w:rsid w:val="0029446D"/>
    <w:rsid w:val="00297ECB"/>
    <w:rsid w:val="002A7328"/>
    <w:rsid w:val="002A7BCF"/>
    <w:rsid w:val="002B19F3"/>
    <w:rsid w:val="002B213B"/>
    <w:rsid w:val="002B4A0D"/>
    <w:rsid w:val="002B5788"/>
    <w:rsid w:val="002C23B8"/>
    <w:rsid w:val="002C7B6F"/>
    <w:rsid w:val="002D043A"/>
    <w:rsid w:val="002D6224"/>
    <w:rsid w:val="002E3F4B"/>
    <w:rsid w:val="002F20FA"/>
    <w:rsid w:val="002F22D8"/>
    <w:rsid w:val="002F2980"/>
    <w:rsid w:val="00304F8B"/>
    <w:rsid w:val="0031040F"/>
    <w:rsid w:val="00314953"/>
    <w:rsid w:val="00316F57"/>
    <w:rsid w:val="003235FB"/>
    <w:rsid w:val="00327985"/>
    <w:rsid w:val="00327DDF"/>
    <w:rsid w:val="00334D60"/>
    <w:rsid w:val="003354D2"/>
    <w:rsid w:val="00335BC6"/>
    <w:rsid w:val="003415D3"/>
    <w:rsid w:val="0034168A"/>
    <w:rsid w:val="00344701"/>
    <w:rsid w:val="00344E68"/>
    <w:rsid w:val="00345230"/>
    <w:rsid w:val="003467D1"/>
    <w:rsid w:val="003528DA"/>
    <w:rsid w:val="00352B0F"/>
    <w:rsid w:val="00355747"/>
    <w:rsid w:val="00356690"/>
    <w:rsid w:val="00357DD0"/>
    <w:rsid w:val="00360459"/>
    <w:rsid w:val="00365497"/>
    <w:rsid w:val="00387A96"/>
    <w:rsid w:val="0039009C"/>
    <w:rsid w:val="003904F4"/>
    <w:rsid w:val="00390811"/>
    <w:rsid w:val="00395499"/>
    <w:rsid w:val="0039599D"/>
    <w:rsid w:val="003A2A48"/>
    <w:rsid w:val="003A32AC"/>
    <w:rsid w:val="003B0DDB"/>
    <w:rsid w:val="003B0EDC"/>
    <w:rsid w:val="003B28C3"/>
    <w:rsid w:val="003B5091"/>
    <w:rsid w:val="003B732F"/>
    <w:rsid w:val="003B7A94"/>
    <w:rsid w:val="003B7D33"/>
    <w:rsid w:val="003C5451"/>
    <w:rsid w:val="003C6231"/>
    <w:rsid w:val="003D0BFE"/>
    <w:rsid w:val="003D252A"/>
    <w:rsid w:val="003D5700"/>
    <w:rsid w:val="003E0F99"/>
    <w:rsid w:val="003E341B"/>
    <w:rsid w:val="003F0421"/>
    <w:rsid w:val="0040053F"/>
    <w:rsid w:val="00404BE6"/>
    <w:rsid w:val="004064AD"/>
    <w:rsid w:val="004105DA"/>
    <w:rsid w:val="004116CD"/>
    <w:rsid w:val="00411828"/>
    <w:rsid w:val="004144EC"/>
    <w:rsid w:val="00417EB9"/>
    <w:rsid w:val="004205F3"/>
    <w:rsid w:val="00422C36"/>
    <w:rsid w:val="00424CA9"/>
    <w:rsid w:val="00425313"/>
    <w:rsid w:val="00431E9B"/>
    <w:rsid w:val="004379E3"/>
    <w:rsid w:val="0044015E"/>
    <w:rsid w:val="0044291A"/>
    <w:rsid w:val="00444ABD"/>
    <w:rsid w:val="00447DB4"/>
    <w:rsid w:val="00453508"/>
    <w:rsid w:val="004551FC"/>
    <w:rsid w:val="00460F1D"/>
    <w:rsid w:val="00465DC1"/>
    <w:rsid w:val="00467661"/>
    <w:rsid w:val="004705B7"/>
    <w:rsid w:val="00472DBE"/>
    <w:rsid w:val="00474A19"/>
    <w:rsid w:val="00476FDC"/>
    <w:rsid w:val="004823C0"/>
    <w:rsid w:val="0048276B"/>
    <w:rsid w:val="00483EDA"/>
    <w:rsid w:val="0048471B"/>
    <w:rsid w:val="00496B5F"/>
    <w:rsid w:val="00496F97"/>
    <w:rsid w:val="004A4324"/>
    <w:rsid w:val="004A44FC"/>
    <w:rsid w:val="004A7F6E"/>
    <w:rsid w:val="004B5B44"/>
    <w:rsid w:val="004B60C8"/>
    <w:rsid w:val="004C1CB1"/>
    <w:rsid w:val="004C4C62"/>
    <w:rsid w:val="004C701E"/>
    <w:rsid w:val="004D1C0D"/>
    <w:rsid w:val="004D2931"/>
    <w:rsid w:val="004D3E3E"/>
    <w:rsid w:val="004D60F4"/>
    <w:rsid w:val="004D61CC"/>
    <w:rsid w:val="004D62E2"/>
    <w:rsid w:val="004E063A"/>
    <w:rsid w:val="004E1483"/>
    <w:rsid w:val="004E2CF1"/>
    <w:rsid w:val="004E7BEC"/>
    <w:rsid w:val="004E7C9A"/>
    <w:rsid w:val="004F0C11"/>
    <w:rsid w:val="004F360F"/>
    <w:rsid w:val="004F6029"/>
    <w:rsid w:val="0050044F"/>
    <w:rsid w:val="00505D3D"/>
    <w:rsid w:val="00506AF6"/>
    <w:rsid w:val="00507335"/>
    <w:rsid w:val="005128FD"/>
    <w:rsid w:val="005153F8"/>
    <w:rsid w:val="00516B8D"/>
    <w:rsid w:val="00517E56"/>
    <w:rsid w:val="005236FE"/>
    <w:rsid w:val="00526A3A"/>
    <w:rsid w:val="005312BD"/>
    <w:rsid w:val="00532049"/>
    <w:rsid w:val="00532655"/>
    <w:rsid w:val="005356A7"/>
    <w:rsid w:val="00536184"/>
    <w:rsid w:val="00537FBC"/>
    <w:rsid w:val="005403AC"/>
    <w:rsid w:val="00542F3B"/>
    <w:rsid w:val="005477C1"/>
    <w:rsid w:val="00547958"/>
    <w:rsid w:val="005569B7"/>
    <w:rsid w:val="00556A1C"/>
    <w:rsid w:val="005574D1"/>
    <w:rsid w:val="005657FE"/>
    <w:rsid w:val="00567761"/>
    <w:rsid w:val="005723D3"/>
    <w:rsid w:val="00572BB1"/>
    <w:rsid w:val="005738DC"/>
    <w:rsid w:val="0057670F"/>
    <w:rsid w:val="005770AE"/>
    <w:rsid w:val="0058457C"/>
    <w:rsid w:val="00584811"/>
    <w:rsid w:val="00585784"/>
    <w:rsid w:val="00593AA6"/>
    <w:rsid w:val="00594161"/>
    <w:rsid w:val="00594749"/>
    <w:rsid w:val="00596987"/>
    <w:rsid w:val="005B205E"/>
    <w:rsid w:val="005B4067"/>
    <w:rsid w:val="005B6AAA"/>
    <w:rsid w:val="005B74BE"/>
    <w:rsid w:val="005B780C"/>
    <w:rsid w:val="005C08B9"/>
    <w:rsid w:val="005C1DDB"/>
    <w:rsid w:val="005C3F41"/>
    <w:rsid w:val="005C4EDE"/>
    <w:rsid w:val="005D01D9"/>
    <w:rsid w:val="005D0489"/>
    <w:rsid w:val="005D2D09"/>
    <w:rsid w:val="005D3D41"/>
    <w:rsid w:val="005E07A6"/>
    <w:rsid w:val="005E4810"/>
    <w:rsid w:val="005E5C6E"/>
    <w:rsid w:val="005E60D1"/>
    <w:rsid w:val="005F21AD"/>
    <w:rsid w:val="005F21EE"/>
    <w:rsid w:val="005F4140"/>
    <w:rsid w:val="005F65CD"/>
    <w:rsid w:val="005F6B5D"/>
    <w:rsid w:val="00600219"/>
    <w:rsid w:val="00603DC4"/>
    <w:rsid w:val="00604DED"/>
    <w:rsid w:val="00605635"/>
    <w:rsid w:val="00607A71"/>
    <w:rsid w:val="00611720"/>
    <w:rsid w:val="006117CB"/>
    <w:rsid w:val="0061341D"/>
    <w:rsid w:val="00615EB6"/>
    <w:rsid w:val="00620076"/>
    <w:rsid w:val="006231C4"/>
    <w:rsid w:val="00623E8E"/>
    <w:rsid w:val="00627716"/>
    <w:rsid w:val="006309DC"/>
    <w:rsid w:val="006339EC"/>
    <w:rsid w:val="00634044"/>
    <w:rsid w:val="00640161"/>
    <w:rsid w:val="00652769"/>
    <w:rsid w:val="00653CB2"/>
    <w:rsid w:val="0065542F"/>
    <w:rsid w:val="006554FF"/>
    <w:rsid w:val="00656BA1"/>
    <w:rsid w:val="00657162"/>
    <w:rsid w:val="00661450"/>
    <w:rsid w:val="00666DC3"/>
    <w:rsid w:val="00670EA1"/>
    <w:rsid w:val="00677CC2"/>
    <w:rsid w:val="006807DC"/>
    <w:rsid w:val="006905DE"/>
    <w:rsid w:val="0069207B"/>
    <w:rsid w:val="00692A83"/>
    <w:rsid w:val="00696828"/>
    <w:rsid w:val="006A663A"/>
    <w:rsid w:val="006A7D13"/>
    <w:rsid w:val="006B0D90"/>
    <w:rsid w:val="006B33EA"/>
    <w:rsid w:val="006B5789"/>
    <w:rsid w:val="006B617D"/>
    <w:rsid w:val="006B7301"/>
    <w:rsid w:val="006C30C5"/>
    <w:rsid w:val="006C404A"/>
    <w:rsid w:val="006C48FA"/>
    <w:rsid w:val="006C5A73"/>
    <w:rsid w:val="006C7F8C"/>
    <w:rsid w:val="006D2E5D"/>
    <w:rsid w:val="006D4265"/>
    <w:rsid w:val="006E2129"/>
    <w:rsid w:val="006E5320"/>
    <w:rsid w:val="006E6246"/>
    <w:rsid w:val="006F18FB"/>
    <w:rsid w:val="006F318F"/>
    <w:rsid w:val="006F4226"/>
    <w:rsid w:val="006F4C59"/>
    <w:rsid w:val="006F6025"/>
    <w:rsid w:val="0070017E"/>
    <w:rsid w:val="00700B2C"/>
    <w:rsid w:val="00702EFD"/>
    <w:rsid w:val="007036B1"/>
    <w:rsid w:val="007050A2"/>
    <w:rsid w:val="00705229"/>
    <w:rsid w:val="00710AE2"/>
    <w:rsid w:val="00713084"/>
    <w:rsid w:val="00713168"/>
    <w:rsid w:val="0071399B"/>
    <w:rsid w:val="00714F20"/>
    <w:rsid w:val="0071590F"/>
    <w:rsid w:val="00715914"/>
    <w:rsid w:val="00716585"/>
    <w:rsid w:val="007205E5"/>
    <w:rsid w:val="0072363F"/>
    <w:rsid w:val="00723B26"/>
    <w:rsid w:val="00725DFB"/>
    <w:rsid w:val="00731E00"/>
    <w:rsid w:val="007339B5"/>
    <w:rsid w:val="00741B25"/>
    <w:rsid w:val="00741EE8"/>
    <w:rsid w:val="00742367"/>
    <w:rsid w:val="007440B7"/>
    <w:rsid w:val="007458D2"/>
    <w:rsid w:val="007478D2"/>
    <w:rsid w:val="007500C8"/>
    <w:rsid w:val="00753DB5"/>
    <w:rsid w:val="00756272"/>
    <w:rsid w:val="0076306F"/>
    <w:rsid w:val="00763E48"/>
    <w:rsid w:val="007662B5"/>
    <w:rsid w:val="0076681A"/>
    <w:rsid w:val="00767C73"/>
    <w:rsid w:val="007715C9"/>
    <w:rsid w:val="00771613"/>
    <w:rsid w:val="00774EDD"/>
    <w:rsid w:val="0077506D"/>
    <w:rsid w:val="007757EC"/>
    <w:rsid w:val="007810B7"/>
    <w:rsid w:val="00783E89"/>
    <w:rsid w:val="00785A9E"/>
    <w:rsid w:val="00786E44"/>
    <w:rsid w:val="0079156E"/>
    <w:rsid w:val="00793915"/>
    <w:rsid w:val="007A5B75"/>
    <w:rsid w:val="007A6175"/>
    <w:rsid w:val="007B2815"/>
    <w:rsid w:val="007B30B7"/>
    <w:rsid w:val="007B4A5C"/>
    <w:rsid w:val="007B4C4F"/>
    <w:rsid w:val="007B74D7"/>
    <w:rsid w:val="007C2253"/>
    <w:rsid w:val="007D230B"/>
    <w:rsid w:val="007D738C"/>
    <w:rsid w:val="007E163D"/>
    <w:rsid w:val="007E2A46"/>
    <w:rsid w:val="007E667A"/>
    <w:rsid w:val="007E7E0F"/>
    <w:rsid w:val="007F28C9"/>
    <w:rsid w:val="007F3E3B"/>
    <w:rsid w:val="007F54A9"/>
    <w:rsid w:val="007F5BA1"/>
    <w:rsid w:val="0080035B"/>
    <w:rsid w:val="008013D1"/>
    <w:rsid w:val="00802024"/>
    <w:rsid w:val="0080312D"/>
    <w:rsid w:val="00803587"/>
    <w:rsid w:val="00806A0A"/>
    <w:rsid w:val="008117E9"/>
    <w:rsid w:val="00812407"/>
    <w:rsid w:val="0081372B"/>
    <w:rsid w:val="00824498"/>
    <w:rsid w:val="008358F3"/>
    <w:rsid w:val="00840442"/>
    <w:rsid w:val="0084419C"/>
    <w:rsid w:val="008527C0"/>
    <w:rsid w:val="0085523B"/>
    <w:rsid w:val="00855843"/>
    <w:rsid w:val="00856A31"/>
    <w:rsid w:val="00857FE0"/>
    <w:rsid w:val="00860B58"/>
    <w:rsid w:val="00860C90"/>
    <w:rsid w:val="0086711A"/>
    <w:rsid w:val="00867B37"/>
    <w:rsid w:val="008718DD"/>
    <w:rsid w:val="00874857"/>
    <w:rsid w:val="008754D0"/>
    <w:rsid w:val="00877E13"/>
    <w:rsid w:val="00880EBE"/>
    <w:rsid w:val="00881441"/>
    <w:rsid w:val="0088534A"/>
    <w:rsid w:val="008855C9"/>
    <w:rsid w:val="008863A7"/>
    <w:rsid w:val="00886456"/>
    <w:rsid w:val="00893A43"/>
    <w:rsid w:val="008945E0"/>
    <w:rsid w:val="0089527F"/>
    <w:rsid w:val="00896B6F"/>
    <w:rsid w:val="008A362B"/>
    <w:rsid w:val="008A46E1"/>
    <w:rsid w:val="008A4F43"/>
    <w:rsid w:val="008B2706"/>
    <w:rsid w:val="008B4BA8"/>
    <w:rsid w:val="008B516A"/>
    <w:rsid w:val="008B6318"/>
    <w:rsid w:val="008B7EB3"/>
    <w:rsid w:val="008B7FFE"/>
    <w:rsid w:val="008C0F29"/>
    <w:rsid w:val="008C330E"/>
    <w:rsid w:val="008D0EE0"/>
    <w:rsid w:val="008D11A0"/>
    <w:rsid w:val="008D2AB8"/>
    <w:rsid w:val="008D3422"/>
    <w:rsid w:val="008D5A5F"/>
    <w:rsid w:val="008E1753"/>
    <w:rsid w:val="008E6067"/>
    <w:rsid w:val="008F54E7"/>
    <w:rsid w:val="008F7B27"/>
    <w:rsid w:val="008F7F7C"/>
    <w:rsid w:val="009016BE"/>
    <w:rsid w:val="00902B7E"/>
    <w:rsid w:val="00902CE2"/>
    <w:rsid w:val="00903422"/>
    <w:rsid w:val="00906B7F"/>
    <w:rsid w:val="009157B9"/>
    <w:rsid w:val="009157D7"/>
    <w:rsid w:val="00915DF9"/>
    <w:rsid w:val="00923A0A"/>
    <w:rsid w:val="009254C3"/>
    <w:rsid w:val="00926940"/>
    <w:rsid w:val="00927161"/>
    <w:rsid w:val="00930A0A"/>
    <w:rsid w:val="00932377"/>
    <w:rsid w:val="00940C35"/>
    <w:rsid w:val="009458CD"/>
    <w:rsid w:val="00946083"/>
    <w:rsid w:val="009460DC"/>
    <w:rsid w:val="00947D5A"/>
    <w:rsid w:val="009532A5"/>
    <w:rsid w:val="00953A3C"/>
    <w:rsid w:val="00954B1D"/>
    <w:rsid w:val="0095528E"/>
    <w:rsid w:val="009566D6"/>
    <w:rsid w:val="009608CE"/>
    <w:rsid w:val="00960F71"/>
    <w:rsid w:val="00965496"/>
    <w:rsid w:val="0096753E"/>
    <w:rsid w:val="00974B38"/>
    <w:rsid w:val="00981352"/>
    <w:rsid w:val="00982242"/>
    <w:rsid w:val="0098353B"/>
    <w:rsid w:val="009868E9"/>
    <w:rsid w:val="00987498"/>
    <w:rsid w:val="00987517"/>
    <w:rsid w:val="009944E6"/>
    <w:rsid w:val="009A49C9"/>
    <w:rsid w:val="009A7103"/>
    <w:rsid w:val="009B4E94"/>
    <w:rsid w:val="009B597D"/>
    <w:rsid w:val="009D1818"/>
    <w:rsid w:val="009D195A"/>
    <w:rsid w:val="009E0F42"/>
    <w:rsid w:val="009E2DE2"/>
    <w:rsid w:val="009E2F70"/>
    <w:rsid w:val="009E3F71"/>
    <w:rsid w:val="009E5CFC"/>
    <w:rsid w:val="009F1917"/>
    <w:rsid w:val="009F231D"/>
    <w:rsid w:val="00A00ABE"/>
    <w:rsid w:val="00A0165D"/>
    <w:rsid w:val="00A05DDC"/>
    <w:rsid w:val="00A0769C"/>
    <w:rsid w:val="00A079CB"/>
    <w:rsid w:val="00A10EC3"/>
    <w:rsid w:val="00A12128"/>
    <w:rsid w:val="00A12F48"/>
    <w:rsid w:val="00A15512"/>
    <w:rsid w:val="00A22C98"/>
    <w:rsid w:val="00A231E2"/>
    <w:rsid w:val="00A2457D"/>
    <w:rsid w:val="00A26B19"/>
    <w:rsid w:val="00A33D55"/>
    <w:rsid w:val="00A34174"/>
    <w:rsid w:val="00A343B4"/>
    <w:rsid w:val="00A34412"/>
    <w:rsid w:val="00A35871"/>
    <w:rsid w:val="00A37597"/>
    <w:rsid w:val="00A3777B"/>
    <w:rsid w:val="00A37B2B"/>
    <w:rsid w:val="00A40424"/>
    <w:rsid w:val="00A50FB5"/>
    <w:rsid w:val="00A52B0F"/>
    <w:rsid w:val="00A53556"/>
    <w:rsid w:val="00A5632E"/>
    <w:rsid w:val="00A62A2C"/>
    <w:rsid w:val="00A64912"/>
    <w:rsid w:val="00A66B78"/>
    <w:rsid w:val="00A66CC4"/>
    <w:rsid w:val="00A679E6"/>
    <w:rsid w:val="00A70A74"/>
    <w:rsid w:val="00A7236A"/>
    <w:rsid w:val="00A7253A"/>
    <w:rsid w:val="00A823F6"/>
    <w:rsid w:val="00A85F1D"/>
    <w:rsid w:val="00A91966"/>
    <w:rsid w:val="00A9330E"/>
    <w:rsid w:val="00A93393"/>
    <w:rsid w:val="00A93824"/>
    <w:rsid w:val="00A9538D"/>
    <w:rsid w:val="00A9704C"/>
    <w:rsid w:val="00AA1ED2"/>
    <w:rsid w:val="00AA57DC"/>
    <w:rsid w:val="00AA66AC"/>
    <w:rsid w:val="00AB1DE8"/>
    <w:rsid w:val="00AB34F6"/>
    <w:rsid w:val="00AB42BC"/>
    <w:rsid w:val="00AC0886"/>
    <w:rsid w:val="00AC08DF"/>
    <w:rsid w:val="00AC2BC6"/>
    <w:rsid w:val="00AC7396"/>
    <w:rsid w:val="00AD059C"/>
    <w:rsid w:val="00AD1F73"/>
    <w:rsid w:val="00AD3D0C"/>
    <w:rsid w:val="00AD5315"/>
    <w:rsid w:val="00AD5641"/>
    <w:rsid w:val="00AD680D"/>
    <w:rsid w:val="00AD6EA3"/>
    <w:rsid w:val="00AD7889"/>
    <w:rsid w:val="00AE7934"/>
    <w:rsid w:val="00AF021B"/>
    <w:rsid w:val="00AF06CF"/>
    <w:rsid w:val="00AF4BBB"/>
    <w:rsid w:val="00AF5FF4"/>
    <w:rsid w:val="00B07CDB"/>
    <w:rsid w:val="00B10BF4"/>
    <w:rsid w:val="00B141A9"/>
    <w:rsid w:val="00B15294"/>
    <w:rsid w:val="00B16A31"/>
    <w:rsid w:val="00B17BD7"/>
    <w:rsid w:val="00B17DFD"/>
    <w:rsid w:val="00B22DA7"/>
    <w:rsid w:val="00B251B6"/>
    <w:rsid w:val="00B2799D"/>
    <w:rsid w:val="00B308FE"/>
    <w:rsid w:val="00B32D0B"/>
    <w:rsid w:val="00B33709"/>
    <w:rsid w:val="00B33B3C"/>
    <w:rsid w:val="00B33BD1"/>
    <w:rsid w:val="00B472CB"/>
    <w:rsid w:val="00B50ADC"/>
    <w:rsid w:val="00B5434F"/>
    <w:rsid w:val="00B566B1"/>
    <w:rsid w:val="00B600D6"/>
    <w:rsid w:val="00B63817"/>
    <w:rsid w:val="00B63834"/>
    <w:rsid w:val="00B67424"/>
    <w:rsid w:val="00B722D9"/>
    <w:rsid w:val="00B72734"/>
    <w:rsid w:val="00B80199"/>
    <w:rsid w:val="00B8083D"/>
    <w:rsid w:val="00B80AB1"/>
    <w:rsid w:val="00B82D81"/>
    <w:rsid w:val="00B83204"/>
    <w:rsid w:val="00B9126E"/>
    <w:rsid w:val="00B974D8"/>
    <w:rsid w:val="00B978F6"/>
    <w:rsid w:val="00BA220B"/>
    <w:rsid w:val="00BA3144"/>
    <w:rsid w:val="00BA3A57"/>
    <w:rsid w:val="00BA50C8"/>
    <w:rsid w:val="00BA6821"/>
    <w:rsid w:val="00BB152C"/>
    <w:rsid w:val="00BB29A9"/>
    <w:rsid w:val="00BB4E1A"/>
    <w:rsid w:val="00BB5C17"/>
    <w:rsid w:val="00BC015E"/>
    <w:rsid w:val="00BC1178"/>
    <w:rsid w:val="00BC3EA0"/>
    <w:rsid w:val="00BC7183"/>
    <w:rsid w:val="00BC76AC"/>
    <w:rsid w:val="00BD0ECB"/>
    <w:rsid w:val="00BD4853"/>
    <w:rsid w:val="00BD5E09"/>
    <w:rsid w:val="00BD6F50"/>
    <w:rsid w:val="00BE2155"/>
    <w:rsid w:val="00BE2213"/>
    <w:rsid w:val="00BE3D6B"/>
    <w:rsid w:val="00BE703D"/>
    <w:rsid w:val="00BE719A"/>
    <w:rsid w:val="00BE720A"/>
    <w:rsid w:val="00BF0D73"/>
    <w:rsid w:val="00BF23F8"/>
    <w:rsid w:val="00BF2465"/>
    <w:rsid w:val="00BF4394"/>
    <w:rsid w:val="00BF668C"/>
    <w:rsid w:val="00BF75C9"/>
    <w:rsid w:val="00C0544A"/>
    <w:rsid w:val="00C06274"/>
    <w:rsid w:val="00C11452"/>
    <w:rsid w:val="00C224F0"/>
    <w:rsid w:val="00C22F2C"/>
    <w:rsid w:val="00C25E7F"/>
    <w:rsid w:val="00C2743C"/>
    <w:rsid w:val="00C2746F"/>
    <w:rsid w:val="00C30697"/>
    <w:rsid w:val="00C324A0"/>
    <w:rsid w:val="00C328B4"/>
    <w:rsid w:val="00C3300F"/>
    <w:rsid w:val="00C34E77"/>
    <w:rsid w:val="00C35875"/>
    <w:rsid w:val="00C35DAF"/>
    <w:rsid w:val="00C36D25"/>
    <w:rsid w:val="00C42BF8"/>
    <w:rsid w:val="00C44F61"/>
    <w:rsid w:val="00C45171"/>
    <w:rsid w:val="00C50043"/>
    <w:rsid w:val="00C50B97"/>
    <w:rsid w:val="00C52B87"/>
    <w:rsid w:val="00C54738"/>
    <w:rsid w:val="00C63556"/>
    <w:rsid w:val="00C6434E"/>
    <w:rsid w:val="00C70CA8"/>
    <w:rsid w:val="00C71AB7"/>
    <w:rsid w:val="00C7482A"/>
    <w:rsid w:val="00C75277"/>
    <w:rsid w:val="00C7573B"/>
    <w:rsid w:val="00C7761F"/>
    <w:rsid w:val="00C80362"/>
    <w:rsid w:val="00C836AA"/>
    <w:rsid w:val="00C92979"/>
    <w:rsid w:val="00C93C03"/>
    <w:rsid w:val="00C95A72"/>
    <w:rsid w:val="00CA197A"/>
    <w:rsid w:val="00CA66DC"/>
    <w:rsid w:val="00CA75F9"/>
    <w:rsid w:val="00CB2C8E"/>
    <w:rsid w:val="00CB602E"/>
    <w:rsid w:val="00CC183F"/>
    <w:rsid w:val="00CC4209"/>
    <w:rsid w:val="00CC7F95"/>
    <w:rsid w:val="00CD2E90"/>
    <w:rsid w:val="00CE051D"/>
    <w:rsid w:val="00CE1255"/>
    <w:rsid w:val="00CE1335"/>
    <w:rsid w:val="00CE3D2A"/>
    <w:rsid w:val="00CE493D"/>
    <w:rsid w:val="00CE6D42"/>
    <w:rsid w:val="00CF07FA"/>
    <w:rsid w:val="00CF0BB2"/>
    <w:rsid w:val="00CF2BAA"/>
    <w:rsid w:val="00CF3B29"/>
    <w:rsid w:val="00CF3EE8"/>
    <w:rsid w:val="00CF6190"/>
    <w:rsid w:val="00D050E6"/>
    <w:rsid w:val="00D13441"/>
    <w:rsid w:val="00D150E7"/>
    <w:rsid w:val="00D25B13"/>
    <w:rsid w:val="00D26820"/>
    <w:rsid w:val="00D32F65"/>
    <w:rsid w:val="00D341C4"/>
    <w:rsid w:val="00D35817"/>
    <w:rsid w:val="00D46F61"/>
    <w:rsid w:val="00D52DC2"/>
    <w:rsid w:val="00D53BCC"/>
    <w:rsid w:val="00D5434B"/>
    <w:rsid w:val="00D55C87"/>
    <w:rsid w:val="00D563C7"/>
    <w:rsid w:val="00D6372D"/>
    <w:rsid w:val="00D643D3"/>
    <w:rsid w:val="00D702DE"/>
    <w:rsid w:val="00D70DFB"/>
    <w:rsid w:val="00D73C22"/>
    <w:rsid w:val="00D7470A"/>
    <w:rsid w:val="00D75F80"/>
    <w:rsid w:val="00D766DF"/>
    <w:rsid w:val="00D94921"/>
    <w:rsid w:val="00D96E91"/>
    <w:rsid w:val="00DA186E"/>
    <w:rsid w:val="00DA34DE"/>
    <w:rsid w:val="00DA3C0B"/>
    <w:rsid w:val="00DA4116"/>
    <w:rsid w:val="00DB251C"/>
    <w:rsid w:val="00DB38AD"/>
    <w:rsid w:val="00DB4630"/>
    <w:rsid w:val="00DB662A"/>
    <w:rsid w:val="00DB67BC"/>
    <w:rsid w:val="00DC4445"/>
    <w:rsid w:val="00DC4F88"/>
    <w:rsid w:val="00DC52DC"/>
    <w:rsid w:val="00DE0082"/>
    <w:rsid w:val="00DE470F"/>
    <w:rsid w:val="00DE6C12"/>
    <w:rsid w:val="00DE79F9"/>
    <w:rsid w:val="00DF5060"/>
    <w:rsid w:val="00DF685B"/>
    <w:rsid w:val="00E04066"/>
    <w:rsid w:val="00E05704"/>
    <w:rsid w:val="00E06CC3"/>
    <w:rsid w:val="00E07346"/>
    <w:rsid w:val="00E11E44"/>
    <w:rsid w:val="00E13AFA"/>
    <w:rsid w:val="00E14ADF"/>
    <w:rsid w:val="00E15E2E"/>
    <w:rsid w:val="00E2168B"/>
    <w:rsid w:val="00E21F03"/>
    <w:rsid w:val="00E23B59"/>
    <w:rsid w:val="00E23B5C"/>
    <w:rsid w:val="00E25B25"/>
    <w:rsid w:val="00E27360"/>
    <w:rsid w:val="00E32A63"/>
    <w:rsid w:val="00E338EF"/>
    <w:rsid w:val="00E40FF8"/>
    <w:rsid w:val="00E41226"/>
    <w:rsid w:val="00E544BB"/>
    <w:rsid w:val="00E5458B"/>
    <w:rsid w:val="00E549EE"/>
    <w:rsid w:val="00E578EC"/>
    <w:rsid w:val="00E60423"/>
    <w:rsid w:val="00E649D7"/>
    <w:rsid w:val="00E661BA"/>
    <w:rsid w:val="00E662CB"/>
    <w:rsid w:val="00E67AEE"/>
    <w:rsid w:val="00E73983"/>
    <w:rsid w:val="00E749BF"/>
    <w:rsid w:val="00E74DC7"/>
    <w:rsid w:val="00E77D65"/>
    <w:rsid w:val="00E8075A"/>
    <w:rsid w:val="00E811FF"/>
    <w:rsid w:val="00E818A6"/>
    <w:rsid w:val="00E85A91"/>
    <w:rsid w:val="00E87718"/>
    <w:rsid w:val="00E91E5A"/>
    <w:rsid w:val="00E94D5E"/>
    <w:rsid w:val="00E9715F"/>
    <w:rsid w:val="00EA0440"/>
    <w:rsid w:val="00EA7100"/>
    <w:rsid w:val="00EA7D0F"/>
    <w:rsid w:val="00EA7F9F"/>
    <w:rsid w:val="00EB0E70"/>
    <w:rsid w:val="00EB1274"/>
    <w:rsid w:val="00EB303A"/>
    <w:rsid w:val="00EC3590"/>
    <w:rsid w:val="00EC4757"/>
    <w:rsid w:val="00EC6EC1"/>
    <w:rsid w:val="00EC7996"/>
    <w:rsid w:val="00EC7EDB"/>
    <w:rsid w:val="00ED0D77"/>
    <w:rsid w:val="00ED2BB6"/>
    <w:rsid w:val="00ED34E1"/>
    <w:rsid w:val="00ED3B8D"/>
    <w:rsid w:val="00ED63C0"/>
    <w:rsid w:val="00ED7008"/>
    <w:rsid w:val="00ED7ACD"/>
    <w:rsid w:val="00EE4119"/>
    <w:rsid w:val="00EF0672"/>
    <w:rsid w:val="00EF15D3"/>
    <w:rsid w:val="00EF2E3A"/>
    <w:rsid w:val="00F02EF9"/>
    <w:rsid w:val="00F047D8"/>
    <w:rsid w:val="00F072A7"/>
    <w:rsid w:val="00F078DC"/>
    <w:rsid w:val="00F14593"/>
    <w:rsid w:val="00F171A1"/>
    <w:rsid w:val="00F22A97"/>
    <w:rsid w:val="00F26FF1"/>
    <w:rsid w:val="00F3026C"/>
    <w:rsid w:val="00F314A4"/>
    <w:rsid w:val="00F31748"/>
    <w:rsid w:val="00F32BA8"/>
    <w:rsid w:val="00F33094"/>
    <w:rsid w:val="00F349F1"/>
    <w:rsid w:val="00F41EC8"/>
    <w:rsid w:val="00F4215A"/>
    <w:rsid w:val="00F4350D"/>
    <w:rsid w:val="00F45541"/>
    <w:rsid w:val="00F50532"/>
    <w:rsid w:val="00F54E1B"/>
    <w:rsid w:val="00F566F8"/>
    <w:rsid w:val="00F567F7"/>
    <w:rsid w:val="00F61B09"/>
    <w:rsid w:val="00F62036"/>
    <w:rsid w:val="00F65B52"/>
    <w:rsid w:val="00F664D0"/>
    <w:rsid w:val="00F67BCA"/>
    <w:rsid w:val="00F72DCC"/>
    <w:rsid w:val="00F73BD6"/>
    <w:rsid w:val="00F77C6D"/>
    <w:rsid w:val="00F8315B"/>
    <w:rsid w:val="00F83989"/>
    <w:rsid w:val="00F83AFB"/>
    <w:rsid w:val="00F85099"/>
    <w:rsid w:val="00F850A2"/>
    <w:rsid w:val="00F9379C"/>
    <w:rsid w:val="00F95B04"/>
    <w:rsid w:val="00F9632C"/>
    <w:rsid w:val="00FA1E52"/>
    <w:rsid w:val="00FA2491"/>
    <w:rsid w:val="00FA31DE"/>
    <w:rsid w:val="00FA7D17"/>
    <w:rsid w:val="00FB147D"/>
    <w:rsid w:val="00FC3723"/>
    <w:rsid w:val="00FC3EB8"/>
    <w:rsid w:val="00FC63D4"/>
    <w:rsid w:val="00FC7640"/>
    <w:rsid w:val="00FC7D25"/>
    <w:rsid w:val="00FD13CC"/>
    <w:rsid w:val="00FD2134"/>
    <w:rsid w:val="00FD3626"/>
    <w:rsid w:val="00FD6C06"/>
    <w:rsid w:val="00FE1376"/>
    <w:rsid w:val="00FE44AB"/>
    <w:rsid w:val="00FE4688"/>
    <w:rsid w:val="00FE72D6"/>
    <w:rsid w:val="00FE79D0"/>
    <w:rsid w:val="00FF41B3"/>
    <w:rsid w:val="0566DF6C"/>
    <w:rsid w:val="07ECC549"/>
    <w:rsid w:val="0CC47086"/>
    <w:rsid w:val="115514BF"/>
    <w:rsid w:val="1317E46E"/>
    <w:rsid w:val="13F1E783"/>
    <w:rsid w:val="145790F0"/>
    <w:rsid w:val="1527A864"/>
    <w:rsid w:val="20C63E46"/>
    <w:rsid w:val="25514D20"/>
    <w:rsid w:val="3CD20F92"/>
    <w:rsid w:val="42372D98"/>
    <w:rsid w:val="43458D57"/>
    <w:rsid w:val="446D70BE"/>
    <w:rsid w:val="465208DA"/>
    <w:rsid w:val="4675873E"/>
    <w:rsid w:val="46E762AA"/>
    <w:rsid w:val="4C5293AA"/>
    <w:rsid w:val="539EC745"/>
    <w:rsid w:val="5D02AC0A"/>
    <w:rsid w:val="5D874165"/>
    <w:rsid w:val="5EEBCBAA"/>
    <w:rsid w:val="635DECE2"/>
    <w:rsid w:val="6EF7FBC9"/>
    <w:rsid w:val="7797D197"/>
    <w:rsid w:val="792259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DEB892B0-71FC-4670-90A9-1C442450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7458D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3411">
      <w:bodyDiv w:val="1"/>
      <w:marLeft w:val="0"/>
      <w:marRight w:val="0"/>
      <w:marTop w:val="0"/>
      <w:marBottom w:val="0"/>
      <w:divBdr>
        <w:top w:val="none" w:sz="0" w:space="0" w:color="auto"/>
        <w:left w:val="none" w:sz="0" w:space="0" w:color="auto"/>
        <w:bottom w:val="none" w:sz="0" w:space="0" w:color="auto"/>
        <w:right w:val="none" w:sz="0" w:space="0" w:color="auto"/>
      </w:divBdr>
    </w:div>
    <w:div w:id="640305014">
      <w:bodyDiv w:val="1"/>
      <w:marLeft w:val="0"/>
      <w:marRight w:val="0"/>
      <w:marTop w:val="0"/>
      <w:marBottom w:val="0"/>
      <w:divBdr>
        <w:top w:val="none" w:sz="0" w:space="0" w:color="auto"/>
        <w:left w:val="none" w:sz="0" w:space="0" w:color="auto"/>
        <w:bottom w:val="none" w:sz="0" w:space="0" w:color="auto"/>
        <w:right w:val="none" w:sz="0" w:space="0" w:color="auto"/>
      </w:divBdr>
    </w:div>
    <w:div w:id="766078715">
      <w:bodyDiv w:val="1"/>
      <w:marLeft w:val="0"/>
      <w:marRight w:val="0"/>
      <w:marTop w:val="0"/>
      <w:marBottom w:val="0"/>
      <w:divBdr>
        <w:top w:val="none" w:sz="0" w:space="0" w:color="auto"/>
        <w:left w:val="none" w:sz="0" w:space="0" w:color="auto"/>
        <w:bottom w:val="none" w:sz="0" w:space="0" w:color="auto"/>
        <w:right w:val="none" w:sz="0" w:space="0" w:color="auto"/>
      </w:divBdr>
    </w:div>
    <w:div w:id="19280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xsi:nil="true"/>
    <DocumentNotes xmlns="db2b92ca-6ed0-4085-802d-4c686a2e8c3f" xsi:nil="true"/>
    <NAPReason xmlns="db2b92ca-6ed0-4085-802d-4c686a2e8c3f" xsi:nil="true"/>
    <_dlc_DocId xmlns="eb44715b-cd74-4c79-92c4-f0e9f1a86440">000853-1726373233-1745</_dlc_DocId>
    <_dlc_DocIdUrl xmlns="eb44715b-cd74-4c79-92c4-f0e9f1a86440">
      <Url>https://asiclink.sharepoint.com/teams/000853/_layouts/15/DocIdRedir.aspx?ID=000853-1726373233-1745</Url>
      <Description>000853-1726373233-1745</Description>
    </_dlc_DocIdUrl>
    <_dlc_DocIdPersistId xmlns="eb44715b-cd74-4c79-92c4-f0e9f1a86440">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9" ma:contentTypeDescription="" ma:contentTypeScope="" ma:versionID="d71cc0bbcad8cfdd791298d7c33ac4c4">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43e6f115ca98de8c6a8874ca9ed13d6d"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2432A840-6A78-44D9-9C0C-3DF97181B052}">
  <ds:schemaRefs>
    <ds:schemaRef ds:uri="Microsoft.SharePoint.Taxonomy.ContentTypeSync"/>
  </ds:schemaRefs>
</ds:datastoreItem>
</file>

<file path=customXml/itemProps2.xml><?xml version="1.0" encoding="utf-8"?>
<ds:datastoreItem xmlns:ds="http://schemas.openxmlformats.org/officeDocument/2006/customXml" ds:itemID="{62E809C2-6D9B-4B70-B79C-921106471BAC}">
  <ds:schemaRefs>
    <ds:schemaRef ds:uri="http://purl.org/dc/elements/1.1/"/>
    <ds:schemaRef ds:uri="http://schemas.microsoft.com/office/2006/metadata/properties"/>
    <ds:schemaRef ds:uri="97799607-2890-4a68-80f0-689cc1cb251f"/>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44715b-cd74-4c79-92c4-f0e9f1a86440"/>
    <ds:schemaRef ds:uri="db2b92ca-6ed0-4085-802d-4c686a2e8c3f"/>
    <ds:schemaRef ds:uri="http://www.w3.org/XML/1998/namespace"/>
    <ds:schemaRef ds:uri="http://purl.org/dc/dcmitype/"/>
  </ds:schemaRefs>
</ds:datastoreItem>
</file>

<file path=customXml/itemProps3.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4.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5.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6.xml><?xml version="1.0" encoding="utf-8"?>
<ds:datastoreItem xmlns:ds="http://schemas.openxmlformats.org/officeDocument/2006/customXml" ds:itemID="{81F56D5A-BF5B-42CA-8457-7C049960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B71CABB-B5AB-48F4-A634-26B4F4E64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Template>
  <TotalTime>2</TotalTime>
  <Pages>7</Pages>
  <Words>1115</Words>
  <Characters>6359</Characters>
  <Application>Microsoft Office Word</Application>
  <DocSecurity>0</DocSecurity>
  <PresentationFormat/>
  <Lines>52</Lines>
  <Paragraphs>14</Paragraphs>
  <ScaleCrop>false</ScaleCrop>
  <Company>ASIC</Company>
  <LinksUpToDate>false</LinksUpToDate>
  <CharactersWithSpaces>7460</CharactersWithSpaces>
  <SharedDoc>false</SharedDoc>
  <HyperlinkBase/>
  <HLinks>
    <vt:vector size="60" baseType="variant">
      <vt:variant>
        <vt:i4>1310772</vt:i4>
      </vt:variant>
      <vt:variant>
        <vt:i4>56</vt:i4>
      </vt:variant>
      <vt:variant>
        <vt:i4>0</vt:i4>
      </vt:variant>
      <vt:variant>
        <vt:i4>5</vt:i4>
      </vt:variant>
      <vt:variant>
        <vt:lpwstr/>
      </vt:variant>
      <vt:variant>
        <vt:lpwstr>_Toc209080734</vt:lpwstr>
      </vt:variant>
      <vt:variant>
        <vt:i4>1310772</vt:i4>
      </vt:variant>
      <vt:variant>
        <vt:i4>50</vt:i4>
      </vt:variant>
      <vt:variant>
        <vt:i4>0</vt:i4>
      </vt:variant>
      <vt:variant>
        <vt:i4>5</vt:i4>
      </vt:variant>
      <vt:variant>
        <vt:lpwstr/>
      </vt:variant>
      <vt:variant>
        <vt:lpwstr>_Toc209080733</vt:lpwstr>
      </vt:variant>
      <vt:variant>
        <vt:i4>1310772</vt:i4>
      </vt:variant>
      <vt:variant>
        <vt:i4>44</vt:i4>
      </vt:variant>
      <vt:variant>
        <vt:i4>0</vt:i4>
      </vt:variant>
      <vt:variant>
        <vt:i4>5</vt:i4>
      </vt:variant>
      <vt:variant>
        <vt:lpwstr/>
      </vt:variant>
      <vt:variant>
        <vt:lpwstr>_Toc209080732</vt:lpwstr>
      </vt:variant>
      <vt:variant>
        <vt:i4>1310772</vt:i4>
      </vt:variant>
      <vt:variant>
        <vt:i4>38</vt:i4>
      </vt:variant>
      <vt:variant>
        <vt:i4>0</vt:i4>
      </vt:variant>
      <vt:variant>
        <vt:i4>5</vt:i4>
      </vt:variant>
      <vt:variant>
        <vt:lpwstr/>
      </vt:variant>
      <vt:variant>
        <vt:lpwstr>_Toc209080731</vt:lpwstr>
      </vt:variant>
      <vt:variant>
        <vt:i4>1310772</vt:i4>
      </vt:variant>
      <vt:variant>
        <vt:i4>32</vt:i4>
      </vt:variant>
      <vt:variant>
        <vt:i4>0</vt:i4>
      </vt:variant>
      <vt:variant>
        <vt:i4>5</vt:i4>
      </vt:variant>
      <vt:variant>
        <vt:lpwstr/>
      </vt:variant>
      <vt:variant>
        <vt:lpwstr>_Toc209080730</vt:lpwstr>
      </vt:variant>
      <vt:variant>
        <vt:i4>1376308</vt:i4>
      </vt:variant>
      <vt:variant>
        <vt:i4>26</vt:i4>
      </vt:variant>
      <vt:variant>
        <vt:i4>0</vt:i4>
      </vt:variant>
      <vt:variant>
        <vt:i4>5</vt:i4>
      </vt:variant>
      <vt:variant>
        <vt:lpwstr/>
      </vt:variant>
      <vt:variant>
        <vt:lpwstr>_Toc209080729</vt:lpwstr>
      </vt:variant>
      <vt:variant>
        <vt:i4>1376308</vt:i4>
      </vt:variant>
      <vt:variant>
        <vt:i4>20</vt:i4>
      </vt:variant>
      <vt:variant>
        <vt:i4>0</vt:i4>
      </vt:variant>
      <vt:variant>
        <vt:i4>5</vt:i4>
      </vt:variant>
      <vt:variant>
        <vt:lpwstr/>
      </vt:variant>
      <vt:variant>
        <vt:lpwstr>_Toc209080728</vt:lpwstr>
      </vt:variant>
      <vt:variant>
        <vt:i4>1376308</vt:i4>
      </vt:variant>
      <vt:variant>
        <vt:i4>14</vt:i4>
      </vt:variant>
      <vt:variant>
        <vt:i4>0</vt:i4>
      </vt:variant>
      <vt:variant>
        <vt:i4>5</vt:i4>
      </vt:variant>
      <vt:variant>
        <vt:lpwstr/>
      </vt:variant>
      <vt:variant>
        <vt:lpwstr>_Toc209080727</vt:lpwstr>
      </vt:variant>
      <vt:variant>
        <vt:i4>1376308</vt:i4>
      </vt:variant>
      <vt:variant>
        <vt:i4>8</vt:i4>
      </vt:variant>
      <vt:variant>
        <vt:i4>0</vt:i4>
      </vt:variant>
      <vt:variant>
        <vt:i4>5</vt:i4>
      </vt:variant>
      <vt:variant>
        <vt:lpwstr/>
      </vt:variant>
      <vt:variant>
        <vt:lpwstr>_Toc209080726</vt:lpwstr>
      </vt:variant>
      <vt:variant>
        <vt:i4>1376308</vt:i4>
      </vt:variant>
      <vt:variant>
        <vt:i4>2</vt:i4>
      </vt:variant>
      <vt:variant>
        <vt:i4>0</vt:i4>
      </vt:variant>
      <vt:variant>
        <vt:i4>5</vt:i4>
      </vt:variant>
      <vt:variant>
        <vt:lpwstr/>
      </vt:variant>
      <vt:variant>
        <vt:lpwstr>_Toc209080725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Narelle Kane</cp:lastModifiedBy>
  <cp:revision>5</cp:revision>
  <cp:lastPrinted>2014-06-16T02:38:00Z</cp:lastPrinted>
  <dcterms:created xsi:type="dcterms:W3CDTF">2025-09-19T00:41:00Z</dcterms:created>
  <dcterms:modified xsi:type="dcterms:W3CDTF">2025-09-21T23:18:00Z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6;#Sensitive|19fd2cb8-3e97-4464-ae71-8c2c2095d028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0x010100B5F685A1365F544391EF8C813B164F3A0008C9EE83D83D4448AF8205A6FC777399</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a0f07599-c291-4efa-ae07-e37db7dbff39</vt:lpwstr>
  </property>
  <property fmtid="{D5CDD505-2E9C-101B-9397-08002B2CF9AE}" pid="75" name="_dlc_DocIdUrl">
    <vt:lpwstr>https://asiclink.sharepoint.com/teams/000853/_layouts/15/DocIdRedir.aspx?ID=000853-1726373233-7, 000853-1726373233-7</vt:lpwstr>
  </property>
  <property fmtid="{D5CDD505-2E9C-101B-9397-08002B2CF9AE}" pid="76" name="MSIP_Label_a6aead41-07f8-4767-ac8e-ef1c9c793766_Enabled">
    <vt:lpwstr>true</vt:lpwstr>
  </property>
  <property fmtid="{D5CDD505-2E9C-101B-9397-08002B2CF9AE}" pid="77" name="MSIP_Label_a6aead41-07f8-4767-ac8e-ef1c9c793766_SetDate">
    <vt:lpwstr>2023-08-16T23:30:51Z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7762a810-eda9-4d8d-986d-be8e0820832b</vt:lpwstr>
  </property>
  <property fmtid="{D5CDD505-2E9C-101B-9397-08002B2CF9AE}" pid="82" name="MSIP_Label_a6aead41-07f8-4767-ac8e-ef1c9c793766_ContentBits">
    <vt:lpwstr>0</vt:lpwstr>
  </property>
  <property fmtid="{D5CDD505-2E9C-101B-9397-08002B2CF9AE}" pid="83" name="p1abb5e704a84578aa4b8ef0390c3b250">
    <vt:lpwstr>Sensitive|19fd2cb8-3e97-4464-ae71-8c2c2095d028</vt:lpwstr>
  </property>
  <property fmtid="{D5CDD505-2E9C-101B-9397-08002B2CF9AE}" pid="84" name="lcf76f155ced4ddcb4097134ff3c332f">
    <vt:lpwstr/>
  </property>
  <property fmtid="{D5CDD505-2E9C-101B-9397-08002B2CF9AE}" pid="85" name="MediaServiceImageTags">
    <vt:lpwstr/>
  </property>
  <property fmtid="{D5CDD505-2E9C-101B-9397-08002B2CF9AE}" pid="86" name="MailIn-Reply-To">
    <vt:lpwstr/>
  </property>
  <property fmtid="{D5CDD505-2E9C-101B-9397-08002B2CF9AE}" pid="87" name="ComplianceAssetId">
    <vt:lpwstr/>
  </property>
  <property fmtid="{D5CDD505-2E9C-101B-9397-08002B2CF9AE}" pid="88" name="_ExtendedDescription">
    <vt:lpwstr/>
  </property>
  <property fmtid="{D5CDD505-2E9C-101B-9397-08002B2CF9AE}" pid="89" name="xd_Signature">
    <vt:bool>false</vt:bool>
  </property>
  <property fmtid="{D5CDD505-2E9C-101B-9397-08002B2CF9AE}" pid="90" name="MailReply-To">
    <vt:lpwstr/>
  </property>
  <property fmtid="{D5CDD505-2E9C-101B-9397-08002B2CF9AE}" pid="91" name="TriggerFlowInfo">
    <vt:lpwstr/>
  </property>
  <property fmtid="{D5CDD505-2E9C-101B-9397-08002B2CF9AE}" pid="92" name="xd_ProgID">
    <vt:lpwstr/>
  </property>
  <property fmtid="{D5CDD505-2E9C-101B-9397-08002B2CF9AE}" pid="93" name="TemplateUrl">
    <vt:lpwstr/>
  </property>
  <property fmtid="{D5CDD505-2E9C-101B-9397-08002B2CF9AE}" pid="94" name="docLang">
    <vt:lpwstr>en</vt:lpwstr>
  </property>
</Properties>
</file>