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2F12" w14:textId="2DF6A2D1" w:rsidR="00715914" w:rsidRPr="00742885" w:rsidRDefault="003904F4" w:rsidP="009460DC">
      <w:pPr>
        <w:spacing w:after="600"/>
        <w:rPr>
          <w:sz w:val="28"/>
        </w:rPr>
      </w:pPr>
      <w:r w:rsidRPr="00742885">
        <w:rPr>
          <w:noProof/>
        </w:rPr>
        <w:drawing>
          <wp:inline distT="0" distB="0" distL="0" distR="0" wp14:anchorId="55BD11BD" wp14:editId="49B7DF19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69291" w14:textId="1B01FD3C" w:rsidR="00243EC0" w:rsidRPr="00742885" w:rsidRDefault="00447DB4" w:rsidP="003B28C3">
      <w:pPr>
        <w:pStyle w:val="LI-Title"/>
        <w:pBdr>
          <w:bottom w:val="single" w:sz="4" w:space="1" w:color="auto"/>
        </w:pBdr>
      </w:pPr>
      <w:r w:rsidRPr="00742885">
        <w:t>A</w:t>
      </w:r>
      <w:r w:rsidR="00327DDF" w:rsidRPr="00742885">
        <w:t xml:space="preserve">SIC Corporations </w:t>
      </w:r>
      <w:r w:rsidR="00653CB2" w:rsidRPr="00742885">
        <w:t>(</w:t>
      </w:r>
      <w:r w:rsidR="001805C1" w:rsidRPr="00742885">
        <w:t>Post Balance Date Reporting</w:t>
      </w:r>
      <w:r w:rsidR="00653CB2" w:rsidRPr="00742885">
        <w:t xml:space="preserve">) Instrument </w:t>
      </w:r>
      <w:r w:rsidR="006231C4" w:rsidRPr="00742885">
        <w:t>2025</w:t>
      </w:r>
      <w:r w:rsidR="00653CB2" w:rsidRPr="00742885">
        <w:t>/</w:t>
      </w:r>
      <w:r w:rsidR="006231C4" w:rsidRPr="00742885">
        <w:t>43</w:t>
      </w:r>
      <w:r w:rsidR="001F3A11" w:rsidRPr="00742885">
        <w:t>7</w:t>
      </w:r>
    </w:p>
    <w:p w14:paraId="59A19406" w14:textId="4799FF08" w:rsidR="00F171A1" w:rsidRPr="00742885" w:rsidRDefault="00F171A1" w:rsidP="00005446">
      <w:pPr>
        <w:pStyle w:val="LI-Fronttext"/>
        <w:rPr>
          <w:sz w:val="24"/>
          <w:szCs w:val="24"/>
        </w:rPr>
      </w:pPr>
      <w:r w:rsidRPr="00742885">
        <w:rPr>
          <w:sz w:val="24"/>
          <w:szCs w:val="24"/>
        </w:rPr>
        <w:t xml:space="preserve">I, </w:t>
      </w:r>
      <w:r w:rsidR="007241FF" w:rsidRPr="00742885">
        <w:rPr>
          <w:sz w:val="24"/>
          <w:szCs w:val="24"/>
        </w:rPr>
        <w:t>Claire LaBouchardiere</w:t>
      </w:r>
      <w:r w:rsidR="00C0544A" w:rsidRPr="00742885">
        <w:rPr>
          <w:sz w:val="24"/>
          <w:szCs w:val="24"/>
        </w:rPr>
        <w:t>, delegate of the Australian Securities and Investments Commission</w:t>
      </w:r>
      <w:r w:rsidRPr="00742885">
        <w:rPr>
          <w:sz w:val="24"/>
          <w:szCs w:val="24"/>
        </w:rPr>
        <w:t xml:space="preserve">, make the following </w:t>
      </w:r>
      <w:r w:rsidR="008C0F29" w:rsidRPr="00742885">
        <w:rPr>
          <w:sz w:val="24"/>
          <w:szCs w:val="24"/>
        </w:rPr>
        <w:t>legislative instrument</w:t>
      </w:r>
      <w:r w:rsidRPr="00742885">
        <w:rPr>
          <w:sz w:val="24"/>
          <w:szCs w:val="24"/>
        </w:rPr>
        <w:t>.</w:t>
      </w:r>
    </w:p>
    <w:p w14:paraId="26B891BC" w14:textId="77777777" w:rsidR="003A2A48" w:rsidRPr="00742885" w:rsidRDefault="003A2A48" w:rsidP="00005446">
      <w:pPr>
        <w:pStyle w:val="LI-Fronttext"/>
      </w:pPr>
    </w:p>
    <w:p w14:paraId="633C97CA" w14:textId="2167B9DF" w:rsidR="000D041F" w:rsidRPr="00742885" w:rsidRDefault="00F171A1" w:rsidP="00005446">
      <w:pPr>
        <w:pStyle w:val="LI-Fronttext"/>
        <w:rPr>
          <w:sz w:val="24"/>
          <w:szCs w:val="24"/>
        </w:rPr>
      </w:pPr>
      <w:r w:rsidRPr="00742885">
        <w:rPr>
          <w:sz w:val="24"/>
          <w:szCs w:val="24"/>
        </w:rPr>
        <w:t>Date</w:t>
      </w:r>
      <w:r w:rsidRPr="00742885">
        <w:rPr>
          <w:sz w:val="24"/>
          <w:szCs w:val="24"/>
        </w:rPr>
        <w:tab/>
      </w:r>
      <w:bookmarkStart w:id="0" w:name="BKCheck15B_1"/>
      <w:bookmarkEnd w:id="0"/>
      <w:r w:rsidR="00C5365B" w:rsidRPr="00742885">
        <w:rPr>
          <w:sz w:val="24"/>
          <w:szCs w:val="24"/>
        </w:rPr>
        <w:t xml:space="preserve">19 September </w:t>
      </w:r>
      <w:r w:rsidR="00CE6D42" w:rsidRPr="00742885">
        <w:rPr>
          <w:sz w:val="24"/>
          <w:szCs w:val="24"/>
        </w:rPr>
        <w:t>20</w:t>
      </w:r>
      <w:r w:rsidR="00E67AEE" w:rsidRPr="00742885">
        <w:rPr>
          <w:sz w:val="24"/>
          <w:szCs w:val="24"/>
        </w:rPr>
        <w:t>2</w:t>
      </w:r>
      <w:r w:rsidR="00880DF2" w:rsidRPr="00742885">
        <w:rPr>
          <w:sz w:val="24"/>
          <w:szCs w:val="24"/>
        </w:rPr>
        <w:t>5</w:t>
      </w:r>
      <w:r w:rsidR="00C5365B" w:rsidRPr="00742885">
        <w:rPr>
          <w:sz w:val="24"/>
          <w:szCs w:val="24"/>
        </w:rPr>
        <w:br/>
      </w:r>
    </w:p>
    <w:p w14:paraId="2D1C7D40" w14:textId="77777777" w:rsidR="00C5365B" w:rsidRPr="00742885" w:rsidRDefault="00C5365B" w:rsidP="00465DC1">
      <w:pPr>
        <w:pStyle w:val="LI-Fronttext"/>
        <w:pBdr>
          <w:bottom w:val="single" w:sz="4" w:space="1" w:color="auto"/>
        </w:pBdr>
        <w:rPr>
          <w:sz w:val="24"/>
          <w:szCs w:val="24"/>
        </w:rPr>
      </w:pPr>
    </w:p>
    <w:p w14:paraId="32300E4F" w14:textId="23527342" w:rsidR="00F171A1" w:rsidRPr="00742885" w:rsidRDefault="00C5365B" w:rsidP="00465DC1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742885">
        <w:rPr>
          <w:sz w:val="24"/>
          <w:szCs w:val="24"/>
        </w:rPr>
        <w:t>Claire LaBouchardiere</w:t>
      </w:r>
    </w:p>
    <w:p w14:paraId="78A1AD82" w14:textId="77777777" w:rsidR="00715914" w:rsidRPr="00742885" w:rsidRDefault="00715914" w:rsidP="00715914">
      <w:pPr>
        <w:pStyle w:val="Header"/>
        <w:tabs>
          <w:tab w:val="clear" w:pos="4150"/>
          <w:tab w:val="clear" w:pos="8307"/>
        </w:tabs>
      </w:pPr>
    </w:p>
    <w:p w14:paraId="6D8A58FF" w14:textId="77777777" w:rsidR="00715914" w:rsidRPr="00742885" w:rsidRDefault="00715914" w:rsidP="00715914">
      <w:pPr>
        <w:sectPr w:rsidR="00715914" w:rsidRPr="00742885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F8529BE" w14:textId="77777777" w:rsidR="00F67BCA" w:rsidRPr="00742885" w:rsidRDefault="00715914" w:rsidP="00E2168B">
      <w:pPr>
        <w:spacing w:before="280" w:after="240"/>
        <w:rPr>
          <w:sz w:val="36"/>
        </w:rPr>
      </w:pPr>
      <w:r w:rsidRPr="00742885">
        <w:rPr>
          <w:b/>
          <w:sz w:val="32"/>
          <w:szCs w:val="32"/>
        </w:rPr>
        <w:lastRenderedPageBreak/>
        <w:t>Contents</w:t>
      </w:r>
    </w:p>
    <w:p w14:paraId="7DD3F84F" w14:textId="7A49BA29" w:rsidR="00D148AF" w:rsidRPr="00742885" w:rsidRDefault="00D148AF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bookmarkStart w:id="1" w:name="BKCheck15B_2"/>
      <w:bookmarkEnd w:id="1"/>
      <w:r w:rsidRPr="00742885">
        <w:rPr>
          <w:noProof/>
        </w:rPr>
        <w:t>Part 1—Preliminary</w:t>
      </w:r>
      <w:r w:rsidRPr="00742885">
        <w:rPr>
          <w:noProof/>
          <w:webHidden/>
        </w:rPr>
        <w:tab/>
        <w:t>3</w:t>
      </w:r>
    </w:p>
    <w:p w14:paraId="47E9EE87" w14:textId="6C52349B" w:rsidR="00D148AF" w:rsidRPr="00742885" w:rsidRDefault="00D148AF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</w:pPr>
      <w:r w:rsidRPr="00742885">
        <w:rPr>
          <w:rStyle w:val="Hyperlink"/>
          <w:noProof/>
          <w:color w:val="000000" w:themeColor="text1"/>
          <w:u w:val="none"/>
        </w:rPr>
        <w:t>1</w:t>
      </w:r>
      <w:r w:rsidRPr="00742885"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  <w:tab/>
      </w:r>
      <w:r w:rsidRPr="00742885">
        <w:rPr>
          <w:rStyle w:val="Hyperlink"/>
          <w:noProof/>
          <w:color w:val="000000" w:themeColor="text1"/>
          <w:u w:val="none"/>
        </w:rPr>
        <w:t>Name of legislative instrument</w:t>
      </w:r>
      <w:r w:rsidRPr="00742885">
        <w:rPr>
          <w:noProof/>
          <w:webHidden/>
          <w:color w:val="000000" w:themeColor="text1"/>
        </w:rPr>
        <w:tab/>
        <w:t>3</w:t>
      </w:r>
    </w:p>
    <w:p w14:paraId="74708662" w14:textId="4AC1AA8E" w:rsidR="00D148AF" w:rsidRPr="00742885" w:rsidRDefault="00D148AF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</w:pPr>
      <w:r w:rsidRPr="00742885">
        <w:rPr>
          <w:rStyle w:val="Hyperlink"/>
          <w:noProof/>
          <w:color w:val="000000" w:themeColor="text1"/>
          <w:u w:val="none"/>
        </w:rPr>
        <w:t>2</w:t>
      </w:r>
      <w:r w:rsidRPr="00742885"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  <w:tab/>
      </w:r>
      <w:r w:rsidRPr="00742885">
        <w:rPr>
          <w:rStyle w:val="Hyperlink"/>
          <w:noProof/>
          <w:color w:val="000000" w:themeColor="text1"/>
          <w:u w:val="none"/>
        </w:rPr>
        <w:t>Commencement</w:t>
      </w:r>
      <w:r w:rsidRPr="00742885">
        <w:rPr>
          <w:noProof/>
          <w:webHidden/>
          <w:color w:val="000000" w:themeColor="text1"/>
        </w:rPr>
        <w:tab/>
        <w:t>3</w:t>
      </w:r>
    </w:p>
    <w:p w14:paraId="1BE05989" w14:textId="3F33D5AD" w:rsidR="00D148AF" w:rsidRPr="00742885" w:rsidRDefault="00D148AF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</w:pPr>
      <w:r w:rsidRPr="00742885">
        <w:rPr>
          <w:rStyle w:val="Hyperlink"/>
          <w:noProof/>
          <w:color w:val="000000" w:themeColor="text1"/>
          <w:u w:val="none"/>
        </w:rPr>
        <w:t>3</w:t>
      </w:r>
      <w:r w:rsidRPr="00742885"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  <w:tab/>
      </w:r>
      <w:r w:rsidRPr="00742885">
        <w:rPr>
          <w:rStyle w:val="Hyperlink"/>
          <w:noProof/>
          <w:color w:val="000000" w:themeColor="text1"/>
          <w:u w:val="none"/>
        </w:rPr>
        <w:t>Authority</w:t>
      </w:r>
      <w:r w:rsidRPr="00742885">
        <w:rPr>
          <w:noProof/>
          <w:webHidden/>
          <w:color w:val="000000" w:themeColor="text1"/>
        </w:rPr>
        <w:tab/>
        <w:t>3</w:t>
      </w:r>
    </w:p>
    <w:p w14:paraId="08D7A108" w14:textId="3697CD6D" w:rsidR="00D148AF" w:rsidRPr="00742885" w:rsidRDefault="00D148AF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</w:pPr>
      <w:r w:rsidRPr="00742885">
        <w:rPr>
          <w:rStyle w:val="Hyperlink"/>
          <w:noProof/>
          <w:color w:val="000000" w:themeColor="text1"/>
          <w:u w:val="none"/>
        </w:rPr>
        <w:t>4</w:t>
      </w:r>
      <w:r w:rsidRPr="00742885"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  <w:tab/>
      </w:r>
      <w:r w:rsidRPr="00742885">
        <w:rPr>
          <w:rStyle w:val="Hyperlink"/>
          <w:noProof/>
          <w:color w:val="000000" w:themeColor="text1"/>
          <w:u w:val="none"/>
        </w:rPr>
        <w:t>Simplified outline of this instrument</w:t>
      </w:r>
      <w:r w:rsidRPr="00742885">
        <w:rPr>
          <w:noProof/>
          <w:webHidden/>
          <w:color w:val="000000" w:themeColor="text1"/>
        </w:rPr>
        <w:tab/>
        <w:t>3</w:t>
      </w:r>
    </w:p>
    <w:p w14:paraId="53497597" w14:textId="36984704" w:rsidR="00D148AF" w:rsidRPr="00742885" w:rsidRDefault="00D148AF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</w:pPr>
      <w:r w:rsidRPr="00742885">
        <w:rPr>
          <w:rStyle w:val="Hyperlink"/>
          <w:noProof/>
          <w:color w:val="000000" w:themeColor="text1"/>
          <w:u w:val="none"/>
        </w:rPr>
        <w:t>5</w:t>
      </w:r>
      <w:r w:rsidRPr="00742885"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  <w:tab/>
      </w:r>
      <w:r w:rsidRPr="00742885">
        <w:rPr>
          <w:rStyle w:val="Hyperlink"/>
          <w:noProof/>
          <w:color w:val="000000" w:themeColor="text1"/>
          <w:u w:val="none"/>
        </w:rPr>
        <w:t>Definitions</w:t>
      </w:r>
      <w:r w:rsidRPr="00742885">
        <w:rPr>
          <w:noProof/>
          <w:webHidden/>
          <w:color w:val="000000" w:themeColor="text1"/>
        </w:rPr>
        <w:tab/>
        <w:t>3</w:t>
      </w:r>
    </w:p>
    <w:p w14:paraId="4430F8D9" w14:textId="0ECAE323" w:rsidR="00D148AF" w:rsidRPr="00742885" w:rsidRDefault="00D148AF">
      <w:pPr>
        <w:pStyle w:val="TOC1"/>
        <w:rPr>
          <w:rFonts w:asciiTheme="minorHAnsi" w:eastAsiaTheme="minorEastAsia" w:hAnsiTheme="minorHAnsi" w:cstheme="minorBidi"/>
          <w:b w:val="0"/>
          <w:noProof/>
          <w:color w:val="000000" w:themeColor="text1"/>
          <w:kern w:val="2"/>
          <w:szCs w:val="24"/>
          <w14:ligatures w14:val="standardContextual"/>
        </w:rPr>
      </w:pPr>
      <w:r w:rsidRPr="00742885">
        <w:rPr>
          <w:rStyle w:val="Hyperlink"/>
          <w:noProof/>
          <w:color w:val="000000" w:themeColor="text1"/>
          <w:u w:val="none"/>
        </w:rPr>
        <w:t>Part 2—Order</w:t>
      </w:r>
      <w:r w:rsidRPr="00742885">
        <w:rPr>
          <w:noProof/>
          <w:webHidden/>
          <w:color w:val="000000" w:themeColor="text1"/>
        </w:rPr>
        <w:tab/>
        <w:t>4</w:t>
      </w:r>
    </w:p>
    <w:p w14:paraId="25C77241" w14:textId="4839632D" w:rsidR="00D148AF" w:rsidRPr="00742885" w:rsidRDefault="00D148AF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</w:pPr>
      <w:r w:rsidRPr="00742885">
        <w:rPr>
          <w:rStyle w:val="Hyperlink"/>
          <w:noProof/>
          <w:color w:val="000000" w:themeColor="text1"/>
          <w:u w:val="none"/>
        </w:rPr>
        <w:t>6</w:t>
      </w:r>
      <w:r w:rsidRPr="00742885"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  <w:tab/>
      </w:r>
      <w:r w:rsidRPr="00742885">
        <w:rPr>
          <w:rStyle w:val="Hyperlink"/>
          <w:noProof/>
          <w:color w:val="000000" w:themeColor="text1"/>
          <w:u w:val="none"/>
        </w:rPr>
        <w:t>Relief for post balance date disclosure</w:t>
      </w:r>
      <w:r w:rsidRPr="00742885">
        <w:rPr>
          <w:noProof/>
          <w:webHidden/>
          <w:color w:val="000000" w:themeColor="text1"/>
        </w:rPr>
        <w:tab/>
        <w:t>4</w:t>
      </w:r>
    </w:p>
    <w:p w14:paraId="6F76DDC9" w14:textId="5E8C1CC8" w:rsidR="00D148AF" w:rsidRPr="00742885" w:rsidRDefault="00D148AF">
      <w:pPr>
        <w:pStyle w:val="TOC1"/>
        <w:rPr>
          <w:rFonts w:asciiTheme="minorHAnsi" w:eastAsiaTheme="minorEastAsia" w:hAnsiTheme="minorHAnsi" w:cstheme="minorBidi"/>
          <w:b w:val="0"/>
          <w:noProof/>
          <w:color w:val="000000" w:themeColor="text1"/>
          <w:kern w:val="2"/>
          <w:szCs w:val="24"/>
          <w14:ligatures w14:val="standardContextual"/>
        </w:rPr>
      </w:pPr>
      <w:r w:rsidRPr="00742885">
        <w:rPr>
          <w:rStyle w:val="Hyperlink"/>
          <w:noProof/>
          <w:color w:val="000000" w:themeColor="text1"/>
          <w:u w:val="none"/>
        </w:rPr>
        <w:t>Part 3—Repeal</w:t>
      </w:r>
      <w:r w:rsidRPr="00742885">
        <w:rPr>
          <w:noProof/>
          <w:webHidden/>
          <w:color w:val="000000" w:themeColor="text1"/>
        </w:rPr>
        <w:tab/>
        <w:t>6</w:t>
      </w:r>
    </w:p>
    <w:p w14:paraId="3E274E5F" w14:textId="4E9183E8" w:rsidR="00D148AF" w:rsidRPr="00B72FAD" w:rsidRDefault="00D148AF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</w:pPr>
      <w:r w:rsidRPr="00742885">
        <w:rPr>
          <w:rStyle w:val="Hyperlink"/>
          <w:noProof/>
          <w:color w:val="000000" w:themeColor="text1"/>
          <w:u w:val="none"/>
        </w:rPr>
        <w:t>7</w:t>
      </w:r>
      <w:r w:rsidRPr="00742885"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  <w:tab/>
      </w:r>
      <w:r w:rsidRPr="00742885">
        <w:rPr>
          <w:rStyle w:val="Hyperlink"/>
          <w:noProof/>
          <w:color w:val="000000" w:themeColor="text1"/>
          <w:u w:val="none"/>
        </w:rPr>
        <w:t>Repeal</w:t>
      </w:r>
      <w:r w:rsidRPr="00742885">
        <w:rPr>
          <w:noProof/>
          <w:webHidden/>
          <w:color w:val="000000" w:themeColor="text1"/>
        </w:rPr>
        <w:tab/>
        <w:t>6</w:t>
      </w:r>
    </w:p>
    <w:p w14:paraId="34C1D0AC" w14:textId="4AECD239" w:rsidR="00670EA1" w:rsidRPr="00F61B09" w:rsidRDefault="00670EA1" w:rsidP="00715914"/>
    <w:p w14:paraId="0A6F21F1" w14:textId="77777777" w:rsidR="00670EA1" w:rsidRPr="00F61B09" w:rsidRDefault="00670EA1" w:rsidP="00715914">
      <w:pPr>
        <w:sectPr w:rsidR="00670EA1" w:rsidRPr="00F61B09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6475CAA7" w14:textId="77777777" w:rsidR="00FA31DE" w:rsidRPr="00F61B09" w:rsidRDefault="00FA31DE" w:rsidP="006554FF">
      <w:pPr>
        <w:pStyle w:val="LI-Heading1"/>
      </w:pPr>
      <w:bookmarkStart w:id="2" w:name="BK_S3P1L1C1"/>
      <w:bookmarkStart w:id="3" w:name="_Toc209170575"/>
      <w:bookmarkEnd w:id="2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14:paraId="15EC5A0A" w14:textId="0B464EB5" w:rsidR="00FA31DE" w:rsidRDefault="003957F1" w:rsidP="00D233E0">
      <w:pPr>
        <w:pStyle w:val="LI-Heading2"/>
        <w:spacing w:before="240"/>
        <w:rPr>
          <w:szCs w:val="24"/>
        </w:rPr>
      </w:pPr>
      <w:bookmarkStart w:id="4" w:name="_Toc209170576"/>
      <w:r>
        <w:rPr>
          <w:szCs w:val="24"/>
        </w:rPr>
        <w:t>1</w:t>
      </w:r>
      <w:r w:rsidR="00FC3EB8">
        <w:rPr>
          <w:szCs w:val="24"/>
        </w:rPr>
        <w:tab/>
      </w:r>
      <w:r w:rsidR="00FA31DE"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4"/>
      <w:r w:rsidR="008F7B27">
        <w:rPr>
          <w:szCs w:val="24"/>
        </w:rPr>
        <w:t xml:space="preserve"> </w:t>
      </w:r>
    </w:p>
    <w:p w14:paraId="2746DE4B" w14:textId="07EF5DEC" w:rsidR="00FA31DE" w:rsidRDefault="00FA31DE" w:rsidP="00005446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>is</w:t>
      </w:r>
      <w:r w:rsidR="009D195A">
        <w:rPr>
          <w:szCs w:val="24"/>
        </w:rPr>
        <w:t xml:space="preserve"> the</w:t>
      </w:r>
      <w:r w:rsidR="008C0F29" w:rsidRPr="008C0F29">
        <w:rPr>
          <w:szCs w:val="24"/>
        </w:rPr>
        <w:t xml:space="preserve"> </w:t>
      </w:r>
      <w:r w:rsidR="008C0F29" w:rsidRPr="008C0F29">
        <w:rPr>
          <w:i/>
          <w:szCs w:val="24"/>
        </w:rPr>
        <w:t>A</w:t>
      </w:r>
      <w:r w:rsidR="00327DDF">
        <w:rPr>
          <w:i/>
          <w:szCs w:val="24"/>
        </w:rPr>
        <w:t xml:space="preserve">SIC Corporations </w:t>
      </w:r>
      <w:r w:rsidR="00C11452" w:rsidRPr="005D3D41">
        <w:rPr>
          <w:i/>
          <w:szCs w:val="24"/>
        </w:rPr>
        <w:t>(</w:t>
      </w:r>
      <w:r w:rsidR="006231C4">
        <w:rPr>
          <w:i/>
          <w:szCs w:val="24"/>
        </w:rPr>
        <w:t>Post Balance Date Reporting</w:t>
      </w:r>
      <w:r w:rsidR="00C11452" w:rsidRPr="005D3D41">
        <w:rPr>
          <w:i/>
          <w:szCs w:val="24"/>
        </w:rPr>
        <w:t xml:space="preserve">) Instrument </w:t>
      </w:r>
      <w:r w:rsidR="006231C4">
        <w:rPr>
          <w:i/>
          <w:szCs w:val="24"/>
        </w:rPr>
        <w:t>2025</w:t>
      </w:r>
      <w:r w:rsidR="00FD13CC">
        <w:rPr>
          <w:i/>
          <w:szCs w:val="24"/>
        </w:rPr>
        <w:t>/</w:t>
      </w:r>
      <w:r w:rsidR="006231C4">
        <w:rPr>
          <w:i/>
          <w:szCs w:val="24"/>
        </w:rPr>
        <w:t>437</w:t>
      </w:r>
      <w:r w:rsidRPr="005D3D41">
        <w:rPr>
          <w:szCs w:val="24"/>
        </w:rPr>
        <w:t>.</w:t>
      </w:r>
    </w:p>
    <w:p w14:paraId="64CAA09C" w14:textId="3A9C9618" w:rsidR="00FA31DE" w:rsidRPr="008C0F29" w:rsidRDefault="00EA4140" w:rsidP="00C11452">
      <w:pPr>
        <w:pStyle w:val="LI-Heading2"/>
        <w:rPr>
          <w:szCs w:val="24"/>
        </w:rPr>
      </w:pPr>
      <w:bookmarkStart w:id="5" w:name="_Toc209170577"/>
      <w:r>
        <w:rPr>
          <w:szCs w:val="24"/>
        </w:rPr>
        <w:t>2</w:t>
      </w:r>
      <w:r w:rsidR="00FC3EB8">
        <w:rPr>
          <w:szCs w:val="24"/>
        </w:rPr>
        <w:tab/>
      </w:r>
      <w:r w:rsidR="00FA31DE" w:rsidRPr="008C0F29">
        <w:rPr>
          <w:szCs w:val="24"/>
        </w:rPr>
        <w:t>Commencement</w:t>
      </w:r>
      <w:bookmarkEnd w:id="5"/>
    </w:p>
    <w:p w14:paraId="4C8077CF" w14:textId="77777777" w:rsidR="00FA31DE" w:rsidRPr="008C0F29" w:rsidRDefault="00FA31DE" w:rsidP="006E532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>
        <w:rPr>
          <w:szCs w:val="24"/>
        </w:rPr>
        <w:t>instrument</w:t>
      </w:r>
      <w:r w:rsidRPr="008C0F29">
        <w:rPr>
          <w:szCs w:val="24"/>
        </w:rPr>
        <w:t xml:space="preserve"> commences on the day </w:t>
      </w:r>
      <w:r w:rsidR="004823C0">
        <w:rPr>
          <w:szCs w:val="24"/>
        </w:rPr>
        <w:t xml:space="preserve">after it is </w:t>
      </w:r>
      <w:r w:rsidR="0077506D">
        <w:rPr>
          <w:szCs w:val="24"/>
        </w:rPr>
        <w:t>registered on</w:t>
      </w:r>
      <w:r w:rsidR="004823C0">
        <w:rPr>
          <w:szCs w:val="24"/>
        </w:rPr>
        <w:t xml:space="preserve"> the Federal Register of Legislati</w:t>
      </w:r>
      <w:r w:rsidR="001F02B1">
        <w:rPr>
          <w:szCs w:val="24"/>
        </w:rPr>
        <w:t>on</w:t>
      </w:r>
      <w:r w:rsidRPr="008C0F29">
        <w:rPr>
          <w:szCs w:val="24"/>
        </w:rPr>
        <w:t>.</w:t>
      </w:r>
    </w:p>
    <w:p w14:paraId="778112B1" w14:textId="3B61E04B" w:rsidR="00FA31DE" w:rsidRDefault="00FA31DE" w:rsidP="00572BB1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r w:rsidR="00F047D8" w:rsidRPr="00567761">
        <w:t>www.legislation.gov.au</w:t>
      </w:r>
      <w:r w:rsidR="004823C0">
        <w:t>.</w:t>
      </w:r>
    </w:p>
    <w:p w14:paraId="2DB70FFB" w14:textId="3DA95492" w:rsidR="00FA31DE" w:rsidRPr="008C0F29" w:rsidRDefault="00EA4140" w:rsidP="00EC4757">
      <w:pPr>
        <w:pStyle w:val="LI-Heading2"/>
        <w:spacing w:before="240"/>
        <w:rPr>
          <w:szCs w:val="24"/>
        </w:rPr>
      </w:pPr>
      <w:bookmarkStart w:id="6" w:name="_Toc209170578"/>
      <w:r>
        <w:rPr>
          <w:szCs w:val="24"/>
        </w:rPr>
        <w:t>3</w:t>
      </w:r>
      <w:r w:rsidR="00FC3EB8">
        <w:rPr>
          <w:szCs w:val="24"/>
        </w:rPr>
        <w:tab/>
      </w:r>
      <w:r w:rsidR="00FA31DE" w:rsidRPr="008C0F29">
        <w:rPr>
          <w:szCs w:val="24"/>
        </w:rPr>
        <w:t>Authority</w:t>
      </w:r>
      <w:bookmarkEnd w:id="6"/>
    </w:p>
    <w:p w14:paraId="62ECD770" w14:textId="32EAFA7E" w:rsidR="00FA31DE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6231C4">
        <w:rPr>
          <w:szCs w:val="24"/>
        </w:rPr>
        <w:t>subsection 341(1)</w:t>
      </w:r>
      <w:r w:rsidR="008C0F29" w:rsidRPr="005D3D41">
        <w:rPr>
          <w:szCs w:val="24"/>
        </w:rPr>
        <w:t xml:space="preserve"> </w:t>
      </w:r>
      <w:r w:rsidR="006231C4">
        <w:rPr>
          <w:szCs w:val="24"/>
        </w:rPr>
        <w:t xml:space="preserve">of the </w:t>
      </w:r>
      <w:r w:rsidR="006231C4" w:rsidRPr="006231C4">
        <w:rPr>
          <w:i/>
          <w:iCs/>
          <w:szCs w:val="24"/>
        </w:rPr>
        <w:t>Corporations Act 2001</w:t>
      </w:r>
      <w:r w:rsidRPr="008C0F29">
        <w:rPr>
          <w:szCs w:val="24"/>
        </w:rPr>
        <w:t>.</w:t>
      </w:r>
    </w:p>
    <w:p w14:paraId="16C9DD10" w14:textId="03BFA7F9" w:rsidR="000C6C5A" w:rsidRPr="00A67B66" w:rsidRDefault="00EA4140" w:rsidP="000C6C5A">
      <w:pPr>
        <w:pStyle w:val="LI-Heading2"/>
        <w:spacing w:before="240"/>
      </w:pPr>
      <w:bookmarkStart w:id="7" w:name="_Toc209170579"/>
      <w:r>
        <w:t>4</w:t>
      </w:r>
      <w:r>
        <w:tab/>
      </w:r>
      <w:r w:rsidR="000C6C5A">
        <w:t xml:space="preserve">Simplified </w:t>
      </w:r>
      <w:proofErr w:type="gramStart"/>
      <w:r w:rsidR="000C6C5A">
        <w:t>outline</w:t>
      </w:r>
      <w:proofErr w:type="gramEnd"/>
      <w:r w:rsidR="000C6C5A">
        <w:t xml:space="preserve"> of this instrument</w:t>
      </w:r>
      <w:bookmarkEnd w:id="7"/>
      <w:r w:rsidR="000C6C5A">
        <w:br/>
      </w:r>
    </w:p>
    <w:tbl>
      <w:tblPr>
        <w:tblW w:w="737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0C6C5A" w:rsidRPr="0008489C" w14:paraId="7CFFE1E8" w14:textId="77777777" w:rsidTr="006A2744">
        <w:trPr>
          <w:trHeight w:val="145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62A9" w14:textId="77777777" w:rsidR="000C6C5A" w:rsidRPr="0008489C" w:rsidRDefault="000C6C5A" w:rsidP="006A2744">
            <w:pPr>
              <w:pStyle w:val="LI-BodyTextNumbered"/>
              <w:spacing w:before="120" w:after="120"/>
              <w:ind w:left="6" w:firstLine="0"/>
              <w:rPr>
                <w:sz w:val="20"/>
                <w:szCs w:val="20"/>
              </w:rPr>
            </w:pPr>
            <w:r>
              <w:t>This instrument sets out an exemption from the financial reporting requirements under Part 2M.3 of the Act to allow the presentation of a pro forma balance sheet in notes to financial statements to explain the financial effect of material acquisitions and disposals of entities and businesses after the end of a reporting period, subject to meeting various requirements.</w:t>
            </w:r>
          </w:p>
        </w:tc>
      </w:tr>
    </w:tbl>
    <w:p w14:paraId="3311D9ED" w14:textId="0260A221" w:rsidR="00FA31DE" w:rsidRPr="00BB5C17" w:rsidRDefault="00567F7A" w:rsidP="00EC4757">
      <w:pPr>
        <w:pStyle w:val="LI-Heading2"/>
        <w:spacing w:before="240"/>
        <w:rPr>
          <w:szCs w:val="24"/>
        </w:rPr>
      </w:pPr>
      <w:bookmarkStart w:id="8" w:name="_Toc209170580"/>
      <w:r>
        <w:rPr>
          <w:szCs w:val="24"/>
        </w:rPr>
        <w:t>5</w:t>
      </w:r>
      <w:r w:rsidR="00FC3EB8">
        <w:rPr>
          <w:szCs w:val="24"/>
        </w:rPr>
        <w:tab/>
      </w:r>
      <w:r w:rsidR="00FA31DE" w:rsidRPr="00BB5C17">
        <w:rPr>
          <w:szCs w:val="24"/>
        </w:rPr>
        <w:t>Definitions</w:t>
      </w:r>
      <w:bookmarkEnd w:id="8"/>
    </w:p>
    <w:p w14:paraId="1C8ABE3E" w14:textId="77777777" w:rsidR="00711257" w:rsidRDefault="00711257" w:rsidP="00711257">
      <w:pPr>
        <w:pStyle w:val="LI-BodyTextNumbered"/>
      </w:pPr>
      <w:r>
        <w:t>(1)</w:t>
      </w:r>
      <w:r>
        <w:tab/>
        <w:t>In this instrument:</w:t>
      </w:r>
    </w:p>
    <w:p w14:paraId="11B11A8E" w14:textId="77777777" w:rsidR="00711257" w:rsidRDefault="00711257" w:rsidP="00711257">
      <w:pPr>
        <w:pStyle w:val="LI-BodyTextUnnumbered"/>
      </w:pPr>
      <w:r>
        <w:rPr>
          <w:b/>
          <w:i/>
        </w:rPr>
        <w:t>Act</w:t>
      </w:r>
      <w:r>
        <w:t xml:space="preserve"> means </w:t>
      </w:r>
      <w:r>
        <w:rPr>
          <w:i/>
        </w:rPr>
        <w:t>Corporations Act 2001</w:t>
      </w:r>
      <w:r>
        <w:t>.</w:t>
      </w:r>
    </w:p>
    <w:p w14:paraId="52547EBE" w14:textId="77777777" w:rsidR="00711257" w:rsidRDefault="00711257" w:rsidP="00711257">
      <w:pPr>
        <w:pStyle w:val="LI-BodyTextUnnumbered"/>
      </w:pPr>
      <w:r>
        <w:rPr>
          <w:b/>
          <w:i/>
        </w:rPr>
        <w:t xml:space="preserve">relevant entity </w:t>
      </w:r>
      <w:r>
        <w:t>means company, registered scheme, registrable superannuation entity or disclosing entity.</w:t>
      </w:r>
    </w:p>
    <w:p w14:paraId="0E8F31F7" w14:textId="77777777" w:rsidR="00711257" w:rsidRDefault="00711257" w:rsidP="00711257">
      <w:pPr>
        <w:pStyle w:val="LI-BodyTextNumbered"/>
      </w:pPr>
      <w:r>
        <w:t>(2)</w:t>
      </w:r>
      <w:r>
        <w:tab/>
        <w:t xml:space="preserve">Information is </w:t>
      </w:r>
      <w:r>
        <w:rPr>
          <w:b/>
          <w:i/>
        </w:rPr>
        <w:t>material</w:t>
      </w:r>
      <w:r>
        <w:t xml:space="preserve"> in relation to a financial statement if its misstatement in or omission from the statement could influence the economic decisions taken </w:t>
      </w:r>
      <w:proofErr w:type="gramStart"/>
      <w:r>
        <w:t>on the basis of</w:t>
      </w:r>
      <w:proofErr w:type="gramEnd"/>
      <w:r>
        <w:t xml:space="preserve"> the statement.</w:t>
      </w:r>
    </w:p>
    <w:p w14:paraId="0C7CAEF0" w14:textId="77777777" w:rsidR="000360CD" w:rsidRDefault="000360CD">
      <w:pPr>
        <w:spacing w:line="240" w:lineRule="auto"/>
        <w:rPr>
          <w:rFonts w:eastAsia="Times New Roman"/>
          <w:b/>
          <w:kern w:val="28"/>
          <w:sz w:val="32"/>
          <w:lang w:eastAsia="en-AU"/>
        </w:rPr>
      </w:pPr>
      <w:r>
        <w:br w:type="page"/>
      </w:r>
    </w:p>
    <w:p w14:paraId="2B3325C2" w14:textId="55D94D70" w:rsidR="00FA31DE" w:rsidRPr="00F61B09" w:rsidRDefault="00FA31DE" w:rsidP="00015719">
      <w:pPr>
        <w:pStyle w:val="LI-Heading1"/>
        <w:ind w:left="1138" w:hanging="1138"/>
      </w:pPr>
      <w:bookmarkStart w:id="9" w:name="_Toc209170581"/>
      <w:r w:rsidRPr="006554FF">
        <w:lastRenderedPageBreak/>
        <w:t>Part</w:t>
      </w:r>
      <w:r w:rsidR="005D0489" w:rsidRPr="006554FF">
        <w:t xml:space="preserve"> </w:t>
      </w:r>
      <w:r w:rsidR="005D0489" w:rsidRPr="006E5320">
        <w:t>2</w:t>
      </w:r>
      <w:r w:rsidRPr="00F61B09">
        <w:t>—</w:t>
      </w:r>
      <w:r w:rsidR="00711257">
        <w:t>Order</w:t>
      </w:r>
      <w:bookmarkEnd w:id="9"/>
    </w:p>
    <w:p w14:paraId="033801E7" w14:textId="576D6F1E" w:rsidR="00E26BD0" w:rsidRPr="001E1119" w:rsidRDefault="00567F7A" w:rsidP="001E1119">
      <w:pPr>
        <w:pStyle w:val="LI-Heading2"/>
      </w:pPr>
      <w:bookmarkStart w:id="10" w:name="_Toc172625569"/>
      <w:bookmarkStart w:id="11" w:name="_Toc172643156"/>
      <w:bookmarkStart w:id="12" w:name="_Toc209170582"/>
      <w:r>
        <w:t>6</w:t>
      </w:r>
      <w:r w:rsidR="00E26BD0" w:rsidRPr="00E26BD0">
        <w:tab/>
        <w:t>Relief for post balance date disclosure</w:t>
      </w:r>
      <w:bookmarkEnd w:id="10"/>
      <w:bookmarkEnd w:id="11"/>
      <w:bookmarkEnd w:id="12"/>
    </w:p>
    <w:p w14:paraId="16ADA8A1" w14:textId="77777777" w:rsidR="00E26BD0" w:rsidRPr="00E26BD0" w:rsidRDefault="00E26BD0" w:rsidP="00E26BD0">
      <w:pPr>
        <w:keepNext/>
        <w:keepLines/>
        <w:spacing w:before="240" w:line="240" w:lineRule="auto"/>
        <w:ind w:left="567"/>
        <w:outlineLvl w:val="2"/>
        <w:rPr>
          <w:rFonts w:eastAsia="Times New Roman"/>
          <w:i/>
          <w:sz w:val="24"/>
          <w:szCs w:val="24"/>
          <w:lang w:eastAsia="en-AU"/>
        </w:rPr>
      </w:pPr>
      <w:r w:rsidRPr="00E26BD0">
        <w:rPr>
          <w:rFonts w:eastAsia="Times New Roman"/>
          <w:i/>
          <w:sz w:val="24"/>
          <w:szCs w:val="24"/>
          <w:lang w:eastAsia="en-AU"/>
        </w:rPr>
        <w:t>Relief</w:t>
      </w:r>
    </w:p>
    <w:p w14:paraId="1F2AD453" w14:textId="08DEF901" w:rsidR="00E26BD0" w:rsidRPr="00E26BD0" w:rsidRDefault="00E26BD0" w:rsidP="00E26BD0">
      <w:pPr>
        <w:spacing w:before="240" w:line="240" w:lineRule="auto"/>
        <w:ind w:left="1134" w:hanging="567"/>
        <w:rPr>
          <w:rFonts w:eastAsia="Times New Roman"/>
          <w:sz w:val="24"/>
          <w:szCs w:val="24"/>
          <w:lang w:eastAsia="en-AU"/>
        </w:rPr>
      </w:pPr>
      <w:r w:rsidRPr="00E26BD0">
        <w:rPr>
          <w:rFonts w:eastAsia="Times New Roman"/>
          <w:sz w:val="24"/>
          <w:szCs w:val="24"/>
          <w:lang w:eastAsia="en-AU"/>
        </w:rPr>
        <w:t>(1)</w:t>
      </w:r>
      <w:r w:rsidRPr="00E26BD0">
        <w:rPr>
          <w:rFonts w:eastAsia="Times New Roman"/>
          <w:sz w:val="24"/>
          <w:szCs w:val="24"/>
          <w:lang w:eastAsia="en-AU"/>
        </w:rPr>
        <w:tab/>
        <w:t>A relevant entity</w:t>
      </w:r>
      <w:r w:rsidRPr="112E4A7A">
        <w:rPr>
          <w:rFonts w:eastAsia="Times New Roman"/>
          <w:b/>
          <w:bCs/>
          <w:i/>
          <w:iCs/>
          <w:sz w:val="24"/>
          <w:szCs w:val="24"/>
          <w:lang w:eastAsia="en-AU"/>
        </w:rPr>
        <w:t xml:space="preserve"> </w:t>
      </w:r>
      <w:r w:rsidRPr="00E26BD0">
        <w:rPr>
          <w:rFonts w:eastAsia="Times New Roman"/>
          <w:sz w:val="24"/>
          <w:szCs w:val="24"/>
          <w:lang w:eastAsia="en-AU"/>
        </w:rPr>
        <w:t>does not have to comply with Part 2M.3 of the Act</w:t>
      </w:r>
      <w:r w:rsidRPr="00E26BD0">
        <w:rPr>
          <w:rFonts w:eastAsia="Times New Roman"/>
          <w:color w:val="000000"/>
          <w:sz w:val="24"/>
          <w:szCs w:val="24"/>
          <w:shd w:val="clear" w:color="auto" w:fill="FFFFFF"/>
          <w:lang w:eastAsia="en-AU"/>
        </w:rPr>
        <w:t>, and a retail CCIV does not have to comply with Part 2M.3 of the Act in relation to a sub-fund,</w:t>
      </w:r>
      <w:r w:rsidRPr="00E26BD0">
        <w:rPr>
          <w:rFonts w:eastAsia="Times New Roman"/>
          <w:sz w:val="24"/>
          <w:szCs w:val="24"/>
          <w:lang w:eastAsia="en-AU"/>
        </w:rPr>
        <w:t xml:space="preserve"> to the extent that </w:t>
      </w:r>
      <w:r w:rsidRPr="112E4A7A">
        <w:rPr>
          <w:rFonts w:eastAsia="Times New Roman"/>
          <w:sz w:val="24"/>
          <w:szCs w:val="24"/>
          <w:lang w:eastAsia="en-AU"/>
        </w:rPr>
        <w:t xml:space="preserve">that Part </w:t>
      </w:r>
      <w:r w:rsidRPr="00E26BD0">
        <w:rPr>
          <w:rFonts w:eastAsia="Times New Roman"/>
          <w:sz w:val="24"/>
          <w:szCs w:val="24"/>
          <w:lang w:eastAsia="en-AU"/>
        </w:rPr>
        <w:t>prevents the notes to the financial statements and consolidated financial statements for a financial year or half-year (</w:t>
      </w:r>
      <w:r w:rsidR="00765913" w:rsidRPr="112E4A7A">
        <w:rPr>
          <w:rFonts w:eastAsia="Times New Roman"/>
          <w:sz w:val="24"/>
          <w:szCs w:val="24"/>
          <w:lang w:eastAsia="en-AU"/>
        </w:rPr>
        <w:t>each a</w:t>
      </w:r>
      <w:r w:rsidRPr="00E26BD0">
        <w:rPr>
          <w:rFonts w:eastAsia="Times New Roman"/>
          <w:sz w:val="24"/>
          <w:szCs w:val="24"/>
          <w:lang w:eastAsia="en-AU"/>
        </w:rPr>
        <w:t xml:space="preserve"> </w:t>
      </w:r>
      <w:r w:rsidRPr="112E4A7A">
        <w:rPr>
          <w:rFonts w:eastAsia="Times New Roman"/>
          <w:b/>
          <w:bCs/>
          <w:i/>
          <w:iCs/>
          <w:sz w:val="24"/>
          <w:szCs w:val="24"/>
          <w:lang w:eastAsia="en-AU"/>
        </w:rPr>
        <w:t>relevant period</w:t>
      </w:r>
      <w:r w:rsidRPr="00E26BD0">
        <w:rPr>
          <w:rFonts w:eastAsia="Times New Roman"/>
          <w:sz w:val="24"/>
          <w:szCs w:val="24"/>
          <w:lang w:eastAsia="en-AU"/>
        </w:rPr>
        <w:t>) from including a balance sheet (and, where applicable, a consolidated balance sheet) explaining the financial effect of acquisitions and disposals (</w:t>
      </w:r>
      <w:r w:rsidR="009851D4" w:rsidRPr="112E4A7A">
        <w:rPr>
          <w:rFonts w:eastAsia="Times New Roman"/>
          <w:sz w:val="24"/>
          <w:szCs w:val="24"/>
          <w:lang w:eastAsia="en-AU"/>
        </w:rPr>
        <w:t xml:space="preserve">each </w:t>
      </w:r>
      <w:r w:rsidRPr="00E26BD0">
        <w:rPr>
          <w:rFonts w:eastAsia="Times New Roman"/>
          <w:sz w:val="24"/>
          <w:szCs w:val="24"/>
          <w:lang w:eastAsia="en-AU"/>
        </w:rPr>
        <w:t xml:space="preserve">the </w:t>
      </w:r>
      <w:r w:rsidRPr="112E4A7A">
        <w:rPr>
          <w:rFonts w:eastAsia="Times New Roman"/>
          <w:b/>
          <w:bCs/>
          <w:i/>
          <w:iCs/>
          <w:sz w:val="24"/>
          <w:szCs w:val="24"/>
          <w:lang w:eastAsia="en-AU"/>
        </w:rPr>
        <w:t>relevant transactions</w:t>
      </w:r>
      <w:r w:rsidRPr="00E26BD0">
        <w:rPr>
          <w:rFonts w:eastAsia="Times New Roman"/>
          <w:sz w:val="24"/>
          <w:szCs w:val="24"/>
          <w:lang w:eastAsia="en-AU"/>
        </w:rPr>
        <w:t>) of entities and businesses after the end of the relevant period.</w:t>
      </w:r>
    </w:p>
    <w:p w14:paraId="49204899" w14:textId="77777777" w:rsidR="00E26BD0" w:rsidRPr="00E26BD0" w:rsidRDefault="00E26BD0" w:rsidP="00E26BD0">
      <w:pPr>
        <w:keepNext/>
        <w:keepLines/>
        <w:spacing w:before="240" w:line="240" w:lineRule="auto"/>
        <w:ind w:left="567"/>
        <w:outlineLvl w:val="2"/>
        <w:rPr>
          <w:rFonts w:eastAsia="Times New Roman"/>
          <w:i/>
          <w:lang w:eastAsia="en-AU"/>
        </w:rPr>
      </w:pPr>
      <w:r w:rsidRPr="00E26BD0">
        <w:rPr>
          <w:rFonts w:eastAsia="Times New Roman"/>
          <w:i/>
          <w:lang w:eastAsia="en-AU"/>
        </w:rPr>
        <w:t>Where relief applies</w:t>
      </w:r>
    </w:p>
    <w:p w14:paraId="768DE441" w14:textId="77777777" w:rsidR="00E26BD0" w:rsidRPr="00E26BD0" w:rsidRDefault="00E26BD0" w:rsidP="00E26BD0">
      <w:pPr>
        <w:spacing w:before="240" w:line="240" w:lineRule="auto"/>
        <w:ind w:left="1134" w:hanging="567"/>
        <w:rPr>
          <w:rFonts w:eastAsia="Times New Roman"/>
          <w:sz w:val="24"/>
          <w:szCs w:val="24"/>
          <w:lang w:eastAsia="en-AU"/>
        </w:rPr>
      </w:pPr>
      <w:r w:rsidRPr="00E26BD0">
        <w:rPr>
          <w:rFonts w:eastAsia="Times New Roman"/>
          <w:sz w:val="24"/>
          <w:szCs w:val="24"/>
          <w:lang w:eastAsia="en-AU"/>
        </w:rPr>
        <w:t>(2)</w:t>
      </w:r>
      <w:r w:rsidRPr="00E26BD0">
        <w:rPr>
          <w:rFonts w:eastAsia="Times New Roman"/>
          <w:sz w:val="24"/>
          <w:szCs w:val="24"/>
          <w:lang w:eastAsia="en-AU"/>
        </w:rPr>
        <w:tab/>
        <w:t>The relief in subsection (1) is available where both of the following apply:</w:t>
      </w:r>
    </w:p>
    <w:p w14:paraId="3C7A872D" w14:textId="77777777" w:rsidR="00E26BD0" w:rsidRPr="00E26BD0" w:rsidRDefault="00E26BD0" w:rsidP="00E26BD0">
      <w:pPr>
        <w:spacing w:before="240" w:line="240" w:lineRule="auto"/>
        <w:ind w:left="1701" w:hanging="567"/>
        <w:rPr>
          <w:rFonts w:eastAsia="Times New Roman"/>
          <w:sz w:val="24"/>
          <w:szCs w:val="24"/>
          <w:lang w:eastAsia="en-AU"/>
        </w:rPr>
      </w:pPr>
      <w:r w:rsidRPr="00E26BD0">
        <w:rPr>
          <w:rFonts w:eastAsia="Times New Roman"/>
          <w:sz w:val="24"/>
          <w:szCs w:val="24"/>
          <w:lang w:eastAsia="en-AU"/>
        </w:rPr>
        <w:t>(a)</w:t>
      </w:r>
      <w:r w:rsidRPr="00E26BD0">
        <w:rPr>
          <w:rFonts w:eastAsia="Times New Roman"/>
          <w:sz w:val="24"/>
          <w:szCs w:val="24"/>
          <w:lang w:eastAsia="en-AU"/>
        </w:rPr>
        <w:tab/>
        <w:t>either:</w:t>
      </w:r>
    </w:p>
    <w:p w14:paraId="43A0A309" w14:textId="77777777" w:rsidR="00E26BD0" w:rsidRPr="00E26BD0" w:rsidRDefault="00E26BD0" w:rsidP="00E26BD0">
      <w:pPr>
        <w:spacing w:before="240" w:line="240" w:lineRule="auto"/>
        <w:ind w:left="2268" w:hanging="567"/>
        <w:rPr>
          <w:rFonts w:eastAsia="Times New Roman"/>
          <w:sz w:val="24"/>
          <w:szCs w:val="24"/>
          <w:lang w:eastAsia="en-AU"/>
        </w:rPr>
      </w:pPr>
      <w:r w:rsidRPr="00E26BD0">
        <w:rPr>
          <w:rFonts w:eastAsia="Times New Roman"/>
          <w:sz w:val="24"/>
          <w:szCs w:val="24"/>
          <w:lang w:eastAsia="en-AU"/>
        </w:rPr>
        <w:t>(</w:t>
      </w:r>
      <w:proofErr w:type="spellStart"/>
      <w:r w:rsidRPr="00E26BD0">
        <w:rPr>
          <w:rFonts w:eastAsia="Times New Roman"/>
          <w:sz w:val="24"/>
          <w:szCs w:val="24"/>
          <w:lang w:eastAsia="en-AU"/>
        </w:rPr>
        <w:t>i</w:t>
      </w:r>
      <w:proofErr w:type="spellEnd"/>
      <w:r w:rsidRPr="00E26BD0">
        <w:rPr>
          <w:rFonts w:eastAsia="Times New Roman"/>
          <w:sz w:val="24"/>
          <w:szCs w:val="24"/>
          <w:lang w:eastAsia="en-AU"/>
        </w:rPr>
        <w:t>)</w:t>
      </w:r>
      <w:r w:rsidRPr="00E26BD0">
        <w:rPr>
          <w:rFonts w:eastAsia="Times New Roman"/>
          <w:sz w:val="24"/>
          <w:szCs w:val="24"/>
          <w:lang w:eastAsia="en-AU"/>
        </w:rPr>
        <w:tab/>
        <w:t xml:space="preserve">the relevant transactions have a material effect on the relevant entity </w:t>
      </w:r>
      <w:r w:rsidRPr="00E26BD0">
        <w:rPr>
          <w:rFonts w:eastAsia="Times New Roman"/>
          <w:color w:val="000000"/>
          <w:sz w:val="24"/>
          <w:szCs w:val="24"/>
          <w:shd w:val="clear" w:color="auto" w:fill="FFFFFF"/>
          <w:lang w:eastAsia="en-AU"/>
        </w:rPr>
        <w:t xml:space="preserve">or sub-fund (as the case may be) </w:t>
      </w:r>
      <w:r w:rsidRPr="00E26BD0">
        <w:rPr>
          <w:rFonts w:eastAsia="Times New Roman"/>
          <w:sz w:val="24"/>
          <w:szCs w:val="24"/>
          <w:lang w:eastAsia="en-AU"/>
        </w:rPr>
        <w:t>and a single entity balance sheet is included in the notes to the financial statements that is either:</w:t>
      </w:r>
    </w:p>
    <w:p w14:paraId="049B7A5F" w14:textId="77777777" w:rsidR="00E26BD0" w:rsidRPr="00E26BD0" w:rsidRDefault="00E26BD0" w:rsidP="00E26BD0">
      <w:pPr>
        <w:spacing w:before="240" w:line="240" w:lineRule="auto"/>
        <w:ind w:left="2835" w:hanging="567"/>
        <w:rPr>
          <w:rFonts w:eastAsia="Times New Roman"/>
          <w:sz w:val="24"/>
          <w:szCs w:val="24"/>
          <w:lang w:eastAsia="en-AU"/>
        </w:rPr>
      </w:pPr>
      <w:r w:rsidRPr="00E26BD0">
        <w:rPr>
          <w:rFonts w:eastAsia="Times New Roman"/>
          <w:sz w:val="24"/>
          <w:szCs w:val="24"/>
          <w:lang w:eastAsia="en-AU"/>
        </w:rPr>
        <w:t>(A)</w:t>
      </w:r>
      <w:r w:rsidRPr="00E26BD0">
        <w:rPr>
          <w:rFonts w:eastAsia="Times New Roman"/>
          <w:sz w:val="24"/>
          <w:szCs w:val="24"/>
          <w:lang w:eastAsia="en-AU"/>
        </w:rPr>
        <w:tab/>
        <w:t>an actual balance sheet drawn up to a point in time after the relevant transactions have occurred; or</w:t>
      </w:r>
    </w:p>
    <w:p w14:paraId="5BB249C7" w14:textId="77777777" w:rsidR="00E26BD0" w:rsidRPr="00E26BD0" w:rsidRDefault="00E26BD0" w:rsidP="00E26BD0">
      <w:pPr>
        <w:spacing w:before="240" w:line="240" w:lineRule="auto"/>
        <w:ind w:left="2835" w:hanging="567"/>
        <w:rPr>
          <w:rFonts w:eastAsia="Times New Roman"/>
          <w:sz w:val="24"/>
          <w:szCs w:val="24"/>
          <w:lang w:eastAsia="en-AU"/>
        </w:rPr>
      </w:pPr>
      <w:r w:rsidRPr="00E26BD0">
        <w:rPr>
          <w:rFonts w:eastAsia="Times New Roman"/>
          <w:sz w:val="24"/>
          <w:szCs w:val="24"/>
          <w:lang w:eastAsia="en-AU"/>
        </w:rPr>
        <w:t xml:space="preserve">(B) </w:t>
      </w:r>
      <w:r w:rsidRPr="00E26BD0">
        <w:rPr>
          <w:rFonts w:eastAsia="Times New Roman"/>
          <w:sz w:val="24"/>
          <w:szCs w:val="24"/>
          <w:lang w:eastAsia="en-AU"/>
        </w:rPr>
        <w:tab/>
        <w:t xml:space="preserve">a pro forma balance sheet drawn up </w:t>
      </w:r>
      <w:proofErr w:type="gramStart"/>
      <w:r w:rsidRPr="00E26BD0">
        <w:rPr>
          <w:rFonts w:eastAsia="Times New Roman"/>
          <w:sz w:val="24"/>
          <w:szCs w:val="24"/>
          <w:lang w:eastAsia="en-AU"/>
        </w:rPr>
        <w:t>on the basis of</w:t>
      </w:r>
      <w:proofErr w:type="gramEnd"/>
      <w:r w:rsidRPr="00E26BD0">
        <w:rPr>
          <w:rFonts w:eastAsia="Times New Roman"/>
          <w:sz w:val="24"/>
          <w:szCs w:val="24"/>
          <w:lang w:eastAsia="en-AU"/>
        </w:rPr>
        <w:t xml:space="preserve"> the relevant </w:t>
      </w:r>
      <w:proofErr w:type="gramStart"/>
      <w:r w:rsidRPr="00E26BD0">
        <w:rPr>
          <w:rFonts w:eastAsia="Times New Roman"/>
          <w:sz w:val="24"/>
          <w:szCs w:val="24"/>
          <w:lang w:eastAsia="en-AU"/>
        </w:rPr>
        <w:t>entity’s</w:t>
      </w:r>
      <w:proofErr w:type="gramEnd"/>
      <w:r w:rsidRPr="00E26BD0">
        <w:rPr>
          <w:rFonts w:eastAsia="Times New Roman"/>
          <w:sz w:val="24"/>
          <w:szCs w:val="24"/>
          <w:lang w:eastAsia="en-AU"/>
        </w:rPr>
        <w:t xml:space="preserve"> </w:t>
      </w:r>
      <w:r w:rsidRPr="00E26BD0">
        <w:rPr>
          <w:rFonts w:eastAsia="Times New Roman"/>
          <w:color w:val="000000"/>
          <w:sz w:val="24"/>
          <w:szCs w:val="24"/>
          <w:shd w:val="clear" w:color="auto" w:fill="FFFFFF"/>
          <w:lang w:eastAsia="en-AU"/>
        </w:rPr>
        <w:t xml:space="preserve">or sub-fund’s (as the case may be) </w:t>
      </w:r>
      <w:r w:rsidRPr="00E26BD0">
        <w:rPr>
          <w:rFonts w:eastAsia="Times New Roman"/>
          <w:sz w:val="24"/>
          <w:szCs w:val="24"/>
          <w:lang w:eastAsia="en-AU"/>
        </w:rPr>
        <w:t>actual balance sheet drawn up at the end of the relevant period or a later date; or</w:t>
      </w:r>
    </w:p>
    <w:p w14:paraId="61C54B21" w14:textId="77777777" w:rsidR="00E26BD0" w:rsidRPr="00E26BD0" w:rsidRDefault="00E26BD0" w:rsidP="00E26BD0">
      <w:pPr>
        <w:spacing w:before="240" w:line="240" w:lineRule="auto"/>
        <w:ind w:left="2268" w:hanging="567"/>
        <w:rPr>
          <w:rFonts w:eastAsia="Times New Roman"/>
          <w:sz w:val="24"/>
          <w:szCs w:val="24"/>
          <w:lang w:eastAsia="en-AU"/>
        </w:rPr>
      </w:pPr>
      <w:r w:rsidRPr="00E26BD0">
        <w:rPr>
          <w:rFonts w:eastAsia="Times New Roman"/>
          <w:sz w:val="24"/>
          <w:szCs w:val="24"/>
          <w:lang w:eastAsia="en-AU"/>
        </w:rPr>
        <w:t>(ii)</w:t>
      </w:r>
      <w:r w:rsidRPr="00E26BD0">
        <w:rPr>
          <w:rFonts w:eastAsia="Times New Roman"/>
          <w:sz w:val="24"/>
          <w:szCs w:val="24"/>
          <w:lang w:eastAsia="en-AU"/>
        </w:rPr>
        <w:tab/>
        <w:t xml:space="preserve">consolidated financial statements are included in the financial report, the relevant transactions have a material effect on the consolidated </w:t>
      </w:r>
      <w:proofErr w:type="gramStart"/>
      <w:r w:rsidRPr="00E26BD0">
        <w:rPr>
          <w:rFonts w:eastAsia="Times New Roman"/>
          <w:sz w:val="24"/>
          <w:szCs w:val="24"/>
          <w:lang w:eastAsia="en-AU"/>
        </w:rPr>
        <w:t>entity</w:t>
      </w:r>
      <w:proofErr w:type="gramEnd"/>
      <w:r w:rsidRPr="00E26BD0">
        <w:rPr>
          <w:rFonts w:eastAsia="Times New Roman"/>
          <w:sz w:val="24"/>
          <w:szCs w:val="24"/>
          <w:lang w:eastAsia="en-AU"/>
        </w:rPr>
        <w:t xml:space="preserve"> and a consolidated balance sheet is presented in the notes to those consolidated financial statements that is either:</w:t>
      </w:r>
    </w:p>
    <w:p w14:paraId="68E02A25" w14:textId="77777777" w:rsidR="00E26BD0" w:rsidRPr="00E26BD0" w:rsidRDefault="00E26BD0" w:rsidP="00E26BD0">
      <w:pPr>
        <w:spacing w:before="240" w:line="240" w:lineRule="auto"/>
        <w:ind w:left="2835" w:hanging="567"/>
        <w:rPr>
          <w:rFonts w:eastAsia="Times New Roman"/>
          <w:sz w:val="24"/>
          <w:szCs w:val="24"/>
          <w:lang w:eastAsia="en-AU"/>
        </w:rPr>
      </w:pPr>
      <w:r w:rsidRPr="00E26BD0">
        <w:rPr>
          <w:rFonts w:eastAsia="Times New Roman"/>
          <w:sz w:val="24"/>
          <w:szCs w:val="24"/>
          <w:lang w:eastAsia="en-AU"/>
        </w:rPr>
        <w:t xml:space="preserve">(A) </w:t>
      </w:r>
      <w:r w:rsidRPr="00E26BD0">
        <w:rPr>
          <w:rFonts w:eastAsia="Times New Roman"/>
          <w:sz w:val="24"/>
          <w:szCs w:val="24"/>
          <w:lang w:eastAsia="en-AU"/>
        </w:rPr>
        <w:tab/>
        <w:t>an actual consolidated balance sheet drawn up to a point in time after the relevant transactions have occurred; or</w:t>
      </w:r>
    </w:p>
    <w:p w14:paraId="7ABDC2A0" w14:textId="77777777" w:rsidR="00E26BD0" w:rsidRPr="00E26BD0" w:rsidRDefault="00E26BD0" w:rsidP="00E26BD0">
      <w:pPr>
        <w:spacing w:before="240" w:line="240" w:lineRule="auto"/>
        <w:ind w:left="2835" w:hanging="567"/>
        <w:rPr>
          <w:rFonts w:eastAsia="Times New Roman"/>
          <w:sz w:val="24"/>
          <w:szCs w:val="24"/>
          <w:lang w:eastAsia="en-AU"/>
        </w:rPr>
      </w:pPr>
      <w:r w:rsidRPr="00E26BD0">
        <w:rPr>
          <w:rFonts w:eastAsia="Times New Roman"/>
          <w:sz w:val="24"/>
          <w:szCs w:val="24"/>
          <w:lang w:eastAsia="en-AU"/>
        </w:rPr>
        <w:t>(B)</w:t>
      </w:r>
      <w:r w:rsidRPr="00E26BD0">
        <w:rPr>
          <w:rFonts w:eastAsia="Times New Roman"/>
          <w:sz w:val="24"/>
          <w:szCs w:val="24"/>
          <w:lang w:eastAsia="en-AU"/>
        </w:rPr>
        <w:tab/>
        <w:t xml:space="preserve">a pro forma consolidated balance sheet drawn up </w:t>
      </w:r>
      <w:proofErr w:type="gramStart"/>
      <w:r w:rsidRPr="00E26BD0">
        <w:rPr>
          <w:rFonts w:eastAsia="Times New Roman"/>
          <w:sz w:val="24"/>
          <w:szCs w:val="24"/>
          <w:lang w:eastAsia="en-AU"/>
        </w:rPr>
        <w:t>on the basis of</w:t>
      </w:r>
      <w:proofErr w:type="gramEnd"/>
      <w:r w:rsidRPr="00E26BD0">
        <w:rPr>
          <w:rFonts w:eastAsia="Times New Roman"/>
          <w:sz w:val="24"/>
          <w:szCs w:val="24"/>
          <w:lang w:eastAsia="en-AU"/>
        </w:rPr>
        <w:t xml:space="preserve"> the consolidated entity’s actual consolidated balance sheet drawn up at the end of the relevant period or a later </w:t>
      </w:r>
      <w:proofErr w:type="gramStart"/>
      <w:r w:rsidRPr="00E26BD0">
        <w:rPr>
          <w:rFonts w:eastAsia="Times New Roman"/>
          <w:sz w:val="24"/>
          <w:szCs w:val="24"/>
          <w:lang w:eastAsia="en-AU"/>
        </w:rPr>
        <w:t>date;</w:t>
      </w:r>
      <w:proofErr w:type="gramEnd"/>
      <w:r w:rsidRPr="00E26BD0">
        <w:rPr>
          <w:rFonts w:eastAsia="Times New Roman"/>
          <w:sz w:val="24"/>
          <w:szCs w:val="24"/>
          <w:lang w:eastAsia="en-AU"/>
        </w:rPr>
        <w:t xml:space="preserve"> </w:t>
      </w:r>
    </w:p>
    <w:p w14:paraId="5CE0779F" w14:textId="77777777" w:rsidR="00E26BD0" w:rsidRPr="00E26BD0" w:rsidRDefault="00E26BD0" w:rsidP="00E26BD0">
      <w:pPr>
        <w:spacing w:before="240" w:line="240" w:lineRule="auto"/>
        <w:ind w:left="1701" w:hanging="567"/>
        <w:rPr>
          <w:rFonts w:eastAsia="Times New Roman"/>
          <w:sz w:val="24"/>
          <w:szCs w:val="24"/>
          <w:lang w:eastAsia="en-AU"/>
        </w:rPr>
      </w:pPr>
      <w:r w:rsidRPr="00E26BD0">
        <w:rPr>
          <w:rFonts w:eastAsia="Times New Roman"/>
          <w:sz w:val="24"/>
          <w:szCs w:val="24"/>
          <w:lang w:eastAsia="en-AU"/>
        </w:rPr>
        <w:t>(b)</w:t>
      </w:r>
      <w:r w:rsidRPr="00E26BD0">
        <w:rPr>
          <w:rFonts w:eastAsia="Times New Roman"/>
          <w:sz w:val="24"/>
          <w:szCs w:val="24"/>
          <w:lang w:eastAsia="en-AU"/>
        </w:rPr>
        <w:tab/>
        <w:t>where a pro forma balance sheet or pro forma consolidated balance sheet is included in a note to the financial statements in accordance with sub-subparagraph (a)(</w:t>
      </w:r>
      <w:proofErr w:type="spellStart"/>
      <w:r w:rsidRPr="00E26BD0">
        <w:rPr>
          <w:rFonts w:eastAsia="Times New Roman"/>
          <w:sz w:val="24"/>
          <w:szCs w:val="24"/>
          <w:lang w:eastAsia="en-AU"/>
        </w:rPr>
        <w:t>i</w:t>
      </w:r>
      <w:proofErr w:type="spellEnd"/>
      <w:r w:rsidRPr="00E26BD0">
        <w:rPr>
          <w:rFonts w:eastAsia="Times New Roman"/>
          <w:sz w:val="24"/>
          <w:szCs w:val="24"/>
          <w:lang w:eastAsia="en-AU"/>
        </w:rPr>
        <w:t>)(B) or sub-subparagraph (a)(ii)(B):</w:t>
      </w:r>
    </w:p>
    <w:p w14:paraId="2A5A0693" w14:textId="77777777" w:rsidR="00E26BD0" w:rsidRPr="00E26BD0" w:rsidRDefault="00E26BD0" w:rsidP="00E26BD0">
      <w:pPr>
        <w:spacing w:before="240" w:line="240" w:lineRule="auto"/>
        <w:ind w:left="2268" w:hanging="567"/>
        <w:rPr>
          <w:rFonts w:eastAsia="Times New Roman"/>
          <w:sz w:val="24"/>
          <w:szCs w:val="24"/>
          <w:lang w:eastAsia="en-AU"/>
        </w:rPr>
      </w:pPr>
      <w:r w:rsidRPr="00E26BD0">
        <w:rPr>
          <w:rFonts w:eastAsia="Times New Roman"/>
          <w:sz w:val="24"/>
          <w:szCs w:val="24"/>
          <w:lang w:eastAsia="en-AU"/>
        </w:rPr>
        <w:lastRenderedPageBreak/>
        <w:t>(</w:t>
      </w:r>
      <w:proofErr w:type="spellStart"/>
      <w:r w:rsidRPr="00E26BD0">
        <w:rPr>
          <w:rFonts w:eastAsia="Times New Roman"/>
          <w:sz w:val="24"/>
          <w:szCs w:val="24"/>
          <w:lang w:eastAsia="en-AU"/>
        </w:rPr>
        <w:t>i</w:t>
      </w:r>
      <w:proofErr w:type="spellEnd"/>
      <w:r w:rsidRPr="00E26BD0">
        <w:rPr>
          <w:rFonts w:eastAsia="Times New Roman"/>
          <w:sz w:val="24"/>
          <w:szCs w:val="24"/>
          <w:lang w:eastAsia="en-AU"/>
        </w:rPr>
        <w:t xml:space="preserve">) </w:t>
      </w:r>
      <w:r w:rsidRPr="00E26BD0">
        <w:rPr>
          <w:rFonts w:eastAsia="Times New Roman"/>
          <w:sz w:val="24"/>
          <w:szCs w:val="24"/>
          <w:lang w:eastAsia="en-AU"/>
        </w:rPr>
        <w:tab/>
        <w:t>the pro forma balance sheet is prepared on a basis consistent with the accounting standards; and</w:t>
      </w:r>
    </w:p>
    <w:p w14:paraId="5ABAF9E3" w14:textId="77777777" w:rsidR="00E26BD0" w:rsidRPr="00E26BD0" w:rsidRDefault="00E26BD0" w:rsidP="00E26BD0">
      <w:pPr>
        <w:spacing w:before="240" w:line="240" w:lineRule="auto"/>
        <w:ind w:left="2268" w:hanging="567"/>
        <w:rPr>
          <w:rFonts w:eastAsia="Times New Roman"/>
          <w:sz w:val="24"/>
          <w:szCs w:val="24"/>
          <w:lang w:eastAsia="en-AU"/>
        </w:rPr>
      </w:pPr>
      <w:r w:rsidRPr="00E26BD0">
        <w:rPr>
          <w:rFonts w:eastAsia="Times New Roman"/>
          <w:sz w:val="24"/>
          <w:szCs w:val="24"/>
          <w:lang w:eastAsia="en-AU"/>
        </w:rPr>
        <w:t xml:space="preserve">(ii) </w:t>
      </w:r>
      <w:r w:rsidRPr="00E26BD0">
        <w:rPr>
          <w:rFonts w:eastAsia="Times New Roman"/>
          <w:sz w:val="24"/>
          <w:szCs w:val="24"/>
          <w:lang w:eastAsia="en-AU"/>
        </w:rPr>
        <w:tab/>
        <w:t>the basis of preparation and any key underlying assumptions are disclosed in the note; and</w:t>
      </w:r>
    </w:p>
    <w:p w14:paraId="5211540D" w14:textId="77777777" w:rsidR="00E26BD0" w:rsidRPr="00E26BD0" w:rsidRDefault="00E26BD0" w:rsidP="00E26BD0">
      <w:pPr>
        <w:spacing w:before="240" w:line="240" w:lineRule="auto"/>
        <w:ind w:left="2268" w:hanging="567"/>
        <w:rPr>
          <w:rFonts w:eastAsia="Times New Roman"/>
          <w:sz w:val="24"/>
          <w:szCs w:val="24"/>
          <w:lang w:eastAsia="en-AU"/>
        </w:rPr>
      </w:pPr>
      <w:r w:rsidRPr="00E26BD0">
        <w:rPr>
          <w:rFonts w:eastAsia="Times New Roman"/>
          <w:sz w:val="24"/>
          <w:szCs w:val="24"/>
          <w:lang w:eastAsia="en-AU"/>
        </w:rPr>
        <w:t xml:space="preserve">(iii) </w:t>
      </w:r>
      <w:r w:rsidRPr="00E26BD0">
        <w:rPr>
          <w:rFonts w:eastAsia="Times New Roman"/>
          <w:sz w:val="24"/>
          <w:szCs w:val="24"/>
          <w:lang w:eastAsia="en-AU"/>
        </w:rPr>
        <w:tab/>
        <w:t>any other material transactions or events after balance date are reflected in the note where necessary to ensure that the pro forma balance sheet is not misleading.</w:t>
      </w:r>
    </w:p>
    <w:p w14:paraId="19A0CA9C" w14:textId="77777777" w:rsidR="00711257" w:rsidRDefault="00711257" w:rsidP="00005446">
      <w:pPr>
        <w:pStyle w:val="LI-BodyTextSubparai"/>
        <w:sectPr w:rsidR="00711257" w:rsidSect="0040053F">
          <w:headerReference w:type="default" r:id="rId26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21A3E39F" w14:textId="5369E45E" w:rsidR="008C330E" w:rsidRDefault="008C330E" w:rsidP="008C330E">
      <w:pPr>
        <w:pStyle w:val="LI-Heading1"/>
      </w:pPr>
      <w:bookmarkStart w:id="13" w:name="_Toc209170583"/>
      <w:r w:rsidRPr="006E5320">
        <w:lastRenderedPageBreak/>
        <w:t>Part </w:t>
      </w:r>
      <w:r w:rsidR="00E26BD0">
        <w:t>3</w:t>
      </w:r>
      <w:r w:rsidRPr="006554FF">
        <w:t>—</w:t>
      </w:r>
      <w:r>
        <w:t>Repeal</w:t>
      </w:r>
      <w:bookmarkEnd w:id="13"/>
    </w:p>
    <w:p w14:paraId="27601D8F" w14:textId="6D0361F1" w:rsidR="008C330E" w:rsidRPr="008C330E" w:rsidRDefault="002B5FD1" w:rsidP="008C330E">
      <w:pPr>
        <w:pStyle w:val="LI-Heading2"/>
      </w:pPr>
      <w:bookmarkStart w:id="14" w:name="_Toc209170584"/>
      <w:r>
        <w:t>7</w:t>
      </w:r>
      <w:r w:rsidR="008C330E">
        <w:tab/>
        <w:t>Repeal</w:t>
      </w:r>
      <w:bookmarkEnd w:id="14"/>
    </w:p>
    <w:p w14:paraId="2D5AC5C6" w14:textId="6C95358F" w:rsidR="008C330E" w:rsidRDefault="008C330E" w:rsidP="008C330E">
      <w:pPr>
        <w:pStyle w:val="LI-BodyTextNumbered"/>
        <w:ind w:firstLine="0"/>
      </w:pPr>
      <w:r>
        <w:rPr>
          <w:shd w:val="clear" w:color="auto" w:fill="FFFFFF"/>
        </w:rPr>
        <w:t xml:space="preserve">This instrument is </w:t>
      </w:r>
      <w:r w:rsidRPr="00FE4DD2">
        <w:t>repealed</w:t>
      </w:r>
      <w:r>
        <w:rPr>
          <w:shd w:val="clear" w:color="auto" w:fill="FFFFFF"/>
        </w:rPr>
        <w:t xml:space="preserve"> at the start of </w:t>
      </w:r>
      <w:r w:rsidR="00273033">
        <w:rPr>
          <w:shd w:val="clear" w:color="auto" w:fill="FFFFFF"/>
        </w:rPr>
        <w:t>1 October 2030</w:t>
      </w:r>
      <w:r>
        <w:rPr>
          <w:shd w:val="clear" w:color="auto" w:fill="FFFFFF"/>
        </w:rPr>
        <w:t>.</w:t>
      </w:r>
    </w:p>
    <w:p w14:paraId="0E621A12" w14:textId="77777777" w:rsidR="008C330E" w:rsidRDefault="008C330E" w:rsidP="006554FF">
      <w:pPr>
        <w:pStyle w:val="LI-BodyTextParaa"/>
      </w:pPr>
    </w:p>
    <w:sectPr w:rsidR="008C330E" w:rsidSect="0040053F">
      <w:headerReference w:type="even" r:id="rId27"/>
      <w:headerReference w:type="default" r:id="rId28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D04C8" w14:textId="77777777" w:rsidR="0030562E" w:rsidRDefault="0030562E" w:rsidP="00715914">
      <w:pPr>
        <w:spacing w:line="240" w:lineRule="auto"/>
      </w:pPr>
      <w:r>
        <w:separator/>
      </w:r>
    </w:p>
  </w:endnote>
  <w:endnote w:type="continuationSeparator" w:id="0">
    <w:p w14:paraId="67CB9BB9" w14:textId="77777777" w:rsidR="0030562E" w:rsidRDefault="0030562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57A59285" w14:textId="77777777" w:rsidTr="00081794">
      <w:tc>
        <w:tcPr>
          <w:tcW w:w="8472" w:type="dxa"/>
        </w:tcPr>
        <w:p w14:paraId="4FCBC731" w14:textId="018B84B6" w:rsidR="00102CA6" w:rsidRPr="00081794" w:rsidRDefault="003904F4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55A6A095" wp14:editId="0128492A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2BC15D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C35DAF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5A6A09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272BC15D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35D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05F2CB7E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4604" w14:textId="6B988EFB" w:rsidR="00102CA6" w:rsidRDefault="003904F4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46B4679" wp14:editId="5357D523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67A1440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6B467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767A1440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79351983" w14:textId="77777777" w:rsidTr="00081794">
      <w:tc>
        <w:tcPr>
          <w:tcW w:w="8472" w:type="dxa"/>
        </w:tcPr>
        <w:p w14:paraId="198AB456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0520A15E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EC19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0424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04F2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9D195A">
      <w:rPr>
        <w:noProof/>
      </w:rPr>
      <w:t>3</w:t>
    </w:r>
    <w:r w:rsidRPr="00A52B0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2A4F9" w14:textId="77777777" w:rsidR="0030562E" w:rsidRDefault="0030562E" w:rsidP="00715914">
      <w:pPr>
        <w:spacing w:line="240" w:lineRule="auto"/>
      </w:pPr>
      <w:r>
        <w:separator/>
      </w:r>
    </w:p>
  </w:footnote>
  <w:footnote w:type="continuationSeparator" w:id="0">
    <w:p w14:paraId="0BAE1A1F" w14:textId="77777777" w:rsidR="0030562E" w:rsidRDefault="0030562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66CA" w14:textId="5299A77C" w:rsidR="00102CA6" w:rsidRPr="005F1388" w:rsidRDefault="003904F4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53B90F5" wp14:editId="592DF194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27B81B3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35D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3B90F5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527B81B3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35DAF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19BC" w14:textId="6630AF8B" w:rsidR="00102CA6" w:rsidRPr="005F1388" w:rsidRDefault="003904F4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34B23C" wp14:editId="6CADE4D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ACDECEA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4B23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0ACDECEA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8467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E288B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1363D7B5" w14:textId="77777777" w:rsidTr="00BF75C9">
      <w:tc>
        <w:tcPr>
          <w:tcW w:w="6804" w:type="dxa"/>
        </w:tcPr>
        <w:p w14:paraId="7D4B953D" w14:textId="309BACBE" w:rsidR="00F4215A" w:rsidRDefault="00D5434B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 w:rsidR="00742885">
            <w:rPr>
              <w:noProof/>
            </w:rPr>
            <w:t>ASIC Corporations (Post Balance Date Reporting) Instrument 2025/437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</w:tcPr>
        <w:p w14:paraId="57A9425D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78570022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784B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084354E3" w14:textId="77777777" w:rsidTr="00BF75C9">
      <w:tc>
        <w:tcPr>
          <w:tcW w:w="6804" w:type="dxa"/>
        </w:tcPr>
        <w:p w14:paraId="6CF2BE1E" w14:textId="29D76F42" w:rsidR="00F4215A" w:rsidRDefault="00B72FAD" w:rsidP="00BF75C9">
          <w:pPr>
            <w:pStyle w:val="LI-Header"/>
            <w:pBdr>
              <w:bottom w:val="none" w:sz="0" w:space="0" w:color="auto"/>
            </w:pBdr>
            <w:jc w:val="left"/>
          </w:pPr>
          <w:fldSimple w:instr="STYLEREF  &quot;LI - Title&quot;  \* MERGEFORMAT">
            <w:r w:rsidR="00742885">
              <w:rPr>
                <w:noProof/>
              </w:rPr>
              <w:t>ASIC Corporations (Post Balance Date Reporting) Instrument 2025/437</w:t>
            </w:r>
          </w:fldSimple>
        </w:p>
      </w:tc>
      <w:tc>
        <w:tcPr>
          <w:tcW w:w="1509" w:type="dxa"/>
        </w:tcPr>
        <w:p w14:paraId="37746B40" w14:textId="05716ED5" w:rsidR="00F4215A" w:rsidRDefault="00D5434B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 w:rsidR="00742885">
            <w:rPr>
              <w:noProof/>
            </w:rPr>
            <w:t>Part 2—Order</w:t>
          </w:r>
          <w:r>
            <w:rPr>
              <w:noProof/>
            </w:rPr>
            <w:fldChar w:fldCharType="end"/>
          </w:r>
        </w:p>
      </w:tc>
    </w:tr>
  </w:tbl>
  <w:p w14:paraId="1A1C4BC1" w14:textId="77777777" w:rsidR="0040053F" w:rsidRPr="00F4215A" w:rsidRDefault="0040053F" w:rsidP="00F4215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D108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4DA33BD5" w14:textId="77777777" w:rsidTr="00BF75C9">
      <w:tc>
        <w:tcPr>
          <w:tcW w:w="6804" w:type="dxa"/>
        </w:tcPr>
        <w:p w14:paraId="52B0B84F" w14:textId="5C3454A4" w:rsidR="00F4215A" w:rsidRDefault="00D5434B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 w:rsidR="00742885">
            <w:rPr>
              <w:noProof/>
            </w:rPr>
            <w:t>ASIC Corporations (Post Balance Date Reporting) Instrument 2025/437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</w:tcPr>
        <w:p w14:paraId="609BA203" w14:textId="3D4A5603" w:rsidR="00F4215A" w:rsidRDefault="00D5434B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 w:rsidR="00742885">
            <w:rPr>
              <w:noProof/>
            </w:rPr>
            <w:t>Part 3—Repeal</w:t>
          </w:r>
          <w:r>
            <w:rPr>
              <w:noProof/>
            </w:rPr>
            <w:fldChar w:fldCharType="end"/>
          </w:r>
        </w:p>
      </w:tc>
    </w:tr>
  </w:tbl>
  <w:p w14:paraId="0A3B460E" w14:textId="77777777" w:rsidR="0040053F" w:rsidRPr="00F4215A" w:rsidRDefault="0040053F" w:rsidP="00F42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449743">
    <w:abstractNumId w:val="9"/>
  </w:num>
  <w:num w:numId="2" w16cid:durableId="1117261685">
    <w:abstractNumId w:val="7"/>
  </w:num>
  <w:num w:numId="3" w16cid:durableId="829710759">
    <w:abstractNumId w:val="6"/>
  </w:num>
  <w:num w:numId="4" w16cid:durableId="1719545867">
    <w:abstractNumId w:val="5"/>
  </w:num>
  <w:num w:numId="5" w16cid:durableId="901332037">
    <w:abstractNumId w:val="4"/>
  </w:num>
  <w:num w:numId="6" w16cid:durableId="658077834">
    <w:abstractNumId w:val="8"/>
  </w:num>
  <w:num w:numId="7" w16cid:durableId="1422676074">
    <w:abstractNumId w:val="3"/>
  </w:num>
  <w:num w:numId="8" w16cid:durableId="596640051">
    <w:abstractNumId w:val="2"/>
  </w:num>
  <w:num w:numId="9" w16cid:durableId="1132098209">
    <w:abstractNumId w:val="1"/>
  </w:num>
  <w:num w:numId="10" w16cid:durableId="1935741434">
    <w:abstractNumId w:val="0"/>
  </w:num>
  <w:num w:numId="11" w16cid:durableId="1225872208">
    <w:abstractNumId w:val="12"/>
  </w:num>
  <w:num w:numId="12" w16cid:durableId="2011325484">
    <w:abstractNumId w:val="10"/>
  </w:num>
  <w:num w:numId="13" w16cid:durableId="1560164308">
    <w:abstractNumId w:val="11"/>
  </w:num>
  <w:num w:numId="14" w16cid:durableId="12666165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136AF"/>
    <w:rsid w:val="00013B8D"/>
    <w:rsid w:val="00015719"/>
    <w:rsid w:val="00023D53"/>
    <w:rsid w:val="000360CD"/>
    <w:rsid w:val="000437C1"/>
    <w:rsid w:val="0005365D"/>
    <w:rsid w:val="000614BF"/>
    <w:rsid w:val="0006250C"/>
    <w:rsid w:val="00064D85"/>
    <w:rsid w:val="00081794"/>
    <w:rsid w:val="00083618"/>
    <w:rsid w:val="00084FF4"/>
    <w:rsid w:val="000A142F"/>
    <w:rsid w:val="000A33FD"/>
    <w:rsid w:val="000A6C39"/>
    <w:rsid w:val="000B58FA"/>
    <w:rsid w:val="000C55A0"/>
    <w:rsid w:val="000C6C5A"/>
    <w:rsid w:val="000D041F"/>
    <w:rsid w:val="000D05EF"/>
    <w:rsid w:val="000E2261"/>
    <w:rsid w:val="000E3C2E"/>
    <w:rsid w:val="000F21C1"/>
    <w:rsid w:val="000F2FFC"/>
    <w:rsid w:val="00102CA6"/>
    <w:rsid w:val="0010745C"/>
    <w:rsid w:val="00112E82"/>
    <w:rsid w:val="00125141"/>
    <w:rsid w:val="00130F62"/>
    <w:rsid w:val="00132CEB"/>
    <w:rsid w:val="00142B62"/>
    <w:rsid w:val="00153B32"/>
    <w:rsid w:val="00157B8B"/>
    <w:rsid w:val="00166C2F"/>
    <w:rsid w:val="00171A6E"/>
    <w:rsid w:val="001805C1"/>
    <w:rsid w:val="001809D7"/>
    <w:rsid w:val="001939E1"/>
    <w:rsid w:val="00194C3E"/>
    <w:rsid w:val="00195382"/>
    <w:rsid w:val="00195BD4"/>
    <w:rsid w:val="00196851"/>
    <w:rsid w:val="001A0DFB"/>
    <w:rsid w:val="001A52D9"/>
    <w:rsid w:val="001C09B8"/>
    <w:rsid w:val="001C61C5"/>
    <w:rsid w:val="001C6827"/>
    <w:rsid w:val="001C69C4"/>
    <w:rsid w:val="001D37EF"/>
    <w:rsid w:val="001E1119"/>
    <w:rsid w:val="001E3590"/>
    <w:rsid w:val="001E5DEC"/>
    <w:rsid w:val="001E7407"/>
    <w:rsid w:val="001F02B1"/>
    <w:rsid w:val="001F3A11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43EC0"/>
    <w:rsid w:val="00244742"/>
    <w:rsid w:val="002564A4"/>
    <w:rsid w:val="0026736C"/>
    <w:rsid w:val="00273033"/>
    <w:rsid w:val="00281308"/>
    <w:rsid w:val="00281813"/>
    <w:rsid w:val="00284719"/>
    <w:rsid w:val="00294412"/>
    <w:rsid w:val="00297ECB"/>
    <w:rsid w:val="002A7328"/>
    <w:rsid w:val="002A7BCF"/>
    <w:rsid w:val="002B19F3"/>
    <w:rsid w:val="002B4A0D"/>
    <w:rsid w:val="002B5FD1"/>
    <w:rsid w:val="002C7B6F"/>
    <w:rsid w:val="002D043A"/>
    <w:rsid w:val="002D6224"/>
    <w:rsid w:val="002E3F4B"/>
    <w:rsid w:val="00304F8B"/>
    <w:rsid w:val="0030562E"/>
    <w:rsid w:val="00322EED"/>
    <w:rsid w:val="00325E88"/>
    <w:rsid w:val="00327DDF"/>
    <w:rsid w:val="003354D2"/>
    <w:rsid w:val="00335BC6"/>
    <w:rsid w:val="003415D3"/>
    <w:rsid w:val="00344701"/>
    <w:rsid w:val="003528DA"/>
    <w:rsid w:val="00352B0F"/>
    <w:rsid w:val="00356690"/>
    <w:rsid w:val="00357DD0"/>
    <w:rsid w:val="00360459"/>
    <w:rsid w:val="00365497"/>
    <w:rsid w:val="00386186"/>
    <w:rsid w:val="00387A96"/>
    <w:rsid w:val="00387B30"/>
    <w:rsid w:val="003904F4"/>
    <w:rsid w:val="003957F1"/>
    <w:rsid w:val="003A2A48"/>
    <w:rsid w:val="003B28C3"/>
    <w:rsid w:val="003B732F"/>
    <w:rsid w:val="003C6231"/>
    <w:rsid w:val="003D0BFE"/>
    <w:rsid w:val="003D5700"/>
    <w:rsid w:val="003E0A41"/>
    <w:rsid w:val="003E0F99"/>
    <w:rsid w:val="003E341B"/>
    <w:rsid w:val="0040053F"/>
    <w:rsid w:val="004116CD"/>
    <w:rsid w:val="004144EC"/>
    <w:rsid w:val="00416329"/>
    <w:rsid w:val="00417EB9"/>
    <w:rsid w:val="00424CA9"/>
    <w:rsid w:val="00431E9B"/>
    <w:rsid w:val="004379E3"/>
    <w:rsid w:val="0044015E"/>
    <w:rsid w:val="0044291A"/>
    <w:rsid w:val="00444ABD"/>
    <w:rsid w:val="00447DB4"/>
    <w:rsid w:val="00460F1D"/>
    <w:rsid w:val="00465DC1"/>
    <w:rsid w:val="00466894"/>
    <w:rsid w:val="00467661"/>
    <w:rsid w:val="004705B7"/>
    <w:rsid w:val="00472DBE"/>
    <w:rsid w:val="00474A19"/>
    <w:rsid w:val="004823C0"/>
    <w:rsid w:val="0048276B"/>
    <w:rsid w:val="00496B5F"/>
    <w:rsid w:val="00496F97"/>
    <w:rsid w:val="004A44FC"/>
    <w:rsid w:val="004A6AF1"/>
    <w:rsid w:val="004B5B44"/>
    <w:rsid w:val="004B60C8"/>
    <w:rsid w:val="004C1CB1"/>
    <w:rsid w:val="004D1C0D"/>
    <w:rsid w:val="004E063A"/>
    <w:rsid w:val="004E7BEC"/>
    <w:rsid w:val="0050044F"/>
    <w:rsid w:val="00505D3D"/>
    <w:rsid w:val="00506AF6"/>
    <w:rsid w:val="00507335"/>
    <w:rsid w:val="005128FD"/>
    <w:rsid w:val="00516B8D"/>
    <w:rsid w:val="00517E56"/>
    <w:rsid w:val="00532049"/>
    <w:rsid w:val="005356A7"/>
    <w:rsid w:val="00536184"/>
    <w:rsid w:val="00537FBC"/>
    <w:rsid w:val="00540CEF"/>
    <w:rsid w:val="005574D1"/>
    <w:rsid w:val="005657FE"/>
    <w:rsid w:val="00567761"/>
    <w:rsid w:val="00567F7A"/>
    <w:rsid w:val="005718BD"/>
    <w:rsid w:val="00572BB1"/>
    <w:rsid w:val="005738DC"/>
    <w:rsid w:val="0057670F"/>
    <w:rsid w:val="005841D9"/>
    <w:rsid w:val="00584811"/>
    <w:rsid w:val="00585784"/>
    <w:rsid w:val="00593AA6"/>
    <w:rsid w:val="00594161"/>
    <w:rsid w:val="00594749"/>
    <w:rsid w:val="005B4067"/>
    <w:rsid w:val="005B780C"/>
    <w:rsid w:val="005C3F41"/>
    <w:rsid w:val="005D0489"/>
    <w:rsid w:val="005D2D09"/>
    <w:rsid w:val="005D3D41"/>
    <w:rsid w:val="005E4810"/>
    <w:rsid w:val="005F4140"/>
    <w:rsid w:val="005F65CD"/>
    <w:rsid w:val="00600219"/>
    <w:rsid w:val="00603ACE"/>
    <w:rsid w:val="00603DC4"/>
    <w:rsid w:val="00607A71"/>
    <w:rsid w:val="006117CB"/>
    <w:rsid w:val="00616A0B"/>
    <w:rsid w:val="00620076"/>
    <w:rsid w:val="006231C4"/>
    <w:rsid w:val="00634044"/>
    <w:rsid w:val="00640161"/>
    <w:rsid w:val="00646F69"/>
    <w:rsid w:val="00652769"/>
    <w:rsid w:val="00653CB2"/>
    <w:rsid w:val="0065542F"/>
    <w:rsid w:val="006554FF"/>
    <w:rsid w:val="00670EA1"/>
    <w:rsid w:val="00677CC2"/>
    <w:rsid w:val="006905DE"/>
    <w:rsid w:val="0069207B"/>
    <w:rsid w:val="00692A83"/>
    <w:rsid w:val="006B5789"/>
    <w:rsid w:val="006C30C5"/>
    <w:rsid w:val="006C404A"/>
    <w:rsid w:val="006C48FA"/>
    <w:rsid w:val="006C7F8C"/>
    <w:rsid w:val="006E5320"/>
    <w:rsid w:val="006E6246"/>
    <w:rsid w:val="006F318F"/>
    <w:rsid w:val="006F4226"/>
    <w:rsid w:val="006F6025"/>
    <w:rsid w:val="0070017E"/>
    <w:rsid w:val="00700B2C"/>
    <w:rsid w:val="00702EFD"/>
    <w:rsid w:val="007050A2"/>
    <w:rsid w:val="00711257"/>
    <w:rsid w:val="00713084"/>
    <w:rsid w:val="0071399B"/>
    <w:rsid w:val="00714F20"/>
    <w:rsid w:val="0071590F"/>
    <w:rsid w:val="00715914"/>
    <w:rsid w:val="00722DE9"/>
    <w:rsid w:val="007241FF"/>
    <w:rsid w:val="00725DFB"/>
    <w:rsid w:val="00731E00"/>
    <w:rsid w:val="00741EE8"/>
    <w:rsid w:val="00742885"/>
    <w:rsid w:val="007440B7"/>
    <w:rsid w:val="007500C8"/>
    <w:rsid w:val="00756272"/>
    <w:rsid w:val="00765913"/>
    <w:rsid w:val="007662B5"/>
    <w:rsid w:val="0076681A"/>
    <w:rsid w:val="007715C9"/>
    <w:rsid w:val="00771613"/>
    <w:rsid w:val="00774EDD"/>
    <w:rsid w:val="0077506D"/>
    <w:rsid w:val="007757EC"/>
    <w:rsid w:val="00783E89"/>
    <w:rsid w:val="00785A9E"/>
    <w:rsid w:val="00793915"/>
    <w:rsid w:val="007B0A86"/>
    <w:rsid w:val="007B4C4F"/>
    <w:rsid w:val="007C2253"/>
    <w:rsid w:val="007C2F86"/>
    <w:rsid w:val="007D230B"/>
    <w:rsid w:val="007E163D"/>
    <w:rsid w:val="007E667A"/>
    <w:rsid w:val="007F264E"/>
    <w:rsid w:val="007F28C9"/>
    <w:rsid w:val="0080312D"/>
    <w:rsid w:val="00803587"/>
    <w:rsid w:val="008117E9"/>
    <w:rsid w:val="00824498"/>
    <w:rsid w:val="00826AD0"/>
    <w:rsid w:val="00840442"/>
    <w:rsid w:val="008527C0"/>
    <w:rsid w:val="00855843"/>
    <w:rsid w:val="00856A31"/>
    <w:rsid w:val="00860B58"/>
    <w:rsid w:val="0086711A"/>
    <w:rsid w:val="00867B37"/>
    <w:rsid w:val="008718DD"/>
    <w:rsid w:val="008754D0"/>
    <w:rsid w:val="00880DF2"/>
    <w:rsid w:val="00880EBE"/>
    <w:rsid w:val="008855C9"/>
    <w:rsid w:val="00886456"/>
    <w:rsid w:val="008945E0"/>
    <w:rsid w:val="0089527F"/>
    <w:rsid w:val="00896B6F"/>
    <w:rsid w:val="008A362B"/>
    <w:rsid w:val="008A46E1"/>
    <w:rsid w:val="008A4F43"/>
    <w:rsid w:val="008B2706"/>
    <w:rsid w:val="008C0F29"/>
    <w:rsid w:val="008C330E"/>
    <w:rsid w:val="008D0EE0"/>
    <w:rsid w:val="008D3422"/>
    <w:rsid w:val="008E6067"/>
    <w:rsid w:val="008F0888"/>
    <w:rsid w:val="008F54E7"/>
    <w:rsid w:val="008F7B27"/>
    <w:rsid w:val="009016BE"/>
    <w:rsid w:val="00903422"/>
    <w:rsid w:val="009070C5"/>
    <w:rsid w:val="00910818"/>
    <w:rsid w:val="0091085A"/>
    <w:rsid w:val="009157B9"/>
    <w:rsid w:val="00915DF9"/>
    <w:rsid w:val="009254C3"/>
    <w:rsid w:val="00926940"/>
    <w:rsid w:val="00930A0A"/>
    <w:rsid w:val="00932377"/>
    <w:rsid w:val="009460DC"/>
    <w:rsid w:val="00947D5A"/>
    <w:rsid w:val="009532A5"/>
    <w:rsid w:val="0095528E"/>
    <w:rsid w:val="0096753E"/>
    <w:rsid w:val="00982242"/>
    <w:rsid w:val="009851D4"/>
    <w:rsid w:val="009868E9"/>
    <w:rsid w:val="009944E6"/>
    <w:rsid w:val="009A49C9"/>
    <w:rsid w:val="009D1818"/>
    <w:rsid w:val="009D195A"/>
    <w:rsid w:val="009E5CFC"/>
    <w:rsid w:val="00A079CB"/>
    <w:rsid w:val="00A12128"/>
    <w:rsid w:val="00A12F48"/>
    <w:rsid w:val="00A15512"/>
    <w:rsid w:val="00A22C98"/>
    <w:rsid w:val="00A231E2"/>
    <w:rsid w:val="00A26B19"/>
    <w:rsid w:val="00A33D55"/>
    <w:rsid w:val="00A34412"/>
    <w:rsid w:val="00A40424"/>
    <w:rsid w:val="00A52B0F"/>
    <w:rsid w:val="00A5632E"/>
    <w:rsid w:val="00A64912"/>
    <w:rsid w:val="00A65854"/>
    <w:rsid w:val="00A66B78"/>
    <w:rsid w:val="00A70A74"/>
    <w:rsid w:val="00A85AEE"/>
    <w:rsid w:val="00A91966"/>
    <w:rsid w:val="00A93393"/>
    <w:rsid w:val="00AA12BE"/>
    <w:rsid w:val="00AA61B6"/>
    <w:rsid w:val="00AA66AC"/>
    <w:rsid w:val="00AB1DE8"/>
    <w:rsid w:val="00AC0886"/>
    <w:rsid w:val="00AC2BC6"/>
    <w:rsid w:val="00AD1F73"/>
    <w:rsid w:val="00AD45C2"/>
    <w:rsid w:val="00AD488C"/>
    <w:rsid w:val="00AD5315"/>
    <w:rsid w:val="00AD5641"/>
    <w:rsid w:val="00AD7889"/>
    <w:rsid w:val="00AE7934"/>
    <w:rsid w:val="00AF021B"/>
    <w:rsid w:val="00AF06CF"/>
    <w:rsid w:val="00B07CDB"/>
    <w:rsid w:val="00B16A31"/>
    <w:rsid w:val="00B17DFD"/>
    <w:rsid w:val="00B2799D"/>
    <w:rsid w:val="00B308FE"/>
    <w:rsid w:val="00B33709"/>
    <w:rsid w:val="00B33B3C"/>
    <w:rsid w:val="00B33BD1"/>
    <w:rsid w:val="00B50ADC"/>
    <w:rsid w:val="00B566B1"/>
    <w:rsid w:val="00B63834"/>
    <w:rsid w:val="00B72734"/>
    <w:rsid w:val="00B72FAD"/>
    <w:rsid w:val="00B80199"/>
    <w:rsid w:val="00B82D81"/>
    <w:rsid w:val="00B83204"/>
    <w:rsid w:val="00B9126E"/>
    <w:rsid w:val="00BA220B"/>
    <w:rsid w:val="00BA3A57"/>
    <w:rsid w:val="00BB4E1A"/>
    <w:rsid w:val="00BB5C17"/>
    <w:rsid w:val="00BC015E"/>
    <w:rsid w:val="00BC7183"/>
    <w:rsid w:val="00BC76AC"/>
    <w:rsid w:val="00BD0ECB"/>
    <w:rsid w:val="00BE2155"/>
    <w:rsid w:val="00BE2213"/>
    <w:rsid w:val="00BE3D6B"/>
    <w:rsid w:val="00BE719A"/>
    <w:rsid w:val="00BE720A"/>
    <w:rsid w:val="00BF0D73"/>
    <w:rsid w:val="00BF2465"/>
    <w:rsid w:val="00BF75C9"/>
    <w:rsid w:val="00C0544A"/>
    <w:rsid w:val="00C061C0"/>
    <w:rsid w:val="00C11452"/>
    <w:rsid w:val="00C11E55"/>
    <w:rsid w:val="00C136AB"/>
    <w:rsid w:val="00C25E7F"/>
    <w:rsid w:val="00C2746F"/>
    <w:rsid w:val="00C324A0"/>
    <w:rsid w:val="00C3300F"/>
    <w:rsid w:val="00C34E77"/>
    <w:rsid w:val="00C35875"/>
    <w:rsid w:val="00C35DAF"/>
    <w:rsid w:val="00C42BF8"/>
    <w:rsid w:val="00C45171"/>
    <w:rsid w:val="00C50043"/>
    <w:rsid w:val="00C50B97"/>
    <w:rsid w:val="00C5365B"/>
    <w:rsid w:val="00C6434E"/>
    <w:rsid w:val="00C70CA8"/>
    <w:rsid w:val="00C7573B"/>
    <w:rsid w:val="00C7761F"/>
    <w:rsid w:val="00C846CF"/>
    <w:rsid w:val="00C93C03"/>
    <w:rsid w:val="00CA66DC"/>
    <w:rsid w:val="00CB2C8E"/>
    <w:rsid w:val="00CB602E"/>
    <w:rsid w:val="00CD2E90"/>
    <w:rsid w:val="00CD3073"/>
    <w:rsid w:val="00CE051D"/>
    <w:rsid w:val="00CE1335"/>
    <w:rsid w:val="00CE3D2A"/>
    <w:rsid w:val="00CE493D"/>
    <w:rsid w:val="00CE6D42"/>
    <w:rsid w:val="00CF07FA"/>
    <w:rsid w:val="00CF0BB2"/>
    <w:rsid w:val="00CF3EE8"/>
    <w:rsid w:val="00D050E6"/>
    <w:rsid w:val="00D13441"/>
    <w:rsid w:val="00D148AF"/>
    <w:rsid w:val="00D150E7"/>
    <w:rsid w:val="00D233E0"/>
    <w:rsid w:val="00D32F65"/>
    <w:rsid w:val="00D341C4"/>
    <w:rsid w:val="00D52DC2"/>
    <w:rsid w:val="00D53BCC"/>
    <w:rsid w:val="00D5434B"/>
    <w:rsid w:val="00D702DE"/>
    <w:rsid w:val="00D70DFB"/>
    <w:rsid w:val="00D73C22"/>
    <w:rsid w:val="00D766DF"/>
    <w:rsid w:val="00DA186E"/>
    <w:rsid w:val="00DA4116"/>
    <w:rsid w:val="00DB251C"/>
    <w:rsid w:val="00DB38AD"/>
    <w:rsid w:val="00DB4630"/>
    <w:rsid w:val="00DC4445"/>
    <w:rsid w:val="00DC4F88"/>
    <w:rsid w:val="00DE79F9"/>
    <w:rsid w:val="00E05704"/>
    <w:rsid w:val="00E06CC3"/>
    <w:rsid w:val="00E11E44"/>
    <w:rsid w:val="00E13AFA"/>
    <w:rsid w:val="00E2168B"/>
    <w:rsid w:val="00E21F03"/>
    <w:rsid w:val="00E26BD0"/>
    <w:rsid w:val="00E3052C"/>
    <w:rsid w:val="00E338EF"/>
    <w:rsid w:val="00E40FF8"/>
    <w:rsid w:val="00E544BB"/>
    <w:rsid w:val="00E578EC"/>
    <w:rsid w:val="00E60423"/>
    <w:rsid w:val="00E649D7"/>
    <w:rsid w:val="00E662CB"/>
    <w:rsid w:val="00E67AEE"/>
    <w:rsid w:val="00E74DC7"/>
    <w:rsid w:val="00E8075A"/>
    <w:rsid w:val="00E818A6"/>
    <w:rsid w:val="00E85A91"/>
    <w:rsid w:val="00E87718"/>
    <w:rsid w:val="00E94D5E"/>
    <w:rsid w:val="00EA4140"/>
    <w:rsid w:val="00EA7100"/>
    <w:rsid w:val="00EA7F9F"/>
    <w:rsid w:val="00EB0E70"/>
    <w:rsid w:val="00EB1274"/>
    <w:rsid w:val="00EB303A"/>
    <w:rsid w:val="00EC4757"/>
    <w:rsid w:val="00EC7EDB"/>
    <w:rsid w:val="00ED2BB6"/>
    <w:rsid w:val="00ED34E1"/>
    <w:rsid w:val="00ED3B8D"/>
    <w:rsid w:val="00ED7ACD"/>
    <w:rsid w:val="00EF15D3"/>
    <w:rsid w:val="00EF1814"/>
    <w:rsid w:val="00EF2E3A"/>
    <w:rsid w:val="00F02EF9"/>
    <w:rsid w:val="00F047D8"/>
    <w:rsid w:val="00F072A7"/>
    <w:rsid w:val="00F078DC"/>
    <w:rsid w:val="00F14593"/>
    <w:rsid w:val="00F171A1"/>
    <w:rsid w:val="00F21F9D"/>
    <w:rsid w:val="00F32BA8"/>
    <w:rsid w:val="00F349F1"/>
    <w:rsid w:val="00F4215A"/>
    <w:rsid w:val="00F4350D"/>
    <w:rsid w:val="00F50532"/>
    <w:rsid w:val="00F567F7"/>
    <w:rsid w:val="00F61B09"/>
    <w:rsid w:val="00F62036"/>
    <w:rsid w:val="00F65B52"/>
    <w:rsid w:val="00F67BCA"/>
    <w:rsid w:val="00F72DCC"/>
    <w:rsid w:val="00F73BD6"/>
    <w:rsid w:val="00F83989"/>
    <w:rsid w:val="00F8400F"/>
    <w:rsid w:val="00F85099"/>
    <w:rsid w:val="00F9379C"/>
    <w:rsid w:val="00F9632C"/>
    <w:rsid w:val="00FA1E52"/>
    <w:rsid w:val="00FA31DE"/>
    <w:rsid w:val="00FA7D17"/>
    <w:rsid w:val="00FC3EB8"/>
    <w:rsid w:val="00FC7D25"/>
    <w:rsid w:val="00FD13CC"/>
    <w:rsid w:val="00FE4688"/>
    <w:rsid w:val="00FE72D6"/>
    <w:rsid w:val="00FE79D0"/>
    <w:rsid w:val="112E4A7A"/>
    <w:rsid w:val="24C9CB89"/>
    <w:rsid w:val="4156A5B1"/>
    <w:rsid w:val="459C496F"/>
    <w:rsid w:val="51E01034"/>
    <w:rsid w:val="780AA60E"/>
    <w:rsid w:val="7D0B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83F50"/>
  <w15:chartTrackingRefBased/>
  <w15:docId w15:val="{C9E38A85-AC5D-4EE1-8AB5-F34F338E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C846CF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header" Target="header9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08C9EE83D83D4448AF8205A6FC777399" ma:contentTypeVersion="29" ma:contentTypeDescription="" ma:contentTypeScope="" ma:versionID="d71cc0bbcad8cfdd791298d7c33ac4c4">
  <xsd:schema xmlns:xsd="http://www.w3.org/2001/XMLSchema" xmlns:xs="http://www.w3.org/2001/XMLSchema" xmlns:p="http://schemas.microsoft.com/office/2006/metadata/properties" xmlns:ns2="db2b92ca-6ed0-4085-802d-4c686a2e8c3f" xmlns:ns3="97799607-2890-4a68-80f0-689cc1cb251f" xmlns:ns4="eb44715b-cd74-4c79-92c4-f0e9f1a86440" targetNamespace="http://schemas.microsoft.com/office/2006/metadata/properties" ma:root="true" ma:fieldsID="43e6f115ca98de8c6a8874ca9ed13d6d" ns2:_="" ns3:_="" ns4:_="">
    <xsd:import namespace="db2b92ca-6ed0-4085-802d-4c686a2e8c3f"/>
    <xsd:import namespace="97799607-2890-4a68-80f0-689cc1cb251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9607-2890-4a68-80f0-689cc1cb2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4.xml><?xml version="1.0" encoding="utf-8"?>
<?mso-contentType ?>
<FormTemplates xmlns="http://schemas.microsoft.com/sharepoint/v3/contenttype/forms"/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 xsi:nil="true"/>
    <DocumentNotes xmlns="db2b92ca-6ed0-4085-802d-4c686a2e8c3f" xsi:nil="true"/>
    <NAPReason xmlns="db2b92ca-6ed0-4085-802d-4c686a2e8c3f" xsi:nil="true"/>
    <_dlc_DocId xmlns="eb44715b-cd74-4c79-92c4-f0e9f1a86440">000853-1726373233-1743</_dlc_DocId>
    <_dlc_DocIdUrl xmlns="eb44715b-cd74-4c79-92c4-f0e9f1a86440">
      <Url>https://asiclink.sharepoint.com/teams/000853/_layouts/15/DocIdRedir.aspx?ID=000853-1726373233-1743</Url>
      <Description>000853-1726373233-1743</Description>
    </_dlc_DocIdUrl>
    <_dlc_DocIdPersistId xmlns="eb44715b-cd74-4c79-92c4-f0e9f1a86440">false</_dlc_DocIdPersist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EBABF-8A80-41DD-A5FF-09F19037DFB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49A22BA-A268-4A3C-B383-3DE556ECC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97799607-2890-4a68-80f0-689cc1cb251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28946B-7383-4C7E-BFFA-83934C35A04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9CEDBEA-A1FC-4201-A1F6-A6E5F24F5E0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3173C1-BD6D-4396-AB5C-7E2E3BED973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62E809C2-6D9B-4B70-B79C-921106471BAC}">
  <ds:schemaRefs>
    <ds:schemaRef ds:uri="http://purl.org/dc/elements/1.1/"/>
    <ds:schemaRef ds:uri="http://schemas.microsoft.com/office/2006/metadata/properties"/>
    <ds:schemaRef ds:uri="97799607-2890-4a68-80f0-689cc1cb251f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eb44715b-cd74-4c79-92c4-f0e9f1a86440"/>
    <ds:schemaRef ds:uri="db2b92ca-6ed0-4085-802d-4c686a2e8c3f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D6E0C325-1D02-4DE0-B6B4-0A841017D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1</TotalTime>
  <Pages>6</Pages>
  <Words>627</Words>
  <Characters>3575</Characters>
  <Application>Microsoft Office Word</Application>
  <DocSecurity>0</DocSecurity>
  <PresentationFormat/>
  <Lines>29</Lines>
  <Paragraphs>8</Paragraphs>
  <ScaleCrop>false</ScaleCrop>
  <Company>ASIC</Company>
  <LinksUpToDate>false</LinksUpToDate>
  <CharactersWithSpaces>4194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Graham</dc:creator>
  <cp:keywords/>
  <cp:lastModifiedBy>Narelle Kane</cp:lastModifiedBy>
  <cp:revision>6</cp:revision>
  <cp:lastPrinted>2014-06-14T16:38:00Z</cp:lastPrinted>
  <dcterms:created xsi:type="dcterms:W3CDTF">2025-09-19T00:36:00Z</dcterms:created>
  <dcterms:modified xsi:type="dcterms:W3CDTF">2025-09-21T23:16:00Z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{acdd1afa-b056-4008-858c-995c828f7cb3}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IconOverlay">
    <vt:lpwstr/>
  </property>
  <property fmtid="{D5CDD505-2E9C-101B-9397-08002B2CF9AE}" pid="46" name="RecordNumber">
    <vt:lpwstr>R20150000005028</vt:lpwstr>
  </property>
  <property fmtid="{D5CDD505-2E9C-101B-9397-08002B2CF9AE}" pid="47" name="RecordPoint_SubmissionCompleted">
    <vt:lpwstr>2022-03-18T15:31:50.4310568+11:00</vt:lpwstr>
  </property>
  <property fmtid="{D5CDD505-2E9C-101B-9397-08002B2CF9AE}" pid="48" name="RecordPoint_RecordNumberSubmitted">
    <vt:lpwstr>R20150000005028</vt:lpwstr>
  </property>
  <property fmtid="{D5CDD505-2E9C-101B-9397-08002B2CF9AE}" pid="49" name="Reviewers">
    <vt:lpwstr/>
  </property>
  <property fmtid="{D5CDD505-2E9C-101B-9397-08002B2CF9AE}" pid="50" name="NotesLinks">
    <vt:lpwstr/>
  </property>
  <property fmtid="{D5CDD505-2E9C-101B-9397-08002B2CF9AE}" pid="51" name="Approvers">
    <vt:lpwstr/>
  </property>
  <property fmtid="{D5CDD505-2E9C-101B-9397-08002B2CF9AE}" pid="52" name="SecurityClassification">
    <vt:lpwstr>6;#Sensitive|19fd2cb8-3e97-4464-ae71-8c2c2095d028</vt:lpwstr>
  </property>
  <property fmtid="{D5CDD505-2E9C-101B-9397-08002B2CF9AE}" pid="53" name="ObjectiveID">
    <vt:lpwstr/>
  </property>
  <property fmtid="{D5CDD505-2E9C-101B-9397-08002B2CF9AE}" pid="54" name="SignificantFlag">
    <vt:lpwstr>0</vt:lpwstr>
  </property>
  <property fmtid="{D5CDD505-2E9C-101B-9397-08002B2CF9AE}" pid="55" name="SenateOrder12">
    <vt:lpwstr>0</vt:lpwstr>
  </property>
  <property fmtid="{D5CDD505-2E9C-101B-9397-08002B2CF9AE}" pid="56" name="ded95d7ab059406991d558011d18c177">
    <vt:lpwstr/>
  </property>
  <property fmtid="{D5CDD505-2E9C-101B-9397-08002B2CF9AE}" pid="57" name="SignificantReason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Tony Tong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0x010100B5F685A1365F544391EF8C813B164F3A0008C9EE83D83D4448AF8205A6FC777399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000853-1726373233-7</vt:lpwstr>
  </property>
  <property fmtid="{D5CDD505-2E9C-101B-9397-08002B2CF9AE}" pid="74" name="_dlc_DocIdItemGuid">
    <vt:lpwstr>9d987a7d-42b6-44bb-8105-2cbf84676630</vt:lpwstr>
  </property>
  <property fmtid="{D5CDD505-2E9C-101B-9397-08002B2CF9AE}" pid="75" name="_dlc_DocIdUrl">
    <vt:lpwstr>https://asiclink.sharepoint.com/teams/000853/_layouts/15/DocIdRedir.aspx?ID=000853-1726373233-7, 000853-1726373233-7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2023-08-16T23:30:51Z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7762a810-eda9-4d8d-986d-be8e0820832b</vt:lpwstr>
  </property>
  <property fmtid="{D5CDD505-2E9C-101B-9397-08002B2CF9AE}" pid="82" name="MSIP_Label_a6aead41-07f8-4767-ac8e-ef1c9c793766_ContentBits">
    <vt:lpwstr>0</vt:lpwstr>
  </property>
  <property fmtid="{D5CDD505-2E9C-101B-9397-08002B2CF9AE}" pid="83" name="MediaServiceImageTags">
    <vt:lpwstr/>
  </property>
  <property fmtid="{D5CDD505-2E9C-101B-9397-08002B2CF9AE}" pid="84" name="p1abb5e704a84578aa4b8ef0390c3b250">
    <vt:lpwstr>Sensitive|19fd2cb8-3e97-4464-ae71-8c2c2095d028</vt:lpwstr>
  </property>
  <property fmtid="{D5CDD505-2E9C-101B-9397-08002B2CF9AE}" pid="85" name="lcf76f155ced4ddcb4097134ff3c332f">
    <vt:lpwstr/>
  </property>
  <property fmtid="{D5CDD505-2E9C-101B-9397-08002B2CF9AE}" pid="86" name="MailIn-Reply-To">
    <vt:lpwstr/>
  </property>
  <property fmtid="{D5CDD505-2E9C-101B-9397-08002B2CF9AE}" pid="87" name="ComplianceAssetId">
    <vt:lpwstr/>
  </property>
  <property fmtid="{D5CDD505-2E9C-101B-9397-08002B2CF9AE}" pid="88" name="_ExtendedDescription">
    <vt:lpwstr/>
  </property>
  <property fmtid="{D5CDD505-2E9C-101B-9397-08002B2CF9AE}" pid="89" name="xd_Signature">
    <vt:bool>false</vt:bool>
  </property>
  <property fmtid="{D5CDD505-2E9C-101B-9397-08002B2CF9AE}" pid="90" name="MailReply-To">
    <vt:lpwstr/>
  </property>
  <property fmtid="{D5CDD505-2E9C-101B-9397-08002B2CF9AE}" pid="91" name="TriggerFlowInfo">
    <vt:lpwstr/>
  </property>
  <property fmtid="{D5CDD505-2E9C-101B-9397-08002B2CF9AE}" pid="92" name="xd_ProgID">
    <vt:lpwstr/>
  </property>
  <property fmtid="{D5CDD505-2E9C-101B-9397-08002B2CF9AE}" pid="93" name="TemplateUrl">
    <vt:lpwstr/>
  </property>
  <property fmtid="{D5CDD505-2E9C-101B-9397-08002B2CF9AE}" pid="94" name="docLang">
    <vt:lpwstr>en</vt:lpwstr>
  </property>
</Properties>
</file>