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9655" w14:textId="77777777" w:rsidR="002E2DF2" w:rsidRPr="00EF28A0" w:rsidRDefault="002E2DF2" w:rsidP="002E2DF2">
      <w:r w:rsidRPr="00EF28A0">
        <w:rPr>
          <w:noProof/>
        </w:rPr>
        <w:drawing>
          <wp:inline distT="0" distB="0" distL="0" distR="0" wp14:anchorId="1D08A2D2" wp14:editId="6D5E332E">
            <wp:extent cx="1304925" cy="990600"/>
            <wp:effectExtent l="0" t="0" r="9525" b="0"/>
            <wp:docPr id="1" name="Picture 1" descr="Australian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ustralian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40761" w14:textId="77777777" w:rsidR="002E2DF2" w:rsidRPr="00EF28A0" w:rsidRDefault="002E2DF2" w:rsidP="002E2DF2">
      <w:pPr>
        <w:rPr>
          <w:rFonts w:ascii="Arial Bold" w:hAnsi="Arial Bold" w:cs="Arial Bold"/>
        </w:rPr>
      </w:pPr>
    </w:p>
    <w:p w14:paraId="07ABFF8A" w14:textId="639E0F17" w:rsidR="002E2DF2" w:rsidRPr="00EF28A0" w:rsidRDefault="002E2DF2" w:rsidP="002E2DF2">
      <w:pPr>
        <w:pStyle w:val="Title"/>
        <w:pBdr>
          <w:bottom w:val="single" w:sz="4" w:space="3" w:color="auto"/>
        </w:pBdr>
        <w:rPr>
          <w:rFonts w:ascii="Times New Roman" w:hAnsi="Times New Roman" w:cs="Times New Roman"/>
          <w:sz w:val="30"/>
          <w:szCs w:val="30"/>
        </w:rPr>
      </w:pPr>
      <w:r w:rsidRPr="00EF28A0">
        <w:rPr>
          <w:rFonts w:ascii="Times New Roman" w:hAnsi="Times New Roman" w:cs="Times New Roman"/>
          <w:sz w:val="30"/>
          <w:szCs w:val="30"/>
        </w:rPr>
        <w:t xml:space="preserve">PB </w:t>
      </w:r>
      <w:r w:rsidR="001B1808" w:rsidRPr="00EF28A0">
        <w:rPr>
          <w:rFonts w:ascii="Times New Roman" w:hAnsi="Times New Roman" w:cs="Times New Roman"/>
          <w:sz w:val="30"/>
          <w:szCs w:val="30"/>
        </w:rPr>
        <w:t>114</w:t>
      </w:r>
      <w:r w:rsidR="00007A5E" w:rsidRPr="00EF28A0">
        <w:rPr>
          <w:rFonts w:ascii="Times New Roman" w:hAnsi="Times New Roman" w:cs="Times New Roman"/>
          <w:sz w:val="30"/>
          <w:szCs w:val="30"/>
        </w:rPr>
        <w:t xml:space="preserve"> </w:t>
      </w:r>
      <w:r w:rsidRPr="00EF28A0">
        <w:rPr>
          <w:rFonts w:ascii="Times New Roman" w:hAnsi="Times New Roman" w:cs="Times New Roman"/>
          <w:sz w:val="30"/>
          <w:szCs w:val="30"/>
        </w:rPr>
        <w:t>of 202</w:t>
      </w:r>
      <w:r w:rsidR="00A070F8" w:rsidRPr="00EF28A0">
        <w:rPr>
          <w:rFonts w:ascii="Times New Roman" w:hAnsi="Times New Roman" w:cs="Times New Roman"/>
          <w:sz w:val="30"/>
          <w:szCs w:val="30"/>
        </w:rPr>
        <w:t>5</w:t>
      </w:r>
    </w:p>
    <w:p w14:paraId="6C7708CD" w14:textId="4903068E" w:rsidR="002E2DF2" w:rsidRPr="00EF28A0" w:rsidRDefault="002E2DF2" w:rsidP="002E2DF2">
      <w:pPr>
        <w:pStyle w:val="Title"/>
        <w:pBdr>
          <w:bottom w:val="single" w:sz="4" w:space="3" w:color="auto"/>
        </w:pBdr>
        <w:rPr>
          <w:rFonts w:ascii="Times New Roman" w:hAnsi="Times New Roman" w:cs="Times New Roman"/>
          <w:b w:val="0"/>
          <w:sz w:val="28"/>
          <w:szCs w:val="28"/>
        </w:rPr>
      </w:pPr>
      <w:bookmarkStart w:id="0" w:name="_Hlk105086391"/>
      <w:r w:rsidRPr="00EF28A0">
        <w:rPr>
          <w:rFonts w:ascii="Times New Roman" w:hAnsi="Times New Roman" w:cs="Times New Roman"/>
        </w:rPr>
        <w:t>National Health (</w:t>
      </w:r>
      <w:r w:rsidR="00987A52" w:rsidRPr="00EF28A0">
        <w:rPr>
          <w:rFonts w:ascii="Times New Roman" w:hAnsi="Times New Roman" w:cs="Times New Roman"/>
        </w:rPr>
        <w:t>Originator Brand</w:t>
      </w:r>
      <w:r w:rsidRPr="00EF28A0">
        <w:rPr>
          <w:rFonts w:ascii="Times New Roman" w:hAnsi="Times New Roman" w:cs="Times New Roman"/>
        </w:rPr>
        <w:t>) Determination 202</w:t>
      </w:r>
      <w:r w:rsidR="00987A52" w:rsidRPr="00EF28A0">
        <w:rPr>
          <w:rFonts w:ascii="Times New Roman" w:hAnsi="Times New Roman" w:cs="Times New Roman"/>
        </w:rPr>
        <w:t>5</w:t>
      </w:r>
    </w:p>
    <w:bookmarkEnd w:id="0"/>
    <w:p w14:paraId="2D999F1A" w14:textId="77777777" w:rsidR="002E2DF2" w:rsidRPr="00EF28A0" w:rsidRDefault="002E2DF2" w:rsidP="002E2DF2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EF28A0">
        <w:rPr>
          <w:rFonts w:ascii="Arial" w:hAnsi="Arial" w:cs="Arial"/>
          <w:i/>
          <w:sz w:val="28"/>
          <w:szCs w:val="28"/>
          <w:lang w:val="en-US"/>
        </w:rPr>
        <w:t>National Health Act 1953</w:t>
      </w:r>
    </w:p>
    <w:p w14:paraId="79798162" w14:textId="080D597C" w:rsidR="002E2DF2" w:rsidRPr="00EF28A0" w:rsidRDefault="002E2DF2" w:rsidP="002E2DF2">
      <w:pPr>
        <w:spacing w:before="360"/>
        <w:jc w:val="both"/>
      </w:pPr>
      <w:r w:rsidRPr="00EF28A0">
        <w:t xml:space="preserve">I, </w:t>
      </w:r>
      <w:r w:rsidR="00B8277F" w:rsidRPr="00EF28A0">
        <w:rPr>
          <w:bCs/>
        </w:rPr>
        <w:t>Rebecca</w:t>
      </w:r>
      <w:r w:rsidR="007367CA" w:rsidRPr="00EF28A0">
        <w:rPr>
          <w:bCs/>
        </w:rPr>
        <w:t xml:space="preserve"> Richardson</w:t>
      </w:r>
      <w:r w:rsidRPr="00EF28A0">
        <w:t xml:space="preserve">, </w:t>
      </w:r>
      <w:r w:rsidR="0015168D" w:rsidRPr="00EF28A0">
        <w:t xml:space="preserve">Assistant Secretary, PBS Listing, Pricing and Policy Branch, Technology Assessment and Access Division, Department of Health, Disability and Ageing, </w:t>
      </w:r>
      <w:r w:rsidRPr="00EF28A0">
        <w:t>delegate of the Minister for Health</w:t>
      </w:r>
      <w:r w:rsidR="00403013" w:rsidRPr="00EF28A0">
        <w:t xml:space="preserve"> and </w:t>
      </w:r>
      <w:r w:rsidR="00482684" w:rsidRPr="00EF28A0">
        <w:t>Ageing</w:t>
      </w:r>
      <w:r w:rsidRPr="00EF28A0">
        <w:t>, make this determination under subsection 99ADB(</w:t>
      </w:r>
      <w:r w:rsidR="00702B39" w:rsidRPr="00EF28A0">
        <w:t>6B</w:t>
      </w:r>
      <w:r w:rsidRPr="00EF28A0">
        <w:t>)</w:t>
      </w:r>
      <w:r w:rsidR="000344CD" w:rsidRPr="00EF28A0">
        <w:t xml:space="preserve"> </w:t>
      </w:r>
      <w:r w:rsidRPr="00EF28A0">
        <w:t xml:space="preserve">of the </w:t>
      </w:r>
      <w:r w:rsidRPr="00EF28A0">
        <w:rPr>
          <w:i/>
        </w:rPr>
        <w:t>National</w:t>
      </w:r>
      <w:r w:rsidRPr="00EF28A0">
        <w:rPr>
          <w:i/>
          <w:lang w:val="en-US" w:eastAsia="ja-JP"/>
        </w:rPr>
        <w:t> </w:t>
      </w:r>
      <w:r w:rsidRPr="00EF28A0">
        <w:rPr>
          <w:i/>
        </w:rPr>
        <w:t>Health Act 1953</w:t>
      </w:r>
      <w:r w:rsidRPr="00EF28A0">
        <w:t>.</w:t>
      </w:r>
    </w:p>
    <w:p w14:paraId="45657DBE" w14:textId="27B77716" w:rsidR="002E2DF2" w:rsidRPr="00EF28A0" w:rsidRDefault="002E2DF2" w:rsidP="002E2DF2">
      <w:pPr>
        <w:spacing w:before="300" w:after="600" w:line="300" w:lineRule="exact"/>
      </w:pPr>
      <w:r w:rsidRPr="00EF28A0">
        <w:t xml:space="preserve">Dated   </w:t>
      </w:r>
      <w:r w:rsidR="00541580" w:rsidRPr="00EF28A0">
        <w:t xml:space="preserve">   </w:t>
      </w:r>
      <w:r w:rsidR="007D2252" w:rsidRPr="00EF28A0">
        <w:t xml:space="preserve">    </w:t>
      </w:r>
      <w:r w:rsidR="00751B6D" w:rsidRPr="00EF28A0">
        <w:t xml:space="preserve"> </w:t>
      </w:r>
      <w:r w:rsidR="00D5318B" w:rsidRPr="00EF28A0">
        <w:t xml:space="preserve">          </w:t>
      </w:r>
      <w:r w:rsidR="00585984" w:rsidRPr="00EF28A0">
        <w:t xml:space="preserve">17 </w:t>
      </w:r>
      <w:r w:rsidR="00F67E85" w:rsidRPr="00EF28A0">
        <w:t>September</w:t>
      </w:r>
      <w:r w:rsidR="00411816" w:rsidRPr="00EF28A0">
        <w:t xml:space="preserve"> </w:t>
      </w:r>
      <w:r w:rsidR="00751B6D" w:rsidRPr="00EF28A0">
        <w:t>202</w:t>
      </w:r>
      <w:r w:rsidR="004A3A0C" w:rsidRPr="00EF28A0">
        <w:t>5</w:t>
      </w:r>
    </w:p>
    <w:p w14:paraId="6195C6A7" w14:textId="77777777" w:rsidR="002E2DF2" w:rsidRPr="00EF28A0" w:rsidRDefault="002E2DF2" w:rsidP="002E2DF2">
      <w:pPr>
        <w:pBdr>
          <w:bottom w:val="single" w:sz="4" w:space="12" w:color="auto"/>
        </w:pBdr>
        <w:spacing w:line="240" w:lineRule="exact"/>
      </w:pPr>
    </w:p>
    <w:p w14:paraId="49F2CC55" w14:textId="77777777" w:rsidR="002E2DF2" w:rsidRPr="00EF28A0" w:rsidRDefault="002E2DF2" w:rsidP="002E2DF2">
      <w:pPr>
        <w:pBdr>
          <w:bottom w:val="single" w:sz="4" w:space="12" w:color="auto"/>
        </w:pBdr>
        <w:spacing w:line="240" w:lineRule="exact"/>
      </w:pPr>
    </w:p>
    <w:p w14:paraId="0295C6A7" w14:textId="77777777" w:rsidR="002E2DF2" w:rsidRPr="00EF28A0" w:rsidRDefault="002E2DF2" w:rsidP="002E2DF2">
      <w:pPr>
        <w:pBdr>
          <w:bottom w:val="single" w:sz="4" w:space="12" w:color="auto"/>
        </w:pBdr>
        <w:spacing w:line="240" w:lineRule="exact"/>
      </w:pPr>
    </w:p>
    <w:p w14:paraId="46F2AC1D" w14:textId="77777777" w:rsidR="002E2DF2" w:rsidRPr="00EF28A0" w:rsidRDefault="002E2DF2" w:rsidP="002E2DF2">
      <w:pPr>
        <w:pBdr>
          <w:bottom w:val="single" w:sz="4" w:space="12" w:color="auto"/>
        </w:pBdr>
        <w:spacing w:line="240" w:lineRule="exact"/>
      </w:pPr>
    </w:p>
    <w:p w14:paraId="66C1BE42" w14:textId="77777777" w:rsidR="002E2DF2" w:rsidRPr="00EF28A0" w:rsidRDefault="002E2DF2" w:rsidP="002E2DF2">
      <w:pPr>
        <w:pBdr>
          <w:bottom w:val="single" w:sz="4" w:space="12" w:color="auto"/>
        </w:pBdr>
        <w:spacing w:line="240" w:lineRule="exact"/>
      </w:pPr>
    </w:p>
    <w:p w14:paraId="31ACE622" w14:textId="77777777" w:rsidR="002E2DF2" w:rsidRPr="00EF28A0" w:rsidRDefault="002E2DF2" w:rsidP="002E2DF2">
      <w:pPr>
        <w:pBdr>
          <w:bottom w:val="single" w:sz="4" w:space="12" w:color="auto"/>
        </w:pBdr>
        <w:spacing w:line="240" w:lineRule="exact"/>
      </w:pPr>
    </w:p>
    <w:p w14:paraId="51057F5E" w14:textId="77777777" w:rsidR="002E2DF2" w:rsidRPr="00EF28A0" w:rsidRDefault="002E2DF2" w:rsidP="002E2DF2">
      <w:pPr>
        <w:pBdr>
          <w:bottom w:val="single" w:sz="4" w:space="12" w:color="auto"/>
        </w:pBdr>
        <w:spacing w:line="240" w:lineRule="exact"/>
      </w:pPr>
    </w:p>
    <w:p w14:paraId="5AF40AE5" w14:textId="77777777" w:rsidR="002E2DF2" w:rsidRPr="00EF28A0" w:rsidRDefault="002E2DF2" w:rsidP="002E2DF2">
      <w:pPr>
        <w:pBdr>
          <w:bottom w:val="single" w:sz="4" w:space="12" w:color="auto"/>
        </w:pBdr>
        <w:spacing w:line="240" w:lineRule="exact"/>
      </w:pPr>
    </w:p>
    <w:p w14:paraId="5F52D38C" w14:textId="77777777" w:rsidR="002E2DF2" w:rsidRPr="00EF28A0" w:rsidRDefault="002E2DF2" w:rsidP="002E2DF2">
      <w:pPr>
        <w:pBdr>
          <w:bottom w:val="single" w:sz="4" w:space="12" w:color="auto"/>
        </w:pBdr>
        <w:spacing w:line="240" w:lineRule="exact"/>
      </w:pPr>
    </w:p>
    <w:p w14:paraId="078A9255" w14:textId="77777777" w:rsidR="002E2DF2" w:rsidRPr="00EF28A0" w:rsidRDefault="002E2DF2" w:rsidP="002E2DF2">
      <w:pPr>
        <w:pBdr>
          <w:bottom w:val="single" w:sz="4" w:space="12" w:color="auto"/>
        </w:pBdr>
        <w:spacing w:line="240" w:lineRule="exact"/>
      </w:pPr>
    </w:p>
    <w:p w14:paraId="6A1C6CA4" w14:textId="77777777" w:rsidR="002E2DF2" w:rsidRPr="00EF28A0" w:rsidRDefault="002E2DF2" w:rsidP="002E2DF2">
      <w:pPr>
        <w:pBdr>
          <w:bottom w:val="single" w:sz="4" w:space="12" w:color="auto"/>
        </w:pBdr>
        <w:spacing w:line="240" w:lineRule="exact"/>
      </w:pPr>
    </w:p>
    <w:p w14:paraId="5F80BE65" w14:textId="77777777" w:rsidR="002E2DF2" w:rsidRPr="00EF28A0" w:rsidRDefault="002E2DF2" w:rsidP="002E2DF2">
      <w:pPr>
        <w:pBdr>
          <w:bottom w:val="single" w:sz="4" w:space="12" w:color="auto"/>
        </w:pBdr>
        <w:spacing w:line="240" w:lineRule="exact"/>
      </w:pPr>
    </w:p>
    <w:p w14:paraId="69151B54" w14:textId="77777777" w:rsidR="002E2DF2" w:rsidRPr="00EF28A0" w:rsidRDefault="002E2DF2" w:rsidP="002E2DF2">
      <w:pPr>
        <w:pBdr>
          <w:bottom w:val="single" w:sz="4" w:space="12" w:color="auto"/>
        </w:pBdr>
        <w:spacing w:line="240" w:lineRule="exact"/>
      </w:pPr>
    </w:p>
    <w:p w14:paraId="69C66245" w14:textId="77777777" w:rsidR="002E2DF2" w:rsidRPr="00EF28A0" w:rsidRDefault="002E2DF2" w:rsidP="002E2DF2">
      <w:pPr>
        <w:pBdr>
          <w:bottom w:val="single" w:sz="4" w:space="12" w:color="auto"/>
        </w:pBdr>
        <w:spacing w:line="240" w:lineRule="exact"/>
      </w:pPr>
    </w:p>
    <w:p w14:paraId="7AB4DB76" w14:textId="1ACB9AE8" w:rsidR="002E2DF2" w:rsidRPr="00EF28A0" w:rsidRDefault="00CE691D" w:rsidP="002E2DF2">
      <w:pPr>
        <w:pBdr>
          <w:bottom w:val="single" w:sz="4" w:space="12" w:color="auto"/>
        </w:pBdr>
        <w:spacing w:line="240" w:lineRule="exact"/>
      </w:pPr>
      <w:r w:rsidRPr="00EF28A0">
        <w:rPr>
          <w:bCs/>
        </w:rPr>
        <w:t>REBECCA RICHARDSON</w:t>
      </w:r>
    </w:p>
    <w:p w14:paraId="07543B60" w14:textId="6B4C719E" w:rsidR="002E2DF2" w:rsidRPr="00EF28A0" w:rsidRDefault="002E2DF2" w:rsidP="002E2DF2">
      <w:pPr>
        <w:pBdr>
          <w:bottom w:val="single" w:sz="4" w:space="12" w:color="auto"/>
        </w:pBdr>
        <w:spacing w:line="240" w:lineRule="exact"/>
      </w:pPr>
      <w:r w:rsidRPr="00EF28A0">
        <w:t>Assistant Secretary</w:t>
      </w:r>
    </w:p>
    <w:p w14:paraId="3795C5AD" w14:textId="531F3568" w:rsidR="00C12BD7" w:rsidRPr="00EF28A0" w:rsidRDefault="00C12BD7" w:rsidP="002E2DF2">
      <w:pPr>
        <w:pBdr>
          <w:bottom w:val="single" w:sz="4" w:space="12" w:color="auto"/>
        </w:pBdr>
        <w:spacing w:line="240" w:lineRule="exact"/>
      </w:pPr>
      <w:r w:rsidRPr="00EF28A0">
        <w:t>PBS Listing, Pricing and Policy Branch</w:t>
      </w:r>
    </w:p>
    <w:p w14:paraId="45768EF1" w14:textId="608F34E3" w:rsidR="002E2DF2" w:rsidRPr="00EF28A0" w:rsidRDefault="002E2DF2" w:rsidP="002E2DF2">
      <w:pPr>
        <w:pBdr>
          <w:bottom w:val="single" w:sz="4" w:space="12" w:color="auto"/>
        </w:pBdr>
        <w:spacing w:line="240" w:lineRule="exact"/>
        <w:rPr>
          <w:bCs/>
          <w:szCs w:val="16"/>
        </w:rPr>
      </w:pPr>
      <w:r w:rsidRPr="00EF28A0">
        <w:rPr>
          <w:bCs/>
          <w:szCs w:val="16"/>
        </w:rPr>
        <w:t>Technology Assessment and Access Division</w:t>
      </w:r>
    </w:p>
    <w:p w14:paraId="70568ED0" w14:textId="5405D505" w:rsidR="002E2DF2" w:rsidRPr="00EF28A0" w:rsidRDefault="002E2DF2" w:rsidP="002E2DF2">
      <w:pPr>
        <w:pBdr>
          <w:bottom w:val="single" w:sz="4" w:space="12" w:color="auto"/>
        </w:pBdr>
        <w:spacing w:line="240" w:lineRule="exact"/>
        <w:rPr>
          <w:rStyle w:val="CharSectnoAm"/>
          <w:bCs/>
        </w:rPr>
        <w:sectPr w:rsidR="002E2DF2" w:rsidRPr="00EF28A0" w:rsidSect="00403013">
          <w:footerReference w:type="even" r:id="rId10"/>
          <w:footerReference w:type="default" r:id="rId11"/>
          <w:footerReference w:type="first" r:id="rId12"/>
          <w:pgSz w:w="11906" w:h="16838" w:code="9"/>
          <w:pgMar w:top="1440" w:right="1440" w:bottom="1298" w:left="1440" w:header="720" w:footer="720" w:gutter="0"/>
          <w:cols w:space="720"/>
          <w:docGrid w:linePitch="326"/>
        </w:sectPr>
      </w:pPr>
      <w:r w:rsidRPr="00EF28A0">
        <w:t>Department of Health</w:t>
      </w:r>
      <w:r w:rsidR="00482684" w:rsidRPr="00EF28A0">
        <w:t>, Disability and Ageing</w:t>
      </w:r>
    </w:p>
    <w:p w14:paraId="30B32831" w14:textId="77777777" w:rsidR="008A06FA" w:rsidRPr="00EF28A0" w:rsidRDefault="008A06FA" w:rsidP="008A06FA">
      <w:pPr>
        <w:spacing w:before="0" w:after="0" w:line="260" w:lineRule="atLeast"/>
        <w:outlineLvl w:val="0"/>
        <w:rPr>
          <w:rFonts w:eastAsia="Calibri"/>
          <w:sz w:val="36"/>
          <w:szCs w:val="20"/>
          <w:lang w:eastAsia="en-US"/>
        </w:rPr>
      </w:pPr>
      <w:bookmarkStart w:id="1" w:name="_Toc56506162"/>
      <w:r w:rsidRPr="00EF28A0">
        <w:rPr>
          <w:rFonts w:eastAsia="Calibri"/>
          <w:sz w:val="36"/>
          <w:szCs w:val="20"/>
          <w:lang w:eastAsia="en-US"/>
        </w:rPr>
        <w:lastRenderedPageBreak/>
        <w:t>Contents</w:t>
      </w:r>
    </w:p>
    <w:p w14:paraId="33BD68A0" w14:textId="17090F8B" w:rsidR="008A06FA" w:rsidRPr="00EF28A0" w:rsidRDefault="008A06FA" w:rsidP="001C2249">
      <w:pPr>
        <w:pStyle w:val="TOC2"/>
        <w:rPr>
          <w:rFonts w:asciiTheme="minorHAnsi" w:hAnsiTheme="minorHAnsi" w:cstheme="minorBidi"/>
        </w:rPr>
      </w:pPr>
      <w:r w:rsidRPr="00EF28A0">
        <w:rPr>
          <w:rFonts w:eastAsia="Times New Roman"/>
          <w:kern w:val="28"/>
        </w:rPr>
        <w:fldChar w:fldCharType="begin"/>
      </w:r>
      <w:r w:rsidRPr="00EF28A0">
        <w:rPr>
          <w:rFonts w:eastAsia="Times New Roman"/>
          <w:kern w:val="28"/>
        </w:rPr>
        <w:instrText xml:space="preserve"> TOC \o "1-9" </w:instrText>
      </w:r>
      <w:r w:rsidRPr="00EF28A0">
        <w:rPr>
          <w:rFonts w:eastAsia="Times New Roman"/>
          <w:kern w:val="28"/>
        </w:rPr>
        <w:fldChar w:fldCharType="separate"/>
      </w:r>
      <w:r w:rsidRPr="00EF28A0">
        <w:t>1  Name</w:t>
      </w:r>
      <w:r w:rsidRPr="00EF28A0">
        <w:tab/>
      </w:r>
      <w:r w:rsidRPr="00EF28A0">
        <w:fldChar w:fldCharType="begin"/>
      </w:r>
      <w:r w:rsidRPr="00EF28A0">
        <w:instrText xml:space="preserve"> PAGEREF _Toc201305448 \h </w:instrText>
      </w:r>
      <w:r w:rsidRPr="00EF28A0">
        <w:fldChar w:fldCharType="separate"/>
      </w:r>
      <w:r w:rsidRPr="00EF28A0">
        <w:t>3</w:t>
      </w:r>
      <w:r w:rsidRPr="00EF28A0">
        <w:fldChar w:fldCharType="end"/>
      </w:r>
    </w:p>
    <w:p w14:paraId="0463A03E" w14:textId="70B840D1" w:rsidR="008A06FA" w:rsidRPr="00EF28A0" w:rsidRDefault="008A06FA">
      <w:pPr>
        <w:pStyle w:val="TOC2"/>
        <w:rPr>
          <w:rFonts w:asciiTheme="minorHAnsi" w:hAnsiTheme="minorHAnsi" w:cstheme="minorBidi"/>
        </w:rPr>
      </w:pPr>
      <w:r w:rsidRPr="00EF28A0">
        <w:t>2  Commencement</w:t>
      </w:r>
      <w:r w:rsidRPr="00EF28A0">
        <w:tab/>
      </w:r>
      <w:r w:rsidRPr="00EF28A0">
        <w:fldChar w:fldCharType="begin"/>
      </w:r>
      <w:r w:rsidRPr="00EF28A0">
        <w:instrText xml:space="preserve"> PAGEREF _Toc201305449 \h </w:instrText>
      </w:r>
      <w:r w:rsidRPr="00EF28A0">
        <w:fldChar w:fldCharType="separate"/>
      </w:r>
      <w:r w:rsidRPr="00EF28A0">
        <w:t>3</w:t>
      </w:r>
      <w:r w:rsidRPr="00EF28A0">
        <w:fldChar w:fldCharType="end"/>
      </w:r>
    </w:p>
    <w:p w14:paraId="7D071408" w14:textId="1E89D7EA" w:rsidR="008A06FA" w:rsidRPr="00EF28A0" w:rsidRDefault="008A06FA">
      <w:pPr>
        <w:pStyle w:val="TOC2"/>
        <w:rPr>
          <w:rFonts w:asciiTheme="minorHAnsi" w:hAnsiTheme="minorHAnsi" w:cstheme="minorBidi"/>
        </w:rPr>
      </w:pPr>
      <w:r w:rsidRPr="00EF28A0">
        <w:t>3  Repeal</w:t>
      </w:r>
      <w:r w:rsidRPr="00EF28A0">
        <w:tab/>
      </w:r>
      <w:r w:rsidRPr="00EF28A0">
        <w:fldChar w:fldCharType="begin"/>
      </w:r>
      <w:r w:rsidRPr="00EF28A0">
        <w:instrText xml:space="preserve"> PAGEREF _Toc201305450 \h </w:instrText>
      </w:r>
      <w:r w:rsidRPr="00EF28A0">
        <w:fldChar w:fldCharType="separate"/>
      </w:r>
      <w:r w:rsidRPr="00EF28A0">
        <w:t>3</w:t>
      </w:r>
      <w:r w:rsidRPr="00EF28A0">
        <w:fldChar w:fldCharType="end"/>
      </w:r>
    </w:p>
    <w:p w14:paraId="139868E0" w14:textId="70868EE4" w:rsidR="008A06FA" w:rsidRPr="00EF28A0" w:rsidRDefault="008A06FA">
      <w:pPr>
        <w:pStyle w:val="TOC2"/>
        <w:rPr>
          <w:rFonts w:asciiTheme="minorHAnsi" w:hAnsiTheme="minorHAnsi" w:cstheme="minorBidi"/>
        </w:rPr>
      </w:pPr>
      <w:r w:rsidRPr="00EF28A0">
        <w:t>4  Authority</w:t>
      </w:r>
      <w:r w:rsidRPr="00EF28A0">
        <w:tab/>
      </w:r>
      <w:r w:rsidRPr="00EF28A0">
        <w:fldChar w:fldCharType="begin"/>
      </w:r>
      <w:r w:rsidRPr="00EF28A0">
        <w:instrText xml:space="preserve"> PAGEREF _Toc201305451 \h </w:instrText>
      </w:r>
      <w:r w:rsidRPr="00EF28A0">
        <w:fldChar w:fldCharType="separate"/>
      </w:r>
      <w:r w:rsidRPr="00EF28A0">
        <w:t>3</w:t>
      </w:r>
      <w:r w:rsidRPr="00EF28A0">
        <w:fldChar w:fldCharType="end"/>
      </w:r>
    </w:p>
    <w:p w14:paraId="58FC177D" w14:textId="397ED331" w:rsidR="008A06FA" w:rsidRPr="00EF28A0" w:rsidRDefault="008A06FA">
      <w:pPr>
        <w:pStyle w:val="TOC2"/>
        <w:rPr>
          <w:rFonts w:asciiTheme="minorHAnsi" w:hAnsiTheme="minorHAnsi" w:cstheme="minorBidi"/>
        </w:rPr>
      </w:pPr>
      <w:r w:rsidRPr="00EF28A0">
        <w:t>5  Definitions</w:t>
      </w:r>
      <w:r w:rsidRPr="00EF28A0">
        <w:tab/>
      </w:r>
      <w:r w:rsidRPr="00EF28A0">
        <w:fldChar w:fldCharType="begin"/>
      </w:r>
      <w:r w:rsidRPr="00EF28A0">
        <w:instrText xml:space="preserve"> PAGEREF _Toc201305452 \h </w:instrText>
      </w:r>
      <w:r w:rsidRPr="00EF28A0">
        <w:fldChar w:fldCharType="separate"/>
      </w:r>
      <w:r w:rsidRPr="00EF28A0">
        <w:t>3</w:t>
      </w:r>
      <w:r w:rsidRPr="00EF28A0">
        <w:fldChar w:fldCharType="end"/>
      </w:r>
    </w:p>
    <w:p w14:paraId="5A1E0680" w14:textId="7B8A009F" w:rsidR="008A06FA" w:rsidRPr="00EF28A0" w:rsidRDefault="008A06FA">
      <w:pPr>
        <w:pStyle w:val="TOC1"/>
        <w:rPr>
          <w:b w:val="0"/>
        </w:rPr>
      </w:pPr>
      <w:r w:rsidRPr="00EF28A0">
        <w:rPr>
          <w:b w:val="0"/>
        </w:rPr>
        <w:t>6  Originator Brand</w:t>
      </w:r>
      <w:r w:rsidRPr="00EF28A0">
        <w:rPr>
          <w:b w:val="0"/>
        </w:rPr>
        <w:tab/>
      </w:r>
      <w:r w:rsidRPr="00EF28A0">
        <w:rPr>
          <w:b w:val="0"/>
        </w:rPr>
        <w:fldChar w:fldCharType="begin"/>
      </w:r>
      <w:r w:rsidRPr="00EF28A0">
        <w:rPr>
          <w:b w:val="0"/>
        </w:rPr>
        <w:instrText xml:space="preserve"> PAGEREF _Toc201305453 \h </w:instrText>
      </w:r>
      <w:r w:rsidRPr="00EF28A0">
        <w:rPr>
          <w:b w:val="0"/>
        </w:rPr>
      </w:r>
      <w:r w:rsidRPr="00EF28A0">
        <w:rPr>
          <w:b w:val="0"/>
        </w:rPr>
        <w:fldChar w:fldCharType="separate"/>
      </w:r>
      <w:r w:rsidRPr="00EF28A0">
        <w:rPr>
          <w:b w:val="0"/>
        </w:rPr>
        <w:t>4</w:t>
      </w:r>
      <w:r w:rsidRPr="00EF28A0">
        <w:rPr>
          <w:b w:val="0"/>
        </w:rPr>
        <w:fldChar w:fldCharType="end"/>
      </w:r>
    </w:p>
    <w:p w14:paraId="299649A7" w14:textId="77777777" w:rsidR="001C2249" w:rsidRPr="00EF28A0" w:rsidRDefault="008A06FA" w:rsidP="00701AFE">
      <w:pPr>
        <w:pStyle w:val="TOC6"/>
        <w:ind w:hanging="1200"/>
        <w:rPr>
          <w:rFonts w:eastAsia="Calibri"/>
          <w:sz w:val="18"/>
          <w:szCs w:val="18"/>
          <w:lang w:eastAsia="en-US"/>
        </w:rPr>
      </w:pPr>
      <w:r w:rsidRPr="00EF28A0">
        <w:rPr>
          <w:rFonts w:eastAsia="Calibri"/>
          <w:bCs/>
          <w:sz w:val="18"/>
          <w:szCs w:val="18"/>
          <w:lang w:eastAsia="en-US"/>
        </w:rPr>
        <w:fldChar w:fldCharType="end"/>
      </w:r>
    </w:p>
    <w:p w14:paraId="089E5604" w14:textId="76E18ACE" w:rsidR="003C357C" w:rsidRPr="00EF28A0" w:rsidRDefault="001C2249" w:rsidP="00EB1197">
      <w:pPr>
        <w:pStyle w:val="TOC6"/>
        <w:ind w:left="1418" w:right="828" w:hanging="1418"/>
        <w:rPr>
          <w:rStyle w:val="CharSectno"/>
          <w:rFonts w:asciiTheme="majorHAnsi" w:eastAsiaTheme="majorEastAsia" w:hAnsiTheme="majorHAnsi" w:cstheme="majorBidi"/>
          <w:bCs/>
          <w:noProof/>
          <w:sz w:val="32"/>
          <w:szCs w:val="32"/>
          <w:lang w:val="en-US" w:eastAsia="en-US"/>
        </w:rPr>
      </w:pPr>
      <w:r w:rsidRPr="00EF28A0">
        <w:rPr>
          <w:rFonts w:eastAsia="Times New Roman"/>
          <w:b/>
          <w:noProof/>
          <w:kern w:val="28"/>
          <w:szCs w:val="20"/>
        </w:rPr>
        <w:t>Schedule 1—Originator Brand</w:t>
      </w:r>
      <w:r w:rsidRPr="00EF28A0">
        <w:rPr>
          <w:rFonts w:eastAsia="Times New Roman"/>
          <w:b/>
          <w:noProof/>
          <w:kern w:val="28"/>
          <w:szCs w:val="20"/>
        </w:rPr>
        <w:tab/>
      </w:r>
      <w:r w:rsidRPr="00EF28A0">
        <w:rPr>
          <w:rFonts w:eastAsia="Times New Roman"/>
          <w:b/>
          <w:noProof/>
          <w:kern w:val="28"/>
          <w:szCs w:val="20"/>
        </w:rPr>
        <w:tab/>
      </w:r>
      <w:r w:rsidRPr="00EF28A0">
        <w:rPr>
          <w:rFonts w:eastAsia="Times New Roman"/>
          <w:b/>
          <w:noProof/>
          <w:kern w:val="28"/>
          <w:szCs w:val="20"/>
        </w:rPr>
        <w:tab/>
      </w:r>
      <w:r w:rsidRPr="00EF28A0">
        <w:rPr>
          <w:rFonts w:eastAsia="Times New Roman"/>
          <w:b/>
          <w:noProof/>
          <w:kern w:val="28"/>
          <w:szCs w:val="20"/>
        </w:rPr>
        <w:tab/>
      </w:r>
      <w:r w:rsidRPr="00EF28A0">
        <w:rPr>
          <w:rFonts w:eastAsia="Times New Roman"/>
          <w:b/>
          <w:noProof/>
          <w:kern w:val="28"/>
          <w:szCs w:val="20"/>
        </w:rPr>
        <w:tab/>
      </w:r>
      <w:r w:rsidRPr="00EF28A0">
        <w:rPr>
          <w:rFonts w:eastAsia="Times New Roman"/>
          <w:b/>
          <w:noProof/>
          <w:kern w:val="28"/>
          <w:szCs w:val="20"/>
        </w:rPr>
        <w:tab/>
      </w:r>
      <w:r w:rsidRPr="00EF28A0">
        <w:rPr>
          <w:rFonts w:eastAsia="Times New Roman"/>
          <w:b/>
          <w:noProof/>
          <w:kern w:val="28"/>
          <w:szCs w:val="20"/>
        </w:rPr>
        <w:tab/>
      </w:r>
      <w:r w:rsidRPr="00EF28A0">
        <w:rPr>
          <w:rFonts w:eastAsia="Times New Roman"/>
          <w:noProof/>
          <w:kern w:val="28"/>
          <w:sz w:val="18"/>
          <w:szCs w:val="20"/>
        </w:rPr>
        <w:tab/>
        <w:t xml:space="preserve">     </w:t>
      </w:r>
    </w:p>
    <w:p w14:paraId="7471D5A8" w14:textId="77777777" w:rsidR="00874606" w:rsidRPr="00EF28A0" w:rsidRDefault="00874606">
      <w:pPr>
        <w:spacing w:before="0" w:after="160" w:line="259" w:lineRule="auto"/>
        <w:rPr>
          <w:rStyle w:val="CharSectno"/>
          <w:b/>
          <w:bCs/>
        </w:rPr>
      </w:pPr>
      <w:r w:rsidRPr="00EF28A0">
        <w:rPr>
          <w:rStyle w:val="CharSectno"/>
          <w:b/>
          <w:bCs/>
        </w:rPr>
        <w:br w:type="page"/>
      </w:r>
    </w:p>
    <w:p w14:paraId="44A8AC3B" w14:textId="678D7ECB" w:rsidR="00DE5F72" w:rsidRPr="00EF28A0" w:rsidRDefault="00DE5F72">
      <w:pPr>
        <w:pStyle w:val="Heading2"/>
        <w:rPr>
          <w:rStyle w:val="CharSectno"/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  <w:bookmarkStart w:id="2" w:name="_Toc201305448"/>
      <w:bookmarkStart w:id="3" w:name="_Toc56506163"/>
      <w:bookmarkEnd w:id="1"/>
      <w:proofErr w:type="gramStart"/>
      <w:r w:rsidRPr="00EF28A0">
        <w:rPr>
          <w:rStyle w:val="CharSectno"/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lastRenderedPageBreak/>
        <w:t xml:space="preserve">1 </w:t>
      </w:r>
      <w:r w:rsidR="00EB39FC" w:rsidRPr="00EF28A0">
        <w:rPr>
          <w:rStyle w:val="CharSectno"/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F28A0">
        <w:rPr>
          <w:rStyle w:val="CharSectno"/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Name</w:t>
      </w:r>
      <w:bookmarkEnd w:id="2"/>
      <w:proofErr w:type="gramEnd"/>
    </w:p>
    <w:p w14:paraId="62551DCA" w14:textId="4677469F" w:rsidR="00DE5F72" w:rsidRPr="00EF28A0" w:rsidRDefault="00DE5F72" w:rsidP="0023424E">
      <w:pPr>
        <w:pStyle w:val="A2"/>
        <w:numPr>
          <w:ilvl w:val="0"/>
          <w:numId w:val="5"/>
        </w:numPr>
        <w:tabs>
          <w:tab w:val="clear" w:pos="794"/>
          <w:tab w:val="left" w:pos="426"/>
          <w:tab w:val="right" w:pos="1134"/>
        </w:tabs>
        <w:spacing w:after="120"/>
        <w:ind w:left="1134" w:hanging="425"/>
        <w:rPr>
          <w:i/>
          <w:sz w:val="22"/>
          <w:szCs w:val="22"/>
        </w:rPr>
      </w:pPr>
      <w:r w:rsidRPr="00EF28A0">
        <w:rPr>
          <w:sz w:val="22"/>
          <w:szCs w:val="22"/>
        </w:rPr>
        <w:t xml:space="preserve">This instrument is the </w:t>
      </w:r>
      <w:r w:rsidRPr="00EF28A0">
        <w:rPr>
          <w:i/>
          <w:sz w:val="22"/>
          <w:szCs w:val="22"/>
        </w:rPr>
        <w:t>National Health (</w:t>
      </w:r>
      <w:r w:rsidR="008F0C1E" w:rsidRPr="00EF28A0">
        <w:rPr>
          <w:i/>
          <w:sz w:val="22"/>
          <w:szCs w:val="22"/>
        </w:rPr>
        <w:t>Originator Brand</w:t>
      </w:r>
      <w:r w:rsidRPr="00EF28A0">
        <w:rPr>
          <w:i/>
          <w:sz w:val="22"/>
          <w:szCs w:val="22"/>
        </w:rPr>
        <w:t>) Determination 202</w:t>
      </w:r>
      <w:r w:rsidR="008F0C1E" w:rsidRPr="00EF28A0">
        <w:rPr>
          <w:i/>
          <w:sz w:val="22"/>
          <w:szCs w:val="22"/>
        </w:rPr>
        <w:t>5</w:t>
      </w:r>
      <w:r w:rsidRPr="00EF28A0">
        <w:rPr>
          <w:sz w:val="22"/>
          <w:szCs w:val="22"/>
        </w:rPr>
        <w:t>.</w:t>
      </w:r>
    </w:p>
    <w:p w14:paraId="7664B33C" w14:textId="0A70EC99" w:rsidR="00DE5F72" w:rsidRPr="00EF28A0" w:rsidRDefault="00DE5F72" w:rsidP="0023424E">
      <w:pPr>
        <w:pStyle w:val="A2"/>
        <w:numPr>
          <w:ilvl w:val="0"/>
          <w:numId w:val="5"/>
        </w:numPr>
        <w:tabs>
          <w:tab w:val="clear" w:pos="794"/>
          <w:tab w:val="left" w:pos="426"/>
          <w:tab w:val="right" w:pos="1134"/>
        </w:tabs>
        <w:spacing w:after="120"/>
        <w:ind w:left="1134" w:hanging="425"/>
        <w:rPr>
          <w:i/>
          <w:sz w:val="22"/>
          <w:szCs w:val="22"/>
        </w:rPr>
      </w:pPr>
      <w:r w:rsidRPr="00EF28A0">
        <w:rPr>
          <w:sz w:val="22"/>
          <w:szCs w:val="22"/>
        </w:rPr>
        <w:t xml:space="preserve">This instrument may also be cited as PB </w:t>
      </w:r>
      <w:r w:rsidR="001B1808" w:rsidRPr="00EF28A0">
        <w:rPr>
          <w:sz w:val="22"/>
          <w:szCs w:val="22"/>
        </w:rPr>
        <w:t>114</w:t>
      </w:r>
      <w:r w:rsidR="00541580" w:rsidRPr="00EF28A0">
        <w:rPr>
          <w:sz w:val="22"/>
          <w:szCs w:val="22"/>
        </w:rPr>
        <w:t xml:space="preserve"> </w:t>
      </w:r>
      <w:r w:rsidRPr="00EF28A0">
        <w:rPr>
          <w:sz w:val="22"/>
          <w:szCs w:val="22"/>
        </w:rPr>
        <w:t>of 202</w:t>
      </w:r>
      <w:r w:rsidR="00584CE0" w:rsidRPr="00EF28A0">
        <w:rPr>
          <w:sz w:val="22"/>
          <w:szCs w:val="22"/>
        </w:rPr>
        <w:t>5</w:t>
      </w:r>
      <w:r w:rsidRPr="00EF28A0">
        <w:rPr>
          <w:sz w:val="22"/>
          <w:szCs w:val="22"/>
        </w:rPr>
        <w:t>.</w:t>
      </w:r>
    </w:p>
    <w:p w14:paraId="4E693331" w14:textId="302070A0" w:rsidR="00BE182F" w:rsidRPr="00EF28A0" w:rsidRDefault="00BE182F" w:rsidP="0023424E">
      <w:pPr>
        <w:pStyle w:val="Heading2"/>
        <w:spacing w:before="280"/>
        <w:rPr>
          <w:bCs/>
        </w:rPr>
      </w:pPr>
      <w:bookmarkStart w:id="4" w:name="_Toc201305449"/>
      <w:proofErr w:type="gramStart"/>
      <w:r w:rsidRPr="00EF28A0">
        <w:rPr>
          <w:rStyle w:val="CharSectno"/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2</w:t>
      </w:r>
      <w:r w:rsidRPr="00EF28A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EB39FC" w:rsidRPr="00EF28A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F28A0">
        <w:rPr>
          <w:rFonts w:ascii="Times New Roman" w:hAnsi="Times New Roman" w:cs="Times New Roman"/>
          <w:b/>
          <w:bCs/>
          <w:color w:val="auto"/>
          <w:sz w:val="24"/>
          <w:szCs w:val="24"/>
        </w:rPr>
        <w:t>Commencement</w:t>
      </w:r>
      <w:bookmarkEnd w:id="3"/>
      <w:bookmarkEnd w:id="4"/>
      <w:proofErr w:type="gramEnd"/>
    </w:p>
    <w:p w14:paraId="6EB88F61" w14:textId="76310143" w:rsidR="00BE182F" w:rsidRPr="00EF28A0" w:rsidRDefault="00BE182F" w:rsidP="0023424E">
      <w:pPr>
        <w:pStyle w:val="A2"/>
        <w:numPr>
          <w:ilvl w:val="0"/>
          <w:numId w:val="6"/>
        </w:numPr>
        <w:tabs>
          <w:tab w:val="clear" w:pos="794"/>
          <w:tab w:val="right" w:pos="1134"/>
        </w:tabs>
        <w:spacing w:after="120"/>
        <w:ind w:left="1134" w:hanging="425"/>
        <w:rPr>
          <w:rFonts w:eastAsia="Times New Roman"/>
          <w:sz w:val="22"/>
          <w:szCs w:val="20"/>
        </w:rPr>
      </w:pPr>
      <w:r w:rsidRPr="00EF28A0">
        <w:rPr>
          <w:rFonts w:eastAsia="Times New Roman"/>
          <w:sz w:val="22"/>
          <w:szCs w:val="20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961660A" w14:textId="77777777" w:rsidR="00BE182F" w:rsidRPr="00EF28A0" w:rsidRDefault="00BE182F" w:rsidP="00BE182F">
      <w:pPr>
        <w:pStyle w:val="Tabletex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E182F" w:rsidRPr="00EF28A0" w14:paraId="1D50014A" w14:textId="77777777" w:rsidTr="0023424E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8945364" w14:textId="77777777" w:rsidR="00BE182F" w:rsidRPr="00EF28A0" w:rsidRDefault="00BE182F" w:rsidP="00DB4DF7">
            <w:pPr>
              <w:pStyle w:val="TableHeading"/>
            </w:pPr>
            <w:r w:rsidRPr="00EF28A0">
              <w:t>Commencement information</w:t>
            </w:r>
          </w:p>
        </w:tc>
      </w:tr>
      <w:tr w:rsidR="00BE182F" w:rsidRPr="00EF28A0" w14:paraId="6CEC9118" w14:textId="77777777" w:rsidTr="0023424E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14E452F" w14:textId="77777777" w:rsidR="00BE182F" w:rsidRPr="00EF28A0" w:rsidRDefault="00BE182F" w:rsidP="00DB4DF7">
            <w:pPr>
              <w:pStyle w:val="TableHeading"/>
            </w:pPr>
            <w:r w:rsidRPr="00EF28A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2C0D29F" w14:textId="77777777" w:rsidR="00BE182F" w:rsidRPr="00EF28A0" w:rsidRDefault="00BE182F" w:rsidP="00DB4DF7">
            <w:pPr>
              <w:pStyle w:val="TableHeading"/>
            </w:pPr>
            <w:r w:rsidRPr="00EF28A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A5D0098" w14:textId="77777777" w:rsidR="00BE182F" w:rsidRPr="00EF28A0" w:rsidRDefault="00BE182F" w:rsidP="00DB4DF7">
            <w:pPr>
              <w:pStyle w:val="TableHeading"/>
            </w:pPr>
            <w:r w:rsidRPr="00EF28A0">
              <w:t>Column 3</w:t>
            </w:r>
          </w:p>
        </w:tc>
      </w:tr>
      <w:tr w:rsidR="00BE182F" w:rsidRPr="00EF28A0" w14:paraId="3E240D3D" w14:textId="77777777" w:rsidTr="0023424E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A8749AB" w14:textId="77777777" w:rsidR="00BE182F" w:rsidRPr="00EF28A0" w:rsidRDefault="00BE182F" w:rsidP="00DB4DF7">
            <w:pPr>
              <w:pStyle w:val="TableHeading"/>
            </w:pPr>
            <w:r w:rsidRPr="00EF28A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321FA04" w14:textId="77777777" w:rsidR="00BE182F" w:rsidRPr="00EF28A0" w:rsidRDefault="00BE182F" w:rsidP="00DB4DF7">
            <w:pPr>
              <w:pStyle w:val="TableHeading"/>
            </w:pPr>
            <w:r w:rsidRPr="00EF28A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9813D94" w14:textId="77777777" w:rsidR="00BE182F" w:rsidRPr="00EF28A0" w:rsidRDefault="00BE182F" w:rsidP="00DB4DF7">
            <w:pPr>
              <w:pStyle w:val="TableHeading"/>
            </w:pPr>
            <w:r w:rsidRPr="00EF28A0">
              <w:t>Date/Details</w:t>
            </w:r>
          </w:p>
        </w:tc>
      </w:tr>
      <w:tr w:rsidR="00BE182F" w:rsidRPr="00EF28A0" w14:paraId="1BC14414" w14:textId="77777777" w:rsidTr="0023424E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1CB907" w14:textId="2529B7FC" w:rsidR="00BE182F" w:rsidRPr="00EF28A0" w:rsidRDefault="00BE182F" w:rsidP="00DB4DF7">
            <w:pPr>
              <w:pStyle w:val="Tabletext"/>
            </w:pPr>
            <w:r w:rsidRPr="00EF28A0">
              <w:t xml:space="preserve">1.  </w:t>
            </w:r>
            <w:r w:rsidR="004F04FF" w:rsidRPr="00EF28A0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0F2E92E" w14:textId="5C6CC393" w:rsidR="00BE182F" w:rsidRPr="00EF28A0" w:rsidRDefault="00F1602A" w:rsidP="00DB4DF7">
            <w:pPr>
              <w:pStyle w:val="Tabletext"/>
            </w:pPr>
            <w:r w:rsidRPr="00EF28A0">
              <w:t>1 October 2025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11E866ED" w14:textId="510A60CC" w:rsidR="00BE182F" w:rsidRPr="00EF28A0" w:rsidRDefault="00BE182F" w:rsidP="00DB4DF7">
            <w:pPr>
              <w:pStyle w:val="Tabletext"/>
            </w:pPr>
          </w:p>
        </w:tc>
      </w:tr>
    </w:tbl>
    <w:p w14:paraId="3FDBDBD4" w14:textId="3D08FA2D" w:rsidR="000B7850" w:rsidRPr="00EF28A0" w:rsidRDefault="000B7850">
      <w:pPr>
        <w:pStyle w:val="notetext"/>
      </w:pPr>
      <w:r w:rsidRPr="00EF28A0">
        <w:rPr>
          <w:snapToGrid w:val="0"/>
          <w:lang w:eastAsia="en-US"/>
        </w:rPr>
        <w:t>Note:</w:t>
      </w:r>
      <w:r w:rsidRPr="00EF28A0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14:paraId="5617EBA9" w14:textId="3807B447" w:rsidR="00BE182F" w:rsidRPr="00EF28A0" w:rsidRDefault="00F404A6" w:rsidP="00FD691D">
      <w:pPr>
        <w:pStyle w:val="subsection"/>
        <w:tabs>
          <w:tab w:val="clear" w:pos="1021"/>
          <w:tab w:val="right" w:pos="993"/>
        </w:tabs>
        <w:ind w:hanging="425"/>
      </w:pPr>
      <w:r w:rsidRPr="00EF28A0">
        <w:t>(2)</w:t>
      </w:r>
      <w:r w:rsidRPr="00EF28A0">
        <w:tab/>
      </w:r>
      <w:r w:rsidR="000B7850" w:rsidRPr="00EF28A0">
        <w:tab/>
      </w:r>
      <w:r w:rsidR="00BE182F" w:rsidRPr="00EF28A0">
        <w:t>Any information in column 3 of the table is not part of this instrument. Information may be inserted in this column, or information in it may be edited, in any published version of this instrument.</w:t>
      </w:r>
    </w:p>
    <w:p w14:paraId="45473151" w14:textId="452178B4" w:rsidR="002E2DF2" w:rsidRPr="00EF28A0" w:rsidRDefault="001963D6" w:rsidP="00FF4BFF">
      <w:pPr>
        <w:pStyle w:val="Heading2"/>
        <w:spacing w:before="280"/>
        <w:rPr>
          <w:rFonts w:ascii="Times New Roman" w:hAnsi="Times New Roman"/>
          <w:bCs/>
        </w:rPr>
      </w:pPr>
      <w:bookmarkStart w:id="5" w:name="_Toc201305450"/>
      <w:proofErr w:type="gramStart"/>
      <w:r w:rsidRPr="00EF28A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 </w:t>
      </w:r>
      <w:r w:rsidR="00EB39FC" w:rsidRPr="00EF28A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E2DF2" w:rsidRPr="00EF28A0">
        <w:rPr>
          <w:rFonts w:ascii="Times New Roman" w:hAnsi="Times New Roman" w:cs="Times New Roman"/>
          <w:b/>
          <w:bCs/>
          <w:color w:val="auto"/>
          <w:sz w:val="24"/>
          <w:szCs w:val="24"/>
        </w:rPr>
        <w:t>Repeal</w:t>
      </w:r>
      <w:bookmarkEnd w:id="5"/>
      <w:proofErr w:type="gramEnd"/>
    </w:p>
    <w:p w14:paraId="573BBB0E" w14:textId="775A6E40" w:rsidR="002E2DF2" w:rsidRPr="00EF28A0" w:rsidRDefault="002E2DF2" w:rsidP="00FF4BFF">
      <w:pPr>
        <w:pStyle w:val="A2"/>
        <w:ind w:left="1134" w:firstLine="0"/>
        <w:rPr>
          <w:sz w:val="22"/>
          <w:szCs w:val="22"/>
        </w:rPr>
      </w:pPr>
      <w:r w:rsidRPr="00EF28A0">
        <w:rPr>
          <w:sz w:val="22"/>
          <w:szCs w:val="22"/>
        </w:rPr>
        <w:t xml:space="preserve">The </w:t>
      </w:r>
      <w:r w:rsidRPr="00EF28A0">
        <w:rPr>
          <w:i/>
          <w:sz w:val="22"/>
          <w:szCs w:val="22"/>
        </w:rPr>
        <w:t>National Health (</w:t>
      </w:r>
      <w:r w:rsidR="00742FB5" w:rsidRPr="00EF28A0">
        <w:rPr>
          <w:i/>
          <w:sz w:val="22"/>
          <w:szCs w:val="22"/>
        </w:rPr>
        <w:t>Originator Brand</w:t>
      </w:r>
      <w:r w:rsidRPr="00EF28A0">
        <w:rPr>
          <w:i/>
          <w:sz w:val="22"/>
          <w:szCs w:val="22"/>
        </w:rPr>
        <w:t>) Determination 20</w:t>
      </w:r>
      <w:r w:rsidR="00742FB5" w:rsidRPr="00EF28A0">
        <w:rPr>
          <w:i/>
          <w:sz w:val="22"/>
          <w:szCs w:val="22"/>
        </w:rPr>
        <w:t>15</w:t>
      </w:r>
      <w:r w:rsidRPr="00EF28A0">
        <w:rPr>
          <w:i/>
          <w:sz w:val="22"/>
          <w:szCs w:val="22"/>
        </w:rPr>
        <w:t xml:space="preserve"> (PB </w:t>
      </w:r>
      <w:r w:rsidR="00742FB5" w:rsidRPr="00EF28A0">
        <w:rPr>
          <w:i/>
          <w:sz w:val="22"/>
          <w:szCs w:val="22"/>
        </w:rPr>
        <w:t>100</w:t>
      </w:r>
      <w:r w:rsidR="00541580" w:rsidRPr="00EF28A0">
        <w:rPr>
          <w:i/>
          <w:sz w:val="22"/>
          <w:szCs w:val="22"/>
        </w:rPr>
        <w:t xml:space="preserve"> </w:t>
      </w:r>
      <w:r w:rsidRPr="00EF28A0">
        <w:rPr>
          <w:i/>
          <w:sz w:val="22"/>
          <w:szCs w:val="22"/>
        </w:rPr>
        <w:t>of 20</w:t>
      </w:r>
      <w:r w:rsidR="00742FB5" w:rsidRPr="00EF28A0">
        <w:rPr>
          <w:i/>
          <w:sz w:val="22"/>
          <w:szCs w:val="22"/>
        </w:rPr>
        <w:t>15</w:t>
      </w:r>
      <w:r w:rsidRPr="00EF28A0">
        <w:rPr>
          <w:i/>
          <w:sz w:val="22"/>
          <w:szCs w:val="22"/>
        </w:rPr>
        <w:t>)</w:t>
      </w:r>
      <w:r w:rsidRPr="00EF28A0">
        <w:rPr>
          <w:sz w:val="22"/>
          <w:szCs w:val="22"/>
        </w:rPr>
        <w:t xml:space="preserve"> is repealed.</w:t>
      </w:r>
    </w:p>
    <w:p w14:paraId="2983DEA1" w14:textId="70714999" w:rsidR="002E2DF2" w:rsidRPr="00EF28A0" w:rsidRDefault="00FF1B9D" w:rsidP="00FF4BFF">
      <w:pPr>
        <w:pStyle w:val="Heading2"/>
        <w:spacing w:before="280"/>
        <w:rPr>
          <w:rFonts w:ascii="Times New Roman" w:hAnsi="Times New Roman"/>
          <w:bCs/>
        </w:rPr>
      </w:pPr>
      <w:bookmarkStart w:id="6" w:name="_Toc201305451"/>
      <w:proofErr w:type="gramStart"/>
      <w:r w:rsidRPr="00EF28A0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="00EB39FC" w:rsidRPr="00EF28A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F28A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E2DF2" w:rsidRPr="00EF28A0">
        <w:rPr>
          <w:rFonts w:ascii="Times New Roman" w:hAnsi="Times New Roman" w:cs="Times New Roman"/>
          <w:b/>
          <w:bCs/>
          <w:color w:val="auto"/>
          <w:sz w:val="24"/>
          <w:szCs w:val="24"/>
        </w:rPr>
        <w:t>Authority</w:t>
      </w:r>
      <w:bookmarkEnd w:id="6"/>
      <w:proofErr w:type="gramEnd"/>
    </w:p>
    <w:p w14:paraId="43009876" w14:textId="0D7B0B82" w:rsidR="002E2DF2" w:rsidRPr="00EF28A0" w:rsidRDefault="002E2DF2" w:rsidP="00FF4BFF">
      <w:pPr>
        <w:spacing w:before="180" w:after="0"/>
        <w:ind w:left="1134"/>
        <w:rPr>
          <w:sz w:val="22"/>
          <w:szCs w:val="22"/>
        </w:rPr>
      </w:pPr>
      <w:r w:rsidRPr="00EF28A0">
        <w:rPr>
          <w:sz w:val="22"/>
          <w:szCs w:val="22"/>
        </w:rPr>
        <w:t>This instrument is made under subsection 99ADB(</w:t>
      </w:r>
      <w:r w:rsidR="00EA173B" w:rsidRPr="00EF28A0">
        <w:rPr>
          <w:sz w:val="22"/>
          <w:szCs w:val="22"/>
        </w:rPr>
        <w:t>6B</w:t>
      </w:r>
      <w:r w:rsidRPr="00EF28A0">
        <w:rPr>
          <w:sz w:val="22"/>
          <w:szCs w:val="22"/>
        </w:rPr>
        <w:t xml:space="preserve">) of the </w:t>
      </w:r>
      <w:r w:rsidRPr="00EF28A0">
        <w:rPr>
          <w:i/>
          <w:sz w:val="22"/>
          <w:szCs w:val="22"/>
        </w:rPr>
        <w:t>National Health Act 1953</w:t>
      </w:r>
      <w:r w:rsidRPr="00EF28A0">
        <w:rPr>
          <w:sz w:val="22"/>
          <w:szCs w:val="22"/>
        </w:rPr>
        <w:t xml:space="preserve">. </w:t>
      </w:r>
    </w:p>
    <w:p w14:paraId="08E5B5C5" w14:textId="33CA3C1F" w:rsidR="002E2DF2" w:rsidRPr="00EF28A0" w:rsidRDefault="00FF1B9D" w:rsidP="00FF4BFF">
      <w:pPr>
        <w:pStyle w:val="Heading2"/>
        <w:spacing w:before="280"/>
        <w:rPr>
          <w:rFonts w:ascii="Times New Roman" w:hAnsi="Times New Roman"/>
          <w:bCs/>
        </w:rPr>
      </w:pPr>
      <w:bookmarkStart w:id="7" w:name="_Toc201305452"/>
      <w:proofErr w:type="gramStart"/>
      <w:r w:rsidRPr="00EF28A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 </w:t>
      </w:r>
      <w:r w:rsidR="00EB39FC" w:rsidRPr="00EF28A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E2DF2" w:rsidRPr="00EF28A0">
        <w:rPr>
          <w:rFonts w:ascii="Times New Roman" w:hAnsi="Times New Roman" w:cs="Times New Roman"/>
          <w:b/>
          <w:bCs/>
          <w:color w:val="auto"/>
          <w:sz w:val="24"/>
          <w:szCs w:val="24"/>
        </w:rPr>
        <w:t>Definitions</w:t>
      </w:r>
      <w:bookmarkEnd w:id="7"/>
      <w:proofErr w:type="gramEnd"/>
    </w:p>
    <w:p w14:paraId="58F11151" w14:textId="7D77A755" w:rsidR="007D317F" w:rsidRPr="00EF28A0" w:rsidRDefault="007D317F" w:rsidP="00FF4BFF">
      <w:pPr>
        <w:pStyle w:val="notetext"/>
        <w:spacing w:line="198" w:lineRule="exact"/>
      </w:pPr>
      <w:r w:rsidRPr="00EF28A0">
        <w:t>Note:</w:t>
      </w:r>
      <w:r w:rsidRPr="00EF28A0">
        <w:tab/>
      </w:r>
      <w:proofErr w:type="gramStart"/>
      <w:r w:rsidRPr="00EF28A0">
        <w:t>A number of</w:t>
      </w:r>
      <w:proofErr w:type="gramEnd"/>
      <w:r w:rsidRPr="00EF28A0">
        <w:t xml:space="preserve"> expressions used in this instrument are defined in section </w:t>
      </w:r>
      <w:r w:rsidR="00C53B03" w:rsidRPr="00EF28A0">
        <w:t>84</w:t>
      </w:r>
      <w:r w:rsidRPr="00EF28A0">
        <w:t xml:space="preserve"> of the Act, including the following:</w:t>
      </w:r>
    </w:p>
    <w:p w14:paraId="7D9B7492" w14:textId="47E9AD15" w:rsidR="007B0B20" w:rsidRPr="00EF28A0" w:rsidRDefault="007D317F" w:rsidP="00FF4BFF">
      <w:pPr>
        <w:pStyle w:val="notepara"/>
        <w:ind w:left="2410" w:hanging="425"/>
      </w:pPr>
      <w:r w:rsidRPr="00EF28A0">
        <w:t>(a)</w:t>
      </w:r>
      <w:r w:rsidRPr="00EF28A0">
        <w:tab/>
      </w:r>
      <w:r w:rsidR="007B0B20" w:rsidRPr="00EF28A0">
        <w:t>brand</w:t>
      </w:r>
    </w:p>
    <w:p w14:paraId="6AA1CE47" w14:textId="77B251E7" w:rsidR="00C53B03" w:rsidRPr="00EF28A0" w:rsidRDefault="00C53B03" w:rsidP="00FF4BFF">
      <w:pPr>
        <w:pStyle w:val="notepara"/>
        <w:ind w:left="2410" w:hanging="425"/>
      </w:pPr>
      <w:r w:rsidRPr="00EF28A0">
        <w:t>(b)</w:t>
      </w:r>
      <w:r w:rsidRPr="00EF28A0">
        <w:tab/>
        <w:t>exempt item</w:t>
      </w:r>
    </w:p>
    <w:p w14:paraId="5F927D35" w14:textId="086128C2" w:rsidR="00E74C52" w:rsidRPr="00EF28A0" w:rsidRDefault="007B0B20" w:rsidP="00FF4BFF">
      <w:pPr>
        <w:pStyle w:val="notepara"/>
        <w:ind w:left="2410" w:hanging="425"/>
      </w:pPr>
      <w:r w:rsidRPr="00EF28A0">
        <w:t>(</w:t>
      </w:r>
      <w:r w:rsidR="00476665" w:rsidRPr="00EF28A0">
        <w:t>c</w:t>
      </w:r>
      <w:r w:rsidRPr="00EF28A0">
        <w:t>)</w:t>
      </w:r>
      <w:r w:rsidRPr="00EF28A0">
        <w:tab/>
        <w:t>pharmaceutical item</w:t>
      </w:r>
    </w:p>
    <w:p w14:paraId="6F7B044E" w14:textId="4B92F374" w:rsidR="002E2DF2" w:rsidRPr="00EF28A0" w:rsidRDefault="002E2DF2" w:rsidP="00FF4BFF">
      <w:pPr>
        <w:spacing w:before="180" w:after="0"/>
        <w:ind w:left="1134"/>
        <w:rPr>
          <w:sz w:val="22"/>
          <w:szCs w:val="22"/>
        </w:rPr>
      </w:pPr>
      <w:r w:rsidRPr="00EF28A0">
        <w:rPr>
          <w:sz w:val="22"/>
          <w:szCs w:val="22"/>
        </w:rPr>
        <w:t>In this instrument:</w:t>
      </w:r>
    </w:p>
    <w:p w14:paraId="70E0A99B" w14:textId="77777777" w:rsidR="002E2DF2" w:rsidRPr="00EF28A0" w:rsidRDefault="002E2DF2" w:rsidP="00FF4BFF">
      <w:pPr>
        <w:spacing w:before="180" w:after="0"/>
        <w:ind w:left="1134"/>
        <w:rPr>
          <w:i/>
          <w:sz w:val="22"/>
          <w:szCs w:val="22"/>
        </w:rPr>
      </w:pPr>
      <w:r w:rsidRPr="00EF28A0">
        <w:rPr>
          <w:b/>
          <w:i/>
          <w:sz w:val="22"/>
          <w:szCs w:val="22"/>
        </w:rPr>
        <w:t>Act</w:t>
      </w:r>
      <w:r w:rsidRPr="00EF28A0">
        <w:rPr>
          <w:sz w:val="22"/>
          <w:szCs w:val="22"/>
        </w:rPr>
        <w:t xml:space="preserve"> means the </w:t>
      </w:r>
      <w:r w:rsidRPr="00EF28A0">
        <w:rPr>
          <w:i/>
          <w:sz w:val="22"/>
          <w:szCs w:val="22"/>
        </w:rPr>
        <w:t>National Health Act 1953.</w:t>
      </w:r>
    </w:p>
    <w:p w14:paraId="75D78176" w14:textId="77777777" w:rsidR="002E2DF2" w:rsidRPr="00EF28A0" w:rsidRDefault="002E2DF2" w:rsidP="002E2DF2">
      <w:pPr>
        <w:ind w:left="960"/>
      </w:pPr>
    </w:p>
    <w:p w14:paraId="0C6D50AF" w14:textId="77777777" w:rsidR="00313D47" w:rsidRPr="00EF28A0" w:rsidRDefault="00313D47">
      <w:pPr>
        <w:spacing w:before="0" w:after="160" w:line="259" w:lineRule="auto"/>
        <w:rPr>
          <w:rFonts w:ascii="Arial" w:hAnsi="Arial"/>
          <w:bCs/>
        </w:rPr>
      </w:pPr>
      <w:r w:rsidRPr="00EF28A0">
        <w:rPr>
          <w:rFonts w:ascii="Arial" w:hAnsi="Arial"/>
          <w:b/>
        </w:rPr>
        <w:br w:type="page"/>
      </w:r>
    </w:p>
    <w:p w14:paraId="0366C740" w14:textId="79C71AD1" w:rsidR="00D64A75" w:rsidRPr="00EF28A0" w:rsidRDefault="00EB39FC" w:rsidP="003700B7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201305453"/>
      <w:proofErr w:type="gramStart"/>
      <w:r w:rsidRPr="00EF28A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6  </w:t>
      </w:r>
      <w:r w:rsidR="00845775" w:rsidRPr="00EF28A0">
        <w:rPr>
          <w:rFonts w:ascii="Times New Roman" w:hAnsi="Times New Roman" w:cs="Times New Roman"/>
          <w:b/>
          <w:bCs/>
          <w:color w:val="auto"/>
          <w:sz w:val="24"/>
          <w:szCs w:val="24"/>
        </w:rPr>
        <w:t>Originator</w:t>
      </w:r>
      <w:proofErr w:type="gramEnd"/>
      <w:r w:rsidR="00845775" w:rsidRPr="00EF28A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Brand</w:t>
      </w:r>
      <w:bookmarkEnd w:id="8"/>
    </w:p>
    <w:p w14:paraId="765B9533" w14:textId="77E9C18D" w:rsidR="002E2DF2" w:rsidRPr="00EF28A0" w:rsidRDefault="002E2DF2" w:rsidP="002E2DF2">
      <w:pPr>
        <w:rPr>
          <w:bCs/>
        </w:rPr>
      </w:pPr>
    </w:p>
    <w:p w14:paraId="0E7AD782" w14:textId="0EB074F5" w:rsidR="002E2DF2" w:rsidRPr="00EF28A0" w:rsidRDefault="002B1D9F" w:rsidP="00923700">
      <w:pPr>
        <w:tabs>
          <w:tab w:val="left" w:pos="567"/>
        </w:tabs>
        <w:ind w:left="1418" w:hanging="534"/>
        <w:rPr>
          <w:sz w:val="22"/>
          <w:szCs w:val="22"/>
        </w:rPr>
      </w:pPr>
      <w:r w:rsidRPr="00EF28A0">
        <w:rPr>
          <w:sz w:val="22"/>
          <w:szCs w:val="22"/>
        </w:rPr>
        <w:t>(</w:t>
      </w:r>
      <w:r w:rsidR="00EB39FC" w:rsidRPr="00EF28A0">
        <w:rPr>
          <w:sz w:val="22"/>
          <w:szCs w:val="22"/>
        </w:rPr>
        <w:t>1</w:t>
      </w:r>
      <w:r w:rsidRPr="00EF28A0">
        <w:rPr>
          <w:sz w:val="22"/>
          <w:szCs w:val="22"/>
        </w:rPr>
        <w:t>)</w:t>
      </w:r>
      <w:r w:rsidRPr="00EF28A0">
        <w:rPr>
          <w:sz w:val="22"/>
          <w:szCs w:val="22"/>
        </w:rPr>
        <w:tab/>
      </w:r>
      <w:r w:rsidR="002E2DF2" w:rsidRPr="00EF28A0">
        <w:rPr>
          <w:sz w:val="22"/>
          <w:szCs w:val="22"/>
        </w:rPr>
        <w:t>Fo</w:t>
      </w:r>
      <w:r w:rsidR="004D76A1" w:rsidRPr="00EF28A0">
        <w:rPr>
          <w:sz w:val="22"/>
          <w:szCs w:val="22"/>
        </w:rPr>
        <w:t>r subsection 99ADB(6B) of the Act, unless subsection</w:t>
      </w:r>
      <w:r w:rsidR="00F82B28" w:rsidRPr="00EF28A0">
        <w:rPr>
          <w:sz w:val="22"/>
          <w:szCs w:val="22"/>
        </w:rPr>
        <w:t xml:space="preserve">s </w:t>
      </w:r>
      <w:r w:rsidR="00564134" w:rsidRPr="00EF28A0">
        <w:rPr>
          <w:sz w:val="22"/>
          <w:szCs w:val="22"/>
        </w:rPr>
        <w:t>(2) or (3) of this section apply, an originator brand specified in column 3 of an item in Sch</w:t>
      </w:r>
      <w:r w:rsidR="003D693F" w:rsidRPr="00EF28A0">
        <w:rPr>
          <w:sz w:val="22"/>
          <w:szCs w:val="22"/>
        </w:rPr>
        <w:t>edule 1 is an originator brand for all brands</w:t>
      </w:r>
      <w:r w:rsidR="00DF3782" w:rsidRPr="00EF28A0">
        <w:rPr>
          <w:sz w:val="22"/>
          <w:szCs w:val="22"/>
        </w:rPr>
        <w:t xml:space="preserve"> of pharmaceutical item containing the </w:t>
      </w:r>
      <w:r w:rsidR="002960CA" w:rsidRPr="00EF28A0">
        <w:rPr>
          <w:sz w:val="22"/>
          <w:szCs w:val="22"/>
        </w:rPr>
        <w:t>drug specified in column 2 of the same item in Schedule 1</w:t>
      </w:r>
      <w:r w:rsidR="002E2DF2" w:rsidRPr="00EF28A0">
        <w:rPr>
          <w:sz w:val="22"/>
          <w:szCs w:val="22"/>
        </w:rPr>
        <w:t xml:space="preserve">.  </w:t>
      </w:r>
    </w:p>
    <w:p w14:paraId="2EE4BABF" w14:textId="17DCF726" w:rsidR="002B1D9F" w:rsidRPr="00EF28A0" w:rsidRDefault="002B1D9F" w:rsidP="002E2DF2">
      <w:pPr>
        <w:tabs>
          <w:tab w:val="left" w:pos="567"/>
          <w:tab w:val="left" w:pos="993"/>
        </w:tabs>
        <w:ind w:left="960"/>
        <w:rPr>
          <w:sz w:val="22"/>
          <w:szCs w:val="22"/>
        </w:rPr>
      </w:pPr>
    </w:p>
    <w:p w14:paraId="13022468" w14:textId="3EBBB20B" w:rsidR="002B1D9F" w:rsidRPr="00EF28A0" w:rsidRDefault="002B1D9F" w:rsidP="00923700">
      <w:pPr>
        <w:tabs>
          <w:tab w:val="left" w:pos="567"/>
          <w:tab w:val="left" w:pos="993"/>
        </w:tabs>
        <w:ind w:left="1418" w:hanging="567"/>
        <w:rPr>
          <w:sz w:val="22"/>
          <w:szCs w:val="22"/>
        </w:rPr>
      </w:pPr>
      <w:r w:rsidRPr="00EF28A0">
        <w:rPr>
          <w:sz w:val="22"/>
          <w:szCs w:val="22"/>
        </w:rPr>
        <w:t>(</w:t>
      </w:r>
      <w:r w:rsidR="00EB39FC" w:rsidRPr="00EF28A0">
        <w:rPr>
          <w:sz w:val="22"/>
          <w:szCs w:val="22"/>
        </w:rPr>
        <w:t>2</w:t>
      </w:r>
      <w:r w:rsidRPr="00EF28A0">
        <w:rPr>
          <w:sz w:val="22"/>
          <w:szCs w:val="22"/>
        </w:rPr>
        <w:t>)</w:t>
      </w:r>
      <w:r w:rsidRPr="00EF28A0">
        <w:rPr>
          <w:sz w:val="22"/>
          <w:szCs w:val="22"/>
        </w:rPr>
        <w:tab/>
      </w:r>
      <w:r w:rsidR="00AC6D73" w:rsidRPr="00EF28A0">
        <w:rPr>
          <w:sz w:val="22"/>
          <w:szCs w:val="22"/>
        </w:rPr>
        <w:t>Where a manner of administration is specified in column 4</w:t>
      </w:r>
      <w:r w:rsidR="00232BB3" w:rsidRPr="00EF28A0">
        <w:rPr>
          <w:sz w:val="22"/>
          <w:szCs w:val="22"/>
        </w:rPr>
        <w:t xml:space="preserve"> of an item in Schedule 1, an originator brand specified in column 3 of that item in Schedule 1 is an originator brand for all </w:t>
      </w:r>
      <w:r w:rsidR="00D912C8" w:rsidRPr="00EF28A0">
        <w:rPr>
          <w:sz w:val="22"/>
          <w:szCs w:val="22"/>
        </w:rPr>
        <w:t xml:space="preserve">brands of pharmaceutical item containing the drug specified in column </w:t>
      </w:r>
      <w:r w:rsidR="00334F9A" w:rsidRPr="00EF28A0">
        <w:rPr>
          <w:sz w:val="22"/>
          <w:szCs w:val="22"/>
        </w:rPr>
        <w:t>2</w:t>
      </w:r>
      <w:r w:rsidR="00D912C8" w:rsidRPr="00EF28A0">
        <w:rPr>
          <w:sz w:val="22"/>
          <w:szCs w:val="22"/>
        </w:rPr>
        <w:t>, with the manner of administration specified in column 4 of the same item in Schedule 1</w:t>
      </w:r>
      <w:r w:rsidRPr="00EF28A0">
        <w:rPr>
          <w:sz w:val="22"/>
          <w:szCs w:val="22"/>
        </w:rPr>
        <w:t>.</w:t>
      </w:r>
    </w:p>
    <w:p w14:paraId="08B88C49" w14:textId="77777777" w:rsidR="00746A37" w:rsidRPr="00EF28A0" w:rsidRDefault="00746A37" w:rsidP="002E2DF2">
      <w:pPr>
        <w:tabs>
          <w:tab w:val="left" w:pos="567"/>
          <w:tab w:val="left" w:pos="993"/>
        </w:tabs>
        <w:ind w:left="960"/>
        <w:rPr>
          <w:sz w:val="22"/>
          <w:szCs w:val="22"/>
        </w:rPr>
      </w:pPr>
    </w:p>
    <w:p w14:paraId="76C9BD55" w14:textId="7E7E7E54" w:rsidR="00746A37" w:rsidRPr="00EF28A0" w:rsidRDefault="00746A37" w:rsidP="00923700">
      <w:pPr>
        <w:tabs>
          <w:tab w:val="left" w:pos="567"/>
          <w:tab w:val="left" w:pos="993"/>
        </w:tabs>
        <w:ind w:left="1418" w:hanging="567"/>
        <w:rPr>
          <w:sz w:val="22"/>
          <w:szCs w:val="22"/>
        </w:rPr>
      </w:pPr>
      <w:r w:rsidRPr="00EF28A0">
        <w:rPr>
          <w:sz w:val="22"/>
          <w:szCs w:val="22"/>
        </w:rPr>
        <w:t>(</w:t>
      </w:r>
      <w:r w:rsidR="00EB39FC" w:rsidRPr="00EF28A0">
        <w:rPr>
          <w:sz w:val="22"/>
          <w:szCs w:val="22"/>
        </w:rPr>
        <w:t>3</w:t>
      </w:r>
      <w:r w:rsidRPr="00EF28A0">
        <w:rPr>
          <w:sz w:val="22"/>
          <w:szCs w:val="22"/>
        </w:rPr>
        <w:t>)</w:t>
      </w:r>
      <w:r w:rsidRPr="00EF28A0">
        <w:rPr>
          <w:sz w:val="22"/>
          <w:szCs w:val="22"/>
        </w:rPr>
        <w:tab/>
      </w:r>
      <w:r w:rsidR="00D912C8" w:rsidRPr="00EF28A0">
        <w:rPr>
          <w:sz w:val="22"/>
          <w:szCs w:val="22"/>
        </w:rPr>
        <w:t>Where a form is specified in column 5</w:t>
      </w:r>
      <w:r w:rsidR="003A4701" w:rsidRPr="00EF28A0">
        <w:rPr>
          <w:sz w:val="22"/>
          <w:szCs w:val="22"/>
        </w:rPr>
        <w:t xml:space="preserve"> of an item in Schedule 1, an originator brand specified in column 3 of that item in Schedule 1 is an originator brand for all brands of pharmaceutical item containing the drug specified in column 2</w:t>
      </w:r>
      <w:r w:rsidR="00334F9A" w:rsidRPr="00EF28A0">
        <w:rPr>
          <w:sz w:val="22"/>
          <w:szCs w:val="22"/>
        </w:rPr>
        <w:t xml:space="preserve">, with the manner of administration specified in column 4 </w:t>
      </w:r>
      <w:r w:rsidR="00E5013F" w:rsidRPr="00EF28A0">
        <w:rPr>
          <w:sz w:val="22"/>
          <w:szCs w:val="22"/>
        </w:rPr>
        <w:t>and</w:t>
      </w:r>
      <w:r w:rsidR="00334F9A" w:rsidRPr="00EF28A0">
        <w:rPr>
          <w:sz w:val="22"/>
          <w:szCs w:val="22"/>
        </w:rPr>
        <w:t xml:space="preserve"> the form</w:t>
      </w:r>
      <w:r w:rsidR="009D572B" w:rsidRPr="00EF28A0">
        <w:rPr>
          <w:sz w:val="22"/>
          <w:szCs w:val="22"/>
        </w:rPr>
        <w:t xml:space="preserve"> specified in column 5 of the same item in Schedule 1</w:t>
      </w:r>
      <w:r w:rsidRPr="00EF28A0">
        <w:rPr>
          <w:sz w:val="22"/>
          <w:szCs w:val="22"/>
        </w:rPr>
        <w:t>.</w:t>
      </w:r>
    </w:p>
    <w:p w14:paraId="02AA3AE3" w14:textId="77777777" w:rsidR="00746A37" w:rsidRPr="00EF28A0" w:rsidRDefault="00746A37" w:rsidP="002E2DF2">
      <w:pPr>
        <w:tabs>
          <w:tab w:val="left" w:pos="567"/>
          <w:tab w:val="left" w:pos="993"/>
        </w:tabs>
        <w:ind w:left="960"/>
        <w:rPr>
          <w:sz w:val="22"/>
          <w:szCs w:val="22"/>
        </w:rPr>
      </w:pPr>
    </w:p>
    <w:p w14:paraId="71C5A6BE" w14:textId="04493925" w:rsidR="00182886" w:rsidRPr="00F16F3E" w:rsidRDefault="00182886" w:rsidP="00182886">
      <w:pPr>
        <w:ind w:left="1695" w:hanging="735"/>
        <w:rPr>
          <w:sz w:val="18"/>
          <w:szCs w:val="18"/>
        </w:rPr>
      </w:pPr>
      <w:r w:rsidRPr="00EF28A0">
        <w:rPr>
          <w:sz w:val="18"/>
          <w:szCs w:val="18"/>
        </w:rPr>
        <w:t>Note:</w:t>
      </w:r>
      <w:r w:rsidRPr="00EF28A0">
        <w:rPr>
          <w:sz w:val="18"/>
          <w:szCs w:val="18"/>
        </w:rPr>
        <w:tab/>
        <w:t>A brand of an exempt item is no</w:t>
      </w:r>
      <w:r w:rsidR="0025418A" w:rsidRPr="00EF28A0">
        <w:rPr>
          <w:sz w:val="18"/>
          <w:szCs w:val="18"/>
        </w:rPr>
        <w:t>t an originator brand due to section 99ADA of the Act</w:t>
      </w:r>
      <w:r w:rsidRPr="00EF28A0">
        <w:rPr>
          <w:sz w:val="18"/>
          <w:szCs w:val="18"/>
        </w:rPr>
        <w:t>.</w:t>
      </w:r>
      <w:r w:rsidRPr="00F16F3E">
        <w:rPr>
          <w:sz w:val="18"/>
          <w:szCs w:val="18"/>
        </w:rPr>
        <w:t xml:space="preserve"> </w:t>
      </w:r>
    </w:p>
    <w:p w14:paraId="1DE4E8DA" w14:textId="77777777" w:rsidR="00182886" w:rsidRPr="007F3E30" w:rsidRDefault="00182886" w:rsidP="002E2DF2">
      <w:pPr>
        <w:tabs>
          <w:tab w:val="left" w:pos="567"/>
          <w:tab w:val="left" w:pos="993"/>
        </w:tabs>
        <w:ind w:left="960"/>
        <w:rPr>
          <w:sz w:val="22"/>
          <w:szCs w:val="22"/>
        </w:rPr>
      </w:pPr>
    </w:p>
    <w:p w14:paraId="17BAE3EC" w14:textId="77777777" w:rsidR="002B1D9F" w:rsidRPr="007F3E30" w:rsidRDefault="002B1D9F" w:rsidP="002E2DF2">
      <w:pPr>
        <w:tabs>
          <w:tab w:val="left" w:pos="567"/>
          <w:tab w:val="left" w:pos="993"/>
        </w:tabs>
        <w:ind w:left="960"/>
        <w:rPr>
          <w:sz w:val="22"/>
          <w:szCs w:val="22"/>
        </w:rPr>
      </w:pPr>
    </w:p>
    <w:p w14:paraId="312889AB" w14:textId="77777777" w:rsidR="002E2DF2" w:rsidRPr="007F3E30" w:rsidRDefault="002E2DF2" w:rsidP="002E2DF2"/>
    <w:p w14:paraId="4992B28B" w14:textId="57F4FDC9" w:rsidR="00AB11A2" w:rsidRPr="007F3E30" w:rsidRDefault="00AB11A2" w:rsidP="002E2DF2">
      <w:pPr>
        <w:ind w:left="1695" w:hanging="735"/>
        <w:rPr>
          <w:sz w:val="20"/>
          <w:szCs w:val="20"/>
        </w:rPr>
      </w:pPr>
    </w:p>
    <w:p w14:paraId="5112DD59" w14:textId="2F26CC0B" w:rsidR="00D64A75" w:rsidRPr="007F3E30" w:rsidRDefault="00D64A75" w:rsidP="00D64A75">
      <w:pPr>
        <w:rPr>
          <w:bCs/>
        </w:rPr>
      </w:pPr>
    </w:p>
    <w:p w14:paraId="1A89BD7C" w14:textId="11F9286B" w:rsidR="00280050" w:rsidRPr="007F3E30" w:rsidRDefault="00280050">
      <w:pPr>
        <w:rPr>
          <w:bCs/>
        </w:rPr>
      </w:pPr>
    </w:p>
    <w:p w14:paraId="6A2809B0" w14:textId="77777777" w:rsidR="006E381B" w:rsidRPr="007F3E30" w:rsidRDefault="006E381B">
      <w:pPr>
        <w:rPr>
          <w:bCs/>
        </w:rPr>
      </w:pPr>
    </w:p>
    <w:sectPr w:rsidR="006E381B" w:rsidRPr="007F3E30" w:rsidSect="00EB1197">
      <w:footerReference w:type="default" r:id="rId13"/>
      <w:pgSz w:w="11906" w:h="16838"/>
      <w:pgMar w:top="1440" w:right="70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3397" w14:textId="77777777" w:rsidR="001F51AD" w:rsidRDefault="001F51AD">
      <w:pPr>
        <w:spacing w:before="0" w:after="0"/>
      </w:pPr>
      <w:r>
        <w:separator/>
      </w:r>
    </w:p>
  </w:endnote>
  <w:endnote w:type="continuationSeparator" w:id="0">
    <w:p w14:paraId="22B0F13C" w14:textId="77777777" w:rsidR="001F51AD" w:rsidRDefault="001F51AD">
      <w:pPr>
        <w:spacing w:before="0" w:after="0"/>
      </w:pPr>
      <w:r>
        <w:continuationSeparator/>
      </w:r>
    </w:p>
  </w:endnote>
  <w:endnote w:type="continuationNotice" w:id="1">
    <w:p w14:paraId="5A99D843" w14:textId="77777777" w:rsidR="001F51AD" w:rsidRDefault="001F51A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51BD" w14:textId="655D5D44" w:rsidR="00DB4DF7" w:rsidRDefault="00DB4DF7" w:rsidP="004030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741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C291B5" w14:textId="77777777" w:rsidR="00DB4DF7" w:rsidRDefault="00DB4DF7" w:rsidP="004030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8DBE" w14:textId="77777777" w:rsidR="00DB4DF7" w:rsidRPr="00941515" w:rsidRDefault="00DB4DF7" w:rsidP="00403013">
    <w:pPr>
      <w:pStyle w:val="Footer"/>
    </w:pPr>
    <w:r>
      <w:rPr>
        <w:rStyle w:val="PageNumber"/>
      </w:rPr>
      <w:t xml:space="preserve">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F5D5" w14:textId="77777777" w:rsidR="00DB4DF7" w:rsidRPr="001307F1" w:rsidRDefault="00DB4DF7" w:rsidP="00403013">
    <w:pPr>
      <w:pStyle w:val="Title"/>
      <w:pBdr>
        <w:top w:val="single" w:sz="4" w:space="0" w:color="auto"/>
      </w:pBdr>
      <w:tabs>
        <w:tab w:val="right" w:pos="9026"/>
      </w:tabs>
      <w:spacing w:before="80"/>
      <w:rPr>
        <w:b w:val="0"/>
        <w:i/>
        <w:sz w:val="20"/>
        <w:szCs w:val="20"/>
      </w:rPr>
    </w:pP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fldChar w:fldCharType="begin"/>
    </w:r>
    <w:r>
      <w:rPr>
        <w:rStyle w:val="PageNumber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 w:val="24"/>
        <w:szCs w:val="24"/>
      </w:rPr>
      <w:t>4</w:t>
    </w:r>
    <w:r>
      <w:rPr>
        <w:rStyle w:val="PageNumber"/>
        <w:rFonts w:ascii="Times New Roman" w:hAnsi="Times New Roman" w:cs="Times New Roman"/>
        <w:b w:val="0"/>
        <w:bCs w:val="0"/>
        <w:sz w:val="24"/>
        <w:szCs w:val="24"/>
      </w:rPr>
      <w:fldChar w:fldCharType="end"/>
    </w:r>
    <w:r>
      <w:rPr>
        <w:rStyle w:val="PageNumber"/>
        <w:rFonts w:ascii="Times New Roman" w:hAnsi="Times New Roman" w:cs="Times New Roman"/>
        <w:sz w:val="24"/>
        <w:szCs w:val="24"/>
      </w:rPr>
      <w:t xml:space="preserve">                                            </w:t>
    </w:r>
    <w:r w:rsidRPr="001307F1">
      <w:rPr>
        <w:b w:val="0"/>
        <w:i/>
        <w:sz w:val="20"/>
        <w:szCs w:val="20"/>
      </w:rPr>
      <w:t>National Health (</w:t>
    </w:r>
    <w:r>
      <w:rPr>
        <w:b w:val="0"/>
        <w:i/>
        <w:sz w:val="20"/>
        <w:szCs w:val="20"/>
      </w:rPr>
      <w:t>Weighted average disclosed price – Main disclosure cycle)</w:t>
    </w:r>
    <w:r w:rsidRPr="001307F1">
      <w:rPr>
        <w:b w:val="0"/>
        <w:i/>
        <w:sz w:val="20"/>
        <w:szCs w:val="20"/>
      </w:rPr>
      <w:t xml:space="preserve"> D</w:t>
    </w:r>
    <w:r>
      <w:rPr>
        <w:b w:val="0"/>
        <w:i/>
        <w:sz w:val="20"/>
        <w:szCs w:val="20"/>
      </w:rPr>
      <w:t>etermination 2011</w:t>
    </w:r>
  </w:p>
  <w:p w14:paraId="37ECC4B8" w14:textId="77777777" w:rsidR="00DB4DF7" w:rsidRDefault="00DB4DF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586606"/>
      <w:docPartObj>
        <w:docPartGallery w:val="Page Numbers (Bottom of Page)"/>
        <w:docPartUnique/>
      </w:docPartObj>
    </w:sdtPr>
    <w:sdtEndPr>
      <w:rPr>
        <w:i/>
        <w:iCs/>
        <w:noProof/>
        <w:sz w:val="18"/>
        <w:szCs w:val="18"/>
      </w:rPr>
    </w:sdtEndPr>
    <w:sdtContent>
      <w:p w14:paraId="3C5BF248" w14:textId="494C1C02" w:rsidR="00B00A1B" w:rsidRPr="00586226" w:rsidRDefault="00B00A1B">
        <w:pPr>
          <w:pStyle w:val="Footer"/>
          <w:jc w:val="right"/>
          <w:rPr>
            <w:i/>
            <w:iCs/>
            <w:sz w:val="18"/>
            <w:szCs w:val="18"/>
          </w:rPr>
        </w:pPr>
        <w:r w:rsidRPr="00586226">
          <w:rPr>
            <w:i/>
            <w:iCs/>
            <w:sz w:val="18"/>
            <w:szCs w:val="18"/>
          </w:rPr>
          <w:fldChar w:fldCharType="begin"/>
        </w:r>
        <w:r w:rsidRPr="00586226">
          <w:rPr>
            <w:i/>
            <w:iCs/>
            <w:sz w:val="18"/>
            <w:szCs w:val="18"/>
          </w:rPr>
          <w:instrText xml:space="preserve"> PAGE   \* MERGEFORMAT </w:instrText>
        </w:r>
        <w:r w:rsidRPr="00586226">
          <w:rPr>
            <w:i/>
            <w:iCs/>
            <w:sz w:val="18"/>
            <w:szCs w:val="18"/>
          </w:rPr>
          <w:fldChar w:fldCharType="separate"/>
        </w:r>
        <w:r w:rsidRPr="00586226">
          <w:rPr>
            <w:i/>
            <w:iCs/>
            <w:noProof/>
            <w:sz w:val="18"/>
            <w:szCs w:val="18"/>
          </w:rPr>
          <w:t>2</w:t>
        </w:r>
        <w:r w:rsidRPr="00586226">
          <w:rPr>
            <w:i/>
            <w:iCs/>
            <w:noProof/>
            <w:sz w:val="18"/>
            <w:szCs w:val="18"/>
          </w:rPr>
          <w:fldChar w:fldCharType="end"/>
        </w:r>
      </w:p>
    </w:sdtContent>
  </w:sdt>
  <w:p w14:paraId="26DA96A4" w14:textId="51F8E913" w:rsidR="00DB4DF7" w:rsidRPr="0074021F" w:rsidRDefault="00B00A1B" w:rsidP="00586226">
    <w:pPr>
      <w:pStyle w:val="Title"/>
      <w:pBdr>
        <w:top w:val="single" w:sz="4" w:space="0" w:color="auto"/>
      </w:pBdr>
      <w:tabs>
        <w:tab w:val="right" w:pos="9026"/>
      </w:tabs>
      <w:spacing w:before="80"/>
      <w:jc w:val="center"/>
      <w:rPr>
        <w:rFonts w:ascii="Times New Roman" w:hAnsi="Times New Roman" w:cs="Times New Roman"/>
        <w:b w:val="0"/>
        <w:sz w:val="24"/>
        <w:szCs w:val="24"/>
      </w:rPr>
    </w:pPr>
    <w:r w:rsidRPr="00BE7C4D">
      <w:rPr>
        <w:rStyle w:val="PageNumber"/>
        <w:rFonts w:ascii="Times New Roman" w:hAnsi="Times New Roman" w:cs="Times New Roman"/>
        <w:b w:val="0"/>
        <w:bCs w:val="0"/>
        <w:i/>
        <w:sz w:val="18"/>
        <w:szCs w:val="18"/>
      </w:rPr>
      <w:t>National Health (</w:t>
    </w:r>
    <w:r w:rsidR="00AE13B4">
      <w:rPr>
        <w:rStyle w:val="PageNumber"/>
        <w:rFonts w:ascii="Times New Roman" w:hAnsi="Times New Roman" w:cs="Times New Roman"/>
        <w:b w:val="0"/>
        <w:bCs w:val="0"/>
        <w:i/>
        <w:sz w:val="18"/>
        <w:szCs w:val="18"/>
      </w:rPr>
      <w:t>Originator Brand</w:t>
    </w:r>
    <w:r w:rsidRPr="00BE7C4D">
      <w:rPr>
        <w:rStyle w:val="PageNumber"/>
        <w:rFonts w:ascii="Times New Roman" w:hAnsi="Times New Roman" w:cs="Times New Roman"/>
        <w:b w:val="0"/>
        <w:bCs w:val="0"/>
        <w:i/>
        <w:sz w:val="18"/>
        <w:szCs w:val="18"/>
      </w:rPr>
      <w:t>) Determination 202</w:t>
    </w:r>
    <w:r w:rsidR="00CE1254">
      <w:rPr>
        <w:rStyle w:val="PageNumber"/>
        <w:rFonts w:ascii="Times New Roman" w:hAnsi="Times New Roman" w:cs="Times New Roman"/>
        <w:b w:val="0"/>
        <w:bCs w:val="0"/>
        <w:i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E5EE4" w14:textId="77777777" w:rsidR="001F51AD" w:rsidRDefault="001F51AD">
      <w:pPr>
        <w:spacing w:before="0" w:after="0"/>
      </w:pPr>
      <w:r>
        <w:separator/>
      </w:r>
    </w:p>
  </w:footnote>
  <w:footnote w:type="continuationSeparator" w:id="0">
    <w:p w14:paraId="06BCBBF6" w14:textId="77777777" w:rsidR="001F51AD" w:rsidRDefault="001F51AD">
      <w:pPr>
        <w:spacing w:before="0" w:after="0"/>
      </w:pPr>
      <w:r>
        <w:continuationSeparator/>
      </w:r>
    </w:p>
  </w:footnote>
  <w:footnote w:type="continuationNotice" w:id="1">
    <w:p w14:paraId="7C64D7CB" w14:textId="77777777" w:rsidR="001F51AD" w:rsidRDefault="001F51AD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E0C"/>
    <w:multiLevelType w:val="hybridMultilevel"/>
    <w:tmpl w:val="FE440CB2"/>
    <w:lvl w:ilvl="0" w:tplc="3AF2CE7C">
      <w:start w:val="1"/>
      <w:numFmt w:val="decimal"/>
      <w:lvlText w:val="(%1)"/>
      <w:lvlJc w:val="left"/>
      <w:pPr>
        <w:ind w:left="14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8" w:hanging="360"/>
      </w:pPr>
    </w:lvl>
    <w:lvl w:ilvl="2" w:tplc="0C09001B" w:tentative="1">
      <w:start w:val="1"/>
      <w:numFmt w:val="lowerRoman"/>
      <w:lvlText w:val="%3."/>
      <w:lvlJc w:val="right"/>
      <w:pPr>
        <w:ind w:left="2928" w:hanging="180"/>
      </w:pPr>
    </w:lvl>
    <w:lvl w:ilvl="3" w:tplc="0C09000F" w:tentative="1">
      <w:start w:val="1"/>
      <w:numFmt w:val="decimal"/>
      <w:lvlText w:val="%4."/>
      <w:lvlJc w:val="left"/>
      <w:pPr>
        <w:ind w:left="3648" w:hanging="360"/>
      </w:pPr>
    </w:lvl>
    <w:lvl w:ilvl="4" w:tplc="0C090019" w:tentative="1">
      <w:start w:val="1"/>
      <w:numFmt w:val="lowerLetter"/>
      <w:lvlText w:val="%5."/>
      <w:lvlJc w:val="left"/>
      <w:pPr>
        <w:ind w:left="4368" w:hanging="360"/>
      </w:pPr>
    </w:lvl>
    <w:lvl w:ilvl="5" w:tplc="0C09001B" w:tentative="1">
      <w:start w:val="1"/>
      <w:numFmt w:val="lowerRoman"/>
      <w:lvlText w:val="%6."/>
      <w:lvlJc w:val="right"/>
      <w:pPr>
        <w:ind w:left="5088" w:hanging="180"/>
      </w:pPr>
    </w:lvl>
    <w:lvl w:ilvl="6" w:tplc="0C09000F" w:tentative="1">
      <w:start w:val="1"/>
      <w:numFmt w:val="decimal"/>
      <w:lvlText w:val="%7."/>
      <w:lvlJc w:val="left"/>
      <w:pPr>
        <w:ind w:left="5808" w:hanging="360"/>
      </w:pPr>
    </w:lvl>
    <w:lvl w:ilvl="7" w:tplc="0C090019" w:tentative="1">
      <w:start w:val="1"/>
      <w:numFmt w:val="lowerLetter"/>
      <w:lvlText w:val="%8."/>
      <w:lvlJc w:val="left"/>
      <w:pPr>
        <w:ind w:left="6528" w:hanging="360"/>
      </w:pPr>
    </w:lvl>
    <w:lvl w:ilvl="8" w:tplc="0C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1B75028A"/>
    <w:multiLevelType w:val="hybridMultilevel"/>
    <w:tmpl w:val="1EAAA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814B0"/>
    <w:multiLevelType w:val="hybridMultilevel"/>
    <w:tmpl w:val="B9126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01DC0"/>
    <w:multiLevelType w:val="hybridMultilevel"/>
    <w:tmpl w:val="308AA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C1310"/>
    <w:multiLevelType w:val="hybridMultilevel"/>
    <w:tmpl w:val="FCC83246"/>
    <w:lvl w:ilvl="0" w:tplc="6DA257CC">
      <w:start w:val="3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  <w:sz w:val="18"/>
      </w:rPr>
    </w:lvl>
    <w:lvl w:ilvl="1" w:tplc="205E3F5A">
      <w:start w:val="1"/>
      <w:numFmt w:val="decimal"/>
      <w:lvlText w:val="(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A6953E7"/>
    <w:multiLevelType w:val="hybridMultilevel"/>
    <w:tmpl w:val="4D984D76"/>
    <w:lvl w:ilvl="0" w:tplc="4AE460E2">
      <w:start w:val="1"/>
      <w:numFmt w:val="decimal"/>
      <w:lvlText w:val="(%1)"/>
      <w:lvlJc w:val="left"/>
      <w:pPr>
        <w:ind w:left="792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55E15A22"/>
    <w:multiLevelType w:val="hybridMultilevel"/>
    <w:tmpl w:val="7BF4B290"/>
    <w:lvl w:ilvl="0" w:tplc="BF80307C">
      <w:start w:val="1"/>
      <w:numFmt w:val="decimal"/>
      <w:lvlText w:val="%1"/>
      <w:lvlJc w:val="left"/>
      <w:pPr>
        <w:ind w:left="1320" w:hanging="960"/>
      </w:pPr>
      <w:rPr>
        <w:rFonts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20A6"/>
    <w:multiLevelType w:val="hybridMultilevel"/>
    <w:tmpl w:val="3C109E54"/>
    <w:lvl w:ilvl="0" w:tplc="644415F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51965"/>
    <w:multiLevelType w:val="hybridMultilevel"/>
    <w:tmpl w:val="4D984D76"/>
    <w:lvl w:ilvl="0" w:tplc="4AE460E2">
      <w:start w:val="1"/>
      <w:numFmt w:val="decimal"/>
      <w:lvlText w:val="(%1)"/>
      <w:lvlJc w:val="left"/>
      <w:pPr>
        <w:ind w:left="792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711150527">
    <w:abstractNumId w:val="4"/>
  </w:num>
  <w:num w:numId="2" w16cid:durableId="253326809">
    <w:abstractNumId w:val="7"/>
  </w:num>
  <w:num w:numId="3" w16cid:durableId="49303216">
    <w:abstractNumId w:val="6"/>
  </w:num>
  <w:num w:numId="4" w16cid:durableId="2067215299">
    <w:abstractNumId w:val="0"/>
  </w:num>
  <w:num w:numId="5" w16cid:durableId="1866283920">
    <w:abstractNumId w:val="5"/>
  </w:num>
  <w:num w:numId="6" w16cid:durableId="938756418">
    <w:abstractNumId w:val="8"/>
  </w:num>
  <w:num w:numId="7" w16cid:durableId="488523921">
    <w:abstractNumId w:val="2"/>
  </w:num>
  <w:num w:numId="8" w16cid:durableId="1228489092">
    <w:abstractNumId w:val="3"/>
  </w:num>
  <w:num w:numId="9" w16cid:durableId="90494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F2"/>
    <w:rsid w:val="00001BDD"/>
    <w:rsid w:val="00006F1B"/>
    <w:rsid w:val="00007A5E"/>
    <w:rsid w:val="00017418"/>
    <w:rsid w:val="00026BAC"/>
    <w:rsid w:val="000344CD"/>
    <w:rsid w:val="0003631F"/>
    <w:rsid w:val="00062D9F"/>
    <w:rsid w:val="00071ED1"/>
    <w:rsid w:val="000870F0"/>
    <w:rsid w:val="00093A04"/>
    <w:rsid w:val="000B242E"/>
    <w:rsid w:val="000B7850"/>
    <w:rsid w:val="000D0F8B"/>
    <w:rsid w:val="000D6442"/>
    <w:rsid w:val="000E76D8"/>
    <w:rsid w:val="000F363D"/>
    <w:rsid w:val="000F3678"/>
    <w:rsid w:val="000F4D81"/>
    <w:rsid w:val="0012467A"/>
    <w:rsid w:val="00127BC6"/>
    <w:rsid w:val="00130DF0"/>
    <w:rsid w:val="0015168D"/>
    <w:rsid w:val="00152717"/>
    <w:rsid w:val="00153709"/>
    <w:rsid w:val="0015537D"/>
    <w:rsid w:val="0016040F"/>
    <w:rsid w:val="001713ED"/>
    <w:rsid w:val="00174675"/>
    <w:rsid w:val="00182886"/>
    <w:rsid w:val="001902F8"/>
    <w:rsid w:val="001963D6"/>
    <w:rsid w:val="00197285"/>
    <w:rsid w:val="001B1808"/>
    <w:rsid w:val="001C2249"/>
    <w:rsid w:val="001D794A"/>
    <w:rsid w:val="001F51AD"/>
    <w:rsid w:val="00202671"/>
    <w:rsid w:val="00232BB3"/>
    <w:rsid w:val="0023424E"/>
    <w:rsid w:val="00234326"/>
    <w:rsid w:val="00244537"/>
    <w:rsid w:val="002463FA"/>
    <w:rsid w:val="0025183A"/>
    <w:rsid w:val="0025418A"/>
    <w:rsid w:val="0026074D"/>
    <w:rsid w:val="00260F1F"/>
    <w:rsid w:val="002755B7"/>
    <w:rsid w:val="00280050"/>
    <w:rsid w:val="00294C4B"/>
    <w:rsid w:val="002950CC"/>
    <w:rsid w:val="002960CA"/>
    <w:rsid w:val="002B1D9F"/>
    <w:rsid w:val="002B1FA1"/>
    <w:rsid w:val="002B5A98"/>
    <w:rsid w:val="002C6C68"/>
    <w:rsid w:val="002C7107"/>
    <w:rsid w:val="002D0EDF"/>
    <w:rsid w:val="002E2DF2"/>
    <w:rsid w:val="002E44B2"/>
    <w:rsid w:val="002E764B"/>
    <w:rsid w:val="002E7705"/>
    <w:rsid w:val="002F2684"/>
    <w:rsid w:val="002F6261"/>
    <w:rsid w:val="002F65B0"/>
    <w:rsid w:val="00310D1C"/>
    <w:rsid w:val="00313D47"/>
    <w:rsid w:val="00317501"/>
    <w:rsid w:val="00320471"/>
    <w:rsid w:val="00323E79"/>
    <w:rsid w:val="00332FAC"/>
    <w:rsid w:val="003338F6"/>
    <w:rsid w:val="00334F9A"/>
    <w:rsid w:val="00340D77"/>
    <w:rsid w:val="00353FDA"/>
    <w:rsid w:val="00354AFA"/>
    <w:rsid w:val="003700B7"/>
    <w:rsid w:val="003758DC"/>
    <w:rsid w:val="00381201"/>
    <w:rsid w:val="003A4701"/>
    <w:rsid w:val="003A713C"/>
    <w:rsid w:val="003C2E77"/>
    <w:rsid w:val="003C357C"/>
    <w:rsid w:val="003D5F94"/>
    <w:rsid w:val="003D693F"/>
    <w:rsid w:val="003E5CC1"/>
    <w:rsid w:val="003E6E32"/>
    <w:rsid w:val="003F072C"/>
    <w:rsid w:val="003F71CB"/>
    <w:rsid w:val="00401D23"/>
    <w:rsid w:val="00403013"/>
    <w:rsid w:val="0040326D"/>
    <w:rsid w:val="00403BD1"/>
    <w:rsid w:val="00411816"/>
    <w:rsid w:val="00452E69"/>
    <w:rsid w:val="00462FA7"/>
    <w:rsid w:val="0046629F"/>
    <w:rsid w:val="00472532"/>
    <w:rsid w:val="00476665"/>
    <w:rsid w:val="004777F8"/>
    <w:rsid w:val="00482684"/>
    <w:rsid w:val="00485B3A"/>
    <w:rsid w:val="004911E3"/>
    <w:rsid w:val="004A3A0C"/>
    <w:rsid w:val="004B0D20"/>
    <w:rsid w:val="004C7EE6"/>
    <w:rsid w:val="004D76A1"/>
    <w:rsid w:val="004E7930"/>
    <w:rsid w:val="004F04FF"/>
    <w:rsid w:val="004F3725"/>
    <w:rsid w:val="00533835"/>
    <w:rsid w:val="00535135"/>
    <w:rsid w:val="0053573D"/>
    <w:rsid w:val="00541580"/>
    <w:rsid w:val="00547434"/>
    <w:rsid w:val="0056052B"/>
    <w:rsid w:val="00564134"/>
    <w:rsid w:val="00570EA7"/>
    <w:rsid w:val="005717C7"/>
    <w:rsid w:val="005759F2"/>
    <w:rsid w:val="0058424C"/>
    <w:rsid w:val="00584CE0"/>
    <w:rsid w:val="00585984"/>
    <w:rsid w:val="00586226"/>
    <w:rsid w:val="005906FC"/>
    <w:rsid w:val="00595DE5"/>
    <w:rsid w:val="00597FB4"/>
    <w:rsid w:val="005A0DC7"/>
    <w:rsid w:val="005A748B"/>
    <w:rsid w:val="005D3835"/>
    <w:rsid w:val="005E78D6"/>
    <w:rsid w:val="005F6B89"/>
    <w:rsid w:val="00616D9D"/>
    <w:rsid w:val="00617403"/>
    <w:rsid w:val="00642856"/>
    <w:rsid w:val="006449C0"/>
    <w:rsid w:val="006700D6"/>
    <w:rsid w:val="00682EDD"/>
    <w:rsid w:val="006866DF"/>
    <w:rsid w:val="006873C3"/>
    <w:rsid w:val="006911F8"/>
    <w:rsid w:val="0069233B"/>
    <w:rsid w:val="006A5BEC"/>
    <w:rsid w:val="006C03C8"/>
    <w:rsid w:val="006C1372"/>
    <w:rsid w:val="006C4C2F"/>
    <w:rsid w:val="006D3F3B"/>
    <w:rsid w:val="006D6E18"/>
    <w:rsid w:val="006E381B"/>
    <w:rsid w:val="006F3668"/>
    <w:rsid w:val="00701AFE"/>
    <w:rsid w:val="00702B39"/>
    <w:rsid w:val="007367CA"/>
    <w:rsid w:val="00742FB5"/>
    <w:rsid w:val="00746A37"/>
    <w:rsid w:val="00747A77"/>
    <w:rsid w:val="0075125F"/>
    <w:rsid w:val="00751B6D"/>
    <w:rsid w:val="007556D6"/>
    <w:rsid w:val="007624FC"/>
    <w:rsid w:val="00773282"/>
    <w:rsid w:val="0078419D"/>
    <w:rsid w:val="00787638"/>
    <w:rsid w:val="0079536C"/>
    <w:rsid w:val="00796AF4"/>
    <w:rsid w:val="007A6AD0"/>
    <w:rsid w:val="007B0B20"/>
    <w:rsid w:val="007B2252"/>
    <w:rsid w:val="007B28E9"/>
    <w:rsid w:val="007B7304"/>
    <w:rsid w:val="007D2252"/>
    <w:rsid w:val="007D317F"/>
    <w:rsid w:val="007D7FF4"/>
    <w:rsid w:val="007E08DC"/>
    <w:rsid w:val="007F251C"/>
    <w:rsid w:val="007F3E30"/>
    <w:rsid w:val="00803016"/>
    <w:rsid w:val="008079AF"/>
    <w:rsid w:val="00823A30"/>
    <w:rsid w:val="008250E2"/>
    <w:rsid w:val="00840A52"/>
    <w:rsid w:val="00845775"/>
    <w:rsid w:val="00847369"/>
    <w:rsid w:val="00850CEC"/>
    <w:rsid w:val="008535CF"/>
    <w:rsid w:val="0085652A"/>
    <w:rsid w:val="00874606"/>
    <w:rsid w:val="00890AB3"/>
    <w:rsid w:val="008A06FA"/>
    <w:rsid w:val="008A57D4"/>
    <w:rsid w:val="008A673D"/>
    <w:rsid w:val="008B2105"/>
    <w:rsid w:val="008B3269"/>
    <w:rsid w:val="008B471A"/>
    <w:rsid w:val="008C0F6F"/>
    <w:rsid w:val="008C1B7C"/>
    <w:rsid w:val="008C5D8C"/>
    <w:rsid w:val="008E06AF"/>
    <w:rsid w:val="008F0C1E"/>
    <w:rsid w:val="008F3643"/>
    <w:rsid w:val="00901FBF"/>
    <w:rsid w:val="00923700"/>
    <w:rsid w:val="0093181D"/>
    <w:rsid w:val="00940438"/>
    <w:rsid w:val="00943723"/>
    <w:rsid w:val="009676EC"/>
    <w:rsid w:val="00970527"/>
    <w:rsid w:val="00976112"/>
    <w:rsid w:val="00982B75"/>
    <w:rsid w:val="00987A52"/>
    <w:rsid w:val="00993F27"/>
    <w:rsid w:val="009A658A"/>
    <w:rsid w:val="009B78D6"/>
    <w:rsid w:val="009C04CD"/>
    <w:rsid w:val="009D08D7"/>
    <w:rsid w:val="009D572B"/>
    <w:rsid w:val="009D656F"/>
    <w:rsid w:val="009D6572"/>
    <w:rsid w:val="009D66B7"/>
    <w:rsid w:val="009E6412"/>
    <w:rsid w:val="00A001FA"/>
    <w:rsid w:val="00A070F8"/>
    <w:rsid w:val="00A23B2E"/>
    <w:rsid w:val="00A25D3B"/>
    <w:rsid w:val="00A342FC"/>
    <w:rsid w:val="00A36E4B"/>
    <w:rsid w:val="00A371EF"/>
    <w:rsid w:val="00A43486"/>
    <w:rsid w:val="00A46E7D"/>
    <w:rsid w:val="00A52758"/>
    <w:rsid w:val="00A74B09"/>
    <w:rsid w:val="00A766F3"/>
    <w:rsid w:val="00A83DBE"/>
    <w:rsid w:val="00A84E5D"/>
    <w:rsid w:val="00A9134E"/>
    <w:rsid w:val="00A9674B"/>
    <w:rsid w:val="00A97C5E"/>
    <w:rsid w:val="00AA5343"/>
    <w:rsid w:val="00AB11A2"/>
    <w:rsid w:val="00AB7535"/>
    <w:rsid w:val="00AC6D73"/>
    <w:rsid w:val="00AE13B4"/>
    <w:rsid w:val="00B00A1B"/>
    <w:rsid w:val="00B32EED"/>
    <w:rsid w:val="00B467B8"/>
    <w:rsid w:val="00B53D57"/>
    <w:rsid w:val="00B54FA2"/>
    <w:rsid w:val="00B55208"/>
    <w:rsid w:val="00B70CAF"/>
    <w:rsid w:val="00B8277F"/>
    <w:rsid w:val="00B95C9E"/>
    <w:rsid w:val="00B96BFE"/>
    <w:rsid w:val="00BD0D8F"/>
    <w:rsid w:val="00BD5774"/>
    <w:rsid w:val="00BE182F"/>
    <w:rsid w:val="00BE1AD9"/>
    <w:rsid w:val="00BE496B"/>
    <w:rsid w:val="00C12BD7"/>
    <w:rsid w:val="00C16A99"/>
    <w:rsid w:val="00C37360"/>
    <w:rsid w:val="00C539C7"/>
    <w:rsid w:val="00C53B03"/>
    <w:rsid w:val="00C55C73"/>
    <w:rsid w:val="00C61924"/>
    <w:rsid w:val="00C62A17"/>
    <w:rsid w:val="00C63AAC"/>
    <w:rsid w:val="00C7105E"/>
    <w:rsid w:val="00C80117"/>
    <w:rsid w:val="00C834C4"/>
    <w:rsid w:val="00CA3EFF"/>
    <w:rsid w:val="00CC007C"/>
    <w:rsid w:val="00CC75B6"/>
    <w:rsid w:val="00CD53ED"/>
    <w:rsid w:val="00CD5B89"/>
    <w:rsid w:val="00CE1254"/>
    <w:rsid w:val="00CE691D"/>
    <w:rsid w:val="00CE7337"/>
    <w:rsid w:val="00CF51B3"/>
    <w:rsid w:val="00CF62AC"/>
    <w:rsid w:val="00D161D6"/>
    <w:rsid w:val="00D252BE"/>
    <w:rsid w:val="00D31E98"/>
    <w:rsid w:val="00D505D2"/>
    <w:rsid w:val="00D50BED"/>
    <w:rsid w:val="00D5108B"/>
    <w:rsid w:val="00D5318B"/>
    <w:rsid w:val="00D64A75"/>
    <w:rsid w:val="00D77FCF"/>
    <w:rsid w:val="00D8555B"/>
    <w:rsid w:val="00D912C8"/>
    <w:rsid w:val="00D92835"/>
    <w:rsid w:val="00D97FC7"/>
    <w:rsid w:val="00DA1266"/>
    <w:rsid w:val="00DA3029"/>
    <w:rsid w:val="00DA79C4"/>
    <w:rsid w:val="00DB3BD4"/>
    <w:rsid w:val="00DB4DF7"/>
    <w:rsid w:val="00DB4E74"/>
    <w:rsid w:val="00DC3568"/>
    <w:rsid w:val="00DD41CA"/>
    <w:rsid w:val="00DE239E"/>
    <w:rsid w:val="00DE5F72"/>
    <w:rsid w:val="00DF3782"/>
    <w:rsid w:val="00E00793"/>
    <w:rsid w:val="00E0354A"/>
    <w:rsid w:val="00E13845"/>
    <w:rsid w:val="00E4628F"/>
    <w:rsid w:val="00E46DBB"/>
    <w:rsid w:val="00E5013F"/>
    <w:rsid w:val="00E639A6"/>
    <w:rsid w:val="00E66E57"/>
    <w:rsid w:val="00E74C52"/>
    <w:rsid w:val="00E90F96"/>
    <w:rsid w:val="00E95A58"/>
    <w:rsid w:val="00EA173B"/>
    <w:rsid w:val="00EA195D"/>
    <w:rsid w:val="00EB1197"/>
    <w:rsid w:val="00EB39FC"/>
    <w:rsid w:val="00EC2B8F"/>
    <w:rsid w:val="00ED2AEA"/>
    <w:rsid w:val="00ED4360"/>
    <w:rsid w:val="00ED587D"/>
    <w:rsid w:val="00EE09AE"/>
    <w:rsid w:val="00EE0D40"/>
    <w:rsid w:val="00EE38E6"/>
    <w:rsid w:val="00EF28A0"/>
    <w:rsid w:val="00F0188C"/>
    <w:rsid w:val="00F03A74"/>
    <w:rsid w:val="00F11F22"/>
    <w:rsid w:val="00F12A0E"/>
    <w:rsid w:val="00F14D6C"/>
    <w:rsid w:val="00F1602A"/>
    <w:rsid w:val="00F16F3E"/>
    <w:rsid w:val="00F22317"/>
    <w:rsid w:val="00F25DC1"/>
    <w:rsid w:val="00F404A6"/>
    <w:rsid w:val="00F50A52"/>
    <w:rsid w:val="00F528C3"/>
    <w:rsid w:val="00F57FC1"/>
    <w:rsid w:val="00F67E85"/>
    <w:rsid w:val="00F73E79"/>
    <w:rsid w:val="00F82B28"/>
    <w:rsid w:val="00F973EB"/>
    <w:rsid w:val="00F97FD5"/>
    <w:rsid w:val="00FA7E18"/>
    <w:rsid w:val="00FB192C"/>
    <w:rsid w:val="00FB387B"/>
    <w:rsid w:val="00FC3BC6"/>
    <w:rsid w:val="00FC3FF0"/>
    <w:rsid w:val="00FC4BD1"/>
    <w:rsid w:val="00FC6465"/>
    <w:rsid w:val="00FD176D"/>
    <w:rsid w:val="00FD691D"/>
    <w:rsid w:val="00FF0564"/>
    <w:rsid w:val="00FF1B9D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E35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DF2"/>
    <w:pPr>
      <w:spacing w:before="20" w:after="20" w:line="240" w:lineRule="auto"/>
    </w:pPr>
    <w:rPr>
      <w:rFonts w:eastAsiaTheme="minorEastAsia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5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3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8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E2D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DF2"/>
    <w:rPr>
      <w:rFonts w:eastAsiaTheme="minorEastAsia"/>
      <w:lang w:eastAsia="en-AU"/>
    </w:rPr>
  </w:style>
  <w:style w:type="character" w:styleId="PageNumber">
    <w:name w:val="page number"/>
    <w:basedOn w:val="DefaultParagraphFont"/>
    <w:rsid w:val="002E2DF2"/>
  </w:style>
  <w:style w:type="paragraph" w:styleId="Title">
    <w:name w:val="Title"/>
    <w:basedOn w:val="Normal"/>
    <w:next w:val="Normal"/>
    <w:link w:val="TitleChar"/>
    <w:uiPriority w:val="10"/>
    <w:qFormat/>
    <w:rsid w:val="002E2DF2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E2DF2"/>
    <w:rPr>
      <w:rFonts w:ascii="Arial" w:eastAsiaTheme="minorEastAsia" w:hAnsi="Arial" w:cs="Arial"/>
      <w:b/>
      <w:bCs/>
      <w:sz w:val="40"/>
      <w:szCs w:val="40"/>
      <w:lang w:eastAsia="en-AU"/>
    </w:rPr>
  </w:style>
  <w:style w:type="paragraph" w:customStyle="1" w:styleId="A1">
    <w:name w:val="A1"/>
    <w:aliases w:val="Heading Amendment,1. Amendment"/>
    <w:basedOn w:val="Normal"/>
    <w:next w:val="Normal"/>
    <w:rsid w:val="002E2DF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2E2DF2"/>
    <w:pPr>
      <w:tabs>
        <w:tab w:val="right" w:pos="794"/>
      </w:tabs>
      <w:spacing w:before="120" w:line="260" w:lineRule="exact"/>
      <w:ind w:left="964" w:hanging="964"/>
      <w:jc w:val="both"/>
    </w:pPr>
  </w:style>
  <w:style w:type="character" w:customStyle="1" w:styleId="CharSectnoAm">
    <w:name w:val="CharSectnoAm"/>
    <w:rsid w:val="002E2DF2"/>
    <w:rPr>
      <w:sz w:val="18"/>
    </w:rPr>
  </w:style>
  <w:style w:type="character" w:styleId="Hyperlink">
    <w:name w:val="Hyperlink"/>
    <w:basedOn w:val="DefaultParagraphFont"/>
    <w:uiPriority w:val="99"/>
    <w:unhideWhenUsed/>
    <w:rsid w:val="0061740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7403"/>
    <w:rPr>
      <w:color w:val="954F72"/>
      <w:u w:val="single"/>
    </w:rPr>
  </w:style>
  <w:style w:type="paragraph" w:customStyle="1" w:styleId="msonormal0">
    <w:name w:val="msonormal"/>
    <w:basedOn w:val="Normal"/>
    <w:rsid w:val="00617403"/>
    <w:pPr>
      <w:spacing w:before="100" w:beforeAutospacing="1" w:after="100" w:afterAutospacing="1"/>
    </w:pPr>
    <w:rPr>
      <w:rFonts w:eastAsia="Times New Roman"/>
    </w:rPr>
  </w:style>
  <w:style w:type="paragraph" w:customStyle="1" w:styleId="xl63">
    <w:name w:val="xl63"/>
    <w:basedOn w:val="Normal"/>
    <w:rsid w:val="0061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64">
    <w:name w:val="xl64"/>
    <w:basedOn w:val="Normal"/>
    <w:rsid w:val="0061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</w:rPr>
  </w:style>
  <w:style w:type="paragraph" w:customStyle="1" w:styleId="xl65">
    <w:name w:val="xl65"/>
    <w:basedOn w:val="Normal"/>
    <w:rsid w:val="0061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Normal"/>
    <w:rsid w:val="00617403"/>
    <w:pP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Normal"/>
    <w:rsid w:val="0061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8">
    <w:name w:val="xl68"/>
    <w:basedOn w:val="Normal"/>
    <w:rsid w:val="0061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69">
    <w:name w:val="xl69"/>
    <w:basedOn w:val="Normal"/>
    <w:rsid w:val="0061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70">
    <w:name w:val="xl70"/>
    <w:basedOn w:val="Normal"/>
    <w:rsid w:val="00617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71">
    <w:name w:val="xl71"/>
    <w:basedOn w:val="Normal"/>
    <w:rsid w:val="006E38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</w:rPr>
  </w:style>
  <w:style w:type="paragraph" w:customStyle="1" w:styleId="xl72">
    <w:name w:val="xl72"/>
    <w:basedOn w:val="Normal"/>
    <w:rsid w:val="006E381B"/>
    <w:pPr>
      <w:spacing w:before="100" w:beforeAutospacing="1" w:after="100" w:afterAutospacing="1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8535C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535CF"/>
    <w:rPr>
      <w:rFonts w:eastAsiaTheme="minorEastAsia"/>
      <w:lang w:eastAsia="en-AU"/>
    </w:rPr>
  </w:style>
  <w:style w:type="paragraph" w:customStyle="1" w:styleId="xl73">
    <w:name w:val="xl73"/>
    <w:basedOn w:val="Normal"/>
    <w:rsid w:val="005338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74">
    <w:name w:val="xl74"/>
    <w:basedOn w:val="Normal"/>
    <w:rsid w:val="005338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75">
    <w:name w:val="xl75"/>
    <w:basedOn w:val="Normal"/>
    <w:rsid w:val="005338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76">
    <w:name w:val="xl76"/>
    <w:basedOn w:val="Normal"/>
    <w:rsid w:val="0012467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77">
    <w:name w:val="xl77"/>
    <w:basedOn w:val="Normal"/>
    <w:rsid w:val="0012467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78">
    <w:name w:val="xl78"/>
    <w:basedOn w:val="Normal"/>
    <w:rsid w:val="00124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01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013"/>
    <w:rPr>
      <w:rFonts w:ascii="Segoe UI" w:eastAsiaTheme="minorEastAsia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7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7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A77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A77"/>
    <w:rPr>
      <w:rFonts w:eastAsiaTheme="minorEastAsia"/>
      <w:b/>
      <w:bCs/>
      <w:sz w:val="20"/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BE182F"/>
    <w:pPr>
      <w:tabs>
        <w:tab w:val="right" w:pos="1021"/>
      </w:tabs>
      <w:spacing w:before="180" w:after="0"/>
      <w:ind w:left="1134" w:hanging="1134"/>
    </w:pPr>
    <w:rPr>
      <w:rFonts w:eastAsia="Times New Roman"/>
      <w:sz w:val="22"/>
      <w:szCs w:val="20"/>
    </w:rPr>
  </w:style>
  <w:style w:type="paragraph" w:customStyle="1" w:styleId="Tabletext">
    <w:name w:val="Tabletext"/>
    <w:aliases w:val="tt"/>
    <w:basedOn w:val="Normal"/>
    <w:rsid w:val="00BE182F"/>
    <w:pPr>
      <w:spacing w:before="60" w:after="0" w:line="240" w:lineRule="atLeast"/>
    </w:pPr>
    <w:rPr>
      <w:rFonts w:eastAsia="Times New Roman"/>
      <w:sz w:val="20"/>
      <w:szCs w:val="20"/>
    </w:rPr>
  </w:style>
  <w:style w:type="paragraph" w:customStyle="1" w:styleId="notetext">
    <w:name w:val="note(text)"/>
    <w:aliases w:val="n"/>
    <w:basedOn w:val="Normal"/>
    <w:link w:val="notetextChar"/>
    <w:rsid w:val="00BE182F"/>
    <w:pPr>
      <w:spacing w:before="122" w:after="0"/>
      <w:ind w:left="1985" w:hanging="851"/>
    </w:pPr>
    <w:rPr>
      <w:rFonts w:eastAsia="Times New Roman"/>
      <w:sz w:val="18"/>
      <w:szCs w:val="20"/>
    </w:rPr>
  </w:style>
  <w:style w:type="paragraph" w:customStyle="1" w:styleId="TableHeading">
    <w:name w:val="TableHeading"/>
    <w:aliases w:val="th"/>
    <w:basedOn w:val="Normal"/>
    <w:next w:val="Tabletext"/>
    <w:rsid w:val="00BE182F"/>
    <w:pPr>
      <w:keepNext/>
      <w:spacing w:before="60" w:after="0" w:line="240" w:lineRule="atLeast"/>
    </w:pPr>
    <w:rPr>
      <w:rFonts w:eastAsia="Times New Roman"/>
      <w:b/>
      <w:sz w:val="20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E182F"/>
    <w:rPr>
      <w:rFonts w:eastAsia="Times New Roman"/>
      <w:sz w:val="22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E182F"/>
    <w:rPr>
      <w:rFonts w:eastAsia="Times New Roman"/>
      <w:sz w:val="18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BE182F"/>
    <w:pPr>
      <w:keepNext/>
      <w:keepLines/>
      <w:spacing w:before="280" w:after="0"/>
      <w:ind w:left="1134" w:hanging="1134"/>
      <w:outlineLvl w:val="4"/>
    </w:pPr>
    <w:rPr>
      <w:rFonts w:eastAsia="Times New Roman"/>
      <w:b/>
      <w:kern w:val="28"/>
      <w:szCs w:val="20"/>
    </w:rPr>
  </w:style>
  <w:style w:type="character" w:customStyle="1" w:styleId="CharSectno">
    <w:name w:val="CharSectno"/>
    <w:basedOn w:val="DefaultParagraphFont"/>
    <w:qFormat/>
    <w:rsid w:val="00BE182F"/>
  </w:style>
  <w:style w:type="character" w:customStyle="1" w:styleId="ActHead5Char">
    <w:name w:val="ActHead 5 Char"/>
    <w:aliases w:val="s Char"/>
    <w:link w:val="ActHead5"/>
    <w:rsid w:val="00BE182F"/>
    <w:rPr>
      <w:rFonts w:eastAsia="Times New Roman"/>
      <w:b/>
      <w:kern w:val="28"/>
      <w:szCs w:val="20"/>
      <w:lang w:eastAsia="en-AU"/>
    </w:rPr>
  </w:style>
  <w:style w:type="paragraph" w:styleId="Revision">
    <w:name w:val="Revision"/>
    <w:hidden/>
    <w:uiPriority w:val="99"/>
    <w:semiHidden/>
    <w:rsid w:val="005906FC"/>
    <w:pPr>
      <w:spacing w:after="0" w:line="240" w:lineRule="auto"/>
    </w:pPr>
    <w:rPr>
      <w:rFonts w:eastAsiaTheme="minorEastAsia"/>
      <w:lang w:eastAsia="en-AU"/>
    </w:rPr>
  </w:style>
  <w:style w:type="paragraph" w:customStyle="1" w:styleId="acthead50">
    <w:name w:val="acthead5"/>
    <w:basedOn w:val="Normal"/>
    <w:rsid w:val="00F57FC1"/>
    <w:pPr>
      <w:spacing w:before="100" w:beforeAutospacing="1" w:after="100" w:afterAutospacing="1"/>
    </w:pPr>
    <w:rPr>
      <w:rFonts w:eastAsia="Times New Roman"/>
    </w:rPr>
  </w:style>
  <w:style w:type="character" w:customStyle="1" w:styleId="charsectno0">
    <w:name w:val="charsectno"/>
    <w:basedOn w:val="DefaultParagraphFont"/>
    <w:rsid w:val="00F57FC1"/>
  </w:style>
  <w:style w:type="paragraph" w:customStyle="1" w:styleId="paragraph">
    <w:name w:val="paragraph"/>
    <w:basedOn w:val="Normal"/>
    <w:rsid w:val="00F57FC1"/>
    <w:pPr>
      <w:spacing w:before="100" w:beforeAutospacing="1" w:after="100" w:afterAutospacing="1"/>
    </w:pPr>
    <w:rPr>
      <w:rFonts w:eastAsia="Times New Roman"/>
    </w:rPr>
  </w:style>
  <w:style w:type="paragraph" w:customStyle="1" w:styleId="notepara">
    <w:name w:val="note(para)"/>
    <w:aliases w:val="na"/>
    <w:basedOn w:val="Normal"/>
    <w:rsid w:val="007D317F"/>
    <w:pPr>
      <w:spacing w:before="40" w:after="0" w:line="198" w:lineRule="exact"/>
      <w:ind w:left="2354" w:hanging="369"/>
    </w:pPr>
    <w:rPr>
      <w:rFonts w:eastAsia="Times New Roman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C35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1963D6"/>
    <w:pPr>
      <w:spacing w:line="259" w:lineRule="auto"/>
      <w:outlineLvl w:val="9"/>
    </w:pPr>
    <w:rPr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963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1C2249"/>
    <w:pPr>
      <w:tabs>
        <w:tab w:val="right" w:leader="dot" w:pos="9072"/>
      </w:tabs>
      <w:spacing w:before="0" w:after="0"/>
      <w:ind w:left="1985" w:hanging="567"/>
    </w:pPr>
    <w:rPr>
      <w:bCs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FF1B9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1C2249"/>
    <w:pPr>
      <w:tabs>
        <w:tab w:val="right" w:leader="dot" w:pos="9072"/>
      </w:tabs>
      <w:spacing w:before="0" w:after="0"/>
      <w:ind w:left="1985" w:hanging="567"/>
    </w:pPr>
    <w:rPr>
      <w:b/>
      <w:bCs/>
      <w:noProof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845"/>
    <w:rPr>
      <w:rFonts w:asciiTheme="majorHAnsi" w:eastAsiaTheme="majorEastAsia" w:hAnsiTheme="majorHAnsi" w:cstheme="majorBidi"/>
      <w:color w:val="1F4D78" w:themeColor="accent1" w:themeShade="7F"/>
      <w:lang w:eastAsia="en-AU"/>
    </w:rPr>
  </w:style>
  <w:style w:type="paragraph" w:styleId="TOC3">
    <w:name w:val="toc 3"/>
    <w:basedOn w:val="Normal"/>
    <w:next w:val="Normal"/>
    <w:autoRedefine/>
    <w:uiPriority w:val="39"/>
    <w:unhideWhenUsed/>
    <w:rsid w:val="008C5D8C"/>
    <w:pPr>
      <w:tabs>
        <w:tab w:val="right" w:leader="dot" w:pos="9016"/>
      </w:tabs>
      <w:spacing w:before="240" w:after="120"/>
    </w:pPr>
  </w:style>
  <w:style w:type="paragraph" w:styleId="NoSpacing">
    <w:name w:val="No Spacing"/>
    <w:uiPriority w:val="1"/>
    <w:qFormat/>
    <w:rsid w:val="00DE5F72"/>
    <w:pPr>
      <w:spacing w:after="0" w:line="240" w:lineRule="auto"/>
    </w:pPr>
    <w:rPr>
      <w:rFonts w:eastAsiaTheme="minorEastAsia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D0D8F"/>
    <w:rPr>
      <w:color w:val="605E5C"/>
      <w:shd w:val="clear" w:color="auto" w:fill="E1DFDD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A06F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A06FA"/>
    <w:pPr>
      <w:spacing w:after="100"/>
      <w:ind w:left="12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A06FA"/>
    <w:pPr>
      <w:spacing w:after="100"/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MATT!102530802.1</documentid>
  <senderid>10159</senderid>
  <senderemail>KAH-MUN.WONG@SPARKE.COM.AU</senderemail>
  <lastmodified>2025-06-20T11:18:00.0000000+10:00</lastmodified>
  <database>MATT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8CED1-20CE-42C6-920F-DA78AC986536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09D80A3A-B753-447B-BECA-59970684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2025-09-18T02:28:00Z</dcterms:created>
  <dcterms:modified xsi:type="dcterms:W3CDTF">2025-09-22T04:48:00Z</dcterms:modified>
</cp:coreProperties>
</file>