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B4CD" w14:textId="77777777" w:rsidR="005E317F" w:rsidRPr="00EB7143" w:rsidRDefault="005E317F" w:rsidP="005E317F">
      <w:pPr>
        <w:rPr>
          <w:sz w:val="28"/>
        </w:rPr>
      </w:pPr>
      <w:r w:rsidRPr="00EB7143">
        <w:rPr>
          <w:noProof/>
          <w:lang w:eastAsia="en-AU"/>
        </w:rPr>
        <w:drawing>
          <wp:inline distT="0" distB="0" distL="0" distR="0" wp14:anchorId="477DD578" wp14:editId="42D6A9D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F14A" w14:textId="77777777" w:rsidR="005E317F" w:rsidRPr="00EB7143" w:rsidRDefault="005E317F" w:rsidP="005E317F">
      <w:pPr>
        <w:rPr>
          <w:sz w:val="19"/>
        </w:rPr>
      </w:pPr>
    </w:p>
    <w:p w14:paraId="25BA9567" w14:textId="2E36D866" w:rsidR="005E317F" w:rsidRPr="00EB7143" w:rsidRDefault="00C52284" w:rsidP="005E317F">
      <w:pPr>
        <w:pStyle w:val="ShortT"/>
      </w:pPr>
      <w:bookmarkStart w:id="0" w:name="_Hlk193355422"/>
      <w:r w:rsidRPr="00EB7143">
        <w:t xml:space="preserve">Social Security (Administration) (Income Management – Crediting of Accounts) Rules </w:t>
      </w:r>
      <w:r w:rsidR="00A80118" w:rsidRPr="00EB7143">
        <w:t>202</w:t>
      </w:r>
      <w:r w:rsidR="00F82980" w:rsidRPr="00EB7143">
        <w:t>5</w:t>
      </w:r>
    </w:p>
    <w:bookmarkEnd w:id="0"/>
    <w:p w14:paraId="02024B17" w14:textId="33447B18" w:rsidR="005E317F" w:rsidRPr="00EB7143" w:rsidRDefault="005E317F" w:rsidP="005E317F">
      <w:pPr>
        <w:pStyle w:val="SignCoverPageStart"/>
        <w:spacing w:before="240"/>
        <w:ind w:right="91"/>
        <w:rPr>
          <w:szCs w:val="22"/>
        </w:rPr>
      </w:pPr>
      <w:r w:rsidRPr="00EB7143">
        <w:rPr>
          <w:szCs w:val="22"/>
        </w:rPr>
        <w:t xml:space="preserve">I, </w:t>
      </w:r>
      <w:r w:rsidR="00B25A72" w:rsidRPr="00EB7143">
        <w:rPr>
          <w:szCs w:val="22"/>
        </w:rPr>
        <w:t>Tanya Plibersek</w:t>
      </w:r>
      <w:r w:rsidRPr="00EB7143">
        <w:rPr>
          <w:szCs w:val="22"/>
        </w:rPr>
        <w:t xml:space="preserve">, </w:t>
      </w:r>
      <w:r w:rsidR="00B25A72" w:rsidRPr="00EB7143">
        <w:rPr>
          <w:szCs w:val="22"/>
        </w:rPr>
        <w:t>Minister for</w:t>
      </w:r>
      <w:r w:rsidR="004C3217" w:rsidRPr="00EB7143">
        <w:rPr>
          <w:szCs w:val="22"/>
        </w:rPr>
        <w:t xml:space="preserve"> Social Services</w:t>
      </w:r>
      <w:r w:rsidRPr="00EB7143">
        <w:rPr>
          <w:szCs w:val="22"/>
        </w:rPr>
        <w:t xml:space="preserve">, make the following </w:t>
      </w:r>
      <w:r w:rsidR="00B25A72" w:rsidRPr="00EB7143">
        <w:rPr>
          <w:szCs w:val="22"/>
        </w:rPr>
        <w:t>Ru</w:t>
      </w:r>
      <w:r w:rsidR="004C3217" w:rsidRPr="00EB7143">
        <w:rPr>
          <w:szCs w:val="22"/>
        </w:rPr>
        <w:t>les</w:t>
      </w:r>
      <w:r w:rsidRPr="00EB7143">
        <w:rPr>
          <w:szCs w:val="22"/>
        </w:rPr>
        <w:t>.</w:t>
      </w:r>
    </w:p>
    <w:p w14:paraId="2D076D73" w14:textId="4ADEB593" w:rsidR="005E317F" w:rsidRPr="00EB714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B7143">
        <w:rPr>
          <w:szCs w:val="22"/>
        </w:rPr>
        <w:t>Dated</w:t>
      </w:r>
      <w:r w:rsidR="00EB7143" w:rsidRPr="00EB7143">
        <w:rPr>
          <w:szCs w:val="22"/>
        </w:rPr>
        <w:t xml:space="preserve"> 19.09.</w:t>
      </w:r>
      <w:r w:rsidR="004558E9" w:rsidRPr="00EB7143">
        <w:rPr>
          <w:szCs w:val="22"/>
        </w:rPr>
        <w:t>2025</w:t>
      </w:r>
      <w:r w:rsidRPr="00EB7143">
        <w:rPr>
          <w:szCs w:val="22"/>
        </w:rPr>
        <w:tab/>
      </w:r>
      <w:r w:rsidRPr="00EB7143">
        <w:rPr>
          <w:szCs w:val="22"/>
        </w:rPr>
        <w:tab/>
      </w:r>
    </w:p>
    <w:p w14:paraId="10FEA22F" w14:textId="1A2917D6" w:rsidR="005E317F" w:rsidRPr="00EB7143" w:rsidRDefault="00B25A7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EB7143">
        <w:rPr>
          <w:szCs w:val="22"/>
        </w:rPr>
        <w:t xml:space="preserve">Tanya Plibersek </w:t>
      </w:r>
    </w:p>
    <w:p w14:paraId="12C10F77" w14:textId="46D55DE7" w:rsidR="00B20990" w:rsidRPr="00B00949" w:rsidRDefault="00B25A72" w:rsidP="00B00949">
      <w:pPr>
        <w:pStyle w:val="SignCoverPageEnd"/>
        <w:ind w:right="91"/>
        <w:rPr>
          <w:sz w:val="22"/>
        </w:rPr>
        <w:sectPr w:rsidR="00B20990" w:rsidRPr="00B00949" w:rsidSect="002E35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EB7143">
        <w:rPr>
          <w:sz w:val="22"/>
        </w:rPr>
        <w:t>Minister for</w:t>
      </w:r>
      <w:r w:rsidR="004C3217" w:rsidRPr="00EB7143">
        <w:rPr>
          <w:sz w:val="22"/>
        </w:rPr>
        <w:t xml:space="preserve"> </w:t>
      </w:r>
      <w:r w:rsidR="00A80118" w:rsidRPr="00EB7143">
        <w:rPr>
          <w:sz w:val="22"/>
        </w:rPr>
        <w:t>Social Services</w:t>
      </w:r>
    </w:p>
    <w:p w14:paraId="137AF6B0" w14:textId="77777777" w:rsidR="00B20990" w:rsidRPr="00475816" w:rsidRDefault="00B20990" w:rsidP="00B20990">
      <w:pPr>
        <w:outlineLvl w:val="0"/>
        <w:rPr>
          <w:sz w:val="36"/>
        </w:rPr>
      </w:pPr>
      <w:r w:rsidRPr="00475816">
        <w:rPr>
          <w:sz w:val="36"/>
        </w:rPr>
        <w:lastRenderedPageBreak/>
        <w:t>Contents</w:t>
      </w:r>
    </w:p>
    <w:p w14:paraId="6F568917" w14:textId="21014B9C" w:rsidR="005E317F" w:rsidRPr="004758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 w:rsidRPr="00475816">
        <w:rPr>
          <w:noProof/>
        </w:rPr>
        <w:t>1</w:t>
      </w:r>
      <w:r w:rsidRPr="00475816">
        <w:rPr>
          <w:noProof/>
        </w:rPr>
        <w:tab/>
        <w:t>Name</w:t>
      </w:r>
      <w:r w:rsidRPr="00475816">
        <w:rPr>
          <w:noProof/>
          <w:sz w:val="20"/>
        </w:rPr>
        <w:tab/>
      </w:r>
      <w:r w:rsidR="00A80118" w:rsidRPr="00475816">
        <w:rPr>
          <w:noProof/>
          <w:sz w:val="20"/>
        </w:rPr>
        <w:t>1</w:t>
      </w:r>
    </w:p>
    <w:p w14:paraId="65D61850" w14:textId="0C2AD9C8" w:rsidR="005E317F" w:rsidRPr="004758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rPr>
          <w:noProof/>
        </w:rPr>
        <w:t>2</w:t>
      </w:r>
      <w:r w:rsidRPr="00475816">
        <w:rPr>
          <w:noProof/>
        </w:rPr>
        <w:tab/>
        <w:t>Commencement</w:t>
      </w:r>
      <w:r w:rsidRPr="00475816">
        <w:rPr>
          <w:noProof/>
          <w:sz w:val="20"/>
        </w:rPr>
        <w:tab/>
      </w:r>
      <w:r w:rsidR="00A80118" w:rsidRPr="00475816">
        <w:rPr>
          <w:noProof/>
          <w:sz w:val="20"/>
        </w:rPr>
        <w:t>1</w:t>
      </w:r>
    </w:p>
    <w:p w14:paraId="616F90B3" w14:textId="3E412254" w:rsidR="005E317F" w:rsidRPr="004758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rPr>
          <w:noProof/>
        </w:rPr>
        <w:t>3</w:t>
      </w:r>
      <w:r w:rsidRPr="00475816">
        <w:rPr>
          <w:noProof/>
        </w:rPr>
        <w:tab/>
        <w:t>Authority</w:t>
      </w:r>
      <w:r w:rsidRPr="00475816">
        <w:rPr>
          <w:noProof/>
          <w:sz w:val="20"/>
        </w:rPr>
        <w:tab/>
      </w:r>
      <w:r w:rsidR="00A80118" w:rsidRPr="00475816">
        <w:rPr>
          <w:noProof/>
          <w:sz w:val="20"/>
        </w:rPr>
        <w:t>1</w:t>
      </w:r>
    </w:p>
    <w:p w14:paraId="140A363C" w14:textId="0262D577" w:rsidR="0072163F" w:rsidRDefault="005E317F" w:rsidP="00611EE1">
      <w:pPr>
        <w:pStyle w:val="TOC5"/>
        <w:rPr>
          <w:noProof/>
        </w:rPr>
      </w:pPr>
      <w:r w:rsidRPr="00475816">
        <w:rPr>
          <w:noProof/>
        </w:rPr>
        <w:t>4</w:t>
      </w:r>
      <w:r w:rsidRPr="00475816">
        <w:rPr>
          <w:noProof/>
        </w:rPr>
        <w:tab/>
      </w:r>
      <w:r w:rsidR="0072163F">
        <w:rPr>
          <w:noProof/>
        </w:rPr>
        <w:t>Definitions</w:t>
      </w:r>
      <w:r w:rsidR="0072163F" w:rsidRPr="00475816">
        <w:rPr>
          <w:noProof/>
          <w:sz w:val="20"/>
        </w:rPr>
        <w:tab/>
        <w:t>1</w:t>
      </w:r>
    </w:p>
    <w:p w14:paraId="6DDB29BF" w14:textId="17F9C70C" w:rsidR="00611EE1" w:rsidRDefault="0072163F" w:rsidP="00611EE1">
      <w:pPr>
        <w:pStyle w:val="TOC5"/>
        <w:rPr>
          <w:noProof/>
          <w:sz w:val="20"/>
        </w:rPr>
      </w:pPr>
      <w:r>
        <w:rPr>
          <w:noProof/>
        </w:rPr>
        <w:t>5</w:t>
      </w:r>
      <w:r>
        <w:rPr>
          <w:noProof/>
        </w:rPr>
        <w:tab/>
      </w:r>
      <w:r w:rsidR="005E317F" w:rsidRPr="00475816">
        <w:rPr>
          <w:noProof/>
        </w:rPr>
        <w:t>Schedules</w:t>
      </w:r>
      <w:r w:rsidR="005E317F" w:rsidRPr="00475816">
        <w:rPr>
          <w:noProof/>
          <w:sz w:val="20"/>
        </w:rPr>
        <w:tab/>
      </w:r>
      <w:r w:rsidR="00EE41DF">
        <w:rPr>
          <w:noProof/>
          <w:sz w:val="20"/>
        </w:rPr>
        <w:t>1</w:t>
      </w:r>
    </w:p>
    <w:p w14:paraId="14FF9A18" w14:textId="0377CEBB" w:rsidR="00611EE1" w:rsidRPr="00475816" w:rsidRDefault="0072163F" w:rsidP="00611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 w:rsidR="00611EE1" w:rsidRPr="00475816">
        <w:rPr>
          <w:noProof/>
        </w:rPr>
        <w:tab/>
      </w:r>
      <w:r w:rsidR="000D2383" w:rsidRPr="000D2383">
        <w:rPr>
          <w:noProof/>
        </w:rPr>
        <w:t>Crediting the Income Management Record and a person’s income management account</w:t>
      </w:r>
      <w:r w:rsidR="00611EE1" w:rsidRPr="00475816">
        <w:rPr>
          <w:noProof/>
          <w:sz w:val="20"/>
        </w:rPr>
        <w:tab/>
      </w:r>
      <w:r w:rsidR="00EE4624">
        <w:rPr>
          <w:noProof/>
          <w:sz w:val="20"/>
        </w:rPr>
        <w:t>2</w:t>
      </w:r>
    </w:p>
    <w:p w14:paraId="2ADF389F" w14:textId="337FD2AD" w:rsidR="005E317F" w:rsidRPr="00475816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75816">
        <w:rPr>
          <w:noProof/>
        </w:rPr>
        <w:t>Schedule 1—</w:t>
      </w:r>
      <w:r w:rsidR="00FF7286">
        <w:rPr>
          <w:noProof/>
        </w:rPr>
        <w:t>Repeals</w:t>
      </w:r>
      <w:r w:rsidRPr="00475816">
        <w:rPr>
          <w:b w:val="0"/>
          <w:noProof/>
          <w:sz w:val="20"/>
        </w:rPr>
        <w:tab/>
      </w:r>
      <w:r w:rsidR="00EE41DF">
        <w:rPr>
          <w:b w:val="0"/>
          <w:noProof/>
          <w:sz w:val="20"/>
        </w:rPr>
        <w:t>4</w:t>
      </w:r>
    </w:p>
    <w:p w14:paraId="508C02FA" w14:textId="2BCAC3B2" w:rsidR="005E317F" w:rsidRPr="00475816" w:rsidRDefault="000D238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D2383">
        <w:rPr>
          <w:noProof/>
        </w:rPr>
        <w:t>Social Security (Administration) (Income Management – Crediting of Accounts) Rules</w:t>
      </w:r>
      <w:r w:rsidR="00FF7286" w:rsidRPr="00FF7286">
        <w:rPr>
          <w:noProof/>
        </w:rPr>
        <w:t xml:space="preserve"> 2015</w:t>
      </w:r>
      <w:r w:rsidR="005E317F" w:rsidRPr="00475816">
        <w:rPr>
          <w:i w:val="0"/>
          <w:noProof/>
        </w:rPr>
        <w:tab/>
      </w:r>
      <w:r w:rsidR="00EE41DF">
        <w:rPr>
          <w:i w:val="0"/>
          <w:noProof/>
        </w:rPr>
        <w:t>4</w:t>
      </w:r>
    </w:p>
    <w:p w14:paraId="265B1B25" w14:textId="4C2E22FE" w:rsidR="00B20990" w:rsidRPr="00475816" w:rsidRDefault="00B20990" w:rsidP="00834762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102D2A9E" w14:textId="77777777" w:rsidR="00B20990" w:rsidRPr="00475816" w:rsidRDefault="00B20990" w:rsidP="00B20990"/>
    <w:p w14:paraId="2FC8B083" w14:textId="77777777" w:rsidR="00B20990" w:rsidRPr="00475816" w:rsidRDefault="00B20990" w:rsidP="00B20990">
      <w:pPr>
        <w:sectPr w:rsidR="00B20990" w:rsidRPr="00475816" w:rsidSect="002E35E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286583" w14:textId="77777777" w:rsidR="005E317F" w:rsidRPr="00475816" w:rsidRDefault="005E317F" w:rsidP="005E317F">
      <w:pPr>
        <w:pStyle w:val="ActHead5"/>
      </w:pPr>
      <w:bookmarkStart w:id="2" w:name="_Toc478567687"/>
      <w:r w:rsidRPr="00475816">
        <w:rPr>
          <w:rStyle w:val="CharSectno"/>
        </w:rPr>
        <w:lastRenderedPageBreak/>
        <w:t>1</w:t>
      </w:r>
      <w:r w:rsidRPr="00475816">
        <w:t xml:space="preserve">  Name</w:t>
      </w:r>
      <w:bookmarkEnd w:id="2"/>
    </w:p>
    <w:p w14:paraId="45CB16D9" w14:textId="2EABA770" w:rsidR="005E317F" w:rsidRPr="00475816" w:rsidRDefault="005E317F" w:rsidP="005E317F">
      <w:pPr>
        <w:pStyle w:val="subsection"/>
      </w:pPr>
      <w:r w:rsidRPr="00475816">
        <w:tab/>
      </w:r>
      <w:r w:rsidRPr="00475816">
        <w:tab/>
        <w:t xml:space="preserve">This instrument is </w:t>
      </w:r>
      <w:bookmarkStart w:id="3" w:name="_Hlk193355225"/>
      <w:r w:rsidRPr="00475816">
        <w:t xml:space="preserve">the </w:t>
      </w:r>
      <w:bookmarkStart w:id="4" w:name="BKCheck15B_3"/>
      <w:bookmarkStart w:id="5" w:name="_Hlk193355483"/>
      <w:bookmarkEnd w:id="3"/>
      <w:bookmarkEnd w:id="4"/>
      <w:r w:rsidR="000D2383" w:rsidRPr="000D2383">
        <w:rPr>
          <w:i/>
        </w:rPr>
        <w:t xml:space="preserve">Social Security (Administration) (Income Management – Crediting of Accounts) Rules </w:t>
      </w:r>
      <w:r w:rsidR="0072163F" w:rsidRPr="0072163F">
        <w:rPr>
          <w:i/>
        </w:rPr>
        <w:t>2025</w:t>
      </w:r>
      <w:bookmarkEnd w:id="5"/>
      <w:r w:rsidR="00402CD2" w:rsidRPr="00475816">
        <w:rPr>
          <w:i/>
        </w:rPr>
        <w:t xml:space="preserve">. </w:t>
      </w:r>
    </w:p>
    <w:p w14:paraId="15AD8B96" w14:textId="77777777" w:rsidR="009C15AF" w:rsidRPr="00475816" w:rsidRDefault="009C15AF" w:rsidP="009C15AF">
      <w:pPr>
        <w:pStyle w:val="ActHead5"/>
      </w:pPr>
      <w:bookmarkStart w:id="6" w:name="_Toc478567688"/>
      <w:bookmarkStart w:id="7" w:name="_Toc478567689"/>
      <w:r w:rsidRPr="00475816">
        <w:rPr>
          <w:rStyle w:val="CharSectno"/>
        </w:rPr>
        <w:t>2</w:t>
      </w:r>
      <w:r w:rsidRPr="00475816">
        <w:t xml:space="preserve">  Commencement</w:t>
      </w:r>
      <w:bookmarkEnd w:id="6"/>
    </w:p>
    <w:p w14:paraId="3DD0C3E5" w14:textId="77777777" w:rsidR="009C15AF" w:rsidRPr="00475816" w:rsidRDefault="009C15AF" w:rsidP="009C15AF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425"/>
      </w:pPr>
      <w:r w:rsidRPr="00475816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CF81032" w14:textId="77777777" w:rsidR="009C15AF" w:rsidRPr="00475816" w:rsidRDefault="009C15AF" w:rsidP="009C15A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80"/>
        <w:gridCol w:w="3849"/>
        <w:gridCol w:w="1582"/>
      </w:tblGrid>
      <w:tr w:rsidR="009C15AF" w:rsidRPr="00475816" w14:paraId="34023A7E" w14:textId="77777777" w:rsidTr="00FC441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920623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Commencement information</w:t>
            </w:r>
          </w:p>
        </w:tc>
      </w:tr>
      <w:tr w:rsidR="009C15AF" w:rsidRPr="00475816" w14:paraId="3E2B9838" w14:textId="77777777" w:rsidTr="00FC4418">
        <w:trPr>
          <w:tblHeader/>
        </w:trPr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8ABC14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Column 1</w:t>
            </w:r>
          </w:p>
        </w:tc>
        <w:tc>
          <w:tcPr>
            <w:tcW w:w="3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5E2FF8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631BBA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Column 3</w:t>
            </w:r>
          </w:p>
        </w:tc>
      </w:tr>
      <w:tr w:rsidR="009C15AF" w:rsidRPr="00475816" w14:paraId="75F26E47" w14:textId="77777777" w:rsidTr="00FC4418">
        <w:trPr>
          <w:tblHeader/>
        </w:trPr>
        <w:tc>
          <w:tcPr>
            <w:tcW w:w="16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7B7A88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Provisions</w:t>
            </w:r>
          </w:p>
        </w:tc>
        <w:tc>
          <w:tcPr>
            <w:tcW w:w="38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187340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0A0870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Date/Details</w:t>
            </w:r>
          </w:p>
        </w:tc>
      </w:tr>
      <w:tr w:rsidR="009C15AF" w:rsidRPr="00475816" w14:paraId="2974D598" w14:textId="77777777" w:rsidTr="00FC4418"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07D8AF8" w14:textId="77777777" w:rsidR="009C15AF" w:rsidRPr="00475816" w:rsidRDefault="009C15AF" w:rsidP="00FC4418">
            <w:pPr>
              <w:pStyle w:val="Tabletext"/>
              <w:rPr>
                <w:lang w:eastAsia="en-US"/>
              </w:rPr>
            </w:pPr>
            <w:r w:rsidRPr="00475816">
              <w:rPr>
                <w:lang w:eastAsia="en-US"/>
              </w:rPr>
              <w:t>1.  The whole of this instrument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4319E4" w14:textId="702B0879" w:rsidR="009C15AF" w:rsidRPr="00475816" w:rsidRDefault="00074557" w:rsidP="00FC4418">
            <w:pPr>
              <w:pStyle w:val="Tabletext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FF7286">
              <w:rPr>
                <w:lang w:eastAsia="en-US"/>
              </w:rPr>
              <w:t>he day after this instrument is registered</w:t>
            </w:r>
            <w:r w:rsidR="009C15AF" w:rsidRPr="00475816">
              <w:rPr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A4523A2" w14:textId="77777777" w:rsidR="009C15AF" w:rsidRPr="00475816" w:rsidRDefault="009C15AF" w:rsidP="00FC4418">
            <w:pPr>
              <w:pStyle w:val="Tabletext"/>
              <w:rPr>
                <w:lang w:eastAsia="en-US"/>
              </w:rPr>
            </w:pPr>
          </w:p>
        </w:tc>
      </w:tr>
    </w:tbl>
    <w:p w14:paraId="0232F699" w14:textId="77777777" w:rsidR="009C15AF" w:rsidRPr="00475816" w:rsidRDefault="009C15AF" w:rsidP="009C15AF">
      <w:pPr>
        <w:pStyle w:val="notetext"/>
      </w:pPr>
      <w:r w:rsidRPr="00475816">
        <w:t xml:space="preserve">Note: </w:t>
      </w:r>
      <w:r w:rsidRPr="00475816">
        <w:tab/>
        <w:t>This table relates only to the provisions of this instrument as originally made. It will not be amended to deal with any later amendments of this instrument.</w:t>
      </w:r>
    </w:p>
    <w:p w14:paraId="782AFEE8" w14:textId="77777777" w:rsidR="009C15AF" w:rsidRPr="00475816" w:rsidRDefault="009C15AF" w:rsidP="009C15AF">
      <w:pPr>
        <w:pStyle w:val="subsection"/>
      </w:pPr>
      <w:r w:rsidRPr="00475816">
        <w:tab/>
        <w:t>(2)</w:t>
      </w:r>
      <w:r w:rsidRPr="0047581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EAACF59" w14:textId="77777777" w:rsidR="005E317F" w:rsidRPr="00475816" w:rsidRDefault="005E317F" w:rsidP="005E317F">
      <w:pPr>
        <w:pStyle w:val="ActHead5"/>
      </w:pPr>
      <w:r w:rsidRPr="00475816">
        <w:rPr>
          <w:rStyle w:val="CharSectno"/>
        </w:rPr>
        <w:t>3</w:t>
      </w:r>
      <w:r w:rsidRPr="00475816">
        <w:t xml:space="preserve">  Authority</w:t>
      </w:r>
      <w:bookmarkEnd w:id="7"/>
    </w:p>
    <w:p w14:paraId="79E18C3B" w14:textId="1027C607" w:rsidR="005E317F" w:rsidRDefault="005E317F" w:rsidP="005E317F">
      <w:pPr>
        <w:pStyle w:val="subsection"/>
      </w:pPr>
      <w:r w:rsidRPr="00475816">
        <w:tab/>
      </w:r>
      <w:r w:rsidRPr="00475816">
        <w:tab/>
        <w:t xml:space="preserve">This instrument is made </w:t>
      </w:r>
      <w:r w:rsidRPr="00EE4624">
        <w:t xml:space="preserve">under </w:t>
      </w:r>
      <w:r w:rsidR="000D2383">
        <w:t>section 123WN</w:t>
      </w:r>
      <w:r w:rsidR="00A519FE" w:rsidRPr="00EE4624">
        <w:t xml:space="preserve"> </w:t>
      </w:r>
      <w:r w:rsidR="00402CD2" w:rsidRPr="00EE4624">
        <w:t xml:space="preserve">of the </w:t>
      </w:r>
      <w:r w:rsidR="00402CD2" w:rsidRPr="0072163F">
        <w:rPr>
          <w:i/>
          <w:iCs/>
        </w:rPr>
        <w:t>S</w:t>
      </w:r>
      <w:r w:rsidR="006912BA" w:rsidRPr="0072163F">
        <w:rPr>
          <w:i/>
          <w:iCs/>
        </w:rPr>
        <w:t>ocial</w:t>
      </w:r>
      <w:r w:rsidR="006912BA" w:rsidRPr="00475816">
        <w:rPr>
          <w:i/>
        </w:rPr>
        <w:t xml:space="preserve"> Security</w:t>
      </w:r>
      <w:r w:rsidR="000D2383">
        <w:rPr>
          <w:i/>
        </w:rPr>
        <w:t xml:space="preserve"> (Administration)</w:t>
      </w:r>
      <w:r w:rsidR="006912BA" w:rsidRPr="00475816">
        <w:rPr>
          <w:i/>
        </w:rPr>
        <w:t xml:space="preserve"> Act 199</w:t>
      </w:r>
      <w:r w:rsidR="000D2383">
        <w:rPr>
          <w:i/>
        </w:rPr>
        <w:t>9</w:t>
      </w:r>
      <w:r w:rsidRPr="00475816">
        <w:t>.</w:t>
      </w:r>
    </w:p>
    <w:p w14:paraId="2058FE34" w14:textId="77777777" w:rsidR="00EE4624" w:rsidRPr="00554826" w:rsidRDefault="00EE4624" w:rsidP="00EE4624">
      <w:pPr>
        <w:pStyle w:val="ActHead5"/>
      </w:pPr>
      <w:bookmarkStart w:id="8" w:name="_Toc117152090"/>
      <w:bookmarkStart w:id="9" w:name="_Toc478567690"/>
      <w:r w:rsidRPr="00554826">
        <w:t>4  Definitions</w:t>
      </w:r>
      <w:bookmarkEnd w:id="8"/>
    </w:p>
    <w:p w14:paraId="111CC15F" w14:textId="74E4CB33" w:rsidR="00EE4624" w:rsidRPr="009C2562" w:rsidRDefault="00EE4624" w:rsidP="00EE4624">
      <w:pPr>
        <w:pStyle w:val="notetext"/>
      </w:pPr>
      <w:r w:rsidRPr="009C2562">
        <w:t>Note:</w:t>
      </w:r>
      <w:r w:rsidRPr="009C2562">
        <w:tab/>
        <w:t>A number of expressions used in this instrument are define</w:t>
      </w:r>
      <w:r w:rsidR="000D2383">
        <w:t>d in section 123TC of the</w:t>
      </w:r>
      <w:r>
        <w:t xml:space="preserve"> Act</w:t>
      </w:r>
      <w:r w:rsidRPr="009C2562">
        <w:t>, including the following:</w:t>
      </w:r>
    </w:p>
    <w:p w14:paraId="3F7E80D6" w14:textId="236DAC20" w:rsidR="00EE4624" w:rsidRPr="009C2562" w:rsidRDefault="00EE4624" w:rsidP="00EE4624">
      <w:pPr>
        <w:pStyle w:val="notepara"/>
      </w:pPr>
      <w:r w:rsidRPr="00EE4624">
        <w:t>(a</w:t>
      </w:r>
      <w:r>
        <w:t>)</w:t>
      </w:r>
      <w:r>
        <w:tab/>
      </w:r>
      <w:r w:rsidR="000D2383">
        <w:t>income management account</w:t>
      </w:r>
      <w:r>
        <w:t>;</w:t>
      </w:r>
    </w:p>
    <w:p w14:paraId="1F85950E" w14:textId="4171109B" w:rsidR="00EE4624" w:rsidRDefault="00EE4624" w:rsidP="00EE4624">
      <w:pPr>
        <w:pStyle w:val="notepara"/>
      </w:pPr>
      <w:r w:rsidRPr="009C2562">
        <w:t>(</w:t>
      </w:r>
      <w:r w:rsidR="00B25A72">
        <w:t>b</w:t>
      </w:r>
      <w:r w:rsidRPr="009C2562">
        <w:t>)</w:t>
      </w:r>
      <w:r w:rsidRPr="009C2562">
        <w:tab/>
      </w:r>
      <w:r w:rsidR="000D2383">
        <w:t>Income Management Record</w:t>
      </w:r>
      <w:r>
        <w:t>;</w:t>
      </w:r>
    </w:p>
    <w:p w14:paraId="2666BFAB" w14:textId="4B561BBE" w:rsidR="00B25A72" w:rsidRDefault="00EE4624" w:rsidP="00EE4624">
      <w:pPr>
        <w:pStyle w:val="notepara"/>
      </w:pPr>
      <w:r>
        <w:t>(</w:t>
      </w:r>
      <w:r w:rsidR="00B25A72">
        <w:t>c</w:t>
      </w:r>
      <w:r>
        <w:t>)</w:t>
      </w:r>
      <w:r w:rsidR="00565C43" w:rsidRPr="009C2562">
        <w:tab/>
      </w:r>
      <w:r w:rsidR="00B25A72">
        <w:t>Part 3B payment nominee</w:t>
      </w:r>
      <w:r w:rsidR="00B25A72" w:rsidRPr="009C2562">
        <w:t>;</w:t>
      </w:r>
    </w:p>
    <w:p w14:paraId="62B3F953" w14:textId="41731965" w:rsidR="00EE4624" w:rsidRDefault="00B25A72" w:rsidP="00EE4624">
      <w:pPr>
        <w:pStyle w:val="notepara"/>
      </w:pPr>
      <w:r>
        <w:t>(d)</w:t>
      </w:r>
      <w:r w:rsidR="00565C43" w:rsidRPr="00565C43">
        <w:t xml:space="preserve"> </w:t>
      </w:r>
      <w:r w:rsidR="00565C43" w:rsidRPr="009C2562">
        <w:tab/>
      </w:r>
      <w:r w:rsidR="000D2383">
        <w:t>stored value card</w:t>
      </w:r>
      <w:r w:rsidR="00B00949">
        <w:t>;</w:t>
      </w:r>
    </w:p>
    <w:p w14:paraId="52F91EE1" w14:textId="12BA0625" w:rsidR="00B00949" w:rsidRPr="009C2562" w:rsidRDefault="00B00949" w:rsidP="00EE4624">
      <w:pPr>
        <w:pStyle w:val="notepara"/>
      </w:pPr>
      <w:r>
        <w:t>(e)</w:t>
      </w:r>
      <w:r>
        <w:tab/>
      </w:r>
      <w:r w:rsidR="000D2383">
        <w:t>subject to the income management regime</w:t>
      </w:r>
      <w:r>
        <w:t xml:space="preserve">. </w:t>
      </w:r>
    </w:p>
    <w:p w14:paraId="2D70CAAE" w14:textId="77777777" w:rsidR="00EE4624" w:rsidRPr="00B00949" w:rsidRDefault="00EE4624" w:rsidP="00B00949">
      <w:pPr>
        <w:pStyle w:val="subsection"/>
      </w:pPr>
      <w:r w:rsidRPr="009C2562">
        <w:tab/>
      </w:r>
      <w:r w:rsidRPr="00B00949">
        <w:tab/>
        <w:t>In this instrument:</w:t>
      </w:r>
    </w:p>
    <w:p w14:paraId="74C090DD" w14:textId="21F79669" w:rsidR="00EE4624" w:rsidRPr="00B00949" w:rsidRDefault="00EE4624" w:rsidP="003214FB">
      <w:pPr>
        <w:pStyle w:val="definition0"/>
        <w:spacing w:before="180" w:beforeAutospacing="0" w:after="0" w:afterAutospacing="0"/>
        <w:ind w:left="1134"/>
        <w:rPr>
          <w:rFonts w:cs="Times New Roman"/>
          <w:color w:val="000000"/>
          <w:sz w:val="22"/>
        </w:rPr>
      </w:pPr>
      <w:r w:rsidRPr="00B00949">
        <w:rPr>
          <w:rFonts w:cs="Times New Roman"/>
          <w:b/>
          <w:bCs/>
          <w:i/>
          <w:iCs/>
          <w:color w:val="000000"/>
          <w:sz w:val="22"/>
        </w:rPr>
        <w:t>Act</w:t>
      </w:r>
      <w:r w:rsidRPr="00B00949">
        <w:rPr>
          <w:rFonts w:cs="Times New Roman"/>
          <w:color w:val="000000"/>
          <w:sz w:val="22"/>
        </w:rPr>
        <w:t xml:space="preserve"> means the </w:t>
      </w:r>
      <w:r w:rsidRPr="00B00949">
        <w:rPr>
          <w:rFonts w:cs="Times New Roman"/>
          <w:i/>
          <w:iCs/>
          <w:color w:val="000000"/>
          <w:sz w:val="22"/>
        </w:rPr>
        <w:t>Social Security</w:t>
      </w:r>
      <w:r w:rsidR="000D2383">
        <w:rPr>
          <w:rFonts w:cs="Times New Roman"/>
          <w:i/>
          <w:iCs/>
          <w:color w:val="000000"/>
          <w:sz w:val="22"/>
        </w:rPr>
        <w:t xml:space="preserve"> (Administration)</w:t>
      </w:r>
      <w:r w:rsidRPr="00B00949">
        <w:rPr>
          <w:rFonts w:cs="Times New Roman"/>
          <w:i/>
          <w:iCs/>
          <w:color w:val="000000"/>
          <w:sz w:val="22"/>
        </w:rPr>
        <w:t xml:space="preserve"> Act 199</w:t>
      </w:r>
      <w:r w:rsidR="000D2383">
        <w:rPr>
          <w:rFonts w:cs="Times New Roman"/>
          <w:i/>
          <w:iCs/>
          <w:color w:val="000000"/>
          <w:sz w:val="22"/>
        </w:rPr>
        <w:t>9</w:t>
      </w:r>
      <w:r w:rsidRPr="00B00949">
        <w:rPr>
          <w:rFonts w:cs="Times New Roman"/>
          <w:color w:val="000000"/>
          <w:sz w:val="22"/>
        </w:rPr>
        <w:t>.</w:t>
      </w:r>
    </w:p>
    <w:p w14:paraId="5CCD99DC" w14:textId="587B3574" w:rsidR="005E317F" w:rsidRPr="00475816" w:rsidRDefault="00FF7286" w:rsidP="005E317F">
      <w:pPr>
        <w:pStyle w:val="ActHead5"/>
      </w:pPr>
      <w:r>
        <w:t>5</w:t>
      </w:r>
      <w:r w:rsidR="005E317F" w:rsidRPr="00475816">
        <w:t xml:space="preserve">  Schedules</w:t>
      </w:r>
      <w:bookmarkEnd w:id="9"/>
    </w:p>
    <w:p w14:paraId="56947273" w14:textId="2E5617B2" w:rsidR="005E317F" w:rsidRDefault="005E317F" w:rsidP="005E317F">
      <w:pPr>
        <w:pStyle w:val="subsection"/>
      </w:pPr>
      <w:r w:rsidRPr="00475816">
        <w:tab/>
      </w:r>
      <w:r w:rsidRPr="00475816">
        <w:tab/>
        <w:t xml:space="preserve">Each instrument that is specified in a Schedule to this instrument is </w:t>
      </w:r>
      <w:r w:rsidRPr="00816BAC">
        <w:t xml:space="preserve">amended </w:t>
      </w:r>
      <w:r w:rsidR="005576FA" w:rsidRPr="00816BAC">
        <w:t xml:space="preserve">or repealed </w:t>
      </w:r>
      <w:r w:rsidRPr="00816BAC">
        <w:t>as set out in the applicable items in the Schedule concerned, and any other item in a Schedule to this instrument has effect according to its terms</w:t>
      </w:r>
      <w:r w:rsidRPr="00475816">
        <w:t>.</w:t>
      </w:r>
    </w:p>
    <w:p w14:paraId="670CF48C" w14:textId="1ACCEDE4" w:rsidR="008A73A1" w:rsidRPr="00475816" w:rsidRDefault="008A73A1" w:rsidP="008A73A1">
      <w:pPr>
        <w:pStyle w:val="ActHead5"/>
      </w:pPr>
      <w:r>
        <w:rPr>
          <w:rStyle w:val="CharSectno"/>
        </w:rPr>
        <w:lastRenderedPageBreak/>
        <w:t>6</w:t>
      </w:r>
      <w:r w:rsidRPr="00475816">
        <w:t xml:space="preserve">  </w:t>
      </w:r>
      <w:r w:rsidR="00C44306">
        <w:t>Crediting</w:t>
      </w:r>
      <w:r w:rsidR="003E1334">
        <w:t xml:space="preserve"> </w:t>
      </w:r>
      <w:r w:rsidR="000D2383">
        <w:t>the Income Management Record and a person’s income management account</w:t>
      </w:r>
    </w:p>
    <w:p w14:paraId="3C76521A" w14:textId="658A381B" w:rsidR="00943F50" w:rsidRDefault="00EE4624" w:rsidP="00943F50">
      <w:pPr>
        <w:pStyle w:val="subsection"/>
      </w:pPr>
      <w:r w:rsidRPr="00475816">
        <w:tab/>
        <w:t>(</w:t>
      </w:r>
      <w:r>
        <w:t>1</w:t>
      </w:r>
      <w:r w:rsidRPr="00475816">
        <w:t>)</w:t>
      </w:r>
      <w:r w:rsidRPr="00475816">
        <w:tab/>
      </w:r>
      <w:r w:rsidR="00C44306" w:rsidRPr="00C44306">
        <w:t xml:space="preserve">This section specifies the circumstances in which amounts are to be credited to the Income Management Record and the income management account of a person (the </w:t>
      </w:r>
      <w:r w:rsidR="00C44306" w:rsidRPr="00156DA9">
        <w:rPr>
          <w:b/>
          <w:bCs/>
          <w:i/>
          <w:iCs/>
        </w:rPr>
        <w:t>affected person</w:t>
      </w:r>
      <w:r w:rsidR="00C44306" w:rsidRPr="00C44306">
        <w:t>) and how those amounts are to be ascertained.</w:t>
      </w:r>
    </w:p>
    <w:p w14:paraId="578A2F90" w14:textId="6B8C7069" w:rsidR="00A55C30" w:rsidRDefault="00A55C30" w:rsidP="00A55C30">
      <w:pPr>
        <w:pStyle w:val="subsection"/>
      </w:pPr>
      <w:r>
        <w:tab/>
        <w:t>(2)</w:t>
      </w:r>
      <w:r>
        <w:tab/>
      </w:r>
      <w:r w:rsidRPr="00F573A2">
        <w:t xml:space="preserve">The </w:t>
      </w:r>
      <w:r>
        <w:t xml:space="preserve">circumstances are: </w:t>
      </w:r>
    </w:p>
    <w:p w14:paraId="1CA2CC6F" w14:textId="7344A977" w:rsidR="00A55C30" w:rsidRDefault="00A55C30" w:rsidP="00A55C30">
      <w:pPr>
        <w:pStyle w:val="paragraph"/>
      </w:pPr>
      <w:r>
        <w:tab/>
        <w:t>(a)</w:t>
      </w:r>
      <w:r>
        <w:tab/>
      </w:r>
      <w:r w:rsidRPr="00F573A2">
        <w:t xml:space="preserve">the </w:t>
      </w:r>
      <w:r>
        <w:t xml:space="preserve">threshold circumstance mentioned in subsection (3); </w:t>
      </w:r>
      <w:r w:rsidR="00B25A72">
        <w:t>and</w:t>
      </w:r>
    </w:p>
    <w:p w14:paraId="4A96DC2C" w14:textId="1DB5705A" w:rsidR="00A55C30" w:rsidRDefault="00A55C30" w:rsidP="00A55C30">
      <w:pPr>
        <w:pStyle w:val="paragraph"/>
      </w:pPr>
      <w:r>
        <w:tab/>
        <w:t>(b)</w:t>
      </w:r>
      <w:r>
        <w:tab/>
        <w:t>any of the particular circumstances mentioned in an item of the table in subsection (6).</w:t>
      </w:r>
    </w:p>
    <w:p w14:paraId="46B9D03D" w14:textId="125A7F02" w:rsidR="005576FA" w:rsidRPr="00475816" w:rsidRDefault="005576FA" w:rsidP="005576FA">
      <w:pPr>
        <w:pStyle w:val="subsection"/>
      </w:pPr>
      <w:r w:rsidRPr="00475816">
        <w:tab/>
        <w:t>(</w:t>
      </w:r>
      <w:r w:rsidR="000D2383">
        <w:t>3</w:t>
      </w:r>
      <w:r w:rsidRPr="00475816">
        <w:t>)</w:t>
      </w:r>
      <w:r w:rsidRPr="00475816">
        <w:tab/>
      </w:r>
      <w:r w:rsidR="000D2383" w:rsidRPr="000D2383">
        <w:t xml:space="preserve">The threshold circumstance is that the Income Management Record and the affected person’s </w:t>
      </w:r>
      <w:r w:rsidR="004B2831">
        <w:t>i</w:t>
      </w:r>
      <w:r w:rsidR="000D2383" w:rsidRPr="000D2383">
        <w:t xml:space="preserve">ncome </w:t>
      </w:r>
      <w:r w:rsidR="004B2831">
        <w:t>m</w:t>
      </w:r>
      <w:r w:rsidR="000D2383" w:rsidRPr="000D2383">
        <w:t xml:space="preserve">anagement </w:t>
      </w:r>
      <w:r w:rsidR="004B2831">
        <w:t>a</w:t>
      </w:r>
      <w:r w:rsidR="000D2383" w:rsidRPr="000D2383">
        <w:t xml:space="preserve">ccount is debited by an amount (the </w:t>
      </w:r>
      <w:r w:rsidR="000D2383" w:rsidRPr="000D2383">
        <w:rPr>
          <w:b/>
          <w:bCs/>
          <w:i/>
          <w:iCs/>
        </w:rPr>
        <w:t>debited amount</w:t>
      </w:r>
      <w:r w:rsidR="000D2383" w:rsidRPr="000D2383">
        <w:t>) for any of the following purposes</w:t>
      </w:r>
      <w:r w:rsidR="000D2383">
        <w:t>:</w:t>
      </w:r>
    </w:p>
    <w:p w14:paraId="23E235FA" w14:textId="34B8D8E6" w:rsidR="00A55C30" w:rsidRDefault="00A55C30" w:rsidP="00A55C30">
      <w:pPr>
        <w:pStyle w:val="paragraph"/>
      </w:pPr>
      <w:r>
        <w:tab/>
        <w:t>(a)</w:t>
      </w:r>
      <w:r>
        <w:tab/>
        <w:t xml:space="preserve">if the </w:t>
      </w:r>
      <w:r w:rsidR="00585407">
        <w:t xml:space="preserve">affected </w:t>
      </w:r>
      <w:r>
        <w:t>person does not have a Part 3B payment nominee:</w:t>
      </w:r>
    </w:p>
    <w:p w14:paraId="383D7CE8" w14:textId="5BB98C95" w:rsidR="00A55C30" w:rsidRDefault="00A55C30" w:rsidP="00A55C30">
      <w:pPr>
        <w:pStyle w:val="paragraphsub"/>
      </w:pPr>
      <w:r>
        <w:tab/>
        <w:t>(i)</w:t>
      </w:r>
      <w:r>
        <w:tab/>
        <w:t>giving a stored value card to the person; or</w:t>
      </w:r>
    </w:p>
    <w:p w14:paraId="7BED9275" w14:textId="73DEBDB9" w:rsidR="00E571C4" w:rsidRDefault="00A55C30" w:rsidP="00A55C30">
      <w:pPr>
        <w:pStyle w:val="paragraphsub"/>
      </w:pPr>
      <w:r>
        <w:tab/>
        <w:t>(ii)</w:t>
      </w:r>
      <w:r>
        <w:tab/>
        <w:t xml:space="preserve">increasing the monetary value stored on a stored value card held by the person; </w:t>
      </w:r>
    </w:p>
    <w:p w14:paraId="1F9FD30D" w14:textId="68BA3C1B" w:rsidR="00A55C30" w:rsidRDefault="00A55C30" w:rsidP="00A55C30">
      <w:pPr>
        <w:pStyle w:val="paragraph"/>
      </w:pPr>
      <w:r>
        <w:tab/>
        <w:t>(b)</w:t>
      </w:r>
      <w:r>
        <w:tab/>
        <w:t xml:space="preserve">if the </w:t>
      </w:r>
      <w:r w:rsidR="00585407">
        <w:t xml:space="preserve">affected </w:t>
      </w:r>
      <w:r>
        <w:t>person has a Part 3B payment nominee:</w:t>
      </w:r>
    </w:p>
    <w:p w14:paraId="0215C672" w14:textId="34C729F2" w:rsidR="00A55C30" w:rsidRDefault="00A55C30" w:rsidP="00A55C30">
      <w:pPr>
        <w:pStyle w:val="paragraphsub"/>
      </w:pPr>
      <w:r>
        <w:tab/>
        <w:t>(i)</w:t>
      </w:r>
      <w:r>
        <w:tab/>
        <w:t xml:space="preserve">giving a stored value card to the </w:t>
      </w:r>
      <w:r w:rsidR="00B25A72">
        <w:t>Part 3B payment nominee</w:t>
      </w:r>
      <w:r>
        <w:t>; or</w:t>
      </w:r>
    </w:p>
    <w:p w14:paraId="51CAAA5B" w14:textId="57B9CEDC" w:rsidR="00A55C30" w:rsidRDefault="00A55C30" w:rsidP="00A55C30">
      <w:pPr>
        <w:pStyle w:val="paragraphsub"/>
      </w:pPr>
      <w:r>
        <w:tab/>
        <w:t>(ii)</w:t>
      </w:r>
      <w:r>
        <w:tab/>
        <w:t xml:space="preserve">increasing the monetary value stored on a stored value card held by the </w:t>
      </w:r>
      <w:r w:rsidR="00B25A72">
        <w:t>Part 3B payment nominee.</w:t>
      </w:r>
      <w:r>
        <w:t xml:space="preserve"> </w:t>
      </w:r>
    </w:p>
    <w:p w14:paraId="5A570E1E" w14:textId="6555ADDB" w:rsidR="00E571C4" w:rsidRDefault="00E571C4" w:rsidP="00E571C4">
      <w:pPr>
        <w:pStyle w:val="subsection"/>
      </w:pPr>
      <w:r>
        <w:tab/>
        <w:t>(4)</w:t>
      </w:r>
      <w:r>
        <w:tab/>
        <w:t xml:space="preserve">For subsection (3), </w:t>
      </w:r>
      <w:r w:rsidR="00A55C30">
        <w:t xml:space="preserve">the debited amount may be made up of: </w:t>
      </w:r>
    </w:p>
    <w:p w14:paraId="372A3BE5" w14:textId="5B8C4FD7" w:rsidR="00A55C30" w:rsidRDefault="00A55C30" w:rsidP="00A55C30">
      <w:pPr>
        <w:pStyle w:val="paragraph"/>
      </w:pPr>
      <w:r>
        <w:tab/>
        <w:t>(a)</w:t>
      </w:r>
      <w:r>
        <w:tab/>
        <w:t>a single transaction for the debited amount; or</w:t>
      </w:r>
    </w:p>
    <w:p w14:paraId="3838CDC3" w14:textId="0538BE10" w:rsidR="00E571C4" w:rsidRDefault="00A55C30" w:rsidP="00B25A72">
      <w:pPr>
        <w:pStyle w:val="paragraph"/>
      </w:pPr>
      <w:r>
        <w:tab/>
        <w:t>(b)</w:t>
      </w:r>
      <w:r>
        <w:tab/>
      </w:r>
      <w:r w:rsidRPr="00A55C30">
        <w:t xml:space="preserve">a series of transactions that, taken together, have the effect of debiting the Income Management Record and the </w:t>
      </w:r>
      <w:r w:rsidR="00A77DB3">
        <w:t xml:space="preserve">affected </w:t>
      </w:r>
      <w:r w:rsidRPr="00A55C30">
        <w:t xml:space="preserve">person’s </w:t>
      </w:r>
      <w:r>
        <w:t>income management account</w:t>
      </w:r>
      <w:r w:rsidRPr="00A55C30">
        <w:t xml:space="preserve"> by the debited amount</w:t>
      </w:r>
      <w:r>
        <w:t xml:space="preserve">. </w:t>
      </w:r>
    </w:p>
    <w:p w14:paraId="573875D8" w14:textId="7A2D9057" w:rsidR="00A55C30" w:rsidRPr="00A55C30" w:rsidRDefault="00A55C30" w:rsidP="00A55C30">
      <w:pPr>
        <w:pStyle w:val="subsection"/>
      </w:pPr>
      <w:r w:rsidRPr="00475816">
        <w:tab/>
        <w:t>(</w:t>
      </w:r>
      <w:r>
        <w:t>5</w:t>
      </w:r>
      <w:r w:rsidRPr="00475816">
        <w:t>)</w:t>
      </w:r>
      <w:r w:rsidRPr="00475816">
        <w:tab/>
      </w:r>
      <w:r w:rsidRPr="000D2383">
        <w:t xml:space="preserve">The </w:t>
      </w:r>
      <w:r>
        <w:t xml:space="preserve">amount that is to be credited to the Income Management Record and an affected person’s income management account (the </w:t>
      </w:r>
      <w:r>
        <w:rPr>
          <w:b/>
          <w:bCs/>
          <w:i/>
          <w:iCs/>
        </w:rPr>
        <w:t>crediting amount</w:t>
      </w:r>
      <w:r>
        <w:t xml:space="preserve">) in any particular circumstances mentioned in an item of the table in subsection (6) is: </w:t>
      </w:r>
    </w:p>
    <w:p w14:paraId="1158AFCD" w14:textId="12B54E6F" w:rsidR="00A55C30" w:rsidRDefault="00A55C30" w:rsidP="00A55C30">
      <w:pPr>
        <w:pStyle w:val="paragraph"/>
      </w:pPr>
      <w:r>
        <w:tab/>
        <w:t>(a)</w:t>
      </w:r>
      <w:r>
        <w:tab/>
      </w:r>
      <w:r w:rsidRPr="00F573A2">
        <w:t xml:space="preserve">the </w:t>
      </w:r>
      <w:r>
        <w:t>amount shown in the item; or</w:t>
      </w:r>
    </w:p>
    <w:p w14:paraId="125D0B3D" w14:textId="685A8B79" w:rsidR="00A55C30" w:rsidRDefault="00A55C30" w:rsidP="00A55C30">
      <w:pPr>
        <w:pStyle w:val="paragraph"/>
      </w:pPr>
      <w:r>
        <w:tab/>
        <w:t>(b)</w:t>
      </w:r>
      <w:r>
        <w:tab/>
      </w:r>
      <w:r w:rsidRPr="00A55C30">
        <w:t>if the monetary value stored on the stored value card is a lesser amount — the lesser amount; or</w:t>
      </w:r>
    </w:p>
    <w:p w14:paraId="7E3733DA" w14:textId="53E655D6" w:rsidR="00A55C30" w:rsidRDefault="00A55C30" w:rsidP="00B25A72">
      <w:pPr>
        <w:pStyle w:val="paragraph"/>
      </w:pPr>
      <w:r>
        <w:tab/>
        <w:t>(c)</w:t>
      </w:r>
      <w:r>
        <w:tab/>
      </w:r>
      <w:r w:rsidRPr="00A55C30">
        <w:t>if no monetary value is stored on the stored value card — nil.</w:t>
      </w:r>
    </w:p>
    <w:p w14:paraId="0573B8CE" w14:textId="34326E4E" w:rsidR="009426B3" w:rsidRDefault="00A55C30" w:rsidP="009426B3">
      <w:pPr>
        <w:pStyle w:val="notetext"/>
        <w:ind w:left="1134" w:firstLine="0"/>
      </w:pPr>
      <w:r>
        <w:rPr>
          <w:i/>
        </w:rPr>
        <w:t>Note</w:t>
      </w:r>
      <w:r w:rsidR="00B25A72">
        <w:rPr>
          <w:i/>
        </w:rPr>
        <w:t>:</w:t>
      </w:r>
      <w:r>
        <w:t xml:space="preserve">  Both the Income Management Record and the </w:t>
      </w:r>
      <w:r w:rsidR="00B25A72">
        <w:t xml:space="preserve">income management </w:t>
      </w:r>
      <w:r>
        <w:t xml:space="preserve">account are to be credited by the crediting amount. </w:t>
      </w:r>
    </w:p>
    <w:p w14:paraId="6BD66914" w14:textId="0E41BDDE" w:rsidR="00A55C30" w:rsidRDefault="009426B3" w:rsidP="00B25A72">
      <w:pPr>
        <w:pStyle w:val="subsection"/>
        <w:spacing w:after="80"/>
      </w:pPr>
      <w:r>
        <w:tab/>
        <w:t>(6)</w:t>
      </w:r>
      <w:r>
        <w:tab/>
      </w:r>
      <w:r w:rsidR="00065712">
        <w:t xml:space="preserve">The following table is for the purposes of </w:t>
      </w:r>
      <w:r>
        <w:t xml:space="preserve">subsections (2) and (5):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56"/>
        <w:gridCol w:w="3902"/>
        <w:gridCol w:w="3755"/>
      </w:tblGrid>
      <w:tr w:rsidR="009426B3" w:rsidRPr="009426B3" w14:paraId="2128976B" w14:textId="77777777" w:rsidTr="00033070">
        <w:trPr>
          <w:tblHeader/>
        </w:trPr>
        <w:tc>
          <w:tcPr>
            <w:tcW w:w="640" w:type="dxa"/>
            <w:tcBorders>
              <w:bottom w:val="single" w:sz="4" w:space="0" w:color="auto"/>
            </w:tcBorders>
          </w:tcPr>
          <w:p w14:paraId="119EB2E4" w14:textId="77777777" w:rsidR="009426B3" w:rsidRPr="009426B3" w:rsidRDefault="009426B3" w:rsidP="009426B3">
            <w:pPr>
              <w:keepNext/>
              <w:spacing w:before="120" w:after="60" w:line="200" w:lineRule="exact"/>
              <w:rPr>
                <w:rFonts w:eastAsia="Times New Roman" w:cs="Times New Roman"/>
                <w:b/>
                <w:szCs w:val="32"/>
                <w:lang w:eastAsia="en-AU"/>
              </w:rPr>
            </w:pPr>
            <w:r w:rsidRPr="009426B3">
              <w:rPr>
                <w:rFonts w:eastAsia="Times New Roman" w:cs="Times New Roman"/>
                <w:b/>
                <w:szCs w:val="32"/>
                <w:lang w:eastAsia="en-AU"/>
              </w:rPr>
              <w:t>Item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14:paraId="10419184" w14:textId="77777777" w:rsidR="009426B3" w:rsidRPr="009426B3" w:rsidRDefault="009426B3" w:rsidP="009426B3">
            <w:pPr>
              <w:keepNext/>
              <w:spacing w:before="120" w:after="60" w:line="200" w:lineRule="exact"/>
              <w:rPr>
                <w:rFonts w:eastAsia="Times New Roman" w:cs="Times New Roman"/>
                <w:b/>
                <w:szCs w:val="32"/>
                <w:lang w:eastAsia="en-AU"/>
              </w:rPr>
            </w:pPr>
            <w:r w:rsidRPr="009426B3">
              <w:rPr>
                <w:rFonts w:eastAsia="Times New Roman" w:cs="Times New Roman"/>
                <w:b/>
                <w:szCs w:val="32"/>
                <w:lang w:eastAsia="en-AU"/>
              </w:rPr>
              <w:t>Particular circumstances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3E781E20" w14:textId="77777777" w:rsidR="009426B3" w:rsidRPr="009426B3" w:rsidRDefault="009426B3" w:rsidP="009426B3">
            <w:pPr>
              <w:keepNext/>
              <w:spacing w:before="120" w:after="60" w:line="200" w:lineRule="exact"/>
              <w:rPr>
                <w:rFonts w:eastAsia="Times New Roman" w:cs="Times New Roman"/>
                <w:b/>
                <w:szCs w:val="32"/>
                <w:lang w:eastAsia="en-AU"/>
              </w:rPr>
            </w:pPr>
            <w:r w:rsidRPr="009426B3">
              <w:rPr>
                <w:rFonts w:eastAsia="Times New Roman" w:cs="Times New Roman"/>
                <w:b/>
                <w:szCs w:val="32"/>
                <w:lang w:eastAsia="en-AU"/>
              </w:rPr>
              <w:t>Crediting amount</w:t>
            </w:r>
          </w:p>
        </w:tc>
      </w:tr>
      <w:tr w:rsidR="009426B3" w:rsidRPr="009426B3" w14:paraId="219BF48F" w14:textId="77777777" w:rsidTr="00033070">
        <w:tc>
          <w:tcPr>
            <w:tcW w:w="640" w:type="dxa"/>
          </w:tcPr>
          <w:p w14:paraId="2D45A150" w14:textId="77777777" w:rsidR="009426B3" w:rsidRPr="009426B3" w:rsidRDefault="009426B3" w:rsidP="009426B3">
            <w:pPr>
              <w:spacing w:before="60" w:after="60" w:line="240" w:lineRule="exact"/>
              <w:ind w:left="227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1</w:t>
            </w:r>
          </w:p>
        </w:tc>
        <w:tc>
          <w:tcPr>
            <w:tcW w:w="4021" w:type="dxa"/>
          </w:tcPr>
          <w:p w14:paraId="634A51CD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Secretary agrees to a request to reduce the monetary value stored on the stored value card that is made by:</w:t>
            </w:r>
          </w:p>
          <w:p w14:paraId="35311A36" w14:textId="77777777" w:rsidR="009426B3" w:rsidRPr="009426B3" w:rsidRDefault="009426B3" w:rsidP="009426B3">
            <w:pPr>
              <w:tabs>
                <w:tab w:val="right" w:pos="408"/>
              </w:tabs>
              <w:spacing w:after="60" w:line="240" w:lineRule="exact"/>
              <w:ind w:left="533" w:hanging="533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(a)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the affected person; or</w:t>
            </w:r>
          </w:p>
          <w:p w14:paraId="37C7634F" w14:textId="77777777" w:rsidR="009426B3" w:rsidRPr="009426B3" w:rsidRDefault="009426B3" w:rsidP="009426B3">
            <w:pPr>
              <w:tabs>
                <w:tab w:val="right" w:pos="408"/>
              </w:tabs>
              <w:spacing w:after="60" w:line="240" w:lineRule="exact"/>
              <w:ind w:left="533" w:hanging="533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(b)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if the affected person has a Part 3B payment nominee— the affected person or the Part 3B payment nominee</w:t>
            </w:r>
          </w:p>
        </w:tc>
        <w:tc>
          <w:tcPr>
            <w:tcW w:w="3868" w:type="dxa"/>
          </w:tcPr>
          <w:p w14:paraId="7739916E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amount of the requested reduction</w:t>
            </w:r>
          </w:p>
          <w:p w14:paraId="768D30F4" w14:textId="1F2F463A" w:rsidR="009426B3" w:rsidRPr="009426B3" w:rsidRDefault="009426B3" w:rsidP="009426B3">
            <w:p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eastAsia="en-AU"/>
              </w:rPr>
            </w:pPr>
            <w:r w:rsidRPr="009426B3">
              <w:rPr>
                <w:rFonts w:eastAsia="Times New Roman" w:cs="Times New Roman"/>
                <w:i/>
                <w:sz w:val="18"/>
                <w:szCs w:val="18"/>
                <w:lang w:eastAsia="en-AU"/>
              </w:rPr>
              <w:t>Note</w:t>
            </w:r>
            <w:r w:rsidR="00854118">
              <w:rPr>
                <w:rFonts w:eastAsia="Times New Roman" w:cs="Times New Roman"/>
                <w:i/>
                <w:sz w:val="18"/>
                <w:szCs w:val="18"/>
                <w:lang w:eastAsia="en-AU"/>
              </w:rPr>
              <w:t>:</w:t>
            </w:r>
            <w:r w:rsidRPr="009426B3">
              <w:rPr>
                <w:rFonts w:eastAsia="Times New Roman" w:cs="Times New Roman"/>
                <w:sz w:val="18"/>
                <w:szCs w:val="18"/>
                <w:lang w:eastAsia="en-AU"/>
              </w:rPr>
              <w:t>   </w:t>
            </w:r>
            <w:r w:rsidR="00A77DB3">
              <w:rPr>
                <w:rFonts w:eastAsia="Times New Roman" w:cs="Times New Roman"/>
                <w:sz w:val="18"/>
                <w:szCs w:val="18"/>
                <w:lang w:eastAsia="en-AU"/>
              </w:rPr>
              <w:t>In some circumstances t</w:t>
            </w:r>
            <w:r w:rsidRPr="009426B3">
              <w:rPr>
                <w:rFonts w:eastAsia="Times New Roman" w:cs="Times New Roman"/>
                <w:sz w:val="18"/>
                <w:szCs w:val="18"/>
                <w:lang w:eastAsia="en-AU"/>
              </w:rPr>
              <w:t>he monetary value stored on the card could be less than the amount of the requested reduction. In that case, the reduction is limited to the stored amount: see paragraph </w:t>
            </w:r>
            <w:r w:rsidR="00A77DB3">
              <w:rPr>
                <w:rFonts w:eastAsia="Times New Roman" w:cs="Times New Roman"/>
                <w:sz w:val="18"/>
                <w:szCs w:val="18"/>
                <w:lang w:eastAsia="en-AU"/>
              </w:rPr>
              <w:t>6</w:t>
            </w:r>
            <w:r w:rsidRPr="009426B3">
              <w:rPr>
                <w:rFonts w:eastAsia="Times New Roman" w:cs="Times New Roman"/>
                <w:sz w:val="18"/>
                <w:szCs w:val="18"/>
                <w:lang w:eastAsia="en-AU"/>
              </w:rPr>
              <w:t>(5)(b)</w:t>
            </w:r>
          </w:p>
        </w:tc>
      </w:tr>
      <w:tr w:rsidR="009426B3" w:rsidRPr="009426B3" w14:paraId="39BD0700" w14:textId="77777777" w:rsidTr="00033070">
        <w:tc>
          <w:tcPr>
            <w:tcW w:w="640" w:type="dxa"/>
          </w:tcPr>
          <w:p w14:paraId="7701C56C" w14:textId="77777777" w:rsidR="009426B3" w:rsidRPr="009426B3" w:rsidRDefault="009426B3" w:rsidP="009426B3">
            <w:pPr>
              <w:spacing w:before="60" w:after="60" w:line="240" w:lineRule="exact"/>
              <w:ind w:left="227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lastRenderedPageBreak/>
              <w:t>2</w:t>
            </w:r>
          </w:p>
        </w:tc>
        <w:tc>
          <w:tcPr>
            <w:tcW w:w="4021" w:type="dxa"/>
          </w:tcPr>
          <w:p w14:paraId="19FFB846" w14:textId="3622D160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Secretary becomes aware that the monetary value stored on the stored value card exceeds $3</w:t>
            </w:r>
            <w:r w:rsidR="00A77DB3">
              <w:rPr>
                <w:rFonts w:eastAsia="Times New Roman" w:cs="Times New Roman"/>
                <w:szCs w:val="24"/>
                <w:lang w:eastAsia="en-AU"/>
              </w:rPr>
              <w:t>,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>000</w:t>
            </w:r>
          </w:p>
          <w:p w14:paraId="024D089C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868" w:type="dxa"/>
          </w:tcPr>
          <w:p w14:paraId="604FFE78" w14:textId="77777777" w:rsidR="009426B3" w:rsidRPr="009426B3" w:rsidRDefault="009426B3" w:rsidP="009426B3">
            <w:pPr>
              <w:spacing w:before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lesser of:</w:t>
            </w:r>
          </w:p>
          <w:p w14:paraId="77E22B77" w14:textId="3955E9A5" w:rsidR="009426B3" w:rsidRPr="009426B3" w:rsidRDefault="009426B3" w:rsidP="009426B3">
            <w:pPr>
              <w:tabs>
                <w:tab w:val="right" w:pos="408"/>
              </w:tabs>
              <w:spacing w:after="60" w:line="240" w:lineRule="exact"/>
              <w:ind w:left="533" w:hanging="533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(a)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the amount by which the monetary value stored on the card exceeds $3</w:t>
            </w:r>
            <w:r w:rsidR="00A77DB3">
              <w:rPr>
                <w:rFonts w:eastAsia="Times New Roman" w:cs="Times New Roman"/>
                <w:szCs w:val="24"/>
                <w:lang w:eastAsia="en-AU"/>
              </w:rPr>
              <w:t>,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>000; or</w:t>
            </w:r>
          </w:p>
          <w:p w14:paraId="3AAA7E53" w14:textId="3EB891EF" w:rsidR="009426B3" w:rsidRPr="009426B3" w:rsidRDefault="009426B3" w:rsidP="009426B3">
            <w:pPr>
              <w:tabs>
                <w:tab w:val="right" w:pos="408"/>
              </w:tabs>
              <w:spacing w:after="60" w:line="240" w:lineRule="exact"/>
              <w:ind w:left="533" w:hanging="533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(b)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 xml:space="preserve">another amount determined </w:t>
            </w:r>
            <w:r w:rsidR="00A77DB3">
              <w:rPr>
                <w:rFonts w:eastAsia="Times New Roman" w:cs="Times New Roman"/>
                <w:szCs w:val="24"/>
                <w:lang w:eastAsia="en-AU"/>
              </w:rPr>
              <w:t xml:space="preserve">by the Secretary 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>in the particular case</w:t>
            </w:r>
          </w:p>
        </w:tc>
      </w:tr>
      <w:tr w:rsidR="009426B3" w:rsidRPr="009426B3" w14:paraId="08789ACA" w14:textId="77777777" w:rsidTr="00033070">
        <w:tc>
          <w:tcPr>
            <w:tcW w:w="640" w:type="dxa"/>
          </w:tcPr>
          <w:p w14:paraId="23C26477" w14:textId="77777777" w:rsidR="009426B3" w:rsidRPr="009426B3" w:rsidRDefault="009426B3" w:rsidP="009426B3">
            <w:pPr>
              <w:spacing w:before="60" w:after="60" w:line="240" w:lineRule="exact"/>
              <w:ind w:left="227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3</w:t>
            </w:r>
          </w:p>
        </w:tc>
        <w:tc>
          <w:tcPr>
            <w:tcW w:w="4021" w:type="dxa"/>
          </w:tcPr>
          <w:p w14:paraId="7394FE6C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Secretary forms the view that the affected person is unable, or is likely to be unable, to use the stored value card to acquire goods or services</w:t>
            </w:r>
          </w:p>
        </w:tc>
        <w:tc>
          <w:tcPr>
            <w:tcW w:w="3868" w:type="dxa"/>
          </w:tcPr>
          <w:p w14:paraId="35F1633B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monetary value stored on the card</w:t>
            </w:r>
          </w:p>
        </w:tc>
      </w:tr>
      <w:tr w:rsidR="009426B3" w:rsidRPr="009426B3" w14:paraId="321E1B27" w14:textId="77777777" w:rsidTr="00033070">
        <w:tc>
          <w:tcPr>
            <w:tcW w:w="640" w:type="dxa"/>
          </w:tcPr>
          <w:p w14:paraId="15D6EE62" w14:textId="77777777" w:rsidR="009426B3" w:rsidRPr="009426B3" w:rsidRDefault="009426B3" w:rsidP="009426B3">
            <w:pPr>
              <w:spacing w:before="60" w:after="60" w:line="240" w:lineRule="exact"/>
              <w:ind w:left="227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4</w:t>
            </w:r>
          </w:p>
        </w:tc>
        <w:tc>
          <w:tcPr>
            <w:tcW w:w="4021" w:type="dxa"/>
          </w:tcPr>
          <w:p w14:paraId="7183E583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debited amount was debited in error</w:t>
            </w:r>
          </w:p>
          <w:p w14:paraId="6C08D078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3868" w:type="dxa"/>
          </w:tcPr>
          <w:p w14:paraId="29326B6E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 xml:space="preserve">An amount equal to the debited amount </w:t>
            </w:r>
          </w:p>
          <w:p w14:paraId="0E501ABA" w14:textId="3B639B00" w:rsidR="009426B3" w:rsidRPr="009426B3" w:rsidRDefault="009426B3" w:rsidP="009426B3">
            <w:p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eastAsia="en-AU"/>
              </w:rPr>
            </w:pPr>
            <w:r w:rsidRPr="009426B3">
              <w:rPr>
                <w:rFonts w:eastAsia="Times New Roman" w:cs="Times New Roman"/>
                <w:i/>
                <w:sz w:val="18"/>
                <w:szCs w:val="18"/>
                <w:lang w:eastAsia="en-AU"/>
              </w:rPr>
              <w:t>Note</w:t>
            </w:r>
            <w:r w:rsidR="00854118">
              <w:rPr>
                <w:rFonts w:eastAsia="Times New Roman" w:cs="Times New Roman"/>
                <w:i/>
                <w:sz w:val="18"/>
                <w:szCs w:val="18"/>
                <w:lang w:eastAsia="en-AU"/>
              </w:rPr>
              <w:t>:</w:t>
            </w:r>
            <w:r w:rsidRPr="009426B3">
              <w:rPr>
                <w:rFonts w:eastAsia="Times New Roman" w:cs="Times New Roman"/>
                <w:sz w:val="18"/>
                <w:szCs w:val="18"/>
                <w:lang w:eastAsia="en-AU"/>
              </w:rPr>
              <w:t>   </w:t>
            </w:r>
            <w:r w:rsidR="00A77DB3">
              <w:rPr>
                <w:rFonts w:eastAsia="Times New Roman" w:cs="Times New Roman"/>
                <w:sz w:val="18"/>
                <w:szCs w:val="18"/>
                <w:lang w:eastAsia="en-AU"/>
              </w:rPr>
              <w:t>In some circumstances t</w:t>
            </w:r>
            <w:r w:rsidRPr="009426B3">
              <w:rPr>
                <w:rFonts w:eastAsia="Times New Roman" w:cs="Times New Roman"/>
                <w:sz w:val="18"/>
                <w:szCs w:val="18"/>
                <w:lang w:eastAsia="en-AU"/>
              </w:rPr>
              <w:t>he monetary value stored on the card could be less than the debited amount. In that case, the crediting amount is limited to the stored amount: see paragraph </w:t>
            </w:r>
            <w:r w:rsidR="00A77DB3">
              <w:rPr>
                <w:rFonts w:eastAsia="Times New Roman" w:cs="Times New Roman"/>
                <w:sz w:val="18"/>
                <w:szCs w:val="18"/>
                <w:lang w:eastAsia="en-AU"/>
              </w:rPr>
              <w:t>6</w:t>
            </w:r>
            <w:r w:rsidRPr="009426B3">
              <w:rPr>
                <w:rFonts w:eastAsia="Times New Roman" w:cs="Times New Roman"/>
                <w:sz w:val="18"/>
                <w:szCs w:val="18"/>
                <w:lang w:eastAsia="en-AU"/>
              </w:rPr>
              <w:t>(5)(b)</w:t>
            </w:r>
          </w:p>
        </w:tc>
      </w:tr>
      <w:tr w:rsidR="009426B3" w:rsidRPr="009426B3" w14:paraId="09B66F6D" w14:textId="77777777" w:rsidTr="00033070">
        <w:tc>
          <w:tcPr>
            <w:tcW w:w="640" w:type="dxa"/>
          </w:tcPr>
          <w:p w14:paraId="480468E1" w14:textId="77777777" w:rsidR="009426B3" w:rsidRPr="009426B3" w:rsidRDefault="009426B3" w:rsidP="009426B3">
            <w:pPr>
              <w:spacing w:before="60" w:after="60" w:line="240" w:lineRule="exact"/>
              <w:ind w:left="227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5</w:t>
            </w:r>
          </w:p>
        </w:tc>
        <w:tc>
          <w:tcPr>
            <w:tcW w:w="4021" w:type="dxa"/>
          </w:tcPr>
          <w:p w14:paraId="6C38650A" w14:textId="22AF645C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 xml:space="preserve">The affected person dies and, at the time of death, an amount was stored on a stored value card issued to the person or the person’s Part 3B payment nominee (whether or not the person was subject to the income management </w:t>
            </w:r>
            <w:r w:rsidR="00742A3A">
              <w:rPr>
                <w:rFonts w:eastAsia="Times New Roman" w:cs="Times New Roman"/>
                <w:szCs w:val="24"/>
                <w:lang w:eastAsia="en-AU"/>
              </w:rPr>
              <w:t>regime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 xml:space="preserve"> at the time of death)</w:t>
            </w:r>
          </w:p>
        </w:tc>
        <w:tc>
          <w:tcPr>
            <w:tcW w:w="3868" w:type="dxa"/>
          </w:tcPr>
          <w:p w14:paraId="4A8920A6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monetary value stored on the card</w:t>
            </w:r>
          </w:p>
        </w:tc>
      </w:tr>
      <w:tr w:rsidR="009426B3" w:rsidRPr="009426B3" w14:paraId="241E11BA" w14:textId="77777777" w:rsidTr="00033070">
        <w:trPr>
          <w:cantSplit/>
        </w:trPr>
        <w:tc>
          <w:tcPr>
            <w:tcW w:w="640" w:type="dxa"/>
            <w:tcBorders>
              <w:bottom w:val="single" w:sz="4" w:space="0" w:color="auto"/>
            </w:tcBorders>
          </w:tcPr>
          <w:p w14:paraId="36DD6A63" w14:textId="77777777" w:rsidR="009426B3" w:rsidRPr="009426B3" w:rsidRDefault="009426B3" w:rsidP="009426B3">
            <w:pPr>
              <w:spacing w:before="60" w:after="60" w:line="240" w:lineRule="exact"/>
              <w:ind w:left="227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6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14:paraId="67471DDF" w14:textId="1576A5C0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 xml:space="preserve">The affected person ceases to be subject to the income management </w:t>
            </w:r>
            <w:r w:rsidR="00742A3A">
              <w:rPr>
                <w:rFonts w:eastAsia="Times New Roman" w:cs="Times New Roman"/>
                <w:szCs w:val="24"/>
                <w:lang w:eastAsia="en-AU"/>
              </w:rPr>
              <w:t>regime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 xml:space="preserve"> otherwise than because of death and a request is made to the Secretary to cancel the stored value card by:</w:t>
            </w:r>
          </w:p>
          <w:p w14:paraId="2E51DFE9" w14:textId="77777777" w:rsidR="009426B3" w:rsidRPr="009426B3" w:rsidRDefault="009426B3" w:rsidP="009426B3">
            <w:pPr>
              <w:tabs>
                <w:tab w:val="right" w:pos="408"/>
              </w:tabs>
              <w:spacing w:after="60" w:line="240" w:lineRule="exact"/>
              <w:ind w:left="533" w:hanging="533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(a)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the affected person; or</w:t>
            </w:r>
          </w:p>
          <w:p w14:paraId="1607B6B4" w14:textId="77777777" w:rsidR="009426B3" w:rsidRPr="009426B3" w:rsidRDefault="009426B3" w:rsidP="009426B3">
            <w:pPr>
              <w:tabs>
                <w:tab w:val="right" w:pos="408"/>
              </w:tabs>
              <w:spacing w:after="60" w:line="240" w:lineRule="exact"/>
              <w:ind w:left="533" w:hanging="533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(b)</w:t>
            </w:r>
            <w:r w:rsidRPr="009426B3">
              <w:rPr>
                <w:rFonts w:eastAsia="Times New Roman" w:cs="Times New Roman"/>
                <w:szCs w:val="24"/>
                <w:lang w:eastAsia="en-AU"/>
              </w:rPr>
              <w:tab/>
              <w:t>if the affected person has a Part 3B payment nominee — the affected person or the Part 3B payment nominee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40F8CEB0" w14:textId="77777777" w:rsidR="009426B3" w:rsidRPr="009426B3" w:rsidRDefault="009426B3" w:rsidP="009426B3">
            <w:pPr>
              <w:spacing w:before="60" w:after="60" w:line="240" w:lineRule="exact"/>
              <w:rPr>
                <w:rFonts w:eastAsia="Times New Roman" w:cs="Times New Roman"/>
                <w:szCs w:val="24"/>
                <w:lang w:eastAsia="en-AU"/>
              </w:rPr>
            </w:pPr>
            <w:r w:rsidRPr="009426B3">
              <w:rPr>
                <w:rFonts w:eastAsia="Times New Roman" w:cs="Times New Roman"/>
                <w:szCs w:val="24"/>
                <w:lang w:eastAsia="en-AU"/>
              </w:rPr>
              <w:t>The monetary value stored on the card</w:t>
            </w:r>
          </w:p>
        </w:tc>
      </w:tr>
    </w:tbl>
    <w:p w14:paraId="159FFA34" w14:textId="77777777" w:rsidR="00A55C30" w:rsidRPr="009426B3" w:rsidRDefault="00A55C30" w:rsidP="00A55C30">
      <w:pPr>
        <w:pStyle w:val="paragraph"/>
      </w:pPr>
    </w:p>
    <w:p w14:paraId="17F78457" w14:textId="022EFCC6" w:rsidR="005E317F" w:rsidRPr="00475816" w:rsidRDefault="005E317F" w:rsidP="005E317F">
      <w:pPr>
        <w:pStyle w:val="ActHead6"/>
        <w:pageBreakBefore/>
      </w:pPr>
      <w:bookmarkStart w:id="10" w:name="_Toc478567691"/>
      <w:r w:rsidRPr="00475816">
        <w:rPr>
          <w:rStyle w:val="CharAmSchNo"/>
        </w:rPr>
        <w:lastRenderedPageBreak/>
        <w:t>Schedule 1</w:t>
      </w:r>
      <w:r w:rsidRPr="00475816">
        <w:t>—</w:t>
      </w:r>
      <w:bookmarkEnd w:id="10"/>
      <w:r w:rsidR="00EE4624">
        <w:rPr>
          <w:rStyle w:val="CharAmSchText"/>
        </w:rPr>
        <w:t>Repeals</w:t>
      </w:r>
    </w:p>
    <w:p w14:paraId="0D9CB9ED" w14:textId="629D89BC" w:rsidR="005E317F" w:rsidRPr="00475816" w:rsidRDefault="00DB3AC1" w:rsidP="005E317F">
      <w:pPr>
        <w:pStyle w:val="ActHead9"/>
      </w:pPr>
      <w:r w:rsidRPr="000D2383">
        <w:rPr>
          <w:noProof/>
        </w:rPr>
        <w:t>Social Security (Administration) (Income Management – Crediting of Accounts) Rules</w:t>
      </w:r>
      <w:r w:rsidRPr="00FF7286">
        <w:rPr>
          <w:noProof/>
        </w:rPr>
        <w:t xml:space="preserve"> 2015</w:t>
      </w:r>
      <w:r w:rsidR="00E571C4">
        <w:t xml:space="preserve"> </w:t>
      </w:r>
    </w:p>
    <w:p w14:paraId="38B629BB" w14:textId="77777777" w:rsidR="001C0CBC" w:rsidRDefault="001C0CBC" w:rsidP="001C0CBC">
      <w:pPr>
        <w:pStyle w:val="ItemHead"/>
      </w:pPr>
      <w:r>
        <w:t>1  The whole of the instrument</w:t>
      </w:r>
    </w:p>
    <w:p w14:paraId="3F6BC4C6" w14:textId="77777777" w:rsidR="001C0CBC" w:rsidRPr="00DA182D" w:rsidRDefault="001C0CBC" w:rsidP="001C0CBC">
      <w:pPr>
        <w:pStyle w:val="Item"/>
      </w:pPr>
      <w:r>
        <w:t xml:space="preserve">Repeal the instrument </w:t>
      </w:r>
    </w:p>
    <w:p w14:paraId="19E0287C" w14:textId="2940DEF5" w:rsidR="00B66A1F" w:rsidRPr="00DA182D" w:rsidRDefault="00B66A1F" w:rsidP="001C0CBC">
      <w:pPr>
        <w:pStyle w:val="ItemHead"/>
      </w:pPr>
    </w:p>
    <w:sectPr w:rsidR="00B66A1F" w:rsidRPr="00DA182D" w:rsidSect="002E35E5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0EFC" w14:textId="77777777" w:rsidR="006E1047" w:rsidRDefault="006E1047" w:rsidP="0048364F">
      <w:pPr>
        <w:spacing w:line="240" w:lineRule="auto"/>
      </w:pPr>
      <w:r>
        <w:separator/>
      </w:r>
    </w:p>
  </w:endnote>
  <w:endnote w:type="continuationSeparator" w:id="0">
    <w:p w14:paraId="0496E682" w14:textId="77777777" w:rsidR="006E1047" w:rsidRDefault="006E104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12785C0" w14:textId="77777777" w:rsidTr="0001176A">
      <w:tc>
        <w:tcPr>
          <w:tcW w:w="5000" w:type="pct"/>
        </w:tcPr>
        <w:p w14:paraId="6EA23DBE" w14:textId="77777777" w:rsidR="009278C1" w:rsidRDefault="009278C1" w:rsidP="0001176A">
          <w:pPr>
            <w:rPr>
              <w:sz w:val="18"/>
            </w:rPr>
          </w:pPr>
        </w:p>
      </w:tc>
    </w:tr>
  </w:tbl>
  <w:p w14:paraId="44430DF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4C1B608" w14:textId="77777777" w:rsidTr="00C160A1">
      <w:tc>
        <w:tcPr>
          <w:tcW w:w="5000" w:type="pct"/>
        </w:tcPr>
        <w:p w14:paraId="297E1393" w14:textId="77777777" w:rsidR="00B20990" w:rsidRDefault="00B20990" w:rsidP="007946FE">
          <w:pPr>
            <w:rPr>
              <w:sz w:val="18"/>
            </w:rPr>
          </w:pPr>
        </w:p>
      </w:tc>
    </w:tr>
  </w:tbl>
  <w:p w14:paraId="7671439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0FC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84D9731" w14:textId="77777777" w:rsidTr="00C160A1">
      <w:tc>
        <w:tcPr>
          <w:tcW w:w="5000" w:type="pct"/>
        </w:tcPr>
        <w:p w14:paraId="05D49B11" w14:textId="77777777" w:rsidR="00B20990" w:rsidRDefault="00B20990" w:rsidP="00465764">
          <w:pPr>
            <w:rPr>
              <w:sz w:val="18"/>
            </w:rPr>
          </w:pPr>
        </w:p>
      </w:tc>
    </w:tr>
  </w:tbl>
  <w:p w14:paraId="63AE1F9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B5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025281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9BB86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FE326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011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E0F50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B64F48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80FC8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B04BF7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924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22CF42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A1750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91289D2" w14:textId="526574F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76233">
            <w:rPr>
              <w:i/>
              <w:noProof/>
              <w:sz w:val="18"/>
            </w:rPr>
            <w:t>Social Security (Administration) (Income Management – Crediting of Accounts)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73E0AB1" w14:textId="3908C3F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C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52C759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19E68EF" w14:textId="77777777" w:rsidR="00B20990" w:rsidRDefault="00B20990" w:rsidP="007946FE">
          <w:pPr>
            <w:rPr>
              <w:sz w:val="18"/>
            </w:rPr>
          </w:pPr>
        </w:p>
      </w:tc>
    </w:tr>
  </w:tbl>
  <w:p w14:paraId="55A7D06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09F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95905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0E72F9" w14:textId="7983F1D5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C4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5DABC0" w14:textId="4D5E06C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76233">
            <w:rPr>
              <w:i/>
              <w:noProof/>
              <w:sz w:val="18"/>
            </w:rPr>
            <w:t>Social Security (Administration) (Income Management – Crediting of Accounts)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92B0C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B8C473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CE908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F95DD1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389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B7CD2A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061EF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DDDE97" w14:textId="772F6C8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76233">
            <w:rPr>
              <w:i/>
              <w:noProof/>
              <w:sz w:val="18"/>
            </w:rPr>
            <w:t>Social Security (Administration) (Income Management – Crediting of Accounts)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B114EF" w14:textId="6CCC5C05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C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16BF3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A9B1CC" w14:textId="77777777" w:rsidR="00EE57E8" w:rsidRDefault="00EE57E8" w:rsidP="00EE57E8">
          <w:pPr>
            <w:rPr>
              <w:sz w:val="18"/>
            </w:rPr>
          </w:pPr>
        </w:p>
      </w:tc>
    </w:tr>
  </w:tbl>
  <w:p w14:paraId="76B3891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017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25EB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F49CF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36000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011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AAE52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EBC36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BEC72D" w14:textId="3A84484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011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45FD7">
            <w:rPr>
              <w:i/>
              <w:noProof/>
              <w:sz w:val="18"/>
            </w:rPr>
            <w:t>22/9/2025 12:23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B4B0F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3FD8" w14:textId="77777777" w:rsidR="006E1047" w:rsidRDefault="006E1047" w:rsidP="0048364F">
      <w:pPr>
        <w:spacing w:line="240" w:lineRule="auto"/>
      </w:pPr>
      <w:r>
        <w:separator/>
      </w:r>
    </w:p>
  </w:footnote>
  <w:footnote w:type="continuationSeparator" w:id="0">
    <w:p w14:paraId="5E753E4C" w14:textId="77777777" w:rsidR="006E1047" w:rsidRDefault="006E104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391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BD9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73B1" w14:textId="27820FB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33F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74F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80D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25BD" w14:textId="77777777" w:rsidR="00EE57E8" w:rsidRPr="00A961C4" w:rsidRDefault="00EE57E8" w:rsidP="0048364F">
    <w:pPr>
      <w:rPr>
        <w:b/>
        <w:sz w:val="20"/>
      </w:rPr>
    </w:pPr>
  </w:p>
  <w:p w14:paraId="54CFA0DF" w14:textId="77777777" w:rsidR="00EE57E8" w:rsidRPr="00A961C4" w:rsidRDefault="00EE57E8" w:rsidP="0048364F">
    <w:pPr>
      <w:rPr>
        <w:b/>
        <w:sz w:val="20"/>
      </w:rPr>
    </w:pPr>
  </w:p>
  <w:p w14:paraId="3C5B635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683A" w14:textId="77777777" w:rsidR="00EE57E8" w:rsidRPr="00A961C4" w:rsidRDefault="00EE57E8" w:rsidP="0048364F">
    <w:pPr>
      <w:jc w:val="right"/>
      <w:rPr>
        <w:sz w:val="20"/>
      </w:rPr>
    </w:pPr>
  </w:p>
  <w:p w14:paraId="00783FCF" w14:textId="77777777" w:rsidR="00EE57E8" w:rsidRPr="00A961C4" w:rsidRDefault="00EE57E8" w:rsidP="0048364F">
    <w:pPr>
      <w:jc w:val="right"/>
      <w:rPr>
        <w:b/>
        <w:sz w:val="20"/>
      </w:rPr>
    </w:pPr>
  </w:p>
  <w:p w14:paraId="2034874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6461"/>
    <w:multiLevelType w:val="hybridMultilevel"/>
    <w:tmpl w:val="6EA2B9C0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>
      <w:start w:val="1"/>
      <w:numFmt w:val="lowerRoman"/>
      <w:lvlText w:val="(%2)"/>
      <w:lvlJc w:val="left"/>
      <w:pPr>
        <w:ind w:left="2344" w:hanging="360"/>
      </w:pPr>
    </w:lvl>
    <w:lvl w:ilvl="2" w:tplc="FFFFFFFF">
      <w:start w:val="1"/>
      <w:numFmt w:val="upperLetter"/>
      <w:lvlText w:val="(%3)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FB076A"/>
    <w:multiLevelType w:val="hybridMultilevel"/>
    <w:tmpl w:val="6EA2B9C0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>
      <w:start w:val="1"/>
      <w:numFmt w:val="lowerRoman"/>
      <w:lvlText w:val="(%2)"/>
      <w:lvlJc w:val="left"/>
      <w:pPr>
        <w:ind w:left="2344" w:hanging="360"/>
      </w:pPr>
    </w:lvl>
    <w:lvl w:ilvl="2" w:tplc="FFFFFFFF">
      <w:start w:val="1"/>
      <w:numFmt w:val="upperLetter"/>
      <w:lvlText w:val="(%3)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847E3B"/>
    <w:multiLevelType w:val="hybridMultilevel"/>
    <w:tmpl w:val="C9A43880"/>
    <w:lvl w:ilvl="0" w:tplc="9A56706E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D9C216A"/>
    <w:multiLevelType w:val="hybridMultilevel"/>
    <w:tmpl w:val="B7C2FAC0"/>
    <w:lvl w:ilvl="0" w:tplc="E16ED5BA">
      <w:start w:val="1"/>
      <w:numFmt w:val="decimal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7E380C7D"/>
    <w:multiLevelType w:val="hybridMultilevel"/>
    <w:tmpl w:val="B7C2FAC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368407">
    <w:abstractNumId w:val="9"/>
  </w:num>
  <w:num w:numId="2" w16cid:durableId="2015499698">
    <w:abstractNumId w:val="7"/>
  </w:num>
  <w:num w:numId="3" w16cid:durableId="1828087198">
    <w:abstractNumId w:val="6"/>
  </w:num>
  <w:num w:numId="4" w16cid:durableId="672297739">
    <w:abstractNumId w:val="5"/>
  </w:num>
  <w:num w:numId="5" w16cid:durableId="57871908">
    <w:abstractNumId w:val="4"/>
  </w:num>
  <w:num w:numId="6" w16cid:durableId="1257979858">
    <w:abstractNumId w:val="8"/>
  </w:num>
  <w:num w:numId="7" w16cid:durableId="150563122">
    <w:abstractNumId w:val="3"/>
  </w:num>
  <w:num w:numId="8" w16cid:durableId="522548303">
    <w:abstractNumId w:val="2"/>
  </w:num>
  <w:num w:numId="9" w16cid:durableId="1374109752">
    <w:abstractNumId w:val="1"/>
  </w:num>
  <w:num w:numId="10" w16cid:durableId="206987939">
    <w:abstractNumId w:val="0"/>
  </w:num>
  <w:num w:numId="11" w16cid:durableId="486821881">
    <w:abstractNumId w:val="15"/>
  </w:num>
  <w:num w:numId="12" w16cid:durableId="531190094">
    <w:abstractNumId w:val="11"/>
  </w:num>
  <w:num w:numId="13" w16cid:durableId="1066562345">
    <w:abstractNumId w:val="12"/>
  </w:num>
  <w:num w:numId="14" w16cid:durableId="108625032">
    <w:abstractNumId w:val="16"/>
  </w:num>
  <w:num w:numId="15" w16cid:durableId="1397048070">
    <w:abstractNumId w:val="17"/>
  </w:num>
  <w:num w:numId="16" w16cid:durableId="973024503">
    <w:abstractNumId w:val="14"/>
  </w:num>
  <w:num w:numId="17" w16cid:durableId="721175280">
    <w:abstractNumId w:val="13"/>
  </w:num>
  <w:num w:numId="18" w16cid:durableId="797454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18"/>
    <w:rsid w:val="00000263"/>
    <w:rsid w:val="00007F51"/>
    <w:rsid w:val="000113BC"/>
    <w:rsid w:val="000136AF"/>
    <w:rsid w:val="0001506A"/>
    <w:rsid w:val="000370FC"/>
    <w:rsid w:val="0004044E"/>
    <w:rsid w:val="00050518"/>
    <w:rsid w:val="0005120E"/>
    <w:rsid w:val="00054577"/>
    <w:rsid w:val="000614BF"/>
    <w:rsid w:val="00065712"/>
    <w:rsid w:val="00066D89"/>
    <w:rsid w:val="0007169C"/>
    <w:rsid w:val="00074557"/>
    <w:rsid w:val="00077593"/>
    <w:rsid w:val="00083F48"/>
    <w:rsid w:val="00094F87"/>
    <w:rsid w:val="0009549D"/>
    <w:rsid w:val="000A479A"/>
    <w:rsid w:val="000A6799"/>
    <w:rsid w:val="000A69BC"/>
    <w:rsid w:val="000A78D7"/>
    <w:rsid w:val="000A7DF9"/>
    <w:rsid w:val="000C3D2D"/>
    <w:rsid w:val="000D05EF"/>
    <w:rsid w:val="000D0EB4"/>
    <w:rsid w:val="000D2383"/>
    <w:rsid w:val="000D3FB9"/>
    <w:rsid w:val="000D5485"/>
    <w:rsid w:val="000E598E"/>
    <w:rsid w:val="000E5A3D"/>
    <w:rsid w:val="000E6117"/>
    <w:rsid w:val="000F00FF"/>
    <w:rsid w:val="000F0ADA"/>
    <w:rsid w:val="000F21C1"/>
    <w:rsid w:val="0010589C"/>
    <w:rsid w:val="0010745C"/>
    <w:rsid w:val="001122FF"/>
    <w:rsid w:val="00114969"/>
    <w:rsid w:val="00131009"/>
    <w:rsid w:val="00156DA9"/>
    <w:rsid w:val="00157C40"/>
    <w:rsid w:val="00157DB9"/>
    <w:rsid w:val="00160884"/>
    <w:rsid w:val="00160BD7"/>
    <w:rsid w:val="00164209"/>
    <w:rsid w:val="001643C9"/>
    <w:rsid w:val="00165568"/>
    <w:rsid w:val="00166082"/>
    <w:rsid w:val="00166C2F"/>
    <w:rsid w:val="001716C9"/>
    <w:rsid w:val="0018017F"/>
    <w:rsid w:val="00181F51"/>
    <w:rsid w:val="00184261"/>
    <w:rsid w:val="00190C5D"/>
    <w:rsid w:val="00190CDB"/>
    <w:rsid w:val="00193461"/>
    <w:rsid w:val="001939E1"/>
    <w:rsid w:val="0019452E"/>
    <w:rsid w:val="00195382"/>
    <w:rsid w:val="001A3B9F"/>
    <w:rsid w:val="001A5520"/>
    <w:rsid w:val="001A65C0"/>
    <w:rsid w:val="001A7628"/>
    <w:rsid w:val="001B1220"/>
    <w:rsid w:val="001B6B99"/>
    <w:rsid w:val="001B7A5D"/>
    <w:rsid w:val="001C0CBC"/>
    <w:rsid w:val="001C69C4"/>
    <w:rsid w:val="001D2B2C"/>
    <w:rsid w:val="001E0A8D"/>
    <w:rsid w:val="001E3590"/>
    <w:rsid w:val="001E7407"/>
    <w:rsid w:val="001F1A46"/>
    <w:rsid w:val="001F30D3"/>
    <w:rsid w:val="001F452D"/>
    <w:rsid w:val="002003E3"/>
    <w:rsid w:val="00201D27"/>
    <w:rsid w:val="0020653E"/>
    <w:rsid w:val="0021153A"/>
    <w:rsid w:val="0021332B"/>
    <w:rsid w:val="002245A6"/>
    <w:rsid w:val="002302EA"/>
    <w:rsid w:val="00232BC5"/>
    <w:rsid w:val="00234776"/>
    <w:rsid w:val="0023694E"/>
    <w:rsid w:val="00237614"/>
    <w:rsid w:val="00240749"/>
    <w:rsid w:val="002468D7"/>
    <w:rsid w:val="00247E97"/>
    <w:rsid w:val="00256C81"/>
    <w:rsid w:val="00274AD0"/>
    <w:rsid w:val="00285CDD"/>
    <w:rsid w:val="00291167"/>
    <w:rsid w:val="0029489E"/>
    <w:rsid w:val="00297ECB"/>
    <w:rsid w:val="002B340F"/>
    <w:rsid w:val="002C152A"/>
    <w:rsid w:val="002D043A"/>
    <w:rsid w:val="002D314A"/>
    <w:rsid w:val="002D62EF"/>
    <w:rsid w:val="002E35E5"/>
    <w:rsid w:val="002F510D"/>
    <w:rsid w:val="0031713F"/>
    <w:rsid w:val="003214FB"/>
    <w:rsid w:val="003222D1"/>
    <w:rsid w:val="0032750F"/>
    <w:rsid w:val="0033352B"/>
    <w:rsid w:val="003415D3"/>
    <w:rsid w:val="003442F6"/>
    <w:rsid w:val="00346335"/>
    <w:rsid w:val="00352B0F"/>
    <w:rsid w:val="003561B0"/>
    <w:rsid w:val="00361BD6"/>
    <w:rsid w:val="0038753E"/>
    <w:rsid w:val="00397893"/>
    <w:rsid w:val="003A15AC"/>
    <w:rsid w:val="003B0627"/>
    <w:rsid w:val="003C5F2B"/>
    <w:rsid w:val="003C7D35"/>
    <w:rsid w:val="003D0BFE"/>
    <w:rsid w:val="003D5700"/>
    <w:rsid w:val="003E1334"/>
    <w:rsid w:val="003E66CA"/>
    <w:rsid w:val="003F6F52"/>
    <w:rsid w:val="004022CA"/>
    <w:rsid w:val="00402CD2"/>
    <w:rsid w:val="00410EBE"/>
    <w:rsid w:val="004116CD"/>
    <w:rsid w:val="00414229"/>
    <w:rsid w:val="00414ADE"/>
    <w:rsid w:val="00424CA9"/>
    <w:rsid w:val="004257BB"/>
    <w:rsid w:val="004317AD"/>
    <w:rsid w:val="0044291A"/>
    <w:rsid w:val="00452945"/>
    <w:rsid w:val="004558E9"/>
    <w:rsid w:val="00457C06"/>
    <w:rsid w:val="004600B0"/>
    <w:rsid w:val="00460499"/>
    <w:rsid w:val="0046087A"/>
    <w:rsid w:val="00460FBA"/>
    <w:rsid w:val="00474835"/>
    <w:rsid w:val="00475816"/>
    <w:rsid w:val="004819C7"/>
    <w:rsid w:val="00481DA7"/>
    <w:rsid w:val="00483568"/>
    <w:rsid w:val="0048364F"/>
    <w:rsid w:val="00483C6B"/>
    <w:rsid w:val="00486F9D"/>
    <w:rsid w:val="004877FC"/>
    <w:rsid w:val="00490F2E"/>
    <w:rsid w:val="004953EF"/>
    <w:rsid w:val="0049606E"/>
    <w:rsid w:val="00496F97"/>
    <w:rsid w:val="004A0C62"/>
    <w:rsid w:val="004A2548"/>
    <w:rsid w:val="004A53EA"/>
    <w:rsid w:val="004B2831"/>
    <w:rsid w:val="004B35E7"/>
    <w:rsid w:val="004C3217"/>
    <w:rsid w:val="004D55E2"/>
    <w:rsid w:val="004E06A4"/>
    <w:rsid w:val="004F1FAC"/>
    <w:rsid w:val="004F676E"/>
    <w:rsid w:val="004F71C0"/>
    <w:rsid w:val="00502D64"/>
    <w:rsid w:val="00516B8D"/>
    <w:rsid w:val="005232E3"/>
    <w:rsid w:val="0052756C"/>
    <w:rsid w:val="00530230"/>
    <w:rsid w:val="00530CC9"/>
    <w:rsid w:val="00531B46"/>
    <w:rsid w:val="00533613"/>
    <w:rsid w:val="0053580D"/>
    <w:rsid w:val="00537FBC"/>
    <w:rsid w:val="00541D73"/>
    <w:rsid w:val="00543469"/>
    <w:rsid w:val="00546FA3"/>
    <w:rsid w:val="005524C9"/>
    <w:rsid w:val="005576FA"/>
    <w:rsid w:val="00557C7A"/>
    <w:rsid w:val="00562A58"/>
    <w:rsid w:val="0056541A"/>
    <w:rsid w:val="00565C43"/>
    <w:rsid w:val="00580E24"/>
    <w:rsid w:val="00581211"/>
    <w:rsid w:val="00584811"/>
    <w:rsid w:val="00585407"/>
    <w:rsid w:val="005871E8"/>
    <w:rsid w:val="00593AA6"/>
    <w:rsid w:val="00594161"/>
    <w:rsid w:val="00594749"/>
    <w:rsid w:val="00594956"/>
    <w:rsid w:val="005B1555"/>
    <w:rsid w:val="005B4067"/>
    <w:rsid w:val="005B6E7E"/>
    <w:rsid w:val="005C3F41"/>
    <w:rsid w:val="005C4EF0"/>
    <w:rsid w:val="005D5EA1"/>
    <w:rsid w:val="005E0729"/>
    <w:rsid w:val="005E098C"/>
    <w:rsid w:val="005E1F8D"/>
    <w:rsid w:val="005E317F"/>
    <w:rsid w:val="005E40E8"/>
    <w:rsid w:val="005E61D3"/>
    <w:rsid w:val="005F2D68"/>
    <w:rsid w:val="005F3652"/>
    <w:rsid w:val="00600219"/>
    <w:rsid w:val="00604A16"/>
    <w:rsid w:val="006065DA"/>
    <w:rsid w:val="00606AA4"/>
    <w:rsid w:val="00611EE1"/>
    <w:rsid w:val="00640402"/>
    <w:rsid w:val="00640F78"/>
    <w:rsid w:val="00655D6A"/>
    <w:rsid w:val="00656DE9"/>
    <w:rsid w:val="00667056"/>
    <w:rsid w:val="00672712"/>
    <w:rsid w:val="00672876"/>
    <w:rsid w:val="00676163"/>
    <w:rsid w:val="00677CC2"/>
    <w:rsid w:val="00685F42"/>
    <w:rsid w:val="00685FCF"/>
    <w:rsid w:val="006912BA"/>
    <w:rsid w:val="0069207B"/>
    <w:rsid w:val="006A304E"/>
    <w:rsid w:val="006B0D56"/>
    <w:rsid w:val="006B7006"/>
    <w:rsid w:val="006C4937"/>
    <w:rsid w:val="006C7F8C"/>
    <w:rsid w:val="006D708D"/>
    <w:rsid w:val="006D7AB9"/>
    <w:rsid w:val="006E1047"/>
    <w:rsid w:val="006E3FFA"/>
    <w:rsid w:val="006F0AE8"/>
    <w:rsid w:val="006F1D4B"/>
    <w:rsid w:val="00700B2C"/>
    <w:rsid w:val="00707A9A"/>
    <w:rsid w:val="00713084"/>
    <w:rsid w:val="0071365A"/>
    <w:rsid w:val="00717463"/>
    <w:rsid w:val="00720FC2"/>
    <w:rsid w:val="0072163F"/>
    <w:rsid w:val="00722E89"/>
    <w:rsid w:val="00731E00"/>
    <w:rsid w:val="007339C7"/>
    <w:rsid w:val="0074167A"/>
    <w:rsid w:val="00742A3A"/>
    <w:rsid w:val="007440B7"/>
    <w:rsid w:val="007476A0"/>
    <w:rsid w:val="00747993"/>
    <w:rsid w:val="007634AD"/>
    <w:rsid w:val="007636F1"/>
    <w:rsid w:val="007715C9"/>
    <w:rsid w:val="00774EDD"/>
    <w:rsid w:val="007757EC"/>
    <w:rsid w:val="00776233"/>
    <w:rsid w:val="007866E0"/>
    <w:rsid w:val="0079399D"/>
    <w:rsid w:val="007A1197"/>
    <w:rsid w:val="007A6863"/>
    <w:rsid w:val="007B1BE5"/>
    <w:rsid w:val="007B5517"/>
    <w:rsid w:val="007B6D74"/>
    <w:rsid w:val="007C01E3"/>
    <w:rsid w:val="007C6DDD"/>
    <w:rsid w:val="007C78B4"/>
    <w:rsid w:val="007D00A0"/>
    <w:rsid w:val="007D4B9E"/>
    <w:rsid w:val="007E32B6"/>
    <w:rsid w:val="007E486B"/>
    <w:rsid w:val="007E6158"/>
    <w:rsid w:val="007E7D4A"/>
    <w:rsid w:val="007F48ED"/>
    <w:rsid w:val="007F5E3F"/>
    <w:rsid w:val="00803846"/>
    <w:rsid w:val="00812F45"/>
    <w:rsid w:val="00816BAC"/>
    <w:rsid w:val="00834762"/>
    <w:rsid w:val="00836FE9"/>
    <w:rsid w:val="0084172C"/>
    <w:rsid w:val="00844279"/>
    <w:rsid w:val="00846613"/>
    <w:rsid w:val="00850BD7"/>
    <w:rsid w:val="0085175E"/>
    <w:rsid w:val="00854118"/>
    <w:rsid w:val="0085415C"/>
    <w:rsid w:val="00856A31"/>
    <w:rsid w:val="008733C9"/>
    <w:rsid w:val="0087394A"/>
    <w:rsid w:val="008754D0"/>
    <w:rsid w:val="00877C69"/>
    <w:rsid w:val="00877D48"/>
    <w:rsid w:val="0088345B"/>
    <w:rsid w:val="008A16A5"/>
    <w:rsid w:val="008A42D5"/>
    <w:rsid w:val="008A4BB3"/>
    <w:rsid w:val="008A5C57"/>
    <w:rsid w:val="008A5D56"/>
    <w:rsid w:val="008A73A1"/>
    <w:rsid w:val="008C0629"/>
    <w:rsid w:val="008C11BF"/>
    <w:rsid w:val="008C45FF"/>
    <w:rsid w:val="008C58EF"/>
    <w:rsid w:val="008C6568"/>
    <w:rsid w:val="008D0506"/>
    <w:rsid w:val="008D0EE0"/>
    <w:rsid w:val="008D7A27"/>
    <w:rsid w:val="008E4702"/>
    <w:rsid w:val="008E69AA"/>
    <w:rsid w:val="008F4F1C"/>
    <w:rsid w:val="00901D46"/>
    <w:rsid w:val="009069AD"/>
    <w:rsid w:val="00910E64"/>
    <w:rsid w:val="00913753"/>
    <w:rsid w:val="0091418A"/>
    <w:rsid w:val="00922764"/>
    <w:rsid w:val="00923827"/>
    <w:rsid w:val="009278C1"/>
    <w:rsid w:val="00932377"/>
    <w:rsid w:val="009346E3"/>
    <w:rsid w:val="009403A6"/>
    <w:rsid w:val="009426B3"/>
    <w:rsid w:val="00943F50"/>
    <w:rsid w:val="00944A78"/>
    <w:rsid w:val="0094523D"/>
    <w:rsid w:val="009501B8"/>
    <w:rsid w:val="0095627A"/>
    <w:rsid w:val="009736CA"/>
    <w:rsid w:val="00976A63"/>
    <w:rsid w:val="009A2803"/>
    <w:rsid w:val="009B2490"/>
    <w:rsid w:val="009B50E5"/>
    <w:rsid w:val="009C15AF"/>
    <w:rsid w:val="009C3431"/>
    <w:rsid w:val="009C42E0"/>
    <w:rsid w:val="009C5989"/>
    <w:rsid w:val="009C6A32"/>
    <w:rsid w:val="009D08DA"/>
    <w:rsid w:val="009D4E43"/>
    <w:rsid w:val="009F4BA3"/>
    <w:rsid w:val="009F651A"/>
    <w:rsid w:val="009F71F0"/>
    <w:rsid w:val="00A06860"/>
    <w:rsid w:val="00A136F5"/>
    <w:rsid w:val="00A14776"/>
    <w:rsid w:val="00A15A85"/>
    <w:rsid w:val="00A231E2"/>
    <w:rsid w:val="00A2550D"/>
    <w:rsid w:val="00A26785"/>
    <w:rsid w:val="00A379BB"/>
    <w:rsid w:val="00A4169B"/>
    <w:rsid w:val="00A45FD7"/>
    <w:rsid w:val="00A50D55"/>
    <w:rsid w:val="00A519FE"/>
    <w:rsid w:val="00A52FDA"/>
    <w:rsid w:val="00A55C30"/>
    <w:rsid w:val="00A62BB5"/>
    <w:rsid w:val="00A64912"/>
    <w:rsid w:val="00A70A74"/>
    <w:rsid w:val="00A77DB3"/>
    <w:rsid w:val="00A80118"/>
    <w:rsid w:val="00A84B86"/>
    <w:rsid w:val="00A84C51"/>
    <w:rsid w:val="00A9231A"/>
    <w:rsid w:val="00A95BC7"/>
    <w:rsid w:val="00AA0343"/>
    <w:rsid w:val="00AA78CE"/>
    <w:rsid w:val="00AA7B26"/>
    <w:rsid w:val="00AC748E"/>
    <w:rsid w:val="00AC767C"/>
    <w:rsid w:val="00AD3467"/>
    <w:rsid w:val="00AD5641"/>
    <w:rsid w:val="00AE1116"/>
    <w:rsid w:val="00AF33DB"/>
    <w:rsid w:val="00AF68CE"/>
    <w:rsid w:val="00B00949"/>
    <w:rsid w:val="00B032D8"/>
    <w:rsid w:val="00B05D72"/>
    <w:rsid w:val="00B20990"/>
    <w:rsid w:val="00B23FAF"/>
    <w:rsid w:val="00B25A72"/>
    <w:rsid w:val="00B33B3C"/>
    <w:rsid w:val="00B40D74"/>
    <w:rsid w:val="00B42649"/>
    <w:rsid w:val="00B46467"/>
    <w:rsid w:val="00B52663"/>
    <w:rsid w:val="00B56DCB"/>
    <w:rsid w:val="00B61728"/>
    <w:rsid w:val="00B66A1F"/>
    <w:rsid w:val="00B7224B"/>
    <w:rsid w:val="00B74318"/>
    <w:rsid w:val="00B770D2"/>
    <w:rsid w:val="00B77C85"/>
    <w:rsid w:val="00B80A8B"/>
    <w:rsid w:val="00B93516"/>
    <w:rsid w:val="00B96776"/>
    <w:rsid w:val="00B973E5"/>
    <w:rsid w:val="00BA47A3"/>
    <w:rsid w:val="00BA5026"/>
    <w:rsid w:val="00BA7B5B"/>
    <w:rsid w:val="00BB0535"/>
    <w:rsid w:val="00BB6E79"/>
    <w:rsid w:val="00BC0F25"/>
    <w:rsid w:val="00BD04BF"/>
    <w:rsid w:val="00BE42C5"/>
    <w:rsid w:val="00BE719A"/>
    <w:rsid w:val="00BE720A"/>
    <w:rsid w:val="00BF0723"/>
    <w:rsid w:val="00BF450F"/>
    <w:rsid w:val="00BF6650"/>
    <w:rsid w:val="00C067E5"/>
    <w:rsid w:val="00C15419"/>
    <w:rsid w:val="00C164CA"/>
    <w:rsid w:val="00C259E0"/>
    <w:rsid w:val="00C26051"/>
    <w:rsid w:val="00C4221C"/>
    <w:rsid w:val="00C42BF8"/>
    <w:rsid w:val="00C44306"/>
    <w:rsid w:val="00C460AE"/>
    <w:rsid w:val="00C50043"/>
    <w:rsid w:val="00C5015F"/>
    <w:rsid w:val="00C50A0F"/>
    <w:rsid w:val="00C50F4A"/>
    <w:rsid w:val="00C52284"/>
    <w:rsid w:val="00C5385E"/>
    <w:rsid w:val="00C62119"/>
    <w:rsid w:val="00C62CCA"/>
    <w:rsid w:val="00C72D10"/>
    <w:rsid w:val="00C75210"/>
    <w:rsid w:val="00C7573B"/>
    <w:rsid w:val="00C76CF3"/>
    <w:rsid w:val="00C8275A"/>
    <w:rsid w:val="00C83485"/>
    <w:rsid w:val="00C91063"/>
    <w:rsid w:val="00C93205"/>
    <w:rsid w:val="00C945DC"/>
    <w:rsid w:val="00CA7844"/>
    <w:rsid w:val="00CB58EF"/>
    <w:rsid w:val="00CC06F7"/>
    <w:rsid w:val="00CC1D0B"/>
    <w:rsid w:val="00CC6B6B"/>
    <w:rsid w:val="00CE0A93"/>
    <w:rsid w:val="00CF0BB2"/>
    <w:rsid w:val="00CF0F95"/>
    <w:rsid w:val="00D12B0D"/>
    <w:rsid w:val="00D13441"/>
    <w:rsid w:val="00D23159"/>
    <w:rsid w:val="00D243A3"/>
    <w:rsid w:val="00D33440"/>
    <w:rsid w:val="00D5209C"/>
    <w:rsid w:val="00D52EFE"/>
    <w:rsid w:val="00D56A0D"/>
    <w:rsid w:val="00D61B85"/>
    <w:rsid w:val="00D63EF6"/>
    <w:rsid w:val="00D66518"/>
    <w:rsid w:val="00D70CF5"/>
    <w:rsid w:val="00D70DFB"/>
    <w:rsid w:val="00D71EEA"/>
    <w:rsid w:val="00D735CD"/>
    <w:rsid w:val="00D766DF"/>
    <w:rsid w:val="00D811E2"/>
    <w:rsid w:val="00D81A1A"/>
    <w:rsid w:val="00D867F9"/>
    <w:rsid w:val="00D90841"/>
    <w:rsid w:val="00DA2439"/>
    <w:rsid w:val="00DA6F05"/>
    <w:rsid w:val="00DB3AC1"/>
    <w:rsid w:val="00DB64FC"/>
    <w:rsid w:val="00DE149E"/>
    <w:rsid w:val="00E02F10"/>
    <w:rsid w:val="00E034DB"/>
    <w:rsid w:val="00E05704"/>
    <w:rsid w:val="00E12F1A"/>
    <w:rsid w:val="00E15888"/>
    <w:rsid w:val="00E170B4"/>
    <w:rsid w:val="00E22935"/>
    <w:rsid w:val="00E27F16"/>
    <w:rsid w:val="00E36D4B"/>
    <w:rsid w:val="00E46589"/>
    <w:rsid w:val="00E53AB5"/>
    <w:rsid w:val="00E53FC6"/>
    <w:rsid w:val="00E54292"/>
    <w:rsid w:val="00E571C4"/>
    <w:rsid w:val="00E60191"/>
    <w:rsid w:val="00E63BE6"/>
    <w:rsid w:val="00E6696F"/>
    <w:rsid w:val="00E74DC7"/>
    <w:rsid w:val="00E77BAE"/>
    <w:rsid w:val="00E87699"/>
    <w:rsid w:val="00E92E27"/>
    <w:rsid w:val="00E9586B"/>
    <w:rsid w:val="00E97334"/>
    <w:rsid w:val="00EB3A99"/>
    <w:rsid w:val="00EB65F8"/>
    <w:rsid w:val="00EB7143"/>
    <w:rsid w:val="00ED253C"/>
    <w:rsid w:val="00ED4928"/>
    <w:rsid w:val="00ED679B"/>
    <w:rsid w:val="00EE3FFE"/>
    <w:rsid w:val="00EE41DF"/>
    <w:rsid w:val="00EE4624"/>
    <w:rsid w:val="00EE57E8"/>
    <w:rsid w:val="00EE6190"/>
    <w:rsid w:val="00EF25CE"/>
    <w:rsid w:val="00EF2E3A"/>
    <w:rsid w:val="00EF454D"/>
    <w:rsid w:val="00EF6402"/>
    <w:rsid w:val="00F047E2"/>
    <w:rsid w:val="00F04D57"/>
    <w:rsid w:val="00F078DC"/>
    <w:rsid w:val="00F10ECA"/>
    <w:rsid w:val="00F13E86"/>
    <w:rsid w:val="00F1474C"/>
    <w:rsid w:val="00F165A0"/>
    <w:rsid w:val="00F20B52"/>
    <w:rsid w:val="00F242DC"/>
    <w:rsid w:val="00F32FCB"/>
    <w:rsid w:val="00F33523"/>
    <w:rsid w:val="00F40D58"/>
    <w:rsid w:val="00F677A9"/>
    <w:rsid w:val="00F67828"/>
    <w:rsid w:val="00F8121C"/>
    <w:rsid w:val="00F82980"/>
    <w:rsid w:val="00F84CF5"/>
    <w:rsid w:val="00F8612E"/>
    <w:rsid w:val="00F94583"/>
    <w:rsid w:val="00F96204"/>
    <w:rsid w:val="00FA420B"/>
    <w:rsid w:val="00FB6AEE"/>
    <w:rsid w:val="00FC3EAC"/>
    <w:rsid w:val="00FC6BAC"/>
    <w:rsid w:val="00FC74F2"/>
    <w:rsid w:val="00FD2D7F"/>
    <w:rsid w:val="00FD3ADF"/>
    <w:rsid w:val="00FF39DE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61989"/>
  <w15:docId w15:val="{34981596-E441-4302-9B1E-EA56F386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5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1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1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15C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9C15AF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2F510D"/>
    <w:rPr>
      <w:sz w:val="22"/>
    </w:rPr>
  </w:style>
  <w:style w:type="character" w:styleId="Hyperlink">
    <w:name w:val="Hyperlink"/>
    <w:basedOn w:val="DefaultParagraphFont"/>
    <w:uiPriority w:val="99"/>
    <w:unhideWhenUsed/>
    <w:rsid w:val="00ED67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79B"/>
    <w:rPr>
      <w:color w:val="605E5C"/>
      <w:shd w:val="clear" w:color="auto" w:fill="E1DFDD"/>
    </w:rPr>
  </w:style>
  <w:style w:type="paragraph" w:customStyle="1" w:styleId="definition0">
    <w:name w:val="definition"/>
    <w:basedOn w:val="Normal"/>
    <w:rsid w:val="00EE46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A4A071-378F-4E66-969D-83D7325374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CC3A18F4E375642994E4A08BA824759" ma:contentTypeVersion="" ma:contentTypeDescription="PDMS Document Site Content Type" ma:contentTypeScope="" ma:versionID="5b6518b5ca9dda426d20086e4987708c">
  <xsd:schema xmlns:xsd="http://www.w3.org/2001/XMLSchema" xmlns:xs="http://www.w3.org/2001/XMLSchema" xmlns:p="http://schemas.microsoft.com/office/2006/metadata/properties" xmlns:ns2="8EA4A071-378F-4E66-969D-83D732537480" targetNamespace="http://schemas.microsoft.com/office/2006/metadata/properties" ma:root="true" ma:fieldsID="6c7d3bb3cfb77becbee53e32c1abaa33" ns2:_="">
    <xsd:import namespace="8EA4A071-378F-4E66-969D-83D7325374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4A071-378F-4E66-969D-83D7325374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C87F-61E0-48FE-A065-BA1303157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B794A-DE6F-434B-999D-C83E9B941F9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EA4A071-378F-4E66-969D-83D73253748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26DBD3-B7B0-4AF9-960F-0BE810B6B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4A071-378F-4E66-969D-83D732537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C77B6-57F6-41B2-B9A0-98C78BA3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1049</Words>
  <Characters>5188</Characters>
  <Application>Microsoft Office Word</Application>
  <DocSecurity>0</DocSecurity>
  <Lines>172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RANDLES, Alec</dc:creator>
  <cp:keywords>[SEC=OFFICIAL]</cp:keywords>
  <cp:lastModifiedBy>Sofia Gongolidis</cp:lastModifiedBy>
  <cp:revision>6</cp:revision>
  <dcterms:created xsi:type="dcterms:W3CDTF">2025-09-22T02:24:00Z</dcterms:created>
  <dcterms:modified xsi:type="dcterms:W3CDTF">2025-09-22T02:25:00Z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0E73D81B9EA6430C91C1F47EE14E2A5E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3A7D6CCFFAC43F7CC1B6031596302527D474C9FC</vt:lpwstr>
  </property>
  <property fmtid="{D5CDD505-2E9C-101B-9397-08002B2CF9AE}" pid="11" name="PM_OriginationTimeStamp">
    <vt:lpwstr>2025-09-22T02:24:37Z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4328BF4F1297DCA62F21EE502CCE0999</vt:lpwstr>
  </property>
  <property fmtid="{D5CDD505-2E9C-101B-9397-08002B2CF9AE}" pid="21" name="PM_Hash_Salt">
    <vt:lpwstr>26C557E8ADEBACBE54BEB9A64C332C39</vt:lpwstr>
  </property>
  <property fmtid="{D5CDD505-2E9C-101B-9397-08002B2CF9AE}" pid="22" name="PM_Hash_SHA1">
    <vt:lpwstr>948B25D17426F5D9C94208469BDDCE289CEB372F</vt:lpwstr>
  </property>
  <property fmtid="{D5CDD505-2E9C-101B-9397-08002B2CF9AE}" pid="23" name="PM_OriginatorUserAccountName_SHA256">
    <vt:lpwstr>279BECFA750F65F5D8F2D082588F2D075A51A9269FFB4F7566248B432C685EC1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OFFICIAL:Sensitive</vt:lpwstr>
  </property>
  <property fmtid="{D5CDD505-2E9C-101B-9397-08002B2CF9AE}" pid="26" name="PM_Qualifier_Prev">
    <vt:lpwstr/>
  </property>
  <property fmtid="{D5CDD505-2E9C-101B-9397-08002B2CF9AE}" pid="27" name="PMHMAC">
    <vt:lpwstr>v=2022.1;a=SHA256;h=13905593CB0D387F6D2CF44B5745622F47D1072F194B400B97FEC175FB20CAA2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ContentTypeId">
    <vt:lpwstr>0x010100266966F133664895A6EE3632470D45F500BCC3A18F4E375642994E4A08BA824759</vt:lpwstr>
  </property>
  <property fmtid="{D5CDD505-2E9C-101B-9397-08002B2CF9AE}" pid="30" name="PM_Expires">
    <vt:lpwstr/>
  </property>
  <property fmtid="{D5CDD505-2E9C-101B-9397-08002B2CF9AE}" pid="31" name="PM_DownTo">
    <vt:lpwstr/>
  </property>
  <property fmtid="{D5CDD505-2E9C-101B-9397-08002B2CF9AE}" pid="32" name="MSIP_Label_eb34d90b-fc41-464d-af60-f74d721d0790_SetDate">
    <vt:lpwstr>2025-09-22T02:24:37Z</vt:lpwstr>
  </property>
  <property fmtid="{D5CDD505-2E9C-101B-9397-08002B2CF9AE}" pid="33" name="MSIP_Label_eb34d90b-fc41-464d-af60-f74d721d0790_SiteId">
    <vt:lpwstr>61e36dd1-ca6e-4d61-aa0a-2b4eb88317a3</vt:lpwstr>
  </property>
  <property fmtid="{D5CDD505-2E9C-101B-9397-08002B2CF9AE}" pid="34" name="MSIP_Label_eb34d90b-fc41-464d-af60-f74d721d0790_Name">
    <vt:lpwstr>OFFICIAL</vt:lpwstr>
  </property>
  <property fmtid="{D5CDD505-2E9C-101B-9397-08002B2CF9AE}" pid="35" name="MSIP_Label_eb34d90b-fc41-464d-af60-f74d721d0790_ContentBits">
    <vt:lpwstr>0</vt:lpwstr>
  </property>
  <property fmtid="{D5CDD505-2E9C-101B-9397-08002B2CF9AE}" pid="36" name="MSIP_Label_eb34d90b-fc41-464d-af60-f74d721d0790_Enabled">
    <vt:lpwstr>true</vt:lpwstr>
  </property>
  <property fmtid="{D5CDD505-2E9C-101B-9397-08002B2CF9AE}" pid="37" name="MSIP_Label_eb34d90b-fc41-464d-af60-f74d721d0790_Method">
    <vt:lpwstr>Privileged</vt:lpwstr>
  </property>
  <property fmtid="{D5CDD505-2E9C-101B-9397-08002B2CF9AE}" pid="38" name="MSIP_Label_eb34d90b-fc41-464d-af60-f74d721d0790_ActionId">
    <vt:lpwstr>0d5fc00b40ac48549c88a7663585a5d4</vt:lpwstr>
  </property>
</Properties>
</file>