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DA725" w14:textId="77777777" w:rsidR="00A34D64" w:rsidRPr="00F6508D" w:rsidRDefault="00A34D64" w:rsidP="00064EF4">
      <w:pPr>
        <w:pStyle w:val="Title"/>
        <w:rPr>
          <w:rFonts w:asciiTheme="minorHAnsi" w:hAnsiTheme="minorHAnsi" w:cstheme="minorHAnsi"/>
          <w:sz w:val="24"/>
          <w:szCs w:val="24"/>
          <w:u w:val="single"/>
        </w:rPr>
      </w:pPr>
      <w:r w:rsidRPr="00F6508D">
        <w:rPr>
          <w:rFonts w:asciiTheme="minorHAnsi" w:hAnsiTheme="minorHAnsi" w:cstheme="minorHAnsi"/>
          <w:sz w:val="24"/>
          <w:szCs w:val="24"/>
          <w:u w:val="single"/>
        </w:rPr>
        <w:t>EXPLANATORY STATEMENT</w:t>
      </w:r>
    </w:p>
    <w:p w14:paraId="4B521719" w14:textId="555576F2" w:rsidR="00A34D64" w:rsidRPr="00F6508D" w:rsidRDefault="00A34D64" w:rsidP="00A34D64">
      <w:pPr>
        <w:jc w:val="center"/>
        <w:rPr>
          <w:rFonts w:asciiTheme="minorHAnsi" w:hAnsiTheme="minorHAnsi" w:cstheme="minorHAnsi"/>
          <w:szCs w:val="24"/>
        </w:rPr>
      </w:pPr>
      <w:r w:rsidRPr="00F6508D">
        <w:rPr>
          <w:rFonts w:asciiTheme="minorHAnsi" w:hAnsiTheme="minorHAnsi" w:cstheme="minorHAnsi"/>
          <w:b/>
          <w:bCs/>
          <w:szCs w:val="24"/>
        </w:rPr>
        <w:t xml:space="preserve">Issued by the authority of </w:t>
      </w:r>
      <w:r w:rsidR="00833F3D">
        <w:rPr>
          <w:rFonts w:asciiTheme="minorHAnsi" w:hAnsiTheme="minorHAnsi" w:cstheme="minorHAnsi"/>
          <w:b/>
          <w:bCs/>
          <w:szCs w:val="24"/>
        </w:rPr>
        <w:t xml:space="preserve">a delegate of </w:t>
      </w:r>
      <w:r w:rsidRPr="00F6508D">
        <w:rPr>
          <w:rFonts w:asciiTheme="minorHAnsi" w:hAnsiTheme="minorHAnsi" w:cstheme="minorHAnsi"/>
          <w:b/>
          <w:bCs/>
          <w:szCs w:val="24"/>
        </w:rPr>
        <w:t>the Minister for Education</w:t>
      </w:r>
    </w:p>
    <w:p w14:paraId="274D0036" w14:textId="77777777" w:rsidR="00A34D64" w:rsidRDefault="00A34D64" w:rsidP="00A34D64">
      <w:pPr>
        <w:jc w:val="center"/>
        <w:rPr>
          <w:rFonts w:asciiTheme="minorHAnsi" w:hAnsiTheme="minorHAnsi" w:cstheme="minorHAnsi"/>
          <w:i/>
          <w:iCs/>
          <w:szCs w:val="24"/>
        </w:rPr>
      </w:pPr>
      <w:r w:rsidRPr="00F6508D">
        <w:rPr>
          <w:rFonts w:asciiTheme="minorHAnsi" w:hAnsiTheme="minorHAnsi" w:cstheme="minorHAnsi"/>
          <w:i/>
          <w:iCs/>
          <w:szCs w:val="24"/>
        </w:rPr>
        <w:t xml:space="preserve">Australian Education </w:t>
      </w:r>
      <w:r w:rsidR="00D70798" w:rsidRPr="00F6508D">
        <w:rPr>
          <w:rFonts w:asciiTheme="minorHAnsi" w:hAnsiTheme="minorHAnsi" w:cstheme="minorHAnsi"/>
          <w:i/>
          <w:iCs/>
          <w:szCs w:val="24"/>
        </w:rPr>
        <w:t>Regulations</w:t>
      </w:r>
      <w:r w:rsidRPr="00F6508D">
        <w:rPr>
          <w:rFonts w:asciiTheme="minorHAnsi" w:hAnsiTheme="minorHAnsi" w:cstheme="minorHAnsi"/>
          <w:i/>
          <w:iCs/>
          <w:szCs w:val="24"/>
        </w:rPr>
        <w:t xml:space="preserve"> 20</w:t>
      </w:r>
      <w:r w:rsidR="00D70798" w:rsidRPr="00F6508D">
        <w:rPr>
          <w:rFonts w:asciiTheme="minorHAnsi" w:hAnsiTheme="minorHAnsi" w:cstheme="minorHAnsi"/>
          <w:i/>
          <w:iCs/>
          <w:szCs w:val="24"/>
        </w:rPr>
        <w:t>2</w:t>
      </w:r>
      <w:r w:rsidRPr="00F6508D">
        <w:rPr>
          <w:rFonts w:asciiTheme="minorHAnsi" w:hAnsiTheme="minorHAnsi" w:cstheme="minorHAnsi"/>
          <w:i/>
          <w:iCs/>
          <w:szCs w:val="24"/>
        </w:rPr>
        <w:t>3</w:t>
      </w:r>
    </w:p>
    <w:p w14:paraId="3F85233D" w14:textId="2EB4A73C" w:rsidR="00A34D64" w:rsidRPr="00F6508D" w:rsidRDefault="00A34D64" w:rsidP="00A34D64">
      <w:pPr>
        <w:jc w:val="center"/>
        <w:rPr>
          <w:rFonts w:asciiTheme="minorHAnsi" w:hAnsiTheme="minorHAnsi" w:cstheme="minorHAnsi"/>
          <w:szCs w:val="24"/>
        </w:rPr>
      </w:pPr>
      <w:r w:rsidRPr="00F6508D">
        <w:rPr>
          <w:rFonts w:asciiTheme="minorHAnsi" w:hAnsiTheme="minorHAnsi" w:cstheme="minorHAnsi"/>
          <w:i/>
          <w:iCs/>
          <w:szCs w:val="24"/>
        </w:rPr>
        <w:t xml:space="preserve">Australian Education </w:t>
      </w:r>
      <w:r w:rsidR="00104EE8" w:rsidRPr="00F6508D">
        <w:rPr>
          <w:rFonts w:asciiTheme="minorHAnsi" w:hAnsiTheme="minorHAnsi" w:cstheme="minorHAnsi"/>
          <w:i/>
          <w:iCs/>
          <w:szCs w:val="24"/>
        </w:rPr>
        <w:t xml:space="preserve">Regulations </w:t>
      </w:r>
      <w:r w:rsidR="0015285F" w:rsidRPr="00F6508D">
        <w:rPr>
          <w:rFonts w:asciiTheme="minorHAnsi" w:hAnsiTheme="minorHAnsi" w:cstheme="minorHAnsi"/>
          <w:i/>
          <w:iCs/>
          <w:szCs w:val="24"/>
        </w:rPr>
        <w:t>(</w:t>
      </w:r>
      <w:r w:rsidR="00FE43DC">
        <w:rPr>
          <w:rFonts w:asciiTheme="minorHAnsi" w:hAnsiTheme="minorHAnsi" w:cstheme="minorHAnsi"/>
          <w:i/>
          <w:iCs/>
          <w:szCs w:val="24"/>
        </w:rPr>
        <w:t>Revised</w:t>
      </w:r>
      <w:r w:rsidR="00880C20">
        <w:rPr>
          <w:rFonts w:asciiTheme="minorHAnsi" w:hAnsiTheme="minorHAnsi" w:cstheme="minorHAnsi"/>
          <w:i/>
          <w:iCs/>
          <w:szCs w:val="24"/>
        </w:rPr>
        <w:t xml:space="preserve"> Written Arrangements with Non-government Representative Bodies</w:t>
      </w:r>
      <w:r w:rsidR="0015285F" w:rsidRPr="00F6508D">
        <w:rPr>
          <w:rFonts w:asciiTheme="minorHAnsi" w:hAnsiTheme="minorHAnsi" w:cstheme="minorHAnsi"/>
          <w:i/>
          <w:iCs/>
          <w:szCs w:val="24"/>
        </w:rPr>
        <w:t xml:space="preserve">) </w:t>
      </w:r>
      <w:r w:rsidR="00B27209">
        <w:rPr>
          <w:rFonts w:asciiTheme="minorHAnsi" w:hAnsiTheme="minorHAnsi" w:cstheme="minorHAnsi"/>
          <w:i/>
          <w:iCs/>
          <w:szCs w:val="24"/>
        </w:rPr>
        <w:t xml:space="preserve">Amendment </w:t>
      </w:r>
      <w:r w:rsidR="0015285F" w:rsidRPr="00F6508D">
        <w:rPr>
          <w:rFonts w:asciiTheme="minorHAnsi" w:hAnsiTheme="minorHAnsi" w:cstheme="minorHAnsi"/>
          <w:i/>
          <w:iCs/>
          <w:szCs w:val="24"/>
        </w:rPr>
        <w:t>Determination 202</w:t>
      </w:r>
      <w:r w:rsidR="00B27209">
        <w:rPr>
          <w:rFonts w:asciiTheme="minorHAnsi" w:hAnsiTheme="minorHAnsi" w:cstheme="minorHAnsi"/>
          <w:i/>
          <w:iCs/>
          <w:szCs w:val="24"/>
        </w:rPr>
        <w:t>5</w:t>
      </w:r>
    </w:p>
    <w:p w14:paraId="71A5C076" w14:textId="77777777" w:rsidR="00A34D64" w:rsidRPr="00F6508D" w:rsidRDefault="00270C0C" w:rsidP="00064EF4">
      <w:pPr>
        <w:pStyle w:val="Heading1"/>
        <w:rPr>
          <w:rFonts w:asciiTheme="minorHAnsi" w:hAnsiTheme="minorHAnsi" w:cstheme="minorHAnsi"/>
        </w:rPr>
      </w:pPr>
      <w:r w:rsidRPr="00F6508D">
        <w:rPr>
          <w:rFonts w:asciiTheme="minorHAnsi" w:hAnsiTheme="minorHAnsi" w:cstheme="minorHAnsi"/>
        </w:rPr>
        <w:t>AUTHORITY</w:t>
      </w:r>
    </w:p>
    <w:p w14:paraId="7ED55EE2" w14:textId="30559C67" w:rsidR="0015285F" w:rsidRPr="00F6508D" w:rsidRDefault="00F1773A" w:rsidP="00A34D64">
      <w:pPr>
        <w:rPr>
          <w:rFonts w:asciiTheme="minorHAnsi" w:hAnsiTheme="minorHAnsi" w:cstheme="minorHAnsi"/>
          <w:szCs w:val="24"/>
        </w:rPr>
      </w:pPr>
      <w:r>
        <w:rPr>
          <w:rFonts w:asciiTheme="minorHAnsi" w:hAnsiTheme="minorHAnsi" w:cstheme="minorHAnsi"/>
          <w:szCs w:val="24"/>
        </w:rPr>
        <w:t>T</w:t>
      </w:r>
      <w:r w:rsidR="007A3915" w:rsidRPr="00F6508D">
        <w:rPr>
          <w:rFonts w:asciiTheme="minorHAnsi" w:hAnsiTheme="minorHAnsi" w:cstheme="minorHAnsi"/>
          <w:szCs w:val="24"/>
        </w:rPr>
        <w:t xml:space="preserve">he </w:t>
      </w:r>
      <w:r w:rsidR="007A3915" w:rsidRPr="00F6508D">
        <w:rPr>
          <w:rFonts w:asciiTheme="minorHAnsi" w:hAnsiTheme="minorHAnsi" w:cstheme="minorHAnsi"/>
          <w:i/>
          <w:iCs/>
          <w:szCs w:val="24"/>
        </w:rPr>
        <w:t>Australian Education</w:t>
      </w:r>
      <w:r w:rsidR="00104EE8" w:rsidRPr="00F6508D">
        <w:rPr>
          <w:rFonts w:asciiTheme="minorHAnsi" w:hAnsiTheme="minorHAnsi" w:cstheme="minorHAnsi"/>
          <w:i/>
          <w:iCs/>
          <w:szCs w:val="24"/>
        </w:rPr>
        <w:t xml:space="preserve"> Regulations</w:t>
      </w:r>
      <w:r w:rsidR="007A3915" w:rsidRPr="00F6508D">
        <w:rPr>
          <w:rFonts w:asciiTheme="minorHAnsi" w:hAnsiTheme="minorHAnsi" w:cstheme="minorHAnsi"/>
          <w:i/>
          <w:iCs/>
          <w:szCs w:val="24"/>
        </w:rPr>
        <w:t xml:space="preserve"> (</w:t>
      </w:r>
      <w:r w:rsidR="00FE43DC">
        <w:rPr>
          <w:rFonts w:asciiTheme="minorHAnsi" w:hAnsiTheme="minorHAnsi" w:cstheme="minorHAnsi"/>
          <w:i/>
          <w:iCs/>
          <w:szCs w:val="24"/>
        </w:rPr>
        <w:t>Revised</w:t>
      </w:r>
      <w:r w:rsidR="00880C20">
        <w:rPr>
          <w:rFonts w:asciiTheme="minorHAnsi" w:hAnsiTheme="minorHAnsi" w:cstheme="minorHAnsi"/>
          <w:i/>
          <w:iCs/>
          <w:szCs w:val="24"/>
        </w:rPr>
        <w:t xml:space="preserve"> Written Arrangements with Non-government Representative Bodies</w:t>
      </w:r>
      <w:r w:rsidR="007A3915" w:rsidRPr="00F6508D">
        <w:rPr>
          <w:rFonts w:asciiTheme="minorHAnsi" w:hAnsiTheme="minorHAnsi" w:cstheme="minorHAnsi"/>
          <w:i/>
          <w:iCs/>
          <w:szCs w:val="24"/>
        </w:rPr>
        <w:t xml:space="preserve">) </w:t>
      </w:r>
      <w:r w:rsidR="00B27209">
        <w:rPr>
          <w:rFonts w:asciiTheme="minorHAnsi" w:hAnsiTheme="minorHAnsi" w:cstheme="minorHAnsi"/>
          <w:i/>
          <w:iCs/>
          <w:szCs w:val="24"/>
        </w:rPr>
        <w:t xml:space="preserve">Amendment </w:t>
      </w:r>
      <w:r w:rsidR="007A3915" w:rsidRPr="00F6508D">
        <w:rPr>
          <w:rFonts w:asciiTheme="minorHAnsi" w:hAnsiTheme="minorHAnsi" w:cstheme="minorHAnsi"/>
          <w:i/>
          <w:iCs/>
          <w:szCs w:val="24"/>
        </w:rPr>
        <w:t>Determination 202</w:t>
      </w:r>
      <w:r w:rsidR="00B27209">
        <w:rPr>
          <w:rFonts w:asciiTheme="minorHAnsi" w:hAnsiTheme="minorHAnsi" w:cstheme="minorHAnsi"/>
          <w:i/>
          <w:iCs/>
          <w:szCs w:val="24"/>
        </w:rPr>
        <w:t>5</w:t>
      </w:r>
      <w:r w:rsidR="007A3915" w:rsidRPr="00F6508D">
        <w:rPr>
          <w:rFonts w:asciiTheme="minorHAnsi" w:hAnsiTheme="minorHAnsi" w:cstheme="minorHAnsi"/>
          <w:i/>
          <w:iCs/>
          <w:szCs w:val="24"/>
        </w:rPr>
        <w:t xml:space="preserve"> </w:t>
      </w:r>
      <w:r w:rsidR="007A3915" w:rsidRPr="00F6508D">
        <w:rPr>
          <w:rFonts w:asciiTheme="minorHAnsi" w:hAnsiTheme="minorHAnsi" w:cstheme="minorHAnsi"/>
          <w:szCs w:val="24"/>
        </w:rPr>
        <w:t xml:space="preserve">(the </w:t>
      </w:r>
      <w:r w:rsidR="00B27209">
        <w:rPr>
          <w:rFonts w:asciiTheme="minorHAnsi" w:hAnsiTheme="minorHAnsi" w:cstheme="minorHAnsi"/>
          <w:szCs w:val="24"/>
        </w:rPr>
        <w:t xml:space="preserve">Amendment </w:t>
      </w:r>
      <w:r w:rsidR="007A3915" w:rsidRPr="00F6508D">
        <w:rPr>
          <w:rFonts w:asciiTheme="minorHAnsi" w:hAnsiTheme="minorHAnsi" w:cstheme="minorHAnsi"/>
          <w:szCs w:val="24"/>
        </w:rPr>
        <w:t xml:space="preserve">Determination) is made under </w:t>
      </w:r>
      <w:r w:rsidR="00FB2F1F" w:rsidRPr="00F6508D">
        <w:rPr>
          <w:rFonts w:asciiTheme="minorHAnsi" w:hAnsiTheme="minorHAnsi" w:cstheme="minorHAnsi"/>
          <w:szCs w:val="24"/>
        </w:rPr>
        <w:t xml:space="preserve">subparagraphs 31(1)(d)(ii) and 36(7)(c)(ii) </w:t>
      </w:r>
      <w:r w:rsidR="0015285F" w:rsidRPr="00F6508D">
        <w:rPr>
          <w:rFonts w:asciiTheme="minorHAnsi" w:hAnsiTheme="minorHAnsi" w:cstheme="minorHAnsi"/>
        </w:rPr>
        <w:t xml:space="preserve">of the </w:t>
      </w:r>
      <w:r w:rsidR="0015285F" w:rsidRPr="00F6508D">
        <w:rPr>
          <w:rFonts w:asciiTheme="minorHAnsi" w:hAnsiTheme="minorHAnsi" w:cstheme="minorHAnsi"/>
          <w:i/>
          <w:iCs/>
        </w:rPr>
        <w:t>Australian Education Regulations 2023</w:t>
      </w:r>
      <w:r w:rsidR="0015285F" w:rsidRPr="00F6508D">
        <w:rPr>
          <w:rFonts w:asciiTheme="minorHAnsi" w:hAnsiTheme="minorHAnsi" w:cstheme="minorHAnsi"/>
        </w:rPr>
        <w:t xml:space="preserve"> (the Regulations)</w:t>
      </w:r>
      <w:r w:rsidR="007A3915" w:rsidRPr="00F6508D">
        <w:rPr>
          <w:rFonts w:asciiTheme="minorHAnsi" w:hAnsiTheme="minorHAnsi" w:cstheme="minorHAnsi"/>
        </w:rPr>
        <w:t>.</w:t>
      </w:r>
      <w:r w:rsidR="0015285F" w:rsidRPr="00F6508D">
        <w:rPr>
          <w:rFonts w:asciiTheme="minorHAnsi" w:hAnsiTheme="minorHAnsi" w:cstheme="minorHAnsi"/>
        </w:rPr>
        <w:t xml:space="preserve"> </w:t>
      </w:r>
    </w:p>
    <w:p w14:paraId="1C5FFE44" w14:textId="57F68BF6" w:rsidR="00F1773A" w:rsidRDefault="00F1773A" w:rsidP="00A34D64">
      <w:pPr>
        <w:rPr>
          <w:rFonts w:asciiTheme="minorHAnsi" w:hAnsiTheme="minorHAnsi" w:cstheme="minorHAnsi"/>
        </w:rPr>
      </w:pPr>
      <w:r>
        <w:rPr>
          <w:rFonts w:asciiTheme="minorHAnsi" w:hAnsiTheme="minorHAnsi" w:cstheme="minorHAnsi"/>
        </w:rPr>
        <w:t xml:space="preserve">Subsection 130(3) of the </w:t>
      </w:r>
      <w:r w:rsidR="00233DA9">
        <w:rPr>
          <w:rFonts w:asciiTheme="minorHAnsi" w:hAnsiTheme="minorHAnsi" w:cstheme="minorHAnsi"/>
          <w:i/>
          <w:iCs/>
        </w:rPr>
        <w:t xml:space="preserve">Australian Education Act 2013 </w:t>
      </w:r>
      <w:r w:rsidR="00233DA9">
        <w:rPr>
          <w:rFonts w:asciiTheme="minorHAnsi" w:hAnsiTheme="minorHAnsi" w:cstheme="minorHAnsi"/>
        </w:rPr>
        <w:t>(</w:t>
      </w:r>
      <w:r>
        <w:rPr>
          <w:rFonts w:asciiTheme="minorHAnsi" w:hAnsiTheme="minorHAnsi" w:cstheme="minorHAnsi"/>
        </w:rPr>
        <w:t>Act</w:t>
      </w:r>
      <w:r w:rsidR="00233DA9">
        <w:rPr>
          <w:rFonts w:asciiTheme="minorHAnsi" w:hAnsiTheme="minorHAnsi" w:cstheme="minorHAnsi"/>
        </w:rPr>
        <w:t>)</w:t>
      </w:r>
      <w:r>
        <w:rPr>
          <w:rFonts w:asciiTheme="minorHAnsi" w:hAnsiTheme="minorHAnsi" w:cstheme="minorHAnsi"/>
        </w:rPr>
        <w:t xml:space="preserve"> provides that the regulations may allow the Minister</w:t>
      </w:r>
      <w:r w:rsidR="00193575">
        <w:rPr>
          <w:rFonts w:asciiTheme="minorHAnsi" w:hAnsiTheme="minorHAnsi" w:cstheme="minorHAnsi"/>
        </w:rPr>
        <w:t xml:space="preserve"> for Education (the Minister)</w:t>
      </w:r>
      <w:r>
        <w:rPr>
          <w:rFonts w:asciiTheme="minorHAnsi" w:hAnsiTheme="minorHAnsi" w:cstheme="minorHAnsi"/>
        </w:rPr>
        <w:t xml:space="preserve"> to determine matters in relation to anything in relation to which regulations may be made.</w:t>
      </w:r>
      <w:r w:rsidR="00193575">
        <w:rPr>
          <w:rFonts w:asciiTheme="minorHAnsi" w:hAnsiTheme="minorHAnsi" w:cstheme="minorHAnsi"/>
        </w:rPr>
        <w:t xml:space="preserve"> </w:t>
      </w:r>
    </w:p>
    <w:p w14:paraId="7D4490F5" w14:textId="2108D192" w:rsidR="00FF6538" w:rsidRDefault="00FF6538" w:rsidP="00FF6538">
      <w:pPr>
        <w:rPr>
          <w:rFonts w:asciiTheme="minorHAnsi" w:hAnsiTheme="minorHAnsi" w:cstheme="minorHAnsi"/>
        </w:rPr>
      </w:pPr>
      <w:r w:rsidRPr="00F6508D">
        <w:rPr>
          <w:rFonts w:asciiTheme="minorHAnsi" w:hAnsiTheme="minorHAnsi" w:cstheme="minorHAnsi"/>
        </w:rPr>
        <w:t>Subparagraphs 31(1)(d)(ii) and 36(7)(c)(ii)</w:t>
      </w:r>
      <w:r>
        <w:rPr>
          <w:rFonts w:asciiTheme="minorHAnsi" w:hAnsiTheme="minorHAnsi" w:cstheme="minorHAnsi"/>
        </w:rPr>
        <w:t xml:space="preserve"> of the Regulations</w:t>
      </w:r>
      <w:r w:rsidRPr="00F6508D">
        <w:rPr>
          <w:rFonts w:asciiTheme="minorHAnsi" w:hAnsiTheme="minorHAnsi" w:cstheme="minorHAnsi"/>
        </w:rPr>
        <w:t xml:space="preserve"> empower the Minister to determine by legislative instrument that financial assistance must be spent</w:t>
      </w:r>
      <w:r>
        <w:rPr>
          <w:rFonts w:asciiTheme="minorHAnsi" w:hAnsiTheme="minorHAnsi" w:cstheme="minorHAnsi"/>
        </w:rPr>
        <w:t>, and reports must be given,</w:t>
      </w:r>
      <w:r w:rsidRPr="00F6508D">
        <w:rPr>
          <w:rFonts w:asciiTheme="minorHAnsi" w:hAnsiTheme="minorHAnsi" w:cstheme="minorHAnsi"/>
        </w:rPr>
        <w:t xml:space="preserve"> in accordance with any written arrangements between the Secretary and a non-government representative body relating to financial assistance payable </w:t>
      </w:r>
      <w:r>
        <w:rPr>
          <w:rFonts w:asciiTheme="minorHAnsi" w:hAnsiTheme="minorHAnsi" w:cstheme="minorHAnsi"/>
        </w:rPr>
        <w:t>for</w:t>
      </w:r>
      <w:r w:rsidRPr="00F6508D">
        <w:rPr>
          <w:rFonts w:asciiTheme="minorHAnsi" w:hAnsiTheme="minorHAnsi" w:cstheme="minorHAnsi"/>
        </w:rPr>
        <w:t xml:space="preserve"> the body.</w:t>
      </w:r>
    </w:p>
    <w:p w14:paraId="1C03F332" w14:textId="6D633525" w:rsidR="00FF6538" w:rsidRPr="003564A5" w:rsidRDefault="00233DA9" w:rsidP="00FF6538">
      <w:pPr>
        <w:rPr>
          <w:rFonts w:asciiTheme="minorHAnsi" w:hAnsiTheme="minorHAnsi" w:cstheme="minorHAnsi"/>
        </w:rPr>
      </w:pPr>
      <w:r>
        <w:rPr>
          <w:rFonts w:asciiTheme="minorHAnsi" w:hAnsiTheme="minorHAnsi" w:cstheme="minorHAnsi"/>
        </w:rPr>
        <w:t>Subs</w:t>
      </w:r>
      <w:r w:rsidR="00FF6538">
        <w:rPr>
          <w:rFonts w:asciiTheme="minorHAnsi" w:hAnsiTheme="minorHAnsi" w:cstheme="minorHAnsi"/>
        </w:rPr>
        <w:t>ection 129</w:t>
      </w:r>
      <w:r>
        <w:rPr>
          <w:rFonts w:asciiTheme="minorHAnsi" w:hAnsiTheme="minorHAnsi" w:cstheme="minorHAnsi"/>
        </w:rPr>
        <w:t>(1)</w:t>
      </w:r>
      <w:r w:rsidR="00FF6538">
        <w:rPr>
          <w:rFonts w:asciiTheme="minorHAnsi" w:hAnsiTheme="minorHAnsi" w:cstheme="minorHAnsi"/>
        </w:rPr>
        <w:t xml:space="preserve"> of the Act empowers the Minister to, by written instrument, delegate any of their powers and functions under </w:t>
      </w:r>
      <w:r w:rsidR="00DC4A73" w:rsidRPr="001E60BC">
        <w:rPr>
          <w:rFonts w:asciiTheme="minorHAnsi" w:hAnsiTheme="minorHAnsi" w:cstheme="minorHAnsi"/>
        </w:rPr>
        <w:t>‘</w:t>
      </w:r>
      <w:r w:rsidR="00FF6538" w:rsidRPr="001E60BC">
        <w:rPr>
          <w:rFonts w:asciiTheme="minorHAnsi" w:hAnsiTheme="minorHAnsi" w:cstheme="minorHAnsi"/>
        </w:rPr>
        <w:t>th</w:t>
      </w:r>
      <w:r w:rsidR="00A32AAB" w:rsidRPr="005B7E72">
        <w:rPr>
          <w:rFonts w:asciiTheme="minorHAnsi" w:hAnsiTheme="minorHAnsi" w:cstheme="minorHAnsi"/>
        </w:rPr>
        <w:t>is</w:t>
      </w:r>
      <w:r w:rsidR="00FF6538" w:rsidRPr="001E60BC">
        <w:rPr>
          <w:rFonts w:asciiTheme="minorHAnsi" w:hAnsiTheme="minorHAnsi" w:cstheme="minorHAnsi"/>
        </w:rPr>
        <w:t xml:space="preserve"> Act</w:t>
      </w:r>
      <w:r w:rsidR="00B560BB" w:rsidRPr="001E60BC">
        <w:rPr>
          <w:rFonts w:asciiTheme="minorHAnsi" w:hAnsiTheme="minorHAnsi" w:cstheme="minorHAnsi"/>
        </w:rPr>
        <w:t>’</w:t>
      </w:r>
      <w:r w:rsidR="00FF6538" w:rsidRPr="001E60BC">
        <w:rPr>
          <w:rFonts w:asciiTheme="minorHAnsi" w:hAnsiTheme="minorHAnsi" w:cstheme="minorHAnsi"/>
        </w:rPr>
        <w:t xml:space="preserve"> (except for the powers and functions mentioned at subsection 129(2) of the Act) to the Secretary or an APS employee of the Department of Education</w:t>
      </w:r>
      <w:r>
        <w:rPr>
          <w:rFonts w:asciiTheme="minorHAnsi" w:hAnsiTheme="minorHAnsi" w:cstheme="minorHAnsi"/>
        </w:rPr>
        <w:t xml:space="preserve"> (Department)</w:t>
      </w:r>
      <w:r w:rsidR="00FF6538" w:rsidRPr="001E60BC">
        <w:rPr>
          <w:rFonts w:asciiTheme="minorHAnsi" w:hAnsiTheme="minorHAnsi" w:cstheme="minorHAnsi"/>
        </w:rPr>
        <w:t xml:space="preserve">. Section 6 of the Act provides that references to </w:t>
      </w:r>
      <w:r w:rsidR="00B560BB" w:rsidRPr="001E60BC">
        <w:rPr>
          <w:rFonts w:asciiTheme="minorHAnsi" w:hAnsiTheme="minorHAnsi" w:cstheme="minorHAnsi"/>
        </w:rPr>
        <w:t>‘</w:t>
      </w:r>
      <w:r w:rsidR="00FF6538" w:rsidRPr="001E60BC">
        <w:rPr>
          <w:rFonts w:asciiTheme="minorHAnsi" w:hAnsiTheme="minorHAnsi" w:cstheme="minorHAnsi"/>
        </w:rPr>
        <w:t>th</w:t>
      </w:r>
      <w:r w:rsidR="00A32AAB" w:rsidRPr="005B7E72">
        <w:rPr>
          <w:rFonts w:asciiTheme="minorHAnsi" w:hAnsiTheme="minorHAnsi" w:cstheme="minorHAnsi"/>
        </w:rPr>
        <w:t>is</w:t>
      </w:r>
      <w:r w:rsidR="00FF6538" w:rsidRPr="001E60BC">
        <w:rPr>
          <w:rFonts w:asciiTheme="minorHAnsi" w:hAnsiTheme="minorHAnsi" w:cstheme="minorHAnsi"/>
        </w:rPr>
        <w:t xml:space="preserve"> Act</w:t>
      </w:r>
      <w:r w:rsidR="00B560BB" w:rsidRPr="001E60BC">
        <w:rPr>
          <w:rFonts w:asciiTheme="minorHAnsi" w:hAnsiTheme="minorHAnsi" w:cstheme="minorHAnsi"/>
        </w:rPr>
        <w:t>’</w:t>
      </w:r>
      <w:r w:rsidR="00FF6538" w:rsidRPr="001E60BC">
        <w:rPr>
          <w:rFonts w:asciiTheme="minorHAnsi" w:hAnsiTheme="minorHAnsi" w:cstheme="minorHAnsi"/>
        </w:rPr>
        <w:t xml:space="preserve"> includes</w:t>
      </w:r>
      <w:r w:rsidR="00FF6538">
        <w:rPr>
          <w:rFonts w:asciiTheme="minorHAnsi" w:hAnsiTheme="minorHAnsi" w:cstheme="minorHAnsi"/>
        </w:rPr>
        <w:t xml:space="preserve"> the Regulations. </w:t>
      </w:r>
      <w:r w:rsidR="00FF6538" w:rsidRPr="005B7E72">
        <w:rPr>
          <w:rFonts w:asciiTheme="minorHAnsi" w:hAnsiTheme="minorHAnsi" w:cstheme="minorHAnsi"/>
        </w:rPr>
        <w:t xml:space="preserve">In accordance with subsection 129(1) of the Act, the </w:t>
      </w:r>
      <w:r w:rsidR="00FF6538">
        <w:rPr>
          <w:rFonts w:asciiTheme="minorHAnsi" w:hAnsiTheme="minorHAnsi" w:cstheme="minorHAnsi"/>
        </w:rPr>
        <w:t xml:space="preserve">Minister has delegated their powers under subparagraphs 31(1)(d)(ii) and 36(7)(c)(ii) of the Regulations to certain persons, including SES employees in the Schools Group in the Department. </w:t>
      </w:r>
    </w:p>
    <w:p w14:paraId="531BFB6D" w14:textId="77777777" w:rsidR="00FF6538" w:rsidRDefault="00193575" w:rsidP="00193575">
      <w:pPr>
        <w:rPr>
          <w:rFonts w:asciiTheme="minorHAnsi" w:hAnsiTheme="minorHAnsi" w:cstheme="minorHAnsi"/>
        </w:rPr>
      </w:pPr>
      <w:r w:rsidRPr="00B27209">
        <w:rPr>
          <w:rFonts w:asciiTheme="minorHAnsi" w:hAnsiTheme="minorHAnsi" w:cstheme="minorHAnsi"/>
        </w:rPr>
        <w:t xml:space="preserve">Under subsection 33(3) of the </w:t>
      </w:r>
      <w:r w:rsidRPr="00880C20">
        <w:rPr>
          <w:rFonts w:asciiTheme="minorHAnsi" w:hAnsiTheme="minorHAnsi" w:cstheme="minorHAnsi"/>
          <w:i/>
          <w:iCs/>
        </w:rPr>
        <w:t>Acts Interpretation Act 1901</w:t>
      </w:r>
      <w:r w:rsidRPr="00B27209">
        <w:rPr>
          <w:rFonts w:asciiTheme="minorHAnsi" w:hAnsiTheme="minorHAnsi" w:cstheme="minorHAnsi"/>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Pr>
          <w:rFonts w:asciiTheme="minorHAnsi" w:hAnsiTheme="minorHAnsi" w:cstheme="minorHAnsi"/>
        </w:rPr>
        <w:t xml:space="preserve"> </w:t>
      </w:r>
    </w:p>
    <w:p w14:paraId="2E5D713C" w14:textId="11FAC1C8" w:rsidR="00A32AAB" w:rsidRPr="00F6508D" w:rsidRDefault="00233DA9" w:rsidP="00A32AAB">
      <w:pPr>
        <w:rPr>
          <w:rFonts w:asciiTheme="minorHAnsi" w:hAnsiTheme="minorHAnsi" w:cstheme="minorHAnsi"/>
        </w:rPr>
      </w:pPr>
      <w:r>
        <w:rPr>
          <w:rFonts w:asciiTheme="minorHAnsi" w:hAnsiTheme="minorHAnsi" w:cstheme="minorHAnsi"/>
        </w:rPr>
        <w:t>Subs</w:t>
      </w:r>
      <w:r w:rsidR="00A32AAB" w:rsidRPr="005B7E72">
        <w:rPr>
          <w:rFonts w:asciiTheme="minorHAnsi" w:hAnsiTheme="minorHAnsi" w:cstheme="minorHAnsi"/>
        </w:rPr>
        <w:t>ection 13(1) of the </w:t>
      </w:r>
      <w:r w:rsidR="00A32AAB" w:rsidRPr="005B7E72">
        <w:rPr>
          <w:rFonts w:asciiTheme="minorHAnsi" w:hAnsiTheme="minorHAnsi" w:cstheme="minorHAnsi"/>
          <w:i/>
          <w:iCs/>
        </w:rPr>
        <w:t>Legislation Act 2003</w:t>
      </w:r>
      <w:r w:rsidR="00A32AAB" w:rsidRPr="005B7E72">
        <w:rPr>
          <w:rFonts w:asciiTheme="minorHAnsi" w:hAnsiTheme="minorHAnsi" w:cstheme="minorHAnsi"/>
        </w:rPr>
        <w:t> provides that where enabling legislation confers power to make a legislative instrument, the </w:t>
      </w:r>
      <w:r w:rsidR="00A32AAB" w:rsidRPr="005B7E72">
        <w:rPr>
          <w:rFonts w:asciiTheme="minorHAnsi" w:hAnsiTheme="minorHAnsi" w:cstheme="minorHAnsi"/>
          <w:i/>
          <w:iCs/>
        </w:rPr>
        <w:t>Acts Interpretation Act 1901</w:t>
      </w:r>
      <w:r w:rsidR="00A32AAB" w:rsidRPr="005B7E72">
        <w:rPr>
          <w:rFonts w:asciiTheme="minorHAnsi" w:hAnsiTheme="minorHAnsi" w:cstheme="minorHAnsi"/>
        </w:rPr>
        <w:t> applies to that instrument as if it were an Act, unless a contrary intention appears. As subparagraphs 31(1)(d)(ii) and 36(7)(c)(ii) confer such a power, section 33(3) of the </w:t>
      </w:r>
      <w:r w:rsidR="00A32AAB" w:rsidRPr="005B7E72">
        <w:rPr>
          <w:rFonts w:asciiTheme="minorHAnsi" w:hAnsiTheme="minorHAnsi" w:cstheme="minorHAnsi"/>
          <w:i/>
          <w:iCs/>
        </w:rPr>
        <w:t>Acts Interpretation Act 1901</w:t>
      </w:r>
      <w:r w:rsidR="00A32AAB" w:rsidRPr="005B7E72">
        <w:rPr>
          <w:rFonts w:asciiTheme="minorHAnsi" w:hAnsiTheme="minorHAnsi" w:cstheme="minorHAnsi"/>
        </w:rPr>
        <w:t> applies, enabling the Minister to repeal, rescind, revoke, amend or vary the instrument accordingly.</w:t>
      </w:r>
    </w:p>
    <w:p w14:paraId="18DA14EB" w14:textId="77777777" w:rsidR="00A34D64" w:rsidRPr="00F6508D" w:rsidRDefault="00270C0C" w:rsidP="00064EF4">
      <w:pPr>
        <w:pStyle w:val="Heading1"/>
        <w:rPr>
          <w:rFonts w:asciiTheme="minorHAnsi" w:hAnsiTheme="minorHAnsi" w:cstheme="minorHAnsi"/>
        </w:rPr>
      </w:pPr>
      <w:r w:rsidRPr="00F6508D">
        <w:rPr>
          <w:rFonts w:asciiTheme="minorHAnsi" w:hAnsiTheme="minorHAnsi" w:cstheme="minorHAnsi"/>
        </w:rPr>
        <w:lastRenderedPageBreak/>
        <w:t>PURPOSE AND OPERATION</w:t>
      </w:r>
      <w:r w:rsidR="00A67A0D">
        <w:rPr>
          <w:rFonts w:asciiTheme="minorHAnsi" w:hAnsiTheme="minorHAnsi" w:cstheme="minorHAnsi"/>
        </w:rPr>
        <w:t xml:space="preserve"> OF AMENDMENTS </w:t>
      </w:r>
    </w:p>
    <w:p w14:paraId="01613CCA" w14:textId="3AFA6FE0" w:rsidR="00A34D64" w:rsidRPr="00F6508D" w:rsidRDefault="00A34D64" w:rsidP="00A34D64">
      <w:pPr>
        <w:rPr>
          <w:rFonts w:asciiTheme="minorHAnsi" w:hAnsiTheme="minorHAnsi" w:cstheme="minorHAnsi"/>
          <w:szCs w:val="24"/>
        </w:rPr>
      </w:pPr>
      <w:r w:rsidRPr="00F6508D">
        <w:rPr>
          <w:rFonts w:asciiTheme="minorHAnsi" w:hAnsiTheme="minorHAnsi" w:cstheme="minorHAnsi"/>
          <w:szCs w:val="24"/>
        </w:rPr>
        <w:t>The</w:t>
      </w:r>
      <w:r w:rsidR="00781194" w:rsidRPr="00F6508D">
        <w:rPr>
          <w:rFonts w:asciiTheme="minorHAnsi" w:hAnsiTheme="minorHAnsi" w:cstheme="minorHAnsi"/>
          <w:szCs w:val="24"/>
        </w:rPr>
        <w:t xml:space="preserve"> Act</w:t>
      </w:r>
      <w:r w:rsidRPr="00F6508D">
        <w:rPr>
          <w:rFonts w:asciiTheme="minorHAnsi" w:hAnsiTheme="minorHAnsi" w:cstheme="minorHAnsi"/>
          <w:szCs w:val="24"/>
        </w:rPr>
        <w:t xml:space="preserve"> is the principal legislation by which the Australian Government provides Commonwealth financial assistance for schools.</w:t>
      </w:r>
    </w:p>
    <w:p w14:paraId="0A65B474" w14:textId="77777777" w:rsidR="00F66FC5" w:rsidRPr="00F6508D" w:rsidRDefault="00F66FC5" w:rsidP="00A34D64">
      <w:pPr>
        <w:rPr>
          <w:rFonts w:asciiTheme="minorHAnsi" w:hAnsiTheme="minorHAnsi" w:cstheme="minorHAnsi"/>
          <w:szCs w:val="24"/>
        </w:rPr>
      </w:pPr>
      <w:r w:rsidRPr="00F6508D">
        <w:rPr>
          <w:rFonts w:asciiTheme="minorHAnsi" w:hAnsiTheme="minorHAnsi" w:cstheme="minorHAnsi"/>
          <w:szCs w:val="24"/>
        </w:rPr>
        <w:t xml:space="preserve">The </w:t>
      </w:r>
      <w:r w:rsidR="007A3915" w:rsidRPr="00F6508D">
        <w:rPr>
          <w:rFonts w:asciiTheme="minorHAnsi" w:hAnsiTheme="minorHAnsi" w:cstheme="minorHAnsi"/>
          <w:szCs w:val="24"/>
        </w:rPr>
        <w:t>Regulations</w:t>
      </w:r>
      <w:r w:rsidRPr="00F6508D">
        <w:rPr>
          <w:rFonts w:asciiTheme="minorHAnsi" w:hAnsiTheme="minorHAnsi" w:cstheme="minorHAnsi"/>
          <w:szCs w:val="24"/>
        </w:rPr>
        <w:t xml:space="preserve"> contain </w:t>
      </w:r>
      <w:proofErr w:type="gramStart"/>
      <w:r w:rsidRPr="00F6508D">
        <w:rPr>
          <w:rFonts w:asciiTheme="minorHAnsi" w:hAnsiTheme="minorHAnsi" w:cstheme="minorHAnsi"/>
          <w:szCs w:val="24"/>
        </w:rPr>
        <w:t>a number of</w:t>
      </w:r>
      <w:proofErr w:type="gramEnd"/>
      <w:r w:rsidRPr="00F6508D">
        <w:rPr>
          <w:rFonts w:asciiTheme="minorHAnsi" w:hAnsiTheme="minorHAnsi" w:cstheme="minorHAnsi"/>
          <w:szCs w:val="24"/>
        </w:rPr>
        <w:t xml:space="preserve"> provisions concerning the conditions and calculations of Commonwealth financial assistance to </w:t>
      </w:r>
      <w:r w:rsidR="00891444" w:rsidRPr="00F6508D">
        <w:rPr>
          <w:rFonts w:asciiTheme="minorHAnsi" w:hAnsiTheme="minorHAnsi" w:cstheme="minorHAnsi"/>
          <w:szCs w:val="24"/>
        </w:rPr>
        <w:t>s</w:t>
      </w:r>
      <w:r w:rsidRPr="00F6508D">
        <w:rPr>
          <w:rFonts w:asciiTheme="minorHAnsi" w:hAnsiTheme="minorHAnsi" w:cstheme="minorHAnsi"/>
          <w:szCs w:val="24"/>
        </w:rPr>
        <w:t xml:space="preserve">tates and </w:t>
      </w:r>
      <w:r w:rsidR="00891444" w:rsidRPr="00F6508D">
        <w:rPr>
          <w:rFonts w:asciiTheme="minorHAnsi" w:hAnsiTheme="minorHAnsi" w:cstheme="minorHAnsi"/>
          <w:szCs w:val="24"/>
        </w:rPr>
        <w:t>t</w:t>
      </w:r>
      <w:r w:rsidRPr="00F6508D">
        <w:rPr>
          <w:rFonts w:asciiTheme="minorHAnsi" w:hAnsiTheme="minorHAnsi" w:cstheme="minorHAnsi"/>
          <w:szCs w:val="24"/>
        </w:rPr>
        <w:t>erritories for schools</w:t>
      </w:r>
      <w:r w:rsidR="00303D94">
        <w:rPr>
          <w:rFonts w:asciiTheme="minorHAnsi" w:hAnsiTheme="minorHAnsi" w:cstheme="minorHAnsi"/>
          <w:szCs w:val="24"/>
        </w:rPr>
        <w:t xml:space="preserve"> and</w:t>
      </w:r>
      <w:r w:rsidRPr="00F6508D">
        <w:rPr>
          <w:rFonts w:asciiTheme="minorHAnsi" w:hAnsiTheme="minorHAnsi" w:cstheme="minorHAnsi"/>
          <w:szCs w:val="24"/>
        </w:rPr>
        <w:t xml:space="preserve"> matters relevant to the effective and efficient administration of that assistance</w:t>
      </w:r>
      <w:r w:rsidR="00303D94">
        <w:rPr>
          <w:rFonts w:asciiTheme="minorHAnsi" w:hAnsiTheme="minorHAnsi" w:cstheme="minorHAnsi"/>
          <w:szCs w:val="24"/>
        </w:rPr>
        <w:t>.</w:t>
      </w:r>
    </w:p>
    <w:p w14:paraId="7AC879EA" w14:textId="77777777" w:rsidR="007A3915" w:rsidRDefault="00FB2F1F" w:rsidP="007A3915">
      <w:pPr>
        <w:rPr>
          <w:rFonts w:asciiTheme="minorHAnsi" w:hAnsiTheme="minorHAnsi" w:cstheme="minorHAnsi"/>
        </w:rPr>
      </w:pPr>
      <w:r w:rsidRPr="00F6508D">
        <w:rPr>
          <w:rFonts w:asciiTheme="minorHAnsi" w:hAnsiTheme="minorHAnsi" w:cstheme="minorHAnsi"/>
        </w:rPr>
        <w:t>Subparagraphs 31(1)(d)(ii) and 36(7)(c)(ii)</w:t>
      </w:r>
      <w:r w:rsidR="00B27209">
        <w:rPr>
          <w:rFonts w:asciiTheme="minorHAnsi" w:hAnsiTheme="minorHAnsi" w:cstheme="minorHAnsi"/>
        </w:rPr>
        <w:t xml:space="preserve"> of the Regulations</w:t>
      </w:r>
      <w:r w:rsidR="00D5169B" w:rsidRPr="00F6508D">
        <w:rPr>
          <w:rFonts w:asciiTheme="minorHAnsi" w:hAnsiTheme="minorHAnsi" w:cstheme="minorHAnsi"/>
        </w:rPr>
        <w:t xml:space="preserve"> empower the Minister to determine by legislative instrument that financial assistance must be s</w:t>
      </w:r>
      <w:r w:rsidR="00AD0771" w:rsidRPr="00F6508D">
        <w:rPr>
          <w:rFonts w:asciiTheme="minorHAnsi" w:hAnsiTheme="minorHAnsi" w:cstheme="minorHAnsi"/>
        </w:rPr>
        <w:t>p</w:t>
      </w:r>
      <w:r w:rsidR="00D5169B" w:rsidRPr="00F6508D">
        <w:rPr>
          <w:rFonts w:asciiTheme="minorHAnsi" w:hAnsiTheme="minorHAnsi" w:cstheme="minorHAnsi"/>
        </w:rPr>
        <w:t>ent</w:t>
      </w:r>
      <w:r w:rsidR="00303D94">
        <w:rPr>
          <w:rFonts w:asciiTheme="minorHAnsi" w:hAnsiTheme="minorHAnsi" w:cstheme="minorHAnsi"/>
        </w:rPr>
        <w:t xml:space="preserve">, and </w:t>
      </w:r>
      <w:r w:rsidR="00C84538">
        <w:rPr>
          <w:rFonts w:asciiTheme="minorHAnsi" w:hAnsiTheme="minorHAnsi" w:cstheme="minorHAnsi"/>
        </w:rPr>
        <w:t>reports must be given</w:t>
      </w:r>
      <w:r w:rsidR="00303D94">
        <w:rPr>
          <w:rFonts w:asciiTheme="minorHAnsi" w:hAnsiTheme="minorHAnsi" w:cstheme="minorHAnsi"/>
        </w:rPr>
        <w:t>,</w:t>
      </w:r>
      <w:r w:rsidR="00D5169B" w:rsidRPr="00F6508D">
        <w:rPr>
          <w:rFonts w:asciiTheme="minorHAnsi" w:hAnsiTheme="minorHAnsi" w:cstheme="minorHAnsi"/>
        </w:rPr>
        <w:t xml:space="preserve"> in accordance with a</w:t>
      </w:r>
      <w:r w:rsidR="008637BC" w:rsidRPr="00F6508D">
        <w:rPr>
          <w:rFonts w:asciiTheme="minorHAnsi" w:hAnsiTheme="minorHAnsi" w:cstheme="minorHAnsi"/>
        </w:rPr>
        <w:t>ny</w:t>
      </w:r>
      <w:r w:rsidR="00D5169B" w:rsidRPr="00F6508D">
        <w:rPr>
          <w:rFonts w:asciiTheme="minorHAnsi" w:hAnsiTheme="minorHAnsi" w:cstheme="minorHAnsi"/>
        </w:rPr>
        <w:t xml:space="preserve"> written arrangements between the Secretary and a non-government representative body relating to financial assistance payable </w:t>
      </w:r>
      <w:r w:rsidR="00025F96">
        <w:rPr>
          <w:rFonts w:asciiTheme="minorHAnsi" w:hAnsiTheme="minorHAnsi" w:cstheme="minorHAnsi"/>
        </w:rPr>
        <w:t>for</w:t>
      </w:r>
      <w:r w:rsidR="00025F96" w:rsidRPr="00F6508D">
        <w:rPr>
          <w:rFonts w:asciiTheme="minorHAnsi" w:hAnsiTheme="minorHAnsi" w:cstheme="minorHAnsi"/>
        </w:rPr>
        <w:t xml:space="preserve"> </w:t>
      </w:r>
      <w:r w:rsidR="00D5169B" w:rsidRPr="00F6508D">
        <w:rPr>
          <w:rFonts w:asciiTheme="minorHAnsi" w:hAnsiTheme="minorHAnsi" w:cstheme="minorHAnsi"/>
        </w:rPr>
        <w:t xml:space="preserve">the body. </w:t>
      </w:r>
    </w:p>
    <w:p w14:paraId="4CBA93AD" w14:textId="4A223BA7" w:rsidR="00B27209" w:rsidRDefault="00B27209" w:rsidP="00456B90">
      <w:pPr>
        <w:rPr>
          <w:rFonts w:asciiTheme="minorHAnsi" w:hAnsiTheme="minorHAnsi" w:cstheme="minorHAnsi"/>
          <w:szCs w:val="24"/>
        </w:rPr>
      </w:pPr>
      <w:r>
        <w:rPr>
          <w:rFonts w:asciiTheme="minorHAnsi" w:hAnsiTheme="minorHAnsi" w:cstheme="minorHAnsi"/>
          <w:szCs w:val="24"/>
        </w:rPr>
        <w:t xml:space="preserve">The </w:t>
      </w:r>
      <w:r>
        <w:rPr>
          <w:rFonts w:asciiTheme="minorHAnsi" w:hAnsiTheme="minorHAnsi" w:cstheme="minorHAnsi"/>
          <w:i/>
          <w:iCs/>
          <w:szCs w:val="24"/>
        </w:rPr>
        <w:t xml:space="preserve">Australian Education Regulations (Prescription of Guidelines and Documents) Determination 2024 </w:t>
      </w:r>
      <w:r>
        <w:rPr>
          <w:rFonts w:asciiTheme="minorHAnsi" w:hAnsiTheme="minorHAnsi" w:cstheme="minorHAnsi"/>
          <w:szCs w:val="24"/>
        </w:rPr>
        <w:t>(the Principal Determination) prescribes certain guidelines</w:t>
      </w:r>
      <w:r w:rsidR="00901529">
        <w:rPr>
          <w:rFonts w:asciiTheme="minorHAnsi" w:hAnsiTheme="minorHAnsi" w:cstheme="minorHAnsi"/>
          <w:szCs w:val="24"/>
        </w:rPr>
        <w:t>,</w:t>
      </w:r>
      <w:r>
        <w:rPr>
          <w:rFonts w:asciiTheme="minorHAnsi" w:hAnsiTheme="minorHAnsi" w:cstheme="minorHAnsi"/>
          <w:szCs w:val="24"/>
        </w:rPr>
        <w:t xml:space="preserve"> documents </w:t>
      </w:r>
      <w:r w:rsidR="00901529">
        <w:rPr>
          <w:rFonts w:asciiTheme="minorHAnsi" w:hAnsiTheme="minorHAnsi" w:cstheme="minorHAnsi"/>
          <w:szCs w:val="24"/>
        </w:rPr>
        <w:t xml:space="preserve">and written arrangements </w:t>
      </w:r>
      <w:r>
        <w:rPr>
          <w:rFonts w:asciiTheme="minorHAnsi" w:hAnsiTheme="minorHAnsi" w:cstheme="minorHAnsi"/>
          <w:szCs w:val="24"/>
        </w:rPr>
        <w:t>for the purposes of the Regulations</w:t>
      </w:r>
      <w:r w:rsidR="00204A43">
        <w:rPr>
          <w:rFonts w:asciiTheme="minorHAnsi" w:hAnsiTheme="minorHAnsi" w:cstheme="minorHAnsi"/>
          <w:szCs w:val="24"/>
        </w:rPr>
        <w:t xml:space="preserve"> that are prepared and published specifically for the purposes of the Regulations.</w:t>
      </w:r>
      <w:r w:rsidR="00590B82">
        <w:rPr>
          <w:rFonts w:asciiTheme="minorHAnsi" w:hAnsiTheme="minorHAnsi" w:cstheme="minorHAnsi"/>
          <w:szCs w:val="24"/>
        </w:rPr>
        <w:t xml:space="preserve"> Section 7 of the Principal Determination </w:t>
      </w:r>
      <w:bookmarkStart w:id="0" w:name="_Hlk201672465"/>
      <w:r w:rsidR="00195ECF">
        <w:rPr>
          <w:rFonts w:asciiTheme="minorHAnsi" w:hAnsiTheme="minorHAnsi" w:cstheme="minorHAnsi"/>
          <w:szCs w:val="24"/>
        </w:rPr>
        <w:t xml:space="preserve">determines, for the purposes of purposes of subparagraphs 31(1)(d)(ii) and 36(7)(c)(ii) of the Regulations, written arrangements between the Secretary and a </w:t>
      </w:r>
      <w:r w:rsidR="00590B82">
        <w:rPr>
          <w:rFonts w:asciiTheme="minorHAnsi" w:hAnsiTheme="minorHAnsi" w:cstheme="minorHAnsi"/>
          <w:szCs w:val="24"/>
        </w:rPr>
        <w:t>non-government representative body</w:t>
      </w:r>
      <w:r w:rsidR="00195ECF">
        <w:rPr>
          <w:rFonts w:asciiTheme="minorHAnsi" w:hAnsiTheme="minorHAnsi" w:cstheme="minorHAnsi"/>
          <w:szCs w:val="24"/>
        </w:rPr>
        <w:t xml:space="preserve"> </w:t>
      </w:r>
      <w:r w:rsidR="00063EC9">
        <w:rPr>
          <w:rFonts w:asciiTheme="minorHAnsi" w:hAnsiTheme="minorHAnsi" w:cstheme="minorHAnsi"/>
          <w:szCs w:val="24"/>
        </w:rPr>
        <w:t xml:space="preserve">that </w:t>
      </w:r>
      <w:r w:rsidR="00195ECF">
        <w:rPr>
          <w:rFonts w:asciiTheme="minorHAnsi" w:hAnsiTheme="minorHAnsi" w:cstheme="minorHAnsi"/>
          <w:szCs w:val="24"/>
        </w:rPr>
        <w:t>financial assistance payable to the body under Division 4 of Part 5 of the Act</w:t>
      </w:r>
      <w:r w:rsidR="00063EC9">
        <w:rPr>
          <w:rFonts w:asciiTheme="minorHAnsi" w:hAnsiTheme="minorHAnsi" w:cstheme="minorHAnsi"/>
          <w:szCs w:val="24"/>
        </w:rPr>
        <w:t xml:space="preserve"> must be spent, and reports must be given, in accordance with</w:t>
      </w:r>
      <w:r w:rsidR="00195ECF">
        <w:rPr>
          <w:rFonts w:asciiTheme="minorHAnsi" w:hAnsiTheme="minorHAnsi" w:cstheme="minorHAnsi"/>
          <w:szCs w:val="24"/>
        </w:rPr>
        <w:t>.</w:t>
      </w:r>
    </w:p>
    <w:bookmarkEnd w:id="0"/>
    <w:p w14:paraId="2E1DE8E2" w14:textId="06346CC3" w:rsidR="00614499" w:rsidRDefault="005B3EFF" w:rsidP="00456B90">
      <w:pPr>
        <w:rPr>
          <w:rFonts w:asciiTheme="minorHAnsi" w:hAnsiTheme="minorHAnsi" w:cstheme="minorHAnsi"/>
          <w:szCs w:val="24"/>
        </w:rPr>
      </w:pPr>
      <w:r>
        <w:rPr>
          <w:rFonts w:asciiTheme="minorHAnsi" w:hAnsiTheme="minorHAnsi" w:cstheme="minorHAnsi"/>
          <w:szCs w:val="24"/>
        </w:rPr>
        <w:t>Certain bodies were approved as a non-government representative body for Catholic schools in the Australian Capital Territory and the Northern Territory on 1 January 2025, in place of bodies who were previously approved for these schools</w:t>
      </w:r>
      <w:r w:rsidR="003328EF">
        <w:rPr>
          <w:rFonts w:asciiTheme="minorHAnsi" w:hAnsiTheme="minorHAnsi" w:cstheme="minorHAnsi"/>
          <w:szCs w:val="24"/>
        </w:rPr>
        <w:t xml:space="preserve"> </w:t>
      </w:r>
      <w:r w:rsidR="003328EF" w:rsidRPr="00071E6C">
        <w:rPr>
          <w:rFonts w:asciiTheme="minorHAnsi" w:hAnsiTheme="minorHAnsi" w:cstheme="minorHAnsi"/>
          <w:szCs w:val="24"/>
        </w:rPr>
        <w:t>and the Secretary entered new written arrangements with each of those newly approved non-government representative body</w:t>
      </w:r>
      <w:r>
        <w:rPr>
          <w:rFonts w:asciiTheme="minorHAnsi" w:hAnsiTheme="minorHAnsi" w:cstheme="minorHAnsi"/>
          <w:szCs w:val="24"/>
        </w:rPr>
        <w:t xml:space="preserve">. </w:t>
      </w:r>
      <w:r w:rsidR="00A67A0D">
        <w:rPr>
          <w:rFonts w:asciiTheme="minorHAnsi" w:hAnsiTheme="minorHAnsi" w:cstheme="minorHAnsi"/>
          <w:szCs w:val="24"/>
        </w:rPr>
        <w:t xml:space="preserve">The purpose of </w:t>
      </w:r>
      <w:r w:rsidR="004A3984">
        <w:rPr>
          <w:rFonts w:asciiTheme="minorHAnsi" w:hAnsiTheme="minorHAnsi" w:cstheme="minorHAnsi"/>
          <w:szCs w:val="24"/>
        </w:rPr>
        <w:t xml:space="preserve">Schedule 1 to </w:t>
      </w:r>
      <w:r w:rsidR="00A67A0D">
        <w:rPr>
          <w:rFonts w:asciiTheme="minorHAnsi" w:hAnsiTheme="minorHAnsi" w:cstheme="minorHAnsi"/>
          <w:szCs w:val="24"/>
        </w:rPr>
        <w:t xml:space="preserve">the </w:t>
      </w:r>
      <w:r w:rsidR="00303D94">
        <w:rPr>
          <w:rFonts w:asciiTheme="minorHAnsi" w:hAnsiTheme="minorHAnsi" w:cstheme="minorHAnsi"/>
          <w:szCs w:val="24"/>
        </w:rPr>
        <w:t>A</w:t>
      </w:r>
      <w:r w:rsidR="00A67A0D">
        <w:rPr>
          <w:rFonts w:asciiTheme="minorHAnsi" w:hAnsiTheme="minorHAnsi" w:cstheme="minorHAnsi"/>
          <w:szCs w:val="24"/>
        </w:rPr>
        <w:t xml:space="preserve">mendment </w:t>
      </w:r>
      <w:r w:rsidR="00303D94">
        <w:rPr>
          <w:rFonts w:asciiTheme="minorHAnsi" w:hAnsiTheme="minorHAnsi" w:cstheme="minorHAnsi"/>
          <w:szCs w:val="24"/>
        </w:rPr>
        <w:t>D</w:t>
      </w:r>
      <w:r w:rsidR="00A67A0D">
        <w:rPr>
          <w:rFonts w:asciiTheme="minorHAnsi" w:hAnsiTheme="minorHAnsi" w:cstheme="minorHAnsi"/>
          <w:szCs w:val="24"/>
        </w:rPr>
        <w:t xml:space="preserve">etermination is to </w:t>
      </w:r>
      <w:r w:rsidR="00901529">
        <w:rPr>
          <w:rFonts w:asciiTheme="minorHAnsi" w:hAnsiTheme="minorHAnsi" w:cstheme="minorHAnsi"/>
          <w:szCs w:val="24"/>
        </w:rPr>
        <w:t>amend</w:t>
      </w:r>
      <w:r w:rsidR="00A67A0D">
        <w:rPr>
          <w:rFonts w:asciiTheme="minorHAnsi" w:hAnsiTheme="minorHAnsi" w:cstheme="minorHAnsi"/>
          <w:szCs w:val="24"/>
        </w:rPr>
        <w:t xml:space="preserve"> section 7 of the Principal Determination </w:t>
      </w:r>
      <w:r w:rsidR="00195ECF">
        <w:rPr>
          <w:rFonts w:asciiTheme="minorHAnsi" w:hAnsiTheme="minorHAnsi" w:cstheme="minorHAnsi"/>
          <w:szCs w:val="24"/>
        </w:rPr>
        <w:t xml:space="preserve">to determine for the purposes of purposes of subparagraphs 31(1)(d)(ii) and 36(7)(c)(ii) of the Regulations, </w:t>
      </w:r>
      <w:r>
        <w:rPr>
          <w:rFonts w:asciiTheme="minorHAnsi" w:hAnsiTheme="minorHAnsi" w:cstheme="minorHAnsi"/>
          <w:szCs w:val="24"/>
        </w:rPr>
        <w:t xml:space="preserve">the </w:t>
      </w:r>
      <w:r w:rsidR="00195ECF">
        <w:rPr>
          <w:rFonts w:asciiTheme="minorHAnsi" w:hAnsiTheme="minorHAnsi" w:cstheme="minorHAnsi"/>
          <w:szCs w:val="24"/>
        </w:rPr>
        <w:t xml:space="preserve">written arrangement </w:t>
      </w:r>
      <w:r w:rsidR="00614499">
        <w:rPr>
          <w:rFonts w:asciiTheme="minorHAnsi" w:hAnsiTheme="minorHAnsi" w:cstheme="minorHAnsi"/>
          <w:szCs w:val="24"/>
        </w:rPr>
        <w:t>t</w:t>
      </w:r>
      <w:r>
        <w:rPr>
          <w:rFonts w:asciiTheme="minorHAnsi" w:hAnsiTheme="minorHAnsi" w:cstheme="minorHAnsi"/>
          <w:szCs w:val="24"/>
        </w:rPr>
        <w:t xml:space="preserve">hat each new body must </w:t>
      </w:r>
      <w:r w:rsidRPr="00F6508D">
        <w:rPr>
          <w:rFonts w:asciiTheme="minorHAnsi" w:hAnsiTheme="minorHAnsi" w:cstheme="minorHAnsi"/>
        </w:rPr>
        <w:t>be spen</w:t>
      </w:r>
      <w:r>
        <w:rPr>
          <w:rFonts w:asciiTheme="minorHAnsi" w:hAnsiTheme="minorHAnsi" w:cstheme="minorHAnsi"/>
        </w:rPr>
        <w:t xml:space="preserve">d </w:t>
      </w:r>
      <w:r>
        <w:rPr>
          <w:rFonts w:asciiTheme="minorHAnsi" w:hAnsiTheme="minorHAnsi" w:cstheme="minorHAnsi"/>
          <w:szCs w:val="24"/>
        </w:rPr>
        <w:t>financial assistance payable to the body under Division 4 of Part 5 of the Act</w:t>
      </w:r>
      <w:r>
        <w:rPr>
          <w:rFonts w:asciiTheme="minorHAnsi" w:hAnsiTheme="minorHAnsi" w:cstheme="minorHAnsi"/>
        </w:rPr>
        <w:t>, and give reports,</w:t>
      </w:r>
      <w:r w:rsidRPr="00F6508D">
        <w:rPr>
          <w:rFonts w:asciiTheme="minorHAnsi" w:hAnsiTheme="minorHAnsi" w:cstheme="minorHAnsi"/>
        </w:rPr>
        <w:t xml:space="preserve"> in accordance with</w:t>
      </w:r>
      <w:r>
        <w:rPr>
          <w:rFonts w:asciiTheme="minorHAnsi" w:hAnsiTheme="minorHAnsi" w:cstheme="minorHAnsi"/>
          <w:szCs w:val="24"/>
        </w:rPr>
        <w:t>.</w:t>
      </w:r>
    </w:p>
    <w:p w14:paraId="549F5509" w14:textId="32A77A36" w:rsidR="00456B90" w:rsidRPr="00F6508D" w:rsidRDefault="00456B90" w:rsidP="00456B90">
      <w:pPr>
        <w:rPr>
          <w:rFonts w:asciiTheme="minorHAnsi" w:hAnsiTheme="minorHAnsi" w:cstheme="minorHAnsi"/>
          <w:szCs w:val="24"/>
        </w:rPr>
      </w:pPr>
    </w:p>
    <w:p w14:paraId="7F8E2351" w14:textId="77777777" w:rsidR="00FB6C98" w:rsidRPr="00F6508D" w:rsidRDefault="009E67DD" w:rsidP="00456B90">
      <w:pPr>
        <w:rPr>
          <w:rFonts w:asciiTheme="minorHAnsi" w:hAnsiTheme="minorHAnsi" w:cstheme="minorHAnsi"/>
          <w:szCs w:val="24"/>
        </w:rPr>
      </w:pPr>
      <w:r w:rsidRPr="00F6508D">
        <w:rPr>
          <w:rFonts w:asciiTheme="minorHAnsi" w:hAnsiTheme="minorHAnsi" w:cstheme="minorHAnsi"/>
          <w:b/>
          <w:bCs/>
        </w:rPr>
        <w:t>CONSULTATION</w:t>
      </w:r>
      <w:r w:rsidRPr="00F6508D">
        <w:rPr>
          <w:rFonts w:asciiTheme="minorHAnsi" w:hAnsiTheme="minorHAnsi" w:cstheme="minorHAnsi"/>
        </w:rPr>
        <w:t xml:space="preserve"> </w:t>
      </w:r>
    </w:p>
    <w:p w14:paraId="4EB3E65E" w14:textId="271D34D0" w:rsidR="00D225A4" w:rsidRPr="00D225A4" w:rsidRDefault="00D225A4" w:rsidP="00D225A4">
      <w:pPr>
        <w:spacing w:line="259" w:lineRule="auto"/>
        <w:rPr>
          <w:rFonts w:asciiTheme="minorHAnsi" w:hAnsiTheme="minorHAnsi" w:cstheme="minorHAnsi"/>
          <w:szCs w:val="24"/>
        </w:rPr>
      </w:pPr>
      <w:r w:rsidRPr="00D225A4">
        <w:rPr>
          <w:rFonts w:asciiTheme="minorHAnsi" w:hAnsiTheme="minorHAnsi" w:cstheme="minorHAnsi"/>
          <w:szCs w:val="24"/>
        </w:rPr>
        <w:t xml:space="preserve">The </w:t>
      </w:r>
      <w:r w:rsidR="00F35D87">
        <w:rPr>
          <w:rFonts w:asciiTheme="minorHAnsi" w:hAnsiTheme="minorHAnsi" w:cstheme="minorHAnsi"/>
          <w:szCs w:val="24"/>
        </w:rPr>
        <w:t>Department of Education</w:t>
      </w:r>
      <w:r w:rsidRPr="00D225A4">
        <w:rPr>
          <w:rFonts w:asciiTheme="minorHAnsi" w:hAnsiTheme="minorHAnsi" w:cstheme="minorHAnsi"/>
          <w:szCs w:val="24"/>
        </w:rPr>
        <w:t xml:space="preserve"> wrote to </w:t>
      </w:r>
      <w:r w:rsidR="00BE6404" w:rsidRPr="00BE6404">
        <w:rPr>
          <w:rFonts w:asciiTheme="minorHAnsi" w:hAnsiTheme="minorHAnsi" w:cstheme="minorHAnsi"/>
          <w:szCs w:val="24"/>
        </w:rPr>
        <w:t xml:space="preserve">the non-government representative body for Catholic schools in the Australian Capital Territory and the non-government representative body for Catholic schools in the Northern Territory </w:t>
      </w:r>
      <w:r w:rsidRPr="00D225A4">
        <w:rPr>
          <w:rFonts w:asciiTheme="minorHAnsi" w:hAnsiTheme="minorHAnsi" w:cstheme="minorHAnsi"/>
          <w:szCs w:val="24"/>
        </w:rPr>
        <w:t xml:space="preserve">on 26 August 2025 to formally consult on the </w:t>
      </w:r>
      <w:r w:rsidR="00B27BE3">
        <w:rPr>
          <w:rFonts w:asciiTheme="minorHAnsi" w:hAnsiTheme="minorHAnsi" w:cstheme="minorHAnsi"/>
          <w:szCs w:val="24"/>
        </w:rPr>
        <w:t>Amendment Determination</w:t>
      </w:r>
      <w:r w:rsidRPr="00D225A4">
        <w:rPr>
          <w:rFonts w:asciiTheme="minorHAnsi" w:hAnsiTheme="minorHAnsi" w:cstheme="minorHAnsi"/>
          <w:szCs w:val="24"/>
        </w:rPr>
        <w:t xml:space="preserve">. The </w:t>
      </w:r>
      <w:r w:rsidR="009E5395">
        <w:rPr>
          <w:rFonts w:asciiTheme="minorHAnsi" w:hAnsiTheme="minorHAnsi" w:cstheme="minorHAnsi"/>
          <w:szCs w:val="24"/>
        </w:rPr>
        <w:t>Amendment Determination</w:t>
      </w:r>
      <w:r w:rsidR="00BF309F">
        <w:rPr>
          <w:rFonts w:asciiTheme="minorHAnsi" w:hAnsiTheme="minorHAnsi" w:cstheme="minorHAnsi"/>
          <w:szCs w:val="24"/>
        </w:rPr>
        <w:t xml:space="preserve"> </w:t>
      </w:r>
      <w:r w:rsidR="009E5395">
        <w:rPr>
          <w:rFonts w:asciiTheme="minorHAnsi" w:hAnsiTheme="minorHAnsi" w:cstheme="minorHAnsi"/>
          <w:szCs w:val="24"/>
        </w:rPr>
        <w:t>was</w:t>
      </w:r>
      <w:r w:rsidRPr="00D225A4">
        <w:rPr>
          <w:rFonts w:asciiTheme="minorHAnsi" w:hAnsiTheme="minorHAnsi" w:cstheme="minorHAnsi"/>
          <w:szCs w:val="24"/>
        </w:rPr>
        <w:t xml:space="preserve"> also provided to the </w:t>
      </w:r>
      <w:r w:rsidR="00DF08F4">
        <w:rPr>
          <w:rFonts w:asciiTheme="minorHAnsi" w:hAnsiTheme="minorHAnsi" w:cstheme="minorHAnsi"/>
          <w:szCs w:val="24"/>
        </w:rPr>
        <w:t>other</w:t>
      </w:r>
      <w:r w:rsidR="00DF08F4" w:rsidRPr="00D225A4">
        <w:rPr>
          <w:rFonts w:asciiTheme="minorHAnsi" w:hAnsiTheme="minorHAnsi" w:cstheme="minorHAnsi"/>
          <w:szCs w:val="24"/>
        </w:rPr>
        <w:t xml:space="preserve"> </w:t>
      </w:r>
      <w:r w:rsidRPr="00D225A4">
        <w:rPr>
          <w:rFonts w:asciiTheme="minorHAnsi" w:hAnsiTheme="minorHAnsi" w:cstheme="minorHAnsi"/>
          <w:szCs w:val="24"/>
        </w:rPr>
        <w:t xml:space="preserve">14 non-government representative bodies. No issues concerning the </w:t>
      </w:r>
      <w:r w:rsidR="00B166E7">
        <w:rPr>
          <w:rFonts w:asciiTheme="minorHAnsi" w:hAnsiTheme="minorHAnsi" w:cstheme="minorHAnsi"/>
          <w:szCs w:val="24"/>
        </w:rPr>
        <w:t>Amendment Determination</w:t>
      </w:r>
      <w:r w:rsidR="00B166E7" w:rsidRPr="00D225A4">
        <w:rPr>
          <w:rFonts w:asciiTheme="minorHAnsi" w:hAnsiTheme="minorHAnsi" w:cstheme="minorHAnsi"/>
          <w:szCs w:val="24"/>
        </w:rPr>
        <w:t xml:space="preserve"> </w:t>
      </w:r>
      <w:r w:rsidRPr="00D225A4">
        <w:rPr>
          <w:rFonts w:asciiTheme="minorHAnsi" w:hAnsiTheme="minorHAnsi" w:cstheme="minorHAnsi"/>
          <w:szCs w:val="24"/>
        </w:rPr>
        <w:t xml:space="preserve">were raised with the Department of Education, and no changes to the </w:t>
      </w:r>
      <w:r w:rsidR="004D16A8">
        <w:rPr>
          <w:rFonts w:asciiTheme="minorHAnsi" w:hAnsiTheme="minorHAnsi" w:cstheme="minorHAnsi"/>
          <w:szCs w:val="24"/>
        </w:rPr>
        <w:t xml:space="preserve">Amendment </w:t>
      </w:r>
      <w:r w:rsidRPr="00D225A4">
        <w:rPr>
          <w:rFonts w:asciiTheme="minorHAnsi" w:hAnsiTheme="minorHAnsi" w:cstheme="minorHAnsi"/>
          <w:szCs w:val="24"/>
        </w:rPr>
        <w:t>Determination were requested.</w:t>
      </w:r>
    </w:p>
    <w:p w14:paraId="5FF4FABC" w14:textId="77777777" w:rsidR="00B7709A" w:rsidRPr="00F6508D" w:rsidRDefault="00B7709A">
      <w:pPr>
        <w:spacing w:line="259" w:lineRule="auto"/>
        <w:rPr>
          <w:rFonts w:asciiTheme="minorHAnsi" w:hAnsiTheme="minorHAnsi" w:cstheme="minorHAnsi"/>
          <w:b/>
          <w:bCs/>
          <w:szCs w:val="24"/>
          <w:u w:val="single"/>
        </w:rPr>
      </w:pPr>
      <w:r w:rsidRPr="00F6508D">
        <w:rPr>
          <w:rFonts w:asciiTheme="minorHAnsi" w:hAnsiTheme="minorHAnsi" w:cstheme="minorHAnsi"/>
          <w:b/>
          <w:bCs/>
          <w:szCs w:val="24"/>
          <w:u w:val="single"/>
        </w:rPr>
        <w:br w:type="page"/>
      </w:r>
    </w:p>
    <w:p w14:paraId="5443F92E" w14:textId="77777777" w:rsidR="00456B90" w:rsidRPr="00F6508D" w:rsidRDefault="009E67DD" w:rsidP="00064EF4">
      <w:pPr>
        <w:pStyle w:val="Subtitle"/>
        <w:rPr>
          <w:rFonts w:asciiTheme="minorHAnsi" w:hAnsiTheme="minorHAnsi" w:cstheme="minorHAnsi"/>
          <w:u w:val="none"/>
        </w:rPr>
      </w:pPr>
      <w:r w:rsidRPr="00F6508D">
        <w:rPr>
          <w:rFonts w:asciiTheme="minorHAnsi" w:hAnsiTheme="minorHAnsi" w:cstheme="minorHAnsi"/>
          <w:u w:val="none"/>
        </w:rPr>
        <w:lastRenderedPageBreak/>
        <w:t>STATEMENT OF COMPATIBILITY WITH HUMAN RIGHTS</w:t>
      </w:r>
    </w:p>
    <w:p w14:paraId="4EBB2F5A" w14:textId="77777777" w:rsidR="00456B90" w:rsidRPr="00F6508D" w:rsidRDefault="00456B90" w:rsidP="00456B90">
      <w:pPr>
        <w:jc w:val="center"/>
        <w:rPr>
          <w:rFonts w:asciiTheme="minorHAnsi" w:hAnsiTheme="minorHAnsi" w:cstheme="minorHAnsi"/>
          <w:i/>
          <w:iCs/>
          <w:szCs w:val="24"/>
        </w:rPr>
      </w:pPr>
      <w:r w:rsidRPr="00F6508D">
        <w:rPr>
          <w:rFonts w:asciiTheme="minorHAnsi" w:hAnsiTheme="minorHAnsi" w:cstheme="minorHAnsi"/>
          <w:i/>
          <w:iCs/>
          <w:szCs w:val="24"/>
        </w:rPr>
        <w:t>Prepared in accordance with Part 3 of the Human Rights (Parliamentary Scrutiny) Act 2011</w:t>
      </w:r>
    </w:p>
    <w:p w14:paraId="7E148122" w14:textId="77777777" w:rsidR="00B7709A" w:rsidRPr="000632A4" w:rsidRDefault="00B7709A" w:rsidP="00B7709A">
      <w:pPr>
        <w:jc w:val="center"/>
        <w:rPr>
          <w:rFonts w:asciiTheme="minorHAnsi" w:hAnsiTheme="minorHAnsi" w:cstheme="minorHAnsi"/>
          <w:szCs w:val="24"/>
        </w:rPr>
      </w:pPr>
      <w:bookmarkStart w:id="1" w:name="_Hlk174353380"/>
      <w:r w:rsidRPr="00185498">
        <w:rPr>
          <w:rFonts w:asciiTheme="minorHAnsi" w:hAnsiTheme="minorHAnsi" w:cstheme="minorHAnsi"/>
          <w:i/>
          <w:iCs/>
          <w:szCs w:val="24"/>
        </w:rPr>
        <w:t>Australian Education</w:t>
      </w:r>
      <w:r w:rsidR="00104EE8" w:rsidRPr="00185498">
        <w:rPr>
          <w:rFonts w:asciiTheme="minorHAnsi" w:hAnsiTheme="minorHAnsi" w:cstheme="minorHAnsi"/>
          <w:i/>
          <w:iCs/>
          <w:szCs w:val="24"/>
        </w:rPr>
        <w:t xml:space="preserve"> Regulations</w:t>
      </w:r>
      <w:r w:rsidRPr="00185498">
        <w:rPr>
          <w:rFonts w:asciiTheme="minorHAnsi" w:hAnsiTheme="minorHAnsi" w:cstheme="minorHAnsi"/>
          <w:i/>
          <w:iCs/>
          <w:szCs w:val="24"/>
        </w:rPr>
        <w:t xml:space="preserve"> (</w:t>
      </w:r>
      <w:r w:rsidR="00FE43DC" w:rsidRPr="00185498">
        <w:rPr>
          <w:rFonts w:asciiTheme="minorHAnsi" w:hAnsiTheme="minorHAnsi" w:cstheme="minorHAnsi"/>
          <w:i/>
          <w:iCs/>
          <w:szCs w:val="24"/>
        </w:rPr>
        <w:t>Revised</w:t>
      </w:r>
      <w:r w:rsidR="00880C20" w:rsidRPr="00185498">
        <w:rPr>
          <w:rFonts w:asciiTheme="minorHAnsi" w:hAnsiTheme="minorHAnsi" w:cstheme="minorHAnsi"/>
          <w:i/>
          <w:iCs/>
          <w:szCs w:val="24"/>
        </w:rPr>
        <w:t xml:space="preserve"> Written Arrangements with Non-government </w:t>
      </w:r>
      <w:r w:rsidR="00880C20" w:rsidRPr="000632A4">
        <w:rPr>
          <w:rFonts w:asciiTheme="minorHAnsi" w:hAnsiTheme="minorHAnsi" w:cstheme="minorHAnsi"/>
          <w:i/>
          <w:iCs/>
          <w:szCs w:val="24"/>
        </w:rPr>
        <w:t>Representative Bodies</w:t>
      </w:r>
      <w:r w:rsidRPr="000632A4">
        <w:rPr>
          <w:rFonts w:asciiTheme="minorHAnsi" w:hAnsiTheme="minorHAnsi" w:cstheme="minorHAnsi"/>
          <w:i/>
          <w:iCs/>
          <w:szCs w:val="24"/>
        </w:rPr>
        <w:t>)</w:t>
      </w:r>
      <w:r w:rsidR="00901529" w:rsidRPr="000632A4">
        <w:rPr>
          <w:rFonts w:asciiTheme="minorHAnsi" w:hAnsiTheme="minorHAnsi" w:cstheme="minorHAnsi"/>
          <w:i/>
          <w:iCs/>
          <w:szCs w:val="24"/>
        </w:rPr>
        <w:t xml:space="preserve"> Amendment</w:t>
      </w:r>
      <w:r w:rsidRPr="000632A4">
        <w:rPr>
          <w:rFonts w:asciiTheme="minorHAnsi" w:hAnsiTheme="minorHAnsi" w:cstheme="minorHAnsi"/>
          <w:i/>
          <w:iCs/>
          <w:szCs w:val="24"/>
        </w:rPr>
        <w:t xml:space="preserve"> Determination 202</w:t>
      </w:r>
      <w:r w:rsidR="00901529" w:rsidRPr="000632A4">
        <w:rPr>
          <w:rFonts w:asciiTheme="minorHAnsi" w:hAnsiTheme="minorHAnsi" w:cstheme="minorHAnsi"/>
          <w:i/>
          <w:iCs/>
          <w:szCs w:val="24"/>
        </w:rPr>
        <w:t>5</w:t>
      </w:r>
    </w:p>
    <w:bookmarkEnd w:id="1"/>
    <w:p w14:paraId="73AAF5B3" w14:textId="77777777" w:rsidR="00456B90" w:rsidRPr="000632A4" w:rsidRDefault="00456B90" w:rsidP="00456B90">
      <w:pPr>
        <w:rPr>
          <w:rFonts w:asciiTheme="minorHAnsi" w:hAnsiTheme="minorHAnsi" w:cstheme="minorHAnsi"/>
          <w:szCs w:val="24"/>
        </w:rPr>
      </w:pPr>
      <w:r w:rsidRPr="000632A4">
        <w:rPr>
          <w:rFonts w:asciiTheme="minorHAnsi" w:hAnsiTheme="minorHAnsi" w:cstheme="minorHAnsi"/>
          <w:szCs w:val="24"/>
        </w:rPr>
        <w:t xml:space="preserve">The </w:t>
      </w:r>
      <w:r w:rsidR="00B7709A" w:rsidRPr="000632A4">
        <w:rPr>
          <w:rFonts w:asciiTheme="minorHAnsi" w:hAnsiTheme="minorHAnsi" w:cstheme="minorHAnsi"/>
          <w:i/>
          <w:iCs/>
          <w:szCs w:val="24"/>
        </w:rPr>
        <w:t xml:space="preserve">Australian Education </w:t>
      </w:r>
      <w:r w:rsidR="00104EE8" w:rsidRPr="000632A4">
        <w:rPr>
          <w:rFonts w:asciiTheme="minorHAnsi" w:hAnsiTheme="minorHAnsi" w:cstheme="minorHAnsi"/>
          <w:i/>
          <w:iCs/>
          <w:szCs w:val="24"/>
        </w:rPr>
        <w:t xml:space="preserve">Regulations </w:t>
      </w:r>
      <w:r w:rsidR="00B7709A" w:rsidRPr="000632A4">
        <w:rPr>
          <w:rFonts w:asciiTheme="minorHAnsi" w:hAnsiTheme="minorHAnsi" w:cstheme="minorHAnsi"/>
          <w:i/>
          <w:iCs/>
          <w:szCs w:val="24"/>
        </w:rPr>
        <w:t>(</w:t>
      </w:r>
      <w:bookmarkStart w:id="2" w:name="_Hlk186799794"/>
      <w:r w:rsidR="00FE43DC" w:rsidRPr="000632A4">
        <w:rPr>
          <w:rFonts w:asciiTheme="minorHAnsi" w:hAnsiTheme="minorHAnsi" w:cstheme="minorHAnsi"/>
          <w:i/>
          <w:iCs/>
          <w:szCs w:val="24"/>
        </w:rPr>
        <w:t>Revised</w:t>
      </w:r>
      <w:r w:rsidR="00880C20" w:rsidRPr="000632A4">
        <w:rPr>
          <w:rFonts w:asciiTheme="minorHAnsi" w:hAnsiTheme="minorHAnsi" w:cstheme="minorHAnsi"/>
          <w:i/>
          <w:iCs/>
          <w:szCs w:val="24"/>
        </w:rPr>
        <w:t xml:space="preserve"> Written Arrangements with Non-government Representative Bodies</w:t>
      </w:r>
      <w:bookmarkEnd w:id="2"/>
      <w:r w:rsidR="00B7709A" w:rsidRPr="000632A4">
        <w:rPr>
          <w:rFonts w:asciiTheme="minorHAnsi" w:hAnsiTheme="minorHAnsi" w:cstheme="minorHAnsi"/>
          <w:i/>
          <w:iCs/>
          <w:szCs w:val="24"/>
        </w:rPr>
        <w:t xml:space="preserve">) </w:t>
      </w:r>
      <w:r w:rsidR="00901529" w:rsidRPr="000632A4">
        <w:rPr>
          <w:rFonts w:asciiTheme="minorHAnsi" w:hAnsiTheme="minorHAnsi" w:cstheme="minorHAnsi"/>
          <w:i/>
          <w:iCs/>
          <w:szCs w:val="24"/>
        </w:rPr>
        <w:t xml:space="preserve">Amendment </w:t>
      </w:r>
      <w:r w:rsidR="00B7709A" w:rsidRPr="000632A4">
        <w:rPr>
          <w:rFonts w:asciiTheme="minorHAnsi" w:hAnsiTheme="minorHAnsi" w:cstheme="minorHAnsi"/>
          <w:i/>
          <w:iCs/>
          <w:szCs w:val="24"/>
        </w:rPr>
        <w:t>Determination 202</w:t>
      </w:r>
      <w:r w:rsidR="00901529" w:rsidRPr="000632A4">
        <w:rPr>
          <w:rFonts w:asciiTheme="minorHAnsi" w:hAnsiTheme="minorHAnsi" w:cstheme="minorHAnsi"/>
          <w:i/>
          <w:iCs/>
          <w:szCs w:val="24"/>
        </w:rPr>
        <w:t>5</w:t>
      </w:r>
      <w:r w:rsidR="00B7709A" w:rsidRPr="000632A4">
        <w:rPr>
          <w:rFonts w:asciiTheme="minorHAnsi" w:hAnsiTheme="minorHAnsi" w:cstheme="minorHAnsi"/>
          <w:szCs w:val="24"/>
        </w:rPr>
        <w:t xml:space="preserve"> </w:t>
      </w:r>
      <w:r w:rsidRPr="000632A4">
        <w:rPr>
          <w:rFonts w:asciiTheme="minorHAnsi" w:hAnsiTheme="minorHAnsi" w:cstheme="minorHAnsi"/>
          <w:szCs w:val="24"/>
        </w:rPr>
        <w:t>(</w:t>
      </w:r>
      <w:r w:rsidR="00B7709A" w:rsidRPr="000632A4">
        <w:rPr>
          <w:rFonts w:asciiTheme="minorHAnsi" w:hAnsiTheme="minorHAnsi" w:cstheme="minorHAnsi"/>
          <w:szCs w:val="24"/>
        </w:rPr>
        <w:t xml:space="preserve">the </w:t>
      </w:r>
      <w:r w:rsidR="00901529" w:rsidRPr="000632A4">
        <w:rPr>
          <w:rFonts w:asciiTheme="minorHAnsi" w:hAnsiTheme="minorHAnsi" w:cstheme="minorHAnsi"/>
          <w:szCs w:val="24"/>
        </w:rPr>
        <w:t xml:space="preserve">Amendment </w:t>
      </w:r>
      <w:r w:rsidR="00B7709A" w:rsidRPr="000632A4">
        <w:rPr>
          <w:rFonts w:asciiTheme="minorHAnsi" w:hAnsiTheme="minorHAnsi" w:cstheme="minorHAnsi"/>
          <w:szCs w:val="24"/>
        </w:rPr>
        <w:t>Determination</w:t>
      </w:r>
      <w:r w:rsidRPr="000632A4">
        <w:rPr>
          <w:rFonts w:asciiTheme="minorHAnsi" w:hAnsiTheme="minorHAnsi" w:cstheme="minorHAnsi"/>
          <w:szCs w:val="24"/>
        </w:rPr>
        <w:t xml:space="preserve">) is compatible with the human rights and freedoms recognised or declared in the international instruments listed in section 3 of the </w:t>
      </w:r>
      <w:r w:rsidRPr="000632A4">
        <w:rPr>
          <w:rFonts w:asciiTheme="minorHAnsi" w:hAnsiTheme="minorHAnsi" w:cstheme="minorHAnsi"/>
          <w:i/>
          <w:iCs/>
          <w:szCs w:val="24"/>
        </w:rPr>
        <w:t>Human Rights (Parliamentary Scrutiny) Act 2011</w:t>
      </w:r>
      <w:r w:rsidRPr="000632A4">
        <w:rPr>
          <w:rFonts w:asciiTheme="minorHAnsi" w:hAnsiTheme="minorHAnsi" w:cstheme="minorHAnsi"/>
          <w:szCs w:val="24"/>
        </w:rPr>
        <w:t>.</w:t>
      </w:r>
    </w:p>
    <w:p w14:paraId="00A0DA14" w14:textId="77777777" w:rsidR="00456B90" w:rsidRPr="000632A4" w:rsidRDefault="00456B90" w:rsidP="00064EF4">
      <w:pPr>
        <w:pStyle w:val="Heading1"/>
        <w:rPr>
          <w:rFonts w:asciiTheme="minorHAnsi" w:hAnsiTheme="minorHAnsi" w:cstheme="minorHAnsi"/>
        </w:rPr>
      </w:pPr>
      <w:r w:rsidRPr="000632A4">
        <w:rPr>
          <w:rFonts w:asciiTheme="minorHAnsi" w:hAnsiTheme="minorHAnsi" w:cstheme="minorHAnsi"/>
        </w:rPr>
        <w:t>Overview</w:t>
      </w:r>
    </w:p>
    <w:p w14:paraId="77D2F0EF" w14:textId="77777777" w:rsidR="00D97857" w:rsidRPr="000632A4" w:rsidRDefault="00B7709A" w:rsidP="00901529">
      <w:pPr>
        <w:rPr>
          <w:rFonts w:asciiTheme="minorHAnsi" w:hAnsiTheme="minorHAnsi" w:cstheme="minorHAnsi"/>
          <w:szCs w:val="24"/>
        </w:rPr>
      </w:pPr>
      <w:r w:rsidRPr="000632A4">
        <w:rPr>
          <w:rFonts w:asciiTheme="minorHAnsi" w:hAnsiTheme="minorHAnsi" w:cstheme="minorHAnsi"/>
          <w:lang w:val="en-US" w:eastAsia="en-AU"/>
        </w:rPr>
        <w:t xml:space="preserve">The </w:t>
      </w:r>
      <w:r w:rsidR="00901529" w:rsidRPr="000632A4">
        <w:rPr>
          <w:rFonts w:asciiTheme="minorHAnsi" w:hAnsiTheme="minorHAnsi" w:cstheme="minorHAnsi"/>
          <w:i/>
          <w:iCs/>
          <w:szCs w:val="24"/>
        </w:rPr>
        <w:t>Australian Education Regulations (Prescription of Guidelines and Documents) Determination 202</w:t>
      </w:r>
      <w:r w:rsidR="00303D94" w:rsidRPr="000632A4">
        <w:rPr>
          <w:rFonts w:asciiTheme="minorHAnsi" w:hAnsiTheme="minorHAnsi" w:cstheme="minorHAnsi"/>
          <w:i/>
          <w:iCs/>
          <w:szCs w:val="24"/>
        </w:rPr>
        <w:t>4</w:t>
      </w:r>
      <w:r w:rsidRPr="000632A4">
        <w:rPr>
          <w:rFonts w:asciiTheme="minorHAnsi" w:hAnsiTheme="minorHAnsi" w:cstheme="minorHAnsi"/>
          <w:lang w:val="en-US" w:eastAsia="en-AU"/>
        </w:rPr>
        <w:t xml:space="preserve"> </w:t>
      </w:r>
      <w:r w:rsidR="00901529" w:rsidRPr="000632A4">
        <w:rPr>
          <w:rFonts w:asciiTheme="minorHAnsi" w:hAnsiTheme="minorHAnsi" w:cstheme="minorHAnsi"/>
          <w:lang w:val="en-US" w:eastAsia="en-AU"/>
        </w:rPr>
        <w:t xml:space="preserve">(the Principal Determination) </w:t>
      </w:r>
      <w:r w:rsidR="00901529" w:rsidRPr="000632A4">
        <w:rPr>
          <w:rFonts w:asciiTheme="minorHAnsi" w:hAnsiTheme="minorHAnsi" w:cstheme="minorHAnsi"/>
          <w:szCs w:val="24"/>
        </w:rPr>
        <w:t xml:space="preserve">prescribes certain guidelines, documents and written arrangements for the purposes of the </w:t>
      </w:r>
      <w:r w:rsidR="00303D94" w:rsidRPr="000632A4">
        <w:rPr>
          <w:rFonts w:asciiTheme="minorHAnsi" w:hAnsiTheme="minorHAnsi" w:cstheme="minorHAnsi"/>
          <w:i/>
          <w:iCs/>
          <w:szCs w:val="24"/>
        </w:rPr>
        <w:t xml:space="preserve">Australian Education </w:t>
      </w:r>
      <w:r w:rsidR="00901529" w:rsidRPr="000632A4">
        <w:rPr>
          <w:rFonts w:asciiTheme="minorHAnsi" w:hAnsiTheme="minorHAnsi" w:cstheme="minorHAnsi"/>
          <w:i/>
          <w:iCs/>
          <w:szCs w:val="24"/>
        </w:rPr>
        <w:t>Regulations</w:t>
      </w:r>
      <w:r w:rsidR="00303D94" w:rsidRPr="000632A4">
        <w:rPr>
          <w:rFonts w:asciiTheme="minorHAnsi" w:hAnsiTheme="minorHAnsi" w:cstheme="minorHAnsi"/>
          <w:i/>
          <w:iCs/>
          <w:szCs w:val="24"/>
        </w:rPr>
        <w:t xml:space="preserve"> 2023 </w:t>
      </w:r>
      <w:r w:rsidR="00303D94" w:rsidRPr="000632A4">
        <w:rPr>
          <w:rFonts w:asciiTheme="minorHAnsi" w:hAnsiTheme="minorHAnsi" w:cstheme="minorHAnsi"/>
          <w:szCs w:val="24"/>
        </w:rPr>
        <w:t>(the Regulations)</w:t>
      </w:r>
      <w:r w:rsidR="00901529" w:rsidRPr="000632A4">
        <w:rPr>
          <w:rFonts w:asciiTheme="minorHAnsi" w:hAnsiTheme="minorHAnsi" w:cstheme="minorHAnsi"/>
          <w:szCs w:val="24"/>
        </w:rPr>
        <w:t xml:space="preserve"> that are prepared and published specifically for the purposes of the Regulations. </w:t>
      </w:r>
    </w:p>
    <w:p w14:paraId="787A8AD9" w14:textId="3ECEB3F7" w:rsidR="00D97857" w:rsidRPr="000632A4" w:rsidRDefault="00D97857" w:rsidP="00D97857">
      <w:pPr>
        <w:rPr>
          <w:rFonts w:asciiTheme="minorHAnsi" w:hAnsiTheme="minorHAnsi" w:cstheme="minorHAnsi"/>
          <w:szCs w:val="24"/>
        </w:rPr>
      </w:pPr>
      <w:r w:rsidRPr="000632A4">
        <w:rPr>
          <w:rFonts w:asciiTheme="minorHAnsi" w:hAnsiTheme="minorHAnsi" w:cstheme="minorHAnsi"/>
          <w:szCs w:val="24"/>
        </w:rPr>
        <w:t xml:space="preserve">Section 7 of the Principal Determination determines, for the purposes of purposes of subparagraphs 31(1)(d)(ii) and 36(7)(c)(ii) of the Regulations, written arrangements between the Secretary and a non-government representative body that financial assistance payable to the body under Division 4 of Part 5 of the </w:t>
      </w:r>
      <w:r w:rsidR="00FD31AC" w:rsidRPr="000B17A6">
        <w:rPr>
          <w:rFonts w:asciiTheme="minorHAnsi" w:hAnsiTheme="minorHAnsi" w:cstheme="minorHAnsi"/>
          <w:i/>
          <w:iCs/>
          <w:szCs w:val="24"/>
        </w:rPr>
        <w:t>Australian Education Act 2013</w:t>
      </w:r>
      <w:r w:rsidR="00FD31AC">
        <w:rPr>
          <w:rFonts w:asciiTheme="minorHAnsi" w:hAnsiTheme="minorHAnsi" w:cstheme="minorHAnsi"/>
          <w:szCs w:val="24"/>
        </w:rPr>
        <w:t xml:space="preserve"> (</w:t>
      </w:r>
      <w:r w:rsidRPr="000632A4">
        <w:rPr>
          <w:rFonts w:asciiTheme="minorHAnsi" w:hAnsiTheme="minorHAnsi" w:cstheme="minorHAnsi"/>
          <w:szCs w:val="24"/>
        </w:rPr>
        <w:t>Act</w:t>
      </w:r>
      <w:r w:rsidR="00FD31AC">
        <w:rPr>
          <w:rFonts w:asciiTheme="minorHAnsi" w:hAnsiTheme="minorHAnsi" w:cstheme="minorHAnsi"/>
          <w:szCs w:val="24"/>
        </w:rPr>
        <w:t>)</w:t>
      </w:r>
      <w:r w:rsidRPr="000632A4">
        <w:rPr>
          <w:rFonts w:asciiTheme="minorHAnsi" w:hAnsiTheme="minorHAnsi" w:cstheme="minorHAnsi"/>
          <w:szCs w:val="24"/>
        </w:rPr>
        <w:t xml:space="preserve"> must be spent, and reports must be given, </w:t>
      </w:r>
      <w:r w:rsidRPr="00974116">
        <w:rPr>
          <w:rFonts w:asciiTheme="minorHAnsi" w:hAnsiTheme="minorHAnsi" w:cstheme="minorHAnsi"/>
          <w:szCs w:val="24"/>
        </w:rPr>
        <w:t>in accordance with.</w:t>
      </w:r>
    </w:p>
    <w:p w14:paraId="2946E18B" w14:textId="7C5BC11F" w:rsidR="00B7709A" w:rsidRPr="000632A4" w:rsidRDefault="00D97857" w:rsidP="00B7709A">
      <w:pPr>
        <w:rPr>
          <w:rFonts w:asciiTheme="minorHAnsi" w:hAnsiTheme="minorHAnsi" w:cstheme="minorHAnsi"/>
          <w:lang w:val="en-US"/>
        </w:rPr>
      </w:pPr>
      <w:r w:rsidRPr="000632A4">
        <w:rPr>
          <w:rFonts w:asciiTheme="minorHAnsi" w:hAnsiTheme="minorHAnsi" w:cstheme="minorHAnsi"/>
          <w:szCs w:val="24"/>
        </w:rPr>
        <w:t>Certain bodies were approved as a non-government representative body for Catholic schools in the Australian Capital Territory and the Northern Territory on 1 January 2025, in place of bodies who were previously approved for these schools</w:t>
      </w:r>
      <w:r w:rsidR="002A55BA">
        <w:rPr>
          <w:rFonts w:asciiTheme="minorHAnsi" w:hAnsiTheme="minorHAnsi" w:cstheme="minorHAnsi"/>
          <w:szCs w:val="24"/>
        </w:rPr>
        <w:t xml:space="preserve"> </w:t>
      </w:r>
      <w:r w:rsidR="002A55BA" w:rsidRPr="00071E6C">
        <w:rPr>
          <w:rFonts w:asciiTheme="minorHAnsi" w:hAnsiTheme="minorHAnsi" w:cstheme="minorHAnsi"/>
          <w:szCs w:val="24"/>
        </w:rPr>
        <w:t>and written arrangements with former non-government representative bodies were novated to the newly approved non-government representative body</w:t>
      </w:r>
      <w:r w:rsidRPr="000632A4">
        <w:rPr>
          <w:rFonts w:asciiTheme="minorHAnsi" w:hAnsiTheme="minorHAnsi" w:cstheme="minorHAnsi"/>
          <w:szCs w:val="24"/>
        </w:rPr>
        <w:t xml:space="preserve">. </w:t>
      </w:r>
      <w:r w:rsidR="00901529" w:rsidRPr="000632A4">
        <w:rPr>
          <w:rFonts w:asciiTheme="minorHAnsi" w:hAnsiTheme="minorHAnsi" w:cstheme="minorHAnsi"/>
          <w:szCs w:val="24"/>
        </w:rPr>
        <w:t>The Amendment Determination amends section 7 of the Principal Determination</w:t>
      </w:r>
      <w:r w:rsidR="00182312" w:rsidRPr="000632A4">
        <w:rPr>
          <w:rFonts w:asciiTheme="minorHAnsi" w:hAnsiTheme="minorHAnsi" w:cstheme="minorHAnsi"/>
          <w:szCs w:val="24"/>
        </w:rPr>
        <w:t xml:space="preserve"> to determine for the purposes of purposes of subparagraphs 31(1)(d)(ii) and 36(7)(c)(ii) of the Regulations, the written arrangement that each new body must </w:t>
      </w:r>
      <w:r w:rsidR="00182312" w:rsidRPr="000632A4">
        <w:rPr>
          <w:rFonts w:asciiTheme="minorHAnsi" w:hAnsiTheme="minorHAnsi" w:cstheme="minorHAnsi"/>
        </w:rPr>
        <w:t xml:space="preserve">be spend </w:t>
      </w:r>
      <w:r w:rsidR="00182312" w:rsidRPr="000632A4">
        <w:rPr>
          <w:rFonts w:asciiTheme="minorHAnsi" w:hAnsiTheme="minorHAnsi" w:cstheme="minorHAnsi"/>
          <w:szCs w:val="24"/>
        </w:rPr>
        <w:t>financial assistance payable to the body under Division 4 of Part 5 of the Act</w:t>
      </w:r>
      <w:r w:rsidR="00182312" w:rsidRPr="000632A4">
        <w:rPr>
          <w:rFonts w:asciiTheme="minorHAnsi" w:hAnsiTheme="minorHAnsi" w:cstheme="minorHAnsi"/>
        </w:rPr>
        <w:t>, and give reports, in accordance with</w:t>
      </w:r>
      <w:r w:rsidR="00182312" w:rsidRPr="000632A4">
        <w:rPr>
          <w:rFonts w:asciiTheme="minorHAnsi" w:hAnsiTheme="minorHAnsi" w:cstheme="minorHAnsi"/>
          <w:szCs w:val="24"/>
        </w:rPr>
        <w:t>.</w:t>
      </w:r>
      <w:r w:rsidR="00901529" w:rsidRPr="000632A4">
        <w:rPr>
          <w:rFonts w:asciiTheme="minorHAnsi" w:hAnsiTheme="minorHAnsi" w:cstheme="minorHAnsi"/>
          <w:szCs w:val="24"/>
        </w:rPr>
        <w:t xml:space="preserve"> </w:t>
      </w:r>
    </w:p>
    <w:p w14:paraId="1F475DED" w14:textId="77777777" w:rsidR="000628EA" w:rsidRPr="000632A4" w:rsidRDefault="000628EA" w:rsidP="00064EF4">
      <w:pPr>
        <w:pStyle w:val="Heading1"/>
        <w:rPr>
          <w:rFonts w:asciiTheme="minorHAnsi" w:hAnsiTheme="minorHAnsi" w:cstheme="minorHAnsi"/>
        </w:rPr>
      </w:pPr>
      <w:r w:rsidRPr="000632A4">
        <w:rPr>
          <w:rFonts w:asciiTheme="minorHAnsi" w:hAnsiTheme="minorHAnsi" w:cstheme="minorHAnsi"/>
        </w:rPr>
        <w:t>Human rights implications</w:t>
      </w:r>
    </w:p>
    <w:p w14:paraId="0FEB0B11" w14:textId="670CCE3A" w:rsidR="000628EA" w:rsidRPr="000632A4" w:rsidRDefault="000628EA" w:rsidP="000628EA">
      <w:pPr>
        <w:rPr>
          <w:rFonts w:asciiTheme="minorHAnsi" w:hAnsiTheme="minorHAnsi" w:cstheme="minorHAnsi"/>
          <w:szCs w:val="24"/>
        </w:rPr>
      </w:pPr>
      <w:r w:rsidRPr="000632A4">
        <w:rPr>
          <w:rFonts w:asciiTheme="minorHAnsi" w:hAnsiTheme="minorHAnsi" w:cstheme="minorHAnsi"/>
          <w:szCs w:val="24"/>
        </w:rPr>
        <w:t xml:space="preserve">The Amendment </w:t>
      </w:r>
      <w:r w:rsidR="00974116">
        <w:rPr>
          <w:rFonts w:asciiTheme="minorHAnsi" w:hAnsiTheme="minorHAnsi" w:cstheme="minorHAnsi"/>
          <w:szCs w:val="24"/>
        </w:rPr>
        <w:t>Determination</w:t>
      </w:r>
      <w:r w:rsidR="00974116" w:rsidRPr="000632A4">
        <w:rPr>
          <w:rFonts w:asciiTheme="minorHAnsi" w:hAnsiTheme="minorHAnsi" w:cstheme="minorHAnsi"/>
          <w:szCs w:val="24"/>
        </w:rPr>
        <w:t xml:space="preserve"> </w:t>
      </w:r>
      <w:r w:rsidRPr="000632A4">
        <w:rPr>
          <w:rFonts w:asciiTheme="minorHAnsi" w:hAnsiTheme="minorHAnsi" w:cstheme="minorHAnsi"/>
          <w:szCs w:val="24"/>
        </w:rPr>
        <w:t>engage</w:t>
      </w:r>
      <w:r w:rsidR="00974116">
        <w:rPr>
          <w:rFonts w:asciiTheme="minorHAnsi" w:hAnsiTheme="minorHAnsi" w:cstheme="minorHAnsi"/>
          <w:szCs w:val="24"/>
        </w:rPr>
        <w:t>s</w:t>
      </w:r>
      <w:r w:rsidRPr="000632A4">
        <w:rPr>
          <w:rFonts w:asciiTheme="minorHAnsi" w:hAnsiTheme="minorHAnsi" w:cstheme="minorHAnsi"/>
          <w:szCs w:val="24"/>
        </w:rPr>
        <w:t xml:space="preserve"> the right to education under Article 13 of the </w:t>
      </w:r>
      <w:r w:rsidRPr="000632A4">
        <w:rPr>
          <w:rFonts w:asciiTheme="minorHAnsi" w:hAnsiTheme="minorHAnsi" w:cstheme="minorHAnsi"/>
          <w:i/>
          <w:szCs w:val="24"/>
        </w:rPr>
        <w:t>International Covenant on Economic, Social and Cultural Rights</w:t>
      </w:r>
      <w:r w:rsidRPr="000632A4">
        <w:rPr>
          <w:rFonts w:asciiTheme="minorHAnsi" w:hAnsiTheme="minorHAnsi" w:cstheme="minorHAnsi"/>
          <w:szCs w:val="24"/>
        </w:rPr>
        <w:t xml:space="preserve"> (ICESCR), and Articles 28 and 29 of the </w:t>
      </w:r>
      <w:r w:rsidRPr="000632A4">
        <w:rPr>
          <w:rFonts w:asciiTheme="minorHAnsi" w:hAnsiTheme="minorHAnsi" w:cstheme="minorHAnsi"/>
          <w:i/>
          <w:szCs w:val="24"/>
        </w:rPr>
        <w:t xml:space="preserve">Convention on the Rights of the Child </w:t>
      </w:r>
      <w:r w:rsidRPr="000632A4">
        <w:rPr>
          <w:rFonts w:asciiTheme="minorHAnsi" w:hAnsiTheme="minorHAnsi" w:cstheme="minorHAnsi"/>
          <w:szCs w:val="24"/>
        </w:rPr>
        <w:t>(CRC).</w:t>
      </w:r>
    </w:p>
    <w:p w14:paraId="471446F8" w14:textId="77777777" w:rsidR="000628EA" w:rsidRPr="000632A4" w:rsidRDefault="000628EA" w:rsidP="00064EF4">
      <w:pPr>
        <w:pStyle w:val="Heading2"/>
        <w:rPr>
          <w:rFonts w:asciiTheme="minorHAnsi" w:hAnsiTheme="minorHAnsi" w:cstheme="minorHAnsi"/>
        </w:rPr>
      </w:pPr>
      <w:r w:rsidRPr="000632A4">
        <w:rPr>
          <w:rFonts w:asciiTheme="minorHAnsi" w:hAnsiTheme="minorHAnsi" w:cstheme="minorHAnsi"/>
        </w:rPr>
        <w:t>Right to Education</w:t>
      </w:r>
    </w:p>
    <w:p w14:paraId="6FF36FFB" w14:textId="77777777" w:rsidR="000628EA" w:rsidRPr="000632A4" w:rsidRDefault="000628EA" w:rsidP="000628EA">
      <w:pPr>
        <w:rPr>
          <w:rFonts w:asciiTheme="minorHAnsi" w:hAnsiTheme="minorHAnsi" w:cstheme="minorHAnsi"/>
          <w:szCs w:val="24"/>
        </w:rPr>
      </w:pPr>
      <w:r w:rsidRPr="000632A4">
        <w:rPr>
          <w:rFonts w:asciiTheme="minorHAnsi" w:hAnsiTheme="minorHAnsi" w:cstheme="minorHAnsi"/>
          <w:szCs w:val="24"/>
        </w:rPr>
        <w:t xml:space="preserve">Article 13 of the ICESCR recognises the right of everyone to education, which is directed towards the full development of the human personality and the sense of its dignity, and to enable all persons to participate effectively in society. It also recognises the liberty of parents and </w:t>
      </w:r>
      <w:r w:rsidR="008A6DB9" w:rsidRPr="000632A4">
        <w:rPr>
          <w:rFonts w:asciiTheme="minorHAnsi" w:hAnsiTheme="minorHAnsi" w:cstheme="minorHAnsi"/>
          <w:szCs w:val="24"/>
        </w:rPr>
        <w:t xml:space="preserve">legal </w:t>
      </w:r>
      <w:r w:rsidRPr="000632A4">
        <w:rPr>
          <w:rFonts w:asciiTheme="minorHAnsi" w:hAnsiTheme="minorHAnsi" w:cstheme="minorHAnsi"/>
          <w:szCs w:val="24"/>
        </w:rPr>
        <w:t>guardians to choose non-government schools for their children’s education, provided those schools conform to minimum educational standards</w:t>
      </w:r>
      <w:r w:rsidR="008A6DB9" w:rsidRPr="000632A4">
        <w:rPr>
          <w:rFonts w:asciiTheme="minorHAnsi" w:hAnsiTheme="minorHAnsi" w:cstheme="minorHAnsi"/>
          <w:spacing w:val="4"/>
          <w:sz w:val="27"/>
          <w:szCs w:val="27"/>
        </w:rPr>
        <w:t xml:space="preserve"> </w:t>
      </w:r>
      <w:r w:rsidR="008A6DB9" w:rsidRPr="000632A4">
        <w:rPr>
          <w:rFonts w:asciiTheme="minorHAnsi" w:hAnsiTheme="minorHAnsi" w:cstheme="minorHAnsi"/>
          <w:szCs w:val="24"/>
        </w:rPr>
        <w:t xml:space="preserve">as may be </w:t>
      </w:r>
      <w:r w:rsidR="008A6DB9" w:rsidRPr="000632A4">
        <w:rPr>
          <w:rFonts w:asciiTheme="minorHAnsi" w:hAnsiTheme="minorHAnsi" w:cstheme="minorHAnsi"/>
          <w:szCs w:val="24"/>
        </w:rPr>
        <w:lastRenderedPageBreak/>
        <w:t>laid down or approved by the government</w:t>
      </w:r>
      <w:r w:rsidRPr="000632A4">
        <w:rPr>
          <w:rFonts w:asciiTheme="minorHAnsi" w:hAnsiTheme="minorHAnsi" w:cstheme="minorHAnsi"/>
          <w:szCs w:val="24"/>
        </w:rPr>
        <w:t xml:space="preserve">. The right to education for children is also found in Articles 28 and 29 of the UNCRC. </w:t>
      </w:r>
    </w:p>
    <w:p w14:paraId="691BF2DB" w14:textId="333C2FE9" w:rsidR="00AD0771" w:rsidRPr="000632A4" w:rsidRDefault="00AD0771" w:rsidP="000628EA">
      <w:pPr>
        <w:rPr>
          <w:rFonts w:asciiTheme="minorHAnsi" w:hAnsiTheme="minorHAnsi" w:cstheme="minorHAnsi"/>
          <w:szCs w:val="24"/>
        </w:rPr>
      </w:pPr>
      <w:r w:rsidRPr="000632A4">
        <w:rPr>
          <w:rFonts w:asciiTheme="minorHAnsi" w:hAnsiTheme="minorHAnsi" w:cstheme="minorHAnsi"/>
        </w:rPr>
        <w:t xml:space="preserve">Subparagraphs 31(1)(d)(ii) and 36(7)(c)(ii) </w:t>
      </w:r>
      <w:r w:rsidR="00901529" w:rsidRPr="000632A4">
        <w:rPr>
          <w:rFonts w:asciiTheme="minorHAnsi" w:hAnsiTheme="minorHAnsi" w:cstheme="minorHAnsi"/>
        </w:rPr>
        <w:t xml:space="preserve">of </w:t>
      </w:r>
      <w:proofErr w:type="gramStart"/>
      <w:r w:rsidR="00901529" w:rsidRPr="000632A4">
        <w:rPr>
          <w:rFonts w:asciiTheme="minorHAnsi" w:hAnsiTheme="minorHAnsi" w:cstheme="minorHAnsi"/>
        </w:rPr>
        <w:t>the  Regulations</w:t>
      </w:r>
      <w:proofErr w:type="gramEnd"/>
      <w:r w:rsidR="00901529" w:rsidRPr="000632A4">
        <w:rPr>
          <w:rFonts w:asciiTheme="minorHAnsi" w:hAnsiTheme="minorHAnsi" w:cstheme="minorHAnsi"/>
        </w:rPr>
        <w:t xml:space="preserve"> </w:t>
      </w:r>
      <w:r w:rsidRPr="000632A4">
        <w:rPr>
          <w:rFonts w:asciiTheme="minorHAnsi" w:hAnsiTheme="minorHAnsi" w:cstheme="minorHAnsi"/>
        </w:rPr>
        <w:t>empower the Minister to determine by legislative instrument that financial assistance must be spent</w:t>
      </w:r>
      <w:r w:rsidR="006D0760" w:rsidRPr="000632A4">
        <w:rPr>
          <w:rFonts w:asciiTheme="minorHAnsi" w:hAnsiTheme="minorHAnsi" w:cstheme="minorHAnsi"/>
        </w:rPr>
        <w:t xml:space="preserve">, and </w:t>
      </w:r>
      <w:r w:rsidR="00566424" w:rsidRPr="000632A4">
        <w:rPr>
          <w:rFonts w:asciiTheme="minorHAnsi" w:hAnsiTheme="minorHAnsi" w:cstheme="minorHAnsi"/>
        </w:rPr>
        <w:t>reports must be given</w:t>
      </w:r>
      <w:r w:rsidR="006D0760" w:rsidRPr="000632A4">
        <w:rPr>
          <w:rFonts w:asciiTheme="minorHAnsi" w:hAnsiTheme="minorHAnsi" w:cstheme="minorHAnsi"/>
        </w:rPr>
        <w:t>,</w:t>
      </w:r>
      <w:r w:rsidRPr="000632A4">
        <w:rPr>
          <w:rFonts w:asciiTheme="minorHAnsi" w:hAnsiTheme="minorHAnsi" w:cstheme="minorHAnsi"/>
        </w:rPr>
        <w:t xml:space="preserve"> in accordance with a written arrangement between the Secretary and a non-government representative body relating to financial assistance payable </w:t>
      </w:r>
      <w:r w:rsidR="00025F96" w:rsidRPr="000632A4">
        <w:rPr>
          <w:rFonts w:asciiTheme="minorHAnsi" w:hAnsiTheme="minorHAnsi" w:cstheme="minorHAnsi"/>
        </w:rPr>
        <w:t xml:space="preserve">for </w:t>
      </w:r>
      <w:r w:rsidRPr="000632A4">
        <w:rPr>
          <w:rFonts w:asciiTheme="minorHAnsi" w:hAnsiTheme="minorHAnsi" w:cstheme="minorHAnsi"/>
        </w:rPr>
        <w:t xml:space="preserve">the body. </w:t>
      </w:r>
    </w:p>
    <w:p w14:paraId="7040B35E" w14:textId="2AEB2223" w:rsidR="000628EA" w:rsidRPr="000632A4" w:rsidRDefault="000628EA" w:rsidP="000628EA">
      <w:pPr>
        <w:rPr>
          <w:rFonts w:asciiTheme="minorHAnsi" w:hAnsiTheme="minorHAnsi" w:cstheme="minorHAnsi"/>
          <w:szCs w:val="24"/>
        </w:rPr>
      </w:pPr>
      <w:r w:rsidRPr="000632A4">
        <w:rPr>
          <w:rFonts w:asciiTheme="minorHAnsi" w:hAnsiTheme="minorHAnsi" w:cstheme="minorHAnsi"/>
          <w:szCs w:val="24"/>
        </w:rPr>
        <w:t xml:space="preserve">This measure </w:t>
      </w:r>
      <w:r w:rsidR="00BB4B04" w:rsidRPr="000632A4">
        <w:rPr>
          <w:rFonts w:asciiTheme="minorHAnsi" w:hAnsiTheme="minorHAnsi" w:cstheme="minorHAnsi"/>
          <w:szCs w:val="24"/>
        </w:rPr>
        <w:t xml:space="preserve">promotes the right to education by providing the necessary framework to give effect to the funding arrangements for school education under the </w:t>
      </w:r>
      <w:r w:rsidR="00BB4B04" w:rsidRPr="00FD31AC">
        <w:rPr>
          <w:rFonts w:asciiTheme="minorHAnsi" w:hAnsiTheme="minorHAnsi" w:cstheme="minorHAnsi"/>
          <w:szCs w:val="24"/>
        </w:rPr>
        <w:t>Act</w:t>
      </w:r>
      <w:r w:rsidR="00BB4B04" w:rsidRPr="000632A4">
        <w:rPr>
          <w:rFonts w:asciiTheme="minorHAnsi" w:hAnsiTheme="minorHAnsi" w:cstheme="minorHAnsi"/>
          <w:szCs w:val="24"/>
        </w:rPr>
        <w:t>.</w:t>
      </w:r>
      <w:r w:rsidRPr="000632A4">
        <w:rPr>
          <w:rFonts w:asciiTheme="minorHAnsi" w:hAnsiTheme="minorHAnsi" w:cstheme="minorHAnsi"/>
          <w:szCs w:val="24"/>
        </w:rPr>
        <w:t xml:space="preserve"> </w:t>
      </w:r>
      <w:proofErr w:type="gramStart"/>
      <w:r w:rsidR="006D0760" w:rsidRPr="000632A4">
        <w:rPr>
          <w:rFonts w:asciiTheme="minorHAnsi" w:hAnsiTheme="minorHAnsi" w:cstheme="minorHAnsi"/>
          <w:szCs w:val="24"/>
        </w:rPr>
        <w:t>In particular, this</w:t>
      </w:r>
      <w:proofErr w:type="gramEnd"/>
      <w:r w:rsidR="006D0760" w:rsidRPr="000632A4">
        <w:rPr>
          <w:rFonts w:asciiTheme="minorHAnsi" w:hAnsiTheme="minorHAnsi" w:cstheme="minorHAnsi"/>
          <w:szCs w:val="24"/>
        </w:rPr>
        <w:t xml:space="preserve"> measure facilitates the provision of financial assistance to non-government schools, thereby </w:t>
      </w:r>
      <w:r w:rsidR="00361B82" w:rsidRPr="000632A4">
        <w:rPr>
          <w:rFonts w:asciiTheme="minorHAnsi" w:hAnsiTheme="minorHAnsi" w:cstheme="minorHAnsi"/>
          <w:szCs w:val="24"/>
        </w:rPr>
        <w:t xml:space="preserve">supporting the liberty of parents and legal guardians to choose non-government schools for their children’s education. </w:t>
      </w:r>
    </w:p>
    <w:p w14:paraId="7D2E07FE" w14:textId="77777777" w:rsidR="000628EA" w:rsidRPr="000632A4" w:rsidRDefault="000628EA" w:rsidP="00064EF4">
      <w:pPr>
        <w:pStyle w:val="Heading1"/>
        <w:rPr>
          <w:rFonts w:asciiTheme="minorHAnsi" w:hAnsiTheme="minorHAnsi" w:cstheme="minorHAnsi"/>
        </w:rPr>
      </w:pPr>
      <w:r w:rsidRPr="000632A4">
        <w:rPr>
          <w:rFonts w:asciiTheme="minorHAnsi" w:hAnsiTheme="minorHAnsi" w:cstheme="minorHAnsi"/>
        </w:rPr>
        <w:t>Conclusion</w:t>
      </w:r>
    </w:p>
    <w:p w14:paraId="69F59C5F" w14:textId="1CDA56EC" w:rsidR="000628EA" w:rsidRPr="000632A4" w:rsidRDefault="000628EA" w:rsidP="000628EA">
      <w:pPr>
        <w:rPr>
          <w:rFonts w:asciiTheme="minorHAnsi" w:hAnsiTheme="minorHAnsi" w:cstheme="minorHAnsi"/>
          <w:szCs w:val="24"/>
        </w:rPr>
      </w:pPr>
      <w:r w:rsidRPr="000632A4">
        <w:rPr>
          <w:rFonts w:asciiTheme="minorHAnsi" w:hAnsiTheme="minorHAnsi" w:cstheme="minorHAnsi"/>
          <w:szCs w:val="24"/>
        </w:rPr>
        <w:t xml:space="preserve">The </w:t>
      </w:r>
      <w:r w:rsidR="00974116">
        <w:rPr>
          <w:rFonts w:asciiTheme="minorHAnsi" w:hAnsiTheme="minorHAnsi" w:cstheme="minorHAnsi"/>
          <w:szCs w:val="24"/>
        </w:rPr>
        <w:t xml:space="preserve">Amendment </w:t>
      </w:r>
      <w:r w:rsidR="00B7709A" w:rsidRPr="000632A4">
        <w:rPr>
          <w:rFonts w:asciiTheme="minorHAnsi" w:hAnsiTheme="minorHAnsi" w:cstheme="minorHAnsi"/>
          <w:szCs w:val="24"/>
        </w:rPr>
        <w:t>Determination is</w:t>
      </w:r>
      <w:r w:rsidRPr="000632A4">
        <w:rPr>
          <w:rFonts w:asciiTheme="minorHAnsi" w:hAnsiTheme="minorHAnsi" w:cstheme="minorHAnsi"/>
          <w:szCs w:val="24"/>
        </w:rPr>
        <w:t xml:space="preserve"> compatible with human rights because </w:t>
      </w:r>
      <w:r w:rsidR="00025F96" w:rsidRPr="000632A4">
        <w:rPr>
          <w:rFonts w:asciiTheme="minorHAnsi" w:hAnsiTheme="minorHAnsi" w:cstheme="minorHAnsi"/>
          <w:szCs w:val="24"/>
        </w:rPr>
        <w:t xml:space="preserve">it </w:t>
      </w:r>
      <w:r w:rsidRPr="000632A4">
        <w:rPr>
          <w:rFonts w:asciiTheme="minorHAnsi" w:hAnsiTheme="minorHAnsi" w:cstheme="minorHAnsi"/>
          <w:szCs w:val="24"/>
        </w:rPr>
        <w:t>promote</w:t>
      </w:r>
      <w:r w:rsidR="00025F96" w:rsidRPr="000632A4">
        <w:rPr>
          <w:rFonts w:asciiTheme="minorHAnsi" w:hAnsiTheme="minorHAnsi" w:cstheme="minorHAnsi"/>
          <w:szCs w:val="24"/>
        </w:rPr>
        <w:t>s</w:t>
      </w:r>
      <w:r w:rsidRPr="000632A4">
        <w:rPr>
          <w:rFonts w:asciiTheme="minorHAnsi" w:hAnsiTheme="minorHAnsi" w:cstheme="minorHAnsi"/>
          <w:szCs w:val="24"/>
        </w:rPr>
        <w:t xml:space="preserve"> the right to education under the ICESCR and the UNCRC.</w:t>
      </w:r>
    </w:p>
    <w:p w14:paraId="0E7CE785" w14:textId="77777777" w:rsidR="000628EA" w:rsidRPr="000632A4" w:rsidRDefault="000628EA" w:rsidP="000628EA">
      <w:pPr>
        <w:rPr>
          <w:rFonts w:asciiTheme="minorHAnsi" w:hAnsiTheme="minorHAnsi" w:cstheme="minorHAnsi"/>
          <w:szCs w:val="24"/>
        </w:rPr>
      </w:pPr>
    </w:p>
    <w:p w14:paraId="3CD8C14F" w14:textId="65008479" w:rsidR="00456B90" w:rsidRPr="000632A4" w:rsidRDefault="003D6F98" w:rsidP="000628EA">
      <w:pPr>
        <w:jc w:val="center"/>
        <w:rPr>
          <w:rFonts w:asciiTheme="minorHAnsi" w:hAnsiTheme="minorHAnsi" w:cstheme="minorHAnsi"/>
          <w:szCs w:val="24"/>
        </w:rPr>
      </w:pPr>
      <w:r w:rsidRPr="000632A4">
        <w:rPr>
          <w:rFonts w:asciiTheme="minorHAnsi" w:hAnsiTheme="minorHAnsi" w:cstheme="minorHAnsi"/>
          <w:b/>
          <w:szCs w:val="24"/>
        </w:rPr>
        <w:t xml:space="preserve">Delegate for the </w:t>
      </w:r>
      <w:r w:rsidR="000628EA" w:rsidRPr="000632A4">
        <w:rPr>
          <w:rFonts w:asciiTheme="minorHAnsi" w:hAnsiTheme="minorHAnsi" w:cstheme="minorHAnsi"/>
          <w:b/>
          <w:szCs w:val="24"/>
        </w:rPr>
        <w:t>Minister for Education</w:t>
      </w:r>
      <w:r w:rsidR="00833F3D" w:rsidRPr="000632A4">
        <w:rPr>
          <w:rFonts w:asciiTheme="minorHAnsi" w:hAnsiTheme="minorHAnsi" w:cstheme="minorHAnsi"/>
          <w:b/>
          <w:szCs w:val="24"/>
        </w:rPr>
        <w:t xml:space="preserve">, </w:t>
      </w:r>
      <w:r w:rsidR="00D64160">
        <w:rPr>
          <w:rFonts w:asciiTheme="minorHAnsi" w:hAnsiTheme="minorHAnsi" w:cstheme="minorHAnsi"/>
          <w:b/>
          <w:szCs w:val="24"/>
        </w:rPr>
        <w:t>Thea Richardson</w:t>
      </w:r>
    </w:p>
    <w:p w14:paraId="627CBBEE" w14:textId="77777777" w:rsidR="000628EA" w:rsidRPr="000632A4" w:rsidRDefault="000628EA">
      <w:pPr>
        <w:spacing w:line="259" w:lineRule="auto"/>
        <w:rPr>
          <w:rFonts w:asciiTheme="minorHAnsi" w:hAnsiTheme="minorHAnsi" w:cstheme="minorHAnsi"/>
          <w:szCs w:val="24"/>
        </w:rPr>
      </w:pPr>
      <w:r w:rsidRPr="000632A4">
        <w:rPr>
          <w:rFonts w:asciiTheme="minorHAnsi" w:hAnsiTheme="minorHAnsi" w:cstheme="minorHAnsi"/>
          <w:szCs w:val="24"/>
        </w:rPr>
        <w:br w:type="page"/>
      </w:r>
    </w:p>
    <w:p w14:paraId="66427732" w14:textId="60E9C504" w:rsidR="003E54D3" w:rsidRPr="000632A4" w:rsidRDefault="003E54D3" w:rsidP="003E54D3">
      <w:pPr>
        <w:pStyle w:val="Heading1"/>
        <w:jc w:val="center"/>
        <w:rPr>
          <w:rFonts w:asciiTheme="minorHAnsi" w:hAnsiTheme="minorHAnsi" w:cstheme="minorHAnsi"/>
        </w:rPr>
      </w:pPr>
      <w:r w:rsidRPr="000632A4">
        <w:rPr>
          <w:rFonts w:asciiTheme="minorHAnsi" w:hAnsiTheme="minorHAnsi" w:cstheme="minorHAnsi"/>
        </w:rPr>
        <w:lastRenderedPageBreak/>
        <w:t>AUSTRALIAN EDUCATION REGULATIONS (</w:t>
      </w:r>
      <w:r w:rsidR="00D97857" w:rsidRPr="000632A4">
        <w:rPr>
          <w:rFonts w:asciiTheme="minorHAnsi" w:hAnsiTheme="minorHAnsi" w:cstheme="minorHAnsi"/>
        </w:rPr>
        <w:t>R</w:t>
      </w:r>
      <w:r w:rsidR="00A05DE3" w:rsidRPr="000632A4">
        <w:rPr>
          <w:rFonts w:asciiTheme="minorHAnsi" w:hAnsiTheme="minorHAnsi" w:cstheme="minorHAnsi"/>
        </w:rPr>
        <w:t>EVISED WRITTEN ARRANGEMENTS WITH NON-GOVERNMENT REPRESENTATIVE BODIES</w:t>
      </w:r>
      <w:r w:rsidRPr="000632A4">
        <w:rPr>
          <w:rFonts w:asciiTheme="minorHAnsi" w:hAnsiTheme="minorHAnsi" w:cstheme="minorHAnsi"/>
        </w:rPr>
        <w:t xml:space="preserve">) </w:t>
      </w:r>
      <w:r w:rsidR="00361B82" w:rsidRPr="000632A4">
        <w:rPr>
          <w:rFonts w:asciiTheme="minorHAnsi" w:hAnsiTheme="minorHAnsi" w:cstheme="minorHAnsi"/>
        </w:rPr>
        <w:t xml:space="preserve">AMENDMENT </w:t>
      </w:r>
      <w:r w:rsidRPr="000632A4">
        <w:rPr>
          <w:rFonts w:asciiTheme="minorHAnsi" w:hAnsiTheme="minorHAnsi" w:cstheme="minorHAnsi"/>
        </w:rPr>
        <w:t>DETERMINATION 202</w:t>
      </w:r>
      <w:r w:rsidR="00361B82" w:rsidRPr="000632A4">
        <w:rPr>
          <w:rFonts w:asciiTheme="minorHAnsi" w:hAnsiTheme="minorHAnsi" w:cstheme="minorHAnsi"/>
        </w:rPr>
        <w:t>5</w:t>
      </w:r>
    </w:p>
    <w:p w14:paraId="1EE39BEC" w14:textId="77777777" w:rsidR="00FB2F1F" w:rsidRPr="000632A4" w:rsidRDefault="00FE5DE8" w:rsidP="000F1552">
      <w:pPr>
        <w:rPr>
          <w:rFonts w:asciiTheme="minorHAnsi" w:hAnsiTheme="minorHAnsi" w:cstheme="minorHAnsi"/>
        </w:rPr>
      </w:pPr>
      <w:r w:rsidRPr="000632A4">
        <w:rPr>
          <w:rFonts w:asciiTheme="minorHAnsi" w:hAnsiTheme="minorHAnsi" w:cstheme="minorHAnsi"/>
          <w:b/>
          <w:bCs/>
        </w:rPr>
        <w:t>EXPLANATION OF PROVISIONS</w:t>
      </w:r>
    </w:p>
    <w:p w14:paraId="1CE16FA6" w14:textId="77777777" w:rsidR="000628EA" w:rsidRPr="000632A4" w:rsidRDefault="000628EA" w:rsidP="00360CE8">
      <w:pPr>
        <w:pStyle w:val="Heading3"/>
        <w:rPr>
          <w:rFonts w:asciiTheme="minorHAnsi" w:hAnsiTheme="minorHAnsi" w:cstheme="minorHAnsi"/>
          <w:b/>
          <w:bCs/>
        </w:rPr>
      </w:pPr>
      <w:r w:rsidRPr="000632A4">
        <w:rPr>
          <w:rFonts w:asciiTheme="minorHAnsi" w:hAnsiTheme="minorHAnsi" w:cstheme="minorHAnsi"/>
          <w:b/>
          <w:bCs/>
        </w:rPr>
        <w:t xml:space="preserve">Section 1 – Name </w:t>
      </w:r>
    </w:p>
    <w:p w14:paraId="0F84EEA7" w14:textId="77777777" w:rsidR="000628EA" w:rsidRPr="000632A4" w:rsidRDefault="000628EA" w:rsidP="000628EA">
      <w:pPr>
        <w:rPr>
          <w:rFonts w:asciiTheme="minorHAnsi" w:hAnsiTheme="minorHAnsi" w:cstheme="minorHAnsi"/>
          <w:szCs w:val="24"/>
        </w:rPr>
      </w:pPr>
      <w:r w:rsidRPr="000632A4">
        <w:rPr>
          <w:rFonts w:asciiTheme="minorHAnsi" w:hAnsiTheme="minorHAnsi" w:cstheme="minorHAnsi"/>
          <w:szCs w:val="24"/>
        </w:rPr>
        <w:t xml:space="preserve">This section provides that the title of this instrument is the </w:t>
      </w:r>
      <w:r w:rsidR="00FB2F1F" w:rsidRPr="000632A4">
        <w:rPr>
          <w:rFonts w:asciiTheme="minorHAnsi" w:hAnsiTheme="minorHAnsi" w:cstheme="minorHAnsi"/>
          <w:i/>
          <w:iCs/>
          <w:szCs w:val="24"/>
        </w:rPr>
        <w:t xml:space="preserve">Australian Education </w:t>
      </w:r>
      <w:r w:rsidR="00104EE8" w:rsidRPr="000632A4">
        <w:rPr>
          <w:rFonts w:asciiTheme="minorHAnsi" w:hAnsiTheme="minorHAnsi" w:cstheme="minorHAnsi"/>
          <w:i/>
          <w:iCs/>
          <w:szCs w:val="24"/>
        </w:rPr>
        <w:t xml:space="preserve">Regulations </w:t>
      </w:r>
      <w:r w:rsidR="00FB2F1F" w:rsidRPr="000632A4">
        <w:rPr>
          <w:rFonts w:asciiTheme="minorHAnsi" w:hAnsiTheme="minorHAnsi" w:cstheme="minorHAnsi"/>
          <w:i/>
          <w:iCs/>
          <w:szCs w:val="24"/>
        </w:rPr>
        <w:t>(</w:t>
      </w:r>
      <w:r w:rsidR="00FE43DC" w:rsidRPr="000632A4">
        <w:rPr>
          <w:rFonts w:asciiTheme="minorHAnsi" w:hAnsiTheme="minorHAnsi" w:cstheme="minorHAnsi"/>
          <w:i/>
          <w:iCs/>
          <w:szCs w:val="24"/>
        </w:rPr>
        <w:t>Revised Written Arrangements with Non-government Representative Bodies</w:t>
      </w:r>
      <w:r w:rsidR="00FB2F1F" w:rsidRPr="000632A4">
        <w:rPr>
          <w:rFonts w:asciiTheme="minorHAnsi" w:hAnsiTheme="minorHAnsi" w:cstheme="minorHAnsi"/>
          <w:i/>
          <w:iCs/>
          <w:szCs w:val="24"/>
        </w:rPr>
        <w:t xml:space="preserve">) </w:t>
      </w:r>
      <w:r w:rsidR="00361B82" w:rsidRPr="000632A4">
        <w:rPr>
          <w:rFonts w:asciiTheme="minorHAnsi" w:hAnsiTheme="minorHAnsi" w:cstheme="minorHAnsi"/>
          <w:i/>
          <w:iCs/>
          <w:szCs w:val="24"/>
        </w:rPr>
        <w:t xml:space="preserve">Amendment </w:t>
      </w:r>
      <w:r w:rsidR="00FB2F1F" w:rsidRPr="000632A4">
        <w:rPr>
          <w:rFonts w:asciiTheme="minorHAnsi" w:hAnsiTheme="minorHAnsi" w:cstheme="minorHAnsi"/>
          <w:i/>
          <w:iCs/>
          <w:szCs w:val="24"/>
        </w:rPr>
        <w:t>Determination 202</w:t>
      </w:r>
      <w:r w:rsidR="00361B82" w:rsidRPr="000632A4">
        <w:rPr>
          <w:rFonts w:asciiTheme="minorHAnsi" w:hAnsiTheme="minorHAnsi" w:cstheme="minorHAnsi"/>
          <w:i/>
          <w:iCs/>
          <w:szCs w:val="24"/>
        </w:rPr>
        <w:t>5</w:t>
      </w:r>
      <w:r w:rsidR="00FB2F1F" w:rsidRPr="000632A4">
        <w:rPr>
          <w:rFonts w:asciiTheme="minorHAnsi" w:hAnsiTheme="minorHAnsi" w:cstheme="minorHAnsi"/>
          <w:i/>
          <w:iCs/>
          <w:szCs w:val="24"/>
        </w:rPr>
        <w:t xml:space="preserve"> </w:t>
      </w:r>
      <w:r w:rsidR="00FB2F1F" w:rsidRPr="000632A4">
        <w:rPr>
          <w:rFonts w:asciiTheme="minorHAnsi" w:hAnsiTheme="minorHAnsi" w:cstheme="minorHAnsi"/>
          <w:szCs w:val="24"/>
        </w:rPr>
        <w:t xml:space="preserve">(the </w:t>
      </w:r>
      <w:r w:rsidR="00CB7BA2" w:rsidRPr="000632A4">
        <w:rPr>
          <w:rFonts w:asciiTheme="minorHAnsi" w:hAnsiTheme="minorHAnsi" w:cstheme="minorHAnsi"/>
          <w:szCs w:val="24"/>
        </w:rPr>
        <w:t xml:space="preserve">Amendment </w:t>
      </w:r>
      <w:r w:rsidR="00FB2F1F" w:rsidRPr="000632A4">
        <w:rPr>
          <w:rFonts w:asciiTheme="minorHAnsi" w:hAnsiTheme="minorHAnsi" w:cstheme="minorHAnsi"/>
          <w:szCs w:val="24"/>
        </w:rPr>
        <w:t>Determination).</w:t>
      </w:r>
    </w:p>
    <w:p w14:paraId="79C42ABF" w14:textId="77777777" w:rsidR="000628EA" w:rsidRPr="000632A4" w:rsidRDefault="000628EA" w:rsidP="00360CE8">
      <w:pPr>
        <w:pStyle w:val="Heading3"/>
        <w:rPr>
          <w:rFonts w:asciiTheme="minorHAnsi" w:hAnsiTheme="minorHAnsi" w:cstheme="minorHAnsi"/>
          <w:b/>
          <w:bCs/>
        </w:rPr>
      </w:pPr>
      <w:r w:rsidRPr="000632A4">
        <w:rPr>
          <w:rFonts w:asciiTheme="minorHAnsi" w:hAnsiTheme="minorHAnsi" w:cstheme="minorHAnsi"/>
          <w:b/>
          <w:bCs/>
        </w:rPr>
        <w:t xml:space="preserve">Section 2 – Commencement </w:t>
      </w:r>
    </w:p>
    <w:p w14:paraId="75A8D66C" w14:textId="77777777" w:rsidR="000628EA" w:rsidRPr="000632A4" w:rsidRDefault="00FB2F1F" w:rsidP="000628EA">
      <w:pPr>
        <w:rPr>
          <w:rFonts w:asciiTheme="minorHAnsi" w:hAnsiTheme="minorHAnsi" w:cstheme="minorHAnsi"/>
          <w:szCs w:val="24"/>
        </w:rPr>
      </w:pPr>
      <w:r w:rsidRPr="000632A4">
        <w:rPr>
          <w:rFonts w:asciiTheme="minorHAnsi" w:hAnsiTheme="minorHAnsi" w:cstheme="minorHAnsi"/>
          <w:szCs w:val="24"/>
        </w:rPr>
        <w:t>This</w:t>
      </w:r>
      <w:r w:rsidR="000628EA" w:rsidRPr="000632A4">
        <w:rPr>
          <w:rFonts w:asciiTheme="minorHAnsi" w:hAnsiTheme="minorHAnsi" w:cstheme="minorHAnsi"/>
          <w:szCs w:val="24"/>
        </w:rPr>
        <w:t xml:space="preserve"> section provides that the </w:t>
      </w:r>
      <w:r w:rsidR="00CB7BA2" w:rsidRPr="000632A4">
        <w:rPr>
          <w:rFonts w:asciiTheme="minorHAnsi" w:hAnsiTheme="minorHAnsi" w:cstheme="minorHAnsi"/>
          <w:szCs w:val="24"/>
        </w:rPr>
        <w:t xml:space="preserve">Amendment </w:t>
      </w:r>
      <w:r w:rsidRPr="000632A4">
        <w:rPr>
          <w:rFonts w:asciiTheme="minorHAnsi" w:hAnsiTheme="minorHAnsi" w:cstheme="minorHAnsi"/>
          <w:szCs w:val="24"/>
        </w:rPr>
        <w:t>Determination</w:t>
      </w:r>
      <w:r w:rsidR="000628EA" w:rsidRPr="000632A4">
        <w:rPr>
          <w:rFonts w:asciiTheme="minorHAnsi" w:hAnsiTheme="minorHAnsi" w:cstheme="minorHAnsi"/>
          <w:szCs w:val="24"/>
        </w:rPr>
        <w:t xml:space="preserve"> commence</w:t>
      </w:r>
      <w:r w:rsidRPr="000632A4">
        <w:rPr>
          <w:rFonts w:asciiTheme="minorHAnsi" w:hAnsiTheme="minorHAnsi" w:cstheme="minorHAnsi"/>
          <w:szCs w:val="24"/>
        </w:rPr>
        <w:t>s</w:t>
      </w:r>
      <w:r w:rsidR="000628EA" w:rsidRPr="000632A4">
        <w:rPr>
          <w:rFonts w:asciiTheme="minorHAnsi" w:hAnsiTheme="minorHAnsi" w:cstheme="minorHAnsi"/>
          <w:szCs w:val="24"/>
        </w:rPr>
        <w:t xml:space="preserve"> on the day after it is registered on the Federal Register of Legislation.</w:t>
      </w:r>
    </w:p>
    <w:p w14:paraId="6936E2F2" w14:textId="77777777" w:rsidR="000628EA" w:rsidRPr="000632A4" w:rsidRDefault="000628EA" w:rsidP="00360CE8">
      <w:pPr>
        <w:pStyle w:val="Heading3"/>
        <w:rPr>
          <w:rFonts w:asciiTheme="minorHAnsi" w:hAnsiTheme="minorHAnsi" w:cstheme="minorHAnsi"/>
          <w:b/>
          <w:bCs/>
        </w:rPr>
      </w:pPr>
      <w:r w:rsidRPr="000632A4">
        <w:rPr>
          <w:rFonts w:asciiTheme="minorHAnsi" w:hAnsiTheme="minorHAnsi" w:cstheme="minorHAnsi"/>
          <w:b/>
          <w:bCs/>
        </w:rPr>
        <w:t xml:space="preserve">Section 3 – Authority </w:t>
      </w:r>
    </w:p>
    <w:p w14:paraId="79AD4589" w14:textId="77777777" w:rsidR="000628EA" w:rsidRPr="000632A4" w:rsidRDefault="000628EA" w:rsidP="000628EA">
      <w:pPr>
        <w:rPr>
          <w:rFonts w:asciiTheme="minorHAnsi" w:hAnsiTheme="minorHAnsi" w:cstheme="minorHAnsi"/>
          <w:szCs w:val="24"/>
        </w:rPr>
      </w:pPr>
      <w:r w:rsidRPr="000632A4">
        <w:rPr>
          <w:rFonts w:asciiTheme="minorHAnsi" w:hAnsiTheme="minorHAnsi" w:cstheme="minorHAnsi"/>
          <w:szCs w:val="24"/>
        </w:rPr>
        <w:t xml:space="preserve">This section provides that the </w:t>
      </w:r>
      <w:r w:rsidR="00CB7BA2" w:rsidRPr="000632A4">
        <w:rPr>
          <w:rFonts w:asciiTheme="minorHAnsi" w:hAnsiTheme="minorHAnsi" w:cstheme="minorHAnsi"/>
          <w:szCs w:val="24"/>
        </w:rPr>
        <w:t xml:space="preserve">Amendment </w:t>
      </w:r>
      <w:r w:rsidR="00FB2F1F" w:rsidRPr="000632A4">
        <w:rPr>
          <w:rFonts w:asciiTheme="minorHAnsi" w:hAnsiTheme="minorHAnsi" w:cstheme="minorHAnsi"/>
          <w:szCs w:val="24"/>
        </w:rPr>
        <w:t xml:space="preserve">Determination is made </w:t>
      </w:r>
      <w:r w:rsidR="00361B82" w:rsidRPr="000632A4">
        <w:rPr>
          <w:rFonts w:asciiTheme="minorHAnsi" w:hAnsiTheme="minorHAnsi" w:cstheme="minorHAnsi"/>
          <w:szCs w:val="24"/>
        </w:rPr>
        <w:t xml:space="preserve">under </w:t>
      </w:r>
      <w:r w:rsidR="00FB2F1F" w:rsidRPr="000632A4">
        <w:rPr>
          <w:rFonts w:asciiTheme="minorHAnsi" w:hAnsiTheme="minorHAnsi" w:cstheme="minorHAnsi"/>
          <w:szCs w:val="24"/>
        </w:rPr>
        <w:t xml:space="preserve">subparagraphs 31(1)(d)(ii) and 36(7)(c)(ii) of the </w:t>
      </w:r>
      <w:r w:rsidR="00FB2F1F" w:rsidRPr="000632A4">
        <w:rPr>
          <w:rFonts w:asciiTheme="minorHAnsi" w:hAnsiTheme="minorHAnsi" w:cstheme="minorHAnsi"/>
          <w:i/>
          <w:iCs/>
          <w:szCs w:val="24"/>
        </w:rPr>
        <w:t>Australian Education Regulations 2023</w:t>
      </w:r>
      <w:r w:rsidR="00FB2F1F" w:rsidRPr="000632A4">
        <w:rPr>
          <w:rFonts w:asciiTheme="minorHAnsi" w:hAnsiTheme="minorHAnsi" w:cstheme="minorHAnsi"/>
          <w:szCs w:val="24"/>
        </w:rPr>
        <w:t xml:space="preserve"> (the Regulations). </w:t>
      </w:r>
    </w:p>
    <w:p w14:paraId="0751A0FE" w14:textId="77777777" w:rsidR="00361B82" w:rsidRPr="000632A4" w:rsidRDefault="00361B82" w:rsidP="00361B82">
      <w:pPr>
        <w:pStyle w:val="Heading3"/>
        <w:rPr>
          <w:rFonts w:asciiTheme="minorHAnsi" w:hAnsiTheme="minorHAnsi" w:cstheme="minorHAnsi"/>
          <w:b/>
          <w:bCs/>
        </w:rPr>
      </w:pPr>
      <w:r w:rsidRPr="000632A4">
        <w:rPr>
          <w:rFonts w:asciiTheme="minorHAnsi" w:hAnsiTheme="minorHAnsi" w:cstheme="minorHAnsi"/>
          <w:b/>
          <w:bCs/>
        </w:rPr>
        <w:t>Section 4 – Schedules</w:t>
      </w:r>
    </w:p>
    <w:p w14:paraId="6199EC70" w14:textId="77777777" w:rsidR="00361B82" w:rsidRPr="000632A4" w:rsidRDefault="00361B82" w:rsidP="000628EA">
      <w:pPr>
        <w:rPr>
          <w:rFonts w:asciiTheme="minorHAnsi" w:hAnsiTheme="minorHAnsi" w:cstheme="minorHAnsi"/>
          <w:szCs w:val="24"/>
        </w:rPr>
      </w:pPr>
      <w:r w:rsidRPr="000632A4">
        <w:rPr>
          <w:rFonts w:asciiTheme="minorHAnsi" w:hAnsiTheme="minorHAnsi" w:cstheme="minorHAnsi"/>
          <w:szCs w:val="24"/>
        </w:rPr>
        <w:t xml:space="preserve">This section provides that each instrument that is specified in a Schedule to the instrument is amended or repealed as set out in the applicable items in the Schedule concerned, and any other item in a Schedule to the instrument has effect according to its terms. </w:t>
      </w:r>
    </w:p>
    <w:p w14:paraId="69107F6B" w14:textId="2706C787" w:rsidR="00361B82" w:rsidRPr="000632A4" w:rsidRDefault="00361B82" w:rsidP="000628EA">
      <w:pPr>
        <w:rPr>
          <w:rFonts w:asciiTheme="minorHAnsi" w:hAnsiTheme="minorHAnsi" w:cstheme="minorHAnsi"/>
          <w:szCs w:val="24"/>
        </w:rPr>
      </w:pPr>
      <w:r w:rsidRPr="000632A4">
        <w:rPr>
          <w:rFonts w:asciiTheme="minorHAnsi" w:hAnsiTheme="minorHAnsi" w:cstheme="minorHAnsi"/>
          <w:szCs w:val="24"/>
        </w:rPr>
        <w:t xml:space="preserve">The only instrument that is specified in the Schedule is the </w:t>
      </w:r>
      <w:r w:rsidRPr="000632A4">
        <w:rPr>
          <w:rFonts w:asciiTheme="minorHAnsi" w:hAnsiTheme="minorHAnsi" w:cstheme="minorHAnsi"/>
          <w:i/>
          <w:iCs/>
          <w:szCs w:val="24"/>
        </w:rPr>
        <w:t xml:space="preserve">Australian Education Regulations (Prescription of Guidelines and Documents) Determination 2024 </w:t>
      </w:r>
      <w:r w:rsidRPr="000632A4">
        <w:rPr>
          <w:rFonts w:asciiTheme="minorHAnsi" w:hAnsiTheme="minorHAnsi" w:cstheme="minorHAnsi"/>
          <w:szCs w:val="24"/>
        </w:rPr>
        <w:t xml:space="preserve">(the Principal Determination). </w:t>
      </w:r>
    </w:p>
    <w:p w14:paraId="38F519F1" w14:textId="77777777" w:rsidR="00361B82" w:rsidRPr="000632A4" w:rsidRDefault="00361B82" w:rsidP="00361B82">
      <w:pPr>
        <w:pStyle w:val="Heading3"/>
        <w:rPr>
          <w:rFonts w:asciiTheme="minorHAnsi" w:hAnsiTheme="minorHAnsi" w:cstheme="minorHAnsi"/>
          <w:b/>
          <w:bCs/>
        </w:rPr>
      </w:pPr>
      <w:r w:rsidRPr="000632A4">
        <w:rPr>
          <w:rFonts w:asciiTheme="minorHAnsi" w:hAnsiTheme="minorHAnsi" w:cstheme="minorHAnsi"/>
          <w:b/>
          <w:bCs/>
        </w:rPr>
        <w:t xml:space="preserve">Schedule 1 – Amendments </w:t>
      </w:r>
    </w:p>
    <w:p w14:paraId="2DF105DF" w14:textId="77777777" w:rsidR="00361B82" w:rsidRPr="000632A4" w:rsidRDefault="00361B82" w:rsidP="000628EA">
      <w:pPr>
        <w:rPr>
          <w:rFonts w:asciiTheme="minorHAnsi" w:hAnsiTheme="minorHAnsi" w:cstheme="minorHAnsi"/>
          <w:szCs w:val="24"/>
        </w:rPr>
      </w:pPr>
      <w:r w:rsidRPr="000632A4">
        <w:rPr>
          <w:rFonts w:asciiTheme="minorHAnsi" w:hAnsiTheme="minorHAnsi" w:cstheme="minorHAnsi"/>
          <w:i/>
          <w:iCs/>
          <w:szCs w:val="24"/>
        </w:rPr>
        <w:t>Australian Education Regulations (</w:t>
      </w:r>
      <w:r w:rsidR="00FE43DC" w:rsidRPr="000632A4">
        <w:rPr>
          <w:rFonts w:asciiTheme="minorHAnsi" w:hAnsiTheme="minorHAnsi" w:cstheme="minorHAnsi"/>
          <w:i/>
          <w:iCs/>
          <w:szCs w:val="24"/>
        </w:rPr>
        <w:t>Revised Written Arrangements with Non-government Representative Bodies</w:t>
      </w:r>
      <w:r w:rsidRPr="000632A4">
        <w:rPr>
          <w:rFonts w:asciiTheme="minorHAnsi" w:hAnsiTheme="minorHAnsi" w:cstheme="minorHAnsi"/>
          <w:i/>
          <w:iCs/>
          <w:szCs w:val="24"/>
        </w:rPr>
        <w:t>) Amendment Determination 2025</w:t>
      </w:r>
    </w:p>
    <w:p w14:paraId="127B1541" w14:textId="7D6C53A4" w:rsidR="00361B82" w:rsidRPr="000632A4" w:rsidRDefault="00361B82" w:rsidP="000628EA">
      <w:pPr>
        <w:rPr>
          <w:rFonts w:asciiTheme="minorHAnsi" w:hAnsiTheme="minorHAnsi" w:cstheme="minorHAnsi"/>
          <w:b/>
          <w:bCs/>
          <w:szCs w:val="24"/>
        </w:rPr>
      </w:pPr>
      <w:r w:rsidRPr="000632A4">
        <w:rPr>
          <w:rFonts w:asciiTheme="minorHAnsi" w:hAnsiTheme="minorHAnsi" w:cstheme="minorHAnsi"/>
          <w:b/>
          <w:bCs/>
          <w:szCs w:val="24"/>
        </w:rPr>
        <w:t>Items [1] to [</w:t>
      </w:r>
      <w:r w:rsidR="00A232DA" w:rsidRPr="000632A4">
        <w:rPr>
          <w:rFonts w:asciiTheme="minorHAnsi" w:hAnsiTheme="minorHAnsi" w:cstheme="minorHAnsi"/>
          <w:b/>
          <w:bCs/>
          <w:szCs w:val="24"/>
        </w:rPr>
        <w:t>5</w:t>
      </w:r>
      <w:r w:rsidRPr="000632A4">
        <w:rPr>
          <w:rFonts w:asciiTheme="minorHAnsi" w:hAnsiTheme="minorHAnsi" w:cstheme="minorHAnsi"/>
          <w:b/>
          <w:bCs/>
          <w:szCs w:val="24"/>
        </w:rPr>
        <w:t xml:space="preserve">] – </w:t>
      </w:r>
      <w:r w:rsidR="005B3EFF" w:rsidRPr="000632A4">
        <w:rPr>
          <w:rFonts w:asciiTheme="minorHAnsi" w:hAnsiTheme="minorHAnsi" w:cstheme="minorHAnsi"/>
          <w:b/>
          <w:bCs/>
          <w:szCs w:val="24"/>
        </w:rPr>
        <w:t>Section</w:t>
      </w:r>
      <w:r w:rsidRPr="000632A4">
        <w:rPr>
          <w:rFonts w:asciiTheme="minorHAnsi" w:hAnsiTheme="minorHAnsi" w:cstheme="minorHAnsi"/>
          <w:b/>
          <w:bCs/>
          <w:szCs w:val="24"/>
        </w:rPr>
        <w:t xml:space="preserve"> 7</w:t>
      </w:r>
    </w:p>
    <w:p w14:paraId="16EB1EE8" w14:textId="77777777" w:rsidR="00361B82" w:rsidRPr="000632A4" w:rsidRDefault="00361B82" w:rsidP="00361B82">
      <w:pPr>
        <w:rPr>
          <w:rFonts w:asciiTheme="minorHAnsi" w:hAnsiTheme="minorHAnsi" w:cstheme="minorHAnsi"/>
          <w:szCs w:val="24"/>
        </w:rPr>
      </w:pPr>
      <w:r w:rsidRPr="000632A4">
        <w:rPr>
          <w:rFonts w:asciiTheme="minorHAnsi" w:hAnsiTheme="minorHAnsi" w:cstheme="minorHAnsi"/>
          <w:szCs w:val="24"/>
        </w:rPr>
        <w:t>Subparagraphs 31(1)(d)(ii) and 36(7)(c)(ii) of the Regulations provide that the Minister may determine, by legislative instrument, that financial assistance must be spent and reports must be given in accordance with a written arrangement between the Secretary and a non-government body.</w:t>
      </w:r>
    </w:p>
    <w:p w14:paraId="550D57E9" w14:textId="43900468" w:rsidR="00361B82" w:rsidRPr="000632A4" w:rsidRDefault="00361B82" w:rsidP="000628EA">
      <w:pPr>
        <w:rPr>
          <w:rFonts w:asciiTheme="minorHAnsi" w:hAnsiTheme="minorHAnsi" w:cstheme="minorHAnsi"/>
          <w:szCs w:val="24"/>
        </w:rPr>
      </w:pPr>
      <w:r w:rsidRPr="000632A4">
        <w:rPr>
          <w:rFonts w:asciiTheme="minorHAnsi" w:hAnsiTheme="minorHAnsi" w:cstheme="minorHAnsi"/>
          <w:szCs w:val="24"/>
        </w:rPr>
        <w:t>Section 7</w:t>
      </w:r>
      <w:r w:rsidR="00CB7BA2" w:rsidRPr="000632A4">
        <w:rPr>
          <w:rFonts w:asciiTheme="minorHAnsi" w:hAnsiTheme="minorHAnsi" w:cstheme="minorHAnsi"/>
          <w:szCs w:val="24"/>
        </w:rPr>
        <w:t xml:space="preserve"> of the Principal Determination</w:t>
      </w:r>
      <w:r w:rsidRPr="000632A4">
        <w:rPr>
          <w:rFonts w:asciiTheme="minorHAnsi" w:hAnsiTheme="minorHAnsi" w:cstheme="minorHAnsi"/>
          <w:szCs w:val="24"/>
        </w:rPr>
        <w:t xml:space="preserve"> prescribes, for the purposes of subparagraphs 31(1)(d)(ii) and 36(7)(c)(ii) of the Regulations, written arrangements between the Secretary and a non-government body relating to financial assistance payable to the body under Division 4 of Part 5 of the </w:t>
      </w:r>
      <w:r w:rsidRPr="000632A4">
        <w:rPr>
          <w:rFonts w:asciiTheme="minorHAnsi" w:hAnsiTheme="minorHAnsi" w:cstheme="minorHAnsi"/>
          <w:i/>
          <w:iCs/>
          <w:szCs w:val="24"/>
        </w:rPr>
        <w:t>Australian Education Act 2013</w:t>
      </w:r>
      <w:r w:rsidRPr="000632A4">
        <w:rPr>
          <w:rFonts w:asciiTheme="minorHAnsi" w:hAnsiTheme="minorHAnsi" w:cstheme="minorHAnsi"/>
          <w:szCs w:val="24"/>
        </w:rPr>
        <w:t xml:space="preserve">. </w:t>
      </w:r>
      <w:r w:rsidR="00532FA6" w:rsidRPr="000632A4">
        <w:rPr>
          <w:rFonts w:asciiTheme="minorHAnsi" w:hAnsiTheme="minorHAnsi" w:cstheme="minorHAnsi"/>
          <w:szCs w:val="24"/>
        </w:rPr>
        <w:t>Section 7 of the Principal Determination prescribes the written arrangements by way of reference to a table.</w:t>
      </w:r>
      <w:r w:rsidRPr="000632A4">
        <w:rPr>
          <w:rFonts w:asciiTheme="minorHAnsi" w:hAnsiTheme="minorHAnsi" w:cstheme="minorHAnsi"/>
          <w:szCs w:val="24"/>
        </w:rPr>
        <w:t xml:space="preserve"> </w:t>
      </w:r>
      <w:r w:rsidR="00532FA6" w:rsidRPr="000632A4">
        <w:rPr>
          <w:rFonts w:asciiTheme="minorHAnsi" w:hAnsiTheme="minorHAnsi" w:cstheme="minorHAnsi"/>
          <w:szCs w:val="24"/>
        </w:rPr>
        <w:t xml:space="preserve">The </w:t>
      </w:r>
      <w:r w:rsidRPr="000632A4">
        <w:rPr>
          <w:rFonts w:asciiTheme="minorHAnsi" w:hAnsiTheme="minorHAnsi" w:cstheme="minorHAnsi"/>
          <w:szCs w:val="24"/>
        </w:rPr>
        <w:t>non-government representative body named in column 2 of the table</w:t>
      </w:r>
      <w:r w:rsidR="00532FA6" w:rsidRPr="000632A4">
        <w:rPr>
          <w:rFonts w:asciiTheme="minorHAnsi" w:hAnsiTheme="minorHAnsi" w:cstheme="minorHAnsi"/>
          <w:szCs w:val="24"/>
        </w:rPr>
        <w:t xml:space="preserve"> must spend financial assistance in accordance with and give reports in accordance with the written arrangements named in column 3 of the table</w:t>
      </w:r>
      <w:r w:rsidRPr="000632A4">
        <w:rPr>
          <w:rFonts w:asciiTheme="minorHAnsi" w:hAnsiTheme="minorHAnsi" w:cstheme="minorHAnsi"/>
          <w:szCs w:val="24"/>
        </w:rPr>
        <w:t xml:space="preserve">. </w:t>
      </w:r>
    </w:p>
    <w:p w14:paraId="7BF2773C" w14:textId="5864B8CF" w:rsidR="00361B82" w:rsidRPr="000632A4" w:rsidRDefault="00361B82" w:rsidP="000628EA">
      <w:pPr>
        <w:rPr>
          <w:rFonts w:asciiTheme="minorHAnsi" w:hAnsiTheme="minorHAnsi" w:cstheme="minorHAnsi"/>
          <w:szCs w:val="24"/>
        </w:rPr>
      </w:pPr>
      <w:r w:rsidRPr="000632A4">
        <w:rPr>
          <w:rFonts w:asciiTheme="minorHAnsi" w:hAnsiTheme="minorHAnsi" w:cstheme="minorHAnsi"/>
          <w:i/>
          <w:iCs/>
          <w:szCs w:val="24"/>
        </w:rPr>
        <w:lastRenderedPageBreak/>
        <w:t>Item [1] –</w:t>
      </w:r>
      <w:r w:rsidR="00FE43DC" w:rsidRPr="000632A4">
        <w:rPr>
          <w:rFonts w:asciiTheme="minorHAnsi" w:hAnsiTheme="minorHAnsi" w:cstheme="minorHAnsi"/>
          <w:i/>
          <w:iCs/>
          <w:szCs w:val="24"/>
        </w:rPr>
        <w:t xml:space="preserve"> </w:t>
      </w:r>
      <w:r w:rsidR="00A232DA" w:rsidRPr="000632A4">
        <w:rPr>
          <w:rFonts w:asciiTheme="minorHAnsi" w:hAnsiTheme="minorHAnsi" w:cstheme="minorHAnsi"/>
          <w:i/>
          <w:iCs/>
          <w:szCs w:val="24"/>
        </w:rPr>
        <w:t xml:space="preserve">cell at </w:t>
      </w:r>
      <w:r w:rsidRPr="000632A4">
        <w:rPr>
          <w:rFonts w:asciiTheme="minorHAnsi" w:hAnsiTheme="minorHAnsi" w:cstheme="minorHAnsi"/>
          <w:i/>
          <w:iCs/>
          <w:szCs w:val="24"/>
        </w:rPr>
        <w:t>table item 7, column 2</w:t>
      </w:r>
      <w:r w:rsidR="00A232DA" w:rsidRPr="000632A4">
        <w:rPr>
          <w:rFonts w:asciiTheme="minorHAnsi" w:hAnsiTheme="minorHAnsi" w:cstheme="minorHAnsi"/>
          <w:i/>
          <w:iCs/>
          <w:szCs w:val="24"/>
        </w:rPr>
        <w:t xml:space="preserve"> headed “Body”</w:t>
      </w:r>
    </w:p>
    <w:p w14:paraId="1FD520BA" w14:textId="3A25B79A" w:rsidR="00A0294F" w:rsidRPr="000632A4" w:rsidRDefault="00A0294F" w:rsidP="00A0294F">
      <w:pPr>
        <w:rPr>
          <w:rFonts w:asciiTheme="minorHAnsi" w:hAnsiTheme="minorHAnsi" w:cstheme="minorHAnsi"/>
          <w:szCs w:val="24"/>
        </w:rPr>
      </w:pPr>
      <w:r w:rsidRPr="000632A4">
        <w:rPr>
          <w:rFonts w:asciiTheme="minorHAnsi" w:hAnsiTheme="minorHAnsi" w:cstheme="minorHAnsi"/>
          <w:szCs w:val="24"/>
        </w:rPr>
        <w:t xml:space="preserve">This item </w:t>
      </w:r>
      <w:r w:rsidR="00293E2C" w:rsidRPr="000632A4">
        <w:rPr>
          <w:rFonts w:asciiTheme="minorHAnsi" w:hAnsiTheme="minorHAnsi" w:cstheme="minorHAnsi"/>
          <w:szCs w:val="24"/>
        </w:rPr>
        <w:t xml:space="preserve">repeals the cell referring to </w:t>
      </w:r>
      <w:r w:rsidRPr="000632A4">
        <w:rPr>
          <w:rFonts w:asciiTheme="minorHAnsi" w:hAnsiTheme="minorHAnsi" w:cstheme="minorHAnsi"/>
          <w:szCs w:val="24"/>
        </w:rPr>
        <w:t xml:space="preserve">“Trustees for Catholic Education Office Archdiocese of Canberra &amp; Goulburn” </w:t>
      </w:r>
      <w:r w:rsidR="00293E2C" w:rsidRPr="000632A4">
        <w:rPr>
          <w:rFonts w:asciiTheme="minorHAnsi" w:hAnsiTheme="minorHAnsi" w:cstheme="minorHAnsi"/>
          <w:szCs w:val="24"/>
        </w:rPr>
        <w:t xml:space="preserve">and substitutes </w:t>
      </w:r>
      <w:r w:rsidRPr="000632A4">
        <w:rPr>
          <w:rFonts w:asciiTheme="minorHAnsi" w:hAnsiTheme="minorHAnsi" w:cstheme="minorHAnsi"/>
          <w:szCs w:val="24"/>
        </w:rPr>
        <w:t xml:space="preserve">“Catholic Archdiocese of Canberra and Goulburn Education Limited”. </w:t>
      </w:r>
    </w:p>
    <w:p w14:paraId="4E5530A6" w14:textId="77777777" w:rsidR="00361B82" w:rsidRPr="000632A4" w:rsidRDefault="00A0294F" w:rsidP="00A0294F">
      <w:pPr>
        <w:rPr>
          <w:rFonts w:asciiTheme="minorHAnsi" w:hAnsiTheme="minorHAnsi" w:cstheme="minorHAnsi"/>
          <w:szCs w:val="24"/>
        </w:rPr>
      </w:pPr>
      <w:r w:rsidRPr="000632A4">
        <w:rPr>
          <w:rFonts w:asciiTheme="minorHAnsi" w:hAnsiTheme="minorHAnsi" w:cstheme="minorHAnsi"/>
          <w:szCs w:val="24"/>
        </w:rPr>
        <w:t xml:space="preserve">This amendment reflects the revocation of the approval of Trustees for Catholic Education Office Archdiocese Canberra &amp; Goulburn, and the approval of Catholic Archdiocese of Canberra and Goulburn Education Limited, as the non-government representative body for </w:t>
      </w:r>
      <w:r w:rsidR="00D92A2E" w:rsidRPr="000632A4">
        <w:rPr>
          <w:rFonts w:asciiTheme="minorHAnsi" w:hAnsiTheme="minorHAnsi" w:cstheme="minorHAnsi"/>
          <w:szCs w:val="24"/>
        </w:rPr>
        <w:t>C</w:t>
      </w:r>
      <w:r w:rsidRPr="000632A4">
        <w:rPr>
          <w:rFonts w:asciiTheme="minorHAnsi" w:hAnsiTheme="minorHAnsi" w:cstheme="minorHAnsi"/>
          <w:szCs w:val="24"/>
        </w:rPr>
        <w:t xml:space="preserve">atholic schools in the Australian Capital Territory. </w:t>
      </w:r>
    </w:p>
    <w:p w14:paraId="3538292C" w14:textId="73B7ED2E" w:rsidR="00A0294F" w:rsidRPr="000632A4" w:rsidRDefault="00A0294F" w:rsidP="00A0294F">
      <w:pPr>
        <w:rPr>
          <w:rFonts w:asciiTheme="minorHAnsi" w:hAnsiTheme="minorHAnsi" w:cstheme="minorHAnsi"/>
          <w:szCs w:val="24"/>
        </w:rPr>
      </w:pPr>
      <w:r w:rsidRPr="000632A4">
        <w:rPr>
          <w:rFonts w:asciiTheme="minorHAnsi" w:hAnsiTheme="minorHAnsi" w:cstheme="minorHAnsi"/>
          <w:i/>
          <w:iCs/>
          <w:szCs w:val="24"/>
        </w:rPr>
        <w:t>Item [2] –</w:t>
      </w:r>
      <w:r w:rsidR="00FE43DC" w:rsidRPr="000632A4">
        <w:rPr>
          <w:rFonts w:asciiTheme="minorHAnsi" w:hAnsiTheme="minorHAnsi" w:cstheme="minorHAnsi"/>
          <w:i/>
          <w:iCs/>
          <w:szCs w:val="24"/>
        </w:rPr>
        <w:t xml:space="preserve"> </w:t>
      </w:r>
      <w:r w:rsidR="00A232DA" w:rsidRPr="000632A4">
        <w:rPr>
          <w:rFonts w:asciiTheme="minorHAnsi" w:hAnsiTheme="minorHAnsi" w:cstheme="minorHAnsi"/>
          <w:i/>
          <w:iCs/>
          <w:szCs w:val="24"/>
        </w:rPr>
        <w:t xml:space="preserve">cell at </w:t>
      </w:r>
      <w:r w:rsidRPr="000632A4">
        <w:rPr>
          <w:rFonts w:asciiTheme="minorHAnsi" w:hAnsiTheme="minorHAnsi" w:cstheme="minorHAnsi"/>
          <w:i/>
          <w:iCs/>
          <w:szCs w:val="24"/>
        </w:rPr>
        <w:t>table item 7, column 3</w:t>
      </w:r>
      <w:r w:rsidR="00A232DA" w:rsidRPr="000632A4">
        <w:rPr>
          <w:rFonts w:asciiTheme="minorHAnsi" w:hAnsiTheme="minorHAnsi" w:cstheme="minorHAnsi"/>
          <w:i/>
          <w:iCs/>
          <w:szCs w:val="24"/>
        </w:rPr>
        <w:t xml:space="preserve"> headed “Written Arrangement”</w:t>
      </w:r>
    </w:p>
    <w:p w14:paraId="469040CB" w14:textId="6298BBCE" w:rsidR="00A0294F" w:rsidRPr="000632A4" w:rsidRDefault="00A0294F" w:rsidP="00A0294F">
      <w:pPr>
        <w:rPr>
          <w:rFonts w:asciiTheme="minorHAnsi" w:hAnsiTheme="minorHAnsi" w:cstheme="minorHAnsi"/>
          <w:szCs w:val="24"/>
        </w:rPr>
      </w:pPr>
      <w:r w:rsidRPr="000632A4">
        <w:rPr>
          <w:rFonts w:asciiTheme="minorHAnsi" w:hAnsiTheme="minorHAnsi" w:cstheme="minorHAnsi"/>
          <w:szCs w:val="24"/>
        </w:rPr>
        <w:t xml:space="preserve">This item </w:t>
      </w:r>
      <w:r w:rsidR="00FE43DC" w:rsidRPr="000632A4">
        <w:rPr>
          <w:rFonts w:asciiTheme="minorHAnsi" w:hAnsiTheme="minorHAnsi" w:cstheme="minorHAnsi"/>
          <w:szCs w:val="24"/>
        </w:rPr>
        <w:t xml:space="preserve">omits </w:t>
      </w:r>
      <w:r w:rsidRPr="000632A4">
        <w:rPr>
          <w:rFonts w:asciiTheme="minorHAnsi" w:hAnsiTheme="minorHAnsi" w:cstheme="minorHAnsi"/>
          <w:szCs w:val="24"/>
        </w:rPr>
        <w:t xml:space="preserve">the words “revised 15 January 2024” and </w:t>
      </w:r>
      <w:r w:rsidR="00293E2C" w:rsidRPr="000632A4">
        <w:rPr>
          <w:rFonts w:asciiTheme="minorHAnsi" w:hAnsiTheme="minorHAnsi" w:cstheme="minorHAnsi"/>
          <w:szCs w:val="24"/>
        </w:rPr>
        <w:t>substitutes</w:t>
      </w:r>
      <w:r w:rsidRPr="000632A4">
        <w:rPr>
          <w:rFonts w:asciiTheme="minorHAnsi" w:hAnsiTheme="minorHAnsi" w:cstheme="minorHAnsi"/>
          <w:szCs w:val="24"/>
        </w:rPr>
        <w:t xml:space="preserve"> </w:t>
      </w:r>
      <w:r w:rsidR="00FE43DC" w:rsidRPr="000632A4">
        <w:rPr>
          <w:rFonts w:asciiTheme="minorHAnsi" w:hAnsiTheme="minorHAnsi" w:cstheme="minorHAnsi"/>
          <w:szCs w:val="24"/>
        </w:rPr>
        <w:t xml:space="preserve">the words </w:t>
      </w:r>
      <w:r w:rsidRPr="000632A4">
        <w:rPr>
          <w:rFonts w:asciiTheme="minorHAnsi" w:hAnsiTheme="minorHAnsi" w:cstheme="minorHAnsi"/>
          <w:szCs w:val="24"/>
        </w:rPr>
        <w:t>“revised 1 January 2025”.</w:t>
      </w:r>
    </w:p>
    <w:p w14:paraId="27129459" w14:textId="77777777" w:rsidR="00AD357B" w:rsidRPr="000632A4" w:rsidRDefault="00AD357B" w:rsidP="00A0294F">
      <w:pPr>
        <w:rPr>
          <w:rFonts w:asciiTheme="minorHAnsi" w:hAnsiTheme="minorHAnsi" w:cstheme="minorHAnsi"/>
          <w:szCs w:val="24"/>
        </w:rPr>
      </w:pPr>
      <w:r w:rsidRPr="000632A4">
        <w:rPr>
          <w:rFonts w:asciiTheme="minorHAnsi" w:hAnsiTheme="minorHAnsi" w:cstheme="minorHAnsi"/>
          <w:szCs w:val="24"/>
        </w:rPr>
        <w:t xml:space="preserve">This amendment reflects the novation of the </w:t>
      </w:r>
      <w:r w:rsidRPr="000632A4">
        <w:rPr>
          <w:rFonts w:asciiTheme="minorHAnsi" w:hAnsiTheme="minorHAnsi" w:cstheme="minorHAnsi"/>
          <w:i/>
          <w:iCs/>
          <w:szCs w:val="24"/>
        </w:rPr>
        <w:t xml:space="preserve">Choice and Affordability Fund Agreement 2020 to 2029 </w:t>
      </w:r>
      <w:r w:rsidRPr="000632A4">
        <w:rPr>
          <w:rFonts w:asciiTheme="minorHAnsi" w:hAnsiTheme="minorHAnsi" w:cstheme="minorHAnsi"/>
          <w:szCs w:val="24"/>
        </w:rPr>
        <w:t>to Catholic Archdiocese of Canberra and Goulburn Education Limited on 1 January 2025.</w:t>
      </w:r>
    </w:p>
    <w:p w14:paraId="0ED1E3B1" w14:textId="69A99C8F" w:rsidR="00A0294F" w:rsidRPr="000632A4" w:rsidRDefault="00A0294F" w:rsidP="00A0294F">
      <w:pPr>
        <w:rPr>
          <w:rFonts w:asciiTheme="minorHAnsi" w:hAnsiTheme="minorHAnsi" w:cstheme="minorHAnsi"/>
          <w:szCs w:val="24"/>
        </w:rPr>
      </w:pPr>
      <w:r w:rsidRPr="000632A4">
        <w:rPr>
          <w:rFonts w:asciiTheme="minorHAnsi" w:hAnsiTheme="minorHAnsi" w:cstheme="minorHAnsi"/>
          <w:i/>
          <w:iCs/>
          <w:szCs w:val="24"/>
        </w:rPr>
        <w:t xml:space="preserve">Item [3] – </w:t>
      </w:r>
      <w:r w:rsidR="00A232DA" w:rsidRPr="000632A4">
        <w:rPr>
          <w:rFonts w:asciiTheme="minorHAnsi" w:hAnsiTheme="minorHAnsi" w:cstheme="minorHAnsi"/>
          <w:i/>
          <w:iCs/>
          <w:szCs w:val="24"/>
        </w:rPr>
        <w:t xml:space="preserve">cell at </w:t>
      </w:r>
      <w:r w:rsidRPr="000632A4">
        <w:rPr>
          <w:rFonts w:asciiTheme="minorHAnsi" w:hAnsiTheme="minorHAnsi" w:cstheme="minorHAnsi"/>
          <w:i/>
          <w:iCs/>
          <w:szCs w:val="24"/>
        </w:rPr>
        <w:t>table item 8, column 2</w:t>
      </w:r>
      <w:r w:rsidR="00A232DA" w:rsidRPr="000632A4">
        <w:rPr>
          <w:rFonts w:asciiTheme="minorHAnsi" w:hAnsiTheme="minorHAnsi" w:cstheme="minorHAnsi"/>
          <w:i/>
          <w:iCs/>
          <w:szCs w:val="24"/>
        </w:rPr>
        <w:t xml:space="preserve"> headed “Body”</w:t>
      </w:r>
    </w:p>
    <w:p w14:paraId="2518AA1C" w14:textId="106234B4" w:rsidR="00A0294F" w:rsidRPr="000632A4" w:rsidRDefault="00A0294F" w:rsidP="00A0294F">
      <w:pPr>
        <w:rPr>
          <w:rFonts w:asciiTheme="minorHAnsi" w:hAnsiTheme="minorHAnsi" w:cstheme="minorHAnsi"/>
          <w:szCs w:val="24"/>
        </w:rPr>
      </w:pPr>
      <w:r w:rsidRPr="000632A4">
        <w:rPr>
          <w:rFonts w:asciiTheme="minorHAnsi" w:hAnsiTheme="minorHAnsi" w:cstheme="minorHAnsi"/>
          <w:szCs w:val="24"/>
        </w:rPr>
        <w:t xml:space="preserve">This item </w:t>
      </w:r>
      <w:r w:rsidR="00293E2C" w:rsidRPr="000632A4">
        <w:rPr>
          <w:rFonts w:asciiTheme="minorHAnsi" w:hAnsiTheme="minorHAnsi" w:cstheme="minorHAnsi"/>
          <w:szCs w:val="24"/>
        </w:rPr>
        <w:t xml:space="preserve">repeals the cell referring </w:t>
      </w:r>
      <w:r w:rsidRPr="000632A4">
        <w:rPr>
          <w:rFonts w:asciiTheme="minorHAnsi" w:hAnsiTheme="minorHAnsi" w:cstheme="minorHAnsi"/>
          <w:szCs w:val="24"/>
        </w:rPr>
        <w:t xml:space="preserve">to “Catholic Education Office (Northern Territory)” </w:t>
      </w:r>
      <w:r w:rsidR="00293E2C" w:rsidRPr="000632A4">
        <w:rPr>
          <w:rFonts w:asciiTheme="minorHAnsi" w:hAnsiTheme="minorHAnsi" w:cstheme="minorHAnsi"/>
          <w:szCs w:val="24"/>
        </w:rPr>
        <w:t xml:space="preserve">and substitutes </w:t>
      </w:r>
      <w:r w:rsidR="00C45D8A">
        <w:rPr>
          <w:rFonts w:asciiTheme="minorHAnsi" w:hAnsiTheme="minorHAnsi" w:cstheme="minorHAnsi"/>
          <w:szCs w:val="24"/>
        </w:rPr>
        <w:t xml:space="preserve">the </w:t>
      </w:r>
      <w:r w:rsidRPr="000632A4">
        <w:rPr>
          <w:rFonts w:asciiTheme="minorHAnsi" w:hAnsiTheme="minorHAnsi" w:cstheme="minorHAnsi"/>
          <w:szCs w:val="24"/>
        </w:rPr>
        <w:t xml:space="preserve">“Catholic Church Diocese of Darwin Education Property Trust”. </w:t>
      </w:r>
    </w:p>
    <w:p w14:paraId="3E42BF7A" w14:textId="77777777" w:rsidR="00A0294F" w:rsidRPr="000632A4" w:rsidRDefault="00A0294F" w:rsidP="00A0294F">
      <w:pPr>
        <w:rPr>
          <w:rFonts w:asciiTheme="minorHAnsi" w:hAnsiTheme="minorHAnsi" w:cstheme="minorHAnsi"/>
          <w:szCs w:val="24"/>
        </w:rPr>
      </w:pPr>
      <w:r w:rsidRPr="000632A4">
        <w:rPr>
          <w:rFonts w:asciiTheme="minorHAnsi" w:hAnsiTheme="minorHAnsi" w:cstheme="minorHAnsi"/>
          <w:szCs w:val="24"/>
        </w:rPr>
        <w:t xml:space="preserve">This amendment reflects the revocation of the approval of Catholic Education Office (Northern Territory), and the approval of Catholic Church Diocese of Darwin Education Property Trust, as the non-government representative body for </w:t>
      </w:r>
      <w:r w:rsidR="00880C20" w:rsidRPr="000632A4">
        <w:rPr>
          <w:rFonts w:asciiTheme="minorHAnsi" w:hAnsiTheme="minorHAnsi" w:cstheme="minorHAnsi"/>
          <w:szCs w:val="24"/>
        </w:rPr>
        <w:t>C</w:t>
      </w:r>
      <w:r w:rsidRPr="000632A4">
        <w:rPr>
          <w:rFonts w:asciiTheme="minorHAnsi" w:hAnsiTheme="minorHAnsi" w:cstheme="minorHAnsi"/>
          <w:szCs w:val="24"/>
        </w:rPr>
        <w:t>atholic schools in the Northern Territory.</w:t>
      </w:r>
    </w:p>
    <w:p w14:paraId="21B873DA" w14:textId="413C4483" w:rsidR="00A0294F" w:rsidRPr="000632A4" w:rsidRDefault="00A0294F" w:rsidP="00A0294F">
      <w:pPr>
        <w:rPr>
          <w:rFonts w:asciiTheme="minorHAnsi" w:hAnsiTheme="minorHAnsi" w:cstheme="minorHAnsi"/>
          <w:szCs w:val="24"/>
        </w:rPr>
      </w:pPr>
      <w:r w:rsidRPr="000632A4">
        <w:rPr>
          <w:rFonts w:asciiTheme="minorHAnsi" w:hAnsiTheme="minorHAnsi" w:cstheme="minorHAnsi"/>
          <w:i/>
          <w:iCs/>
          <w:szCs w:val="24"/>
        </w:rPr>
        <w:t xml:space="preserve">Item [4] – </w:t>
      </w:r>
      <w:r w:rsidR="00A232DA" w:rsidRPr="000632A4">
        <w:rPr>
          <w:rFonts w:asciiTheme="minorHAnsi" w:hAnsiTheme="minorHAnsi" w:cstheme="minorHAnsi"/>
          <w:i/>
          <w:iCs/>
          <w:szCs w:val="24"/>
        </w:rPr>
        <w:t xml:space="preserve">cell at </w:t>
      </w:r>
      <w:r w:rsidRPr="000632A4">
        <w:rPr>
          <w:rFonts w:asciiTheme="minorHAnsi" w:hAnsiTheme="minorHAnsi" w:cstheme="minorHAnsi"/>
          <w:i/>
          <w:iCs/>
          <w:szCs w:val="24"/>
        </w:rPr>
        <w:t>table item 8, column 3</w:t>
      </w:r>
      <w:r w:rsidR="00A232DA" w:rsidRPr="000632A4">
        <w:rPr>
          <w:rFonts w:asciiTheme="minorHAnsi" w:hAnsiTheme="minorHAnsi" w:cstheme="minorHAnsi"/>
          <w:i/>
          <w:iCs/>
          <w:szCs w:val="24"/>
        </w:rPr>
        <w:t xml:space="preserve"> headed “Written Arrangement”</w:t>
      </w:r>
    </w:p>
    <w:p w14:paraId="3C414571" w14:textId="53408E29" w:rsidR="00A0294F" w:rsidRPr="000632A4" w:rsidRDefault="00A0294F" w:rsidP="00A0294F">
      <w:pPr>
        <w:rPr>
          <w:rFonts w:asciiTheme="minorHAnsi" w:hAnsiTheme="minorHAnsi" w:cstheme="minorHAnsi"/>
          <w:szCs w:val="24"/>
        </w:rPr>
      </w:pPr>
      <w:r w:rsidRPr="000632A4">
        <w:rPr>
          <w:rFonts w:asciiTheme="minorHAnsi" w:hAnsiTheme="minorHAnsi" w:cstheme="minorHAnsi"/>
          <w:szCs w:val="24"/>
        </w:rPr>
        <w:t xml:space="preserve">This item </w:t>
      </w:r>
      <w:r w:rsidR="001066E8" w:rsidRPr="000632A4">
        <w:rPr>
          <w:rFonts w:asciiTheme="minorHAnsi" w:hAnsiTheme="minorHAnsi" w:cstheme="minorHAnsi"/>
          <w:szCs w:val="24"/>
        </w:rPr>
        <w:t xml:space="preserve">omits </w:t>
      </w:r>
      <w:r w:rsidRPr="000632A4">
        <w:rPr>
          <w:rFonts w:asciiTheme="minorHAnsi" w:hAnsiTheme="minorHAnsi" w:cstheme="minorHAnsi"/>
          <w:szCs w:val="24"/>
        </w:rPr>
        <w:t xml:space="preserve">the words “revised 15 January 2024” and </w:t>
      </w:r>
      <w:r w:rsidR="00293E2C" w:rsidRPr="000632A4">
        <w:rPr>
          <w:rFonts w:asciiTheme="minorHAnsi" w:hAnsiTheme="minorHAnsi" w:cstheme="minorHAnsi"/>
          <w:szCs w:val="24"/>
        </w:rPr>
        <w:t xml:space="preserve">substitutes </w:t>
      </w:r>
      <w:r w:rsidRPr="000632A4">
        <w:rPr>
          <w:rFonts w:asciiTheme="minorHAnsi" w:hAnsiTheme="minorHAnsi" w:cstheme="minorHAnsi"/>
          <w:szCs w:val="24"/>
        </w:rPr>
        <w:t>“revised 1 January 2025”.</w:t>
      </w:r>
    </w:p>
    <w:p w14:paraId="2F11D253" w14:textId="77777777" w:rsidR="00EC4439" w:rsidRPr="000632A4" w:rsidRDefault="00A0294F" w:rsidP="00EC4439">
      <w:pPr>
        <w:rPr>
          <w:rFonts w:asciiTheme="minorHAnsi" w:hAnsiTheme="minorHAnsi" w:cstheme="minorHAnsi"/>
          <w:szCs w:val="24"/>
        </w:rPr>
      </w:pPr>
      <w:r w:rsidRPr="000632A4">
        <w:rPr>
          <w:rFonts w:asciiTheme="minorHAnsi" w:hAnsiTheme="minorHAnsi" w:cstheme="minorHAnsi"/>
          <w:szCs w:val="24"/>
        </w:rPr>
        <w:t xml:space="preserve">This amendment reflects the novation of the </w:t>
      </w:r>
      <w:r w:rsidR="00AD357B" w:rsidRPr="000632A4">
        <w:rPr>
          <w:rFonts w:asciiTheme="minorHAnsi" w:hAnsiTheme="minorHAnsi" w:cstheme="minorHAnsi"/>
          <w:i/>
          <w:iCs/>
          <w:szCs w:val="24"/>
        </w:rPr>
        <w:t xml:space="preserve">Choice and Affordability Fund Agreement 2020 to 2029 </w:t>
      </w:r>
      <w:r w:rsidR="00AD357B" w:rsidRPr="000632A4">
        <w:rPr>
          <w:rFonts w:asciiTheme="minorHAnsi" w:hAnsiTheme="minorHAnsi" w:cstheme="minorHAnsi"/>
          <w:szCs w:val="24"/>
        </w:rPr>
        <w:t>to Catholic Church Diocese of Darwin Education Property Trust on 1 January 2025.</w:t>
      </w:r>
    </w:p>
    <w:p w14:paraId="62A3B842" w14:textId="3079F337" w:rsidR="00C00924" w:rsidRPr="000632A4" w:rsidRDefault="00C00924" w:rsidP="00EC4439">
      <w:pPr>
        <w:rPr>
          <w:rFonts w:asciiTheme="minorHAnsi" w:hAnsiTheme="minorHAnsi" w:cstheme="minorHAnsi"/>
          <w:i/>
          <w:iCs/>
          <w:szCs w:val="24"/>
        </w:rPr>
      </w:pPr>
      <w:r w:rsidRPr="000632A4">
        <w:rPr>
          <w:rFonts w:asciiTheme="minorHAnsi" w:hAnsiTheme="minorHAnsi" w:cstheme="minorHAnsi"/>
          <w:i/>
          <w:iCs/>
          <w:szCs w:val="24"/>
        </w:rPr>
        <w:t>Item [5] –</w:t>
      </w:r>
      <w:r w:rsidR="003456A2">
        <w:rPr>
          <w:rFonts w:asciiTheme="minorHAnsi" w:hAnsiTheme="minorHAnsi" w:cstheme="minorHAnsi"/>
          <w:i/>
          <w:iCs/>
          <w:szCs w:val="24"/>
        </w:rPr>
        <w:t xml:space="preserve"> </w:t>
      </w:r>
      <w:r w:rsidRPr="000632A4">
        <w:rPr>
          <w:rFonts w:asciiTheme="minorHAnsi" w:hAnsiTheme="minorHAnsi" w:cstheme="minorHAnsi"/>
          <w:i/>
          <w:iCs/>
          <w:szCs w:val="24"/>
        </w:rPr>
        <w:t>note 1</w:t>
      </w:r>
      <w:r w:rsidR="00A232DA" w:rsidRPr="000632A4">
        <w:rPr>
          <w:rFonts w:asciiTheme="minorHAnsi" w:hAnsiTheme="minorHAnsi" w:cstheme="minorHAnsi"/>
          <w:i/>
          <w:iCs/>
          <w:szCs w:val="24"/>
        </w:rPr>
        <w:t xml:space="preserve"> to table</w:t>
      </w:r>
    </w:p>
    <w:p w14:paraId="4450E77D" w14:textId="73B7BA3A" w:rsidR="00C00924" w:rsidRDefault="00C00924" w:rsidP="00EC4439">
      <w:pPr>
        <w:rPr>
          <w:rFonts w:asciiTheme="minorHAnsi" w:hAnsiTheme="minorHAnsi" w:cstheme="minorHAnsi"/>
          <w:szCs w:val="24"/>
        </w:rPr>
      </w:pPr>
      <w:r w:rsidRPr="000632A4">
        <w:rPr>
          <w:rFonts w:asciiTheme="minorHAnsi" w:hAnsiTheme="minorHAnsi" w:cstheme="minorHAnsi"/>
          <w:szCs w:val="24"/>
        </w:rPr>
        <w:t xml:space="preserve">Note 1 to </w:t>
      </w:r>
      <w:r w:rsidR="00A232DA" w:rsidRPr="000632A4">
        <w:rPr>
          <w:rFonts w:asciiTheme="minorHAnsi" w:hAnsiTheme="minorHAnsi" w:cstheme="minorHAnsi"/>
          <w:szCs w:val="24"/>
        </w:rPr>
        <w:t xml:space="preserve">the table in </w:t>
      </w:r>
      <w:r w:rsidRPr="000632A4">
        <w:rPr>
          <w:rFonts w:asciiTheme="minorHAnsi" w:hAnsiTheme="minorHAnsi" w:cstheme="minorHAnsi"/>
          <w:szCs w:val="24"/>
        </w:rPr>
        <w:t>section 7 explains that in 2024, the written arrangements in column 3 of the table in section 7</w:t>
      </w:r>
      <w:r>
        <w:rPr>
          <w:rFonts w:asciiTheme="minorHAnsi" w:hAnsiTheme="minorHAnsi" w:cstheme="minorHAnsi"/>
          <w:szCs w:val="24"/>
        </w:rPr>
        <w:t xml:space="preserve"> could be found on the Department’s website at www.education.gov.au</w:t>
      </w:r>
    </w:p>
    <w:p w14:paraId="29C759F2" w14:textId="4FF812B1" w:rsidR="00C00924" w:rsidRPr="000F1552" w:rsidRDefault="00C00924" w:rsidP="00C00924">
      <w:pPr>
        <w:rPr>
          <w:rFonts w:asciiTheme="minorHAnsi" w:hAnsiTheme="minorHAnsi" w:cstheme="minorHAnsi"/>
          <w:szCs w:val="24"/>
        </w:rPr>
      </w:pPr>
      <w:r>
        <w:rPr>
          <w:rFonts w:asciiTheme="minorHAnsi" w:hAnsiTheme="minorHAnsi" w:cstheme="minorHAnsi"/>
          <w:szCs w:val="24"/>
        </w:rPr>
        <w:t xml:space="preserve">Item 5 </w:t>
      </w:r>
      <w:r w:rsidR="00D00DCF">
        <w:rPr>
          <w:rFonts w:asciiTheme="minorHAnsi" w:hAnsiTheme="minorHAnsi" w:cstheme="minorHAnsi"/>
          <w:szCs w:val="24"/>
        </w:rPr>
        <w:t>repeals note 1 to the table and substitutes it with a new note 1</w:t>
      </w:r>
      <w:r>
        <w:rPr>
          <w:rFonts w:asciiTheme="minorHAnsi" w:hAnsiTheme="minorHAnsi" w:cstheme="minorHAnsi"/>
          <w:szCs w:val="24"/>
        </w:rPr>
        <w:t xml:space="preserve"> to reflect </w:t>
      </w:r>
      <w:r w:rsidR="005B5AE9">
        <w:rPr>
          <w:rFonts w:asciiTheme="minorHAnsi" w:hAnsiTheme="minorHAnsi" w:cstheme="minorHAnsi"/>
          <w:szCs w:val="24"/>
        </w:rPr>
        <w:t>that</w:t>
      </w:r>
      <w:r>
        <w:rPr>
          <w:rFonts w:asciiTheme="minorHAnsi" w:hAnsiTheme="minorHAnsi" w:cstheme="minorHAnsi"/>
          <w:szCs w:val="24"/>
        </w:rPr>
        <w:t xml:space="preserve"> the written arrangements referred to</w:t>
      </w:r>
      <w:r w:rsidR="000B17A6">
        <w:rPr>
          <w:rFonts w:asciiTheme="minorHAnsi" w:hAnsiTheme="minorHAnsi" w:cstheme="minorHAnsi"/>
          <w:szCs w:val="24"/>
        </w:rPr>
        <w:t xml:space="preserve"> in</w:t>
      </w:r>
      <w:r>
        <w:rPr>
          <w:rFonts w:asciiTheme="minorHAnsi" w:hAnsiTheme="minorHAnsi" w:cstheme="minorHAnsi"/>
          <w:szCs w:val="24"/>
        </w:rPr>
        <w:t xml:space="preserve"> the amended table </w:t>
      </w:r>
      <w:r w:rsidR="005B5AE9">
        <w:rPr>
          <w:rFonts w:asciiTheme="minorHAnsi" w:hAnsiTheme="minorHAnsi" w:cstheme="minorHAnsi"/>
          <w:szCs w:val="24"/>
        </w:rPr>
        <w:t xml:space="preserve">can </w:t>
      </w:r>
      <w:r>
        <w:rPr>
          <w:rFonts w:asciiTheme="minorHAnsi" w:hAnsiTheme="minorHAnsi" w:cstheme="minorHAnsi"/>
          <w:szCs w:val="24"/>
        </w:rPr>
        <w:t>be found on the Department’s website.</w:t>
      </w:r>
    </w:p>
    <w:sectPr w:rsidR="00C00924" w:rsidRPr="000F155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44DBA" w14:textId="77777777" w:rsidR="00FA4552" w:rsidRDefault="00FA4552" w:rsidP="00A34D64">
      <w:pPr>
        <w:spacing w:after="0" w:line="240" w:lineRule="auto"/>
      </w:pPr>
      <w:r>
        <w:separator/>
      </w:r>
    </w:p>
  </w:endnote>
  <w:endnote w:type="continuationSeparator" w:id="0">
    <w:p w14:paraId="2232F35D" w14:textId="77777777" w:rsidR="00FA4552" w:rsidRDefault="00FA4552" w:rsidP="00A34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A1C75" w14:textId="77777777" w:rsidR="00CA4149" w:rsidRDefault="00CA4149">
    <w:pPr>
      <w:pStyle w:val="Footer"/>
    </w:pPr>
    <w:r>
      <w:rPr>
        <w:noProof/>
      </w:rPr>
      <mc:AlternateContent>
        <mc:Choice Requires="wps">
          <w:drawing>
            <wp:anchor distT="0" distB="0" distL="114300" distR="114300" simplePos="0" relativeHeight="251659264" behindDoc="0" locked="0" layoutInCell="0" allowOverlap="1" wp14:anchorId="29BA3CD1" wp14:editId="68BBFA3C">
              <wp:simplePos x="0" y="0"/>
              <wp:positionH relativeFrom="page">
                <wp:posOffset>0</wp:posOffset>
              </wp:positionH>
              <wp:positionV relativeFrom="page">
                <wp:posOffset>10248900</wp:posOffset>
              </wp:positionV>
              <wp:extent cx="7560310" cy="252095"/>
              <wp:effectExtent l="0" t="0" r="0" b="14605"/>
              <wp:wrapNone/>
              <wp:docPr id="1" name="MSIPCM12c4472fa049308ed7ad1424" descr="{&quot;HashCode&quot;:88359185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CC891F" w14:textId="77777777" w:rsidR="00CA4149" w:rsidRPr="00CA4149" w:rsidRDefault="00CA4149" w:rsidP="00CA4149">
                          <w:pPr>
                            <w:spacing w:after="0"/>
                            <w:jc w:val="center"/>
                            <w:rPr>
                              <w:rFonts w:ascii="Arial" w:hAnsi="Arial" w:cs="Arial"/>
                              <w:color w:val="FF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BA3CD1" id="_x0000_t202" coordsize="21600,21600" o:spt="202" path="m,l,21600r21600,l21600,xe">
              <v:stroke joinstyle="miter"/>
              <v:path gradientshapeok="t" o:connecttype="rect"/>
            </v:shapetype>
            <v:shape id="MSIPCM12c4472fa049308ed7ad1424" o:spid="_x0000_s1027" type="#_x0000_t202" alt="{&quot;HashCode&quot;:883591859,&quot;Height&quot;:841.0,&quot;Width&quot;:595.0,&quot;Placement&quot;:&quot;Footer&quot;,&quot;Index&quot;:&quot;Primary&quot;,&quot;Section&quot;:1,&quot;Top&quot;:0.0,&quot;Left&quot;:0.0}" style="position:absolute;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y0qhBYCAAArBAAADgAAAAAAAAAAAAAAAAAuAgAAZHJzL2Uyb0RvYy54bWxQSwECLQAUAAYA&#10;CAAAACEAXqIODt8AAAALAQAADwAAAAAAAAAAAAAAAABwBAAAZHJzL2Rvd25yZXYueG1sUEsFBgAA&#10;AAAEAAQA8wAAAHwFAAAAAA==&#10;" o:allowincell="f" filled="f" stroked="f" strokeweight=".5pt">
              <v:textbox inset=",0,,0">
                <w:txbxContent>
                  <w:p w14:paraId="0ECC891F" w14:textId="77777777" w:rsidR="00CA4149" w:rsidRPr="00CA4149" w:rsidRDefault="00CA4149" w:rsidP="00CA4149">
                    <w:pPr>
                      <w:spacing w:after="0"/>
                      <w:jc w:val="center"/>
                      <w:rPr>
                        <w:rFonts w:ascii="Arial" w:hAnsi="Arial" w:cs="Arial"/>
                        <w:color w:val="FF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7D8E7" w14:textId="77777777" w:rsidR="00FA4552" w:rsidRDefault="00FA4552" w:rsidP="00A34D64">
      <w:pPr>
        <w:spacing w:after="0" w:line="240" w:lineRule="auto"/>
      </w:pPr>
      <w:r>
        <w:separator/>
      </w:r>
    </w:p>
  </w:footnote>
  <w:footnote w:type="continuationSeparator" w:id="0">
    <w:p w14:paraId="68F11240" w14:textId="77777777" w:rsidR="00FA4552" w:rsidRDefault="00FA4552" w:rsidP="00A34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CF73D" w14:textId="77777777" w:rsidR="00CA4149" w:rsidRDefault="00CA4149">
    <w:pPr>
      <w:pStyle w:val="Header"/>
    </w:pPr>
    <w:r>
      <w:rPr>
        <w:noProof/>
      </w:rPr>
      <mc:AlternateContent>
        <mc:Choice Requires="wps">
          <w:drawing>
            <wp:anchor distT="0" distB="0" distL="114300" distR="114300" simplePos="0" relativeHeight="251660288" behindDoc="0" locked="0" layoutInCell="0" allowOverlap="1" wp14:anchorId="045837BE" wp14:editId="475F2FD1">
              <wp:simplePos x="0" y="0"/>
              <wp:positionH relativeFrom="page">
                <wp:posOffset>0</wp:posOffset>
              </wp:positionH>
              <wp:positionV relativeFrom="page">
                <wp:posOffset>190500</wp:posOffset>
              </wp:positionV>
              <wp:extent cx="7560310" cy="252095"/>
              <wp:effectExtent l="0" t="0" r="0" b="14605"/>
              <wp:wrapNone/>
              <wp:docPr id="2" name="MSIPCM53264a2b85c60ef968c2f3c6" descr="{&quot;HashCode&quot;:85945429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7BC79C" w14:textId="77777777" w:rsidR="00CA4149" w:rsidRPr="00CA4149" w:rsidRDefault="00CA4149" w:rsidP="00CA4149">
                          <w:pPr>
                            <w:spacing w:after="0"/>
                            <w:jc w:val="center"/>
                            <w:rPr>
                              <w:rFonts w:ascii="Arial" w:hAnsi="Arial" w:cs="Arial"/>
                              <w:color w:val="FF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45837BE" id="_x0000_t202" coordsize="21600,21600" o:spt="202" path="m,l,21600r21600,l21600,xe">
              <v:stroke joinstyle="miter"/>
              <v:path gradientshapeok="t" o:connecttype="rect"/>
            </v:shapetype>
            <v:shape id="MSIPCM53264a2b85c60ef968c2f3c6" o:spid="_x0000_s1026" type="#_x0000_t202" alt="{&quot;HashCode&quot;:859454290,&quot;Height&quot;:841.0,&quot;Width&quot;:595.0,&quot;Placement&quot;:&quot;Header&quot;,&quot;Index&quot;:&quot;Primary&quot;,&quot;Section&quot;:1,&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0E7BC79C" w14:textId="77777777" w:rsidR="00CA4149" w:rsidRPr="00CA4149" w:rsidRDefault="00CA4149" w:rsidP="00CA4149">
                    <w:pPr>
                      <w:spacing w:after="0"/>
                      <w:jc w:val="center"/>
                      <w:rPr>
                        <w:rFonts w:ascii="Arial" w:hAnsi="Arial" w:cs="Arial"/>
                        <w:color w:val="FF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1626A"/>
    <w:multiLevelType w:val="hybridMultilevel"/>
    <w:tmpl w:val="8DEC019E"/>
    <w:lvl w:ilvl="0" w:tplc="5B240568">
      <w:start w:val="1"/>
      <w:numFmt w:val="bullet"/>
      <w:lvlText w:val=""/>
      <w:lvlJc w:val="left"/>
      <w:pPr>
        <w:ind w:left="720" w:hanging="360"/>
      </w:pPr>
      <w:rPr>
        <w:rFonts w:ascii="Symbol" w:hAnsi="Symbol"/>
      </w:rPr>
    </w:lvl>
    <w:lvl w:ilvl="1" w:tplc="C66EEEC0">
      <w:start w:val="1"/>
      <w:numFmt w:val="bullet"/>
      <w:lvlText w:val=""/>
      <w:lvlJc w:val="left"/>
      <w:pPr>
        <w:ind w:left="720" w:hanging="360"/>
      </w:pPr>
      <w:rPr>
        <w:rFonts w:ascii="Symbol" w:hAnsi="Symbol"/>
      </w:rPr>
    </w:lvl>
    <w:lvl w:ilvl="2" w:tplc="F3465120">
      <w:start w:val="1"/>
      <w:numFmt w:val="bullet"/>
      <w:lvlText w:val=""/>
      <w:lvlJc w:val="left"/>
      <w:pPr>
        <w:ind w:left="720" w:hanging="360"/>
      </w:pPr>
      <w:rPr>
        <w:rFonts w:ascii="Symbol" w:hAnsi="Symbol"/>
      </w:rPr>
    </w:lvl>
    <w:lvl w:ilvl="3" w:tplc="B7C21338">
      <w:start w:val="1"/>
      <w:numFmt w:val="bullet"/>
      <w:lvlText w:val=""/>
      <w:lvlJc w:val="left"/>
      <w:pPr>
        <w:ind w:left="720" w:hanging="360"/>
      </w:pPr>
      <w:rPr>
        <w:rFonts w:ascii="Symbol" w:hAnsi="Symbol"/>
      </w:rPr>
    </w:lvl>
    <w:lvl w:ilvl="4" w:tplc="B872A642">
      <w:start w:val="1"/>
      <w:numFmt w:val="bullet"/>
      <w:lvlText w:val=""/>
      <w:lvlJc w:val="left"/>
      <w:pPr>
        <w:ind w:left="720" w:hanging="360"/>
      </w:pPr>
      <w:rPr>
        <w:rFonts w:ascii="Symbol" w:hAnsi="Symbol"/>
      </w:rPr>
    </w:lvl>
    <w:lvl w:ilvl="5" w:tplc="AE3E2052">
      <w:start w:val="1"/>
      <w:numFmt w:val="bullet"/>
      <w:lvlText w:val=""/>
      <w:lvlJc w:val="left"/>
      <w:pPr>
        <w:ind w:left="720" w:hanging="360"/>
      </w:pPr>
      <w:rPr>
        <w:rFonts w:ascii="Symbol" w:hAnsi="Symbol"/>
      </w:rPr>
    </w:lvl>
    <w:lvl w:ilvl="6" w:tplc="72107136">
      <w:start w:val="1"/>
      <w:numFmt w:val="bullet"/>
      <w:lvlText w:val=""/>
      <w:lvlJc w:val="left"/>
      <w:pPr>
        <w:ind w:left="720" w:hanging="360"/>
      </w:pPr>
      <w:rPr>
        <w:rFonts w:ascii="Symbol" w:hAnsi="Symbol"/>
      </w:rPr>
    </w:lvl>
    <w:lvl w:ilvl="7" w:tplc="A216D3F8">
      <w:start w:val="1"/>
      <w:numFmt w:val="bullet"/>
      <w:lvlText w:val=""/>
      <w:lvlJc w:val="left"/>
      <w:pPr>
        <w:ind w:left="720" w:hanging="360"/>
      </w:pPr>
      <w:rPr>
        <w:rFonts w:ascii="Symbol" w:hAnsi="Symbol"/>
      </w:rPr>
    </w:lvl>
    <w:lvl w:ilvl="8" w:tplc="765ABC26">
      <w:start w:val="1"/>
      <w:numFmt w:val="bullet"/>
      <w:lvlText w:val=""/>
      <w:lvlJc w:val="left"/>
      <w:pPr>
        <w:ind w:left="720" w:hanging="360"/>
      </w:pPr>
      <w:rPr>
        <w:rFonts w:ascii="Symbol" w:hAnsi="Symbol"/>
      </w:rPr>
    </w:lvl>
  </w:abstractNum>
  <w:abstractNum w:abstractNumId="1" w15:restartNumberingAfterBreak="0">
    <w:nsid w:val="16D17897"/>
    <w:multiLevelType w:val="hybridMultilevel"/>
    <w:tmpl w:val="4216BE02"/>
    <w:lvl w:ilvl="0" w:tplc="271E2516">
      <w:start w:val="5"/>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670DC8"/>
    <w:multiLevelType w:val="hybridMultilevel"/>
    <w:tmpl w:val="A98E3D86"/>
    <w:lvl w:ilvl="0" w:tplc="B156C2D2">
      <w:start w:val="1"/>
      <w:numFmt w:val="decimal"/>
      <w:suff w:val="space"/>
      <w:lvlText w:val="%1."/>
      <w:lvlJc w:val="left"/>
      <w:pPr>
        <w:ind w:left="720" w:hanging="360"/>
      </w:pPr>
      <w:rPr>
        <w:i w:val="0"/>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1F9F4375"/>
    <w:multiLevelType w:val="hybridMultilevel"/>
    <w:tmpl w:val="5E323E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54E24F9"/>
    <w:multiLevelType w:val="hybridMultilevel"/>
    <w:tmpl w:val="4F6E9BB8"/>
    <w:lvl w:ilvl="0" w:tplc="7EA04228">
      <w:start w:val="1"/>
      <w:numFmt w:val="bullet"/>
      <w:lvlText w:val=""/>
      <w:lvlJc w:val="left"/>
      <w:pPr>
        <w:ind w:left="720" w:hanging="360"/>
      </w:pPr>
      <w:rPr>
        <w:rFonts w:ascii="Symbol" w:hAnsi="Symbol"/>
      </w:rPr>
    </w:lvl>
    <w:lvl w:ilvl="1" w:tplc="56C680CA">
      <w:start w:val="1"/>
      <w:numFmt w:val="bullet"/>
      <w:lvlText w:val=""/>
      <w:lvlJc w:val="left"/>
      <w:pPr>
        <w:ind w:left="720" w:hanging="360"/>
      </w:pPr>
      <w:rPr>
        <w:rFonts w:ascii="Symbol" w:hAnsi="Symbol"/>
      </w:rPr>
    </w:lvl>
    <w:lvl w:ilvl="2" w:tplc="66AC5744">
      <w:start w:val="1"/>
      <w:numFmt w:val="bullet"/>
      <w:lvlText w:val=""/>
      <w:lvlJc w:val="left"/>
      <w:pPr>
        <w:ind w:left="720" w:hanging="360"/>
      </w:pPr>
      <w:rPr>
        <w:rFonts w:ascii="Symbol" w:hAnsi="Symbol"/>
      </w:rPr>
    </w:lvl>
    <w:lvl w:ilvl="3" w:tplc="56BCF194">
      <w:start w:val="1"/>
      <w:numFmt w:val="bullet"/>
      <w:lvlText w:val=""/>
      <w:lvlJc w:val="left"/>
      <w:pPr>
        <w:ind w:left="720" w:hanging="360"/>
      </w:pPr>
      <w:rPr>
        <w:rFonts w:ascii="Symbol" w:hAnsi="Symbol"/>
      </w:rPr>
    </w:lvl>
    <w:lvl w:ilvl="4" w:tplc="4686E83C">
      <w:start w:val="1"/>
      <w:numFmt w:val="bullet"/>
      <w:lvlText w:val=""/>
      <w:lvlJc w:val="left"/>
      <w:pPr>
        <w:ind w:left="720" w:hanging="360"/>
      </w:pPr>
      <w:rPr>
        <w:rFonts w:ascii="Symbol" w:hAnsi="Symbol"/>
      </w:rPr>
    </w:lvl>
    <w:lvl w:ilvl="5" w:tplc="D0DE7E44">
      <w:start w:val="1"/>
      <w:numFmt w:val="bullet"/>
      <w:lvlText w:val=""/>
      <w:lvlJc w:val="left"/>
      <w:pPr>
        <w:ind w:left="720" w:hanging="360"/>
      </w:pPr>
      <w:rPr>
        <w:rFonts w:ascii="Symbol" w:hAnsi="Symbol"/>
      </w:rPr>
    </w:lvl>
    <w:lvl w:ilvl="6" w:tplc="89FE543C">
      <w:start w:val="1"/>
      <w:numFmt w:val="bullet"/>
      <w:lvlText w:val=""/>
      <w:lvlJc w:val="left"/>
      <w:pPr>
        <w:ind w:left="720" w:hanging="360"/>
      </w:pPr>
      <w:rPr>
        <w:rFonts w:ascii="Symbol" w:hAnsi="Symbol"/>
      </w:rPr>
    </w:lvl>
    <w:lvl w:ilvl="7" w:tplc="FEFC9670">
      <w:start w:val="1"/>
      <w:numFmt w:val="bullet"/>
      <w:lvlText w:val=""/>
      <w:lvlJc w:val="left"/>
      <w:pPr>
        <w:ind w:left="720" w:hanging="360"/>
      </w:pPr>
      <w:rPr>
        <w:rFonts w:ascii="Symbol" w:hAnsi="Symbol"/>
      </w:rPr>
    </w:lvl>
    <w:lvl w:ilvl="8" w:tplc="D92852C4">
      <w:start w:val="1"/>
      <w:numFmt w:val="bullet"/>
      <w:lvlText w:val=""/>
      <w:lvlJc w:val="left"/>
      <w:pPr>
        <w:ind w:left="720" w:hanging="360"/>
      </w:pPr>
      <w:rPr>
        <w:rFonts w:ascii="Symbol" w:hAnsi="Symbol"/>
      </w:rPr>
    </w:lvl>
  </w:abstractNum>
  <w:abstractNum w:abstractNumId="5" w15:restartNumberingAfterBreak="0">
    <w:nsid w:val="7A4C06DE"/>
    <w:multiLevelType w:val="hybridMultilevel"/>
    <w:tmpl w:val="53E297AC"/>
    <w:lvl w:ilvl="0" w:tplc="514C3638">
      <w:start w:val="1"/>
      <w:numFmt w:val="bullet"/>
      <w:lvlText w:val=""/>
      <w:lvlJc w:val="left"/>
      <w:pPr>
        <w:ind w:left="720" w:hanging="360"/>
      </w:pPr>
      <w:rPr>
        <w:rFonts w:ascii="Symbol" w:hAnsi="Symbol"/>
      </w:rPr>
    </w:lvl>
    <w:lvl w:ilvl="1" w:tplc="862852CC">
      <w:start w:val="1"/>
      <w:numFmt w:val="bullet"/>
      <w:lvlText w:val=""/>
      <w:lvlJc w:val="left"/>
      <w:pPr>
        <w:ind w:left="720" w:hanging="360"/>
      </w:pPr>
      <w:rPr>
        <w:rFonts w:ascii="Symbol" w:hAnsi="Symbol"/>
      </w:rPr>
    </w:lvl>
    <w:lvl w:ilvl="2" w:tplc="E7AEB6C0">
      <w:start w:val="1"/>
      <w:numFmt w:val="bullet"/>
      <w:lvlText w:val=""/>
      <w:lvlJc w:val="left"/>
      <w:pPr>
        <w:ind w:left="720" w:hanging="360"/>
      </w:pPr>
      <w:rPr>
        <w:rFonts w:ascii="Symbol" w:hAnsi="Symbol"/>
      </w:rPr>
    </w:lvl>
    <w:lvl w:ilvl="3" w:tplc="8FFACEEC">
      <w:start w:val="1"/>
      <w:numFmt w:val="bullet"/>
      <w:lvlText w:val=""/>
      <w:lvlJc w:val="left"/>
      <w:pPr>
        <w:ind w:left="720" w:hanging="360"/>
      </w:pPr>
      <w:rPr>
        <w:rFonts w:ascii="Symbol" w:hAnsi="Symbol"/>
      </w:rPr>
    </w:lvl>
    <w:lvl w:ilvl="4" w:tplc="DD64CC04">
      <w:start w:val="1"/>
      <w:numFmt w:val="bullet"/>
      <w:lvlText w:val=""/>
      <w:lvlJc w:val="left"/>
      <w:pPr>
        <w:ind w:left="720" w:hanging="360"/>
      </w:pPr>
      <w:rPr>
        <w:rFonts w:ascii="Symbol" w:hAnsi="Symbol"/>
      </w:rPr>
    </w:lvl>
    <w:lvl w:ilvl="5" w:tplc="535EC0CA">
      <w:start w:val="1"/>
      <w:numFmt w:val="bullet"/>
      <w:lvlText w:val=""/>
      <w:lvlJc w:val="left"/>
      <w:pPr>
        <w:ind w:left="720" w:hanging="360"/>
      </w:pPr>
      <w:rPr>
        <w:rFonts w:ascii="Symbol" w:hAnsi="Symbol"/>
      </w:rPr>
    </w:lvl>
    <w:lvl w:ilvl="6" w:tplc="A27E383A">
      <w:start w:val="1"/>
      <w:numFmt w:val="bullet"/>
      <w:lvlText w:val=""/>
      <w:lvlJc w:val="left"/>
      <w:pPr>
        <w:ind w:left="720" w:hanging="360"/>
      </w:pPr>
      <w:rPr>
        <w:rFonts w:ascii="Symbol" w:hAnsi="Symbol"/>
      </w:rPr>
    </w:lvl>
    <w:lvl w:ilvl="7" w:tplc="8E560534">
      <w:start w:val="1"/>
      <w:numFmt w:val="bullet"/>
      <w:lvlText w:val=""/>
      <w:lvlJc w:val="left"/>
      <w:pPr>
        <w:ind w:left="720" w:hanging="360"/>
      </w:pPr>
      <w:rPr>
        <w:rFonts w:ascii="Symbol" w:hAnsi="Symbol"/>
      </w:rPr>
    </w:lvl>
    <w:lvl w:ilvl="8" w:tplc="DF183210">
      <w:start w:val="1"/>
      <w:numFmt w:val="bullet"/>
      <w:lvlText w:val=""/>
      <w:lvlJc w:val="left"/>
      <w:pPr>
        <w:ind w:left="720" w:hanging="360"/>
      </w:pPr>
      <w:rPr>
        <w:rFonts w:ascii="Symbol" w:hAnsi="Symbol"/>
      </w:rPr>
    </w:lvl>
  </w:abstractNum>
  <w:num w:numId="1" w16cid:durableId="1701122819">
    <w:abstractNumId w:val="3"/>
  </w:num>
  <w:num w:numId="2" w16cid:durableId="521552667">
    <w:abstractNumId w:val="1"/>
  </w:num>
  <w:num w:numId="3" w16cid:durableId="17702753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3043169">
    <w:abstractNumId w:val="5"/>
  </w:num>
  <w:num w:numId="5" w16cid:durableId="1353191629">
    <w:abstractNumId w:val="0"/>
  </w:num>
  <w:num w:numId="6" w16cid:durableId="1137338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D64"/>
    <w:rsid w:val="00017A1A"/>
    <w:rsid w:val="00020126"/>
    <w:rsid w:val="000237D6"/>
    <w:rsid w:val="00025232"/>
    <w:rsid w:val="00025F96"/>
    <w:rsid w:val="000429F4"/>
    <w:rsid w:val="00055B59"/>
    <w:rsid w:val="00055E3F"/>
    <w:rsid w:val="000614CD"/>
    <w:rsid w:val="000628EA"/>
    <w:rsid w:val="000632A4"/>
    <w:rsid w:val="00063EC9"/>
    <w:rsid w:val="00064EF4"/>
    <w:rsid w:val="00066FAF"/>
    <w:rsid w:val="00071E6C"/>
    <w:rsid w:val="00080DD7"/>
    <w:rsid w:val="00081E7C"/>
    <w:rsid w:val="000959BB"/>
    <w:rsid w:val="000B17A6"/>
    <w:rsid w:val="000C100E"/>
    <w:rsid w:val="000C1B5E"/>
    <w:rsid w:val="000E2FB9"/>
    <w:rsid w:val="000E4B4B"/>
    <w:rsid w:val="000E578D"/>
    <w:rsid w:val="000F139A"/>
    <w:rsid w:val="000F1552"/>
    <w:rsid w:val="000F585F"/>
    <w:rsid w:val="000F747B"/>
    <w:rsid w:val="000F7860"/>
    <w:rsid w:val="000F7962"/>
    <w:rsid w:val="00104EE8"/>
    <w:rsid w:val="00106144"/>
    <w:rsid w:val="001066E8"/>
    <w:rsid w:val="0011359F"/>
    <w:rsid w:val="00117915"/>
    <w:rsid w:val="00122FC3"/>
    <w:rsid w:val="00123A51"/>
    <w:rsid w:val="00126DB9"/>
    <w:rsid w:val="001347EE"/>
    <w:rsid w:val="00145172"/>
    <w:rsid w:val="001471F8"/>
    <w:rsid w:val="001520DF"/>
    <w:rsid w:val="0015285F"/>
    <w:rsid w:val="00171566"/>
    <w:rsid w:val="001728A3"/>
    <w:rsid w:val="00182312"/>
    <w:rsid w:val="001827A7"/>
    <w:rsid w:val="00185498"/>
    <w:rsid w:val="00193575"/>
    <w:rsid w:val="00195A18"/>
    <w:rsid w:val="00195ECF"/>
    <w:rsid w:val="001A0153"/>
    <w:rsid w:val="001A56AD"/>
    <w:rsid w:val="001A7093"/>
    <w:rsid w:val="001A7668"/>
    <w:rsid w:val="001B122B"/>
    <w:rsid w:val="001B62EC"/>
    <w:rsid w:val="001C3580"/>
    <w:rsid w:val="001C3683"/>
    <w:rsid w:val="001D0982"/>
    <w:rsid w:val="001D43C4"/>
    <w:rsid w:val="001D6A65"/>
    <w:rsid w:val="001E2AEF"/>
    <w:rsid w:val="001E60BC"/>
    <w:rsid w:val="001E75E7"/>
    <w:rsid w:val="001F22F2"/>
    <w:rsid w:val="001F51F6"/>
    <w:rsid w:val="00200335"/>
    <w:rsid w:val="00204A43"/>
    <w:rsid w:val="00206E13"/>
    <w:rsid w:val="00210858"/>
    <w:rsid w:val="00233DA9"/>
    <w:rsid w:val="002410D6"/>
    <w:rsid w:val="00242E9B"/>
    <w:rsid w:val="0025607F"/>
    <w:rsid w:val="00257D68"/>
    <w:rsid w:val="00270C0C"/>
    <w:rsid w:val="00272E58"/>
    <w:rsid w:val="002733EB"/>
    <w:rsid w:val="00275CA2"/>
    <w:rsid w:val="0027617B"/>
    <w:rsid w:val="00277F9E"/>
    <w:rsid w:val="00282B38"/>
    <w:rsid w:val="00284D1E"/>
    <w:rsid w:val="002919D6"/>
    <w:rsid w:val="00293E2C"/>
    <w:rsid w:val="002A55BA"/>
    <w:rsid w:val="002B6846"/>
    <w:rsid w:val="002C00C4"/>
    <w:rsid w:val="002C6F48"/>
    <w:rsid w:val="002D2142"/>
    <w:rsid w:val="002E2DB3"/>
    <w:rsid w:val="002E6229"/>
    <w:rsid w:val="002E70EE"/>
    <w:rsid w:val="002F5F05"/>
    <w:rsid w:val="00303D94"/>
    <w:rsid w:val="00304EB5"/>
    <w:rsid w:val="003119D7"/>
    <w:rsid w:val="003274DB"/>
    <w:rsid w:val="003314AC"/>
    <w:rsid w:val="00331C73"/>
    <w:rsid w:val="003328EF"/>
    <w:rsid w:val="003456A2"/>
    <w:rsid w:val="00350704"/>
    <w:rsid w:val="003552E2"/>
    <w:rsid w:val="003564A5"/>
    <w:rsid w:val="003573F1"/>
    <w:rsid w:val="003609DB"/>
    <w:rsid w:val="00360CE8"/>
    <w:rsid w:val="00361B82"/>
    <w:rsid w:val="003762D8"/>
    <w:rsid w:val="00384A1A"/>
    <w:rsid w:val="0038776F"/>
    <w:rsid w:val="003A5F97"/>
    <w:rsid w:val="003B4DC8"/>
    <w:rsid w:val="003C7451"/>
    <w:rsid w:val="003D524E"/>
    <w:rsid w:val="003D572D"/>
    <w:rsid w:val="003D6F98"/>
    <w:rsid w:val="003D7A73"/>
    <w:rsid w:val="003E0860"/>
    <w:rsid w:val="003E54D3"/>
    <w:rsid w:val="003E70B0"/>
    <w:rsid w:val="00403C68"/>
    <w:rsid w:val="0041524A"/>
    <w:rsid w:val="0042078C"/>
    <w:rsid w:val="00453E55"/>
    <w:rsid w:val="00454908"/>
    <w:rsid w:val="00456B90"/>
    <w:rsid w:val="00457110"/>
    <w:rsid w:val="00471B10"/>
    <w:rsid w:val="004754B9"/>
    <w:rsid w:val="004801A5"/>
    <w:rsid w:val="00490210"/>
    <w:rsid w:val="00492555"/>
    <w:rsid w:val="004A25E3"/>
    <w:rsid w:val="004A3984"/>
    <w:rsid w:val="004B21B3"/>
    <w:rsid w:val="004C21E1"/>
    <w:rsid w:val="004D16A8"/>
    <w:rsid w:val="004D1F24"/>
    <w:rsid w:val="004D5F07"/>
    <w:rsid w:val="004E0C14"/>
    <w:rsid w:val="004E2897"/>
    <w:rsid w:val="004E29E0"/>
    <w:rsid w:val="00512DDA"/>
    <w:rsid w:val="00515EB4"/>
    <w:rsid w:val="00517A25"/>
    <w:rsid w:val="00532FA6"/>
    <w:rsid w:val="00533337"/>
    <w:rsid w:val="00540F00"/>
    <w:rsid w:val="0055233C"/>
    <w:rsid w:val="00566424"/>
    <w:rsid w:val="005701C7"/>
    <w:rsid w:val="005746FA"/>
    <w:rsid w:val="00574BA4"/>
    <w:rsid w:val="005771A0"/>
    <w:rsid w:val="005864F5"/>
    <w:rsid w:val="00590B82"/>
    <w:rsid w:val="005B3EFF"/>
    <w:rsid w:val="005B5AE9"/>
    <w:rsid w:val="005B7E72"/>
    <w:rsid w:val="005C036A"/>
    <w:rsid w:val="005C44C7"/>
    <w:rsid w:val="005C7A48"/>
    <w:rsid w:val="005D2F6D"/>
    <w:rsid w:val="005E49B7"/>
    <w:rsid w:val="005F0ADB"/>
    <w:rsid w:val="005F177F"/>
    <w:rsid w:val="00614499"/>
    <w:rsid w:val="00630AD1"/>
    <w:rsid w:val="00633755"/>
    <w:rsid w:val="00633C53"/>
    <w:rsid w:val="00635917"/>
    <w:rsid w:val="00661052"/>
    <w:rsid w:val="0066131D"/>
    <w:rsid w:val="00663684"/>
    <w:rsid w:val="006A3A38"/>
    <w:rsid w:val="006B13C5"/>
    <w:rsid w:val="006B2C46"/>
    <w:rsid w:val="006D0760"/>
    <w:rsid w:val="006D1033"/>
    <w:rsid w:val="006D4391"/>
    <w:rsid w:val="006E5B4B"/>
    <w:rsid w:val="006F437B"/>
    <w:rsid w:val="006F6E7D"/>
    <w:rsid w:val="00702615"/>
    <w:rsid w:val="00704FEA"/>
    <w:rsid w:val="00707FC0"/>
    <w:rsid w:val="007120A8"/>
    <w:rsid w:val="0072500B"/>
    <w:rsid w:val="00725EA2"/>
    <w:rsid w:val="00726AF2"/>
    <w:rsid w:val="0073104B"/>
    <w:rsid w:val="007352A5"/>
    <w:rsid w:val="007453CB"/>
    <w:rsid w:val="00765CBC"/>
    <w:rsid w:val="00771BB7"/>
    <w:rsid w:val="00781194"/>
    <w:rsid w:val="00787204"/>
    <w:rsid w:val="00796C29"/>
    <w:rsid w:val="00797786"/>
    <w:rsid w:val="007A21F4"/>
    <w:rsid w:val="007A3915"/>
    <w:rsid w:val="007A6885"/>
    <w:rsid w:val="007A6B40"/>
    <w:rsid w:val="007B1487"/>
    <w:rsid w:val="007B4100"/>
    <w:rsid w:val="007B6005"/>
    <w:rsid w:val="007C5000"/>
    <w:rsid w:val="007C78C2"/>
    <w:rsid w:val="007E16AE"/>
    <w:rsid w:val="007F0963"/>
    <w:rsid w:val="007F0FA0"/>
    <w:rsid w:val="007F5E95"/>
    <w:rsid w:val="008075FA"/>
    <w:rsid w:val="008272C8"/>
    <w:rsid w:val="00832C52"/>
    <w:rsid w:val="00833F3D"/>
    <w:rsid w:val="00843D5B"/>
    <w:rsid w:val="008521D9"/>
    <w:rsid w:val="0085351E"/>
    <w:rsid w:val="008603D3"/>
    <w:rsid w:val="008637BC"/>
    <w:rsid w:val="00864594"/>
    <w:rsid w:val="008754ED"/>
    <w:rsid w:val="00880C20"/>
    <w:rsid w:val="00891444"/>
    <w:rsid w:val="008939D2"/>
    <w:rsid w:val="008A52C9"/>
    <w:rsid w:val="008A6DB9"/>
    <w:rsid w:val="008B19C4"/>
    <w:rsid w:val="008B271A"/>
    <w:rsid w:val="008D3B51"/>
    <w:rsid w:val="008E69DD"/>
    <w:rsid w:val="008E6B88"/>
    <w:rsid w:val="008F23BB"/>
    <w:rsid w:val="008F39DD"/>
    <w:rsid w:val="00901529"/>
    <w:rsid w:val="00903F09"/>
    <w:rsid w:val="0090656F"/>
    <w:rsid w:val="009069B5"/>
    <w:rsid w:val="009103E3"/>
    <w:rsid w:val="009155EA"/>
    <w:rsid w:val="00917DEA"/>
    <w:rsid w:val="009322D7"/>
    <w:rsid w:val="00943D32"/>
    <w:rsid w:val="009460F5"/>
    <w:rsid w:val="00950DCC"/>
    <w:rsid w:val="00960E84"/>
    <w:rsid w:val="009663C0"/>
    <w:rsid w:val="00974116"/>
    <w:rsid w:val="00977F2A"/>
    <w:rsid w:val="00981259"/>
    <w:rsid w:val="0099276B"/>
    <w:rsid w:val="00996FE3"/>
    <w:rsid w:val="009B3E7A"/>
    <w:rsid w:val="009B59FC"/>
    <w:rsid w:val="009C26D4"/>
    <w:rsid w:val="009C3F03"/>
    <w:rsid w:val="009D1286"/>
    <w:rsid w:val="009E1142"/>
    <w:rsid w:val="009E5395"/>
    <w:rsid w:val="009E67DD"/>
    <w:rsid w:val="009E7870"/>
    <w:rsid w:val="009F49CF"/>
    <w:rsid w:val="00A006DC"/>
    <w:rsid w:val="00A0294F"/>
    <w:rsid w:val="00A02AB2"/>
    <w:rsid w:val="00A05DE3"/>
    <w:rsid w:val="00A232DA"/>
    <w:rsid w:val="00A24B08"/>
    <w:rsid w:val="00A276A7"/>
    <w:rsid w:val="00A32AAB"/>
    <w:rsid w:val="00A34D64"/>
    <w:rsid w:val="00A50F7C"/>
    <w:rsid w:val="00A67A0D"/>
    <w:rsid w:val="00A731C2"/>
    <w:rsid w:val="00A81ACE"/>
    <w:rsid w:val="00A85062"/>
    <w:rsid w:val="00A851F3"/>
    <w:rsid w:val="00A95A60"/>
    <w:rsid w:val="00AA017E"/>
    <w:rsid w:val="00AA28BD"/>
    <w:rsid w:val="00AA5FF1"/>
    <w:rsid w:val="00AC2E18"/>
    <w:rsid w:val="00AC61CD"/>
    <w:rsid w:val="00AC7D0C"/>
    <w:rsid w:val="00AD058B"/>
    <w:rsid w:val="00AD0771"/>
    <w:rsid w:val="00AD357B"/>
    <w:rsid w:val="00AD7584"/>
    <w:rsid w:val="00AE744E"/>
    <w:rsid w:val="00AF7D85"/>
    <w:rsid w:val="00B00A81"/>
    <w:rsid w:val="00B02704"/>
    <w:rsid w:val="00B03DE7"/>
    <w:rsid w:val="00B166E7"/>
    <w:rsid w:val="00B169D3"/>
    <w:rsid w:val="00B2469E"/>
    <w:rsid w:val="00B27209"/>
    <w:rsid w:val="00B27BE3"/>
    <w:rsid w:val="00B32627"/>
    <w:rsid w:val="00B41CDF"/>
    <w:rsid w:val="00B43DAA"/>
    <w:rsid w:val="00B46A24"/>
    <w:rsid w:val="00B46B41"/>
    <w:rsid w:val="00B502D2"/>
    <w:rsid w:val="00B526F6"/>
    <w:rsid w:val="00B55310"/>
    <w:rsid w:val="00B55BA2"/>
    <w:rsid w:val="00B560BB"/>
    <w:rsid w:val="00B56ACD"/>
    <w:rsid w:val="00B6187C"/>
    <w:rsid w:val="00B70905"/>
    <w:rsid w:val="00B7709A"/>
    <w:rsid w:val="00B93DB6"/>
    <w:rsid w:val="00BA713F"/>
    <w:rsid w:val="00BB3DC4"/>
    <w:rsid w:val="00BB4B04"/>
    <w:rsid w:val="00BC26A1"/>
    <w:rsid w:val="00BC7169"/>
    <w:rsid w:val="00BD6A89"/>
    <w:rsid w:val="00BE253F"/>
    <w:rsid w:val="00BE54D7"/>
    <w:rsid w:val="00BE6404"/>
    <w:rsid w:val="00BE7C68"/>
    <w:rsid w:val="00BF309F"/>
    <w:rsid w:val="00BF7B1D"/>
    <w:rsid w:val="00C00924"/>
    <w:rsid w:val="00C051F1"/>
    <w:rsid w:val="00C11D58"/>
    <w:rsid w:val="00C17C41"/>
    <w:rsid w:val="00C34516"/>
    <w:rsid w:val="00C45D8A"/>
    <w:rsid w:val="00C47044"/>
    <w:rsid w:val="00C5186A"/>
    <w:rsid w:val="00C53878"/>
    <w:rsid w:val="00C569EF"/>
    <w:rsid w:val="00C7659B"/>
    <w:rsid w:val="00C83FAF"/>
    <w:rsid w:val="00C84538"/>
    <w:rsid w:val="00C95AC7"/>
    <w:rsid w:val="00CA4149"/>
    <w:rsid w:val="00CA661A"/>
    <w:rsid w:val="00CB7BA2"/>
    <w:rsid w:val="00CC2EEA"/>
    <w:rsid w:val="00CC3A46"/>
    <w:rsid w:val="00CC7B80"/>
    <w:rsid w:val="00CE253F"/>
    <w:rsid w:val="00D00DCF"/>
    <w:rsid w:val="00D00DDA"/>
    <w:rsid w:val="00D118F4"/>
    <w:rsid w:val="00D14483"/>
    <w:rsid w:val="00D225A4"/>
    <w:rsid w:val="00D2306B"/>
    <w:rsid w:val="00D25897"/>
    <w:rsid w:val="00D3140F"/>
    <w:rsid w:val="00D3280B"/>
    <w:rsid w:val="00D32C20"/>
    <w:rsid w:val="00D33470"/>
    <w:rsid w:val="00D357A8"/>
    <w:rsid w:val="00D5169B"/>
    <w:rsid w:val="00D64160"/>
    <w:rsid w:val="00D70798"/>
    <w:rsid w:val="00D80E50"/>
    <w:rsid w:val="00D92A2E"/>
    <w:rsid w:val="00D97857"/>
    <w:rsid w:val="00DA24AB"/>
    <w:rsid w:val="00DA5782"/>
    <w:rsid w:val="00DA66E2"/>
    <w:rsid w:val="00DB4054"/>
    <w:rsid w:val="00DB7CAC"/>
    <w:rsid w:val="00DC0245"/>
    <w:rsid w:val="00DC4A73"/>
    <w:rsid w:val="00DF03A7"/>
    <w:rsid w:val="00DF08F4"/>
    <w:rsid w:val="00E10FC3"/>
    <w:rsid w:val="00E12427"/>
    <w:rsid w:val="00E277C6"/>
    <w:rsid w:val="00E32259"/>
    <w:rsid w:val="00E43204"/>
    <w:rsid w:val="00E465B7"/>
    <w:rsid w:val="00E4673C"/>
    <w:rsid w:val="00E512F5"/>
    <w:rsid w:val="00E607DE"/>
    <w:rsid w:val="00E61586"/>
    <w:rsid w:val="00E61FC9"/>
    <w:rsid w:val="00E65A21"/>
    <w:rsid w:val="00E6661A"/>
    <w:rsid w:val="00E73DE8"/>
    <w:rsid w:val="00E76C1D"/>
    <w:rsid w:val="00E83FDA"/>
    <w:rsid w:val="00E84256"/>
    <w:rsid w:val="00E85357"/>
    <w:rsid w:val="00E8551D"/>
    <w:rsid w:val="00E95B2C"/>
    <w:rsid w:val="00EA071E"/>
    <w:rsid w:val="00EA64EF"/>
    <w:rsid w:val="00EA6A49"/>
    <w:rsid w:val="00EB606D"/>
    <w:rsid w:val="00EC4439"/>
    <w:rsid w:val="00ED276D"/>
    <w:rsid w:val="00ED43DD"/>
    <w:rsid w:val="00ED4FF4"/>
    <w:rsid w:val="00ED6D76"/>
    <w:rsid w:val="00EE667C"/>
    <w:rsid w:val="00EF3CA6"/>
    <w:rsid w:val="00EF53A6"/>
    <w:rsid w:val="00F033BD"/>
    <w:rsid w:val="00F11E63"/>
    <w:rsid w:val="00F1278D"/>
    <w:rsid w:val="00F1773A"/>
    <w:rsid w:val="00F30334"/>
    <w:rsid w:val="00F32258"/>
    <w:rsid w:val="00F32BB7"/>
    <w:rsid w:val="00F35D87"/>
    <w:rsid w:val="00F40FAD"/>
    <w:rsid w:val="00F46308"/>
    <w:rsid w:val="00F50002"/>
    <w:rsid w:val="00F5577C"/>
    <w:rsid w:val="00F6508D"/>
    <w:rsid w:val="00F6608C"/>
    <w:rsid w:val="00F66FC5"/>
    <w:rsid w:val="00F72EEF"/>
    <w:rsid w:val="00F73A68"/>
    <w:rsid w:val="00F772FC"/>
    <w:rsid w:val="00F803EF"/>
    <w:rsid w:val="00F80BC3"/>
    <w:rsid w:val="00F852F9"/>
    <w:rsid w:val="00F9086F"/>
    <w:rsid w:val="00F92DAE"/>
    <w:rsid w:val="00F93660"/>
    <w:rsid w:val="00FA4552"/>
    <w:rsid w:val="00FA4853"/>
    <w:rsid w:val="00FA72CD"/>
    <w:rsid w:val="00FA7CE3"/>
    <w:rsid w:val="00FB2F1F"/>
    <w:rsid w:val="00FB3E43"/>
    <w:rsid w:val="00FB6C98"/>
    <w:rsid w:val="00FC686D"/>
    <w:rsid w:val="00FD114C"/>
    <w:rsid w:val="00FD2185"/>
    <w:rsid w:val="00FD31AC"/>
    <w:rsid w:val="00FD4253"/>
    <w:rsid w:val="00FE3E9B"/>
    <w:rsid w:val="00FE43DC"/>
    <w:rsid w:val="00FE5DE8"/>
    <w:rsid w:val="00FF65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C96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14C"/>
    <w:pPr>
      <w:spacing w:line="256" w:lineRule="auto"/>
    </w:pPr>
    <w:rPr>
      <w:rFonts w:ascii="Times New Roman" w:hAnsi="Times New Roman"/>
      <w:sz w:val="24"/>
    </w:rPr>
  </w:style>
  <w:style w:type="paragraph" w:styleId="Heading1">
    <w:name w:val="heading 1"/>
    <w:basedOn w:val="Normal"/>
    <w:next w:val="Normal"/>
    <w:link w:val="Heading1Char"/>
    <w:uiPriority w:val="9"/>
    <w:qFormat/>
    <w:rsid w:val="00064EF4"/>
    <w:pPr>
      <w:keepNext/>
      <w:spacing w:line="257" w:lineRule="auto"/>
      <w:outlineLvl w:val="0"/>
    </w:pPr>
    <w:rPr>
      <w:rFonts w:cs="Times New Roman"/>
      <w:b/>
      <w:bCs/>
      <w:szCs w:val="24"/>
    </w:rPr>
  </w:style>
  <w:style w:type="paragraph" w:styleId="Heading2">
    <w:name w:val="heading 2"/>
    <w:basedOn w:val="Normal"/>
    <w:next w:val="Normal"/>
    <w:link w:val="Heading2Char"/>
    <w:uiPriority w:val="9"/>
    <w:unhideWhenUsed/>
    <w:qFormat/>
    <w:rsid w:val="00064EF4"/>
    <w:pPr>
      <w:keepNext/>
      <w:spacing w:line="257" w:lineRule="auto"/>
      <w:outlineLvl w:val="1"/>
    </w:pPr>
    <w:rPr>
      <w:rFonts w:cs="Times New Roman"/>
      <w:i/>
      <w:szCs w:val="24"/>
    </w:rPr>
  </w:style>
  <w:style w:type="paragraph" w:styleId="Heading3">
    <w:name w:val="heading 3"/>
    <w:basedOn w:val="Normal"/>
    <w:next w:val="Normal"/>
    <w:link w:val="Heading3Char"/>
    <w:uiPriority w:val="9"/>
    <w:unhideWhenUsed/>
    <w:qFormat/>
    <w:rsid w:val="00360CE8"/>
    <w:pPr>
      <w:outlineLvl w:val="2"/>
    </w:pPr>
    <w:rPr>
      <w:rFonts w:cs="Times New Roman"/>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6B90"/>
    <w:rPr>
      <w:sz w:val="16"/>
      <w:szCs w:val="16"/>
    </w:rPr>
  </w:style>
  <w:style w:type="paragraph" w:styleId="CommentText">
    <w:name w:val="annotation text"/>
    <w:basedOn w:val="Normal"/>
    <w:link w:val="CommentTextChar"/>
    <w:uiPriority w:val="99"/>
    <w:unhideWhenUsed/>
    <w:rsid w:val="00456B90"/>
    <w:pPr>
      <w:spacing w:line="240" w:lineRule="auto"/>
    </w:pPr>
    <w:rPr>
      <w:sz w:val="20"/>
      <w:szCs w:val="20"/>
    </w:rPr>
  </w:style>
  <w:style w:type="character" w:customStyle="1" w:styleId="CommentTextChar">
    <w:name w:val="Comment Text Char"/>
    <w:basedOn w:val="DefaultParagraphFont"/>
    <w:link w:val="CommentText"/>
    <w:uiPriority w:val="99"/>
    <w:rsid w:val="00456B90"/>
    <w:rPr>
      <w:sz w:val="20"/>
      <w:szCs w:val="20"/>
    </w:rPr>
  </w:style>
  <w:style w:type="paragraph" w:styleId="Revision">
    <w:name w:val="Revision"/>
    <w:hidden/>
    <w:uiPriority w:val="99"/>
    <w:semiHidden/>
    <w:rsid w:val="00702615"/>
    <w:pPr>
      <w:spacing w:after="0" w:line="240" w:lineRule="auto"/>
    </w:pPr>
  </w:style>
  <w:style w:type="paragraph" w:styleId="CommentSubject">
    <w:name w:val="annotation subject"/>
    <w:basedOn w:val="CommentText"/>
    <w:next w:val="CommentText"/>
    <w:link w:val="CommentSubjectChar"/>
    <w:uiPriority w:val="99"/>
    <w:semiHidden/>
    <w:unhideWhenUsed/>
    <w:rsid w:val="007F5E95"/>
    <w:rPr>
      <w:b/>
      <w:bCs/>
    </w:rPr>
  </w:style>
  <w:style w:type="character" w:customStyle="1" w:styleId="CommentSubjectChar">
    <w:name w:val="Comment Subject Char"/>
    <w:basedOn w:val="CommentTextChar"/>
    <w:link w:val="CommentSubject"/>
    <w:uiPriority w:val="99"/>
    <w:semiHidden/>
    <w:rsid w:val="007F5E95"/>
    <w:rPr>
      <w:b/>
      <w:bCs/>
      <w:sz w:val="20"/>
      <w:szCs w:val="20"/>
    </w:rPr>
  </w:style>
  <w:style w:type="paragraph" w:styleId="Header">
    <w:name w:val="header"/>
    <w:basedOn w:val="Normal"/>
    <w:link w:val="HeaderChar"/>
    <w:uiPriority w:val="99"/>
    <w:unhideWhenUsed/>
    <w:rsid w:val="00CA41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149"/>
  </w:style>
  <w:style w:type="paragraph" w:styleId="Footer">
    <w:name w:val="footer"/>
    <w:basedOn w:val="Normal"/>
    <w:link w:val="FooterChar"/>
    <w:uiPriority w:val="99"/>
    <w:unhideWhenUsed/>
    <w:rsid w:val="00CA41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149"/>
  </w:style>
  <w:style w:type="paragraph" w:styleId="ListParagraph">
    <w:name w:val="List Paragraph"/>
    <w:basedOn w:val="Normal"/>
    <w:uiPriority w:val="34"/>
    <w:qFormat/>
    <w:rsid w:val="008E69DD"/>
    <w:pPr>
      <w:ind w:left="720"/>
      <w:contextualSpacing/>
    </w:pPr>
  </w:style>
  <w:style w:type="paragraph" w:styleId="Title">
    <w:name w:val="Title"/>
    <w:basedOn w:val="Normal"/>
    <w:next w:val="Normal"/>
    <w:link w:val="TitleChar"/>
    <w:uiPriority w:val="10"/>
    <w:qFormat/>
    <w:rsid w:val="00064EF4"/>
    <w:pPr>
      <w:jc w:val="center"/>
    </w:pPr>
    <w:rPr>
      <w:rFonts w:cs="Times New Roman"/>
      <w:b/>
      <w:bCs/>
      <w:sz w:val="28"/>
      <w:szCs w:val="28"/>
    </w:rPr>
  </w:style>
  <w:style w:type="character" w:customStyle="1" w:styleId="TitleChar">
    <w:name w:val="Title Char"/>
    <w:basedOn w:val="DefaultParagraphFont"/>
    <w:link w:val="Title"/>
    <w:uiPriority w:val="10"/>
    <w:rsid w:val="00064EF4"/>
    <w:rPr>
      <w:rFonts w:ascii="Times New Roman" w:hAnsi="Times New Roman" w:cs="Times New Roman"/>
      <w:b/>
      <w:bCs/>
      <w:sz w:val="28"/>
      <w:szCs w:val="28"/>
    </w:rPr>
  </w:style>
  <w:style w:type="character" w:customStyle="1" w:styleId="Heading1Char">
    <w:name w:val="Heading 1 Char"/>
    <w:basedOn w:val="DefaultParagraphFont"/>
    <w:link w:val="Heading1"/>
    <w:uiPriority w:val="9"/>
    <w:rsid w:val="00064EF4"/>
    <w:rPr>
      <w:rFonts w:ascii="Times New Roman" w:hAnsi="Times New Roman" w:cs="Times New Roman"/>
      <w:b/>
      <w:bCs/>
      <w:sz w:val="24"/>
      <w:szCs w:val="24"/>
    </w:rPr>
  </w:style>
  <w:style w:type="paragraph" w:styleId="Subtitle">
    <w:name w:val="Subtitle"/>
    <w:basedOn w:val="Normal"/>
    <w:next w:val="Normal"/>
    <w:link w:val="SubtitleChar"/>
    <w:uiPriority w:val="11"/>
    <w:qFormat/>
    <w:rsid w:val="00064EF4"/>
    <w:pPr>
      <w:jc w:val="center"/>
    </w:pPr>
    <w:rPr>
      <w:rFonts w:cs="Times New Roman"/>
      <w:b/>
      <w:bCs/>
      <w:szCs w:val="24"/>
      <w:u w:val="single"/>
    </w:rPr>
  </w:style>
  <w:style w:type="character" w:customStyle="1" w:styleId="SubtitleChar">
    <w:name w:val="Subtitle Char"/>
    <w:basedOn w:val="DefaultParagraphFont"/>
    <w:link w:val="Subtitle"/>
    <w:uiPriority w:val="11"/>
    <w:rsid w:val="00064EF4"/>
    <w:rPr>
      <w:rFonts w:ascii="Times New Roman" w:hAnsi="Times New Roman" w:cs="Times New Roman"/>
      <w:b/>
      <w:bCs/>
      <w:sz w:val="24"/>
      <w:szCs w:val="24"/>
      <w:u w:val="single"/>
    </w:rPr>
  </w:style>
  <w:style w:type="character" w:customStyle="1" w:styleId="Heading2Char">
    <w:name w:val="Heading 2 Char"/>
    <w:basedOn w:val="DefaultParagraphFont"/>
    <w:link w:val="Heading2"/>
    <w:uiPriority w:val="9"/>
    <w:rsid w:val="00064EF4"/>
    <w:rPr>
      <w:rFonts w:ascii="Times New Roman" w:hAnsi="Times New Roman" w:cs="Times New Roman"/>
      <w:i/>
      <w:sz w:val="24"/>
      <w:szCs w:val="24"/>
    </w:rPr>
  </w:style>
  <w:style w:type="character" w:customStyle="1" w:styleId="Heading3Char">
    <w:name w:val="Heading 3 Char"/>
    <w:basedOn w:val="DefaultParagraphFont"/>
    <w:link w:val="Heading3"/>
    <w:uiPriority w:val="9"/>
    <w:rsid w:val="00360CE8"/>
    <w:rPr>
      <w:rFonts w:ascii="Times New Roman" w:hAnsi="Times New Roman" w:cs="Times New Roman"/>
      <w:sz w:val="24"/>
      <w:szCs w:val="24"/>
      <w:u w:val="single"/>
    </w:rPr>
  </w:style>
  <w:style w:type="character" w:styleId="Hyperlink">
    <w:name w:val="Hyperlink"/>
    <w:basedOn w:val="DefaultParagraphFont"/>
    <w:uiPriority w:val="99"/>
    <w:unhideWhenUsed/>
    <w:rsid w:val="009B3E7A"/>
    <w:rPr>
      <w:color w:val="0563C1" w:themeColor="hyperlink"/>
      <w:u w:val="single"/>
    </w:rPr>
  </w:style>
  <w:style w:type="character" w:styleId="UnresolvedMention">
    <w:name w:val="Unresolved Mention"/>
    <w:basedOn w:val="DefaultParagraphFont"/>
    <w:uiPriority w:val="99"/>
    <w:semiHidden/>
    <w:unhideWhenUsed/>
    <w:rsid w:val="009B3E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42006">
      <w:bodyDiv w:val="1"/>
      <w:marLeft w:val="0"/>
      <w:marRight w:val="0"/>
      <w:marTop w:val="0"/>
      <w:marBottom w:val="0"/>
      <w:divBdr>
        <w:top w:val="none" w:sz="0" w:space="0" w:color="auto"/>
        <w:left w:val="none" w:sz="0" w:space="0" w:color="auto"/>
        <w:bottom w:val="none" w:sz="0" w:space="0" w:color="auto"/>
        <w:right w:val="none" w:sz="0" w:space="0" w:color="auto"/>
      </w:divBdr>
    </w:div>
    <w:div w:id="320081868">
      <w:bodyDiv w:val="1"/>
      <w:marLeft w:val="0"/>
      <w:marRight w:val="0"/>
      <w:marTop w:val="0"/>
      <w:marBottom w:val="0"/>
      <w:divBdr>
        <w:top w:val="none" w:sz="0" w:space="0" w:color="auto"/>
        <w:left w:val="none" w:sz="0" w:space="0" w:color="auto"/>
        <w:bottom w:val="none" w:sz="0" w:space="0" w:color="auto"/>
        <w:right w:val="none" w:sz="0" w:space="0" w:color="auto"/>
      </w:divBdr>
    </w:div>
    <w:div w:id="564070201">
      <w:bodyDiv w:val="1"/>
      <w:marLeft w:val="0"/>
      <w:marRight w:val="0"/>
      <w:marTop w:val="0"/>
      <w:marBottom w:val="0"/>
      <w:divBdr>
        <w:top w:val="none" w:sz="0" w:space="0" w:color="auto"/>
        <w:left w:val="none" w:sz="0" w:space="0" w:color="auto"/>
        <w:bottom w:val="none" w:sz="0" w:space="0" w:color="auto"/>
        <w:right w:val="none" w:sz="0" w:space="0" w:color="auto"/>
      </w:divBdr>
    </w:div>
    <w:div w:id="894511228">
      <w:bodyDiv w:val="1"/>
      <w:marLeft w:val="0"/>
      <w:marRight w:val="0"/>
      <w:marTop w:val="0"/>
      <w:marBottom w:val="0"/>
      <w:divBdr>
        <w:top w:val="none" w:sz="0" w:space="0" w:color="auto"/>
        <w:left w:val="none" w:sz="0" w:space="0" w:color="auto"/>
        <w:bottom w:val="none" w:sz="0" w:space="0" w:color="auto"/>
        <w:right w:val="none" w:sz="0" w:space="0" w:color="auto"/>
      </w:divBdr>
    </w:div>
    <w:div w:id="1035887179">
      <w:bodyDiv w:val="1"/>
      <w:marLeft w:val="0"/>
      <w:marRight w:val="0"/>
      <w:marTop w:val="0"/>
      <w:marBottom w:val="0"/>
      <w:divBdr>
        <w:top w:val="none" w:sz="0" w:space="0" w:color="auto"/>
        <w:left w:val="none" w:sz="0" w:space="0" w:color="auto"/>
        <w:bottom w:val="none" w:sz="0" w:space="0" w:color="auto"/>
        <w:right w:val="none" w:sz="0" w:space="0" w:color="auto"/>
      </w:divBdr>
    </w:div>
    <w:div w:id="1277518002">
      <w:bodyDiv w:val="1"/>
      <w:marLeft w:val="0"/>
      <w:marRight w:val="0"/>
      <w:marTop w:val="0"/>
      <w:marBottom w:val="0"/>
      <w:divBdr>
        <w:top w:val="none" w:sz="0" w:space="0" w:color="auto"/>
        <w:left w:val="none" w:sz="0" w:space="0" w:color="auto"/>
        <w:bottom w:val="none" w:sz="0" w:space="0" w:color="auto"/>
        <w:right w:val="none" w:sz="0" w:space="0" w:color="auto"/>
      </w:divBdr>
    </w:div>
    <w:div w:id="1307903243">
      <w:bodyDiv w:val="1"/>
      <w:marLeft w:val="0"/>
      <w:marRight w:val="0"/>
      <w:marTop w:val="0"/>
      <w:marBottom w:val="0"/>
      <w:divBdr>
        <w:top w:val="none" w:sz="0" w:space="0" w:color="auto"/>
        <w:left w:val="none" w:sz="0" w:space="0" w:color="auto"/>
        <w:bottom w:val="none" w:sz="0" w:space="0" w:color="auto"/>
        <w:right w:val="none" w:sz="0" w:space="0" w:color="auto"/>
      </w:divBdr>
    </w:div>
    <w:div w:id="158035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4EC22-8AEF-418D-BB2A-74B70658A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2078</Words>
  <Characters>11851</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2025-09-19T00:00:00Z</dcterms:created>
  <dcterms:modified xsi:type="dcterms:W3CDTF">2025-09-19T00:00:00Z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2025-09-15T22:17:58Z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01c8798d-504e-402e-8b2c-724aa07b94fa</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