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A4A1" w14:textId="77777777" w:rsidR="00C10BA4" w:rsidRDefault="00C10BA4" w:rsidP="00C10BA4">
      <w:pPr>
        <w:spacing w:before="280" w:after="240"/>
        <w:rPr>
          <w:b/>
          <w:sz w:val="32"/>
          <w:szCs w:val="32"/>
        </w:rPr>
      </w:pPr>
    </w:p>
    <w:p w14:paraId="5EAC9D50" w14:textId="77777777" w:rsidR="00C10BA4" w:rsidRPr="00F46CC1" w:rsidRDefault="00C10BA4" w:rsidP="00C10BA4">
      <w:pPr>
        <w:spacing w:before="280" w:after="240"/>
        <w:rPr>
          <w:b/>
          <w:sz w:val="32"/>
          <w:szCs w:val="32"/>
        </w:rPr>
      </w:pPr>
      <w:r w:rsidRPr="00F46CC1">
        <w:rPr>
          <w:noProof/>
        </w:rPr>
        <w:drawing>
          <wp:anchor distT="0" distB="0" distL="114300" distR="114300" simplePos="0" relativeHeight="251659264" behindDoc="0" locked="0" layoutInCell="1" allowOverlap="1" wp14:anchorId="35BC616E" wp14:editId="16F27D39">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1F1BE453" w14:textId="77777777" w:rsidR="00C10BA4" w:rsidRPr="00F46CC1" w:rsidRDefault="00C10BA4" w:rsidP="00C10BA4">
      <w:pPr>
        <w:pStyle w:val="LI-Title"/>
        <w:pBdr>
          <w:top w:val="none" w:sz="0" w:space="0" w:color="auto"/>
        </w:pBdr>
        <w:jc w:val="center"/>
      </w:pPr>
    </w:p>
    <w:p w14:paraId="0C130AF7" w14:textId="77777777" w:rsidR="00C10BA4" w:rsidRPr="00F46CC1" w:rsidRDefault="00C10BA4" w:rsidP="00C10BA4">
      <w:pPr>
        <w:pStyle w:val="LI-Title"/>
        <w:pBdr>
          <w:top w:val="none" w:sz="0" w:space="0" w:color="auto"/>
        </w:pBdr>
        <w:jc w:val="center"/>
      </w:pPr>
      <w:r w:rsidRPr="00F46CC1">
        <w:t>Explanatory Statement</w:t>
      </w:r>
    </w:p>
    <w:p w14:paraId="51984BCB" w14:textId="77777777" w:rsidR="00C10BA4" w:rsidRPr="00F46CC1" w:rsidRDefault="00C10BA4" w:rsidP="00C10BA4">
      <w:pPr>
        <w:rPr>
          <w:lang w:eastAsia="en-AU"/>
        </w:rPr>
      </w:pPr>
    </w:p>
    <w:p w14:paraId="5AA08F13" w14:textId="77777777" w:rsidR="00C10BA4" w:rsidRPr="00F46CC1" w:rsidRDefault="00C10BA4" w:rsidP="00C10BA4">
      <w:pPr>
        <w:jc w:val="center"/>
        <w:rPr>
          <w:b/>
          <w:i/>
          <w:sz w:val="28"/>
          <w:szCs w:val="28"/>
          <w:lang w:eastAsia="en-AU"/>
        </w:rPr>
      </w:pPr>
      <w:r w:rsidRPr="00F46CC1">
        <w:rPr>
          <w:b/>
          <w:i/>
          <w:sz w:val="28"/>
          <w:szCs w:val="28"/>
          <w:lang w:eastAsia="en-AU"/>
        </w:rPr>
        <w:t>ASIC Corporations (Foreign Securities— Publishing Notices) Instrument 2025/616</w:t>
      </w:r>
    </w:p>
    <w:p w14:paraId="5C9DAE0F" w14:textId="77777777" w:rsidR="00C10BA4" w:rsidRPr="00F46CC1" w:rsidRDefault="00C10BA4" w:rsidP="00C10BA4">
      <w:pPr>
        <w:pStyle w:val="LI-BodyTextParaa"/>
        <w:ind w:left="0" w:firstLine="0"/>
      </w:pPr>
      <w:bookmarkStart w:id="0" w:name="BK_S3P1L1C1"/>
      <w:bookmarkEnd w:id="0"/>
      <w:r w:rsidRPr="00F46CC1">
        <w:t xml:space="preserve">This is the Explanatory Statement for </w:t>
      </w:r>
      <w:r w:rsidRPr="00F46CC1">
        <w:rPr>
          <w:i/>
          <w:iCs/>
        </w:rPr>
        <w:t>ASIC Corporations (Foreign Securities— Publishing Notices) Instrument 2025/616</w:t>
      </w:r>
      <w:r w:rsidRPr="00F46CC1">
        <w:t xml:space="preserve"> (</w:t>
      </w:r>
      <w:r w:rsidRPr="00F46CC1">
        <w:rPr>
          <w:b/>
          <w:bCs/>
          <w:i/>
          <w:iCs/>
        </w:rPr>
        <w:t>Instrument</w:t>
      </w:r>
      <w:r w:rsidRPr="00F46CC1">
        <w:rPr>
          <w:i/>
          <w:iCs/>
        </w:rPr>
        <w:t>)</w:t>
      </w:r>
      <w:r w:rsidRPr="00F46CC1">
        <w:t>.</w:t>
      </w:r>
    </w:p>
    <w:p w14:paraId="282B4D58" w14:textId="77777777" w:rsidR="00C10BA4" w:rsidRPr="00F46CC1" w:rsidRDefault="00C10BA4" w:rsidP="00C10BA4">
      <w:pPr>
        <w:pStyle w:val="LI-BodyTextParaa"/>
        <w:ind w:left="0" w:firstLine="0"/>
      </w:pPr>
      <w:r w:rsidRPr="00F46CC1">
        <w:t>The Explanatory Statement is approved by the Australian Securities and Investments Commission (</w:t>
      </w:r>
      <w:r w:rsidRPr="00F46CC1">
        <w:rPr>
          <w:b/>
          <w:i/>
        </w:rPr>
        <w:t>ASIC</w:t>
      </w:r>
      <w:r w:rsidRPr="00F46CC1">
        <w:t>).</w:t>
      </w:r>
    </w:p>
    <w:p w14:paraId="2042DEEB" w14:textId="77777777" w:rsidR="00C10BA4" w:rsidRPr="00F46CC1" w:rsidRDefault="00C10BA4" w:rsidP="00C10BA4">
      <w:pPr>
        <w:pStyle w:val="LI-BodyTextNumbered"/>
        <w:keepNext/>
        <w:ind w:left="0" w:firstLine="0"/>
        <w:rPr>
          <w:b/>
        </w:rPr>
      </w:pPr>
      <w:r w:rsidRPr="00F46CC1">
        <w:rPr>
          <w:b/>
        </w:rPr>
        <w:t>Summary</w:t>
      </w:r>
    </w:p>
    <w:p w14:paraId="406EAED2" w14:textId="77777777" w:rsidR="00C10BA4" w:rsidRDefault="00C10BA4" w:rsidP="00C10BA4">
      <w:pPr>
        <w:pStyle w:val="LI-BodyTextParaa"/>
        <w:numPr>
          <w:ilvl w:val="0"/>
          <w:numId w:val="1"/>
        </w:numPr>
        <w:ind w:left="567" w:hanging="567"/>
      </w:pPr>
      <w:r w:rsidRPr="00F46CC1">
        <w:t xml:space="preserve">Subsection 734(2) of the </w:t>
      </w:r>
      <w:r w:rsidRPr="00F46CC1">
        <w:rPr>
          <w:i/>
          <w:iCs/>
        </w:rPr>
        <w:t>Corporations Act 2001</w:t>
      </w:r>
      <w:r w:rsidRPr="00F46CC1">
        <w:t xml:space="preserve"> (the </w:t>
      </w:r>
      <w:r w:rsidRPr="00F46CC1">
        <w:rPr>
          <w:b/>
          <w:bCs/>
        </w:rPr>
        <w:t>Act</w:t>
      </w:r>
      <w:r w:rsidRPr="00F46CC1">
        <w:t>) contains a broad restriction in Australia on the advertising or publication of statements that directly or indirectly refer to offers of securities. This restriction could extend to notices given to a market operator and for this reason, subparagraph 734(7)(a) provides an exception for certain notices given to the market operator by companies listed on an Australian</w:t>
      </w:r>
      <w:r w:rsidRPr="0048057B">
        <w:t xml:space="preserve"> market. The Act does not contain an analogous exception to the advertising restriction for notices given to the market operator by companies listed on a foreign market.</w:t>
      </w:r>
    </w:p>
    <w:p w14:paraId="713572C5" w14:textId="77777777" w:rsidR="00C10BA4" w:rsidRDefault="00C10BA4" w:rsidP="00C10BA4">
      <w:pPr>
        <w:pStyle w:val="LI-BodyTextParaa"/>
        <w:numPr>
          <w:ilvl w:val="0"/>
          <w:numId w:val="1"/>
        </w:numPr>
        <w:ind w:left="567" w:hanging="567"/>
      </w:pPr>
      <w:r>
        <w:t>The</w:t>
      </w:r>
      <w:r w:rsidRPr="00154DD5">
        <w:t xml:space="preserve"> Instrument </w:t>
      </w:r>
      <w:r w:rsidRPr="0078631B">
        <w:t>gives</w:t>
      </w:r>
      <w:r w:rsidRPr="00154DD5">
        <w:t xml:space="preserve"> relief from subsection 734(2) to bodies that are listed on an approved foreign market for notices or reports about its affairs that are given the market operator. It also gives relief for notices or reports of a body's general meeting. The relief is analogous to subparagraphs 734(7)(a) and (b</w:t>
      </w:r>
      <w:r>
        <w:t>).</w:t>
      </w:r>
    </w:p>
    <w:p w14:paraId="2A80F085" w14:textId="77777777" w:rsidR="00C10BA4" w:rsidRDefault="00C10BA4" w:rsidP="0050364F">
      <w:pPr>
        <w:pStyle w:val="LI-BodyTextNumbered"/>
        <w:keepNext/>
        <w:ind w:left="567"/>
        <w:rPr>
          <w:b/>
        </w:rPr>
      </w:pPr>
      <w:r>
        <w:rPr>
          <w:b/>
        </w:rPr>
        <w:t>Purpose of the instrument</w:t>
      </w:r>
    </w:p>
    <w:p w14:paraId="2F97E905" w14:textId="77777777" w:rsidR="00C10BA4" w:rsidRDefault="00C10BA4" w:rsidP="00C10BA4">
      <w:pPr>
        <w:pStyle w:val="LI-BodyTextParaa"/>
        <w:numPr>
          <w:ilvl w:val="0"/>
          <w:numId w:val="1"/>
        </w:numPr>
        <w:ind w:left="567" w:hanging="567"/>
      </w:pPr>
      <w:r>
        <w:t>The Instrument</w:t>
      </w:r>
      <w:r>
        <w:rPr>
          <w:bCs/>
        </w:rPr>
        <w:t xml:space="preserve"> </w:t>
      </w:r>
      <w:r>
        <w:rPr>
          <w:bCs/>
          <w:iCs/>
        </w:rPr>
        <w:t xml:space="preserve">provides relief, on largely the same terms as </w:t>
      </w:r>
      <w:r w:rsidRPr="00D84470">
        <w:rPr>
          <w:bCs/>
          <w:i/>
          <w:iCs/>
        </w:rPr>
        <w:t>ASIC Corporations (Foreign Securities – Publishing Notices) Instrument 2015/359</w:t>
      </w:r>
      <w:r>
        <w:rPr>
          <w:bCs/>
        </w:rPr>
        <w:t xml:space="preserve"> which was scheduled to expire on 1 October 2025.</w:t>
      </w:r>
    </w:p>
    <w:p w14:paraId="71D34253" w14:textId="77777777" w:rsidR="00C10BA4" w:rsidRDefault="00C10BA4" w:rsidP="00C10BA4">
      <w:pPr>
        <w:pStyle w:val="LI-BodyTextNumbered"/>
        <w:keepNext/>
        <w:ind w:left="0" w:firstLine="0"/>
        <w:rPr>
          <w:b/>
        </w:rPr>
      </w:pPr>
      <w:bookmarkStart w:id="1" w:name="_Hlk534291624"/>
      <w:r>
        <w:rPr>
          <w:b/>
        </w:rPr>
        <w:t>Consultation</w:t>
      </w:r>
    </w:p>
    <w:p w14:paraId="50A45E5E" w14:textId="77777777" w:rsidR="00C10BA4" w:rsidRDefault="00C10BA4" w:rsidP="00C10BA4">
      <w:pPr>
        <w:pStyle w:val="LI-BodyTextParaa"/>
        <w:numPr>
          <w:ilvl w:val="0"/>
          <w:numId w:val="1"/>
        </w:numPr>
        <w:ind w:left="567" w:hanging="567"/>
      </w:pPr>
      <w:bookmarkStart w:id="2" w:name="_Hlk206061391"/>
      <w:r>
        <w:t xml:space="preserve">On 9 July 2025, ASIC published simple consultation CS 25 </w:t>
      </w:r>
      <w:r>
        <w:rPr>
          <w:i/>
          <w:iCs/>
        </w:rPr>
        <w:t xml:space="preserve">Proposed remake of disclosure relief for offers of foreign securities and interests to Australian investors </w:t>
      </w:r>
      <w:r>
        <w:t xml:space="preserve">on its website </w:t>
      </w:r>
      <w:r w:rsidRPr="0056497A">
        <w:t>(</w:t>
      </w:r>
      <w:r w:rsidRPr="0056497A">
        <w:rPr>
          <w:b/>
          <w:bCs/>
        </w:rPr>
        <w:t>CS 25</w:t>
      </w:r>
      <w:r w:rsidRPr="0056497A">
        <w:t>)</w:t>
      </w:r>
      <w:r>
        <w:t xml:space="preserve">.  </w:t>
      </w:r>
    </w:p>
    <w:p w14:paraId="4CC50B7F" w14:textId="77777777" w:rsidR="00C10BA4" w:rsidRDefault="00C10BA4" w:rsidP="00C10BA4">
      <w:pPr>
        <w:pStyle w:val="LI-BodyTextParaa"/>
        <w:numPr>
          <w:ilvl w:val="0"/>
          <w:numId w:val="1"/>
        </w:numPr>
        <w:ind w:left="567" w:hanging="567"/>
      </w:pPr>
      <w:r>
        <w:t xml:space="preserve">On 9 July 2025, ASIC also published an accompanying news item </w:t>
      </w:r>
      <w:r w:rsidRPr="006A67C2">
        <w:rPr>
          <w:i/>
          <w:iCs/>
        </w:rPr>
        <w:t xml:space="preserve">ASIC proposes to remake </w:t>
      </w:r>
      <w:r>
        <w:rPr>
          <w:i/>
          <w:iCs/>
        </w:rPr>
        <w:t xml:space="preserve">disclosure </w:t>
      </w:r>
      <w:r w:rsidRPr="006A67C2">
        <w:rPr>
          <w:i/>
          <w:iCs/>
        </w:rPr>
        <w:t xml:space="preserve">relief for offers of </w:t>
      </w:r>
      <w:r>
        <w:rPr>
          <w:i/>
          <w:iCs/>
        </w:rPr>
        <w:t xml:space="preserve">foreign securities and interests to Australian investors. </w:t>
      </w:r>
      <w:r>
        <w:t xml:space="preserve"> </w:t>
      </w:r>
    </w:p>
    <w:p w14:paraId="3E56EEB0" w14:textId="77777777" w:rsidR="00C10BA4" w:rsidRDefault="00C10BA4" w:rsidP="00C10BA4">
      <w:pPr>
        <w:pStyle w:val="LI-BodyTextParaa"/>
        <w:numPr>
          <w:ilvl w:val="0"/>
          <w:numId w:val="1"/>
        </w:numPr>
        <w:ind w:left="567" w:hanging="567"/>
      </w:pPr>
      <w:r>
        <w:lastRenderedPageBreak/>
        <w:t xml:space="preserve">ASIC brought CS 25 to the attention of its external stakeholders through the Corporate Finance Update published July 2025. </w:t>
      </w:r>
    </w:p>
    <w:p w14:paraId="280FB0D4" w14:textId="77777777" w:rsidR="00C10BA4" w:rsidRPr="00EA1C29" w:rsidRDefault="00C10BA4" w:rsidP="00C10BA4">
      <w:pPr>
        <w:pStyle w:val="LI-BodyTextParaa"/>
        <w:numPr>
          <w:ilvl w:val="0"/>
          <w:numId w:val="1"/>
        </w:numPr>
        <w:ind w:left="567" w:hanging="567"/>
      </w:pPr>
      <w:r w:rsidRPr="006A67C2">
        <w:t xml:space="preserve">ASIC </w:t>
      </w:r>
      <w:r>
        <w:t xml:space="preserve">did not </w:t>
      </w:r>
      <w:r w:rsidRPr="006A67C2">
        <w:t xml:space="preserve">receive </w:t>
      </w:r>
      <w:r>
        <w:t>any</w:t>
      </w:r>
      <w:r w:rsidRPr="006A67C2">
        <w:t xml:space="preserve"> submissions in response to </w:t>
      </w:r>
      <w:r>
        <w:t xml:space="preserve">CS 25 (which closed 15 August 2025). </w:t>
      </w:r>
    </w:p>
    <w:bookmarkEnd w:id="2"/>
    <w:p w14:paraId="7CFF7527" w14:textId="77777777" w:rsidR="00C10BA4" w:rsidRDefault="00C10BA4" w:rsidP="00C10BA4">
      <w:pPr>
        <w:pStyle w:val="LI-BodyTextNumbered"/>
        <w:keepNext/>
        <w:ind w:left="0" w:firstLine="0"/>
        <w:rPr>
          <w:b/>
        </w:rPr>
      </w:pPr>
      <w:r>
        <w:rPr>
          <w:b/>
        </w:rPr>
        <w:t>Operation of the instrument</w:t>
      </w:r>
    </w:p>
    <w:p w14:paraId="6F3E4596" w14:textId="77777777" w:rsidR="00C10BA4" w:rsidRDefault="00C10BA4" w:rsidP="00C10BA4">
      <w:pPr>
        <w:pStyle w:val="LI-BodyTextParaa"/>
        <w:numPr>
          <w:ilvl w:val="0"/>
          <w:numId w:val="1"/>
        </w:numPr>
        <w:ind w:left="567" w:hanging="567"/>
      </w:pPr>
      <w:r>
        <w:t>The</w:t>
      </w:r>
      <w:r w:rsidRPr="00971232">
        <w:t xml:space="preserve"> Instrument </w:t>
      </w:r>
      <w:r w:rsidRPr="00045357">
        <w:t>commence</w:t>
      </w:r>
      <w:r>
        <w:t>s</w:t>
      </w:r>
      <w:r w:rsidRPr="00045357">
        <w:t xml:space="preserve"> on the day after </w:t>
      </w:r>
      <w:r>
        <w:t>it is</w:t>
      </w:r>
      <w:r w:rsidRPr="00045357">
        <w:t xml:space="preserve"> registered on the Federal Register of Legislation</w:t>
      </w:r>
      <w:r>
        <w:t>.</w:t>
      </w:r>
    </w:p>
    <w:p w14:paraId="43008567" w14:textId="77777777" w:rsidR="00C10BA4" w:rsidRDefault="00C10BA4" w:rsidP="00C10BA4">
      <w:pPr>
        <w:pStyle w:val="LI-BodyTextParaa"/>
        <w:numPr>
          <w:ilvl w:val="0"/>
          <w:numId w:val="1"/>
        </w:numPr>
        <w:ind w:left="567" w:hanging="567"/>
      </w:pPr>
      <w:r>
        <w:t>The</w:t>
      </w:r>
      <w:r w:rsidRPr="00154DD5">
        <w:t xml:space="preserve"> Instrument </w:t>
      </w:r>
      <w:r>
        <w:t xml:space="preserve">inserts a new subsection (7A) into section 734 of the Act.  This provides that an advertisement or publication does not contravene subsection 734 (2) if it: </w:t>
      </w:r>
    </w:p>
    <w:p w14:paraId="060A8847" w14:textId="77777777" w:rsidR="00C10BA4" w:rsidRDefault="00C10BA4" w:rsidP="00C10BA4">
      <w:pPr>
        <w:pStyle w:val="LI-BodyTextParaa"/>
        <w:numPr>
          <w:ilvl w:val="1"/>
          <w:numId w:val="1"/>
        </w:numPr>
        <w:ind w:left="1134" w:hanging="567"/>
      </w:pPr>
      <w:r>
        <w:t xml:space="preserve">relates to an offer of securities in a body that is listed on an approved foreign market and consists of a notice or report by the body, or one of its officers, about its affairs to the relevant market operator; or </w:t>
      </w:r>
    </w:p>
    <w:p w14:paraId="5D1AC6AF" w14:textId="77777777" w:rsidR="00C10BA4" w:rsidRDefault="00C10BA4" w:rsidP="00C10BA4">
      <w:pPr>
        <w:pStyle w:val="LI-BodyTextParaa"/>
        <w:numPr>
          <w:ilvl w:val="1"/>
          <w:numId w:val="1"/>
        </w:numPr>
        <w:ind w:left="1134" w:hanging="567"/>
      </w:pPr>
      <w:r>
        <w:t xml:space="preserve">consists solely of a notice or report of a general meeting of the body.   </w:t>
      </w:r>
    </w:p>
    <w:p w14:paraId="67451EEF" w14:textId="77777777" w:rsidR="00C10BA4" w:rsidRPr="006D6079" w:rsidRDefault="00C10BA4" w:rsidP="00C10BA4">
      <w:pPr>
        <w:pStyle w:val="LI-BodyTextParaa"/>
        <w:keepNext/>
        <w:ind w:left="567"/>
        <w:rPr>
          <w:b/>
          <w:bCs/>
        </w:rPr>
      </w:pPr>
      <w:r w:rsidRPr="006D6079">
        <w:rPr>
          <w:b/>
          <w:bCs/>
        </w:rPr>
        <w:t xml:space="preserve">Legislative instrument and primary legislation  </w:t>
      </w:r>
    </w:p>
    <w:p w14:paraId="3582E406" w14:textId="5DD455EE" w:rsidR="00C10BA4" w:rsidRDefault="00C10BA4" w:rsidP="0050364F">
      <w:pPr>
        <w:pStyle w:val="LI-BodyTextParaa"/>
        <w:numPr>
          <w:ilvl w:val="0"/>
          <w:numId w:val="1"/>
        </w:numPr>
        <w:ind w:left="567" w:hanging="567"/>
      </w:pPr>
      <w:r>
        <w:t>The subject matter and policy implemented by the Instrument is more appropriate for a legislative instrument rather than primary legislation because</w:t>
      </w:r>
      <w:r w:rsidR="0050364F">
        <w:t xml:space="preserve"> </w:t>
      </w:r>
      <w:r>
        <w:t>t</w:t>
      </w:r>
      <w:r w:rsidRPr="00C52E7C">
        <w:t xml:space="preserve">he matters contained in </w:t>
      </w:r>
      <w:r>
        <w:t xml:space="preserve">the </w:t>
      </w:r>
      <w:r w:rsidR="00287220">
        <w:t>I</w:t>
      </w:r>
      <w:r w:rsidRPr="00C52E7C">
        <w:t xml:space="preserve">nstrument only </w:t>
      </w:r>
      <w:r>
        <w:t xml:space="preserve">apply to certain advertisements or publications relating to a body that is listed on an approved foreign market. </w:t>
      </w:r>
      <w:r w:rsidRPr="00C52E7C">
        <w:t xml:space="preserve">The </w:t>
      </w:r>
      <w:r w:rsidR="00287220">
        <w:t>I</w:t>
      </w:r>
      <w:r w:rsidRPr="00C52E7C">
        <w:t xml:space="preserve">nstrument provides administrative relief in circumstances where strict compliance with the </w:t>
      </w:r>
      <w:r>
        <w:t xml:space="preserve">primary legislation </w:t>
      </w:r>
      <w:r w:rsidRPr="00C52E7C">
        <w:t xml:space="preserve">produces an unintended or unforeseen result. </w:t>
      </w:r>
      <w:r w:rsidRPr="00F46947">
        <w:t xml:space="preserve">If the matters in the </w:t>
      </w:r>
      <w:r w:rsidR="00287220">
        <w:t>I</w:t>
      </w:r>
      <w:r w:rsidRPr="00F46947">
        <w:t>nstrument were to be inserted into the primary legislation, they would insert, into an already complex statutory framework, a set of specific provisions that would apply only to a relatively small group of entities. This would result in additional cost and unnecessary complexity for other users of the primary legislation</w:t>
      </w:r>
      <w:r>
        <w:t>.</w:t>
      </w:r>
    </w:p>
    <w:p w14:paraId="7972828F" w14:textId="77777777" w:rsidR="00C10BA4" w:rsidRPr="006D6079" w:rsidRDefault="00C10BA4" w:rsidP="00C10BA4">
      <w:pPr>
        <w:pStyle w:val="LI-BodyTextParaa"/>
        <w:numPr>
          <w:ilvl w:val="0"/>
          <w:numId w:val="1"/>
        </w:numPr>
        <w:ind w:left="567" w:hanging="567"/>
        <w:rPr>
          <w:color w:val="000000"/>
          <w:shd w:val="clear" w:color="auto" w:fill="FFFFFF"/>
        </w:rPr>
      </w:pPr>
      <w:r>
        <w:rPr>
          <w:color w:val="000000"/>
        </w:rPr>
        <w:t>It will be a matter for the Government and for Parliament as to whether the Act or Regulations may be amended in future to include the relief in the Instrument.</w:t>
      </w:r>
    </w:p>
    <w:p w14:paraId="3907939F" w14:textId="77777777" w:rsidR="00C10BA4" w:rsidRDefault="00C10BA4" w:rsidP="00C10BA4">
      <w:pPr>
        <w:pStyle w:val="LI-BodyTextParaa"/>
        <w:keepNext/>
        <w:ind w:left="567"/>
        <w:rPr>
          <w:u w:val="single"/>
        </w:rPr>
      </w:pPr>
      <w:r w:rsidRPr="006D6079">
        <w:rPr>
          <w:b/>
          <w:bCs/>
        </w:rPr>
        <w:t>Duration of the instrument</w:t>
      </w:r>
      <w:r>
        <w:rPr>
          <w:u w:val="single"/>
        </w:rPr>
        <w:t xml:space="preserve"> </w:t>
      </w:r>
    </w:p>
    <w:p w14:paraId="72B71559" w14:textId="77777777" w:rsidR="00C10BA4" w:rsidRDefault="00C10BA4" w:rsidP="00C10BA4">
      <w:pPr>
        <w:pStyle w:val="LI-BodyTextParaa"/>
        <w:numPr>
          <w:ilvl w:val="0"/>
          <w:numId w:val="1"/>
        </w:numPr>
        <w:ind w:left="567" w:hanging="567"/>
      </w:pPr>
      <w:r>
        <w:t>The Instrument will expire after 5</w:t>
      </w:r>
      <w:r w:rsidRPr="002D607D">
        <w:t xml:space="preserve"> years. </w:t>
      </w:r>
    </w:p>
    <w:p w14:paraId="74BAE852" w14:textId="77777777" w:rsidR="00C10BA4" w:rsidRPr="002D607D" w:rsidRDefault="00C10BA4" w:rsidP="00C10BA4">
      <w:pPr>
        <w:pStyle w:val="LI-BodyTextParaa"/>
        <w:numPr>
          <w:ilvl w:val="0"/>
          <w:numId w:val="1"/>
        </w:numPr>
        <w:ind w:left="567" w:hanging="567"/>
      </w:pPr>
      <w:r w:rsidRPr="002D607D">
        <w:t xml:space="preserve">This allows sufficient time for the </w:t>
      </w:r>
      <w:r w:rsidRPr="002D607D">
        <w:rPr>
          <w:color w:val="000000"/>
        </w:rPr>
        <w:t>Government</w:t>
      </w:r>
      <w:r w:rsidRPr="002D607D">
        <w:t xml:space="preserve"> and for Parliament to determine whether to amend the Act or Regulations to include the relief.</w:t>
      </w:r>
    </w:p>
    <w:bookmarkEnd w:id="1"/>
    <w:p w14:paraId="416F8EB2" w14:textId="77777777" w:rsidR="00C10BA4" w:rsidRDefault="00C10BA4" w:rsidP="00C10BA4">
      <w:pPr>
        <w:pStyle w:val="LI-BodyTextNumbered"/>
        <w:keepNext/>
        <w:ind w:left="0" w:firstLine="0"/>
        <w:rPr>
          <w:b/>
        </w:rPr>
      </w:pPr>
      <w:r>
        <w:rPr>
          <w:b/>
        </w:rPr>
        <w:t>Legislative authority</w:t>
      </w:r>
    </w:p>
    <w:p w14:paraId="6FC214B5" w14:textId="77777777" w:rsidR="00C10BA4" w:rsidRDefault="00C10BA4" w:rsidP="00C10BA4">
      <w:pPr>
        <w:pStyle w:val="LI-BodyTextParaa"/>
        <w:numPr>
          <w:ilvl w:val="0"/>
          <w:numId w:val="1"/>
        </w:numPr>
        <w:ind w:left="567" w:hanging="567"/>
      </w:pPr>
      <w:r>
        <w:t xml:space="preserve">ASIC makes the Instrument under subsection 741(1) of the Act.  </w:t>
      </w:r>
    </w:p>
    <w:p w14:paraId="03A15FFD" w14:textId="77777777" w:rsidR="00C10BA4" w:rsidRDefault="00C10BA4" w:rsidP="00C10BA4">
      <w:pPr>
        <w:pStyle w:val="LI-BodyTextParaa"/>
        <w:numPr>
          <w:ilvl w:val="0"/>
          <w:numId w:val="1"/>
        </w:numPr>
        <w:ind w:left="567" w:hanging="567"/>
      </w:pPr>
      <w:r>
        <w:t>Subsection 741(1) provides that ASIC may:</w:t>
      </w:r>
    </w:p>
    <w:p w14:paraId="60EC26AE" w14:textId="77777777" w:rsidR="00C10BA4" w:rsidRDefault="00C10BA4" w:rsidP="00C10BA4">
      <w:pPr>
        <w:pStyle w:val="LI-BodyTextParaa"/>
        <w:numPr>
          <w:ilvl w:val="1"/>
          <w:numId w:val="1"/>
        </w:numPr>
        <w:ind w:left="1134" w:hanging="567"/>
      </w:pPr>
      <w:r>
        <w:t xml:space="preserve">exempt a person from a provision of Chapter 6D; or </w:t>
      </w:r>
    </w:p>
    <w:p w14:paraId="5E94BCC6" w14:textId="77777777" w:rsidR="00C10BA4" w:rsidRDefault="00C10BA4" w:rsidP="00C10BA4">
      <w:pPr>
        <w:pStyle w:val="LI-BodyTextParaa"/>
        <w:numPr>
          <w:ilvl w:val="1"/>
          <w:numId w:val="1"/>
        </w:numPr>
        <w:ind w:left="1134" w:hanging="567"/>
      </w:pPr>
      <w:r>
        <w:lastRenderedPageBreak/>
        <w:t xml:space="preserve">declare that Chapter 6D applies to a person as if specified provisions were omitted, modified or varied as specified in the declaration. </w:t>
      </w:r>
    </w:p>
    <w:p w14:paraId="0B1AD06C" w14:textId="77777777" w:rsidR="00C10BA4" w:rsidRDefault="00C10BA4" w:rsidP="00C10BA4">
      <w:pPr>
        <w:pStyle w:val="LI-BodyTextParaa"/>
        <w:numPr>
          <w:ilvl w:val="0"/>
          <w:numId w:val="1"/>
        </w:numPr>
        <w:ind w:left="567" w:hanging="567"/>
      </w:pPr>
      <w:r w:rsidRPr="00D57E7F">
        <w:t xml:space="preserve">As </w:t>
      </w:r>
      <w:r>
        <w:t xml:space="preserve">a </w:t>
      </w:r>
      <w:r w:rsidRPr="00D57E7F">
        <w:t>legislative instrument</w:t>
      </w:r>
      <w:r>
        <w:t>, the Instrument is</w:t>
      </w:r>
      <w:r w:rsidRPr="00D57E7F">
        <w:t xml:space="preserve"> disallowable under section 42 of the Legislation Act 2003</w:t>
      </w:r>
    </w:p>
    <w:p w14:paraId="1EBA8692" w14:textId="77777777" w:rsidR="00C10BA4" w:rsidRPr="00EA17A6" w:rsidRDefault="00C10BA4" w:rsidP="00C10BA4">
      <w:pPr>
        <w:pStyle w:val="LI-BodyTextParaa"/>
        <w:ind w:left="567"/>
        <w:rPr>
          <w:b/>
        </w:rPr>
      </w:pPr>
      <w:r w:rsidRPr="00EA17A6">
        <w:rPr>
          <w:b/>
        </w:rPr>
        <w:t xml:space="preserve">Statement of Compatibility with Human Rights  </w:t>
      </w:r>
    </w:p>
    <w:p w14:paraId="74C93F84" w14:textId="675E3F1A" w:rsidR="00C10BA4" w:rsidRPr="00EA17A6" w:rsidRDefault="00C10BA4" w:rsidP="007F25B1">
      <w:pPr>
        <w:pStyle w:val="LI-BodyTextParaa"/>
        <w:numPr>
          <w:ilvl w:val="0"/>
          <w:numId w:val="1"/>
        </w:numPr>
        <w:ind w:left="567" w:hanging="567"/>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679698CC" w14:textId="77777777" w:rsidR="00C10BA4" w:rsidRPr="00EA17A6" w:rsidRDefault="00C10BA4" w:rsidP="00C10BA4">
      <w:pPr>
        <w:pStyle w:val="LI-BodyTextParaa"/>
        <w:ind w:left="567"/>
        <w:jc w:val="right"/>
        <w:rPr>
          <w:u w:val="single"/>
        </w:rPr>
      </w:pPr>
      <w:r>
        <w:rPr>
          <w:color w:val="FF0000"/>
        </w:rPr>
        <w:br w:type="page"/>
      </w:r>
      <w:r w:rsidRPr="00EA17A6">
        <w:rPr>
          <w:u w:val="single"/>
        </w:rPr>
        <w:lastRenderedPageBreak/>
        <w:t xml:space="preserve">Attachment </w:t>
      </w:r>
    </w:p>
    <w:p w14:paraId="1770AF0A" w14:textId="77777777" w:rsidR="00C10BA4" w:rsidRPr="00EA17A6" w:rsidRDefault="00C10BA4" w:rsidP="00C10BA4">
      <w:pPr>
        <w:pStyle w:val="LI-BodyTextParaa"/>
        <w:ind w:left="567"/>
        <w:jc w:val="center"/>
        <w:rPr>
          <w:b/>
          <w:sz w:val="28"/>
          <w:szCs w:val="28"/>
        </w:rPr>
      </w:pPr>
      <w:r w:rsidRPr="00EA17A6">
        <w:rPr>
          <w:b/>
          <w:sz w:val="28"/>
          <w:szCs w:val="28"/>
        </w:rPr>
        <w:t>Statement of Compatibility with Human Rights</w:t>
      </w:r>
    </w:p>
    <w:p w14:paraId="58F7DFCF" w14:textId="77777777" w:rsidR="00C10BA4" w:rsidRPr="00EA17A6" w:rsidRDefault="00C10BA4" w:rsidP="00C10BA4">
      <w:pPr>
        <w:pStyle w:val="LI-BodyTextNumbered"/>
        <w:ind w:left="0" w:firstLine="0"/>
        <w:rPr>
          <w:iCs/>
        </w:rPr>
      </w:pPr>
      <w:bookmarkStart w:id="3" w:name="_Hlk534286677"/>
    </w:p>
    <w:p w14:paraId="3851E57C" w14:textId="77777777" w:rsidR="00C10BA4" w:rsidRPr="00EA17A6" w:rsidRDefault="00C10BA4" w:rsidP="00C10BA4">
      <w:pPr>
        <w:pStyle w:val="LI-BodyTextNumbered"/>
        <w:ind w:left="0" w:firstLine="0"/>
        <w:rPr>
          <w:iCs/>
        </w:rPr>
      </w:pPr>
      <w:r w:rsidRPr="00EA17A6">
        <w:rPr>
          <w:iCs/>
        </w:rPr>
        <w:t xml:space="preserve">This Statement of Compatibility with Human Rights is prepared in accordance with Part 3 of </w:t>
      </w:r>
      <w:bookmarkStart w:id="4" w:name="_Hlk4054932"/>
      <w:r w:rsidRPr="00EA17A6">
        <w:rPr>
          <w:iCs/>
        </w:rPr>
        <w:t xml:space="preserve">the </w:t>
      </w:r>
      <w:r w:rsidRPr="00EA17A6">
        <w:rPr>
          <w:i/>
          <w:iCs/>
        </w:rPr>
        <w:t>Human Rights (Parliamentary Scrutiny) Act 2011</w:t>
      </w:r>
      <w:bookmarkEnd w:id="4"/>
      <w:r w:rsidRPr="00EA17A6">
        <w:rPr>
          <w:iCs/>
        </w:rPr>
        <w:t xml:space="preserve">.   </w:t>
      </w:r>
    </w:p>
    <w:p w14:paraId="38DDA55B" w14:textId="77777777" w:rsidR="00C10BA4" w:rsidRPr="00EA17A6" w:rsidRDefault="00C10BA4" w:rsidP="00C10BA4">
      <w:pPr>
        <w:pStyle w:val="LI-BodyTextNumbered"/>
        <w:ind w:left="0" w:firstLine="0"/>
        <w:rPr>
          <w:b/>
          <w:i/>
        </w:rPr>
      </w:pPr>
      <w:r w:rsidRPr="00956DA2">
        <w:rPr>
          <w:b/>
          <w:i/>
        </w:rPr>
        <w:t xml:space="preserve">ASIC Corporations (Foreign Securities— Publishing Notices) Instrument </w:t>
      </w:r>
      <w:r w:rsidRPr="00F417ED">
        <w:rPr>
          <w:b/>
          <w:i/>
        </w:rPr>
        <w:t>2025/6</w:t>
      </w:r>
      <w:r>
        <w:rPr>
          <w:b/>
          <w:i/>
        </w:rPr>
        <w:t>16</w:t>
      </w:r>
    </w:p>
    <w:p w14:paraId="2A1D6FB3" w14:textId="77777777" w:rsidR="00C10BA4" w:rsidRPr="00EA17A6" w:rsidRDefault="00C10BA4" w:rsidP="00C10BA4">
      <w:pPr>
        <w:pStyle w:val="LI-BodyTextNumbered"/>
        <w:ind w:left="567"/>
        <w:rPr>
          <w:u w:val="single"/>
        </w:rPr>
      </w:pPr>
      <w:r w:rsidRPr="00EA17A6">
        <w:rPr>
          <w:u w:val="single"/>
        </w:rPr>
        <w:t>Overview</w:t>
      </w:r>
    </w:p>
    <w:p w14:paraId="4652DF1F" w14:textId="77777777" w:rsidR="00C10BA4" w:rsidRPr="00EA17A6" w:rsidRDefault="00C10BA4" w:rsidP="00C10BA4">
      <w:pPr>
        <w:spacing w:before="240" w:line="240" w:lineRule="auto"/>
        <w:ind w:left="567" w:hanging="567"/>
        <w:rPr>
          <w:rFonts w:eastAsia="Times New Roman"/>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r>
        <w:rPr>
          <w:rFonts w:eastAsia="Times New Roman"/>
          <w:sz w:val="24"/>
          <w:szCs w:val="24"/>
          <w:lang w:eastAsia="en-AU"/>
        </w:rPr>
        <w:t>This i</w:t>
      </w:r>
      <w:r w:rsidRPr="002B1035">
        <w:rPr>
          <w:rFonts w:eastAsia="Times New Roman"/>
          <w:sz w:val="24"/>
          <w:szCs w:val="24"/>
          <w:lang w:eastAsia="en-AU"/>
        </w:rPr>
        <w:t xml:space="preserve">nstrument gives relief from subsection 734(2) </w:t>
      </w:r>
      <w:r>
        <w:rPr>
          <w:rFonts w:eastAsia="Times New Roman"/>
          <w:sz w:val="24"/>
          <w:szCs w:val="24"/>
          <w:lang w:eastAsia="en-AU"/>
        </w:rPr>
        <w:t xml:space="preserve">of the </w:t>
      </w:r>
      <w:r w:rsidRPr="007270C0">
        <w:rPr>
          <w:rFonts w:eastAsia="Times New Roman"/>
          <w:i/>
          <w:iCs/>
          <w:sz w:val="24"/>
          <w:szCs w:val="24"/>
          <w:lang w:eastAsia="en-AU"/>
        </w:rPr>
        <w:t>Corporations Act 2001</w:t>
      </w:r>
      <w:r>
        <w:rPr>
          <w:rFonts w:eastAsia="Times New Roman"/>
          <w:sz w:val="24"/>
          <w:szCs w:val="24"/>
          <w:lang w:eastAsia="en-AU"/>
        </w:rPr>
        <w:t xml:space="preserve"> </w:t>
      </w:r>
      <w:r w:rsidRPr="002B1035">
        <w:rPr>
          <w:rFonts w:eastAsia="Times New Roman"/>
          <w:sz w:val="24"/>
          <w:szCs w:val="24"/>
          <w:lang w:eastAsia="en-AU"/>
        </w:rPr>
        <w:t>to bodies that are listed on an approved foreign market for notices or reports about its affairs that are given the market operator. It also gives relief for notices or reports of general meeting</w:t>
      </w:r>
      <w:r>
        <w:rPr>
          <w:rFonts w:eastAsia="Times New Roman"/>
          <w:sz w:val="24"/>
          <w:szCs w:val="24"/>
          <w:lang w:eastAsia="en-AU"/>
        </w:rPr>
        <w:t xml:space="preserve"> of the body</w:t>
      </w:r>
      <w:r w:rsidRPr="002B1035">
        <w:rPr>
          <w:rFonts w:eastAsia="Times New Roman"/>
          <w:sz w:val="24"/>
          <w:szCs w:val="24"/>
          <w:lang w:eastAsia="en-AU"/>
        </w:rPr>
        <w:t xml:space="preserve">. </w:t>
      </w:r>
      <w:r w:rsidRPr="0048057B">
        <w:rPr>
          <w:sz w:val="24"/>
          <w:szCs w:val="24"/>
        </w:rPr>
        <w:t>The relief is analogous to subparagraphs 734(7)(a) and (b).</w:t>
      </w:r>
    </w:p>
    <w:p w14:paraId="744691D5" w14:textId="77777777" w:rsidR="00C10BA4" w:rsidRPr="00EA17A6" w:rsidRDefault="00C10BA4" w:rsidP="00C10BA4">
      <w:pPr>
        <w:pStyle w:val="LI-BodyTextNumbered"/>
        <w:ind w:left="567"/>
        <w:rPr>
          <w:u w:val="single"/>
        </w:rPr>
      </w:pPr>
      <w:bookmarkStart w:id="5" w:name="_Hlk534286807"/>
      <w:bookmarkEnd w:id="3"/>
      <w:r w:rsidRPr="00EA17A6">
        <w:rPr>
          <w:u w:val="single"/>
        </w:rPr>
        <w:t>Assessment of human rights implications</w:t>
      </w:r>
    </w:p>
    <w:p w14:paraId="525595F5" w14:textId="77777777" w:rsidR="00C10BA4" w:rsidRPr="00EA17A6" w:rsidRDefault="00C10BA4" w:rsidP="00C10BA4">
      <w:pPr>
        <w:pStyle w:val="LI-BodyTextNumbered"/>
        <w:ind w:left="567"/>
      </w:pPr>
      <w:r w:rsidRPr="00EA17A6">
        <w:t>2.</w:t>
      </w:r>
      <w:r w:rsidRPr="00EA17A6">
        <w:tab/>
      </w:r>
      <w:bookmarkEnd w:id="5"/>
      <w:r w:rsidRPr="00EA17A6">
        <w:t>This instrument does not engage any of the applicable rights or freedoms</w:t>
      </w:r>
      <w:r>
        <w:t>.</w:t>
      </w:r>
    </w:p>
    <w:p w14:paraId="3866C254" w14:textId="77777777" w:rsidR="00C10BA4" w:rsidRPr="00EA17A6" w:rsidRDefault="00C10BA4" w:rsidP="00C10BA4">
      <w:pPr>
        <w:pStyle w:val="LI-BodyTextNumbered"/>
        <w:ind w:left="567"/>
        <w:rPr>
          <w:u w:val="single"/>
        </w:rPr>
      </w:pPr>
      <w:r w:rsidRPr="00EA17A6">
        <w:rPr>
          <w:u w:val="single"/>
        </w:rPr>
        <w:t>Conclusion</w:t>
      </w:r>
    </w:p>
    <w:p w14:paraId="5939E0B0" w14:textId="77777777" w:rsidR="00C10BA4" w:rsidRPr="00EA17A6" w:rsidRDefault="00C10BA4" w:rsidP="00C10BA4">
      <w:pPr>
        <w:pStyle w:val="LI-BodyTextNumbered"/>
        <w:ind w:left="567"/>
      </w:pPr>
      <w:r w:rsidRPr="00EA17A6">
        <w:t>3.</w:t>
      </w:r>
      <w:r w:rsidRPr="00EA17A6">
        <w:tab/>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1C6DA76A" w14:textId="77777777" w:rsidR="00C10BA4" w:rsidRPr="00EA17A6" w:rsidRDefault="00C10BA4" w:rsidP="00C10BA4">
      <w:pPr>
        <w:pStyle w:val="LI-BodyTextNumbered"/>
        <w:ind w:left="567"/>
      </w:pPr>
    </w:p>
    <w:p w14:paraId="5246593B" w14:textId="77777777" w:rsidR="001E0278" w:rsidRDefault="001E0278"/>
    <w:sectPr w:rsidR="001E0278" w:rsidSect="00C10BA4">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EA1B" w14:textId="77777777" w:rsidR="008A3A79" w:rsidRDefault="008A3A79">
      <w:pPr>
        <w:spacing w:line="240" w:lineRule="auto"/>
      </w:pPr>
      <w:r>
        <w:separator/>
      </w:r>
    </w:p>
  </w:endnote>
  <w:endnote w:type="continuationSeparator" w:id="0">
    <w:p w14:paraId="2D422B4D" w14:textId="77777777" w:rsidR="008A3A79" w:rsidRDefault="008A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C237" w14:textId="77777777" w:rsidR="00F417ED" w:rsidRDefault="00F417ED">
    <w:pPr>
      <w:pStyle w:val="Footer"/>
      <w:jc w:val="center"/>
    </w:pPr>
    <w:r>
      <w:fldChar w:fldCharType="begin"/>
    </w:r>
    <w:r>
      <w:instrText xml:space="preserve"> PAGE   \* MERGEFORMAT </w:instrText>
    </w:r>
    <w:r>
      <w:fldChar w:fldCharType="separate"/>
    </w:r>
    <w:r>
      <w:rPr>
        <w:noProof/>
      </w:rPr>
      <w:t>2</w:t>
    </w:r>
    <w:r>
      <w:rPr>
        <w:noProof/>
      </w:rPr>
      <w:fldChar w:fldCharType="end"/>
    </w:r>
  </w:p>
  <w:p w14:paraId="741E7A70" w14:textId="77777777" w:rsidR="00F417ED" w:rsidRDefault="00F41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24CC" w14:textId="77777777" w:rsidR="008A3A79" w:rsidRDefault="008A3A79">
      <w:pPr>
        <w:spacing w:line="240" w:lineRule="auto"/>
      </w:pPr>
      <w:r>
        <w:separator/>
      </w:r>
    </w:p>
  </w:footnote>
  <w:footnote w:type="continuationSeparator" w:id="0">
    <w:p w14:paraId="3436D9D1" w14:textId="77777777" w:rsidR="008A3A79" w:rsidRDefault="008A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0851" w14:textId="77777777" w:rsidR="00F417ED" w:rsidRPr="00243EC0" w:rsidRDefault="00F417ED"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D3F1210" w14:textId="77777777" w:rsidTr="001E77ED">
      <w:tc>
        <w:tcPr>
          <w:tcW w:w="4253" w:type="dxa"/>
        </w:tcPr>
        <w:p w14:paraId="789F38A8" w14:textId="77777777" w:rsidR="00F417ED" w:rsidRDefault="00F417ED" w:rsidP="00E40FF8">
          <w:pPr>
            <w:pStyle w:val="LI-Header"/>
            <w:pBdr>
              <w:bottom w:val="none" w:sz="0" w:space="0" w:color="auto"/>
            </w:pBdr>
            <w:jc w:val="left"/>
          </w:pPr>
        </w:p>
      </w:tc>
      <w:tc>
        <w:tcPr>
          <w:tcW w:w="4060" w:type="dxa"/>
        </w:tcPr>
        <w:p w14:paraId="0F4D8DA1" w14:textId="77777777" w:rsidR="00F417ED" w:rsidRDefault="00F417ED" w:rsidP="00F03BB5">
          <w:pPr>
            <w:pStyle w:val="LI-BodyTextNumbered"/>
          </w:pPr>
        </w:p>
      </w:tc>
    </w:tr>
  </w:tbl>
  <w:p w14:paraId="67A4A89B" w14:textId="77777777" w:rsidR="00F417ED" w:rsidRPr="00F4215A" w:rsidRDefault="00F417ED"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25B25"/>
    <w:multiLevelType w:val="hybridMultilevel"/>
    <w:tmpl w:val="5CA6B184"/>
    <w:lvl w:ilvl="0" w:tplc="A1DAB1A4">
      <w:start w:val="1"/>
      <w:numFmt w:val="decimal"/>
      <w:lvlText w:val="%1."/>
      <w:lvlJc w:val="left"/>
      <w:pPr>
        <w:ind w:left="930" w:hanging="570"/>
      </w:pPr>
      <w:rPr>
        <w:rFonts w:hint="default"/>
      </w:rPr>
    </w:lvl>
    <w:lvl w:ilvl="1" w:tplc="1F883078">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527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A4"/>
    <w:rsid w:val="001E0278"/>
    <w:rsid w:val="00287220"/>
    <w:rsid w:val="00352F5C"/>
    <w:rsid w:val="0050364F"/>
    <w:rsid w:val="006673A3"/>
    <w:rsid w:val="00692A83"/>
    <w:rsid w:val="007F25B1"/>
    <w:rsid w:val="008A3A79"/>
    <w:rsid w:val="009A79E9"/>
    <w:rsid w:val="00A87E96"/>
    <w:rsid w:val="00C10BA4"/>
    <w:rsid w:val="00EC2D8C"/>
    <w:rsid w:val="00F417ED"/>
    <w:rsid w:val="00F46CC1"/>
    <w:rsid w:val="00FA1841"/>
    <w:rsid w:val="34FEF9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690A"/>
  <w15:chartTrackingRefBased/>
  <w15:docId w15:val="{2585BA89-0366-49B0-975E-613A3890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0BA4"/>
    <w:pPr>
      <w:spacing w:after="0" w:line="260" w:lineRule="atLeast"/>
    </w:pPr>
    <w:rPr>
      <w:rFonts w:ascii="Times New Roman" w:eastAsia="Calibri" w:hAnsi="Times New Roman" w:cs="Times New Roman"/>
      <w:kern w:val="0"/>
      <w:szCs w:val="20"/>
      <w14:ligatures w14:val="none"/>
    </w:rPr>
  </w:style>
  <w:style w:type="paragraph" w:styleId="Heading1">
    <w:name w:val="heading 1"/>
    <w:basedOn w:val="Normal"/>
    <w:next w:val="Normal"/>
    <w:link w:val="Heading1Char"/>
    <w:uiPriority w:val="9"/>
    <w:qFormat/>
    <w:rsid w:val="00C10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B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B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B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B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BA4"/>
    <w:rPr>
      <w:rFonts w:eastAsiaTheme="majorEastAsia" w:cstheme="majorBidi"/>
      <w:color w:val="272727" w:themeColor="text1" w:themeTint="D8"/>
    </w:rPr>
  </w:style>
  <w:style w:type="paragraph" w:styleId="Title">
    <w:name w:val="Title"/>
    <w:basedOn w:val="Normal"/>
    <w:next w:val="Normal"/>
    <w:link w:val="TitleChar"/>
    <w:uiPriority w:val="10"/>
    <w:qFormat/>
    <w:rsid w:val="00C10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BA4"/>
    <w:pPr>
      <w:spacing w:before="160"/>
      <w:jc w:val="center"/>
    </w:pPr>
    <w:rPr>
      <w:i/>
      <w:iCs/>
      <w:color w:val="404040" w:themeColor="text1" w:themeTint="BF"/>
    </w:rPr>
  </w:style>
  <w:style w:type="character" w:customStyle="1" w:styleId="QuoteChar">
    <w:name w:val="Quote Char"/>
    <w:basedOn w:val="DefaultParagraphFont"/>
    <w:link w:val="Quote"/>
    <w:uiPriority w:val="29"/>
    <w:rsid w:val="00C10BA4"/>
    <w:rPr>
      <w:i/>
      <w:iCs/>
      <w:color w:val="404040" w:themeColor="text1" w:themeTint="BF"/>
    </w:rPr>
  </w:style>
  <w:style w:type="paragraph" w:styleId="ListParagraph">
    <w:name w:val="List Paragraph"/>
    <w:basedOn w:val="Normal"/>
    <w:uiPriority w:val="34"/>
    <w:qFormat/>
    <w:rsid w:val="00C10BA4"/>
    <w:pPr>
      <w:ind w:left="720"/>
      <w:contextualSpacing/>
    </w:pPr>
  </w:style>
  <w:style w:type="character" w:styleId="IntenseEmphasis">
    <w:name w:val="Intense Emphasis"/>
    <w:basedOn w:val="DefaultParagraphFont"/>
    <w:uiPriority w:val="21"/>
    <w:qFormat/>
    <w:rsid w:val="00C10BA4"/>
    <w:rPr>
      <w:i/>
      <w:iCs/>
      <w:color w:val="0F4761" w:themeColor="accent1" w:themeShade="BF"/>
    </w:rPr>
  </w:style>
  <w:style w:type="paragraph" w:styleId="IntenseQuote">
    <w:name w:val="Intense Quote"/>
    <w:basedOn w:val="Normal"/>
    <w:next w:val="Normal"/>
    <w:link w:val="IntenseQuoteChar"/>
    <w:uiPriority w:val="30"/>
    <w:qFormat/>
    <w:rsid w:val="00C10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BA4"/>
    <w:rPr>
      <w:i/>
      <w:iCs/>
      <w:color w:val="0F4761" w:themeColor="accent1" w:themeShade="BF"/>
    </w:rPr>
  </w:style>
  <w:style w:type="character" w:styleId="IntenseReference">
    <w:name w:val="Intense Reference"/>
    <w:basedOn w:val="DefaultParagraphFont"/>
    <w:uiPriority w:val="32"/>
    <w:qFormat/>
    <w:rsid w:val="00C10BA4"/>
    <w:rPr>
      <w:b/>
      <w:bCs/>
      <w:smallCaps/>
      <w:color w:val="0F4761" w:themeColor="accent1" w:themeShade="BF"/>
      <w:spacing w:val="5"/>
    </w:rPr>
  </w:style>
  <w:style w:type="paragraph" w:customStyle="1" w:styleId="LI-Title">
    <w:name w:val="LI - Title"/>
    <w:basedOn w:val="Normal"/>
    <w:next w:val="Normal"/>
    <w:qFormat/>
    <w:rsid w:val="00C10BA4"/>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C10BA4"/>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C10BA4"/>
    <w:rPr>
      <w:rFonts w:ascii="Times New Roman" w:eastAsia="Times New Roman" w:hAnsi="Times New Roman" w:cs="Times New Roman"/>
      <w:kern w:val="0"/>
      <w:sz w:val="16"/>
      <w:szCs w:val="20"/>
      <w:lang w:eastAsia="en-AU"/>
      <w14:ligatures w14:val="none"/>
    </w:rPr>
  </w:style>
  <w:style w:type="paragraph" w:customStyle="1" w:styleId="LI-BodyTextParaa">
    <w:name w:val="LI - Body Text Para (a)"/>
    <w:basedOn w:val="Normal"/>
    <w:link w:val="LI-BodyTextParaaChar"/>
    <w:rsid w:val="00C10BA4"/>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C10BA4"/>
    <w:pPr>
      <w:tabs>
        <w:tab w:val="center" w:pos="4153"/>
        <w:tab w:val="right" w:pos="8306"/>
      </w:tabs>
      <w:spacing w:after="0" w:line="240" w:lineRule="auto"/>
    </w:pPr>
    <w:rPr>
      <w:rFonts w:ascii="Times New Roman" w:eastAsia="Times New Roman" w:hAnsi="Times New Roman" w:cs="Times New Roman"/>
      <w:kern w:val="0"/>
      <w:szCs w:val="24"/>
      <w:lang w:eastAsia="en-AU"/>
      <w14:ligatures w14:val="none"/>
    </w:rPr>
  </w:style>
  <w:style w:type="character" w:customStyle="1" w:styleId="FooterChar">
    <w:name w:val="Footer Char"/>
    <w:basedOn w:val="DefaultParagraphFont"/>
    <w:link w:val="Footer"/>
    <w:uiPriority w:val="99"/>
    <w:rsid w:val="00C10BA4"/>
    <w:rPr>
      <w:rFonts w:ascii="Times New Roman" w:eastAsia="Times New Roman" w:hAnsi="Times New Roman" w:cs="Times New Roman"/>
      <w:kern w:val="0"/>
      <w:szCs w:val="24"/>
      <w:lang w:eastAsia="en-AU"/>
      <w14:ligatures w14:val="none"/>
    </w:rPr>
  </w:style>
  <w:style w:type="character" w:customStyle="1" w:styleId="LI-BodyTextParaaChar">
    <w:name w:val="LI - Body Text Para (a) Char"/>
    <w:link w:val="LI-BodyTextParaa"/>
    <w:rsid w:val="00C10BA4"/>
    <w:rPr>
      <w:rFonts w:ascii="Times New Roman" w:eastAsia="Times New Roman" w:hAnsi="Times New Roman" w:cs="Times New Roman"/>
      <w:kern w:val="0"/>
      <w:sz w:val="24"/>
      <w:szCs w:val="24"/>
      <w:lang w:eastAsia="en-AU"/>
      <w14:ligatures w14:val="none"/>
    </w:rPr>
  </w:style>
  <w:style w:type="paragraph" w:customStyle="1" w:styleId="LI-BodyTextNumbered">
    <w:name w:val="LI - Body Text Numbered"/>
    <w:basedOn w:val="Normal"/>
    <w:link w:val="LI-BodyTextNumberedChar"/>
    <w:qFormat/>
    <w:rsid w:val="00C10BA4"/>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C10BA4"/>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C10BA4"/>
    <w:rPr>
      <w:rFonts w:ascii="Times New Roman" w:eastAsia="Times New Roman" w:hAnsi="Times New Roman" w:cs="Times New Roman"/>
      <w:kern w:val="0"/>
      <w:sz w:val="24"/>
      <w:szCs w:val="24"/>
      <w:lang w:eastAsia="en-AU"/>
      <w14:ligatures w14:val="none"/>
    </w:rPr>
  </w:style>
  <w:style w:type="character" w:customStyle="1" w:styleId="LI-FooterChar">
    <w:name w:val="LI - Footer Char"/>
    <w:link w:val="LI-Footer"/>
    <w:rsid w:val="00C10BA4"/>
    <w:rPr>
      <w:rFonts w:ascii="Times New Roman" w:eastAsia="Calibri" w:hAnsi="Times New Roman" w:cs="Times New Roman"/>
      <w:i/>
      <w:kern w:val="0"/>
      <w:sz w:val="18"/>
      <w:szCs w:val="20"/>
      <w14:ligatures w14:val="none"/>
    </w:rPr>
  </w:style>
  <w:style w:type="character" w:styleId="CommentReference">
    <w:name w:val="annotation reference"/>
    <w:uiPriority w:val="99"/>
    <w:semiHidden/>
    <w:unhideWhenUsed/>
    <w:rsid w:val="00C10BA4"/>
    <w:rPr>
      <w:sz w:val="16"/>
      <w:szCs w:val="16"/>
    </w:rPr>
  </w:style>
  <w:style w:type="paragraph" w:styleId="CommentText">
    <w:name w:val="annotation text"/>
    <w:basedOn w:val="Normal"/>
    <w:link w:val="CommentTextChar"/>
    <w:uiPriority w:val="99"/>
    <w:unhideWhenUsed/>
    <w:rsid w:val="00C10BA4"/>
    <w:rPr>
      <w:sz w:val="20"/>
    </w:rPr>
  </w:style>
  <w:style w:type="character" w:customStyle="1" w:styleId="CommentTextChar">
    <w:name w:val="Comment Text Char"/>
    <w:basedOn w:val="DefaultParagraphFont"/>
    <w:link w:val="CommentText"/>
    <w:uiPriority w:val="99"/>
    <w:rsid w:val="00C10BA4"/>
    <w:rPr>
      <w:rFonts w:ascii="Times New Roman" w:eastAsia="Calibri" w:hAnsi="Times New Roman" w:cs="Times New Roman"/>
      <w:kern w:val="0"/>
      <w:sz w:val="20"/>
      <w:szCs w:val="20"/>
      <w14:ligatures w14:val="none"/>
    </w:rPr>
  </w:style>
  <w:style w:type="paragraph" w:customStyle="1" w:styleId="LI-Header">
    <w:name w:val="LI - Header"/>
    <w:basedOn w:val="LI-Footer"/>
    <w:link w:val="LI-HeaderChar"/>
    <w:qFormat/>
    <w:rsid w:val="00C10BA4"/>
    <w:pPr>
      <w:pBdr>
        <w:top w:val="none" w:sz="0" w:space="0" w:color="auto"/>
        <w:bottom w:val="single" w:sz="4" w:space="1" w:color="auto"/>
      </w:pBdr>
      <w:jc w:val="right"/>
    </w:pPr>
  </w:style>
  <w:style w:type="character" w:customStyle="1" w:styleId="LI-HeaderChar">
    <w:name w:val="LI - Header Char"/>
    <w:basedOn w:val="LI-FooterChar"/>
    <w:link w:val="LI-Header"/>
    <w:rsid w:val="00C10BA4"/>
    <w:rPr>
      <w:rFonts w:ascii="Times New Roman" w:eastAsia="Calibri" w:hAnsi="Times New Roman" w:cs="Times New Roman"/>
      <w:i/>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10F71DD95FCF340B199E9CFB6D5A628" ma:contentTypeVersion="31" ma:contentTypeDescription="" ma:contentTypeScope="" ma:versionID="57ef7188c528af754027f532a34f9818">
  <xsd:schema xmlns:xsd="http://www.w3.org/2001/XMLSchema" xmlns:xs="http://www.w3.org/2001/XMLSchema" xmlns:p="http://schemas.microsoft.com/office/2006/metadata/properties" xmlns:ns2="db2b92ca-6ed0-4085-802d-4c686a2e8c3f" xmlns:ns3="76db5712-49ab-4a50-9809-1d005dc21b00" xmlns:ns4="eb44715b-cd74-4c79-92c4-f0e9f1a86440" targetNamespace="http://schemas.microsoft.com/office/2006/metadata/properties" ma:root="true" ma:fieldsID="5bfd3ab998e8283deee811b88dfdd28d" ns2:_="" ns3:_="" ns4:_="">
    <xsd:import namespace="db2b92ca-6ed0-4085-802d-4c686a2e8c3f"/>
    <xsd:import namespace="76db5712-49ab-4a50-9809-1d005dc21b00"/>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lcf76f155ced4ddcb4097134ff3c332f"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Folder" minOccurs="0"/>
                <xsd:element ref="ns3:MediaServiceObjectDetectorVersion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40dd7e9-5e5a-4eb3-8afa-ed03fccaf443}"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40dd7e9-5e5a-4eb3-8afa-ed03fccaf443}"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b5712-49ab-4a50-9809-1d005dc21b0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302855-5de3-48f9-83c2-fc1acc0f760b" ma:termSetId="09814cd3-568e-fe90-9814-8d621ff8fb84" ma:anchorId="fba54fb3-c3e1-fe81-a776-ca4b69148c4d"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Folder" ma:index="23" nillable="true" ma:displayName="Folder" ma:internalName="Folder"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TaxCatchAll xmlns="db2b92ca-6ed0-4085-802d-4c686a2e8c3f">
      <Value>1</Value>
    </TaxCatchAll>
    <Folder xmlns="76db5712-49ab-4a50-9809-1d005dc21b00" xsi:nil="true"/>
    <lcf76f155ced4ddcb4097134ff3c332f xmlns="76db5712-49ab-4a50-9809-1d005dc21b00">
      <Terms xmlns="http://schemas.microsoft.com/office/infopath/2007/PartnerControls"/>
    </lcf76f155ced4ddcb4097134ff3c332f>
    <DocumentNotes xmlns="db2b92ca-6ed0-4085-802d-4c686a2e8c3f" xsi:nil="true"/>
    <NAPReason xmlns="db2b92ca-6ed0-4085-802d-4c686a2e8c3f" xsi:nil="true"/>
    <_dlc_DocId xmlns="eb44715b-cd74-4c79-92c4-f0e9f1a86440">001037-852103574-3417</_dlc_DocId>
    <_dlc_DocIdUrl xmlns="eb44715b-cd74-4c79-92c4-f0e9f1a86440">
      <Url>https://asiclink.sharepoint.com/teams/001037/_layouts/15/DocIdRedir.aspx?ID=001037-852103574-3417</Url>
      <Description>001037-852103574-3417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f302855-5de3-48f9-83c2-fc1acc0f760b" ContentTypeId="0x010100B5F685A1365F544391EF8C813B164F3A" PreviousValue="false"/>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5CC766CA-CF4D-493D-B4A8-D0FDC8458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76db5712-49ab-4a50-9809-1d005dc21b00"/>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DFC14-FB53-4736-A70F-0EE3003E72F0}">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 ds:uri="eb44715b-cd74-4c79-92c4-f0e9f1a86440"/>
    <ds:schemaRef ds:uri="http://purl.org/dc/dcmitype/"/>
    <ds:schemaRef ds:uri="76db5712-49ab-4a50-9809-1d005dc21b00"/>
    <ds:schemaRef ds:uri="db2b92ca-6ed0-4085-802d-4c686a2e8c3f"/>
    <ds:schemaRef ds:uri="http://www.w3.org/XML/1998/namespace"/>
    <ds:schemaRef ds:uri="http://purl.org/dc/elements/1.1/"/>
  </ds:schemaRefs>
</ds:datastoreItem>
</file>

<file path=customXml/itemProps3.xml><?xml version="1.0" encoding="utf-8"?>
<ds:datastoreItem xmlns:ds="http://schemas.openxmlformats.org/officeDocument/2006/customXml" ds:itemID="{A5EA78C8-B74B-4807-8FAB-484FE66E1761}">
  <ds:schemaRefs>
    <ds:schemaRef ds:uri="http://schemas.microsoft.com/sharepoint/events"/>
  </ds:schemaRefs>
</ds:datastoreItem>
</file>

<file path=customXml/itemProps4.xml><?xml version="1.0" encoding="utf-8"?>
<ds:datastoreItem xmlns:ds="http://schemas.openxmlformats.org/officeDocument/2006/customXml" ds:itemID="{46BD662B-A145-4534-861E-0DB71544C282}">
  <ds:schemaRefs>
    <ds:schemaRef ds:uri="Microsoft.SharePoint.Taxonomy.ContentTypeSync"/>
  </ds:schemaRefs>
</ds:datastoreItem>
</file>

<file path=customXml/itemProps5.xml><?xml version="1.0" encoding="utf-8"?>
<ds:datastoreItem xmlns:ds="http://schemas.openxmlformats.org/officeDocument/2006/customXml" ds:itemID="{B0D8A57A-0235-413C-8562-2953BA8FB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Dillon</dc:creator>
  <cp:keywords/>
  <dc:description/>
  <cp:lastModifiedBy>Narelle Kane</cp:lastModifiedBy>
  <cp:revision>8</cp:revision>
  <dcterms:created xsi:type="dcterms:W3CDTF">2025-09-17T07:10:00Z</dcterms:created>
  <dcterms:modified xsi:type="dcterms:W3CDTF">2025-09-19T06:46:00Z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0x010100B5F685A1365F544391EF8C813B164F3A00B10F71DD95FCF340B199E9CFB6D5A628</vt:lpwstr>
  </property>
  <property fmtid="{D5CDD505-2E9C-101B-9397-08002B2CF9AE}" pid="3" name="MediaServiceImageTags">
    <vt:lpwstr/>
  </property>
  <property fmtid="{D5CDD505-2E9C-101B-9397-08002B2CF9AE}" pid="4" name="SecurityClassification">
    <vt:lpwstr>1;#OFFICIAL - Sensitive|6eccc17f-024b-41b0-b6b1-faf98d2aff85</vt:lpwstr>
  </property>
  <property fmtid="{D5CDD505-2E9C-101B-9397-08002B2CF9AE}" pid="5" name="Project_x0020_Subject_x0020_Matter">
    <vt:lpwstr/>
  </property>
  <property fmtid="{D5CDD505-2E9C-101B-9397-08002B2CF9AE}" pid="6" name="be88c94b67ae4f5686cb52243c3cb97f">
    <vt:lpwstr/>
  </property>
  <property fmtid="{D5CDD505-2E9C-101B-9397-08002B2CF9AE}" pid="7" name="o6f7b05c02124a86ab66ebac6d22533a">
    <vt:lpwstr/>
  </property>
  <property fmtid="{D5CDD505-2E9C-101B-9397-08002B2CF9AE}" pid="8" name="k48e9257605e4fa884546a6d62c7455f">
    <vt:lpwstr/>
  </property>
  <property fmtid="{D5CDD505-2E9C-101B-9397-08002B2CF9AE}" pid="9" name="Corps_x0020_and_x0020_EMR_x0020_Project_x0020_Category">
    <vt:lpwstr/>
  </property>
  <property fmtid="{D5CDD505-2E9C-101B-9397-08002B2CF9AE}" pid="10" name="b3167cad23c140d09ce7c051d06877b5">
    <vt:lpwstr/>
  </property>
  <property fmtid="{D5CDD505-2E9C-101B-9397-08002B2CF9AE}" pid="11" name="Coprs_x0020_and_x0020_EMR_x0020_Project_x0020_Document_x0020_Type">
    <vt:lpwstr/>
  </property>
  <property fmtid="{D5CDD505-2E9C-101B-9397-08002B2CF9AE}" pid="12" name="ProjectName">
    <vt:lpwstr/>
  </property>
  <property fmtid="{D5CDD505-2E9C-101B-9397-08002B2CF9AE}" pid="13" name="Corps and EMR Project Category">
    <vt:lpwstr/>
  </property>
  <property fmtid="{D5CDD505-2E9C-101B-9397-08002B2CF9AE}" pid="14" name="Coprs and EMR Project Document Type">
    <vt:lpwstr/>
  </property>
  <property fmtid="{D5CDD505-2E9C-101B-9397-08002B2CF9AE}" pid="15" name="Project Subject Matter">
    <vt:lpwstr/>
  </property>
  <property fmtid="{D5CDD505-2E9C-101B-9397-08002B2CF9AE}" pid="16" name="_dlc_DocIdItemGuid">
    <vt:lpwstr>daea4821-6b56-43fe-96e2-9a411cfcff04</vt:lpwstr>
  </property>
  <property fmtid="{D5CDD505-2E9C-101B-9397-08002B2CF9AE}" pid="17" name="docLang">
    <vt:lpwstr>en</vt:lpwstr>
  </property>
  <property fmtid="{D5CDD505-2E9C-101B-9397-08002B2CF9AE}" pid="18" name="MSIP_Label_a6aead41-07f8-4767-ac8e-ef1c9c793766_Enabled">
    <vt:lpwstr>true</vt:lpwstr>
  </property>
  <property fmtid="{D5CDD505-2E9C-101B-9397-08002B2CF9AE}" pid="19" name="MSIP_Label_a6aead41-07f8-4767-ac8e-ef1c9c793766_SetDate">
    <vt:lpwstr>2025-09-17T07:10:18Z</vt:lpwstr>
  </property>
  <property fmtid="{D5CDD505-2E9C-101B-9397-08002B2CF9AE}" pid="20" name="MSIP_Label_a6aead41-07f8-4767-ac8e-ef1c9c793766_Method">
    <vt:lpwstr>Standard</vt:lpwstr>
  </property>
  <property fmtid="{D5CDD505-2E9C-101B-9397-08002B2CF9AE}" pid="21" name="MSIP_Label_a6aead41-07f8-4767-ac8e-ef1c9c793766_Name">
    <vt:lpwstr>OFFICIAL</vt:lpwstr>
  </property>
  <property fmtid="{D5CDD505-2E9C-101B-9397-08002B2CF9AE}" pid="22" name="MSIP_Label_a6aead41-07f8-4767-ac8e-ef1c9c793766_SiteId">
    <vt:lpwstr>5f1de7c6-55cd-4bb2-902d-514c78cf10f4</vt:lpwstr>
  </property>
  <property fmtid="{D5CDD505-2E9C-101B-9397-08002B2CF9AE}" pid="23" name="MSIP_Label_a6aead41-07f8-4767-ac8e-ef1c9c793766_ActionId">
    <vt:lpwstr>7660d050-2363-482d-8d00-3415ab6c9da0</vt:lpwstr>
  </property>
  <property fmtid="{D5CDD505-2E9C-101B-9397-08002B2CF9AE}" pid="24" name="MSIP_Label_a6aead41-07f8-4767-ac8e-ef1c9c793766_ContentBits">
    <vt:lpwstr>0</vt:lpwstr>
  </property>
  <property fmtid="{D5CDD505-2E9C-101B-9397-08002B2CF9AE}" pid="25" name="MSIP_Label_a6aead41-07f8-4767-ac8e-ef1c9c793766_Tag">
    <vt:lpwstr>10, 3, 0, 2</vt:lpwstr>
  </property>
</Properties>
</file>