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2F12" w14:textId="2DF6A2D1" w:rsidR="00715914" w:rsidRPr="00DA1A99" w:rsidRDefault="003904F4" w:rsidP="009460DC">
      <w:pPr>
        <w:spacing w:after="600"/>
        <w:rPr>
          <w:sz w:val="28"/>
        </w:rPr>
      </w:pPr>
      <w:r w:rsidRPr="00DA1A99">
        <w:rPr>
          <w:noProof/>
        </w:rPr>
        <w:drawing>
          <wp:inline distT="0" distB="0" distL="0" distR="0" wp14:anchorId="55BD11BD" wp14:editId="49B7DF19">
            <wp:extent cx="3543300" cy="752475"/>
            <wp:effectExtent l="0" t="0" r="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0" cy="752475"/>
                    </a:xfrm>
                    <a:prstGeom prst="rect">
                      <a:avLst/>
                    </a:prstGeom>
                    <a:noFill/>
                    <a:ln>
                      <a:noFill/>
                    </a:ln>
                  </pic:spPr>
                </pic:pic>
              </a:graphicData>
            </a:graphic>
          </wp:inline>
        </w:drawing>
      </w:r>
    </w:p>
    <w:p w14:paraId="45369291" w14:textId="5A8A2604" w:rsidR="00243EC0" w:rsidRPr="00DA1A99" w:rsidRDefault="00447DB4" w:rsidP="003B28C3">
      <w:pPr>
        <w:pStyle w:val="LI-Title"/>
        <w:pBdr>
          <w:bottom w:val="single" w:sz="4" w:space="1" w:color="auto"/>
        </w:pBdr>
      </w:pPr>
      <w:r w:rsidRPr="00DA1A99">
        <w:t>A</w:t>
      </w:r>
      <w:r w:rsidR="00327DDF" w:rsidRPr="00DA1A99">
        <w:t xml:space="preserve">SIC Corporations </w:t>
      </w:r>
      <w:r w:rsidR="00F87530" w:rsidRPr="00DA1A99">
        <w:t>(Foreign Rights Issues</w:t>
      </w:r>
      <w:r w:rsidR="00653CB2" w:rsidRPr="00DA1A99">
        <w:t xml:space="preserve">) Instrument </w:t>
      </w:r>
      <w:r w:rsidR="00F87530" w:rsidRPr="00DA1A99">
        <w:t>2025</w:t>
      </w:r>
      <w:r w:rsidR="00653CB2" w:rsidRPr="00DA1A99">
        <w:t>/</w:t>
      </w:r>
      <w:r w:rsidR="00124BB2" w:rsidRPr="00DA1A99">
        <w:t>611</w:t>
      </w:r>
    </w:p>
    <w:p w14:paraId="59A19406" w14:textId="154BA4D4" w:rsidR="00F171A1" w:rsidRPr="00DA1A99" w:rsidRDefault="00F171A1" w:rsidP="00005446">
      <w:pPr>
        <w:pStyle w:val="LI-Fronttext"/>
        <w:rPr>
          <w:sz w:val="24"/>
          <w:szCs w:val="24"/>
        </w:rPr>
      </w:pPr>
      <w:r w:rsidRPr="00DA1A99">
        <w:rPr>
          <w:sz w:val="24"/>
          <w:szCs w:val="24"/>
        </w:rPr>
        <w:t xml:space="preserve">I, </w:t>
      </w:r>
      <w:r w:rsidR="002F45D4" w:rsidRPr="00DA1A99">
        <w:rPr>
          <w:sz w:val="24"/>
          <w:szCs w:val="24"/>
        </w:rPr>
        <w:t>Amanda Zeller</w:t>
      </w:r>
      <w:r w:rsidR="00C0544A" w:rsidRPr="00DA1A99">
        <w:rPr>
          <w:sz w:val="24"/>
          <w:szCs w:val="24"/>
        </w:rPr>
        <w:t>, delegate of the Australian Securities and Investments Commission</w:t>
      </w:r>
      <w:r w:rsidRPr="00DA1A99">
        <w:rPr>
          <w:sz w:val="24"/>
          <w:szCs w:val="24"/>
        </w:rPr>
        <w:t xml:space="preserve">, make the following </w:t>
      </w:r>
      <w:r w:rsidR="008C0F29" w:rsidRPr="00DA1A99">
        <w:rPr>
          <w:sz w:val="24"/>
          <w:szCs w:val="24"/>
        </w:rPr>
        <w:t>legislative instrument</w:t>
      </w:r>
      <w:r w:rsidRPr="00DA1A99">
        <w:rPr>
          <w:sz w:val="24"/>
          <w:szCs w:val="24"/>
        </w:rPr>
        <w:t>.</w:t>
      </w:r>
    </w:p>
    <w:p w14:paraId="26B891BC" w14:textId="77777777" w:rsidR="003A2A48" w:rsidRPr="00DA1A99" w:rsidRDefault="003A2A48" w:rsidP="00005446">
      <w:pPr>
        <w:pStyle w:val="LI-Fronttext"/>
      </w:pPr>
    </w:p>
    <w:p w14:paraId="11BB8DD3" w14:textId="1FAC2D75" w:rsidR="006554FF" w:rsidRPr="00DA1A99" w:rsidRDefault="00F171A1" w:rsidP="00005446">
      <w:pPr>
        <w:pStyle w:val="LI-Fronttext"/>
        <w:rPr>
          <w:sz w:val="24"/>
          <w:szCs w:val="24"/>
        </w:rPr>
      </w:pPr>
      <w:r w:rsidRPr="00DA1A99">
        <w:rPr>
          <w:sz w:val="24"/>
          <w:szCs w:val="24"/>
        </w:rPr>
        <w:t>Date</w:t>
      </w:r>
      <w:r w:rsidRPr="00DA1A99">
        <w:rPr>
          <w:sz w:val="24"/>
          <w:szCs w:val="24"/>
        </w:rPr>
        <w:tab/>
      </w:r>
      <w:r w:rsidR="00283CAE" w:rsidRPr="00DA1A99">
        <w:rPr>
          <w:sz w:val="24"/>
          <w:szCs w:val="24"/>
        </w:rPr>
        <w:t>1</w:t>
      </w:r>
      <w:r w:rsidR="00336A5D" w:rsidRPr="00DA1A99">
        <w:rPr>
          <w:sz w:val="24"/>
          <w:szCs w:val="24"/>
        </w:rPr>
        <w:t>9</w:t>
      </w:r>
      <w:r w:rsidR="00283CAE" w:rsidRPr="00DA1A99">
        <w:rPr>
          <w:sz w:val="24"/>
          <w:szCs w:val="24"/>
        </w:rPr>
        <w:t xml:space="preserve"> September</w:t>
      </w:r>
      <w:bookmarkStart w:id="0" w:name="BKCheck15B_1"/>
      <w:bookmarkEnd w:id="0"/>
      <w:r w:rsidR="00283CAE" w:rsidRPr="00DA1A99">
        <w:rPr>
          <w:sz w:val="24"/>
          <w:szCs w:val="24"/>
        </w:rPr>
        <w:t xml:space="preserve"> </w:t>
      </w:r>
      <w:r w:rsidR="00CE6D42" w:rsidRPr="00DA1A99">
        <w:rPr>
          <w:sz w:val="24"/>
          <w:szCs w:val="24"/>
        </w:rPr>
        <w:t>20</w:t>
      </w:r>
      <w:r w:rsidR="00E67AEE" w:rsidRPr="00DA1A99">
        <w:rPr>
          <w:sz w:val="24"/>
          <w:szCs w:val="24"/>
        </w:rPr>
        <w:t>2</w:t>
      </w:r>
      <w:r w:rsidR="00B53E8A" w:rsidRPr="00DA1A99">
        <w:rPr>
          <w:sz w:val="24"/>
          <w:szCs w:val="24"/>
        </w:rPr>
        <w:t>5</w:t>
      </w:r>
    </w:p>
    <w:p w14:paraId="26980CCE" w14:textId="2781BD84" w:rsidR="006554FF" w:rsidRPr="00DA1A99" w:rsidRDefault="00E979FD" w:rsidP="00005446">
      <w:pPr>
        <w:pStyle w:val="LI-Fronttext"/>
        <w:rPr>
          <w:sz w:val="24"/>
          <w:szCs w:val="24"/>
        </w:rPr>
      </w:pPr>
      <w:r w:rsidRPr="00DA1A99">
        <w:rPr>
          <w:sz w:val="24"/>
          <w:szCs w:val="24"/>
        </w:rPr>
        <w:br/>
      </w:r>
    </w:p>
    <w:p w14:paraId="32300E4F" w14:textId="2E65335E" w:rsidR="00F171A1" w:rsidRPr="00BB5C17" w:rsidRDefault="002F45D4" w:rsidP="00465DC1">
      <w:pPr>
        <w:pStyle w:val="LI-Fronttext"/>
        <w:pBdr>
          <w:bottom w:val="single" w:sz="4" w:space="1" w:color="auto"/>
        </w:pBdr>
        <w:rPr>
          <w:sz w:val="24"/>
          <w:szCs w:val="24"/>
        </w:rPr>
      </w:pPr>
      <w:r w:rsidRPr="00DA1A99">
        <w:rPr>
          <w:sz w:val="24"/>
          <w:szCs w:val="24"/>
        </w:rPr>
        <w:t>Amanda Zeller</w:t>
      </w:r>
    </w:p>
    <w:p w14:paraId="78A1AD82" w14:textId="77777777" w:rsidR="00715914" w:rsidRPr="00F61B09" w:rsidRDefault="00715914" w:rsidP="00715914">
      <w:pPr>
        <w:pStyle w:val="Header"/>
        <w:tabs>
          <w:tab w:val="clear" w:pos="4150"/>
          <w:tab w:val="clear" w:pos="8307"/>
        </w:tabs>
      </w:pPr>
    </w:p>
    <w:p w14:paraId="6D8A58FF" w14:textId="77777777" w:rsidR="00715914" w:rsidRPr="00F61B09" w:rsidRDefault="00715914" w:rsidP="00715914">
      <w:pPr>
        <w:sectPr w:rsidR="00715914" w:rsidRPr="00F61B09" w:rsidSect="008945E0">
          <w:headerReference w:type="even" r:id="rId15"/>
          <w:headerReference w:type="default" r:id="rId16"/>
          <w:footerReference w:type="even" r:id="rId17"/>
          <w:footerReference w:type="default" r:id="rId18"/>
          <w:headerReference w:type="first" r:id="rId19"/>
          <w:footerReference w:type="first" r:id="rId20"/>
          <w:pgSz w:w="11907" w:h="16839"/>
          <w:pgMar w:top="1440" w:right="1797" w:bottom="1440" w:left="1797" w:header="720" w:footer="709" w:gutter="0"/>
          <w:cols w:space="708"/>
          <w:titlePg/>
          <w:docGrid w:linePitch="360"/>
        </w:sectPr>
      </w:pPr>
    </w:p>
    <w:p w14:paraId="6F8529BE" w14:textId="77777777" w:rsidR="00F67BCA" w:rsidRPr="00F61B09" w:rsidRDefault="00715914" w:rsidP="00E2168B">
      <w:pPr>
        <w:spacing w:before="280" w:after="240"/>
        <w:rPr>
          <w:sz w:val="36"/>
        </w:rPr>
      </w:pPr>
      <w:r w:rsidRPr="006E5320">
        <w:rPr>
          <w:b/>
          <w:sz w:val="32"/>
          <w:szCs w:val="32"/>
        </w:rPr>
        <w:lastRenderedPageBreak/>
        <w:t>Contents</w:t>
      </w:r>
    </w:p>
    <w:p w14:paraId="1456FB7A" w14:textId="62959E7C" w:rsidR="00555185" w:rsidRPr="00CD36A8" w:rsidRDefault="00555185">
      <w:pPr>
        <w:pStyle w:val="TOC1"/>
        <w:rPr>
          <w:rFonts w:asciiTheme="minorHAnsi" w:eastAsiaTheme="minorEastAsia" w:hAnsiTheme="minorHAnsi" w:cstheme="minorBidi"/>
          <w:b w:val="0"/>
          <w:noProof/>
          <w:kern w:val="2"/>
          <w:szCs w:val="24"/>
          <w14:ligatures w14:val="standardContextual"/>
        </w:rPr>
      </w:pPr>
      <w:bookmarkStart w:id="1" w:name="BKCheck15B_2"/>
      <w:bookmarkEnd w:id="1"/>
      <w:r w:rsidRPr="00CD36A8">
        <w:rPr>
          <w:rStyle w:val="Hyperlink"/>
          <w:noProof/>
          <w:color w:val="auto"/>
          <w:u w:val="none"/>
        </w:rPr>
        <w:t>Part 1—Preliminary</w:t>
      </w:r>
      <w:r w:rsidRPr="00CD36A8">
        <w:rPr>
          <w:noProof/>
          <w:webHidden/>
        </w:rPr>
        <w:tab/>
        <w:t>3</w:t>
      </w:r>
    </w:p>
    <w:p w14:paraId="67FA2759" w14:textId="21F361D7" w:rsidR="00555185" w:rsidRPr="00CD36A8" w:rsidRDefault="00555185">
      <w:pPr>
        <w:pStyle w:val="TOC2"/>
        <w:tabs>
          <w:tab w:val="left" w:pos="1474"/>
        </w:tabs>
        <w:rPr>
          <w:rFonts w:asciiTheme="minorHAnsi" w:eastAsiaTheme="minorEastAsia" w:hAnsiTheme="minorHAnsi" w:cstheme="minorBidi"/>
          <w:noProof/>
          <w:kern w:val="2"/>
          <w:szCs w:val="24"/>
          <w14:ligatures w14:val="standardContextual"/>
        </w:rPr>
      </w:pPr>
      <w:r w:rsidRPr="00CD36A8">
        <w:rPr>
          <w:rStyle w:val="Hyperlink"/>
          <w:noProof/>
          <w:color w:val="auto"/>
          <w:u w:val="none"/>
        </w:rPr>
        <w:t>1</w:t>
      </w:r>
      <w:r w:rsidRPr="00CD36A8">
        <w:rPr>
          <w:rFonts w:asciiTheme="minorHAnsi" w:eastAsiaTheme="minorEastAsia" w:hAnsiTheme="minorHAnsi" w:cstheme="minorBidi"/>
          <w:noProof/>
          <w:kern w:val="2"/>
          <w:szCs w:val="24"/>
          <w14:ligatures w14:val="standardContextual"/>
        </w:rPr>
        <w:tab/>
      </w:r>
      <w:r w:rsidRPr="00CD36A8">
        <w:rPr>
          <w:rStyle w:val="Hyperlink"/>
          <w:noProof/>
          <w:color w:val="auto"/>
          <w:u w:val="none"/>
        </w:rPr>
        <w:t>Name of legislative instrument</w:t>
      </w:r>
      <w:r w:rsidRPr="00CD36A8">
        <w:rPr>
          <w:noProof/>
          <w:webHidden/>
        </w:rPr>
        <w:tab/>
        <w:t>3</w:t>
      </w:r>
    </w:p>
    <w:p w14:paraId="02C46BBC" w14:textId="185A2CE8" w:rsidR="00555185" w:rsidRPr="00CD36A8" w:rsidRDefault="00555185">
      <w:pPr>
        <w:pStyle w:val="TOC2"/>
        <w:tabs>
          <w:tab w:val="left" w:pos="1474"/>
        </w:tabs>
        <w:rPr>
          <w:rFonts w:asciiTheme="minorHAnsi" w:eastAsiaTheme="minorEastAsia" w:hAnsiTheme="minorHAnsi" w:cstheme="minorBidi"/>
          <w:noProof/>
          <w:kern w:val="2"/>
          <w:szCs w:val="24"/>
          <w14:ligatures w14:val="standardContextual"/>
        </w:rPr>
      </w:pPr>
      <w:r w:rsidRPr="00CD36A8">
        <w:rPr>
          <w:rStyle w:val="Hyperlink"/>
          <w:noProof/>
          <w:color w:val="auto"/>
          <w:u w:val="none"/>
        </w:rPr>
        <w:t>2</w:t>
      </w:r>
      <w:r w:rsidRPr="00CD36A8">
        <w:rPr>
          <w:rFonts w:asciiTheme="minorHAnsi" w:eastAsiaTheme="minorEastAsia" w:hAnsiTheme="minorHAnsi" w:cstheme="minorBidi"/>
          <w:noProof/>
          <w:kern w:val="2"/>
          <w:szCs w:val="24"/>
          <w14:ligatures w14:val="standardContextual"/>
        </w:rPr>
        <w:tab/>
      </w:r>
      <w:r w:rsidRPr="00CD36A8">
        <w:rPr>
          <w:rStyle w:val="Hyperlink"/>
          <w:noProof/>
          <w:color w:val="auto"/>
          <w:u w:val="none"/>
        </w:rPr>
        <w:t>Commencement</w:t>
      </w:r>
      <w:r w:rsidRPr="00CD36A8">
        <w:rPr>
          <w:noProof/>
          <w:webHidden/>
        </w:rPr>
        <w:tab/>
        <w:t>3</w:t>
      </w:r>
    </w:p>
    <w:p w14:paraId="4465BC13" w14:textId="7A1C691D" w:rsidR="00555185" w:rsidRPr="00CD36A8" w:rsidRDefault="00555185">
      <w:pPr>
        <w:pStyle w:val="TOC2"/>
        <w:tabs>
          <w:tab w:val="left" w:pos="1474"/>
        </w:tabs>
        <w:rPr>
          <w:rFonts w:asciiTheme="minorHAnsi" w:eastAsiaTheme="minorEastAsia" w:hAnsiTheme="minorHAnsi" w:cstheme="minorBidi"/>
          <w:noProof/>
          <w:kern w:val="2"/>
          <w:szCs w:val="24"/>
          <w14:ligatures w14:val="standardContextual"/>
        </w:rPr>
      </w:pPr>
      <w:r w:rsidRPr="00CD36A8">
        <w:rPr>
          <w:rStyle w:val="Hyperlink"/>
          <w:noProof/>
          <w:color w:val="auto"/>
          <w:u w:val="none"/>
        </w:rPr>
        <w:t>3</w:t>
      </w:r>
      <w:r w:rsidRPr="00CD36A8">
        <w:rPr>
          <w:rFonts w:asciiTheme="minorHAnsi" w:eastAsiaTheme="minorEastAsia" w:hAnsiTheme="minorHAnsi" w:cstheme="minorBidi"/>
          <w:noProof/>
          <w:kern w:val="2"/>
          <w:szCs w:val="24"/>
          <w14:ligatures w14:val="standardContextual"/>
        </w:rPr>
        <w:tab/>
      </w:r>
      <w:r w:rsidRPr="00CD36A8">
        <w:rPr>
          <w:rStyle w:val="Hyperlink"/>
          <w:noProof/>
          <w:color w:val="auto"/>
          <w:u w:val="none"/>
        </w:rPr>
        <w:t>Authority</w:t>
      </w:r>
      <w:r w:rsidRPr="00CD36A8">
        <w:rPr>
          <w:noProof/>
          <w:webHidden/>
        </w:rPr>
        <w:tab/>
        <w:t>3</w:t>
      </w:r>
    </w:p>
    <w:p w14:paraId="0DED0843" w14:textId="52838518" w:rsidR="00555185" w:rsidRPr="00CD36A8" w:rsidRDefault="00555185">
      <w:pPr>
        <w:pStyle w:val="TOC2"/>
        <w:tabs>
          <w:tab w:val="left" w:pos="1474"/>
        </w:tabs>
        <w:rPr>
          <w:rFonts w:asciiTheme="minorHAnsi" w:eastAsiaTheme="minorEastAsia" w:hAnsiTheme="minorHAnsi" w:cstheme="minorBidi"/>
          <w:noProof/>
          <w:kern w:val="2"/>
          <w:szCs w:val="24"/>
          <w14:ligatures w14:val="standardContextual"/>
        </w:rPr>
      </w:pPr>
      <w:r w:rsidRPr="00CD36A8">
        <w:rPr>
          <w:rStyle w:val="Hyperlink"/>
          <w:noProof/>
          <w:color w:val="auto"/>
          <w:u w:val="none"/>
        </w:rPr>
        <w:t>4</w:t>
      </w:r>
      <w:r w:rsidRPr="00CD36A8">
        <w:rPr>
          <w:rFonts w:asciiTheme="minorHAnsi" w:eastAsiaTheme="minorEastAsia" w:hAnsiTheme="minorHAnsi" w:cstheme="minorBidi"/>
          <w:noProof/>
          <w:kern w:val="2"/>
          <w:szCs w:val="24"/>
          <w14:ligatures w14:val="standardContextual"/>
        </w:rPr>
        <w:tab/>
      </w:r>
      <w:r w:rsidRPr="00CD36A8">
        <w:rPr>
          <w:rStyle w:val="Hyperlink"/>
          <w:noProof/>
          <w:color w:val="auto"/>
          <w:u w:val="none"/>
        </w:rPr>
        <w:t>Definitions</w:t>
      </w:r>
      <w:r w:rsidRPr="00CD36A8">
        <w:rPr>
          <w:noProof/>
          <w:webHidden/>
        </w:rPr>
        <w:tab/>
        <w:t>3</w:t>
      </w:r>
    </w:p>
    <w:p w14:paraId="5962B746" w14:textId="30D4AD5D" w:rsidR="00555185" w:rsidRPr="00CD36A8" w:rsidRDefault="00555185">
      <w:pPr>
        <w:pStyle w:val="TOC1"/>
        <w:rPr>
          <w:rFonts w:asciiTheme="minorHAnsi" w:eastAsiaTheme="minorEastAsia" w:hAnsiTheme="minorHAnsi" w:cstheme="minorBidi"/>
          <w:b w:val="0"/>
          <w:noProof/>
          <w:kern w:val="2"/>
          <w:szCs w:val="24"/>
          <w14:ligatures w14:val="standardContextual"/>
        </w:rPr>
      </w:pPr>
      <w:r w:rsidRPr="00CD36A8">
        <w:rPr>
          <w:rStyle w:val="Hyperlink"/>
          <w:noProof/>
          <w:color w:val="auto"/>
          <w:u w:val="none"/>
        </w:rPr>
        <w:t>Part 2—Exemption</w:t>
      </w:r>
      <w:r w:rsidRPr="00CD36A8">
        <w:rPr>
          <w:noProof/>
          <w:webHidden/>
        </w:rPr>
        <w:tab/>
        <w:t>6</w:t>
      </w:r>
    </w:p>
    <w:p w14:paraId="3B1DD677" w14:textId="5000808C" w:rsidR="00555185" w:rsidRPr="00CD36A8" w:rsidRDefault="00555185">
      <w:pPr>
        <w:pStyle w:val="TOC2"/>
        <w:tabs>
          <w:tab w:val="left" w:pos="1474"/>
        </w:tabs>
        <w:rPr>
          <w:rFonts w:asciiTheme="minorHAnsi" w:eastAsiaTheme="minorEastAsia" w:hAnsiTheme="minorHAnsi" w:cstheme="minorBidi"/>
          <w:noProof/>
          <w:kern w:val="2"/>
          <w:szCs w:val="24"/>
          <w14:ligatures w14:val="standardContextual"/>
        </w:rPr>
      </w:pPr>
      <w:r w:rsidRPr="00CD36A8">
        <w:rPr>
          <w:rStyle w:val="Hyperlink"/>
          <w:noProof/>
          <w:color w:val="auto"/>
          <w:u w:val="none"/>
        </w:rPr>
        <w:t>5</w:t>
      </w:r>
      <w:r w:rsidRPr="00CD36A8">
        <w:rPr>
          <w:rFonts w:asciiTheme="minorHAnsi" w:eastAsiaTheme="minorEastAsia" w:hAnsiTheme="minorHAnsi" w:cstheme="minorBidi"/>
          <w:noProof/>
          <w:kern w:val="2"/>
          <w:szCs w:val="24"/>
          <w14:ligatures w14:val="standardContextual"/>
        </w:rPr>
        <w:tab/>
      </w:r>
      <w:r w:rsidRPr="00CD36A8">
        <w:rPr>
          <w:rStyle w:val="Hyperlink"/>
          <w:noProof/>
          <w:color w:val="auto"/>
          <w:u w:val="none"/>
        </w:rPr>
        <w:t>Disclosure relief for rights issues of foreign securities</w:t>
      </w:r>
      <w:r w:rsidRPr="00CD36A8">
        <w:rPr>
          <w:noProof/>
          <w:webHidden/>
        </w:rPr>
        <w:tab/>
        <w:t>6</w:t>
      </w:r>
    </w:p>
    <w:p w14:paraId="02B96B80" w14:textId="3B2C00E9" w:rsidR="00555185" w:rsidRPr="00CD36A8" w:rsidRDefault="00555185">
      <w:pPr>
        <w:pStyle w:val="TOC1"/>
        <w:rPr>
          <w:rFonts w:asciiTheme="minorHAnsi" w:eastAsiaTheme="minorEastAsia" w:hAnsiTheme="minorHAnsi" w:cstheme="minorBidi"/>
          <w:b w:val="0"/>
          <w:noProof/>
          <w:kern w:val="2"/>
          <w:szCs w:val="24"/>
          <w14:ligatures w14:val="standardContextual"/>
        </w:rPr>
      </w:pPr>
      <w:r w:rsidRPr="00CD36A8">
        <w:rPr>
          <w:rStyle w:val="Hyperlink"/>
          <w:noProof/>
          <w:color w:val="auto"/>
          <w:u w:val="none"/>
        </w:rPr>
        <w:t>Part 3—Repeal</w:t>
      </w:r>
      <w:r w:rsidRPr="00CD36A8">
        <w:rPr>
          <w:noProof/>
          <w:webHidden/>
        </w:rPr>
        <w:tab/>
        <w:t>7</w:t>
      </w:r>
    </w:p>
    <w:p w14:paraId="1E5DBFEE" w14:textId="2DB0507B" w:rsidR="00555185" w:rsidRPr="00CD36A8" w:rsidRDefault="00555185">
      <w:pPr>
        <w:pStyle w:val="TOC2"/>
        <w:tabs>
          <w:tab w:val="left" w:pos="1474"/>
        </w:tabs>
        <w:rPr>
          <w:rFonts w:asciiTheme="minorHAnsi" w:eastAsiaTheme="minorEastAsia" w:hAnsiTheme="minorHAnsi" w:cstheme="minorBidi"/>
          <w:noProof/>
          <w:kern w:val="2"/>
          <w:szCs w:val="24"/>
          <w14:ligatures w14:val="standardContextual"/>
        </w:rPr>
      </w:pPr>
      <w:r w:rsidRPr="00CD36A8">
        <w:rPr>
          <w:rStyle w:val="Hyperlink"/>
          <w:noProof/>
          <w:color w:val="auto"/>
          <w:u w:val="none"/>
        </w:rPr>
        <w:t>6</w:t>
      </w:r>
      <w:r w:rsidRPr="00CD36A8">
        <w:rPr>
          <w:rFonts w:asciiTheme="minorHAnsi" w:eastAsiaTheme="minorEastAsia" w:hAnsiTheme="minorHAnsi" w:cstheme="minorBidi"/>
          <w:noProof/>
          <w:kern w:val="2"/>
          <w:szCs w:val="24"/>
          <w14:ligatures w14:val="standardContextual"/>
        </w:rPr>
        <w:tab/>
      </w:r>
      <w:r w:rsidRPr="00CD36A8">
        <w:rPr>
          <w:rStyle w:val="Hyperlink"/>
          <w:noProof/>
          <w:color w:val="auto"/>
          <w:u w:val="none"/>
        </w:rPr>
        <w:t>Repeal</w:t>
      </w:r>
      <w:r w:rsidRPr="00CD36A8">
        <w:rPr>
          <w:noProof/>
          <w:webHidden/>
        </w:rPr>
        <w:tab/>
        <w:t>7</w:t>
      </w:r>
    </w:p>
    <w:p w14:paraId="34C1D0AC" w14:textId="24B583FF" w:rsidR="00670EA1" w:rsidRPr="00F61B09" w:rsidRDefault="00670EA1" w:rsidP="00715914"/>
    <w:p w14:paraId="0A6F21F1" w14:textId="77777777" w:rsidR="00670EA1" w:rsidRPr="00F61B09" w:rsidRDefault="00670EA1" w:rsidP="00715914">
      <w:pPr>
        <w:sectPr w:rsidR="00670EA1" w:rsidRPr="00F61B09" w:rsidSect="00F4215A">
          <w:headerReference w:type="even" r:id="rId21"/>
          <w:headerReference w:type="default" r:id="rId22"/>
          <w:footerReference w:type="even" r:id="rId23"/>
          <w:footerReference w:type="default" r:id="rId24"/>
          <w:headerReference w:type="first" r:id="rId25"/>
          <w:pgSz w:w="11907" w:h="16839"/>
          <w:pgMar w:top="1098" w:right="1797" w:bottom="1440" w:left="1797" w:header="720" w:footer="709" w:gutter="0"/>
          <w:pgNumType w:fmt="lowerRoman"/>
          <w:cols w:space="708"/>
          <w:docGrid w:linePitch="360"/>
        </w:sectPr>
      </w:pPr>
    </w:p>
    <w:p w14:paraId="6475CAA7" w14:textId="77777777" w:rsidR="00FA31DE" w:rsidRPr="00F61B09" w:rsidRDefault="00FA31DE" w:rsidP="006554FF">
      <w:pPr>
        <w:pStyle w:val="LI-Heading1"/>
      </w:pPr>
      <w:bookmarkStart w:id="2" w:name="BK_S3P1L1C1"/>
      <w:bookmarkStart w:id="3" w:name="_Toc209107439"/>
      <w:bookmarkEnd w:id="2"/>
      <w:r w:rsidRPr="006554FF">
        <w:lastRenderedPageBreak/>
        <w:t>Part</w:t>
      </w:r>
      <w:r w:rsidR="00F61B09" w:rsidRPr="006554FF">
        <w:t> </w:t>
      </w:r>
      <w:r w:rsidRPr="006E5320">
        <w:t>1</w:t>
      </w:r>
      <w:r w:rsidRPr="00F61B09">
        <w:t>—</w:t>
      </w:r>
      <w:r w:rsidRPr="00005446">
        <w:t>Preliminary</w:t>
      </w:r>
      <w:bookmarkEnd w:id="3"/>
    </w:p>
    <w:p w14:paraId="15EC5A0A" w14:textId="7C8641CF" w:rsidR="00FA31DE" w:rsidRDefault="00FA31DE" w:rsidP="00C11452">
      <w:pPr>
        <w:pStyle w:val="LI-Heading2"/>
        <w:rPr>
          <w:szCs w:val="24"/>
        </w:rPr>
      </w:pPr>
      <w:bookmarkStart w:id="4" w:name="_Toc209107440"/>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r w:rsidR="008F7B27">
        <w:rPr>
          <w:szCs w:val="24"/>
        </w:rPr>
        <w:t xml:space="preserve"> </w:t>
      </w:r>
    </w:p>
    <w:p w14:paraId="2746DE4B" w14:textId="29ECA634" w:rsidR="00FA31DE" w:rsidRDefault="00FA31DE" w:rsidP="00005446">
      <w:pPr>
        <w:pStyle w:val="LI-BodyTextUnnumbered"/>
        <w:rPr>
          <w:szCs w:val="24"/>
        </w:rPr>
      </w:pPr>
      <w:r w:rsidRPr="008C0F29">
        <w:rPr>
          <w:szCs w:val="24"/>
        </w:rPr>
        <w:t xml:space="preserve">This </w:t>
      </w:r>
      <w:r w:rsidR="008C0F29" w:rsidRPr="008C0F29">
        <w:rPr>
          <w:szCs w:val="24"/>
        </w:rPr>
        <w:t>is</w:t>
      </w:r>
      <w:r w:rsidR="009D195A">
        <w:rPr>
          <w:szCs w:val="24"/>
        </w:rPr>
        <w:t xml:space="preserve"> the</w:t>
      </w:r>
      <w:r w:rsidR="008C0F29" w:rsidRPr="008C0F29">
        <w:rPr>
          <w:szCs w:val="24"/>
        </w:rPr>
        <w:t xml:space="preserve"> </w:t>
      </w:r>
      <w:r w:rsidR="008C0F29" w:rsidRPr="008C0F29">
        <w:rPr>
          <w:i/>
          <w:szCs w:val="24"/>
        </w:rPr>
        <w:t>A</w:t>
      </w:r>
      <w:r w:rsidR="00327DDF">
        <w:rPr>
          <w:i/>
          <w:szCs w:val="24"/>
        </w:rPr>
        <w:t xml:space="preserve">SIC Corporations </w:t>
      </w:r>
      <w:r w:rsidR="00790574">
        <w:rPr>
          <w:i/>
          <w:szCs w:val="24"/>
        </w:rPr>
        <w:t>(Foreign Rights Issues</w:t>
      </w:r>
      <w:r w:rsidR="00C11452" w:rsidRPr="005D3D41">
        <w:rPr>
          <w:i/>
          <w:szCs w:val="24"/>
        </w:rPr>
        <w:t xml:space="preserve">) Instrument </w:t>
      </w:r>
      <w:r w:rsidR="00790574">
        <w:rPr>
          <w:i/>
          <w:szCs w:val="24"/>
        </w:rPr>
        <w:t>2025</w:t>
      </w:r>
      <w:r w:rsidR="00FD13CC">
        <w:rPr>
          <w:i/>
          <w:szCs w:val="24"/>
        </w:rPr>
        <w:t>/</w:t>
      </w:r>
      <w:r w:rsidR="00124BB2">
        <w:rPr>
          <w:i/>
          <w:szCs w:val="24"/>
        </w:rPr>
        <w:t>611</w:t>
      </w:r>
      <w:r w:rsidRPr="005D3D41">
        <w:rPr>
          <w:szCs w:val="24"/>
        </w:rPr>
        <w:t>.</w:t>
      </w:r>
    </w:p>
    <w:p w14:paraId="64CAA09C" w14:textId="77777777" w:rsidR="00FA31DE" w:rsidRPr="008C0F29" w:rsidRDefault="00FA31DE" w:rsidP="00C11452">
      <w:pPr>
        <w:pStyle w:val="LI-Heading2"/>
        <w:rPr>
          <w:szCs w:val="24"/>
        </w:rPr>
      </w:pPr>
      <w:bookmarkStart w:id="5" w:name="_Toc209107441"/>
      <w:r w:rsidRPr="008C0F29">
        <w:rPr>
          <w:szCs w:val="24"/>
        </w:rPr>
        <w:t>2</w:t>
      </w:r>
      <w:r w:rsidR="00FC3EB8">
        <w:rPr>
          <w:szCs w:val="24"/>
        </w:rPr>
        <w:tab/>
      </w:r>
      <w:r w:rsidRPr="008C0F29">
        <w:rPr>
          <w:szCs w:val="24"/>
        </w:rPr>
        <w:t>Commencement</w:t>
      </w:r>
      <w:bookmarkEnd w:id="5"/>
    </w:p>
    <w:p w14:paraId="4C8077CF" w14:textId="77777777"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on the day </w:t>
      </w:r>
      <w:r w:rsidR="004823C0">
        <w:rPr>
          <w:szCs w:val="24"/>
        </w:rPr>
        <w:t xml:space="preserve">after it is </w:t>
      </w:r>
      <w:r w:rsidR="0077506D">
        <w:rPr>
          <w:szCs w:val="24"/>
        </w:rPr>
        <w:t>registered on</w:t>
      </w:r>
      <w:r w:rsidR="004823C0">
        <w:rPr>
          <w:szCs w:val="24"/>
        </w:rPr>
        <w:t xml:space="preserve"> the Federal Register of Legislati</w:t>
      </w:r>
      <w:r w:rsidR="001F02B1">
        <w:rPr>
          <w:szCs w:val="24"/>
        </w:rPr>
        <w:t>on</w:t>
      </w:r>
      <w:r w:rsidRPr="008C0F29">
        <w:rPr>
          <w:szCs w:val="24"/>
        </w:rPr>
        <w:t>.</w:t>
      </w:r>
    </w:p>
    <w:p w14:paraId="778112B1" w14:textId="3B61E04B" w:rsidR="00FA31DE" w:rsidRDefault="00FA31DE" w:rsidP="00572BB1">
      <w:pPr>
        <w:pStyle w:val="LI-BodyTextNote"/>
      </w:pPr>
      <w:r w:rsidRPr="00F61B09">
        <w:t>Note:</w:t>
      </w:r>
      <w:r w:rsidRPr="00F61B09">
        <w:tab/>
      </w:r>
      <w:r w:rsidR="004823C0">
        <w:t xml:space="preserve">The register </w:t>
      </w:r>
      <w:r w:rsidR="004823C0" w:rsidRPr="00572BB1">
        <w:t xml:space="preserve">may </w:t>
      </w:r>
      <w:r w:rsidR="004823C0">
        <w:t xml:space="preserve">be accessed at </w:t>
      </w:r>
      <w:r w:rsidR="00F047D8" w:rsidRPr="00567761">
        <w:t>www.legislation.gov.au</w:t>
      </w:r>
      <w:r w:rsidR="004823C0">
        <w:t>.</w:t>
      </w:r>
    </w:p>
    <w:p w14:paraId="2DB70FFB" w14:textId="77777777" w:rsidR="00FA31DE" w:rsidRPr="008C0F29" w:rsidRDefault="00FA31DE" w:rsidP="00EC4757">
      <w:pPr>
        <w:pStyle w:val="LI-Heading2"/>
        <w:spacing w:before="240"/>
        <w:rPr>
          <w:szCs w:val="24"/>
        </w:rPr>
      </w:pPr>
      <w:bookmarkStart w:id="6" w:name="_Toc209107442"/>
      <w:r w:rsidRPr="008C0F29">
        <w:rPr>
          <w:szCs w:val="24"/>
        </w:rPr>
        <w:t>3</w:t>
      </w:r>
      <w:r w:rsidR="00FC3EB8">
        <w:rPr>
          <w:szCs w:val="24"/>
        </w:rPr>
        <w:tab/>
      </w:r>
      <w:r w:rsidRPr="008C0F29">
        <w:rPr>
          <w:szCs w:val="24"/>
        </w:rPr>
        <w:t>Authority</w:t>
      </w:r>
      <w:bookmarkEnd w:id="6"/>
    </w:p>
    <w:p w14:paraId="62ECD770" w14:textId="5F5B4527"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is made under</w:t>
      </w:r>
      <w:r w:rsidR="00D222CB">
        <w:rPr>
          <w:szCs w:val="24"/>
        </w:rPr>
        <w:t xml:space="preserve"> </w:t>
      </w:r>
      <w:r w:rsidR="00BB71EF">
        <w:rPr>
          <w:szCs w:val="24"/>
        </w:rPr>
        <w:t xml:space="preserve">subsection </w:t>
      </w:r>
      <w:r w:rsidR="00790574">
        <w:rPr>
          <w:szCs w:val="24"/>
        </w:rPr>
        <w:t>741</w:t>
      </w:r>
      <w:r w:rsidR="00885EBF">
        <w:rPr>
          <w:szCs w:val="24"/>
        </w:rPr>
        <w:t>(1)</w:t>
      </w:r>
      <w:r w:rsidR="00790574">
        <w:rPr>
          <w:szCs w:val="24"/>
        </w:rPr>
        <w:t xml:space="preserve"> of the </w:t>
      </w:r>
      <w:r w:rsidR="00790574">
        <w:rPr>
          <w:i/>
          <w:iCs/>
          <w:szCs w:val="24"/>
        </w:rPr>
        <w:t>Corporations Act 2001</w:t>
      </w:r>
      <w:r w:rsidRPr="008C0F29">
        <w:rPr>
          <w:szCs w:val="24"/>
        </w:rPr>
        <w:t>.</w:t>
      </w:r>
    </w:p>
    <w:p w14:paraId="3311D9ED" w14:textId="77777777" w:rsidR="00FA31DE" w:rsidRPr="00BB5C17" w:rsidRDefault="008C0F29" w:rsidP="00EC4757">
      <w:pPr>
        <w:pStyle w:val="LI-Heading2"/>
        <w:spacing w:before="240"/>
        <w:rPr>
          <w:szCs w:val="24"/>
        </w:rPr>
      </w:pPr>
      <w:bookmarkStart w:id="7" w:name="_Toc209107443"/>
      <w:r w:rsidRPr="00BB5C17">
        <w:rPr>
          <w:szCs w:val="24"/>
        </w:rPr>
        <w:t>4</w:t>
      </w:r>
      <w:r w:rsidR="00FC3EB8">
        <w:rPr>
          <w:szCs w:val="24"/>
        </w:rPr>
        <w:tab/>
      </w:r>
      <w:r w:rsidR="00FA31DE" w:rsidRPr="00BB5C17">
        <w:rPr>
          <w:szCs w:val="24"/>
        </w:rPr>
        <w:t>Definitions</w:t>
      </w:r>
      <w:bookmarkEnd w:id="7"/>
    </w:p>
    <w:p w14:paraId="4EE224B3"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54A6CB6E" w14:textId="6EBA65C3" w:rsidR="00702EFD" w:rsidRDefault="00702EFD" w:rsidP="00005446">
      <w:pPr>
        <w:pStyle w:val="LI-BodyTextUnnumbered"/>
      </w:pPr>
      <w:r>
        <w:rPr>
          <w:b/>
          <w:i/>
        </w:rPr>
        <w:t>Act</w:t>
      </w:r>
      <w:r w:rsidRPr="00E85A91">
        <w:t xml:space="preserve"> means</w:t>
      </w:r>
      <w:r>
        <w:t xml:space="preserve"> the </w:t>
      </w:r>
      <w:r w:rsidR="00411EEE">
        <w:rPr>
          <w:i/>
        </w:rPr>
        <w:t>Corporations Act 2001</w:t>
      </w:r>
      <w:r>
        <w:t xml:space="preserve">. </w:t>
      </w:r>
    </w:p>
    <w:p w14:paraId="31824B67" w14:textId="4037EA02" w:rsidR="00B83CAC" w:rsidRDefault="00B83CAC" w:rsidP="00B83CAC">
      <w:pPr>
        <w:pStyle w:val="LI-BodyTextNumbered"/>
        <w:ind w:firstLine="0"/>
      </w:pPr>
      <w:r w:rsidRPr="00852553">
        <w:rPr>
          <w:b/>
          <w:i/>
        </w:rPr>
        <w:t>approved foreign market</w:t>
      </w:r>
      <w:r>
        <w:t xml:space="preserve"> has the meaning given by section 9 of the Act.</w:t>
      </w:r>
    </w:p>
    <w:p w14:paraId="1E9F222C" w14:textId="3389543E" w:rsidR="001F74BB" w:rsidRPr="000579E4" w:rsidRDefault="001F74BB" w:rsidP="00C45006">
      <w:pPr>
        <w:pStyle w:val="LI-BodyTextNumbered"/>
        <w:ind w:left="1701"/>
        <w:rPr>
          <w:sz w:val="18"/>
          <w:szCs w:val="18"/>
        </w:rPr>
      </w:pPr>
      <w:r w:rsidRPr="000579E4">
        <w:rPr>
          <w:sz w:val="18"/>
          <w:szCs w:val="18"/>
        </w:rPr>
        <w:t>Note:</w:t>
      </w:r>
      <w:r w:rsidR="00435846" w:rsidRPr="000579E4">
        <w:rPr>
          <w:sz w:val="18"/>
          <w:szCs w:val="18"/>
        </w:rPr>
        <w:t xml:space="preserve"> </w:t>
      </w:r>
      <w:r w:rsidR="0066742F">
        <w:rPr>
          <w:sz w:val="18"/>
          <w:szCs w:val="18"/>
        </w:rPr>
        <w:tab/>
      </w:r>
      <w:r w:rsidRPr="000579E4">
        <w:rPr>
          <w:sz w:val="18"/>
          <w:szCs w:val="18"/>
        </w:rPr>
        <w:t xml:space="preserve">The definition of </w:t>
      </w:r>
      <w:r w:rsidRPr="000579E4">
        <w:rPr>
          <w:b/>
          <w:i/>
          <w:sz w:val="18"/>
          <w:szCs w:val="18"/>
        </w:rPr>
        <w:t>approved foreign market</w:t>
      </w:r>
      <w:r w:rsidRPr="000579E4">
        <w:rPr>
          <w:sz w:val="18"/>
          <w:szCs w:val="18"/>
        </w:rPr>
        <w:t xml:space="preserve"> is notionally inserted by</w:t>
      </w:r>
      <w:r w:rsidR="00946306">
        <w:rPr>
          <w:sz w:val="18"/>
          <w:szCs w:val="18"/>
        </w:rPr>
        <w:t xml:space="preserve"> </w:t>
      </w:r>
      <w:r w:rsidRPr="000579E4">
        <w:rPr>
          <w:i/>
          <w:sz w:val="18"/>
          <w:szCs w:val="18"/>
        </w:rPr>
        <w:t>ASIC Corporations (Definition of Approved Foreign Market)</w:t>
      </w:r>
      <w:r w:rsidR="00946306">
        <w:rPr>
          <w:i/>
          <w:sz w:val="18"/>
          <w:szCs w:val="18"/>
        </w:rPr>
        <w:t xml:space="preserve"> </w:t>
      </w:r>
      <w:r w:rsidRPr="000579E4">
        <w:rPr>
          <w:i/>
          <w:sz w:val="18"/>
          <w:szCs w:val="18"/>
        </w:rPr>
        <w:t>Instrument 2017/669</w:t>
      </w:r>
      <w:r w:rsidRPr="000579E4">
        <w:rPr>
          <w:sz w:val="18"/>
          <w:szCs w:val="18"/>
        </w:rPr>
        <w:t>.</w:t>
      </w:r>
    </w:p>
    <w:p w14:paraId="59BDAB1E" w14:textId="77777777" w:rsidR="008370B6" w:rsidRDefault="008370B6" w:rsidP="00FA2F30">
      <w:pPr>
        <w:pStyle w:val="LI-BodyTextNumbered"/>
        <w:ind w:firstLine="0"/>
      </w:pPr>
      <w:r>
        <w:rPr>
          <w:b/>
          <w:i/>
          <w:lang w:val="en-US"/>
        </w:rPr>
        <w:t>Australian offeree</w:t>
      </w:r>
      <w:r>
        <w:rPr>
          <w:lang w:val="en-US"/>
        </w:rPr>
        <w:t xml:space="preserve"> means an offeree who receives an offer of securities under a pro-rata offer or shortfall offer in this</w:t>
      </w:r>
      <w:r>
        <w:t xml:space="preserve"> jurisdiction.</w:t>
      </w:r>
    </w:p>
    <w:p w14:paraId="151C142C" w14:textId="77777777" w:rsidR="00136DDE" w:rsidRDefault="00136DDE" w:rsidP="00136DDE">
      <w:pPr>
        <w:pStyle w:val="LI-BodyTextUnnumbered"/>
      </w:pPr>
      <w:r>
        <w:rPr>
          <w:b/>
          <w:i/>
        </w:rPr>
        <w:t>Australian resident</w:t>
      </w:r>
      <w:r>
        <w:t>, in relation to a pro-rata offer or shortfall offer of a foreign company, means:</w:t>
      </w:r>
    </w:p>
    <w:p w14:paraId="713E9AFF" w14:textId="77777777" w:rsidR="00136DDE" w:rsidRDefault="00136DDE" w:rsidP="00136DDE">
      <w:pPr>
        <w:pStyle w:val="LI-BodyTextUnnumbered"/>
        <w:ind w:left="1701" w:hanging="567"/>
      </w:pPr>
      <w:r>
        <w:t>(a)</w:t>
      </w:r>
      <w:r>
        <w:tab/>
        <w:t>a beneficial owner of securities in the offer class whose address:</w:t>
      </w:r>
    </w:p>
    <w:p w14:paraId="09CD1FA0" w14:textId="77777777" w:rsidR="00136DDE" w:rsidRDefault="00136DDE" w:rsidP="00136DDE">
      <w:pPr>
        <w:pStyle w:val="LI-BodyTextUnnumbered"/>
        <w:ind w:left="2268" w:hanging="567"/>
      </w:pPr>
      <w:r>
        <w:t>(i)</w:t>
      </w:r>
      <w:r>
        <w:tab/>
        <w:t>as included in publicly available reports of beneficial ownership that have been given to:</w:t>
      </w:r>
    </w:p>
    <w:p w14:paraId="1D4301B0" w14:textId="77777777" w:rsidR="00136DDE" w:rsidRDefault="00136DDE" w:rsidP="00136DDE">
      <w:pPr>
        <w:pStyle w:val="LI-BodyTextUnnumbered"/>
        <w:ind w:left="2835" w:hanging="567"/>
      </w:pPr>
      <w:r>
        <w:t>(A)</w:t>
      </w:r>
      <w:r>
        <w:tab/>
        <w:t>an agency of a government or other body that performs regulatory functions under the laws of:</w:t>
      </w:r>
    </w:p>
    <w:p w14:paraId="2EA47822" w14:textId="77777777" w:rsidR="00136DDE" w:rsidRDefault="00136DDE" w:rsidP="00136DDE">
      <w:pPr>
        <w:pStyle w:val="LI-BodyTextUnnumbered"/>
        <w:ind w:left="3402" w:hanging="567"/>
      </w:pPr>
      <w:r>
        <w:t>(I)</w:t>
      </w:r>
      <w:r>
        <w:tab/>
        <w:t>the place of origin of the foreign company; or</w:t>
      </w:r>
    </w:p>
    <w:p w14:paraId="76A176DB" w14:textId="77777777" w:rsidR="00136DDE" w:rsidRDefault="00136DDE" w:rsidP="00136DDE">
      <w:pPr>
        <w:pStyle w:val="LI-BodyTextUnnumbered"/>
        <w:ind w:left="3402" w:hanging="567"/>
      </w:pPr>
      <w:r>
        <w:t>(II)</w:t>
      </w:r>
      <w:r>
        <w:tab/>
        <w:t>the jurisdiction of an approved foreign market on which the securities in the offer class are quoted; or</w:t>
      </w:r>
    </w:p>
    <w:p w14:paraId="2B59ACD7" w14:textId="77777777" w:rsidR="00136DDE" w:rsidRDefault="00136DDE" w:rsidP="00136DDE">
      <w:pPr>
        <w:pStyle w:val="LI-BodyTextUnnumbered"/>
        <w:ind w:left="2835" w:hanging="567"/>
      </w:pPr>
      <w:r>
        <w:lastRenderedPageBreak/>
        <w:t>(B)</w:t>
      </w:r>
      <w:r>
        <w:tab/>
        <w:t>a market operator of an approved foreign market on which the securities in the offer class are quoted; or</w:t>
      </w:r>
    </w:p>
    <w:p w14:paraId="2A48828F" w14:textId="77777777" w:rsidR="00136DDE" w:rsidRDefault="00136DDE" w:rsidP="00136DDE">
      <w:pPr>
        <w:pStyle w:val="LI-BodyTextUnnumbered"/>
        <w:ind w:left="2268" w:hanging="567"/>
      </w:pPr>
      <w:r>
        <w:t>(ii)</w:t>
      </w:r>
      <w:r>
        <w:tab/>
        <w:t>as otherwise known to the foreign company,</w:t>
      </w:r>
    </w:p>
    <w:p w14:paraId="3AC5623E" w14:textId="77777777" w:rsidR="00136DDE" w:rsidRDefault="00136DDE" w:rsidP="00136DDE">
      <w:pPr>
        <w:pStyle w:val="LI-BodyTextUnnumbered"/>
        <w:ind w:left="1701"/>
      </w:pPr>
      <w:r>
        <w:t>is in this jurisdiction; or</w:t>
      </w:r>
    </w:p>
    <w:p w14:paraId="4156CA80" w14:textId="77777777" w:rsidR="00136DDE" w:rsidRDefault="00136DDE" w:rsidP="00136DDE">
      <w:pPr>
        <w:pStyle w:val="LI-BodyTextUnnumbered"/>
        <w:ind w:left="1701" w:hanging="567"/>
      </w:pPr>
      <w:r>
        <w:t>(b)</w:t>
      </w:r>
      <w:r>
        <w:tab/>
        <w:t>if the address of a beneficial owner of securities in the offer class is not included in such publicly available reports or otherwise known to the foreign company—a holder of securities in the offer class whose address, as recorded in the relevant register of members, is in this jurisdiction.</w:t>
      </w:r>
    </w:p>
    <w:p w14:paraId="5C883807" w14:textId="77777777" w:rsidR="000D1A0F" w:rsidRDefault="000D1A0F" w:rsidP="000D1A0F">
      <w:pPr>
        <w:pStyle w:val="LI-BodyTextUnnumbered"/>
      </w:pPr>
      <w:r>
        <w:rPr>
          <w:b/>
          <w:i/>
        </w:rPr>
        <w:t>foreign regulatory requirements</w:t>
      </w:r>
      <w:r>
        <w:t xml:space="preserve"> </w:t>
      </w:r>
      <w:proofErr w:type="gramStart"/>
      <w:r>
        <w:t>means</w:t>
      </w:r>
      <w:proofErr w:type="gramEnd"/>
      <w:r>
        <w:t xml:space="preserve"> the laws or other rules (however described) that apply to the pro-rata offer or the shortfall offer in the primary foreign jurisdiction as in force at the date of the offer.</w:t>
      </w:r>
    </w:p>
    <w:p w14:paraId="70DA59E1" w14:textId="77777777" w:rsidR="000D1A0F" w:rsidRDefault="000D1A0F" w:rsidP="000D1A0F">
      <w:pPr>
        <w:pStyle w:val="LI-BodyTextUnnumbered"/>
      </w:pPr>
      <w:r>
        <w:rPr>
          <w:b/>
          <w:i/>
        </w:rPr>
        <w:t>offer class</w:t>
      </w:r>
      <w:r>
        <w:t xml:space="preserve"> means the class of securities to which offers of securities under a pro-rata offer relates.</w:t>
      </w:r>
    </w:p>
    <w:p w14:paraId="720527D3" w14:textId="77777777" w:rsidR="00DD787F" w:rsidRDefault="00DD787F" w:rsidP="00DD787F">
      <w:pPr>
        <w:pStyle w:val="LI-BodyTextUnnumbered"/>
      </w:pPr>
      <w:r>
        <w:rPr>
          <w:b/>
          <w:i/>
        </w:rPr>
        <w:t>primary foreign jurisdiction</w:t>
      </w:r>
      <w:r>
        <w:t xml:space="preserve"> means:</w:t>
      </w:r>
    </w:p>
    <w:p w14:paraId="4AD5B519" w14:textId="77777777" w:rsidR="00DD787F" w:rsidRDefault="00DD787F" w:rsidP="00DD787F">
      <w:pPr>
        <w:pStyle w:val="LI-BodyTextUnnumbered"/>
        <w:ind w:left="1701" w:hanging="567"/>
      </w:pPr>
      <w:r>
        <w:t>(a)</w:t>
      </w:r>
      <w:r>
        <w:tab/>
        <w:t>the place of the approved foreign market on which the securities in the offer class are quoted; or</w:t>
      </w:r>
    </w:p>
    <w:p w14:paraId="03916C35" w14:textId="77777777" w:rsidR="00DD787F" w:rsidRDefault="00DD787F" w:rsidP="00DD787F">
      <w:pPr>
        <w:pStyle w:val="LI-BodyTextUnnumbered"/>
        <w:ind w:left="1701" w:hanging="567"/>
      </w:pPr>
      <w:r>
        <w:t>(b)</w:t>
      </w:r>
      <w:r>
        <w:tab/>
        <w:t>if securities in the offer class are quoted on more than one approved foreign market—the place of the approved foreign market where it is reasonably expected that the largest numbers of offers will be received under the pro-rata offer.</w:t>
      </w:r>
    </w:p>
    <w:p w14:paraId="7CF0E4D9" w14:textId="77777777" w:rsidR="00DD787F" w:rsidRDefault="00DD787F" w:rsidP="00DD787F">
      <w:pPr>
        <w:pStyle w:val="LI-BodyTextUnnumbered"/>
      </w:pPr>
      <w:r>
        <w:rPr>
          <w:b/>
          <w:i/>
        </w:rPr>
        <w:t>pro-rata offer</w:t>
      </w:r>
      <w:r>
        <w:t xml:space="preserve"> means an offer of securities that is made to every person who holds securities in a particular class to issue them, or their assignee, with the percentage of the securities to be issued that is the same as the percentage of the securities in the class that they hold before the offer but disregarding:</w:t>
      </w:r>
    </w:p>
    <w:p w14:paraId="4088507E" w14:textId="77777777" w:rsidR="00DD787F" w:rsidRDefault="00DD787F" w:rsidP="00DD787F">
      <w:pPr>
        <w:pStyle w:val="LI-BodyTextUnnumbered"/>
        <w:ind w:left="1701" w:hanging="567"/>
      </w:pPr>
      <w:r>
        <w:t>(a)</w:t>
      </w:r>
      <w:r>
        <w:tab/>
        <w:t>the rounding up or down of the number of securities offered to that holder to a whole number; and</w:t>
      </w:r>
    </w:p>
    <w:p w14:paraId="4884CEC2" w14:textId="77777777" w:rsidR="00DD787F" w:rsidRDefault="00DD787F" w:rsidP="00DD787F">
      <w:pPr>
        <w:pStyle w:val="LI-BodyTextUnnumbered"/>
        <w:ind w:left="1701" w:hanging="567"/>
      </w:pPr>
      <w:r>
        <w:t>(b)</w:t>
      </w:r>
      <w:r>
        <w:tab/>
        <w:t>the fact that the offer is not made to holders in relation to whom, under the foreign regulatory requirements, offers do not have to be made.</w:t>
      </w:r>
    </w:p>
    <w:p w14:paraId="650D23F4" w14:textId="77777777" w:rsidR="00187DAB" w:rsidRDefault="00187DAB" w:rsidP="00187DAB">
      <w:pPr>
        <w:pStyle w:val="LI-BodyTextUnnumbered"/>
      </w:pPr>
      <w:r>
        <w:rPr>
          <w:b/>
          <w:i/>
        </w:rPr>
        <w:t>shortfall offer</w:t>
      </w:r>
      <w:r>
        <w:t>, in relation to a pro-rata offer, means an offer of securities in the same class as the offer class where:</w:t>
      </w:r>
    </w:p>
    <w:p w14:paraId="44292214" w14:textId="77777777" w:rsidR="00187DAB" w:rsidRDefault="00187DAB" w:rsidP="00187DAB">
      <w:pPr>
        <w:pStyle w:val="LI-BodyTextUnnumbered"/>
        <w:ind w:left="1701" w:hanging="567"/>
      </w:pPr>
      <w:r>
        <w:t>(a)</w:t>
      </w:r>
      <w:r>
        <w:tab/>
        <w:t>the offer is made to persons to whom offers were made under the pro-rata offer; and</w:t>
      </w:r>
    </w:p>
    <w:p w14:paraId="790D3C51" w14:textId="77777777" w:rsidR="00187DAB" w:rsidRDefault="00187DAB" w:rsidP="00187DAB">
      <w:pPr>
        <w:pStyle w:val="LI-BodyTextUnnumbered"/>
        <w:ind w:left="1701" w:hanging="567"/>
      </w:pPr>
      <w:r>
        <w:t>(b)</w:t>
      </w:r>
      <w:r>
        <w:tab/>
        <w:t>the offer is made no later than 2 months after the first offer is made under the pro-rata offer; and</w:t>
      </w:r>
    </w:p>
    <w:p w14:paraId="0BCFF494" w14:textId="77777777" w:rsidR="00187DAB" w:rsidRDefault="00187DAB" w:rsidP="00187DAB">
      <w:pPr>
        <w:pStyle w:val="LI-BodyTextUnnumbered"/>
        <w:ind w:left="1701" w:hanging="567"/>
      </w:pPr>
      <w:r>
        <w:lastRenderedPageBreak/>
        <w:t>(c)</w:t>
      </w:r>
      <w:r>
        <w:tab/>
        <w:t>either:</w:t>
      </w:r>
    </w:p>
    <w:p w14:paraId="43E67CB3" w14:textId="77777777" w:rsidR="00187DAB" w:rsidRDefault="00187DAB" w:rsidP="00187DAB">
      <w:pPr>
        <w:pStyle w:val="LI-BodyTextUnnumbered"/>
        <w:ind w:left="2268" w:hanging="567"/>
      </w:pPr>
      <w:r>
        <w:t>(i)</w:t>
      </w:r>
      <w:r>
        <w:tab/>
        <w:t xml:space="preserve">the securities had first been offered to, but not accepted by, a person under the pro-rata </w:t>
      </w:r>
      <w:proofErr w:type="gramStart"/>
      <w:r>
        <w:t>offer</w:t>
      </w:r>
      <w:proofErr w:type="gramEnd"/>
      <w:r>
        <w:t>; or</w:t>
      </w:r>
    </w:p>
    <w:p w14:paraId="7C4ABBEF" w14:textId="77777777" w:rsidR="00187DAB" w:rsidRDefault="00187DAB" w:rsidP="00187DAB">
      <w:pPr>
        <w:pStyle w:val="LI-BodyTextUnnumbered"/>
        <w:ind w:left="2268" w:hanging="567"/>
      </w:pPr>
      <w:r>
        <w:t>(ii)</w:t>
      </w:r>
      <w:r>
        <w:tab/>
        <w:t>the offer is made on the condition that the securities to which the offer relates may only be issued to the person where an offer of securities has first been made to, but not accepted by, another person under the pro-rata offer.</w:t>
      </w:r>
    </w:p>
    <w:p w14:paraId="2427F01C" w14:textId="29A997E9" w:rsidR="0040053F" w:rsidRDefault="0040053F" w:rsidP="00FC3EB8">
      <w:pPr>
        <w:pStyle w:val="LI-BodyTextParaa"/>
        <w:sectPr w:rsidR="0040053F" w:rsidSect="007D230B">
          <w:headerReference w:type="even" r:id="rId26"/>
          <w:headerReference w:type="default" r:id="rId27"/>
          <w:footerReference w:type="even" r:id="rId28"/>
          <w:headerReference w:type="first" r:id="rId29"/>
          <w:footerReference w:type="first" r:id="rId30"/>
          <w:pgSz w:w="11907" w:h="16839" w:code="9"/>
          <w:pgMar w:top="1534" w:right="1797" w:bottom="1440" w:left="1797" w:header="720" w:footer="709" w:gutter="0"/>
          <w:cols w:space="708"/>
          <w:docGrid w:linePitch="360"/>
        </w:sectPr>
      </w:pPr>
    </w:p>
    <w:p w14:paraId="2B3325C2" w14:textId="77777777" w:rsidR="00FA31DE" w:rsidRPr="00F61B09" w:rsidRDefault="00FA31DE" w:rsidP="00015719">
      <w:pPr>
        <w:pStyle w:val="LI-Heading1"/>
        <w:ind w:left="1138" w:hanging="1138"/>
      </w:pPr>
      <w:bookmarkStart w:id="8" w:name="_Toc209107444"/>
      <w:r w:rsidRPr="006554FF">
        <w:lastRenderedPageBreak/>
        <w:t>Part</w:t>
      </w:r>
      <w:r w:rsidR="005D0489" w:rsidRPr="006554FF">
        <w:t xml:space="preserve"> </w:t>
      </w:r>
      <w:r w:rsidR="005D0489" w:rsidRPr="006E5320">
        <w:t>2</w:t>
      </w:r>
      <w:r w:rsidRPr="00F61B09">
        <w:t>—Exemption</w:t>
      </w:r>
      <w:bookmarkEnd w:id="8"/>
    </w:p>
    <w:p w14:paraId="45874DD6" w14:textId="606F0D93" w:rsidR="00313C62" w:rsidRDefault="00FC3EB8" w:rsidP="00313C62">
      <w:pPr>
        <w:pStyle w:val="LI-Heading2"/>
      </w:pPr>
      <w:bookmarkStart w:id="9" w:name="_Toc209107445"/>
      <w:r>
        <w:t>5</w:t>
      </w:r>
      <w:r>
        <w:tab/>
      </w:r>
      <w:r w:rsidR="00F25291">
        <w:t>Disclosure relief for rights issues of foreign securities</w:t>
      </w:r>
      <w:bookmarkEnd w:id="9"/>
    </w:p>
    <w:p w14:paraId="13FDBAAD" w14:textId="5394508F" w:rsidR="00DA77BC" w:rsidRPr="00B7340A" w:rsidRDefault="00251D5A" w:rsidP="00B4005A">
      <w:pPr>
        <w:pStyle w:val="LI-BodyTextNumbered"/>
      </w:pPr>
      <w:r>
        <w:t>(1)</w:t>
      </w:r>
      <w:r>
        <w:tab/>
      </w:r>
      <w:r w:rsidR="00B4005A">
        <w:t>A foreign company that makes a pro-rata offer or shortfall offer of securities that the company reasonably believes is made in accordance with foreign regulatory requirements does not have to comply with Part 6D.2 or 6D.3 of the Act in relation to the pro-rata offer or shortfall offer.</w:t>
      </w:r>
    </w:p>
    <w:p w14:paraId="0FD7C403" w14:textId="3671A943" w:rsidR="00B4005A" w:rsidRDefault="00B4005A" w:rsidP="00B4005A">
      <w:pPr>
        <w:pStyle w:val="LI-BodyTextNumbered"/>
      </w:pPr>
      <w:r>
        <w:t>(2)</w:t>
      </w:r>
      <w:r>
        <w:tab/>
        <w:t xml:space="preserve">A person that makes a </w:t>
      </w:r>
      <w:r w:rsidRPr="00AA7747">
        <w:t>sale offer</w:t>
      </w:r>
      <w:r>
        <w:t xml:space="preserve"> of securities within 12 months after the issue of the securities under a pro-rata offer or shortfall offer does not have to comply with Part 6D.2 or 6D.3 of the Act in relation to the sale offer.</w:t>
      </w:r>
    </w:p>
    <w:p w14:paraId="19EB87FA" w14:textId="600A5085" w:rsidR="00571280" w:rsidRDefault="00571280" w:rsidP="00571280">
      <w:pPr>
        <w:pStyle w:val="LI-BodyTextNumbered"/>
      </w:pPr>
      <w:r>
        <w:rPr>
          <w:lang w:val="en-US"/>
        </w:rPr>
        <w:t>(3)</w:t>
      </w:r>
      <w:r>
        <w:rPr>
          <w:lang w:val="en-US"/>
        </w:rPr>
        <w:tab/>
        <w:t xml:space="preserve">The exemptions in subsections (1) and (2) </w:t>
      </w:r>
      <w:r w:rsidR="0057183A">
        <w:rPr>
          <w:lang w:val="en-US"/>
        </w:rPr>
        <w:t>are only available</w:t>
      </w:r>
      <w:r w:rsidR="00A11C54">
        <w:rPr>
          <w:lang w:val="en-US"/>
        </w:rPr>
        <w:t xml:space="preserve"> </w:t>
      </w:r>
      <w:r>
        <w:rPr>
          <w:lang w:val="en-US"/>
        </w:rPr>
        <w:t xml:space="preserve">where </w:t>
      </w:r>
      <w:proofErr w:type="gramStart"/>
      <w:r>
        <w:rPr>
          <w:lang w:val="en-US"/>
        </w:rPr>
        <w:t>all of</w:t>
      </w:r>
      <w:proofErr w:type="gramEnd"/>
      <w:r>
        <w:rPr>
          <w:lang w:val="en-US"/>
        </w:rPr>
        <w:t xml:space="preserve"> the following are satisfied in relation to the pro-rata offer or shortfall offer:</w:t>
      </w:r>
    </w:p>
    <w:p w14:paraId="7BCC42EE" w14:textId="77777777" w:rsidR="00571280" w:rsidRDefault="00571280" w:rsidP="00571280">
      <w:pPr>
        <w:pStyle w:val="LI-BodyTextNumbered"/>
        <w:ind w:left="1701"/>
        <w:rPr>
          <w:lang w:val="en-US"/>
        </w:rPr>
      </w:pPr>
      <w:r>
        <w:rPr>
          <w:lang w:val="en-US"/>
        </w:rPr>
        <w:t>(a)</w:t>
      </w:r>
      <w:r>
        <w:rPr>
          <w:lang w:val="en-US"/>
        </w:rPr>
        <w:tab/>
        <w:t xml:space="preserve">the terms of each offer made to an Australian offeree are no less favourable than those extended to other </w:t>
      </w:r>
      <w:proofErr w:type="gramStart"/>
      <w:r>
        <w:rPr>
          <w:lang w:val="en-US"/>
        </w:rPr>
        <w:t>offerees;</w:t>
      </w:r>
      <w:proofErr w:type="gramEnd"/>
    </w:p>
    <w:p w14:paraId="66309EBE" w14:textId="14307C46" w:rsidR="00571280" w:rsidRDefault="00571280" w:rsidP="00571280">
      <w:pPr>
        <w:pStyle w:val="LI-BodyTextNumbered"/>
        <w:ind w:left="1701"/>
        <w:rPr>
          <w:lang w:val="en-US"/>
        </w:rPr>
      </w:pPr>
      <w:r>
        <w:rPr>
          <w:lang w:val="en-US"/>
        </w:rPr>
        <w:t>(b)</w:t>
      </w:r>
      <w:r>
        <w:rPr>
          <w:lang w:val="en-US"/>
        </w:rPr>
        <w:tab/>
        <w:t xml:space="preserve">the number of securities offered to Australian residents is no more than 10% of the number of securities offered to all </w:t>
      </w:r>
      <w:proofErr w:type="gramStart"/>
      <w:r>
        <w:rPr>
          <w:lang w:val="en-US"/>
        </w:rPr>
        <w:t>offerees;</w:t>
      </w:r>
      <w:proofErr w:type="gramEnd"/>
    </w:p>
    <w:p w14:paraId="7246C9A5" w14:textId="77777777" w:rsidR="00571280" w:rsidRDefault="00571280" w:rsidP="00571280">
      <w:pPr>
        <w:pStyle w:val="LI-BodyTextNumbered"/>
        <w:ind w:left="1701"/>
        <w:rPr>
          <w:lang w:val="en-US"/>
        </w:rPr>
      </w:pPr>
      <w:r>
        <w:rPr>
          <w:lang w:val="en-US"/>
        </w:rPr>
        <w:t>(c)</w:t>
      </w:r>
      <w:r>
        <w:rPr>
          <w:lang w:val="en-US"/>
        </w:rPr>
        <w:tab/>
        <w:t xml:space="preserve">the securities to which the offer relates are </w:t>
      </w:r>
      <w:r w:rsidRPr="00CC08FC">
        <w:rPr>
          <w:lang w:val="en-US"/>
        </w:rPr>
        <w:t xml:space="preserve">in a class of securities that were </w:t>
      </w:r>
      <w:proofErr w:type="gramStart"/>
      <w:r w:rsidRPr="00CC08FC">
        <w:rPr>
          <w:lang w:val="en-US"/>
        </w:rPr>
        <w:t>quoted on an approved foreign market at all times</w:t>
      </w:r>
      <w:proofErr w:type="gramEnd"/>
      <w:r>
        <w:rPr>
          <w:lang w:val="en-US"/>
        </w:rPr>
        <w:t xml:space="preserve"> in the 3 months before the day the offer is </w:t>
      </w:r>
      <w:proofErr w:type="gramStart"/>
      <w:r>
        <w:rPr>
          <w:lang w:val="en-US"/>
        </w:rPr>
        <w:t>made;</w:t>
      </w:r>
      <w:proofErr w:type="gramEnd"/>
    </w:p>
    <w:p w14:paraId="20B2AAFE" w14:textId="77777777" w:rsidR="00571280" w:rsidRDefault="00571280" w:rsidP="00571280">
      <w:pPr>
        <w:pStyle w:val="LI-BodyTextNumbered"/>
        <w:ind w:left="1701"/>
        <w:rPr>
          <w:lang w:val="en-US"/>
        </w:rPr>
      </w:pPr>
      <w:r>
        <w:rPr>
          <w:lang w:val="en-US"/>
        </w:rPr>
        <w:t>(d)</w:t>
      </w:r>
      <w:r>
        <w:rPr>
          <w:lang w:val="en-US"/>
        </w:rPr>
        <w:tab/>
        <w:t xml:space="preserve">trading in that class of securities </w:t>
      </w:r>
      <w:proofErr w:type="gramStart"/>
      <w:r>
        <w:rPr>
          <w:lang w:val="en-US"/>
        </w:rPr>
        <w:t>on</w:t>
      </w:r>
      <w:proofErr w:type="gramEnd"/>
      <w:r>
        <w:rPr>
          <w:lang w:val="en-US"/>
        </w:rPr>
        <w:t xml:space="preserve"> the foreign market was not suspended for more than a total of 5 days during the </w:t>
      </w:r>
      <w:proofErr w:type="gramStart"/>
      <w:r>
        <w:rPr>
          <w:lang w:val="en-US"/>
        </w:rPr>
        <w:t>shorter of the following</w:t>
      </w:r>
      <w:proofErr w:type="gramEnd"/>
      <w:r>
        <w:rPr>
          <w:lang w:val="en-US"/>
        </w:rPr>
        <w:t xml:space="preserve"> periods:</w:t>
      </w:r>
    </w:p>
    <w:p w14:paraId="0156830E" w14:textId="77777777" w:rsidR="00571280" w:rsidRDefault="00571280" w:rsidP="00571280">
      <w:pPr>
        <w:pStyle w:val="LI-BodyTextNumbered"/>
        <w:ind w:left="2268"/>
        <w:rPr>
          <w:lang w:val="en-US"/>
        </w:rPr>
      </w:pPr>
      <w:r>
        <w:rPr>
          <w:lang w:val="en-US"/>
        </w:rPr>
        <w:t>(i)</w:t>
      </w:r>
      <w:r>
        <w:rPr>
          <w:lang w:val="en-US"/>
        </w:rPr>
        <w:tab/>
        <w:t xml:space="preserve">the period during which the class of </w:t>
      </w:r>
      <w:proofErr w:type="gramStart"/>
      <w:r>
        <w:rPr>
          <w:lang w:val="en-US"/>
        </w:rPr>
        <w:t>securities</w:t>
      </w:r>
      <w:proofErr w:type="gramEnd"/>
      <w:r>
        <w:rPr>
          <w:lang w:val="en-US"/>
        </w:rPr>
        <w:t xml:space="preserve"> is </w:t>
      </w:r>
      <w:proofErr w:type="gramStart"/>
      <w:r>
        <w:rPr>
          <w:lang w:val="en-US"/>
        </w:rPr>
        <w:t>quoted;</w:t>
      </w:r>
      <w:proofErr w:type="gramEnd"/>
    </w:p>
    <w:p w14:paraId="6EEE6D13" w14:textId="77777777" w:rsidR="00571280" w:rsidRDefault="00571280" w:rsidP="00571280">
      <w:pPr>
        <w:pStyle w:val="LI-BodyTextNumbered"/>
        <w:ind w:left="2268"/>
        <w:rPr>
          <w:lang w:val="en-US"/>
        </w:rPr>
      </w:pPr>
      <w:r>
        <w:rPr>
          <w:lang w:val="en-US"/>
        </w:rPr>
        <w:t>(ii)</w:t>
      </w:r>
      <w:r>
        <w:rPr>
          <w:lang w:val="en-US"/>
        </w:rPr>
        <w:tab/>
        <w:t xml:space="preserve">the period of 12 months before the day on which the offer is </w:t>
      </w:r>
      <w:proofErr w:type="gramStart"/>
      <w:r>
        <w:rPr>
          <w:lang w:val="en-US"/>
        </w:rPr>
        <w:t>made;</w:t>
      </w:r>
      <w:proofErr w:type="gramEnd"/>
    </w:p>
    <w:p w14:paraId="4BDB6C90" w14:textId="77777777" w:rsidR="00571280" w:rsidRDefault="00571280" w:rsidP="00571280">
      <w:pPr>
        <w:pStyle w:val="LI-BodyTextNumbered"/>
        <w:ind w:left="1701"/>
        <w:rPr>
          <w:lang w:val="en-US"/>
        </w:rPr>
      </w:pPr>
      <w:r>
        <w:rPr>
          <w:lang w:val="en-US"/>
        </w:rPr>
        <w:t>(e)</w:t>
      </w:r>
      <w:r>
        <w:rPr>
          <w:lang w:val="en-US"/>
        </w:rPr>
        <w:tab/>
        <w:t>the disclosure relating to the offer that is given or made available to Australian offerees:</w:t>
      </w:r>
    </w:p>
    <w:p w14:paraId="3BE09CAA" w14:textId="77777777" w:rsidR="00571280" w:rsidRDefault="00571280" w:rsidP="00571280">
      <w:pPr>
        <w:pStyle w:val="LI-BodyTextNumbered"/>
        <w:ind w:left="2268"/>
        <w:rPr>
          <w:lang w:val="en-US"/>
        </w:rPr>
      </w:pPr>
      <w:r>
        <w:rPr>
          <w:lang w:val="en-US"/>
        </w:rPr>
        <w:t>(i)</w:t>
      </w:r>
      <w:r>
        <w:rPr>
          <w:lang w:val="en-US"/>
        </w:rPr>
        <w:tab/>
        <w:t>is the same as the disclosure that is given or made available to an offeree located in the primary foreign jurisdiction; and</w:t>
      </w:r>
    </w:p>
    <w:p w14:paraId="32E7031F" w14:textId="77777777" w:rsidR="00571280" w:rsidRDefault="00571280" w:rsidP="00571280">
      <w:pPr>
        <w:pStyle w:val="LI-BodyTextNumbered"/>
        <w:ind w:left="2268"/>
        <w:rPr>
          <w:lang w:val="en-US"/>
        </w:rPr>
      </w:pPr>
      <w:r>
        <w:rPr>
          <w:lang w:val="en-US"/>
        </w:rPr>
        <w:t>(ii)</w:t>
      </w:r>
      <w:r>
        <w:rPr>
          <w:lang w:val="en-US"/>
        </w:rPr>
        <w:tab/>
        <w:t>is in English if an English version of the disclosure is available; and</w:t>
      </w:r>
    </w:p>
    <w:p w14:paraId="636F7C2C" w14:textId="77777777" w:rsidR="00571280" w:rsidRDefault="00571280" w:rsidP="00571280">
      <w:pPr>
        <w:pStyle w:val="LI-BodyTextNumbered"/>
        <w:ind w:left="2268"/>
      </w:pPr>
      <w:r>
        <w:rPr>
          <w:lang w:val="en-US"/>
        </w:rPr>
        <w:t>(iii)</w:t>
      </w:r>
      <w:r>
        <w:rPr>
          <w:lang w:val="en-US"/>
        </w:rPr>
        <w:tab/>
        <w:t>is given or made available at or before the time the offer is made.</w:t>
      </w:r>
    </w:p>
    <w:p w14:paraId="21A3E39F" w14:textId="467F66C9" w:rsidR="008C330E" w:rsidRDefault="008C330E" w:rsidP="008C330E">
      <w:pPr>
        <w:pStyle w:val="LI-Heading1"/>
      </w:pPr>
      <w:bookmarkStart w:id="10" w:name="_Toc209107446"/>
      <w:r w:rsidRPr="006E5320">
        <w:lastRenderedPageBreak/>
        <w:t>Part </w:t>
      </w:r>
      <w:r w:rsidR="00A41EE3">
        <w:t>3</w:t>
      </w:r>
      <w:r w:rsidRPr="006554FF">
        <w:t>—</w:t>
      </w:r>
      <w:r>
        <w:t>Repeal</w:t>
      </w:r>
      <w:bookmarkEnd w:id="10"/>
    </w:p>
    <w:p w14:paraId="27601D8F" w14:textId="5BE70249" w:rsidR="008C330E" w:rsidRPr="008C330E" w:rsidRDefault="00A41EE3" w:rsidP="008C330E">
      <w:pPr>
        <w:pStyle w:val="LI-Heading2"/>
      </w:pPr>
      <w:bookmarkStart w:id="11" w:name="_Toc209107447"/>
      <w:r>
        <w:t>6</w:t>
      </w:r>
      <w:r w:rsidR="008C330E">
        <w:tab/>
        <w:t>Repeal</w:t>
      </w:r>
      <w:bookmarkEnd w:id="11"/>
    </w:p>
    <w:p w14:paraId="2D5AC5C6" w14:textId="39BA806D" w:rsidR="008C330E" w:rsidRDefault="008C330E" w:rsidP="008C330E">
      <w:pPr>
        <w:pStyle w:val="LI-BodyTextNumbered"/>
        <w:ind w:firstLine="0"/>
      </w:pPr>
      <w:r>
        <w:rPr>
          <w:shd w:val="clear" w:color="auto" w:fill="FFFFFF"/>
        </w:rPr>
        <w:t xml:space="preserve">This instrument is </w:t>
      </w:r>
      <w:r w:rsidRPr="00FE4DD2">
        <w:t>repealed</w:t>
      </w:r>
      <w:r>
        <w:rPr>
          <w:shd w:val="clear" w:color="auto" w:fill="FFFFFF"/>
        </w:rPr>
        <w:t xml:space="preserve"> at the start of </w:t>
      </w:r>
      <w:r w:rsidR="00CD7DA5">
        <w:rPr>
          <w:shd w:val="clear" w:color="auto" w:fill="FFFFFF"/>
        </w:rPr>
        <w:t>1 October 2030</w:t>
      </w:r>
      <w:r>
        <w:rPr>
          <w:shd w:val="clear" w:color="auto" w:fill="FFFFFF"/>
        </w:rPr>
        <w:t>.</w:t>
      </w:r>
    </w:p>
    <w:p w14:paraId="0E621A12" w14:textId="77777777" w:rsidR="008C330E" w:rsidRDefault="008C330E" w:rsidP="006554FF">
      <w:pPr>
        <w:pStyle w:val="LI-BodyTextParaa"/>
      </w:pPr>
    </w:p>
    <w:sectPr w:rsidR="008C330E" w:rsidSect="0040053F">
      <w:headerReference w:type="even" r:id="rId31"/>
      <w:headerReference w:type="default" r:id="rId32"/>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9872" w14:textId="77777777" w:rsidR="003B4070" w:rsidRDefault="003B4070" w:rsidP="00715914">
      <w:pPr>
        <w:spacing w:line="240" w:lineRule="auto"/>
      </w:pPr>
      <w:r>
        <w:separator/>
      </w:r>
    </w:p>
  </w:endnote>
  <w:endnote w:type="continuationSeparator" w:id="0">
    <w:p w14:paraId="5B3DF33E" w14:textId="77777777" w:rsidR="003B4070" w:rsidRDefault="003B4070" w:rsidP="00715914">
      <w:pPr>
        <w:spacing w:line="240" w:lineRule="auto"/>
      </w:pPr>
      <w:r>
        <w:continuationSeparator/>
      </w:r>
    </w:p>
  </w:endnote>
  <w:endnote w:type="continuationNotice" w:id="1">
    <w:p w14:paraId="6CAD50BC" w14:textId="77777777" w:rsidR="003B4070" w:rsidRDefault="003B40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313"/>
    </w:tblGrid>
    <w:tr w:rsidR="00102CA6" w:rsidRPr="00081794" w14:paraId="57A59285" w14:textId="77777777" w:rsidTr="00081794">
      <w:tc>
        <w:tcPr>
          <w:tcW w:w="8472" w:type="dxa"/>
        </w:tcPr>
        <w:p w14:paraId="4FCBC731" w14:textId="018B84B6" w:rsidR="00102CA6" w:rsidRPr="00081794" w:rsidRDefault="003904F4" w:rsidP="00081794">
          <w:pPr>
            <w:jc w:val="right"/>
            <w:rPr>
              <w:sz w:val="18"/>
            </w:rPr>
          </w:pPr>
          <w:r>
            <w:rPr>
              <w:noProof/>
            </w:rPr>
            <mc:AlternateContent>
              <mc:Choice Requires="wps">
                <w:drawing>
                  <wp:anchor distT="0" distB="0" distL="114300" distR="114300" simplePos="0" relativeHeight="251658243" behindDoc="1" locked="0" layoutInCell="1" allowOverlap="1" wp14:anchorId="55A6A095" wp14:editId="0128492A">
                    <wp:simplePos x="0" y="0"/>
                    <wp:positionH relativeFrom="column">
                      <wp:align>center</wp:align>
                    </wp:positionH>
                    <wp:positionV relativeFrom="page">
                      <wp:posOffset>10079990</wp:posOffset>
                    </wp:positionV>
                    <wp:extent cx="4410075" cy="4000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A095"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UfVgwYgCAAAbBQAADgAAAAAAAAAAAAAAAAAuAgAAZHJzL2Uyb0RvYy54bWxQSwECLQAUAAYA&#10;CAAAACEAPAJSkt8AAAAKAQAADwAAAAAAAAAAAAAAAADiBAAAZHJzL2Rvd25yZXYueG1sUEsFBgAA&#10;AAAEAAQA8wAAAO4FAAAAAA==&#10;" stroked="f">
                    <v:stroke joinstyle="round"/>
                    <v:path arrowok="t"/>
                    <v:textbox>
                      <w:txbxContent>
                        <w:p w14:paraId="272BC15D"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0006250C" w:rsidRPr="00081794">
            <w:rPr>
              <w:i/>
              <w:noProof/>
              <w:sz w:val="18"/>
            </w:rPr>
            <w:t>I14KE197.v07.docx</w:t>
          </w:r>
          <w:r w:rsidR="00102CA6" w:rsidRPr="00081794">
            <w:rPr>
              <w:i/>
              <w:sz w:val="18"/>
            </w:rPr>
            <w:t xml:space="preserve"> </w:t>
          </w:r>
          <w:r w:rsidR="0006250C" w:rsidRPr="00081794">
            <w:rPr>
              <w:i/>
              <w:noProof/>
              <w:sz w:val="18"/>
            </w:rPr>
            <w:t>25/6/2014 3:37 PM</w:t>
          </w:r>
        </w:p>
      </w:tc>
    </w:tr>
  </w:tbl>
  <w:p w14:paraId="05F2CB7E" w14:textId="77777777" w:rsidR="00102CA6" w:rsidRPr="007500C8" w:rsidRDefault="00102CA6" w:rsidP="00335B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4604" w14:textId="6B988EFB" w:rsidR="00102CA6" w:rsidRDefault="003904F4" w:rsidP="007500C8">
    <w:pPr>
      <w:pStyle w:val="Footer"/>
    </w:pPr>
    <w:r>
      <w:rPr>
        <w:noProof/>
      </w:rPr>
      <mc:AlternateContent>
        <mc:Choice Requires="wps">
          <w:drawing>
            <wp:anchor distT="0" distB="0" distL="114300" distR="114300" simplePos="0" relativeHeight="251658242" behindDoc="1" locked="0" layoutInCell="1" allowOverlap="1" wp14:anchorId="746B4679" wp14:editId="5357D523">
              <wp:simplePos x="0" y="0"/>
              <wp:positionH relativeFrom="column">
                <wp:align>center</wp:align>
              </wp:positionH>
              <wp:positionV relativeFrom="page">
                <wp:posOffset>10079990</wp:posOffset>
              </wp:positionV>
              <wp:extent cx="4410075"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67A1440"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4679"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" stroked="f">
              <v:stroke joinstyle="round"/>
              <v:path arrowok="t"/>
              <v:textbox>
                <w:txbxContent>
                  <w:p w14:paraId="767A1440" w14:textId="77777777" w:rsidR="00102CA6" w:rsidRPr="00284719" w:rsidRDefault="00102CA6"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313"/>
    </w:tblGrid>
    <w:tr w:rsidR="00102CA6" w:rsidRPr="00081794" w14:paraId="79351983" w14:textId="77777777" w:rsidTr="00081794">
      <w:tc>
        <w:tcPr>
          <w:tcW w:w="8472" w:type="dxa"/>
        </w:tcPr>
        <w:p w14:paraId="198AB456" w14:textId="77777777" w:rsidR="00102CA6" w:rsidRPr="00081794" w:rsidRDefault="00102CA6" w:rsidP="00102CA6">
          <w:pPr>
            <w:rPr>
              <w:sz w:val="18"/>
            </w:rPr>
          </w:pPr>
        </w:p>
      </w:tc>
    </w:tr>
  </w:tbl>
  <w:p w14:paraId="0520A15E" w14:textId="77777777" w:rsidR="00102CA6" w:rsidRPr="007500C8" w:rsidRDefault="00102CA6"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C19" w14:textId="77777777" w:rsidR="00102CA6" w:rsidRPr="00ED79B6" w:rsidRDefault="00102CA6"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0424" w14:textId="77777777" w:rsidR="00102CA6" w:rsidRPr="00E2168B"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2</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04F2" w14:textId="77777777" w:rsidR="00102CA6" w:rsidRPr="00E33C1C" w:rsidRDefault="008945E0" w:rsidP="00243EC0">
    <w:pPr>
      <w:pStyle w:val="LI-Footer"/>
      <w:rPr>
        <w:sz w:val="16"/>
        <w:szCs w:val="16"/>
      </w:rPr>
    </w:pPr>
    <w:r w:rsidRPr="00A52B0F">
      <w:tab/>
    </w:r>
    <w:r w:rsidR="00D73C22">
      <w:t xml:space="preserve">Page </w:t>
    </w:r>
    <w:r w:rsidRPr="00A52B0F">
      <w:fldChar w:fldCharType="begin"/>
    </w:r>
    <w:r w:rsidRPr="00A52B0F">
      <w:instrText xml:space="preserve"> PAGE  \* Arabic  \* MERGEFORMAT </w:instrText>
    </w:r>
    <w:r w:rsidRPr="00A52B0F">
      <w:fldChar w:fldCharType="separate"/>
    </w:r>
    <w:r w:rsidR="009D195A">
      <w:rPr>
        <w:noProof/>
      </w:rPr>
      <w:t>3</w:t>
    </w:r>
    <w:r w:rsidRPr="00A52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CBE07" w14:textId="77777777" w:rsidR="00102CA6" w:rsidRPr="00243EC0" w:rsidRDefault="00E2168B" w:rsidP="00E2168B">
    <w:pPr>
      <w:pStyle w:val="LI-Footer"/>
    </w:pPr>
    <w:r w:rsidRPr="00A52B0F">
      <w:fldChar w:fldCharType="begin"/>
    </w:r>
    <w:r w:rsidRPr="00A52B0F">
      <w:instrText xml:space="preserve"> PAGE  \* Arabic  \* MERGEFORMAT </w:instrText>
    </w:r>
    <w:r w:rsidRPr="00A52B0F">
      <w:fldChar w:fldCharType="separate"/>
    </w:r>
    <w:r w:rsidR="007D230B">
      <w:rPr>
        <w:noProof/>
      </w:rPr>
      <w:t>4</w:t>
    </w:r>
    <w:r w:rsidRPr="00A52B0F">
      <w:fldChar w:fldCharType="end"/>
    </w:r>
    <w:r>
      <w:t xml:space="preserve"> </w:t>
    </w:r>
    <w:r w:rsidR="00243EC0"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B010" w14:textId="77777777" w:rsidR="00102CA6" w:rsidRPr="00E33C1C" w:rsidRDefault="00102CA6"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257"/>
      <w:gridCol w:w="699"/>
    </w:tblGrid>
    <w:tr w:rsidR="00102CA6" w:rsidRPr="00081794" w14:paraId="0F6883EA" w14:textId="77777777" w:rsidTr="00081794">
      <w:tc>
        <w:tcPr>
          <w:tcW w:w="1384" w:type="dxa"/>
          <w:tcBorders>
            <w:top w:val="nil"/>
            <w:left w:val="nil"/>
            <w:bottom w:val="nil"/>
            <w:right w:val="nil"/>
          </w:tcBorders>
        </w:tcPr>
        <w:p w14:paraId="69A506F7" w14:textId="77777777" w:rsidR="00102CA6" w:rsidRPr="00081794" w:rsidRDefault="00102CA6" w:rsidP="00081794">
          <w:pPr>
            <w:spacing w:line="0" w:lineRule="atLeast"/>
            <w:rPr>
              <w:sz w:val="18"/>
            </w:rPr>
          </w:pPr>
        </w:p>
      </w:tc>
      <w:tc>
        <w:tcPr>
          <w:tcW w:w="6379" w:type="dxa"/>
          <w:tcBorders>
            <w:top w:val="nil"/>
            <w:left w:val="nil"/>
            <w:bottom w:val="nil"/>
            <w:right w:val="nil"/>
          </w:tcBorders>
        </w:tcPr>
        <w:p w14:paraId="7B09118F" w14:textId="77777777" w:rsidR="00102CA6" w:rsidRPr="00081794" w:rsidRDefault="00102CA6"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C35DAF">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tcPr>
        <w:p w14:paraId="25F3A75E" w14:textId="77777777" w:rsidR="00102CA6" w:rsidRPr="00081794" w:rsidRDefault="00102CA6"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sidR="00BC7183" w:rsidRPr="00081794">
            <w:rPr>
              <w:i/>
              <w:noProof/>
              <w:sz w:val="18"/>
            </w:rPr>
            <w:t>4</w:t>
          </w:r>
          <w:r w:rsidRPr="00081794">
            <w:rPr>
              <w:i/>
              <w:sz w:val="18"/>
            </w:rPr>
            <w:fldChar w:fldCharType="end"/>
          </w:r>
        </w:p>
      </w:tc>
    </w:tr>
    <w:tr w:rsidR="00102CA6" w:rsidRPr="00081794" w14:paraId="106EA033"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799556A" w14:textId="77777777" w:rsidR="00102CA6" w:rsidRPr="00081794" w:rsidRDefault="00FA31DE" w:rsidP="00102CA6">
          <w:pPr>
            <w:rPr>
              <w:sz w:val="18"/>
            </w:rPr>
          </w:pPr>
          <w:r w:rsidRPr="00081794">
            <w:rPr>
              <w:i/>
              <w:noProof/>
              <w:sz w:val="18"/>
            </w:rPr>
            <w:t>I14KE197.v01.docx</w:t>
          </w:r>
          <w:r w:rsidR="00102CA6" w:rsidRPr="00081794">
            <w:rPr>
              <w:i/>
              <w:sz w:val="18"/>
            </w:rPr>
            <w:t xml:space="preserve"> </w:t>
          </w:r>
          <w:r w:rsidRPr="00081794">
            <w:rPr>
              <w:i/>
              <w:noProof/>
              <w:sz w:val="18"/>
            </w:rPr>
            <w:t>13/6/2014 3:07 PM</w:t>
          </w:r>
        </w:p>
      </w:tc>
    </w:tr>
  </w:tbl>
  <w:p w14:paraId="7F046C16" w14:textId="77777777" w:rsidR="00102CA6" w:rsidRPr="00ED79B6" w:rsidRDefault="00102CA6"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06C5" w14:textId="77777777" w:rsidR="003B4070" w:rsidRDefault="003B4070" w:rsidP="00715914">
      <w:pPr>
        <w:spacing w:line="240" w:lineRule="auto"/>
      </w:pPr>
      <w:r>
        <w:separator/>
      </w:r>
    </w:p>
  </w:footnote>
  <w:footnote w:type="continuationSeparator" w:id="0">
    <w:p w14:paraId="51397F4A" w14:textId="77777777" w:rsidR="003B4070" w:rsidRDefault="003B4070" w:rsidP="00715914">
      <w:pPr>
        <w:spacing w:line="240" w:lineRule="auto"/>
      </w:pPr>
      <w:r>
        <w:continuationSeparator/>
      </w:r>
    </w:p>
  </w:footnote>
  <w:footnote w:type="continuationNotice" w:id="1">
    <w:p w14:paraId="7A821074" w14:textId="77777777" w:rsidR="003B4070" w:rsidRDefault="003B40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66CA" w14:textId="5299A77C"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053B90F5" wp14:editId="592DF194">
              <wp:simplePos x="0" y="0"/>
              <wp:positionH relativeFrom="column">
                <wp:align>center</wp:align>
              </wp:positionH>
              <wp:positionV relativeFrom="page">
                <wp:posOffset>143510</wp:posOffset>
              </wp:positionV>
              <wp:extent cx="4410075" cy="4000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B90F5"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zIgwIAABQ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" stroked="f">
              <v:stroke joinstyle="round"/>
              <v:path arrowok="t"/>
              <v:textbox>
                <w:txbxContent>
                  <w:p w14:paraId="527B81B3" w14:textId="77777777" w:rsidR="00102CA6" w:rsidRPr="00284719" w:rsidRDefault="00102CA6"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C35DAF">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D108"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4DA33BD5" w14:textId="77777777" w:rsidTr="00BF75C9">
      <w:tc>
        <w:tcPr>
          <w:tcW w:w="6804" w:type="dxa"/>
        </w:tcPr>
        <w:p w14:paraId="52B0B84F" w14:textId="1EE7A79A"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DA1A99">
            <w:rPr>
              <w:noProof/>
            </w:rPr>
            <w:t>ASIC Corporations (Foreign Rights Issues) Instrument 2025/611</w:t>
          </w:r>
          <w:r>
            <w:rPr>
              <w:noProof/>
            </w:rPr>
            <w:fldChar w:fldCharType="end"/>
          </w:r>
        </w:p>
      </w:tc>
      <w:tc>
        <w:tcPr>
          <w:tcW w:w="1509" w:type="dxa"/>
        </w:tcPr>
        <w:p w14:paraId="609BA203" w14:textId="2CDB87FD"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DA1A99">
            <w:rPr>
              <w:noProof/>
            </w:rPr>
            <w:t>Part 3—Repeal</w:t>
          </w:r>
          <w:r>
            <w:rPr>
              <w:noProof/>
            </w:rPr>
            <w:fldChar w:fldCharType="end"/>
          </w:r>
        </w:p>
      </w:tc>
    </w:tr>
  </w:tbl>
  <w:p w14:paraId="0A3B460E" w14:textId="77777777" w:rsidR="0040053F" w:rsidRPr="00F4215A" w:rsidRDefault="0040053F" w:rsidP="00F42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19BC" w14:textId="6630AF8B" w:rsidR="00102CA6" w:rsidRPr="005F1388" w:rsidRDefault="003904F4"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5934B23C" wp14:editId="6CADE4D5">
              <wp:simplePos x="0" y="0"/>
              <wp:positionH relativeFrom="column">
                <wp:align>center</wp:align>
              </wp:positionH>
              <wp:positionV relativeFrom="page">
                <wp:posOffset>143510</wp:posOffset>
              </wp:positionV>
              <wp:extent cx="4410075" cy="4000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ACDECEA" w14:textId="77777777" w:rsidR="00102CA6" w:rsidRPr="00284719" w:rsidRDefault="00102CA6"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4B23C"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" stroked="f">
              <v:stroke joinstyle="round"/>
              <v:path arrowok="t"/>
              <v:textbox>
                <w:txbxContent>
                  <w:p w14:paraId="0ACDECEA" w14:textId="77777777" w:rsidR="00102CA6" w:rsidRPr="00284719" w:rsidRDefault="00102CA6"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8467" w14:textId="77777777" w:rsidR="00102CA6" w:rsidRPr="00D821C2" w:rsidRDefault="00102CA6" w:rsidP="00C450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288B" w14:textId="77777777" w:rsidR="00102CA6" w:rsidRDefault="00E2168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rsidRPr="00E40FF8" w14:paraId="1363D7B5" w14:textId="77777777" w:rsidTr="00BF75C9">
      <w:tc>
        <w:tcPr>
          <w:tcW w:w="6804" w:type="dxa"/>
        </w:tcPr>
        <w:p w14:paraId="7D4B953D" w14:textId="5D8D81BA"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DA1A99">
            <w:rPr>
              <w:noProof/>
            </w:rPr>
            <w:t>ASIC Corporations (Foreign Rights Issues) Instrument 2025/611</w:t>
          </w:r>
          <w:r>
            <w:rPr>
              <w:noProof/>
            </w:rPr>
            <w:fldChar w:fldCharType="end"/>
          </w:r>
        </w:p>
      </w:tc>
      <w:tc>
        <w:tcPr>
          <w:tcW w:w="1509" w:type="dxa"/>
        </w:tcPr>
        <w:p w14:paraId="57A9425D" w14:textId="77777777" w:rsidR="00F4215A" w:rsidRDefault="00F4215A" w:rsidP="00E40FF8">
          <w:pPr>
            <w:pStyle w:val="LI-Header"/>
            <w:pBdr>
              <w:bottom w:val="none" w:sz="0" w:space="0" w:color="auto"/>
            </w:pBdr>
          </w:pPr>
        </w:p>
      </w:tc>
    </w:tr>
  </w:tbl>
  <w:p w14:paraId="78570022" w14:textId="77777777" w:rsidR="00102CA6" w:rsidRPr="008945E0" w:rsidRDefault="00102CA6" w:rsidP="00F4215A">
    <w:pPr>
      <w:pStyle w:val="LI-Header"/>
      <w:pBdr>
        <w:bottom w:val="none" w:sz="0" w:space="0" w:color="auto"/>
      </w:pBdr>
      <w:spacing w:befor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784B" w14:textId="77777777" w:rsidR="00102CA6" w:rsidRPr="00ED79B6" w:rsidRDefault="00102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A95E" w14:textId="77777777" w:rsidR="00102CA6" w:rsidRPr="00243EC0" w:rsidRDefault="00243EC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 xml:space="preserve">Part </w:t>
    </w:r>
    <w:r w:rsidR="00E2168B">
      <w:t>2</w:t>
    </w:r>
    <w:r>
      <w:t>—</w:t>
    </w:r>
    <w:r w:rsidR="00E2168B">
      <w:t>Exemption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F4215A" w14:paraId="1D4C9972" w14:textId="77777777" w:rsidTr="00BF75C9">
      <w:tc>
        <w:tcPr>
          <w:tcW w:w="6804" w:type="dxa"/>
        </w:tcPr>
        <w:p w14:paraId="0DC4E02D" w14:textId="03B1CB0E" w:rsidR="00F4215A" w:rsidRDefault="00D5434B" w:rsidP="00E40FF8">
          <w:pPr>
            <w:pStyle w:val="LI-Header"/>
            <w:pBdr>
              <w:bottom w:val="none" w:sz="0" w:space="0" w:color="auto"/>
            </w:pBdr>
            <w:jc w:val="left"/>
          </w:pPr>
          <w:r>
            <w:fldChar w:fldCharType="begin"/>
          </w:r>
          <w:r>
            <w:instrText xml:space="preserve"> STYLEREF  "LI - Title" </w:instrText>
          </w:r>
          <w:r>
            <w:fldChar w:fldCharType="separate"/>
          </w:r>
          <w:r w:rsidR="00DA1A99">
            <w:rPr>
              <w:noProof/>
            </w:rPr>
            <w:t>ASIC Corporations (Foreign Rights Issues) Instrument 2025/611</w:t>
          </w:r>
          <w:r>
            <w:rPr>
              <w:noProof/>
            </w:rPr>
            <w:fldChar w:fldCharType="end"/>
          </w:r>
        </w:p>
      </w:tc>
      <w:tc>
        <w:tcPr>
          <w:tcW w:w="1509" w:type="dxa"/>
        </w:tcPr>
        <w:p w14:paraId="54D8D412" w14:textId="3EE334C3" w:rsidR="00F4215A" w:rsidRDefault="00D5434B" w:rsidP="00E40FF8">
          <w:pPr>
            <w:pStyle w:val="LI-Header"/>
            <w:pBdr>
              <w:bottom w:val="none" w:sz="0" w:space="0" w:color="auto"/>
            </w:pBdr>
          </w:pPr>
          <w:r>
            <w:fldChar w:fldCharType="begin"/>
          </w:r>
          <w:r>
            <w:instrText xml:space="preserve"> STYLEREF  "LI - Heading 1" </w:instrText>
          </w:r>
          <w:r>
            <w:fldChar w:fldCharType="separate"/>
          </w:r>
          <w:r w:rsidR="00DA1A99">
            <w:rPr>
              <w:noProof/>
            </w:rPr>
            <w:t>Part 1—Preliminary</w:t>
          </w:r>
          <w:r>
            <w:rPr>
              <w:noProof/>
            </w:rPr>
            <w:fldChar w:fldCharType="end"/>
          </w:r>
        </w:p>
      </w:tc>
    </w:tr>
  </w:tbl>
  <w:p w14:paraId="1EA77B44" w14:textId="77777777" w:rsidR="00D341C4" w:rsidRPr="00F4215A" w:rsidRDefault="00D341C4" w:rsidP="00F421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7A7C" w14:textId="77777777" w:rsidR="00102CA6" w:rsidRPr="007A1328" w:rsidRDefault="00102CA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449743">
    <w:abstractNumId w:val="9"/>
  </w:num>
  <w:num w:numId="2" w16cid:durableId="1117261685">
    <w:abstractNumId w:val="7"/>
  </w:num>
  <w:num w:numId="3" w16cid:durableId="829710759">
    <w:abstractNumId w:val="6"/>
  </w:num>
  <w:num w:numId="4" w16cid:durableId="1719545867">
    <w:abstractNumId w:val="5"/>
  </w:num>
  <w:num w:numId="5" w16cid:durableId="901332037">
    <w:abstractNumId w:val="4"/>
  </w:num>
  <w:num w:numId="6" w16cid:durableId="658077834">
    <w:abstractNumId w:val="8"/>
  </w:num>
  <w:num w:numId="7" w16cid:durableId="1422676074">
    <w:abstractNumId w:val="3"/>
  </w:num>
  <w:num w:numId="8" w16cid:durableId="596640051">
    <w:abstractNumId w:val="2"/>
  </w:num>
  <w:num w:numId="9" w16cid:durableId="1132098209">
    <w:abstractNumId w:val="1"/>
  </w:num>
  <w:num w:numId="10" w16cid:durableId="1935741434">
    <w:abstractNumId w:val="0"/>
  </w:num>
  <w:num w:numId="11" w16cid:durableId="1225872208">
    <w:abstractNumId w:val="12"/>
  </w:num>
  <w:num w:numId="12" w16cid:durableId="2011325484">
    <w:abstractNumId w:val="10"/>
  </w:num>
  <w:num w:numId="13" w16cid:durableId="1560164308">
    <w:abstractNumId w:val="11"/>
  </w:num>
  <w:num w:numId="14" w16cid:durableId="1266616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38DC"/>
    <w:rsid w:val="00004470"/>
    <w:rsid w:val="00005446"/>
    <w:rsid w:val="0000626E"/>
    <w:rsid w:val="000136AF"/>
    <w:rsid w:val="00013B8D"/>
    <w:rsid w:val="00015719"/>
    <w:rsid w:val="0002041F"/>
    <w:rsid w:val="00023D53"/>
    <w:rsid w:val="000240D5"/>
    <w:rsid w:val="00026890"/>
    <w:rsid w:val="00026CD1"/>
    <w:rsid w:val="00041047"/>
    <w:rsid w:val="000437C1"/>
    <w:rsid w:val="00044083"/>
    <w:rsid w:val="0005365D"/>
    <w:rsid w:val="000579E4"/>
    <w:rsid w:val="000614BF"/>
    <w:rsid w:val="0006250C"/>
    <w:rsid w:val="00063CA7"/>
    <w:rsid w:val="00081794"/>
    <w:rsid w:val="00084FF4"/>
    <w:rsid w:val="00086351"/>
    <w:rsid w:val="0009267D"/>
    <w:rsid w:val="000A142F"/>
    <w:rsid w:val="000A6C39"/>
    <w:rsid w:val="000B58FA"/>
    <w:rsid w:val="000B693E"/>
    <w:rsid w:val="000C55A0"/>
    <w:rsid w:val="000D041F"/>
    <w:rsid w:val="000D05EF"/>
    <w:rsid w:val="000D1A0F"/>
    <w:rsid w:val="000D653B"/>
    <w:rsid w:val="000E2261"/>
    <w:rsid w:val="000E3C2E"/>
    <w:rsid w:val="000F003E"/>
    <w:rsid w:val="000F21C1"/>
    <w:rsid w:val="00100B52"/>
    <w:rsid w:val="00102CA6"/>
    <w:rsid w:val="0010745C"/>
    <w:rsid w:val="0011645C"/>
    <w:rsid w:val="00122D3E"/>
    <w:rsid w:val="00124BB2"/>
    <w:rsid w:val="00125141"/>
    <w:rsid w:val="0012673C"/>
    <w:rsid w:val="00132CEB"/>
    <w:rsid w:val="00136DDE"/>
    <w:rsid w:val="00142B62"/>
    <w:rsid w:val="0014599A"/>
    <w:rsid w:val="00153B32"/>
    <w:rsid w:val="00157B8B"/>
    <w:rsid w:val="00166C2F"/>
    <w:rsid w:val="00171A6E"/>
    <w:rsid w:val="001809D7"/>
    <w:rsid w:val="00187C76"/>
    <w:rsid w:val="00187DAB"/>
    <w:rsid w:val="00193211"/>
    <w:rsid w:val="001939E1"/>
    <w:rsid w:val="001947A6"/>
    <w:rsid w:val="001948C3"/>
    <w:rsid w:val="00194C3E"/>
    <w:rsid w:val="00195382"/>
    <w:rsid w:val="00195BD4"/>
    <w:rsid w:val="001A5EB4"/>
    <w:rsid w:val="001B5908"/>
    <w:rsid w:val="001C159E"/>
    <w:rsid w:val="001C61C5"/>
    <w:rsid w:val="001C69C4"/>
    <w:rsid w:val="001D37EF"/>
    <w:rsid w:val="001E34E4"/>
    <w:rsid w:val="001E3590"/>
    <w:rsid w:val="001E45C2"/>
    <w:rsid w:val="001E7407"/>
    <w:rsid w:val="001F02B1"/>
    <w:rsid w:val="001F5B3C"/>
    <w:rsid w:val="001F5D5E"/>
    <w:rsid w:val="001F6219"/>
    <w:rsid w:val="001F6CD4"/>
    <w:rsid w:val="001F74BB"/>
    <w:rsid w:val="00200DFD"/>
    <w:rsid w:val="00206C4D"/>
    <w:rsid w:val="0021053C"/>
    <w:rsid w:val="00215AF1"/>
    <w:rsid w:val="002227E7"/>
    <w:rsid w:val="002321E8"/>
    <w:rsid w:val="00236EEC"/>
    <w:rsid w:val="00237551"/>
    <w:rsid w:val="00237DA6"/>
    <w:rsid w:val="0024010F"/>
    <w:rsid w:val="00240749"/>
    <w:rsid w:val="00243018"/>
    <w:rsid w:val="00243EC0"/>
    <w:rsid w:val="00244742"/>
    <w:rsid w:val="00251D5A"/>
    <w:rsid w:val="002564A4"/>
    <w:rsid w:val="00256EF9"/>
    <w:rsid w:val="0026736C"/>
    <w:rsid w:val="0028110A"/>
    <w:rsid w:val="00281308"/>
    <w:rsid w:val="00281813"/>
    <w:rsid w:val="00283CAE"/>
    <w:rsid w:val="00284719"/>
    <w:rsid w:val="00294A8B"/>
    <w:rsid w:val="00297143"/>
    <w:rsid w:val="00297ECB"/>
    <w:rsid w:val="002A2D2C"/>
    <w:rsid w:val="002A7328"/>
    <w:rsid w:val="002A7BCF"/>
    <w:rsid w:val="002B19F3"/>
    <w:rsid w:val="002B4A0D"/>
    <w:rsid w:val="002C7B6F"/>
    <w:rsid w:val="002D043A"/>
    <w:rsid w:val="002D16AC"/>
    <w:rsid w:val="002D6224"/>
    <w:rsid w:val="002E3F4B"/>
    <w:rsid w:val="002E715B"/>
    <w:rsid w:val="002F45D4"/>
    <w:rsid w:val="002F59EA"/>
    <w:rsid w:val="00300542"/>
    <w:rsid w:val="00304F8B"/>
    <w:rsid w:val="00313C62"/>
    <w:rsid w:val="003204A3"/>
    <w:rsid w:val="00325F33"/>
    <w:rsid w:val="00327DDF"/>
    <w:rsid w:val="00332FB6"/>
    <w:rsid w:val="00334510"/>
    <w:rsid w:val="003354D2"/>
    <w:rsid w:val="00335BC6"/>
    <w:rsid w:val="00336A5D"/>
    <w:rsid w:val="003370E4"/>
    <w:rsid w:val="003415D3"/>
    <w:rsid w:val="00344701"/>
    <w:rsid w:val="003528DA"/>
    <w:rsid w:val="00352B0F"/>
    <w:rsid w:val="00354947"/>
    <w:rsid w:val="00356690"/>
    <w:rsid w:val="00357DD0"/>
    <w:rsid w:val="00360459"/>
    <w:rsid w:val="00365497"/>
    <w:rsid w:val="003730AF"/>
    <w:rsid w:val="00380476"/>
    <w:rsid w:val="00387A96"/>
    <w:rsid w:val="003904F4"/>
    <w:rsid w:val="003A2A48"/>
    <w:rsid w:val="003B28C3"/>
    <w:rsid w:val="003B4070"/>
    <w:rsid w:val="003B732F"/>
    <w:rsid w:val="003C2F48"/>
    <w:rsid w:val="003C6231"/>
    <w:rsid w:val="003D0BFE"/>
    <w:rsid w:val="003D15E9"/>
    <w:rsid w:val="003D5700"/>
    <w:rsid w:val="003E0F99"/>
    <w:rsid w:val="003E341B"/>
    <w:rsid w:val="0040053F"/>
    <w:rsid w:val="004026B0"/>
    <w:rsid w:val="0040662B"/>
    <w:rsid w:val="004116CD"/>
    <w:rsid w:val="00411EEE"/>
    <w:rsid w:val="004144EC"/>
    <w:rsid w:val="00417EB9"/>
    <w:rsid w:val="00424CA9"/>
    <w:rsid w:val="00431E9B"/>
    <w:rsid w:val="00435846"/>
    <w:rsid w:val="004379E3"/>
    <w:rsid w:val="0044015E"/>
    <w:rsid w:val="0044291A"/>
    <w:rsid w:val="00444ABD"/>
    <w:rsid w:val="00447DB4"/>
    <w:rsid w:val="00460F1D"/>
    <w:rsid w:val="00465DC1"/>
    <w:rsid w:val="0046720B"/>
    <w:rsid w:val="00467661"/>
    <w:rsid w:val="004705B7"/>
    <w:rsid w:val="00472DBE"/>
    <w:rsid w:val="00474A19"/>
    <w:rsid w:val="004811C0"/>
    <w:rsid w:val="004823C0"/>
    <w:rsid w:val="0048276B"/>
    <w:rsid w:val="00496B5F"/>
    <w:rsid w:val="00496F97"/>
    <w:rsid w:val="004A44FC"/>
    <w:rsid w:val="004B5B44"/>
    <w:rsid w:val="004C1CB1"/>
    <w:rsid w:val="004E063A"/>
    <w:rsid w:val="004E7BEC"/>
    <w:rsid w:val="004F5A7C"/>
    <w:rsid w:val="0050044F"/>
    <w:rsid w:val="00501ADC"/>
    <w:rsid w:val="00505D3D"/>
    <w:rsid w:val="00506AF6"/>
    <w:rsid w:val="00507335"/>
    <w:rsid w:val="00516B8D"/>
    <w:rsid w:val="00517E56"/>
    <w:rsid w:val="00532049"/>
    <w:rsid w:val="005356A7"/>
    <w:rsid w:val="00536184"/>
    <w:rsid w:val="00537FBC"/>
    <w:rsid w:val="00555185"/>
    <w:rsid w:val="005574D1"/>
    <w:rsid w:val="005657FE"/>
    <w:rsid w:val="00567761"/>
    <w:rsid w:val="00571280"/>
    <w:rsid w:val="0057183A"/>
    <w:rsid w:val="005728F0"/>
    <w:rsid w:val="00572BB1"/>
    <w:rsid w:val="005738DC"/>
    <w:rsid w:val="0057670F"/>
    <w:rsid w:val="00584811"/>
    <w:rsid w:val="00585784"/>
    <w:rsid w:val="00593AA6"/>
    <w:rsid w:val="00594161"/>
    <w:rsid w:val="005944BC"/>
    <w:rsid w:val="00594749"/>
    <w:rsid w:val="005B4067"/>
    <w:rsid w:val="005B780C"/>
    <w:rsid w:val="005C3F41"/>
    <w:rsid w:val="005D0489"/>
    <w:rsid w:val="005D0534"/>
    <w:rsid w:val="005D1DAD"/>
    <w:rsid w:val="005D2D09"/>
    <w:rsid w:val="005D3D41"/>
    <w:rsid w:val="005E4810"/>
    <w:rsid w:val="005F01A8"/>
    <w:rsid w:val="005F4140"/>
    <w:rsid w:val="005F65CD"/>
    <w:rsid w:val="00600219"/>
    <w:rsid w:val="00602C37"/>
    <w:rsid w:val="00603DC4"/>
    <w:rsid w:val="006048AD"/>
    <w:rsid w:val="00607A71"/>
    <w:rsid w:val="006117CB"/>
    <w:rsid w:val="00620076"/>
    <w:rsid w:val="00627D8E"/>
    <w:rsid w:val="00634044"/>
    <w:rsid w:val="00636D15"/>
    <w:rsid w:val="00640161"/>
    <w:rsid w:val="0064579E"/>
    <w:rsid w:val="00652769"/>
    <w:rsid w:val="00653CB2"/>
    <w:rsid w:val="0065542F"/>
    <w:rsid w:val="006554FF"/>
    <w:rsid w:val="0066742F"/>
    <w:rsid w:val="00670EA1"/>
    <w:rsid w:val="00677CC2"/>
    <w:rsid w:val="00680A78"/>
    <w:rsid w:val="00684550"/>
    <w:rsid w:val="006905DE"/>
    <w:rsid w:val="0069207B"/>
    <w:rsid w:val="00692A83"/>
    <w:rsid w:val="00696474"/>
    <w:rsid w:val="006B5789"/>
    <w:rsid w:val="006C30C5"/>
    <w:rsid w:val="006C404A"/>
    <w:rsid w:val="006C48FA"/>
    <w:rsid w:val="006C7924"/>
    <w:rsid w:val="006C7F8C"/>
    <w:rsid w:val="006D563A"/>
    <w:rsid w:val="006D7C41"/>
    <w:rsid w:val="006E5320"/>
    <w:rsid w:val="006E6246"/>
    <w:rsid w:val="006F318F"/>
    <w:rsid w:val="006F4226"/>
    <w:rsid w:val="006F6025"/>
    <w:rsid w:val="0070017E"/>
    <w:rsid w:val="00700B2C"/>
    <w:rsid w:val="00702EFD"/>
    <w:rsid w:val="00704DE8"/>
    <w:rsid w:val="007050A2"/>
    <w:rsid w:val="00713084"/>
    <w:rsid w:val="0071399B"/>
    <w:rsid w:val="00714F20"/>
    <w:rsid w:val="00714FD8"/>
    <w:rsid w:val="0071590F"/>
    <w:rsid w:val="00715914"/>
    <w:rsid w:val="00717657"/>
    <w:rsid w:val="00731E00"/>
    <w:rsid w:val="00735CC1"/>
    <w:rsid w:val="00741EE8"/>
    <w:rsid w:val="007440B7"/>
    <w:rsid w:val="00747309"/>
    <w:rsid w:val="007500C8"/>
    <w:rsid w:val="00754551"/>
    <w:rsid w:val="00756272"/>
    <w:rsid w:val="007662B5"/>
    <w:rsid w:val="0076681A"/>
    <w:rsid w:val="007715C9"/>
    <w:rsid w:val="00771613"/>
    <w:rsid w:val="007747D5"/>
    <w:rsid w:val="00774EA7"/>
    <w:rsid w:val="00774EDD"/>
    <w:rsid w:val="0077506D"/>
    <w:rsid w:val="007757EC"/>
    <w:rsid w:val="00783E89"/>
    <w:rsid w:val="00785A9E"/>
    <w:rsid w:val="00790574"/>
    <w:rsid w:val="00793915"/>
    <w:rsid w:val="00795EE3"/>
    <w:rsid w:val="00796079"/>
    <w:rsid w:val="007A274A"/>
    <w:rsid w:val="007A3E4B"/>
    <w:rsid w:val="007A4DFB"/>
    <w:rsid w:val="007B0E2F"/>
    <w:rsid w:val="007B4C4F"/>
    <w:rsid w:val="007C2253"/>
    <w:rsid w:val="007D230B"/>
    <w:rsid w:val="007D3DCA"/>
    <w:rsid w:val="007D5235"/>
    <w:rsid w:val="007E163D"/>
    <w:rsid w:val="007E667A"/>
    <w:rsid w:val="007F177C"/>
    <w:rsid w:val="007F28C9"/>
    <w:rsid w:val="007F67BE"/>
    <w:rsid w:val="0080312D"/>
    <w:rsid w:val="00803587"/>
    <w:rsid w:val="008059B2"/>
    <w:rsid w:val="008117E9"/>
    <w:rsid w:val="00817B6A"/>
    <w:rsid w:val="00824498"/>
    <w:rsid w:val="00824AE6"/>
    <w:rsid w:val="008370B6"/>
    <w:rsid w:val="00840442"/>
    <w:rsid w:val="00840ED2"/>
    <w:rsid w:val="00841CD5"/>
    <w:rsid w:val="00845C1F"/>
    <w:rsid w:val="00852553"/>
    <w:rsid w:val="008527C0"/>
    <w:rsid w:val="00853AEB"/>
    <w:rsid w:val="00855843"/>
    <w:rsid w:val="008568AE"/>
    <w:rsid w:val="00856A31"/>
    <w:rsid w:val="00857BAD"/>
    <w:rsid w:val="00860B58"/>
    <w:rsid w:val="0086711A"/>
    <w:rsid w:val="0086779F"/>
    <w:rsid w:val="00867B37"/>
    <w:rsid w:val="008718DD"/>
    <w:rsid w:val="00872756"/>
    <w:rsid w:val="008754D0"/>
    <w:rsid w:val="00880EBE"/>
    <w:rsid w:val="008855C9"/>
    <w:rsid w:val="00885EBF"/>
    <w:rsid w:val="00886456"/>
    <w:rsid w:val="0088731B"/>
    <w:rsid w:val="008945E0"/>
    <w:rsid w:val="0089527F"/>
    <w:rsid w:val="008A362B"/>
    <w:rsid w:val="008A46E1"/>
    <w:rsid w:val="008A4F43"/>
    <w:rsid w:val="008A5DD9"/>
    <w:rsid w:val="008A6396"/>
    <w:rsid w:val="008B2706"/>
    <w:rsid w:val="008C0F29"/>
    <w:rsid w:val="008C330E"/>
    <w:rsid w:val="008D0EE0"/>
    <w:rsid w:val="008D3422"/>
    <w:rsid w:val="008D601F"/>
    <w:rsid w:val="008D717D"/>
    <w:rsid w:val="008E6067"/>
    <w:rsid w:val="008E7821"/>
    <w:rsid w:val="008E7DF2"/>
    <w:rsid w:val="008F54E7"/>
    <w:rsid w:val="008F7B27"/>
    <w:rsid w:val="009016BE"/>
    <w:rsid w:val="00903422"/>
    <w:rsid w:val="00913D57"/>
    <w:rsid w:val="009157B9"/>
    <w:rsid w:val="00915DF9"/>
    <w:rsid w:val="009254C3"/>
    <w:rsid w:val="00926672"/>
    <w:rsid w:val="009266A7"/>
    <w:rsid w:val="00926940"/>
    <w:rsid w:val="00930A0A"/>
    <w:rsid w:val="00932377"/>
    <w:rsid w:val="009460DC"/>
    <w:rsid w:val="00946306"/>
    <w:rsid w:val="00947D5A"/>
    <w:rsid w:val="009532A5"/>
    <w:rsid w:val="0095528E"/>
    <w:rsid w:val="009608FE"/>
    <w:rsid w:val="00964E8E"/>
    <w:rsid w:val="0096753E"/>
    <w:rsid w:val="009677E0"/>
    <w:rsid w:val="00982242"/>
    <w:rsid w:val="00983C52"/>
    <w:rsid w:val="009843EE"/>
    <w:rsid w:val="009868E9"/>
    <w:rsid w:val="009944E6"/>
    <w:rsid w:val="009A30F0"/>
    <w:rsid w:val="009A49C9"/>
    <w:rsid w:val="009B1963"/>
    <w:rsid w:val="009D1818"/>
    <w:rsid w:val="009D195A"/>
    <w:rsid w:val="009E5894"/>
    <w:rsid w:val="009E5CFC"/>
    <w:rsid w:val="00A02CB5"/>
    <w:rsid w:val="00A079CB"/>
    <w:rsid w:val="00A11C54"/>
    <w:rsid w:val="00A12128"/>
    <w:rsid w:val="00A12F48"/>
    <w:rsid w:val="00A15234"/>
    <w:rsid w:val="00A15512"/>
    <w:rsid w:val="00A22C98"/>
    <w:rsid w:val="00A231E2"/>
    <w:rsid w:val="00A23CD6"/>
    <w:rsid w:val="00A33D55"/>
    <w:rsid w:val="00A34412"/>
    <w:rsid w:val="00A40424"/>
    <w:rsid w:val="00A41EE3"/>
    <w:rsid w:val="00A52B0F"/>
    <w:rsid w:val="00A5632E"/>
    <w:rsid w:val="00A64912"/>
    <w:rsid w:val="00A70A74"/>
    <w:rsid w:val="00A821D2"/>
    <w:rsid w:val="00A91966"/>
    <w:rsid w:val="00A9692A"/>
    <w:rsid w:val="00AA4CFB"/>
    <w:rsid w:val="00AA66AC"/>
    <w:rsid w:val="00AA7747"/>
    <w:rsid w:val="00AB1DE8"/>
    <w:rsid w:val="00AB6B95"/>
    <w:rsid w:val="00AC0886"/>
    <w:rsid w:val="00AC2BC6"/>
    <w:rsid w:val="00AC6388"/>
    <w:rsid w:val="00AC647B"/>
    <w:rsid w:val="00AD1F73"/>
    <w:rsid w:val="00AD5315"/>
    <w:rsid w:val="00AD5641"/>
    <w:rsid w:val="00AD7889"/>
    <w:rsid w:val="00AE7934"/>
    <w:rsid w:val="00AF021B"/>
    <w:rsid w:val="00AF06CF"/>
    <w:rsid w:val="00AF218B"/>
    <w:rsid w:val="00AF5321"/>
    <w:rsid w:val="00AF586F"/>
    <w:rsid w:val="00B0191B"/>
    <w:rsid w:val="00B07CDB"/>
    <w:rsid w:val="00B16A31"/>
    <w:rsid w:val="00B17DFD"/>
    <w:rsid w:val="00B2799D"/>
    <w:rsid w:val="00B308FE"/>
    <w:rsid w:val="00B33709"/>
    <w:rsid w:val="00B33B3C"/>
    <w:rsid w:val="00B33BD1"/>
    <w:rsid w:val="00B4005A"/>
    <w:rsid w:val="00B50ADC"/>
    <w:rsid w:val="00B53E8A"/>
    <w:rsid w:val="00B54FB7"/>
    <w:rsid w:val="00B566B1"/>
    <w:rsid w:val="00B63834"/>
    <w:rsid w:val="00B72734"/>
    <w:rsid w:val="00B7340A"/>
    <w:rsid w:val="00B80199"/>
    <w:rsid w:val="00B8269A"/>
    <w:rsid w:val="00B82D81"/>
    <w:rsid w:val="00B83204"/>
    <w:rsid w:val="00B83CAC"/>
    <w:rsid w:val="00B9126E"/>
    <w:rsid w:val="00BA220B"/>
    <w:rsid w:val="00BA3A57"/>
    <w:rsid w:val="00BB32F1"/>
    <w:rsid w:val="00BB4E1A"/>
    <w:rsid w:val="00BB5C17"/>
    <w:rsid w:val="00BB71EF"/>
    <w:rsid w:val="00BC015E"/>
    <w:rsid w:val="00BC7183"/>
    <w:rsid w:val="00BC76AC"/>
    <w:rsid w:val="00BD0ECB"/>
    <w:rsid w:val="00BE2155"/>
    <w:rsid w:val="00BE2213"/>
    <w:rsid w:val="00BE3D6B"/>
    <w:rsid w:val="00BE678A"/>
    <w:rsid w:val="00BE719A"/>
    <w:rsid w:val="00BE720A"/>
    <w:rsid w:val="00BF0D73"/>
    <w:rsid w:val="00BF175A"/>
    <w:rsid w:val="00BF2465"/>
    <w:rsid w:val="00BF75C9"/>
    <w:rsid w:val="00C00398"/>
    <w:rsid w:val="00C0544A"/>
    <w:rsid w:val="00C11452"/>
    <w:rsid w:val="00C11944"/>
    <w:rsid w:val="00C25E7F"/>
    <w:rsid w:val="00C2746F"/>
    <w:rsid w:val="00C324A0"/>
    <w:rsid w:val="00C3300F"/>
    <w:rsid w:val="00C34E77"/>
    <w:rsid w:val="00C35875"/>
    <w:rsid w:val="00C35DAF"/>
    <w:rsid w:val="00C4081F"/>
    <w:rsid w:val="00C42BF8"/>
    <w:rsid w:val="00C45006"/>
    <w:rsid w:val="00C45171"/>
    <w:rsid w:val="00C50043"/>
    <w:rsid w:val="00C50B97"/>
    <w:rsid w:val="00C6434E"/>
    <w:rsid w:val="00C70CA8"/>
    <w:rsid w:val="00C7573B"/>
    <w:rsid w:val="00C7761F"/>
    <w:rsid w:val="00C84C3C"/>
    <w:rsid w:val="00C91F1C"/>
    <w:rsid w:val="00C9279C"/>
    <w:rsid w:val="00C93C03"/>
    <w:rsid w:val="00CA2F60"/>
    <w:rsid w:val="00CA66DC"/>
    <w:rsid w:val="00CA7E51"/>
    <w:rsid w:val="00CB2C8E"/>
    <w:rsid w:val="00CB5E66"/>
    <w:rsid w:val="00CB602E"/>
    <w:rsid w:val="00CB7319"/>
    <w:rsid w:val="00CC08FC"/>
    <w:rsid w:val="00CD2E90"/>
    <w:rsid w:val="00CD36A8"/>
    <w:rsid w:val="00CD7DA5"/>
    <w:rsid w:val="00CE051D"/>
    <w:rsid w:val="00CE1335"/>
    <w:rsid w:val="00CE3D2A"/>
    <w:rsid w:val="00CE493D"/>
    <w:rsid w:val="00CE6D42"/>
    <w:rsid w:val="00CE7AD5"/>
    <w:rsid w:val="00CF07FA"/>
    <w:rsid w:val="00CF0BB2"/>
    <w:rsid w:val="00CF3125"/>
    <w:rsid w:val="00CF3EE8"/>
    <w:rsid w:val="00D050E6"/>
    <w:rsid w:val="00D13441"/>
    <w:rsid w:val="00D150E7"/>
    <w:rsid w:val="00D17052"/>
    <w:rsid w:val="00D222CB"/>
    <w:rsid w:val="00D320AB"/>
    <w:rsid w:val="00D32F65"/>
    <w:rsid w:val="00D341C4"/>
    <w:rsid w:val="00D502F7"/>
    <w:rsid w:val="00D52DC2"/>
    <w:rsid w:val="00D53BCC"/>
    <w:rsid w:val="00D5434B"/>
    <w:rsid w:val="00D54BDD"/>
    <w:rsid w:val="00D63A0E"/>
    <w:rsid w:val="00D702DE"/>
    <w:rsid w:val="00D70DFB"/>
    <w:rsid w:val="00D73C22"/>
    <w:rsid w:val="00D766DF"/>
    <w:rsid w:val="00D821C2"/>
    <w:rsid w:val="00D86C3F"/>
    <w:rsid w:val="00DA186E"/>
    <w:rsid w:val="00DA1A99"/>
    <w:rsid w:val="00DA3D09"/>
    <w:rsid w:val="00DA4116"/>
    <w:rsid w:val="00DA77BC"/>
    <w:rsid w:val="00DB1B1A"/>
    <w:rsid w:val="00DB251C"/>
    <w:rsid w:val="00DB33FC"/>
    <w:rsid w:val="00DB38AD"/>
    <w:rsid w:val="00DB4630"/>
    <w:rsid w:val="00DB5489"/>
    <w:rsid w:val="00DC02D0"/>
    <w:rsid w:val="00DC4445"/>
    <w:rsid w:val="00DC4F88"/>
    <w:rsid w:val="00DD5A32"/>
    <w:rsid w:val="00DD787F"/>
    <w:rsid w:val="00DE2A96"/>
    <w:rsid w:val="00DE3389"/>
    <w:rsid w:val="00DE79F9"/>
    <w:rsid w:val="00DF17A6"/>
    <w:rsid w:val="00E05704"/>
    <w:rsid w:val="00E06CC3"/>
    <w:rsid w:val="00E11E44"/>
    <w:rsid w:val="00E13AFA"/>
    <w:rsid w:val="00E2168B"/>
    <w:rsid w:val="00E21F03"/>
    <w:rsid w:val="00E338EF"/>
    <w:rsid w:val="00E408EF"/>
    <w:rsid w:val="00E40FF8"/>
    <w:rsid w:val="00E4533B"/>
    <w:rsid w:val="00E544BB"/>
    <w:rsid w:val="00E560E4"/>
    <w:rsid w:val="00E578EC"/>
    <w:rsid w:val="00E57F52"/>
    <w:rsid w:val="00E60423"/>
    <w:rsid w:val="00E649D7"/>
    <w:rsid w:val="00E662CB"/>
    <w:rsid w:val="00E67AEE"/>
    <w:rsid w:val="00E71707"/>
    <w:rsid w:val="00E74DC7"/>
    <w:rsid w:val="00E8075A"/>
    <w:rsid w:val="00E818A6"/>
    <w:rsid w:val="00E85A91"/>
    <w:rsid w:val="00E87718"/>
    <w:rsid w:val="00E90395"/>
    <w:rsid w:val="00E94D5E"/>
    <w:rsid w:val="00E9765F"/>
    <w:rsid w:val="00E979FD"/>
    <w:rsid w:val="00EA650B"/>
    <w:rsid w:val="00EA7100"/>
    <w:rsid w:val="00EA7F9F"/>
    <w:rsid w:val="00EB0E70"/>
    <w:rsid w:val="00EB1274"/>
    <w:rsid w:val="00EB1EF0"/>
    <w:rsid w:val="00EC4757"/>
    <w:rsid w:val="00EC7EDB"/>
    <w:rsid w:val="00ED2BB6"/>
    <w:rsid w:val="00ED34E1"/>
    <w:rsid w:val="00ED3B8D"/>
    <w:rsid w:val="00EE04E9"/>
    <w:rsid w:val="00EE0FA0"/>
    <w:rsid w:val="00EE5763"/>
    <w:rsid w:val="00EF15D3"/>
    <w:rsid w:val="00EF28BF"/>
    <w:rsid w:val="00EF2E3A"/>
    <w:rsid w:val="00EF3A08"/>
    <w:rsid w:val="00EF46D2"/>
    <w:rsid w:val="00F0016B"/>
    <w:rsid w:val="00F02EF9"/>
    <w:rsid w:val="00F034FD"/>
    <w:rsid w:val="00F047D8"/>
    <w:rsid w:val="00F072A7"/>
    <w:rsid w:val="00F078DC"/>
    <w:rsid w:val="00F14593"/>
    <w:rsid w:val="00F1614C"/>
    <w:rsid w:val="00F171A1"/>
    <w:rsid w:val="00F2146F"/>
    <w:rsid w:val="00F25291"/>
    <w:rsid w:val="00F259DF"/>
    <w:rsid w:val="00F32BA8"/>
    <w:rsid w:val="00F349F1"/>
    <w:rsid w:val="00F36329"/>
    <w:rsid w:val="00F37E47"/>
    <w:rsid w:val="00F4215A"/>
    <w:rsid w:val="00F4350D"/>
    <w:rsid w:val="00F50532"/>
    <w:rsid w:val="00F567F7"/>
    <w:rsid w:val="00F61B09"/>
    <w:rsid w:val="00F62036"/>
    <w:rsid w:val="00F65B52"/>
    <w:rsid w:val="00F67BCA"/>
    <w:rsid w:val="00F72DCC"/>
    <w:rsid w:val="00F73BD6"/>
    <w:rsid w:val="00F81292"/>
    <w:rsid w:val="00F83989"/>
    <w:rsid w:val="00F85099"/>
    <w:rsid w:val="00F87530"/>
    <w:rsid w:val="00F9379C"/>
    <w:rsid w:val="00F9632C"/>
    <w:rsid w:val="00FA1E52"/>
    <w:rsid w:val="00FA2F30"/>
    <w:rsid w:val="00FA31DE"/>
    <w:rsid w:val="00FA7D17"/>
    <w:rsid w:val="00FB33F4"/>
    <w:rsid w:val="00FB7A06"/>
    <w:rsid w:val="00FC3EB8"/>
    <w:rsid w:val="00FC4E36"/>
    <w:rsid w:val="00FC5C46"/>
    <w:rsid w:val="00FC7D25"/>
    <w:rsid w:val="00FC7DDD"/>
    <w:rsid w:val="00FD13CC"/>
    <w:rsid w:val="00FE4688"/>
    <w:rsid w:val="00FE72D6"/>
    <w:rsid w:val="00FE79D0"/>
    <w:rsid w:val="00FF49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83F50"/>
  <w15:chartTrackingRefBased/>
  <w15:docId w15:val="{50745D24-6417-48A0-B255-68F8D9B1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857BAD"/>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f302855-5de3-48f9-83c2-fc1acc0f760b" ContentTypeId="0x010100B5F685A1365F544391EF8C813B164F3A"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DocumentNotes xmlns="db2b92ca-6ed0-4085-802d-4c686a2e8c3f" xsi:nil="true"/>
    <NAPReason xmlns="db2b92ca-6ed0-4085-802d-4c686a2e8c3f" xsi:nil="true"/>
    <_dlc_DocId xmlns="eb44715b-cd74-4c79-92c4-f0e9f1a86440">001037-852103574-3409</_dlc_DocId>
    <_dlc_DocIdUrl xmlns="eb44715b-cd74-4c79-92c4-f0e9f1a86440">
      <Url>https://asiclink.sharepoint.com/teams/001037/_layouts/15/DocIdRedir.aspx?ID=001037-852103574-3409</Url>
      <Description>001037-852103574-3409</Description>
    </_dlc_DocIdUrl>
    <TaxCatchAll xmlns="db2b92ca-6ed0-4085-802d-4c686a2e8c3f">
      <Value>2</Value>
    </TaxCatchAll>
    <lcf76f155ced4ddcb4097134ff3c332f xmlns="76db5712-49ab-4a50-9809-1d005dc21b00" xsi:nil="true"/>
    <be88c94b67ae4f5686cb52243c3cb97f xmlns="eb44715b-cd74-4c79-92c4-f0e9f1a86440">
      <Terms xmlns="http://schemas.microsoft.com/office/infopath/2007/PartnerControls"/>
    </be88c94b67ae4f5686cb52243c3cb97f>
    <o6f7b05c02124a86ab66ebac6d22533a xmlns="eb44715b-cd74-4c79-92c4-f0e9f1a86440">
      <Terms xmlns="http://schemas.microsoft.com/office/infopath/2007/PartnerControls"/>
    </o6f7b05c02124a86ab66ebac6d22533a>
    <k48e9257605e4fa884546a6d62c7455f xmlns="eb44715b-cd74-4c79-92c4-f0e9f1a86440">
      <Terms xmlns="http://schemas.microsoft.com/office/infopath/2007/PartnerControls"/>
    </k48e9257605e4fa884546a6d62c7455f>
  </documentManagement>
</p:properties>
</file>

<file path=customXml/item7.xml><?xml version="1.0" encoding="utf-8"?>
<ct:contentTypeSchema xmlns:ct="http://schemas.microsoft.com/office/2006/metadata/contentType" xmlns:ma="http://schemas.microsoft.com/office/2006/metadata/properties/metaAttributes" ct:_="" ma:_="" ma:contentTypeName="Corporations and EMR Project Document" ma:contentTypeID="0x010100B5F685A1365F544391EF8C813B164F3A450085D4BDE66ED465458CC4FC569C10694F" ma:contentTypeVersion="25" ma:contentTypeDescription="" ma:contentTypeScope="" ma:versionID="42563869d6257bfd81bacbd5447f29c5">
  <xsd:schema xmlns:xsd="http://www.w3.org/2001/XMLSchema" xmlns:xs="http://www.w3.org/2001/XMLSchema" xmlns:p="http://schemas.microsoft.com/office/2006/metadata/properties" xmlns:ns2="db2b92ca-6ed0-4085-802d-4c686a2e8c3f" xmlns:ns3="eb44715b-cd74-4c79-92c4-f0e9f1a86440" xmlns:ns4="76db5712-49ab-4a50-9809-1d005dc21b00" targetNamespace="http://schemas.microsoft.com/office/2006/metadata/properties" ma:root="true" ma:fieldsID="63bd151e465c27dce961318cbdc2de0b" ns2:_="" ns3:_="" ns4:_="">
    <xsd:import namespace="db2b92ca-6ed0-4085-802d-4c686a2e8c3f"/>
    <xsd:import namespace="eb44715b-cd74-4c79-92c4-f0e9f1a86440"/>
    <xsd:import namespace="76db5712-49ab-4a50-9809-1d005dc21b0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k48e9257605e4fa884546a6d62c7455f" minOccurs="0"/>
                <xsd:element ref="ns4:lcf76f155ced4ddcb4097134ff3c332f" minOccurs="0"/>
                <xsd:element ref="ns3:o6f7b05c02124a86ab66ebac6d22533a" minOccurs="0"/>
                <xsd:element ref="ns3:be88c94b67ae4f5686cb52243c3cb97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40dd7e9-5e5a-4eb3-8afa-ed03fccaf443}"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40dd7e9-5e5a-4eb3-8afa-ed03fccaf443}"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k48e9257605e4fa884546a6d62c7455f" ma:index="14" nillable="true" ma:taxonomy="true" ma:internalName="k48e9257605e4fa884546a6d62c7455f" ma:taxonomyFieldName="Corps_x0020_and_x0020_EMR_x0020_Project_x0020_Category" ma:displayName="Corps and EMR Project Category" ma:readOnly="false" ma:fieldId="{448e9257-605e-4fa8-8454-6a6d62c7455f}" ma:sspId="af302855-5de3-48f9-83c2-fc1acc0f760b" ma:termSetId="0b01b704-a041-4ae4-a682-668b6997fade" ma:anchorId="ad7daaac-5606-4b12-9c8f-f950ddfe7646" ma:open="false" ma:isKeyword="false">
      <xsd:complexType>
        <xsd:sequence>
          <xsd:element ref="pc:Terms" minOccurs="0" maxOccurs="1"/>
        </xsd:sequence>
      </xsd:complexType>
    </xsd:element>
    <xsd:element name="o6f7b05c02124a86ab66ebac6d22533a" ma:index="19" nillable="true" ma:taxonomy="true" ma:internalName="o6f7b05c02124a86ab66ebac6d22533a" ma:taxonomyFieldName="Project_x0020_Subject_x0020_Matter" ma:displayName="Corps and EMR Project Subject Matter" ma:readOnly="false" ma:fieldId="{86f7b05c-0212-4a86-ab66-ebac6d22533a}" ma:sspId="af302855-5de3-48f9-83c2-fc1acc0f760b" ma:termSetId="0b01b704-a041-4ae4-a682-668b6997fade" ma:anchorId="c7bd51d9-2117-439c-8f58-7844e90a3f04" ma:open="false" ma:isKeyword="false">
      <xsd:complexType>
        <xsd:sequence>
          <xsd:element ref="pc:Terms" minOccurs="0" maxOccurs="1"/>
        </xsd:sequence>
      </xsd:complexType>
    </xsd:element>
    <xsd:element name="be88c94b67ae4f5686cb52243c3cb97f" ma:index="20" nillable="true" ma:taxonomy="true" ma:internalName="be88c94b67ae4f5686cb52243c3cb97f" ma:taxonomyFieldName="Coprs_x0020_and_x0020_EMR_x0020_Project_x0020_Document_x0020_Type" ma:displayName="Corps and EMR Project Document Type" ma:readOnly="false" ma:fieldId="{be88c94b-67ae-4f56-86cb-52243c3cb97f}" ma:sspId="af302855-5de3-48f9-83c2-fc1acc0f760b" ma:termSetId="0b01b704-a041-4ae4-a682-668b6997fade" ma:anchorId="b20bd28f-2c99-4a8d-b2dc-be27d16da788"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6db5712-49ab-4a50-9809-1d005dc21b00" elementFormDefault="qualified">
    <xsd:import namespace="http://schemas.microsoft.com/office/2006/documentManagement/types"/>
    <xsd:import namespace="http://schemas.microsoft.com/office/infopath/2007/PartnerControls"/>
    <xsd:element name="lcf76f155ced4ddcb4097134ff3c332f" ma:index="1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651C0-A86C-4CEB-8DA1-5987CFBF4EE7}">
  <ds:schemaRefs>
    <ds:schemaRef ds:uri="Microsoft.SharePoint.Taxonomy.ContentTypeSync"/>
  </ds:schemaRefs>
</ds:datastoreItem>
</file>

<file path=customXml/itemProps2.xml><?xml version="1.0" encoding="utf-8"?>
<ds:datastoreItem xmlns:ds="http://schemas.openxmlformats.org/officeDocument/2006/customXml" ds:itemID="{E5CEBABF-8A80-41DD-A5FF-09F19037DFB8}">
  <ds:schemaRefs>
    <ds:schemaRef ds:uri="http://schemas.microsoft.com/sharepoint/events"/>
  </ds:schemaRefs>
</ds:datastoreItem>
</file>

<file path=customXml/itemProps3.xml><?xml version="1.0" encoding="utf-8"?>
<ds:datastoreItem xmlns:ds="http://schemas.openxmlformats.org/officeDocument/2006/customXml" ds:itemID="{223173C1-BD6D-4396-AB5C-7E2E3BED973B}">
  <ds:schemaRefs>
    <ds:schemaRef ds:uri="http://schemas.microsoft.com/office/2006/metadata/longProperties"/>
  </ds:schemaRefs>
</ds:datastoreItem>
</file>

<file path=customXml/itemProps4.xml><?xml version="1.0" encoding="utf-8"?>
<ds:datastoreItem xmlns:ds="http://schemas.openxmlformats.org/officeDocument/2006/customXml" ds:itemID="{D6E0C325-1D02-4DE0-B6B4-0A841017D537}">
  <ds:schemaRefs>
    <ds:schemaRef ds:uri="http://schemas.openxmlformats.org/officeDocument/2006/bibliography"/>
  </ds:schemaRefs>
</ds:datastoreItem>
</file>

<file path=customXml/itemProps5.xml><?xml version="1.0" encoding="utf-8"?>
<ds:datastoreItem xmlns:ds="http://schemas.openxmlformats.org/officeDocument/2006/customXml" ds:itemID="{6C82BE0B-E470-4609-8EA6-4A841DEE3509}">
  <ds:schemaRefs>
    <ds:schemaRef ds:uri="http://schemas.microsoft.com/sharepoint/v3/contenttype/forms"/>
  </ds:schemaRefs>
</ds:datastoreItem>
</file>

<file path=customXml/itemProps6.xml><?xml version="1.0" encoding="utf-8"?>
<ds:datastoreItem xmlns:ds="http://schemas.openxmlformats.org/officeDocument/2006/customXml" ds:itemID="{62E809C2-6D9B-4B70-B79C-921106471B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44715b-cd74-4c79-92c4-f0e9f1a86440"/>
    <ds:schemaRef ds:uri="76db5712-49ab-4a50-9809-1d005dc21b00"/>
    <ds:schemaRef ds:uri="db2b92ca-6ed0-4085-802d-4c686a2e8c3f"/>
    <ds:schemaRef ds:uri="http://www.w3.org/XML/1998/namespace"/>
    <ds:schemaRef ds:uri="http://purl.org/dc/dcmitype/"/>
  </ds:schemaRefs>
</ds:datastoreItem>
</file>

<file path=customXml/itemProps7.xml><?xml version="1.0" encoding="utf-8"?>
<ds:datastoreItem xmlns:ds="http://schemas.openxmlformats.org/officeDocument/2006/customXml" ds:itemID="{C7ABD142-824B-4B69-862D-C9A38CB9D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76db5712-49ab-4a50-9809-1d005dc21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INST_NEW</Template>
  <TotalTime>3</TotalTime>
  <Pages>7</Pages>
  <Words>921</Words>
  <Characters>5254</Characters>
  <Application>Microsoft Office Word</Application>
  <DocSecurity>0</DocSecurity>
  <PresentationFormat/>
  <Lines>43</Lines>
  <Paragraphs>12</Paragraphs>
  <ScaleCrop>false</ScaleCrop>
  <HeadingPairs>
    <vt:vector size="2" baseType="variant">
      <vt:variant>
        <vt:lpstr>Title</vt:lpstr>
      </vt:variant>
      <vt:variant>
        <vt:i4>1</vt:i4>
      </vt:variant>
    </vt:vector>
  </HeadingPairs>
  <TitlesOfParts>
    <vt:vector size="1" baseType="lpstr">
      <vt:lpstr>2025XXXX LI 2025-XX Foreign Rights Issues</vt:lpstr>
    </vt:vector>
  </TitlesOfParts>
  <Company>ASIC</Company>
  <LinksUpToDate>false</LinksUpToDate>
  <CharactersWithSpaces>6163</CharactersWithSpaces>
  <SharedDoc>false</SharedDoc>
  <HyperlinkBase/>
  <HLinks>
    <vt:vector size="54" baseType="variant">
      <vt:variant>
        <vt:i4>2031671</vt:i4>
      </vt:variant>
      <vt:variant>
        <vt:i4>50</vt:i4>
      </vt:variant>
      <vt:variant>
        <vt:i4>0</vt:i4>
      </vt:variant>
      <vt:variant>
        <vt:i4>5</vt:i4>
      </vt:variant>
      <vt:variant>
        <vt:lpwstr/>
      </vt:variant>
      <vt:variant>
        <vt:lpwstr>_Toc207629073</vt:lpwstr>
      </vt:variant>
      <vt:variant>
        <vt:i4>2031671</vt:i4>
      </vt:variant>
      <vt:variant>
        <vt:i4>44</vt:i4>
      </vt:variant>
      <vt:variant>
        <vt:i4>0</vt:i4>
      </vt:variant>
      <vt:variant>
        <vt:i4>5</vt:i4>
      </vt:variant>
      <vt:variant>
        <vt:lpwstr/>
      </vt:variant>
      <vt:variant>
        <vt:lpwstr>_Toc207629072</vt:lpwstr>
      </vt:variant>
      <vt:variant>
        <vt:i4>2031671</vt:i4>
      </vt:variant>
      <vt:variant>
        <vt:i4>38</vt:i4>
      </vt:variant>
      <vt:variant>
        <vt:i4>0</vt:i4>
      </vt:variant>
      <vt:variant>
        <vt:i4>5</vt:i4>
      </vt:variant>
      <vt:variant>
        <vt:lpwstr/>
      </vt:variant>
      <vt:variant>
        <vt:lpwstr>_Toc207629071</vt:lpwstr>
      </vt:variant>
      <vt:variant>
        <vt:i4>2031671</vt:i4>
      </vt:variant>
      <vt:variant>
        <vt:i4>32</vt:i4>
      </vt:variant>
      <vt:variant>
        <vt:i4>0</vt:i4>
      </vt:variant>
      <vt:variant>
        <vt:i4>5</vt:i4>
      </vt:variant>
      <vt:variant>
        <vt:lpwstr/>
      </vt:variant>
      <vt:variant>
        <vt:lpwstr>_Toc207629070</vt:lpwstr>
      </vt:variant>
      <vt:variant>
        <vt:i4>1966135</vt:i4>
      </vt:variant>
      <vt:variant>
        <vt:i4>26</vt:i4>
      </vt:variant>
      <vt:variant>
        <vt:i4>0</vt:i4>
      </vt:variant>
      <vt:variant>
        <vt:i4>5</vt:i4>
      </vt:variant>
      <vt:variant>
        <vt:lpwstr/>
      </vt:variant>
      <vt:variant>
        <vt:lpwstr>_Toc207629069</vt:lpwstr>
      </vt:variant>
      <vt:variant>
        <vt:i4>1966135</vt:i4>
      </vt:variant>
      <vt:variant>
        <vt:i4>20</vt:i4>
      </vt:variant>
      <vt:variant>
        <vt:i4>0</vt:i4>
      </vt:variant>
      <vt:variant>
        <vt:i4>5</vt:i4>
      </vt:variant>
      <vt:variant>
        <vt:lpwstr/>
      </vt:variant>
      <vt:variant>
        <vt:lpwstr>_Toc207629068</vt:lpwstr>
      </vt:variant>
      <vt:variant>
        <vt:i4>1966135</vt:i4>
      </vt:variant>
      <vt:variant>
        <vt:i4>14</vt:i4>
      </vt:variant>
      <vt:variant>
        <vt:i4>0</vt:i4>
      </vt:variant>
      <vt:variant>
        <vt:i4>5</vt:i4>
      </vt:variant>
      <vt:variant>
        <vt:lpwstr/>
      </vt:variant>
      <vt:variant>
        <vt:lpwstr>_Toc207629067</vt:lpwstr>
      </vt:variant>
      <vt:variant>
        <vt:i4>1966135</vt:i4>
      </vt:variant>
      <vt:variant>
        <vt:i4>8</vt:i4>
      </vt:variant>
      <vt:variant>
        <vt:i4>0</vt:i4>
      </vt:variant>
      <vt:variant>
        <vt:i4>5</vt:i4>
      </vt:variant>
      <vt:variant>
        <vt:lpwstr/>
      </vt:variant>
      <vt:variant>
        <vt:lpwstr>_Toc207629066</vt:lpwstr>
      </vt:variant>
      <vt:variant>
        <vt:i4>1966135</vt:i4>
      </vt:variant>
      <vt:variant>
        <vt:i4>2</vt:i4>
      </vt:variant>
      <vt:variant>
        <vt:i4>0</vt:i4>
      </vt:variant>
      <vt:variant>
        <vt:i4>5</vt:i4>
      </vt:variant>
      <vt:variant>
        <vt:lpwstr/>
      </vt:variant>
      <vt:variant>
        <vt:lpwstr>_Toc207629065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2025XXXX LI 2025-XX Foreign Rights Issues</dc:title>
  <dc:subject/>
  <dc:creator>Anthony Graham</dc:creator>
  <cp:keywords/>
  <dc:description/>
  <cp:lastModifiedBy>Narelle Kane</cp:lastModifiedBy>
  <cp:revision>9</cp:revision>
  <cp:lastPrinted>2014-06-13T21:38:00Z</cp:lastPrinted>
  <dcterms:created xsi:type="dcterms:W3CDTF">2025-09-18T07:01:00Z</dcterms:created>
  <dcterms:modified xsi:type="dcterms:W3CDTF">2025-09-19T06:29:00Z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{acdd1afa-b056-4008-858c-995c828f7cb3}</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R20150000005028</vt:lpwstr>
  </property>
  <property fmtid="{D5CDD505-2E9C-101B-9397-08002B2CF9AE}" pid="47" name="RecordPoint_SubmissionCompleted">
    <vt:lpwstr>2022-03-18T15:31:50.4310568+11:00</vt:lpwstr>
  </property>
  <property fmtid="{D5CDD505-2E9C-101B-9397-08002B2CF9AE}" pid="48" name="RecordPoint_RecordNumberSubmitted">
    <vt:lpwstr>R20150000005028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2;#OFFICIAL|cffd3088-7a74-4edb-8c9e-fbf79371a422</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MailSubject">
    <vt:lpwstr/>
  </property>
  <property fmtid="{D5CDD505-2E9C-101B-9397-08002B2CF9AE}" pid="59" name="MailIn-Reply-To0">
    <vt:lpwstr/>
  </property>
  <property fmtid="{D5CDD505-2E9C-101B-9397-08002B2CF9AE}" pid="60" name="display_urn:schemas-microsoft-com:office:office#Editor">
    <vt:lpwstr>Tony Tong</vt:lpwstr>
  </property>
  <property fmtid="{D5CDD505-2E9C-101B-9397-08002B2CF9AE}" pid="61" name="MailTo">
    <vt:lpwstr/>
  </property>
  <property fmtid="{D5CDD505-2E9C-101B-9397-08002B2CF9AE}" pid="62" name="MailCc">
    <vt:lpwstr/>
  </property>
  <property fmtid="{D5CDD505-2E9C-101B-9397-08002B2CF9AE}" pid="63" name="display_urn:schemas-microsoft-com:office:office#Author">
    <vt:lpwstr>Grant Moodie</vt:lpwstr>
  </property>
  <property fmtid="{D5CDD505-2E9C-101B-9397-08002B2CF9AE}" pid="64" name="DocumentSetDescription">
    <vt:lpwstr/>
  </property>
  <property fmtid="{D5CDD505-2E9C-101B-9397-08002B2CF9AE}" pid="65" name="ContentTypeId">
    <vt:lpwstr>0x010100B5F685A1365F544391EF8C813B164F3A450085D4BDE66ED465458CC4FC569C10694F</vt:lpwstr>
  </property>
  <property fmtid="{D5CDD505-2E9C-101B-9397-08002B2CF9AE}" pid="66" name="MailDate">
    <vt:lpwstr/>
  </property>
  <property fmtid="{D5CDD505-2E9C-101B-9397-08002B2CF9AE}" pid="67" name="MailReferences">
    <vt:lpwstr/>
  </property>
  <property fmtid="{D5CDD505-2E9C-101B-9397-08002B2CF9AE}" pid="68" name="URL">
    <vt:lpwstr/>
  </property>
  <property fmtid="{D5CDD505-2E9C-101B-9397-08002B2CF9AE}" pid="69" name="MailFrom">
    <vt:lpwstr/>
  </property>
  <property fmtid="{D5CDD505-2E9C-101B-9397-08002B2CF9AE}" pid="70" name="MailOriginalSubject">
    <vt:lpwstr/>
  </property>
  <property fmtid="{D5CDD505-2E9C-101B-9397-08002B2CF9AE}" pid="71" name="MailAttachments">
    <vt:lpwstr/>
  </property>
  <property fmtid="{D5CDD505-2E9C-101B-9397-08002B2CF9AE}" pid="72" name="MailReply-To0">
    <vt:lpwstr/>
  </property>
  <property fmtid="{D5CDD505-2E9C-101B-9397-08002B2CF9AE}" pid="73" name="_dlc_DocId">
    <vt:lpwstr>000853-1726373233-7</vt:lpwstr>
  </property>
  <property fmtid="{D5CDD505-2E9C-101B-9397-08002B2CF9AE}" pid="74" name="_dlc_DocIdItemGuid">
    <vt:lpwstr>a37f59d5-45aa-49f6-9daf-f6083fda2296</vt:lpwstr>
  </property>
  <property fmtid="{D5CDD505-2E9C-101B-9397-08002B2CF9AE}" pid="75" name="_dlc_DocIdUrl">
    <vt:lpwstr>https://asiclink.sharepoint.com/teams/000853/_layouts/15/DocIdRedir.aspx?ID=000853-1726373233-7, 000853-1726373233-7</vt:lpwstr>
  </property>
  <property fmtid="{D5CDD505-2E9C-101B-9397-08002B2CF9AE}" pid="76" name="MSIP_Label_a6aead41-07f8-4767-ac8e-ef1c9c793766_Enabled">
    <vt:lpwstr>true</vt:lpwstr>
  </property>
  <property fmtid="{D5CDD505-2E9C-101B-9397-08002B2CF9AE}" pid="77" name="MSIP_Label_a6aead41-07f8-4767-ac8e-ef1c9c793766_SetDate">
    <vt:lpwstr>2023-08-16T23:30:51Z</vt:lpwstr>
  </property>
  <property fmtid="{D5CDD505-2E9C-101B-9397-08002B2CF9AE}" pid="78" name="MSIP_Label_a6aead41-07f8-4767-ac8e-ef1c9c793766_Method">
    <vt:lpwstr>Standard</vt:lpwstr>
  </property>
  <property fmtid="{D5CDD505-2E9C-101B-9397-08002B2CF9AE}" pid="79" name="MSIP_Label_a6aead41-07f8-4767-ac8e-ef1c9c793766_Name">
    <vt:lpwstr>OFFICIAL</vt:lpwstr>
  </property>
  <property fmtid="{D5CDD505-2E9C-101B-9397-08002B2CF9AE}" pid="80" name="MSIP_Label_a6aead41-07f8-4767-ac8e-ef1c9c793766_SiteId">
    <vt:lpwstr>5f1de7c6-55cd-4bb2-902d-514c78cf10f4</vt:lpwstr>
  </property>
  <property fmtid="{D5CDD505-2E9C-101B-9397-08002B2CF9AE}" pid="81" name="MSIP_Label_a6aead41-07f8-4767-ac8e-ef1c9c793766_ActionId">
    <vt:lpwstr>7762a810-eda9-4d8d-986d-be8e0820832b</vt:lpwstr>
  </property>
  <property fmtid="{D5CDD505-2E9C-101B-9397-08002B2CF9AE}" pid="82" name="MSIP_Label_a6aead41-07f8-4767-ac8e-ef1c9c793766_ContentBits">
    <vt:lpwstr>0</vt:lpwstr>
  </property>
  <property fmtid="{D5CDD505-2E9C-101B-9397-08002B2CF9AE}" pid="83" name="MediaServiceImageTags">
    <vt:lpwstr/>
  </property>
  <property fmtid="{D5CDD505-2E9C-101B-9397-08002B2CF9AE}" pid="84" name="Project_x0020_Subject_x0020_Matter">
    <vt:lpwstr/>
  </property>
  <property fmtid="{D5CDD505-2E9C-101B-9397-08002B2CF9AE}" pid="85" name="be88c94b67ae4f5686cb52243c3cb97f">
    <vt:lpwstr/>
  </property>
  <property fmtid="{D5CDD505-2E9C-101B-9397-08002B2CF9AE}" pid="86" name="Corps_x0020_and_x0020_EMR_x0020_Project_x0020_Category">
    <vt:lpwstr/>
  </property>
  <property fmtid="{D5CDD505-2E9C-101B-9397-08002B2CF9AE}" pid="87" name="b3167cad23c140d09ce7c051d06877b5">
    <vt:lpwstr/>
  </property>
  <property fmtid="{D5CDD505-2E9C-101B-9397-08002B2CF9AE}" pid="88" name="Coprs_x0020_and_x0020_EMR_x0020_Project_x0020_Document_x0020_Type">
    <vt:lpwstr/>
  </property>
  <property fmtid="{D5CDD505-2E9C-101B-9397-08002B2CF9AE}" pid="89" name="ProjectName">
    <vt:lpwstr/>
  </property>
  <property fmtid="{D5CDD505-2E9C-101B-9397-08002B2CF9AE}" pid="90" name="o6f7b05c02124a86ab66ebac6d22533a">
    <vt:lpwstr/>
  </property>
  <property fmtid="{D5CDD505-2E9C-101B-9397-08002B2CF9AE}" pid="91" name="k48e9257605e4fa884546a6d62c7455f">
    <vt:lpwstr/>
  </property>
  <property fmtid="{D5CDD505-2E9C-101B-9397-08002B2CF9AE}" pid="92" name="Coprs and EMR Project Document Type">
    <vt:lpwstr/>
  </property>
  <property fmtid="{D5CDD505-2E9C-101B-9397-08002B2CF9AE}" pid="93" name="Project Subject Matter">
    <vt:lpwstr/>
  </property>
  <property fmtid="{D5CDD505-2E9C-101B-9397-08002B2CF9AE}" pid="94" name="Corps and EMR Project Category">
    <vt:lpwstr/>
  </property>
  <property fmtid="{D5CDD505-2E9C-101B-9397-08002B2CF9AE}" pid="95" name="ECMSP13CreatedBy">
    <vt:lpwstr>Grant Moodie</vt:lpwstr>
  </property>
  <property fmtid="{D5CDD505-2E9C-101B-9397-08002B2CF9AE}" pid="96" name="ECMSP13ModifiedBy">
    <vt:lpwstr>Tony Tong</vt:lpwstr>
  </property>
  <property fmtid="{D5CDD505-2E9C-101B-9397-08002B2CF9AE}" pid="97" name="ECMSP13SecurityClassification">
    <vt:lpwstr>Sensitive</vt:lpwstr>
  </property>
  <property fmtid="{D5CDD505-2E9C-101B-9397-08002B2CF9AE}" pid="98" name="ECMSP13DocumentID">
    <vt:lpwstr>R20150000005028</vt:lpwstr>
  </property>
  <property fmtid="{D5CDD505-2E9C-101B-9397-08002B2CF9AE}" pid="99" name="Order">
    <vt:r8>323500</vt:r8>
  </property>
  <property fmtid="{D5CDD505-2E9C-101B-9397-08002B2CF9AE}" pid="100" name="docLang">
    <vt:lpwstr>en</vt:lpwstr>
  </property>
</Properties>
</file>