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288BD" w14:textId="53558561" w:rsidR="00291094" w:rsidRDefault="00291094" w:rsidP="00EE64C9">
      <w:pPr>
        <w:pStyle w:val="ACMAHeading1"/>
        <w:spacing w:before="360" w:after="120"/>
        <w:jc w:val="center"/>
        <w:rPr>
          <w:rFonts w:eastAsia="Times" w:cs="Arial"/>
          <w:sz w:val="24"/>
          <w:szCs w:val="20"/>
          <w:lang w:val="en-AU" w:eastAsia="en-AU"/>
        </w:rPr>
      </w:pPr>
      <w:r w:rsidRPr="00A41A66">
        <w:rPr>
          <w:rFonts w:eastAsia="Times" w:cs="Arial"/>
          <w:sz w:val="24"/>
          <w:szCs w:val="20"/>
          <w:lang w:val="en-AU" w:eastAsia="en-AU"/>
        </w:rPr>
        <w:t>EXPLANATORY STATEMENT</w:t>
      </w:r>
    </w:p>
    <w:p w14:paraId="66ED4EC3" w14:textId="5EB1B280" w:rsidR="00294A6D" w:rsidRPr="003E5BC4" w:rsidRDefault="00294A6D" w:rsidP="003E5BC4">
      <w:pPr>
        <w:pStyle w:val="ACMABodyText"/>
        <w:spacing w:before="0" w:after="0" w:line="240" w:lineRule="auto"/>
        <w:jc w:val="center"/>
        <w:rPr>
          <w:rFonts w:eastAsia="Times" w:cs="Arial"/>
          <w:sz w:val="20"/>
          <w:lang w:eastAsia="en-AU"/>
        </w:rPr>
      </w:pPr>
      <w:r w:rsidRPr="003E5BC4">
        <w:rPr>
          <w:rFonts w:ascii="Arial" w:eastAsia="Times" w:hAnsi="Arial" w:cs="Arial"/>
          <w:snapToGrid/>
          <w:sz w:val="20"/>
          <w:lang w:eastAsia="en-AU"/>
        </w:rPr>
        <w:t xml:space="preserve">Approved by the Australian Communications and Media Authority </w:t>
      </w:r>
    </w:p>
    <w:p w14:paraId="1C748B36" w14:textId="77777777" w:rsidR="00B76A7C" w:rsidRPr="00A41A66" w:rsidRDefault="00B76A7C" w:rsidP="00B76A7C">
      <w:pPr>
        <w:pStyle w:val="ACMABodyText"/>
        <w:spacing w:before="0" w:after="0" w:line="240" w:lineRule="auto"/>
        <w:rPr>
          <w:rFonts w:ascii="Arial" w:eastAsia="Times" w:hAnsi="Arial" w:cs="Arial"/>
          <w:lang w:eastAsia="en-AU"/>
        </w:rPr>
      </w:pPr>
    </w:p>
    <w:p w14:paraId="3E0D5435" w14:textId="468D902B" w:rsidR="00B76A7C" w:rsidRPr="00E46003" w:rsidRDefault="00DB1211" w:rsidP="00B76A7C">
      <w:pPr>
        <w:pStyle w:val="ACMABodyText"/>
        <w:spacing w:before="0" w:after="0"/>
        <w:jc w:val="center"/>
        <w:rPr>
          <w:rFonts w:ascii="Arial" w:hAnsi="Arial" w:cs="Arial"/>
          <w:i/>
          <w:snapToGrid/>
          <w:sz w:val="22"/>
          <w:szCs w:val="22"/>
          <w:lang w:eastAsia="en-AU"/>
        </w:rPr>
      </w:pPr>
      <w:bookmarkStart w:id="0" w:name="OLE_LINK3"/>
      <w:bookmarkStart w:id="1" w:name="OLE_LINK4"/>
      <w:bookmarkStart w:id="2" w:name="OLE_LINK15"/>
      <w:r w:rsidRPr="00E46003">
        <w:rPr>
          <w:rFonts w:ascii="Arial" w:hAnsi="Arial" w:cs="Arial"/>
          <w:i/>
          <w:snapToGrid/>
          <w:sz w:val="22"/>
          <w:szCs w:val="22"/>
          <w:lang w:eastAsia="en-AU"/>
        </w:rPr>
        <w:t>Telecommunications (Consumer Protection and Service Standards) Act 1999</w:t>
      </w:r>
    </w:p>
    <w:p w14:paraId="20645AEF" w14:textId="77777777" w:rsidR="00EE64C9" w:rsidRPr="00E46003" w:rsidRDefault="00EE64C9" w:rsidP="00EE64C9">
      <w:pPr>
        <w:pStyle w:val="ACMABodyText"/>
        <w:spacing w:before="0" w:after="0" w:line="240" w:lineRule="auto"/>
        <w:jc w:val="center"/>
        <w:rPr>
          <w:rFonts w:ascii="Arial" w:hAnsi="Arial" w:cs="Arial"/>
          <w:b/>
          <w:i/>
          <w:sz w:val="22"/>
          <w:szCs w:val="22"/>
        </w:rPr>
      </w:pPr>
    </w:p>
    <w:p w14:paraId="450148F5" w14:textId="6546CB81" w:rsidR="00291094" w:rsidRPr="00E46003" w:rsidRDefault="00EA3705" w:rsidP="00B76A7C">
      <w:pPr>
        <w:spacing w:line="240" w:lineRule="auto"/>
        <w:jc w:val="center"/>
        <w:rPr>
          <w:rFonts w:ascii="Arial" w:hAnsi="Arial" w:cs="Arial"/>
          <w:b/>
          <w:i/>
          <w:sz w:val="22"/>
          <w:szCs w:val="22"/>
        </w:rPr>
      </w:pPr>
      <w:r w:rsidRPr="00E46003">
        <w:rPr>
          <w:rFonts w:ascii="Arial" w:hAnsi="Arial" w:cs="Arial"/>
          <w:b/>
          <w:i/>
          <w:sz w:val="22"/>
          <w:szCs w:val="22"/>
        </w:rPr>
        <w:t>Telecommunications (Eligible Revenue) Determination</w:t>
      </w:r>
      <w:r w:rsidR="00291094" w:rsidRPr="00E46003">
        <w:rPr>
          <w:rFonts w:ascii="Arial" w:hAnsi="Arial" w:cs="Arial"/>
          <w:b/>
          <w:i/>
          <w:sz w:val="22"/>
          <w:szCs w:val="22"/>
        </w:rPr>
        <w:t xml:space="preserve"> 20</w:t>
      </w:r>
      <w:r w:rsidR="00CE52B3">
        <w:rPr>
          <w:rFonts w:ascii="Arial" w:hAnsi="Arial" w:cs="Arial"/>
          <w:b/>
          <w:i/>
          <w:sz w:val="22"/>
          <w:szCs w:val="22"/>
        </w:rPr>
        <w:t>2</w:t>
      </w:r>
      <w:r w:rsidR="00DB1211" w:rsidRPr="00E46003">
        <w:rPr>
          <w:rFonts w:ascii="Arial" w:hAnsi="Arial" w:cs="Arial"/>
          <w:b/>
          <w:i/>
          <w:sz w:val="22"/>
          <w:szCs w:val="22"/>
        </w:rPr>
        <w:t>5</w:t>
      </w:r>
    </w:p>
    <w:p w14:paraId="5D58B971" w14:textId="77777777" w:rsidR="00B76A7C" w:rsidRPr="00A41A66" w:rsidRDefault="00B76A7C" w:rsidP="00B76A7C">
      <w:pPr>
        <w:spacing w:line="240" w:lineRule="auto"/>
        <w:jc w:val="center"/>
        <w:rPr>
          <w:rFonts w:ascii="Arial" w:hAnsi="Arial" w:cs="Arial"/>
          <w:b/>
          <w:i/>
          <w:sz w:val="24"/>
        </w:rPr>
      </w:pPr>
    </w:p>
    <w:bookmarkEnd w:id="0"/>
    <w:bookmarkEnd w:id="1"/>
    <w:bookmarkEnd w:id="2"/>
    <w:p w14:paraId="34507598" w14:textId="77777777" w:rsidR="007F3C95" w:rsidRPr="0092230E" w:rsidRDefault="007F3C95" w:rsidP="007F3C95">
      <w:pPr>
        <w:pStyle w:val="ACMABodyText"/>
        <w:spacing w:before="0" w:after="0" w:line="240" w:lineRule="auto"/>
        <w:rPr>
          <w:rFonts w:ascii="Arial" w:hAnsi="Arial" w:cs="Arial"/>
          <w:sz w:val="20"/>
        </w:rPr>
      </w:pPr>
    </w:p>
    <w:p w14:paraId="59BE3EAD" w14:textId="77777777" w:rsidR="00294A6D" w:rsidRDefault="00294A6D" w:rsidP="007F3C95">
      <w:pPr>
        <w:pStyle w:val="ACMABodyText"/>
        <w:spacing w:before="0" w:line="240" w:lineRule="auto"/>
        <w:rPr>
          <w:rFonts w:ascii="Arial" w:hAnsi="Arial" w:cs="Arial"/>
          <w:b/>
          <w:sz w:val="20"/>
        </w:rPr>
      </w:pPr>
    </w:p>
    <w:p w14:paraId="7390E97F" w14:textId="77777777" w:rsidR="00294A6D" w:rsidRDefault="00294A6D" w:rsidP="007F3C95">
      <w:pPr>
        <w:pStyle w:val="ACMABodyText"/>
        <w:spacing w:before="0" w:line="240" w:lineRule="auto"/>
        <w:rPr>
          <w:rFonts w:ascii="Arial" w:hAnsi="Arial" w:cs="Arial"/>
          <w:b/>
          <w:sz w:val="20"/>
        </w:rPr>
      </w:pPr>
      <w:r>
        <w:rPr>
          <w:rFonts w:ascii="Arial" w:hAnsi="Arial" w:cs="Arial"/>
          <w:b/>
          <w:sz w:val="20"/>
        </w:rPr>
        <w:t xml:space="preserve">Authority </w:t>
      </w:r>
    </w:p>
    <w:p w14:paraId="7478E2B2" w14:textId="3C470EC2" w:rsidR="00842D8A" w:rsidRDefault="00375686" w:rsidP="00842D8A">
      <w:pPr>
        <w:pStyle w:val="ABABulletLevel1"/>
        <w:spacing w:after="120"/>
        <w:rPr>
          <w:rFonts w:ascii="Arial" w:hAnsi="Arial" w:cs="Arial"/>
          <w:bCs/>
          <w:sz w:val="20"/>
        </w:rPr>
      </w:pPr>
      <w:r w:rsidRPr="00375686">
        <w:rPr>
          <w:rFonts w:ascii="Arial" w:hAnsi="Arial" w:cs="Arial"/>
          <w:bCs/>
          <w:sz w:val="20"/>
        </w:rPr>
        <w:t xml:space="preserve">The Australian Communications and Media Authority (the </w:t>
      </w:r>
      <w:r w:rsidRPr="003E5BC4">
        <w:rPr>
          <w:rFonts w:ascii="Arial" w:hAnsi="Arial" w:cs="Arial"/>
          <w:b/>
          <w:sz w:val="20"/>
        </w:rPr>
        <w:t>ACMA</w:t>
      </w:r>
      <w:r w:rsidRPr="00375686">
        <w:rPr>
          <w:rFonts w:ascii="Arial" w:hAnsi="Arial" w:cs="Arial"/>
          <w:bCs/>
          <w:sz w:val="20"/>
        </w:rPr>
        <w:t xml:space="preserve">) has made the </w:t>
      </w:r>
      <w:r w:rsidRPr="003E5BC4">
        <w:rPr>
          <w:rFonts w:ascii="Arial" w:hAnsi="Arial" w:cs="Arial"/>
          <w:bCs/>
          <w:i/>
          <w:iCs/>
          <w:sz w:val="20"/>
        </w:rPr>
        <w:t xml:space="preserve">Telecommunications (Eligible Revenue) Determination 2025 </w:t>
      </w:r>
      <w:r w:rsidRPr="00375686">
        <w:rPr>
          <w:rFonts w:ascii="Arial" w:hAnsi="Arial" w:cs="Arial"/>
          <w:bCs/>
          <w:sz w:val="20"/>
        </w:rPr>
        <w:t xml:space="preserve">(the </w:t>
      </w:r>
      <w:r w:rsidR="00BF0F34">
        <w:rPr>
          <w:rFonts w:ascii="Arial" w:hAnsi="Arial" w:cs="Arial"/>
          <w:b/>
          <w:sz w:val="20"/>
        </w:rPr>
        <w:t>i</w:t>
      </w:r>
      <w:r w:rsidRPr="003E5BC4">
        <w:rPr>
          <w:rFonts w:ascii="Arial" w:hAnsi="Arial" w:cs="Arial"/>
          <w:b/>
          <w:sz w:val="20"/>
        </w:rPr>
        <w:t>nstrument</w:t>
      </w:r>
      <w:r w:rsidRPr="00375686">
        <w:rPr>
          <w:rFonts w:ascii="Arial" w:hAnsi="Arial" w:cs="Arial"/>
          <w:bCs/>
          <w:sz w:val="20"/>
        </w:rPr>
        <w:t xml:space="preserve">) under </w:t>
      </w:r>
      <w:r w:rsidR="00236F89">
        <w:rPr>
          <w:rFonts w:ascii="Arial" w:hAnsi="Arial" w:cs="Arial"/>
          <w:bCs/>
          <w:sz w:val="20"/>
        </w:rPr>
        <w:t xml:space="preserve">subsections 43(5) and 45(1) of the </w:t>
      </w:r>
      <w:r w:rsidR="00236F89" w:rsidRPr="003E5BC4">
        <w:rPr>
          <w:rFonts w:ascii="Arial" w:hAnsi="Arial" w:cs="Arial"/>
          <w:bCs/>
          <w:i/>
          <w:iCs/>
          <w:sz w:val="20"/>
        </w:rPr>
        <w:t>Telecommunications (Consumer Protection and Service Standards) Act 1999</w:t>
      </w:r>
      <w:r w:rsidRPr="00375686">
        <w:rPr>
          <w:rFonts w:ascii="Arial" w:hAnsi="Arial" w:cs="Arial"/>
          <w:bCs/>
          <w:sz w:val="20"/>
        </w:rPr>
        <w:t xml:space="preserve"> (the </w:t>
      </w:r>
      <w:r w:rsidRPr="003E5BC4">
        <w:rPr>
          <w:rFonts w:ascii="Arial" w:hAnsi="Arial" w:cs="Arial"/>
          <w:b/>
          <w:sz w:val="20"/>
        </w:rPr>
        <w:t>Act</w:t>
      </w:r>
      <w:r w:rsidRPr="00375686">
        <w:rPr>
          <w:rFonts w:ascii="Arial" w:hAnsi="Arial" w:cs="Arial"/>
          <w:bCs/>
          <w:sz w:val="20"/>
        </w:rPr>
        <w:t xml:space="preserve">) and subsection 33(3) of the </w:t>
      </w:r>
      <w:r w:rsidRPr="003E5BC4">
        <w:rPr>
          <w:rFonts w:ascii="Arial" w:hAnsi="Arial" w:cs="Arial"/>
          <w:bCs/>
          <w:i/>
          <w:iCs/>
          <w:sz w:val="20"/>
        </w:rPr>
        <w:t>Acts Interpretation Act 1901</w:t>
      </w:r>
      <w:r w:rsidRPr="00375686">
        <w:rPr>
          <w:rFonts w:ascii="Arial" w:hAnsi="Arial" w:cs="Arial"/>
          <w:bCs/>
          <w:sz w:val="20"/>
        </w:rPr>
        <w:t xml:space="preserve"> (the</w:t>
      </w:r>
      <w:r w:rsidRPr="003E5BC4">
        <w:rPr>
          <w:rFonts w:ascii="Arial" w:hAnsi="Arial" w:cs="Arial"/>
          <w:b/>
          <w:sz w:val="20"/>
        </w:rPr>
        <w:t xml:space="preserve"> AIA</w:t>
      </w:r>
      <w:r w:rsidRPr="00375686">
        <w:rPr>
          <w:rFonts w:ascii="Arial" w:hAnsi="Arial" w:cs="Arial"/>
          <w:bCs/>
          <w:sz w:val="20"/>
        </w:rPr>
        <w:t>).</w:t>
      </w:r>
    </w:p>
    <w:p w14:paraId="708C5E6F" w14:textId="2C75CCB8" w:rsidR="00842D8A" w:rsidRPr="00842D8A" w:rsidRDefault="00842D8A" w:rsidP="00842D8A">
      <w:pPr>
        <w:pStyle w:val="ABABulletLevel1"/>
        <w:spacing w:after="120"/>
        <w:rPr>
          <w:rFonts w:ascii="Arial" w:hAnsi="Arial" w:cs="Arial"/>
          <w:bCs/>
          <w:sz w:val="20"/>
        </w:rPr>
      </w:pPr>
      <w:r w:rsidRPr="0092230E">
        <w:rPr>
          <w:rFonts w:ascii="Arial" w:hAnsi="Arial" w:cs="Arial"/>
          <w:sz w:val="20"/>
        </w:rPr>
        <w:t xml:space="preserve">Subsection 45(1) </w:t>
      </w:r>
      <w:r>
        <w:rPr>
          <w:rFonts w:ascii="Arial" w:hAnsi="Arial" w:cs="Arial"/>
          <w:sz w:val="20"/>
        </w:rPr>
        <w:t xml:space="preserve">of the Act </w:t>
      </w:r>
      <w:r w:rsidRPr="0092230E">
        <w:rPr>
          <w:rFonts w:ascii="Arial" w:hAnsi="Arial" w:cs="Arial"/>
          <w:sz w:val="20"/>
        </w:rPr>
        <w:t xml:space="preserve">provides that the eligible revenue of a participating person for an eligible revenue period is the amount ascertained in accordance with a written determination made by the ACMA. </w:t>
      </w:r>
    </w:p>
    <w:p w14:paraId="540FC4A1" w14:textId="4D8A4F03" w:rsidR="00842D8A" w:rsidRDefault="00842D8A" w:rsidP="00842D8A">
      <w:pPr>
        <w:pStyle w:val="ABABulletLevel1"/>
        <w:spacing w:after="120"/>
        <w:rPr>
          <w:rFonts w:ascii="Arial" w:hAnsi="Arial" w:cs="Arial"/>
          <w:sz w:val="20"/>
        </w:rPr>
      </w:pPr>
      <w:r w:rsidRPr="0092230E">
        <w:rPr>
          <w:rFonts w:ascii="Arial" w:hAnsi="Arial" w:cs="Arial"/>
          <w:sz w:val="20"/>
        </w:rPr>
        <w:t>Subsection 43(</w:t>
      </w:r>
      <w:r w:rsidR="00286AFC">
        <w:rPr>
          <w:rFonts w:ascii="Arial" w:hAnsi="Arial" w:cs="Arial"/>
          <w:sz w:val="20"/>
        </w:rPr>
        <w:t>1</w:t>
      </w:r>
      <w:r w:rsidRPr="0092230E">
        <w:rPr>
          <w:rFonts w:ascii="Arial" w:hAnsi="Arial" w:cs="Arial"/>
          <w:sz w:val="20"/>
        </w:rPr>
        <w:t xml:space="preserve">) </w:t>
      </w:r>
      <w:r>
        <w:rPr>
          <w:rFonts w:ascii="Arial" w:hAnsi="Arial" w:cs="Arial"/>
          <w:sz w:val="20"/>
        </w:rPr>
        <w:t xml:space="preserve">of the Act </w:t>
      </w:r>
      <w:r w:rsidRPr="0092230E">
        <w:rPr>
          <w:rFonts w:ascii="Arial" w:hAnsi="Arial" w:cs="Arial"/>
          <w:sz w:val="20"/>
        </w:rPr>
        <w:t xml:space="preserve">provides that a participating person for an eligible revenue period must give the ACMA a written return of the person’s eligible revenue for that </w:t>
      </w:r>
      <w:r w:rsidR="00946118" w:rsidRPr="0092230E">
        <w:rPr>
          <w:rFonts w:ascii="Arial" w:hAnsi="Arial" w:cs="Arial"/>
          <w:sz w:val="20"/>
        </w:rPr>
        <w:t>period and</w:t>
      </w:r>
      <w:r w:rsidRPr="0092230E">
        <w:rPr>
          <w:rFonts w:ascii="Arial" w:hAnsi="Arial" w:cs="Arial"/>
          <w:sz w:val="20"/>
        </w:rPr>
        <w:t xml:space="preserve"> must do so within the period specified in an instrument in force under subsection 43(5)</w:t>
      </w:r>
      <w:r w:rsidR="00C3600B">
        <w:rPr>
          <w:rFonts w:ascii="Arial" w:hAnsi="Arial" w:cs="Arial"/>
          <w:sz w:val="20"/>
        </w:rPr>
        <w:t xml:space="preserve"> of the Act</w:t>
      </w:r>
      <w:r w:rsidRPr="0092230E">
        <w:rPr>
          <w:rFonts w:ascii="Arial" w:hAnsi="Arial" w:cs="Arial"/>
          <w:sz w:val="20"/>
        </w:rPr>
        <w:t xml:space="preserve">. Subsection 43(5) </w:t>
      </w:r>
      <w:r w:rsidR="00C3600B">
        <w:rPr>
          <w:rFonts w:ascii="Arial" w:hAnsi="Arial" w:cs="Arial"/>
          <w:sz w:val="20"/>
        </w:rPr>
        <w:t xml:space="preserve">of the Act </w:t>
      </w:r>
      <w:r w:rsidRPr="0092230E">
        <w:rPr>
          <w:rFonts w:ascii="Arial" w:hAnsi="Arial" w:cs="Arial"/>
          <w:sz w:val="20"/>
        </w:rPr>
        <w:t>provides that the ACMA may, by legislative instrument, specify a period, that must begin at or after the end of the eligible revenue period, for the purposes of paragraph 43(1)(b)</w:t>
      </w:r>
      <w:r w:rsidR="00C3600B">
        <w:rPr>
          <w:rFonts w:ascii="Arial" w:hAnsi="Arial" w:cs="Arial"/>
          <w:sz w:val="20"/>
        </w:rPr>
        <w:t xml:space="preserve"> of the Act</w:t>
      </w:r>
      <w:r w:rsidRPr="0092230E">
        <w:rPr>
          <w:rFonts w:ascii="Arial" w:hAnsi="Arial" w:cs="Arial"/>
          <w:sz w:val="20"/>
        </w:rPr>
        <w:t xml:space="preserve">. </w:t>
      </w:r>
    </w:p>
    <w:p w14:paraId="552B40C3" w14:textId="77777777" w:rsidR="00842D8A" w:rsidRPr="008771A7" w:rsidRDefault="00842D8A" w:rsidP="00842D8A">
      <w:pPr>
        <w:pStyle w:val="ACMABodyText"/>
        <w:spacing w:before="0" w:line="240" w:lineRule="auto"/>
        <w:rPr>
          <w:rFonts w:ascii="Arial" w:hAnsi="Arial" w:cs="Arial"/>
          <w:bCs/>
          <w:sz w:val="20"/>
        </w:rPr>
      </w:pPr>
      <w:r w:rsidRPr="00375686">
        <w:rPr>
          <w:rFonts w:ascii="Arial" w:hAnsi="Arial" w:cs="Arial"/>
          <w:bCs/>
          <w:sz w:val="20"/>
        </w:rPr>
        <w:t>Subsection 33(3) of the AIA relevantly provides that where an Act confers a power to make a legislative instrument, the power shall be construed as including a power exercisable in the like manner and subject to the like conditions (if any) to repeal, rescind, revoke, amend, or vary any such instrument.</w:t>
      </w:r>
    </w:p>
    <w:p w14:paraId="0428D9FF" w14:textId="64C176AE" w:rsidR="00BF3803" w:rsidRPr="0092230E" w:rsidRDefault="00B76A7C" w:rsidP="008C6BEA">
      <w:pPr>
        <w:pStyle w:val="ABABulletLevel1"/>
        <w:spacing w:after="120"/>
        <w:rPr>
          <w:rFonts w:ascii="Arial" w:hAnsi="Arial" w:cs="Arial"/>
          <w:sz w:val="20"/>
        </w:rPr>
      </w:pPr>
      <w:bookmarkStart w:id="3" w:name="_Hlk192063497"/>
      <w:bookmarkStart w:id="4" w:name="_Hlk191992500"/>
      <w:r w:rsidRPr="0092230E">
        <w:rPr>
          <w:rFonts w:ascii="Arial" w:hAnsi="Arial" w:cs="Arial"/>
          <w:sz w:val="20"/>
        </w:rPr>
        <w:t xml:space="preserve">The </w:t>
      </w:r>
      <w:r w:rsidR="00236F89">
        <w:rPr>
          <w:rFonts w:ascii="Arial" w:hAnsi="Arial" w:cs="Arial"/>
          <w:sz w:val="20"/>
        </w:rPr>
        <w:t>instrument</w:t>
      </w:r>
      <w:r w:rsidR="00BF3803" w:rsidRPr="0092230E">
        <w:rPr>
          <w:rFonts w:ascii="Arial" w:hAnsi="Arial" w:cs="Arial"/>
          <w:sz w:val="20"/>
        </w:rPr>
        <w:t>:</w:t>
      </w:r>
      <w:r w:rsidRPr="0092230E">
        <w:rPr>
          <w:rFonts w:ascii="Arial" w:hAnsi="Arial" w:cs="Arial"/>
          <w:sz w:val="20"/>
        </w:rPr>
        <w:t xml:space="preserve"> </w:t>
      </w:r>
    </w:p>
    <w:p w14:paraId="2E3FCC3A" w14:textId="3A41B138" w:rsidR="00334849" w:rsidRPr="0092230E" w:rsidRDefault="00334849" w:rsidP="00334849">
      <w:pPr>
        <w:pStyle w:val="ABABulletLevel1"/>
        <w:numPr>
          <w:ilvl w:val="0"/>
          <w:numId w:val="9"/>
        </w:numPr>
        <w:spacing w:after="120"/>
        <w:rPr>
          <w:rFonts w:ascii="Arial" w:hAnsi="Arial" w:cs="Arial"/>
          <w:sz w:val="20"/>
        </w:rPr>
      </w:pPr>
      <w:r w:rsidRPr="0092230E">
        <w:rPr>
          <w:rFonts w:ascii="Arial" w:hAnsi="Arial" w:cs="Arial"/>
          <w:sz w:val="20"/>
        </w:rPr>
        <w:t xml:space="preserve">sets out how the eligible revenue of a participating person (defined in section </w:t>
      </w:r>
      <w:r w:rsidR="00B84589" w:rsidRPr="0092230E">
        <w:rPr>
          <w:rFonts w:ascii="Arial" w:hAnsi="Arial" w:cs="Arial"/>
          <w:sz w:val="20"/>
        </w:rPr>
        <w:t>44</w:t>
      </w:r>
      <w:r w:rsidRPr="0092230E">
        <w:rPr>
          <w:rFonts w:ascii="Arial" w:hAnsi="Arial" w:cs="Arial"/>
          <w:sz w:val="20"/>
        </w:rPr>
        <w:t xml:space="preserve"> of the </w:t>
      </w:r>
      <w:r w:rsidR="00B61AB2">
        <w:rPr>
          <w:rFonts w:ascii="Arial" w:hAnsi="Arial" w:cs="Arial"/>
          <w:sz w:val="20"/>
        </w:rPr>
        <w:t>Act)</w:t>
      </w:r>
      <w:r w:rsidRPr="0092230E">
        <w:rPr>
          <w:rFonts w:ascii="Arial" w:hAnsi="Arial" w:cs="Arial"/>
          <w:sz w:val="20"/>
        </w:rPr>
        <w:t xml:space="preserve"> for an eligible revenue period is to be determined; and</w:t>
      </w:r>
    </w:p>
    <w:p w14:paraId="608A9693" w14:textId="77777777" w:rsidR="00BF3803" w:rsidRPr="0092230E" w:rsidRDefault="00BF3803" w:rsidP="00BF3803">
      <w:pPr>
        <w:pStyle w:val="ABABulletLevel1"/>
        <w:numPr>
          <w:ilvl w:val="0"/>
          <w:numId w:val="9"/>
        </w:numPr>
        <w:spacing w:after="120"/>
        <w:rPr>
          <w:rFonts w:ascii="Arial" w:hAnsi="Arial" w:cs="Arial"/>
          <w:sz w:val="20"/>
        </w:rPr>
      </w:pPr>
      <w:r w:rsidRPr="0092230E">
        <w:rPr>
          <w:rFonts w:ascii="Arial" w:hAnsi="Arial" w:cs="Arial"/>
          <w:sz w:val="20"/>
        </w:rPr>
        <w:t xml:space="preserve">specifies the period </w:t>
      </w:r>
      <w:r w:rsidR="00367D28" w:rsidRPr="0092230E">
        <w:rPr>
          <w:rFonts w:ascii="Arial" w:hAnsi="Arial" w:cs="Arial"/>
          <w:sz w:val="20"/>
        </w:rPr>
        <w:t>with</w:t>
      </w:r>
      <w:r w:rsidRPr="0092230E">
        <w:rPr>
          <w:rFonts w:ascii="Arial" w:hAnsi="Arial" w:cs="Arial"/>
          <w:sz w:val="20"/>
        </w:rPr>
        <w:t xml:space="preserve">in which each participating person is required to provide a written return of the person’s eligible revenue for </w:t>
      </w:r>
      <w:r w:rsidR="00334849" w:rsidRPr="0092230E">
        <w:rPr>
          <w:rFonts w:ascii="Arial" w:hAnsi="Arial" w:cs="Arial"/>
          <w:sz w:val="20"/>
        </w:rPr>
        <w:t xml:space="preserve">an </w:t>
      </w:r>
      <w:r w:rsidRPr="0092230E">
        <w:rPr>
          <w:rFonts w:ascii="Arial" w:hAnsi="Arial" w:cs="Arial"/>
          <w:sz w:val="20"/>
        </w:rPr>
        <w:t>eligible revenue period</w:t>
      </w:r>
      <w:r w:rsidR="00334849" w:rsidRPr="0092230E">
        <w:rPr>
          <w:rFonts w:ascii="Arial" w:hAnsi="Arial" w:cs="Arial"/>
          <w:sz w:val="20"/>
        </w:rPr>
        <w:t>.</w:t>
      </w:r>
      <w:r w:rsidRPr="0092230E">
        <w:rPr>
          <w:rFonts w:ascii="Arial" w:hAnsi="Arial" w:cs="Arial"/>
          <w:sz w:val="20"/>
        </w:rPr>
        <w:t xml:space="preserve"> </w:t>
      </w:r>
    </w:p>
    <w:p w14:paraId="79CF807E" w14:textId="244D9008" w:rsidR="00236F89" w:rsidRDefault="00236F89" w:rsidP="00A41A66">
      <w:pPr>
        <w:pStyle w:val="ABABulletLevel1"/>
        <w:rPr>
          <w:rFonts w:ascii="Arial" w:hAnsi="Arial" w:cs="Arial"/>
          <w:b/>
          <w:bCs/>
          <w:sz w:val="20"/>
        </w:rPr>
      </w:pPr>
      <w:r>
        <w:rPr>
          <w:rFonts w:ascii="Arial" w:hAnsi="Arial" w:cs="Arial"/>
          <w:b/>
          <w:bCs/>
          <w:sz w:val="20"/>
        </w:rPr>
        <w:t>Purpose and operation of the instrument</w:t>
      </w:r>
    </w:p>
    <w:p w14:paraId="181DC557" w14:textId="77777777" w:rsidR="00236F89" w:rsidRPr="003E5BC4" w:rsidRDefault="00236F89" w:rsidP="00A41A66">
      <w:pPr>
        <w:pStyle w:val="ABABulletLevel1"/>
        <w:rPr>
          <w:rFonts w:ascii="Arial" w:hAnsi="Arial" w:cs="Arial"/>
          <w:b/>
          <w:bCs/>
          <w:sz w:val="20"/>
        </w:rPr>
      </w:pPr>
    </w:p>
    <w:p w14:paraId="1D062094" w14:textId="28569872" w:rsidR="00AC17B3" w:rsidRPr="0092230E" w:rsidRDefault="004A4519" w:rsidP="00A41A66">
      <w:pPr>
        <w:pStyle w:val="ABABulletLevel1"/>
        <w:rPr>
          <w:rFonts w:ascii="Arial" w:hAnsi="Arial" w:cs="Arial"/>
          <w:sz w:val="20"/>
        </w:rPr>
      </w:pPr>
      <w:r>
        <w:rPr>
          <w:rFonts w:ascii="Arial" w:hAnsi="Arial" w:cs="Arial"/>
          <w:sz w:val="20"/>
        </w:rPr>
        <w:t xml:space="preserve">Part 2 of the </w:t>
      </w:r>
      <w:r w:rsidR="000448F5">
        <w:rPr>
          <w:rFonts w:ascii="Arial" w:hAnsi="Arial" w:cs="Arial"/>
          <w:sz w:val="20"/>
        </w:rPr>
        <w:t xml:space="preserve">Act establishes a </w:t>
      </w:r>
      <w:r w:rsidR="000B00C4">
        <w:rPr>
          <w:rFonts w:ascii="Arial" w:hAnsi="Arial" w:cs="Arial"/>
          <w:sz w:val="20"/>
        </w:rPr>
        <w:t>universal services regime which has the main object of ensuring that all people in Australia, wherever they reside or carry on business, should have reasonable access, on an equitable basis, to standard telephone services</w:t>
      </w:r>
      <w:r w:rsidR="00C752C7">
        <w:rPr>
          <w:rFonts w:ascii="Arial" w:hAnsi="Arial" w:cs="Arial"/>
          <w:sz w:val="20"/>
        </w:rPr>
        <w:t>, p</w:t>
      </w:r>
      <w:r w:rsidR="000B00C4">
        <w:rPr>
          <w:rFonts w:ascii="Arial" w:hAnsi="Arial" w:cs="Arial"/>
          <w:sz w:val="20"/>
        </w:rPr>
        <w:t>ayphones</w:t>
      </w:r>
      <w:r w:rsidR="00C752C7">
        <w:rPr>
          <w:rFonts w:ascii="Arial" w:hAnsi="Arial" w:cs="Arial"/>
          <w:sz w:val="20"/>
        </w:rPr>
        <w:t>, emergency call services and the National Relay Service</w:t>
      </w:r>
      <w:r w:rsidR="000B00C4">
        <w:rPr>
          <w:rFonts w:ascii="Arial" w:hAnsi="Arial" w:cs="Arial"/>
          <w:sz w:val="20"/>
        </w:rPr>
        <w:t>.</w:t>
      </w:r>
      <w:r w:rsidR="002E21E5">
        <w:rPr>
          <w:rFonts w:ascii="Arial" w:hAnsi="Arial" w:cs="Arial"/>
          <w:sz w:val="20"/>
        </w:rPr>
        <w:t xml:space="preserve"> </w:t>
      </w:r>
      <w:r w:rsidR="003A4120">
        <w:rPr>
          <w:rFonts w:ascii="Arial" w:hAnsi="Arial" w:cs="Arial"/>
          <w:sz w:val="20"/>
        </w:rPr>
        <w:t>Provision of public interest telecommunications services is funded by a levy</w:t>
      </w:r>
      <w:r w:rsidR="00EB048E">
        <w:rPr>
          <w:rFonts w:ascii="Arial" w:hAnsi="Arial" w:cs="Arial"/>
          <w:sz w:val="20"/>
        </w:rPr>
        <w:t xml:space="preserve"> (the </w:t>
      </w:r>
      <w:r w:rsidR="00EB048E">
        <w:rPr>
          <w:rFonts w:ascii="Arial" w:hAnsi="Arial" w:cs="Arial"/>
          <w:b/>
          <w:bCs/>
          <w:sz w:val="20"/>
        </w:rPr>
        <w:t>TIL</w:t>
      </w:r>
      <w:r w:rsidR="00EB048E">
        <w:rPr>
          <w:rFonts w:ascii="Arial" w:hAnsi="Arial" w:cs="Arial"/>
          <w:sz w:val="20"/>
        </w:rPr>
        <w:t>)</w:t>
      </w:r>
      <w:r w:rsidR="003A4120">
        <w:rPr>
          <w:rFonts w:ascii="Arial" w:hAnsi="Arial" w:cs="Arial"/>
          <w:sz w:val="20"/>
        </w:rPr>
        <w:t xml:space="preserve">, which is formally imposed by the </w:t>
      </w:r>
      <w:r w:rsidR="003A4120">
        <w:rPr>
          <w:rFonts w:ascii="Arial" w:hAnsi="Arial" w:cs="Arial"/>
          <w:i/>
          <w:iCs/>
          <w:sz w:val="20"/>
        </w:rPr>
        <w:t xml:space="preserve">Telecommunications (Industry Levy) Act 2012 </w:t>
      </w:r>
      <w:r w:rsidR="003A4120">
        <w:rPr>
          <w:rFonts w:ascii="Arial" w:hAnsi="Arial" w:cs="Arial"/>
          <w:sz w:val="20"/>
        </w:rPr>
        <w:t xml:space="preserve">and is administered by the ACMA through the </w:t>
      </w:r>
      <w:r w:rsidR="000B22AA">
        <w:rPr>
          <w:rFonts w:ascii="Arial" w:hAnsi="Arial" w:cs="Arial"/>
          <w:sz w:val="20"/>
        </w:rPr>
        <w:t xml:space="preserve">provisions of Division 6 of Part 2 of the Act. </w:t>
      </w:r>
      <w:r w:rsidR="00334849" w:rsidRPr="0092230E">
        <w:rPr>
          <w:rFonts w:ascii="Arial" w:hAnsi="Arial" w:cs="Arial"/>
          <w:sz w:val="20"/>
        </w:rPr>
        <w:t xml:space="preserve">The eligible revenue of participating persons, determined in accordance with the </w:t>
      </w:r>
      <w:r w:rsidR="00D224DF">
        <w:rPr>
          <w:rFonts w:ascii="Arial" w:hAnsi="Arial" w:cs="Arial"/>
          <w:sz w:val="20"/>
        </w:rPr>
        <w:t>instrument</w:t>
      </w:r>
      <w:r w:rsidR="00334849" w:rsidRPr="0092230E">
        <w:rPr>
          <w:rFonts w:ascii="Arial" w:hAnsi="Arial" w:cs="Arial"/>
          <w:sz w:val="20"/>
        </w:rPr>
        <w:t xml:space="preserve">, is used to calculate the </w:t>
      </w:r>
      <w:r w:rsidR="00367D28" w:rsidRPr="0092230E">
        <w:rPr>
          <w:rFonts w:ascii="Arial" w:hAnsi="Arial" w:cs="Arial"/>
          <w:sz w:val="20"/>
        </w:rPr>
        <w:t xml:space="preserve">amount of levy payable by </w:t>
      </w:r>
      <w:r w:rsidR="00222622">
        <w:rPr>
          <w:rFonts w:ascii="Arial" w:hAnsi="Arial" w:cs="Arial"/>
          <w:sz w:val="20"/>
        </w:rPr>
        <w:t xml:space="preserve">each participating </w:t>
      </w:r>
      <w:r w:rsidR="00367D28" w:rsidRPr="0092230E">
        <w:rPr>
          <w:rFonts w:ascii="Arial" w:hAnsi="Arial" w:cs="Arial"/>
          <w:sz w:val="20"/>
        </w:rPr>
        <w:t xml:space="preserve">person. </w:t>
      </w:r>
      <w:r w:rsidR="00AC17B3" w:rsidRPr="0092230E">
        <w:rPr>
          <w:rFonts w:ascii="Arial" w:hAnsi="Arial" w:cs="Arial"/>
          <w:sz w:val="20"/>
        </w:rPr>
        <w:t xml:space="preserve"> </w:t>
      </w:r>
    </w:p>
    <w:p w14:paraId="56C47498" w14:textId="77777777" w:rsidR="00AC17B3" w:rsidRPr="0092230E" w:rsidRDefault="00AC17B3" w:rsidP="00A41A66">
      <w:pPr>
        <w:pStyle w:val="ABABulletLevel1"/>
        <w:rPr>
          <w:rFonts w:ascii="Arial" w:hAnsi="Arial" w:cs="Arial"/>
          <w:sz w:val="20"/>
        </w:rPr>
      </w:pPr>
    </w:p>
    <w:p w14:paraId="3FBF6682" w14:textId="7DD8EA10" w:rsidR="00702C3D" w:rsidRDefault="00334849" w:rsidP="00A41A66">
      <w:pPr>
        <w:pStyle w:val="ABABulletLevel1"/>
        <w:rPr>
          <w:rFonts w:ascii="Arial" w:hAnsi="Arial" w:cs="Arial"/>
          <w:sz w:val="20"/>
        </w:rPr>
      </w:pPr>
      <w:r w:rsidRPr="0092230E">
        <w:rPr>
          <w:rFonts w:ascii="Arial" w:hAnsi="Arial" w:cs="Arial"/>
          <w:sz w:val="20"/>
        </w:rPr>
        <w:t>Contributions are, in general, proportional to each participating person’s share of total eligible revenue</w:t>
      </w:r>
      <w:r w:rsidR="00C13025" w:rsidRPr="0092230E">
        <w:rPr>
          <w:rFonts w:ascii="Arial" w:hAnsi="Arial" w:cs="Arial"/>
          <w:sz w:val="20"/>
        </w:rPr>
        <w:t xml:space="preserve"> for a relevant eligible revenue period.</w:t>
      </w:r>
      <w:r w:rsidRPr="0092230E">
        <w:rPr>
          <w:rFonts w:ascii="Arial" w:hAnsi="Arial" w:cs="Arial"/>
          <w:sz w:val="20"/>
        </w:rPr>
        <w:t xml:space="preserve"> </w:t>
      </w:r>
      <w:r w:rsidR="00C13025" w:rsidRPr="0092230E">
        <w:rPr>
          <w:rFonts w:ascii="Arial" w:hAnsi="Arial" w:cs="Arial"/>
          <w:sz w:val="20"/>
        </w:rPr>
        <w:t>Annual c</w:t>
      </w:r>
      <w:r w:rsidRPr="0092230E">
        <w:rPr>
          <w:rFonts w:ascii="Arial" w:hAnsi="Arial" w:cs="Arial"/>
          <w:sz w:val="20"/>
        </w:rPr>
        <w:t>arrier licence charges</w:t>
      </w:r>
      <w:r w:rsidR="00367D28" w:rsidRPr="0092230E">
        <w:rPr>
          <w:rFonts w:ascii="Arial" w:hAnsi="Arial" w:cs="Arial"/>
          <w:sz w:val="20"/>
        </w:rPr>
        <w:t xml:space="preserve"> which are imposed by the </w:t>
      </w:r>
      <w:r w:rsidR="00367D28" w:rsidRPr="0092230E">
        <w:rPr>
          <w:rFonts w:ascii="Arial" w:hAnsi="Arial" w:cs="Arial"/>
          <w:i/>
          <w:sz w:val="20"/>
        </w:rPr>
        <w:t>Telecommunications (Carrier Licence Charges) Act 1997</w:t>
      </w:r>
      <w:r w:rsidR="00D54FA7" w:rsidRPr="0092230E">
        <w:rPr>
          <w:rFonts w:ascii="Arial" w:hAnsi="Arial" w:cs="Arial"/>
          <w:i/>
          <w:sz w:val="20"/>
        </w:rPr>
        <w:t xml:space="preserve"> </w:t>
      </w:r>
      <w:r w:rsidR="00367D28" w:rsidRPr="0092230E">
        <w:rPr>
          <w:rFonts w:ascii="Arial" w:hAnsi="Arial" w:cs="Arial"/>
          <w:sz w:val="20"/>
        </w:rPr>
        <w:t xml:space="preserve">and payable by </w:t>
      </w:r>
      <w:r w:rsidR="00AD2C02">
        <w:rPr>
          <w:rFonts w:ascii="Arial" w:hAnsi="Arial" w:cs="Arial"/>
          <w:sz w:val="20"/>
        </w:rPr>
        <w:t xml:space="preserve">carriers </w:t>
      </w:r>
      <w:r w:rsidR="00403400" w:rsidRPr="0092230E">
        <w:rPr>
          <w:rFonts w:ascii="Arial" w:hAnsi="Arial" w:cs="Arial"/>
          <w:sz w:val="20"/>
        </w:rPr>
        <w:t xml:space="preserve">(who are not otherwise exempt from paying the charge) </w:t>
      </w:r>
      <w:r w:rsidRPr="0092230E">
        <w:rPr>
          <w:rFonts w:ascii="Arial" w:hAnsi="Arial" w:cs="Arial"/>
          <w:sz w:val="20"/>
        </w:rPr>
        <w:t xml:space="preserve">are also, in part, based on </w:t>
      </w:r>
      <w:r w:rsidR="00E0596D" w:rsidRPr="0092230E">
        <w:rPr>
          <w:rFonts w:ascii="Arial" w:hAnsi="Arial" w:cs="Arial"/>
          <w:sz w:val="20"/>
        </w:rPr>
        <w:t xml:space="preserve">a participating person’s </w:t>
      </w:r>
      <w:r w:rsidRPr="0092230E">
        <w:rPr>
          <w:rFonts w:ascii="Arial" w:hAnsi="Arial" w:cs="Arial"/>
          <w:sz w:val="20"/>
        </w:rPr>
        <w:t xml:space="preserve">eligible revenue. </w:t>
      </w:r>
    </w:p>
    <w:p w14:paraId="1F79B5DF" w14:textId="77777777" w:rsidR="006924DD" w:rsidRDefault="006924DD" w:rsidP="00A41A66">
      <w:pPr>
        <w:pStyle w:val="ABABulletLevel1"/>
        <w:rPr>
          <w:rFonts w:ascii="Arial" w:hAnsi="Arial" w:cs="Arial"/>
          <w:sz w:val="20"/>
        </w:rPr>
      </w:pPr>
    </w:p>
    <w:p w14:paraId="4C848CED" w14:textId="0BCCC0BB" w:rsidR="006924DD" w:rsidRPr="0092230E" w:rsidRDefault="006924DD" w:rsidP="00A41A66">
      <w:pPr>
        <w:pStyle w:val="ABABulletLevel1"/>
        <w:rPr>
          <w:rFonts w:ascii="Arial" w:hAnsi="Arial" w:cs="Arial"/>
          <w:sz w:val="20"/>
        </w:rPr>
      </w:pPr>
      <w:r w:rsidRPr="006924DD">
        <w:rPr>
          <w:rFonts w:ascii="Arial" w:hAnsi="Arial" w:cs="Arial"/>
          <w:sz w:val="20"/>
        </w:rPr>
        <w:t>A provision-by-provision description of the instrument is set out in the notes at </w:t>
      </w:r>
      <w:r w:rsidRPr="006924DD">
        <w:rPr>
          <w:rFonts w:ascii="Arial" w:hAnsi="Arial" w:cs="Arial"/>
          <w:b/>
          <w:bCs/>
          <w:sz w:val="20"/>
        </w:rPr>
        <w:t>Attachment A</w:t>
      </w:r>
      <w:r w:rsidRPr="006924DD">
        <w:rPr>
          <w:rFonts w:ascii="Arial" w:hAnsi="Arial" w:cs="Arial"/>
          <w:sz w:val="20"/>
        </w:rPr>
        <w:t>.</w:t>
      </w:r>
    </w:p>
    <w:bookmarkEnd w:id="3"/>
    <w:p w14:paraId="2CCC72A7" w14:textId="77777777" w:rsidR="00BF3803" w:rsidRPr="0092230E" w:rsidRDefault="00BF3803" w:rsidP="00A41A66">
      <w:pPr>
        <w:pStyle w:val="ABABulletLevel1"/>
        <w:rPr>
          <w:rFonts w:ascii="Arial" w:hAnsi="Arial" w:cs="Arial"/>
          <w:sz w:val="20"/>
        </w:rPr>
      </w:pPr>
    </w:p>
    <w:bookmarkEnd w:id="4"/>
    <w:p w14:paraId="7222AC7B" w14:textId="0D096363" w:rsidR="0098778E" w:rsidRPr="0092230E" w:rsidRDefault="00C13025" w:rsidP="0098778E">
      <w:pPr>
        <w:pStyle w:val="ABABulletLevel1"/>
        <w:rPr>
          <w:rFonts w:ascii="Arial" w:hAnsi="Arial" w:cs="Arial"/>
          <w:i/>
          <w:sz w:val="20"/>
        </w:rPr>
      </w:pPr>
      <w:r w:rsidRPr="0092230E">
        <w:rPr>
          <w:rFonts w:ascii="Arial" w:hAnsi="Arial" w:cs="Arial"/>
          <w:sz w:val="20"/>
        </w:rPr>
        <w:t>The</w:t>
      </w:r>
      <w:r w:rsidR="00842D8A">
        <w:rPr>
          <w:rFonts w:ascii="Arial" w:hAnsi="Arial" w:cs="Arial"/>
          <w:sz w:val="20"/>
        </w:rPr>
        <w:t xml:space="preserve"> instrument </w:t>
      </w:r>
      <w:r w:rsidRPr="0092230E">
        <w:rPr>
          <w:rFonts w:ascii="Arial" w:hAnsi="Arial" w:cs="Arial"/>
          <w:sz w:val="20"/>
        </w:rPr>
        <w:t>is a legislative instrument for the purposes of the</w:t>
      </w:r>
      <w:r w:rsidR="00476373" w:rsidRPr="0092230E">
        <w:rPr>
          <w:rFonts w:ascii="Arial" w:hAnsi="Arial" w:cs="Arial"/>
          <w:i/>
          <w:sz w:val="20"/>
        </w:rPr>
        <w:t xml:space="preserve"> </w:t>
      </w:r>
      <w:r w:rsidRPr="0092230E">
        <w:rPr>
          <w:rFonts w:ascii="Arial" w:hAnsi="Arial" w:cs="Arial"/>
          <w:i/>
          <w:sz w:val="20"/>
        </w:rPr>
        <w:t>Legislati</w:t>
      </w:r>
      <w:r w:rsidR="00F852C2">
        <w:rPr>
          <w:rFonts w:ascii="Arial" w:hAnsi="Arial" w:cs="Arial"/>
          <w:i/>
          <w:sz w:val="20"/>
        </w:rPr>
        <w:t xml:space="preserve">on </w:t>
      </w:r>
      <w:r w:rsidRPr="0092230E">
        <w:rPr>
          <w:rFonts w:ascii="Arial" w:hAnsi="Arial" w:cs="Arial"/>
          <w:i/>
          <w:sz w:val="20"/>
        </w:rPr>
        <w:t>Act 2003</w:t>
      </w:r>
      <w:r w:rsidR="00826C55" w:rsidRPr="0092230E">
        <w:rPr>
          <w:rFonts w:ascii="Arial" w:hAnsi="Arial" w:cs="Arial"/>
          <w:i/>
          <w:sz w:val="20"/>
        </w:rPr>
        <w:t xml:space="preserve"> </w:t>
      </w:r>
      <w:r w:rsidR="00826C55" w:rsidRPr="0092230E">
        <w:rPr>
          <w:rFonts w:ascii="Arial" w:hAnsi="Arial" w:cs="Arial"/>
          <w:sz w:val="20"/>
        </w:rPr>
        <w:t>(</w:t>
      </w:r>
      <w:r w:rsidR="00826C55" w:rsidRPr="0092230E">
        <w:rPr>
          <w:rFonts w:ascii="Arial" w:hAnsi="Arial" w:cs="Arial"/>
          <w:b/>
          <w:sz w:val="20"/>
        </w:rPr>
        <w:t>the</w:t>
      </w:r>
      <w:r w:rsidR="00826C55" w:rsidRPr="0092230E">
        <w:rPr>
          <w:rFonts w:ascii="Arial" w:hAnsi="Arial" w:cs="Arial"/>
          <w:sz w:val="20"/>
        </w:rPr>
        <w:t xml:space="preserve"> </w:t>
      </w:r>
      <w:r w:rsidR="00476373" w:rsidRPr="0092230E">
        <w:rPr>
          <w:rFonts w:ascii="Arial" w:hAnsi="Arial" w:cs="Arial"/>
          <w:b/>
          <w:sz w:val="20"/>
        </w:rPr>
        <w:t>L</w:t>
      </w:r>
      <w:r w:rsidR="00F852C2">
        <w:rPr>
          <w:rFonts w:ascii="Arial" w:hAnsi="Arial" w:cs="Arial"/>
          <w:b/>
          <w:sz w:val="20"/>
        </w:rPr>
        <w:t>A</w:t>
      </w:r>
      <w:r w:rsidR="00826C55" w:rsidRPr="0092230E">
        <w:rPr>
          <w:rFonts w:ascii="Arial" w:hAnsi="Arial" w:cs="Arial"/>
          <w:sz w:val="20"/>
        </w:rPr>
        <w:t>)</w:t>
      </w:r>
      <w:r w:rsidR="00F852C2">
        <w:rPr>
          <w:rFonts w:ascii="Arial" w:hAnsi="Arial" w:cs="Arial"/>
          <w:sz w:val="20"/>
        </w:rPr>
        <w:t xml:space="preserve"> and is disallowable</w:t>
      </w:r>
      <w:r w:rsidRPr="0092230E">
        <w:rPr>
          <w:rFonts w:ascii="Arial" w:hAnsi="Arial" w:cs="Arial"/>
          <w:i/>
          <w:sz w:val="20"/>
        </w:rPr>
        <w:t xml:space="preserve">. </w:t>
      </w:r>
    </w:p>
    <w:p w14:paraId="20F7A509" w14:textId="373FDD1A" w:rsidR="00B76A7C" w:rsidRDefault="00476373" w:rsidP="0098778E">
      <w:pPr>
        <w:pStyle w:val="ABABulletLevel1"/>
        <w:rPr>
          <w:rFonts w:ascii="Arial" w:hAnsi="Arial" w:cs="Arial"/>
          <w:i/>
          <w:sz w:val="20"/>
        </w:rPr>
      </w:pPr>
      <w:r w:rsidRPr="0092230E">
        <w:rPr>
          <w:rFonts w:ascii="Arial" w:hAnsi="Arial" w:cs="Arial"/>
          <w:i/>
          <w:sz w:val="20"/>
        </w:rPr>
        <w:t xml:space="preserve"> </w:t>
      </w:r>
    </w:p>
    <w:p w14:paraId="68F111B2" w14:textId="1171311C" w:rsidR="00EE49A7" w:rsidRPr="0092230E" w:rsidRDefault="00EE49A7" w:rsidP="0098778E">
      <w:pPr>
        <w:pStyle w:val="ABABulletLevel1"/>
        <w:ind w:left="714"/>
        <w:rPr>
          <w:rFonts w:ascii="Arial" w:hAnsi="Arial" w:cs="Arial"/>
          <w:sz w:val="20"/>
        </w:rPr>
      </w:pPr>
    </w:p>
    <w:p w14:paraId="0340C4BE" w14:textId="77777777" w:rsidR="007B2E7B" w:rsidRPr="0079798D" w:rsidRDefault="00411B8B" w:rsidP="007B2E7B">
      <w:pPr>
        <w:pStyle w:val="ACMAHeading2"/>
        <w:spacing w:before="80" w:after="120"/>
        <w:rPr>
          <w:rFonts w:cs="Arial"/>
          <w:caps w:val="0"/>
          <w:sz w:val="20"/>
          <w:szCs w:val="20"/>
          <w:lang w:val="en-AU" w:eastAsia="en-AU"/>
        </w:rPr>
      </w:pPr>
      <w:r w:rsidRPr="0079798D">
        <w:rPr>
          <w:rFonts w:cs="Arial"/>
          <w:caps w:val="0"/>
          <w:sz w:val="20"/>
          <w:szCs w:val="20"/>
          <w:lang w:val="en-AU" w:eastAsia="en-AU"/>
        </w:rPr>
        <w:t xml:space="preserve">Consultation </w:t>
      </w:r>
    </w:p>
    <w:p w14:paraId="66C84FCA" w14:textId="6483F3CC" w:rsidR="00344B06" w:rsidRPr="0079798D" w:rsidRDefault="00BA6615" w:rsidP="0075670B">
      <w:pPr>
        <w:pStyle w:val="ABABulletLevel1"/>
        <w:spacing w:after="120"/>
        <w:rPr>
          <w:rFonts w:ascii="Arial" w:hAnsi="Arial" w:cs="Arial"/>
          <w:sz w:val="20"/>
        </w:rPr>
      </w:pPr>
      <w:r>
        <w:rPr>
          <w:rFonts w:ascii="Arial" w:hAnsi="Arial" w:cs="Arial"/>
          <w:sz w:val="20"/>
        </w:rPr>
        <w:t xml:space="preserve">Before the instrument was made, </w:t>
      </w:r>
      <w:r w:rsidR="00207F69" w:rsidRPr="00207F69">
        <w:rPr>
          <w:rFonts w:ascii="Arial" w:hAnsi="Arial" w:cs="Arial"/>
          <w:sz w:val="20"/>
        </w:rPr>
        <w:t>the ACMA was satisfied that consultation was undertaken to the extent appropriate and reasonably practicable, in accordance with section 17 of the LA</w:t>
      </w:r>
      <w:r w:rsidR="00B26613">
        <w:rPr>
          <w:rFonts w:ascii="Arial" w:hAnsi="Arial" w:cs="Arial"/>
          <w:sz w:val="20"/>
        </w:rPr>
        <w:t xml:space="preserve">. </w:t>
      </w:r>
      <w:r w:rsidR="00411B8B" w:rsidRPr="0079798D">
        <w:rPr>
          <w:rFonts w:ascii="Arial" w:hAnsi="Arial" w:cs="Arial"/>
          <w:sz w:val="20"/>
        </w:rPr>
        <w:t xml:space="preserve">A consultation paper and a draft Determination were provided for public comment through the ACMA website and via direct email notification to all telecommunications carriers. </w:t>
      </w:r>
    </w:p>
    <w:p w14:paraId="4C658F65" w14:textId="4FB51FCE" w:rsidR="0079798D" w:rsidRPr="001875E0" w:rsidRDefault="00411B8B" w:rsidP="0098778E">
      <w:pPr>
        <w:pStyle w:val="ABABulletLevel1"/>
        <w:spacing w:after="120"/>
        <w:rPr>
          <w:rFonts w:ascii="Arial" w:hAnsi="Arial" w:cs="Arial"/>
          <w:sz w:val="20"/>
        </w:rPr>
      </w:pPr>
      <w:r w:rsidRPr="0079798D">
        <w:rPr>
          <w:rFonts w:ascii="Arial" w:hAnsi="Arial" w:cs="Arial"/>
          <w:sz w:val="20"/>
        </w:rPr>
        <w:t xml:space="preserve">Copies of the consultation paper and draft Determination </w:t>
      </w:r>
      <w:r w:rsidR="008242BF" w:rsidRPr="0079798D">
        <w:rPr>
          <w:rFonts w:ascii="Arial" w:hAnsi="Arial" w:cs="Arial"/>
          <w:sz w:val="20"/>
        </w:rPr>
        <w:t xml:space="preserve">were made </w:t>
      </w:r>
      <w:r w:rsidRPr="0079798D">
        <w:rPr>
          <w:rFonts w:ascii="Arial" w:hAnsi="Arial" w:cs="Arial"/>
          <w:sz w:val="20"/>
        </w:rPr>
        <w:t xml:space="preserve">available on the ACMA website: </w:t>
      </w:r>
      <w:r w:rsidRPr="00BB342E">
        <w:rPr>
          <w:rFonts w:ascii="Arial" w:hAnsi="Arial" w:cs="Arial"/>
          <w:sz w:val="20"/>
        </w:rPr>
        <w:t>www.acma.gov.au</w:t>
      </w:r>
      <w:r w:rsidRPr="0079798D">
        <w:rPr>
          <w:rFonts w:ascii="Arial" w:hAnsi="Arial" w:cs="Arial"/>
          <w:sz w:val="20"/>
        </w:rPr>
        <w:t xml:space="preserve">. Consultation was open for </w:t>
      </w:r>
      <w:r w:rsidR="0024041C" w:rsidRPr="0079798D">
        <w:rPr>
          <w:rFonts w:ascii="Arial" w:hAnsi="Arial" w:cs="Arial"/>
          <w:sz w:val="20"/>
        </w:rPr>
        <w:t>six</w:t>
      </w:r>
      <w:r w:rsidRPr="0079798D">
        <w:rPr>
          <w:rFonts w:ascii="Arial" w:hAnsi="Arial" w:cs="Arial"/>
          <w:sz w:val="20"/>
        </w:rPr>
        <w:t xml:space="preserve"> weeks, with comments closing on </w:t>
      </w:r>
      <w:r w:rsidR="00514130" w:rsidRPr="001875E0">
        <w:rPr>
          <w:rFonts w:ascii="Arial" w:hAnsi="Arial" w:cs="Arial"/>
          <w:sz w:val="20"/>
        </w:rPr>
        <w:t>10 July 2025</w:t>
      </w:r>
      <w:r w:rsidRPr="0079798D">
        <w:rPr>
          <w:rFonts w:ascii="Arial" w:hAnsi="Arial" w:cs="Arial"/>
          <w:sz w:val="20"/>
        </w:rPr>
        <w:t>.</w:t>
      </w:r>
    </w:p>
    <w:p w14:paraId="7F267E71" w14:textId="22E05B95" w:rsidR="0079798D" w:rsidRPr="0079798D" w:rsidRDefault="0079798D" w:rsidP="0079798D">
      <w:pPr>
        <w:pStyle w:val="ABABulletLevel1"/>
        <w:spacing w:after="120"/>
        <w:rPr>
          <w:rFonts w:ascii="Arial" w:hAnsi="Arial" w:cs="Arial"/>
          <w:sz w:val="20"/>
        </w:rPr>
      </w:pPr>
      <w:r w:rsidRPr="0079798D">
        <w:rPr>
          <w:rFonts w:ascii="Arial" w:hAnsi="Arial" w:cs="Arial"/>
          <w:sz w:val="20"/>
        </w:rPr>
        <w:t xml:space="preserve">The </w:t>
      </w:r>
      <w:r w:rsidR="00B26613">
        <w:rPr>
          <w:rFonts w:ascii="Arial" w:hAnsi="Arial" w:cs="Arial"/>
          <w:sz w:val="20"/>
        </w:rPr>
        <w:t xml:space="preserve">draft </w:t>
      </w:r>
      <w:r w:rsidRPr="0079798D">
        <w:rPr>
          <w:rFonts w:ascii="Arial" w:hAnsi="Arial" w:cs="Arial"/>
          <w:sz w:val="20"/>
        </w:rPr>
        <w:t xml:space="preserve">Determination </w:t>
      </w:r>
      <w:r w:rsidR="00B26613">
        <w:rPr>
          <w:rFonts w:ascii="Arial" w:hAnsi="Arial" w:cs="Arial"/>
          <w:sz w:val="20"/>
        </w:rPr>
        <w:t>proposed the following</w:t>
      </w:r>
      <w:r w:rsidRPr="0079798D">
        <w:rPr>
          <w:rFonts w:ascii="Arial" w:hAnsi="Arial" w:cs="Arial"/>
          <w:sz w:val="20"/>
        </w:rPr>
        <w:t>:</w:t>
      </w:r>
    </w:p>
    <w:p w14:paraId="7B2FF473" w14:textId="6F3F604F" w:rsidR="009B2635" w:rsidRDefault="00B26613" w:rsidP="0079798D">
      <w:pPr>
        <w:pStyle w:val="ABABulletLevel1"/>
        <w:numPr>
          <w:ilvl w:val="0"/>
          <w:numId w:val="26"/>
        </w:numPr>
        <w:spacing w:after="120"/>
        <w:rPr>
          <w:rFonts w:ascii="Arial" w:hAnsi="Arial" w:cs="Arial"/>
          <w:sz w:val="20"/>
        </w:rPr>
      </w:pPr>
      <w:r>
        <w:rPr>
          <w:rFonts w:ascii="Arial" w:hAnsi="Arial" w:cs="Arial"/>
          <w:sz w:val="20"/>
        </w:rPr>
        <w:t xml:space="preserve">the removal of </w:t>
      </w:r>
      <w:r w:rsidR="0079798D" w:rsidRPr="0079798D">
        <w:rPr>
          <w:rFonts w:ascii="Arial" w:hAnsi="Arial" w:cs="Arial"/>
          <w:sz w:val="20"/>
        </w:rPr>
        <w:t>provisions which empower</w:t>
      </w:r>
      <w:r>
        <w:rPr>
          <w:rFonts w:ascii="Arial" w:hAnsi="Arial" w:cs="Arial"/>
          <w:sz w:val="20"/>
        </w:rPr>
        <w:t>ed</w:t>
      </w:r>
      <w:r w:rsidR="0079798D" w:rsidRPr="0079798D">
        <w:rPr>
          <w:rFonts w:ascii="Arial" w:hAnsi="Arial" w:cs="Arial"/>
          <w:sz w:val="20"/>
        </w:rPr>
        <w:t xml:space="preserve"> the ACMA to</w:t>
      </w:r>
      <w:r w:rsidR="009B2635">
        <w:rPr>
          <w:rFonts w:ascii="Arial" w:hAnsi="Arial" w:cs="Arial"/>
          <w:sz w:val="20"/>
        </w:rPr>
        <w:t>:</w:t>
      </w:r>
    </w:p>
    <w:p w14:paraId="36577255" w14:textId="2CF8F752" w:rsidR="00562AA1" w:rsidRDefault="00A96CF4" w:rsidP="009B2635">
      <w:pPr>
        <w:pStyle w:val="ABABulletLevel1"/>
        <w:numPr>
          <w:ilvl w:val="1"/>
          <w:numId w:val="26"/>
        </w:numPr>
        <w:spacing w:after="120"/>
        <w:rPr>
          <w:rFonts w:ascii="Arial" w:hAnsi="Arial" w:cs="Arial"/>
          <w:sz w:val="20"/>
        </w:rPr>
      </w:pPr>
      <w:r>
        <w:rPr>
          <w:rFonts w:ascii="Arial" w:hAnsi="Arial" w:cs="Arial"/>
          <w:sz w:val="20"/>
        </w:rPr>
        <w:t xml:space="preserve">decide that a particular period is an appropriate period </w:t>
      </w:r>
      <w:r w:rsidR="003148E0">
        <w:rPr>
          <w:rFonts w:ascii="Arial" w:hAnsi="Arial" w:cs="Arial"/>
          <w:sz w:val="20"/>
        </w:rPr>
        <w:t>for a participating person, a consolidated related party or a declared related party of a participating person</w:t>
      </w:r>
      <w:r w:rsidR="00A40DCA">
        <w:rPr>
          <w:rFonts w:ascii="Arial" w:hAnsi="Arial" w:cs="Arial"/>
          <w:sz w:val="20"/>
        </w:rPr>
        <w:t xml:space="preserve"> to work out a person’s </w:t>
      </w:r>
      <w:r w:rsidR="00907A40">
        <w:rPr>
          <w:rFonts w:ascii="Arial" w:hAnsi="Arial" w:cs="Arial"/>
          <w:sz w:val="20"/>
        </w:rPr>
        <w:t>revenue; and</w:t>
      </w:r>
    </w:p>
    <w:p w14:paraId="0FCB7A48" w14:textId="0798F1E6" w:rsidR="0079798D" w:rsidRDefault="0079798D" w:rsidP="00BB342E">
      <w:pPr>
        <w:pStyle w:val="ABABulletLevel1"/>
        <w:numPr>
          <w:ilvl w:val="1"/>
          <w:numId w:val="26"/>
        </w:numPr>
        <w:spacing w:after="120"/>
        <w:rPr>
          <w:rFonts w:ascii="Arial" w:hAnsi="Arial" w:cs="Arial"/>
          <w:sz w:val="20"/>
        </w:rPr>
      </w:pPr>
      <w:r w:rsidRPr="0079798D">
        <w:rPr>
          <w:rFonts w:ascii="Arial" w:hAnsi="Arial" w:cs="Arial"/>
          <w:sz w:val="20"/>
        </w:rPr>
        <w:t>make a declaration that a specified amount is (or is not) a particular type of revenue, payment, deduction; and</w:t>
      </w:r>
    </w:p>
    <w:p w14:paraId="29C094C1" w14:textId="1C8F0D89" w:rsidR="0079798D" w:rsidRPr="0079798D" w:rsidRDefault="00694458" w:rsidP="001875E0">
      <w:pPr>
        <w:pStyle w:val="ABABulletLevel1"/>
        <w:numPr>
          <w:ilvl w:val="0"/>
          <w:numId w:val="26"/>
        </w:numPr>
        <w:spacing w:after="120"/>
        <w:rPr>
          <w:rFonts w:ascii="Arial" w:hAnsi="Arial" w:cs="Arial"/>
          <w:sz w:val="20"/>
        </w:rPr>
      </w:pPr>
      <w:r>
        <w:rPr>
          <w:rFonts w:ascii="Arial" w:hAnsi="Arial" w:cs="Arial"/>
          <w:sz w:val="20"/>
        </w:rPr>
        <w:t xml:space="preserve">the </w:t>
      </w:r>
      <w:r w:rsidR="0079798D" w:rsidRPr="0079798D">
        <w:rPr>
          <w:rFonts w:ascii="Arial" w:hAnsi="Arial" w:cs="Arial"/>
          <w:sz w:val="20"/>
        </w:rPr>
        <w:t>insert</w:t>
      </w:r>
      <w:r>
        <w:rPr>
          <w:rFonts w:ascii="Arial" w:hAnsi="Arial" w:cs="Arial"/>
          <w:sz w:val="20"/>
        </w:rPr>
        <w:t>ion of</w:t>
      </w:r>
      <w:r w:rsidR="0079798D" w:rsidRPr="0079798D">
        <w:rPr>
          <w:rFonts w:ascii="Arial" w:hAnsi="Arial" w:cs="Arial"/>
          <w:sz w:val="20"/>
        </w:rPr>
        <w:t xml:space="preserve"> a new definition </w:t>
      </w:r>
      <w:r>
        <w:rPr>
          <w:rFonts w:ascii="Arial" w:hAnsi="Arial" w:cs="Arial"/>
          <w:sz w:val="20"/>
        </w:rPr>
        <w:t xml:space="preserve">for </w:t>
      </w:r>
      <w:r w:rsidR="0079798D" w:rsidRPr="0079798D">
        <w:rPr>
          <w:rFonts w:ascii="Arial" w:hAnsi="Arial" w:cs="Arial"/>
          <w:sz w:val="20"/>
        </w:rPr>
        <w:t xml:space="preserve">‘specified participating person’, to reflect the </w:t>
      </w:r>
      <w:r>
        <w:rPr>
          <w:rFonts w:ascii="Arial" w:hAnsi="Arial" w:cs="Arial"/>
          <w:sz w:val="20"/>
        </w:rPr>
        <w:t xml:space="preserve">insertion of paragraph </w:t>
      </w:r>
      <w:r w:rsidR="0079798D" w:rsidRPr="0079798D">
        <w:rPr>
          <w:rFonts w:ascii="Arial" w:hAnsi="Arial" w:cs="Arial"/>
          <w:sz w:val="20"/>
        </w:rPr>
        <w:t xml:space="preserve">44(1)(c) </w:t>
      </w:r>
      <w:r>
        <w:rPr>
          <w:rFonts w:ascii="Arial" w:hAnsi="Arial" w:cs="Arial"/>
          <w:sz w:val="20"/>
        </w:rPr>
        <w:t xml:space="preserve">of </w:t>
      </w:r>
      <w:r w:rsidR="0079798D" w:rsidRPr="0079798D">
        <w:rPr>
          <w:rFonts w:ascii="Arial" w:hAnsi="Arial" w:cs="Arial"/>
          <w:sz w:val="20"/>
        </w:rPr>
        <w:t>the Act.</w:t>
      </w:r>
    </w:p>
    <w:p w14:paraId="72CB8859" w14:textId="72920590" w:rsidR="0079798D" w:rsidRPr="001875E0" w:rsidRDefault="0079798D" w:rsidP="0079798D">
      <w:pPr>
        <w:pStyle w:val="ABABulletLevel1"/>
        <w:spacing w:after="120"/>
        <w:rPr>
          <w:rFonts w:ascii="Arial" w:hAnsi="Arial" w:cs="Arial"/>
          <w:sz w:val="20"/>
          <w:highlight w:val="yellow"/>
        </w:rPr>
      </w:pPr>
      <w:r w:rsidRPr="0079798D">
        <w:rPr>
          <w:rFonts w:ascii="Arial" w:hAnsi="Arial" w:cs="Arial"/>
          <w:sz w:val="20"/>
        </w:rPr>
        <w:t xml:space="preserve">Based on the submissions received from the public consultation, and further </w:t>
      </w:r>
      <w:r w:rsidR="00A543E1">
        <w:rPr>
          <w:rFonts w:ascii="Arial" w:hAnsi="Arial" w:cs="Arial"/>
          <w:sz w:val="20"/>
        </w:rPr>
        <w:t xml:space="preserve">internal </w:t>
      </w:r>
      <w:r w:rsidRPr="0079798D">
        <w:rPr>
          <w:rFonts w:ascii="Arial" w:hAnsi="Arial" w:cs="Arial"/>
          <w:sz w:val="20"/>
        </w:rPr>
        <w:t>consultation</w:t>
      </w:r>
      <w:r w:rsidR="003C3289">
        <w:rPr>
          <w:rFonts w:ascii="Arial" w:hAnsi="Arial" w:cs="Arial"/>
          <w:sz w:val="20"/>
        </w:rPr>
        <w:t xml:space="preserve">, the ACMA has decided </w:t>
      </w:r>
      <w:r w:rsidRPr="0079798D">
        <w:rPr>
          <w:rFonts w:ascii="Arial" w:hAnsi="Arial" w:cs="Arial"/>
          <w:sz w:val="20"/>
        </w:rPr>
        <w:t xml:space="preserve">to only proceed with item ii above in remaking the </w:t>
      </w:r>
      <w:r w:rsidR="00D224DF">
        <w:rPr>
          <w:rFonts w:ascii="Arial" w:hAnsi="Arial" w:cs="Arial"/>
          <w:sz w:val="20"/>
        </w:rPr>
        <w:t>instrument</w:t>
      </w:r>
      <w:r w:rsidR="00685852">
        <w:rPr>
          <w:rFonts w:ascii="Arial" w:hAnsi="Arial" w:cs="Arial"/>
          <w:sz w:val="20"/>
        </w:rPr>
        <w:t>, noting that the</w:t>
      </w:r>
      <w:r w:rsidR="00366321">
        <w:rPr>
          <w:rFonts w:ascii="Arial" w:hAnsi="Arial" w:cs="Arial"/>
          <w:sz w:val="20"/>
        </w:rPr>
        <w:t xml:space="preserve"> proposed term ‘specified participating person’ </w:t>
      </w:r>
      <w:r w:rsidR="00685852">
        <w:rPr>
          <w:rFonts w:ascii="Arial" w:hAnsi="Arial" w:cs="Arial"/>
          <w:sz w:val="20"/>
        </w:rPr>
        <w:t>has been amended to ‘prescribed participating person’</w:t>
      </w:r>
      <w:r w:rsidR="0008289F">
        <w:rPr>
          <w:rFonts w:ascii="Arial" w:hAnsi="Arial" w:cs="Arial"/>
          <w:sz w:val="20"/>
        </w:rPr>
        <w:t>. This is to avoid confusion</w:t>
      </w:r>
      <w:r w:rsidR="00366321">
        <w:rPr>
          <w:rFonts w:ascii="Arial" w:hAnsi="Arial" w:cs="Arial"/>
          <w:sz w:val="20"/>
        </w:rPr>
        <w:t xml:space="preserve"> within the instrument</w:t>
      </w:r>
      <w:r w:rsidR="0008289F">
        <w:rPr>
          <w:rFonts w:ascii="Arial" w:hAnsi="Arial" w:cs="Arial"/>
          <w:sz w:val="20"/>
        </w:rPr>
        <w:t>, as the re</w:t>
      </w:r>
      <w:r w:rsidR="00235CAF">
        <w:rPr>
          <w:rFonts w:ascii="Arial" w:hAnsi="Arial" w:cs="Arial"/>
          <w:sz w:val="20"/>
        </w:rPr>
        <w:t xml:space="preserve">tention </w:t>
      </w:r>
      <w:r w:rsidR="0008289F">
        <w:rPr>
          <w:rFonts w:ascii="Arial" w:hAnsi="Arial" w:cs="Arial"/>
          <w:sz w:val="20"/>
        </w:rPr>
        <w:t xml:space="preserve">of the declaration provisions </w:t>
      </w:r>
      <w:r w:rsidR="009A7C8D">
        <w:rPr>
          <w:rFonts w:ascii="Arial" w:hAnsi="Arial" w:cs="Arial"/>
          <w:sz w:val="20"/>
        </w:rPr>
        <w:t>means the term ‘specified participating person’ is</w:t>
      </w:r>
      <w:r w:rsidR="002412FA">
        <w:rPr>
          <w:rFonts w:ascii="Arial" w:hAnsi="Arial" w:cs="Arial"/>
          <w:sz w:val="20"/>
        </w:rPr>
        <w:t xml:space="preserve"> now</w:t>
      </w:r>
      <w:r w:rsidR="009A7C8D">
        <w:rPr>
          <w:rFonts w:ascii="Arial" w:hAnsi="Arial" w:cs="Arial"/>
          <w:sz w:val="20"/>
        </w:rPr>
        <w:t xml:space="preserve"> used in relation to any participating person referred to in a declaration</w:t>
      </w:r>
      <w:r w:rsidR="002412FA">
        <w:rPr>
          <w:rFonts w:ascii="Arial" w:hAnsi="Arial" w:cs="Arial"/>
          <w:sz w:val="20"/>
        </w:rPr>
        <w:t xml:space="preserve"> made by the ACMA</w:t>
      </w:r>
      <w:r w:rsidR="00DF433D">
        <w:rPr>
          <w:rFonts w:ascii="Arial" w:hAnsi="Arial" w:cs="Arial"/>
          <w:sz w:val="20"/>
        </w:rPr>
        <w:t xml:space="preserve"> under the instrument</w:t>
      </w:r>
      <w:r w:rsidR="009A7C8D">
        <w:rPr>
          <w:rFonts w:ascii="Arial" w:hAnsi="Arial" w:cs="Arial"/>
          <w:sz w:val="20"/>
        </w:rPr>
        <w:t xml:space="preserve">.  </w:t>
      </w:r>
    </w:p>
    <w:p w14:paraId="71739FDC" w14:textId="77777777" w:rsidR="0098778E" w:rsidRPr="0092230E" w:rsidRDefault="0098778E" w:rsidP="0098778E">
      <w:pPr>
        <w:pStyle w:val="ABABulletLevel1"/>
        <w:spacing w:after="120"/>
        <w:rPr>
          <w:rFonts w:ascii="Arial" w:hAnsi="Arial" w:cs="Arial"/>
          <w:sz w:val="20"/>
        </w:rPr>
      </w:pPr>
    </w:p>
    <w:p w14:paraId="621B58BB" w14:textId="77777777" w:rsidR="00BA0CA6" w:rsidRPr="0092230E" w:rsidRDefault="00BA0CA6" w:rsidP="0075670B">
      <w:pPr>
        <w:pStyle w:val="ABABulletLevel1"/>
        <w:spacing w:after="120"/>
        <w:rPr>
          <w:rFonts w:ascii="Arial" w:hAnsi="Arial" w:cs="Arial"/>
          <w:b/>
          <w:sz w:val="20"/>
        </w:rPr>
      </w:pPr>
      <w:r w:rsidRPr="0092230E">
        <w:rPr>
          <w:rFonts w:ascii="Arial" w:hAnsi="Arial" w:cs="Arial"/>
          <w:b/>
          <w:sz w:val="20"/>
        </w:rPr>
        <w:t>Documents incorporated by reference</w:t>
      </w:r>
    </w:p>
    <w:p w14:paraId="4DAFC097" w14:textId="766BE853" w:rsidR="00BF337E" w:rsidRDefault="00D20C61" w:rsidP="0098778E">
      <w:pPr>
        <w:pStyle w:val="ABABulletLevel1"/>
        <w:rPr>
          <w:rFonts w:ascii="Arial" w:hAnsi="Arial" w:cs="Arial"/>
          <w:sz w:val="20"/>
        </w:rPr>
      </w:pPr>
      <w:r>
        <w:rPr>
          <w:rFonts w:ascii="Arial" w:hAnsi="Arial" w:cs="Arial"/>
          <w:sz w:val="20"/>
        </w:rPr>
        <w:t xml:space="preserve">The </w:t>
      </w:r>
      <w:r w:rsidR="000553F6">
        <w:rPr>
          <w:rFonts w:ascii="Arial" w:hAnsi="Arial" w:cs="Arial"/>
          <w:sz w:val="20"/>
        </w:rPr>
        <w:t xml:space="preserve">instrument </w:t>
      </w:r>
      <w:r>
        <w:rPr>
          <w:rFonts w:ascii="Arial" w:hAnsi="Arial" w:cs="Arial"/>
          <w:sz w:val="20"/>
        </w:rPr>
        <w:t>incorporates</w:t>
      </w:r>
      <w:r w:rsidR="00CF6488">
        <w:rPr>
          <w:rFonts w:ascii="Arial" w:hAnsi="Arial" w:cs="Arial"/>
          <w:sz w:val="20"/>
        </w:rPr>
        <w:t xml:space="preserve"> the following Acts </w:t>
      </w:r>
      <w:r w:rsidR="001708DE">
        <w:rPr>
          <w:rFonts w:ascii="Arial" w:hAnsi="Arial" w:cs="Arial"/>
          <w:sz w:val="20"/>
        </w:rPr>
        <w:t xml:space="preserve">and legislative instruments </w:t>
      </w:r>
      <w:r w:rsidR="00CF6488">
        <w:rPr>
          <w:rFonts w:ascii="Arial" w:hAnsi="Arial" w:cs="Arial"/>
          <w:sz w:val="20"/>
        </w:rPr>
        <w:t>by reference</w:t>
      </w:r>
      <w:r w:rsidR="002C3845">
        <w:rPr>
          <w:rFonts w:ascii="Arial" w:hAnsi="Arial" w:cs="Arial"/>
          <w:sz w:val="20"/>
        </w:rPr>
        <w:t>, or</w:t>
      </w:r>
      <w:r w:rsidR="000553F6">
        <w:rPr>
          <w:rFonts w:ascii="Arial" w:hAnsi="Arial" w:cs="Arial"/>
          <w:sz w:val="20"/>
        </w:rPr>
        <w:t xml:space="preserve"> otherwise refers </w:t>
      </w:r>
      <w:r w:rsidR="002C3845">
        <w:rPr>
          <w:rFonts w:ascii="Arial" w:hAnsi="Arial" w:cs="Arial"/>
          <w:sz w:val="20"/>
        </w:rPr>
        <w:t>them:</w:t>
      </w:r>
      <w:r w:rsidR="002C3845" w:rsidDel="002C3845">
        <w:rPr>
          <w:rFonts w:ascii="Arial" w:hAnsi="Arial" w:cs="Arial"/>
          <w:sz w:val="20"/>
        </w:rPr>
        <w:t xml:space="preserve"> </w:t>
      </w:r>
    </w:p>
    <w:p w14:paraId="6D7E8B35" w14:textId="18F727E4" w:rsidR="00826C55" w:rsidRPr="0092230E" w:rsidRDefault="00826C55" w:rsidP="0098778E">
      <w:pPr>
        <w:pStyle w:val="ABABulletLevel1"/>
        <w:rPr>
          <w:rFonts w:ascii="Arial" w:hAnsi="Arial" w:cs="Arial"/>
          <w:sz w:val="20"/>
        </w:rPr>
      </w:pPr>
    </w:p>
    <w:p w14:paraId="01B1AF40" w14:textId="761633BC" w:rsidR="00525167" w:rsidRPr="00397584" w:rsidRDefault="00525167" w:rsidP="00031EF3">
      <w:pPr>
        <w:pStyle w:val="ABABulletLevel1"/>
        <w:numPr>
          <w:ilvl w:val="0"/>
          <w:numId w:val="10"/>
        </w:numPr>
        <w:spacing w:after="120"/>
        <w:ind w:left="714" w:hanging="357"/>
        <w:rPr>
          <w:rFonts w:ascii="Arial" w:hAnsi="Arial" w:cs="Arial"/>
          <w:sz w:val="20"/>
        </w:rPr>
      </w:pPr>
      <w:r w:rsidRPr="00397584">
        <w:rPr>
          <w:rFonts w:ascii="Arial" w:hAnsi="Arial" w:cs="Arial"/>
          <w:sz w:val="20"/>
        </w:rPr>
        <w:t xml:space="preserve">the </w:t>
      </w:r>
      <w:proofErr w:type="gramStart"/>
      <w:r w:rsidRPr="00397584">
        <w:rPr>
          <w:rFonts w:ascii="Arial" w:hAnsi="Arial" w:cs="Arial"/>
          <w:sz w:val="20"/>
        </w:rPr>
        <w:t>Act</w:t>
      </w:r>
      <w:r w:rsidR="004C1B7A">
        <w:rPr>
          <w:rFonts w:ascii="Arial" w:hAnsi="Arial" w:cs="Arial"/>
          <w:sz w:val="20"/>
        </w:rPr>
        <w:t>;</w:t>
      </w:r>
      <w:proofErr w:type="gramEnd"/>
    </w:p>
    <w:p w14:paraId="774EBD4E" w14:textId="0DD7282E" w:rsidR="004D0BFF" w:rsidRDefault="004D0BFF" w:rsidP="004D0BFF">
      <w:pPr>
        <w:pStyle w:val="ABABulletLevel1"/>
        <w:numPr>
          <w:ilvl w:val="0"/>
          <w:numId w:val="10"/>
        </w:numPr>
        <w:spacing w:after="120"/>
        <w:ind w:left="714" w:hanging="357"/>
        <w:rPr>
          <w:rFonts w:ascii="Arial" w:hAnsi="Arial" w:cs="Arial"/>
          <w:sz w:val="20"/>
        </w:rPr>
      </w:pPr>
      <w:r>
        <w:rPr>
          <w:rFonts w:ascii="Arial" w:hAnsi="Arial" w:cs="Arial"/>
          <w:sz w:val="20"/>
        </w:rPr>
        <w:t xml:space="preserve">Accounting Standard AASB </w:t>
      </w:r>
      <w:proofErr w:type="gramStart"/>
      <w:r>
        <w:rPr>
          <w:rFonts w:ascii="Arial" w:hAnsi="Arial" w:cs="Arial"/>
          <w:sz w:val="20"/>
        </w:rPr>
        <w:t>1057;</w:t>
      </w:r>
      <w:proofErr w:type="gramEnd"/>
    </w:p>
    <w:p w14:paraId="22C1550B" w14:textId="77777777" w:rsidR="004D0BFF" w:rsidRPr="008D7503" w:rsidRDefault="004D0BFF" w:rsidP="004D0BFF">
      <w:pPr>
        <w:pStyle w:val="ABABulletLevel1"/>
        <w:numPr>
          <w:ilvl w:val="0"/>
          <w:numId w:val="10"/>
        </w:numPr>
        <w:spacing w:after="120"/>
        <w:ind w:left="714" w:hanging="357"/>
        <w:rPr>
          <w:rFonts w:ascii="Arial" w:hAnsi="Arial" w:cs="Arial"/>
          <w:sz w:val="20"/>
        </w:rPr>
      </w:pPr>
      <w:r w:rsidRPr="00FD2860">
        <w:rPr>
          <w:rFonts w:ascii="Arial" w:hAnsi="Arial" w:cs="Arial"/>
          <w:sz w:val="20"/>
        </w:rPr>
        <w:t xml:space="preserve">accounting standards made under section 334 of the </w:t>
      </w:r>
      <w:r w:rsidRPr="00FD2860">
        <w:rPr>
          <w:rFonts w:ascii="Arial" w:hAnsi="Arial" w:cs="Arial"/>
          <w:i/>
          <w:sz w:val="20"/>
        </w:rPr>
        <w:t xml:space="preserve">Corporations Act </w:t>
      </w:r>
      <w:proofErr w:type="gramStart"/>
      <w:r w:rsidRPr="00FD2860">
        <w:rPr>
          <w:rFonts w:ascii="Arial" w:hAnsi="Arial" w:cs="Arial"/>
          <w:i/>
          <w:sz w:val="20"/>
        </w:rPr>
        <w:t>2001</w:t>
      </w:r>
      <w:r w:rsidRPr="00FD2860">
        <w:rPr>
          <w:rFonts w:ascii="Arial" w:hAnsi="Arial" w:cs="Arial"/>
          <w:sz w:val="20"/>
        </w:rPr>
        <w:t>;</w:t>
      </w:r>
      <w:proofErr w:type="gramEnd"/>
      <w:r w:rsidRPr="00FD2860">
        <w:rPr>
          <w:rFonts w:ascii="Arial" w:hAnsi="Arial" w:cs="Arial"/>
          <w:sz w:val="20"/>
        </w:rPr>
        <w:t xml:space="preserve"> </w:t>
      </w:r>
    </w:p>
    <w:p w14:paraId="50262180" w14:textId="77777777" w:rsidR="004D0BFF" w:rsidRPr="008D7503" w:rsidRDefault="004D0BFF" w:rsidP="004D0BFF">
      <w:pPr>
        <w:pStyle w:val="ABABulletLevel1"/>
        <w:numPr>
          <w:ilvl w:val="0"/>
          <w:numId w:val="10"/>
        </w:numPr>
        <w:spacing w:after="120"/>
        <w:ind w:left="714" w:hanging="357"/>
        <w:rPr>
          <w:rFonts w:ascii="Arial" w:hAnsi="Arial" w:cs="Arial"/>
          <w:sz w:val="20"/>
        </w:rPr>
      </w:pPr>
      <w:r w:rsidRPr="008D7503">
        <w:rPr>
          <w:rFonts w:ascii="Arial" w:hAnsi="Arial" w:cs="Arial"/>
          <w:sz w:val="20"/>
        </w:rPr>
        <w:t xml:space="preserve">the </w:t>
      </w:r>
      <w:r w:rsidRPr="008D7503">
        <w:rPr>
          <w:rFonts w:ascii="Arial" w:hAnsi="Arial" w:cs="Arial"/>
          <w:i/>
          <w:iCs/>
          <w:sz w:val="20"/>
        </w:rPr>
        <w:t xml:space="preserve">Administrative Review Tribunal Act </w:t>
      </w:r>
      <w:proofErr w:type="gramStart"/>
      <w:r w:rsidRPr="008D7503">
        <w:rPr>
          <w:rFonts w:ascii="Arial" w:hAnsi="Arial" w:cs="Arial"/>
          <w:i/>
          <w:iCs/>
          <w:sz w:val="20"/>
        </w:rPr>
        <w:t>2024</w:t>
      </w:r>
      <w:r w:rsidRPr="00D125AD">
        <w:rPr>
          <w:rFonts w:ascii="Arial" w:hAnsi="Arial" w:cs="Arial"/>
          <w:i/>
          <w:iCs/>
          <w:sz w:val="20"/>
        </w:rPr>
        <w:t>;</w:t>
      </w:r>
      <w:proofErr w:type="gramEnd"/>
      <w:r w:rsidRPr="00D125AD">
        <w:rPr>
          <w:rFonts w:ascii="Arial" w:hAnsi="Arial" w:cs="Arial"/>
          <w:i/>
          <w:iCs/>
          <w:sz w:val="20"/>
        </w:rPr>
        <w:t xml:space="preserve"> </w:t>
      </w:r>
    </w:p>
    <w:p w14:paraId="01FDF1D9" w14:textId="60204C6E" w:rsidR="00525167" w:rsidRPr="00397584" w:rsidRDefault="00525167" w:rsidP="00031EF3">
      <w:pPr>
        <w:pStyle w:val="ABABulletLevel1"/>
        <w:numPr>
          <w:ilvl w:val="0"/>
          <w:numId w:val="10"/>
        </w:numPr>
        <w:spacing w:after="120"/>
        <w:ind w:left="714" w:hanging="357"/>
        <w:rPr>
          <w:rFonts w:ascii="Arial" w:hAnsi="Arial" w:cs="Arial"/>
          <w:sz w:val="20"/>
        </w:rPr>
      </w:pPr>
      <w:r w:rsidRPr="00397584">
        <w:rPr>
          <w:rFonts w:ascii="Arial" w:hAnsi="Arial" w:cs="Arial"/>
          <w:sz w:val="20"/>
        </w:rPr>
        <w:t xml:space="preserve">the </w:t>
      </w:r>
      <w:proofErr w:type="gramStart"/>
      <w:r w:rsidR="004C1B7A">
        <w:rPr>
          <w:rFonts w:ascii="Arial" w:hAnsi="Arial" w:cs="Arial"/>
          <w:sz w:val="20"/>
        </w:rPr>
        <w:t>AIA;</w:t>
      </w:r>
      <w:proofErr w:type="gramEnd"/>
    </w:p>
    <w:p w14:paraId="3A0E51AF" w14:textId="5FB44E7A" w:rsidR="00897B0D" w:rsidRPr="00D125AD" w:rsidRDefault="00897B0D" w:rsidP="00031EF3">
      <w:pPr>
        <w:pStyle w:val="ABABulletLevel1"/>
        <w:numPr>
          <w:ilvl w:val="0"/>
          <w:numId w:val="10"/>
        </w:numPr>
        <w:spacing w:after="120"/>
        <w:ind w:left="714" w:hanging="357"/>
        <w:rPr>
          <w:rFonts w:ascii="Arial" w:hAnsi="Arial" w:cs="Arial"/>
          <w:sz w:val="20"/>
        </w:rPr>
      </w:pPr>
      <w:r w:rsidRPr="00D125AD">
        <w:rPr>
          <w:rFonts w:ascii="Arial" w:hAnsi="Arial" w:cs="Arial"/>
          <w:sz w:val="20"/>
        </w:rPr>
        <w:t xml:space="preserve">the </w:t>
      </w:r>
      <w:r w:rsidRPr="00D125AD">
        <w:rPr>
          <w:rFonts w:ascii="Arial" w:hAnsi="Arial" w:cs="Arial"/>
          <w:i/>
          <w:sz w:val="20"/>
        </w:rPr>
        <w:t xml:space="preserve">Broadcasting Services Act </w:t>
      </w:r>
      <w:proofErr w:type="gramStart"/>
      <w:r w:rsidRPr="00D125AD">
        <w:rPr>
          <w:rFonts w:ascii="Arial" w:hAnsi="Arial" w:cs="Arial"/>
          <w:i/>
          <w:sz w:val="20"/>
        </w:rPr>
        <w:t>1992;</w:t>
      </w:r>
      <w:proofErr w:type="gramEnd"/>
    </w:p>
    <w:p w14:paraId="029ECF20" w14:textId="48DD54B4" w:rsidR="00897B0D" w:rsidRPr="00D125AD" w:rsidRDefault="00897B0D" w:rsidP="00031EF3">
      <w:pPr>
        <w:pStyle w:val="ABABulletLevel1"/>
        <w:numPr>
          <w:ilvl w:val="0"/>
          <w:numId w:val="10"/>
        </w:numPr>
        <w:spacing w:after="120"/>
        <w:ind w:left="714" w:hanging="357"/>
        <w:rPr>
          <w:rFonts w:ascii="Arial" w:hAnsi="Arial" w:cs="Arial"/>
          <w:sz w:val="20"/>
        </w:rPr>
      </w:pPr>
      <w:r w:rsidRPr="00D125AD">
        <w:rPr>
          <w:rFonts w:ascii="Arial" w:hAnsi="Arial" w:cs="Arial"/>
          <w:sz w:val="20"/>
        </w:rPr>
        <w:t xml:space="preserve">the </w:t>
      </w:r>
      <w:r w:rsidRPr="00D125AD">
        <w:rPr>
          <w:rFonts w:ascii="Arial" w:hAnsi="Arial" w:cs="Arial"/>
          <w:i/>
          <w:sz w:val="20"/>
        </w:rPr>
        <w:t xml:space="preserve">Corporations Act </w:t>
      </w:r>
      <w:proofErr w:type="gramStart"/>
      <w:r w:rsidRPr="00D125AD">
        <w:rPr>
          <w:rFonts w:ascii="Arial" w:hAnsi="Arial" w:cs="Arial"/>
          <w:i/>
          <w:sz w:val="20"/>
        </w:rPr>
        <w:t>2001</w:t>
      </w:r>
      <w:r w:rsidRPr="00D125AD">
        <w:rPr>
          <w:rFonts w:ascii="Arial" w:hAnsi="Arial" w:cs="Arial"/>
          <w:sz w:val="20"/>
        </w:rPr>
        <w:t>;</w:t>
      </w:r>
      <w:proofErr w:type="gramEnd"/>
    </w:p>
    <w:p w14:paraId="6E6AECC9" w14:textId="35AB9081" w:rsidR="002D724D" w:rsidRPr="00D125AD" w:rsidRDefault="005261C4" w:rsidP="002D724D">
      <w:pPr>
        <w:pStyle w:val="ABABulletLevel1"/>
        <w:numPr>
          <w:ilvl w:val="0"/>
          <w:numId w:val="10"/>
        </w:numPr>
        <w:spacing w:after="120"/>
        <w:ind w:left="714" w:hanging="357"/>
        <w:rPr>
          <w:rFonts w:ascii="Arial" w:hAnsi="Arial" w:cs="Arial"/>
          <w:sz w:val="20"/>
        </w:rPr>
      </w:pPr>
      <w:r w:rsidRPr="00397584">
        <w:rPr>
          <w:rFonts w:ascii="Arial" w:hAnsi="Arial" w:cs="Arial"/>
          <w:sz w:val="20"/>
        </w:rPr>
        <w:t xml:space="preserve">the </w:t>
      </w:r>
      <w:r w:rsidR="00A73265">
        <w:rPr>
          <w:rFonts w:ascii="Arial" w:hAnsi="Arial" w:cs="Arial"/>
          <w:sz w:val="20"/>
        </w:rPr>
        <w:t>LA</w:t>
      </w:r>
      <w:r w:rsidRPr="00397584">
        <w:rPr>
          <w:rFonts w:ascii="Arial" w:hAnsi="Arial" w:cs="Arial"/>
          <w:sz w:val="20"/>
        </w:rPr>
        <w:t xml:space="preserve">; </w:t>
      </w:r>
      <w:r w:rsidR="009D2029" w:rsidRPr="00D125AD">
        <w:rPr>
          <w:rFonts w:ascii="Arial" w:hAnsi="Arial" w:cs="Arial"/>
          <w:sz w:val="20"/>
        </w:rPr>
        <w:t>and</w:t>
      </w:r>
    </w:p>
    <w:p w14:paraId="0A9E6791" w14:textId="65C4BA13" w:rsidR="00897B0D" w:rsidRPr="00D125AD" w:rsidRDefault="009D2029" w:rsidP="00031EF3">
      <w:pPr>
        <w:pStyle w:val="ABABulletLevel1"/>
        <w:numPr>
          <w:ilvl w:val="0"/>
          <w:numId w:val="10"/>
        </w:numPr>
        <w:spacing w:after="120"/>
        <w:ind w:left="714" w:hanging="357"/>
        <w:rPr>
          <w:rFonts w:ascii="Arial" w:hAnsi="Arial" w:cs="Arial"/>
          <w:sz w:val="20"/>
        </w:rPr>
      </w:pPr>
      <w:r w:rsidRPr="00D125AD">
        <w:rPr>
          <w:rFonts w:ascii="Arial" w:hAnsi="Arial" w:cs="Arial"/>
          <w:sz w:val="20"/>
        </w:rPr>
        <w:t xml:space="preserve">the </w:t>
      </w:r>
      <w:r w:rsidR="00897B0D" w:rsidRPr="00D125AD">
        <w:rPr>
          <w:rFonts w:ascii="Arial" w:hAnsi="Arial" w:cs="Arial"/>
          <w:i/>
          <w:sz w:val="20"/>
        </w:rPr>
        <w:t>Telecommunications Act 1997</w:t>
      </w:r>
      <w:r w:rsidR="002D724D" w:rsidRPr="00D125AD">
        <w:rPr>
          <w:rFonts w:ascii="Arial" w:hAnsi="Arial" w:cs="Arial"/>
          <w:sz w:val="20"/>
        </w:rPr>
        <w:t>.</w:t>
      </w:r>
    </w:p>
    <w:p w14:paraId="28C7E804" w14:textId="61947917" w:rsidR="00D20C61" w:rsidRPr="00790216" w:rsidRDefault="00D20C61" w:rsidP="00397584">
      <w:pPr>
        <w:spacing w:after="200"/>
        <w:rPr>
          <w:rFonts w:ascii="Arial" w:hAnsi="Arial" w:cs="Arial"/>
          <w:szCs w:val="20"/>
        </w:rPr>
      </w:pPr>
      <w:r w:rsidRPr="00E71C79">
        <w:rPr>
          <w:rFonts w:ascii="Arial" w:hAnsi="Arial" w:cs="Arial"/>
          <w:szCs w:val="20"/>
        </w:rPr>
        <w:t xml:space="preserve">The </w:t>
      </w:r>
      <w:r w:rsidR="009D2029">
        <w:rPr>
          <w:rFonts w:ascii="Arial" w:hAnsi="Arial" w:cs="Arial"/>
          <w:szCs w:val="20"/>
        </w:rPr>
        <w:t>documents</w:t>
      </w:r>
      <w:r w:rsidRPr="00E71C79">
        <w:rPr>
          <w:rFonts w:ascii="Arial" w:hAnsi="Arial" w:cs="Arial"/>
          <w:szCs w:val="20"/>
        </w:rPr>
        <w:t xml:space="preserve"> </w:t>
      </w:r>
      <w:r w:rsidRPr="00BB27E0">
        <w:rPr>
          <w:rFonts w:ascii="Arial" w:hAnsi="Arial" w:cs="Arial"/>
          <w:szCs w:val="20"/>
        </w:rPr>
        <w:t>are incorporated as in force from time to time (in accordance with section 1</w:t>
      </w:r>
      <w:r>
        <w:rPr>
          <w:rFonts w:ascii="Arial" w:hAnsi="Arial" w:cs="Arial"/>
          <w:szCs w:val="20"/>
        </w:rPr>
        <w:t>4</w:t>
      </w:r>
      <w:r w:rsidRPr="00BB27E0">
        <w:rPr>
          <w:rFonts w:ascii="Arial" w:hAnsi="Arial" w:cs="Arial"/>
          <w:szCs w:val="20"/>
        </w:rPr>
        <w:t xml:space="preserve"> of the L</w:t>
      </w:r>
      <w:r w:rsidR="00694458">
        <w:rPr>
          <w:rFonts w:ascii="Arial" w:hAnsi="Arial" w:cs="Arial"/>
          <w:szCs w:val="20"/>
        </w:rPr>
        <w:t>A</w:t>
      </w:r>
      <w:r w:rsidRPr="00BB27E0">
        <w:rPr>
          <w:rFonts w:ascii="Arial" w:hAnsi="Arial" w:cs="Arial"/>
          <w:szCs w:val="20"/>
        </w:rPr>
        <w:t xml:space="preserve"> and section 10 of the </w:t>
      </w:r>
      <w:r w:rsidR="00694458">
        <w:rPr>
          <w:rFonts w:ascii="Arial" w:hAnsi="Arial" w:cs="Arial"/>
          <w:szCs w:val="20"/>
        </w:rPr>
        <w:t>AIA</w:t>
      </w:r>
      <w:r w:rsidR="001946A5">
        <w:rPr>
          <w:rFonts w:ascii="Arial" w:hAnsi="Arial" w:cs="Arial"/>
          <w:szCs w:val="20"/>
        </w:rPr>
        <w:t>)</w:t>
      </w:r>
      <w:r w:rsidR="00694458">
        <w:rPr>
          <w:rFonts w:ascii="Arial" w:hAnsi="Arial" w:cs="Arial"/>
          <w:szCs w:val="20"/>
        </w:rPr>
        <w:t xml:space="preserve"> </w:t>
      </w:r>
      <w:r w:rsidRPr="00BB27E0">
        <w:rPr>
          <w:rFonts w:ascii="Arial" w:hAnsi="Arial" w:cs="Arial"/>
          <w:szCs w:val="20"/>
        </w:rPr>
        <w:t>and can be found on the Federal Register of Legislati</w:t>
      </w:r>
      <w:r w:rsidR="00694458">
        <w:rPr>
          <w:rFonts w:ascii="Arial" w:hAnsi="Arial" w:cs="Arial"/>
          <w:szCs w:val="20"/>
        </w:rPr>
        <w:t xml:space="preserve">on </w:t>
      </w:r>
      <w:r w:rsidRPr="00BB27E0">
        <w:rPr>
          <w:rFonts w:ascii="Arial" w:hAnsi="Arial" w:cs="Arial"/>
          <w:szCs w:val="20"/>
        </w:rPr>
        <w:t xml:space="preserve">at </w:t>
      </w:r>
      <w:r w:rsidR="00A85D63" w:rsidRPr="00A85D63">
        <w:rPr>
          <w:rFonts w:ascii="Arial" w:hAnsi="Arial" w:cs="Arial"/>
          <w:szCs w:val="20"/>
        </w:rPr>
        <w:t>https://www.legislation.gov.au/</w:t>
      </w:r>
      <w:r w:rsidRPr="00BB27E0">
        <w:rPr>
          <w:rFonts w:ascii="Arial" w:hAnsi="Arial" w:cs="Arial"/>
          <w:szCs w:val="20"/>
        </w:rPr>
        <w:t>.</w:t>
      </w:r>
    </w:p>
    <w:p w14:paraId="2D7DDB79" w14:textId="77777777" w:rsidR="00A25946" w:rsidRPr="0092230E" w:rsidRDefault="00A25946" w:rsidP="00A25946">
      <w:pPr>
        <w:pStyle w:val="ACMAHeading2"/>
        <w:spacing w:before="80" w:after="120"/>
        <w:rPr>
          <w:rFonts w:cs="Arial"/>
          <w:sz w:val="20"/>
          <w:szCs w:val="20"/>
          <w:lang w:eastAsia="en-AU"/>
        </w:rPr>
      </w:pPr>
      <w:r w:rsidRPr="0092230E">
        <w:rPr>
          <w:rFonts w:cs="Arial"/>
          <w:caps w:val="0"/>
          <w:sz w:val="20"/>
          <w:szCs w:val="20"/>
          <w:lang w:val="en-AU" w:eastAsia="en-AU"/>
        </w:rPr>
        <w:t>Statement of compatibility with human rights</w:t>
      </w:r>
    </w:p>
    <w:p w14:paraId="505970DF" w14:textId="0EB6AAD9" w:rsidR="00DA5F68" w:rsidRPr="0092230E" w:rsidRDefault="00826C55" w:rsidP="00DA5F68">
      <w:pPr>
        <w:pStyle w:val="ABABulletLevel1"/>
        <w:rPr>
          <w:rFonts w:ascii="Arial" w:hAnsi="Arial" w:cs="Arial"/>
          <w:sz w:val="20"/>
        </w:rPr>
      </w:pPr>
      <w:r w:rsidRPr="0092230E">
        <w:rPr>
          <w:rFonts w:ascii="Arial" w:hAnsi="Arial" w:cs="Arial"/>
          <w:sz w:val="20"/>
        </w:rPr>
        <w:t xml:space="preserve">Subsection 9(1) of the </w:t>
      </w:r>
      <w:r w:rsidRPr="0092230E">
        <w:rPr>
          <w:rFonts w:ascii="Arial" w:hAnsi="Arial" w:cs="Arial"/>
          <w:i/>
          <w:sz w:val="20"/>
        </w:rPr>
        <w:t>Human Rights (Parliamentary Scrutiny) Act 2011</w:t>
      </w:r>
      <w:r w:rsidRPr="0092230E">
        <w:rPr>
          <w:rFonts w:ascii="Arial" w:hAnsi="Arial" w:cs="Arial"/>
          <w:sz w:val="20"/>
        </w:rPr>
        <w:t xml:space="preserve"> requires the rule maker in relation to a legislative instrument to which section 42 (disallowance) of the L</w:t>
      </w:r>
      <w:r w:rsidR="00F26822">
        <w:rPr>
          <w:rFonts w:ascii="Arial" w:hAnsi="Arial" w:cs="Arial"/>
          <w:sz w:val="20"/>
        </w:rPr>
        <w:t>A</w:t>
      </w:r>
      <w:r w:rsidRPr="0092230E">
        <w:rPr>
          <w:rFonts w:ascii="Arial" w:hAnsi="Arial" w:cs="Arial"/>
          <w:sz w:val="20"/>
        </w:rPr>
        <w:t xml:space="preserve"> applies, to cause a statement </w:t>
      </w:r>
      <w:r w:rsidR="007B2E7B" w:rsidRPr="0092230E">
        <w:rPr>
          <w:rFonts w:ascii="Arial" w:hAnsi="Arial" w:cs="Arial"/>
          <w:sz w:val="20"/>
        </w:rPr>
        <w:t xml:space="preserve">of compatibility </w:t>
      </w:r>
      <w:r w:rsidRPr="0092230E">
        <w:rPr>
          <w:rFonts w:ascii="Arial" w:hAnsi="Arial" w:cs="Arial"/>
          <w:sz w:val="20"/>
        </w:rPr>
        <w:t xml:space="preserve">to be prepared in respect of that legislative instrument. </w:t>
      </w:r>
    </w:p>
    <w:p w14:paraId="124BF288" w14:textId="77777777" w:rsidR="00DA5F68" w:rsidRPr="0092230E" w:rsidRDefault="00DA5F68" w:rsidP="00DA5F68">
      <w:pPr>
        <w:pStyle w:val="ABABulletLevel1"/>
        <w:rPr>
          <w:rFonts w:ascii="Arial" w:hAnsi="Arial" w:cs="Arial"/>
          <w:sz w:val="20"/>
        </w:rPr>
      </w:pPr>
    </w:p>
    <w:p w14:paraId="1D8ACB96" w14:textId="77777777" w:rsidR="00C3600B" w:rsidRDefault="00DA5F68" w:rsidP="00DA5F68">
      <w:pPr>
        <w:pStyle w:val="ABABulletLevel1"/>
        <w:rPr>
          <w:rFonts w:ascii="Arial" w:hAnsi="Arial" w:cs="Arial"/>
          <w:sz w:val="20"/>
        </w:rPr>
      </w:pPr>
      <w:r w:rsidRPr="0092230E">
        <w:rPr>
          <w:rFonts w:ascii="Arial" w:hAnsi="Arial" w:cs="Arial"/>
          <w:sz w:val="20"/>
        </w:rPr>
        <w:t xml:space="preserve">This statement has been prepared in accordance with Part 3 of the </w:t>
      </w:r>
      <w:r w:rsidRPr="0092230E">
        <w:rPr>
          <w:rFonts w:ascii="Arial" w:hAnsi="Arial" w:cs="Arial"/>
          <w:i/>
          <w:sz w:val="20"/>
        </w:rPr>
        <w:t>Human Rights (Parliamentary Scrutiny) Act 2011</w:t>
      </w:r>
      <w:r w:rsidRPr="0092230E">
        <w:rPr>
          <w:rFonts w:ascii="Arial" w:hAnsi="Arial" w:cs="Arial"/>
          <w:sz w:val="20"/>
        </w:rPr>
        <w:t xml:space="preserve">. </w:t>
      </w:r>
    </w:p>
    <w:p w14:paraId="41287390" w14:textId="77777777" w:rsidR="00C3600B" w:rsidRDefault="00C3600B" w:rsidP="00DA5F68">
      <w:pPr>
        <w:pStyle w:val="ABABulletLevel1"/>
        <w:rPr>
          <w:rFonts w:ascii="Arial" w:hAnsi="Arial" w:cs="Arial"/>
          <w:sz w:val="20"/>
        </w:rPr>
      </w:pPr>
    </w:p>
    <w:p w14:paraId="06A404E1" w14:textId="0E7888E5" w:rsidR="00DA5F68" w:rsidRPr="0092230E" w:rsidRDefault="00DA5F68" w:rsidP="00DA5F68">
      <w:pPr>
        <w:pStyle w:val="ABABulletLevel1"/>
        <w:rPr>
          <w:rFonts w:ascii="Arial" w:hAnsi="Arial" w:cs="Arial"/>
          <w:sz w:val="20"/>
        </w:rPr>
      </w:pPr>
      <w:r w:rsidRPr="0092230E">
        <w:rPr>
          <w:rFonts w:ascii="Arial" w:hAnsi="Arial" w:cs="Arial"/>
          <w:sz w:val="20"/>
        </w:rPr>
        <w:lastRenderedPageBreak/>
        <w:t xml:space="preserve">The </w:t>
      </w:r>
      <w:r w:rsidR="00D224DF">
        <w:rPr>
          <w:rFonts w:ascii="Arial" w:hAnsi="Arial" w:cs="Arial"/>
          <w:sz w:val="20"/>
        </w:rPr>
        <w:t>instrument</w:t>
      </w:r>
      <w:r w:rsidRPr="0092230E">
        <w:rPr>
          <w:rFonts w:ascii="Arial" w:hAnsi="Arial" w:cs="Arial"/>
          <w:sz w:val="20"/>
        </w:rPr>
        <w:t>, made under subsections 43(5) and 45(1) of the Act:</w:t>
      </w:r>
      <w:r w:rsidR="002E21E5">
        <w:rPr>
          <w:rFonts w:ascii="Arial" w:hAnsi="Arial" w:cs="Arial"/>
          <w:sz w:val="20"/>
        </w:rPr>
        <w:t xml:space="preserve"> </w:t>
      </w:r>
    </w:p>
    <w:p w14:paraId="5D5BEB6D" w14:textId="77777777" w:rsidR="00DA5F68" w:rsidRPr="0092230E" w:rsidRDefault="00DA5F68" w:rsidP="00DA5F68">
      <w:pPr>
        <w:pStyle w:val="ABABulletLevel1"/>
        <w:rPr>
          <w:rFonts w:ascii="Arial" w:hAnsi="Arial" w:cs="Arial"/>
          <w:sz w:val="20"/>
        </w:rPr>
      </w:pPr>
    </w:p>
    <w:p w14:paraId="2A639D93" w14:textId="05C089E2" w:rsidR="00DA5F68" w:rsidRPr="0092230E" w:rsidRDefault="00DA5F68" w:rsidP="00A41A66">
      <w:pPr>
        <w:pStyle w:val="ABABulletLevel1"/>
        <w:numPr>
          <w:ilvl w:val="0"/>
          <w:numId w:val="25"/>
        </w:numPr>
        <w:rPr>
          <w:rFonts w:ascii="Arial" w:hAnsi="Arial" w:cs="Arial"/>
          <w:sz w:val="20"/>
        </w:rPr>
      </w:pPr>
      <w:r w:rsidRPr="0092230E">
        <w:rPr>
          <w:rFonts w:ascii="Arial" w:hAnsi="Arial" w:cs="Arial"/>
          <w:sz w:val="20"/>
        </w:rPr>
        <w:t>sets out how the eligible revenue of a participating person for an eligible revenue period is to be determined; and</w:t>
      </w:r>
    </w:p>
    <w:p w14:paraId="4AA0D63C" w14:textId="77777777" w:rsidR="00DA5F68" w:rsidRPr="0092230E" w:rsidRDefault="00DA5F68" w:rsidP="00DA5F68">
      <w:pPr>
        <w:pStyle w:val="ABABulletLevel1"/>
        <w:rPr>
          <w:rFonts w:ascii="Arial" w:hAnsi="Arial" w:cs="Arial"/>
          <w:sz w:val="20"/>
        </w:rPr>
      </w:pPr>
    </w:p>
    <w:p w14:paraId="1747A0BA" w14:textId="77777777" w:rsidR="00DA5F68" w:rsidRPr="0092230E" w:rsidRDefault="00DA5F68" w:rsidP="00A41A66">
      <w:pPr>
        <w:pStyle w:val="ABABulletLevel1"/>
        <w:numPr>
          <w:ilvl w:val="0"/>
          <w:numId w:val="25"/>
        </w:numPr>
        <w:rPr>
          <w:rFonts w:ascii="Arial" w:hAnsi="Arial" w:cs="Arial"/>
          <w:sz w:val="20"/>
        </w:rPr>
      </w:pPr>
      <w:r w:rsidRPr="0092230E">
        <w:rPr>
          <w:rFonts w:ascii="Arial" w:hAnsi="Arial" w:cs="Arial"/>
          <w:sz w:val="20"/>
        </w:rPr>
        <w:t xml:space="preserve">specifies the period within which each participating person is required to provide a written return of the person’s eligible revenue for an eligible revenue period. </w:t>
      </w:r>
    </w:p>
    <w:p w14:paraId="31EDCCBF" w14:textId="77777777" w:rsidR="00DA5F68" w:rsidRPr="0092230E" w:rsidRDefault="00DA5F68" w:rsidP="00DA5F68">
      <w:pPr>
        <w:pStyle w:val="ABABulletLevel1"/>
        <w:rPr>
          <w:rFonts w:ascii="Arial" w:hAnsi="Arial" w:cs="Arial"/>
          <w:sz w:val="20"/>
        </w:rPr>
      </w:pPr>
    </w:p>
    <w:p w14:paraId="3C5EE450" w14:textId="77777777" w:rsidR="00280D5D" w:rsidRPr="00397584" w:rsidRDefault="00280D5D" w:rsidP="00280D5D">
      <w:pPr>
        <w:pStyle w:val="ABABulletLevel1"/>
        <w:rPr>
          <w:rFonts w:ascii="Arial" w:hAnsi="Arial" w:cs="Arial"/>
          <w:b/>
          <w:bCs/>
          <w:sz w:val="20"/>
        </w:rPr>
      </w:pPr>
      <w:r w:rsidRPr="00397584">
        <w:rPr>
          <w:rFonts w:ascii="Arial" w:hAnsi="Arial" w:cs="Arial"/>
          <w:b/>
          <w:bCs/>
          <w:sz w:val="20"/>
        </w:rPr>
        <w:t>Human rights implications</w:t>
      </w:r>
    </w:p>
    <w:p w14:paraId="7F4FB13C" w14:textId="77777777" w:rsidR="00BF337E" w:rsidRDefault="00BF337E" w:rsidP="00280D5D">
      <w:pPr>
        <w:pStyle w:val="ABABulletLevel1"/>
        <w:rPr>
          <w:rFonts w:ascii="Arial" w:hAnsi="Arial" w:cs="Arial"/>
          <w:sz w:val="20"/>
        </w:rPr>
      </w:pPr>
    </w:p>
    <w:p w14:paraId="1F69AEE0" w14:textId="2992C9AD" w:rsidR="00280D5D" w:rsidRDefault="00280D5D" w:rsidP="00280D5D">
      <w:pPr>
        <w:pStyle w:val="ABABulletLevel1"/>
        <w:rPr>
          <w:rFonts w:ascii="Arial" w:hAnsi="Arial" w:cs="Arial"/>
          <w:sz w:val="20"/>
        </w:rPr>
      </w:pPr>
      <w:r w:rsidRPr="00280D5D">
        <w:rPr>
          <w:rFonts w:ascii="Arial" w:hAnsi="Arial" w:cs="Arial"/>
          <w:sz w:val="20"/>
        </w:rPr>
        <w:t xml:space="preserve">The ACMA has assessed whether the instrument is compatible with human rights, being the rights and freedoms recognised or declared by the international instruments listed in subsection 3(1) of the </w:t>
      </w:r>
      <w:r w:rsidRPr="00397584">
        <w:rPr>
          <w:rFonts w:ascii="Arial" w:hAnsi="Arial" w:cs="Arial"/>
          <w:i/>
          <w:iCs/>
          <w:sz w:val="20"/>
        </w:rPr>
        <w:t>Human Rights (Parliamentary Scrutiny) Act 2011</w:t>
      </w:r>
      <w:r w:rsidRPr="00280D5D">
        <w:rPr>
          <w:rFonts w:ascii="Arial" w:hAnsi="Arial" w:cs="Arial"/>
          <w:sz w:val="20"/>
        </w:rPr>
        <w:t xml:space="preserve"> as they apply to Australia.</w:t>
      </w:r>
    </w:p>
    <w:p w14:paraId="7E2FD8A3" w14:textId="77777777" w:rsidR="00280D5D" w:rsidRPr="00280D5D" w:rsidRDefault="00280D5D" w:rsidP="00280D5D">
      <w:pPr>
        <w:pStyle w:val="ABABulletLevel1"/>
        <w:rPr>
          <w:rFonts w:ascii="Arial" w:hAnsi="Arial" w:cs="Arial"/>
          <w:sz w:val="20"/>
        </w:rPr>
      </w:pPr>
    </w:p>
    <w:p w14:paraId="43D8733B" w14:textId="77777777" w:rsidR="00280D5D" w:rsidRDefault="00280D5D" w:rsidP="00280D5D">
      <w:pPr>
        <w:pStyle w:val="ABABulletLevel1"/>
        <w:rPr>
          <w:rFonts w:ascii="Arial" w:hAnsi="Arial" w:cs="Arial"/>
          <w:sz w:val="20"/>
        </w:rPr>
      </w:pPr>
      <w:r w:rsidRPr="00280D5D">
        <w:rPr>
          <w:rFonts w:ascii="Arial" w:hAnsi="Arial" w:cs="Arial"/>
          <w:sz w:val="20"/>
        </w:rPr>
        <w:t>Having considered the likely impact of the instrument and the nature of the applicable rights and freedoms, the ACMA has formed the view that the instrument does not engage any of those rights or freedoms.</w:t>
      </w:r>
    </w:p>
    <w:p w14:paraId="7B0DE28E" w14:textId="77777777" w:rsidR="00280D5D" w:rsidRDefault="00280D5D" w:rsidP="00280D5D">
      <w:pPr>
        <w:pStyle w:val="ABABulletLevel1"/>
        <w:rPr>
          <w:rFonts w:ascii="Arial" w:hAnsi="Arial" w:cs="Arial"/>
          <w:sz w:val="20"/>
        </w:rPr>
      </w:pPr>
    </w:p>
    <w:p w14:paraId="1058F8B6" w14:textId="29771FE9" w:rsidR="00280D5D" w:rsidRDefault="00280D5D" w:rsidP="00280D5D">
      <w:pPr>
        <w:pStyle w:val="ABABulletLevel1"/>
        <w:rPr>
          <w:rFonts w:ascii="Arial" w:hAnsi="Arial" w:cs="Arial"/>
          <w:b/>
          <w:bCs/>
          <w:sz w:val="20"/>
        </w:rPr>
      </w:pPr>
      <w:r>
        <w:rPr>
          <w:rFonts w:ascii="Arial" w:hAnsi="Arial" w:cs="Arial"/>
          <w:b/>
          <w:bCs/>
          <w:sz w:val="20"/>
        </w:rPr>
        <w:t>Conclusion</w:t>
      </w:r>
    </w:p>
    <w:p w14:paraId="5ACB3A6A" w14:textId="77777777" w:rsidR="00280D5D" w:rsidRPr="00397584" w:rsidRDefault="00280D5D" w:rsidP="00280D5D">
      <w:pPr>
        <w:pStyle w:val="ABABulletLevel1"/>
        <w:rPr>
          <w:rFonts w:ascii="Arial" w:hAnsi="Arial" w:cs="Arial"/>
          <w:b/>
          <w:bCs/>
          <w:sz w:val="20"/>
        </w:rPr>
      </w:pPr>
    </w:p>
    <w:p w14:paraId="0AD498AD" w14:textId="4F52DF74" w:rsidR="0076706B" w:rsidRPr="0092230E" w:rsidRDefault="00DA5F68" w:rsidP="00280D5D">
      <w:pPr>
        <w:pStyle w:val="ABABulletLevel1"/>
        <w:rPr>
          <w:rFonts w:ascii="Arial" w:hAnsi="Arial" w:cs="Arial"/>
          <w:sz w:val="20"/>
        </w:rPr>
      </w:pPr>
      <w:r w:rsidRPr="0092230E">
        <w:rPr>
          <w:rFonts w:ascii="Arial" w:hAnsi="Arial" w:cs="Arial"/>
          <w:sz w:val="20"/>
        </w:rPr>
        <w:t>The instrument is compatible with human rights as it does not raise any human rights issues.</w:t>
      </w:r>
    </w:p>
    <w:p w14:paraId="18F1DDCC" w14:textId="77777777" w:rsidR="00DA5F68" w:rsidRPr="0092230E" w:rsidRDefault="00DA5F68">
      <w:pPr>
        <w:spacing w:after="200" w:line="276" w:lineRule="auto"/>
        <w:rPr>
          <w:rFonts w:ascii="Arial" w:hAnsi="Arial" w:cs="Arial"/>
          <w:b/>
          <w:szCs w:val="20"/>
          <w:lang w:eastAsia="en-US"/>
        </w:rPr>
      </w:pPr>
      <w:r w:rsidRPr="0092230E">
        <w:rPr>
          <w:rFonts w:ascii="Arial" w:hAnsi="Arial" w:cs="Arial"/>
          <w:b/>
          <w:szCs w:val="20"/>
          <w:lang w:eastAsia="en-US"/>
        </w:rPr>
        <w:br w:type="page"/>
      </w:r>
    </w:p>
    <w:p w14:paraId="11D69063" w14:textId="77777777" w:rsidR="00F424C8" w:rsidRPr="0092230E" w:rsidRDefault="00DA5F68" w:rsidP="00DA5F68">
      <w:pPr>
        <w:spacing w:after="200" w:line="276" w:lineRule="auto"/>
        <w:jc w:val="right"/>
        <w:rPr>
          <w:rFonts w:ascii="Arial" w:hAnsi="Arial" w:cs="Arial"/>
          <w:b/>
          <w:szCs w:val="20"/>
          <w:lang w:eastAsia="en-US"/>
        </w:rPr>
      </w:pPr>
      <w:r w:rsidRPr="0092230E">
        <w:rPr>
          <w:rFonts w:ascii="Arial" w:hAnsi="Arial" w:cs="Arial"/>
          <w:b/>
          <w:szCs w:val="20"/>
          <w:lang w:eastAsia="en-US"/>
        </w:rPr>
        <w:lastRenderedPageBreak/>
        <w:t>Attachment A</w:t>
      </w:r>
    </w:p>
    <w:p w14:paraId="6F6DDF0F" w14:textId="49314F6D" w:rsidR="007B2E7B" w:rsidRPr="0092230E" w:rsidRDefault="00476373" w:rsidP="00397584">
      <w:pPr>
        <w:pStyle w:val="ABABulletLevel1"/>
        <w:spacing w:after="120"/>
        <w:jc w:val="center"/>
        <w:rPr>
          <w:rFonts w:ascii="Arial" w:hAnsi="Arial" w:cs="Arial"/>
          <w:b/>
          <w:sz w:val="20"/>
          <w:u w:val="single"/>
        </w:rPr>
      </w:pPr>
      <w:r w:rsidRPr="0092230E">
        <w:rPr>
          <w:rFonts w:ascii="Arial" w:hAnsi="Arial" w:cs="Arial"/>
          <w:b/>
          <w:sz w:val="20"/>
          <w:u w:val="single"/>
        </w:rPr>
        <w:t xml:space="preserve">Notes </w:t>
      </w:r>
      <w:r w:rsidR="00280D5D">
        <w:rPr>
          <w:rFonts w:ascii="Arial" w:hAnsi="Arial" w:cs="Arial"/>
          <w:b/>
          <w:sz w:val="20"/>
          <w:u w:val="single"/>
        </w:rPr>
        <w:t xml:space="preserve">to the </w:t>
      </w:r>
      <w:r w:rsidR="003B7913" w:rsidRPr="00397584">
        <w:rPr>
          <w:rFonts w:ascii="Arial" w:hAnsi="Arial" w:cs="Arial"/>
          <w:b/>
          <w:i/>
          <w:iCs/>
          <w:sz w:val="20"/>
          <w:u w:val="single"/>
        </w:rPr>
        <w:t>Telecommunications (Eligible Revenue) Determination 2025</w:t>
      </w:r>
    </w:p>
    <w:p w14:paraId="65132C05" w14:textId="77777777" w:rsidR="00F424C8" w:rsidRPr="0092230E" w:rsidRDefault="00F424C8" w:rsidP="007B2E7B">
      <w:pPr>
        <w:pStyle w:val="ABABulletLevel1"/>
        <w:spacing w:after="120"/>
        <w:rPr>
          <w:rFonts w:ascii="Arial" w:hAnsi="Arial" w:cs="Arial"/>
          <w:b/>
          <w:sz w:val="20"/>
        </w:rPr>
      </w:pPr>
    </w:p>
    <w:p w14:paraId="2B8CB979" w14:textId="77777777" w:rsidR="00FE1FB9" w:rsidRPr="0092230E" w:rsidRDefault="00FE1FB9" w:rsidP="007B2E7B">
      <w:pPr>
        <w:pStyle w:val="ABABulletLevel1"/>
        <w:spacing w:after="120"/>
        <w:rPr>
          <w:rFonts w:ascii="Arial" w:hAnsi="Arial" w:cs="Arial"/>
          <w:b/>
          <w:sz w:val="20"/>
        </w:rPr>
      </w:pPr>
      <w:r w:rsidRPr="0092230E">
        <w:rPr>
          <w:rFonts w:ascii="Arial" w:hAnsi="Arial" w:cs="Arial"/>
          <w:b/>
          <w:sz w:val="20"/>
        </w:rPr>
        <w:t>Part 1 – Preliminary</w:t>
      </w:r>
    </w:p>
    <w:p w14:paraId="50B421E2" w14:textId="0E17B330" w:rsidR="007B2E7B" w:rsidRPr="0092230E" w:rsidRDefault="007B2E7B" w:rsidP="007B2E7B">
      <w:pPr>
        <w:pStyle w:val="ABABulletLevel1"/>
        <w:spacing w:after="120"/>
        <w:rPr>
          <w:rFonts w:ascii="Arial" w:hAnsi="Arial" w:cs="Arial"/>
          <w:b/>
          <w:sz w:val="20"/>
        </w:rPr>
      </w:pPr>
      <w:r w:rsidRPr="0092230E">
        <w:rPr>
          <w:rFonts w:ascii="Arial" w:hAnsi="Arial" w:cs="Arial"/>
          <w:b/>
          <w:sz w:val="20"/>
        </w:rPr>
        <w:t xml:space="preserve">Section 1 </w:t>
      </w:r>
      <w:r w:rsidR="00EA520C" w:rsidRPr="0092230E">
        <w:rPr>
          <w:rFonts w:ascii="Arial" w:hAnsi="Arial" w:cs="Arial"/>
          <w:b/>
          <w:sz w:val="20"/>
        </w:rPr>
        <w:t xml:space="preserve">– </w:t>
      </w:r>
      <w:r w:rsidRPr="0092230E">
        <w:rPr>
          <w:rFonts w:ascii="Arial" w:hAnsi="Arial" w:cs="Arial"/>
          <w:b/>
          <w:sz w:val="20"/>
        </w:rPr>
        <w:t xml:space="preserve">Name </w:t>
      </w:r>
    </w:p>
    <w:p w14:paraId="2984CD85" w14:textId="66EC5C72" w:rsidR="007B2E7B" w:rsidRPr="0092230E" w:rsidRDefault="007B2E7B" w:rsidP="007B2E7B">
      <w:pPr>
        <w:pStyle w:val="ABABulletLevel1"/>
        <w:spacing w:after="120"/>
        <w:rPr>
          <w:rFonts w:ascii="Arial" w:hAnsi="Arial" w:cs="Arial"/>
          <w:sz w:val="20"/>
        </w:rPr>
      </w:pPr>
      <w:r w:rsidRPr="0092230E">
        <w:rPr>
          <w:rFonts w:ascii="Arial" w:hAnsi="Arial" w:cs="Arial"/>
          <w:sz w:val="20"/>
        </w:rPr>
        <w:t xml:space="preserve">Section 1 </w:t>
      </w:r>
      <w:r w:rsidR="00BF0F34">
        <w:rPr>
          <w:rFonts w:ascii="Arial" w:hAnsi="Arial" w:cs="Arial"/>
          <w:sz w:val="20"/>
        </w:rPr>
        <w:t xml:space="preserve">of the instrument </w:t>
      </w:r>
      <w:r w:rsidRPr="0092230E">
        <w:rPr>
          <w:rFonts w:ascii="Arial" w:hAnsi="Arial" w:cs="Arial"/>
          <w:sz w:val="20"/>
        </w:rPr>
        <w:t xml:space="preserve">provides that the name of the </w:t>
      </w:r>
      <w:r w:rsidR="00612267">
        <w:rPr>
          <w:rFonts w:ascii="Arial" w:hAnsi="Arial" w:cs="Arial"/>
          <w:sz w:val="20"/>
        </w:rPr>
        <w:t xml:space="preserve">instrument </w:t>
      </w:r>
      <w:r w:rsidRPr="0092230E">
        <w:rPr>
          <w:rFonts w:ascii="Arial" w:hAnsi="Arial" w:cs="Arial"/>
          <w:sz w:val="20"/>
        </w:rPr>
        <w:t xml:space="preserve">is the </w:t>
      </w:r>
      <w:r w:rsidR="00476373" w:rsidRPr="0092230E">
        <w:rPr>
          <w:rFonts w:ascii="Arial" w:hAnsi="Arial" w:cs="Arial"/>
          <w:i/>
          <w:sz w:val="20"/>
        </w:rPr>
        <w:t>Telecommunications (Eligible Revenue) Determination 20</w:t>
      </w:r>
      <w:r w:rsidR="00CE52B3">
        <w:rPr>
          <w:rFonts w:ascii="Arial" w:hAnsi="Arial" w:cs="Arial"/>
          <w:i/>
          <w:sz w:val="20"/>
        </w:rPr>
        <w:t>2</w:t>
      </w:r>
      <w:r w:rsidR="00447C42" w:rsidRPr="0092230E">
        <w:rPr>
          <w:rFonts w:ascii="Arial" w:hAnsi="Arial" w:cs="Arial"/>
          <w:i/>
          <w:sz w:val="20"/>
        </w:rPr>
        <w:t>5</w:t>
      </w:r>
      <w:r w:rsidRPr="0092230E">
        <w:rPr>
          <w:rFonts w:ascii="Arial" w:hAnsi="Arial" w:cs="Arial"/>
          <w:sz w:val="20"/>
        </w:rPr>
        <w:t>.</w:t>
      </w:r>
    </w:p>
    <w:p w14:paraId="66CD28CD" w14:textId="77777777" w:rsidR="00F424C8" w:rsidRPr="0092230E" w:rsidRDefault="00F424C8" w:rsidP="007B2E7B">
      <w:pPr>
        <w:pStyle w:val="ABABulletLevel1"/>
        <w:spacing w:after="120"/>
        <w:rPr>
          <w:rFonts w:ascii="Arial" w:hAnsi="Arial" w:cs="Arial"/>
          <w:sz w:val="20"/>
        </w:rPr>
      </w:pPr>
    </w:p>
    <w:p w14:paraId="67A3373B" w14:textId="77777777" w:rsidR="007B2E7B" w:rsidRPr="0092230E" w:rsidRDefault="007B2E7B" w:rsidP="007B2E7B">
      <w:pPr>
        <w:pStyle w:val="ABABulletLevel1"/>
        <w:spacing w:after="120"/>
        <w:rPr>
          <w:rFonts w:ascii="Arial" w:hAnsi="Arial" w:cs="Arial"/>
          <w:b/>
          <w:sz w:val="20"/>
        </w:rPr>
      </w:pPr>
      <w:r w:rsidRPr="0092230E">
        <w:rPr>
          <w:rFonts w:ascii="Arial" w:hAnsi="Arial" w:cs="Arial"/>
          <w:b/>
          <w:sz w:val="20"/>
        </w:rPr>
        <w:t xml:space="preserve">Section 2 </w:t>
      </w:r>
      <w:r w:rsidR="00EA520C" w:rsidRPr="0092230E">
        <w:rPr>
          <w:rFonts w:ascii="Arial" w:hAnsi="Arial" w:cs="Arial"/>
          <w:b/>
          <w:sz w:val="20"/>
        </w:rPr>
        <w:t xml:space="preserve">– </w:t>
      </w:r>
      <w:r w:rsidRPr="0092230E">
        <w:rPr>
          <w:rFonts w:ascii="Arial" w:hAnsi="Arial" w:cs="Arial"/>
          <w:b/>
          <w:sz w:val="20"/>
        </w:rPr>
        <w:t>Commencement</w:t>
      </w:r>
    </w:p>
    <w:p w14:paraId="7B8ACED0" w14:textId="3D2E7991" w:rsidR="007B2E7B" w:rsidRDefault="007B2E7B" w:rsidP="007B2E7B">
      <w:pPr>
        <w:pStyle w:val="ABABulletLevel1"/>
        <w:spacing w:after="120"/>
        <w:rPr>
          <w:rFonts w:ascii="Arial" w:hAnsi="Arial" w:cs="Arial"/>
          <w:sz w:val="20"/>
        </w:rPr>
      </w:pPr>
      <w:r w:rsidRPr="0092230E">
        <w:rPr>
          <w:rFonts w:ascii="Arial" w:hAnsi="Arial" w:cs="Arial"/>
          <w:sz w:val="20"/>
        </w:rPr>
        <w:t xml:space="preserve">Section 2 </w:t>
      </w:r>
      <w:r w:rsidR="00BF0F34">
        <w:rPr>
          <w:rFonts w:ascii="Arial" w:hAnsi="Arial" w:cs="Arial"/>
          <w:sz w:val="20"/>
        </w:rPr>
        <w:t xml:space="preserve">of the instrument </w:t>
      </w:r>
      <w:r w:rsidRPr="0092230E">
        <w:rPr>
          <w:rFonts w:ascii="Arial" w:hAnsi="Arial" w:cs="Arial"/>
          <w:sz w:val="20"/>
        </w:rPr>
        <w:t xml:space="preserve">provides that the </w:t>
      </w:r>
      <w:r w:rsidR="00E05516">
        <w:rPr>
          <w:rFonts w:ascii="Arial" w:hAnsi="Arial" w:cs="Arial"/>
          <w:sz w:val="20"/>
        </w:rPr>
        <w:t xml:space="preserve">instrument </w:t>
      </w:r>
      <w:r w:rsidRPr="0092230E">
        <w:rPr>
          <w:rFonts w:ascii="Arial" w:hAnsi="Arial" w:cs="Arial"/>
          <w:sz w:val="20"/>
        </w:rPr>
        <w:t xml:space="preserve">commences </w:t>
      </w:r>
      <w:r w:rsidR="00E05516">
        <w:rPr>
          <w:rFonts w:ascii="Arial" w:hAnsi="Arial" w:cs="Arial"/>
          <w:sz w:val="20"/>
        </w:rPr>
        <w:t xml:space="preserve">at the start of </w:t>
      </w:r>
      <w:r w:rsidRPr="0092230E">
        <w:rPr>
          <w:rFonts w:ascii="Arial" w:hAnsi="Arial" w:cs="Arial"/>
          <w:sz w:val="20"/>
        </w:rPr>
        <w:t xml:space="preserve">the day after </w:t>
      </w:r>
      <w:r w:rsidR="00E05516">
        <w:rPr>
          <w:rFonts w:ascii="Arial" w:hAnsi="Arial" w:cs="Arial"/>
          <w:sz w:val="20"/>
        </w:rPr>
        <w:t xml:space="preserve">the day </w:t>
      </w:r>
      <w:r w:rsidRPr="0092230E">
        <w:rPr>
          <w:rFonts w:ascii="Arial" w:hAnsi="Arial" w:cs="Arial"/>
          <w:sz w:val="20"/>
        </w:rPr>
        <w:t>it is registered on the Federal Register of Legislati</w:t>
      </w:r>
      <w:r w:rsidR="00E05516">
        <w:rPr>
          <w:rFonts w:ascii="Arial" w:hAnsi="Arial" w:cs="Arial"/>
          <w:sz w:val="20"/>
        </w:rPr>
        <w:t>on</w:t>
      </w:r>
      <w:r w:rsidRPr="0092230E">
        <w:rPr>
          <w:rFonts w:ascii="Arial" w:hAnsi="Arial" w:cs="Arial"/>
          <w:sz w:val="20"/>
        </w:rPr>
        <w:t>.</w:t>
      </w:r>
    </w:p>
    <w:p w14:paraId="7B73DCB8" w14:textId="77777777" w:rsidR="00BF1FDA" w:rsidRPr="00BF1FDA" w:rsidRDefault="00BF1FDA" w:rsidP="00BF1FDA">
      <w:pPr>
        <w:pStyle w:val="ABABulletLevel1"/>
        <w:spacing w:after="120"/>
        <w:rPr>
          <w:rFonts w:ascii="Arial" w:hAnsi="Arial" w:cs="Arial"/>
          <w:sz w:val="20"/>
        </w:rPr>
      </w:pPr>
      <w:r w:rsidRPr="00BF1FDA">
        <w:rPr>
          <w:rFonts w:ascii="Arial" w:hAnsi="Arial" w:cs="Arial"/>
          <w:sz w:val="20"/>
        </w:rPr>
        <w:t>The Federal Register of Legislation may be accessed free of charge at www.legislation.gov.au.</w:t>
      </w:r>
    </w:p>
    <w:p w14:paraId="172CEF7C" w14:textId="77777777" w:rsidR="00F424C8" w:rsidRPr="0092230E" w:rsidRDefault="00F424C8" w:rsidP="007B2E7B">
      <w:pPr>
        <w:pStyle w:val="ABABulletLevel1"/>
        <w:spacing w:after="120"/>
        <w:rPr>
          <w:rFonts w:ascii="Arial" w:hAnsi="Arial" w:cs="Arial"/>
          <w:sz w:val="20"/>
        </w:rPr>
      </w:pPr>
    </w:p>
    <w:p w14:paraId="31EC2D82" w14:textId="77777777" w:rsidR="002F21BF" w:rsidRPr="0092230E" w:rsidRDefault="002F21BF" w:rsidP="002F21BF">
      <w:pPr>
        <w:pStyle w:val="ABABulletLevel1"/>
        <w:spacing w:after="120"/>
        <w:rPr>
          <w:rFonts w:ascii="Arial" w:hAnsi="Arial" w:cs="Arial"/>
          <w:b/>
          <w:sz w:val="20"/>
        </w:rPr>
      </w:pPr>
      <w:r w:rsidRPr="0092230E">
        <w:rPr>
          <w:rFonts w:ascii="Arial" w:hAnsi="Arial" w:cs="Arial"/>
          <w:b/>
          <w:sz w:val="20"/>
        </w:rPr>
        <w:t xml:space="preserve">Section 3 </w:t>
      </w:r>
      <w:r w:rsidR="00EA520C" w:rsidRPr="0092230E">
        <w:rPr>
          <w:rFonts w:ascii="Arial" w:hAnsi="Arial" w:cs="Arial"/>
          <w:b/>
          <w:sz w:val="20"/>
        </w:rPr>
        <w:t xml:space="preserve">– </w:t>
      </w:r>
      <w:r w:rsidRPr="0092230E">
        <w:rPr>
          <w:rFonts w:ascii="Arial" w:hAnsi="Arial" w:cs="Arial"/>
          <w:b/>
          <w:sz w:val="20"/>
        </w:rPr>
        <w:t>Authority</w:t>
      </w:r>
    </w:p>
    <w:p w14:paraId="4C9A9650" w14:textId="61F46B15" w:rsidR="002F21BF" w:rsidRPr="0092230E" w:rsidRDefault="002F21BF" w:rsidP="00B850D4">
      <w:pPr>
        <w:pStyle w:val="ABABulletLevel1"/>
        <w:spacing w:after="120"/>
        <w:rPr>
          <w:rFonts w:ascii="Arial" w:hAnsi="Arial" w:cs="Arial"/>
          <w:sz w:val="20"/>
        </w:rPr>
      </w:pPr>
      <w:r w:rsidRPr="0092230E">
        <w:rPr>
          <w:rFonts w:ascii="Arial" w:hAnsi="Arial" w:cs="Arial"/>
          <w:sz w:val="20"/>
        </w:rPr>
        <w:t>Section 3</w:t>
      </w:r>
      <w:r w:rsidR="00BF0F34">
        <w:rPr>
          <w:rFonts w:ascii="Arial" w:hAnsi="Arial" w:cs="Arial"/>
          <w:sz w:val="20"/>
        </w:rPr>
        <w:t xml:space="preserve"> of the instrument</w:t>
      </w:r>
      <w:r w:rsidRPr="0092230E">
        <w:rPr>
          <w:rFonts w:ascii="Arial" w:hAnsi="Arial" w:cs="Arial"/>
          <w:sz w:val="20"/>
        </w:rPr>
        <w:t xml:space="preserve"> provides that the </w:t>
      </w:r>
      <w:r w:rsidR="00E05516">
        <w:rPr>
          <w:rFonts w:ascii="Arial" w:hAnsi="Arial" w:cs="Arial"/>
          <w:sz w:val="20"/>
        </w:rPr>
        <w:t>in</w:t>
      </w:r>
      <w:r w:rsidR="00BF1FDA">
        <w:rPr>
          <w:rFonts w:ascii="Arial" w:hAnsi="Arial" w:cs="Arial"/>
          <w:sz w:val="20"/>
        </w:rPr>
        <w:t xml:space="preserve">strument </w:t>
      </w:r>
      <w:r w:rsidRPr="0092230E">
        <w:rPr>
          <w:rFonts w:ascii="Arial" w:hAnsi="Arial" w:cs="Arial"/>
          <w:sz w:val="20"/>
        </w:rPr>
        <w:t xml:space="preserve">is made under subsections </w:t>
      </w:r>
      <w:r w:rsidR="00447C42" w:rsidRPr="0092230E">
        <w:rPr>
          <w:rFonts w:ascii="Arial" w:hAnsi="Arial" w:cs="Arial"/>
          <w:sz w:val="20"/>
        </w:rPr>
        <w:t>43</w:t>
      </w:r>
      <w:r w:rsidRPr="0092230E">
        <w:rPr>
          <w:rFonts w:ascii="Arial" w:hAnsi="Arial" w:cs="Arial"/>
          <w:sz w:val="20"/>
        </w:rPr>
        <w:t xml:space="preserve">(5) and </w:t>
      </w:r>
      <w:r w:rsidR="00447C42" w:rsidRPr="0092230E">
        <w:rPr>
          <w:rFonts w:ascii="Arial" w:hAnsi="Arial" w:cs="Arial"/>
          <w:sz w:val="20"/>
        </w:rPr>
        <w:t>45</w:t>
      </w:r>
      <w:r w:rsidRPr="0092230E">
        <w:rPr>
          <w:rFonts w:ascii="Arial" w:hAnsi="Arial" w:cs="Arial"/>
          <w:sz w:val="20"/>
        </w:rPr>
        <w:t>(1) of the Act.</w:t>
      </w:r>
      <w:r w:rsidR="002E21E5">
        <w:rPr>
          <w:rFonts w:ascii="Arial" w:hAnsi="Arial" w:cs="Arial"/>
          <w:sz w:val="20"/>
        </w:rPr>
        <w:t xml:space="preserve"> </w:t>
      </w:r>
    </w:p>
    <w:p w14:paraId="61855CD8" w14:textId="77777777" w:rsidR="00F424C8" w:rsidRPr="0092230E" w:rsidRDefault="00F424C8" w:rsidP="00B850D4">
      <w:pPr>
        <w:pStyle w:val="ABABulletLevel1"/>
        <w:spacing w:after="120"/>
        <w:rPr>
          <w:rFonts w:ascii="Arial" w:hAnsi="Arial" w:cs="Arial"/>
          <w:sz w:val="20"/>
        </w:rPr>
      </w:pPr>
    </w:p>
    <w:p w14:paraId="5447A5E1" w14:textId="77777777" w:rsidR="007B2E7B" w:rsidRPr="0092230E" w:rsidRDefault="007B2E7B" w:rsidP="007B2E7B">
      <w:pPr>
        <w:pStyle w:val="ABABulletLevel1"/>
        <w:spacing w:after="120"/>
        <w:rPr>
          <w:rFonts w:ascii="Arial" w:hAnsi="Arial" w:cs="Arial"/>
          <w:b/>
          <w:sz w:val="20"/>
        </w:rPr>
      </w:pPr>
      <w:r w:rsidRPr="0092230E">
        <w:rPr>
          <w:rFonts w:ascii="Arial" w:hAnsi="Arial" w:cs="Arial"/>
          <w:b/>
          <w:sz w:val="20"/>
        </w:rPr>
        <w:t xml:space="preserve">Section </w:t>
      </w:r>
      <w:r w:rsidR="002F21BF" w:rsidRPr="0092230E">
        <w:rPr>
          <w:rFonts w:ascii="Arial" w:hAnsi="Arial" w:cs="Arial"/>
          <w:b/>
          <w:sz w:val="20"/>
        </w:rPr>
        <w:t>4</w:t>
      </w:r>
      <w:r w:rsidRPr="0092230E">
        <w:rPr>
          <w:rFonts w:ascii="Arial" w:hAnsi="Arial" w:cs="Arial"/>
          <w:b/>
          <w:sz w:val="20"/>
        </w:rPr>
        <w:t xml:space="preserve"> </w:t>
      </w:r>
      <w:r w:rsidR="00FE1FB9" w:rsidRPr="0092230E">
        <w:rPr>
          <w:rFonts w:ascii="Arial" w:hAnsi="Arial" w:cs="Arial"/>
          <w:b/>
          <w:sz w:val="20"/>
        </w:rPr>
        <w:t>–</w:t>
      </w:r>
      <w:r w:rsidRPr="0092230E">
        <w:rPr>
          <w:rFonts w:ascii="Arial" w:hAnsi="Arial" w:cs="Arial"/>
          <w:b/>
          <w:sz w:val="20"/>
        </w:rPr>
        <w:t xml:space="preserve"> Application</w:t>
      </w:r>
      <w:r w:rsidR="00FE1FB9" w:rsidRPr="0092230E">
        <w:rPr>
          <w:rFonts w:ascii="Arial" w:hAnsi="Arial" w:cs="Arial"/>
          <w:b/>
          <w:sz w:val="20"/>
        </w:rPr>
        <w:t xml:space="preserve"> of determination</w:t>
      </w:r>
    </w:p>
    <w:p w14:paraId="5BB399A7" w14:textId="3B53635C" w:rsidR="007B2E7B" w:rsidRPr="0092230E" w:rsidRDefault="007B2E7B" w:rsidP="007B2E7B">
      <w:pPr>
        <w:pStyle w:val="ABABulletLevel1"/>
        <w:spacing w:after="120"/>
        <w:rPr>
          <w:rFonts w:ascii="Arial" w:hAnsi="Arial" w:cs="Arial"/>
          <w:sz w:val="20"/>
        </w:rPr>
      </w:pPr>
      <w:r w:rsidRPr="0092230E">
        <w:rPr>
          <w:rFonts w:ascii="Arial" w:hAnsi="Arial" w:cs="Arial"/>
          <w:sz w:val="20"/>
        </w:rPr>
        <w:t xml:space="preserve">Section </w:t>
      </w:r>
      <w:r w:rsidR="00FE1FB9" w:rsidRPr="0092230E">
        <w:rPr>
          <w:rFonts w:ascii="Arial" w:hAnsi="Arial" w:cs="Arial"/>
          <w:sz w:val="20"/>
        </w:rPr>
        <w:t>4</w:t>
      </w:r>
      <w:r w:rsidRPr="0092230E">
        <w:rPr>
          <w:rFonts w:ascii="Arial" w:hAnsi="Arial" w:cs="Arial"/>
          <w:sz w:val="20"/>
        </w:rPr>
        <w:t xml:space="preserve"> </w:t>
      </w:r>
      <w:r w:rsidR="00BF0F34">
        <w:rPr>
          <w:rFonts w:ascii="Arial" w:hAnsi="Arial" w:cs="Arial"/>
          <w:sz w:val="20"/>
        </w:rPr>
        <w:t xml:space="preserve">of the instrument </w:t>
      </w:r>
      <w:r w:rsidRPr="0092230E">
        <w:rPr>
          <w:rFonts w:ascii="Arial" w:hAnsi="Arial" w:cs="Arial"/>
          <w:sz w:val="20"/>
        </w:rPr>
        <w:t xml:space="preserve">provides that the </w:t>
      </w:r>
      <w:r w:rsidR="00B71EE7">
        <w:rPr>
          <w:rFonts w:ascii="Arial" w:hAnsi="Arial" w:cs="Arial"/>
          <w:sz w:val="20"/>
        </w:rPr>
        <w:t xml:space="preserve">instrument </w:t>
      </w:r>
      <w:r w:rsidRPr="0092230E">
        <w:rPr>
          <w:rFonts w:ascii="Arial" w:hAnsi="Arial" w:cs="Arial"/>
          <w:sz w:val="20"/>
        </w:rPr>
        <w:t>applies to the 20</w:t>
      </w:r>
      <w:r w:rsidR="00CE52B3">
        <w:rPr>
          <w:rFonts w:ascii="Arial" w:hAnsi="Arial" w:cs="Arial"/>
          <w:sz w:val="20"/>
        </w:rPr>
        <w:t>2</w:t>
      </w:r>
      <w:r w:rsidR="00514130">
        <w:rPr>
          <w:rFonts w:ascii="Arial" w:hAnsi="Arial" w:cs="Arial"/>
          <w:sz w:val="20"/>
        </w:rPr>
        <w:t>5</w:t>
      </w:r>
      <w:r w:rsidRPr="0092230E">
        <w:rPr>
          <w:rFonts w:ascii="Arial" w:hAnsi="Arial" w:cs="Arial"/>
          <w:sz w:val="20"/>
        </w:rPr>
        <w:t>-</w:t>
      </w:r>
      <w:r w:rsidR="00CE52B3">
        <w:rPr>
          <w:rFonts w:ascii="Arial" w:hAnsi="Arial" w:cs="Arial"/>
          <w:sz w:val="20"/>
        </w:rPr>
        <w:t>2</w:t>
      </w:r>
      <w:r w:rsidR="00514130">
        <w:rPr>
          <w:rFonts w:ascii="Arial" w:hAnsi="Arial" w:cs="Arial"/>
          <w:sz w:val="20"/>
        </w:rPr>
        <w:t>6</w:t>
      </w:r>
      <w:r w:rsidRPr="0092230E">
        <w:rPr>
          <w:rFonts w:ascii="Arial" w:hAnsi="Arial" w:cs="Arial"/>
          <w:sz w:val="20"/>
        </w:rPr>
        <w:t xml:space="preserve"> </w:t>
      </w:r>
      <w:r w:rsidR="00AF2A38" w:rsidRPr="0092230E">
        <w:rPr>
          <w:rFonts w:ascii="Arial" w:hAnsi="Arial" w:cs="Arial"/>
          <w:sz w:val="20"/>
        </w:rPr>
        <w:t>eligible revenue period</w:t>
      </w:r>
      <w:r w:rsidR="00B568FA">
        <w:rPr>
          <w:rFonts w:ascii="Arial" w:hAnsi="Arial" w:cs="Arial"/>
          <w:sz w:val="20"/>
        </w:rPr>
        <w:t xml:space="preserve">, being the </w:t>
      </w:r>
      <w:r w:rsidR="00AF2A38" w:rsidRPr="0092230E">
        <w:rPr>
          <w:rFonts w:ascii="Arial" w:hAnsi="Arial" w:cs="Arial"/>
          <w:sz w:val="20"/>
        </w:rPr>
        <w:t>20</w:t>
      </w:r>
      <w:r w:rsidR="00CE52B3">
        <w:rPr>
          <w:rFonts w:ascii="Arial" w:hAnsi="Arial" w:cs="Arial"/>
          <w:sz w:val="20"/>
        </w:rPr>
        <w:t>2</w:t>
      </w:r>
      <w:r w:rsidR="00514130">
        <w:rPr>
          <w:rFonts w:ascii="Arial" w:hAnsi="Arial" w:cs="Arial"/>
          <w:sz w:val="20"/>
        </w:rPr>
        <w:t>5</w:t>
      </w:r>
      <w:r w:rsidR="00AF2A38" w:rsidRPr="0092230E">
        <w:rPr>
          <w:rFonts w:ascii="Arial" w:hAnsi="Arial" w:cs="Arial"/>
          <w:sz w:val="20"/>
        </w:rPr>
        <w:t>-</w:t>
      </w:r>
      <w:r w:rsidR="00CE52B3">
        <w:rPr>
          <w:rFonts w:ascii="Arial" w:hAnsi="Arial" w:cs="Arial"/>
          <w:sz w:val="20"/>
        </w:rPr>
        <w:t>2</w:t>
      </w:r>
      <w:r w:rsidR="00514130">
        <w:rPr>
          <w:rFonts w:ascii="Arial" w:hAnsi="Arial" w:cs="Arial"/>
          <w:sz w:val="20"/>
        </w:rPr>
        <w:t>6</w:t>
      </w:r>
      <w:r w:rsidR="00AF2A38" w:rsidRPr="0092230E">
        <w:rPr>
          <w:rFonts w:ascii="Arial" w:hAnsi="Arial" w:cs="Arial"/>
          <w:sz w:val="20"/>
        </w:rPr>
        <w:t xml:space="preserve"> financial year</w:t>
      </w:r>
      <w:r w:rsidR="00B568FA">
        <w:rPr>
          <w:rFonts w:ascii="Arial" w:hAnsi="Arial" w:cs="Arial"/>
          <w:sz w:val="20"/>
        </w:rPr>
        <w:t xml:space="preserve">, </w:t>
      </w:r>
      <w:r w:rsidR="005F6B8D" w:rsidRPr="0092230E">
        <w:rPr>
          <w:rFonts w:ascii="Arial" w:hAnsi="Arial" w:cs="Arial"/>
          <w:sz w:val="20"/>
        </w:rPr>
        <w:t xml:space="preserve">and </w:t>
      </w:r>
      <w:r w:rsidR="000F47D2">
        <w:rPr>
          <w:rFonts w:ascii="Arial" w:hAnsi="Arial" w:cs="Arial"/>
          <w:sz w:val="20"/>
        </w:rPr>
        <w:t>each</w:t>
      </w:r>
      <w:r w:rsidR="000F47D2" w:rsidRPr="0092230E">
        <w:rPr>
          <w:rFonts w:ascii="Arial" w:hAnsi="Arial" w:cs="Arial"/>
          <w:sz w:val="20"/>
        </w:rPr>
        <w:t xml:space="preserve"> </w:t>
      </w:r>
      <w:r w:rsidR="005F6B8D" w:rsidRPr="0092230E">
        <w:rPr>
          <w:rFonts w:ascii="Arial" w:hAnsi="Arial" w:cs="Arial"/>
          <w:sz w:val="20"/>
        </w:rPr>
        <w:t>later</w:t>
      </w:r>
      <w:r w:rsidRPr="0092230E">
        <w:rPr>
          <w:rFonts w:ascii="Arial" w:hAnsi="Arial" w:cs="Arial"/>
          <w:sz w:val="20"/>
        </w:rPr>
        <w:t xml:space="preserve"> </w:t>
      </w:r>
      <w:r w:rsidR="005F6B8D" w:rsidRPr="0092230E">
        <w:rPr>
          <w:rFonts w:ascii="Arial" w:hAnsi="Arial" w:cs="Arial"/>
          <w:sz w:val="20"/>
        </w:rPr>
        <w:t>eligible revenue period</w:t>
      </w:r>
      <w:r w:rsidRPr="0092230E">
        <w:rPr>
          <w:rFonts w:ascii="Arial" w:hAnsi="Arial" w:cs="Arial"/>
          <w:sz w:val="20"/>
        </w:rPr>
        <w:t>.</w:t>
      </w:r>
      <w:r w:rsidR="002E21E5">
        <w:rPr>
          <w:rFonts w:ascii="Arial" w:hAnsi="Arial" w:cs="Arial"/>
          <w:sz w:val="20"/>
        </w:rPr>
        <w:t xml:space="preserve"> </w:t>
      </w:r>
    </w:p>
    <w:p w14:paraId="141A919C" w14:textId="77777777" w:rsidR="007B2E7B" w:rsidRPr="0092230E" w:rsidRDefault="007B2E7B" w:rsidP="007B2E7B">
      <w:pPr>
        <w:pStyle w:val="ABABulletLevel1"/>
        <w:spacing w:after="120"/>
        <w:rPr>
          <w:rFonts w:ascii="Arial" w:hAnsi="Arial" w:cs="Arial"/>
          <w:sz w:val="20"/>
        </w:rPr>
      </w:pPr>
    </w:p>
    <w:p w14:paraId="24BFB16D" w14:textId="7337A700" w:rsidR="00514130" w:rsidRPr="00397584" w:rsidRDefault="007B2E7B" w:rsidP="007B2E7B">
      <w:pPr>
        <w:pStyle w:val="ABABulletLevel1"/>
        <w:spacing w:after="120"/>
        <w:rPr>
          <w:rFonts w:ascii="Arial" w:hAnsi="Arial" w:cs="Arial"/>
          <w:b/>
          <w:sz w:val="20"/>
        </w:rPr>
      </w:pPr>
      <w:r w:rsidRPr="0092230E">
        <w:rPr>
          <w:rFonts w:ascii="Arial" w:hAnsi="Arial" w:cs="Arial"/>
          <w:b/>
          <w:sz w:val="20"/>
        </w:rPr>
        <w:t xml:space="preserve">Section </w:t>
      </w:r>
      <w:r w:rsidR="00655624" w:rsidRPr="0092230E">
        <w:rPr>
          <w:rFonts w:ascii="Arial" w:hAnsi="Arial" w:cs="Arial"/>
          <w:b/>
          <w:sz w:val="20"/>
        </w:rPr>
        <w:t>5</w:t>
      </w:r>
      <w:r w:rsidRPr="0092230E">
        <w:rPr>
          <w:rFonts w:ascii="Arial" w:hAnsi="Arial" w:cs="Arial"/>
          <w:b/>
          <w:sz w:val="20"/>
        </w:rPr>
        <w:t xml:space="preserve"> </w:t>
      </w:r>
      <w:r w:rsidR="00EA520C" w:rsidRPr="0092230E">
        <w:rPr>
          <w:rFonts w:ascii="Arial" w:hAnsi="Arial" w:cs="Arial"/>
          <w:b/>
          <w:sz w:val="20"/>
        </w:rPr>
        <w:t xml:space="preserve">– </w:t>
      </w:r>
      <w:r w:rsidR="00514130">
        <w:rPr>
          <w:rFonts w:ascii="Arial" w:hAnsi="Arial" w:cs="Arial"/>
          <w:b/>
          <w:sz w:val="20"/>
        </w:rPr>
        <w:t xml:space="preserve">Repeal of the </w:t>
      </w:r>
      <w:r w:rsidR="00514130">
        <w:rPr>
          <w:rFonts w:ascii="Arial" w:hAnsi="Arial" w:cs="Arial"/>
          <w:b/>
          <w:i/>
          <w:iCs/>
          <w:sz w:val="20"/>
        </w:rPr>
        <w:t>Telecommunications (Eligible Revenue) Determination 2015</w:t>
      </w:r>
      <w:r w:rsidR="00F34284">
        <w:rPr>
          <w:rFonts w:ascii="Arial" w:hAnsi="Arial" w:cs="Arial"/>
          <w:b/>
          <w:i/>
          <w:iCs/>
          <w:sz w:val="20"/>
        </w:rPr>
        <w:t xml:space="preserve"> </w:t>
      </w:r>
      <w:r w:rsidR="00F34284" w:rsidRPr="00397584">
        <w:rPr>
          <w:rFonts w:ascii="Arial" w:hAnsi="Arial" w:cs="Arial"/>
          <w:b/>
          <w:sz w:val="20"/>
        </w:rPr>
        <w:t>and transitional in relation to the 2024-25 eligible revenue period</w:t>
      </w:r>
    </w:p>
    <w:p w14:paraId="3D0C8F28" w14:textId="69F04584" w:rsidR="00514130" w:rsidRPr="001875E0" w:rsidRDefault="009541F1" w:rsidP="007B2E7B">
      <w:pPr>
        <w:pStyle w:val="ABABulletLevel1"/>
        <w:spacing w:after="120"/>
        <w:rPr>
          <w:rFonts w:ascii="Arial" w:hAnsi="Arial" w:cs="Arial"/>
          <w:bCs/>
          <w:sz w:val="20"/>
        </w:rPr>
      </w:pPr>
      <w:r>
        <w:rPr>
          <w:rFonts w:ascii="Arial" w:hAnsi="Arial" w:cs="Arial"/>
          <w:bCs/>
          <w:sz w:val="20"/>
        </w:rPr>
        <w:t>S</w:t>
      </w:r>
      <w:r w:rsidR="00514130">
        <w:rPr>
          <w:rFonts w:ascii="Arial" w:hAnsi="Arial" w:cs="Arial"/>
          <w:bCs/>
          <w:sz w:val="20"/>
        </w:rPr>
        <w:t>ection</w:t>
      </w:r>
      <w:r>
        <w:rPr>
          <w:rFonts w:ascii="Arial" w:hAnsi="Arial" w:cs="Arial"/>
          <w:bCs/>
          <w:sz w:val="20"/>
        </w:rPr>
        <w:t xml:space="preserve"> 5</w:t>
      </w:r>
      <w:r w:rsidR="00514130">
        <w:rPr>
          <w:rFonts w:ascii="Arial" w:hAnsi="Arial" w:cs="Arial"/>
          <w:bCs/>
          <w:sz w:val="20"/>
        </w:rPr>
        <w:t xml:space="preserve"> </w:t>
      </w:r>
      <w:r w:rsidR="00BF0F34">
        <w:rPr>
          <w:rFonts w:ascii="Arial" w:hAnsi="Arial" w:cs="Arial"/>
          <w:bCs/>
          <w:sz w:val="20"/>
        </w:rPr>
        <w:t xml:space="preserve">of the instrument </w:t>
      </w:r>
      <w:r w:rsidR="00F34284">
        <w:rPr>
          <w:rFonts w:ascii="Arial" w:hAnsi="Arial" w:cs="Arial"/>
          <w:bCs/>
          <w:sz w:val="20"/>
        </w:rPr>
        <w:t xml:space="preserve">repeals the </w:t>
      </w:r>
      <w:r w:rsidR="00514130" w:rsidRPr="00397584">
        <w:rPr>
          <w:rFonts w:ascii="Arial" w:hAnsi="Arial" w:cs="Arial"/>
          <w:bCs/>
          <w:i/>
          <w:iCs/>
          <w:sz w:val="20"/>
        </w:rPr>
        <w:t>Telecommunications (Eligible Revenue) Determination 2015</w:t>
      </w:r>
      <w:r w:rsidR="00F34284">
        <w:rPr>
          <w:rFonts w:ascii="Arial" w:hAnsi="Arial" w:cs="Arial"/>
          <w:bCs/>
          <w:sz w:val="20"/>
        </w:rPr>
        <w:t xml:space="preserve">. Subsection </w:t>
      </w:r>
      <w:r w:rsidR="00C45707">
        <w:rPr>
          <w:rFonts w:ascii="Arial" w:hAnsi="Arial" w:cs="Arial"/>
          <w:bCs/>
          <w:sz w:val="20"/>
        </w:rPr>
        <w:t xml:space="preserve">5(2) </w:t>
      </w:r>
      <w:r w:rsidR="00BF0F34">
        <w:rPr>
          <w:rFonts w:ascii="Arial" w:hAnsi="Arial" w:cs="Arial"/>
          <w:bCs/>
          <w:sz w:val="20"/>
        </w:rPr>
        <w:t xml:space="preserve">of the instrument </w:t>
      </w:r>
      <w:r w:rsidR="00C45707">
        <w:rPr>
          <w:rFonts w:ascii="Arial" w:hAnsi="Arial" w:cs="Arial"/>
          <w:bCs/>
          <w:sz w:val="20"/>
        </w:rPr>
        <w:t xml:space="preserve">provides that the </w:t>
      </w:r>
      <w:r w:rsidR="00C45707" w:rsidRPr="002745C9">
        <w:rPr>
          <w:rFonts w:ascii="Arial" w:hAnsi="Arial" w:cs="Arial"/>
          <w:bCs/>
          <w:i/>
          <w:iCs/>
          <w:sz w:val="20"/>
        </w:rPr>
        <w:t>Telecommunications (Eligible Revenue) Determination 2015</w:t>
      </w:r>
      <w:r w:rsidR="00C45707">
        <w:rPr>
          <w:rFonts w:ascii="Arial" w:hAnsi="Arial" w:cs="Arial"/>
          <w:bCs/>
          <w:sz w:val="20"/>
        </w:rPr>
        <w:t xml:space="preserve"> as in force immediately before its repeal continues to apply in relation to the </w:t>
      </w:r>
      <w:r w:rsidR="00514130">
        <w:rPr>
          <w:rFonts w:ascii="Arial" w:hAnsi="Arial" w:cs="Arial"/>
          <w:bCs/>
          <w:sz w:val="20"/>
        </w:rPr>
        <w:t>2024-25 eligible revenue period</w:t>
      </w:r>
      <w:r w:rsidR="00C45707">
        <w:rPr>
          <w:rFonts w:ascii="Arial" w:hAnsi="Arial" w:cs="Arial"/>
          <w:bCs/>
          <w:sz w:val="20"/>
        </w:rPr>
        <w:t xml:space="preserve"> as if it had not been repealed</w:t>
      </w:r>
      <w:r w:rsidR="00514130">
        <w:rPr>
          <w:rFonts w:ascii="Arial" w:hAnsi="Arial" w:cs="Arial"/>
          <w:bCs/>
          <w:sz w:val="20"/>
        </w:rPr>
        <w:t xml:space="preserve">. </w:t>
      </w:r>
    </w:p>
    <w:p w14:paraId="75B99278" w14:textId="77777777" w:rsidR="00514130" w:rsidRDefault="00514130" w:rsidP="007B2E7B">
      <w:pPr>
        <w:pStyle w:val="ABABulletLevel1"/>
        <w:spacing w:after="120"/>
        <w:rPr>
          <w:rFonts w:ascii="Arial" w:hAnsi="Arial" w:cs="Arial"/>
          <w:b/>
          <w:sz w:val="20"/>
        </w:rPr>
      </w:pPr>
    </w:p>
    <w:p w14:paraId="5A50BD66" w14:textId="3E76EC79" w:rsidR="007B2E7B" w:rsidRPr="0092230E" w:rsidRDefault="00514130" w:rsidP="007B2E7B">
      <w:pPr>
        <w:pStyle w:val="ABABulletLevel1"/>
        <w:spacing w:after="120"/>
        <w:rPr>
          <w:rFonts w:ascii="Arial" w:hAnsi="Arial" w:cs="Arial"/>
          <w:b/>
          <w:sz w:val="20"/>
        </w:rPr>
      </w:pPr>
      <w:r>
        <w:rPr>
          <w:rFonts w:ascii="Arial" w:hAnsi="Arial" w:cs="Arial"/>
          <w:b/>
          <w:sz w:val="20"/>
        </w:rPr>
        <w:t xml:space="preserve">Section 6 – </w:t>
      </w:r>
      <w:r w:rsidR="007B2E7B" w:rsidRPr="0092230E">
        <w:rPr>
          <w:rFonts w:ascii="Arial" w:hAnsi="Arial" w:cs="Arial"/>
          <w:b/>
          <w:sz w:val="20"/>
        </w:rPr>
        <w:t>Definition</w:t>
      </w:r>
      <w:r w:rsidR="00C95E63" w:rsidRPr="0092230E">
        <w:rPr>
          <w:rFonts w:ascii="Arial" w:hAnsi="Arial" w:cs="Arial"/>
          <w:b/>
          <w:sz w:val="20"/>
        </w:rPr>
        <w:t>s</w:t>
      </w:r>
    </w:p>
    <w:p w14:paraId="31553D3C" w14:textId="5F515937" w:rsidR="00324B13" w:rsidRDefault="009541F1">
      <w:pPr>
        <w:pStyle w:val="ABABulletLevel1"/>
        <w:spacing w:after="120"/>
        <w:rPr>
          <w:rFonts w:ascii="Arial" w:hAnsi="Arial" w:cs="Arial"/>
          <w:sz w:val="20"/>
        </w:rPr>
      </w:pPr>
      <w:r>
        <w:rPr>
          <w:rFonts w:ascii="Arial" w:hAnsi="Arial" w:cs="Arial"/>
          <w:sz w:val="20"/>
        </w:rPr>
        <w:t>S</w:t>
      </w:r>
      <w:r w:rsidR="007B2E7B" w:rsidRPr="0092230E">
        <w:rPr>
          <w:rFonts w:ascii="Arial" w:hAnsi="Arial" w:cs="Arial"/>
          <w:sz w:val="20"/>
        </w:rPr>
        <w:t>ection</w:t>
      </w:r>
      <w:r>
        <w:rPr>
          <w:rFonts w:ascii="Arial" w:hAnsi="Arial" w:cs="Arial"/>
          <w:sz w:val="20"/>
        </w:rPr>
        <w:t xml:space="preserve"> 6</w:t>
      </w:r>
      <w:r w:rsidR="007B2E7B" w:rsidRPr="0092230E">
        <w:rPr>
          <w:rFonts w:ascii="Arial" w:hAnsi="Arial" w:cs="Arial"/>
          <w:sz w:val="20"/>
        </w:rPr>
        <w:t xml:space="preserve"> </w:t>
      </w:r>
      <w:r w:rsidR="00BF0F34">
        <w:rPr>
          <w:rFonts w:ascii="Arial" w:hAnsi="Arial" w:cs="Arial"/>
          <w:sz w:val="20"/>
        </w:rPr>
        <w:t xml:space="preserve">of the instrument </w:t>
      </w:r>
      <w:r w:rsidR="007B2E7B" w:rsidRPr="0092230E">
        <w:rPr>
          <w:rFonts w:ascii="Arial" w:hAnsi="Arial" w:cs="Arial"/>
          <w:sz w:val="20"/>
        </w:rPr>
        <w:t xml:space="preserve">defines the </w:t>
      </w:r>
      <w:r w:rsidR="003214EE" w:rsidRPr="0092230E">
        <w:rPr>
          <w:rFonts w:ascii="Arial" w:hAnsi="Arial" w:cs="Arial"/>
          <w:sz w:val="20"/>
        </w:rPr>
        <w:t xml:space="preserve">terms used </w:t>
      </w:r>
      <w:r w:rsidR="000D6E82">
        <w:rPr>
          <w:rFonts w:ascii="Arial" w:hAnsi="Arial" w:cs="Arial"/>
          <w:sz w:val="20"/>
        </w:rPr>
        <w:t xml:space="preserve">throughout </w:t>
      </w:r>
      <w:r w:rsidR="003214EE" w:rsidRPr="0092230E">
        <w:rPr>
          <w:rFonts w:ascii="Arial" w:hAnsi="Arial" w:cs="Arial"/>
          <w:sz w:val="20"/>
        </w:rPr>
        <w:t xml:space="preserve">the </w:t>
      </w:r>
      <w:r w:rsidR="000D6E82">
        <w:rPr>
          <w:rFonts w:ascii="Arial" w:hAnsi="Arial" w:cs="Arial"/>
          <w:sz w:val="20"/>
        </w:rPr>
        <w:t xml:space="preserve">instrument. Several other expressions used in the instrument are defined in the Act, the </w:t>
      </w:r>
      <w:r w:rsidR="000D6E82">
        <w:rPr>
          <w:rFonts w:ascii="Arial" w:hAnsi="Arial" w:cs="Arial"/>
          <w:i/>
          <w:iCs/>
          <w:sz w:val="20"/>
        </w:rPr>
        <w:t>Broadcasting Services Act 1992</w:t>
      </w:r>
      <w:r w:rsidR="007C428C">
        <w:rPr>
          <w:rFonts w:ascii="Arial" w:hAnsi="Arial" w:cs="Arial"/>
          <w:i/>
          <w:iCs/>
          <w:sz w:val="20"/>
        </w:rPr>
        <w:t xml:space="preserve"> </w:t>
      </w:r>
      <w:r w:rsidR="007C428C">
        <w:rPr>
          <w:rFonts w:ascii="Arial" w:hAnsi="Arial" w:cs="Arial"/>
          <w:sz w:val="20"/>
        </w:rPr>
        <w:t xml:space="preserve">and </w:t>
      </w:r>
      <w:r w:rsidR="000D6E82">
        <w:rPr>
          <w:rFonts w:ascii="Arial" w:hAnsi="Arial" w:cs="Arial"/>
          <w:sz w:val="20"/>
        </w:rPr>
        <w:t xml:space="preserve">the </w:t>
      </w:r>
      <w:r w:rsidR="003214EE" w:rsidRPr="0092230E">
        <w:rPr>
          <w:rFonts w:ascii="Arial" w:hAnsi="Arial" w:cs="Arial"/>
          <w:i/>
          <w:sz w:val="20"/>
        </w:rPr>
        <w:t>Telecommunications Act</w:t>
      </w:r>
      <w:r w:rsidR="003177FA" w:rsidRPr="0092230E">
        <w:rPr>
          <w:rFonts w:ascii="Arial" w:hAnsi="Arial" w:cs="Arial"/>
          <w:i/>
          <w:sz w:val="20"/>
        </w:rPr>
        <w:t xml:space="preserve"> 1997</w:t>
      </w:r>
      <w:r w:rsidR="003214EE" w:rsidRPr="0092230E">
        <w:rPr>
          <w:rFonts w:ascii="Arial" w:hAnsi="Arial" w:cs="Arial"/>
          <w:sz w:val="20"/>
        </w:rPr>
        <w:t>.</w:t>
      </w:r>
      <w:r w:rsidR="002E21E5">
        <w:rPr>
          <w:rFonts w:ascii="Arial" w:hAnsi="Arial" w:cs="Arial"/>
          <w:sz w:val="20"/>
        </w:rPr>
        <w:t xml:space="preserve"> </w:t>
      </w:r>
    </w:p>
    <w:p w14:paraId="2F0C4DF4" w14:textId="77777777" w:rsidR="00514130" w:rsidRDefault="00514130">
      <w:pPr>
        <w:pStyle w:val="ABABulletLevel1"/>
        <w:spacing w:after="120"/>
        <w:rPr>
          <w:rFonts w:ascii="Arial" w:hAnsi="Arial" w:cs="Arial"/>
          <w:sz w:val="20"/>
        </w:rPr>
      </w:pPr>
    </w:p>
    <w:p w14:paraId="4E5D57E7" w14:textId="6A3614F0" w:rsidR="00514130" w:rsidRDefault="00514130">
      <w:pPr>
        <w:pStyle w:val="ABABulletLevel1"/>
        <w:spacing w:after="120"/>
        <w:rPr>
          <w:rFonts w:ascii="Arial" w:hAnsi="Arial" w:cs="Arial"/>
          <w:b/>
          <w:bCs/>
          <w:sz w:val="20"/>
        </w:rPr>
      </w:pPr>
      <w:r>
        <w:rPr>
          <w:rFonts w:ascii="Arial" w:hAnsi="Arial" w:cs="Arial"/>
          <w:b/>
          <w:bCs/>
          <w:sz w:val="20"/>
        </w:rPr>
        <w:t xml:space="preserve">Section 7 – References to other instruments </w:t>
      </w:r>
    </w:p>
    <w:p w14:paraId="67442995" w14:textId="19C5EC37" w:rsidR="00514130" w:rsidRDefault="00BF0F34">
      <w:pPr>
        <w:pStyle w:val="ABABulletLevel1"/>
        <w:spacing w:after="120"/>
        <w:rPr>
          <w:rFonts w:ascii="Arial" w:hAnsi="Arial" w:cs="Arial"/>
          <w:sz w:val="20"/>
        </w:rPr>
      </w:pPr>
      <w:r>
        <w:rPr>
          <w:rFonts w:ascii="Arial" w:hAnsi="Arial" w:cs="Arial"/>
          <w:sz w:val="20"/>
        </w:rPr>
        <w:t>Section 7 of the instrument</w:t>
      </w:r>
      <w:r w:rsidR="007C428C">
        <w:rPr>
          <w:rFonts w:ascii="Arial" w:hAnsi="Arial" w:cs="Arial"/>
          <w:sz w:val="20"/>
        </w:rPr>
        <w:t xml:space="preserve"> provides that in the instrument, unless the contrary intention appears: </w:t>
      </w:r>
    </w:p>
    <w:p w14:paraId="16E5AAFE" w14:textId="77777777" w:rsidR="00C27F09" w:rsidRPr="00397584" w:rsidRDefault="00C27F09" w:rsidP="00C27F09">
      <w:pPr>
        <w:pStyle w:val="ABABulletLevel1"/>
        <w:numPr>
          <w:ilvl w:val="0"/>
          <w:numId w:val="27"/>
        </w:numPr>
        <w:spacing w:after="120"/>
        <w:rPr>
          <w:rFonts w:ascii="Arial" w:hAnsi="Arial" w:cs="Arial"/>
          <w:sz w:val="20"/>
        </w:rPr>
      </w:pPr>
      <w:r w:rsidRPr="00397584">
        <w:rPr>
          <w:rFonts w:ascii="Arial" w:hAnsi="Arial" w:cs="Arial"/>
          <w:sz w:val="20"/>
        </w:rPr>
        <w:t>a reference to any other legislative instrument is a reference to that other legislative instrument as in force from time to time; and</w:t>
      </w:r>
    </w:p>
    <w:p w14:paraId="03DD98DC" w14:textId="14A37A6D" w:rsidR="00C27F09" w:rsidRPr="00397584" w:rsidRDefault="00C27F09" w:rsidP="00C27F09">
      <w:pPr>
        <w:pStyle w:val="ABABulletLevel1"/>
        <w:numPr>
          <w:ilvl w:val="0"/>
          <w:numId w:val="27"/>
        </w:numPr>
        <w:spacing w:after="120"/>
        <w:rPr>
          <w:rFonts w:ascii="Arial" w:hAnsi="Arial" w:cs="Arial"/>
          <w:sz w:val="20"/>
        </w:rPr>
      </w:pPr>
      <w:r w:rsidRPr="00397584">
        <w:rPr>
          <w:rFonts w:ascii="Arial" w:hAnsi="Arial" w:cs="Arial"/>
          <w:sz w:val="20"/>
        </w:rPr>
        <w:t>a reference to any other kind of instrument is a reference to that other instrument as existing from time to time.</w:t>
      </w:r>
    </w:p>
    <w:p w14:paraId="2E1AF95F" w14:textId="77777777" w:rsidR="0078705F" w:rsidRPr="0092230E" w:rsidRDefault="0078705F" w:rsidP="00835C74">
      <w:pPr>
        <w:pStyle w:val="ABABulletLevel1"/>
        <w:spacing w:after="120"/>
        <w:rPr>
          <w:rFonts w:ascii="Arial" w:hAnsi="Arial" w:cs="Arial"/>
          <w:b/>
          <w:sz w:val="20"/>
        </w:rPr>
      </w:pPr>
    </w:p>
    <w:p w14:paraId="5BDD6B6E" w14:textId="3AE63D56" w:rsidR="00835C74" w:rsidRPr="0092230E" w:rsidRDefault="002D5B9B" w:rsidP="00835C74">
      <w:pPr>
        <w:pStyle w:val="ABABulletLevel1"/>
        <w:spacing w:after="120"/>
        <w:rPr>
          <w:rFonts w:ascii="Arial" w:hAnsi="Arial" w:cs="Arial"/>
          <w:b/>
          <w:sz w:val="20"/>
        </w:rPr>
      </w:pPr>
      <w:r w:rsidRPr="0092230E">
        <w:rPr>
          <w:rFonts w:ascii="Arial" w:hAnsi="Arial" w:cs="Arial"/>
          <w:b/>
          <w:sz w:val="20"/>
        </w:rPr>
        <w:t xml:space="preserve">Section </w:t>
      </w:r>
      <w:r w:rsidR="009541F1">
        <w:rPr>
          <w:rFonts w:ascii="Arial" w:hAnsi="Arial" w:cs="Arial"/>
          <w:b/>
          <w:sz w:val="20"/>
        </w:rPr>
        <w:t>8</w:t>
      </w:r>
      <w:r w:rsidRPr="0092230E">
        <w:rPr>
          <w:rFonts w:ascii="Arial" w:hAnsi="Arial" w:cs="Arial"/>
          <w:b/>
          <w:sz w:val="20"/>
        </w:rPr>
        <w:t xml:space="preserve"> – Meaning of </w:t>
      </w:r>
      <w:r w:rsidR="00835C74" w:rsidRPr="0092230E">
        <w:rPr>
          <w:rFonts w:ascii="Arial" w:hAnsi="Arial" w:cs="Arial"/>
          <w:b/>
          <w:i/>
          <w:sz w:val="20"/>
        </w:rPr>
        <w:t>declared related party</w:t>
      </w:r>
      <w:r w:rsidR="00166F8A" w:rsidRPr="0092230E">
        <w:rPr>
          <w:rFonts w:ascii="Arial" w:hAnsi="Arial" w:cs="Arial"/>
          <w:b/>
          <w:i/>
          <w:sz w:val="20"/>
        </w:rPr>
        <w:t>—</w:t>
      </w:r>
      <w:r w:rsidR="00476373" w:rsidRPr="0092230E">
        <w:rPr>
          <w:rFonts w:ascii="Arial" w:hAnsi="Arial" w:cs="Arial"/>
          <w:b/>
          <w:sz w:val="20"/>
        </w:rPr>
        <w:t>participating person</w:t>
      </w:r>
    </w:p>
    <w:p w14:paraId="586F4475" w14:textId="7726DC44" w:rsidR="00805DAC" w:rsidRPr="0092230E" w:rsidRDefault="00805DAC" w:rsidP="00805DAC">
      <w:pPr>
        <w:pStyle w:val="ABABulletLevel1"/>
        <w:spacing w:after="120"/>
        <w:rPr>
          <w:rFonts w:ascii="Arial" w:hAnsi="Arial" w:cs="Arial"/>
          <w:sz w:val="20"/>
        </w:rPr>
      </w:pPr>
      <w:r w:rsidRPr="0092230E">
        <w:rPr>
          <w:rFonts w:ascii="Arial" w:hAnsi="Arial" w:cs="Arial"/>
          <w:sz w:val="20"/>
        </w:rPr>
        <w:t xml:space="preserve">The </w:t>
      </w:r>
      <w:r w:rsidR="00690B6D">
        <w:rPr>
          <w:rFonts w:ascii="Arial" w:hAnsi="Arial" w:cs="Arial"/>
          <w:sz w:val="20"/>
        </w:rPr>
        <w:t xml:space="preserve">instrument </w:t>
      </w:r>
      <w:r w:rsidRPr="0092230E">
        <w:rPr>
          <w:rFonts w:ascii="Arial" w:hAnsi="Arial" w:cs="Arial"/>
          <w:sz w:val="20"/>
        </w:rPr>
        <w:t xml:space="preserve">includes provision for a proportion of the revenue of ‘declared related parties’ to be included in the calculation of a participating person’s eligible revenue. Section </w:t>
      </w:r>
      <w:r w:rsidR="009541F1">
        <w:rPr>
          <w:rFonts w:ascii="Arial" w:hAnsi="Arial" w:cs="Arial"/>
          <w:sz w:val="20"/>
        </w:rPr>
        <w:t>8</w:t>
      </w:r>
      <w:r w:rsidR="00BF0F34">
        <w:rPr>
          <w:rFonts w:ascii="Arial" w:hAnsi="Arial" w:cs="Arial"/>
          <w:sz w:val="20"/>
        </w:rPr>
        <w:t xml:space="preserve"> of the instrument</w:t>
      </w:r>
      <w:r w:rsidRPr="0092230E">
        <w:rPr>
          <w:rFonts w:ascii="Arial" w:hAnsi="Arial" w:cs="Arial"/>
          <w:sz w:val="20"/>
        </w:rPr>
        <w:t xml:space="preserve"> defines ‘declared related party’ </w:t>
      </w:r>
      <w:r w:rsidR="0078705F" w:rsidRPr="0092230E">
        <w:rPr>
          <w:rFonts w:ascii="Arial" w:hAnsi="Arial" w:cs="Arial"/>
          <w:sz w:val="20"/>
        </w:rPr>
        <w:t>in relation to</w:t>
      </w:r>
      <w:r w:rsidRPr="0092230E">
        <w:rPr>
          <w:rFonts w:ascii="Arial" w:hAnsi="Arial" w:cs="Arial"/>
          <w:sz w:val="20"/>
        </w:rPr>
        <w:t xml:space="preserve"> a participating person. The ability to capture the revenue of entities other than the </w:t>
      </w:r>
      <w:r w:rsidR="0078705F" w:rsidRPr="0092230E">
        <w:rPr>
          <w:rFonts w:ascii="Arial" w:hAnsi="Arial" w:cs="Arial"/>
          <w:sz w:val="20"/>
        </w:rPr>
        <w:t xml:space="preserve">participating person </w:t>
      </w:r>
      <w:r w:rsidRPr="0092230E">
        <w:rPr>
          <w:rFonts w:ascii="Arial" w:hAnsi="Arial" w:cs="Arial"/>
          <w:sz w:val="20"/>
        </w:rPr>
        <w:t xml:space="preserve">is designed to discourage, and ultimately deal with, </w:t>
      </w:r>
      <w:r w:rsidRPr="0092230E">
        <w:rPr>
          <w:rFonts w:ascii="Arial" w:hAnsi="Arial" w:cs="Arial"/>
          <w:sz w:val="20"/>
        </w:rPr>
        <w:lastRenderedPageBreak/>
        <w:t>persons trying to minimise their revenue, and thus levy payments, by diverting revenue to associates that are not participating persons. An entity can be a declared related party for either part o</w:t>
      </w:r>
      <w:r w:rsidR="0078705F" w:rsidRPr="0092230E">
        <w:rPr>
          <w:rFonts w:ascii="Arial" w:hAnsi="Arial" w:cs="Arial"/>
          <w:sz w:val="20"/>
        </w:rPr>
        <w:t>r</w:t>
      </w:r>
      <w:r w:rsidRPr="0092230E">
        <w:rPr>
          <w:rFonts w:ascii="Arial" w:hAnsi="Arial" w:cs="Arial"/>
          <w:sz w:val="20"/>
        </w:rPr>
        <w:t xml:space="preserve"> the whole of </w:t>
      </w:r>
      <w:r w:rsidR="0078705F" w:rsidRPr="0092230E">
        <w:rPr>
          <w:rFonts w:ascii="Arial" w:hAnsi="Arial" w:cs="Arial"/>
          <w:sz w:val="20"/>
        </w:rPr>
        <w:t xml:space="preserve">an </w:t>
      </w:r>
      <w:r w:rsidRPr="0092230E">
        <w:rPr>
          <w:rFonts w:ascii="Arial" w:hAnsi="Arial" w:cs="Arial"/>
          <w:sz w:val="20"/>
        </w:rPr>
        <w:t>eligible revenue period.</w:t>
      </w:r>
    </w:p>
    <w:p w14:paraId="3FA2331E" w14:textId="71E9C596" w:rsidR="00805DAC" w:rsidRPr="0092230E" w:rsidRDefault="00805DAC" w:rsidP="00805DAC">
      <w:pPr>
        <w:pStyle w:val="ABABulletLevel1"/>
        <w:spacing w:after="120"/>
        <w:rPr>
          <w:rFonts w:ascii="Arial" w:hAnsi="Arial" w:cs="Arial"/>
          <w:sz w:val="20"/>
        </w:rPr>
      </w:pPr>
      <w:r w:rsidRPr="0092230E">
        <w:rPr>
          <w:rFonts w:ascii="Arial" w:hAnsi="Arial" w:cs="Arial"/>
          <w:sz w:val="20"/>
        </w:rPr>
        <w:t xml:space="preserve">Under subsection </w:t>
      </w:r>
      <w:r w:rsidR="009541F1">
        <w:rPr>
          <w:rFonts w:ascii="Arial" w:hAnsi="Arial" w:cs="Arial"/>
          <w:sz w:val="20"/>
        </w:rPr>
        <w:t>8</w:t>
      </w:r>
      <w:r w:rsidRPr="0092230E">
        <w:rPr>
          <w:rFonts w:ascii="Arial" w:hAnsi="Arial" w:cs="Arial"/>
          <w:sz w:val="20"/>
        </w:rPr>
        <w:t>(1)</w:t>
      </w:r>
      <w:r w:rsidR="00BF0F34">
        <w:rPr>
          <w:rFonts w:ascii="Arial" w:hAnsi="Arial" w:cs="Arial"/>
          <w:sz w:val="20"/>
        </w:rPr>
        <w:t xml:space="preserve"> of the instrument</w:t>
      </w:r>
      <w:r w:rsidRPr="0092230E">
        <w:rPr>
          <w:rFonts w:ascii="Arial" w:hAnsi="Arial" w:cs="Arial"/>
          <w:sz w:val="20"/>
        </w:rPr>
        <w:t xml:space="preserve">, an entity is a ‘declared related party’ </w:t>
      </w:r>
      <w:r w:rsidR="00874262">
        <w:rPr>
          <w:rFonts w:ascii="Arial" w:hAnsi="Arial" w:cs="Arial"/>
          <w:sz w:val="20"/>
        </w:rPr>
        <w:t xml:space="preserve">of </w:t>
      </w:r>
      <w:r w:rsidR="0078705F" w:rsidRPr="0092230E">
        <w:rPr>
          <w:rFonts w:ascii="Arial" w:hAnsi="Arial" w:cs="Arial"/>
          <w:sz w:val="20"/>
        </w:rPr>
        <w:t>a</w:t>
      </w:r>
      <w:r w:rsidRPr="0092230E">
        <w:rPr>
          <w:rFonts w:ascii="Arial" w:hAnsi="Arial" w:cs="Arial"/>
          <w:sz w:val="20"/>
        </w:rPr>
        <w:t xml:space="preserve"> participating person</w:t>
      </w:r>
      <w:r w:rsidR="0078705F" w:rsidRPr="0092230E">
        <w:rPr>
          <w:rFonts w:ascii="Arial" w:hAnsi="Arial" w:cs="Arial"/>
          <w:sz w:val="20"/>
        </w:rPr>
        <w:t xml:space="preserve"> for the whole of an eligible revenue period,</w:t>
      </w:r>
      <w:r w:rsidRPr="0092230E">
        <w:rPr>
          <w:rFonts w:ascii="Arial" w:hAnsi="Arial" w:cs="Arial"/>
          <w:sz w:val="20"/>
        </w:rPr>
        <w:t xml:space="preserve"> if the entity:</w:t>
      </w:r>
    </w:p>
    <w:p w14:paraId="4C8FCDFB" w14:textId="680EEB97" w:rsidR="00787EE4" w:rsidRPr="0092230E" w:rsidRDefault="0078705F" w:rsidP="00D33EC1">
      <w:pPr>
        <w:pStyle w:val="ABABulletLevel1"/>
        <w:numPr>
          <w:ilvl w:val="0"/>
          <w:numId w:val="11"/>
        </w:numPr>
        <w:spacing w:after="120"/>
        <w:rPr>
          <w:rFonts w:ascii="Arial" w:hAnsi="Arial" w:cs="Arial"/>
          <w:sz w:val="20"/>
        </w:rPr>
      </w:pPr>
      <w:r w:rsidRPr="0092230E">
        <w:rPr>
          <w:rFonts w:ascii="Arial" w:hAnsi="Arial" w:cs="Arial"/>
          <w:sz w:val="20"/>
        </w:rPr>
        <w:t>i</w:t>
      </w:r>
      <w:r w:rsidR="00805DAC" w:rsidRPr="0092230E">
        <w:rPr>
          <w:rFonts w:ascii="Arial" w:hAnsi="Arial" w:cs="Arial"/>
          <w:sz w:val="20"/>
        </w:rPr>
        <w:t>s not a participating person</w:t>
      </w:r>
      <w:r w:rsidR="00645564">
        <w:rPr>
          <w:rFonts w:ascii="Arial" w:hAnsi="Arial" w:cs="Arial"/>
          <w:sz w:val="20"/>
        </w:rPr>
        <w:t xml:space="preserve">, </w:t>
      </w:r>
      <w:r w:rsidR="00167535" w:rsidRPr="0092230E">
        <w:rPr>
          <w:rFonts w:ascii="Arial" w:hAnsi="Arial" w:cs="Arial"/>
          <w:sz w:val="20"/>
        </w:rPr>
        <w:t>a consolidated related party of a participating person</w:t>
      </w:r>
      <w:r w:rsidR="00981BFE">
        <w:rPr>
          <w:rFonts w:ascii="Arial" w:hAnsi="Arial" w:cs="Arial"/>
          <w:sz w:val="20"/>
        </w:rPr>
        <w:t xml:space="preserve"> or a non-participating person</w:t>
      </w:r>
      <w:r w:rsidR="008066F4">
        <w:rPr>
          <w:rFonts w:ascii="Arial" w:hAnsi="Arial" w:cs="Arial"/>
          <w:sz w:val="20"/>
        </w:rPr>
        <w:t xml:space="preserve"> for the period</w:t>
      </w:r>
      <w:r w:rsidR="00167535" w:rsidRPr="0092230E">
        <w:rPr>
          <w:rFonts w:ascii="Arial" w:hAnsi="Arial" w:cs="Arial"/>
          <w:sz w:val="20"/>
        </w:rPr>
        <w:t>; and</w:t>
      </w:r>
      <w:r w:rsidR="00805DAC" w:rsidRPr="0092230E">
        <w:rPr>
          <w:rFonts w:ascii="Arial" w:hAnsi="Arial" w:cs="Arial"/>
          <w:sz w:val="20"/>
        </w:rPr>
        <w:t xml:space="preserve"> </w:t>
      </w:r>
    </w:p>
    <w:p w14:paraId="43DDE5FB" w14:textId="39B836F5" w:rsidR="00DA3571" w:rsidRPr="0092230E" w:rsidRDefault="002F05B6" w:rsidP="00D33EC1">
      <w:pPr>
        <w:pStyle w:val="ABABulletLevel1"/>
        <w:numPr>
          <w:ilvl w:val="0"/>
          <w:numId w:val="11"/>
        </w:numPr>
        <w:spacing w:after="120"/>
        <w:rPr>
          <w:rFonts w:ascii="Arial" w:hAnsi="Arial" w:cs="Arial"/>
          <w:sz w:val="20"/>
        </w:rPr>
      </w:pPr>
      <w:r w:rsidRPr="0092230E">
        <w:rPr>
          <w:rFonts w:ascii="Arial" w:hAnsi="Arial" w:cs="Arial"/>
          <w:sz w:val="20"/>
        </w:rPr>
        <w:t>i</w:t>
      </w:r>
      <w:r w:rsidR="005F6B8D" w:rsidRPr="0092230E">
        <w:rPr>
          <w:rFonts w:ascii="Arial" w:hAnsi="Arial" w:cs="Arial"/>
          <w:sz w:val="20"/>
        </w:rPr>
        <w:t>s owned</w:t>
      </w:r>
      <w:r w:rsidR="00BC7682" w:rsidRPr="0092230E">
        <w:rPr>
          <w:rFonts w:ascii="Arial" w:hAnsi="Arial" w:cs="Arial"/>
          <w:sz w:val="20"/>
        </w:rPr>
        <w:t xml:space="preserve">, at any time during the period, </w:t>
      </w:r>
      <w:r w:rsidR="005F6B8D" w:rsidRPr="0092230E">
        <w:rPr>
          <w:rFonts w:ascii="Arial" w:hAnsi="Arial" w:cs="Arial"/>
          <w:sz w:val="20"/>
        </w:rPr>
        <w:t xml:space="preserve">by a body that </w:t>
      </w:r>
      <w:r w:rsidR="00BC7682" w:rsidRPr="0092230E">
        <w:rPr>
          <w:rFonts w:ascii="Arial" w:hAnsi="Arial" w:cs="Arial"/>
          <w:sz w:val="20"/>
        </w:rPr>
        <w:t xml:space="preserve">owns </w:t>
      </w:r>
      <w:r w:rsidR="00787EE4" w:rsidRPr="0092230E">
        <w:rPr>
          <w:rFonts w:ascii="Arial" w:hAnsi="Arial" w:cs="Arial"/>
          <w:sz w:val="20"/>
        </w:rPr>
        <w:t xml:space="preserve">the </w:t>
      </w:r>
      <w:r w:rsidR="00A10F0A" w:rsidRPr="0092230E">
        <w:rPr>
          <w:rFonts w:ascii="Arial" w:hAnsi="Arial" w:cs="Arial"/>
          <w:sz w:val="20"/>
        </w:rPr>
        <w:t xml:space="preserve">participating </w:t>
      </w:r>
      <w:r w:rsidR="00BC7682" w:rsidRPr="0092230E">
        <w:rPr>
          <w:rFonts w:ascii="Arial" w:hAnsi="Arial" w:cs="Arial"/>
          <w:sz w:val="20"/>
        </w:rPr>
        <w:t>person</w:t>
      </w:r>
      <w:r w:rsidR="005F6B8D" w:rsidRPr="0092230E">
        <w:rPr>
          <w:rFonts w:ascii="Arial" w:hAnsi="Arial" w:cs="Arial"/>
          <w:sz w:val="20"/>
        </w:rPr>
        <w:t xml:space="preserve"> at any time during the period</w:t>
      </w:r>
      <w:r w:rsidR="00DA3571" w:rsidRPr="0092230E">
        <w:rPr>
          <w:rFonts w:ascii="Arial" w:hAnsi="Arial" w:cs="Arial"/>
          <w:sz w:val="20"/>
        </w:rPr>
        <w:t>; and</w:t>
      </w:r>
    </w:p>
    <w:p w14:paraId="32CCB92F" w14:textId="4FF3EFE8" w:rsidR="00BC7682" w:rsidRPr="0092230E" w:rsidRDefault="00DA3571" w:rsidP="00DA3571">
      <w:pPr>
        <w:pStyle w:val="ABABulletLevel1"/>
        <w:numPr>
          <w:ilvl w:val="0"/>
          <w:numId w:val="11"/>
        </w:numPr>
        <w:spacing w:after="120"/>
        <w:rPr>
          <w:rFonts w:ascii="Arial" w:hAnsi="Arial" w:cs="Arial"/>
          <w:sz w:val="20"/>
        </w:rPr>
      </w:pPr>
      <w:r w:rsidRPr="0092230E">
        <w:rPr>
          <w:rFonts w:ascii="Arial" w:hAnsi="Arial" w:cs="Arial"/>
          <w:sz w:val="20"/>
        </w:rPr>
        <w:t>has telecommunications sales revenue in Australia at any time during the same period.</w:t>
      </w:r>
    </w:p>
    <w:p w14:paraId="6FA6F24C" w14:textId="045CC194" w:rsidR="005B4267" w:rsidRPr="0092230E" w:rsidRDefault="00412693" w:rsidP="00BC7682">
      <w:pPr>
        <w:pStyle w:val="ABABulletLevel1"/>
        <w:spacing w:after="120"/>
        <w:rPr>
          <w:rFonts w:ascii="Arial" w:hAnsi="Arial" w:cs="Arial"/>
          <w:sz w:val="20"/>
        </w:rPr>
      </w:pPr>
      <w:r w:rsidRPr="0092230E">
        <w:rPr>
          <w:rFonts w:ascii="Arial" w:hAnsi="Arial" w:cs="Arial"/>
          <w:sz w:val="20"/>
        </w:rPr>
        <w:t xml:space="preserve">Subsection </w:t>
      </w:r>
      <w:r w:rsidR="009541F1">
        <w:rPr>
          <w:rFonts w:ascii="Arial" w:hAnsi="Arial" w:cs="Arial"/>
          <w:sz w:val="20"/>
        </w:rPr>
        <w:t>8</w:t>
      </w:r>
      <w:r w:rsidRPr="0092230E">
        <w:rPr>
          <w:rFonts w:ascii="Arial" w:hAnsi="Arial" w:cs="Arial"/>
          <w:sz w:val="20"/>
        </w:rPr>
        <w:t xml:space="preserve">(2) </w:t>
      </w:r>
      <w:r w:rsidR="00BF0F34">
        <w:rPr>
          <w:rFonts w:ascii="Arial" w:hAnsi="Arial" w:cs="Arial"/>
          <w:sz w:val="20"/>
        </w:rPr>
        <w:t xml:space="preserve">of the instrument </w:t>
      </w:r>
      <w:r w:rsidR="005B4267" w:rsidRPr="0092230E">
        <w:rPr>
          <w:rFonts w:ascii="Arial" w:hAnsi="Arial" w:cs="Arial"/>
          <w:sz w:val="20"/>
        </w:rPr>
        <w:t xml:space="preserve">provides </w:t>
      </w:r>
      <w:r w:rsidR="00DE65F9" w:rsidRPr="0092230E">
        <w:rPr>
          <w:rFonts w:ascii="Arial" w:hAnsi="Arial" w:cs="Arial"/>
          <w:sz w:val="20"/>
        </w:rPr>
        <w:t xml:space="preserve">that an entity </w:t>
      </w:r>
      <w:r w:rsidR="005B4267" w:rsidRPr="0092230E">
        <w:rPr>
          <w:rFonts w:ascii="Arial" w:hAnsi="Arial" w:cs="Arial"/>
          <w:sz w:val="20"/>
        </w:rPr>
        <w:t>is</w:t>
      </w:r>
      <w:r w:rsidR="00DE65F9" w:rsidRPr="0092230E">
        <w:rPr>
          <w:rFonts w:ascii="Arial" w:hAnsi="Arial" w:cs="Arial"/>
          <w:sz w:val="20"/>
        </w:rPr>
        <w:t xml:space="preserve"> a declared related party </w:t>
      </w:r>
      <w:r w:rsidR="0011040F">
        <w:rPr>
          <w:rFonts w:ascii="Arial" w:hAnsi="Arial" w:cs="Arial"/>
          <w:sz w:val="20"/>
        </w:rPr>
        <w:t xml:space="preserve">of </w:t>
      </w:r>
      <w:r w:rsidR="005B4267" w:rsidRPr="0092230E">
        <w:rPr>
          <w:rFonts w:ascii="Arial" w:hAnsi="Arial" w:cs="Arial"/>
          <w:sz w:val="20"/>
        </w:rPr>
        <w:t xml:space="preserve">a participating person </w:t>
      </w:r>
      <w:r w:rsidR="00DE65F9" w:rsidRPr="0092230E">
        <w:rPr>
          <w:rFonts w:ascii="Arial" w:hAnsi="Arial" w:cs="Arial"/>
          <w:sz w:val="20"/>
        </w:rPr>
        <w:t xml:space="preserve">for </w:t>
      </w:r>
      <w:r w:rsidR="005B4267" w:rsidRPr="0092230E">
        <w:rPr>
          <w:rFonts w:ascii="Arial" w:hAnsi="Arial" w:cs="Arial"/>
          <w:sz w:val="20"/>
        </w:rPr>
        <w:t xml:space="preserve">any </w:t>
      </w:r>
      <w:r w:rsidR="00DE65F9" w:rsidRPr="0092230E">
        <w:rPr>
          <w:rFonts w:ascii="Arial" w:hAnsi="Arial" w:cs="Arial"/>
          <w:sz w:val="20"/>
        </w:rPr>
        <w:t xml:space="preserve">part of </w:t>
      </w:r>
      <w:r w:rsidR="005B4267" w:rsidRPr="0092230E">
        <w:rPr>
          <w:rFonts w:ascii="Arial" w:hAnsi="Arial" w:cs="Arial"/>
          <w:sz w:val="20"/>
        </w:rPr>
        <w:t>an</w:t>
      </w:r>
      <w:r w:rsidR="00DE65F9" w:rsidRPr="0092230E">
        <w:rPr>
          <w:rFonts w:ascii="Arial" w:hAnsi="Arial" w:cs="Arial"/>
          <w:sz w:val="20"/>
        </w:rPr>
        <w:t xml:space="preserve"> eligible revenue period</w:t>
      </w:r>
      <w:r w:rsidR="005B4267" w:rsidRPr="0092230E">
        <w:rPr>
          <w:rFonts w:ascii="Arial" w:hAnsi="Arial" w:cs="Arial"/>
          <w:sz w:val="20"/>
        </w:rPr>
        <w:t xml:space="preserve"> during which the entity:</w:t>
      </w:r>
    </w:p>
    <w:p w14:paraId="72AA4CE9" w14:textId="77777777" w:rsidR="00167535" w:rsidRPr="0092230E" w:rsidRDefault="00167535">
      <w:pPr>
        <w:pStyle w:val="ABABulletLevel1"/>
        <w:numPr>
          <w:ilvl w:val="0"/>
          <w:numId w:val="17"/>
        </w:numPr>
        <w:spacing w:after="120"/>
        <w:rPr>
          <w:rFonts w:ascii="Arial" w:hAnsi="Arial" w:cs="Arial"/>
          <w:sz w:val="20"/>
        </w:rPr>
      </w:pPr>
      <w:r w:rsidRPr="0092230E">
        <w:rPr>
          <w:rFonts w:ascii="Arial" w:hAnsi="Arial" w:cs="Arial"/>
          <w:sz w:val="20"/>
        </w:rPr>
        <w:t>is not:</w:t>
      </w:r>
    </w:p>
    <w:p w14:paraId="0A5577DD" w14:textId="77777777" w:rsidR="00EA5EA5" w:rsidRPr="0092230E" w:rsidRDefault="005B4267">
      <w:pPr>
        <w:pStyle w:val="ABABulletLevel1"/>
        <w:numPr>
          <w:ilvl w:val="1"/>
          <w:numId w:val="17"/>
        </w:numPr>
        <w:spacing w:after="120"/>
        <w:rPr>
          <w:rFonts w:ascii="Arial" w:hAnsi="Arial" w:cs="Arial"/>
          <w:sz w:val="20"/>
        </w:rPr>
      </w:pPr>
      <w:r w:rsidRPr="0092230E">
        <w:rPr>
          <w:rFonts w:ascii="Arial" w:hAnsi="Arial" w:cs="Arial"/>
          <w:sz w:val="20"/>
        </w:rPr>
        <w:t>a carrier; or</w:t>
      </w:r>
    </w:p>
    <w:p w14:paraId="0BE41E73" w14:textId="0DAF18E6" w:rsidR="00EA5EA5" w:rsidRPr="0092230E" w:rsidRDefault="005B4267">
      <w:pPr>
        <w:pStyle w:val="ABABulletLevel1"/>
        <w:numPr>
          <w:ilvl w:val="1"/>
          <w:numId w:val="17"/>
        </w:numPr>
        <w:spacing w:after="120"/>
        <w:rPr>
          <w:rFonts w:ascii="Arial" w:hAnsi="Arial" w:cs="Arial"/>
          <w:sz w:val="20"/>
        </w:rPr>
      </w:pPr>
      <w:r w:rsidRPr="0092230E">
        <w:rPr>
          <w:rFonts w:ascii="Arial" w:hAnsi="Arial" w:cs="Arial"/>
          <w:sz w:val="20"/>
        </w:rPr>
        <w:t xml:space="preserve">a consolidated related party </w:t>
      </w:r>
      <w:r w:rsidR="00A10F0A" w:rsidRPr="0092230E">
        <w:rPr>
          <w:rFonts w:ascii="Arial" w:hAnsi="Arial" w:cs="Arial"/>
          <w:sz w:val="20"/>
        </w:rPr>
        <w:t>of a</w:t>
      </w:r>
      <w:r w:rsidRPr="0092230E">
        <w:rPr>
          <w:rFonts w:ascii="Arial" w:hAnsi="Arial" w:cs="Arial"/>
          <w:sz w:val="20"/>
        </w:rPr>
        <w:t xml:space="preserve"> participating person</w:t>
      </w:r>
      <w:r w:rsidR="007B0B28">
        <w:rPr>
          <w:rFonts w:ascii="Arial" w:hAnsi="Arial" w:cs="Arial"/>
          <w:sz w:val="20"/>
        </w:rPr>
        <w:t xml:space="preserve"> or a non-participating person</w:t>
      </w:r>
      <w:r w:rsidRPr="0092230E">
        <w:rPr>
          <w:rFonts w:ascii="Arial" w:hAnsi="Arial" w:cs="Arial"/>
          <w:sz w:val="20"/>
        </w:rPr>
        <w:t>; or</w:t>
      </w:r>
    </w:p>
    <w:p w14:paraId="25380770" w14:textId="339B92EA" w:rsidR="00A93265" w:rsidRDefault="005B4267">
      <w:pPr>
        <w:pStyle w:val="ABABulletLevel1"/>
        <w:numPr>
          <w:ilvl w:val="1"/>
          <w:numId w:val="17"/>
        </w:numPr>
        <w:spacing w:after="120"/>
        <w:rPr>
          <w:rFonts w:ascii="Arial" w:hAnsi="Arial" w:cs="Arial"/>
          <w:sz w:val="20"/>
        </w:rPr>
      </w:pPr>
      <w:r w:rsidRPr="0092230E">
        <w:rPr>
          <w:rFonts w:ascii="Arial" w:hAnsi="Arial" w:cs="Arial"/>
          <w:sz w:val="20"/>
        </w:rPr>
        <w:t xml:space="preserve">a </w:t>
      </w:r>
      <w:r w:rsidR="00880865" w:rsidRPr="0092230E">
        <w:rPr>
          <w:rFonts w:ascii="Arial" w:hAnsi="Arial" w:cs="Arial"/>
          <w:sz w:val="20"/>
        </w:rPr>
        <w:t xml:space="preserve">participating </w:t>
      </w:r>
      <w:r w:rsidRPr="0092230E">
        <w:rPr>
          <w:rFonts w:ascii="Arial" w:hAnsi="Arial" w:cs="Arial"/>
          <w:sz w:val="20"/>
        </w:rPr>
        <w:t>carriage service provider</w:t>
      </w:r>
      <w:r w:rsidR="00D76052" w:rsidRPr="0092230E">
        <w:rPr>
          <w:rFonts w:ascii="Arial" w:hAnsi="Arial" w:cs="Arial"/>
          <w:sz w:val="20"/>
        </w:rPr>
        <w:t xml:space="preserve">; </w:t>
      </w:r>
      <w:r w:rsidR="00A93265">
        <w:rPr>
          <w:rFonts w:ascii="Arial" w:hAnsi="Arial" w:cs="Arial"/>
          <w:sz w:val="20"/>
        </w:rPr>
        <w:t>or</w:t>
      </w:r>
    </w:p>
    <w:p w14:paraId="4970C7FE" w14:textId="5F9E90AB" w:rsidR="00EA5EA5" w:rsidRPr="0092230E" w:rsidRDefault="00A93265">
      <w:pPr>
        <w:pStyle w:val="ABABulletLevel1"/>
        <w:numPr>
          <w:ilvl w:val="1"/>
          <w:numId w:val="17"/>
        </w:numPr>
        <w:spacing w:after="120"/>
        <w:rPr>
          <w:rFonts w:ascii="Arial" w:hAnsi="Arial" w:cs="Arial"/>
          <w:sz w:val="20"/>
        </w:rPr>
      </w:pPr>
      <w:r>
        <w:rPr>
          <w:rFonts w:ascii="Arial" w:hAnsi="Arial" w:cs="Arial"/>
          <w:sz w:val="20"/>
        </w:rPr>
        <w:t>a</w:t>
      </w:r>
      <w:r w:rsidR="001F2302">
        <w:rPr>
          <w:rFonts w:ascii="Arial" w:hAnsi="Arial" w:cs="Arial"/>
          <w:sz w:val="20"/>
        </w:rPr>
        <w:t xml:space="preserve"> prescribed </w:t>
      </w:r>
      <w:r>
        <w:rPr>
          <w:rFonts w:ascii="Arial" w:hAnsi="Arial" w:cs="Arial"/>
          <w:sz w:val="20"/>
        </w:rPr>
        <w:t xml:space="preserve">participating person; </w:t>
      </w:r>
      <w:r w:rsidR="00167535" w:rsidRPr="0092230E">
        <w:rPr>
          <w:rFonts w:ascii="Arial" w:hAnsi="Arial" w:cs="Arial"/>
          <w:sz w:val="20"/>
        </w:rPr>
        <w:t>and</w:t>
      </w:r>
    </w:p>
    <w:p w14:paraId="06B5272E" w14:textId="2DE6B322" w:rsidR="00702C3D" w:rsidRPr="0092230E" w:rsidRDefault="00631E34">
      <w:pPr>
        <w:pStyle w:val="ABABulletLevel1"/>
        <w:numPr>
          <w:ilvl w:val="0"/>
          <w:numId w:val="17"/>
        </w:numPr>
        <w:spacing w:after="120"/>
        <w:rPr>
          <w:rFonts w:ascii="Arial" w:hAnsi="Arial" w:cs="Arial"/>
          <w:sz w:val="20"/>
        </w:rPr>
      </w:pPr>
      <w:r w:rsidRPr="0092230E">
        <w:rPr>
          <w:rFonts w:ascii="Arial" w:hAnsi="Arial" w:cs="Arial"/>
          <w:sz w:val="20"/>
        </w:rPr>
        <w:t>is owned by a body that, at any time during the same period, owns the participating person; and</w:t>
      </w:r>
    </w:p>
    <w:p w14:paraId="6EACC342" w14:textId="77777777" w:rsidR="00D76052" w:rsidRPr="0092230E" w:rsidRDefault="00476373" w:rsidP="00D76052">
      <w:pPr>
        <w:pStyle w:val="ABABulletLevel1"/>
        <w:numPr>
          <w:ilvl w:val="0"/>
          <w:numId w:val="17"/>
        </w:numPr>
        <w:spacing w:after="120"/>
        <w:rPr>
          <w:rFonts w:ascii="Arial" w:hAnsi="Arial" w:cs="Arial"/>
          <w:sz w:val="20"/>
        </w:rPr>
      </w:pPr>
      <w:r w:rsidRPr="0092230E">
        <w:rPr>
          <w:rFonts w:ascii="Arial" w:hAnsi="Arial" w:cs="Arial"/>
          <w:sz w:val="20"/>
        </w:rPr>
        <w:t>has telecommunications sales revenue in Australia</w:t>
      </w:r>
      <w:r w:rsidR="000C0DAF" w:rsidRPr="0092230E">
        <w:rPr>
          <w:rFonts w:ascii="Arial" w:hAnsi="Arial" w:cs="Arial"/>
          <w:sz w:val="20"/>
        </w:rPr>
        <w:t>.</w:t>
      </w:r>
    </w:p>
    <w:p w14:paraId="46E3E179" w14:textId="2EF86518" w:rsidR="004A38A8" w:rsidRPr="0092230E" w:rsidRDefault="004A38A8" w:rsidP="004A38A8">
      <w:pPr>
        <w:pStyle w:val="ABABulletLevel1"/>
        <w:spacing w:after="120"/>
        <w:rPr>
          <w:rFonts w:ascii="Arial" w:hAnsi="Arial" w:cs="Arial"/>
          <w:sz w:val="20"/>
        </w:rPr>
      </w:pPr>
      <w:r w:rsidRPr="0092230E">
        <w:rPr>
          <w:rFonts w:ascii="Arial" w:hAnsi="Arial" w:cs="Arial"/>
          <w:sz w:val="20"/>
        </w:rPr>
        <w:t xml:space="preserve">Subsection </w:t>
      </w:r>
      <w:r>
        <w:rPr>
          <w:rFonts w:ascii="Arial" w:hAnsi="Arial" w:cs="Arial"/>
          <w:sz w:val="20"/>
        </w:rPr>
        <w:t>8</w:t>
      </w:r>
      <w:r w:rsidRPr="0092230E">
        <w:rPr>
          <w:rFonts w:ascii="Arial" w:hAnsi="Arial" w:cs="Arial"/>
          <w:sz w:val="20"/>
        </w:rPr>
        <w:t xml:space="preserve">(3) </w:t>
      </w:r>
      <w:r w:rsidR="00BF0F34">
        <w:rPr>
          <w:rFonts w:ascii="Arial" w:hAnsi="Arial" w:cs="Arial"/>
          <w:sz w:val="20"/>
        </w:rPr>
        <w:t xml:space="preserve">of the instrument </w:t>
      </w:r>
      <w:r w:rsidRPr="0092230E">
        <w:rPr>
          <w:rFonts w:ascii="Arial" w:hAnsi="Arial" w:cs="Arial"/>
          <w:sz w:val="20"/>
        </w:rPr>
        <w:t xml:space="preserve">provides that a body ‘owns’ an entity if the body has company interests of more than 49% in that entity. Company interests may be traced in the same manner as company interests are traced </w:t>
      </w:r>
      <w:r>
        <w:rPr>
          <w:rFonts w:ascii="Arial" w:hAnsi="Arial" w:cs="Arial"/>
          <w:sz w:val="20"/>
        </w:rPr>
        <w:t xml:space="preserve">under </w:t>
      </w:r>
      <w:r w:rsidRPr="0092230E">
        <w:rPr>
          <w:rFonts w:ascii="Arial" w:hAnsi="Arial" w:cs="Arial"/>
          <w:sz w:val="20"/>
        </w:rPr>
        <w:t xml:space="preserve">Part 4 of Schedule 1 to the </w:t>
      </w:r>
      <w:r w:rsidRPr="0092230E">
        <w:rPr>
          <w:rFonts w:ascii="Arial" w:hAnsi="Arial" w:cs="Arial"/>
          <w:i/>
          <w:sz w:val="20"/>
        </w:rPr>
        <w:t>Broadcasting Services Act 1992</w:t>
      </w:r>
      <w:r w:rsidRPr="0092230E">
        <w:rPr>
          <w:rFonts w:ascii="Arial" w:hAnsi="Arial" w:cs="Arial"/>
          <w:sz w:val="20"/>
        </w:rPr>
        <w:t xml:space="preserve">. </w:t>
      </w:r>
    </w:p>
    <w:p w14:paraId="2F4DC1CA" w14:textId="7D10816C" w:rsidR="004A38A8" w:rsidRPr="0092230E" w:rsidRDefault="002538AC" w:rsidP="004A38A8">
      <w:pPr>
        <w:pStyle w:val="ABABulletLevel1"/>
        <w:spacing w:after="120"/>
        <w:rPr>
          <w:rFonts w:ascii="Arial" w:hAnsi="Arial" w:cs="Arial"/>
          <w:sz w:val="20"/>
        </w:rPr>
      </w:pPr>
      <w:r w:rsidRPr="00397584">
        <w:rPr>
          <w:rFonts w:ascii="Arial" w:hAnsi="Arial" w:cs="Arial"/>
          <w:i/>
          <w:iCs/>
          <w:sz w:val="20"/>
        </w:rPr>
        <w:t>Example 1</w:t>
      </w:r>
      <w:r w:rsidR="004A38A8" w:rsidRPr="0092230E">
        <w:rPr>
          <w:rFonts w:ascii="Arial" w:hAnsi="Arial" w:cs="Arial"/>
          <w:sz w:val="20"/>
        </w:rPr>
        <w:t xml:space="preserve">: Entity A wholly (100 per cent) owns Entity B, which is a participating person, and Entity A also owns half (50 per cent) of Entity C. Entity C has telecommunications sales revenue earned in Australia. Entity C is not a participating person, nor a consolidated related party of Entity B. As Entity C meets the requirements of section </w:t>
      </w:r>
      <w:r w:rsidR="004A38A8">
        <w:rPr>
          <w:rFonts w:ascii="Arial" w:hAnsi="Arial" w:cs="Arial"/>
          <w:sz w:val="20"/>
        </w:rPr>
        <w:t>8</w:t>
      </w:r>
      <w:r w:rsidR="004A38A8" w:rsidRPr="0092230E">
        <w:rPr>
          <w:rFonts w:ascii="Arial" w:hAnsi="Arial" w:cs="Arial"/>
          <w:sz w:val="20"/>
        </w:rPr>
        <w:t xml:space="preserve">, Entity C is a declared related party of Entity B, the participating person. Entity C could be a declared related party for part or </w:t>
      </w:r>
      <w:proofErr w:type="gramStart"/>
      <w:r w:rsidR="004A38A8" w:rsidRPr="0092230E">
        <w:rPr>
          <w:rFonts w:ascii="Arial" w:hAnsi="Arial" w:cs="Arial"/>
          <w:sz w:val="20"/>
        </w:rPr>
        <w:t>all of</w:t>
      </w:r>
      <w:proofErr w:type="gramEnd"/>
      <w:r w:rsidR="004A38A8" w:rsidRPr="0092230E">
        <w:rPr>
          <w:rFonts w:ascii="Arial" w:hAnsi="Arial" w:cs="Arial"/>
          <w:sz w:val="20"/>
        </w:rPr>
        <w:t xml:space="preserve"> the relevant eligible revenue period.</w:t>
      </w:r>
    </w:p>
    <w:p w14:paraId="74CBB9FA" w14:textId="31B0A263" w:rsidR="000E580E" w:rsidRPr="0092230E" w:rsidRDefault="002538AC" w:rsidP="00BC7682">
      <w:pPr>
        <w:pStyle w:val="ABABulletLevel1"/>
        <w:spacing w:after="120"/>
        <w:rPr>
          <w:rFonts w:ascii="Arial" w:hAnsi="Arial" w:cs="Arial"/>
          <w:sz w:val="20"/>
        </w:rPr>
      </w:pPr>
      <w:r w:rsidRPr="00397584">
        <w:rPr>
          <w:rFonts w:ascii="Arial" w:hAnsi="Arial" w:cs="Arial"/>
          <w:i/>
          <w:iCs/>
          <w:sz w:val="20"/>
        </w:rPr>
        <w:t>Example 2</w:t>
      </w:r>
      <w:r>
        <w:rPr>
          <w:rFonts w:ascii="Arial" w:hAnsi="Arial" w:cs="Arial"/>
          <w:sz w:val="20"/>
        </w:rPr>
        <w:t>: A</w:t>
      </w:r>
      <w:r w:rsidR="00DE65F9" w:rsidRPr="0092230E">
        <w:rPr>
          <w:rFonts w:ascii="Arial" w:hAnsi="Arial" w:cs="Arial"/>
          <w:sz w:val="20"/>
        </w:rPr>
        <w:t>n entity may be a declared related party</w:t>
      </w:r>
      <w:r w:rsidR="00D76052" w:rsidRPr="0092230E">
        <w:rPr>
          <w:rFonts w:ascii="Arial" w:hAnsi="Arial" w:cs="Arial"/>
          <w:sz w:val="20"/>
        </w:rPr>
        <w:t xml:space="preserve"> of a participating person</w:t>
      </w:r>
      <w:r w:rsidR="00DE65F9" w:rsidRPr="0092230E">
        <w:rPr>
          <w:rFonts w:ascii="Arial" w:hAnsi="Arial" w:cs="Arial"/>
          <w:sz w:val="20"/>
        </w:rPr>
        <w:t xml:space="preserve"> for six months of </w:t>
      </w:r>
      <w:r w:rsidR="000E580E" w:rsidRPr="0092230E">
        <w:rPr>
          <w:rFonts w:ascii="Arial" w:hAnsi="Arial" w:cs="Arial"/>
          <w:sz w:val="20"/>
        </w:rPr>
        <w:t xml:space="preserve">an </w:t>
      </w:r>
      <w:r w:rsidR="00DE65F9" w:rsidRPr="0092230E">
        <w:rPr>
          <w:rFonts w:ascii="Arial" w:hAnsi="Arial" w:cs="Arial"/>
          <w:sz w:val="20"/>
        </w:rPr>
        <w:t xml:space="preserve">eligible revenue </w:t>
      </w:r>
      <w:proofErr w:type="gramStart"/>
      <w:r w:rsidR="00DE65F9" w:rsidRPr="0092230E">
        <w:rPr>
          <w:rFonts w:ascii="Arial" w:hAnsi="Arial" w:cs="Arial"/>
          <w:sz w:val="20"/>
        </w:rPr>
        <w:t>period</w:t>
      </w:r>
      <w:r w:rsidR="000E580E" w:rsidRPr="0092230E">
        <w:rPr>
          <w:rFonts w:ascii="Arial" w:hAnsi="Arial" w:cs="Arial"/>
          <w:sz w:val="20"/>
        </w:rPr>
        <w:t>,</w:t>
      </w:r>
      <w:r w:rsidR="00DE65F9" w:rsidRPr="0092230E">
        <w:rPr>
          <w:rFonts w:ascii="Arial" w:hAnsi="Arial" w:cs="Arial"/>
          <w:sz w:val="20"/>
        </w:rPr>
        <w:t xml:space="preserve"> and</w:t>
      </w:r>
      <w:proofErr w:type="gramEnd"/>
      <w:r w:rsidR="00DE65F9" w:rsidRPr="0092230E">
        <w:rPr>
          <w:rFonts w:ascii="Arial" w:hAnsi="Arial" w:cs="Arial"/>
          <w:sz w:val="20"/>
        </w:rPr>
        <w:t xml:space="preserve"> then </w:t>
      </w:r>
      <w:r w:rsidR="00480310">
        <w:rPr>
          <w:rFonts w:ascii="Arial" w:hAnsi="Arial" w:cs="Arial"/>
          <w:sz w:val="20"/>
        </w:rPr>
        <w:t xml:space="preserve">become a </w:t>
      </w:r>
      <w:r w:rsidR="00DE65F9" w:rsidRPr="0092230E">
        <w:rPr>
          <w:rFonts w:ascii="Arial" w:hAnsi="Arial" w:cs="Arial"/>
          <w:sz w:val="20"/>
        </w:rPr>
        <w:t>carrier</w:t>
      </w:r>
      <w:r w:rsidR="007D343F">
        <w:rPr>
          <w:rFonts w:ascii="Arial" w:hAnsi="Arial" w:cs="Arial"/>
          <w:sz w:val="20"/>
        </w:rPr>
        <w:t xml:space="preserve"> </w:t>
      </w:r>
      <w:r w:rsidR="00DE65F9" w:rsidRPr="0092230E">
        <w:rPr>
          <w:rFonts w:ascii="Arial" w:hAnsi="Arial" w:cs="Arial"/>
          <w:sz w:val="20"/>
        </w:rPr>
        <w:t>for the remaining six months of the eligible revenue period. In this instance, the entity</w:t>
      </w:r>
      <w:r w:rsidR="000E580E" w:rsidRPr="0092230E">
        <w:rPr>
          <w:rFonts w:ascii="Arial" w:hAnsi="Arial" w:cs="Arial"/>
          <w:sz w:val="20"/>
        </w:rPr>
        <w:t xml:space="preserve"> would be a declared related party of a participating person for the part of the eligible revenue period during which it </w:t>
      </w:r>
      <w:r w:rsidR="00C05E9F">
        <w:rPr>
          <w:rFonts w:ascii="Arial" w:hAnsi="Arial" w:cs="Arial"/>
          <w:sz w:val="20"/>
        </w:rPr>
        <w:t xml:space="preserve">was not a carrier (that is, when it </w:t>
      </w:r>
      <w:r w:rsidR="000E580E" w:rsidRPr="0092230E">
        <w:rPr>
          <w:rFonts w:ascii="Arial" w:hAnsi="Arial" w:cs="Arial"/>
          <w:sz w:val="20"/>
        </w:rPr>
        <w:t>did not hold its own carrier licence</w:t>
      </w:r>
      <w:r w:rsidR="00C05E9F">
        <w:rPr>
          <w:rFonts w:ascii="Arial" w:hAnsi="Arial" w:cs="Arial"/>
          <w:sz w:val="20"/>
        </w:rPr>
        <w:t>)</w:t>
      </w:r>
      <w:r w:rsidR="000E580E" w:rsidRPr="0092230E">
        <w:rPr>
          <w:rFonts w:ascii="Arial" w:hAnsi="Arial" w:cs="Arial"/>
          <w:sz w:val="20"/>
        </w:rPr>
        <w:t xml:space="preserve">. </w:t>
      </w:r>
    </w:p>
    <w:p w14:paraId="46AAA787" w14:textId="13C66CFD" w:rsidR="000E580E" w:rsidRPr="0092230E" w:rsidRDefault="000E580E" w:rsidP="00BC7682">
      <w:pPr>
        <w:pStyle w:val="ABABulletLevel1"/>
        <w:spacing w:after="120"/>
        <w:rPr>
          <w:rFonts w:ascii="Arial" w:hAnsi="Arial" w:cs="Arial"/>
          <w:sz w:val="20"/>
        </w:rPr>
      </w:pPr>
      <w:r w:rsidRPr="0092230E">
        <w:rPr>
          <w:rFonts w:ascii="Arial" w:hAnsi="Arial" w:cs="Arial"/>
          <w:sz w:val="20"/>
        </w:rPr>
        <w:t xml:space="preserve">If the entity is a participating person (as defined in section </w:t>
      </w:r>
      <w:r w:rsidR="00FD1A92" w:rsidRPr="0092230E">
        <w:rPr>
          <w:rFonts w:ascii="Arial" w:hAnsi="Arial" w:cs="Arial"/>
          <w:sz w:val="20"/>
        </w:rPr>
        <w:t>44</w:t>
      </w:r>
      <w:r w:rsidRPr="0092230E">
        <w:rPr>
          <w:rFonts w:ascii="Arial" w:hAnsi="Arial" w:cs="Arial"/>
          <w:sz w:val="20"/>
        </w:rPr>
        <w:t xml:space="preserve"> of the Act) for the remaining 6</w:t>
      </w:r>
      <w:r w:rsidR="00B107EE">
        <w:rPr>
          <w:rFonts w:ascii="Arial" w:hAnsi="Arial" w:cs="Arial"/>
          <w:sz w:val="20"/>
        </w:rPr>
        <w:t> </w:t>
      </w:r>
      <w:r w:rsidRPr="0092230E">
        <w:rPr>
          <w:rFonts w:ascii="Arial" w:hAnsi="Arial" w:cs="Arial"/>
          <w:sz w:val="20"/>
        </w:rPr>
        <w:t>months of the eligible revenue period</w:t>
      </w:r>
      <w:r w:rsidR="00BF0F34">
        <w:rPr>
          <w:rFonts w:ascii="Arial" w:hAnsi="Arial" w:cs="Arial"/>
          <w:sz w:val="20"/>
        </w:rPr>
        <w:t>,</w:t>
      </w:r>
      <w:r w:rsidR="00DB1DC6" w:rsidRPr="0092230E">
        <w:rPr>
          <w:rFonts w:ascii="Arial" w:hAnsi="Arial" w:cs="Arial"/>
          <w:sz w:val="20"/>
        </w:rPr>
        <w:t xml:space="preserve"> </w:t>
      </w:r>
      <w:r w:rsidRPr="0092230E">
        <w:rPr>
          <w:rFonts w:ascii="Arial" w:hAnsi="Arial" w:cs="Arial"/>
          <w:sz w:val="20"/>
        </w:rPr>
        <w:t xml:space="preserve">the entity would be required to submit its own eligible revenue return under section </w:t>
      </w:r>
      <w:r w:rsidR="00FD1A92" w:rsidRPr="0092230E">
        <w:rPr>
          <w:rFonts w:ascii="Arial" w:hAnsi="Arial" w:cs="Arial"/>
          <w:sz w:val="20"/>
        </w:rPr>
        <w:t>43</w:t>
      </w:r>
      <w:r w:rsidRPr="0092230E">
        <w:rPr>
          <w:rFonts w:ascii="Arial" w:hAnsi="Arial" w:cs="Arial"/>
          <w:sz w:val="20"/>
        </w:rPr>
        <w:t xml:space="preserve"> of the Act. </w:t>
      </w:r>
    </w:p>
    <w:p w14:paraId="1BE9BBB0" w14:textId="1E8D1D1D" w:rsidR="0078705F" w:rsidRPr="0092230E" w:rsidRDefault="0078705F" w:rsidP="0078705F">
      <w:pPr>
        <w:pStyle w:val="ABABulletLevel1"/>
        <w:spacing w:after="120"/>
        <w:rPr>
          <w:rFonts w:ascii="Arial" w:hAnsi="Arial" w:cs="Arial"/>
          <w:sz w:val="20"/>
        </w:rPr>
      </w:pPr>
      <w:r w:rsidRPr="0092230E">
        <w:rPr>
          <w:rFonts w:ascii="Arial" w:hAnsi="Arial" w:cs="Arial"/>
          <w:sz w:val="20"/>
        </w:rPr>
        <w:t xml:space="preserve">If an entity is a declared related party in relation to a participating person for </w:t>
      </w:r>
      <w:r w:rsidR="00631E34" w:rsidRPr="0092230E">
        <w:rPr>
          <w:rFonts w:ascii="Arial" w:hAnsi="Arial" w:cs="Arial"/>
          <w:sz w:val="20"/>
        </w:rPr>
        <w:t xml:space="preserve">the whole or part of </w:t>
      </w:r>
      <w:r w:rsidRPr="0092230E">
        <w:rPr>
          <w:rFonts w:ascii="Arial" w:hAnsi="Arial" w:cs="Arial"/>
          <w:sz w:val="20"/>
        </w:rPr>
        <w:t xml:space="preserve">an eligible revenue period, a proportion of the telecommunications sales revenue (determined using the declared related party factor defined in section </w:t>
      </w:r>
      <w:r w:rsidR="009541F1">
        <w:rPr>
          <w:rFonts w:ascii="Arial" w:hAnsi="Arial" w:cs="Arial"/>
          <w:sz w:val="20"/>
        </w:rPr>
        <w:t>10</w:t>
      </w:r>
      <w:r w:rsidR="00BF0F34">
        <w:rPr>
          <w:rFonts w:ascii="Arial" w:hAnsi="Arial" w:cs="Arial"/>
          <w:sz w:val="20"/>
        </w:rPr>
        <w:t xml:space="preserve"> of the instrument</w:t>
      </w:r>
      <w:r w:rsidRPr="0092230E">
        <w:rPr>
          <w:rFonts w:ascii="Arial" w:hAnsi="Arial" w:cs="Arial"/>
          <w:sz w:val="20"/>
        </w:rPr>
        <w:t xml:space="preserve">) of that entity is added to the telecommunications sales revenue of the participating person and its consolidated related parties (if any). </w:t>
      </w:r>
    </w:p>
    <w:p w14:paraId="5A7575DD" w14:textId="77777777" w:rsidR="005F6B8D" w:rsidRPr="0092230E" w:rsidRDefault="005F6B8D" w:rsidP="00166F8A">
      <w:pPr>
        <w:pStyle w:val="ABABulletLevel1"/>
        <w:spacing w:after="120"/>
        <w:rPr>
          <w:rFonts w:ascii="Arial" w:hAnsi="Arial" w:cs="Arial"/>
          <w:b/>
          <w:sz w:val="20"/>
        </w:rPr>
      </w:pPr>
    </w:p>
    <w:p w14:paraId="473CE571" w14:textId="2133408B" w:rsidR="00166F8A" w:rsidRPr="0092230E" w:rsidRDefault="00166F8A" w:rsidP="00166F8A">
      <w:pPr>
        <w:pStyle w:val="ABABulletLevel1"/>
        <w:spacing w:after="120"/>
        <w:rPr>
          <w:rFonts w:ascii="Arial" w:hAnsi="Arial" w:cs="Arial"/>
          <w:b/>
          <w:sz w:val="20"/>
        </w:rPr>
      </w:pPr>
      <w:r w:rsidRPr="0092230E">
        <w:rPr>
          <w:rFonts w:ascii="Arial" w:hAnsi="Arial" w:cs="Arial"/>
          <w:b/>
          <w:sz w:val="20"/>
        </w:rPr>
        <w:t xml:space="preserve">Section </w:t>
      </w:r>
      <w:r w:rsidR="009541F1">
        <w:rPr>
          <w:rFonts w:ascii="Arial" w:hAnsi="Arial" w:cs="Arial"/>
          <w:b/>
          <w:sz w:val="20"/>
        </w:rPr>
        <w:t>9</w:t>
      </w:r>
      <w:r w:rsidRPr="0092230E">
        <w:rPr>
          <w:rFonts w:ascii="Arial" w:hAnsi="Arial" w:cs="Arial"/>
          <w:b/>
          <w:sz w:val="20"/>
        </w:rPr>
        <w:t xml:space="preserve"> – Meaning of </w:t>
      </w:r>
      <w:r w:rsidRPr="0092230E">
        <w:rPr>
          <w:rFonts w:ascii="Arial" w:hAnsi="Arial" w:cs="Arial"/>
          <w:b/>
          <w:i/>
          <w:sz w:val="20"/>
        </w:rPr>
        <w:t>declared related party—</w:t>
      </w:r>
      <w:r w:rsidRPr="0092230E">
        <w:rPr>
          <w:rFonts w:ascii="Arial" w:hAnsi="Arial" w:cs="Arial"/>
          <w:b/>
          <w:sz w:val="20"/>
        </w:rPr>
        <w:t>non-participating person</w:t>
      </w:r>
    </w:p>
    <w:p w14:paraId="063AFFBD" w14:textId="21C1C97A" w:rsidR="00166F8A" w:rsidRPr="0092230E" w:rsidRDefault="00166F8A" w:rsidP="0078705F">
      <w:pPr>
        <w:pStyle w:val="ABABulletLevel1"/>
        <w:spacing w:after="120"/>
        <w:rPr>
          <w:rFonts w:ascii="Arial" w:hAnsi="Arial" w:cs="Arial"/>
          <w:sz w:val="20"/>
        </w:rPr>
      </w:pPr>
      <w:r w:rsidRPr="0092230E">
        <w:rPr>
          <w:rFonts w:ascii="Arial" w:hAnsi="Arial" w:cs="Arial"/>
          <w:sz w:val="20"/>
        </w:rPr>
        <w:t xml:space="preserve">Section </w:t>
      </w:r>
      <w:r w:rsidR="009541F1">
        <w:rPr>
          <w:rFonts w:ascii="Arial" w:hAnsi="Arial" w:cs="Arial"/>
          <w:sz w:val="20"/>
        </w:rPr>
        <w:t>9</w:t>
      </w:r>
      <w:r w:rsidRPr="0092230E">
        <w:rPr>
          <w:rFonts w:ascii="Arial" w:hAnsi="Arial" w:cs="Arial"/>
          <w:sz w:val="20"/>
        </w:rPr>
        <w:t xml:space="preserve"> </w:t>
      </w:r>
      <w:r w:rsidR="00BF0F34">
        <w:rPr>
          <w:rFonts w:ascii="Arial" w:hAnsi="Arial" w:cs="Arial"/>
          <w:sz w:val="20"/>
        </w:rPr>
        <w:t xml:space="preserve">of the instrument </w:t>
      </w:r>
      <w:r w:rsidRPr="0092230E">
        <w:rPr>
          <w:rFonts w:ascii="Arial" w:hAnsi="Arial" w:cs="Arial"/>
          <w:sz w:val="20"/>
        </w:rPr>
        <w:t xml:space="preserve">defines a declared related party in relation to a non-participating person. The definition in section </w:t>
      </w:r>
      <w:r w:rsidR="009541F1">
        <w:rPr>
          <w:rFonts w:ascii="Arial" w:hAnsi="Arial" w:cs="Arial"/>
          <w:sz w:val="20"/>
        </w:rPr>
        <w:t>9</w:t>
      </w:r>
      <w:r w:rsidRPr="0092230E">
        <w:rPr>
          <w:rFonts w:ascii="Arial" w:hAnsi="Arial" w:cs="Arial"/>
          <w:sz w:val="20"/>
        </w:rPr>
        <w:t xml:space="preserve"> is in substantially the same terms as the definition in section </w:t>
      </w:r>
      <w:r w:rsidR="009541F1">
        <w:rPr>
          <w:rFonts w:ascii="Arial" w:hAnsi="Arial" w:cs="Arial"/>
          <w:sz w:val="20"/>
        </w:rPr>
        <w:t>8</w:t>
      </w:r>
      <w:r w:rsidR="00BF0F34">
        <w:rPr>
          <w:rFonts w:ascii="Arial" w:hAnsi="Arial" w:cs="Arial"/>
          <w:sz w:val="20"/>
        </w:rPr>
        <w:t xml:space="preserve"> of the instrument</w:t>
      </w:r>
      <w:r w:rsidRPr="0092230E">
        <w:rPr>
          <w:rFonts w:ascii="Arial" w:hAnsi="Arial" w:cs="Arial"/>
          <w:sz w:val="20"/>
        </w:rPr>
        <w:t>.</w:t>
      </w:r>
    </w:p>
    <w:p w14:paraId="6ECB646D" w14:textId="1C10FFFF" w:rsidR="00B1518E" w:rsidRPr="0092230E" w:rsidRDefault="005F6B8D" w:rsidP="0078705F">
      <w:pPr>
        <w:pStyle w:val="ABABulletLevel1"/>
        <w:spacing w:after="120"/>
        <w:rPr>
          <w:rFonts w:ascii="Arial" w:hAnsi="Arial" w:cs="Arial"/>
          <w:sz w:val="20"/>
        </w:rPr>
      </w:pPr>
      <w:r w:rsidRPr="0092230E">
        <w:rPr>
          <w:rFonts w:ascii="Arial" w:hAnsi="Arial" w:cs="Arial"/>
          <w:sz w:val="20"/>
        </w:rPr>
        <w:lastRenderedPageBreak/>
        <w:t xml:space="preserve">The term </w:t>
      </w:r>
      <w:r w:rsidR="004B217E">
        <w:rPr>
          <w:rFonts w:ascii="Arial" w:hAnsi="Arial" w:cs="Arial"/>
          <w:sz w:val="20"/>
        </w:rPr>
        <w:t>‘</w:t>
      </w:r>
      <w:r w:rsidRPr="0092230E">
        <w:rPr>
          <w:rFonts w:ascii="Arial" w:hAnsi="Arial" w:cs="Arial"/>
          <w:sz w:val="20"/>
        </w:rPr>
        <w:t>non-participating person</w:t>
      </w:r>
      <w:r w:rsidR="004B217E">
        <w:rPr>
          <w:rFonts w:ascii="Arial" w:hAnsi="Arial" w:cs="Arial"/>
          <w:sz w:val="20"/>
        </w:rPr>
        <w:t>’</w:t>
      </w:r>
      <w:r w:rsidR="006B1D87" w:rsidRPr="0092230E">
        <w:rPr>
          <w:rFonts w:ascii="Arial" w:hAnsi="Arial" w:cs="Arial"/>
          <w:sz w:val="20"/>
        </w:rPr>
        <w:t xml:space="preserve"> is defined </w:t>
      </w:r>
      <w:r w:rsidR="002B04F2">
        <w:rPr>
          <w:rFonts w:ascii="Arial" w:hAnsi="Arial" w:cs="Arial"/>
          <w:sz w:val="20"/>
        </w:rPr>
        <w:t xml:space="preserve">in section </w:t>
      </w:r>
      <w:r w:rsidR="00810D89">
        <w:rPr>
          <w:rFonts w:ascii="Arial" w:hAnsi="Arial" w:cs="Arial"/>
          <w:sz w:val="20"/>
        </w:rPr>
        <w:t xml:space="preserve">6 </w:t>
      </w:r>
      <w:r w:rsidR="002B04F2">
        <w:rPr>
          <w:rFonts w:ascii="Arial" w:hAnsi="Arial" w:cs="Arial"/>
          <w:sz w:val="20"/>
        </w:rPr>
        <w:t xml:space="preserve">of the instrument as </w:t>
      </w:r>
      <w:r w:rsidR="00921659" w:rsidRPr="00921659">
        <w:rPr>
          <w:rFonts w:ascii="Arial" w:hAnsi="Arial" w:cs="Arial"/>
          <w:sz w:val="20"/>
        </w:rPr>
        <w:t xml:space="preserve">a person who is exempt from section 44 of the </w:t>
      </w:r>
      <w:proofErr w:type="gramStart"/>
      <w:r w:rsidR="00921659" w:rsidRPr="00921659">
        <w:rPr>
          <w:rFonts w:ascii="Arial" w:hAnsi="Arial" w:cs="Arial"/>
          <w:sz w:val="20"/>
        </w:rPr>
        <w:t>Act, and</w:t>
      </w:r>
      <w:proofErr w:type="gramEnd"/>
      <w:r w:rsidR="00921659" w:rsidRPr="00921659">
        <w:rPr>
          <w:rFonts w:ascii="Arial" w:hAnsi="Arial" w:cs="Arial"/>
          <w:sz w:val="20"/>
        </w:rPr>
        <w:t xml:space="preserve"> is not required to give the ACMA an eligible revenue return, for that period because of a determination made under subsection 44(2) of the Act.</w:t>
      </w:r>
    </w:p>
    <w:p w14:paraId="2071A76A" w14:textId="6A60A31F" w:rsidR="00166F8A" w:rsidRPr="0092230E" w:rsidRDefault="006B1D87" w:rsidP="0078705F">
      <w:pPr>
        <w:pStyle w:val="ABABulletLevel1"/>
        <w:spacing w:after="120"/>
        <w:rPr>
          <w:rFonts w:ascii="Arial" w:hAnsi="Arial" w:cs="Arial"/>
          <w:sz w:val="20"/>
        </w:rPr>
      </w:pPr>
      <w:r w:rsidRPr="0092230E">
        <w:rPr>
          <w:rFonts w:ascii="Arial" w:hAnsi="Arial" w:cs="Arial"/>
          <w:sz w:val="20"/>
        </w:rPr>
        <w:t xml:space="preserve"> </w:t>
      </w:r>
      <w:r w:rsidR="005F6B8D" w:rsidRPr="0092230E">
        <w:rPr>
          <w:rFonts w:ascii="Arial" w:hAnsi="Arial" w:cs="Arial"/>
          <w:sz w:val="20"/>
        </w:rPr>
        <w:t xml:space="preserve"> </w:t>
      </w:r>
      <w:r w:rsidR="00C02537">
        <w:rPr>
          <w:rFonts w:ascii="Arial" w:hAnsi="Arial" w:cs="Arial"/>
          <w:sz w:val="20"/>
        </w:rPr>
        <w:t xml:space="preserve"> </w:t>
      </w:r>
    </w:p>
    <w:p w14:paraId="4330585C" w14:textId="0CE36ABB" w:rsidR="00805DAC" w:rsidRPr="0092230E" w:rsidRDefault="00805DAC" w:rsidP="003C6646">
      <w:pPr>
        <w:pStyle w:val="ABABulletLevel1"/>
        <w:keepNext/>
        <w:spacing w:after="120"/>
        <w:rPr>
          <w:rFonts w:ascii="Arial" w:hAnsi="Arial" w:cs="Arial"/>
          <w:b/>
          <w:sz w:val="20"/>
        </w:rPr>
      </w:pPr>
      <w:r w:rsidRPr="00B319C1">
        <w:rPr>
          <w:rFonts w:ascii="Arial" w:hAnsi="Arial" w:cs="Arial"/>
          <w:b/>
          <w:sz w:val="20"/>
        </w:rPr>
        <w:t xml:space="preserve">Section </w:t>
      </w:r>
      <w:r w:rsidR="00A01DDE" w:rsidRPr="00B319C1">
        <w:rPr>
          <w:rFonts w:ascii="Arial" w:hAnsi="Arial" w:cs="Arial"/>
          <w:b/>
          <w:sz w:val="20"/>
        </w:rPr>
        <w:t>10</w:t>
      </w:r>
      <w:r w:rsidR="00E755D3" w:rsidRPr="00B319C1">
        <w:rPr>
          <w:rFonts w:ascii="Arial" w:hAnsi="Arial" w:cs="Arial"/>
          <w:b/>
          <w:sz w:val="20"/>
        </w:rPr>
        <w:t xml:space="preserve"> </w:t>
      </w:r>
      <w:r w:rsidRPr="00B319C1">
        <w:rPr>
          <w:rFonts w:ascii="Arial" w:hAnsi="Arial" w:cs="Arial"/>
          <w:b/>
          <w:sz w:val="20"/>
        </w:rPr>
        <w:t xml:space="preserve">– </w:t>
      </w:r>
      <w:r w:rsidR="00B850D4" w:rsidRPr="00B319C1">
        <w:rPr>
          <w:rFonts w:ascii="Arial" w:hAnsi="Arial" w:cs="Arial"/>
          <w:b/>
          <w:sz w:val="20"/>
        </w:rPr>
        <w:t xml:space="preserve">Meaning of </w:t>
      </w:r>
      <w:r w:rsidR="00B850D4" w:rsidRPr="00B319C1">
        <w:rPr>
          <w:rFonts w:ascii="Arial" w:hAnsi="Arial" w:cs="Arial"/>
          <w:b/>
          <w:i/>
          <w:sz w:val="20"/>
        </w:rPr>
        <w:t>declared related party factor</w:t>
      </w:r>
    </w:p>
    <w:p w14:paraId="30BAACDF" w14:textId="119C3963" w:rsidR="000E580E" w:rsidRPr="0092230E" w:rsidRDefault="00152B8D" w:rsidP="00805DAC">
      <w:pPr>
        <w:pStyle w:val="ABABulletLevel1"/>
        <w:spacing w:after="120"/>
        <w:rPr>
          <w:rFonts w:ascii="Arial" w:hAnsi="Arial" w:cs="Arial"/>
          <w:sz w:val="20"/>
        </w:rPr>
      </w:pPr>
      <w:r w:rsidRPr="0092230E">
        <w:rPr>
          <w:rFonts w:ascii="Arial" w:hAnsi="Arial" w:cs="Arial"/>
          <w:sz w:val="20"/>
        </w:rPr>
        <w:t xml:space="preserve">Section </w:t>
      </w:r>
      <w:r w:rsidR="00A01DDE">
        <w:rPr>
          <w:rFonts w:ascii="Arial" w:hAnsi="Arial" w:cs="Arial"/>
          <w:sz w:val="20"/>
        </w:rPr>
        <w:t>10</w:t>
      </w:r>
      <w:r w:rsidR="00E755D3" w:rsidRPr="0092230E">
        <w:rPr>
          <w:rFonts w:ascii="Arial" w:hAnsi="Arial" w:cs="Arial"/>
          <w:sz w:val="20"/>
        </w:rPr>
        <w:t xml:space="preserve"> </w:t>
      </w:r>
      <w:r w:rsidR="00BF0F34">
        <w:rPr>
          <w:rFonts w:ascii="Arial" w:hAnsi="Arial" w:cs="Arial"/>
          <w:sz w:val="20"/>
        </w:rPr>
        <w:t xml:space="preserve">of the instrument </w:t>
      </w:r>
      <w:r w:rsidR="000E580E" w:rsidRPr="0092230E">
        <w:rPr>
          <w:rFonts w:ascii="Arial" w:hAnsi="Arial" w:cs="Arial"/>
          <w:sz w:val="20"/>
        </w:rPr>
        <w:t xml:space="preserve">sets out how to determine the </w:t>
      </w:r>
      <w:r w:rsidRPr="0092230E">
        <w:rPr>
          <w:rFonts w:ascii="Arial" w:hAnsi="Arial" w:cs="Arial"/>
          <w:sz w:val="20"/>
        </w:rPr>
        <w:t xml:space="preserve">‘declared related party factor’ </w:t>
      </w:r>
      <w:r w:rsidR="000E580E" w:rsidRPr="0092230E">
        <w:rPr>
          <w:rFonts w:ascii="Arial" w:hAnsi="Arial" w:cs="Arial"/>
          <w:sz w:val="20"/>
        </w:rPr>
        <w:t xml:space="preserve">of a declared related party </w:t>
      </w:r>
      <w:r w:rsidRPr="0092230E">
        <w:rPr>
          <w:rFonts w:ascii="Arial" w:hAnsi="Arial" w:cs="Arial"/>
          <w:sz w:val="20"/>
        </w:rPr>
        <w:t>in relation to a participating perso</w:t>
      </w:r>
      <w:r w:rsidR="000E580E" w:rsidRPr="0092230E">
        <w:rPr>
          <w:rFonts w:ascii="Arial" w:hAnsi="Arial" w:cs="Arial"/>
          <w:sz w:val="20"/>
        </w:rPr>
        <w:t>n or a</w:t>
      </w:r>
      <w:r w:rsidRPr="0092230E">
        <w:rPr>
          <w:rFonts w:ascii="Arial" w:hAnsi="Arial" w:cs="Arial"/>
          <w:sz w:val="20"/>
        </w:rPr>
        <w:t xml:space="preserve"> non-participating person. The declared related party factor is used to determine the proportion of </w:t>
      </w:r>
      <w:r w:rsidR="000E580E" w:rsidRPr="0092230E">
        <w:rPr>
          <w:rFonts w:ascii="Arial" w:hAnsi="Arial" w:cs="Arial"/>
          <w:sz w:val="20"/>
        </w:rPr>
        <w:t xml:space="preserve">a </w:t>
      </w:r>
      <w:r w:rsidRPr="0092230E">
        <w:rPr>
          <w:rFonts w:ascii="Arial" w:hAnsi="Arial" w:cs="Arial"/>
          <w:sz w:val="20"/>
        </w:rPr>
        <w:t xml:space="preserve">declared related party’s revenue </w:t>
      </w:r>
      <w:r w:rsidR="000E580E" w:rsidRPr="0092230E">
        <w:rPr>
          <w:rFonts w:ascii="Arial" w:hAnsi="Arial" w:cs="Arial"/>
          <w:sz w:val="20"/>
        </w:rPr>
        <w:t>(</w:t>
      </w:r>
      <w:r w:rsidRPr="0092230E">
        <w:rPr>
          <w:rFonts w:ascii="Arial" w:hAnsi="Arial" w:cs="Arial"/>
          <w:sz w:val="20"/>
        </w:rPr>
        <w:t xml:space="preserve">and </w:t>
      </w:r>
      <w:r w:rsidR="000E580E" w:rsidRPr="0092230E">
        <w:rPr>
          <w:rFonts w:ascii="Arial" w:hAnsi="Arial" w:cs="Arial"/>
          <w:sz w:val="20"/>
        </w:rPr>
        <w:t xml:space="preserve">the proportion of any applicable </w:t>
      </w:r>
      <w:r w:rsidRPr="0092230E">
        <w:rPr>
          <w:rFonts w:ascii="Arial" w:hAnsi="Arial" w:cs="Arial"/>
          <w:sz w:val="20"/>
        </w:rPr>
        <w:t>deductions</w:t>
      </w:r>
      <w:r w:rsidR="000E580E" w:rsidRPr="0092230E">
        <w:rPr>
          <w:rFonts w:ascii="Arial" w:hAnsi="Arial" w:cs="Arial"/>
          <w:sz w:val="20"/>
        </w:rPr>
        <w:t>)</w:t>
      </w:r>
      <w:r w:rsidRPr="0092230E">
        <w:rPr>
          <w:rFonts w:ascii="Arial" w:hAnsi="Arial" w:cs="Arial"/>
          <w:sz w:val="20"/>
        </w:rPr>
        <w:t xml:space="preserve"> that must be included</w:t>
      </w:r>
      <w:r w:rsidR="000E580E" w:rsidRPr="0092230E">
        <w:rPr>
          <w:rFonts w:ascii="Arial" w:hAnsi="Arial" w:cs="Arial"/>
          <w:sz w:val="20"/>
        </w:rPr>
        <w:t xml:space="preserve"> (or in the case of deductions, excluded)</w:t>
      </w:r>
      <w:r w:rsidRPr="0092230E">
        <w:rPr>
          <w:rFonts w:ascii="Arial" w:hAnsi="Arial" w:cs="Arial"/>
          <w:sz w:val="20"/>
        </w:rPr>
        <w:t xml:space="preserve"> in calculating </w:t>
      </w:r>
      <w:r w:rsidR="000E580E" w:rsidRPr="0092230E">
        <w:rPr>
          <w:rFonts w:ascii="Arial" w:hAnsi="Arial" w:cs="Arial"/>
          <w:sz w:val="20"/>
        </w:rPr>
        <w:t xml:space="preserve">the eligible revenue of the </w:t>
      </w:r>
      <w:r w:rsidRPr="0092230E">
        <w:rPr>
          <w:rFonts w:ascii="Arial" w:hAnsi="Arial" w:cs="Arial"/>
          <w:sz w:val="20"/>
        </w:rPr>
        <w:t>person</w:t>
      </w:r>
      <w:r w:rsidR="000C0DAF" w:rsidRPr="0092230E">
        <w:rPr>
          <w:rFonts w:ascii="Arial" w:hAnsi="Arial" w:cs="Arial"/>
          <w:sz w:val="20"/>
        </w:rPr>
        <w:t xml:space="preserve"> in relation</w:t>
      </w:r>
      <w:r w:rsidR="000E580E" w:rsidRPr="0092230E">
        <w:rPr>
          <w:rFonts w:ascii="Arial" w:hAnsi="Arial" w:cs="Arial"/>
          <w:sz w:val="20"/>
        </w:rPr>
        <w:t xml:space="preserve"> to whom the entity is a declared related party</w:t>
      </w:r>
      <w:r w:rsidR="00F411C9" w:rsidRPr="0092230E">
        <w:rPr>
          <w:rFonts w:ascii="Arial" w:hAnsi="Arial" w:cs="Arial"/>
          <w:sz w:val="20"/>
        </w:rPr>
        <w:t>. The formula</w:t>
      </w:r>
      <w:r w:rsidR="00E755D3" w:rsidRPr="0092230E">
        <w:rPr>
          <w:rFonts w:ascii="Arial" w:hAnsi="Arial" w:cs="Arial"/>
          <w:sz w:val="20"/>
        </w:rPr>
        <w:t>e</w:t>
      </w:r>
      <w:r w:rsidR="00F411C9" w:rsidRPr="0092230E">
        <w:rPr>
          <w:rFonts w:ascii="Arial" w:hAnsi="Arial" w:cs="Arial"/>
          <w:sz w:val="20"/>
        </w:rPr>
        <w:t xml:space="preserve"> to be used to calculate the declared related party factor </w:t>
      </w:r>
      <w:r w:rsidR="00E755D3" w:rsidRPr="0092230E">
        <w:rPr>
          <w:rFonts w:ascii="Arial" w:hAnsi="Arial" w:cs="Arial"/>
          <w:sz w:val="20"/>
        </w:rPr>
        <w:t>are</w:t>
      </w:r>
      <w:r w:rsidR="00F411C9" w:rsidRPr="0092230E">
        <w:rPr>
          <w:rFonts w:ascii="Arial" w:hAnsi="Arial" w:cs="Arial"/>
          <w:sz w:val="20"/>
        </w:rPr>
        <w:t>:</w:t>
      </w:r>
    </w:p>
    <w:p w14:paraId="0486ACA0" w14:textId="77777777" w:rsidR="00702C3D" w:rsidRPr="0092230E" w:rsidRDefault="00E755D3">
      <w:pPr>
        <w:pStyle w:val="ABABulletLevel1"/>
        <w:numPr>
          <w:ilvl w:val="0"/>
          <w:numId w:val="20"/>
        </w:numPr>
        <w:spacing w:after="120"/>
        <w:rPr>
          <w:rFonts w:ascii="Arial" w:hAnsi="Arial" w:cs="Arial"/>
          <w:sz w:val="20"/>
        </w:rPr>
      </w:pPr>
      <w:r w:rsidRPr="0092230E">
        <w:rPr>
          <w:rFonts w:ascii="Arial" w:hAnsi="Arial" w:cs="Arial"/>
          <w:sz w:val="20"/>
        </w:rPr>
        <w:t>p</w:t>
      </w:r>
      <w:r w:rsidR="00F411C9" w:rsidRPr="0092230E">
        <w:rPr>
          <w:rFonts w:ascii="Arial" w:hAnsi="Arial" w:cs="Arial"/>
          <w:sz w:val="20"/>
        </w:rPr>
        <w:t>articipating person</w:t>
      </w:r>
      <w:r w:rsidRPr="0092230E">
        <w:rPr>
          <w:rFonts w:ascii="Arial" w:hAnsi="Arial" w:cs="Arial"/>
          <w:sz w:val="20"/>
        </w:rPr>
        <w:t xml:space="preserve"> interest</w:t>
      </w:r>
      <w:r w:rsidR="00F411C9" w:rsidRPr="0092230E">
        <w:rPr>
          <w:rFonts w:ascii="Arial" w:hAnsi="Arial" w:cs="Arial"/>
          <w:sz w:val="20"/>
        </w:rPr>
        <w:t xml:space="preserve"> </w:t>
      </w:r>
      <w:r w:rsidR="006747D9" w:rsidRPr="0092230E">
        <w:rPr>
          <w:rFonts w:ascii="Arial" w:hAnsi="Arial" w:cs="Arial"/>
          <w:sz w:val="20"/>
        </w:rPr>
        <w:t xml:space="preserve">  </w:t>
      </w:r>
      <w:r w:rsidR="00F411C9" w:rsidRPr="0092230E">
        <w:rPr>
          <w:rFonts w:ascii="Arial" w:hAnsi="Arial" w:cs="Arial"/>
          <w:sz w:val="20"/>
        </w:rPr>
        <w:t>x</w:t>
      </w:r>
      <w:r w:rsidR="006747D9" w:rsidRPr="0092230E">
        <w:rPr>
          <w:rFonts w:ascii="Arial" w:hAnsi="Arial" w:cs="Arial"/>
          <w:sz w:val="20"/>
        </w:rPr>
        <w:t xml:space="preserve"> </w:t>
      </w:r>
      <w:r w:rsidR="00F411C9" w:rsidRPr="0092230E">
        <w:rPr>
          <w:rFonts w:ascii="Arial" w:hAnsi="Arial" w:cs="Arial"/>
          <w:sz w:val="20"/>
        </w:rPr>
        <w:t xml:space="preserve"> </w:t>
      </w:r>
      <w:r w:rsidR="006747D9" w:rsidRPr="0092230E">
        <w:rPr>
          <w:rFonts w:ascii="Arial" w:hAnsi="Arial" w:cs="Arial"/>
          <w:sz w:val="20"/>
        </w:rPr>
        <w:t xml:space="preserve"> </w:t>
      </w:r>
      <w:r w:rsidR="00F411C9" w:rsidRPr="0092230E">
        <w:rPr>
          <w:rFonts w:ascii="Arial" w:hAnsi="Arial" w:cs="Arial"/>
          <w:sz w:val="20"/>
        </w:rPr>
        <w:t>party interest</w:t>
      </w:r>
      <w:r w:rsidRPr="0092230E">
        <w:rPr>
          <w:rFonts w:ascii="Arial" w:hAnsi="Arial" w:cs="Arial"/>
          <w:sz w:val="20"/>
        </w:rPr>
        <w:t>; or</w:t>
      </w:r>
    </w:p>
    <w:p w14:paraId="3D991FC9" w14:textId="77777777" w:rsidR="00702C3D" w:rsidRPr="0092230E" w:rsidRDefault="00E755D3">
      <w:pPr>
        <w:pStyle w:val="ABABulletLevel1"/>
        <w:numPr>
          <w:ilvl w:val="0"/>
          <w:numId w:val="20"/>
        </w:numPr>
        <w:spacing w:after="120"/>
        <w:rPr>
          <w:rFonts w:ascii="Arial" w:hAnsi="Arial" w:cs="Arial"/>
          <w:sz w:val="20"/>
        </w:rPr>
      </w:pPr>
      <w:r w:rsidRPr="0092230E">
        <w:rPr>
          <w:rFonts w:ascii="Arial" w:hAnsi="Arial" w:cs="Arial"/>
          <w:sz w:val="20"/>
        </w:rPr>
        <w:t xml:space="preserve">non-participating person interest </w:t>
      </w:r>
      <w:r w:rsidR="006747D9" w:rsidRPr="0092230E">
        <w:rPr>
          <w:rFonts w:ascii="Arial" w:hAnsi="Arial" w:cs="Arial"/>
          <w:sz w:val="20"/>
        </w:rPr>
        <w:t xml:space="preserve">  </w:t>
      </w:r>
      <w:r w:rsidRPr="0092230E">
        <w:rPr>
          <w:rFonts w:ascii="Arial" w:hAnsi="Arial" w:cs="Arial"/>
          <w:sz w:val="20"/>
        </w:rPr>
        <w:t xml:space="preserve">x </w:t>
      </w:r>
      <w:r w:rsidR="006747D9" w:rsidRPr="0092230E">
        <w:rPr>
          <w:rFonts w:ascii="Arial" w:hAnsi="Arial" w:cs="Arial"/>
          <w:sz w:val="20"/>
        </w:rPr>
        <w:t xml:space="preserve">  </w:t>
      </w:r>
      <w:r w:rsidRPr="0092230E">
        <w:rPr>
          <w:rFonts w:ascii="Arial" w:hAnsi="Arial" w:cs="Arial"/>
          <w:sz w:val="20"/>
        </w:rPr>
        <w:t>party interest.</w:t>
      </w:r>
    </w:p>
    <w:p w14:paraId="36653B8F" w14:textId="77777777" w:rsidR="00F411C9" w:rsidRPr="0092230E" w:rsidRDefault="00F411C9" w:rsidP="00805DAC">
      <w:pPr>
        <w:pStyle w:val="ABABulletLevel1"/>
        <w:spacing w:after="120"/>
        <w:rPr>
          <w:rFonts w:ascii="Arial" w:hAnsi="Arial" w:cs="Arial"/>
          <w:sz w:val="20"/>
        </w:rPr>
      </w:pPr>
      <w:r w:rsidRPr="0092230E">
        <w:rPr>
          <w:rFonts w:ascii="Arial" w:hAnsi="Arial" w:cs="Arial"/>
          <w:sz w:val="20"/>
        </w:rPr>
        <w:t>The participating person</w:t>
      </w:r>
      <w:r w:rsidR="00E755D3" w:rsidRPr="0092230E">
        <w:rPr>
          <w:rFonts w:ascii="Arial" w:hAnsi="Arial" w:cs="Arial"/>
          <w:sz w:val="20"/>
        </w:rPr>
        <w:t xml:space="preserve"> interest</w:t>
      </w:r>
      <w:r w:rsidRPr="0092230E">
        <w:rPr>
          <w:rFonts w:ascii="Arial" w:hAnsi="Arial" w:cs="Arial"/>
          <w:sz w:val="20"/>
        </w:rPr>
        <w:t xml:space="preserve"> or non-</w:t>
      </w:r>
      <w:r w:rsidR="00D4160A" w:rsidRPr="0092230E">
        <w:rPr>
          <w:rFonts w:ascii="Arial" w:hAnsi="Arial" w:cs="Arial"/>
          <w:sz w:val="20"/>
        </w:rPr>
        <w:t>participating</w:t>
      </w:r>
      <w:r w:rsidRPr="0092230E">
        <w:rPr>
          <w:rFonts w:ascii="Arial" w:hAnsi="Arial" w:cs="Arial"/>
          <w:sz w:val="20"/>
        </w:rPr>
        <w:t xml:space="preserve"> person interest is the proportion of the participating or non-participating person that is owned by the same body that owns the declared related party of the participating or non-participating </w:t>
      </w:r>
      <w:proofErr w:type="gramStart"/>
      <w:r w:rsidRPr="0092230E">
        <w:rPr>
          <w:rFonts w:ascii="Arial" w:hAnsi="Arial" w:cs="Arial"/>
          <w:sz w:val="20"/>
        </w:rPr>
        <w:t>person, as the case may be</w:t>
      </w:r>
      <w:proofErr w:type="gramEnd"/>
      <w:r w:rsidRPr="0092230E">
        <w:rPr>
          <w:rFonts w:ascii="Arial" w:hAnsi="Arial" w:cs="Arial"/>
          <w:sz w:val="20"/>
        </w:rPr>
        <w:t xml:space="preserve">. </w:t>
      </w:r>
    </w:p>
    <w:p w14:paraId="64AAB91C" w14:textId="12C87A63" w:rsidR="00F411C9" w:rsidRPr="003C6646" w:rsidRDefault="00F411C9" w:rsidP="00805DAC">
      <w:pPr>
        <w:pStyle w:val="ABABulletLevel1"/>
        <w:spacing w:after="120"/>
        <w:rPr>
          <w:rFonts w:ascii="Arial" w:hAnsi="Arial" w:cs="Arial"/>
          <w:i/>
          <w:iCs/>
          <w:sz w:val="20"/>
        </w:rPr>
      </w:pPr>
      <w:r w:rsidRPr="0092230E">
        <w:rPr>
          <w:rFonts w:ascii="Arial" w:hAnsi="Arial" w:cs="Arial"/>
          <w:sz w:val="20"/>
        </w:rPr>
        <w:t xml:space="preserve">The ‘party interest’ is the proportion of the declared related party that is owned by the same body that owns the participating person or non-participating person. </w:t>
      </w:r>
      <w:r w:rsidR="00645760">
        <w:rPr>
          <w:rFonts w:ascii="Arial" w:hAnsi="Arial" w:cs="Arial"/>
          <w:sz w:val="20"/>
        </w:rPr>
        <w:t xml:space="preserve">Where </w:t>
      </w:r>
      <w:r w:rsidR="000F635B">
        <w:rPr>
          <w:rFonts w:ascii="Arial" w:hAnsi="Arial" w:cs="Arial"/>
          <w:sz w:val="20"/>
        </w:rPr>
        <w:t xml:space="preserve">there is more than one body that owns the participating person or non-participating person, </w:t>
      </w:r>
      <w:r w:rsidR="006C230F">
        <w:rPr>
          <w:rFonts w:ascii="Arial" w:hAnsi="Arial" w:cs="Arial"/>
          <w:sz w:val="20"/>
        </w:rPr>
        <w:t xml:space="preserve">the </w:t>
      </w:r>
      <w:r w:rsidR="008851F1">
        <w:rPr>
          <w:rFonts w:ascii="Arial" w:hAnsi="Arial" w:cs="Arial"/>
          <w:sz w:val="20"/>
        </w:rPr>
        <w:t xml:space="preserve">proportion is </w:t>
      </w:r>
      <w:r w:rsidR="00C81BC4">
        <w:rPr>
          <w:rFonts w:ascii="Arial" w:hAnsi="Arial" w:cs="Arial"/>
          <w:sz w:val="20"/>
        </w:rPr>
        <w:t xml:space="preserve">to be based on </w:t>
      </w:r>
      <w:r w:rsidR="008851F1">
        <w:rPr>
          <w:rFonts w:ascii="Arial" w:hAnsi="Arial" w:cs="Arial"/>
          <w:sz w:val="20"/>
        </w:rPr>
        <w:t xml:space="preserve">the </w:t>
      </w:r>
      <w:r w:rsidR="006C230F">
        <w:rPr>
          <w:rFonts w:ascii="Arial" w:hAnsi="Arial" w:cs="Arial"/>
          <w:sz w:val="20"/>
        </w:rPr>
        <w:t xml:space="preserve">body that has the </w:t>
      </w:r>
      <w:r w:rsidR="008851F1">
        <w:rPr>
          <w:rFonts w:ascii="Arial" w:hAnsi="Arial" w:cs="Arial"/>
          <w:sz w:val="20"/>
        </w:rPr>
        <w:t xml:space="preserve">largest or most significant </w:t>
      </w:r>
      <w:r w:rsidR="006C230F">
        <w:rPr>
          <w:rFonts w:ascii="Arial" w:hAnsi="Arial" w:cs="Arial"/>
          <w:sz w:val="20"/>
        </w:rPr>
        <w:t>company interest in the declared related party</w:t>
      </w:r>
      <w:r w:rsidR="00C81BC4">
        <w:rPr>
          <w:rFonts w:ascii="Arial" w:hAnsi="Arial" w:cs="Arial"/>
          <w:sz w:val="20"/>
        </w:rPr>
        <w:t xml:space="preserve">. A note at the end of the section makes it clear that the company interest may be traced in the same way as company interests may be traced under Part 4 of Schedule 1 to the </w:t>
      </w:r>
      <w:r w:rsidR="00774F54">
        <w:rPr>
          <w:rFonts w:ascii="Arial" w:hAnsi="Arial" w:cs="Arial"/>
          <w:i/>
          <w:iCs/>
          <w:sz w:val="20"/>
        </w:rPr>
        <w:t xml:space="preserve">Broadcasting Services Act 1992. </w:t>
      </w:r>
    </w:p>
    <w:p w14:paraId="048C510D" w14:textId="77777777" w:rsidR="00F411C9" w:rsidRPr="0092230E" w:rsidRDefault="00F411C9" w:rsidP="00805DAC">
      <w:pPr>
        <w:pStyle w:val="ABABulletLevel1"/>
        <w:spacing w:after="120"/>
        <w:rPr>
          <w:rFonts w:ascii="Arial" w:hAnsi="Arial" w:cs="Arial"/>
          <w:sz w:val="20"/>
        </w:rPr>
      </w:pPr>
      <w:r w:rsidRPr="0092230E">
        <w:rPr>
          <w:rFonts w:ascii="Arial" w:hAnsi="Arial" w:cs="Arial"/>
          <w:sz w:val="20"/>
        </w:rPr>
        <w:t xml:space="preserve">The following examples illustrate how the </w:t>
      </w:r>
      <w:r w:rsidR="00BC24CA" w:rsidRPr="0092230E">
        <w:rPr>
          <w:rFonts w:ascii="Arial" w:hAnsi="Arial" w:cs="Arial"/>
          <w:sz w:val="20"/>
        </w:rPr>
        <w:t>declared related party factor is determined</w:t>
      </w:r>
      <w:r w:rsidRPr="0092230E">
        <w:rPr>
          <w:rFonts w:ascii="Arial" w:hAnsi="Arial" w:cs="Arial"/>
          <w:sz w:val="20"/>
        </w:rPr>
        <w:t>:</w:t>
      </w:r>
    </w:p>
    <w:p w14:paraId="160E0617" w14:textId="1E227D56" w:rsidR="003C4F7A" w:rsidRPr="0092230E" w:rsidRDefault="00476373" w:rsidP="00F411C9">
      <w:pPr>
        <w:pStyle w:val="ABABulletLevel1"/>
        <w:spacing w:after="120"/>
        <w:rPr>
          <w:rFonts w:ascii="Arial" w:hAnsi="Arial" w:cs="Arial"/>
          <w:sz w:val="20"/>
        </w:rPr>
      </w:pPr>
      <w:r w:rsidRPr="0092230E">
        <w:rPr>
          <w:rFonts w:ascii="Arial" w:hAnsi="Arial" w:cs="Arial"/>
          <w:i/>
          <w:sz w:val="20"/>
        </w:rPr>
        <w:t>Example 1</w:t>
      </w:r>
      <w:r w:rsidR="00F411C9" w:rsidRPr="0092230E">
        <w:rPr>
          <w:rFonts w:ascii="Arial" w:hAnsi="Arial" w:cs="Arial"/>
          <w:sz w:val="20"/>
        </w:rPr>
        <w:t>:</w:t>
      </w:r>
      <w:r w:rsidR="00DA4BE9" w:rsidRPr="0092230E">
        <w:rPr>
          <w:rFonts w:ascii="Arial" w:hAnsi="Arial" w:cs="Arial"/>
          <w:sz w:val="20"/>
        </w:rPr>
        <w:t xml:space="preserve"> </w:t>
      </w:r>
      <w:r w:rsidR="003C4F7A" w:rsidRPr="0092230E">
        <w:rPr>
          <w:rFonts w:ascii="Arial" w:hAnsi="Arial" w:cs="Arial"/>
          <w:sz w:val="20"/>
        </w:rPr>
        <w:t xml:space="preserve">Entity A wholly (100 per cent) owns </w:t>
      </w:r>
      <w:r w:rsidR="00EB7F8B" w:rsidRPr="0092230E">
        <w:rPr>
          <w:rFonts w:ascii="Arial" w:hAnsi="Arial" w:cs="Arial"/>
          <w:sz w:val="20"/>
        </w:rPr>
        <w:t>E</w:t>
      </w:r>
      <w:r w:rsidR="003C4F7A" w:rsidRPr="0092230E">
        <w:rPr>
          <w:rFonts w:ascii="Arial" w:hAnsi="Arial" w:cs="Arial"/>
          <w:sz w:val="20"/>
        </w:rPr>
        <w:t>ntity B</w:t>
      </w:r>
      <w:r w:rsidR="0058708A" w:rsidRPr="0092230E">
        <w:rPr>
          <w:rFonts w:ascii="Arial" w:hAnsi="Arial" w:cs="Arial"/>
          <w:sz w:val="20"/>
        </w:rPr>
        <w:t xml:space="preserve">, which is a participating person, and </w:t>
      </w:r>
      <w:r w:rsidR="00EB7F8B" w:rsidRPr="0092230E">
        <w:rPr>
          <w:rFonts w:ascii="Arial" w:hAnsi="Arial" w:cs="Arial"/>
          <w:sz w:val="20"/>
        </w:rPr>
        <w:t>E</w:t>
      </w:r>
      <w:r w:rsidR="0058708A" w:rsidRPr="0092230E">
        <w:rPr>
          <w:rFonts w:ascii="Arial" w:hAnsi="Arial" w:cs="Arial"/>
          <w:sz w:val="20"/>
        </w:rPr>
        <w:t xml:space="preserve">ntity A also owns half (50 per cent) of </w:t>
      </w:r>
      <w:r w:rsidR="00EB7F8B" w:rsidRPr="0092230E">
        <w:rPr>
          <w:rFonts w:ascii="Arial" w:hAnsi="Arial" w:cs="Arial"/>
          <w:sz w:val="20"/>
        </w:rPr>
        <w:t>E</w:t>
      </w:r>
      <w:r w:rsidR="0058708A" w:rsidRPr="0092230E">
        <w:rPr>
          <w:rFonts w:ascii="Arial" w:hAnsi="Arial" w:cs="Arial"/>
          <w:sz w:val="20"/>
        </w:rPr>
        <w:t>ntity C. Entity C</w:t>
      </w:r>
      <w:r w:rsidR="00BC24CA" w:rsidRPr="0092230E">
        <w:rPr>
          <w:rFonts w:ascii="Arial" w:hAnsi="Arial" w:cs="Arial"/>
          <w:sz w:val="20"/>
        </w:rPr>
        <w:t xml:space="preserve"> (under subsection </w:t>
      </w:r>
      <w:r w:rsidR="00FF6569">
        <w:rPr>
          <w:rFonts w:ascii="Arial" w:hAnsi="Arial" w:cs="Arial"/>
          <w:sz w:val="20"/>
        </w:rPr>
        <w:t>8</w:t>
      </w:r>
      <w:r w:rsidR="00BC24CA" w:rsidRPr="0092230E">
        <w:rPr>
          <w:rFonts w:ascii="Arial" w:hAnsi="Arial" w:cs="Arial"/>
          <w:sz w:val="20"/>
        </w:rPr>
        <w:t>(1))</w:t>
      </w:r>
      <w:r w:rsidR="0058708A" w:rsidRPr="0092230E">
        <w:rPr>
          <w:rFonts w:ascii="Arial" w:hAnsi="Arial" w:cs="Arial"/>
          <w:sz w:val="20"/>
        </w:rPr>
        <w:t xml:space="preserve"> is a declared related party of </w:t>
      </w:r>
      <w:r w:rsidR="00EB7F8B" w:rsidRPr="0092230E">
        <w:rPr>
          <w:rFonts w:ascii="Arial" w:hAnsi="Arial" w:cs="Arial"/>
          <w:sz w:val="20"/>
        </w:rPr>
        <w:t>E</w:t>
      </w:r>
      <w:r w:rsidR="0058708A" w:rsidRPr="0092230E">
        <w:rPr>
          <w:rFonts w:ascii="Arial" w:hAnsi="Arial" w:cs="Arial"/>
          <w:sz w:val="20"/>
        </w:rPr>
        <w:t>ntity B, the participating person</w:t>
      </w:r>
      <w:r w:rsidR="00E13D3A" w:rsidRPr="0092230E">
        <w:rPr>
          <w:rFonts w:ascii="Arial" w:hAnsi="Arial" w:cs="Arial"/>
          <w:sz w:val="20"/>
        </w:rPr>
        <w:t>,</w:t>
      </w:r>
      <w:r w:rsidR="00BC24CA" w:rsidRPr="0092230E">
        <w:rPr>
          <w:rFonts w:ascii="Arial" w:hAnsi="Arial" w:cs="Arial"/>
          <w:sz w:val="20"/>
        </w:rPr>
        <w:t xml:space="preserve"> for the whole of the eligible revenue period</w:t>
      </w:r>
      <w:r w:rsidR="0058708A" w:rsidRPr="0092230E">
        <w:rPr>
          <w:rFonts w:ascii="Arial" w:hAnsi="Arial" w:cs="Arial"/>
          <w:sz w:val="20"/>
        </w:rPr>
        <w:t>. The declared related party factor is 50 per cent, being 100 per cent x 50 per cent = 50 per cent.</w:t>
      </w:r>
    </w:p>
    <w:p w14:paraId="330C53D5" w14:textId="77777777" w:rsidR="00E13D3A" w:rsidRPr="0092230E" w:rsidRDefault="00476373" w:rsidP="00DA4BE9">
      <w:pPr>
        <w:pStyle w:val="ABABulletLevel1"/>
        <w:spacing w:after="120"/>
        <w:rPr>
          <w:rFonts w:ascii="Arial" w:hAnsi="Arial" w:cs="Arial"/>
          <w:sz w:val="20"/>
        </w:rPr>
      </w:pPr>
      <w:r w:rsidRPr="0092230E">
        <w:rPr>
          <w:rFonts w:ascii="Arial" w:hAnsi="Arial" w:cs="Arial"/>
          <w:i/>
          <w:sz w:val="20"/>
        </w:rPr>
        <w:t>Example 2</w:t>
      </w:r>
      <w:r w:rsidR="00BC24CA" w:rsidRPr="0092230E">
        <w:rPr>
          <w:rFonts w:ascii="Arial" w:hAnsi="Arial" w:cs="Arial"/>
          <w:sz w:val="20"/>
        </w:rPr>
        <w:t>:</w:t>
      </w:r>
      <w:r w:rsidR="00DA4BE9" w:rsidRPr="0092230E">
        <w:rPr>
          <w:rFonts w:ascii="Arial" w:hAnsi="Arial" w:cs="Arial"/>
          <w:sz w:val="20"/>
        </w:rPr>
        <w:t xml:space="preserve"> Entity </w:t>
      </w:r>
      <w:r w:rsidR="005357CA" w:rsidRPr="0092230E">
        <w:rPr>
          <w:rFonts w:ascii="Arial" w:hAnsi="Arial" w:cs="Arial"/>
          <w:sz w:val="20"/>
        </w:rPr>
        <w:t>A</w:t>
      </w:r>
      <w:r w:rsidR="00DA4BE9" w:rsidRPr="0092230E">
        <w:rPr>
          <w:rFonts w:ascii="Arial" w:hAnsi="Arial" w:cs="Arial"/>
          <w:sz w:val="20"/>
        </w:rPr>
        <w:t xml:space="preserve"> wholly (100 per cent) owns </w:t>
      </w:r>
      <w:r w:rsidR="00EB7F8B" w:rsidRPr="0092230E">
        <w:rPr>
          <w:rFonts w:ascii="Arial" w:hAnsi="Arial" w:cs="Arial"/>
          <w:sz w:val="20"/>
        </w:rPr>
        <w:t>E</w:t>
      </w:r>
      <w:r w:rsidR="00DA4BE9" w:rsidRPr="0092230E">
        <w:rPr>
          <w:rFonts w:ascii="Arial" w:hAnsi="Arial" w:cs="Arial"/>
          <w:sz w:val="20"/>
        </w:rPr>
        <w:t xml:space="preserve">ntity </w:t>
      </w:r>
      <w:r w:rsidR="005357CA" w:rsidRPr="0092230E">
        <w:rPr>
          <w:rFonts w:ascii="Arial" w:hAnsi="Arial" w:cs="Arial"/>
          <w:sz w:val="20"/>
        </w:rPr>
        <w:t>B</w:t>
      </w:r>
      <w:r w:rsidR="00DA4BE9" w:rsidRPr="0092230E">
        <w:rPr>
          <w:rFonts w:ascii="Arial" w:hAnsi="Arial" w:cs="Arial"/>
          <w:sz w:val="20"/>
        </w:rPr>
        <w:t xml:space="preserve"> (a carrier</w:t>
      </w:r>
      <w:proofErr w:type="gramStart"/>
      <w:r w:rsidR="00DA4BE9" w:rsidRPr="0092230E">
        <w:rPr>
          <w:rFonts w:ascii="Arial" w:hAnsi="Arial" w:cs="Arial"/>
          <w:sz w:val="20"/>
        </w:rPr>
        <w:t>)</w:t>
      </w:r>
      <w:proofErr w:type="gramEnd"/>
      <w:r w:rsidR="00DA4BE9" w:rsidRPr="0092230E">
        <w:rPr>
          <w:rFonts w:ascii="Arial" w:hAnsi="Arial" w:cs="Arial"/>
          <w:sz w:val="20"/>
        </w:rPr>
        <w:t xml:space="preserve"> and </w:t>
      </w:r>
      <w:r w:rsidR="00EB7F8B" w:rsidRPr="0092230E">
        <w:rPr>
          <w:rFonts w:ascii="Arial" w:hAnsi="Arial" w:cs="Arial"/>
          <w:sz w:val="20"/>
        </w:rPr>
        <w:t>E</w:t>
      </w:r>
      <w:r w:rsidR="00DA4BE9" w:rsidRPr="0092230E">
        <w:rPr>
          <w:rFonts w:ascii="Arial" w:hAnsi="Arial" w:cs="Arial"/>
          <w:sz w:val="20"/>
        </w:rPr>
        <w:t xml:space="preserve">ntity </w:t>
      </w:r>
      <w:r w:rsidR="005357CA" w:rsidRPr="0092230E">
        <w:rPr>
          <w:rFonts w:ascii="Arial" w:hAnsi="Arial" w:cs="Arial"/>
          <w:sz w:val="20"/>
        </w:rPr>
        <w:t>A</w:t>
      </w:r>
      <w:r w:rsidR="00DA4BE9" w:rsidRPr="0092230E">
        <w:rPr>
          <w:rFonts w:ascii="Arial" w:hAnsi="Arial" w:cs="Arial"/>
          <w:sz w:val="20"/>
        </w:rPr>
        <w:t xml:space="preserve"> also owns half (50 per cent) of </w:t>
      </w:r>
      <w:r w:rsidR="00EB7F8B" w:rsidRPr="0092230E">
        <w:rPr>
          <w:rFonts w:ascii="Arial" w:hAnsi="Arial" w:cs="Arial"/>
          <w:sz w:val="20"/>
        </w:rPr>
        <w:t>E</w:t>
      </w:r>
      <w:r w:rsidR="00DA4BE9" w:rsidRPr="0092230E">
        <w:rPr>
          <w:rFonts w:ascii="Arial" w:hAnsi="Arial" w:cs="Arial"/>
          <w:sz w:val="20"/>
        </w:rPr>
        <w:t xml:space="preserve">ntity </w:t>
      </w:r>
      <w:r w:rsidR="005357CA" w:rsidRPr="0092230E">
        <w:rPr>
          <w:rFonts w:ascii="Arial" w:hAnsi="Arial" w:cs="Arial"/>
          <w:sz w:val="20"/>
        </w:rPr>
        <w:t>C</w:t>
      </w:r>
      <w:r w:rsidR="00DA4BE9" w:rsidRPr="0092230E">
        <w:rPr>
          <w:rFonts w:ascii="Arial" w:hAnsi="Arial" w:cs="Arial"/>
          <w:sz w:val="20"/>
        </w:rPr>
        <w:t xml:space="preserve">. Together entities </w:t>
      </w:r>
      <w:r w:rsidR="005357CA" w:rsidRPr="0092230E">
        <w:rPr>
          <w:rFonts w:ascii="Arial" w:hAnsi="Arial" w:cs="Arial"/>
          <w:sz w:val="20"/>
        </w:rPr>
        <w:t>A</w:t>
      </w:r>
      <w:r w:rsidR="00DA4BE9" w:rsidRPr="0092230E">
        <w:rPr>
          <w:rFonts w:ascii="Arial" w:hAnsi="Arial" w:cs="Arial"/>
          <w:sz w:val="20"/>
        </w:rPr>
        <w:t xml:space="preserve"> and </w:t>
      </w:r>
      <w:r w:rsidR="005357CA" w:rsidRPr="0092230E">
        <w:rPr>
          <w:rFonts w:ascii="Arial" w:hAnsi="Arial" w:cs="Arial"/>
          <w:sz w:val="20"/>
        </w:rPr>
        <w:t>B</w:t>
      </w:r>
      <w:r w:rsidR="00DA4BE9" w:rsidRPr="0092230E">
        <w:rPr>
          <w:rFonts w:ascii="Arial" w:hAnsi="Arial" w:cs="Arial"/>
          <w:sz w:val="20"/>
        </w:rPr>
        <w:t xml:space="preserve"> earned $20 million </w:t>
      </w:r>
      <w:r w:rsidR="005B23B2" w:rsidRPr="0092230E">
        <w:rPr>
          <w:rFonts w:ascii="Arial" w:hAnsi="Arial" w:cs="Arial"/>
          <w:sz w:val="20"/>
        </w:rPr>
        <w:t xml:space="preserve">eligible revenue </w:t>
      </w:r>
      <w:r w:rsidR="00DA4BE9" w:rsidRPr="0092230E">
        <w:rPr>
          <w:rFonts w:ascii="Arial" w:hAnsi="Arial" w:cs="Arial"/>
          <w:sz w:val="20"/>
        </w:rPr>
        <w:t xml:space="preserve">during the </w:t>
      </w:r>
      <w:r w:rsidR="00E13D3A" w:rsidRPr="0092230E">
        <w:rPr>
          <w:rFonts w:ascii="Arial" w:hAnsi="Arial" w:cs="Arial"/>
          <w:sz w:val="20"/>
        </w:rPr>
        <w:t xml:space="preserve">relevant </w:t>
      </w:r>
      <w:r w:rsidR="00DA4BE9" w:rsidRPr="0092230E">
        <w:rPr>
          <w:rFonts w:ascii="Arial" w:hAnsi="Arial" w:cs="Arial"/>
          <w:sz w:val="20"/>
        </w:rPr>
        <w:t>eligible revenue period</w:t>
      </w:r>
      <w:r w:rsidR="00BC24CA" w:rsidRPr="0092230E">
        <w:rPr>
          <w:rFonts w:ascii="Arial" w:hAnsi="Arial" w:cs="Arial"/>
          <w:sz w:val="20"/>
        </w:rPr>
        <w:t>.</w:t>
      </w:r>
      <w:r w:rsidR="00DA4BE9" w:rsidRPr="0092230E">
        <w:rPr>
          <w:rFonts w:ascii="Arial" w:hAnsi="Arial" w:cs="Arial"/>
          <w:sz w:val="20"/>
        </w:rPr>
        <w:t xml:space="preserve"> Entity </w:t>
      </w:r>
      <w:r w:rsidR="005357CA" w:rsidRPr="0092230E">
        <w:rPr>
          <w:rFonts w:ascii="Arial" w:hAnsi="Arial" w:cs="Arial"/>
          <w:sz w:val="20"/>
        </w:rPr>
        <w:t>C</w:t>
      </w:r>
      <w:r w:rsidR="00DA4BE9" w:rsidRPr="0092230E">
        <w:rPr>
          <w:rFonts w:ascii="Arial" w:hAnsi="Arial" w:cs="Arial"/>
          <w:sz w:val="20"/>
        </w:rPr>
        <w:t xml:space="preserve"> earned $</w:t>
      </w:r>
      <w:r w:rsidR="005357CA" w:rsidRPr="0092230E">
        <w:rPr>
          <w:rFonts w:ascii="Arial" w:hAnsi="Arial" w:cs="Arial"/>
          <w:sz w:val="20"/>
        </w:rPr>
        <w:t>12</w:t>
      </w:r>
      <w:r w:rsidR="00DA4BE9" w:rsidRPr="0092230E">
        <w:rPr>
          <w:rFonts w:ascii="Arial" w:hAnsi="Arial" w:cs="Arial"/>
          <w:sz w:val="20"/>
        </w:rPr>
        <w:t xml:space="preserve"> million in telecommunications sales revenue </w:t>
      </w:r>
      <w:r w:rsidR="00E13D3A" w:rsidRPr="0092230E">
        <w:rPr>
          <w:rFonts w:ascii="Arial" w:hAnsi="Arial" w:cs="Arial"/>
          <w:sz w:val="20"/>
        </w:rPr>
        <w:t>in the same period</w:t>
      </w:r>
      <w:r w:rsidR="00DA4BE9" w:rsidRPr="0092230E">
        <w:rPr>
          <w:rFonts w:ascii="Arial" w:hAnsi="Arial" w:cs="Arial"/>
          <w:sz w:val="20"/>
        </w:rPr>
        <w:t>, is not a participating person, nor a consolidated related party of a participating person.</w:t>
      </w:r>
      <w:r w:rsidR="005B23B2" w:rsidRPr="0092230E">
        <w:rPr>
          <w:rFonts w:ascii="Arial" w:hAnsi="Arial" w:cs="Arial"/>
          <w:sz w:val="20"/>
        </w:rPr>
        <w:t xml:space="preserve"> </w:t>
      </w:r>
      <w:r w:rsidR="00E13D3A" w:rsidRPr="0092230E">
        <w:rPr>
          <w:rFonts w:ascii="Arial" w:hAnsi="Arial" w:cs="Arial"/>
          <w:sz w:val="20"/>
        </w:rPr>
        <w:t>Entity C is a declared related party of Entity B.</w:t>
      </w:r>
    </w:p>
    <w:p w14:paraId="7AF8E40C" w14:textId="77777777" w:rsidR="00E13D3A" w:rsidRPr="0092230E" w:rsidRDefault="00E13D3A" w:rsidP="00DA4BE9">
      <w:pPr>
        <w:pStyle w:val="ABABulletLevel1"/>
        <w:spacing w:after="120"/>
        <w:rPr>
          <w:rFonts w:ascii="Arial" w:hAnsi="Arial" w:cs="Arial"/>
          <w:sz w:val="20"/>
        </w:rPr>
      </w:pPr>
      <w:r w:rsidRPr="0092230E">
        <w:rPr>
          <w:rFonts w:ascii="Arial" w:hAnsi="Arial" w:cs="Arial"/>
          <w:sz w:val="20"/>
        </w:rPr>
        <w:t xml:space="preserve">The declared related party factor is 50 per cent, being 100 per cent x 50 per cent = 50 per cent. Therefore, 50 per cent of the telecommunications </w:t>
      </w:r>
      <w:proofErr w:type="gramStart"/>
      <w:r w:rsidRPr="0092230E">
        <w:rPr>
          <w:rFonts w:ascii="Arial" w:hAnsi="Arial" w:cs="Arial"/>
          <w:sz w:val="20"/>
        </w:rPr>
        <w:t>sales</w:t>
      </w:r>
      <w:proofErr w:type="gramEnd"/>
      <w:r w:rsidRPr="0092230E">
        <w:rPr>
          <w:rFonts w:ascii="Arial" w:hAnsi="Arial" w:cs="Arial"/>
          <w:sz w:val="20"/>
        </w:rPr>
        <w:t xml:space="preserve"> revenue of Entity C ($</w:t>
      </w:r>
      <w:r w:rsidR="00C50394" w:rsidRPr="0092230E">
        <w:rPr>
          <w:rFonts w:ascii="Arial" w:hAnsi="Arial" w:cs="Arial"/>
          <w:sz w:val="20"/>
        </w:rPr>
        <w:t xml:space="preserve">6 million) is the proportion of revenue to be included in Entity B’s calculations. </w:t>
      </w:r>
    </w:p>
    <w:p w14:paraId="3951A01D" w14:textId="7785CA16" w:rsidR="00835C74" w:rsidRPr="0092230E" w:rsidRDefault="007F1628" w:rsidP="00835C74">
      <w:pPr>
        <w:pStyle w:val="ABABulletLevel1"/>
        <w:spacing w:after="120"/>
        <w:rPr>
          <w:rFonts w:ascii="Arial" w:hAnsi="Arial" w:cs="Arial"/>
          <w:sz w:val="20"/>
        </w:rPr>
      </w:pPr>
      <w:r w:rsidRPr="0092230E">
        <w:rPr>
          <w:rFonts w:ascii="Arial" w:hAnsi="Arial" w:cs="Arial"/>
          <w:sz w:val="20"/>
        </w:rPr>
        <w:t>The declared related party factor is referred to through</w:t>
      </w:r>
      <w:r w:rsidR="004A7310" w:rsidRPr="0092230E">
        <w:rPr>
          <w:rFonts w:ascii="Arial" w:hAnsi="Arial" w:cs="Arial"/>
          <w:sz w:val="20"/>
        </w:rPr>
        <w:t>out</w:t>
      </w:r>
      <w:r w:rsidRPr="0092230E">
        <w:rPr>
          <w:rFonts w:ascii="Arial" w:hAnsi="Arial" w:cs="Arial"/>
          <w:sz w:val="20"/>
        </w:rPr>
        <w:t xml:space="preserve"> the </w:t>
      </w:r>
      <w:r w:rsidR="00FD2CEA">
        <w:rPr>
          <w:rFonts w:ascii="Arial" w:hAnsi="Arial" w:cs="Arial"/>
          <w:sz w:val="20"/>
        </w:rPr>
        <w:t xml:space="preserve">instrument </w:t>
      </w:r>
      <w:r w:rsidR="00D73FBC">
        <w:rPr>
          <w:rFonts w:ascii="Arial" w:hAnsi="Arial" w:cs="Arial"/>
          <w:sz w:val="20"/>
        </w:rPr>
        <w:t>so</w:t>
      </w:r>
      <w:r w:rsidRPr="0092230E">
        <w:rPr>
          <w:rFonts w:ascii="Arial" w:hAnsi="Arial" w:cs="Arial"/>
          <w:sz w:val="20"/>
        </w:rPr>
        <w:t xml:space="preserve"> that only a</w:t>
      </w:r>
      <w:r w:rsidR="00DA1DC5">
        <w:rPr>
          <w:rFonts w:ascii="Arial" w:hAnsi="Arial" w:cs="Arial"/>
          <w:sz w:val="20"/>
        </w:rPr>
        <w:t>n</w:t>
      </w:r>
      <w:r w:rsidRPr="0092230E">
        <w:rPr>
          <w:rFonts w:ascii="Arial" w:hAnsi="Arial" w:cs="Arial"/>
          <w:sz w:val="20"/>
        </w:rPr>
        <w:t xml:space="preserve"> </w:t>
      </w:r>
      <w:r w:rsidR="00DA1DC5">
        <w:rPr>
          <w:rFonts w:ascii="Arial" w:hAnsi="Arial" w:cs="Arial"/>
          <w:sz w:val="20"/>
        </w:rPr>
        <w:t>appropriate</w:t>
      </w:r>
      <w:r w:rsidR="00DA1DC5" w:rsidRPr="0092230E">
        <w:rPr>
          <w:rFonts w:ascii="Arial" w:hAnsi="Arial" w:cs="Arial"/>
          <w:sz w:val="20"/>
        </w:rPr>
        <w:t xml:space="preserve"> </w:t>
      </w:r>
      <w:r w:rsidRPr="0092230E">
        <w:rPr>
          <w:rFonts w:ascii="Arial" w:hAnsi="Arial" w:cs="Arial"/>
          <w:sz w:val="20"/>
        </w:rPr>
        <w:t xml:space="preserve">portion of the declared related </w:t>
      </w:r>
      <w:r w:rsidR="009C6E72" w:rsidRPr="0092230E">
        <w:rPr>
          <w:rFonts w:ascii="Arial" w:hAnsi="Arial" w:cs="Arial"/>
          <w:sz w:val="20"/>
        </w:rPr>
        <w:t>party’s revenue</w:t>
      </w:r>
      <w:r w:rsidR="004A7310" w:rsidRPr="0092230E">
        <w:rPr>
          <w:rFonts w:ascii="Arial" w:hAnsi="Arial" w:cs="Arial"/>
          <w:sz w:val="20"/>
        </w:rPr>
        <w:t xml:space="preserve"> (and any applicable deductions)</w:t>
      </w:r>
      <w:r w:rsidR="009C6E72" w:rsidRPr="0092230E">
        <w:rPr>
          <w:rFonts w:ascii="Arial" w:hAnsi="Arial" w:cs="Arial"/>
          <w:sz w:val="20"/>
        </w:rPr>
        <w:t xml:space="preserve"> </w:t>
      </w:r>
      <w:r w:rsidR="006440F6">
        <w:rPr>
          <w:rFonts w:ascii="Arial" w:hAnsi="Arial" w:cs="Arial"/>
          <w:sz w:val="20"/>
        </w:rPr>
        <w:t>is</w:t>
      </w:r>
      <w:r w:rsidRPr="0092230E">
        <w:rPr>
          <w:rFonts w:ascii="Arial" w:hAnsi="Arial" w:cs="Arial"/>
          <w:sz w:val="20"/>
        </w:rPr>
        <w:t xml:space="preserve"> included</w:t>
      </w:r>
      <w:r w:rsidR="009C6E72" w:rsidRPr="0092230E">
        <w:rPr>
          <w:rFonts w:ascii="Arial" w:hAnsi="Arial" w:cs="Arial"/>
          <w:sz w:val="20"/>
        </w:rPr>
        <w:t xml:space="preserve"> </w:t>
      </w:r>
      <w:r w:rsidRPr="0092230E">
        <w:rPr>
          <w:rFonts w:ascii="Arial" w:hAnsi="Arial" w:cs="Arial"/>
          <w:sz w:val="20"/>
        </w:rPr>
        <w:t>in the calculation of the participating person’s eligible revenue.</w:t>
      </w:r>
    </w:p>
    <w:p w14:paraId="0B7846D7" w14:textId="77777777" w:rsidR="00DA4BE9" w:rsidRPr="0092230E" w:rsidRDefault="00DA4BE9" w:rsidP="00835C74">
      <w:pPr>
        <w:pStyle w:val="ABABulletLevel1"/>
        <w:spacing w:after="120"/>
        <w:rPr>
          <w:rFonts w:ascii="Arial" w:hAnsi="Arial" w:cs="Arial"/>
          <w:sz w:val="20"/>
        </w:rPr>
      </w:pPr>
      <w:r w:rsidRPr="0092230E">
        <w:rPr>
          <w:rFonts w:ascii="Arial" w:hAnsi="Arial" w:cs="Arial"/>
          <w:sz w:val="20"/>
        </w:rPr>
        <w:t>In the above example</w:t>
      </w:r>
      <w:r w:rsidR="005357CA" w:rsidRPr="0092230E">
        <w:rPr>
          <w:rFonts w:ascii="Arial" w:hAnsi="Arial" w:cs="Arial"/>
          <w:sz w:val="20"/>
        </w:rPr>
        <w:t>s</w:t>
      </w:r>
      <w:r w:rsidR="00AE115D" w:rsidRPr="0092230E">
        <w:rPr>
          <w:rFonts w:ascii="Arial" w:hAnsi="Arial" w:cs="Arial"/>
          <w:sz w:val="20"/>
        </w:rPr>
        <w:t xml:space="preserve">, </w:t>
      </w:r>
      <w:r w:rsidR="005357CA" w:rsidRPr="0092230E">
        <w:rPr>
          <w:rFonts w:ascii="Arial" w:hAnsi="Arial" w:cs="Arial"/>
          <w:sz w:val="20"/>
        </w:rPr>
        <w:t>to work out the eligible revenue of the participating person:</w:t>
      </w:r>
    </w:p>
    <w:p w14:paraId="20425277" w14:textId="570AEAC9" w:rsidR="005357CA" w:rsidRPr="0092230E" w:rsidRDefault="005357CA" w:rsidP="005357CA">
      <w:pPr>
        <w:pStyle w:val="ABABulletLevel1"/>
        <w:numPr>
          <w:ilvl w:val="0"/>
          <w:numId w:val="11"/>
        </w:numPr>
        <w:spacing w:after="120"/>
        <w:rPr>
          <w:rFonts w:ascii="Arial" w:hAnsi="Arial" w:cs="Arial"/>
          <w:sz w:val="20"/>
        </w:rPr>
      </w:pPr>
      <w:r w:rsidRPr="0092230E">
        <w:rPr>
          <w:rFonts w:ascii="Arial" w:hAnsi="Arial" w:cs="Arial"/>
          <w:sz w:val="20"/>
        </w:rPr>
        <w:t xml:space="preserve">100 per cent of the revenue and deductions of the participating person, </w:t>
      </w:r>
      <w:r w:rsidR="00EB7F8B" w:rsidRPr="0092230E">
        <w:rPr>
          <w:rFonts w:ascii="Arial" w:hAnsi="Arial" w:cs="Arial"/>
          <w:sz w:val="20"/>
        </w:rPr>
        <w:t>E</w:t>
      </w:r>
      <w:r w:rsidRPr="0092230E">
        <w:rPr>
          <w:rFonts w:ascii="Arial" w:hAnsi="Arial" w:cs="Arial"/>
          <w:sz w:val="20"/>
        </w:rPr>
        <w:t xml:space="preserve">ntity B, </w:t>
      </w:r>
      <w:r w:rsidR="00842984">
        <w:rPr>
          <w:rFonts w:ascii="Arial" w:hAnsi="Arial" w:cs="Arial"/>
          <w:sz w:val="20"/>
        </w:rPr>
        <w:t>are</w:t>
      </w:r>
      <w:r w:rsidR="00842984" w:rsidRPr="0092230E">
        <w:rPr>
          <w:rFonts w:ascii="Arial" w:hAnsi="Arial" w:cs="Arial"/>
          <w:sz w:val="20"/>
        </w:rPr>
        <w:t xml:space="preserve"> </w:t>
      </w:r>
      <w:proofErr w:type="gramStart"/>
      <w:r w:rsidRPr="0092230E">
        <w:rPr>
          <w:rFonts w:ascii="Arial" w:hAnsi="Arial" w:cs="Arial"/>
          <w:sz w:val="20"/>
        </w:rPr>
        <w:t>included;</w:t>
      </w:r>
      <w:proofErr w:type="gramEnd"/>
    </w:p>
    <w:p w14:paraId="2B626717" w14:textId="58DE057F" w:rsidR="005357CA" w:rsidRPr="0092230E" w:rsidRDefault="005357CA" w:rsidP="005357CA">
      <w:pPr>
        <w:pStyle w:val="ABABulletLevel1"/>
        <w:numPr>
          <w:ilvl w:val="0"/>
          <w:numId w:val="11"/>
        </w:numPr>
        <w:spacing w:after="120"/>
        <w:rPr>
          <w:rFonts w:ascii="Arial" w:hAnsi="Arial" w:cs="Arial"/>
          <w:sz w:val="20"/>
        </w:rPr>
      </w:pPr>
      <w:r w:rsidRPr="0092230E">
        <w:rPr>
          <w:rFonts w:ascii="Arial" w:hAnsi="Arial" w:cs="Arial"/>
          <w:sz w:val="20"/>
        </w:rPr>
        <w:t xml:space="preserve">100 per cent of the revenue and deductions of any consolidated related parties of </w:t>
      </w:r>
      <w:r w:rsidR="00EB7F8B" w:rsidRPr="0092230E">
        <w:rPr>
          <w:rFonts w:ascii="Arial" w:hAnsi="Arial" w:cs="Arial"/>
          <w:sz w:val="20"/>
        </w:rPr>
        <w:t>E</w:t>
      </w:r>
      <w:r w:rsidRPr="0092230E">
        <w:rPr>
          <w:rFonts w:ascii="Arial" w:hAnsi="Arial" w:cs="Arial"/>
          <w:sz w:val="20"/>
        </w:rPr>
        <w:t xml:space="preserve">ntity B </w:t>
      </w:r>
      <w:r w:rsidR="00B0423B">
        <w:rPr>
          <w:rFonts w:ascii="Arial" w:hAnsi="Arial" w:cs="Arial"/>
          <w:sz w:val="20"/>
        </w:rPr>
        <w:t>are</w:t>
      </w:r>
      <w:r w:rsidR="00B0423B" w:rsidRPr="0092230E">
        <w:rPr>
          <w:rFonts w:ascii="Arial" w:hAnsi="Arial" w:cs="Arial"/>
          <w:sz w:val="20"/>
        </w:rPr>
        <w:t xml:space="preserve"> </w:t>
      </w:r>
      <w:r w:rsidRPr="0092230E">
        <w:rPr>
          <w:rFonts w:ascii="Arial" w:hAnsi="Arial" w:cs="Arial"/>
          <w:sz w:val="20"/>
        </w:rPr>
        <w:t>included; and</w:t>
      </w:r>
    </w:p>
    <w:p w14:paraId="7919983F" w14:textId="5885C93A" w:rsidR="009C6E72" w:rsidRDefault="005357CA" w:rsidP="005357CA">
      <w:pPr>
        <w:pStyle w:val="ABABulletLevel1"/>
        <w:numPr>
          <w:ilvl w:val="0"/>
          <w:numId w:val="11"/>
        </w:numPr>
        <w:spacing w:after="120"/>
        <w:rPr>
          <w:rFonts w:ascii="Arial" w:hAnsi="Arial" w:cs="Arial"/>
          <w:sz w:val="20"/>
        </w:rPr>
      </w:pPr>
      <w:r w:rsidRPr="0092230E">
        <w:rPr>
          <w:rFonts w:ascii="Arial" w:hAnsi="Arial" w:cs="Arial"/>
          <w:sz w:val="20"/>
        </w:rPr>
        <w:t xml:space="preserve">50 per cent of the revenue and deductions of the declared related party, </w:t>
      </w:r>
      <w:r w:rsidR="00EB7F8B" w:rsidRPr="0092230E">
        <w:rPr>
          <w:rFonts w:ascii="Arial" w:hAnsi="Arial" w:cs="Arial"/>
          <w:sz w:val="20"/>
        </w:rPr>
        <w:t>E</w:t>
      </w:r>
      <w:r w:rsidRPr="0092230E">
        <w:rPr>
          <w:rFonts w:ascii="Arial" w:hAnsi="Arial" w:cs="Arial"/>
          <w:sz w:val="20"/>
        </w:rPr>
        <w:t xml:space="preserve">ntity C, </w:t>
      </w:r>
      <w:r w:rsidR="004E4886">
        <w:rPr>
          <w:rFonts w:ascii="Arial" w:hAnsi="Arial" w:cs="Arial"/>
          <w:sz w:val="20"/>
        </w:rPr>
        <w:t>are</w:t>
      </w:r>
      <w:r w:rsidR="004E4886" w:rsidRPr="0092230E">
        <w:rPr>
          <w:rFonts w:ascii="Arial" w:hAnsi="Arial" w:cs="Arial"/>
          <w:sz w:val="20"/>
        </w:rPr>
        <w:t xml:space="preserve"> </w:t>
      </w:r>
      <w:r w:rsidRPr="0092230E">
        <w:rPr>
          <w:rFonts w:ascii="Arial" w:hAnsi="Arial" w:cs="Arial"/>
          <w:sz w:val="20"/>
        </w:rPr>
        <w:t xml:space="preserve">included in the calculation of </w:t>
      </w:r>
      <w:r w:rsidR="00EB7F8B" w:rsidRPr="0092230E">
        <w:rPr>
          <w:rFonts w:ascii="Arial" w:hAnsi="Arial" w:cs="Arial"/>
          <w:sz w:val="20"/>
        </w:rPr>
        <w:t>E</w:t>
      </w:r>
      <w:r w:rsidRPr="0092230E">
        <w:rPr>
          <w:rFonts w:ascii="Arial" w:hAnsi="Arial" w:cs="Arial"/>
          <w:sz w:val="20"/>
        </w:rPr>
        <w:t>ntity B’s eligible revenue.</w:t>
      </w:r>
    </w:p>
    <w:p w14:paraId="65F2A03F" w14:textId="77777777" w:rsidR="00702C3D" w:rsidRPr="0092230E" w:rsidRDefault="00702C3D">
      <w:pPr>
        <w:pStyle w:val="ABABulletLevel1"/>
        <w:spacing w:after="120"/>
        <w:ind w:left="720"/>
        <w:rPr>
          <w:rFonts w:ascii="Arial" w:hAnsi="Arial" w:cs="Arial"/>
          <w:sz w:val="20"/>
        </w:rPr>
      </w:pPr>
    </w:p>
    <w:p w14:paraId="27FA785D" w14:textId="2C2F0FC1" w:rsidR="00CC19B0" w:rsidRPr="0092230E" w:rsidRDefault="00CC19B0" w:rsidP="00CC19B0">
      <w:pPr>
        <w:pStyle w:val="ABABulletLevel1"/>
        <w:spacing w:after="120"/>
        <w:rPr>
          <w:rFonts w:ascii="Arial" w:hAnsi="Arial" w:cs="Arial"/>
          <w:b/>
          <w:i/>
          <w:sz w:val="20"/>
        </w:rPr>
      </w:pPr>
      <w:r w:rsidRPr="0092230E">
        <w:rPr>
          <w:rFonts w:ascii="Arial" w:hAnsi="Arial" w:cs="Arial"/>
          <w:b/>
          <w:sz w:val="20"/>
        </w:rPr>
        <w:t xml:space="preserve">Section </w:t>
      </w:r>
      <w:r w:rsidR="00A01DDE">
        <w:rPr>
          <w:rFonts w:ascii="Arial" w:hAnsi="Arial" w:cs="Arial"/>
          <w:b/>
          <w:sz w:val="20"/>
        </w:rPr>
        <w:t>11</w:t>
      </w:r>
      <w:r w:rsidR="0000373F" w:rsidRPr="0092230E">
        <w:rPr>
          <w:rFonts w:ascii="Arial" w:hAnsi="Arial" w:cs="Arial"/>
          <w:b/>
          <w:sz w:val="20"/>
        </w:rPr>
        <w:t xml:space="preserve"> </w:t>
      </w:r>
      <w:r w:rsidRPr="0092230E">
        <w:rPr>
          <w:rFonts w:ascii="Arial" w:hAnsi="Arial" w:cs="Arial"/>
          <w:b/>
          <w:sz w:val="20"/>
        </w:rPr>
        <w:t xml:space="preserve">– </w:t>
      </w:r>
      <w:r w:rsidR="005444C5" w:rsidRPr="0092230E">
        <w:rPr>
          <w:rFonts w:ascii="Arial" w:hAnsi="Arial" w:cs="Arial"/>
          <w:b/>
          <w:sz w:val="20"/>
        </w:rPr>
        <w:t xml:space="preserve">Meaning of </w:t>
      </w:r>
      <w:r w:rsidR="005444C5" w:rsidRPr="0092230E">
        <w:rPr>
          <w:rFonts w:ascii="Arial" w:hAnsi="Arial" w:cs="Arial"/>
          <w:b/>
          <w:i/>
          <w:sz w:val="20"/>
        </w:rPr>
        <w:t xml:space="preserve">non-telecommunications </w:t>
      </w:r>
      <w:r w:rsidR="009C6E72" w:rsidRPr="0092230E">
        <w:rPr>
          <w:rFonts w:ascii="Arial" w:hAnsi="Arial" w:cs="Arial"/>
          <w:b/>
          <w:i/>
          <w:sz w:val="20"/>
        </w:rPr>
        <w:t xml:space="preserve">sale </w:t>
      </w:r>
      <w:r w:rsidR="005444C5" w:rsidRPr="0092230E">
        <w:rPr>
          <w:rFonts w:ascii="Arial" w:hAnsi="Arial" w:cs="Arial"/>
          <w:b/>
          <w:i/>
          <w:sz w:val="20"/>
        </w:rPr>
        <w:t>revenue</w:t>
      </w:r>
    </w:p>
    <w:p w14:paraId="4EE85BB4" w14:textId="05E7BF3B" w:rsidR="00DE6FC9" w:rsidRPr="0092230E" w:rsidRDefault="00CC19B0" w:rsidP="00CC19B0">
      <w:pPr>
        <w:pStyle w:val="ABABulletLevel1"/>
        <w:spacing w:after="120"/>
        <w:rPr>
          <w:rFonts w:ascii="Arial" w:hAnsi="Arial" w:cs="Arial"/>
          <w:sz w:val="20"/>
        </w:rPr>
      </w:pPr>
      <w:r w:rsidRPr="0092230E">
        <w:rPr>
          <w:rFonts w:ascii="Arial" w:hAnsi="Arial" w:cs="Arial"/>
          <w:sz w:val="20"/>
        </w:rPr>
        <w:t xml:space="preserve">Section </w:t>
      </w:r>
      <w:r w:rsidR="00A01DDE">
        <w:rPr>
          <w:rFonts w:ascii="Arial" w:hAnsi="Arial" w:cs="Arial"/>
          <w:sz w:val="20"/>
        </w:rPr>
        <w:t>11</w:t>
      </w:r>
      <w:r w:rsidR="0000373F" w:rsidRPr="0092230E">
        <w:rPr>
          <w:rFonts w:ascii="Arial" w:hAnsi="Arial" w:cs="Arial"/>
          <w:sz w:val="20"/>
        </w:rPr>
        <w:t xml:space="preserve"> </w:t>
      </w:r>
      <w:r w:rsidRPr="0092230E">
        <w:rPr>
          <w:rFonts w:ascii="Arial" w:hAnsi="Arial" w:cs="Arial"/>
          <w:sz w:val="20"/>
        </w:rPr>
        <w:t>of the</w:t>
      </w:r>
      <w:r w:rsidR="00D224DF">
        <w:rPr>
          <w:rFonts w:ascii="Arial" w:hAnsi="Arial" w:cs="Arial"/>
          <w:sz w:val="20"/>
        </w:rPr>
        <w:t xml:space="preserve"> instrument</w:t>
      </w:r>
      <w:r w:rsidRPr="0092230E">
        <w:rPr>
          <w:rFonts w:ascii="Arial" w:hAnsi="Arial" w:cs="Arial"/>
          <w:sz w:val="20"/>
        </w:rPr>
        <w:t xml:space="preserve"> provides </w:t>
      </w:r>
      <w:r w:rsidR="005444C5" w:rsidRPr="0092230E">
        <w:rPr>
          <w:rFonts w:ascii="Arial" w:hAnsi="Arial" w:cs="Arial"/>
          <w:sz w:val="20"/>
        </w:rPr>
        <w:t xml:space="preserve">that an amount of revenue is non-telecommunications sales revenue if it is earned from an activity outside the telecommunications industry. The </w:t>
      </w:r>
      <w:r w:rsidR="00CF3162">
        <w:rPr>
          <w:rFonts w:ascii="Arial" w:hAnsi="Arial" w:cs="Arial"/>
          <w:sz w:val="20"/>
        </w:rPr>
        <w:t xml:space="preserve">term </w:t>
      </w:r>
      <w:r w:rsidR="005444C5" w:rsidRPr="0092230E">
        <w:rPr>
          <w:rFonts w:ascii="Arial" w:hAnsi="Arial" w:cs="Arial"/>
          <w:sz w:val="20"/>
        </w:rPr>
        <w:t>‘telecommunications industry’</w:t>
      </w:r>
      <w:r w:rsidR="00CF3162">
        <w:rPr>
          <w:rFonts w:ascii="Arial" w:hAnsi="Arial" w:cs="Arial"/>
          <w:sz w:val="20"/>
        </w:rPr>
        <w:t xml:space="preserve"> has the meaning </w:t>
      </w:r>
      <w:r w:rsidR="00DD73C2">
        <w:rPr>
          <w:rFonts w:ascii="Arial" w:hAnsi="Arial" w:cs="Arial"/>
          <w:sz w:val="20"/>
        </w:rPr>
        <w:t xml:space="preserve">affected by </w:t>
      </w:r>
      <w:r w:rsidR="005444C5" w:rsidRPr="0092230E">
        <w:rPr>
          <w:rFonts w:ascii="Arial" w:hAnsi="Arial" w:cs="Arial"/>
          <w:sz w:val="20"/>
        </w:rPr>
        <w:t xml:space="preserve">section 7 of the </w:t>
      </w:r>
      <w:r w:rsidR="005444C5" w:rsidRPr="0092230E">
        <w:rPr>
          <w:rFonts w:ascii="Arial" w:hAnsi="Arial" w:cs="Arial"/>
          <w:i/>
          <w:sz w:val="20"/>
        </w:rPr>
        <w:t>Telecommunications Act 1997</w:t>
      </w:r>
      <w:r w:rsidR="005444C5" w:rsidRPr="0092230E">
        <w:rPr>
          <w:rFonts w:ascii="Arial" w:hAnsi="Arial" w:cs="Arial"/>
          <w:sz w:val="20"/>
        </w:rPr>
        <w:t xml:space="preserve">. </w:t>
      </w:r>
    </w:p>
    <w:p w14:paraId="4312F304" w14:textId="664E14EB" w:rsidR="00CC19B0" w:rsidRPr="0092230E" w:rsidRDefault="005444C5" w:rsidP="00CC19B0">
      <w:pPr>
        <w:pStyle w:val="ABABulletLevel1"/>
        <w:spacing w:after="120"/>
        <w:rPr>
          <w:rFonts w:ascii="Arial" w:hAnsi="Arial" w:cs="Arial"/>
          <w:sz w:val="20"/>
        </w:rPr>
      </w:pPr>
      <w:r w:rsidRPr="0092230E">
        <w:rPr>
          <w:rFonts w:ascii="Arial" w:hAnsi="Arial" w:cs="Arial"/>
          <w:sz w:val="20"/>
        </w:rPr>
        <w:lastRenderedPageBreak/>
        <w:t xml:space="preserve">Section </w:t>
      </w:r>
      <w:r w:rsidR="00E27E90">
        <w:rPr>
          <w:rFonts w:ascii="Arial" w:hAnsi="Arial" w:cs="Arial"/>
          <w:sz w:val="20"/>
        </w:rPr>
        <w:t>11</w:t>
      </w:r>
      <w:r w:rsidR="0000373F" w:rsidRPr="0092230E">
        <w:rPr>
          <w:rFonts w:ascii="Arial" w:hAnsi="Arial" w:cs="Arial"/>
          <w:sz w:val="20"/>
        </w:rPr>
        <w:t xml:space="preserve"> </w:t>
      </w:r>
      <w:r w:rsidR="00DE3846">
        <w:rPr>
          <w:rFonts w:ascii="Arial" w:hAnsi="Arial" w:cs="Arial"/>
          <w:sz w:val="20"/>
        </w:rPr>
        <w:t xml:space="preserve">of the instrument </w:t>
      </w:r>
      <w:r w:rsidRPr="0092230E">
        <w:rPr>
          <w:rFonts w:ascii="Arial" w:hAnsi="Arial" w:cs="Arial"/>
          <w:sz w:val="20"/>
        </w:rPr>
        <w:t xml:space="preserve">also provides that the ACMA may, in writing, declare that a </w:t>
      </w:r>
      <w:r w:rsidR="00DE6FC9" w:rsidRPr="0092230E">
        <w:rPr>
          <w:rFonts w:ascii="Arial" w:hAnsi="Arial" w:cs="Arial"/>
          <w:sz w:val="20"/>
        </w:rPr>
        <w:t xml:space="preserve">specified amount or the value of a </w:t>
      </w:r>
      <w:r w:rsidR="006F6AD1">
        <w:rPr>
          <w:rFonts w:ascii="Arial" w:hAnsi="Arial" w:cs="Arial"/>
          <w:sz w:val="20"/>
        </w:rPr>
        <w:t xml:space="preserve">specified </w:t>
      </w:r>
      <w:r w:rsidR="00DE6FC9" w:rsidRPr="0092230E">
        <w:rPr>
          <w:rFonts w:ascii="Arial" w:hAnsi="Arial" w:cs="Arial"/>
          <w:sz w:val="20"/>
        </w:rPr>
        <w:t>benefit or service</w:t>
      </w:r>
      <w:r w:rsidR="009C6E72" w:rsidRPr="0092230E">
        <w:rPr>
          <w:rFonts w:ascii="Arial" w:hAnsi="Arial" w:cs="Arial"/>
          <w:sz w:val="20"/>
        </w:rPr>
        <w:t>,</w:t>
      </w:r>
      <w:r w:rsidR="00DE6FC9" w:rsidRPr="0092230E">
        <w:rPr>
          <w:rFonts w:ascii="Arial" w:hAnsi="Arial" w:cs="Arial"/>
          <w:sz w:val="20"/>
        </w:rPr>
        <w:t xml:space="preserve"> is non-telecommunications </w:t>
      </w:r>
      <w:r w:rsidR="009C6E72" w:rsidRPr="0092230E">
        <w:rPr>
          <w:rFonts w:ascii="Arial" w:hAnsi="Arial" w:cs="Arial"/>
          <w:sz w:val="20"/>
        </w:rPr>
        <w:t xml:space="preserve">sales </w:t>
      </w:r>
      <w:r w:rsidR="00DE6FC9" w:rsidRPr="0092230E">
        <w:rPr>
          <w:rFonts w:ascii="Arial" w:hAnsi="Arial" w:cs="Arial"/>
          <w:sz w:val="20"/>
        </w:rPr>
        <w:t>revenue.</w:t>
      </w:r>
      <w:r w:rsidR="009C6E72" w:rsidRPr="0092230E">
        <w:rPr>
          <w:rFonts w:ascii="Arial" w:hAnsi="Arial" w:cs="Arial"/>
          <w:sz w:val="20"/>
        </w:rPr>
        <w:t xml:space="preserve"> </w:t>
      </w:r>
      <w:r w:rsidR="001226A9">
        <w:rPr>
          <w:rFonts w:ascii="Arial" w:hAnsi="Arial" w:cs="Arial"/>
          <w:sz w:val="20"/>
        </w:rPr>
        <w:t>If made, t</w:t>
      </w:r>
      <w:r w:rsidR="009C6E72" w:rsidRPr="0092230E">
        <w:rPr>
          <w:rFonts w:ascii="Arial" w:hAnsi="Arial" w:cs="Arial"/>
          <w:sz w:val="20"/>
        </w:rPr>
        <w:t>he declaration must state how the ACMA worked out th</w:t>
      </w:r>
      <w:r w:rsidR="001226A9">
        <w:rPr>
          <w:rFonts w:ascii="Arial" w:hAnsi="Arial" w:cs="Arial"/>
          <w:sz w:val="20"/>
        </w:rPr>
        <w:t xml:space="preserve">e </w:t>
      </w:r>
      <w:r w:rsidR="009C6E72" w:rsidRPr="0092230E">
        <w:rPr>
          <w:rFonts w:ascii="Arial" w:hAnsi="Arial" w:cs="Arial"/>
          <w:sz w:val="20"/>
        </w:rPr>
        <w:t>value</w:t>
      </w:r>
      <w:r w:rsidR="00121F56">
        <w:rPr>
          <w:rFonts w:ascii="Arial" w:hAnsi="Arial" w:cs="Arial"/>
          <w:sz w:val="20"/>
        </w:rPr>
        <w:t xml:space="preserve"> of any benefit or service specified in the declaration</w:t>
      </w:r>
      <w:r w:rsidR="009C6E72" w:rsidRPr="0092230E">
        <w:rPr>
          <w:rFonts w:ascii="Arial" w:hAnsi="Arial" w:cs="Arial"/>
          <w:sz w:val="20"/>
        </w:rPr>
        <w:t>.</w:t>
      </w:r>
      <w:r w:rsidR="00121F56">
        <w:rPr>
          <w:rFonts w:ascii="Arial" w:hAnsi="Arial" w:cs="Arial"/>
          <w:sz w:val="20"/>
        </w:rPr>
        <w:t xml:space="preserve"> The declaration may also apply </w:t>
      </w:r>
      <w:r w:rsidR="0010464E">
        <w:rPr>
          <w:rFonts w:ascii="Arial" w:hAnsi="Arial" w:cs="Arial"/>
          <w:sz w:val="20"/>
        </w:rPr>
        <w:t>to more than one participating person, consolidated related party or declared related party, but not generally to all participating persons or parties.</w:t>
      </w:r>
      <w:r w:rsidR="009C6E72" w:rsidRPr="0092230E">
        <w:rPr>
          <w:rFonts w:ascii="Arial" w:hAnsi="Arial" w:cs="Arial"/>
          <w:sz w:val="20"/>
        </w:rPr>
        <w:t xml:space="preserve"> </w:t>
      </w:r>
    </w:p>
    <w:p w14:paraId="6FE2E6C3" w14:textId="77777777" w:rsidR="00C749E3" w:rsidRPr="0092230E" w:rsidRDefault="00C749E3" w:rsidP="00C749E3">
      <w:pPr>
        <w:spacing w:after="200" w:line="240" w:lineRule="auto"/>
        <w:rPr>
          <w:rFonts w:ascii="Arial" w:hAnsi="Arial" w:cs="Arial"/>
          <w:b/>
          <w:szCs w:val="20"/>
        </w:rPr>
      </w:pPr>
    </w:p>
    <w:p w14:paraId="5F4F63B4" w14:textId="11530597" w:rsidR="00220F3E" w:rsidRPr="0092230E" w:rsidRDefault="00220F3E" w:rsidP="003C6646">
      <w:pPr>
        <w:keepNext/>
        <w:spacing w:after="200" w:line="240" w:lineRule="auto"/>
        <w:rPr>
          <w:rFonts w:ascii="Arial" w:hAnsi="Arial" w:cs="Arial"/>
          <w:szCs w:val="20"/>
          <w:lang w:eastAsia="en-US"/>
        </w:rPr>
      </w:pPr>
      <w:r w:rsidRPr="0092230E">
        <w:rPr>
          <w:rFonts w:ascii="Arial" w:hAnsi="Arial" w:cs="Arial"/>
          <w:b/>
          <w:szCs w:val="20"/>
        </w:rPr>
        <w:t xml:space="preserve">Section </w:t>
      </w:r>
      <w:r w:rsidR="0000373F" w:rsidRPr="0092230E">
        <w:rPr>
          <w:rFonts w:ascii="Arial" w:hAnsi="Arial" w:cs="Arial"/>
          <w:b/>
          <w:szCs w:val="20"/>
        </w:rPr>
        <w:t>1</w:t>
      </w:r>
      <w:r w:rsidR="00A01DDE">
        <w:rPr>
          <w:rFonts w:ascii="Arial" w:hAnsi="Arial" w:cs="Arial"/>
          <w:b/>
          <w:szCs w:val="20"/>
        </w:rPr>
        <w:t>2</w:t>
      </w:r>
      <w:r w:rsidR="0000373F" w:rsidRPr="0092230E">
        <w:rPr>
          <w:rFonts w:ascii="Arial" w:hAnsi="Arial" w:cs="Arial"/>
          <w:b/>
          <w:szCs w:val="20"/>
        </w:rPr>
        <w:t xml:space="preserve"> </w:t>
      </w:r>
      <w:r w:rsidRPr="0092230E">
        <w:rPr>
          <w:rFonts w:ascii="Arial" w:hAnsi="Arial" w:cs="Arial"/>
          <w:b/>
          <w:szCs w:val="20"/>
        </w:rPr>
        <w:t xml:space="preserve">– Meaning of </w:t>
      </w:r>
      <w:r w:rsidRPr="0092230E">
        <w:rPr>
          <w:rFonts w:ascii="Arial" w:hAnsi="Arial" w:cs="Arial"/>
          <w:b/>
          <w:i/>
          <w:szCs w:val="20"/>
        </w:rPr>
        <w:t>inter-person input payment</w:t>
      </w:r>
    </w:p>
    <w:p w14:paraId="03B0EC2D" w14:textId="7FB601A3" w:rsidR="00903BE2" w:rsidRPr="00DE3846" w:rsidRDefault="00220F3E" w:rsidP="00903BE2">
      <w:pPr>
        <w:pStyle w:val="ABABulletLevel1"/>
        <w:spacing w:after="120"/>
        <w:rPr>
          <w:rFonts w:ascii="Arial" w:hAnsi="Arial" w:cs="Arial"/>
          <w:sz w:val="20"/>
        </w:rPr>
      </w:pPr>
      <w:r w:rsidRPr="0092230E">
        <w:rPr>
          <w:rFonts w:ascii="Arial" w:hAnsi="Arial" w:cs="Arial"/>
          <w:sz w:val="20"/>
        </w:rPr>
        <w:t xml:space="preserve">Section </w:t>
      </w:r>
      <w:r w:rsidR="0000373F" w:rsidRPr="0092230E">
        <w:rPr>
          <w:rFonts w:ascii="Arial" w:hAnsi="Arial" w:cs="Arial"/>
          <w:sz w:val="20"/>
        </w:rPr>
        <w:t>1</w:t>
      </w:r>
      <w:r w:rsidR="00A01DDE">
        <w:rPr>
          <w:rFonts w:ascii="Arial" w:hAnsi="Arial" w:cs="Arial"/>
          <w:sz w:val="20"/>
        </w:rPr>
        <w:t>2</w:t>
      </w:r>
      <w:r w:rsidR="0000373F" w:rsidRPr="0092230E">
        <w:rPr>
          <w:rFonts w:ascii="Arial" w:hAnsi="Arial" w:cs="Arial"/>
          <w:sz w:val="20"/>
        </w:rPr>
        <w:t xml:space="preserve"> </w:t>
      </w:r>
      <w:r w:rsidRPr="0092230E">
        <w:rPr>
          <w:rFonts w:ascii="Arial" w:hAnsi="Arial" w:cs="Arial"/>
          <w:sz w:val="20"/>
        </w:rPr>
        <w:t xml:space="preserve">of the </w:t>
      </w:r>
      <w:r w:rsidR="00D224DF">
        <w:rPr>
          <w:rFonts w:ascii="Arial" w:hAnsi="Arial" w:cs="Arial"/>
          <w:sz w:val="20"/>
        </w:rPr>
        <w:t>instrument</w:t>
      </w:r>
      <w:r w:rsidR="00D224DF" w:rsidRPr="00D224DF" w:rsidDel="00D224DF">
        <w:rPr>
          <w:rFonts w:ascii="Arial" w:hAnsi="Arial" w:cs="Arial"/>
          <w:b/>
          <w:bCs/>
          <w:sz w:val="20"/>
        </w:rPr>
        <w:t xml:space="preserve"> </w:t>
      </w:r>
      <w:r w:rsidRPr="0092230E">
        <w:rPr>
          <w:rFonts w:ascii="Arial" w:hAnsi="Arial" w:cs="Arial"/>
          <w:sz w:val="20"/>
        </w:rPr>
        <w:t>defines an inter-person input payment. These are amounts</w:t>
      </w:r>
      <w:r w:rsidR="00903BE2" w:rsidRPr="0092230E">
        <w:rPr>
          <w:rFonts w:ascii="Arial" w:hAnsi="Arial" w:cs="Arial"/>
          <w:sz w:val="20"/>
        </w:rPr>
        <w:t xml:space="preserve"> </w:t>
      </w:r>
      <w:r w:rsidRPr="0092230E">
        <w:rPr>
          <w:rFonts w:ascii="Arial" w:hAnsi="Arial" w:cs="Arial"/>
          <w:sz w:val="20"/>
        </w:rPr>
        <w:t>paid or payable by a participating person</w:t>
      </w:r>
      <w:r w:rsidR="00521574">
        <w:rPr>
          <w:rFonts w:ascii="Arial" w:hAnsi="Arial" w:cs="Arial"/>
          <w:sz w:val="20"/>
        </w:rPr>
        <w:t xml:space="preserve"> </w:t>
      </w:r>
      <w:r w:rsidR="00521574" w:rsidRPr="0092230E">
        <w:rPr>
          <w:rFonts w:ascii="Arial" w:hAnsi="Arial" w:cs="Arial"/>
          <w:sz w:val="20"/>
        </w:rPr>
        <w:t>(</w:t>
      </w:r>
      <w:r w:rsidR="00521574" w:rsidRPr="0092230E">
        <w:rPr>
          <w:rFonts w:ascii="Arial" w:hAnsi="Arial" w:cs="Arial"/>
          <w:b/>
          <w:sz w:val="20"/>
        </w:rPr>
        <w:t>the first participating person</w:t>
      </w:r>
      <w:r w:rsidR="00521574" w:rsidRPr="0092230E">
        <w:rPr>
          <w:rFonts w:ascii="Arial" w:hAnsi="Arial" w:cs="Arial"/>
          <w:sz w:val="20"/>
        </w:rPr>
        <w:t>)</w:t>
      </w:r>
      <w:r w:rsidRPr="0092230E">
        <w:rPr>
          <w:rFonts w:ascii="Arial" w:hAnsi="Arial" w:cs="Arial"/>
          <w:sz w:val="20"/>
        </w:rPr>
        <w:t xml:space="preserve"> or a consolidated related party or declared related party </w:t>
      </w:r>
      <w:r w:rsidR="00DF1781" w:rsidRPr="0092230E">
        <w:rPr>
          <w:rFonts w:ascii="Arial" w:hAnsi="Arial" w:cs="Arial"/>
          <w:sz w:val="20"/>
        </w:rPr>
        <w:t>of</w:t>
      </w:r>
      <w:r w:rsidR="009742DB" w:rsidRPr="0092230E">
        <w:rPr>
          <w:rFonts w:ascii="Arial" w:hAnsi="Arial" w:cs="Arial"/>
          <w:sz w:val="20"/>
        </w:rPr>
        <w:t xml:space="preserve"> </w:t>
      </w:r>
      <w:r w:rsidRPr="0092230E">
        <w:rPr>
          <w:rFonts w:ascii="Arial" w:hAnsi="Arial" w:cs="Arial"/>
          <w:sz w:val="20"/>
        </w:rPr>
        <w:t xml:space="preserve">the </w:t>
      </w:r>
      <w:r w:rsidR="00521574">
        <w:rPr>
          <w:rFonts w:ascii="Arial" w:hAnsi="Arial" w:cs="Arial"/>
          <w:sz w:val="20"/>
        </w:rPr>
        <w:t xml:space="preserve">first </w:t>
      </w:r>
      <w:r w:rsidRPr="0092230E">
        <w:rPr>
          <w:rFonts w:ascii="Arial" w:hAnsi="Arial" w:cs="Arial"/>
          <w:sz w:val="20"/>
        </w:rPr>
        <w:t>participating person</w:t>
      </w:r>
      <w:r w:rsidR="00903BE2" w:rsidRPr="0092230E">
        <w:rPr>
          <w:rFonts w:ascii="Arial" w:hAnsi="Arial" w:cs="Arial"/>
          <w:sz w:val="20"/>
        </w:rPr>
        <w:t xml:space="preserve"> </w:t>
      </w:r>
      <w:r w:rsidR="009742DB" w:rsidRPr="0092230E">
        <w:rPr>
          <w:rFonts w:ascii="Arial" w:hAnsi="Arial" w:cs="Arial"/>
          <w:sz w:val="20"/>
        </w:rPr>
        <w:t>for an act done by</w:t>
      </w:r>
      <w:r w:rsidR="00903BE2" w:rsidRPr="0092230E">
        <w:rPr>
          <w:rFonts w:ascii="Arial" w:hAnsi="Arial" w:cs="Arial"/>
          <w:sz w:val="20"/>
        </w:rPr>
        <w:t xml:space="preserve"> </w:t>
      </w:r>
      <w:r w:rsidR="00D30FF5">
        <w:rPr>
          <w:rFonts w:ascii="Arial" w:hAnsi="Arial" w:cs="Arial"/>
          <w:sz w:val="20"/>
        </w:rPr>
        <w:t xml:space="preserve">a second person who </w:t>
      </w:r>
      <w:r w:rsidR="00F53D23">
        <w:rPr>
          <w:rFonts w:ascii="Arial" w:hAnsi="Arial" w:cs="Arial"/>
          <w:sz w:val="20"/>
        </w:rPr>
        <w:t>may be either</w:t>
      </w:r>
      <w:r w:rsidR="00D30FF5">
        <w:rPr>
          <w:rFonts w:ascii="Arial" w:hAnsi="Arial" w:cs="Arial"/>
          <w:sz w:val="20"/>
        </w:rPr>
        <w:t xml:space="preserve"> </w:t>
      </w:r>
      <w:r w:rsidR="009742DB" w:rsidRPr="0092230E">
        <w:rPr>
          <w:rFonts w:ascii="Arial" w:hAnsi="Arial" w:cs="Arial"/>
          <w:sz w:val="20"/>
        </w:rPr>
        <w:t xml:space="preserve">another participating person </w:t>
      </w:r>
      <w:r w:rsidR="00F53D23">
        <w:rPr>
          <w:rFonts w:ascii="Arial" w:hAnsi="Arial" w:cs="Arial"/>
          <w:sz w:val="20"/>
        </w:rPr>
        <w:t>(</w:t>
      </w:r>
      <w:r w:rsidR="00F53D23" w:rsidRPr="00642183">
        <w:rPr>
          <w:rFonts w:ascii="Arial" w:hAnsi="Arial" w:cs="Arial"/>
          <w:b/>
          <w:bCs/>
          <w:sz w:val="20"/>
        </w:rPr>
        <w:t>the second participating person</w:t>
      </w:r>
      <w:r w:rsidR="00F53D23">
        <w:rPr>
          <w:rFonts w:ascii="Arial" w:hAnsi="Arial" w:cs="Arial"/>
          <w:sz w:val="20"/>
        </w:rPr>
        <w:t xml:space="preserve">) </w:t>
      </w:r>
      <w:r w:rsidR="009742DB" w:rsidRPr="0092230E">
        <w:rPr>
          <w:rFonts w:ascii="Arial" w:hAnsi="Arial" w:cs="Arial"/>
          <w:sz w:val="20"/>
        </w:rPr>
        <w:t xml:space="preserve">or </w:t>
      </w:r>
      <w:r w:rsidR="00903BE2" w:rsidRPr="0092230E">
        <w:rPr>
          <w:rFonts w:ascii="Arial" w:hAnsi="Arial" w:cs="Arial"/>
          <w:sz w:val="20"/>
        </w:rPr>
        <w:t xml:space="preserve">a </w:t>
      </w:r>
      <w:r w:rsidR="009742DB" w:rsidRPr="0092230E">
        <w:rPr>
          <w:rFonts w:ascii="Arial" w:hAnsi="Arial" w:cs="Arial"/>
          <w:sz w:val="20"/>
        </w:rPr>
        <w:t>non-participating person</w:t>
      </w:r>
      <w:r w:rsidR="00521574">
        <w:rPr>
          <w:rFonts w:ascii="Arial" w:hAnsi="Arial" w:cs="Arial"/>
          <w:sz w:val="20"/>
        </w:rPr>
        <w:t>,</w:t>
      </w:r>
      <w:r w:rsidR="00903BE2" w:rsidRPr="0092230E">
        <w:rPr>
          <w:rFonts w:ascii="Arial" w:hAnsi="Arial" w:cs="Arial"/>
          <w:sz w:val="20"/>
        </w:rPr>
        <w:t xml:space="preserve"> </w:t>
      </w:r>
      <w:r w:rsidR="009742DB" w:rsidRPr="0092230E">
        <w:rPr>
          <w:rFonts w:ascii="Arial" w:hAnsi="Arial" w:cs="Arial"/>
          <w:sz w:val="20"/>
        </w:rPr>
        <w:t xml:space="preserve">or a declared related party or consolidated related party </w:t>
      </w:r>
      <w:r w:rsidR="00521574">
        <w:rPr>
          <w:rFonts w:ascii="Arial" w:hAnsi="Arial" w:cs="Arial"/>
          <w:sz w:val="20"/>
        </w:rPr>
        <w:t>of</w:t>
      </w:r>
      <w:r w:rsidR="00903BE2" w:rsidRPr="0092230E">
        <w:rPr>
          <w:rFonts w:ascii="Arial" w:hAnsi="Arial" w:cs="Arial"/>
          <w:sz w:val="20"/>
        </w:rPr>
        <w:t xml:space="preserve"> </w:t>
      </w:r>
      <w:r w:rsidR="00A327C4">
        <w:rPr>
          <w:rFonts w:ascii="Arial" w:hAnsi="Arial" w:cs="Arial"/>
          <w:sz w:val="20"/>
        </w:rPr>
        <w:t>th</w:t>
      </w:r>
      <w:r w:rsidR="00D30FF5">
        <w:rPr>
          <w:rFonts w:ascii="Arial" w:hAnsi="Arial" w:cs="Arial"/>
          <w:sz w:val="20"/>
        </w:rPr>
        <w:t>at</w:t>
      </w:r>
      <w:r w:rsidR="006026C7">
        <w:rPr>
          <w:rFonts w:ascii="Arial" w:hAnsi="Arial" w:cs="Arial"/>
          <w:sz w:val="20"/>
        </w:rPr>
        <w:t xml:space="preserve"> </w:t>
      </w:r>
      <w:r w:rsidR="00EE72BB" w:rsidRPr="0092230E">
        <w:rPr>
          <w:rFonts w:ascii="Arial" w:hAnsi="Arial" w:cs="Arial"/>
          <w:sz w:val="20"/>
        </w:rPr>
        <w:t xml:space="preserve">second </w:t>
      </w:r>
      <w:r w:rsidR="00903BE2" w:rsidRPr="0092230E">
        <w:rPr>
          <w:rFonts w:ascii="Arial" w:hAnsi="Arial" w:cs="Arial"/>
          <w:sz w:val="20"/>
        </w:rPr>
        <w:t>person</w:t>
      </w:r>
      <w:r w:rsidR="009742DB" w:rsidRPr="0092230E">
        <w:rPr>
          <w:rFonts w:ascii="Arial" w:hAnsi="Arial" w:cs="Arial"/>
          <w:sz w:val="20"/>
        </w:rPr>
        <w:t>.</w:t>
      </w:r>
      <w:r w:rsidR="002E21E5">
        <w:rPr>
          <w:rFonts w:ascii="Arial" w:hAnsi="Arial" w:cs="Arial"/>
          <w:sz w:val="20"/>
        </w:rPr>
        <w:t xml:space="preserve"> </w:t>
      </w:r>
      <w:r w:rsidR="00903BE2" w:rsidRPr="0092230E">
        <w:rPr>
          <w:rFonts w:ascii="Arial" w:hAnsi="Arial" w:cs="Arial"/>
          <w:sz w:val="20"/>
        </w:rPr>
        <w:t xml:space="preserve">The act </w:t>
      </w:r>
      <w:r w:rsidR="009742DB" w:rsidRPr="0092230E">
        <w:rPr>
          <w:rFonts w:ascii="Arial" w:hAnsi="Arial" w:cs="Arial"/>
          <w:sz w:val="20"/>
        </w:rPr>
        <w:t xml:space="preserve">must </w:t>
      </w:r>
      <w:r w:rsidR="00463B56" w:rsidRPr="0092230E">
        <w:rPr>
          <w:rFonts w:ascii="Arial" w:hAnsi="Arial" w:cs="Arial"/>
          <w:sz w:val="20"/>
        </w:rPr>
        <w:t xml:space="preserve">allow </w:t>
      </w:r>
      <w:r w:rsidR="009742DB" w:rsidRPr="0092230E">
        <w:rPr>
          <w:rFonts w:ascii="Arial" w:hAnsi="Arial" w:cs="Arial"/>
          <w:sz w:val="20"/>
        </w:rPr>
        <w:t xml:space="preserve">the </w:t>
      </w:r>
      <w:r w:rsidR="00903BE2" w:rsidRPr="0092230E">
        <w:rPr>
          <w:rFonts w:ascii="Arial" w:hAnsi="Arial" w:cs="Arial"/>
          <w:sz w:val="20"/>
        </w:rPr>
        <w:t>first participating person</w:t>
      </w:r>
      <w:r w:rsidR="00521574">
        <w:rPr>
          <w:rFonts w:ascii="Arial" w:hAnsi="Arial" w:cs="Arial"/>
          <w:sz w:val="20"/>
        </w:rPr>
        <w:t xml:space="preserve"> </w:t>
      </w:r>
      <w:r w:rsidR="00521574" w:rsidRPr="0092230E">
        <w:rPr>
          <w:rFonts w:ascii="Arial" w:hAnsi="Arial" w:cs="Arial"/>
          <w:sz w:val="20"/>
        </w:rPr>
        <w:t>or a consolidated related party or declared related party</w:t>
      </w:r>
      <w:r w:rsidR="00521574">
        <w:rPr>
          <w:rFonts w:ascii="Arial" w:hAnsi="Arial" w:cs="Arial"/>
          <w:sz w:val="20"/>
        </w:rPr>
        <w:t xml:space="preserve"> of the first participating person</w:t>
      </w:r>
      <w:r w:rsidR="00903BE2" w:rsidRPr="00DE3846">
        <w:rPr>
          <w:rFonts w:ascii="Arial" w:hAnsi="Arial" w:cs="Arial"/>
          <w:sz w:val="20"/>
        </w:rPr>
        <w:t xml:space="preserve"> </w:t>
      </w:r>
      <w:r w:rsidR="00463B56" w:rsidRPr="00DE3846">
        <w:rPr>
          <w:rFonts w:ascii="Arial" w:hAnsi="Arial" w:cs="Arial"/>
          <w:sz w:val="20"/>
        </w:rPr>
        <w:t xml:space="preserve">to provide a listed carriage service. </w:t>
      </w:r>
    </w:p>
    <w:p w14:paraId="4849227B" w14:textId="65B00530" w:rsidR="00E62844" w:rsidRDefault="00EE72BB" w:rsidP="00220F3E">
      <w:pPr>
        <w:pStyle w:val="ABABulletLevel1"/>
        <w:spacing w:after="120"/>
        <w:rPr>
          <w:rFonts w:ascii="Arial" w:hAnsi="Arial" w:cs="Arial"/>
          <w:sz w:val="20"/>
        </w:rPr>
      </w:pPr>
      <w:r w:rsidRPr="0092230E">
        <w:rPr>
          <w:rFonts w:ascii="Arial" w:hAnsi="Arial" w:cs="Arial"/>
          <w:sz w:val="20"/>
        </w:rPr>
        <w:t xml:space="preserve">Further, </w:t>
      </w:r>
      <w:r w:rsidR="00792915">
        <w:rPr>
          <w:rFonts w:ascii="Arial" w:hAnsi="Arial" w:cs="Arial"/>
          <w:sz w:val="20"/>
        </w:rPr>
        <w:t>if</w:t>
      </w:r>
      <w:r w:rsidR="00CD2323">
        <w:rPr>
          <w:rFonts w:ascii="Arial" w:hAnsi="Arial" w:cs="Arial"/>
          <w:sz w:val="20"/>
        </w:rPr>
        <w:t xml:space="preserve"> the second person is a </w:t>
      </w:r>
      <w:r w:rsidR="00F53D23">
        <w:rPr>
          <w:rFonts w:ascii="Arial" w:hAnsi="Arial" w:cs="Arial"/>
          <w:sz w:val="20"/>
        </w:rPr>
        <w:t xml:space="preserve">second </w:t>
      </w:r>
      <w:r w:rsidR="00CD2323">
        <w:rPr>
          <w:rFonts w:ascii="Arial" w:hAnsi="Arial" w:cs="Arial"/>
          <w:sz w:val="20"/>
        </w:rPr>
        <w:t>participating person,</w:t>
      </w:r>
      <w:r w:rsidR="00CD2323" w:rsidRPr="0092230E">
        <w:rPr>
          <w:rFonts w:ascii="Arial" w:hAnsi="Arial" w:cs="Arial"/>
          <w:sz w:val="20"/>
        </w:rPr>
        <w:t xml:space="preserve"> </w:t>
      </w:r>
      <w:r w:rsidRPr="0092230E">
        <w:rPr>
          <w:rFonts w:ascii="Arial" w:hAnsi="Arial" w:cs="Arial"/>
          <w:sz w:val="20"/>
        </w:rPr>
        <w:t xml:space="preserve">section </w:t>
      </w:r>
      <w:r w:rsidR="0000373F" w:rsidRPr="0092230E">
        <w:rPr>
          <w:rFonts w:ascii="Arial" w:hAnsi="Arial" w:cs="Arial"/>
          <w:sz w:val="20"/>
        </w:rPr>
        <w:t>1</w:t>
      </w:r>
      <w:r w:rsidR="00A01DDE">
        <w:rPr>
          <w:rFonts w:ascii="Arial" w:hAnsi="Arial" w:cs="Arial"/>
          <w:sz w:val="20"/>
        </w:rPr>
        <w:t>2</w:t>
      </w:r>
      <w:r w:rsidRPr="0092230E">
        <w:rPr>
          <w:rFonts w:ascii="Arial" w:hAnsi="Arial" w:cs="Arial"/>
          <w:sz w:val="20"/>
        </w:rPr>
        <w:t xml:space="preserve"> </w:t>
      </w:r>
      <w:r w:rsidR="00AB7A21">
        <w:rPr>
          <w:rFonts w:ascii="Arial" w:hAnsi="Arial" w:cs="Arial"/>
          <w:sz w:val="20"/>
        </w:rPr>
        <w:t xml:space="preserve">of the instrument </w:t>
      </w:r>
      <w:r w:rsidR="00476373" w:rsidRPr="0092230E">
        <w:rPr>
          <w:rFonts w:ascii="Arial" w:hAnsi="Arial" w:cs="Arial"/>
          <w:sz w:val="20"/>
        </w:rPr>
        <w:t>provides</w:t>
      </w:r>
      <w:r w:rsidR="00CD2323">
        <w:rPr>
          <w:rFonts w:ascii="Arial" w:hAnsi="Arial" w:cs="Arial"/>
          <w:sz w:val="20"/>
        </w:rPr>
        <w:t xml:space="preserve"> </w:t>
      </w:r>
      <w:r w:rsidR="00476373" w:rsidRPr="0092230E">
        <w:rPr>
          <w:rFonts w:ascii="Arial" w:hAnsi="Arial" w:cs="Arial"/>
          <w:sz w:val="20"/>
        </w:rPr>
        <w:t xml:space="preserve">that an amount is an inter-person input payment only if the amount </w:t>
      </w:r>
      <w:r w:rsidRPr="0092230E">
        <w:rPr>
          <w:rFonts w:ascii="Arial" w:hAnsi="Arial" w:cs="Arial"/>
          <w:sz w:val="20"/>
        </w:rPr>
        <w:t>is included by th</w:t>
      </w:r>
      <w:r w:rsidR="006026C7">
        <w:rPr>
          <w:rFonts w:ascii="Arial" w:hAnsi="Arial" w:cs="Arial"/>
          <w:sz w:val="20"/>
        </w:rPr>
        <w:t>at</w:t>
      </w:r>
      <w:r w:rsidRPr="0092230E">
        <w:rPr>
          <w:rFonts w:ascii="Arial" w:hAnsi="Arial" w:cs="Arial"/>
          <w:sz w:val="20"/>
        </w:rPr>
        <w:t xml:space="preserve"> </w:t>
      </w:r>
      <w:r w:rsidR="00DF1781" w:rsidRPr="0092230E">
        <w:rPr>
          <w:rFonts w:ascii="Arial" w:hAnsi="Arial" w:cs="Arial"/>
          <w:sz w:val="20"/>
        </w:rPr>
        <w:t xml:space="preserve">participating </w:t>
      </w:r>
      <w:r w:rsidRPr="0092230E">
        <w:rPr>
          <w:rFonts w:ascii="Arial" w:hAnsi="Arial" w:cs="Arial"/>
          <w:sz w:val="20"/>
        </w:rPr>
        <w:t xml:space="preserve">person </w:t>
      </w:r>
      <w:r w:rsidR="00182013" w:rsidRPr="0092230E">
        <w:rPr>
          <w:rFonts w:ascii="Arial" w:hAnsi="Arial" w:cs="Arial"/>
          <w:sz w:val="20"/>
        </w:rPr>
        <w:t>as part</w:t>
      </w:r>
      <w:r w:rsidRPr="0092230E">
        <w:rPr>
          <w:rFonts w:ascii="Arial" w:hAnsi="Arial" w:cs="Arial"/>
          <w:sz w:val="20"/>
        </w:rPr>
        <w:t xml:space="preserve"> of its </w:t>
      </w:r>
      <w:r w:rsidR="00182013" w:rsidRPr="0092230E">
        <w:rPr>
          <w:rFonts w:ascii="Arial" w:hAnsi="Arial" w:cs="Arial"/>
          <w:sz w:val="20"/>
        </w:rPr>
        <w:t xml:space="preserve">gross telecommunications </w:t>
      </w:r>
      <w:proofErr w:type="gramStart"/>
      <w:r w:rsidR="00182013" w:rsidRPr="0092230E">
        <w:rPr>
          <w:rFonts w:ascii="Arial" w:hAnsi="Arial" w:cs="Arial"/>
          <w:sz w:val="20"/>
        </w:rPr>
        <w:t>sales</w:t>
      </w:r>
      <w:proofErr w:type="gramEnd"/>
      <w:r w:rsidR="00182013" w:rsidRPr="0092230E">
        <w:rPr>
          <w:rFonts w:ascii="Arial" w:hAnsi="Arial" w:cs="Arial"/>
          <w:sz w:val="20"/>
        </w:rPr>
        <w:t xml:space="preserve"> revenue</w:t>
      </w:r>
      <w:r w:rsidRPr="0092230E">
        <w:rPr>
          <w:rFonts w:ascii="Arial" w:hAnsi="Arial" w:cs="Arial"/>
          <w:sz w:val="20"/>
        </w:rPr>
        <w:t>, without claiming the amount as a</w:t>
      </w:r>
      <w:r w:rsidR="00476373" w:rsidRPr="0092230E">
        <w:rPr>
          <w:rFonts w:ascii="Arial" w:hAnsi="Arial" w:cs="Arial"/>
          <w:sz w:val="20"/>
        </w:rPr>
        <w:t xml:space="preserve"> deduction </w:t>
      </w:r>
      <w:r w:rsidRPr="0092230E">
        <w:rPr>
          <w:rFonts w:ascii="Arial" w:hAnsi="Arial" w:cs="Arial"/>
          <w:sz w:val="20"/>
        </w:rPr>
        <w:t>under</w:t>
      </w:r>
      <w:r w:rsidR="00362DE0" w:rsidRPr="0092230E">
        <w:rPr>
          <w:rFonts w:ascii="Arial" w:hAnsi="Arial" w:cs="Arial"/>
          <w:sz w:val="20"/>
        </w:rPr>
        <w:t xml:space="preserve"> any of sections </w:t>
      </w:r>
      <w:r w:rsidR="00EA520C" w:rsidRPr="0092230E">
        <w:rPr>
          <w:rFonts w:ascii="Arial" w:hAnsi="Arial" w:cs="Arial"/>
          <w:sz w:val="20"/>
        </w:rPr>
        <w:t>2</w:t>
      </w:r>
      <w:r w:rsidR="00907988">
        <w:rPr>
          <w:rFonts w:ascii="Arial" w:hAnsi="Arial" w:cs="Arial"/>
          <w:sz w:val="20"/>
        </w:rPr>
        <w:t>5</w:t>
      </w:r>
      <w:r w:rsidR="00EA520C" w:rsidRPr="0092230E">
        <w:rPr>
          <w:rFonts w:ascii="Arial" w:hAnsi="Arial" w:cs="Arial"/>
          <w:sz w:val="20"/>
        </w:rPr>
        <w:t xml:space="preserve"> </w:t>
      </w:r>
      <w:r w:rsidR="00362DE0" w:rsidRPr="0092230E">
        <w:rPr>
          <w:rFonts w:ascii="Arial" w:hAnsi="Arial" w:cs="Arial"/>
          <w:sz w:val="20"/>
        </w:rPr>
        <w:t xml:space="preserve">to </w:t>
      </w:r>
      <w:r w:rsidR="00907988">
        <w:rPr>
          <w:rFonts w:ascii="Arial" w:hAnsi="Arial" w:cs="Arial"/>
          <w:sz w:val="20"/>
        </w:rPr>
        <w:t>30</w:t>
      </w:r>
      <w:r w:rsidR="00362DE0" w:rsidRPr="0092230E">
        <w:rPr>
          <w:rFonts w:ascii="Arial" w:hAnsi="Arial" w:cs="Arial"/>
          <w:sz w:val="20"/>
        </w:rPr>
        <w:t xml:space="preserve">, </w:t>
      </w:r>
      <w:r w:rsidR="00EA520C" w:rsidRPr="0092230E">
        <w:rPr>
          <w:rFonts w:ascii="Arial" w:hAnsi="Arial" w:cs="Arial"/>
          <w:sz w:val="20"/>
        </w:rPr>
        <w:t>3</w:t>
      </w:r>
      <w:r w:rsidR="00907988">
        <w:rPr>
          <w:rFonts w:ascii="Arial" w:hAnsi="Arial" w:cs="Arial"/>
          <w:sz w:val="20"/>
        </w:rPr>
        <w:t>2</w:t>
      </w:r>
      <w:r w:rsidR="00362DE0" w:rsidRPr="0092230E">
        <w:rPr>
          <w:rFonts w:ascii="Arial" w:hAnsi="Arial" w:cs="Arial"/>
          <w:sz w:val="20"/>
        </w:rPr>
        <w:t xml:space="preserve"> or </w:t>
      </w:r>
      <w:r w:rsidR="00EA520C" w:rsidRPr="0092230E">
        <w:rPr>
          <w:rFonts w:ascii="Arial" w:hAnsi="Arial" w:cs="Arial"/>
          <w:sz w:val="20"/>
        </w:rPr>
        <w:t>3</w:t>
      </w:r>
      <w:r w:rsidR="00907988">
        <w:rPr>
          <w:rFonts w:ascii="Arial" w:hAnsi="Arial" w:cs="Arial"/>
          <w:sz w:val="20"/>
        </w:rPr>
        <w:t>5</w:t>
      </w:r>
      <w:r w:rsidR="00EA520C" w:rsidRPr="0092230E">
        <w:rPr>
          <w:rFonts w:ascii="Arial" w:hAnsi="Arial" w:cs="Arial"/>
          <w:sz w:val="20"/>
        </w:rPr>
        <w:t xml:space="preserve"> </w:t>
      </w:r>
      <w:r w:rsidRPr="0092230E">
        <w:rPr>
          <w:rFonts w:ascii="Arial" w:hAnsi="Arial" w:cs="Arial"/>
          <w:sz w:val="20"/>
        </w:rPr>
        <w:t xml:space="preserve">of the </w:t>
      </w:r>
      <w:proofErr w:type="gramStart"/>
      <w:r w:rsidR="00D224DF">
        <w:rPr>
          <w:rFonts w:ascii="Arial" w:hAnsi="Arial" w:cs="Arial"/>
          <w:sz w:val="20"/>
        </w:rPr>
        <w:t>instrument</w:t>
      </w:r>
      <w:proofErr w:type="gramEnd"/>
      <w:r w:rsidRPr="0092230E">
        <w:rPr>
          <w:rFonts w:ascii="Arial" w:hAnsi="Arial" w:cs="Arial"/>
          <w:sz w:val="20"/>
        </w:rPr>
        <w:t>.</w:t>
      </w:r>
    </w:p>
    <w:p w14:paraId="6C8F44AB" w14:textId="2CC3FA19" w:rsidR="00220F3E" w:rsidRPr="0092230E" w:rsidRDefault="00EE72BB" w:rsidP="00220F3E">
      <w:pPr>
        <w:pStyle w:val="ABABulletLevel1"/>
        <w:spacing w:after="120"/>
        <w:rPr>
          <w:rFonts w:ascii="Arial" w:hAnsi="Arial" w:cs="Arial"/>
          <w:sz w:val="20"/>
        </w:rPr>
      </w:pPr>
      <w:r w:rsidRPr="0092230E">
        <w:rPr>
          <w:rFonts w:ascii="Arial" w:hAnsi="Arial" w:cs="Arial"/>
          <w:sz w:val="20"/>
        </w:rPr>
        <w:t xml:space="preserve">If the second person is a non-participating person, the </w:t>
      </w:r>
      <w:r w:rsidR="00182013" w:rsidRPr="0092230E">
        <w:rPr>
          <w:rFonts w:ascii="Arial" w:hAnsi="Arial" w:cs="Arial"/>
          <w:sz w:val="20"/>
        </w:rPr>
        <w:t xml:space="preserve">provision requires that the </w:t>
      </w:r>
      <w:r w:rsidR="00792915">
        <w:rPr>
          <w:rFonts w:ascii="Arial" w:hAnsi="Arial" w:cs="Arial"/>
          <w:sz w:val="20"/>
        </w:rPr>
        <w:t xml:space="preserve">non-participating </w:t>
      </w:r>
      <w:r w:rsidR="00182013" w:rsidRPr="0092230E">
        <w:rPr>
          <w:rFonts w:ascii="Arial" w:hAnsi="Arial" w:cs="Arial"/>
          <w:sz w:val="20"/>
        </w:rPr>
        <w:t>person would have</w:t>
      </w:r>
      <w:r w:rsidR="00073EC3" w:rsidRPr="0092230E">
        <w:rPr>
          <w:rFonts w:ascii="Arial" w:hAnsi="Arial" w:cs="Arial"/>
          <w:sz w:val="20"/>
        </w:rPr>
        <w:t xml:space="preserve"> been required to</w:t>
      </w:r>
      <w:r w:rsidR="00182013" w:rsidRPr="0092230E">
        <w:rPr>
          <w:rFonts w:ascii="Arial" w:hAnsi="Arial" w:cs="Arial"/>
          <w:sz w:val="20"/>
        </w:rPr>
        <w:t xml:space="preserve"> include the </w:t>
      </w:r>
      <w:r w:rsidR="00073EC3" w:rsidRPr="0092230E">
        <w:rPr>
          <w:rFonts w:ascii="Arial" w:hAnsi="Arial" w:cs="Arial"/>
          <w:sz w:val="20"/>
        </w:rPr>
        <w:t xml:space="preserve">amount </w:t>
      </w:r>
      <w:r w:rsidR="00182013" w:rsidRPr="0092230E">
        <w:rPr>
          <w:rFonts w:ascii="Arial" w:hAnsi="Arial" w:cs="Arial"/>
          <w:sz w:val="20"/>
        </w:rPr>
        <w:t>as part of their gross telecommunications sales revenue without deduct</w:t>
      </w:r>
      <w:r w:rsidR="00073EC3" w:rsidRPr="0092230E">
        <w:rPr>
          <w:rFonts w:ascii="Arial" w:hAnsi="Arial" w:cs="Arial"/>
          <w:sz w:val="20"/>
        </w:rPr>
        <w:t>ing</w:t>
      </w:r>
      <w:r w:rsidR="00182013" w:rsidRPr="0092230E">
        <w:rPr>
          <w:rFonts w:ascii="Arial" w:hAnsi="Arial" w:cs="Arial"/>
          <w:sz w:val="20"/>
        </w:rPr>
        <w:t xml:space="preserve"> the amount</w:t>
      </w:r>
      <w:r w:rsidR="00521574">
        <w:rPr>
          <w:rFonts w:ascii="Arial" w:hAnsi="Arial" w:cs="Arial"/>
          <w:sz w:val="20"/>
        </w:rPr>
        <w:t xml:space="preserve"> </w:t>
      </w:r>
      <w:r w:rsidR="00521574" w:rsidRPr="00642183">
        <w:rPr>
          <w:rFonts w:ascii="Arial" w:hAnsi="Arial" w:cs="Arial"/>
          <w:sz w:val="20"/>
        </w:rPr>
        <w:t>under any of sections 25 to 30, 32 or 35</w:t>
      </w:r>
      <w:r w:rsidR="00521574">
        <w:rPr>
          <w:rFonts w:ascii="Arial" w:hAnsi="Arial" w:cs="Arial"/>
          <w:sz w:val="20"/>
        </w:rPr>
        <w:t xml:space="preserve"> of the </w:t>
      </w:r>
      <w:proofErr w:type="gramStart"/>
      <w:r w:rsidR="00521574">
        <w:rPr>
          <w:rFonts w:ascii="Arial" w:hAnsi="Arial" w:cs="Arial"/>
          <w:sz w:val="20"/>
        </w:rPr>
        <w:t>instrument</w:t>
      </w:r>
      <w:proofErr w:type="gramEnd"/>
      <w:r w:rsidR="00073EC3" w:rsidRPr="0092230E">
        <w:rPr>
          <w:rFonts w:ascii="Arial" w:hAnsi="Arial" w:cs="Arial"/>
          <w:sz w:val="20"/>
        </w:rPr>
        <w:t>, had the</w:t>
      </w:r>
      <w:r w:rsidR="00182013" w:rsidRPr="0092230E">
        <w:rPr>
          <w:rFonts w:ascii="Arial" w:hAnsi="Arial" w:cs="Arial"/>
          <w:sz w:val="20"/>
        </w:rPr>
        <w:t xml:space="preserve"> </w:t>
      </w:r>
      <w:r w:rsidR="00073EC3" w:rsidRPr="0092230E">
        <w:rPr>
          <w:rFonts w:ascii="Arial" w:hAnsi="Arial" w:cs="Arial"/>
          <w:sz w:val="20"/>
        </w:rPr>
        <w:t>person been a participating person</w:t>
      </w:r>
      <w:r w:rsidR="00182013" w:rsidRPr="0092230E">
        <w:rPr>
          <w:rFonts w:ascii="Arial" w:hAnsi="Arial" w:cs="Arial"/>
          <w:sz w:val="20"/>
        </w:rPr>
        <w:t xml:space="preserve">. </w:t>
      </w:r>
      <w:r w:rsidRPr="0092230E">
        <w:rPr>
          <w:rFonts w:ascii="Arial" w:hAnsi="Arial" w:cs="Arial"/>
          <w:sz w:val="20"/>
        </w:rPr>
        <w:t xml:space="preserve">This </w:t>
      </w:r>
      <w:r w:rsidR="0000373F" w:rsidRPr="0092230E">
        <w:rPr>
          <w:rFonts w:ascii="Arial" w:hAnsi="Arial" w:cs="Arial"/>
          <w:sz w:val="20"/>
        </w:rPr>
        <w:t xml:space="preserve">ensures that only one deduction is </w:t>
      </w:r>
      <w:r w:rsidR="006747D9" w:rsidRPr="0092230E">
        <w:rPr>
          <w:rFonts w:ascii="Arial" w:hAnsi="Arial" w:cs="Arial"/>
          <w:sz w:val="20"/>
        </w:rPr>
        <w:t xml:space="preserve">made </w:t>
      </w:r>
      <w:r w:rsidRPr="0092230E">
        <w:rPr>
          <w:rFonts w:ascii="Arial" w:hAnsi="Arial" w:cs="Arial"/>
          <w:sz w:val="20"/>
        </w:rPr>
        <w:t xml:space="preserve">in respect of </w:t>
      </w:r>
      <w:r w:rsidR="0000373F" w:rsidRPr="0092230E">
        <w:rPr>
          <w:rFonts w:ascii="Arial" w:hAnsi="Arial" w:cs="Arial"/>
          <w:sz w:val="20"/>
        </w:rPr>
        <w:t xml:space="preserve">the </w:t>
      </w:r>
      <w:r w:rsidRPr="0092230E">
        <w:rPr>
          <w:rFonts w:ascii="Arial" w:hAnsi="Arial" w:cs="Arial"/>
          <w:sz w:val="20"/>
        </w:rPr>
        <w:t>one amount</w:t>
      </w:r>
      <w:r w:rsidR="0000373F" w:rsidRPr="0092230E">
        <w:rPr>
          <w:rFonts w:ascii="Arial" w:hAnsi="Arial" w:cs="Arial"/>
          <w:sz w:val="20"/>
        </w:rPr>
        <w:t xml:space="preserve"> constituted by the inter-person input payment</w:t>
      </w:r>
      <w:r w:rsidRPr="0092230E">
        <w:rPr>
          <w:rFonts w:ascii="Arial" w:hAnsi="Arial" w:cs="Arial"/>
          <w:sz w:val="20"/>
        </w:rPr>
        <w:t>.</w:t>
      </w:r>
      <w:r w:rsidR="00182013" w:rsidRPr="0092230E">
        <w:rPr>
          <w:rFonts w:ascii="Arial" w:hAnsi="Arial" w:cs="Arial"/>
          <w:sz w:val="20"/>
        </w:rPr>
        <w:t xml:space="preserve"> </w:t>
      </w:r>
      <w:r w:rsidR="00463B56" w:rsidRPr="0092230E">
        <w:rPr>
          <w:rFonts w:ascii="Arial" w:hAnsi="Arial" w:cs="Arial"/>
          <w:sz w:val="20"/>
        </w:rPr>
        <w:t xml:space="preserve">Section </w:t>
      </w:r>
      <w:r w:rsidR="00A01DDE">
        <w:rPr>
          <w:rFonts w:ascii="Arial" w:hAnsi="Arial" w:cs="Arial"/>
          <w:sz w:val="20"/>
        </w:rPr>
        <w:t>3</w:t>
      </w:r>
      <w:r w:rsidR="00B00792">
        <w:rPr>
          <w:rFonts w:ascii="Arial" w:hAnsi="Arial" w:cs="Arial"/>
          <w:sz w:val="20"/>
        </w:rPr>
        <w:t>1</w:t>
      </w:r>
      <w:r w:rsidR="0000373F" w:rsidRPr="0092230E">
        <w:rPr>
          <w:rFonts w:ascii="Arial" w:hAnsi="Arial" w:cs="Arial"/>
          <w:sz w:val="20"/>
        </w:rPr>
        <w:t xml:space="preserve"> </w:t>
      </w:r>
      <w:r w:rsidR="000542DE">
        <w:rPr>
          <w:rFonts w:ascii="Arial" w:hAnsi="Arial" w:cs="Arial"/>
          <w:sz w:val="20"/>
        </w:rPr>
        <w:t xml:space="preserve">of the instrument </w:t>
      </w:r>
      <w:r w:rsidR="00463B56" w:rsidRPr="0092230E">
        <w:rPr>
          <w:rFonts w:ascii="Arial" w:hAnsi="Arial" w:cs="Arial"/>
          <w:sz w:val="20"/>
        </w:rPr>
        <w:t xml:space="preserve">provides for the deduction of inter-person input payment amounts. </w:t>
      </w:r>
    </w:p>
    <w:p w14:paraId="4F4A329B" w14:textId="4052D2DD" w:rsidR="00621800" w:rsidRPr="0092230E" w:rsidRDefault="00621800" w:rsidP="00220F3E">
      <w:pPr>
        <w:pStyle w:val="ABABulletLevel1"/>
        <w:spacing w:after="120"/>
        <w:rPr>
          <w:rFonts w:ascii="Arial" w:hAnsi="Arial" w:cs="Arial"/>
          <w:sz w:val="20"/>
        </w:rPr>
      </w:pPr>
      <w:r w:rsidRPr="0092230E">
        <w:rPr>
          <w:rFonts w:ascii="Arial" w:hAnsi="Arial" w:cs="Arial"/>
          <w:sz w:val="20"/>
        </w:rPr>
        <w:t xml:space="preserve">While these amounts are deductions, they </w:t>
      </w:r>
      <w:r w:rsidR="000542DE">
        <w:rPr>
          <w:rFonts w:ascii="Arial" w:hAnsi="Arial" w:cs="Arial"/>
          <w:sz w:val="20"/>
        </w:rPr>
        <w:t xml:space="preserve">differ from </w:t>
      </w:r>
      <w:r w:rsidR="00182013" w:rsidRPr="0092230E">
        <w:rPr>
          <w:rFonts w:ascii="Arial" w:hAnsi="Arial" w:cs="Arial"/>
          <w:sz w:val="20"/>
        </w:rPr>
        <w:t>other</w:t>
      </w:r>
      <w:r w:rsidRPr="0092230E">
        <w:rPr>
          <w:rFonts w:ascii="Arial" w:hAnsi="Arial" w:cs="Arial"/>
          <w:sz w:val="20"/>
        </w:rPr>
        <w:t xml:space="preserve"> deductible revenue streams because they are payments made (or incurred) by the participating person or related party, rather than a form of income received by that party. Inter-person input payments are to be deducted to ensure that participating persons making the payments are not levied disproportionately, given their input payments represent revenue passed on to their upstream suppliers. By deducting inter-person input payments from gross telecommunications sales revenue, the </w:t>
      </w:r>
      <w:r w:rsidR="00D224DF">
        <w:rPr>
          <w:rFonts w:ascii="Arial" w:hAnsi="Arial" w:cs="Arial"/>
          <w:sz w:val="20"/>
        </w:rPr>
        <w:t>instrument</w:t>
      </w:r>
      <w:r w:rsidR="001B02F8">
        <w:rPr>
          <w:rFonts w:ascii="Arial" w:hAnsi="Arial" w:cs="Arial"/>
          <w:sz w:val="20"/>
        </w:rPr>
        <w:t xml:space="preserve"> </w:t>
      </w:r>
      <w:r w:rsidRPr="0092230E">
        <w:rPr>
          <w:rFonts w:ascii="Arial" w:hAnsi="Arial" w:cs="Arial"/>
          <w:sz w:val="20"/>
        </w:rPr>
        <w:t>aims to approximate a value-added tax regime.</w:t>
      </w:r>
    </w:p>
    <w:p w14:paraId="6C844018" w14:textId="346E72D0" w:rsidR="00220F3E" w:rsidRPr="0092230E" w:rsidRDefault="00220F3E" w:rsidP="00220F3E">
      <w:pPr>
        <w:pStyle w:val="ABABulletLevel1"/>
        <w:spacing w:after="120"/>
        <w:rPr>
          <w:rFonts w:ascii="Arial" w:hAnsi="Arial" w:cs="Arial"/>
          <w:sz w:val="20"/>
        </w:rPr>
      </w:pPr>
      <w:r w:rsidRPr="0092230E">
        <w:rPr>
          <w:rFonts w:ascii="Arial" w:hAnsi="Arial" w:cs="Arial"/>
          <w:sz w:val="20"/>
        </w:rPr>
        <w:t xml:space="preserve">Section </w:t>
      </w:r>
      <w:r w:rsidR="00854CB9" w:rsidRPr="0092230E">
        <w:rPr>
          <w:rFonts w:ascii="Arial" w:hAnsi="Arial" w:cs="Arial"/>
          <w:sz w:val="20"/>
        </w:rPr>
        <w:t>1</w:t>
      </w:r>
      <w:r w:rsidR="00E27E90">
        <w:rPr>
          <w:rFonts w:ascii="Arial" w:hAnsi="Arial" w:cs="Arial"/>
          <w:sz w:val="20"/>
        </w:rPr>
        <w:t>2</w:t>
      </w:r>
      <w:r w:rsidR="00854CB9" w:rsidRPr="0092230E">
        <w:rPr>
          <w:rFonts w:ascii="Arial" w:hAnsi="Arial" w:cs="Arial"/>
          <w:sz w:val="20"/>
        </w:rPr>
        <w:t xml:space="preserve"> </w:t>
      </w:r>
      <w:r w:rsidR="00CD2323">
        <w:rPr>
          <w:rFonts w:ascii="Arial" w:hAnsi="Arial" w:cs="Arial"/>
          <w:sz w:val="20"/>
        </w:rPr>
        <w:t xml:space="preserve">of the instrument </w:t>
      </w:r>
      <w:r w:rsidRPr="0092230E">
        <w:rPr>
          <w:rFonts w:ascii="Arial" w:hAnsi="Arial" w:cs="Arial"/>
          <w:sz w:val="20"/>
        </w:rPr>
        <w:t xml:space="preserve">also provides that the ACMA may, in writing, declare that a specified amount </w:t>
      </w:r>
      <w:r w:rsidR="00323D5A" w:rsidRPr="0092230E">
        <w:rPr>
          <w:rFonts w:ascii="Arial" w:hAnsi="Arial" w:cs="Arial"/>
          <w:sz w:val="20"/>
        </w:rPr>
        <w:t>is an inter-person inp</w:t>
      </w:r>
      <w:r w:rsidR="00BB454A" w:rsidRPr="0092230E">
        <w:rPr>
          <w:rFonts w:ascii="Arial" w:hAnsi="Arial" w:cs="Arial"/>
          <w:sz w:val="20"/>
        </w:rPr>
        <w:t>u</w:t>
      </w:r>
      <w:r w:rsidR="00323D5A" w:rsidRPr="0092230E">
        <w:rPr>
          <w:rFonts w:ascii="Arial" w:hAnsi="Arial" w:cs="Arial"/>
          <w:sz w:val="20"/>
        </w:rPr>
        <w:t>t p</w:t>
      </w:r>
      <w:r w:rsidR="00BB454A" w:rsidRPr="0092230E">
        <w:rPr>
          <w:rFonts w:ascii="Arial" w:hAnsi="Arial" w:cs="Arial"/>
          <w:sz w:val="20"/>
        </w:rPr>
        <w:t>ayment in relation to one or more specified</w:t>
      </w:r>
      <w:r w:rsidR="00323D5A" w:rsidRPr="0092230E">
        <w:rPr>
          <w:rFonts w:ascii="Arial" w:hAnsi="Arial" w:cs="Arial"/>
          <w:sz w:val="20"/>
        </w:rPr>
        <w:t xml:space="preserve"> participating person</w:t>
      </w:r>
      <w:r w:rsidR="00BB454A" w:rsidRPr="0092230E">
        <w:rPr>
          <w:rFonts w:ascii="Arial" w:hAnsi="Arial" w:cs="Arial"/>
          <w:sz w:val="20"/>
        </w:rPr>
        <w:t>s, or declared related parties or consolidated related parties</w:t>
      </w:r>
      <w:r w:rsidR="00323D5A" w:rsidRPr="0092230E">
        <w:rPr>
          <w:rFonts w:ascii="Arial" w:hAnsi="Arial" w:cs="Arial"/>
          <w:sz w:val="20"/>
        </w:rPr>
        <w:t xml:space="preserve"> of </w:t>
      </w:r>
      <w:r w:rsidR="00BB454A" w:rsidRPr="0092230E">
        <w:rPr>
          <w:rFonts w:ascii="Arial" w:hAnsi="Arial" w:cs="Arial"/>
          <w:sz w:val="20"/>
        </w:rPr>
        <w:t>those</w:t>
      </w:r>
      <w:r w:rsidR="00323D5A" w:rsidRPr="0092230E">
        <w:rPr>
          <w:rFonts w:ascii="Arial" w:hAnsi="Arial" w:cs="Arial"/>
          <w:sz w:val="20"/>
        </w:rPr>
        <w:t xml:space="preserve"> person</w:t>
      </w:r>
      <w:r w:rsidR="00BB454A" w:rsidRPr="0092230E">
        <w:rPr>
          <w:rFonts w:ascii="Arial" w:hAnsi="Arial" w:cs="Arial"/>
          <w:sz w:val="20"/>
        </w:rPr>
        <w:t>s</w:t>
      </w:r>
      <w:r w:rsidRPr="0092230E">
        <w:rPr>
          <w:rFonts w:ascii="Arial" w:hAnsi="Arial" w:cs="Arial"/>
          <w:sz w:val="20"/>
        </w:rPr>
        <w:t>.</w:t>
      </w:r>
    </w:p>
    <w:p w14:paraId="289BC61E" w14:textId="77777777" w:rsidR="00182013" w:rsidRPr="0092230E" w:rsidRDefault="00182013" w:rsidP="00333C5C">
      <w:pPr>
        <w:pStyle w:val="ABABulletLevel1"/>
        <w:spacing w:after="120"/>
        <w:rPr>
          <w:rFonts w:ascii="Arial" w:hAnsi="Arial" w:cs="Arial"/>
          <w:b/>
          <w:sz w:val="20"/>
        </w:rPr>
      </w:pPr>
    </w:p>
    <w:p w14:paraId="7B0C27DD" w14:textId="77777777" w:rsidR="00182013" w:rsidRPr="0092230E" w:rsidRDefault="00182013" w:rsidP="00333C5C">
      <w:pPr>
        <w:pStyle w:val="ABABulletLevel1"/>
        <w:spacing w:after="120"/>
        <w:rPr>
          <w:rFonts w:ascii="Arial" w:hAnsi="Arial" w:cs="Arial"/>
          <w:b/>
          <w:sz w:val="20"/>
        </w:rPr>
      </w:pPr>
      <w:r w:rsidRPr="0092230E">
        <w:rPr>
          <w:rFonts w:ascii="Arial" w:hAnsi="Arial" w:cs="Arial"/>
          <w:b/>
          <w:sz w:val="20"/>
        </w:rPr>
        <w:t>Part 2 – Accounting concepts</w:t>
      </w:r>
    </w:p>
    <w:p w14:paraId="53BCBDBA" w14:textId="77777777" w:rsidR="005A259C" w:rsidRDefault="005A259C" w:rsidP="00333C5C">
      <w:pPr>
        <w:pStyle w:val="ABABulletLevel1"/>
        <w:spacing w:after="120"/>
        <w:rPr>
          <w:rFonts w:ascii="Arial" w:hAnsi="Arial" w:cs="Arial"/>
          <w:b/>
          <w:sz w:val="20"/>
        </w:rPr>
      </w:pPr>
    </w:p>
    <w:p w14:paraId="1C62479E" w14:textId="77535A51" w:rsidR="00333C5C" w:rsidRPr="0092230E" w:rsidRDefault="00333C5C" w:rsidP="00333C5C">
      <w:pPr>
        <w:pStyle w:val="ABABulletLevel1"/>
        <w:spacing w:after="120"/>
        <w:rPr>
          <w:rFonts w:ascii="Arial" w:hAnsi="Arial" w:cs="Arial"/>
          <w:b/>
          <w:i/>
          <w:sz w:val="20"/>
        </w:rPr>
      </w:pPr>
      <w:r w:rsidRPr="0092230E">
        <w:rPr>
          <w:rFonts w:ascii="Arial" w:hAnsi="Arial" w:cs="Arial"/>
          <w:b/>
          <w:sz w:val="20"/>
        </w:rPr>
        <w:t xml:space="preserve">Section </w:t>
      </w:r>
      <w:r w:rsidR="00067542" w:rsidRPr="0092230E">
        <w:rPr>
          <w:rFonts w:ascii="Arial" w:hAnsi="Arial" w:cs="Arial"/>
          <w:b/>
          <w:sz w:val="20"/>
        </w:rPr>
        <w:t>1</w:t>
      </w:r>
      <w:r w:rsidR="00A01DDE">
        <w:rPr>
          <w:rFonts w:ascii="Arial" w:hAnsi="Arial" w:cs="Arial"/>
          <w:b/>
          <w:sz w:val="20"/>
        </w:rPr>
        <w:t>3</w:t>
      </w:r>
      <w:r w:rsidR="00067542" w:rsidRPr="0092230E">
        <w:rPr>
          <w:rFonts w:ascii="Arial" w:hAnsi="Arial" w:cs="Arial"/>
          <w:b/>
          <w:sz w:val="20"/>
        </w:rPr>
        <w:t xml:space="preserve"> </w:t>
      </w:r>
      <w:r w:rsidRPr="0092230E">
        <w:rPr>
          <w:rFonts w:ascii="Arial" w:hAnsi="Arial" w:cs="Arial"/>
          <w:b/>
          <w:sz w:val="20"/>
        </w:rPr>
        <w:t>– Accounting on a group basis</w:t>
      </w:r>
    </w:p>
    <w:p w14:paraId="01623578" w14:textId="35D5CF5E" w:rsidR="003714F2" w:rsidRPr="0092230E" w:rsidRDefault="00182013" w:rsidP="00333C5C">
      <w:pPr>
        <w:pStyle w:val="ABABulletLevel1"/>
        <w:spacing w:after="120"/>
        <w:rPr>
          <w:rFonts w:ascii="Arial" w:hAnsi="Arial" w:cs="Arial"/>
          <w:sz w:val="20"/>
        </w:rPr>
      </w:pPr>
      <w:r w:rsidRPr="0092230E">
        <w:rPr>
          <w:rFonts w:ascii="Arial" w:hAnsi="Arial" w:cs="Arial"/>
          <w:sz w:val="20"/>
        </w:rPr>
        <w:t>S</w:t>
      </w:r>
      <w:r w:rsidR="00333C5C" w:rsidRPr="0092230E">
        <w:rPr>
          <w:rFonts w:ascii="Arial" w:hAnsi="Arial" w:cs="Arial"/>
          <w:sz w:val="20"/>
        </w:rPr>
        <w:t xml:space="preserve">ection </w:t>
      </w:r>
      <w:r w:rsidR="006F1C8F" w:rsidRPr="0092230E">
        <w:rPr>
          <w:rFonts w:ascii="Arial" w:hAnsi="Arial" w:cs="Arial"/>
          <w:sz w:val="20"/>
        </w:rPr>
        <w:t>1</w:t>
      </w:r>
      <w:r w:rsidR="00A01DDE">
        <w:rPr>
          <w:rFonts w:ascii="Arial" w:hAnsi="Arial" w:cs="Arial"/>
          <w:sz w:val="20"/>
        </w:rPr>
        <w:t>3</w:t>
      </w:r>
      <w:r w:rsidR="006F1C8F" w:rsidRPr="0092230E">
        <w:rPr>
          <w:rFonts w:ascii="Arial" w:hAnsi="Arial" w:cs="Arial"/>
          <w:sz w:val="20"/>
        </w:rPr>
        <w:t xml:space="preserve"> </w:t>
      </w:r>
      <w:r w:rsidR="009E2907">
        <w:rPr>
          <w:rFonts w:ascii="Arial" w:hAnsi="Arial" w:cs="Arial"/>
          <w:sz w:val="20"/>
        </w:rPr>
        <w:t xml:space="preserve">of the instrument </w:t>
      </w:r>
      <w:r w:rsidRPr="0092230E">
        <w:rPr>
          <w:rFonts w:ascii="Arial" w:hAnsi="Arial" w:cs="Arial"/>
          <w:sz w:val="20"/>
        </w:rPr>
        <w:t>provides that</w:t>
      </w:r>
      <w:r w:rsidR="00333C5C" w:rsidRPr="0092230E">
        <w:rPr>
          <w:rFonts w:ascii="Arial" w:hAnsi="Arial" w:cs="Arial"/>
          <w:sz w:val="20"/>
        </w:rPr>
        <w:t xml:space="preserve"> two or more participating persons that have the same </w:t>
      </w:r>
      <w:r w:rsidR="00364ED2" w:rsidRPr="0092230E">
        <w:rPr>
          <w:rFonts w:ascii="Arial" w:hAnsi="Arial" w:cs="Arial"/>
          <w:sz w:val="20"/>
        </w:rPr>
        <w:t>‘</w:t>
      </w:r>
      <w:r w:rsidR="00476373" w:rsidRPr="0092230E">
        <w:rPr>
          <w:rFonts w:ascii="Arial" w:hAnsi="Arial" w:cs="Arial"/>
          <w:sz w:val="20"/>
        </w:rPr>
        <w:t>ultimate Australian parent entity</w:t>
      </w:r>
      <w:r w:rsidR="00364ED2" w:rsidRPr="0092230E">
        <w:rPr>
          <w:rFonts w:ascii="Arial" w:hAnsi="Arial" w:cs="Arial"/>
          <w:sz w:val="20"/>
        </w:rPr>
        <w:t>’</w:t>
      </w:r>
      <w:r w:rsidR="00333C5C" w:rsidRPr="0092230E">
        <w:rPr>
          <w:rFonts w:ascii="Arial" w:hAnsi="Arial" w:cs="Arial"/>
          <w:sz w:val="20"/>
        </w:rPr>
        <w:t xml:space="preserve"> </w:t>
      </w:r>
      <w:r w:rsidRPr="0092230E">
        <w:rPr>
          <w:rFonts w:ascii="Arial" w:hAnsi="Arial" w:cs="Arial"/>
          <w:sz w:val="20"/>
        </w:rPr>
        <w:t xml:space="preserve">may </w:t>
      </w:r>
      <w:r w:rsidR="00333C5C" w:rsidRPr="0092230E">
        <w:rPr>
          <w:rFonts w:ascii="Arial" w:hAnsi="Arial" w:cs="Arial"/>
          <w:sz w:val="20"/>
        </w:rPr>
        <w:t xml:space="preserve">make </w:t>
      </w:r>
      <w:r w:rsidRPr="0092230E">
        <w:rPr>
          <w:rFonts w:ascii="Arial" w:hAnsi="Arial" w:cs="Arial"/>
          <w:sz w:val="20"/>
        </w:rPr>
        <w:t xml:space="preserve">certain </w:t>
      </w:r>
      <w:r w:rsidR="00333C5C" w:rsidRPr="0092230E">
        <w:rPr>
          <w:rFonts w:ascii="Arial" w:hAnsi="Arial" w:cs="Arial"/>
          <w:sz w:val="20"/>
        </w:rPr>
        <w:t xml:space="preserve">eligible revenue calculations under the </w:t>
      </w:r>
      <w:r w:rsidR="00D224DF">
        <w:rPr>
          <w:rFonts w:ascii="Arial" w:hAnsi="Arial" w:cs="Arial"/>
          <w:sz w:val="20"/>
        </w:rPr>
        <w:t>instrument</w:t>
      </w:r>
      <w:r w:rsidRPr="0092230E">
        <w:rPr>
          <w:rFonts w:ascii="Arial" w:hAnsi="Arial" w:cs="Arial"/>
          <w:sz w:val="20"/>
        </w:rPr>
        <w:t>, as a group or individually</w:t>
      </w:r>
      <w:r w:rsidR="00333C5C" w:rsidRPr="0092230E">
        <w:rPr>
          <w:rFonts w:ascii="Arial" w:hAnsi="Arial" w:cs="Arial"/>
          <w:sz w:val="20"/>
        </w:rPr>
        <w:t>.</w:t>
      </w:r>
      <w:r w:rsidR="00364ED2" w:rsidRPr="0092230E">
        <w:rPr>
          <w:rFonts w:ascii="Arial" w:hAnsi="Arial" w:cs="Arial"/>
          <w:sz w:val="20"/>
        </w:rPr>
        <w:t xml:space="preserve"> </w:t>
      </w:r>
      <w:r w:rsidR="003714F2" w:rsidRPr="0092230E">
        <w:rPr>
          <w:rFonts w:ascii="Arial" w:hAnsi="Arial" w:cs="Arial"/>
          <w:sz w:val="20"/>
        </w:rPr>
        <w:t xml:space="preserve">Section </w:t>
      </w:r>
      <w:r w:rsidR="001220F2">
        <w:rPr>
          <w:rFonts w:ascii="Arial" w:hAnsi="Arial" w:cs="Arial"/>
          <w:sz w:val="20"/>
        </w:rPr>
        <w:t>6</w:t>
      </w:r>
      <w:r w:rsidR="003714F2" w:rsidRPr="0092230E">
        <w:rPr>
          <w:rFonts w:ascii="Arial" w:hAnsi="Arial" w:cs="Arial"/>
          <w:sz w:val="20"/>
        </w:rPr>
        <w:t xml:space="preserve"> defines</w:t>
      </w:r>
      <w:r w:rsidR="00A6002B" w:rsidRPr="0092230E">
        <w:rPr>
          <w:rFonts w:ascii="Arial" w:hAnsi="Arial" w:cs="Arial"/>
          <w:sz w:val="20"/>
        </w:rPr>
        <w:t xml:space="preserve"> the</w:t>
      </w:r>
      <w:r w:rsidR="003714F2" w:rsidRPr="0092230E">
        <w:rPr>
          <w:rFonts w:ascii="Arial" w:hAnsi="Arial" w:cs="Arial"/>
          <w:sz w:val="20"/>
        </w:rPr>
        <w:t xml:space="preserve"> ‘ultimate Australian parent entity’ of a participating person as an entity described in that way under accounting </w:t>
      </w:r>
      <w:r w:rsidR="007015AC" w:rsidRPr="0092230E">
        <w:rPr>
          <w:rFonts w:ascii="Arial" w:hAnsi="Arial" w:cs="Arial"/>
          <w:sz w:val="20"/>
        </w:rPr>
        <w:t>methods</w:t>
      </w:r>
      <w:r w:rsidR="003714F2" w:rsidRPr="0092230E">
        <w:rPr>
          <w:rFonts w:ascii="Arial" w:hAnsi="Arial" w:cs="Arial"/>
          <w:sz w:val="20"/>
        </w:rPr>
        <w:t xml:space="preserve"> commonly used in Australia, and in the financial statements in which the participating person’s revenue is reported. </w:t>
      </w:r>
    </w:p>
    <w:p w14:paraId="2FA9F17F" w14:textId="637EEB03" w:rsidR="0038475C" w:rsidRPr="0092230E" w:rsidRDefault="0038475C" w:rsidP="003214EE">
      <w:pPr>
        <w:pStyle w:val="ABABulletLevel1"/>
        <w:spacing w:after="120"/>
        <w:rPr>
          <w:rFonts w:ascii="Arial" w:hAnsi="Arial" w:cs="Arial"/>
          <w:sz w:val="20"/>
        </w:rPr>
      </w:pPr>
      <w:r w:rsidRPr="0092230E">
        <w:rPr>
          <w:rFonts w:ascii="Arial" w:hAnsi="Arial" w:cs="Arial"/>
          <w:sz w:val="20"/>
        </w:rPr>
        <w:t xml:space="preserve">Subsection </w:t>
      </w:r>
      <w:r w:rsidR="006F1C8F" w:rsidRPr="0092230E">
        <w:rPr>
          <w:rFonts w:ascii="Arial" w:hAnsi="Arial" w:cs="Arial"/>
          <w:sz w:val="20"/>
        </w:rPr>
        <w:t>1</w:t>
      </w:r>
      <w:r w:rsidR="001220F2">
        <w:rPr>
          <w:rFonts w:ascii="Arial" w:hAnsi="Arial" w:cs="Arial"/>
          <w:sz w:val="20"/>
        </w:rPr>
        <w:t>3</w:t>
      </w:r>
      <w:r w:rsidRPr="0092230E">
        <w:rPr>
          <w:rFonts w:ascii="Arial" w:hAnsi="Arial" w:cs="Arial"/>
          <w:sz w:val="20"/>
        </w:rPr>
        <w:t xml:space="preserve">(2) </w:t>
      </w:r>
      <w:r w:rsidR="009E2907">
        <w:rPr>
          <w:rFonts w:ascii="Arial" w:hAnsi="Arial" w:cs="Arial"/>
          <w:sz w:val="20"/>
        </w:rPr>
        <w:t xml:space="preserve">of the instrument </w:t>
      </w:r>
      <w:r w:rsidRPr="0092230E">
        <w:rPr>
          <w:rFonts w:ascii="Arial" w:hAnsi="Arial" w:cs="Arial"/>
          <w:sz w:val="20"/>
        </w:rPr>
        <w:t xml:space="preserve">provides that </w:t>
      </w:r>
      <w:r w:rsidR="00B53264" w:rsidRPr="0092230E">
        <w:rPr>
          <w:rFonts w:ascii="Arial" w:hAnsi="Arial" w:cs="Arial"/>
          <w:sz w:val="20"/>
        </w:rPr>
        <w:t xml:space="preserve">where two or more participating persons have the same ultimate Australian parent entity, </w:t>
      </w:r>
      <w:r w:rsidRPr="0092230E">
        <w:rPr>
          <w:rFonts w:ascii="Arial" w:hAnsi="Arial" w:cs="Arial"/>
          <w:sz w:val="20"/>
        </w:rPr>
        <w:t>each participating person may make its calculation</w:t>
      </w:r>
      <w:r w:rsidR="009E2907">
        <w:rPr>
          <w:rFonts w:ascii="Arial" w:hAnsi="Arial" w:cs="Arial"/>
          <w:sz w:val="20"/>
        </w:rPr>
        <w:t>s</w:t>
      </w:r>
      <w:r w:rsidRPr="0092230E">
        <w:rPr>
          <w:rFonts w:ascii="Arial" w:hAnsi="Arial" w:cs="Arial"/>
          <w:sz w:val="20"/>
        </w:rPr>
        <w:t xml:space="preserve"> in accordance with the </w:t>
      </w:r>
      <w:proofErr w:type="gramStart"/>
      <w:r w:rsidR="00D224DF">
        <w:rPr>
          <w:rFonts w:ascii="Arial" w:hAnsi="Arial" w:cs="Arial"/>
          <w:sz w:val="20"/>
        </w:rPr>
        <w:t>instrument</w:t>
      </w:r>
      <w:r w:rsidRPr="0092230E">
        <w:rPr>
          <w:rFonts w:ascii="Arial" w:hAnsi="Arial" w:cs="Arial"/>
          <w:sz w:val="20"/>
        </w:rPr>
        <w:t xml:space="preserve"> in its own right</w:t>
      </w:r>
      <w:proofErr w:type="gramEnd"/>
      <w:r w:rsidRPr="0092230E">
        <w:rPr>
          <w:rFonts w:ascii="Arial" w:hAnsi="Arial" w:cs="Arial"/>
          <w:sz w:val="20"/>
        </w:rPr>
        <w:t xml:space="preserve">. </w:t>
      </w:r>
      <w:r w:rsidR="009E2907">
        <w:rPr>
          <w:rFonts w:ascii="Arial" w:hAnsi="Arial" w:cs="Arial"/>
          <w:sz w:val="20"/>
        </w:rPr>
        <w:t>As an alternative to subsection 13(2) of the instrument, u</w:t>
      </w:r>
      <w:r w:rsidR="00672C7D">
        <w:rPr>
          <w:rFonts w:ascii="Arial" w:hAnsi="Arial" w:cs="Arial"/>
          <w:sz w:val="20"/>
        </w:rPr>
        <w:t>nder s</w:t>
      </w:r>
      <w:r w:rsidRPr="0092230E">
        <w:rPr>
          <w:rFonts w:ascii="Arial" w:hAnsi="Arial" w:cs="Arial"/>
          <w:sz w:val="20"/>
        </w:rPr>
        <w:t xml:space="preserve">ubsection </w:t>
      </w:r>
      <w:r w:rsidR="007015AC" w:rsidRPr="0092230E">
        <w:rPr>
          <w:rFonts w:ascii="Arial" w:hAnsi="Arial" w:cs="Arial"/>
          <w:sz w:val="20"/>
        </w:rPr>
        <w:t>1</w:t>
      </w:r>
      <w:r w:rsidR="001220F2">
        <w:rPr>
          <w:rFonts w:ascii="Arial" w:hAnsi="Arial" w:cs="Arial"/>
          <w:sz w:val="20"/>
        </w:rPr>
        <w:t>3</w:t>
      </w:r>
      <w:r w:rsidRPr="0092230E">
        <w:rPr>
          <w:rFonts w:ascii="Arial" w:hAnsi="Arial" w:cs="Arial"/>
          <w:sz w:val="20"/>
        </w:rPr>
        <w:t>(3)</w:t>
      </w:r>
      <w:r w:rsidR="009E2907">
        <w:rPr>
          <w:rFonts w:ascii="Arial" w:hAnsi="Arial" w:cs="Arial"/>
          <w:sz w:val="20"/>
        </w:rPr>
        <w:t xml:space="preserve"> of the instrument,</w:t>
      </w:r>
      <w:r w:rsidRPr="0092230E">
        <w:rPr>
          <w:rFonts w:ascii="Arial" w:hAnsi="Arial" w:cs="Arial"/>
          <w:sz w:val="20"/>
        </w:rPr>
        <w:t xml:space="preserve"> participating persons with the same ultimate Australian parent entity may make all the calculations required</w:t>
      </w:r>
      <w:r w:rsidR="00B53264" w:rsidRPr="0092230E">
        <w:rPr>
          <w:rFonts w:ascii="Arial" w:hAnsi="Arial" w:cs="Arial"/>
          <w:sz w:val="20"/>
        </w:rPr>
        <w:t xml:space="preserve"> under Parts 3 or 4 of the </w:t>
      </w:r>
      <w:r w:rsidR="00D224DF">
        <w:rPr>
          <w:rFonts w:ascii="Arial" w:hAnsi="Arial" w:cs="Arial"/>
          <w:sz w:val="20"/>
        </w:rPr>
        <w:t>instrument</w:t>
      </w:r>
      <w:r w:rsidR="00B53264" w:rsidRPr="0092230E">
        <w:rPr>
          <w:rFonts w:ascii="Arial" w:hAnsi="Arial" w:cs="Arial"/>
          <w:sz w:val="20"/>
        </w:rPr>
        <w:t xml:space="preserve"> </w:t>
      </w:r>
      <w:r w:rsidRPr="0092230E">
        <w:rPr>
          <w:rFonts w:ascii="Arial" w:hAnsi="Arial" w:cs="Arial"/>
          <w:sz w:val="20"/>
        </w:rPr>
        <w:t>on a group basis</w:t>
      </w:r>
      <w:r w:rsidR="009E2907">
        <w:rPr>
          <w:rFonts w:ascii="Arial" w:hAnsi="Arial" w:cs="Arial"/>
          <w:sz w:val="20"/>
        </w:rPr>
        <w:t xml:space="preserve">, </w:t>
      </w:r>
      <w:r w:rsidR="009E2907" w:rsidRPr="00F50E8B">
        <w:rPr>
          <w:rFonts w:ascii="Arial" w:hAnsi="Arial" w:cs="Arial"/>
          <w:sz w:val="20"/>
        </w:rPr>
        <w:t xml:space="preserve">identifying and accounting for revenue and </w:t>
      </w:r>
      <w:proofErr w:type="gramStart"/>
      <w:r w:rsidR="009E2907" w:rsidRPr="00F50E8B">
        <w:rPr>
          <w:rFonts w:ascii="Arial" w:hAnsi="Arial" w:cs="Arial"/>
          <w:sz w:val="20"/>
        </w:rPr>
        <w:t>deductions as a whole</w:t>
      </w:r>
      <w:proofErr w:type="gramEnd"/>
      <w:r w:rsidRPr="009E2907">
        <w:rPr>
          <w:rFonts w:ascii="Arial" w:hAnsi="Arial" w:cs="Arial"/>
          <w:sz w:val="20"/>
        </w:rPr>
        <w:t>.</w:t>
      </w:r>
      <w:r w:rsidR="00E1585B">
        <w:rPr>
          <w:rFonts w:ascii="Arial" w:hAnsi="Arial" w:cs="Arial"/>
          <w:sz w:val="20"/>
        </w:rPr>
        <w:t xml:space="preserve"> </w:t>
      </w:r>
      <w:r w:rsidR="007F3B16">
        <w:rPr>
          <w:rFonts w:ascii="Arial" w:hAnsi="Arial" w:cs="Arial"/>
          <w:sz w:val="20"/>
        </w:rPr>
        <w:t xml:space="preserve">Where an entity calculates on a group basis in accordance with </w:t>
      </w:r>
      <w:r w:rsidR="00A379F4">
        <w:rPr>
          <w:rFonts w:ascii="Arial" w:hAnsi="Arial" w:cs="Arial"/>
          <w:sz w:val="20"/>
        </w:rPr>
        <w:t>subsection (3)</w:t>
      </w:r>
      <w:r w:rsidR="007F3B16">
        <w:rPr>
          <w:rFonts w:ascii="Arial" w:hAnsi="Arial" w:cs="Arial"/>
          <w:sz w:val="20"/>
        </w:rPr>
        <w:t xml:space="preserve">, this is described in </w:t>
      </w:r>
      <w:r w:rsidR="00E1585B">
        <w:rPr>
          <w:rFonts w:ascii="Arial" w:hAnsi="Arial" w:cs="Arial"/>
          <w:sz w:val="20"/>
        </w:rPr>
        <w:t xml:space="preserve">the instrument as </w:t>
      </w:r>
      <w:r w:rsidR="00443BB0">
        <w:rPr>
          <w:rFonts w:ascii="Arial" w:hAnsi="Arial" w:cs="Arial"/>
          <w:sz w:val="20"/>
        </w:rPr>
        <w:t>‘</w:t>
      </w:r>
      <w:r w:rsidR="00E1585B">
        <w:rPr>
          <w:rFonts w:ascii="Arial" w:hAnsi="Arial" w:cs="Arial"/>
          <w:sz w:val="20"/>
        </w:rPr>
        <w:t>accounting on a group basis</w:t>
      </w:r>
      <w:r w:rsidR="00443BB0">
        <w:rPr>
          <w:rFonts w:ascii="Arial" w:hAnsi="Arial" w:cs="Arial"/>
          <w:sz w:val="20"/>
        </w:rPr>
        <w:t>’</w:t>
      </w:r>
      <w:r w:rsidR="007F3B16">
        <w:rPr>
          <w:rFonts w:ascii="Arial" w:hAnsi="Arial" w:cs="Arial"/>
          <w:sz w:val="20"/>
        </w:rPr>
        <w:t>.</w:t>
      </w:r>
    </w:p>
    <w:p w14:paraId="25A251C2" w14:textId="1558BE24" w:rsidR="00B53264" w:rsidRPr="0092230E" w:rsidRDefault="00CA40C6" w:rsidP="003214EE">
      <w:pPr>
        <w:pStyle w:val="ABABulletLevel1"/>
        <w:spacing w:after="120"/>
        <w:rPr>
          <w:rFonts w:ascii="Arial" w:hAnsi="Arial" w:cs="Arial"/>
          <w:sz w:val="20"/>
        </w:rPr>
      </w:pPr>
      <w:r w:rsidRPr="0092230E">
        <w:rPr>
          <w:rFonts w:ascii="Arial" w:hAnsi="Arial" w:cs="Arial"/>
          <w:sz w:val="20"/>
        </w:rPr>
        <w:lastRenderedPageBreak/>
        <w:t xml:space="preserve">Under subsection </w:t>
      </w:r>
      <w:r w:rsidR="006F1C8F" w:rsidRPr="0092230E">
        <w:rPr>
          <w:rFonts w:ascii="Arial" w:hAnsi="Arial" w:cs="Arial"/>
          <w:sz w:val="20"/>
        </w:rPr>
        <w:t>1</w:t>
      </w:r>
      <w:r w:rsidR="009A7D0D">
        <w:rPr>
          <w:rFonts w:ascii="Arial" w:hAnsi="Arial" w:cs="Arial"/>
          <w:sz w:val="20"/>
        </w:rPr>
        <w:t>4</w:t>
      </w:r>
      <w:r w:rsidRPr="0092230E">
        <w:rPr>
          <w:rFonts w:ascii="Arial" w:hAnsi="Arial" w:cs="Arial"/>
          <w:sz w:val="20"/>
        </w:rPr>
        <w:t>(2)</w:t>
      </w:r>
      <w:r w:rsidR="009E2907">
        <w:rPr>
          <w:rFonts w:ascii="Arial" w:hAnsi="Arial" w:cs="Arial"/>
          <w:sz w:val="20"/>
        </w:rPr>
        <w:t xml:space="preserve"> of the instrument</w:t>
      </w:r>
      <w:r w:rsidRPr="0092230E">
        <w:rPr>
          <w:rFonts w:ascii="Arial" w:hAnsi="Arial" w:cs="Arial"/>
          <w:sz w:val="20"/>
        </w:rPr>
        <w:t xml:space="preserve">, where participating persons have the same ultimate Australian parent entity, the starting point for calculating eligible revenue is the consolidated financial statements of the </w:t>
      </w:r>
      <w:r w:rsidR="009E2907">
        <w:rPr>
          <w:rFonts w:ascii="Arial" w:hAnsi="Arial" w:cs="Arial"/>
          <w:sz w:val="20"/>
        </w:rPr>
        <w:t xml:space="preserve">ultimate Australian </w:t>
      </w:r>
      <w:r w:rsidRPr="0092230E">
        <w:rPr>
          <w:rFonts w:ascii="Arial" w:hAnsi="Arial" w:cs="Arial"/>
          <w:sz w:val="20"/>
        </w:rPr>
        <w:t>parent entity. Using consolidated financial statements reduces opportunities for minimising ‘eligible revenue’, allows for the elimination of payments between participating persons within a corporate group</w:t>
      </w:r>
      <w:r w:rsidR="0038475C" w:rsidRPr="0092230E">
        <w:rPr>
          <w:rFonts w:ascii="Arial" w:hAnsi="Arial" w:cs="Arial"/>
          <w:sz w:val="20"/>
        </w:rPr>
        <w:t xml:space="preserve"> </w:t>
      </w:r>
      <w:r w:rsidRPr="0092230E">
        <w:rPr>
          <w:rFonts w:ascii="Arial" w:hAnsi="Arial" w:cs="Arial"/>
          <w:sz w:val="20"/>
        </w:rPr>
        <w:t xml:space="preserve">and provides for a more comprehensive audit trail. </w:t>
      </w:r>
    </w:p>
    <w:p w14:paraId="5F273C6E" w14:textId="52469DB5" w:rsidR="002A164D" w:rsidRPr="0092230E" w:rsidRDefault="00CA40C6" w:rsidP="003214EE">
      <w:pPr>
        <w:pStyle w:val="ABABulletLevel1"/>
        <w:spacing w:after="120"/>
        <w:rPr>
          <w:rFonts w:ascii="Arial" w:hAnsi="Arial" w:cs="Arial"/>
          <w:sz w:val="20"/>
        </w:rPr>
      </w:pPr>
      <w:r w:rsidRPr="0092230E">
        <w:rPr>
          <w:rFonts w:ascii="Arial" w:hAnsi="Arial" w:cs="Arial"/>
          <w:sz w:val="20"/>
        </w:rPr>
        <w:t>Using consolidated financial statements also allow</w:t>
      </w:r>
      <w:r w:rsidR="00A61CD8" w:rsidRPr="0092230E">
        <w:rPr>
          <w:rFonts w:ascii="Arial" w:hAnsi="Arial" w:cs="Arial"/>
          <w:sz w:val="20"/>
        </w:rPr>
        <w:t>s</w:t>
      </w:r>
      <w:r w:rsidRPr="0092230E">
        <w:rPr>
          <w:rFonts w:ascii="Arial" w:hAnsi="Arial" w:cs="Arial"/>
          <w:sz w:val="20"/>
        </w:rPr>
        <w:t xml:space="preserve"> participating persons to make some calculations on a group basis. Section </w:t>
      </w:r>
      <w:r w:rsidR="006F1C8F" w:rsidRPr="0092230E">
        <w:rPr>
          <w:rFonts w:ascii="Arial" w:hAnsi="Arial" w:cs="Arial"/>
          <w:sz w:val="20"/>
        </w:rPr>
        <w:t>3</w:t>
      </w:r>
      <w:r w:rsidR="00907988">
        <w:rPr>
          <w:rFonts w:ascii="Arial" w:hAnsi="Arial" w:cs="Arial"/>
          <w:sz w:val="20"/>
        </w:rPr>
        <w:t>8</w:t>
      </w:r>
      <w:r w:rsidR="006F1C8F" w:rsidRPr="0092230E">
        <w:rPr>
          <w:rFonts w:ascii="Arial" w:hAnsi="Arial" w:cs="Arial"/>
          <w:sz w:val="20"/>
        </w:rPr>
        <w:t xml:space="preserve"> </w:t>
      </w:r>
      <w:r w:rsidR="009E2907">
        <w:rPr>
          <w:rFonts w:ascii="Arial" w:hAnsi="Arial" w:cs="Arial"/>
          <w:sz w:val="20"/>
        </w:rPr>
        <w:t xml:space="preserve">of the instrument </w:t>
      </w:r>
      <w:r w:rsidRPr="0092230E">
        <w:rPr>
          <w:rFonts w:ascii="Arial" w:hAnsi="Arial" w:cs="Arial"/>
          <w:sz w:val="20"/>
        </w:rPr>
        <w:t>provides for the attribution of eligible revenue to individual participating persons where eligible revenue is being worked out by the participating person using the method of accounting on a group basis.</w:t>
      </w:r>
    </w:p>
    <w:p w14:paraId="7F462BF3" w14:textId="77777777" w:rsidR="002642D5" w:rsidRDefault="002642D5" w:rsidP="003214EE">
      <w:pPr>
        <w:pStyle w:val="ABABulletLevel1"/>
        <w:spacing w:after="120"/>
        <w:rPr>
          <w:rFonts w:ascii="Arial" w:hAnsi="Arial" w:cs="Arial"/>
          <w:sz w:val="20"/>
        </w:rPr>
      </w:pPr>
    </w:p>
    <w:p w14:paraId="421105A9" w14:textId="482E1657" w:rsidR="00407BAA" w:rsidRPr="0092230E" w:rsidRDefault="00476373" w:rsidP="006C14CA">
      <w:pPr>
        <w:pStyle w:val="ABABulletLevel1"/>
        <w:keepNext/>
        <w:spacing w:after="120"/>
        <w:rPr>
          <w:rFonts w:ascii="Arial" w:hAnsi="Arial" w:cs="Arial"/>
          <w:b/>
          <w:i/>
          <w:sz w:val="20"/>
        </w:rPr>
      </w:pPr>
      <w:r w:rsidRPr="0092230E">
        <w:rPr>
          <w:rFonts w:ascii="Arial" w:hAnsi="Arial" w:cs="Arial"/>
          <w:b/>
          <w:sz w:val="20"/>
        </w:rPr>
        <w:t xml:space="preserve">Section </w:t>
      </w:r>
      <w:r w:rsidR="00067542" w:rsidRPr="0092230E">
        <w:rPr>
          <w:rFonts w:ascii="Arial" w:hAnsi="Arial" w:cs="Arial"/>
          <w:b/>
          <w:sz w:val="20"/>
        </w:rPr>
        <w:t>1</w:t>
      </w:r>
      <w:r w:rsidR="00A93265">
        <w:rPr>
          <w:rFonts w:ascii="Arial" w:hAnsi="Arial" w:cs="Arial"/>
          <w:b/>
          <w:sz w:val="20"/>
        </w:rPr>
        <w:t>4</w:t>
      </w:r>
      <w:r w:rsidR="00067542" w:rsidRPr="0092230E">
        <w:rPr>
          <w:rFonts w:ascii="Arial" w:hAnsi="Arial" w:cs="Arial"/>
          <w:b/>
          <w:sz w:val="20"/>
        </w:rPr>
        <w:t xml:space="preserve"> </w:t>
      </w:r>
      <w:r w:rsidRPr="0092230E">
        <w:rPr>
          <w:rFonts w:ascii="Arial" w:hAnsi="Arial" w:cs="Arial"/>
          <w:b/>
          <w:sz w:val="20"/>
        </w:rPr>
        <w:t>– Sales revenue</w:t>
      </w:r>
    </w:p>
    <w:p w14:paraId="2212EBF4" w14:textId="2F525FF1" w:rsidR="007F0C84" w:rsidRPr="0092230E" w:rsidRDefault="007F0C84" w:rsidP="00407BAA">
      <w:pPr>
        <w:pStyle w:val="ABABulletLevel1"/>
        <w:spacing w:after="120"/>
        <w:rPr>
          <w:rFonts w:ascii="Arial" w:hAnsi="Arial" w:cs="Arial"/>
          <w:sz w:val="20"/>
        </w:rPr>
      </w:pPr>
      <w:r w:rsidRPr="0092230E">
        <w:rPr>
          <w:rFonts w:ascii="Arial" w:hAnsi="Arial" w:cs="Arial"/>
          <w:sz w:val="20"/>
        </w:rPr>
        <w:t xml:space="preserve">Subsection </w:t>
      </w:r>
      <w:r w:rsidR="00140AB0" w:rsidRPr="0092230E">
        <w:rPr>
          <w:rFonts w:ascii="Arial" w:hAnsi="Arial" w:cs="Arial"/>
          <w:sz w:val="20"/>
        </w:rPr>
        <w:t>1</w:t>
      </w:r>
      <w:r w:rsidR="00A93265">
        <w:rPr>
          <w:rFonts w:ascii="Arial" w:hAnsi="Arial" w:cs="Arial"/>
          <w:sz w:val="20"/>
        </w:rPr>
        <w:t>4</w:t>
      </w:r>
      <w:r w:rsidRPr="0092230E">
        <w:rPr>
          <w:rFonts w:ascii="Arial" w:hAnsi="Arial" w:cs="Arial"/>
          <w:sz w:val="20"/>
        </w:rPr>
        <w:t>(1)</w:t>
      </w:r>
      <w:r w:rsidR="00407BAA" w:rsidRPr="0092230E">
        <w:rPr>
          <w:rFonts w:ascii="Arial" w:hAnsi="Arial" w:cs="Arial"/>
          <w:sz w:val="20"/>
        </w:rPr>
        <w:t xml:space="preserve"> </w:t>
      </w:r>
      <w:r w:rsidR="00E9073F">
        <w:rPr>
          <w:rFonts w:ascii="Arial" w:hAnsi="Arial" w:cs="Arial"/>
          <w:sz w:val="20"/>
        </w:rPr>
        <w:t xml:space="preserve">of the instrument </w:t>
      </w:r>
      <w:r w:rsidR="00407BAA" w:rsidRPr="0092230E">
        <w:rPr>
          <w:rFonts w:ascii="Arial" w:hAnsi="Arial" w:cs="Arial"/>
          <w:sz w:val="20"/>
        </w:rPr>
        <w:t xml:space="preserve">states that the sales revenue </w:t>
      </w:r>
      <w:r w:rsidRPr="0092230E">
        <w:rPr>
          <w:rFonts w:ascii="Arial" w:hAnsi="Arial" w:cs="Arial"/>
          <w:sz w:val="20"/>
        </w:rPr>
        <w:t xml:space="preserve">of a participating person, consolidated related party or declared related party </w:t>
      </w:r>
      <w:r w:rsidR="00407BAA" w:rsidRPr="0092230E">
        <w:rPr>
          <w:rFonts w:ascii="Arial" w:hAnsi="Arial" w:cs="Arial"/>
          <w:sz w:val="20"/>
        </w:rPr>
        <w:t xml:space="preserve">for </w:t>
      </w:r>
      <w:r w:rsidRPr="0092230E">
        <w:rPr>
          <w:rFonts w:ascii="Arial" w:hAnsi="Arial" w:cs="Arial"/>
          <w:sz w:val="20"/>
        </w:rPr>
        <w:t xml:space="preserve">an </w:t>
      </w:r>
      <w:r w:rsidR="00407BAA" w:rsidRPr="0092230E">
        <w:rPr>
          <w:rFonts w:ascii="Arial" w:hAnsi="Arial" w:cs="Arial"/>
          <w:sz w:val="20"/>
        </w:rPr>
        <w:t xml:space="preserve">eligible revenue period is to be </w:t>
      </w:r>
      <w:r w:rsidR="00B63D71" w:rsidRPr="0092230E">
        <w:rPr>
          <w:rFonts w:ascii="Arial" w:hAnsi="Arial" w:cs="Arial"/>
          <w:sz w:val="20"/>
        </w:rPr>
        <w:t xml:space="preserve">worked out </w:t>
      </w:r>
      <w:r w:rsidR="00407BAA" w:rsidRPr="0092230E">
        <w:rPr>
          <w:rFonts w:ascii="Arial" w:hAnsi="Arial" w:cs="Arial"/>
          <w:sz w:val="20"/>
        </w:rPr>
        <w:t xml:space="preserve">from particular sources identified in subsections </w:t>
      </w:r>
      <w:r w:rsidR="00476373" w:rsidRPr="0092230E">
        <w:rPr>
          <w:rFonts w:ascii="Arial" w:hAnsi="Arial" w:cs="Arial"/>
          <w:sz w:val="20"/>
        </w:rPr>
        <w:t>1</w:t>
      </w:r>
      <w:r w:rsidR="001B22DA">
        <w:rPr>
          <w:rFonts w:ascii="Arial" w:hAnsi="Arial" w:cs="Arial"/>
          <w:sz w:val="20"/>
        </w:rPr>
        <w:t>4</w:t>
      </w:r>
      <w:r w:rsidR="00476373" w:rsidRPr="0092230E">
        <w:rPr>
          <w:rFonts w:ascii="Arial" w:hAnsi="Arial" w:cs="Arial"/>
          <w:sz w:val="20"/>
        </w:rPr>
        <w:t>(2) and 1</w:t>
      </w:r>
      <w:r w:rsidR="001B22DA">
        <w:rPr>
          <w:rFonts w:ascii="Arial" w:hAnsi="Arial" w:cs="Arial"/>
          <w:sz w:val="20"/>
        </w:rPr>
        <w:t>4</w:t>
      </w:r>
      <w:r w:rsidR="00476373" w:rsidRPr="0092230E">
        <w:rPr>
          <w:rFonts w:ascii="Arial" w:hAnsi="Arial" w:cs="Arial"/>
          <w:sz w:val="20"/>
        </w:rPr>
        <w:t>(4)</w:t>
      </w:r>
      <w:r w:rsidR="00E9073F">
        <w:rPr>
          <w:rFonts w:ascii="Arial" w:hAnsi="Arial" w:cs="Arial"/>
          <w:sz w:val="20"/>
        </w:rPr>
        <w:t xml:space="preserve"> of the instrument</w:t>
      </w:r>
      <w:r w:rsidR="00B00772" w:rsidRPr="0092230E">
        <w:rPr>
          <w:rFonts w:ascii="Arial" w:hAnsi="Arial" w:cs="Arial"/>
          <w:sz w:val="20"/>
        </w:rPr>
        <w:t xml:space="preserve"> to identify the reven</w:t>
      </w:r>
      <w:r w:rsidR="000526B4" w:rsidRPr="0092230E">
        <w:rPr>
          <w:rFonts w:ascii="Arial" w:hAnsi="Arial" w:cs="Arial"/>
          <w:sz w:val="20"/>
        </w:rPr>
        <w:t>u</w:t>
      </w:r>
      <w:r w:rsidR="00B00772" w:rsidRPr="0092230E">
        <w:rPr>
          <w:rFonts w:ascii="Arial" w:hAnsi="Arial" w:cs="Arial"/>
          <w:sz w:val="20"/>
        </w:rPr>
        <w:t xml:space="preserve">e for the ‘relevant period’ (being the period during the eligible revenue period in which the participating person </w:t>
      </w:r>
      <w:r w:rsidR="00531688">
        <w:rPr>
          <w:rFonts w:ascii="Arial" w:hAnsi="Arial" w:cs="Arial"/>
          <w:sz w:val="20"/>
        </w:rPr>
        <w:t>is a carrier</w:t>
      </w:r>
      <w:r w:rsidR="00B00772" w:rsidRPr="0092230E">
        <w:rPr>
          <w:rFonts w:ascii="Arial" w:hAnsi="Arial" w:cs="Arial"/>
          <w:sz w:val="20"/>
        </w:rPr>
        <w:t>, is a participating carriage service provider</w:t>
      </w:r>
      <w:r w:rsidR="00807D74">
        <w:rPr>
          <w:rFonts w:ascii="Arial" w:hAnsi="Arial" w:cs="Arial"/>
          <w:sz w:val="20"/>
        </w:rPr>
        <w:t xml:space="preserve"> or a </w:t>
      </w:r>
      <w:r w:rsidR="00CE1E73">
        <w:rPr>
          <w:rFonts w:ascii="Arial" w:hAnsi="Arial" w:cs="Arial"/>
          <w:sz w:val="20"/>
        </w:rPr>
        <w:t xml:space="preserve">prescribed </w:t>
      </w:r>
      <w:r w:rsidR="00807D74">
        <w:rPr>
          <w:rFonts w:ascii="Arial" w:hAnsi="Arial" w:cs="Arial"/>
          <w:sz w:val="20"/>
        </w:rPr>
        <w:t>participating person</w:t>
      </w:r>
      <w:r w:rsidR="00B00772" w:rsidRPr="0092230E">
        <w:rPr>
          <w:rFonts w:ascii="Arial" w:hAnsi="Arial" w:cs="Arial"/>
          <w:sz w:val="20"/>
        </w:rPr>
        <w:t>)</w:t>
      </w:r>
      <w:r w:rsidR="00476373" w:rsidRPr="0092230E">
        <w:rPr>
          <w:rFonts w:ascii="Arial" w:hAnsi="Arial" w:cs="Arial"/>
          <w:sz w:val="20"/>
        </w:rPr>
        <w:t>.</w:t>
      </w:r>
      <w:r w:rsidR="002E21E5">
        <w:rPr>
          <w:rFonts w:ascii="Arial" w:hAnsi="Arial" w:cs="Arial"/>
          <w:sz w:val="20"/>
        </w:rPr>
        <w:t xml:space="preserve">  </w:t>
      </w:r>
    </w:p>
    <w:p w14:paraId="4AF2B506" w14:textId="7055286E" w:rsidR="00B63D71" w:rsidRPr="0092230E" w:rsidRDefault="00B63D71" w:rsidP="003214EE">
      <w:pPr>
        <w:pStyle w:val="ABABulletLevel1"/>
        <w:spacing w:after="120"/>
        <w:rPr>
          <w:rFonts w:ascii="Arial" w:hAnsi="Arial" w:cs="Arial"/>
          <w:sz w:val="20"/>
        </w:rPr>
      </w:pPr>
      <w:r w:rsidRPr="0092230E">
        <w:rPr>
          <w:rFonts w:ascii="Arial" w:hAnsi="Arial" w:cs="Arial"/>
          <w:sz w:val="20"/>
        </w:rPr>
        <w:t xml:space="preserve">Subsection </w:t>
      </w:r>
      <w:r w:rsidR="002A3D23" w:rsidRPr="0092230E">
        <w:rPr>
          <w:rFonts w:ascii="Arial" w:hAnsi="Arial" w:cs="Arial"/>
          <w:sz w:val="20"/>
        </w:rPr>
        <w:t>1</w:t>
      </w:r>
      <w:r w:rsidR="001B22DA">
        <w:rPr>
          <w:rFonts w:ascii="Arial" w:hAnsi="Arial" w:cs="Arial"/>
          <w:sz w:val="20"/>
        </w:rPr>
        <w:t>4</w:t>
      </w:r>
      <w:r w:rsidRPr="0092230E">
        <w:rPr>
          <w:rFonts w:ascii="Arial" w:hAnsi="Arial" w:cs="Arial"/>
          <w:sz w:val="20"/>
        </w:rPr>
        <w:t>(2)</w:t>
      </w:r>
      <w:r w:rsidR="00E9073F">
        <w:rPr>
          <w:rFonts w:ascii="Arial" w:hAnsi="Arial" w:cs="Arial"/>
          <w:sz w:val="20"/>
        </w:rPr>
        <w:t xml:space="preserve"> of the instrument</w:t>
      </w:r>
      <w:r w:rsidRPr="0092230E">
        <w:rPr>
          <w:rFonts w:ascii="Arial" w:hAnsi="Arial" w:cs="Arial"/>
          <w:sz w:val="20"/>
        </w:rPr>
        <w:t xml:space="preserve"> identif</w:t>
      </w:r>
      <w:r w:rsidR="00C1489A" w:rsidRPr="0092230E">
        <w:rPr>
          <w:rFonts w:ascii="Arial" w:hAnsi="Arial" w:cs="Arial"/>
          <w:sz w:val="20"/>
        </w:rPr>
        <w:t>ies</w:t>
      </w:r>
      <w:r w:rsidRPr="0092230E">
        <w:rPr>
          <w:rFonts w:ascii="Arial" w:hAnsi="Arial" w:cs="Arial"/>
          <w:sz w:val="20"/>
        </w:rPr>
        <w:t xml:space="preserve"> the sources from which sales revenue is to </w:t>
      </w:r>
      <w:r w:rsidR="00906830" w:rsidRPr="0092230E">
        <w:rPr>
          <w:rFonts w:ascii="Arial" w:hAnsi="Arial" w:cs="Arial"/>
          <w:sz w:val="20"/>
        </w:rPr>
        <w:t xml:space="preserve">be </w:t>
      </w:r>
      <w:r w:rsidRPr="0092230E">
        <w:rPr>
          <w:rFonts w:ascii="Arial" w:hAnsi="Arial" w:cs="Arial"/>
          <w:sz w:val="20"/>
        </w:rPr>
        <w:t>worked out</w:t>
      </w:r>
      <w:r w:rsidR="00277B3B" w:rsidRPr="0092230E">
        <w:rPr>
          <w:rFonts w:ascii="Arial" w:hAnsi="Arial" w:cs="Arial"/>
          <w:sz w:val="20"/>
        </w:rPr>
        <w:t xml:space="preserve"> as follows</w:t>
      </w:r>
      <w:r w:rsidR="00906830" w:rsidRPr="0092230E">
        <w:rPr>
          <w:rFonts w:ascii="Arial" w:hAnsi="Arial" w:cs="Arial"/>
          <w:sz w:val="20"/>
        </w:rPr>
        <w:t>:</w:t>
      </w:r>
    </w:p>
    <w:p w14:paraId="5C1788A9" w14:textId="77777777" w:rsidR="00702C3D" w:rsidRPr="0092230E" w:rsidRDefault="00906830">
      <w:pPr>
        <w:pStyle w:val="ABABulletLevel1"/>
        <w:numPr>
          <w:ilvl w:val="0"/>
          <w:numId w:val="22"/>
        </w:numPr>
        <w:spacing w:after="120"/>
        <w:rPr>
          <w:rFonts w:ascii="Arial" w:hAnsi="Arial" w:cs="Arial"/>
          <w:sz w:val="20"/>
        </w:rPr>
      </w:pPr>
      <w:r w:rsidRPr="0092230E">
        <w:rPr>
          <w:rFonts w:ascii="Arial" w:hAnsi="Arial" w:cs="Arial"/>
          <w:sz w:val="20"/>
        </w:rPr>
        <w:t xml:space="preserve">where a participating person’s </w:t>
      </w:r>
      <w:r w:rsidR="00277B3B" w:rsidRPr="0092230E">
        <w:rPr>
          <w:rFonts w:ascii="Arial" w:hAnsi="Arial" w:cs="Arial"/>
          <w:sz w:val="20"/>
        </w:rPr>
        <w:t xml:space="preserve">sales </w:t>
      </w:r>
      <w:r w:rsidRPr="0092230E">
        <w:rPr>
          <w:rFonts w:ascii="Arial" w:hAnsi="Arial" w:cs="Arial"/>
          <w:sz w:val="20"/>
        </w:rPr>
        <w:t>revenue is included in the consolidated financial statements of an ultimate Australian parent entity</w:t>
      </w:r>
      <w:r w:rsidR="00B3189A" w:rsidRPr="0092230E">
        <w:rPr>
          <w:rFonts w:ascii="Arial" w:hAnsi="Arial" w:cs="Arial"/>
          <w:sz w:val="20"/>
        </w:rPr>
        <w:t>,</w:t>
      </w:r>
      <w:r w:rsidR="00277B3B" w:rsidRPr="0092230E">
        <w:rPr>
          <w:rFonts w:ascii="Arial" w:hAnsi="Arial" w:cs="Arial"/>
          <w:sz w:val="20"/>
        </w:rPr>
        <w:t xml:space="preserve"> the sources are:</w:t>
      </w:r>
    </w:p>
    <w:p w14:paraId="0DE2A14D" w14:textId="77777777" w:rsidR="00702C3D" w:rsidRPr="0092230E" w:rsidRDefault="00277B3B">
      <w:pPr>
        <w:pStyle w:val="ABABulletLevel1"/>
        <w:numPr>
          <w:ilvl w:val="1"/>
          <w:numId w:val="22"/>
        </w:numPr>
        <w:spacing w:after="120"/>
        <w:rPr>
          <w:rFonts w:ascii="Arial" w:hAnsi="Arial" w:cs="Arial"/>
          <w:sz w:val="20"/>
        </w:rPr>
      </w:pPr>
      <w:r w:rsidRPr="0092230E">
        <w:rPr>
          <w:rFonts w:ascii="Arial" w:hAnsi="Arial" w:cs="Arial"/>
          <w:sz w:val="20"/>
        </w:rPr>
        <w:t>the most recent audited financial statements of the ultimate Australian parent entity; or</w:t>
      </w:r>
    </w:p>
    <w:p w14:paraId="4A52BBA6" w14:textId="77777777" w:rsidR="00702C3D" w:rsidRPr="0092230E" w:rsidRDefault="00277B3B">
      <w:pPr>
        <w:pStyle w:val="ABABulletLevel1"/>
        <w:numPr>
          <w:ilvl w:val="1"/>
          <w:numId w:val="22"/>
        </w:numPr>
        <w:spacing w:after="120"/>
        <w:rPr>
          <w:rFonts w:ascii="Arial" w:hAnsi="Arial" w:cs="Arial"/>
          <w:sz w:val="20"/>
        </w:rPr>
      </w:pPr>
      <w:r w:rsidRPr="0092230E">
        <w:rPr>
          <w:rFonts w:ascii="Arial" w:hAnsi="Arial" w:cs="Arial"/>
          <w:sz w:val="20"/>
        </w:rPr>
        <w:t>if the ultimate Australian parent entity is not required to audit its financial statements – the most recent financial statements of the ultimate Australian parent entity</w:t>
      </w:r>
      <w:r w:rsidR="00906830" w:rsidRPr="0092230E">
        <w:rPr>
          <w:rFonts w:ascii="Arial" w:hAnsi="Arial" w:cs="Arial"/>
          <w:sz w:val="20"/>
        </w:rPr>
        <w:t>;</w:t>
      </w:r>
      <w:r w:rsidRPr="0092230E">
        <w:rPr>
          <w:rFonts w:ascii="Arial" w:hAnsi="Arial" w:cs="Arial"/>
          <w:sz w:val="20"/>
        </w:rPr>
        <w:t xml:space="preserve"> and</w:t>
      </w:r>
    </w:p>
    <w:p w14:paraId="62F59D61" w14:textId="77777777" w:rsidR="00702C3D" w:rsidRPr="0092230E" w:rsidRDefault="00906830">
      <w:pPr>
        <w:pStyle w:val="ABABulletLevel1"/>
        <w:numPr>
          <w:ilvl w:val="0"/>
          <w:numId w:val="22"/>
        </w:numPr>
        <w:spacing w:after="120"/>
        <w:rPr>
          <w:rFonts w:ascii="Arial" w:hAnsi="Arial" w:cs="Arial"/>
          <w:sz w:val="20"/>
        </w:rPr>
      </w:pPr>
      <w:r w:rsidRPr="0092230E">
        <w:rPr>
          <w:rFonts w:ascii="Arial" w:hAnsi="Arial" w:cs="Arial"/>
          <w:sz w:val="20"/>
        </w:rPr>
        <w:t xml:space="preserve">where a participating person’s </w:t>
      </w:r>
      <w:r w:rsidR="00277B3B" w:rsidRPr="0092230E">
        <w:rPr>
          <w:rFonts w:ascii="Arial" w:hAnsi="Arial" w:cs="Arial"/>
          <w:sz w:val="20"/>
        </w:rPr>
        <w:t xml:space="preserve">sales </w:t>
      </w:r>
      <w:r w:rsidRPr="0092230E">
        <w:rPr>
          <w:rFonts w:ascii="Arial" w:hAnsi="Arial" w:cs="Arial"/>
          <w:sz w:val="20"/>
        </w:rPr>
        <w:t>revenue is not included in the consolidated financial statements of an ultimate Australian parent entity</w:t>
      </w:r>
      <w:r w:rsidR="00B3189A" w:rsidRPr="0092230E">
        <w:rPr>
          <w:rFonts w:ascii="Arial" w:hAnsi="Arial" w:cs="Arial"/>
          <w:sz w:val="20"/>
        </w:rPr>
        <w:t>,</w:t>
      </w:r>
      <w:r w:rsidRPr="0092230E">
        <w:rPr>
          <w:rFonts w:ascii="Arial" w:hAnsi="Arial" w:cs="Arial"/>
          <w:sz w:val="20"/>
        </w:rPr>
        <w:t xml:space="preserve"> </w:t>
      </w:r>
      <w:r w:rsidR="00277B3B" w:rsidRPr="0092230E">
        <w:rPr>
          <w:rFonts w:ascii="Arial" w:hAnsi="Arial" w:cs="Arial"/>
          <w:sz w:val="20"/>
        </w:rPr>
        <w:t>the sources are:</w:t>
      </w:r>
    </w:p>
    <w:p w14:paraId="03A3766C" w14:textId="77777777" w:rsidR="00277B3B" w:rsidRPr="0092230E" w:rsidRDefault="00277B3B" w:rsidP="00277B3B">
      <w:pPr>
        <w:pStyle w:val="ABABulletLevel1"/>
        <w:numPr>
          <w:ilvl w:val="1"/>
          <w:numId w:val="22"/>
        </w:numPr>
        <w:spacing w:after="120"/>
        <w:rPr>
          <w:rFonts w:ascii="Arial" w:hAnsi="Arial" w:cs="Arial"/>
          <w:sz w:val="20"/>
        </w:rPr>
      </w:pPr>
      <w:r w:rsidRPr="0092230E">
        <w:rPr>
          <w:rFonts w:ascii="Arial" w:hAnsi="Arial" w:cs="Arial"/>
          <w:sz w:val="20"/>
        </w:rPr>
        <w:t>the most recent audited financial statements</w:t>
      </w:r>
      <w:r w:rsidR="00991402" w:rsidRPr="0092230E">
        <w:rPr>
          <w:rFonts w:ascii="Arial" w:hAnsi="Arial" w:cs="Arial"/>
          <w:sz w:val="20"/>
        </w:rPr>
        <w:t xml:space="preserve"> including the sales revenue</w:t>
      </w:r>
      <w:r w:rsidRPr="0092230E">
        <w:rPr>
          <w:rFonts w:ascii="Arial" w:hAnsi="Arial" w:cs="Arial"/>
          <w:sz w:val="20"/>
        </w:rPr>
        <w:t xml:space="preserve"> of the participating person; or</w:t>
      </w:r>
    </w:p>
    <w:p w14:paraId="3102BB17" w14:textId="77777777" w:rsidR="00277B3B" w:rsidRPr="0092230E" w:rsidRDefault="00277B3B" w:rsidP="00277B3B">
      <w:pPr>
        <w:pStyle w:val="ABABulletLevel1"/>
        <w:numPr>
          <w:ilvl w:val="1"/>
          <w:numId w:val="22"/>
        </w:numPr>
        <w:spacing w:after="120"/>
        <w:rPr>
          <w:rFonts w:ascii="Arial" w:hAnsi="Arial" w:cs="Arial"/>
          <w:sz w:val="20"/>
        </w:rPr>
      </w:pPr>
      <w:r w:rsidRPr="0092230E">
        <w:rPr>
          <w:rFonts w:ascii="Arial" w:hAnsi="Arial" w:cs="Arial"/>
          <w:sz w:val="20"/>
        </w:rPr>
        <w:t xml:space="preserve">if the participating person is not required to audit its financial statements – the most recent financial statements </w:t>
      </w:r>
      <w:r w:rsidR="00991402" w:rsidRPr="0092230E">
        <w:rPr>
          <w:rFonts w:ascii="Arial" w:hAnsi="Arial" w:cs="Arial"/>
          <w:sz w:val="20"/>
        </w:rPr>
        <w:t xml:space="preserve">including the sales revenue </w:t>
      </w:r>
      <w:r w:rsidRPr="0092230E">
        <w:rPr>
          <w:rFonts w:ascii="Arial" w:hAnsi="Arial" w:cs="Arial"/>
          <w:sz w:val="20"/>
        </w:rPr>
        <w:t>of the participating person; and</w:t>
      </w:r>
    </w:p>
    <w:p w14:paraId="50D0417D" w14:textId="77777777" w:rsidR="00702C3D" w:rsidRPr="0092230E" w:rsidRDefault="00906830">
      <w:pPr>
        <w:pStyle w:val="ABABulletLevel1"/>
        <w:numPr>
          <w:ilvl w:val="0"/>
          <w:numId w:val="22"/>
        </w:numPr>
        <w:spacing w:after="120"/>
        <w:rPr>
          <w:rFonts w:ascii="Arial" w:hAnsi="Arial" w:cs="Arial"/>
          <w:sz w:val="20"/>
        </w:rPr>
      </w:pPr>
      <w:r w:rsidRPr="0092230E">
        <w:rPr>
          <w:rFonts w:ascii="Arial" w:hAnsi="Arial" w:cs="Arial"/>
          <w:sz w:val="20"/>
        </w:rPr>
        <w:t>for a declared related party</w:t>
      </w:r>
      <w:r w:rsidR="00B3189A" w:rsidRPr="0092230E">
        <w:rPr>
          <w:rFonts w:ascii="Arial" w:hAnsi="Arial" w:cs="Arial"/>
          <w:sz w:val="20"/>
        </w:rPr>
        <w:t>,</w:t>
      </w:r>
      <w:r w:rsidRPr="0092230E">
        <w:rPr>
          <w:rFonts w:ascii="Arial" w:hAnsi="Arial" w:cs="Arial"/>
          <w:sz w:val="20"/>
        </w:rPr>
        <w:t xml:space="preserve"> </w:t>
      </w:r>
      <w:r w:rsidR="00277B3B" w:rsidRPr="0092230E">
        <w:rPr>
          <w:rFonts w:ascii="Arial" w:hAnsi="Arial" w:cs="Arial"/>
          <w:sz w:val="20"/>
        </w:rPr>
        <w:t>the sources are:</w:t>
      </w:r>
    </w:p>
    <w:p w14:paraId="606D33F9" w14:textId="77777777" w:rsidR="00277B3B" w:rsidRPr="0092230E" w:rsidRDefault="00277B3B" w:rsidP="00277B3B">
      <w:pPr>
        <w:pStyle w:val="ABABulletLevel1"/>
        <w:numPr>
          <w:ilvl w:val="1"/>
          <w:numId w:val="22"/>
        </w:numPr>
        <w:spacing w:after="120"/>
        <w:rPr>
          <w:rFonts w:ascii="Arial" w:hAnsi="Arial" w:cs="Arial"/>
          <w:sz w:val="20"/>
        </w:rPr>
      </w:pPr>
      <w:r w:rsidRPr="0092230E">
        <w:rPr>
          <w:rFonts w:ascii="Arial" w:hAnsi="Arial" w:cs="Arial"/>
          <w:sz w:val="20"/>
        </w:rPr>
        <w:t>the most recent audited financial statements of the declared related party; or</w:t>
      </w:r>
    </w:p>
    <w:p w14:paraId="586FAFF2" w14:textId="77777777" w:rsidR="00277B3B" w:rsidRPr="0092230E" w:rsidRDefault="00277B3B" w:rsidP="00277B3B">
      <w:pPr>
        <w:pStyle w:val="ABABulletLevel1"/>
        <w:numPr>
          <w:ilvl w:val="1"/>
          <w:numId w:val="22"/>
        </w:numPr>
        <w:spacing w:after="120"/>
        <w:rPr>
          <w:rFonts w:ascii="Arial" w:hAnsi="Arial" w:cs="Arial"/>
          <w:sz w:val="20"/>
        </w:rPr>
      </w:pPr>
      <w:r w:rsidRPr="0092230E">
        <w:rPr>
          <w:rFonts w:ascii="Arial" w:hAnsi="Arial" w:cs="Arial"/>
          <w:sz w:val="20"/>
        </w:rPr>
        <w:t xml:space="preserve">if the declared related party is not required to audit its financial statements – the most recent financial statements </w:t>
      </w:r>
      <w:r w:rsidR="00991402" w:rsidRPr="0092230E">
        <w:rPr>
          <w:rFonts w:ascii="Arial" w:hAnsi="Arial" w:cs="Arial"/>
          <w:sz w:val="20"/>
        </w:rPr>
        <w:t xml:space="preserve">including the sales revenue </w:t>
      </w:r>
      <w:r w:rsidRPr="0092230E">
        <w:rPr>
          <w:rFonts w:ascii="Arial" w:hAnsi="Arial" w:cs="Arial"/>
          <w:sz w:val="20"/>
        </w:rPr>
        <w:t>of the declared related party.</w:t>
      </w:r>
    </w:p>
    <w:p w14:paraId="52A8B45A" w14:textId="710EAD68" w:rsidR="00385BE9" w:rsidRDefault="007F4839">
      <w:pPr>
        <w:pStyle w:val="ABABulletLevel1"/>
        <w:spacing w:after="120"/>
        <w:rPr>
          <w:rFonts w:ascii="Arial" w:hAnsi="Arial" w:cs="Arial"/>
          <w:sz w:val="20"/>
        </w:rPr>
      </w:pPr>
      <w:r w:rsidRPr="0092230E">
        <w:rPr>
          <w:rFonts w:ascii="Arial" w:hAnsi="Arial" w:cs="Arial"/>
          <w:sz w:val="20"/>
        </w:rPr>
        <w:t xml:space="preserve">The sources identified in </w:t>
      </w:r>
      <w:r w:rsidR="00C1489A" w:rsidRPr="0092230E">
        <w:rPr>
          <w:rFonts w:ascii="Arial" w:hAnsi="Arial" w:cs="Arial"/>
          <w:sz w:val="20"/>
        </w:rPr>
        <w:t>s</w:t>
      </w:r>
      <w:r w:rsidR="001C6282" w:rsidRPr="0092230E">
        <w:rPr>
          <w:rFonts w:ascii="Arial" w:hAnsi="Arial" w:cs="Arial"/>
          <w:sz w:val="20"/>
        </w:rPr>
        <w:t xml:space="preserve">ubsection </w:t>
      </w:r>
      <w:r w:rsidR="002A3D23" w:rsidRPr="0092230E">
        <w:rPr>
          <w:rFonts w:ascii="Arial" w:hAnsi="Arial" w:cs="Arial"/>
          <w:sz w:val="20"/>
        </w:rPr>
        <w:t>1</w:t>
      </w:r>
      <w:r w:rsidR="001B22DA">
        <w:rPr>
          <w:rFonts w:ascii="Arial" w:hAnsi="Arial" w:cs="Arial"/>
          <w:sz w:val="20"/>
        </w:rPr>
        <w:t>4</w:t>
      </w:r>
      <w:r w:rsidR="00476373" w:rsidRPr="0092230E">
        <w:rPr>
          <w:rFonts w:ascii="Arial" w:hAnsi="Arial" w:cs="Arial"/>
          <w:sz w:val="20"/>
        </w:rPr>
        <w:t>(2)</w:t>
      </w:r>
      <w:r w:rsidR="001C6282" w:rsidRPr="0092230E">
        <w:rPr>
          <w:rFonts w:ascii="Arial" w:hAnsi="Arial" w:cs="Arial"/>
          <w:sz w:val="20"/>
        </w:rPr>
        <w:t xml:space="preserve"> </w:t>
      </w:r>
      <w:r w:rsidR="00E9073F">
        <w:rPr>
          <w:rFonts w:ascii="Arial" w:hAnsi="Arial" w:cs="Arial"/>
          <w:sz w:val="20"/>
        </w:rPr>
        <w:t xml:space="preserve">of the instrument </w:t>
      </w:r>
      <w:r w:rsidR="001C6282" w:rsidRPr="0092230E">
        <w:rPr>
          <w:rFonts w:ascii="Arial" w:hAnsi="Arial" w:cs="Arial"/>
          <w:sz w:val="20"/>
        </w:rPr>
        <w:t xml:space="preserve">are the most recent financial statements for a period ending on or before the end of the </w:t>
      </w:r>
      <w:r w:rsidR="00E03B27" w:rsidRPr="0092230E">
        <w:rPr>
          <w:rFonts w:ascii="Arial" w:hAnsi="Arial" w:cs="Arial"/>
          <w:sz w:val="20"/>
        </w:rPr>
        <w:t xml:space="preserve">relevant </w:t>
      </w:r>
      <w:r w:rsidR="001C6282" w:rsidRPr="0092230E">
        <w:rPr>
          <w:rFonts w:ascii="Arial" w:hAnsi="Arial" w:cs="Arial"/>
          <w:sz w:val="20"/>
        </w:rPr>
        <w:t xml:space="preserve">eligible revenue period. </w:t>
      </w:r>
      <w:r w:rsidR="00385BE9" w:rsidRPr="0092230E">
        <w:rPr>
          <w:rFonts w:ascii="Arial" w:hAnsi="Arial" w:cs="Arial"/>
          <w:sz w:val="20"/>
        </w:rPr>
        <w:t xml:space="preserve">For example, </w:t>
      </w:r>
      <w:r w:rsidR="006B0C50">
        <w:rPr>
          <w:rFonts w:ascii="Arial" w:hAnsi="Arial" w:cs="Arial"/>
          <w:sz w:val="20"/>
        </w:rPr>
        <w:t xml:space="preserve">in working out </w:t>
      </w:r>
      <w:r w:rsidR="00497A0B">
        <w:rPr>
          <w:rFonts w:ascii="Arial" w:hAnsi="Arial" w:cs="Arial"/>
          <w:sz w:val="20"/>
        </w:rPr>
        <w:t>the sales revenue of a participating person for</w:t>
      </w:r>
      <w:r w:rsidR="006232E7">
        <w:rPr>
          <w:rFonts w:ascii="Arial" w:hAnsi="Arial" w:cs="Arial"/>
          <w:sz w:val="20"/>
        </w:rPr>
        <w:t xml:space="preserve"> </w:t>
      </w:r>
      <w:r w:rsidR="00385BE9" w:rsidRPr="0092230E">
        <w:rPr>
          <w:rFonts w:ascii="Arial" w:hAnsi="Arial" w:cs="Arial"/>
          <w:sz w:val="20"/>
        </w:rPr>
        <w:t>the eligible revenue period end</w:t>
      </w:r>
      <w:r w:rsidR="00385BE9">
        <w:rPr>
          <w:rFonts w:ascii="Arial" w:hAnsi="Arial" w:cs="Arial"/>
          <w:sz w:val="20"/>
        </w:rPr>
        <w:t>ing</w:t>
      </w:r>
      <w:r w:rsidR="00385BE9" w:rsidRPr="0092230E">
        <w:rPr>
          <w:rFonts w:ascii="Arial" w:hAnsi="Arial" w:cs="Arial"/>
          <w:sz w:val="20"/>
        </w:rPr>
        <w:t xml:space="preserve"> on 30 June 20</w:t>
      </w:r>
      <w:r w:rsidR="00CE52B3">
        <w:rPr>
          <w:rFonts w:ascii="Arial" w:hAnsi="Arial" w:cs="Arial"/>
          <w:sz w:val="20"/>
        </w:rPr>
        <w:t>2</w:t>
      </w:r>
      <w:r w:rsidR="00385BE9" w:rsidRPr="0092230E">
        <w:rPr>
          <w:rFonts w:ascii="Arial" w:hAnsi="Arial" w:cs="Arial"/>
          <w:sz w:val="20"/>
        </w:rPr>
        <w:t>6,</w:t>
      </w:r>
      <w:r w:rsidR="00065510">
        <w:rPr>
          <w:rFonts w:ascii="Arial" w:hAnsi="Arial" w:cs="Arial"/>
          <w:sz w:val="20"/>
        </w:rPr>
        <w:t xml:space="preserve"> the most recent audited financial statements</w:t>
      </w:r>
      <w:r w:rsidR="00675E68">
        <w:rPr>
          <w:rFonts w:ascii="Arial" w:hAnsi="Arial" w:cs="Arial"/>
          <w:sz w:val="20"/>
        </w:rPr>
        <w:t>,</w:t>
      </w:r>
      <w:r w:rsidR="00065510">
        <w:rPr>
          <w:rFonts w:ascii="Arial" w:hAnsi="Arial" w:cs="Arial"/>
          <w:sz w:val="20"/>
        </w:rPr>
        <w:t xml:space="preserve"> </w:t>
      </w:r>
      <w:r w:rsidR="006B0C50">
        <w:rPr>
          <w:rFonts w:ascii="Arial" w:hAnsi="Arial" w:cs="Arial"/>
          <w:sz w:val="20"/>
        </w:rPr>
        <w:t>including the sales revenue of</w:t>
      </w:r>
      <w:r w:rsidR="00065510">
        <w:rPr>
          <w:rFonts w:ascii="Arial" w:hAnsi="Arial" w:cs="Arial"/>
          <w:sz w:val="20"/>
        </w:rPr>
        <w:t xml:space="preserve"> </w:t>
      </w:r>
      <w:r w:rsidR="006B0C50">
        <w:rPr>
          <w:rFonts w:ascii="Arial" w:hAnsi="Arial" w:cs="Arial"/>
          <w:sz w:val="20"/>
        </w:rPr>
        <w:t>the</w:t>
      </w:r>
      <w:r w:rsidR="00065510">
        <w:rPr>
          <w:rFonts w:ascii="Arial" w:hAnsi="Arial" w:cs="Arial"/>
          <w:sz w:val="20"/>
        </w:rPr>
        <w:t xml:space="preserve"> participating person</w:t>
      </w:r>
      <w:r w:rsidR="00675E68">
        <w:rPr>
          <w:rFonts w:ascii="Arial" w:hAnsi="Arial" w:cs="Arial"/>
          <w:sz w:val="20"/>
        </w:rPr>
        <w:t>,</w:t>
      </w:r>
      <w:r w:rsidR="006232E7">
        <w:rPr>
          <w:rFonts w:ascii="Arial" w:hAnsi="Arial" w:cs="Arial"/>
          <w:sz w:val="20"/>
        </w:rPr>
        <w:t xml:space="preserve"> </w:t>
      </w:r>
      <w:r w:rsidR="00065510">
        <w:rPr>
          <w:rFonts w:ascii="Arial" w:hAnsi="Arial" w:cs="Arial"/>
          <w:sz w:val="20"/>
        </w:rPr>
        <w:t>for the period</w:t>
      </w:r>
      <w:r w:rsidR="007262D6">
        <w:rPr>
          <w:rFonts w:ascii="Arial" w:hAnsi="Arial" w:cs="Arial"/>
          <w:sz w:val="20"/>
        </w:rPr>
        <w:t xml:space="preserve"> from</w:t>
      </w:r>
      <w:r w:rsidR="00065510">
        <w:rPr>
          <w:rFonts w:ascii="Arial" w:hAnsi="Arial" w:cs="Arial"/>
          <w:sz w:val="20"/>
        </w:rPr>
        <w:t xml:space="preserve"> </w:t>
      </w:r>
      <w:r w:rsidR="006232E7">
        <w:rPr>
          <w:rFonts w:ascii="Arial" w:hAnsi="Arial" w:cs="Arial"/>
          <w:sz w:val="20"/>
        </w:rPr>
        <w:t>1</w:t>
      </w:r>
      <w:r w:rsidR="00065510">
        <w:rPr>
          <w:rFonts w:ascii="Arial" w:hAnsi="Arial" w:cs="Arial"/>
          <w:sz w:val="20"/>
        </w:rPr>
        <w:t xml:space="preserve"> April</w:t>
      </w:r>
      <w:r w:rsidR="007262D6">
        <w:rPr>
          <w:rFonts w:ascii="Arial" w:hAnsi="Arial" w:cs="Arial"/>
          <w:sz w:val="20"/>
        </w:rPr>
        <w:t xml:space="preserve"> 20</w:t>
      </w:r>
      <w:r w:rsidR="00CE52B3">
        <w:rPr>
          <w:rFonts w:ascii="Arial" w:hAnsi="Arial" w:cs="Arial"/>
          <w:sz w:val="20"/>
        </w:rPr>
        <w:t>2</w:t>
      </w:r>
      <w:r w:rsidR="007262D6">
        <w:rPr>
          <w:rFonts w:ascii="Arial" w:hAnsi="Arial" w:cs="Arial"/>
          <w:sz w:val="20"/>
        </w:rPr>
        <w:t xml:space="preserve">5 to 31 </w:t>
      </w:r>
      <w:r w:rsidR="006232E7">
        <w:rPr>
          <w:rFonts w:ascii="Arial" w:hAnsi="Arial" w:cs="Arial"/>
          <w:sz w:val="20"/>
        </w:rPr>
        <w:t>March</w:t>
      </w:r>
      <w:r w:rsidR="00065510">
        <w:rPr>
          <w:rFonts w:ascii="Arial" w:hAnsi="Arial" w:cs="Arial"/>
          <w:sz w:val="20"/>
        </w:rPr>
        <w:t xml:space="preserve"> 20</w:t>
      </w:r>
      <w:r w:rsidR="00CE52B3">
        <w:rPr>
          <w:rFonts w:ascii="Arial" w:hAnsi="Arial" w:cs="Arial"/>
          <w:sz w:val="20"/>
        </w:rPr>
        <w:t>2</w:t>
      </w:r>
      <w:r w:rsidR="00065510">
        <w:rPr>
          <w:rFonts w:ascii="Arial" w:hAnsi="Arial" w:cs="Arial"/>
          <w:sz w:val="20"/>
        </w:rPr>
        <w:t>6</w:t>
      </w:r>
      <w:r w:rsidR="006B0C50">
        <w:rPr>
          <w:rFonts w:ascii="Arial" w:hAnsi="Arial" w:cs="Arial"/>
          <w:sz w:val="20"/>
        </w:rPr>
        <w:t xml:space="preserve"> </w:t>
      </w:r>
      <w:r w:rsidR="00065510">
        <w:rPr>
          <w:rFonts w:ascii="Arial" w:hAnsi="Arial" w:cs="Arial"/>
          <w:sz w:val="20"/>
        </w:rPr>
        <w:t>could be used</w:t>
      </w:r>
      <w:r w:rsidR="006232E7">
        <w:rPr>
          <w:rFonts w:ascii="Arial" w:hAnsi="Arial" w:cs="Arial"/>
          <w:sz w:val="20"/>
        </w:rPr>
        <w:t xml:space="preserve"> </w:t>
      </w:r>
      <w:r w:rsidR="004218A1">
        <w:rPr>
          <w:rFonts w:ascii="Arial" w:hAnsi="Arial" w:cs="Arial"/>
          <w:sz w:val="20"/>
        </w:rPr>
        <w:t>because th</w:t>
      </w:r>
      <w:r w:rsidR="00810315">
        <w:rPr>
          <w:rFonts w:ascii="Arial" w:hAnsi="Arial" w:cs="Arial"/>
          <w:sz w:val="20"/>
        </w:rPr>
        <w:t>at</w:t>
      </w:r>
      <w:r w:rsidR="00675E68">
        <w:rPr>
          <w:rFonts w:ascii="Arial" w:hAnsi="Arial" w:cs="Arial"/>
          <w:sz w:val="20"/>
        </w:rPr>
        <w:t xml:space="preserve"> </w:t>
      </w:r>
      <w:r w:rsidR="00E1485A">
        <w:rPr>
          <w:rFonts w:ascii="Arial" w:hAnsi="Arial" w:cs="Arial"/>
          <w:sz w:val="20"/>
        </w:rPr>
        <w:t>period end</w:t>
      </w:r>
      <w:r w:rsidR="006232E7">
        <w:rPr>
          <w:rFonts w:ascii="Arial" w:hAnsi="Arial" w:cs="Arial"/>
          <w:sz w:val="20"/>
        </w:rPr>
        <w:t>s</w:t>
      </w:r>
      <w:r w:rsidR="00E1485A">
        <w:rPr>
          <w:rFonts w:ascii="Arial" w:hAnsi="Arial" w:cs="Arial"/>
          <w:sz w:val="20"/>
        </w:rPr>
        <w:t xml:space="preserve"> before the end of the relevant eligible revenue period</w:t>
      </w:r>
      <w:r w:rsidR="00065510">
        <w:rPr>
          <w:rFonts w:ascii="Arial" w:hAnsi="Arial" w:cs="Arial"/>
          <w:sz w:val="20"/>
        </w:rPr>
        <w:t>.</w:t>
      </w:r>
      <w:r w:rsidR="002E21E5">
        <w:rPr>
          <w:rFonts w:ascii="Arial" w:hAnsi="Arial" w:cs="Arial"/>
          <w:sz w:val="20"/>
        </w:rPr>
        <w:t xml:space="preserve"> </w:t>
      </w:r>
      <w:r w:rsidR="00065510">
        <w:rPr>
          <w:rFonts w:ascii="Arial" w:hAnsi="Arial" w:cs="Arial"/>
          <w:sz w:val="20"/>
        </w:rPr>
        <w:t xml:space="preserve">However, </w:t>
      </w:r>
      <w:r w:rsidR="00675E68">
        <w:rPr>
          <w:rFonts w:ascii="Arial" w:hAnsi="Arial" w:cs="Arial"/>
          <w:sz w:val="20"/>
        </w:rPr>
        <w:t>th</w:t>
      </w:r>
      <w:r w:rsidR="00E1485A">
        <w:rPr>
          <w:rFonts w:ascii="Arial" w:hAnsi="Arial" w:cs="Arial"/>
          <w:sz w:val="20"/>
        </w:rPr>
        <w:t>e</w:t>
      </w:r>
      <w:r w:rsidR="00675E68">
        <w:rPr>
          <w:rFonts w:ascii="Arial" w:hAnsi="Arial" w:cs="Arial"/>
          <w:sz w:val="20"/>
        </w:rPr>
        <w:t xml:space="preserve"> </w:t>
      </w:r>
      <w:r w:rsidR="00385BE9" w:rsidRPr="0092230E">
        <w:rPr>
          <w:rFonts w:ascii="Arial" w:hAnsi="Arial" w:cs="Arial"/>
          <w:sz w:val="20"/>
        </w:rPr>
        <w:t>audited financial statements for the period</w:t>
      </w:r>
      <w:r w:rsidR="00810315">
        <w:rPr>
          <w:rFonts w:ascii="Arial" w:hAnsi="Arial" w:cs="Arial"/>
          <w:sz w:val="20"/>
        </w:rPr>
        <w:t xml:space="preserve"> </w:t>
      </w:r>
      <w:r w:rsidR="007262D6">
        <w:rPr>
          <w:rFonts w:ascii="Arial" w:hAnsi="Arial" w:cs="Arial"/>
          <w:sz w:val="20"/>
        </w:rPr>
        <w:t xml:space="preserve">from </w:t>
      </w:r>
      <w:r w:rsidR="00810315">
        <w:rPr>
          <w:rFonts w:ascii="Arial" w:hAnsi="Arial" w:cs="Arial"/>
          <w:sz w:val="20"/>
        </w:rPr>
        <w:t>1 April 20</w:t>
      </w:r>
      <w:r w:rsidR="00CE52B3">
        <w:rPr>
          <w:rFonts w:ascii="Arial" w:hAnsi="Arial" w:cs="Arial"/>
          <w:sz w:val="20"/>
        </w:rPr>
        <w:t>2</w:t>
      </w:r>
      <w:r w:rsidR="00810315">
        <w:rPr>
          <w:rFonts w:ascii="Arial" w:hAnsi="Arial" w:cs="Arial"/>
          <w:sz w:val="20"/>
        </w:rPr>
        <w:t>6 to 31 March 20</w:t>
      </w:r>
      <w:r w:rsidR="00CE52B3">
        <w:rPr>
          <w:rFonts w:ascii="Arial" w:hAnsi="Arial" w:cs="Arial"/>
          <w:sz w:val="20"/>
        </w:rPr>
        <w:t>2</w:t>
      </w:r>
      <w:r w:rsidR="00810315">
        <w:rPr>
          <w:rFonts w:ascii="Arial" w:hAnsi="Arial" w:cs="Arial"/>
          <w:sz w:val="20"/>
        </w:rPr>
        <w:t>7</w:t>
      </w:r>
      <w:r w:rsidR="007262D6">
        <w:rPr>
          <w:rFonts w:ascii="Arial" w:hAnsi="Arial" w:cs="Arial"/>
          <w:sz w:val="20"/>
        </w:rPr>
        <w:t xml:space="preserve"> </w:t>
      </w:r>
      <w:r w:rsidR="00E9073F">
        <w:rPr>
          <w:rFonts w:ascii="Arial" w:hAnsi="Arial" w:cs="Arial"/>
          <w:sz w:val="20"/>
        </w:rPr>
        <w:t>can</w:t>
      </w:r>
      <w:r w:rsidR="00385BE9" w:rsidRPr="0092230E">
        <w:rPr>
          <w:rFonts w:ascii="Arial" w:hAnsi="Arial" w:cs="Arial"/>
          <w:sz w:val="20"/>
        </w:rPr>
        <w:t>not be used</w:t>
      </w:r>
      <w:r w:rsidR="003A6561">
        <w:rPr>
          <w:rFonts w:ascii="Arial" w:hAnsi="Arial" w:cs="Arial"/>
          <w:sz w:val="20"/>
        </w:rPr>
        <w:t xml:space="preserve"> because that period end</w:t>
      </w:r>
      <w:r w:rsidR="007262D6">
        <w:rPr>
          <w:rFonts w:ascii="Arial" w:hAnsi="Arial" w:cs="Arial"/>
          <w:sz w:val="20"/>
        </w:rPr>
        <w:t>s</w:t>
      </w:r>
      <w:r w:rsidR="003A6561">
        <w:rPr>
          <w:rFonts w:ascii="Arial" w:hAnsi="Arial" w:cs="Arial"/>
          <w:sz w:val="20"/>
        </w:rPr>
        <w:t xml:space="preserve"> </w:t>
      </w:r>
      <w:r w:rsidR="004218A1">
        <w:rPr>
          <w:rFonts w:ascii="Arial" w:hAnsi="Arial" w:cs="Arial"/>
          <w:sz w:val="20"/>
        </w:rPr>
        <w:t>after</w:t>
      </w:r>
      <w:r w:rsidR="003A6561">
        <w:rPr>
          <w:rFonts w:ascii="Arial" w:hAnsi="Arial" w:cs="Arial"/>
          <w:sz w:val="20"/>
        </w:rPr>
        <w:t xml:space="preserve"> the end of the relevant eligible revenue period</w:t>
      </w:r>
      <w:r w:rsidR="00385BE9" w:rsidRPr="0092230E">
        <w:rPr>
          <w:rFonts w:ascii="Arial" w:hAnsi="Arial" w:cs="Arial"/>
          <w:sz w:val="20"/>
        </w:rPr>
        <w:t>.</w:t>
      </w:r>
    </w:p>
    <w:p w14:paraId="5B04B6EF" w14:textId="70A0BC66" w:rsidR="00361B71" w:rsidRDefault="00476373" w:rsidP="00A73AAC">
      <w:pPr>
        <w:pStyle w:val="notetext"/>
        <w:spacing w:line="240" w:lineRule="auto"/>
        <w:ind w:left="0" w:firstLine="0"/>
        <w:rPr>
          <w:rFonts w:ascii="Arial" w:hAnsi="Arial" w:cs="Arial"/>
          <w:sz w:val="20"/>
        </w:rPr>
      </w:pPr>
      <w:r w:rsidRPr="0092230E">
        <w:rPr>
          <w:rFonts w:ascii="Arial" w:hAnsi="Arial" w:cs="Arial"/>
          <w:sz w:val="20"/>
        </w:rPr>
        <w:t xml:space="preserve">Subsection </w:t>
      </w:r>
      <w:r w:rsidR="002A3D23" w:rsidRPr="0092230E">
        <w:rPr>
          <w:rFonts w:ascii="Arial" w:hAnsi="Arial" w:cs="Arial"/>
          <w:sz w:val="20"/>
        </w:rPr>
        <w:t>1</w:t>
      </w:r>
      <w:r w:rsidR="009E2111">
        <w:rPr>
          <w:rFonts w:ascii="Arial" w:hAnsi="Arial" w:cs="Arial"/>
          <w:sz w:val="20"/>
        </w:rPr>
        <w:t>4</w:t>
      </w:r>
      <w:r w:rsidRPr="0092230E">
        <w:rPr>
          <w:rFonts w:ascii="Arial" w:hAnsi="Arial" w:cs="Arial"/>
          <w:sz w:val="20"/>
        </w:rPr>
        <w:t>(3)</w:t>
      </w:r>
      <w:r w:rsidR="00460C2B" w:rsidRPr="0092230E">
        <w:rPr>
          <w:rFonts w:ascii="Arial" w:hAnsi="Arial" w:cs="Arial"/>
          <w:sz w:val="20"/>
        </w:rPr>
        <w:t xml:space="preserve"> </w:t>
      </w:r>
      <w:r w:rsidR="00E9073F">
        <w:rPr>
          <w:rFonts w:ascii="Arial" w:hAnsi="Arial" w:cs="Arial"/>
          <w:sz w:val="20"/>
        </w:rPr>
        <w:t xml:space="preserve">of the instrument </w:t>
      </w:r>
      <w:r w:rsidR="00460C2B" w:rsidRPr="0092230E">
        <w:rPr>
          <w:rFonts w:ascii="Arial" w:hAnsi="Arial" w:cs="Arial"/>
          <w:sz w:val="20"/>
        </w:rPr>
        <w:t xml:space="preserve">provides that in some circumstances, revenue for the relevant period may be identified in more than one set of financial statements. </w:t>
      </w:r>
      <w:r w:rsidRPr="0092230E">
        <w:rPr>
          <w:rFonts w:ascii="Arial" w:hAnsi="Arial" w:cs="Arial"/>
          <w:sz w:val="20"/>
        </w:rPr>
        <w:t xml:space="preserve">Subsection </w:t>
      </w:r>
      <w:r w:rsidR="002A3D23" w:rsidRPr="0092230E">
        <w:rPr>
          <w:rFonts w:ascii="Arial" w:hAnsi="Arial" w:cs="Arial"/>
          <w:sz w:val="20"/>
        </w:rPr>
        <w:t>1</w:t>
      </w:r>
      <w:r w:rsidR="009E2111">
        <w:rPr>
          <w:rFonts w:ascii="Arial" w:hAnsi="Arial" w:cs="Arial"/>
          <w:sz w:val="20"/>
        </w:rPr>
        <w:t>4</w:t>
      </w:r>
      <w:r w:rsidRPr="0092230E">
        <w:rPr>
          <w:rFonts w:ascii="Arial" w:hAnsi="Arial" w:cs="Arial"/>
          <w:sz w:val="20"/>
        </w:rPr>
        <w:t>(3) further</w:t>
      </w:r>
      <w:r w:rsidR="00460C2B" w:rsidRPr="0092230E">
        <w:rPr>
          <w:rFonts w:ascii="Arial" w:hAnsi="Arial" w:cs="Arial"/>
          <w:sz w:val="20"/>
        </w:rPr>
        <w:t xml:space="preserve"> clarifies that the revenue </w:t>
      </w:r>
      <w:r w:rsidR="00441EB5">
        <w:rPr>
          <w:rFonts w:ascii="Arial" w:hAnsi="Arial" w:cs="Arial"/>
          <w:sz w:val="20"/>
        </w:rPr>
        <w:t xml:space="preserve">earned </w:t>
      </w:r>
      <w:r w:rsidR="00087852">
        <w:rPr>
          <w:rFonts w:ascii="Arial" w:hAnsi="Arial" w:cs="Arial"/>
          <w:sz w:val="20"/>
        </w:rPr>
        <w:t xml:space="preserve">by a participating person </w:t>
      </w:r>
      <w:r w:rsidR="00441EB5">
        <w:rPr>
          <w:rFonts w:ascii="Arial" w:hAnsi="Arial" w:cs="Arial"/>
          <w:sz w:val="20"/>
        </w:rPr>
        <w:t xml:space="preserve">in a particular period should </w:t>
      </w:r>
      <w:r w:rsidR="00102190">
        <w:rPr>
          <w:rFonts w:ascii="Arial" w:hAnsi="Arial" w:cs="Arial"/>
          <w:sz w:val="20"/>
        </w:rPr>
        <w:t xml:space="preserve">be </w:t>
      </w:r>
      <w:r w:rsidR="007C51CF">
        <w:rPr>
          <w:rFonts w:ascii="Arial" w:hAnsi="Arial" w:cs="Arial"/>
          <w:sz w:val="20"/>
        </w:rPr>
        <w:t xml:space="preserve">covered by the financial statements and </w:t>
      </w:r>
      <w:r w:rsidR="00441EB5">
        <w:rPr>
          <w:rFonts w:ascii="Arial" w:hAnsi="Arial" w:cs="Arial"/>
          <w:sz w:val="20"/>
        </w:rPr>
        <w:t>be the same length</w:t>
      </w:r>
      <w:r w:rsidR="00102190">
        <w:rPr>
          <w:rFonts w:ascii="Arial" w:hAnsi="Arial" w:cs="Arial"/>
          <w:sz w:val="20"/>
        </w:rPr>
        <w:t>, or match,</w:t>
      </w:r>
      <w:r w:rsidR="00087852">
        <w:rPr>
          <w:rFonts w:ascii="Arial" w:hAnsi="Arial" w:cs="Arial"/>
          <w:sz w:val="20"/>
        </w:rPr>
        <w:t xml:space="preserve"> </w:t>
      </w:r>
      <w:r w:rsidR="00460C2B" w:rsidRPr="0092230E">
        <w:rPr>
          <w:rFonts w:ascii="Arial" w:hAnsi="Arial" w:cs="Arial"/>
          <w:sz w:val="20"/>
        </w:rPr>
        <w:t>the ‘relevant period’</w:t>
      </w:r>
      <w:r w:rsidR="00616CD1">
        <w:rPr>
          <w:rFonts w:ascii="Arial" w:hAnsi="Arial" w:cs="Arial"/>
          <w:sz w:val="20"/>
        </w:rPr>
        <w:t xml:space="preserve"> </w:t>
      </w:r>
    </w:p>
    <w:p w14:paraId="2E0F9B86" w14:textId="02ADA7A3" w:rsidR="00BB45BD" w:rsidRDefault="00616CD1" w:rsidP="00A73AAC">
      <w:pPr>
        <w:pStyle w:val="notetext"/>
        <w:spacing w:line="240" w:lineRule="auto"/>
        <w:ind w:left="0" w:firstLine="0"/>
        <w:rPr>
          <w:rFonts w:ascii="Arial" w:hAnsi="Arial" w:cs="Arial"/>
          <w:sz w:val="20"/>
        </w:rPr>
      </w:pPr>
      <w:r>
        <w:rPr>
          <w:rFonts w:ascii="Arial" w:hAnsi="Arial" w:cs="Arial"/>
          <w:sz w:val="20"/>
        </w:rPr>
        <w:t xml:space="preserve">Under </w:t>
      </w:r>
      <w:r w:rsidR="008F66DB">
        <w:rPr>
          <w:rFonts w:ascii="Arial" w:hAnsi="Arial" w:cs="Arial"/>
          <w:sz w:val="20"/>
        </w:rPr>
        <w:t>sub</w:t>
      </w:r>
      <w:r>
        <w:rPr>
          <w:rFonts w:ascii="Arial" w:hAnsi="Arial" w:cs="Arial"/>
          <w:sz w:val="20"/>
        </w:rPr>
        <w:t>paragraph 14(3)(b)</w:t>
      </w:r>
      <w:r w:rsidR="00E9073F">
        <w:rPr>
          <w:rFonts w:ascii="Arial" w:hAnsi="Arial" w:cs="Arial"/>
          <w:sz w:val="20"/>
        </w:rPr>
        <w:t>(ii)</w:t>
      </w:r>
      <w:r w:rsidR="00F85B0D">
        <w:rPr>
          <w:rFonts w:ascii="Arial" w:hAnsi="Arial" w:cs="Arial"/>
          <w:sz w:val="20"/>
        </w:rPr>
        <w:t xml:space="preserve">, </w:t>
      </w:r>
      <w:r w:rsidR="003E1859">
        <w:rPr>
          <w:rFonts w:ascii="Arial" w:hAnsi="Arial" w:cs="Arial"/>
          <w:sz w:val="20"/>
        </w:rPr>
        <w:t xml:space="preserve">the </w:t>
      </w:r>
      <w:r w:rsidR="00F85B0D">
        <w:rPr>
          <w:rFonts w:ascii="Arial" w:hAnsi="Arial" w:cs="Arial"/>
          <w:sz w:val="20"/>
        </w:rPr>
        <w:t xml:space="preserve">ACMA may decide </w:t>
      </w:r>
      <w:r w:rsidR="005B390B">
        <w:rPr>
          <w:rFonts w:ascii="Arial" w:hAnsi="Arial" w:cs="Arial"/>
          <w:sz w:val="20"/>
        </w:rPr>
        <w:t xml:space="preserve">an alternative period </w:t>
      </w:r>
      <w:r w:rsidR="00E9073F">
        <w:rPr>
          <w:rFonts w:ascii="Arial" w:hAnsi="Arial" w:cs="Arial"/>
          <w:sz w:val="20"/>
        </w:rPr>
        <w:t xml:space="preserve">is </w:t>
      </w:r>
      <w:r w:rsidR="00502703">
        <w:rPr>
          <w:rFonts w:ascii="Arial" w:hAnsi="Arial" w:cs="Arial"/>
          <w:sz w:val="20"/>
        </w:rPr>
        <w:t>the most appropriate period for matching with the relevant period</w:t>
      </w:r>
      <w:r w:rsidR="00A73AAC">
        <w:rPr>
          <w:rFonts w:ascii="Arial" w:hAnsi="Arial" w:cs="Arial"/>
          <w:sz w:val="20"/>
        </w:rPr>
        <w:t>. If the ACMA makes such a decision under that paragraph,</w:t>
      </w:r>
      <w:r w:rsidR="00D52E54">
        <w:rPr>
          <w:rFonts w:ascii="Arial" w:hAnsi="Arial" w:cs="Arial"/>
          <w:sz w:val="20"/>
        </w:rPr>
        <w:t xml:space="preserve"> </w:t>
      </w:r>
      <w:r w:rsidR="00E9073F">
        <w:rPr>
          <w:rFonts w:ascii="Arial" w:hAnsi="Arial" w:cs="Arial"/>
          <w:sz w:val="20"/>
        </w:rPr>
        <w:t xml:space="preserve">it must give the </w:t>
      </w:r>
      <w:r w:rsidR="005B1007">
        <w:rPr>
          <w:rFonts w:ascii="Arial" w:hAnsi="Arial" w:cs="Arial"/>
          <w:sz w:val="20"/>
        </w:rPr>
        <w:t xml:space="preserve">relevant </w:t>
      </w:r>
      <w:r w:rsidR="00E9073F">
        <w:rPr>
          <w:rFonts w:ascii="Arial" w:hAnsi="Arial" w:cs="Arial"/>
          <w:sz w:val="20"/>
        </w:rPr>
        <w:t>participating person written notice of its decision</w:t>
      </w:r>
      <w:r w:rsidR="00D81745">
        <w:rPr>
          <w:rFonts w:ascii="Arial" w:hAnsi="Arial" w:cs="Arial"/>
          <w:sz w:val="20"/>
        </w:rPr>
        <w:t xml:space="preserve">. The notice must </w:t>
      </w:r>
      <w:r w:rsidR="00D81745">
        <w:rPr>
          <w:rFonts w:ascii="Arial" w:hAnsi="Arial" w:cs="Arial"/>
          <w:sz w:val="20"/>
        </w:rPr>
        <w:lastRenderedPageBreak/>
        <w:t xml:space="preserve">include </w:t>
      </w:r>
      <w:r w:rsidR="008F66DB">
        <w:rPr>
          <w:rFonts w:ascii="Arial" w:hAnsi="Arial" w:cs="Arial"/>
          <w:sz w:val="20"/>
        </w:rPr>
        <w:t>a statement to the effect that if they are adversely</w:t>
      </w:r>
      <w:r w:rsidR="00D52E54">
        <w:rPr>
          <w:rFonts w:ascii="Arial" w:hAnsi="Arial" w:cs="Arial"/>
          <w:sz w:val="20"/>
        </w:rPr>
        <w:t xml:space="preserve"> affected by that decision</w:t>
      </w:r>
      <w:r w:rsidR="008F66DB">
        <w:rPr>
          <w:rFonts w:ascii="Arial" w:hAnsi="Arial" w:cs="Arial"/>
          <w:sz w:val="20"/>
        </w:rPr>
        <w:t>, they</w:t>
      </w:r>
      <w:r w:rsidR="00D52E54">
        <w:rPr>
          <w:rFonts w:ascii="Arial" w:hAnsi="Arial" w:cs="Arial"/>
          <w:sz w:val="20"/>
        </w:rPr>
        <w:t xml:space="preserve"> may</w:t>
      </w:r>
      <w:r w:rsidR="008F66DB">
        <w:rPr>
          <w:rFonts w:ascii="Arial" w:hAnsi="Arial" w:cs="Arial"/>
          <w:sz w:val="20"/>
        </w:rPr>
        <w:t>, subject to</w:t>
      </w:r>
      <w:r w:rsidR="00D52E54">
        <w:rPr>
          <w:rFonts w:ascii="Arial" w:hAnsi="Arial" w:cs="Arial"/>
          <w:sz w:val="20"/>
        </w:rPr>
        <w:t xml:space="preserve"> </w:t>
      </w:r>
      <w:r w:rsidR="008F66DB">
        <w:rPr>
          <w:rFonts w:ascii="Arial" w:hAnsi="Arial" w:cs="Arial"/>
          <w:sz w:val="20"/>
        </w:rPr>
        <w:t xml:space="preserve">the </w:t>
      </w:r>
      <w:r w:rsidR="008F66DB" w:rsidRPr="008F66DB">
        <w:rPr>
          <w:rFonts w:ascii="Arial" w:hAnsi="Arial" w:cs="Arial"/>
          <w:i/>
          <w:iCs/>
          <w:sz w:val="20"/>
        </w:rPr>
        <w:t>Administrative Review Tribunal Act 2024</w:t>
      </w:r>
      <w:r w:rsidR="00BB45BD">
        <w:rPr>
          <w:rFonts w:ascii="Arial" w:hAnsi="Arial" w:cs="Arial"/>
          <w:sz w:val="20"/>
        </w:rPr>
        <w:t>:</w:t>
      </w:r>
    </w:p>
    <w:p w14:paraId="5325A2CF" w14:textId="3DAD6727" w:rsidR="00823925" w:rsidRDefault="00BB45BD" w:rsidP="00BB45BD">
      <w:pPr>
        <w:pStyle w:val="notepara"/>
        <w:spacing w:line="240" w:lineRule="auto"/>
        <w:ind w:left="369"/>
        <w:rPr>
          <w:rFonts w:ascii="Arial" w:hAnsi="Arial" w:cs="Arial"/>
          <w:sz w:val="20"/>
        </w:rPr>
      </w:pPr>
      <w:r>
        <w:rPr>
          <w:rFonts w:ascii="Arial" w:hAnsi="Arial" w:cs="Arial"/>
          <w:sz w:val="20"/>
        </w:rPr>
        <w:t>(a)</w:t>
      </w:r>
      <w:r>
        <w:rPr>
          <w:rFonts w:ascii="Arial" w:hAnsi="Arial" w:cs="Arial"/>
          <w:sz w:val="20"/>
        </w:rPr>
        <w:tab/>
      </w:r>
      <w:r w:rsidR="00D52E54">
        <w:rPr>
          <w:rFonts w:ascii="Arial" w:hAnsi="Arial" w:cs="Arial"/>
          <w:sz w:val="20"/>
        </w:rPr>
        <w:t xml:space="preserve">make </w:t>
      </w:r>
      <w:r w:rsidR="00A73AAC" w:rsidRPr="00F84D46">
        <w:rPr>
          <w:rFonts w:ascii="Arial" w:hAnsi="Arial" w:cs="Arial"/>
          <w:sz w:val="20"/>
        </w:rPr>
        <w:t xml:space="preserve">an application to the </w:t>
      </w:r>
      <w:r w:rsidR="00D52E54">
        <w:rPr>
          <w:rFonts w:ascii="Arial" w:hAnsi="Arial" w:cs="Arial"/>
          <w:sz w:val="20"/>
        </w:rPr>
        <w:t xml:space="preserve">Administrative Review Tribunal </w:t>
      </w:r>
      <w:r w:rsidR="00A73AAC" w:rsidRPr="00F84D46">
        <w:rPr>
          <w:rFonts w:ascii="Arial" w:hAnsi="Arial" w:cs="Arial"/>
          <w:sz w:val="20"/>
        </w:rPr>
        <w:t>for review of the decision</w:t>
      </w:r>
      <w:r>
        <w:rPr>
          <w:rFonts w:ascii="Arial" w:hAnsi="Arial" w:cs="Arial"/>
          <w:sz w:val="20"/>
        </w:rPr>
        <w:t>;</w:t>
      </w:r>
      <w:r w:rsidR="008F66DB">
        <w:rPr>
          <w:rFonts w:ascii="Arial" w:hAnsi="Arial" w:cs="Arial"/>
          <w:sz w:val="20"/>
        </w:rPr>
        <w:t xml:space="preserve"> and </w:t>
      </w:r>
    </w:p>
    <w:p w14:paraId="3FEA6294" w14:textId="405B0ABA" w:rsidR="00823925" w:rsidRDefault="00823925" w:rsidP="00BB45BD">
      <w:pPr>
        <w:pStyle w:val="notepara"/>
        <w:spacing w:line="240" w:lineRule="auto"/>
        <w:ind w:left="369"/>
        <w:rPr>
          <w:rFonts w:ascii="Arial" w:hAnsi="Arial" w:cs="Arial"/>
          <w:sz w:val="20"/>
        </w:rPr>
      </w:pPr>
      <w:r>
        <w:rPr>
          <w:rFonts w:ascii="Arial" w:hAnsi="Arial" w:cs="Arial"/>
          <w:sz w:val="20"/>
        </w:rPr>
        <w:t>(b)</w:t>
      </w:r>
      <w:r>
        <w:rPr>
          <w:rFonts w:ascii="Arial" w:hAnsi="Arial" w:cs="Arial"/>
          <w:sz w:val="20"/>
        </w:rPr>
        <w:tab/>
      </w:r>
      <w:r w:rsidR="008F66DB">
        <w:rPr>
          <w:rFonts w:ascii="Arial" w:hAnsi="Arial" w:cs="Arial"/>
          <w:sz w:val="20"/>
        </w:rPr>
        <w:t>request a statement of reasons for that decision under that Act</w:t>
      </w:r>
      <w:r>
        <w:rPr>
          <w:rFonts w:ascii="Arial" w:hAnsi="Arial" w:cs="Arial"/>
          <w:sz w:val="20"/>
        </w:rPr>
        <w:t xml:space="preserve">. </w:t>
      </w:r>
    </w:p>
    <w:p w14:paraId="1487E64B" w14:textId="7FB746F3" w:rsidR="00A73AAC" w:rsidRPr="0092230E" w:rsidRDefault="00823925" w:rsidP="002472F5">
      <w:pPr>
        <w:pStyle w:val="notepara"/>
        <w:spacing w:line="240" w:lineRule="auto"/>
        <w:ind w:left="369"/>
        <w:rPr>
          <w:rFonts w:ascii="Arial" w:hAnsi="Arial" w:cs="Arial"/>
          <w:sz w:val="20"/>
        </w:rPr>
      </w:pPr>
      <w:r>
        <w:rPr>
          <w:rFonts w:ascii="Arial" w:hAnsi="Arial" w:cs="Arial"/>
          <w:sz w:val="20"/>
        </w:rPr>
        <w:t>(S</w:t>
      </w:r>
      <w:r w:rsidR="008F66DB">
        <w:rPr>
          <w:rFonts w:ascii="Arial" w:hAnsi="Arial" w:cs="Arial"/>
          <w:sz w:val="20"/>
        </w:rPr>
        <w:t>ee subsection 14(5) of the instrument.</w:t>
      </w:r>
      <w:r>
        <w:rPr>
          <w:rFonts w:ascii="Arial" w:hAnsi="Arial" w:cs="Arial"/>
          <w:sz w:val="20"/>
        </w:rPr>
        <w:t>)</w:t>
      </w:r>
      <w:r w:rsidR="008F66DB">
        <w:rPr>
          <w:rFonts w:ascii="Arial" w:hAnsi="Arial" w:cs="Arial"/>
          <w:sz w:val="20"/>
        </w:rPr>
        <w:t xml:space="preserve"> </w:t>
      </w:r>
      <w:r w:rsidR="00A73AAC" w:rsidRPr="00F84D46">
        <w:rPr>
          <w:rFonts w:ascii="Arial" w:hAnsi="Arial" w:cs="Arial"/>
          <w:sz w:val="20"/>
        </w:rPr>
        <w:t xml:space="preserve"> </w:t>
      </w:r>
    </w:p>
    <w:p w14:paraId="49256E6F" w14:textId="615FBD00" w:rsidR="00460C2B" w:rsidRPr="0092230E" w:rsidRDefault="00476373" w:rsidP="006C14CA">
      <w:pPr>
        <w:pStyle w:val="ABABulletLevel1"/>
        <w:spacing w:before="122" w:after="120"/>
        <w:rPr>
          <w:rFonts w:ascii="Arial" w:hAnsi="Arial" w:cs="Arial"/>
          <w:sz w:val="20"/>
        </w:rPr>
      </w:pPr>
      <w:r w:rsidRPr="0092230E">
        <w:rPr>
          <w:rFonts w:ascii="Arial" w:hAnsi="Arial" w:cs="Arial"/>
          <w:sz w:val="20"/>
        </w:rPr>
        <w:t xml:space="preserve">Subsection </w:t>
      </w:r>
      <w:r w:rsidR="002A3D23" w:rsidRPr="0092230E">
        <w:rPr>
          <w:rFonts w:ascii="Arial" w:hAnsi="Arial" w:cs="Arial"/>
          <w:sz w:val="20"/>
        </w:rPr>
        <w:t>1</w:t>
      </w:r>
      <w:r w:rsidR="009E2111">
        <w:rPr>
          <w:rFonts w:ascii="Arial" w:hAnsi="Arial" w:cs="Arial"/>
          <w:sz w:val="20"/>
        </w:rPr>
        <w:t>4</w:t>
      </w:r>
      <w:r w:rsidRPr="0092230E">
        <w:rPr>
          <w:rFonts w:ascii="Arial" w:hAnsi="Arial" w:cs="Arial"/>
          <w:sz w:val="20"/>
        </w:rPr>
        <w:t>(</w:t>
      </w:r>
      <w:r w:rsidR="00C1489A" w:rsidRPr="0092230E">
        <w:rPr>
          <w:rFonts w:ascii="Arial" w:hAnsi="Arial" w:cs="Arial"/>
          <w:sz w:val="20"/>
        </w:rPr>
        <w:t>4</w:t>
      </w:r>
      <w:r w:rsidR="00460C2B" w:rsidRPr="0092230E">
        <w:rPr>
          <w:rFonts w:ascii="Arial" w:hAnsi="Arial" w:cs="Arial"/>
          <w:sz w:val="20"/>
        </w:rPr>
        <w:t xml:space="preserve">) </w:t>
      </w:r>
      <w:r w:rsidR="008F66DB">
        <w:rPr>
          <w:rFonts w:ascii="Arial" w:hAnsi="Arial" w:cs="Arial"/>
          <w:sz w:val="20"/>
        </w:rPr>
        <w:t xml:space="preserve">of the instrument </w:t>
      </w:r>
      <w:r w:rsidR="00460C2B" w:rsidRPr="0092230E">
        <w:rPr>
          <w:rFonts w:ascii="Arial" w:hAnsi="Arial" w:cs="Arial"/>
          <w:sz w:val="20"/>
        </w:rPr>
        <w:t xml:space="preserve">provides that if neither the entity’s own financial statements, nor the ultimate Australian parent entity’s consolidated financial statements </w:t>
      </w:r>
      <w:r w:rsidR="000B04F0" w:rsidRPr="0092230E">
        <w:rPr>
          <w:rFonts w:ascii="Arial" w:hAnsi="Arial" w:cs="Arial"/>
          <w:sz w:val="20"/>
        </w:rPr>
        <w:t>identify</w:t>
      </w:r>
      <w:r w:rsidR="00460C2B" w:rsidRPr="0092230E">
        <w:rPr>
          <w:rFonts w:ascii="Arial" w:hAnsi="Arial" w:cs="Arial"/>
          <w:sz w:val="20"/>
        </w:rPr>
        <w:t xml:space="preserve"> the </w:t>
      </w:r>
      <w:r w:rsidR="006747D9" w:rsidRPr="0092230E">
        <w:rPr>
          <w:rFonts w:ascii="Arial" w:hAnsi="Arial" w:cs="Arial"/>
          <w:sz w:val="20"/>
        </w:rPr>
        <w:t xml:space="preserve">sales revenue of the </w:t>
      </w:r>
      <w:r w:rsidR="00460C2B" w:rsidRPr="0092230E">
        <w:rPr>
          <w:rFonts w:ascii="Arial" w:hAnsi="Arial" w:cs="Arial"/>
          <w:sz w:val="20"/>
        </w:rPr>
        <w:t>participating person, consolidated related party or declared related party then the sales revenue is to be calculated using as many sources as are necessary. This subsection recognises that due to the individual circumstances of the entities, a range of sources may be necessary to properly identify sales revenue of the participating person.</w:t>
      </w:r>
    </w:p>
    <w:p w14:paraId="3C0A7D1A" w14:textId="77777777" w:rsidR="00A25946" w:rsidRPr="0092230E" w:rsidRDefault="00F64B92" w:rsidP="00A25946">
      <w:pPr>
        <w:pStyle w:val="notetext"/>
        <w:spacing w:line="240" w:lineRule="auto"/>
        <w:ind w:left="0" w:firstLine="0"/>
        <w:rPr>
          <w:rFonts w:ascii="Arial" w:hAnsi="Arial" w:cs="Arial"/>
          <w:sz w:val="20"/>
        </w:rPr>
      </w:pPr>
      <w:r w:rsidRPr="0092230E">
        <w:rPr>
          <w:rFonts w:ascii="Arial" w:hAnsi="Arial" w:cs="Arial"/>
          <w:sz w:val="20"/>
        </w:rPr>
        <w:t>For example, d</w:t>
      </w:r>
      <w:r w:rsidR="00A25946" w:rsidRPr="0092230E">
        <w:rPr>
          <w:rFonts w:ascii="Arial" w:hAnsi="Arial" w:cs="Arial"/>
          <w:sz w:val="20"/>
        </w:rPr>
        <w:t>uring an eligible revenue period, a participating person may change the participating person’s ownership or management arrangements in a way that affects how the participating person’s annual financial statements are prepared</w:t>
      </w:r>
      <w:r w:rsidR="004A3E33" w:rsidRPr="0092230E">
        <w:rPr>
          <w:rFonts w:ascii="Arial" w:hAnsi="Arial" w:cs="Arial"/>
          <w:sz w:val="20"/>
        </w:rPr>
        <w:t>, such</w:t>
      </w:r>
      <w:r w:rsidRPr="0092230E">
        <w:rPr>
          <w:rFonts w:ascii="Arial" w:hAnsi="Arial" w:cs="Arial"/>
          <w:sz w:val="20"/>
        </w:rPr>
        <w:t xml:space="preserve"> as:</w:t>
      </w:r>
    </w:p>
    <w:p w14:paraId="796E340B" w14:textId="77777777" w:rsidR="00A25946" w:rsidRPr="0092230E" w:rsidRDefault="00A25946" w:rsidP="00A25946">
      <w:pPr>
        <w:pStyle w:val="notepara"/>
        <w:spacing w:line="240" w:lineRule="auto"/>
        <w:ind w:left="369"/>
        <w:rPr>
          <w:rFonts w:ascii="Arial" w:hAnsi="Arial" w:cs="Arial"/>
          <w:sz w:val="20"/>
        </w:rPr>
      </w:pPr>
      <w:r w:rsidRPr="0092230E">
        <w:rPr>
          <w:rFonts w:ascii="Arial" w:hAnsi="Arial" w:cs="Arial"/>
          <w:sz w:val="20"/>
        </w:rPr>
        <w:t>(a)</w:t>
      </w:r>
      <w:r w:rsidRPr="0092230E">
        <w:rPr>
          <w:rFonts w:ascii="Arial" w:hAnsi="Arial" w:cs="Arial"/>
          <w:sz w:val="20"/>
        </w:rPr>
        <w:tab/>
        <w:t>for accounting purposes, the participating person may cease to report in the participating person’s own right and start reporting as part of the consolidated group of an ultimate Australian parent entity; or</w:t>
      </w:r>
    </w:p>
    <w:p w14:paraId="13CF95E4" w14:textId="77777777" w:rsidR="00A25946" w:rsidRPr="0092230E" w:rsidRDefault="00A25946" w:rsidP="00A25946">
      <w:pPr>
        <w:pStyle w:val="notepara"/>
        <w:spacing w:line="240" w:lineRule="auto"/>
        <w:ind w:left="369"/>
        <w:rPr>
          <w:rFonts w:ascii="Arial" w:hAnsi="Arial" w:cs="Arial"/>
          <w:sz w:val="20"/>
        </w:rPr>
      </w:pPr>
      <w:r w:rsidRPr="0092230E">
        <w:rPr>
          <w:rFonts w:ascii="Arial" w:hAnsi="Arial" w:cs="Arial"/>
          <w:sz w:val="20"/>
        </w:rPr>
        <w:t>(b)</w:t>
      </w:r>
      <w:r w:rsidRPr="0092230E">
        <w:rPr>
          <w:rFonts w:ascii="Arial" w:hAnsi="Arial" w:cs="Arial"/>
          <w:sz w:val="20"/>
        </w:rPr>
        <w:tab/>
        <w:t>for accounting purposes, the participating person may cease to report as part of an ultimate Australian parent entity’s consolidated group and start reporting as an entity in the participating person’s own right; or</w:t>
      </w:r>
    </w:p>
    <w:p w14:paraId="1DB6041A" w14:textId="77777777" w:rsidR="00A25946" w:rsidRPr="0092230E" w:rsidRDefault="00A25946" w:rsidP="00A25946">
      <w:pPr>
        <w:pStyle w:val="notepara"/>
        <w:spacing w:line="240" w:lineRule="auto"/>
        <w:ind w:left="369"/>
        <w:rPr>
          <w:rFonts w:ascii="Arial" w:hAnsi="Arial" w:cs="Arial"/>
          <w:sz w:val="20"/>
        </w:rPr>
      </w:pPr>
      <w:r w:rsidRPr="0092230E">
        <w:rPr>
          <w:rFonts w:ascii="Arial" w:hAnsi="Arial" w:cs="Arial"/>
          <w:sz w:val="20"/>
        </w:rPr>
        <w:t>(c)</w:t>
      </w:r>
      <w:r w:rsidRPr="0092230E">
        <w:rPr>
          <w:rFonts w:ascii="Arial" w:hAnsi="Arial" w:cs="Arial"/>
          <w:sz w:val="20"/>
        </w:rPr>
        <w:tab/>
        <w:t>the participating person may change the reporting date for the participating person’s financial statements.</w:t>
      </w:r>
    </w:p>
    <w:p w14:paraId="6AC81CBB" w14:textId="77777777" w:rsidR="00A25946" w:rsidRPr="0092230E" w:rsidRDefault="00A25946" w:rsidP="00A25946">
      <w:pPr>
        <w:pStyle w:val="notetext"/>
        <w:spacing w:line="240" w:lineRule="auto"/>
        <w:ind w:left="0" w:firstLine="0"/>
        <w:rPr>
          <w:rFonts w:ascii="Arial" w:hAnsi="Arial" w:cs="Arial"/>
          <w:sz w:val="20"/>
        </w:rPr>
      </w:pPr>
      <w:r w:rsidRPr="0092230E">
        <w:rPr>
          <w:rFonts w:ascii="Arial" w:hAnsi="Arial" w:cs="Arial"/>
          <w:sz w:val="20"/>
        </w:rPr>
        <w:t>If the ownership or management arrangements change, the information that identifies the participating person’s sales revenue for the relevant period may be found in 2 or more annual financial statements.</w:t>
      </w:r>
      <w:r w:rsidR="004A3E33" w:rsidRPr="0092230E">
        <w:rPr>
          <w:rFonts w:ascii="Arial" w:hAnsi="Arial" w:cs="Arial"/>
          <w:sz w:val="20"/>
        </w:rPr>
        <w:t xml:space="preserve"> </w:t>
      </w:r>
    </w:p>
    <w:p w14:paraId="1A03101F" w14:textId="169BAA3E" w:rsidR="00A25946" w:rsidRDefault="00A25946" w:rsidP="00A25946">
      <w:pPr>
        <w:pStyle w:val="notetext"/>
        <w:spacing w:line="240" w:lineRule="auto"/>
        <w:ind w:left="0" w:firstLine="0"/>
        <w:rPr>
          <w:rFonts w:ascii="Arial" w:hAnsi="Arial" w:cs="Arial"/>
          <w:sz w:val="20"/>
        </w:rPr>
      </w:pPr>
      <w:r w:rsidRPr="0092230E">
        <w:rPr>
          <w:rFonts w:ascii="Arial" w:hAnsi="Arial" w:cs="Arial"/>
          <w:sz w:val="20"/>
        </w:rPr>
        <w:t>Section 1</w:t>
      </w:r>
      <w:r w:rsidR="009E2111">
        <w:rPr>
          <w:rFonts w:ascii="Arial" w:hAnsi="Arial" w:cs="Arial"/>
          <w:sz w:val="20"/>
        </w:rPr>
        <w:t>4</w:t>
      </w:r>
      <w:r w:rsidRPr="0092230E">
        <w:rPr>
          <w:rFonts w:ascii="Arial" w:hAnsi="Arial" w:cs="Arial"/>
          <w:sz w:val="20"/>
        </w:rPr>
        <w:t xml:space="preserve"> </w:t>
      </w:r>
      <w:r w:rsidR="008F66DB">
        <w:rPr>
          <w:rFonts w:ascii="Arial" w:hAnsi="Arial" w:cs="Arial"/>
          <w:sz w:val="20"/>
        </w:rPr>
        <w:t xml:space="preserve">of the instrument </w:t>
      </w:r>
      <w:r w:rsidRPr="0092230E">
        <w:rPr>
          <w:rFonts w:ascii="Arial" w:hAnsi="Arial" w:cs="Arial"/>
          <w:sz w:val="20"/>
        </w:rPr>
        <w:t xml:space="preserve">gives a broad basis for determining revenue. This broad definitional starting point means there is less chance of appropriate revenue being accidentally omitted while enabling inappropriate revenue to be removed via the transparent deduction processes in Parts 3 and 4 of the </w:t>
      </w:r>
      <w:proofErr w:type="gramStart"/>
      <w:r w:rsidR="00D224DF">
        <w:rPr>
          <w:rFonts w:ascii="Arial" w:hAnsi="Arial" w:cs="Arial"/>
          <w:sz w:val="20"/>
        </w:rPr>
        <w:t>instrument</w:t>
      </w:r>
      <w:proofErr w:type="gramEnd"/>
      <w:r w:rsidRPr="0092230E">
        <w:rPr>
          <w:rFonts w:ascii="Arial" w:hAnsi="Arial" w:cs="Arial"/>
          <w:sz w:val="20"/>
        </w:rPr>
        <w:t>. The use of consolidated financial statements for participating persons that are members of corporate groups is designed to discourage and ultimately deal with tactics to minimise eligible revenue and therefore levy contributions</w:t>
      </w:r>
      <w:r w:rsidR="006747D9" w:rsidRPr="0092230E">
        <w:rPr>
          <w:rFonts w:ascii="Arial" w:hAnsi="Arial" w:cs="Arial"/>
          <w:sz w:val="20"/>
        </w:rPr>
        <w:t>,</w:t>
      </w:r>
      <w:r w:rsidRPr="0092230E">
        <w:rPr>
          <w:rFonts w:ascii="Arial" w:hAnsi="Arial" w:cs="Arial"/>
          <w:sz w:val="20"/>
        </w:rPr>
        <w:t xml:space="preserve"> by capturing the revenue of consolidated related parties and declared related parties and then putting the onus on the participating person to justify any deductions claimed.</w:t>
      </w:r>
    </w:p>
    <w:p w14:paraId="028E352E" w14:textId="77777777" w:rsidR="00067542" w:rsidRPr="0092230E" w:rsidRDefault="00067542" w:rsidP="003214EE">
      <w:pPr>
        <w:pStyle w:val="ABABulletLevel1"/>
        <w:spacing w:after="120"/>
        <w:rPr>
          <w:rFonts w:ascii="Arial" w:hAnsi="Arial" w:cs="Arial"/>
          <w:sz w:val="20"/>
        </w:rPr>
      </w:pPr>
    </w:p>
    <w:p w14:paraId="249AD6DE" w14:textId="65B215C2" w:rsidR="002F416B" w:rsidRPr="0092230E" w:rsidRDefault="002F416B" w:rsidP="00063E09">
      <w:pPr>
        <w:spacing w:after="200" w:line="276" w:lineRule="auto"/>
        <w:rPr>
          <w:rFonts w:ascii="Arial" w:hAnsi="Arial" w:cs="Arial"/>
          <w:b/>
          <w:i/>
        </w:rPr>
      </w:pPr>
      <w:r w:rsidRPr="0092230E">
        <w:rPr>
          <w:rFonts w:ascii="Arial" w:hAnsi="Arial" w:cs="Arial"/>
          <w:b/>
        </w:rPr>
        <w:t xml:space="preserve">Section </w:t>
      </w:r>
      <w:r w:rsidR="00067542" w:rsidRPr="0092230E">
        <w:rPr>
          <w:rFonts w:ascii="Arial" w:hAnsi="Arial" w:cs="Arial"/>
          <w:b/>
        </w:rPr>
        <w:t>1</w:t>
      </w:r>
      <w:r w:rsidR="009E2111">
        <w:rPr>
          <w:rFonts w:ascii="Arial" w:hAnsi="Arial" w:cs="Arial"/>
          <w:b/>
        </w:rPr>
        <w:t>5</w:t>
      </w:r>
      <w:r w:rsidR="00067542" w:rsidRPr="0092230E">
        <w:rPr>
          <w:rFonts w:ascii="Arial" w:hAnsi="Arial" w:cs="Arial"/>
          <w:b/>
        </w:rPr>
        <w:t xml:space="preserve"> </w:t>
      </w:r>
      <w:r w:rsidRPr="0092230E">
        <w:rPr>
          <w:rFonts w:ascii="Arial" w:hAnsi="Arial" w:cs="Arial"/>
          <w:b/>
        </w:rPr>
        <w:t>– Bundled revenue</w:t>
      </w:r>
    </w:p>
    <w:p w14:paraId="6331BC1E" w14:textId="2D778398" w:rsidR="002F416B" w:rsidRPr="0092230E" w:rsidRDefault="002F416B" w:rsidP="002F416B">
      <w:pPr>
        <w:pStyle w:val="ABABulletLevel1"/>
        <w:spacing w:after="120"/>
        <w:rPr>
          <w:rFonts w:ascii="Arial" w:hAnsi="Arial" w:cs="Arial"/>
          <w:sz w:val="20"/>
        </w:rPr>
      </w:pPr>
      <w:r w:rsidRPr="0092230E">
        <w:rPr>
          <w:rFonts w:ascii="Arial" w:hAnsi="Arial" w:cs="Arial"/>
          <w:sz w:val="20"/>
        </w:rPr>
        <w:t xml:space="preserve">Section </w:t>
      </w:r>
      <w:r w:rsidR="002A3D23" w:rsidRPr="0092230E">
        <w:rPr>
          <w:rFonts w:ascii="Arial" w:hAnsi="Arial" w:cs="Arial"/>
          <w:sz w:val="20"/>
        </w:rPr>
        <w:t>1</w:t>
      </w:r>
      <w:r w:rsidR="009E2111">
        <w:rPr>
          <w:rFonts w:ascii="Arial" w:hAnsi="Arial" w:cs="Arial"/>
          <w:sz w:val="20"/>
        </w:rPr>
        <w:t>5</w:t>
      </w:r>
      <w:r w:rsidR="002A3D23" w:rsidRPr="0092230E">
        <w:rPr>
          <w:rFonts w:ascii="Arial" w:hAnsi="Arial" w:cs="Arial"/>
          <w:sz w:val="20"/>
        </w:rPr>
        <w:t xml:space="preserve"> </w:t>
      </w:r>
      <w:r w:rsidR="00E476B4">
        <w:rPr>
          <w:rFonts w:ascii="Arial" w:hAnsi="Arial" w:cs="Arial"/>
          <w:sz w:val="20"/>
        </w:rPr>
        <w:t xml:space="preserve">of the instrument </w:t>
      </w:r>
      <w:r w:rsidR="003A5D4E">
        <w:rPr>
          <w:rFonts w:ascii="Arial" w:hAnsi="Arial" w:cs="Arial"/>
          <w:sz w:val="20"/>
        </w:rPr>
        <w:t xml:space="preserve">defines </w:t>
      </w:r>
      <w:r w:rsidRPr="0092230E">
        <w:rPr>
          <w:rFonts w:ascii="Arial" w:hAnsi="Arial" w:cs="Arial"/>
          <w:sz w:val="20"/>
        </w:rPr>
        <w:t xml:space="preserve">bundled </w:t>
      </w:r>
      <w:proofErr w:type="gramStart"/>
      <w:r w:rsidRPr="0092230E">
        <w:rPr>
          <w:rFonts w:ascii="Arial" w:hAnsi="Arial" w:cs="Arial"/>
          <w:sz w:val="20"/>
        </w:rPr>
        <w:t>revenue, and</w:t>
      </w:r>
      <w:proofErr w:type="gramEnd"/>
      <w:r w:rsidRPr="0092230E">
        <w:rPr>
          <w:rFonts w:ascii="Arial" w:hAnsi="Arial" w:cs="Arial"/>
          <w:sz w:val="20"/>
        </w:rPr>
        <w:t xml:space="preserve"> provides that </w:t>
      </w:r>
      <w:proofErr w:type="gramStart"/>
      <w:r w:rsidRPr="0092230E">
        <w:rPr>
          <w:rFonts w:ascii="Arial" w:hAnsi="Arial" w:cs="Arial"/>
          <w:sz w:val="20"/>
        </w:rPr>
        <w:t>in order to</w:t>
      </w:r>
      <w:proofErr w:type="gramEnd"/>
      <w:r w:rsidRPr="0092230E">
        <w:rPr>
          <w:rFonts w:ascii="Arial" w:hAnsi="Arial" w:cs="Arial"/>
          <w:sz w:val="20"/>
        </w:rPr>
        <w:t xml:space="preserve"> work out an amount of revenue to be deducted</w:t>
      </w:r>
      <w:r w:rsidR="00E03B27" w:rsidRPr="0092230E">
        <w:rPr>
          <w:rFonts w:ascii="Arial" w:hAnsi="Arial" w:cs="Arial"/>
          <w:sz w:val="20"/>
        </w:rPr>
        <w:t xml:space="preserve"> under Part 3 or 4 (deductible revenue)</w:t>
      </w:r>
      <w:r w:rsidRPr="0092230E">
        <w:rPr>
          <w:rFonts w:ascii="Arial" w:hAnsi="Arial" w:cs="Arial"/>
          <w:sz w:val="20"/>
        </w:rPr>
        <w:t xml:space="preserve">, </w:t>
      </w:r>
      <w:r w:rsidR="00AC3C1F" w:rsidRPr="0092230E">
        <w:rPr>
          <w:rFonts w:ascii="Arial" w:hAnsi="Arial" w:cs="Arial"/>
          <w:sz w:val="20"/>
        </w:rPr>
        <w:t xml:space="preserve">a participating person </w:t>
      </w:r>
      <w:r w:rsidR="005B06C7" w:rsidRPr="0092230E">
        <w:rPr>
          <w:rFonts w:ascii="Arial" w:hAnsi="Arial" w:cs="Arial"/>
          <w:sz w:val="20"/>
        </w:rPr>
        <w:t xml:space="preserve">must </w:t>
      </w:r>
      <w:r w:rsidRPr="0092230E">
        <w:rPr>
          <w:rFonts w:ascii="Arial" w:hAnsi="Arial" w:cs="Arial"/>
          <w:sz w:val="20"/>
        </w:rPr>
        <w:t xml:space="preserve">separate the deductible revenue from other amounts with which the deductible revenue is bundled. This section ensures that participating persons </w:t>
      </w:r>
      <w:proofErr w:type="gramStart"/>
      <w:r w:rsidRPr="0092230E">
        <w:rPr>
          <w:rFonts w:ascii="Arial" w:hAnsi="Arial" w:cs="Arial"/>
          <w:sz w:val="20"/>
        </w:rPr>
        <w:t>are able to</w:t>
      </w:r>
      <w:proofErr w:type="gramEnd"/>
      <w:r w:rsidRPr="0092230E">
        <w:rPr>
          <w:rFonts w:ascii="Arial" w:hAnsi="Arial" w:cs="Arial"/>
          <w:sz w:val="20"/>
        </w:rPr>
        <w:t xml:space="preserve"> deduct amounts that are deductible, but that they do not deduct amount</w:t>
      </w:r>
      <w:r w:rsidR="0029235C" w:rsidRPr="0092230E">
        <w:rPr>
          <w:rFonts w:ascii="Arial" w:hAnsi="Arial" w:cs="Arial"/>
          <w:sz w:val="20"/>
        </w:rPr>
        <w:t>s</w:t>
      </w:r>
      <w:r w:rsidRPr="0092230E">
        <w:rPr>
          <w:rFonts w:ascii="Arial" w:hAnsi="Arial" w:cs="Arial"/>
          <w:sz w:val="20"/>
        </w:rPr>
        <w:t xml:space="preserve"> that are not deductible, which are bundled with deductible amounts.</w:t>
      </w:r>
    </w:p>
    <w:p w14:paraId="060AC7F5" w14:textId="5A9B864B" w:rsidR="00E03B27" w:rsidRPr="0092230E" w:rsidRDefault="00E03B27" w:rsidP="002F416B">
      <w:pPr>
        <w:pStyle w:val="ABABulletLevel1"/>
        <w:spacing w:after="120"/>
        <w:rPr>
          <w:rFonts w:ascii="Arial" w:hAnsi="Arial" w:cs="Arial"/>
          <w:sz w:val="20"/>
        </w:rPr>
      </w:pPr>
      <w:r w:rsidRPr="0092230E">
        <w:rPr>
          <w:rFonts w:ascii="Arial" w:hAnsi="Arial" w:cs="Arial"/>
          <w:sz w:val="20"/>
        </w:rPr>
        <w:t xml:space="preserve">Subsection </w:t>
      </w:r>
      <w:r w:rsidR="002A3D23" w:rsidRPr="0092230E">
        <w:rPr>
          <w:rFonts w:ascii="Arial" w:hAnsi="Arial" w:cs="Arial"/>
          <w:sz w:val="20"/>
        </w:rPr>
        <w:t>1</w:t>
      </w:r>
      <w:r w:rsidR="009E2111">
        <w:rPr>
          <w:rFonts w:ascii="Arial" w:hAnsi="Arial" w:cs="Arial"/>
          <w:sz w:val="20"/>
        </w:rPr>
        <w:t>5</w:t>
      </w:r>
      <w:r w:rsidRPr="0092230E">
        <w:rPr>
          <w:rFonts w:ascii="Arial" w:hAnsi="Arial" w:cs="Arial"/>
          <w:sz w:val="20"/>
        </w:rPr>
        <w:t xml:space="preserve">(2) </w:t>
      </w:r>
      <w:r w:rsidR="00E476B4">
        <w:rPr>
          <w:rFonts w:ascii="Arial" w:hAnsi="Arial" w:cs="Arial"/>
          <w:sz w:val="20"/>
        </w:rPr>
        <w:t xml:space="preserve">of the instrument </w:t>
      </w:r>
      <w:r w:rsidRPr="0092230E">
        <w:rPr>
          <w:rFonts w:ascii="Arial" w:hAnsi="Arial" w:cs="Arial"/>
          <w:sz w:val="20"/>
        </w:rPr>
        <w:t xml:space="preserve">defines bundled revenue as revenue that comes from different sources or acts and is received in a way that does not show how much of the revenue came from </w:t>
      </w:r>
      <w:r w:rsidR="008C31EB" w:rsidRPr="0092230E">
        <w:rPr>
          <w:rFonts w:ascii="Arial" w:hAnsi="Arial" w:cs="Arial"/>
          <w:sz w:val="20"/>
        </w:rPr>
        <w:t xml:space="preserve">the </w:t>
      </w:r>
      <w:r w:rsidRPr="0092230E">
        <w:rPr>
          <w:rFonts w:ascii="Arial" w:hAnsi="Arial" w:cs="Arial"/>
          <w:sz w:val="20"/>
        </w:rPr>
        <w:t>individual sources or acts.</w:t>
      </w:r>
      <w:r w:rsidR="002E21E5">
        <w:rPr>
          <w:rFonts w:ascii="Arial" w:hAnsi="Arial" w:cs="Arial"/>
          <w:sz w:val="20"/>
        </w:rPr>
        <w:t xml:space="preserve"> </w:t>
      </w:r>
      <w:r w:rsidR="008C31EB" w:rsidRPr="0092230E">
        <w:rPr>
          <w:rFonts w:ascii="Arial" w:hAnsi="Arial" w:cs="Arial"/>
          <w:sz w:val="20"/>
        </w:rPr>
        <w:t xml:space="preserve">Subsection </w:t>
      </w:r>
      <w:r w:rsidR="002A3D23" w:rsidRPr="0092230E">
        <w:rPr>
          <w:rFonts w:ascii="Arial" w:hAnsi="Arial" w:cs="Arial"/>
          <w:sz w:val="20"/>
        </w:rPr>
        <w:t>1</w:t>
      </w:r>
      <w:r w:rsidR="009E2111">
        <w:rPr>
          <w:rFonts w:ascii="Arial" w:hAnsi="Arial" w:cs="Arial"/>
          <w:sz w:val="20"/>
        </w:rPr>
        <w:t>5</w:t>
      </w:r>
      <w:r w:rsidR="008C31EB" w:rsidRPr="0092230E">
        <w:rPr>
          <w:rFonts w:ascii="Arial" w:hAnsi="Arial" w:cs="Arial"/>
          <w:sz w:val="20"/>
        </w:rPr>
        <w:t xml:space="preserve">(3) </w:t>
      </w:r>
      <w:r w:rsidR="00E476B4">
        <w:rPr>
          <w:rFonts w:ascii="Arial" w:hAnsi="Arial" w:cs="Arial"/>
          <w:sz w:val="20"/>
        </w:rPr>
        <w:t xml:space="preserve">of the instrument </w:t>
      </w:r>
      <w:r w:rsidR="008C31EB" w:rsidRPr="0092230E">
        <w:rPr>
          <w:rFonts w:ascii="Arial" w:hAnsi="Arial" w:cs="Arial"/>
          <w:sz w:val="20"/>
        </w:rPr>
        <w:t xml:space="preserve">provides that the value of a benefit or service can be included in bundled revenue. </w:t>
      </w:r>
    </w:p>
    <w:p w14:paraId="7D174963" w14:textId="158B2B59" w:rsidR="00E27E90" w:rsidRDefault="00E27E90" w:rsidP="002F416B">
      <w:pPr>
        <w:pStyle w:val="ABABulletLevel1"/>
        <w:spacing w:after="120"/>
        <w:rPr>
          <w:rFonts w:ascii="Arial" w:hAnsi="Arial" w:cs="Arial"/>
          <w:sz w:val="20"/>
        </w:rPr>
      </w:pPr>
      <w:r w:rsidRPr="0092230E">
        <w:rPr>
          <w:rFonts w:ascii="Arial" w:hAnsi="Arial" w:cs="Arial"/>
          <w:sz w:val="20"/>
        </w:rPr>
        <w:t>Subsection 1</w:t>
      </w:r>
      <w:r>
        <w:rPr>
          <w:rFonts w:ascii="Arial" w:hAnsi="Arial" w:cs="Arial"/>
          <w:sz w:val="20"/>
        </w:rPr>
        <w:t>5</w:t>
      </w:r>
      <w:r w:rsidRPr="0092230E">
        <w:rPr>
          <w:rFonts w:ascii="Arial" w:hAnsi="Arial" w:cs="Arial"/>
          <w:sz w:val="20"/>
        </w:rPr>
        <w:t xml:space="preserve">(4) </w:t>
      </w:r>
      <w:r w:rsidR="00E476B4">
        <w:rPr>
          <w:rFonts w:ascii="Arial" w:hAnsi="Arial" w:cs="Arial"/>
          <w:sz w:val="20"/>
        </w:rPr>
        <w:t xml:space="preserve">of the instrument </w:t>
      </w:r>
      <w:r w:rsidRPr="0092230E">
        <w:rPr>
          <w:rFonts w:ascii="Arial" w:hAnsi="Arial" w:cs="Arial"/>
          <w:sz w:val="20"/>
        </w:rPr>
        <w:t xml:space="preserve">allows the ACMA to make </w:t>
      </w:r>
      <w:r w:rsidR="00E476B4">
        <w:rPr>
          <w:rFonts w:ascii="Arial" w:hAnsi="Arial" w:cs="Arial"/>
          <w:sz w:val="20"/>
        </w:rPr>
        <w:t xml:space="preserve">a </w:t>
      </w:r>
      <w:r w:rsidRPr="0092230E">
        <w:rPr>
          <w:rFonts w:ascii="Arial" w:hAnsi="Arial" w:cs="Arial"/>
          <w:sz w:val="20"/>
        </w:rPr>
        <w:t xml:space="preserve">declaration that a specified amount of revenue of a </w:t>
      </w:r>
      <w:r w:rsidR="003A65E2">
        <w:rPr>
          <w:rFonts w:ascii="Arial" w:hAnsi="Arial" w:cs="Arial"/>
          <w:sz w:val="20"/>
        </w:rPr>
        <w:t xml:space="preserve">specified </w:t>
      </w:r>
      <w:r w:rsidRPr="0092230E">
        <w:rPr>
          <w:rFonts w:ascii="Arial" w:hAnsi="Arial" w:cs="Arial"/>
          <w:sz w:val="20"/>
        </w:rPr>
        <w:t xml:space="preserve">participating person, or </w:t>
      </w:r>
      <w:r w:rsidR="003A65E2">
        <w:rPr>
          <w:rFonts w:ascii="Arial" w:hAnsi="Arial" w:cs="Arial"/>
          <w:sz w:val="20"/>
        </w:rPr>
        <w:t xml:space="preserve">a specified consolidated related party or </w:t>
      </w:r>
      <w:r w:rsidRPr="0092230E">
        <w:rPr>
          <w:rFonts w:ascii="Arial" w:hAnsi="Arial" w:cs="Arial"/>
          <w:sz w:val="20"/>
        </w:rPr>
        <w:t xml:space="preserve">declared related party </w:t>
      </w:r>
      <w:r w:rsidR="003A65E2">
        <w:rPr>
          <w:rFonts w:ascii="Arial" w:hAnsi="Arial" w:cs="Arial"/>
          <w:sz w:val="20"/>
        </w:rPr>
        <w:t xml:space="preserve">of </w:t>
      </w:r>
      <w:r w:rsidRPr="0092230E">
        <w:rPr>
          <w:rFonts w:ascii="Arial" w:hAnsi="Arial" w:cs="Arial"/>
          <w:sz w:val="20"/>
        </w:rPr>
        <w:t xml:space="preserve">a participating person, is bundled revenue. </w:t>
      </w:r>
      <w:r w:rsidR="00E476B4" w:rsidRPr="00003026">
        <w:rPr>
          <w:rFonts w:ascii="Arial" w:hAnsi="Arial" w:cs="Arial"/>
          <w:sz w:val="20"/>
        </w:rPr>
        <w:t>The declaration may apply to more than one participating person, consolidated related party or declared related party (but not to all participating persons or parties).</w:t>
      </w:r>
      <w:r w:rsidR="00E476B4">
        <w:t xml:space="preserve"> </w:t>
      </w:r>
      <w:r w:rsidRPr="0092230E">
        <w:rPr>
          <w:rFonts w:ascii="Arial" w:hAnsi="Arial" w:cs="Arial"/>
          <w:sz w:val="20"/>
        </w:rPr>
        <w:t xml:space="preserve">If the ACMA makes a declaration, it must specify the amount of </w:t>
      </w:r>
      <w:r w:rsidR="00810D09">
        <w:rPr>
          <w:rFonts w:ascii="Arial" w:hAnsi="Arial" w:cs="Arial"/>
          <w:sz w:val="20"/>
        </w:rPr>
        <w:t xml:space="preserve">bundled revenue and identify the amount that is </w:t>
      </w:r>
      <w:r w:rsidRPr="0092230E">
        <w:rPr>
          <w:rFonts w:ascii="Arial" w:hAnsi="Arial" w:cs="Arial"/>
          <w:sz w:val="20"/>
        </w:rPr>
        <w:t>deductible revenue (or how th</w:t>
      </w:r>
      <w:r w:rsidR="009143E6">
        <w:rPr>
          <w:rFonts w:ascii="Arial" w:hAnsi="Arial" w:cs="Arial"/>
          <w:sz w:val="20"/>
        </w:rPr>
        <w:t xml:space="preserve">e </w:t>
      </w:r>
      <w:r w:rsidRPr="0092230E">
        <w:rPr>
          <w:rFonts w:ascii="Arial" w:hAnsi="Arial" w:cs="Arial"/>
          <w:sz w:val="20"/>
        </w:rPr>
        <w:t xml:space="preserve">amount </w:t>
      </w:r>
      <w:r w:rsidR="00810D09">
        <w:rPr>
          <w:rFonts w:ascii="Arial" w:hAnsi="Arial" w:cs="Arial"/>
          <w:sz w:val="20"/>
        </w:rPr>
        <w:t xml:space="preserve">that is deductible revenue </w:t>
      </w:r>
      <w:r w:rsidRPr="0092230E">
        <w:rPr>
          <w:rFonts w:ascii="Arial" w:hAnsi="Arial" w:cs="Arial"/>
          <w:sz w:val="20"/>
        </w:rPr>
        <w:t xml:space="preserve">is to be worked out). </w:t>
      </w:r>
    </w:p>
    <w:p w14:paraId="66A5BB8C" w14:textId="11BA3EEA" w:rsidR="002272A6" w:rsidRPr="0092230E" w:rsidRDefault="002272A6" w:rsidP="002F416B">
      <w:pPr>
        <w:pStyle w:val="ABABulletLevel1"/>
        <w:spacing w:after="120"/>
        <w:rPr>
          <w:rFonts w:ascii="Arial" w:hAnsi="Arial" w:cs="Arial"/>
          <w:sz w:val="20"/>
        </w:rPr>
      </w:pPr>
      <w:r w:rsidRPr="0092230E">
        <w:rPr>
          <w:rFonts w:ascii="Arial" w:hAnsi="Arial" w:cs="Arial"/>
          <w:sz w:val="20"/>
        </w:rPr>
        <w:t xml:space="preserve">Subsection </w:t>
      </w:r>
      <w:r w:rsidR="002A3D23" w:rsidRPr="0092230E">
        <w:rPr>
          <w:rFonts w:ascii="Arial" w:hAnsi="Arial" w:cs="Arial"/>
          <w:sz w:val="20"/>
        </w:rPr>
        <w:t>1</w:t>
      </w:r>
      <w:r w:rsidR="009E2111">
        <w:rPr>
          <w:rFonts w:ascii="Arial" w:hAnsi="Arial" w:cs="Arial"/>
          <w:sz w:val="20"/>
        </w:rPr>
        <w:t>5</w:t>
      </w:r>
      <w:r w:rsidRPr="0092230E">
        <w:rPr>
          <w:rFonts w:ascii="Arial" w:hAnsi="Arial" w:cs="Arial"/>
          <w:sz w:val="20"/>
        </w:rPr>
        <w:t xml:space="preserve">(8) </w:t>
      </w:r>
      <w:r w:rsidR="00E476B4">
        <w:rPr>
          <w:rFonts w:ascii="Arial" w:hAnsi="Arial" w:cs="Arial"/>
          <w:sz w:val="20"/>
        </w:rPr>
        <w:t xml:space="preserve">of the instrument </w:t>
      </w:r>
      <w:r w:rsidRPr="0092230E">
        <w:rPr>
          <w:rFonts w:ascii="Arial" w:hAnsi="Arial" w:cs="Arial"/>
          <w:sz w:val="20"/>
        </w:rPr>
        <w:t xml:space="preserve">provides that if a participating person separates a </w:t>
      </w:r>
      <w:r w:rsidR="008C31EB" w:rsidRPr="0092230E">
        <w:rPr>
          <w:rFonts w:ascii="Arial" w:hAnsi="Arial" w:cs="Arial"/>
          <w:sz w:val="20"/>
        </w:rPr>
        <w:t xml:space="preserve">kind of </w:t>
      </w:r>
      <w:r w:rsidRPr="0092230E">
        <w:rPr>
          <w:rFonts w:ascii="Arial" w:hAnsi="Arial" w:cs="Arial"/>
          <w:sz w:val="20"/>
        </w:rPr>
        <w:t xml:space="preserve">deductible </w:t>
      </w:r>
      <w:r w:rsidR="008C31EB" w:rsidRPr="0092230E">
        <w:rPr>
          <w:rFonts w:ascii="Arial" w:hAnsi="Arial" w:cs="Arial"/>
          <w:sz w:val="20"/>
        </w:rPr>
        <w:t xml:space="preserve">revenue </w:t>
      </w:r>
      <w:r w:rsidRPr="0092230E">
        <w:rPr>
          <w:rFonts w:ascii="Arial" w:hAnsi="Arial" w:cs="Arial"/>
          <w:sz w:val="20"/>
        </w:rPr>
        <w:t>from bundled revenue</w:t>
      </w:r>
      <w:r w:rsidR="008C31EB" w:rsidRPr="0092230E">
        <w:rPr>
          <w:rFonts w:ascii="Arial" w:hAnsi="Arial" w:cs="Arial"/>
          <w:sz w:val="20"/>
        </w:rPr>
        <w:t xml:space="preserve"> for Part 3 or 4</w:t>
      </w:r>
      <w:r w:rsidR="00E476B4">
        <w:rPr>
          <w:rFonts w:ascii="Arial" w:hAnsi="Arial" w:cs="Arial"/>
          <w:sz w:val="20"/>
        </w:rPr>
        <w:t xml:space="preserve"> of the instrument</w:t>
      </w:r>
      <w:r w:rsidRPr="0092230E">
        <w:rPr>
          <w:rFonts w:ascii="Arial" w:hAnsi="Arial" w:cs="Arial"/>
          <w:sz w:val="20"/>
        </w:rPr>
        <w:t>, the participating person must identify:</w:t>
      </w:r>
    </w:p>
    <w:p w14:paraId="7F18D6E0" w14:textId="77777777" w:rsidR="0065701F" w:rsidRPr="0092230E" w:rsidRDefault="0065701F" w:rsidP="0065701F">
      <w:pPr>
        <w:pStyle w:val="ABABulletLevel1"/>
        <w:numPr>
          <w:ilvl w:val="0"/>
          <w:numId w:val="13"/>
        </w:numPr>
        <w:spacing w:after="120"/>
        <w:rPr>
          <w:rFonts w:ascii="Arial" w:hAnsi="Arial" w:cs="Arial"/>
          <w:b/>
          <w:sz w:val="20"/>
        </w:rPr>
      </w:pPr>
      <w:r w:rsidRPr="0092230E">
        <w:rPr>
          <w:rFonts w:ascii="Arial" w:hAnsi="Arial" w:cs="Arial"/>
          <w:sz w:val="20"/>
        </w:rPr>
        <w:lastRenderedPageBreak/>
        <w:t>the total amount of the bundled revenue; and</w:t>
      </w:r>
    </w:p>
    <w:p w14:paraId="76F85A97" w14:textId="12A20C16" w:rsidR="0065701F" w:rsidRPr="0092230E" w:rsidRDefault="0065701F" w:rsidP="0065701F">
      <w:pPr>
        <w:pStyle w:val="ABABulletLevel1"/>
        <w:numPr>
          <w:ilvl w:val="0"/>
          <w:numId w:val="13"/>
        </w:numPr>
        <w:spacing w:after="120"/>
        <w:rPr>
          <w:rFonts w:ascii="Arial" w:hAnsi="Arial" w:cs="Arial"/>
          <w:b/>
          <w:sz w:val="20"/>
        </w:rPr>
      </w:pPr>
      <w:r w:rsidRPr="0092230E">
        <w:rPr>
          <w:rFonts w:ascii="Arial" w:hAnsi="Arial" w:cs="Arial"/>
          <w:sz w:val="20"/>
        </w:rPr>
        <w:t>the amount of bundled revenue that the person is deducting</w:t>
      </w:r>
      <w:r w:rsidR="000B2F50">
        <w:rPr>
          <w:rFonts w:ascii="Arial" w:hAnsi="Arial" w:cs="Arial"/>
          <w:sz w:val="20"/>
        </w:rPr>
        <w:t xml:space="preserve"> as deductible revenue</w:t>
      </w:r>
      <w:r w:rsidRPr="0092230E">
        <w:rPr>
          <w:rFonts w:ascii="Arial" w:hAnsi="Arial" w:cs="Arial"/>
          <w:sz w:val="20"/>
        </w:rPr>
        <w:t>; and</w:t>
      </w:r>
    </w:p>
    <w:p w14:paraId="30B83F94" w14:textId="77777777" w:rsidR="0065701F" w:rsidRPr="0092230E" w:rsidRDefault="0065701F" w:rsidP="0065701F">
      <w:pPr>
        <w:pStyle w:val="ABABulletLevel1"/>
        <w:numPr>
          <w:ilvl w:val="0"/>
          <w:numId w:val="13"/>
        </w:numPr>
        <w:spacing w:after="120"/>
        <w:rPr>
          <w:rFonts w:ascii="Arial" w:hAnsi="Arial" w:cs="Arial"/>
          <w:b/>
          <w:sz w:val="20"/>
        </w:rPr>
      </w:pPr>
      <w:r w:rsidRPr="0092230E">
        <w:rPr>
          <w:rFonts w:ascii="Arial" w:hAnsi="Arial" w:cs="Arial"/>
          <w:sz w:val="20"/>
        </w:rPr>
        <w:t xml:space="preserve">how the participating person worked out the </w:t>
      </w:r>
      <w:r w:rsidR="008C31EB" w:rsidRPr="0092230E">
        <w:rPr>
          <w:rFonts w:ascii="Arial" w:hAnsi="Arial" w:cs="Arial"/>
          <w:sz w:val="20"/>
        </w:rPr>
        <w:t xml:space="preserve">amount of </w:t>
      </w:r>
      <w:r w:rsidRPr="0092230E">
        <w:rPr>
          <w:rFonts w:ascii="Arial" w:hAnsi="Arial" w:cs="Arial"/>
          <w:sz w:val="20"/>
        </w:rPr>
        <w:t xml:space="preserve">deductible </w:t>
      </w:r>
      <w:r w:rsidR="008C31EB" w:rsidRPr="0092230E">
        <w:rPr>
          <w:rFonts w:ascii="Arial" w:hAnsi="Arial" w:cs="Arial"/>
          <w:sz w:val="20"/>
        </w:rPr>
        <w:t>revenue</w:t>
      </w:r>
      <w:r w:rsidRPr="0092230E">
        <w:rPr>
          <w:rFonts w:ascii="Arial" w:hAnsi="Arial" w:cs="Arial"/>
          <w:sz w:val="20"/>
        </w:rPr>
        <w:t>.</w:t>
      </w:r>
    </w:p>
    <w:p w14:paraId="276BD9D3" w14:textId="22D8D733" w:rsidR="0065701F" w:rsidRPr="0092230E" w:rsidRDefault="0065701F" w:rsidP="0065701F">
      <w:pPr>
        <w:pStyle w:val="ABABulletLevel1"/>
        <w:spacing w:after="120"/>
        <w:rPr>
          <w:rFonts w:ascii="Arial" w:hAnsi="Arial" w:cs="Arial"/>
          <w:b/>
          <w:sz w:val="20"/>
        </w:rPr>
      </w:pPr>
      <w:r w:rsidRPr="0092230E">
        <w:rPr>
          <w:rFonts w:ascii="Arial" w:hAnsi="Arial" w:cs="Arial"/>
          <w:sz w:val="20"/>
        </w:rPr>
        <w:t xml:space="preserve">For example, under section </w:t>
      </w:r>
      <w:r w:rsidR="002A3D23" w:rsidRPr="0092230E">
        <w:rPr>
          <w:rFonts w:ascii="Arial" w:hAnsi="Arial" w:cs="Arial"/>
          <w:sz w:val="20"/>
        </w:rPr>
        <w:t>2</w:t>
      </w:r>
      <w:r w:rsidR="00907988">
        <w:rPr>
          <w:rFonts w:ascii="Arial" w:hAnsi="Arial" w:cs="Arial"/>
          <w:sz w:val="20"/>
        </w:rPr>
        <w:t>8</w:t>
      </w:r>
      <w:r w:rsidR="00E476B4">
        <w:rPr>
          <w:rFonts w:ascii="Arial" w:hAnsi="Arial" w:cs="Arial"/>
          <w:sz w:val="20"/>
        </w:rPr>
        <w:t xml:space="preserve"> of the instrument</w:t>
      </w:r>
      <w:r w:rsidRPr="0092230E">
        <w:rPr>
          <w:rFonts w:ascii="Arial" w:hAnsi="Arial" w:cs="Arial"/>
          <w:sz w:val="20"/>
        </w:rPr>
        <w:t xml:space="preserve">, revenue from the </w:t>
      </w:r>
      <w:r w:rsidRPr="0092230E">
        <w:rPr>
          <w:rFonts w:ascii="Arial" w:hAnsi="Arial" w:cs="Arial"/>
          <w:i/>
          <w:sz w:val="20"/>
        </w:rPr>
        <w:t>content</w:t>
      </w:r>
      <w:r w:rsidRPr="0092230E">
        <w:rPr>
          <w:rFonts w:ascii="Arial" w:hAnsi="Arial" w:cs="Arial"/>
          <w:sz w:val="20"/>
        </w:rPr>
        <w:t xml:space="preserve"> of a content service is deductible, whereas revenue from </w:t>
      </w:r>
      <w:r w:rsidRPr="0092230E">
        <w:rPr>
          <w:rFonts w:ascii="Arial" w:hAnsi="Arial" w:cs="Arial"/>
          <w:i/>
          <w:sz w:val="20"/>
        </w:rPr>
        <w:t>carriage</w:t>
      </w:r>
      <w:r w:rsidRPr="0092230E">
        <w:rPr>
          <w:rFonts w:ascii="Arial" w:hAnsi="Arial" w:cs="Arial"/>
          <w:sz w:val="20"/>
        </w:rPr>
        <w:t xml:space="preserve"> of a content service is not deductible. If a participating person earns revenue from pay TV services, with the revenue from content and carriage services being bundled together, then </w:t>
      </w:r>
      <w:proofErr w:type="gramStart"/>
      <w:r w:rsidRPr="0092230E">
        <w:rPr>
          <w:rFonts w:ascii="Arial" w:hAnsi="Arial" w:cs="Arial"/>
          <w:sz w:val="20"/>
        </w:rPr>
        <w:t>in order to</w:t>
      </w:r>
      <w:proofErr w:type="gramEnd"/>
      <w:r w:rsidRPr="0092230E">
        <w:rPr>
          <w:rFonts w:ascii="Arial" w:hAnsi="Arial" w:cs="Arial"/>
          <w:sz w:val="20"/>
        </w:rPr>
        <w:t xml:space="preserve"> claim a deduction for revenue from content services, the participating person must identify:</w:t>
      </w:r>
    </w:p>
    <w:p w14:paraId="6F902AF2" w14:textId="77777777" w:rsidR="0065701F" w:rsidRPr="0092230E" w:rsidRDefault="0065701F" w:rsidP="0065701F">
      <w:pPr>
        <w:pStyle w:val="ABABulletLevel1"/>
        <w:numPr>
          <w:ilvl w:val="0"/>
          <w:numId w:val="14"/>
        </w:numPr>
        <w:spacing w:after="120"/>
        <w:rPr>
          <w:rFonts w:ascii="Arial" w:hAnsi="Arial" w:cs="Arial"/>
          <w:b/>
          <w:sz w:val="20"/>
        </w:rPr>
      </w:pPr>
      <w:r w:rsidRPr="0092230E">
        <w:rPr>
          <w:rFonts w:ascii="Arial" w:hAnsi="Arial" w:cs="Arial"/>
          <w:sz w:val="20"/>
        </w:rPr>
        <w:t xml:space="preserve">the total amount of the bundled revenue (including </w:t>
      </w:r>
      <w:r w:rsidR="008C31EB" w:rsidRPr="0092230E">
        <w:rPr>
          <w:rFonts w:ascii="Arial" w:hAnsi="Arial" w:cs="Arial"/>
          <w:sz w:val="20"/>
        </w:rPr>
        <w:t xml:space="preserve">revenue earned from </w:t>
      </w:r>
      <w:r w:rsidRPr="0092230E">
        <w:rPr>
          <w:rFonts w:ascii="Arial" w:hAnsi="Arial" w:cs="Arial"/>
          <w:sz w:val="20"/>
        </w:rPr>
        <w:t>both content and carriage components); and</w:t>
      </w:r>
    </w:p>
    <w:p w14:paraId="08CC8811" w14:textId="77777777" w:rsidR="0065701F" w:rsidRPr="0092230E" w:rsidRDefault="0065701F" w:rsidP="0065701F">
      <w:pPr>
        <w:pStyle w:val="ABABulletLevel1"/>
        <w:numPr>
          <w:ilvl w:val="0"/>
          <w:numId w:val="14"/>
        </w:numPr>
        <w:spacing w:after="120"/>
        <w:rPr>
          <w:rFonts w:ascii="Arial" w:hAnsi="Arial" w:cs="Arial"/>
          <w:b/>
          <w:sz w:val="20"/>
        </w:rPr>
      </w:pPr>
      <w:r w:rsidRPr="0092230E">
        <w:rPr>
          <w:rFonts w:ascii="Arial" w:hAnsi="Arial" w:cs="Arial"/>
          <w:sz w:val="20"/>
        </w:rPr>
        <w:t xml:space="preserve">the amount of </w:t>
      </w:r>
      <w:r w:rsidR="008C31EB" w:rsidRPr="0092230E">
        <w:rPr>
          <w:rFonts w:ascii="Arial" w:hAnsi="Arial" w:cs="Arial"/>
          <w:sz w:val="20"/>
        </w:rPr>
        <w:t xml:space="preserve">the bundled </w:t>
      </w:r>
      <w:r w:rsidRPr="0092230E">
        <w:rPr>
          <w:rFonts w:ascii="Arial" w:hAnsi="Arial" w:cs="Arial"/>
          <w:sz w:val="20"/>
        </w:rPr>
        <w:t xml:space="preserve">revenue attributable to </w:t>
      </w:r>
      <w:r w:rsidR="008C31EB" w:rsidRPr="0092230E">
        <w:rPr>
          <w:rFonts w:ascii="Arial" w:hAnsi="Arial" w:cs="Arial"/>
          <w:sz w:val="20"/>
        </w:rPr>
        <w:t xml:space="preserve">the </w:t>
      </w:r>
      <w:r w:rsidRPr="0092230E">
        <w:rPr>
          <w:rFonts w:ascii="Arial" w:hAnsi="Arial" w:cs="Arial"/>
          <w:sz w:val="20"/>
        </w:rPr>
        <w:t>content</w:t>
      </w:r>
      <w:r w:rsidR="008C31EB" w:rsidRPr="0092230E">
        <w:rPr>
          <w:rFonts w:ascii="Arial" w:hAnsi="Arial" w:cs="Arial"/>
          <w:sz w:val="20"/>
        </w:rPr>
        <w:t xml:space="preserve"> of the content service</w:t>
      </w:r>
      <w:r w:rsidRPr="0092230E">
        <w:rPr>
          <w:rFonts w:ascii="Arial" w:hAnsi="Arial" w:cs="Arial"/>
          <w:sz w:val="20"/>
        </w:rPr>
        <w:t>, which is deductible; and</w:t>
      </w:r>
    </w:p>
    <w:p w14:paraId="298CBB49" w14:textId="77777777" w:rsidR="0065701F" w:rsidRPr="0092230E" w:rsidRDefault="0065701F" w:rsidP="0065701F">
      <w:pPr>
        <w:pStyle w:val="ABABulletLevel1"/>
        <w:numPr>
          <w:ilvl w:val="0"/>
          <w:numId w:val="14"/>
        </w:numPr>
        <w:spacing w:after="120"/>
        <w:rPr>
          <w:rFonts w:ascii="Arial" w:hAnsi="Arial" w:cs="Arial"/>
          <w:b/>
          <w:sz w:val="20"/>
        </w:rPr>
      </w:pPr>
      <w:r w:rsidRPr="0092230E">
        <w:rPr>
          <w:rFonts w:ascii="Arial" w:hAnsi="Arial" w:cs="Arial"/>
          <w:sz w:val="20"/>
        </w:rPr>
        <w:t>how the participating person worked out the deductible amount.</w:t>
      </w:r>
    </w:p>
    <w:p w14:paraId="01B3D95A" w14:textId="77777777" w:rsidR="00AC3C1F" w:rsidRPr="0092230E" w:rsidRDefault="00AC3C1F" w:rsidP="003214EE">
      <w:pPr>
        <w:pStyle w:val="ABABulletLevel1"/>
        <w:spacing w:after="120"/>
        <w:rPr>
          <w:rFonts w:ascii="Arial" w:hAnsi="Arial" w:cs="Arial"/>
          <w:sz w:val="20"/>
        </w:rPr>
      </w:pPr>
    </w:p>
    <w:p w14:paraId="6BA60EFC" w14:textId="77777777" w:rsidR="00702C3D" w:rsidRPr="0092230E" w:rsidRDefault="00476373">
      <w:pPr>
        <w:pStyle w:val="ABABulletLevel1"/>
        <w:keepNext/>
        <w:spacing w:after="120"/>
        <w:rPr>
          <w:rFonts w:ascii="Arial" w:hAnsi="Arial" w:cs="Arial"/>
          <w:b/>
          <w:sz w:val="20"/>
        </w:rPr>
      </w:pPr>
      <w:r w:rsidRPr="0092230E">
        <w:rPr>
          <w:rFonts w:ascii="Arial" w:hAnsi="Arial" w:cs="Arial"/>
          <w:b/>
          <w:sz w:val="20"/>
        </w:rPr>
        <w:t>Part 3</w:t>
      </w:r>
      <w:r w:rsidR="00AC3C1F" w:rsidRPr="0092230E">
        <w:rPr>
          <w:rFonts w:ascii="Arial" w:hAnsi="Arial" w:cs="Arial"/>
          <w:b/>
          <w:sz w:val="20"/>
        </w:rPr>
        <w:t xml:space="preserve"> </w:t>
      </w:r>
      <w:r w:rsidR="0056104F" w:rsidRPr="0092230E">
        <w:rPr>
          <w:rFonts w:ascii="Arial" w:hAnsi="Arial" w:cs="Arial"/>
          <w:b/>
          <w:sz w:val="20"/>
        </w:rPr>
        <w:t>– Gross telecommunications sales revenue</w:t>
      </w:r>
    </w:p>
    <w:p w14:paraId="6EBBAFD0" w14:textId="77777777" w:rsidR="00C749E3" w:rsidRPr="0092230E" w:rsidRDefault="00C749E3" w:rsidP="00192B36">
      <w:pPr>
        <w:pStyle w:val="ABABulletLevel1"/>
        <w:spacing w:after="120"/>
        <w:rPr>
          <w:rFonts w:ascii="Arial" w:hAnsi="Arial" w:cs="Arial"/>
          <w:b/>
          <w:sz w:val="20"/>
        </w:rPr>
      </w:pPr>
    </w:p>
    <w:p w14:paraId="5C99C9B7" w14:textId="1F90AAA1" w:rsidR="00192B36" w:rsidRPr="0092230E" w:rsidRDefault="00192B36" w:rsidP="00192B36">
      <w:pPr>
        <w:pStyle w:val="ABABulletLevel1"/>
        <w:spacing w:after="120"/>
        <w:rPr>
          <w:rFonts w:ascii="Arial" w:hAnsi="Arial" w:cs="Arial"/>
          <w:b/>
          <w:i/>
          <w:sz w:val="20"/>
        </w:rPr>
      </w:pPr>
      <w:r w:rsidRPr="0092230E">
        <w:rPr>
          <w:rFonts w:ascii="Arial" w:hAnsi="Arial" w:cs="Arial"/>
          <w:b/>
          <w:sz w:val="20"/>
        </w:rPr>
        <w:t xml:space="preserve">Section </w:t>
      </w:r>
      <w:r w:rsidR="00067542" w:rsidRPr="0092230E">
        <w:rPr>
          <w:rFonts w:ascii="Arial" w:hAnsi="Arial" w:cs="Arial"/>
          <w:b/>
          <w:sz w:val="20"/>
        </w:rPr>
        <w:t>1</w:t>
      </w:r>
      <w:r w:rsidR="009E2111">
        <w:rPr>
          <w:rFonts w:ascii="Arial" w:hAnsi="Arial" w:cs="Arial"/>
          <w:b/>
          <w:sz w:val="20"/>
        </w:rPr>
        <w:t>6</w:t>
      </w:r>
      <w:r w:rsidR="00067542" w:rsidRPr="0092230E">
        <w:rPr>
          <w:rFonts w:ascii="Arial" w:hAnsi="Arial" w:cs="Arial"/>
          <w:b/>
          <w:sz w:val="20"/>
        </w:rPr>
        <w:t xml:space="preserve"> </w:t>
      </w:r>
      <w:r w:rsidRPr="0092230E">
        <w:rPr>
          <w:rFonts w:ascii="Arial" w:hAnsi="Arial" w:cs="Arial"/>
          <w:b/>
          <w:sz w:val="20"/>
        </w:rPr>
        <w:t xml:space="preserve">– Purpose of Part </w:t>
      </w:r>
    </w:p>
    <w:p w14:paraId="12DC5F1B" w14:textId="3D0A27C9" w:rsidR="00192B36" w:rsidRPr="0092230E" w:rsidRDefault="00192B36" w:rsidP="00192B36">
      <w:pPr>
        <w:pStyle w:val="ABABulletLevel1"/>
        <w:spacing w:after="120"/>
        <w:rPr>
          <w:rFonts w:ascii="Arial" w:hAnsi="Arial" w:cs="Arial"/>
          <w:sz w:val="20"/>
        </w:rPr>
      </w:pPr>
      <w:r w:rsidRPr="0092230E">
        <w:rPr>
          <w:rFonts w:ascii="Arial" w:hAnsi="Arial" w:cs="Arial"/>
          <w:sz w:val="20"/>
        </w:rPr>
        <w:t xml:space="preserve">Section </w:t>
      </w:r>
      <w:r w:rsidR="002A3D23" w:rsidRPr="0092230E">
        <w:rPr>
          <w:rFonts w:ascii="Arial" w:hAnsi="Arial" w:cs="Arial"/>
          <w:sz w:val="20"/>
        </w:rPr>
        <w:t>1</w:t>
      </w:r>
      <w:r w:rsidR="009E2111">
        <w:rPr>
          <w:rFonts w:ascii="Arial" w:hAnsi="Arial" w:cs="Arial"/>
          <w:sz w:val="20"/>
        </w:rPr>
        <w:t>6</w:t>
      </w:r>
      <w:r w:rsidR="002A3D23" w:rsidRPr="0092230E">
        <w:rPr>
          <w:rFonts w:ascii="Arial" w:hAnsi="Arial" w:cs="Arial"/>
          <w:sz w:val="20"/>
        </w:rPr>
        <w:t xml:space="preserve"> </w:t>
      </w:r>
      <w:r w:rsidR="00DF7788">
        <w:rPr>
          <w:rFonts w:ascii="Arial" w:hAnsi="Arial" w:cs="Arial"/>
          <w:sz w:val="20"/>
        </w:rPr>
        <w:t xml:space="preserve">of the instrument </w:t>
      </w:r>
      <w:r w:rsidRPr="0092230E">
        <w:rPr>
          <w:rFonts w:ascii="Arial" w:hAnsi="Arial" w:cs="Arial"/>
          <w:sz w:val="20"/>
        </w:rPr>
        <w:t xml:space="preserve">explains that the purpose of Part 3 </w:t>
      </w:r>
      <w:r w:rsidR="00DF7788">
        <w:rPr>
          <w:rFonts w:ascii="Arial" w:hAnsi="Arial" w:cs="Arial"/>
          <w:sz w:val="20"/>
        </w:rPr>
        <w:t xml:space="preserve">of the instrument </w:t>
      </w:r>
      <w:r w:rsidRPr="0092230E">
        <w:rPr>
          <w:rFonts w:ascii="Arial" w:hAnsi="Arial" w:cs="Arial"/>
          <w:sz w:val="20"/>
        </w:rPr>
        <w:t xml:space="preserve">is to </w:t>
      </w:r>
      <w:r w:rsidR="0056104F" w:rsidRPr="0092230E">
        <w:rPr>
          <w:rFonts w:ascii="Arial" w:hAnsi="Arial" w:cs="Arial"/>
          <w:sz w:val="20"/>
        </w:rPr>
        <w:t xml:space="preserve">set out how </w:t>
      </w:r>
      <w:r w:rsidRPr="0092230E">
        <w:rPr>
          <w:rFonts w:ascii="Arial" w:hAnsi="Arial" w:cs="Arial"/>
          <w:sz w:val="20"/>
        </w:rPr>
        <w:t>the participating person’s gross telecommunications sales revenue</w:t>
      </w:r>
      <w:r w:rsidR="0056104F" w:rsidRPr="0092230E">
        <w:rPr>
          <w:rFonts w:ascii="Arial" w:hAnsi="Arial" w:cs="Arial"/>
          <w:sz w:val="20"/>
        </w:rPr>
        <w:t xml:space="preserve"> for an eligible revenue period is worked out</w:t>
      </w:r>
      <w:r w:rsidRPr="0092230E">
        <w:rPr>
          <w:rFonts w:ascii="Arial" w:hAnsi="Arial" w:cs="Arial"/>
          <w:sz w:val="20"/>
        </w:rPr>
        <w:t>.</w:t>
      </w:r>
      <w:r w:rsidR="002E21E5">
        <w:rPr>
          <w:rFonts w:ascii="Arial" w:hAnsi="Arial" w:cs="Arial"/>
          <w:sz w:val="20"/>
        </w:rPr>
        <w:t xml:space="preserve">  </w:t>
      </w:r>
    </w:p>
    <w:p w14:paraId="2B393852" w14:textId="77777777" w:rsidR="002642D5" w:rsidRPr="0092230E" w:rsidRDefault="002642D5" w:rsidP="00192B36">
      <w:pPr>
        <w:pStyle w:val="ABABulletLevel1"/>
        <w:spacing w:after="120"/>
        <w:rPr>
          <w:rFonts w:ascii="Arial" w:hAnsi="Arial" w:cs="Arial"/>
          <w:b/>
          <w:sz w:val="20"/>
        </w:rPr>
      </w:pPr>
    </w:p>
    <w:p w14:paraId="4D326D64" w14:textId="5D043EFE" w:rsidR="00192B36" w:rsidRPr="0092230E" w:rsidRDefault="00192B36" w:rsidP="00192B36">
      <w:pPr>
        <w:pStyle w:val="ABABulletLevel1"/>
        <w:spacing w:after="120"/>
        <w:rPr>
          <w:rFonts w:ascii="Arial" w:hAnsi="Arial" w:cs="Arial"/>
          <w:b/>
          <w:i/>
          <w:sz w:val="20"/>
        </w:rPr>
      </w:pPr>
      <w:r w:rsidRPr="0092230E">
        <w:rPr>
          <w:rFonts w:ascii="Arial" w:hAnsi="Arial" w:cs="Arial"/>
          <w:b/>
          <w:sz w:val="20"/>
        </w:rPr>
        <w:t xml:space="preserve">Section </w:t>
      </w:r>
      <w:r w:rsidR="00067542" w:rsidRPr="0092230E">
        <w:rPr>
          <w:rFonts w:ascii="Arial" w:hAnsi="Arial" w:cs="Arial"/>
          <w:b/>
          <w:sz w:val="20"/>
        </w:rPr>
        <w:t>1</w:t>
      </w:r>
      <w:r w:rsidR="009E2111">
        <w:rPr>
          <w:rFonts w:ascii="Arial" w:hAnsi="Arial" w:cs="Arial"/>
          <w:b/>
          <w:sz w:val="20"/>
        </w:rPr>
        <w:t>7</w:t>
      </w:r>
      <w:r w:rsidR="00067542" w:rsidRPr="0092230E">
        <w:rPr>
          <w:rFonts w:ascii="Arial" w:hAnsi="Arial" w:cs="Arial"/>
          <w:b/>
          <w:sz w:val="20"/>
        </w:rPr>
        <w:t xml:space="preserve"> </w:t>
      </w:r>
      <w:r w:rsidRPr="0092230E">
        <w:rPr>
          <w:rFonts w:ascii="Arial" w:hAnsi="Arial" w:cs="Arial"/>
          <w:b/>
          <w:sz w:val="20"/>
        </w:rPr>
        <w:t>– Initial sales revenue</w:t>
      </w:r>
    </w:p>
    <w:p w14:paraId="229B79BC" w14:textId="190C0B98" w:rsidR="00192B36" w:rsidRPr="0092230E" w:rsidRDefault="00192B36" w:rsidP="00192B36">
      <w:pPr>
        <w:pStyle w:val="ABABulletLevel1"/>
        <w:spacing w:after="120"/>
        <w:rPr>
          <w:rFonts w:ascii="Arial" w:hAnsi="Arial" w:cs="Arial"/>
          <w:sz w:val="20"/>
        </w:rPr>
      </w:pPr>
      <w:r w:rsidRPr="0092230E">
        <w:rPr>
          <w:rFonts w:ascii="Arial" w:hAnsi="Arial" w:cs="Arial"/>
          <w:sz w:val="20"/>
        </w:rPr>
        <w:t xml:space="preserve">Section </w:t>
      </w:r>
      <w:r w:rsidR="002A3D23" w:rsidRPr="0092230E">
        <w:rPr>
          <w:rFonts w:ascii="Arial" w:hAnsi="Arial" w:cs="Arial"/>
          <w:sz w:val="20"/>
        </w:rPr>
        <w:t>1</w:t>
      </w:r>
      <w:r w:rsidR="009E2111">
        <w:rPr>
          <w:rFonts w:ascii="Arial" w:hAnsi="Arial" w:cs="Arial"/>
          <w:sz w:val="20"/>
        </w:rPr>
        <w:t>7</w:t>
      </w:r>
      <w:r w:rsidR="002A3D23" w:rsidRPr="0092230E">
        <w:rPr>
          <w:rFonts w:ascii="Arial" w:hAnsi="Arial" w:cs="Arial"/>
          <w:sz w:val="20"/>
        </w:rPr>
        <w:t xml:space="preserve"> </w:t>
      </w:r>
      <w:r w:rsidR="00DF7788">
        <w:rPr>
          <w:rFonts w:ascii="Arial" w:hAnsi="Arial" w:cs="Arial"/>
          <w:sz w:val="20"/>
        </w:rPr>
        <w:t xml:space="preserve">of the instrument </w:t>
      </w:r>
      <w:r w:rsidRPr="0092230E">
        <w:rPr>
          <w:rFonts w:ascii="Arial" w:hAnsi="Arial" w:cs="Arial"/>
          <w:sz w:val="20"/>
        </w:rPr>
        <w:t xml:space="preserve">provides that the initial sales revenue of </w:t>
      </w:r>
      <w:r w:rsidR="00DF7788">
        <w:rPr>
          <w:rFonts w:ascii="Arial" w:hAnsi="Arial" w:cs="Arial"/>
          <w:sz w:val="20"/>
        </w:rPr>
        <w:t>a</w:t>
      </w:r>
      <w:r w:rsidR="00DF7788" w:rsidRPr="0092230E">
        <w:rPr>
          <w:rFonts w:ascii="Arial" w:hAnsi="Arial" w:cs="Arial"/>
          <w:sz w:val="20"/>
        </w:rPr>
        <w:t xml:space="preserve"> </w:t>
      </w:r>
      <w:r w:rsidRPr="0092230E">
        <w:rPr>
          <w:rFonts w:ascii="Arial" w:hAnsi="Arial" w:cs="Arial"/>
          <w:sz w:val="20"/>
        </w:rPr>
        <w:t>participating person</w:t>
      </w:r>
      <w:r w:rsidR="00DF7788">
        <w:rPr>
          <w:rFonts w:ascii="Arial" w:hAnsi="Arial" w:cs="Arial"/>
          <w:sz w:val="20"/>
        </w:rPr>
        <w:t xml:space="preserve"> and their </w:t>
      </w:r>
      <w:r w:rsidRPr="0092230E">
        <w:rPr>
          <w:rFonts w:ascii="Arial" w:hAnsi="Arial" w:cs="Arial"/>
          <w:sz w:val="20"/>
        </w:rPr>
        <w:t xml:space="preserve">consolidated related parties and declared related parties </w:t>
      </w:r>
      <w:r w:rsidR="0056104F" w:rsidRPr="0092230E">
        <w:rPr>
          <w:rFonts w:ascii="Arial" w:hAnsi="Arial" w:cs="Arial"/>
          <w:sz w:val="20"/>
        </w:rPr>
        <w:t xml:space="preserve">for the whole of an eligible revenue period is to be </w:t>
      </w:r>
      <w:r w:rsidR="00871B7E" w:rsidRPr="0092230E">
        <w:rPr>
          <w:rFonts w:ascii="Arial" w:hAnsi="Arial" w:cs="Arial"/>
          <w:sz w:val="20"/>
        </w:rPr>
        <w:t>worked out</w:t>
      </w:r>
      <w:r w:rsidR="0056104F" w:rsidRPr="0092230E">
        <w:rPr>
          <w:rFonts w:ascii="Arial" w:hAnsi="Arial" w:cs="Arial"/>
          <w:sz w:val="20"/>
        </w:rPr>
        <w:t xml:space="preserve"> using the sources specified in section </w:t>
      </w:r>
      <w:r w:rsidR="002A3D23" w:rsidRPr="0092230E">
        <w:rPr>
          <w:rFonts w:ascii="Arial" w:hAnsi="Arial" w:cs="Arial"/>
          <w:sz w:val="20"/>
        </w:rPr>
        <w:t>1</w:t>
      </w:r>
      <w:r w:rsidR="009E2111">
        <w:rPr>
          <w:rFonts w:ascii="Arial" w:hAnsi="Arial" w:cs="Arial"/>
          <w:sz w:val="20"/>
        </w:rPr>
        <w:t>4</w:t>
      </w:r>
      <w:r w:rsidR="00DF7788">
        <w:rPr>
          <w:rFonts w:ascii="Arial" w:hAnsi="Arial" w:cs="Arial"/>
          <w:sz w:val="20"/>
        </w:rPr>
        <w:t xml:space="preserve"> of the instrument</w:t>
      </w:r>
      <w:r w:rsidRPr="0092230E">
        <w:rPr>
          <w:rFonts w:ascii="Arial" w:hAnsi="Arial" w:cs="Arial"/>
          <w:sz w:val="20"/>
        </w:rPr>
        <w:t>.</w:t>
      </w:r>
      <w:r w:rsidR="002E21E5">
        <w:rPr>
          <w:rFonts w:ascii="Arial" w:hAnsi="Arial" w:cs="Arial"/>
          <w:sz w:val="20"/>
        </w:rPr>
        <w:t xml:space="preserve">  </w:t>
      </w:r>
    </w:p>
    <w:p w14:paraId="4199E40F" w14:textId="59D9A7F4" w:rsidR="00192B36" w:rsidRPr="0092230E" w:rsidRDefault="00192B36" w:rsidP="00192B36">
      <w:pPr>
        <w:pStyle w:val="ABABulletLevel1"/>
        <w:spacing w:after="120"/>
        <w:rPr>
          <w:rFonts w:ascii="Arial" w:hAnsi="Arial" w:cs="Arial"/>
          <w:sz w:val="20"/>
        </w:rPr>
      </w:pPr>
      <w:r w:rsidRPr="0092230E">
        <w:rPr>
          <w:rFonts w:ascii="Arial" w:hAnsi="Arial" w:cs="Arial"/>
          <w:sz w:val="20"/>
        </w:rPr>
        <w:t xml:space="preserve">For the participating person and any </w:t>
      </w:r>
      <w:r w:rsidR="00DF7788">
        <w:rPr>
          <w:rFonts w:ascii="Arial" w:hAnsi="Arial" w:cs="Arial"/>
          <w:sz w:val="20"/>
        </w:rPr>
        <w:t xml:space="preserve">of their </w:t>
      </w:r>
      <w:r w:rsidRPr="0092230E">
        <w:rPr>
          <w:rFonts w:ascii="Arial" w:hAnsi="Arial" w:cs="Arial"/>
          <w:sz w:val="20"/>
        </w:rPr>
        <w:t>consolidated related part</w:t>
      </w:r>
      <w:r w:rsidR="00DF7788">
        <w:rPr>
          <w:rFonts w:ascii="Arial" w:hAnsi="Arial" w:cs="Arial"/>
          <w:sz w:val="20"/>
        </w:rPr>
        <w:t>ies</w:t>
      </w:r>
      <w:r w:rsidRPr="0092230E">
        <w:rPr>
          <w:rFonts w:ascii="Arial" w:hAnsi="Arial" w:cs="Arial"/>
          <w:sz w:val="20"/>
        </w:rPr>
        <w:t xml:space="preserve">, 100 per cent of the sales revenue identified in the financial statements </w:t>
      </w:r>
      <w:r w:rsidR="007F1172" w:rsidRPr="0092230E">
        <w:rPr>
          <w:rFonts w:ascii="Arial" w:hAnsi="Arial" w:cs="Arial"/>
          <w:sz w:val="20"/>
        </w:rPr>
        <w:t xml:space="preserve">must </w:t>
      </w:r>
      <w:r w:rsidRPr="0092230E">
        <w:rPr>
          <w:rFonts w:ascii="Arial" w:hAnsi="Arial" w:cs="Arial"/>
          <w:sz w:val="20"/>
        </w:rPr>
        <w:t xml:space="preserve">be </w:t>
      </w:r>
      <w:r w:rsidR="00871B7E" w:rsidRPr="0092230E">
        <w:rPr>
          <w:rFonts w:ascii="Arial" w:hAnsi="Arial" w:cs="Arial"/>
          <w:sz w:val="20"/>
        </w:rPr>
        <w:t xml:space="preserve">included </w:t>
      </w:r>
      <w:r w:rsidRPr="0092230E">
        <w:rPr>
          <w:rFonts w:ascii="Arial" w:hAnsi="Arial" w:cs="Arial"/>
          <w:sz w:val="20"/>
        </w:rPr>
        <w:t xml:space="preserve">as ‘initial sales revenue’. </w:t>
      </w:r>
      <w:r w:rsidR="00C82C71" w:rsidRPr="0092230E">
        <w:rPr>
          <w:rFonts w:ascii="Arial" w:hAnsi="Arial" w:cs="Arial"/>
          <w:sz w:val="20"/>
        </w:rPr>
        <w:t xml:space="preserve">This is added to the </w:t>
      </w:r>
      <w:r w:rsidR="00871B7E" w:rsidRPr="0092230E">
        <w:rPr>
          <w:rFonts w:ascii="Arial" w:hAnsi="Arial" w:cs="Arial"/>
          <w:sz w:val="20"/>
        </w:rPr>
        <w:t xml:space="preserve">sales </w:t>
      </w:r>
      <w:r w:rsidR="00C82C71" w:rsidRPr="0092230E">
        <w:rPr>
          <w:rFonts w:ascii="Arial" w:hAnsi="Arial" w:cs="Arial"/>
          <w:sz w:val="20"/>
        </w:rPr>
        <w:t xml:space="preserve">revenue </w:t>
      </w:r>
      <w:r w:rsidR="00871B7E" w:rsidRPr="0092230E">
        <w:rPr>
          <w:rFonts w:ascii="Arial" w:hAnsi="Arial" w:cs="Arial"/>
          <w:sz w:val="20"/>
        </w:rPr>
        <w:t>of</w:t>
      </w:r>
      <w:r w:rsidR="00C82C71" w:rsidRPr="0092230E">
        <w:rPr>
          <w:rFonts w:ascii="Arial" w:hAnsi="Arial" w:cs="Arial"/>
          <w:sz w:val="20"/>
        </w:rPr>
        <w:t xml:space="preserve"> </w:t>
      </w:r>
      <w:r w:rsidR="00DF7788">
        <w:rPr>
          <w:rFonts w:ascii="Arial" w:hAnsi="Arial" w:cs="Arial"/>
          <w:sz w:val="20"/>
        </w:rPr>
        <w:t xml:space="preserve">the participating person’s </w:t>
      </w:r>
      <w:r w:rsidR="00C82C71" w:rsidRPr="0092230E">
        <w:rPr>
          <w:rFonts w:ascii="Arial" w:hAnsi="Arial" w:cs="Arial"/>
          <w:sz w:val="20"/>
        </w:rPr>
        <w:t>declared related parties</w:t>
      </w:r>
      <w:r w:rsidR="00871B7E" w:rsidRPr="0092230E">
        <w:rPr>
          <w:rFonts w:ascii="Arial" w:hAnsi="Arial" w:cs="Arial"/>
          <w:sz w:val="20"/>
        </w:rPr>
        <w:t xml:space="preserve"> (if any) which is again identified from the sources specified in section </w:t>
      </w:r>
      <w:r w:rsidR="002A3D23" w:rsidRPr="0092230E">
        <w:rPr>
          <w:rFonts w:ascii="Arial" w:hAnsi="Arial" w:cs="Arial"/>
          <w:sz w:val="20"/>
        </w:rPr>
        <w:t>1</w:t>
      </w:r>
      <w:r w:rsidR="009E2111">
        <w:rPr>
          <w:rFonts w:ascii="Arial" w:hAnsi="Arial" w:cs="Arial"/>
          <w:sz w:val="20"/>
        </w:rPr>
        <w:t>4</w:t>
      </w:r>
      <w:r w:rsidR="00DF7788">
        <w:rPr>
          <w:rFonts w:ascii="Arial" w:hAnsi="Arial" w:cs="Arial"/>
          <w:sz w:val="20"/>
        </w:rPr>
        <w:t xml:space="preserve"> of the instrument</w:t>
      </w:r>
      <w:r w:rsidR="00C82C71" w:rsidRPr="0092230E">
        <w:rPr>
          <w:rFonts w:ascii="Arial" w:hAnsi="Arial" w:cs="Arial"/>
          <w:sz w:val="20"/>
        </w:rPr>
        <w:t xml:space="preserve">. </w:t>
      </w:r>
      <w:r w:rsidRPr="0092230E">
        <w:rPr>
          <w:rFonts w:ascii="Arial" w:hAnsi="Arial" w:cs="Arial"/>
          <w:sz w:val="20"/>
        </w:rPr>
        <w:t xml:space="preserve">For </w:t>
      </w:r>
      <w:r w:rsidR="00DF7788">
        <w:rPr>
          <w:rFonts w:ascii="Arial" w:hAnsi="Arial" w:cs="Arial"/>
          <w:sz w:val="20"/>
        </w:rPr>
        <w:t xml:space="preserve">the participating person’s </w:t>
      </w:r>
      <w:r w:rsidRPr="0092230E">
        <w:rPr>
          <w:rFonts w:ascii="Arial" w:hAnsi="Arial" w:cs="Arial"/>
          <w:sz w:val="20"/>
        </w:rPr>
        <w:t xml:space="preserve">declared related parties, the amount of </w:t>
      </w:r>
      <w:r w:rsidR="00871B7E" w:rsidRPr="0092230E">
        <w:rPr>
          <w:rFonts w:ascii="Arial" w:hAnsi="Arial" w:cs="Arial"/>
          <w:sz w:val="20"/>
        </w:rPr>
        <w:t xml:space="preserve">their sales </w:t>
      </w:r>
      <w:r w:rsidRPr="0092230E">
        <w:rPr>
          <w:rFonts w:ascii="Arial" w:hAnsi="Arial" w:cs="Arial"/>
          <w:sz w:val="20"/>
        </w:rPr>
        <w:t>revenue to be included</w:t>
      </w:r>
      <w:r w:rsidR="00871B7E" w:rsidRPr="0092230E">
        <w:rPr>
          <w:rFonts w:ascii="Arial" w:hAnsi="Arial" w:cs="Arial"/>
          <w:sz w:val="20"/>
        </w:rPr>
        <w:t xml:space="preserve"> as part of</w:t>
      </w:r>
      <w:r w:rsidRPr="0092230E">
        <w:rPr>
          <w:rFonts w:ascii="Arial" w:hAnsi="Arial" w:cs="Arial"/>
          <w:sz w:val="20"/>
        </w:rPr>
        <w:t xml:space="preserve"> the </w:t>
      </w:r>
      <w:r w:rsidR="00C82C71" w:rsidRPr="0092230E">
        <w:rPr>
          <w:rFonts w:ascii="Arial" w:hAnsi="Arial" w:cs="Arial"/>
          <w:sz w:val="20"/>
        </w:rPr>
        <w:t xml:space="preserve">participating person’s </w:t>
      </w:r>
      <w:r w:rsidRPr="0092230E">
        <w:rPr>
          <w:rFonts w:ascii="Arial" w:hAnsi="Arial" w:cs="Arial"/>
          <w:sz w:val="20"/>
        </w:rPr>
        <w:t>revenue is the</w:t>
      </w:r>
      <w:r w:rsidR="007716E8">
        <w:rPr>
          <w:rFonts w:ascii="Arial" w:hAnsi="Arial" w:cs="Arial"/>
          <w:sz w:val="20"/>
        </w:rPr>
        <w:t xml:space="preserve"> declared related party’s </w:t>
      </w:r>
      <w:r w:rsidRPr="0092230E">
        <w:rPr>
          <w:rFonts w:ascii="Arial" w:hAnsi="Arial" w:cs="Arial"/>
          <w:sz w:val="20"/>
        </w:rPr>
        <w:t>sales revenue</w:t>
      </w:r>
      <w:r w:rsidR="00745E2E">
        <w:rPr>
          <w:rFonts w:ascii="Arial" w:hAnsi="Arial" w:cs="Arial"/>
          <w:sz w:val="20"/>
        </w:rPr>
        <w:t xml:space="preserve"> </w:t>
      </w:r>
      <w:r w:rsidR="007716E8">
        <w:rPr>
          <w:rFonts w:ascii="Arial" w:hAnsi="Arial" w:cs="Arial"/>
          <w:sz w:val="20"/>
        </w:rPr>
        <w:t xml:space="preserve">multiplied by the </w:t>
      </w:r>
      <w:r w:rsidR="008A7D1A">
        <w:rPr>
          <w:rFonts w:ascii="Arial" w:hAnsi="Arial" w:cs="Arial"/>
          <w:sz w:val="20"/>
        </w:rPr>
        <w:t xml:space="preserve">declared related party factor. </w:t>
      </w:r>
      <w:r w:rsidR="006B3D7B">
        <w:rPr>
          <w:rFonts w:ascii="Arial" w:hAnsi="Arial" w:cs="Arial"/>
          <w:sz w:val="20"/>
        </w:rPr>
        <w:t>A person who is a declared related party for only part of an eligible revenue period only needs to include their sales revenue</w:t>
      </w:r>
      <w:r w:rsidR="008A7D1A">
        <w:rPr>
          <w:rFonts w:ascii="Arial" w:hAnsi="Arial" w:cs="Arial"/>
          <w:sz w:val="20"/>
        </w:rPr>
        <w:t xml:space="preserve"> (multiplied by the declared related party factor)</w:t>
      </w:r>
      <w:r w:rsidR="006B3D7B">
        <w:rPr>
          <w:rFonts w:ascii="Arial" w:hAnsi="Arial" w:cs="Arial"/>
          <w:sz w:val="20"/>
        </w:rPr>
        <w:t xml:space="preserve"> for the period during which they </w:t>
      </w:r>
      <w:r w:rsidR="0026655C">
        <w:rPr>
          <w:rFonts w:ascii="Arial" w:hAnsi="Arial" w:cs="Arial"/>
          <w:sz w:val="20"/>
        </w:rPr>
        <w:t xml:space="preserve">were a declared related party.  </w:t>
      </w:r>
    </w:p>
    <w:p w14:paraId="47CEE738" w14:textId="51AE2FF9" w:rsidR="00192B36" w:rsidRPr="0092230E" w:rsidRDefault="00192B36" w:rsidP="00192B36">
      <w:pPr>
        <w:pStyle w:val="ABABulletLevel1"/>
        <w:spacing w:after="120"/>
        <w:rPr>
          <w:rFonts w:ascii="Arial" w:hAnsi="Arial" w:cs="Arial"/>
          <w:sz w:val="20"/>
        </w:rPr>
      </w:pPr>
      <w:r w:rsidRPr="0092230E">
        <w:rPr>
          <w:rFonts w:ascii="Arial" w:hAnsi="Arial" w:cs="Arial"/>
          <w:sz w:val="20"/>
        </w:rPr>
        <w:t>S</w:t>
      </w:r>
      <w:r w:rsidR="00054D58" w:rsidRPr="0092230E">
        <w:rPr>
          <w:rFonts w:ascii="Arial" w:hAnsi="Arial" w:cs="Arial"/>
          <w:sz w:val="20"/>
        </w:rPr>
        <w:t>ubs</w:t>
      </w:r>
      <w:r w:rsidRPr="0092230E">
        <w:rPr>
          <w:rFonts w:ascii="Arial" w:hAnsi="Arial" w:cs="Arial"/>
          <w:sz w:val="20"/>
        </w:rPr>
        <w:t xml:space="preserve">ection </w:t>
      </w:r>
      <w:r w:rsidR="002A3D23" w:rsidRPr="0092230E">
        <w:rPr>
          <w:rFonts w:ascii="Arial" w:hAnsi="Arial" w:cs="Arial"/>
          <w:sz w:val="20"/>
        </w:rPr>
        <w:t>1</w:t>
      </w:r>
      <w:r w:rsidR="00E27E90">
        <w:rPr>
          <w:rFonts w:ascii="Arial" w:hAnsi="Arial" w:cs="Arial"/>
          <w:sz w:val="20"/>
        </w:rPr>
        <w:t>7</w:t>
      </w:r>
      <w:r w:rsidR="00054D58" w:rsidRPr="0092230E">
        <w:rPr>
          <w:rFonts w:ascii="Arial" w:hAnsi="Arial" w:cs="Arial"/>
          <w:sz w:val="20"/>
        </w:rPr>
        <w:t xml:space="preserve">(5) </w:t>
      </w:r>
      <w:r w:rsidR="00DF7788">
        <w:rPr>
          <w:rFonts w:ascii="Arial" w:hAnsi="Arial" w:cs="Arial"/>
          <w:sz w:val="20"/>
        </w:rPr>
        <w:t>of the instrument</w:t>
      </w:r>
      <w:r w:rsidR="00DF7788" w:rsidRPr="0092230E">
        <w:rPr>
          <w:rFonts w:ascii="Arial" w:hAnsi="Arial" w:cs="Arial"/>
          <w:sz w:val="20"/>
        </w:rPr>
        <w:t xml:space="preserve"> </w:t>
      </w:r>
      <w:r w:rsidRPr="0092230E">
        <w:rPr>
          <w:rFonts w:ascii="Arial" w:hAnsi="Arial" w:cs="Arial"/>
          <w:sz w:val="20"/>
        </w:rPr>
        <w:t xml:space="preserve">provides that the ACMA may make declarations about whether the sales revenue </w:t>
      </w:r>
      <w:r w:rsidR="00871B7E" w:rsidRPr="0092230E">
        <w:rPr>
          <w:rFonts w:ascii="Arial" w:hAnsi="Arial" w:cs="Arial"/>
          <w:sz w:val="20"/>
        </w:rPr>
        <w:t xml:space="preserve">(either part or whole) </w:t>
      </w:r>
      <w:r w:rsidRPr="0092230E">
        <w:rPr>
          <w:rFonts w:ascii="Arial" w:hAnsi="Arial" w:cs="Arial"/>
          <w:sz w:val="20"/>
        </w:rPr>
        <w:t xml:space="preserve">of </w:t>
      </w:r>
      <w:r w:rsidR="00AB2152">
        <w:rPr>
          <w:rFonts w:ascii="Arial" w:hAnsi="Arial" w:cs="Arial"/>
          <w:sz w:val="20"/>
        </w:rPr>
        <w:t xml:space="preserve">a </w:t>
      </w:r>
      <w:r w:rsidRPr="0092230E">
        <w:rPr>
          <w:rFonts w:ascii="Arial" w:hAnsi="Arial" w:cs="Arial"/>
          <w:sz w:val="20"/>
        </w:rPr>
        <w:t>declared related part</w:t>
      </w:r>
      <w:r w:rsidR="00AB2152">
        <w:rPr>
          <w:rFonts w:ascii="Arial" w:hAnsi="Arial" w:cs="Arial"/>
          <w:sz w:val="20"/>
        </w:rPr>
        <w:t xml:space="preserve">y </w:t>
      </w:r>
      <w:r w:rsidR="006F7ACD">
        <w:rPr>
          <w:rFonts w:ascii="Arial" w:hAnsi="Arial" w:cs="Arial"/>
          <w:sz w:val="20"/>
        </w:rPr>
        <w:t>of a participating person</w:t>
      </w:r>
      <w:r w:rsidR="00871B7E" w:rsidRPr="0092230E">
        <w:rPr>
          <w:rFonts w:ascii="Arial" w:hAnsi="Arial" w:cs="Arial"/>
          <w:sz w:val="20"/>
        </w:rPr>
        <w:t xml:space="preserve"> (specified in the declaration)</w:t>
      </w:r>
      <w:r w:rsidRPr="0092230E">
        <w:rPr>
          <w:rFonts w:ascii="Arial" w:hAnsi="Arial" w:cs="Arial"/>
          <w:sz w:val="20"/>
        </w:rPr>
        <w:t xml:space="preserve"> is </w:t>
      </w:r>
      <w:r w:rsidR="00054D58" w:rsidRPr="0092230E">
        <w:rPr>
          <w:rFonts w:ascii="Arial" w:hAnsi="Arial" w:cs="Arial"/>
          <w:sz w:val="20"/>
        </w:rPr>
        <w:t xml:space="preserve">not </w:t>
      </w:r>
      <w:r w:rsidRPr="0092230E">
        <w:rPr>
          <w:rFonts w:ascii="Arial" w:hAnsi="Arial" w:cs="Arial"/>
          <w:sz w:val="20"/>
        </w:rPr>
        <w:t>part of the participating person’s</w:t>
      </w:r>
      <w:r w:rsidR="00871B7E" w:rsidRPr="0092230E">
        <w:rPr>
          <w:rFonts w:ascii="Arial" w:hAnsi="Arial" w:cs="Arial"/>
          <w:sz w:val="20"/>
        </w:rPr>
        <w:t xml:space="preserve"> initial</w:t>
      </w:r>
      <w:r w:rsidRPr="0092230E">
        <w:rPr>
          <w:rFonts w:ascii="Arial" w:hAnsi="Arial" w:cs="Arial"/>
          <w:sz w:val="20"/>
        </w:rPr>
        <w:t xml:space="preserve"> sales revenue.</w:t>
      </w:r>
    </w:p>
    <w:p w14:paraId="67892C07" w14:textId="77777777" w:rsidR="00871B7E" w:rsidRPr="0092230E" w:rsidRDefault="00871B7E" w:rsidP="00192B36">
      <w:pPr>
        <w:pStyle w:val="ABABulletLevel1"/>
        <w:spacing w:after="120"/>
        <w:rPr>
          <w:rFonts w:ascii="Arial" w:hAnsi="Arial" w:cs="Arial"/>
          <w:b/>
          <w:sz w:val="20"/>
        </w:rPr>
      </w:pPr>
    </w:p>
    <w:p w14:paraId="146AFCD6" w14:textId="72F73965" w:rsidR="00E05B56" w:rsidRPr="0092230E" w:rsidRDefault="00E05B56" w:rsidP="004C43F6">
      <w:pPr>
        <w:pStyle w:val="ABABulletLevel1"/>
        <w:keepNext/>
        <w:spacing w:after="120"/>
        <w:rPr>
          <w:rFonts w:ascii="Arial" w:hAnsi="Arial" w:cs="Arial"/>
          <w:b/>
          <w:i/>
          <w:sz w:val="20"/>
        </w:rPr>
      </w:pPr>
      <w:r w:rsidRPr="0092230E">
        <w:rPr>
          <w:rFonts w:ascii="Arial" w:hAnsi="Arial" w:cs="Arial"/>
          <w:b/>
          <w:sz w:val="20"/>
        </w:rPr>
        <w:t xml:space="preserve">Section </w:t>
      </w:r>
      <w:r w:rsidR="00067542" w:rsidRPr="0092230E">
        <w:rPr>
          <w:rFonts w:ascii="Arial" w:hAnsi="Arial" w:cs="Arial"/>
          <w:b/>
          <w:sz w:val="20"/>
        </w:rPr>
        <w:t>1</w:t>
      </w:r>
      <w:r w:rsidR="009E2111">
        <w:rPr>
          <w:rFonts w:ascii="Arial" w:hAnsi="Arial" w:cs="Arial"/>
          <w:b/>
          <w:sz w:val="20"/>
        </w:rPr>
        <w:t>8</w:t>
      </w:r>
      <w:r w:rsidR="00067542" w:rsidRPr="0092230E">
        <w:rPr>
          <w:rFonts w:ascii="Arial" w:hAnsi="Arial" w:cs="Arial"/>
          <w:b/>
          <w:sz w:val="20"/>
        </w:rPr>
        <w:t xml:space="preserve"> </w:t>
      </w:r>
      <w:r w:rsidRPr="0092230E">
        <w:rPr>
          <w:rFonts w:ascii="Arial" w:hAnsi="Arial" w:cs="Arial"/>
          <w:b/>
          <w:sz w:val="20"/>
        </w:rPr>
        <w:t xml:space="preserve">– </w:t>
      </w:r>
      <w:r w:rsidR="00C82C71" w:rsidRPr="0092230E">
        <w:rPr>
          <w:rFonts w:ascii="Arial" w:hAnsi="Arial" w:cs="Arial"/>
          <w:b/>
          <w:sz w:val="20"/>
        </w:rPr>
        <w:t>Non-telecommunications sales revenue</w:t>
      </w:r>
    </w:p>
    <w:p w14:paraId="67724D9F" w14:textId="04B15109" w:rsidR="00E05B56" w:rsidRPr="0092230E" w:rsidRDefault="00C82C71" w:rsidP="00E05B56">
      <w:pPr>
        <w:pStyle w:val="ABABulletLevel1"/>
        <w:spacing w:after="120"/>
        <w:rPr>
          <w:rFonts w:ascii="Arial" w:hAnsi="Arial" w:cs="Arial"/>
          <w:b/>
          <w:sz w:val="20"/>
        </w:rPr>
      </w:pPr>
      <w:r w:rsidRPr="0092230E">
        <w:rPr>
          <w:rFonts w:ascii="Arial" w:hAnsi="Arial" w:cs="Arial"/>
          <w:sz w:val="20"/>
        </w:rPr>
        <w:t xml:space="preserve">Section </w:t>
      </w:r>
      <w:r w:rsidR="002A3D23" w:rsidRPr="0092230E">
        <w:rPr>
          <w:rFonts w:ascii="Arial" w:hAnsi="Arial" w:cs="Arial"/>
          <w:sz w:val="20"/>
        </w:rPr>
        <w:t>1</w:t>
      </w:r>
      <w:r w:rsidR="009E2111">
        <w:rPr>
          <w:rFonts w:ascii="Arial" w:hAnsi="Arial" w:cs="Arial"/>
          <w:sz w:val="20"/>
        </w:rPr>
        <w:t>8</w:t>
      </w:r>
      <w:r w:rsidR="002A3D23" w:rsidRPr="0092230E">
        <w:rPr>
          <w:rFonts w:ascii="Arial" w:hAnsi="Arial" w:cs="Arial"/>
          <w:sz w:val="20"/>
        </w:rPr>
        <w:t xml:space="preserve"> </w:t>
      </w:r>
      <w:r w:rsidR="00DF7788">
        <w:rPr>
          <w:rFonts w:ascii="Arial" w:hAnsi="Arial" w:cs="Arial"/>
          <w:sz w:val="20"/>
        </w:rPr>
        <w:t xml:space="preserve">of the instrument </w:t>
      </w:r>
      <w:r w:rsidRPr="0092230E">
        <w:rPr>
          <w:rFonts w:ascii="Arial" w:hAnsi="Arial" w:cs="Arial"/>
          <w:sz w:val="20"/>
        </w:rPr>
        <w:t xml:space="preserve">allows a participating person to deduct from the initial sales revenue it has identified under section </w:t>
      </w:r>
      <w:r w:rsidR="002A3D23" w:rsidRPr="0092230E">
        <w:rPr>
          <w:rFonts w:ascii="Arial" w:hAnsi="Arial" w:cs="Arial"/>
          <w:sz w:val="20"/>
        </w:rPr>
        <w:t>1</w:t>
      </w:r>
      <w:r w:rsidR="009E2111">
        <w:rPr>
          <w:rFonts w:ascii="Arial" w:hAnsi="Arial" w:cs="Arial"/>
          <w:sz w:val="20"/>
        </w:rPr>
        <w:t>7</w:t>
      </w:r>
      <w:r w:rsidR="002A3D23" w:rsidRPr="0092230E">
        <w:rPr>
          <w:rFonts w:ascii="Arial" w:hAnsi="Arial" w:cs="Arial"/>
          <w:sz w:val="20"/>
        </w:rPr>
        <w:t xml:space="preserve"> </w:t>
      </w:r>
      <w:r w:rsidR="00DF7788">
        <w:rPr>
          <w:rFonts w:ascii="Arial" w:hAnsi="Arial" w:cs="Arial"/>
          <w:sz w:val="20"/>
        </w:rPr>
        <w:t>of the instrument</w:t>
      </w:r>
      <w:r w:rsidR="00074B95">
        <w:rPr>
          <w:rFonts w:ascii="Arial" w:hAnsi="Arial" w:cs="Arial"/>
          <w:sz w:val="20"/>
        </w:rPr>
        <w:t>,</w:t>
      </w:r>
      <w:r w:rsidR="00DF7788">
        <w:rPr>
          <w:rFonts w:ascii="Arial" w:hAnsi="Arial" w:cs="Arial"/>
          <w:sz w:val="20"/>
        </w:rPr>
        <w:t xml:space="preserve"> </w:t>
      </w:r>
      <w:r w:rsidRPr="0092230E">
        <w:rPr>
          <w:rFonts w:ascii="Arial" w:hAnsi="Arial" w:cs="Arial"/>
          <w:sz w:val="20"/>
        </w:rPr>
        <w:t xml:space="preserve">any amount that is earned from an activity outside the telecommunications </w:t>
      </w:r>
      <w:r w:rsidR="00F77F4C" w:rsidRPr="0092230E">
        <w:rPr>
          <w:rFonts w:ascii="Arial" w:hAnsi="Arial" w:cs="Arial"/>
          <w:sz w:val="20"/>
        </w:rPr>
        <w:t>industry</w:t>
      </w:r>
      <w:r w:rsidR="00C41250" w:rsidRPr="0092230E">
        <w:rPr>
          <w:rFonts w:ascii="Arial" w:hAnsi="Arial" w:cs="Arial"/>
          <w:sz w:val="20"/>
        </w:rPr>
        <w:t xml:space="preserve"> (</w:t>
      </w:r>
      <w:r w:rsidR="00871B7E" w:rsidRPr="0092230E">
        <w:rPr>
          <w:rFonts w:ascii="Arial" w:hAnsi="Arial" w:cs="Arial"/>
          <w:sz w:val="20"/>
        </w:rPr>
        <w:t>that is, non-telecommunications sales revenue, which is defined in</w:t>
      </w:r>
      <w:r w:rsidR="00C41250" w:rsidRPr="0092230E">
        <w:rPr>
          <w:rFonts w:ascii="Arial" w:hAnsi="Arial" w:cs="Arial"/>
          <w:sz w:val="20"/>
        </w:rPr>
        <w:t xml:space="preserve"> section </w:t>
      </w:r>
      <w:r w:rsidR="009E2111">
        <w:rPr>
          <w:rFonts w:ascii="Arial" w:hAnsi="Arial" w:cs="Arial"/>
          <w:sz w:val="20"/>
        </w:rPr>
        <w:t>11</w:t>
      </w:r>
      <w:r w:rsidR="00DF7788">
        <w:rPr>
          <w:rFonts w:ascii="Arial" w:hAnsi="Arial" w:cs="Arial"/>
          <w:sz w:val="20"/>
        </w:rPr>
        <w:t xml:space="preserve"> of the instrument</w:t>
      </w:r>
      <w:r w:rsidR="00C41250" w:rsidRPr="0092230E">
        <w:rPr>
          <w:rFonts w:ascii="Arial" w:hAnsi="Arial" w:cs="Arial"/>
          <w:sz w:val="20"/>
        </w:rPr>
        <w:t>)</w:t>
      </w:r>
      <w:r w:rsidR="00F77F4C" w:rsidRPr="0092230E">
        <w:rPr>
          <w:rFonts w:ascii="Arial" w:hAnsi="Arial" w:cs="Arial"/>
          <w:sz w:val="20"/>
        </w:rPr>
        <w:t xml:space="preserve">. This enables the removal of </w:t>
      </w:r>
      <w:r w:rsidR="00871B7E" w:rsidRPr="0092230E">
        <w:rPr>
          <w:rFonts w:ascii="Arial" w:hAnsi="Arial" w:cs="Arial"/>
          <w:sz w:val="20"/>
        </w:rPr>
        <w:t xml:space="preserve">sales </w:t>
      </w:r>
      <w:r w:rsidR="00F77F4C" w:rsidRPr="0092230E">
        <w:rPr>
          <w:rFonts w:ascii="Arial" w:hAnsi="Arial" w:cs="Arial"/>
          <w:sz w:val="20"/>
        </w:rPr>
        <w:t xml:space="preserve">revenue not earned </w:t>
      </w:r>
      <w:r w:rsidR="00871B7E" w:rsidRPr="0092230E">
        <w:rPr>
          <w:rFonts w:ascii="Arial" w:hAnsi="Arial" w:cs="Arial"/>
          <w:sz w:val="20"/>
        </w:rPr>
        <w:t xml:space="preserve">from an activity </w:t>
      </w:r>
      <w:r w:rsidR="00F77F4C" w:rsidRPr="0092230E">
        <w:rPr>
          <w:rFonts w:ascii="Arial" w:hAnsi="Arial" w:cs="Arial"/>
          <w:sz w:val="20"/>
        </w:rPr>
        <w:t xml:space="preserve">in the telecommunications industry and which is not considered appropriate to be subject to </w:t>
      </w:r>
      <w:r w:rsidR="006747D9" w:rsidRPr="0092230E">
        <w:rPr>
          <w:rFonts w:ascii="Arial" w:hAnsi="Arial" w:cs="Arial"/>
          <w:sz w:val="20"/>
        </w:rPr>
        <w:t xml:space="preserve">the </w:t>
      </w:r>
      <w:r w:rsidR="00F77F4C" w:rsidRPr="0092230E">
        <w:rPr>
          <w:rFonts w:ascii="Arial" w:hAnsi="Arial" w:cs="Arial"/>
          <w:sz w:val="20"/>
        </w:rPr>
        <w:t>levy</w:t>
      </w:r>
      <w:r w:rsidR="006B64D0" w:rsidRPr="0092230E">
        <w:rPr>
          <w:rFonts w:ascii="Arial" w:hAnsi="Arial" w:cs="Arial"/>
          <w:sz w:val="20"/>
        </w:rPr>
        <w:t xml:space="preserve"> imposed under the </w:t>
      </w:r>
      <w:r w:rsidR="006B64D0" w:rsidRPr="0092230E">
        <w:rPr>
          <w:rFonts w:ascii="Arial" w:hAnsi="Arial" w:cs="Arial"/>
          <w:i/>
          <w:sz w:val="20"/>
        </w:rPr>
        <w:t>Telecommunications (Industry Levy) Act 2012</w:t>
      </w:r>
      <w:r w:rsidR="00F77F4C" w:rsidRPr="0092230E">
        <w:rPr>
          <w:rFonts w:ascii="Arial" w:hAnsi="Arial" w:cs="Arial"/>
          <w:sz w:val="20"/>
        </w:rPr>
        <w:t>. Such deductions are appropriate for two main reasons</w:t>
      </w:r>
      <w:r w:rsidR="00A71EDC">
        <w:rPr>
          <w:rFonts w:ascii="Arial" w:hAnsi="Arial" w:cs="Arial"/>
          <w:sz w:val="20"/>
        </w:rPr>
        <w:t>:</w:t>
      </w:r>
      <w:r w:rsidR="00F77F4C" w:rsidRPr="0092230E">
        <w:rPr>
          <w:rFonts w:ascii="Arial" w:hAnsi="Arial" w:cs="Arial"/>
          <w:sz w:val="20"/>
        </w:rPr>
        <w:t xml:space="preserve"> </w:t>
      </w:r>
      <w:r w:rsidR="002B7C05" w:rsidRPr="0092230E">
        <w:rPr>
          <w:rFonts w:ascii="Arial" w:hAnsi="Arial" w:cs="Arial"/>
          <w:sz w:val="20"/>
        </w:rPr>
        <w:t xml:space="preserve">persons who conduct </w:t>
      </w:r>
      <w:r w:rsidR="00F77F4C" w:rsidRPr="0092230E">
        <w:rPr>
          <w:rFonts w:ascii="Arial" w:hAnsi="Arial" w:cs="Arial"/>
          <w:sz w:val="20"/>
        </w:rPr>
        <w:t>activities outside the telecommunications industry are not direct beneficiaries of the universal telecommunications services</w:t>
      </w:r>
      <w:r w:rsidR="00A71EDC">
        <w:rPr>
          <w:rFonts w:ascii="Arial" w:hAnsi="Arial" w:cs="Arial"/>
          <w:sz w:val="20"/>
        </w:rPr>
        <w:t>;</w:t>
      </w:r>
      <w:r w:rsidR="00F77F4C" w:rsidRPr="0092230E">
        <w:rPr>
          <w:rFonts w:ascii="Arial" w:hAnsi="Arial" w:cs="Arial"/>
          <w:sz w:val="20"/>
        </w:rPr>
        <w:t xml:space="preserve"> and in operating in such markets, participating persons may be competing with </w:t>
      </w:r>
      <w:r w:rsidR="00871B7E" w:rsidRPr="0092230E">
        <w:rPr>
          <w:rFonts w:ascii="Arial" w:hAnsi="Arial" w:cs="Arial"/>
          <w:sz w:val="20"/>
        </w:rPr>
        <w:t xml:space="preserve">entities </w:t>
      </w:r>
      <w:r w:rsidR="00F77F4C" w:rsidRPr="0092230E">
        <w:rPr>
          <w:rFonts w:ascii="Arial" w:hAnsi="Arial" w:cs="Arial"/>
          <w:sz w:val="20"/>
        </w:rPr>
        <w:t>not otherwise subject to the levy.</w:t>
      </w:r>
    </w:p>
    <w:p w14:paraId="2718A93A" w14:textId="77278891" w:rsidR="00FE75EC" w:rsidRPr="0092230E" w:rsidRDefault="00F77F4C" w:rsidP="003214EE">
      <w:pPr>
        <w:pStyle w:val="ABABulletLevel1"/>
        <w:spacing w:after="120"/>
        <w:rPr>
          <w:rFonts w:ascii="Arial" w:hAnsi="Arial" w:cs="Arial"/>
          <w:sz w:val="20"/>
        </w:rPr>
      </w:pPr>
      <w:r w:rsidRPr="0092230E">
        <w:rPr>
          <w:rFonts w:ascii="Arial" w:hAnsi="Arial" w:cs="Arial"/>
          <w:sz w:val="20"/>
        </w:rPr>
        <w:t xml:space="preserve">Section </w:t>
      </w:r>
      <w:r w:rsidR="002A3D23" w:rsidRPr="0092230E">
        <w:rPr>
          <w:rFonts w:ascii="Arial" w:hAnsi="Arial" w:cs="Arial"/>
          <w:sz w:val="20"/>
        </w:rPr>
        <w:t>1</w:t>
      </w:r>
      <w:r w:rsidR="009E2111">
        <w:rPr>
          <w:rFonts w:ascii="Arial" w:hAnsi="Arial" w:cs="Arial"/>
          <w:sz w:val="20"/>
        </w:rPr>
        <w:t>8</w:t>
      </w:r>
      <w:r w:rsidR="002A3D23" w:rsidRPr="0092230E">
        <w:rPr>
          <w:rFonts w:ascii="Arial" w:hAnsi="Arial" w:cs="Arial"/>
          <w:sz w:val="20"/>
        </w:rPr>
        <w:t xml:space="preserve"> </w:t>
      </w:r>
      <w:r w:rsidR="00DF7788">
        <w:rPr>
          <w:rFonts w:ascii="Arial" w:hAnsi="Arial" w:cs="Arial"/>
          <w:sz w:val="20"/>
        </w:rPr>
        <w:t xml:space="preserve">of the instrument </w:t>
      </w:r>
      <w:r w:rsidRPr="0092230E">
        <w:rPr>
          <w:rFonts w:ascii="Arial" w:hAnsi="Arial" w:cs="Arial"/>
          <w:sz w:val="20"/>
        </w:rPr>
        <w:t xml:space="preserve">provides that non-telecommunications sales revenue of participating persons </w:t>
      </w:r>
      <w:r w:rsidR="00DF7788">
        <w:rPr>
          <w:rFonts w:ascii="Arial" w:hAnsi="Arial" w:cs="Arial"/>
          <w:sz w:val="20"/>
        </w:rPr>
        <w:t xml:space="preserve">and their </w:t>
      </w:r>
      <w:r w:rsidRPr="0092230E">
        <w:rPr>
          <w:rFonts w:ascii="Arial" w:hAnsi="Arial" w:cs="Arial"/>
          <w:sz w:val="20"/>
        </w:rPr>
        <w:t>consolidated related parties and declared related parties may be deducted.</w:t>
      </w:r>
      <w:r w:rsidR="00E57167">
        <w:rPr>
          <w:rFonts w:ascii="Arial" w:hAnsi="Arial" w:cs="Arial"/>
          <w:sz w:val="20"/>
        </w:rPr>
        <w:t xml:space="preserve"> </w:t>
      </w:r>
      <w:r w:rsidR="00FE75EC" w:rsidRPr="0092230E">
        <w:rPr>
          <w:rFonts w:ascii="Arial" w:hAnsi="Arial" w:cs="Arial"/>
          <w:sz w:val="20"/>
        </w:rPr>
        <w:t xml:space="preserve">Any </w:t>
      </w:r>
      <w:r w:rsidR="00FE75EC" w:rsidRPr="0092230E">
        <w:rPr>
          <w:rFonts w:ascii="Arial" w:hAnsi="Arial" w:cs="Arial"/>
          <w:sz w:val="20"/>
        </w:rPr>
        <w:lastRenderedPageBreak/>
        <w:t xml:space="preserve">non-telecommunications sales revenue of </w:t>
      </w:r>
      <w:r w:rsidR="00DF7788">
        <w:rPr>
          <w:rFonts w:ascii="Arial" w:hAnsi="Arial" w:cs="Arial"/>
          <w:sz w:val="20"/>
        </w:rPr>
        <w:t xml:space="preserve">the participating person’s </w:t>
      </w:r>
      <w:r w:rsidR="00FE75EC" w:rsidRPr="0092230E">
        <w:rPr>
          <w:rFonts w:ascii="Arial" w:hAnsi="Arial" w:cs="Arial"/>
          <w:sz w:val="20"/>
        </w:rPr>
        <w:t>declared related parties must be multiplied by the declared related party factor for that party</w:t>
      </w:r>
      <w:r w:rsidR="00871B7E" w:rsidRPr="0092230E">
        <w:rPr>
          <w:rFonts w:ascii="Arial" w:hAnsi="Arial" w:cs="Arial"/>
          <w:sz w:val="20"/>
        </w:rPr>
        <w:t xml:space="preserve"> to work out the amount that is deductible</w:t>
      </w:r>
      <w:r w:rsidR="00FE75EC" w:rsidRPr="0092230E">
        <w:rPr>
          <w:rFonts w:ascii="Arial" w:hAnsi="Arial" w:cs="Arial"/>
          <w:sz w:val="20"/>
        </w:rPr>
        <w:t>.</w:t>
      </w:r>
      <w:r w:rsidRPr="0092230E">
        <w:rPr>
          <w:rFonts w:ascii="Arial" w:hAnsi="Arial" w:cs="Arial"/>
          <w:sz w:val="20"/>
        </w:rPr>
        <w:t xml:space="preserve"> </w:t>
      </w:r>
    </w:p>
    <w:p w14:paraId="7820CF16" w14:textId="3BEF375A" w:rsidR="00FE75EC" w:rsidRPr="0092230E" w:rsidRDefault="005E1897" w:rsidP="003214EE">
      <w:pPr>
        <w:pStyle w:val="ABABulletLevel1"/>
        <w:spacing w:after="120"/>
        <w:rPr>
          <w:rFonts w:ascii="Arial" w:hAnsi="Arial" w:cs="Arial"/>
          <w:sz w:val="20"/>
        </w:rPr>
      </w:pPr>
      <w:r w:rsidRPr="0092230E">
        <w:rPr>
          <w:rFonts w:ascii="Arial" w:hAnsi="Arial" w:cs="Arial"/>
          <w:sz w:val="20"/>
        </w:rPr>
        <w:t xml:space="preserve">For example: </w:t>
      </w:r>
      <w:r w:rsidR="006E5524" w:rsidRPr="0092230E">
        <w:rPr>
          <w:rFonts w:ascii="Arial" w:hAnsi="Arial" w:cs="Arial"/>
          <w:sz w:val="20"/>
        </w:rPr>
        <w:t>Entity A wholly (100 per cent) owns Entity B, which is a participating person, and Entity A also owns half (50 per cent) of Entity C</w:t>
      </w:r>
      <w:r w:rsidR="003F3124">
        <w:rPr>
          <w:rFonts w:ascii="Arial" w:hAnsi="Arial" w:cs="Arial"/>
          <w:sz w:val="20"/>
        </w:rPr>
        <w:t xml:space="preserve">. </w:t>
      </w:r>
      <w:r w:rsidR="00EB7F8B" w:rsidRPr="0092230E">
        <w:rPr>
          <w:rFonts w:ascii="Arial" w:hAnsi="Arial" w:cs="Arial"/>
          <w:sz w:val="20"/>
        </w:rPr>
        <w:t>E</w:t>
      </w:r>
      <w:r w:rsidRPr="0092230E">
        <w:rPr>
          <w:rFonts w:ascii="Arial" w:hAnsi="Arial" w:cs="Arial"/>
          <w:sz w:val="20"/>
        </w:rPr>
        <w:t xml:space="preserve">ntity C is </w:t>
      </w:r>
      <w:r w:rsidR="003F3124">
        <w:rPr>
          <w:rFonts w:ascii="Arial" w:hAnsi="Arial" w:cs="Arial"/>
          <w:sz w:val="20"/>
        </w:rPr>
        <w:t xml:space="preserve">Entity B’s </w:t>
      </w:r>
      <w:r w:rsidRPr="0092230E">
        <w:rPr>
          <w:rFonts w:ascii="Arial" w:hAnsi="Arial" w:cs="Arial"/>
          <w:sz w:val="20"/>
        </w:rPr>
        <w:t xml:space="preserve">declared related party. Entity C earned $100,000 sales revenue during the eligible revenue period. Of this, $25,000 was earned from activities outside of the telecommunications industry. The declared related party factor </w:t>
      </w:r>
      <w:r w:rsidR="00871B7E" w:rsidRPr="0092230E">
        <w:rPr>
          <w:rFonts w:ascii="Arial" w:hAnsi="Arial" w:cs="Arial"/>
          <w:sz w:val="20"/>
        </w:rPr>
        <w:t xml:space="preserve">(worked out using the formula in section </w:t>
      </w:r>
      <w:r w:rsidR="00A54072">
        <w:rPr>
          <w:rFonts w:ascii="Arial" w:hAnsi="Arial" w:cs="Arial"/>
          <w:sz w:val="20"/>
        </w:rPr>
        <w:t>10</w:t>
      </w:r>
      <w:r w:rsidR="00DF7788">
        <w:rPr>
          <w:rFonts w:ascii="Arial" w:hAnsi="Arial" w:cs="Arial"/>
          <w:sz w:val="20"/>
        </w:rPr>
        <w:t xml:space="preserve"> of the instrument</w:t>
      </w:r>
      <w:r w:rsidR="00871B7E" w:rsidRPr="0092230E">
        <w:rPr>
          <w:rFonts w:ascii="Arial" w:hAnsi="Arial" w:cs="Arial"/>
          <w:sz w:val="20"/>
        </w:rPr>
        <w:t xml:space="preserve">) </w:t>
      </w:r>
      <w:r w:rsidRPr="0092230E">
        <w:rPr>
          <w:rFonts w:ascii="Arial" w:hAnsi="Arial" w:cs="Arial"/>
          <w:sz w:val="20"/>
        </w:rPr>
        <w:t xml:space="preserve">is 50 per cent. As </w:t>
      </w:r>
      <w:r w:rsidR="003F3124">
        <w:rPr>
          <w:rFonts w:ascii="Arial" w:hAnsi="Arial" w:cs="Arial"/>
          <w:sz w:val="20"/>
        </w:rPr>
        <w:t xml:space="preserve">Entity C is a </w:t>
      </w:r>
      <w:r w:rsidRPr="0092230E">
        <w:rPr>
          <w:rFonts w:ascii="Arial" w:hAnsi="Arial" w:cs="Arial"/>
          <w:sz w:val="20"/>
        </w:rPr>
        <w:t>declared related part</w:t>
      </w:r>
      <w:r w:rsidR="003F3124">
        <w:rPr>
          <w:rFonts w:ascii="Arial" w:hAnsi="Arial" w:cs="Arial"/>
          <w:sz w:val="20"/>
        </w:rPr>
        <w:t>y</w:t>
      </w:r>
      <w:r w:rsidRPr="0092230E">
        <w:rPr>
          <w:rFonts w:ascii="Arial" w:hAnsi="Arial" w:cs="Arial"/>
          <w:sz w:val="20"/>
        </w:rPr>
        <w:t xml:space="preserve">, a proportion of </w:t>
      </w:r>
      <w:r w:rsidR="00EB7F8B" w:rsidRPr="0092230E">
        <w:rPr>
          <w:rFonts w:ascii="Arial" w:hAnsi="Arial" w:cs="Arial"/>
          <w:sz w:val="20"/>
        </w:rPr>
        <w:t>E</w:t>
      </w:r>
      <w:r w:rsidRPr="0092230E">
        <w:rPr>
          <w:rFonts w:ascii="Arial" w:hAnsi="Arial" w:cs="Arial"/>
          <w:sz w:val="20"/>
        </w:rPr>
        <w:t xml:space="preserve">ntity C’s sales revenue must be included in the calculation of the eligible revenue of the participating person, </w:t>
      </w:r>
      <w:r w:rsidR="00EB7F8B" w:rsidRPr="0092230E">
        <w:rPr>
          <w:rFonts w:ascii="Arial" w:hAnsi="Arial" w:cs="Arial"/>
          <w:sz w:val="20"/>
        </w:rPr>
        <w:t>E</w:t>
      </w:r>
      <w:r w:rsidRPr="0092230E">
        <w:rPr>
          <w:rFonts w:ascii="Arial" w:hAnsi="Arial" w:cs="Arial"/>
          <w:sz w:val="20"/>
        </w:rPr>
        <w:t>ntity B. In this example:</w:t>
      </w:r>
    </w:p>
    <w:p w14:paraId="1DB587F7" w14:textId="43755624" w:rsidR="005E1897" w:rsidRPr="0092230E" w:rsidRDefault="005E1897" w:rsidP="003E1636">
      <w:pPr>
        <w:pStyle w:val="ABABulletLevel1"/>
        <w:numPr>
          <w:ilvl w:val="0"/>
          <w:numId w:val="16"/>
        </w:numPr>
        <w:spacing w:after="120"/>
        <w:rPr>
          <w:rFonts w:ascii="Arial" w:hAnsi="Arial" w:cs="Arial"/>
          <w:sz w:val="20"/>
        </w:rPr>
      </w:pPr>
      <w:r w:rsidRPr="0092230E">
        <w:rPr>
          <w:rFonts w:ascii="Arial" w:hAnsi="Arial" w:cs="Arial"/>
          <w:sz w:val="20"/>
        </w:rPr>
        <w:t xml:space="preserve">$50,000 of </w:t>
      </w:r>
      <w:r w:rsidR="00EB7F8B" w:rsidRPr="0092230E">
        <w:rPr>
          <w:rFonts w:ascii="Arial" w:hAnsi="Arial" w:cs="Arial"/>
          <w:sz w:val="20"/>
        </w:rPr>
        <w:t>E</w:t>
      </w:r>
      <w:r w:rsidRPr="0092230E">
        <w:rPr>
          <w:rFonts w:ascii="Arial" w:hAnsi="Arial" w:cs="Arial"/>
          <w:sz w:val="20"/>
        </w:rPr>
        <w:t>ntity C’s sales revenue would be included as initial sales revenue (being $100,000 sales revenue earned x declared related party factor of 50 per cent)</w:t>
      </w:r>
      <w:r w:rsidR="00871B7E" w:rsidRPr="0092230E">
        <w:rPr>
          <w:rFonts w:ascii="Arial" w:hAnsi="Arial" w:cs="Arial"/>
          <w:sz w:val="20"/>
        </w:rPr>
        <w:t xml:space="preserve"> as calculated under section </w:t>
      </w:r>
      <w:proofErr w:type="gramStart"/>
      <w:r w:rsidR="002A3D23" w:rsidRPr="0092230E">
        <w:rPr>
          <w:rFonts w:ascii="Arial" w:hAnsi="Arial" w:cs="Arial"/>
          <w:sz w:val="20"/>
        </w:rPr>
        <w:t>1</w:t>
      </w:r>
      <w:r w:rsidR="00A54072">
        <w:rPr>
          <w:rFonts w:ascii="Arial" w:hAnsi="Arial" w:cs="Arial"/>
          <w:sz w:val="20"/>
        </w:rPr>
        <w:t>7</w:t>
      </w:r>
      <w:r w:rsidRPr="0092230E">
        <w:rPr>
          <w:rFonts w:ascii="Arial" w:hAnsi="Arial" w:cs="Arial"/>
          <w:sz w:val="20"/>
        </w:rPr>
        <w:t>;</w:t>
      </w:r>
      <w:proofErr w:type="gramEnd"/>
    </w:p>
    <w:p w14:paraId="582DC3B4" w14:textId="07768CBB" w:rsidR="005E1897" w:rsidRPr="0092230E" w:rsidRDefault="005E1897" w:rsidP="003E1636">
      <w:pPr>
        <w:pStyle w:val="ABABulletLevel1"/>
        <w:numPr>
          <w:ilvl w:val="0"/>
          <w:numId w:val="16"/>
        </w:numPr>
        <w:spacing w:after="120"/>
        <w:rPr>
          <w:rFonts w:ascii="Arial" w:hAnsi="Arial" w:cs="Arial"/>
          <w:sz w:val="20"/>
        </w:rPr>
      </w:pPr>
      <w:r w:rsidRPr="0092230E">
        <w:rPr>
          <w:rFonts w:ascii="Arial" w:hAnsi="Arial" w:cs="Arial"/>
          <w:sz w:val="20"/>
        </w:rPr>
        <w:t xml:space="preserve">$12,500 of </w:t>
      </w:r>
      <w:r w:rsidR="00EB7F8B" w:rsidRPr="0092230E">
        <w:rPr>
          <w:rFonts w:ascii="Arial" w:hAnsi="Arial" w:cs="Arial"/>
          <w:sz w:val="20"/>
        </w:rPr>
        <w:t>E</w:t>
      </w:r>
      <w:r w:rsidRPr="0092230E">
        <w:rPr>
          <w:rFonts w:ascii="Arial" w:hAnsi="Arial" w:cs="Arial"/>
          <w:sz w:val="20"/>
        </w:rPr>
        <w:t>ntity C’s sales revenue would be deductible as non-telecommunications sales revenue (being $25,000 sales revenue earned outside the telecommunications industry</w:t>
      </w:r>
      <w:r w:rsidR="003E1636" w:rsidRPr="0092230E">
        <w:rPr>
          <w:rFonts w:ascii="Arial" w:hAnsi="Arial" w:cs="Arial"/>
          <w:sz w:val="20"/>
        </w:rPr>
        <w:t xml:space="preserve"> x declared related party factor of 50 per cent)</w:t>
      </w:r>
      <w:r w:rsidR="00871B7E" w:rsidRPr="0092230E">
        <w:rPr>
          <w:rFonts w:ascii="Arial" w:hAnsi="Arial" w:cs="Arial"/>
          <w:sz w:val="20"/>
        </w:rPr>
        <w:t xml:space="preserve"> from Entity B’s initial sales revenue as calculated under section </w:t>
      </w:r>
      <w:r w:rsidR="002A3D23" w:rsidRPr="0092230E">
        <w:rPr>
          <w:rFonts w:ascii="Arial" w:hAnsi="Arial" w:cs="Arial"/>
          <w:sz w:val="20"/>
        </w:rPr>
        <w:t>1</w:t>
      </w:r>
      <w:r w:rsidR="00A54072">
        <w:rPr>
          <w:rFonts w:ascii="Arial" w:hAnsi="Arial" w:cs="Arial"/>
          <w:sz w:val="20"/>
        </w:rPr>
        <w:t>7</w:t>
      </w:r>
      <w:r w:rsidR="003E1636" w:rsidRPr="0092230E">
        <w:rPr>
          <w:rFonts w:ascii="Arial" w:hAnsi="Arial" w:cs="Arial"/>
          <w:sz w:val="20"/>
        </w:rPr>
        <w:t>.</w:t>
      </w:r>
    </w:p>
    <w:p w14:paraId="6EB9BA56" w14:textId="26CAC491" w:rsidR="0065701F" w:rsidRPr="0092230E" w:rsidRDefault="00F77F4C" w:rsidP="003214EE">
      <w:pPr>
        <w:pStyle w:val="ABABulletLevel1"/>
        <w:spacing w:after="120"/>
        <w:rPr>
          <w:rFonts w:ascii="Arial" w:hAnsi="Arial" w:cs="Arial"/>
          <w:sz w:val="20"/>
        </w:rPr>
      </w:pPr>
      <w:r w:rsidRPr="0092230E">
        <w:rPr>
          <w:rFonts w:ascii="Arial" w:hAnsi="Arial" w:cs="Arial"/>
          <w:sz w:val="20"/>
        </w:rPr>
        <w:t xml:space="preserve">Any amount of revenue being deducted must be </w:t>
      </w:r>
      <w:r w:rsidR="00ED1E7A" w:rsidRPr="0092230E">
        <w:rPr>
          <w:rFonts w:ascii="Arial" w:hAnsi="Arial" w:cs="Arial"/>
          <w:sz w:val="20"/>
        </w:rPr>
        <w:t>based on adequate and sufficient</w:t>
      </w:r>
      <w:r w:rsidRPr="0092230E">
        <w:rPr>
          <w:rFonts w:ascii="Arial" w:hAnsi="Arial" w:cs="Arial"/>
          <w:sz w:val="20"/>
        </w:rPr>
        <w:t xml:space="preserve"> evidence and have been included in the participating person’s initial sales revenue</w:t>
      </w:r>
      <w:r w:rsidR="00C85E41" w:rsidRPr="0092230E">
        <w:rPr>
          <w:rFonts w:ascii="Arial" w:hAnsi="Arial" w:cs="Arial"/>
          <w:sz w:val="20"/>
        </w:rPr>
        <w:t xml:space="preserve"> calculated under section </w:t>
      </w:r>
      <w:r w:rsidR="002A3D23" w:rsidRPr="0092230E">
        <w:rPr>
          <w:rFonts w:ascii="Arial" w:hAnsi="Arial" w:cs="Arial"/>
          <w:sz w:val="20"/>
        </w:rPr>
        <w:t>1</w:t>
      </w:r>
      <w:r w:rsidR="00A54072">
        <w:rPr>
          <w:rFonts w:ascii="Arial" w:hAnsi="Arial" w:cs="Arial"/>
          <w:sz w:val="20"/>
        </w:rPr>
        <w:t>7</w:t>
      </w:r>
      <w:r w:rsidR="00DF7788">
        <w:rPr>
          <w:rFonts w:ascii="Arial" w:hAnsi="Arial" w:cs="Arial"/>
          <w:sz w:val="20"/>
        </w:rPr>
        <w:t xml:space="preserve"> of the instrument</w:t>
      </w:r>
      <w:r w:rsidRPr="0092230E">
        <w:rPr>
          <w:rFonts w:ascii="Arial" w:hAnsi="Arial" w:cs="Arial"/>
          <w:sz w:val="20"/>
        </w:rPr>
        <w:t>.</w:t>
      </w:r>
      <w:r w:rsidR="00C85E41" w:rsidRPr="0092230E">
        <w:rPr>
          <w:rFonts w:ascii="Arial" w:hAnsi="Arial" w:cs="Arial"/>
          <w:sz w:val="20"/>
        </w:rPr>
        <w:t xml:space="preserve"> </w:t>
      </w:r>
      <w:r w:rsidR="00D4160A" w:rsidRPr="0092230E">
        <w:rPr>
          <w:rFonts w:ascii="Arial" w:hAnsi="Arial" w:cs="Arial"/>
          <w:sz w:val="20"/>
        </w:rPr>
        <w:t xml:space="preserve">Subsection </w:t>
      </w:r>
      <w:r w:rsidR="002A3D23" w:rsidRPr="0092230E">
        <w:rPr>
          <w:rFonts w:ascii="Arial" w:hAnsi="Arial" w:cs="Arial"/>
          <w:sz w:val="20"/>
        </w:rPr>
        <w:t>1</w:t>
      </w:r>
      <w:r w:rsidR="00A54072">
        <w:rPr>
          <w:rFonts w:ascii="Arial" w:hAnsi="Arial" w:cs="Arial"/>
          <w:sz w:val="20"/>
        </w:rPr>
        <w:t>8</w:t>
      </w:r>
      <w:r w:rsidR="00D4160A" w:rsidRPr="0092230E">
        <w:rPr>
          <w:rFonts w:ascii="Arial" w:hAnsi="Arial" w:cs="Arial"/>
          <w:sz w:val="20"/>
        </w:rPr>
        <w:t xml:space="preserve">(3) </w:t>
      </w:r>
      <w:r w:rsidR="00DF7788">
        <w:rPr>
          <w:rFonts w:ascii="Arial" w:hAnsi="Arial" w:cs="Arial"/>
          <w:sz w:val="20"/>
        </w:rPr>
        <w:t>of the instrument</w:t>
      </w:r>
      <w:r w:rsidR="00DF7788" w:rsidRPr="0092230E">
        <w:rPr>
          <w:rFonts w:ascii="Arial" w:hAnsi="Arial" w:cs="Arial"/>
          <w:sz w:val="20"/>
        </w:rPr>
        <w:t xml:space="preserve"> </w:t>
      </w:r>
      <w:r w:rsidR="00D4160A" w:rsidRPr="0092230E">
        <w:rPr>
          <w:rFonts w:ascii="Arial" w:hAnsi="Arial" w:cs="Arial"/>
          <w:sz w:val="20"/>
        </w:rPr>
        <w:t xml:space="preserve">provides that any amount deducted must not be more than the total amount received by the participating person, or its consolidated related party or declared related party, in connection with the activity that created the non-telecommunications sales revenue. </w:t>
      </w:r>
      <w:r w:rsidR="00C85E41" w:rsidRPr="0092230E">
        <w:rPr>
          <w:rFonts w:ascii="Arial" w:hAnsi="Arial" w:cs="Arial"/>
          <w:sz w:val="20"/>
        </w:rPr>
        <w:t xml:space="preserve">This is to ensure that only revenue </w:t>
      </w:r>
      <w:proofErr w:type="gramStart"/>
      <w:r w:rsidR="00C85E41" w:rsidRPr="0092230E">
        <w:rPr>
          <w:rFonts w:ascii="Arial" w:hAnsi="Arial" w:cs="Arial"/>
          <w:sz w:val="20"/>
        </w:rPr>
        <w:t>actually received</w:t>
      </w:r>
      <w:proofErr w:type="gramEnd"/>
      <w:r w:rsidR="00C85E41" w:rsidRPr="0092230E">
        <w:rPr>
          <w:rFonts w:ascii="Arial" w:hAnsi="Arial" w:cs="Arial"/>
          <w:sz w:val="20"/>
        </w:rPr>
        <w:t xml:space="preserve"> in connection with activities outside the telecommunications industry </w:t>
      </w:r>
      <w:r w:rsidR="0002593D" w:rsidRPr="0092230E">
        <w:rPr>
          <w:rFonts w:ascii="Arial" w:hAnsi="Arial" w:cs="Arial"/>
          <w:sz w:val="20"/>
        </w:rPr>
        <w:t xml:space="preserve">is </w:t>
      </w:r>
      <w:r w:rsidR="00C85E41" w:rsidRPr="0092230E">
        <w:rPr>
          <w:rFonts w:ascii="Arial" w:hAnsi="Arial" w:cs="Arial"/>
          <w:sz w:val="20"/>
        </w:rPr>
        <w:t>deduct</w:t>
      </w:r>
      <w:r w:rsidR="002F3722">
        <w:rPr>
          <w:rFonts w:ascii="Arial" w:hAnsi="Arial" w:cs="Arial"/>
          <w:sz w:val="20"/>
        </w:rPr>
        <w:t>ed</w:t>
      </w:r>
      <w:r w:rsidR="00C85E41" w:rsidRPr="0092230E">
        <w:rPr>
          <w:rFonts w:ascii="Arial" w:hAnsi="Arial" w:cs="Arial"/>
          <w:sz w:val="20"/>
        </w:rPr>
        <w:t xml:space="preserve">. </w:t>
      </w:r>
    </w:p>
    <w:p w14:paraId="662E6F4C" w14:textId="77777777" w:rsidR="00C85E41" w:rsidRPr="0092230E" w:rsidRDefault="00C85E41" w:rsidP="003214EE">
      <w:pPr>
        <w:pStyle w:val="ABABulletLevel1"/>
        <w:spacing w:after="120"/>
        <w:rPr>
          <w:rFonts w:ascii="Arial" w:hAnsi="Arial" w:cs="Arial"/>
          <w:sz w:val="20"/>
        </w:rPr>
      </w:pPr>
    </w:p>
    <w:p w14:paraId="1E70B2C5" w14:textId="3EAC5EF9" w:rsidR="00ED1E7A" w:rsidRPr="0092230E" w:rsidRDefault="00ED1E7A" w:rsidP="00ED1E7A">
      <w:pPr>
        <w:pStyle w:val="ABABulletLevel1"/>
        <w:spacing w:after="120"/>
        <w:rPr>
          <w:rFonts w:ascii="Arial" w:hAnsi="Arial" w:cs="Arial"/>
          <w:b/>
          <w:i/>
          <w:sz w:val="20"/>
        </w:rPr>
      </w:pPr>
      <w:r w:rsidRPr="0092230E">
        <w:rPr>
          <w:rFonts w:ascii="Arial" w:hAnsi="Arial" w:cs="Arial"/>
          <w:b/>
          <w:sz w:val="20"/>
        </w:rPr>
        <w:t xml:space="preserve">Section </w:t>
      </w:r>
      <w:r w:rsidR="00067542" w:rsidRPr="0092230E">
        <w:rPr>
          <w:rFonts w:ascii="Arial" w:hAnsi="Arial" w:cs="Arial"/>
          <w:b/>
          <w:sz w:val="20"/>
        </w:rPr>
        <w:t>1</w:t>
      </w:r>
      <w:r w:rsidR="00A54072">
        <w:rPr>
          <w:rFonts w:ascii="Arial" w:hAnsi="Arial" w:cs="Arial"/>
          <w:b/>
          <w:sz w:val="20"/>
        </w:rPr>
        <w:t>9</w:t>
      </w:r>
      <w:r w:rsidR="00067542" w:rsidRPr="0092230E">
        <w:rPr>
          <w:rFonts w:ascii="Arial" w:hAnsi="Arial" w:cs="Arial"/>
          <w:b/>
          <w:sz w:val="20"/>
        </w:rPr>
        <w:t xml:space="preserve"> </w:t>
      </w:r>
      <w:r w:rsidRPr="0092230E">
        <w:rPr>
          <w:rFonts w:ascii="Arial" w:hAnsi="Arial" w:cs="Arial"/>
          <w:b/>
          <w:sz w:val="20"/>
        </w:rPr>
        <w:t>– Other telecommunications sales revenue</w:t>
      </w:r>
    </w:p>
    <w:p w14:paraId="6486E237" w14:textId="36821C90" w:rsidR="00C41250" w:rsidRPr="0092230E" w:rsidRDefault="00ED1E7A" w:rsidP="00ED1E7A">
      <w:pPr>
        <w:pStyle w:val="ABABulletLevel1"/>
        <w:spacing w:after="120"/>
        <w:rPr>
          <w:rFonts w:ascii="Arial" w:hAnsi="Arial" w:cs="Arial"/>
          <w:sz w:val="20"/>
        </w:rPr>
      </w:pPr>
      <w:r w:rsidRPr="0092230E">
        <w:rPr>
          <w:rFonts w:ascii="Arial" w:hAnsi="Arial" w:cs="Arial"/>
          <w:sz w:val="20"/>
        </w:rPr>
        <w:t xml:space="preserve">Section </w:t>
      </w:r>
      <w:r w:rsidR="001C5B4A" w:rsidRPr="0092230E">
        <w:rPr>
          <w:rFonts w:ascii="Arial" w:hAnsi="Arial" w:cs="Arial"/>
          <w:sz w:val="20"/>
        </w:rPr>
        <w:t>1</w:t>
      </w:r>
      <w:r w:rsidR="00A54072">
        <w:rPr>
          <w:rFonts w:ascii="Arial" w:hAnsi="Arial" w:cs="Arial"/>
          <w:sz w:val="20"/>
        </w:rPr>
        <w:t>9</w:t>
      </w:r>
      <w:r w:rsidR="001C5B4A" w:rsidRPr="0092230E">
        <w:rPr>
          <w:rFonts w:ascii="Arial" w:hAnsi="Arial" w:cs="Arial"/>
          <w:sz w:val="20"/>
        </w:rPr>
        <w:t xml:space="preserve"> </w:t>
      </w:r>
      <w:r w:rsidR="00DF7788">
        <w:rPr>
          <w:rFonts w:ascii="Arial" w:hAnsi="Arial" w:cs="Arial"/>
          <w:sz w:val="20"/>
        </w:rPr>
        <w:t>of the instrument</w:t>
      </w:r>
      <w:r w:rsidR="00DF7788" w:rsidRPr="0092230E">
        <w:rPr>
          <w:rFonts w:ascii="Arial" w:hAnsi="Arial" w:cs="Arial"/>
          <w:sz w:val="20"/>
        </w:rPr>
        <w:t xml:space="preserve"> </w:t>
      </w:r>
      <w:r w:rsidRPr="0092230E">
        <w:rPr>
          <w:rFonts w:ascii="Arial" w:hAnsi="Arial" w:cs="Arial"/>
          <w:sz w:val="20"/>
        </w:rPr>
        <w:t xml:space="preserve">requires a participating person to </w:t>
      </w:r>
      <w:r w:rsidR="00C41250" w:rsidRPr="0092230E">
        <w:rPr>
          <w:rFonts w:ascii="Arial" w:hAnsi="Arial" w:cs="Arial"/>
          <w:sz w:val="20"/>
        </w:rPr>
        <w:t xml:space="preserve">also </w:t>
      </w:r>
      <w:r w:rsidRPr="0092230E">
        <w:rPr>
          <w:rFonts w:ascii="Arial" w:hAnsi="Arial" w:cs="Arial"/>
          <w:sz w:val="20"/>
        </w:rPr>
        <w:t xml:space="preserve">include in its gross telecommunications sales revenue other amounts that could reasonably be described as </w:t>
      </w:r>
      <w:r w:rsidR="00C85E41" w:rsidRPr="0092230E">
        <w:rPr>
          <w:rFonts w:ascii="Arial" w:hAnsi="Arial" w:cs="Arial"/>
          <w:sz w:val="20"/>
        </w:rPr>
        <w:t xml:space="preserve">telecommunications </w:t>
      </w:r>
      <w:r w:rsidRPr="0092230E">
        <w:rPr>
          <w:rFonts w:ascii="Arial" w:hAnsi="Arial" w:cs="Arial"/>
          <w:sz w:val="20"/>
        </w:rPr>
        <w:t>sales revenue of the participating person,</w:t>
      </w:r>
      <w:r w:rsidR="00074B95">
        <w:rPr>
          <w:rFonts w:ascii="Arial" w:hAnsi="Arial" w:cs="Arial"/>
          <w:sz w:val="20"/>
        </w:rPr>
        <w:t xml:space="preserve"> its</w:t>
      </w:r>
      <w:r w:rsidRPr="0092230E">
        <w:rPr>
          <w:rFonts w:ascii="Arial" w:hAnsi="Arial" w:cs="Arial"/>
          <w:sz w:val="20"/>
        </w:rPr>
        <w:t xml:space="preserve"> consolidated related party or declared related party. This is designed to be a general safeguard to capture telecommunications sales revenue which might otherwise escape the levy net, for example, because it is somehow disguised in a participating person’s annual financial statements.</w:t>
      </w:r>
      <w:r w:rsidR="009E5719" w:rsidRPr="0092230E">
        <w:rPr>
          <w:rFonts w:ascii="Arial" w:hAnsi="Arial" w:cs="Arial"/>
          <w:sz w:val="20"/>
        </w:rPr>
        <w:t xml:space="preserve"> </w:t>
      </w:r>
    </w:p>
    <w:p w14:paraId="25A15018" w14:textId="07C7B8BE" w:rsidR="00C41250" w:rsidRPr="0092230E" w:rsidRDefault="00C41250" w:rsidP="00C41250">
      <w:pPr>
        <w:pStyle w:val="ABABulletLevel1"/>
        <w:spacing w:after="120"/>
        <w:rPr>
          <w:rFonts w:ascii="Arial" w:hAnsi="Arial" w:cs="Arial"/>
          <w:sz w:val="20"/>
        </w:rPr>
      </w:pPr>
      <w:r w:rsidRPr="0092230E">
        <w:rPr>
          <w:rFonts w:ascii="Arial" w:hAnsi="Arial" w:cs="Arial"/>
          <w:sz w:val="20"/>
        </w:rPr>
        <w:t xml:space="preserve">An amount of revenue is telecommunications sales revenue if it is income earned from </w:t>
      </w:r>
      <w:r w:rsidR="00C85E41" w:rsidRPr="0092230E">
        <w:rPr>
          <w:rFonts w:ascii="Arial" w:hAnsi="Arial" w:cs="Arial"/>
          <w:sz w:val="20"/>
        </w:rPr>
        <w:t>an</w:t>
      </w:r>
      <w:r w:rsidRPr="0092230E">
        <w:rPr>
          <w:rFonts w:ascii="Arial" w:hAnsi="Arial" w:cs="Arial"/>
          <w:sz w:val="20"/>
        </w:rPr>
        <w:t xml:space="preserve"> activity undertaken by the person within the telecommunications industry. The</w:t>
      </w:r>
      <w:r w:rsidR="008750B4">
        <w:rPr>
          <w:rFonts w:ascii="Arial" w:hAnsi="Arial" w:cs="Arial"/>
          <w:sz w:val="20"/>
        </w:rPr>
        <w:t xml:space="preserve"> term</w:t>
      </w:r>
      <w:r w:rsidRPr="0092230E">
        <w:rPr>
          <w:rFonts w:ascii="Arial" w:hAnsi="Arial" w:cs="Arial"/>
          <w:sz w:val="20"/>
        </w:rPr>
        <w:t xml:space="preserve"> ‘telecommunications industry’ </w:t>
      </w:r>
      <w:r w:rsidR="00D01C99">
        <w:rPr>
          <w:rFonts w:ascii="Arial" w:hAnsi="Arial" w:cs="Arial"/>
          <w:sz w:val="20"/>
        </w:rPr>
        <w:t xml:space="preserve">has the meaning affected by </w:t>
      </w:r>
      <w:r w:rsidRPr="0092230E">
        <w:rPr>
          <w:rFonts w:ascii="Arial" w:hAnsi="Arial" w:cs="Arial"/>
          <w:sz w:val="20"/>
        </w:rPr>
        <w:t xml:space="preserve">section 7 of the </w:t>
      </w:r>
      <w:r w:rsidRPr="0092230E">
        <w:rPr>
          <w:rFonts w:ascii="Arial" w:hAnsi="Arial" w:cs="Arial"/>
          <w:i/>
          <w:sz w:val="20"/>
        </w:rPr>
        <w:t>Telecommunications Act 1997</w:t>
      </w:r>
      <w:r w:rsidRPr="0092230E">
        <w:rPr>
          <w:rFonts w:ascii="Arial" w:hAnsi="Arial" w:cs="Arial"/>
          <w:sz w:val="20"/>
        </w:rPr>
        <w:t xml:space="preserve">. </w:t>
      </w:r>
    </w:p>
    <w:p w14:paraId="388A62B7" w14:textId="0FEBC319" w:rsidR="00ED1E7A" w:rsidRPr="0092230E" w:rsidRDefault="00ED1E7A" w:rsidP="00ED1E7A">
      <w:pPr>
        <w:pStyle w:val="ABABulletLevel1"/>
        <w:spacing w:after="120"/>
        <w:rPr>
          <w:rFonts w:ascii="Arial" w:hAnsi="Arial" w:cs="Arial"/>
          <w:sz w:val="20"/>
        </w:rPr>
      </w:pPr>
      <w:r w:rsidRPr="0092230E">
        <w:rPr>
          <w:rFonts w:ascii="Arial" w:hAnsi="Arial" w:cs="Arial"/>
          <w:sz w:val="20"/>
        </w:rPr>
        <w:t xml:space="preserve">Section </w:t>
      </w:r>
      <w:r w:rsidR="001C5B4A" w:rsidRPr="0092230E">
        <w:rPr>
          <w:rFonts w:ascii="Arial" w:hAnsi="Arial" w:cs="Arial"/>
          <w:sz w:val="20"/>
        </w:rPr>
        <w:t>1</w:t>
      </w:r>
      <w:r w:rsidR="00E27E90">
        <w:rPr>
          <w:rFonts w:ascii="Arial" w:hAnsi="Arial" w:cs="Arial"/>
          <w:sz w:val="20"/>
        </w:rPr>
        <w:t>9</w:t>
      </w:r>
      <w:r w:rsidR="00074B95">
        <w:rPr>
          <w:rFonts w:ascii="Arial" w:hAnsi="Arial" w:cs="Arial"/>
          <w:sz w:val="20"/>
        </w:rPr>
        <w:t xml:space="preserve"> of the instrument</w:t>
      </w:r>
      <w:r w:rsidR="001C5B4A" w:rsidRPr="0092230E">
        <w:rPr>
          <w:rFonts w:ascii="Arial" w:hAnsi="Arial" w:cs="Arial"/>
          <w:sz w:val="20"/>
        </w:rPr>
        <w:t xml:space="preserve"> </w:t>
      </w:r>
      <w:r w:rsidRPr="0092230E">
        <w:rPr>
          <w:rFonts w:ascii="Arial" w:hAnsi="Arial" w:cs="Arial"/>
          <w:sz w:val="20"/>
        </w:rPr>
        <w:t xml:space="preserve">also enables the ACMA to make a declaration to the effect that a participating person must </w:t>
      </w:r>
      <w:r w:rsidR="00C41250" w:rsidRPr="0092230E">
        <w:rPr>
          <w:rFonts w:ascii="Arial" w:hAnsi="Arial" w:cs="Arial"/>
          <w:sz w:val="20"/>
        </w:rPr>
        <w:t>recognise</w:t>
      </w:r>
      <w:r w:rsidR="005834DE" w:rsidRPr="0092230E">
        <w:rPr>
          <w:rFonts w:ascii="Arial" w:hAnsi="Arial" w:cs="Arial"/>
          <w:sz w:val="20"/>
        </w:rPr>
        <w:t xml:space="preserve"> the value of a benefit or service, or part thereof, as telecommunications sales revenue</w:t>
      </w:r>
      <w:r w:rsidR="00C85E41" w:rsidRPr="0092230E">
        <w:rPr>
          <w:rFonts w:ascii="Arial" w:hAnsi="Arial" w:cs="Arial"/>
          <w:sz w:val="20"/>
        </w:rPr>
        <w:t xml:space="preserve"> of the participating person or a consolidated related party or declared related party of the participating person (specified in the declaration)</w:t>
      </w:r>
      <w:r w:rsidR="005834DE" w:rsidRPr="0092230E">
        <w:rPr>
          <w:rFonts w:ascii="Arial" w:hAnsi="Arial" w:cs="Arial"/>
          <w:sz w:val="20"/>
        </w:rPr>
        <w:t>, and therefore part of</w:t>
      </w:r>
      <w:r w:rsidRPr="0092230E">
        <w:rPr>
          <w:rFonts w:ascii="Arial" w:hAnsi="Arial" w:cs="Arial"/>
          <w:sz w:val="20"/>
        </w:rPr>
        <w:t xml:space="preserve"> its gross telecommunications sales revenue.</w:t>
      </w:r>
      <w:r w:rsidR="00C85E41" w:rsidRPr="0092230E">
        <w:rPr>
          <w:rFonts w:ascii="Arial" w:hAnsi="Arial" w:cs="Arial"/>
          <w:sz w:val="20"/>
        </w:rPr>
        <w:t xml:space="preserve"> A declaration must state how the ACMA worked out the value </w:t>
      </w:r>
      <w:r w:rsidR="00685013">
        <w:rPr>
          <w:rFonts w:ascii="Arial" w:hAnsi="Arial" w:cs="Arial"/>
          <w:sz w:val="20"/>
        </w:rPr>
        <w:t xml:space="preserve">of any benefit or service specified in the declaration </w:t>
      </w:r>
      <w:r w:rsidR="00C85E41" w:rsidRPr="0092230E">
        <w:rPr>
          <w:rFonts w:ascii="Arial" w:hAnsi="Arial" w:cs="Arial"/>
          <w:sz w:val="20"/>
        </w:rPr>
        <w:t xml:space="preserve">or </w:t>
      </w:r>
      <w:r w:rsidR="00C031CE">
        <w:rPr>
          <w:rFonts w:ascii="Arial" w:hAnsi="Arial" w:cs="Arial"/>
          <w:sz w:val="20"/>
        </w:rPr>
        <w:t xml:space="preserve">any </w:t>
      </w:r>
      <w:r w:rsidR="00C85E41" w:rsidRPr="0092230E">
        <w:rPr>
          <w:rFonts w:ascii="Arial" w:hAnsi="Arial" w:cs="Arial"/>
          <w:sz w:val="20"/>
        </w:rPr>
        <w:t xml:space="preserve">proportion of the value of a benefit or service </w:t>
      </w:r>
      <w:r w:rsidR="0090469B">
        <w:rPr>
          <w:rFonts w:ascii="Arial" w:hAnsi="Arial" w:cs="Arial"/>
          <w:sz w:val="20"/>
        </w:rPr>
        <w:t xml:space="preserve">specified </w:t>
      </w:r>
      <w:r w:rsidR="00C85E41" w:rsidRPr="0092230E">
        <w:rPr>
          <w:rFonts w:ascii="Arial" w:hAnsi="Arial" w:cs="Arial"/>
          <w:sz w:val="20"/>
        </w:rPr>
        <w:t xml:space="preserve">in the declaration. </w:t>
      </w:r>
    </w:p>
    <w:p w14:paraId="2FF9D096" w14:textId="77777777" w:rsidR="002642D5" w:rsidRPr="0092230E" w:rsidRDefault="002642D5" w:rsidP="00ED1E7A">
      <w:pPr>
        <w:pStyle w:val="ABABulletLevel1"/>
        <w:spacing w:after="120"/>
        <w:rPr>
          <w:rFonts w:ascii="Arial" w:hAnsi="Arial" w:cs="Arial"/>
          <w:sz w:val="20"/>
        </w:rPr>
      </w:pPr>
    </w:p>
    <w:p w14:paraId="1DC3D69F" w14:textId="278FF3A5" w:rsidR="00B95427" w:rsidRPr="0092230E" w:rsidRDefault="00476373" w:rsidP="004C43F6">
      <w:pPr>
        <w:pStyle w:val="ABABulletLevel1"/>
        <w:keepNext/>
        <w:spacing w:after="120"/>
        <w:rPr>
          <w:rFonts w:ascii="Arial" w:hAnsi="Arial" w:cs="Arial"/>
          <w:b/>
          <w:sz w:val="20"/>
        </w:rPr>
      </w:pPr>
      <w:r w:rsidRPr="0092230E">
        <w:rPr>
          <w:rFonts w:ascii="Arial" w:hAnsi="Arial" w:cs="Arial"/>
          <w:b/>
          <w:sz w:val="20"/>
        </w:rPr>
        <w:t xml:space="preserve">Section </w:t>
      </w:r>
      <w:r w:rsidR="00A54072">
        <w:rPr>
          <w:rFonts w:ascii="Arial" w:hAnsi="Arial" w:cs="Arial"/>
          <w:b/>
          <w:sz w:val="20"/>
        </w:rPr>
        <w:t>20</w:t>
      </w:r>
      <w:r w:rsidR="00067542" w:rsidRPr="0092230E">
        <w:rPr>
          <w:rFonts w:ascii="Arial" w:hAnsi="Arial" w:cs="Arial"/>
          <w:b/>
          <w:sz w:val="20"/>
        </w:rPr>
        <w:t xml:space="preserve"> </w:t>
      </w:r>
      <w:r w:rsidRPr="0092230E">
        <w:rPr>
          <w:rFonts w:ascii="Arial" w:hAnsi="Arial" w:cs="Arial"/>
          <w:b/>
          <w:sz w:val="20"/>
        </w:rPr>
        <w:t>– Revenue before person becomes carrier</w:t>
      </w:r>
      <w:r w:rsidR="00F268B7">
        <w:rPr>
          <w:rFonts w:ascii="Arial" w:hAnsi="Arial" w:cs="Arial"/>
          <w:b/>
          <w:sz w:val="20"/>
        </w:rPr>
        <w:t>,</w:t>
      </w:r>
      <w:r w:rsidRPr="0092230E">
        <w:rPr>
          <w:rFonts w:ascii="Arial" w:hAnsi="Arial" w:cs="Arial"/>
          <w:b/>
          <w:sz w:val="20"/>
        </w:rPr>
        <w:t xml:space="preserve"> </w:t>
      </w:r>
      <w:r w:rsidR="004D4F56" w:rsidRPr="0092230E">
        <w:rPr>
          <w:rFonts w:ascii="Arial" w:hAnsi="Arial" w:cs="Arial"/>
          <w:b/>
          <w:sz w:val="20"/>
        </w:rPr>
        <w:t xml:space="preserve">participating </w:t>
      </w:r>
      <w:r w:rsidRPr="0092230E">
        <w:rPr>
          <w:rFonts w:ascii="Arial" w:hAnsi="Arial" w:cs="Arial"/>
          <w:b/>
          <w:sz w:val="20"/>
        </w:rPr>
        <w:t>carriage service provider</w:t>
      </w:r>
      <w:r w:rsidR="00F268B7">
        <w:rPr>
          <w:rFonts w:ascii="Arial" w:hAnsi="Arial" w:cs="Arial"/>
          <w:b/>
          <w:sz w:val="20"/>
        </w:rPr>
        <w:t xml:space="preserve"> or </w:t>
      </w:r>
      <w:r w:rsidR="002D6B95">
        <w:rPr>
          <w:rFonts w:ascii="Arial" w:hAnsi="Arial" w:cs="Arial"/>
          <w:b/>
          <w:sz w:val="20"/>
        </w:rPr>
        <w:t xml:space="preserve">prescribed </w:t>
      </w:r>
      <w:r w:rsidR="00F268B7">
        <w:rPr>
          <w:rFonts w:ascii="Arial" w:hAnsi="Arial" w:cs="Arial"/>
          <w:b/>
          <w:sz w:val="20"/>
        </w:rPr>
        <w:t>participating person</w:t>
      </w:r>
    </w:p>
    <w:p w14:paraId="7D0D5A37" w14:textId="0406A814" w:rsidR="00482527" w:rsidRPr="0092230E" w:rsidRDefault="00B95427" w:rsidP="00482527">
      <w:pPr>
        <w:pStyle w:val="ABABulletLevel1"/>
        <w:spacing w:after="120"/>
        <w:rPr>
          <w:rFonts w:ascii="Arial" w:hAnsi="Arial" w:cs="Arial"/>
          <w:sz w:val="20"/>
        </w:rPr>
      </w:pPr>
      <w:r w:rsidRPr="0092230E">
        <w:rPr>
          <w:rFonts w:ascii="Arial" w:hAnsi="Arial" w:cs="Arial"/>
          <w:sz w:val="20"/>
        </w:rPr>
        <w:t xml:space="preserve">Section </w:t>
      </w:r>
      <w:r w:rsidR="00A54072">
        <w:rPr>
          <w:rFonts w:ascii="Arial" w:hAnsi="Arial" w:cs="Arial"/>
          <w:sz w:val="20"/>
        </w:rPr>
        <w:t>20</w:t>
      </w:r>
      <w:r w:rsidR="001C5B4A" w:rsidRPr="0092230E">
        <w:rPr>
          <w:rFonts w:ascii="Arial" w:hAnsi="Arial" w:cs="Arial"/>
          <w:sz w:val="20"/>
        </w:rPr>
        <w:t xml:space="preserve"> </w:t>
      </w:r>
      <w:r w:rsidR="00074B95">
        <w:rPr>
          <w:rFonts w:ascii="Arial" w:hAnsi="Arial" w:cs="Arial"/>
          <w:sz w:val="20"/>
        </w:rPr>
        <w:t>of the instrument</w:t>
      </w:r>
      <w:r w:rsidR="00074B95" w:rsidRPr="0092230E">
        <w:rPr>
          <w:rFonts w:ascii="Arial" w:hAnsi="Arial" w:cs="Arial"/>
          <w:sz w:val="20"/>
        </w:rPr>
        <w:t xml:space="preserve"> </w:t>
      </w:r>
      <w:r w:rsidR="00EF1591" w:rsidRPr="0092230E">
        <w:rPr>
          <w:rFonts w:ascii="Arial" w:hAnsi="Arial" w:cs="Arial"/>
          <w:sz w:val="20"/>
        </w:rPr>
        <w:t xml:space="preserve">allows the deduction of revenue earned </w:t>
      </w:r>
      <w:r w:rsidR="00A31FCA" w:rsidRPr="0092230E">
        <w:rPr>
          <w:rFonts w:ascii="Arial" w:hAnsi="Arial" w:cs="Arial"/>
          <w:sz w:val="20"/>
        </w:rPr>
        <w:t xml:space="preserve">during an eligible revenue period but </w:t>
      </w:r>
      <w:r w:rsidR="00EF1591" w:rsidRPr="0092230E">
        <w:rPr>
          <w:rFonts w:ascii="Arial" w:hAnsi="Arial" w:cs="Arial"/>
          <w:sz w:val="20"/>
        </w:rPr>
        <w:t>prior to the participating person becoming a carrier</w:t>
      </w:r>
      <w:r w:rsidR="00807D74">
        <w:rPr>
          <w:rFonts w:ascii="Arial" w:hAnsi="Arial" w:cs="Arial"/>
          <w:sz w:val="20"/>
        </w:rPr>
        <w:t>,</w:t>
      </w:r>
      <w:r w:rsidR="00EF1591" w:rsidRPr="0092230E">
        <w:rPr>
          <w:rFonts w:ascii="Arial" w:hAnsi="Arial" w:cs="Arial"/>
          <w:sz w:val="20"/>
        </w:rPr>
        <w:t xml:space="preserve"> </w:t>
      </w:r>
      <w:r w:rsidR="004A3E33" w:rsidRPr="0092230E">
        <w:rPr>
          <w:rFonts w:ascii="Arial" w:hAnsi="Arial" w:cs="Arial"/>
          <w:sz w:val="20"/>
        </w:rPr>
        <w:t xml:space="preserve">a participating </w:t>
      </w:r>
      <w:r w:rsidR="00EF1591" w:rsidRPr="0092230E">
        <w:rPr>
          <w:rFonts w:ascii="Arial" w:hAnsi="Arial" w:cs="Arial"/>
          <w:sz w:val="20"/>
        </w:rPr>
        <w:t>carriage service provider</w:t>
      </w:r>
      <w:r w:rsidR="00BF1FAB" w:rsidRPr="0092230E">
        <w:rPr>
          <w:rFonts w:ascii="Arial" w:hAnsi="Arial" w:cs="Arial"/>
          <w:sz w:val="20"/>
        </w:rPr>
        <w:t xml:space="preserve"> </w:t>
      </w:r>
      <w:r w:rsidR="00807D74">
        <w:rPr>
          <w:rFonts w:ascii="Arial" w:hAnsi="Arial" w:cs="Arial"/>
          <w:sz w:val="20"/>
        </w:rPr>
        <w:t xml:space="preserve">or a </w:t>
      </w:r>
      <w:r w:rsidR="00CE1E73">
        <w:rPr>
          <w:rFonts w:ascii="Arial" w:hAnsi="Arial" w:cs="Arial"/>
          <w:sz w:val="20"/>
        </w:rPr>
        <w:t xml:space="preserve">prescribed </w:t>
      </w:r>
      <w:r w:rsidR="00807D74">
        <w:rPr>
          <w:rFonts w:ascii="Arial" w:hAnsi="Arial" w:cs="Arial"/>
          <w:sz w:val="20"/>
        </w:rPr>
        <w:t xml:space="preserve">participating person </w:t>
      </w:r>
      <w:r w:rsidR="000F7D49" w:rsidRPr="0092230E">
        <w:rPr>
          <w:rFonts w:ascii="Arial" w:hAnsi="Arial" w:cs="Arial"/>
          <w:sz w:val="20"/>
        </w:rPr>
        <w:t xml:space="preserve">from the participating person’s initial sales revenue determined under section </w:t>
      </w:r>
      <w:r w:rsidR="001C5B4A" w:rsidRPr="0092230E">
        <w:rPr>
          <w:rFonts w:ascii="Arial" w:hAnsi="Arial" w:cs="Arial"/>
          <w:sz w:val="20"/>
        </w:rPr>
        <w:t>1</w:t>
      </w:r>
      <w:r w:rsidR="00A54072">
        <w:rPr>
          <w:rFonts w:ascii="Arial" w:hAnsi="Arial" w:cs="Arial"/>
          <w:sz w:val="20"/>
        </w:rPr>
        <w:t>7</w:t>
      </w:r>
      <w:r w:rsidR="00074B95" w:rsidRPr="00074B95">
        <w:rPr>
          <w:rFonts w:ascii="Arial" w:hAnsi="Arial" w:cs="Arial"/>
          <w:sz w:val="20"/>
        </w:rPr>
        <w:t xml:space="preserve"> </w:t>
      </w:r>
      <w:r w:rsidR="00074B95">
        <w:rPr>
          <w:rFonts w:ascii="Arial" w:hAnsi="Arial" w:cs="Arial"/>
          <w:sz w:val="20"/>
        </w:rPr>
        <w:t>of the instrument</w:t>
      </w:r>
      <w:r w:rsidR="000F7D49" w:rsidRPr="0092230E">
        <w:rPr>
          <w:rFonts w:ascii="Arial" w:hAnsi="Arial" w:cs="Arial"/>
          <w:sz w:val="20"/>
        </w:rPr>
        <w:t>.</w:t>
      </w:r>
      <w:r w:rsidR="00B84402">
        <w:rPr>
          <w:rFonts w:ascii="Arial" w:hAnsi="Arial" w:cs="Arial"/>
          <w:sz w:val="20"/>
        </w:rPr>
        <w:t xml:space="preserve"> </w:t>
      </w:r>
      <w:r w:rsidR="00482527" w:rsidRPr="0092230E">
        <w:rPr>
          <w:rFonts w:ascii="Arial" w:hAnsi="Arial" w:cs="Arial"/>
          <w:sz w:val="20"/>
        </w:rPr>
        <w:t xml:space="preserve">It is intended that an entity may only deduct revenue under section </w:t>
      </w:r>
      <w:r w:rsidR="00A54072">
        <w:rPr>
          <w:rFonts w:ascii="Arial" w:hAnsi="Arial" w:cs="Arial"/>
          <w:sz w:val="20"/>
        </w:rPr>
        <w:t>20</w:t>
      </w:r>
      <w:r w:rsidR="00482527" w:rsidRPr="0092230E">
        <w:rPr>
          <w:rFonts w:ascii="Arial" w:hAnsi="Arial" w:cs="Arial"/>
          <w:sz w:val="20"/>
        </w:rPr>
        <w:t xml:space="preserve">, if that revenue was included in the initial sales revenue identified under section </w:t>
      </w:r>
      <w:r w:rsidR="001C5B4A" w:rsidRPr="0092230E">
        <w:rPr>
          <w:rFonts w:ascii="Arial" w:hAnsi="Arial" w:cs="Arial"/>
          <w:sz w:val="20"/>
        </w:rPr>
        <w:t>1</w:t>
      </w:r>
      <w:r w:rsidR="00A54072">
        <w:rPr>
          <w:rFonts w:ascii="Arial" w:hAnsi="Arial" w:cs="Arial"/>
          <w:sz w:val="20"/>
        </w:rPr>
        <w:t>7</w:t>
      </w:r>
      <w:r w:rsidR="00482527" w:rsidRPr="0092230E">
        <w:rPr>
          <w:rFonts w:ascii="Arial" w:hAnsi="Arial" w:cs="Arial"/>
          <w:sz w:val="20"/>
        </w:rPr>
        <w:t>.</w:t>
      </w:r>
    </w:p>
    <w:p w14:paraId="044AE2A0" w14:textId="217E8AC2" w:rsidR="00EF1591" w:rsidRPr="0092230E" w:rsidRDefault="00EF1591" w:rsidP="00B95427">
      <w:pPr>
        <w:pStyle w:val="ABABulletLevel1"/>
        <w:spacing w:after="120"/>
        <w:rPr>
          <w:rFonts w:ascii="Arial" w:hAnsi="Arial" w:cs="Arial"/>
          <w:sz w:val="20"/>
        </w:rPr>
      </w:pPr>
      <w:r w:rsidRPr="0092230E">
        <w:rPr>
          <w:rFonts w:ascii="Arial" w:hAnsi="Arial" w:cs="Arial"/>
          <w:sz w:val="20"/>
        </w:rPr>
        <w:t xml:space="preserve">Section </w:t>
      </w:r>
      <w:r w:rsidR="00A54072">
        <w:rPr>
          <w:rFonts w:ascii="Arial" w:hAnsi="Arial" w:cs="Arial"/>
          <w:sz w:val="20"/>
        </w:rPr>
        <w:t>20</w:t>
      </w:r>
      <w:r w:rsidR="001C5B4A" w:rsidRPr="0092230E">
        <w:rPr>
          <w:rFonts w:ascii="Arial" w:hAnsi="Arial" w:cs="Arial"/>
          <w:sz w:val="20"/>
        </w:rPr>
        <w:t xml:space="preserve"> </w:t>
      </w:r>
      <w:r w:rsidR="00074B95">
        <w:rPr>
          <w:rFonts w:ascii="Arial" w:hAnsi="Arial" w:cs="Arial"/>
          <w:sz w:val="20"/>
        </w:rPr>
        <w:t>of the instrument</w:t>
      </w:r>
      <w:r w:rsidR="00074B95" w:rsidRPr="0092230E">
        <w:rPr>
          <w:rFonts w:ascii="Arial" w:hAnsi="Arial" w:cs="Arial"/>
          <w:sz w:val="20"/>
        </w:rPr>
        <w:t xml:space="preserve"> </w:t>
      </w:r>
      <w:r w:rsidRPr="0092230E">
        <w:rPr>
          <w:rFonts w:ascii="Arial" w:hAnsi="Arial" w:cs="Arial"/>
          <w:sz w:val="20"/>
        </w:rPr>
        <w:t xml:space="preserve">allows deductions of revenue earned by participating persons and </w:t>
      </w:r>
      <w:r w:rsidR="00074B95">
        <w:rPr>
          <w:rFonts w:ascii="Arial" w:hAnsi="Arial" w:cs="Arial"/>
          <w:sz w:val="20"/>
        </w:rPr>
        <w:t xml:space="preserve">their </w:t>
      </w:r>
      <w:r w:rsidRPr="0092230E">
        <w:rPr>
          <w:rFonts w:ascii="Arial" w:hAnsi="Arial" w:cs="Arial"/>
          <w:sz w:val="20"/>
        </w:rPr>
        <w:t>consolidated related parties and the deduction of a proportion of revenue earned by</w:t>
      </w:r>
      <w:r w:rsidR="00074B95">
        <w:rPr>
          <w:rFonts w:ascii="Arial" w:hAnsi="Arial" w:cs="Arial"/>
          <w:sz w:val="20"/>
        </w:rPr>
        <w:t xml:space="preserve"> their</w:t>
      </w:r>
      <w:r w:rsidRPr="0092230E">
        <w:rPr>
          <w:rFonts w:ascii="Arial" w:hAnsi="Arial" w:cs="Arial"/>
          <w:sz w:val="20"/>
        </w:rPr>
        <w:t xml:space="preserve"> declared related parties</w:t>
      </w:r>
      <w:r w:rsidR="002A36E1" w:rsidRPr="0092230E">
        <w:rPr>
          <w:rFonts w:ascii="Arial" w:hAnsi="Arial" w:cs="Arial"/>
          <w:sz w:val="20"/>
        </w:rPr>
        <w:t>, in the period during the eligible revenue period before the participating person becomes a carrier</w:t>
      </w:r>
      <w:r w:rsidR="00807D74">
        <w:rPr>
          <w:rFonts w:ascii="Arial" w:hAnsi="Arial" w:cs="Arial"/>
          <w:sz w:val="20"/>
        </w:rPr>
        <w:t>,</w:t>
      </w:r>
      <w:r w:rsidR="002A36E1" w:rsidRPr="0092230E">
        <w:rPr>
          <w:rFonts w:ascii="Arial" w:hAnsi="Arial" w:cs="Arial"/>
          <w:sz w:val="20"/>
        </w:rPr>
        <w:t xml:space="preserve"> </w:t>
      </w:r>
      <w:r w:rsidR="00FD515E" w:rsidRPr="0092230E">
        <w:rPr>
          <w:rFonts w:ascii="Arial" w:hAnsi="Arial" w:cs="Arial"/>
          <w:sz w:val="20"/>
        </w:rPr>
        <w:t xml:space="preserve">participating </w:t>
      </w:r>
      <w:r w:rsidR="002A36E1" w:rsidRPr="0092230E">
        <w:rPr>
          <w:rFonts w:ascii="Arial" w:hAnsi="Arial" w:cs="Arial"/>
          <w:sz w:val="20"/>
        </w:rPr>
        <w:t>carriage service provider</w:t>
      </w:r>
      <w:r w:rsidR="00807D74">
        <w:rPr>
          <w:rFonts w:ascii="Arial" w:hAnsi="Arial" w:cs="Arial"/>
          <w:sz w:val="20"/>
        </w:rPr>
        <w:t xml:space="preserve"> or </w:t>
      </w:r>
      <w:r w:rsidR="00CE1E73">
        <w:rPr>
          <w:rFonts w:ascii="Arial" w:hAnsi="Arial" w:cs="Arial"/>
          <w:sz w:val="20"/>
        </w:rPr>
        <w:t xml:space="preserve">prescribed </w:t>
      </w:r>
      <w:r w:rsidR="00807D74">
        <w:rPr>
          <w:rFonts w:ascii="Arial" w:hAnsi="Arial" w:cs="Arial"/>
          <w:sz w:val="20"/>
        </w:rPr>
        <w:t>participating person</w:t>
      </w:r>
      <w:r w:rsidRPr="0092230E">
        <w:rPr>
          <w:rFonts w:ascii="Arial" w:hAnsi="Arial" w:cs="Arial"/>
          <w:sz w:val="20"/>
        </w:rPr>
        <w:t xml:space="preserve">. Section </w:t>
      </w:r>
      <w:r w:rsidR="00A54072">
        <w:rPr>
          <w:rFonts w:ascii="Arial" w:hAnsi="Arial" w:cs="Arial"/>
          <w:sz w:val="20"/>
        </w:rPr>
        <w:t>20</w:t>
      </w:r>
      <w:r w:rsidR="001C5B4A" w:rsidRPr="0092230E">
        <w:rPr>
          <w:rFonts w:ascii="Arial" w:hAnsi="Arial" w:cs="Arial"/>
          <w:sz w:val="20"/>
        </w:rPr>
        <w:t xml:space="preserve"> </w:t>
      </w:r>
      <w:r w:rsidR="00074B95">
        <w:rPr>
          <w:rFonts w:ascii="Arial" w:hAnsi="Arial" w:cs="Arial"/>
          <w:sz w:val="20"/>
        </w:rPr>
        <w:t>of the instrument</w:t>
      </w:r>
      <w:r w:rsidR="00074B95" w:rsidRPr="0092230E">
        <w:rPr>
          <w:rFonts w:ascii="Arial" w:hAnsi="Arial" w:cs="Arial"/>
          <w:sz w:val="20"/>
        </w:rPr>
        <w:t xml:space="preserve"> </w:t>
      </w:r>
      <w:r w:rsidRPr="0092230E">
        <w:rPr>
          <w:rFonts w:ascii="Arial" w:hAnsi="Arial" w:cs="Arial"/>
          <w:sz w:val="20"/>
        </w:rPr>
        <w:t xml:space="preserve">needs to be read in combination with section </w:t>
      </w:r>
      <w:r w:rsidR="001C5B4A" w:rsidRPr="0092230E">
        <w:rPr>
          <w:rFonts w:ascii="Arial" w:hAnsi="Arial" w:cs="Arial"/>
          <w:sz w:val="20"/>
        </w:rPr>
        <w:t>1</w:t>
      </w:r>
      <w:r w:rsidR="00A54072">
        <w:rPr>
          <w:rFonts w:ascii="Arial" w:hAnsi="Arial" w:cs="Arial"/>
          <w:sz w:val="20"/>
        </w:rPr>
        <w:t>4</w:t>
      </w:r>
      <w:r w:rsidR="00074B95">
        <w:rPr>
          <w:rFonts w:ascii="Arial" w:hAnsi="Arial" w:cs="Arial"/>
          <w:sz w:val="20"/>
        </w:rPr>
        <w:t xml:space="preserve"> of the instrument</w:t>
      </w:r>
      <w:r w:rsidRPr="0092230E">
        <w:rPr>
          <w:rFonts w:ascii="Arial" w:hAnsi="Arial" w:cs="Arial"/>
          <w:sz w:val="20"/>
        </w:rPr>
        <w:t xml:space="preserve">, which </w:t>
      </w:r>
      <w:r w:rsidRPr="0092230E">
        <w:rPr>
          <w:rFonts w:ascii="Arial" w:hAnsi="Arial" w:cs="Arial"/>
          <w:sz w:val="20"/>
        </w:rPr>
        <w:lastRenderedPageBreak/>
        <w:t>requires that the sales revenue to be identified is the sales revenue for the ‘relevant period’</w:t>
      </w:r>
      <w:r w:rsidR="0026189F">
        <w:rPr>
          <w:rFonts w:ascii="Arial" w:hAnsi="Arial" w:cs="Arial"/>
          <w:sz w:val="20"/>
        </w:rPr>
        <w:t>. T</w:t>
      </w:r>
      <w:r w:rsidR="001C5B4A" w:rsidRPr="0092230E">
        <w:rPr>
          <w:rFonts w:ascii="Arial" w:hAnsi="Arial" w:cs="Arial"/>
          <w:sz w:val="20"/>
        </w:rPr>
        <w:t xml:space="preserve">he </w:t>
      </w:r>
      <w:r w:rsidRPr="0092230E">
        <w:rPr>
          <w:rFonts w:ascii="Arial" w:hAnsi="Arial" w:cs="Arial"/>
          <w:sz w:val="20"/>
        </w:rPr>
        <w:t xml:space="preserve">relevant period </w:t>
      </w:r>
      <w:r w:rsidR="00A71EDC">
        <w:rPr>
          <w:rFonts w:ascii="Arial" w:hAnsi="Arial" w:cs="Arial"/>
          <w:sz w:val="20"/>
        </w:rPr>
        <w:t xml:space="preserve">is </w:t>
      </w:r>
      <w:r w:rsidRPr="0092230E">
        <w:rPr>
          <w:rFonts w:ascii="Arial" w:hAnsi="Arial" w:cs="Arial"/>
          <w:sz w:val="20"/>
        </w:rPr>
        <w:t xml:space="preserve">the </w:t>
      </w:r>
      <w:proofErr w:type="gramStart"/>
      <w:r w:rsidRPr="0092230E">
        <w:rPr>
          <w:rFonts w:ascii="Arial" w:hAnsi="Arial" w:cs="Arial"/>
          <w:sz w:val="20"/>
        </w:rPr>
        <w:t>period of time</w:t>
      </w:r>
      <w:proofErr w:type="gramEnd"/>
      <w:r w:rsidRPr="0092230E">
        <w:rPr>
          <w:rFonts w:ascii="Arial" w:hAnsi="Arial" w:cs="Arial"/>
          <w:sz w:val="20"/>
        </w:rPr>
        <w:t>, during the eligible revenue period</w:t>
      </w:r>
      <w:r w:rsidR="005105C0">
        <w:rPr>
          <w:rFonts w:ascii="Arial" w:hAnsi="Arial" w:cs="Arial"/>
          <w:sz w:val="20"/>
        </w:rPr>
        <w:t>,</w:t>
      </w:r>
      <w:r w:rsidRPr="0092230E">
        <w:rPr>
          <w:rFonts w:ascii="Arial" w:hAnsi="Arial" w:cs="Arial"/>
          <w:sz w:val="20"/>
        </w:rPr>
        <w:t xml:space="preserve"> in which the participating person </w:t>
      </w:r>
      <w:r w:rsidR="00C05E9F">
        <w:rPr>
          <w:rFonts w:ascii="Arial" w:hAnsi="Arial" w:cs="Arial"/>
          <w:sz w:val="20"/>
        </w:rPr>
        <w:t xml:space="preserve">is </w:t>
      </w:r>
      <w:r w:rsidRPr="0092230E">
        <w:rPr>
          <w:rFonts w:ascii="Arial" w:hAnsi="Arial" w:cs="Arial"/>
          <w:sz w:val="20"/>
        </w:rPr>
        <w:t xml:space="preserve">a carrier, is a </w:t>
      </w:r>
      <w:r w:rsidR="004A3E33" w:rsidRPr="0092230E">
        <w:rPr>
          <w:rFonts w:ascii="Arial" w:hAnsi="Arial" w:cs="Arial"/>
          <w:sz w:val="20"/>
        </w:rPr>
        <w:t xml:space="preserve">participating </w:t>
      </w:r>
      <w:r w:rsidRPr="0092230E">
        <w:rPr>
          <w:rFonts w:ascii="Arial" w:hAnsi="Arial" w:cs="Arial"/>
          <w:sz w:val="20"/>
        </w:rPr>
        <w:t>carriage service provider</w:t>
      </w:r>
      <w:r w:rsidR="00807D74">
        <w:rPr>
          <w:rFonts w:ascii="Arial" w:hAnsi="Arial" w:cs="Arial"/>
          <w:sz w:val="20"/>
        </w:rPr>
        <w:t xml:space="preserve"> or a </w:t>
      </w:r>
      <w:r w:rsidR="00CE1E73">
        <w:rPr>
          <w:rFonts w:ascii="Arial" w:hAnsi="Arial" w:cs="Arial"/>
          <w:sz w:val="20"/>
        </w:rPr>
        <w:t xml:space="preserve">prescribed </w:t>
      </w:r>
      <w:r w:rsidR="00807D74">
        <w:rPr>
          <w:rFonts w:ascii="Arial" w:hAnsi="Arial" w:cs="Arial"/>
          <w:sz w:val="20"/>
        </w:rPr>
        <w:t>participating person</w:t>
      </w:r>
      <w:r w:rsidRPr="0092230E">
        <w:rPr>
          <w:rFonts w:ascii="Arial" w:hAnsi="Arial" w:cs="Arial"/>
          <w:sz w:val="20"/>
        </w:rPr>
        <w:t>.</w:t>
      </w:r>
    </w:p>
    <w:p w14:paraId="47E4C44E" w14:textId="52709FBA" w:rsidR="00EB7F8B" w:rsidRPr="0092230E" w:rsidRDefault="00EB7F8B" w:rsidP="00EB7F8B">
      <w:pPr>
        <w:pStyle w:val="ABABulletLevel1"/>
        <w:spacing w:after="120"/>
        <w:rPr>
          <w:rFonts w:ascii="Arial" w:hAnsi="Arial" w:cs="Arial"/>
          <w:sz w:val="20"/>
        </w:rPr>
      </w:pPr>
      <w:r w:rsidRPr="0092230E">
        <w:rPr>
          <w:rFonts w:ascii="Arial" w:hAnsi="Arial" w:cs="Arial"/>
          <w:sz w:val="20"/>
        </w:rPr>
        <w:t xml:space="preserve">For example, Entity D </w:t>
      </w:r>
      <w:r w:rsidR="001E15C8">
        <w:rPr>
          <w:rFonts w:ascii="Arial" w:hAnsi="Arial" w:cs="Arial"/>
          <w:sz w:val="20"/>
        </w:rPr>
        <w:t xml:space="preserve">becomes </w:t>
      </w:r>
      <w:r w:rsidRPr="0092230E">
        <w:rPr>
          <w:rFonts w:ascii="Arial" w:hAnsi="Arial" w:cs="Arial"/>
          <w:sz w:val="20"/>
        </w:rPr>
        <w:t>a c</w:t>
      </w:r>
      <w:r w:rsidR="002B7C05" w:rsidRPr="0092230E">
        <w:rPr>
          <w:rFonts w:ascii="Arial" w:hAnsi="Arial" w:cs="Arial"/>
          <w:sz w:val="20"/>
        </w:rPr>
        <w:t>arrier on 1 January 20</w:t>
      </w:r>
      <w:r w:rsidR="00CE52B3">
        <w:rPr>
          <w:rFonts w:ascii="Arial" w:hAnsi="Arial" w:cs="Arial"/>
          <w:sz w:val="20"/>
        </w:rPr>
        <w:t>2</w:t>
      </w:r>
      <w:r w:rsidR="00A54072">
        <w:rPr>
          <w:rFonts w:ascii="Arial" w:hAnsi="Arial" w:cs="Arial"/>
          <w:sz w:val="20"/>
        </w:rPr>
        <w:t>6</w:t>
      </w:r>
      <w:r w:rsidRPr="0092230E">
        <w:rPr>
          <w:rFonts w:ascii="Arial" w:hAnsi="Arial" w:cs="Arial"/>
          <w:sz w:val="20"/>
        </w:rPr>
        <w:t xml:space="preserve"> and </w:t>
      </w:r>
      <w:r w:rsidR="00A86204">
        <w:rPr>
          <w:rFonts w:ascii="Arial" w:hAnsi="Arial" w:cs="Arial"/>
          <w:sz w:val="20"/>
        </w:rPr>
        <w:t xml:space="preserve">maintains that status </w:t>
      </w:r>
      <w:r w:rsidRPr="0092230E">
        <w:rPr>
          <w:rFonts w:ascii="Arial" w:hAnsi="Arial" w:cs="Arial"/>
          <w:sz w:val="20"/>
        </w:rPr>
        <w:t>for 6 months of the eligible revenue p</w:t>
      </w:r>
      <w:r w:rsidR="002B7C05" w:rsidRPr="0092230E">
        <w:rPr>
          <w:rFonts w:ascii="Arial" w:hAnsi="Arial" w:cs="Arial"/>
          <w:sz w:val="20"/>
        </w:rPr>
        <w:t>eriod that runs from 1 July 20</w:t>
      </w:r>
      <w:r w:rsidR="00CE52B3">
        <w:rPr>
          <w:rFonts w:ascii="Arial" w:hAnsi="Arial" w:cs="Arial"/>
          <w:sz w:val="20"/>
        </w:rPr>
        <w:t>2</w:t>
      </w:r>
      <w:r w:rsidR="00A54072">
        <w:rPr>
          <w:rFonts w:ascii="Arial" w:hAnsi="Arial" w:cs="Arial"/>
          <w:sz w:val="20"/>
        </w:rPr>
        <w:t>5</w:t>
      </w:r>
      <w:r w:rsidRPr="0092230E">
        <w:rPr>
          <w:rFonts w:ascii="Arial" w:hAnsi="Arial" w:cs="Arial"/>
          <w:sz w:val="20"/>
        </w:rPr>
        <w:t xml:space="preserve"> to </w:t>
      </w:r>
      <w:r w:rsidR="002B7C05" w:rsidRPr="0092230E">
        <w:rPr>
          <w:rFonts w:ascii="Arial" w:hAnsi="Arial" w:cs="Arial"/>
          <w:sz w:val="20"/>
        </w:rPr>
        <w:t>30 June 20</w:t>
      </w:r>
      <w:r w:rsidR="00CE52B3">
        <w:rPr>
          <w:rFonts w:ascii="Arial" w:hAnsi="Arial" w:cs="Arial"/>
          <w:sz w:val="20"/>
        </w:rPr>
        <w:t>2</w:t>
      </w:r>
      <w:r w:rsidR="00A54072">
        <w:rPr>
          <w:rFonts w:ascii="Arial" w:hAnsi="Arial" w:cs="Arial"/>
          <w:sz w:val="20"/>
        </w:rPr>
        <w:t>6</w:t>
      </w:r>
      <w:r w:rsidRPr="0092230E">
        <w:rPr>
          <w:rFonts w:ascii="Arial" w:hAnsi="Arial" w:cs="Arial"/>
          <w:sz w:val="20"/>
        </w:rPr>
        <w:t xml:space="preserve">. For Entity D, the ‘relevant period’ for which sales revenue is to be identified is 6 months. Entity D would identify its initial sales revenue, under section </w:t>
      </w:r>
      <w:r w:rsidR="00FE4D29" w:rsidRPr="0092230E">
        <w:rPr>
          <w:rFonts w:ascii="Arial" w:hAnsi="Arial" w:cs="Arial"/>
          <w:sz w:val="20"/>
        </w:rPr>
        <w:t>1</w:t>
      </w:r>
      <w:r w:rsidR="00A54072">
        <w:rPr>
          <w:rFonts w:ascii="Arial" w:hAnsi="Arial" w:cs="Arial"/>
          <w:sz w:val="20"/>
        </w:rPr>
        <w:t>7</w:t>
      </w:r>
      <w:r w:rsidR="006B7E05">
        <w:rPr>
          <w:rFonts w:ascii="Arial" w:hAnsi="Arial" w:cs="Arial"/>
          <w:sz w:val="20"/>
        </w:rPr>
        <w:t xml:space="preserve"> of the instrument</w:t>
      </w:r>
      <w:r w:rsidRPr="0092230E">
        <w:rPr>
          <w:rFonts w:ascii="Arial" w:hAnsi="Arial" w:cs="Arial"/>
          <w:sz w:val="20"/>
        </w:rPr>
        <w:t xml:space="preserve">, and then under section </w:t>
      </w:r>
      <w:r w:rsidR="00A54072">
        <w:rPr>
          <w:rFonts w:ascii="Arial" w:hAnsi="Arial" w:cs="Arial"/>
          <w:sz w:val="20"/>
        </w:rPr>
        <w:t>20</w:t>
      </w:r>
      <w:r w:rsidR="006B7E05">
        <w:rPr>
          <w:rFonts w:ascii="Arial" w:hAnsi="Arial" w:cs="Arial"/>
          <w:sz w:val="20"/>
        </w:rPr>
        <w:t xml:space="preserve"> of the instrument</w:t>
      </w:r>
      <w:r w:rsidR="00FE4D29" w:rsidRPr="0092230E">
        <w:rPr>
          <w:rFonts w:ascii="Arial" w:hAnsi="Arial" w:cs="Arial"/>
          <w:sz w:val="20"/>
        </w:rPr>
        <w:t xml:space="preserve"> </w:t>
      </w:r>
      <w:r w:rsidRPr="0092230E">
        <w:rPr>
          <w:rFonts w:ascii="Arial" w:hAnsi="Arial" w:cs="Arial"/>
          <w:sz w:val="20"/>
        </w:rPr>
        <w:t xml:space="preserve">deduct revenue earned prior to it </w:t>
      </w:r>
      <w:r w:rsidR="00A86204">
        <w:rPr>
          <w:rFonts w:ascii="Arial" w:hAnsi="Arial" w:cs="Arial"/>
          <w:sz w:val="20"/>
        </w:rPr>
        <w:t xml:space="preserve">becoming a </w:t>
      </w:r>
      <w:r w:rsidRPr="0092230E">
        <w:rPr>
          <w:rFonts w:ascii="Arial" w:hAnsi="Arial" w:cs="Arial"/>
          <w:sz w:val="20"/>
        </w:rPr>
        <w:t xml:space="preserve">carrier. The result, in accordance with section </w:t>
      </w:r>
      <w:r w:rsidR="00FE4D29" w:rsidRPr="0092230E">
        <w:rPr>
          <w:rFonts w:ascii="Arial" w:hAnsi="Arial" w:cs="Arial"/>
          <w:sz w:val="20"/>
        </w:rPr>
        <w:t>1</w:t>
      </w:r>
      <w:r w:rsidR="00A54072">
        <w:rPr>
          <w:rFonts w:ascii="Arial" w:hAnsi="Arial" w:cs="Arial"/>
          <w:sz w:val="20"/>
        </w:rPr>
        <w:t>4</w:t>
      </w:r>
      <w:r w:rsidR="006B7E05">
        <w:rPr>
          <w:rFonts w:ascii="Arial" w:hAnsi="Arial" w:cs="Arial"/>
          <w:sz w:val="20"/>
        </w:rPr>
        <w:t xml:space="preserve"> of the instrument</w:t>
      </w:r>
      <w:r w:rsidRPr="0092230E">
        <w:rPr>
          <w:rFonts w:ascii="Arial" w:hAnsi="Arial" w:cs="Arial"/>
          <w:sz w:val="20"/>
        </w:rPr>
        <w:t>, is that the calculation of Entity D’s eligible revenue is based on 6 months of revenue.</w:t>
      </w:r>
    </w:p>
    <w:p w14:paraId="2E4BB64F" w14:textId="20431FCC" w:rsidR="000C323B" w:rsidRPr="0092230E" w:rsidRDefault="000C323B" w:rsidP="00EB7F8B">
      <w:pPr>
        <w:pStyle w:val="ABABulletLevel1"/>
        <w:spacing w:after="120"/>
        <w:rPr>
          <w:rFonts w:ascii="Arial" w:hAnsi="Arial" w:cs="Arial"/>
          <w:sz w:val="20"/>
        </w:rPr>
      </w:pPr>
      <w:r w:rsidRPr="0092230E">
        <w:rPr>
          <w:rFonts w:ascii="Arial" w:hAnsi="Arial" w:cs="Arial"/>
          <w:sz w:val="20"/>
        </w:rPr>
        <w:t xml:space="preserve">Paragraph </w:t>
      </w:r>
      <w:r w:rsidR="00A54072">
        <w:rPr>
          <w:rFonts w:ascii="Arial" w:hAnsi="Arial" w:cs="Arial"/>
          <w:sz w:val="20"/>
        </w:rPr>
        <w:t>20</w:t>
      </w:r>
      <w:r w:rsidRPr="0092230E">
        <w:rPr>
          <w:rFonts w:ascii="Arial" w:hAnsi="Arial" w:cs="Arial"/>
          <w:sz w:val="20"/>
        </w:rPr>
        <w:t>(3)(a)</w:t>
      </w:r>
      <w:r w:rsidR="006B7E05">
        <w:rPr>
          <w:rFonts w:ascii="Arial" w:hAnsi="Arial" w:cs="Arial"/>
          <w:sz w:val="20"/>
        </w:rPr>
        <w:t xml:space="preserve"> of the instrument</w:t>
      </w:r>
      <w:r w:rsidRPr="0092230E">
        <w:rPr>
          <w:rFonts w:ascii="Arial" w:hAnsi="Arial" w:cs="Arial"/>
          <w:sz w:val="20"/>
        </w:rPr>
        <w:t xml:space="preserve"> provides that a participating person cannot, under section </w:t>
      </w:r>
      <w:r w:rsidR="00A54072">
        <w:rPr>
          <w:rFonts w:ascii="Arial" w:hAnsi="Arial" w:cs="Arial"/>
          <w:sz w:val="20"/>
        </w:rPr>
        <w:t>20</w:t>
      </w:r>
      <w:r w:rsidR="006B7E05">
        <w:rPr>
          <w:rFonts w:ascii="Arial" w:hAnsi="Arial" w:cs="Arial"/>
          <w:sz w:val="20"/>
        </w:rPr>
        <w:t xml:space="preserve"> of the instrument</w:t>
      </w:r>
      <w:r w:rsidRPr="0092230E">
        <w:rPr>
          <w:rFonts w:ascii="Arial" w:hAnsi="Arial" w:cs="Arial"/>
          <w:sz w:val="20"/>
        </w:rPr>
        <w:t xml:space="preserve">, deduct an amount of revenue that was earned before the day </w:t>
      </w:r>
      <w:r w:rsidR="0058385D">
        <w:rPr>
          <w:rFonts w:ascii="Arial" w:hAnsi="Arial" w:cs="Arial"/>
          <w:sz w:val="20"/>
        </w:rPr>
        <w:t xml:space="preserve">participating person </w:t>
      </w:r>
      <w:r w:rsidRPr="0092230E">
        <w:rPr>
          <w:rFonts w:ascii="Arial" w:hAnsi="Arial" w:cs="Arial"/>
          <w:sz w:val="20"/>
        </w:rPr>
        <w:t>became a carrier</w:t>
      </w:r>
      <w:r w:rsidR="00807D74">
        <w:rPr>
          <w:rFonts w:ascii="Arial" w:hAnsi="Arial" w:cs="Arial"/>
          <w:sz w:val="20"/>
        </w:rPr>
        <w:t>,</w:t>
      </w:r>
      <w:r w:rsidRPr="0092230E">
        <w:rPr>
          <w:rFonts w:ascii="Arial" w:hAnsi="Arial" w:cs="Arial"/>
          <w:sz w:val="20"/>
        </w:rPr>
        <w:t xml:space="preserve"> </w:t>
      </w:r>
      <w:r w:rsidR="006666B1">
        <w:rPr>
          <w:rFonts w:ascii="Arial" w:hAnsi="Arial" w:cs="Arial"/>
          <w:sz w:val="20"/>
        </w:rPr>
        <w:t xml:space="preserve">a </w:t>
      </w:r>
      <w:r w:rsidR="00FD515E" w:rsidRPr="0092230E">
        <w:rPr>
          <w:rFonts w:ascii="Arial" w:hAnsi="Arial" w:cs="Arial"/>
          <w:sz w:val="20"/>
        </w:rPr>
        <w:t xml:space="preserve">participating </w:t>
      </w:r>
      <w:r w:rsidRPr="0092230E">
        <w:rPr>
          <w:rFonts w:ascii="Arial" w:hAnsi="Arial" w:cs="Arial"/>
          <w:sz w:val="20"/>
        </w:rPr>
        <w:t>carriage service provider</w:t>
      </w:r>
      <w:r w:rsidR="00807D74">
        <w:rPr>
          <w:rFonts w:ascii="Arial" w:hAnsi="Arial" w:cs="Arial"/>
          <w:sz w:val="20"/>
        </w:rPr>
        <w:t xml:space="preserve"> or </w:t>
      </w:r>
      <w:r w:rsidR="006666B1">
        <w:rPr>
          <w:rFonts w:ascii="Arial" w:hAnsi="Arial" w:cs="Arial"/>
          <w:sz w:val="20"/>
        </w:rPr>
        <w:t xml:space="preserve">a </w:t>
      </w:r>
      <w:r w:rsidR="0071622D">
        <w:rPr>
          <w:rFonts w:ascii="Arial" w:hAnsi="Arial" w:cs="Arial"/>
          <w:sz w:val="20"/>
        </w:rPr>
        <w:t xml:space="preserve">prescribed </w:t>
      </w:r>
      <w:r w:rsidR="00807D74">
        <w:rPr>
          <w:rFonts w:ascii="Arial" w:hAnsi="Arial" w:cs="Arial"/>
          <w:sz w:val="20"/>
        </w:rPr>
        <w:t>participating person</w:t>
      </w:r>
      <w:r w:rsidRPr="0092230E">
        <w:rPr>
          <w:rFonts w:ascii="Arial" w:hAnsi="Arial" w:cs="Arial"/>
          <w:sz w:val="20"/>
        </w:rPr>
        <w:t xml:space="preserve">, if the amount relates to an activity in the telecommunications industry that was required, by law, to be performed on or after that day. </w:t>
      </w:r>
    </w:p>
    <w:p w14:paraId="299DC39A" w14:textId="038FAC71" w:rsidR="00EB7F8B" w:rsidRPr="0092230E" w:rsidRDefault="00476373" w:rsidP="00EB7F8B">
      <w:pPr>
        <w:pStyle w:val="ABABulletLevel1"/>
        <w:spacing w:after="120"/>
        <w:rPr>
          <w:rFonts w:ascii="Arial" w:hAnsi="Arial" w:cs="Arial"/>
          <w:sz w:val="20"/>
        </w:rPr>
      </w:pPr>
      <w:r w:rsidRPr="0092230E">
        <w:rPr>
          <w:rFonts w:ascii="Arial" w:hAnsi="Arial" w:cs="Arial"/>
          <w:sz w:val="20"/>
        </w:rPr>
        <w:t xml:space="preserve">Paragraph </w:t>
      </w:r>
      <w:r w:rsidR="00A54072">
        <w:rPr>
          <w:rFonts w:ascii="Arial" w:hAnsi="Arial" w:cs="Arial"/>
          <w:sz w:val="20"/>
        </w:rPr>
        <w:t>20</w:t>
      </w:r>
      <w:r w:rsidRPr="0092230E">
        <w:rPr>
          <w:rFonts w:ascii="Arial" w:hAnsi="Arial" w:cs="Arial"/>
          <w:sz w:val="20"/>
        </w:rPr>
        <w:t>(3)(b)</w:t>
      </w:r>
      <w:r w:rsidR="006B7E05">
        <w:rPr>
          <w:rFonts w:ascii="Arial" w:hAnsi="Arial" w:cs="Arial"/>
          <w:sz w:val="20"/>
        </w:rPr>
        <w:t xml:space="preserve"> of the instrument</w:t>
      </w:r>
      <w:r w:rsidRPr="0092230E">
        <w:rPr>
          <w:rFonts w:ascii="Arial" w:hAnsi="Arial" w:cs="Arial"/>
          <w:sz w:val="20"/>
        </w:rPr>
        <w:t xml:space="preserve"> provide</w:t>
      </w:r>
      <w:r w:rsidR="00B43EF8">
        <w:rPr>
          <w:rFonts w:ascii="Arial" w:hAnsi="Arial" w:cs="Arial"/>
          <w:sz w:val="20"/>
        </w:rPr>
        <w:t>s</w:t>
      </w:r>
      <w:r w:rsidRPr="0092230E">
        <w:rPr>
          <w:rFonts w:ascii="Arial" w:hAnsi="Arial" w:cs="Arial"/>
          <w:sz w:val="20"/>
        </w:rPr>
        <w:t xml:space="preserve"> that a participating person </w:t>
      </w:r>
      <w:r w:rsidR="00BF1FAB" w:rsidRPr="0092230E">
        <w:rPr>
          <w:rFonts w:ascii="Arial" w:hAnsi="Arial" w:cs="Arial"/>
          <w:sz w:val="20"/>
        </w:rPr>
        <w:t>cannot</w:t>
      </w:r>
      <w:r w:rsidR="00084265" w:rsidRPr="0092230E">
        <w:rPr>
          <w:rFonts w:ascii="Arial" w:hAnsi="Arial" w:cs="Arial"/>
          <w:sz w:val="20"/>
        </w:rPr>
        <w:t xml:space="preserve">, under subsection </w:t>
      </w:r>
      <w:r w:rsidR="00C8491F">
        <w:rPr>
          <w:rFonts w:ascii="Arial" w:hAnsi="Arial" w:cs="Arial"/>
          <w:sz w:val="20"/>
        </w:rPr>
        <w:t>20</w:t>
      </w:r>
      <w:r w:rsidR="00084265" w:rsidRPr="0092230E">
        <w:rPr>
          <w:rFonts w:ascii="Arial" w:hAnsi="Arial" w:cs="Arial"/>
          <w:sz w:val="20"/>
        </w:rPr>
        <w:t>(1)</w:t>
      </w:r>
      <w:r w:rsidR="006B7E05">
        <w:rPr>
          <w:rFonts w:ascii="Arial" w:hAnsi="Arial" w:cs="Arial"/>
          <w:sz w:val="20"/>
        </w:rPr>
        <w:t xml:space="preserve"> of the instrument</w:t>
      </w:r>
      <w:r w:rsidR="00084265" w:rsidRPr="0092230E">
        <w:rPr>
          <w:rFonts w:ascii="Arial" w:hAnsi="Arial" w:cs="Arial"/>
          <w:sz w:val="20"/>
        </w:rPr>
        <w:t xml:space="preserve">, </w:t>
      </w:r>
      <w:r w:rsidR="00BB227A" w:rsidRPr="0092230E">
        <w:rPr>
          <w:rFonts w:ascii="Arial" w:hAnsi="Arial" w:cs="Arial"/>
          <w:sz w:val="20"/>
        </w:rPr>
        <w:t xml:space="preserve">claim </w:t>
      </w:r>
      <w:r w:rsidR="00BF1FAB" w:rsidRPr="0092230E">
        <w:rPr>
          <w:rFonts w:ascii="Arial" w:hAnsi="Arial" w:cs="Arial"/>
          <w:sz w:val="20"/>
        </w:rPr>
        <w:t>a deduction for revenue earned</w:t>
      </w:r>
      <w:r w:rsidR="000C323B" w:rsidRPr="0092230E">
        <w:rPr>
          <w:rFonts w:ascii="Arial" w:hAnsi="Arial" w:cs="Arial"/>
          <w:sz w:val="20"/>
        </w:rPr>
        <w:t xml:space="preserve"> by a consolidated related party of the participating person, in the period</w:t>
      </w:r>
      <w:r w:rsidR="00BF1FAB" w:rsidRPr="0092230E">
        <w:rPr>
          <w:rFonts w:ascii="Arial" w:hAnsi="Arial" w:cs="Arial"/>
          <w:sz w:val="20"/>
        </w:rPr>
        <w:t xml:space="preserve"> prior to the participating person becoming a carrier</w:t>
      </w:r>
      <w:r w:rsidR="00807D74">
        <w:rPr>
          <w:rFonts w:ascii="Arial" w:hAnsi="Arial" w:cs="Arial"/>
          <w:sz w:val="20"/>
        </w:rPr>
        <w:t>,</w:t>
      </w:r>
      <w:r w:rsidR="005B5BAD">
        <w:rPr>
          <w:rFonts w:ascii="Arial" w:hAnsi="Arial" w:cs="Arial"/>
          <w:sz w:val="20"/>
        </w:rPr>
        <w:t xml:space="preserve"> a participating</w:t>
      </w:r>
      <w:r w:rsidR="00BF1FAB" w:rsidRPr="0092230E">
        <w:rPr>
          <w:rFonts w:ascii="Arial" w:hAnsi="Arial" w:cs="Arial"/>
          <w:sz w:val="20"/>
        </w:rPr>
        <w:t xml:space="preserve"> carriage service provider</w:t>
      </w:r>
      <w:r w:rsidR="00807D74">
        <w:rPr>
          <w:rFonts w:ascii="Arial" w:hAnsi="Arial" w:cs="Arial"/>
          <w:sz w:val="20"/>
        </w:rPr>
        <w:t xml:space="preserve"> or </w:t>
      </w:r>
      <w:r w:rsidR="0071622D">
        <w:rPr>
          <w:rFonts w:ascii="Arial" w:hAnsi="Arial" w:cs="Arial"/>
          <w:sz w:val="20"/>
        </w:rPr>
        <w:t xml:space="preserve">prescribed </w:t>
      </w:r>
      <w:r w:rsidR="00807D74">
        <w:rPr>
          <w:rFonts w:ascii="Arial" w:hAnsi="Arial" w:cs="Arial"/>
          <w:sz w:val="20"/>
        </w:rPr>
        <w:t>participating person</w:t>
      </w:r>
      <w:r w:rsidR="00084265" w:rsidRPr="0092230E">
        <w:rPr>
          <w:rFonts w:ascii="Arial" w:hAnsi="Arial" w:cs="Arial"/>
          <w:sz w:val="20"/>
        </w:rPr>
        <w:t>,</w:t>
      </w:r>
      <w:r w:rsidR="00BB227A" w:rsidRPr="0092230E">
        <w:rPr>
          <w:rFonts w:ascii="Arial" w:hAnsi="Arial" w:cs="Arial"/>
          <w:sz w:val="20"/>
        </w:rPr>
        <w:t xml:space="preserve"> </w:t>
      </w:r>
      <w:r w:rsidR="00BF1FAB" w:rsidRPr="0092230E">
        <w:rPr>
          <w:rFonts w:ascii="Arial" w:hAnsi="Arial" w:cs="Arial"/>
          <w:sz w:val="20"/>
        </w:rPr>
        <w:t>if</w:t>
      </w:r>
      <w:r w:rsidR="00BB227A" w:rsidRPr="0092230E">
        <w:rPr>
          <w:rFonts w:ascii="Arial" w:hAnsi="Arial" w:cs="Arial"/>
          <w:sz w:val="20"/>
        </w:rPr>
        <w:t xml:space="preserve"> </w:t>
      </w:r>
      <w:r w:rsidR="00BF1FAB" w:rsidRPr="0092230E">
        <w:rPr>
          <w:rFonts w:ascii="Arial" w:hAnsi="Arial" w:cs="Arial"/>
          <w:sz w:val="20"/>
        </w:rPr>
        <w:t xml:space="preserve">the amount was earned </w:t>
      </w:r>
      <w:r w:rsidR="00084265" w:rsidRPr="0092230E">
        <w:rPr>
          <w:rFonts w:ascii="Arial" w:hAnsi="Arial" w:cs="Arial"/>
          <w:sz w:val="20"/>
        </w:rPr>
        <w:t xml:space="preserve">while the </w:t>
      </w:r>
      <w:r w:rsidR="00BF1FAB" w:rsidRPr="0092230E">
        <w:rPr>
          <w:rFonts w:ascii="Arial" w:hAnsi="Arial" w:cs="Arial"/>
          <w:sz w:val="20"/>
        </w:rPr>
        <w:t xml:space="preserve">consolidated related party </w:t>
      </w:r>
      <w:r w:rsidR="00F67ED0">
        <w:rPr>
          <w:rFonts w:ascii="Arial" w:hAnsi="Arial" w:cs="Arial"/>
          <w:sz w:val="20"/>
        </w:rPr>
        <w:t xml:space="preserve">was </w:t>
      </w:r>
      <w:r w:rsidR="00BF1FAB" w:rsidRPr="0092230E">
        <w:rPr>
          <w:rFonts w:ascii="Arial" w:hAnsi="Arial" w:cs="Arial"/>
          <w:sz w:val="20"/>
        </w:rPr>
        <w:t>a carrier</w:t>
      </w:r>
      <w:r w:rsidR="00084265" w:rsidRPr="0092230E">
        <w:rPr>
          <w:rFonts w:ascii="Arial" w:hAnsi="Arial" w:cs="Arial"/>
          <w:sz w:val="20"/>
        </w:rPr>
        <w:t xml:space="preserve">, was a </w:t>
      </w:r>
      <w:r w:rsidR="004A3E33" w:rsidRPr="0092230E">
        <w:rPr>
          <w:rFonts w:ascii="Arial" w:hAnsi="Arial" w:cs="Arial"/>
          <w:sz w:val="20"/>
        </w:rPr>
        <w:t xml:space="preserve">participating </w:t>
      </w:r>
      <w:r w:rsidR="00084265" w:rsidRPr="0092230E">
        <w:rPr>
          <w:rFonts w:ascii="Arial" w:hAnsi="Arial" w:cs="Arial"/>
          <w:sz w:val="20"/>
        </w:rPr>
        <w:t>carriage service provider</w:t>
      </w:r>
      <w:r w:rsidR="00807D74">
        <w:rPr>
          <w:rFonts w:ascii="Arial" w:hAnsi="Arial" w:cs="Arial"/>
          <w:sz w:val="20"/>
        </w:rPr>
        <w:t xml:space="preserve"> or was a </w:t>
      </w:r>
      <w:r w:rsidR="0071622D">
        <w:rPr>
          <w:rFonts w:ascii="Arial" w:hAnsi="Arial" w:cs="Arial"/>
          <w:sz w:val="20"/>
        </w:rPr>
        <w:t xml:space="preserve">prescribed </w:t>
      </w:r>
      <w:r w:rsidR="00807D74">
        <w:rPr>
          <w:rFonts w:ascii="Arial" w:hAnsi="Arial" w:cs="Arial"/>
          <w:sz w:val="20"/>
        </w:rPr>
        <w:t>participating person</w:t>
      </w:r>
      <w:r w:rsidR="00BF1FAB" w:rsidRPr="0092230E">
        <w:rPr>
          <w:rFonts w:ascii="Arial" w:hAnsi="Arial" w:cs="Arial"/>
          <w:sz w:val="20"/>
        </w:rPr>
        <w:t>.</w:t>
      </w:r>
      <w:r w:rsidR="00B33CA5" w:rsidRPr="0092230E">
        <w:rPr>
          <w:rFonts w:ascii="Arial" w:hAnsi="Arial" w:cs="Arial"/>
          <w:sz w:val="20"/>
        </w:rPr>
        <w:t xml:space="preserve"> </w:t>
      </w:r>
      <w:r w:rsidR="00482527" w:rsidRPr="0092230E">
        <w:rPr>
          <w:rFonts w:ascii="Arial" w:hAnsi="Arial" w:cs="Arial"/>
          <w:sz w:val="20"/>
        </w:rPr>
        <w:t xml:space="preserve">The purpose of this provision is to prevent potential revenue shifting between related parties </w:t>
      </w:r>
      <w:r w:rsidR="00FD515E" w:rsidRPr="0092230E">
        <w:rPr>
          <w:rFonts w:ascii="Arial" w:hAnsi="Arial" w:cs="Arial"/>
          <w:sz w:val="20"/>
        </w:rPr>
        <w:t>done for the purpose of claiming</w:t>
      </w:r>
      <w:r w:rsidR="00482527" w:rsidRPr="0092230E">
        <w:rPr>
          <w:rFonts w:ascii="Arial" w:hAnsi="Arial" w:cs="Arial"/>
          <w:sz w:val="20"/>
        </w:rPr>
        <w:t xml:space="preserve"> maximum deductions for an eligible revenue period. </w:t>
      </w:r>
    </w:p>
    <w:p w14:paraId="2465A8B0" w14:textId="77777777" w:rsidR="009B2A80" w:rsidRPr="0092230E" w:rsidRDefault="009B2A80" w:rsidP="00B95427">
      <w:pPr>
        <w:pStyle w:val="ABABulletLevel1"/>
        <w:spacing w:after="120"/>
        <w:rPr>
          <w:rFonts w:ascii="Arial" w:hAnsi="Arial" w:cs="Arial"/>
          <w:sz w:val="20"/>
        </w:rPr>
      </w:pPr>
    </w:p>
    <w:p w14:paraId="6B053530" w14:textId="5E45EE2B" w:rsidR="009B2A80" w:rsidRPr="0092230E" w:rsidRDefault="009B2A80" w:rsidP="009B2A80">
      <w:pPr>
        <w:pStyle w:val="ABABulletLevel1"/>
        <w:spacing w:after="120"/>
        <w:rPr>
          <w:rFonts w:ascii="Arial" w:hAnsi="Arial" w:cs="Arial"/>
          <w:b/>
          <w:sz w:val="20"/>
        </w:rPr>
      </w:pPr>
      <w:r w:rsidRPr="0092230E">
        <w:rPr>
          <w:rFonts w:ascii="Arial" w:hAnsi="Arial" w:cs="Arial"/>
          <w:b/>
          <w:sz w:val="20"/>
        </w:rPr>
        <w:t xml:space="preserve">Section </w:t>
      </w:r>
      <w:r w:rsidR="00C8491F">
        <w:rPr>
          <w:rFonts w:ascii="Arial" w:hAnsi="Arial" w:cs="Arial"/>
          <w:b/>
          <w:sz w:val="20"/>
        </w:rPr>
        <w:t>2</w:t>
      </w:r>
      <w:r w:rsidR="00067542" w:rsidRPr="0092230E">
        <w:rPr>
          <w:rFonts w:ascii="Arial" w:hAnsi="Arial" w:cs="Arial"/>
          <w:b/>
          <w:sz w:val="20"/>
        </w:rPr>
        <w:t xml:space="preserve">1 </w:t>
      </w:r>
      <w:r w:rsidRPr="0092230E">
        <w:rPr>
          <w:rFonts w:ascii="Arial" w:hAnsi="Arial" w:cs="Arial"/>
          <w:b/>
          <w:sz w:val="20"/>
        </w:rPr>
        <w:t>– Revenue after person ceases to be carrier</w:t>
      </w:r>
      <w:r w:rsidR="00F268B7">
        <w:rPr>
          <w:rFonts w:ascii="Arial" w:hAnsi="Arial" w:cs="Arial"/>
          <w:b/>
          <w:sz w:val="20"/>
        </w:rPr>
        <w:t>,</w:t>
      </w:r>
      <w:r w:rsidRPr="0092230E">
        <w:rPr>
          <w:rFonts w:ascii="Arial" w:hAnsi="Arial" w:cs="Arial"/>
          <w:b/>
          <w:sz w:val="20"/>
        </w:rPr>
        <w:t xml:space="preserve"> </w:t>
      </w:r>
      <w:r w:rsidR="00ED362F" w:rsidRPr="0092230E">
        <w:rPr>
          <w:rFonts w:ascii="Arial" w:hAnsi="Arial" w:cs="Arial"/>
          <w:b/>
          <w:sz w:val="20"/>
        </w:rPr>
        <w:t xml:space="preserve">participating </w:t>
      </w:r>
      <w:r w:rsidRPr="0092230E">
        <w:rPr>
          <w:rFonts w:ascii="Arial" w:hAnsi="Arial" w:cs="Arial"/>
          <w:b/>
          <w:sz w:val="20"/>
        </w:rPr>
        <w:t>carriage service provider</w:t>
      </w:r>
      <w:r w:rsidR="00F268B7">
        <w:rPr>
          <w:rFonts w:ascii="Arial" w:hAnsi="Arial" w:cs="Arial"/>
          <w:b/>
          <w:sz w:val="20"/>
        </w:rPr>
        <w:t xml:space="preserve"> or </w:t>
      </w:r>
      <w:r w:rsidR="0071622D">
        <w:rPr>
          <w:rFonts w:ascii="Arial" w:hAnsi="Arial" w:cs="Arial"/>
          <w:b/>
          <w:sz w:val="20"/>
        </w:rPr>
        <w:t xml:space="preserve">prescribed </w:t>
      </w:r>
      <w:r w:rsidR="00F268B7">
        <w:rPr>
          <w:rFonts w:ascii="Arial" w:hAnsi="Arial" w:cs="Arial"/>
          <w:b/>
          <w:sz w:val="20"/>
        </w:rPr>
        <w:t>participating person</w:t>
      </w:r>
    </w:p>
    <w:p w14:paraId="41D656B1" w14:textId="0E9DE8B4" w:rsidR="004A6A13" w:rsidRPr="0092230E" w:rsidRDefault="009B2A80" w:rsidP="004A6A13">
      <w:pPr>
        <w:pStyle w:val="ABABulletLevel1"/>
        <w:spacing w:after="120"/>
        <w:rPr>
          <w:rFonts w:ascii="Arial" w:hAnsi="Arial" w:cs="Arial"/>
          <w:sz w:val="20"/>
        </w:rPr>
      </w:pPr>
      <w:r w:rsidRPr="0092230E">
        <w:rPr>
          <w:rFonts w:ascii="Arial" w:hAnsi="Arial" w:cs="Arial"/>
          <w:sz w:val="20"/>
        </w:rPr>
        <w:t xml:space="preserve">Section </w:t>
      </w:r>
      <w:r w:rsidR="00C8491F">
        <w:rPr>
          <w:rFonts w:ascii="Arial" w:hAnsi="Arial" w:cs="Arial"/>
          <w:sz w:val="20"/>
        </w:rPr>
        <w:t>2</w:t>
      </w:r>
      <w:r w:rsidR="00785F11" w:rsidRPr="0092230E">
        <w:rPr>
          <w:rFonts w:ascii="Arial" w:hAnsi="Arial" w:cs="Arial"/>
          <w:sz w:val="20"/>
        </w:rPr>
        <w:t xml:space="preserve">1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works in a similar way to section </w:t>
      </w:r>
      <w:r w:rsidR="00C8491F">
        <w:rPr>
          <w:rFonts w:ascii="Arial" w:hAnsi="Arial" w:cs="Arial"/>
          <w:sz w:val="20"/>
        </w:rPr>
        <w:t>20</w:t>
      </w:r>
      <w:r w:rsidR="006B7E05">
        <w:rPr>
          <w:rFonts w:ascii="Arial" w:hAnsi="Arial" w:cs="Arial"/>
          <w:sz w:val="20"/>
        </w:rPr>
        <w:t xml:space="preserve"> of the instrument</w:t>
      </w:r>
      <w:r w:rsidRPr="0092230E">
        <w:rPr>
          <w:rFonts w:ascii="Arial" w:hAnsi="Arial" w:cs="Arial"/>
          <w:sz w:val="20"/>
        </w:rPr>
        <w:t xml:space="preserve">. It allows revenue earned </w:t>
      </w:r>
      <w:r w:rsidR="004A6A13" w:rsidRPr="0092230E">
        <w:rPr>
          <w:rFonts w:ascii="Arial" w:hAnsi="Arial" w:cs="Arial"/>
          <w:sz w:val="20"/>
        </w:rPr>
        <w:t xml:space="preserve">during an eligible revenue period, but </w:t>
      </w:r>
      <w:r w:rsidRPr="0092230E">
        <w:rPr>
          <w:rFonts w:ascii="Arial" w:hAnsi="Arial" w:cs="Arial"/>
          <w:sz w:val="20"/>
        </w:rPr>
        <w:t xml:space="preserve">after </w:t>
      </w:r>
      <w:r w:rsidR="004A6A13" w:rsidRPr="0092230E">
        <w:rPr>
          <w:rFonts w:ascii="Arial" w:hAnsi="Arial" w:cs="Arial"/>
          <w:sz w:val="20"/>
        </w:rPr>
        <w:t xml:space="preserve">a participating </w:t>
      </w:r>
      <w:r w:rsidRPr="0092230E">
        <w:rPr>
          <w:rFonts w:ascii="Arial" w:hAnsi="Arial" w:cs="Arial"/>
          <w:sz w:val="20"/>
        </w:rPr>
        <w:t xml:space="preserve">person ceases to be a carrier, </w:t>
      </w:r>
      <w:r w:rsidR="004A3E33" w:rsidRPr="0092230E">
        <w:rPr>
          <w:rFonts w:ascii="Arial" w:hAnsi="Arial" w:cs="Arial"/>
          <w:sz w:val="20"/>
        </w:rPr>
        <w:t xml:space="preserve">a participating </w:t>
      </w:r>
      <w:r w:rsidRPr="0092230E">
        <w:rPr>
          <w:rFonts w:ascii="Arial" w:hAnsi="Arial" w:cs="Arial"/>
          <w:sz w:val="20"/>
        </w:rPr>
        <w:t>carriage service provider</w:t>
      </w:r>
      <w:r w:rsidR="00807D74">
        <w:rPr>
          <w:rFonts w:ascii="Arial" w:hAnsi="Arial" w:cs="Arial"/>
          <w:sz w:val="20"/>
        </w:rPr>
        <w:t xml:space="preserve"> or a </w:t>
      </w:r>
      <w:r w:rsidR="0071622D">
        <w:rPr>
          <w:rFonts w:ascii="Arial" w:hAnsi="Arial" w:cs="Arial"/>
          <w:sz w:val="20"/>
        </w:rPr>
        <w:t xml:space="preserve">prescribed </w:t>
      </w:r>
      <w:r w:rsidR="00807D74">
        <w:rPr>
          <w:rFonts w:ascii="Arial" w:hAnsi="Arial" w:cs="Arial"/>
          <w:sz w:val="20"/>
        </w:rPr>
        <w:t>participating person</w:t>
      </w:r>
      <w:r w:rsidR="006747D9" w:rsidRPr="0092230E">
        <w:rPr>
          <w:rFonts w:ascii="Arial" w:hAnsi="Arial" w:cs="Arial"/>
          <w:sz w:val="20"/>
        </w:rPr>
        <w:t>,</w:t>
      </w:r>
      <w:r w:rsidRPr="0092230E">
        <w:rPr>
          <w:rFonts w:ascii="Arial" w:hAnsi="Arial" w:cs="Arial"/>
          <w:sz w:val="20"/>
        </w:rPr>
        <w:t xml:space="preserve"> </w:t>
      </w:r>
      <w:r w:rsidR="00FF2800">
        <w:rPr>
          <w:rFonts w:ascii="Arial" w:hAnsi="Arial" w:cs="Arial"/>
          <w:sz w:val="20"/>
        </w:rPr>
        <w:t xml:space="preserve">to be deducted </w:t>
      </w:r>
      <w:r w:rsidR="004A6A13" w:rsidRPr="0092230E">
        <w:rPr>
          <w:rFonts w:ascii="Arial" w:hAnsi="Arial" w:cs="Arial"/>
          <w:sz w:val="20"/>
        </w:rPr>
        <w:t xml:space="preserve">from the participating person’s initial sales revenue determined under section </w:t>
      </w:r>
      <w:r w:rsidR="00785F11" w:rsidRPr="0092230E">
        <w:rPr>
          <w:rFonts w:ascii="Arial" w:hAnsi="Arial" w:cs="Arial"/>
          <w:sz w:val="20"/>
        </w:rPr>
        <w:t>1</w:t>
      </w:r>
      <w:r w:rsidR="00C8491F">
        <w:rPr>
          <w:rFonts w:ascii="Arial" w:hAnsi="Arial" w:cs="Arial"/>
          <w:sz w:val="20"/>
        </w:rPr>
        <w:t>7</w:t>
      </w:r>
      <w:r w:rsidR="006B7E05">
        <w:rPr>
          <w:rFonts w:ascii="Arial" w:hAnsi="Arial" w:cs="Arial"/>
          <w:sz w:val="20"/>
        </w:rPr>
        <w:t xml:space="preserve"> of the instrument</w:t>
      </w:r>
      <w:r w:rsidRPr="0092230E">
        <w:rPr>
          <w:rFonts w:ascii="Arial" w:hAnsi="Arial" w:cs="Arial"/>
          <w:sz w:val="20"/>
        </w:rPr>
        <w:t>.</w:t>
      </w:r>
      <w:r w:rsidR="004A6A13" w:rsidRPr="0092230E">
        <w:rPr>
          <w:rFonts w:ascii="Arial" w:hAnsi="Arial" w:cs="Arial"/>
          <w:sz w:val="20"/>
        </w:rPr>
        <w:t xml:space="preserve"> As with section </w:t>
      </w:r>
      <w:r w:rsidR="00C8491F">
        <w:rPr>
          <w:rFonts w:ascii="Arial" w:hAnsi="Arial" w:cs="Arial"/>
          <w:sz w:val="20"/>
        </w:rPr>
        <w:t>20</w:t>
      </w:r>
      <w:r w:rsidR="006B7E05">
        <w:rPr>
          <w:rFonts w:ascii="Arial" w:hAnsi="Arial" w:cs="Arial"/>
          <w:sz w:val="20"/>
        </w:rPr>
        <w:t xml:space="preserve"> of the instrument</w:t>
      </w:r>
      <w:r w:rsidR="004A6A13" w:rsidRPr="0092230E">
        <w:rPr>
          <w:rFonts w:ascii="Arial" w:hAnsi="Arial" w:cs="Arial"/>
          <w:sz w:val="20"/>
        </w:rPr>
        <w:t xml:space="preserve">, it is intended that an entity may only deduct revenue under section </w:t>
      </w:r>
      <w:r w:rsidR="00C8491F">
        <w:rPr>
          <w:rFonts w:ascii="Arial" w:hAnsi="Arial" w:cs="Arial"/>
          <w:sz w:val="20"/>
        </w:rPr>
        <w:t>2</w:t>
      </w:r>
      <w:r w:rsidR="00785F11" w:rsidRPr="0092230E">
        <w:rPr>
          <w:rFonts w:ascii="Arial" w:hAnsi="Arial" w:cs="Arial"/>
          <w:sz w:val="20"/>
        </w:rPr>
        <w:t>1</w:t>
      </w:r>
      <w:r w:rsidR="006747D9"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004A6A13" w:rsidRPr="0092230E">
        <w:rPr>
          <w:rFonts w:ascii="Arial" w:hAnsi="Arial" w:cs="Arial"/>
          <w:sz w:val="20"/>
        </w:rPr>
        <w:t xml:space="preserve">if that revenue was included in the initial sales revenue identified under section </w:t>
      </w:r>
      <w:r w:rsidR="00785F11" w:rsidRPr="0092230E">
        <w:rPr>
          <w:rFonts w:ascii="Arial" w:hAnsi="Arial" w:cs="Arial"/>
          <w:sz w:val="20"/>
        </w:rPr>
        <w:t>1</w:t>
      </w:r>
      <w:r w:rsidR="00C8491F">
        <w:rPr>
          <w:rFonts w:ascii="Arial" w:hAnsi="Arial" w:cs="Arial"/>
          <w:sz w:val="20"/>
        </w:rPr>
        <w:t>7</w:t>
      </w:r>
      <w:r w:rsidR="006B7E05">
        <w:rPr>
          <w:rFonts w:ascii="Arial" w:hAnsi="Arial" w:cs="Arial"/>
          <w:sz w:val="20"/>
        </w:rPr>
        <w:t xml:space="preserve"> of the instrument</w:t>
      </w:r>
      <w:r w:rsidR="004A6A13" w:rsidRPr="0092230E">
        <w:rPr>
          <w:rFonts w:ascii="Arial" w:hAnsi="Arial" w:cs="Arial"/>
          <w:sz w:val="20"/>
        </w:rPr>
        <w:t>.</w:t>
      </w:r>
    </w:p>
    <w:p w14:paraId="56C89FA3" w14:textId="0959F67E" w:rsidR="007573B6" w:rsidRPr="0092230E" w:rsidRDefault="004A6A13" w:rsidP="007573B6">
      <w:pPr>
        <w:pStyle w:val="ABABulletLevel1"/>
        <w:spacing w:after="120"/>
        <w:rPr>
          <w:rFonts w:ascii="Arial" w:hAnsi="Arial" w:cs="Arial"/>
          <w:sz w:val="20"/>
        </w:rPr>
      </w:pPr>
      <w:r w:rsidRPr="0092230E">
        <w:rPr>
          <w:rFonts w:ascii="Arial" w:hAnsi="Arial" w:cs="Arial"/>
          <w:sz w:val="20"/>
        </w:rPr>
        <w:t xml:space="preserve">Similarly to subsection </w:t>
      </w:r>
      <w:r w:rsidR="00C8491F">
        <w:rPr>
          <w:rFonts w:ascii="Arial" w:hAnsi="Arial" w:cs="Arial"/>
          <w:sz w:val="20"/>
        </w:rPr>
        <w:t>20</w:t>
      </w:r>
      <w:r w:rsidRPr="0092230E">
        <w:rPr>
          <w:rFonts w:ascii="Arial" w:hAnsi="Arial" w:cs="Arial"/>
          <w:sz w:val="20"/>
        </w:rPr>
        <w:t>(3)</w:t>
      </w:r>
      <w:r w:rsidR="006B7E05">
        <w:rPr>
          <w:rFonts w:ascii="Arial" w:hAnsi="Arial" w:cs="Arial"/>
          <w:sz w:val="20"/>
        </w:rPr>
        <w:t xml:space="preserve"> of the instrument</w:t>
      </w:r>
      <w:r w:rsidRPr="0092230E">
        <w:rPr>
          <w:rFonts w:ascii="Arial" w:hAnsi="Arial" w:cs="Arial"/>
          <w:sz w:val="20"/>
        </w:rPr>
        <w:t xml:space="preserve">, subsection </w:t>
      </w:r>
      <w:r w:rsidR="00C8491F">
        <w:rPr>
          <w:rFonts w:ascii="Arial" w:hAnsi="Arial" w:cs="Arial"/>
          <w:sz w:val="20"/>
        </w:rPr>
        <w:t>2</w:t>
      </w:r>
      <w:r w:rsidR="00785F11" w:rsidRPr="0092230E">
        <w:rPr>
          <w:rFonts w:ascii="Arial" w:hAnsi="Arial" w:cs="Arial"/>
          <w:sz w:val="20"/>
        </w:rPr>
        <w:t>1</w:t>
      </w:r>
      <w:r w:rsidRPr="0092230E">
        <w:rPr>
          <w:rFonts w:ascii="Arial" w:hAnsi="Arial" w:cs="Arial"/>
          <w:sz w:val="20"/>
        </w:rPr>
        <w:t xml:space="preserve">(3)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sets out the circumstances in which a participating person cannot deduct revenue earned after ceas</w:t>
      </w:r>
      <w:r w:rsidR="006D5C6D" w:rsidRPr="0092230E">
        <w:rPr>
          <w:rFonts w:ascii="Arial" w:hAnsi="Arial" w:cs="Arial"/>
          <w:sz w:val="20"/>
        </w:rPr>
        <w:t>ing</w:t>
      </w:r>
      <w:r w:rsidRPr="0092230E">
        <w:rPr>
          <w:rFonts w:ascii="Arial" w:hAnsi="Arial" w:cs="Arial"/>
          <w:sz w:val="20"/>
        </w:rPr>
        <w:t xml:space="preserve"> to be a carrier</w:t>
      </w:r>
      <w:r w:rsidR="00807D74">
        <w:rPr>
          <w:rFonts w:ascii="Arial" w:hAnsi="Arial" w:cs="Arial"/>
          <w:sz w:val="20"/>
        </w:rPr>
        <w:t>,</w:t>
      </w:r>
      <w:r w:rsidRPr="0092230E">
        <w:rPr>
          <w:rFonts w:ascii="Arial" w:hAnsi="Arial" w:cs="Arial"/>
          <w:sz w:val="20"/>
        </w:rPr>
        <w:t xml:space="preserve"> a </w:t>
      </w:r>
      <w:r w:rsidR="00686AD0" w:rsidRPr="0092230E">
        <w:rPr>
          <w:rFonts w:ascii="Arial" w:hAnsi="Arial" w:cs="Arial"/>
          <w:sz w:val="20"/>
        </w:rPr>
        <w:t xml:space="preserve">participating </w:t>
      </w:r>
      <w:r w:rsidRPr="0092230E">
        <w:rPr>
          <w:rFonts w:ascii="Arial" w:hAnsi="Arial" w:cs="Arial"/>
          <w:sz w:val="20"/>
        </w:rPr>
        <w:t>carriage service provider</w:t>
      </w:r>
      <w:r w:rsidR="00807D74">
        <w:rPr>
          <w:rFonts w:ascii="Arial" w:hAnsi="Arial" w:cs="Arial"/>
          <w:sz w:val="20"/>
        </w:rPr>
        <w:t xml:space="preserve"> or a </w:t>
      </w:r>
      <w:r w:rsidR="0071622D">
        <w:rPr>
          <w:rFonts w:ascii="Arial" w:hAnsi="Arial" w:cs="Arial"/>
          <w:sz w:val="20"/>
        </w:rPr>
        <w:t xml:space="preserve">prescribed </w:t>
      </w:r>
      <w:r w:rsidR="00807D74">
        <w:rPr>
          <w:rFonts w:ascii="Arial" w:hAnsi="Arial" w:cs="Arial"/>
          <w:sz w:val="20"/>
        </w:rPr>
        <w:t>participating person</w:t>
      </w:r>
      <w:r w:rsidRPr="0092230E">
        <w:rPr>
          <w:rFonts w:ascii="Arial" w:hAnsi="Arial" w:cs="Arial"/>
          <w:sz w:val="20"/>
        </w:rPr>
        <w:t>.</w:t>
      </w:r>
      <w:r w:rsidR="002E21E5">
        <w:rPr>
          <w:rFonts w:ascii="Arial" w:hAnsi="Arial" w:cs="Arial"/>
          <w:sz w:val="20"/>
        </w:rPr>
        <w:t xml:space="preserve">  </w:t>
      </w:r>
    </w:p>
    <w:p w14:paraId="69A11A29" w14:textId="77777777" w:rsidR="00067542" w:rsidRPr="0092230E" w:rsidRDefault="00067542" w:rsidP="007573B6">
      <w:pPr>
        <w:pStyle w:val="ABABulletLevel1"/>
        <w:spacing w:after="120"/>
        <w:rPr>
          <w:rFonts w:ascii="Arial" w:hAnsi="Arial" w:cs="Arial"/>
          <w:b/>
          <w:sz w:val="20"/>
        </w:rPr>
      </w:pPr>
    </w:p>
    <w:p w14:paraId="647590F3" w14:textId="1E613400" w:rsidR="007573B6" w:rsidRPr="0092230E" w:rsidRDefault="007573B6" w:rsidP="007573B6">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907988">
        <w:rPr>
          <w:rFonts w:ascii="Arial" w:hAnsi="Arial" w:cs="Arial"/>
          <w:b/>
          <w:sz w:val="20"/>
        </w:rPr>
        <w:t>2</w:t>
      </w:r>
      <w:r w:rsidR="00067542" w:rsidRPr="0092230E">
        <w:rPr>
          <w:rFonts w:ascii="Arial" w:hAnsi="Arial" w:cs="Arial"/>
          <w:b/>
          <w:sz w:val="20"/>
        </w:rPr>
        <w:t xml:space="preserve"> </w:t>
      </w:r>
      <w:r w:rsidRPr="0092230E">
        <w:rPr>
          <w:rFonts w:ascii="Arial" w:hAnsi="Arial" w:cs="Arial"/>
          <w:b/>
          <w:sz w:val="20"/>
        </w:rPr>
        <w:t>– Declarations about revenue</w:t>
      </w:r>
    </w:p>
    <w:p w14:paraId="0D46B65D" w14:textId="0236DF9E" w:rsidR="009208BE" w:rsidRPr="0092230E" w:rsidRDefault="007573B6" w:rsidP="00420BD5">
      <w:pPr>
        <w:pStyle w:val="ABABulletLevel1"/>
        <w:spacing w:after="120"/>
        <w:rPr>
          <w:rFonts w:ascii="Arial" w:hAnsi="Arial" w:cs="Arial"/>
          <w:sz w:val="20"/>
        </w:rPr>
      </w:pPr>
      <w:r w:rsidRPr="0092230E">
        <w:rPr>
          <w:rFonts w:ascii="Arial" w:hAnsi="Arial" w:cs="Arial"/>
          <w:sz w:val="20"/>
        </w:rPr>
        <w:t xml:space="preserve">Section </w:t>
      </w:r>
      <w:r w:rsidR="00420BD5" w:rsidRPr="0092230E">
        <w:rPr>
          <w:rFonts w:ascii="Arial" w:hAnsi="Arial" w:cs="Arial"/>
          <w:sz w:val="20"/>
        </w:rPr>
        <w:t>2</w:t>
      </w:r>
      <w:r w:rsidR="00907988">
        <w:rPr>
          <w:rFonts w:ascii="Arial" w:hAnsi="Arial" w:cs="Arial"/>
          <w:sz w:val="20"/>
        </w:rPr>
        <w:t>2</w:t>
      </w:r>
      <w:r w:rsidR="00420BD5"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00EB5EE6" w:rsidRPr="0092230E">
        <w:rPr>
          <w:rFonts w:ascii="Arial" w:hAnsi="Arial" w:cs="Arial"/>
          <w:sz w:val="20"/>
        </w:rPr>
        <w:t xml:space="preserve">allows the ACMA to make declarations that </w:t>
      </w:r>
      <w:r w:rsidR="00846C8B" w:rsidRPr="0092230E">
        <w:rPr>
          <w:rFonts w:ascii="Arial" w:hAnsi="Arial" w:cs="Arial"/>
          <w:sz w:val="20"/>
        </w:rPr>
        <w:t xml:space="preserve">specified amounts </w:t>
      </w:r>
      <w:r w:rsidR="004A6A13" w:rsidRPr="0092230E">
        <w:rPr>
          <w:rFonts w:ascii="Arial" w:hAnsi="Arial" w:cs="Arial"/>
          <w:sz w:val="20"/>
        </w:rPr>
        <w:t>or</w:t>
      </w:r>
      <w:r w:rsidR="00EB5EE6" w:rsidRPr="0092230E">
        <w:rPr>
          <w:rFonts w:ascii="Arial" w:hAnsi="Arial" w:cs="Arial"/>
          <w:sz w:val="20"/>
        </w:rPr>
        <w:t xml:space="preserve"> values of </w:t>
      </w:r>
      <w:r w:rsidR="00395B20">
        <w:rPr>
          <w:rFonts w:ascii="Arial" w:hAnsi="Arial" w:cs="Arial"/>
          <w:sz w:val="20"/>
        </w:rPr>
        <w:t xml:space="preserve">a </w:t>
      </w:r>
      <w:r w:rsidR="00EB5EE6" w:rsidRPr="0092230E">
        <w:rPr>
          <w:rFonts w:ascii="Arial" w:hAnsi="Arial" w:cs="Arial"/>
          <w:sz w:val="20"/>
        </w:rPr>
        <w:t xml:space="preserve">specified benefit or service, are </w:t>
      </w:r>
      <w:r w:rsidR="00824F5F" w:rsidRPr="0092230E">
        <w:rPr>
          <w:rFonts w:ascii="Arial" w:hAnsi="Arial" w:cs="Arial"/>
          <w:sz w:val="20"/>
        </w:rPr>
        <w:t>part of</w:t>
      </w:r>
      <w:r w:rsidR="00EB5EE6" w:rsidRPr="0092230E">
        <w:rPr>
          <w:rFonts w:ascii="Arial" w:hAnsi="Arial" w:cs="Arial"/>
          <w:sz w:val="20"/>
        </w:rPr>
        <w:t xml:space="preserve"> a participating person’s gross telecommunications sales revenue for an eligible revenue period.</w:t>
      </w:r>
      <w:r w:rsidR="002E21E5">
        <w:rPr>
          <w:rFonts w:ascii="Arial" w:hAnsi="Arial" w:cs="Arial"/>
          <w:sz w:val="20"/>
        </w:rPr>
        <w:t xml:space="preserve">  </w:t>
      </w:r>
    </w:p>
    <w:p w14:paraId="6CCEB977" w14:textId="5748964C" w:rsidR="00A25946" w:rsidRPr="0092230E" w:rsidRDefault="00A25946" w:rsidP="00A25946">
      <w:pPr>
        <w:pStyle w:val="notetext"/>
        <w:spacing w:before="120" w:line="240" w:lineRule="auto"/>
        <w:ind w:left="0" w:firstLine="0"/>
        <w:rPr>
          <w:rFonts w:ascii="Arial" w:hAnsi="Arial" w:cs="Arial"/>
          <w:sz w:val="20"/>
        </w:rPr>
      </w:pPr>
      <w:r w:rsidRPr="0092230E">
        <w:rPr>
          <w:rFonts w:ascii="Arial" w:hAnsi="Arial" w:cs="Arial"/>
          <w:sz w:val="20"/>
        </w:rPr>
        <w:t>A benefit or service includes:</w:t>
      </w:r>
    </w:p>
    <w:p w14:paraId="51AE0676" w14:textId="16FD8233" w:rsidR="00A25946" w:rsidRPr="0092230E" w:rsidRDefault="00A25946" w:rsidP="00A25946">
      <w:pPr>
        <w:pStyle w:val="notepara"/>
        <w:spacing w:line="240" w:lineRule="auto"/>
        <w:ind w:left="369"/>
        <w:rPr>
          <w:rFonts w:ascii="Arial" w:hAnsi="Arial" w:cs="Arial"/>
          <w:sz w:val="20"/>
        </w:rPr>
      </w:pPr>
      <w:r w:rsidRPr="0092230E">
        <w:rPr>
          <w:rFonts w:ascii="Arial" w:hAnsi="Arial" w:cs="Arial"/>
          <w:sz w:val="20"/>
        </w:rPr>
        <w:t>(a)</w:t>
      </w:r>
      <w:r w:rsidRPr="0092230E">
        <w:rPr>
          <w:rFonts w:ascii="Arial" w:hAnsi="Arial" w:cs="Arial"/>
          <w:sz w:val="20"/>
        </w:rPr>
        <w:tab/>
        <w:t>a benefit or service received by a participating person (for example, a payment in kind); and</w:t>
      </w:r>
    </w:p>
    <w:p w14:paraId="1C3ABD01" w14:textId="2B915602" w:rsidR="00A25946" w:rsidRPr="0092230E" w:rsidRDefault="00A25946" w:rsidP="00A25946">
      <w:pPr>
        <w:pStyle w:val="notepara"/>
        <w:spacing w:line="240" w:lineRule="auto"/>
        <w:ind w:left="369"/>
        <w:rPr>
          <w:rFonts w:ascii="Arial" w:hAnsi="Arial" w:cs="Arial"/>
          <w:sz w:val="20"/>
        </w:rPr>
      </w:pPr>
      <w:r w:rsidRPr="0092230E">
        <w:rPr>
          <w:rFonts w:ascii="Arial" w:hAnsi="Arial" w:cs="Arial"/>
          <w:sz w:val="20"/>
        </w:rPr>
        <w:t>(b)</w:t>
      </w:r>
      <w:r w:rsidRPr="0092230E">
        <w:rPr>
          <w:rFonts w:ascii="Arial" w:hAnsi="Arial" w:cs="Arial"/>
          <w:sz w:val="20"/>
        </w:rPr>
        <w:tab/>
        <w:t>a benefit or service provided by the participating person without receiving remuneration for the benefit or service at reasonable market rates (for example, a subsidy in kind).</w:t>
      </w:r>
    </w:p>
    <w:p w14:paraId="14718491" w14:textId="010835BC" w:rsidR="00A25946" w:rsidRPr="0092230E" w:rsidRDefault="00EB5EE6" w:rsidP="00A25946">
      <w:pPr>
        <w:pStyle w:val="ABABulletLevel1"/>
        <w:spacing w:before="120" w:after="120"/>
        <w:rPr>
          <w:rFonts w:ascii="Arial" w:hAnsi="Arial" w:cs="Arial"/>
          <w:sz w:val="20"/>
        </w:rPr>
      </w:pPr>
      <w:r w:rsidRPr="0092230E">
        <w:rPr>
          <w:rFonts w:ascii="Arial" w:hAnsi="Arial" w:cs="Arial"/>
          <w:sz w:val="20"/>
        </w:rPr>
        <w:t xml:space="preserve">This will ensure that participating persons include all amounts that the ACMA believes should reasonably be included </w:t>
      </w:r>
      <w:r w:rsidR="00824F5F" w:rsidRPr="0092230E">
        <w:rPr>
          <w:rFonts w:ascii="Arial" w:hAnsi="Arial" w:cs="Arial"/>
          <w:sz w:val="20"/>
        </w:rPr>
        <w:t xml:space="preserve">as part of the participating person’s </w:t>
      </w:r>
      <w:r w:rsidRPr="0092230E">
        <w:rPr>
          <w:rFonts w:ascii="Arial" w:hAnsi="Arial" w:cs="Arial"/>
          <w:sz w:val="20"/>
        </w:rPr>
        <w:t>gross telecommunications sales revenue.</w:t>
      </w:r>
    </w:p>
    <w:p w14:paraId="61F760CD" w14:textId="645085C9" w:rsidR="00824F5F" w:rsidRPr="0092230E" w:rsidRDefault="00824F5F" w:rsidP="00420BD5">
      <w:pPr>
        <w:pStyle w:val="ABABulletLevel1"/>
        <w:spacing w:after="120"/>
        <w:rPr>
          <w:rFonts w:ascii="Arial" w:hAnsi="Arial" w:cs="Arial"/>
          <w:sz w:val="20"/>
        </w:rPr>
      </w:pPr>
      <w:r w:rsidRPr="0092230E">
        <w:rPr>
          <w:rFonts w:ascii="Arial" w:hAnsi="Arial" w:cs="Arial"/>
          <w:sz w:val="20"/>
        </w:rPr>
        <w:t xml:space="preserve">Subsection </w:t>
      </w:r>
      <w:r w:rsidR="00420BD5" w:rsidRPr="0092230E">
        <w:rPr>
          <w:rFonts w:ascii="Arial" w:hAnsi="Arial" w:cs="Arial"/>
          <w:sz w:val="20"/>
        </w:rPr>
        <w:t>2</w:t>
      </w:r>
      <w:r w:rsidR="00FF6569">
        <w:rPr>
          <w:rFonts w:ascii="Arial" w:hAnsi="Arial" w:cs="Arial"/>
          <w:sz w:val="20"/>
        </w:rPr>
        <w:t>2</w:t>
      </w:r>
      <w:r w:rsidRPr="0092230E">
        <w:rPr>
          <w:rFonts w:ascii="Arial" w:hAnsi="Arial" w:cs="Arial"/>
          <w:sz w:val="20"/>
        </w:rPr>
        <w:t>(</w:t>
      </w:r>
      <w:r w:rsidR="00893614">
        <w:rPr>
          <w:rFonts w:ascii="Arial" w:hAnsi="Arial" w:cs="Arial"/>
          <w:sz w:val="20"/>
        </w:rPr>
        <w:t>3</w:t>
      </w:r>
      <w:r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provides that a declaration made under section </w:t>
      </w:r>
      <w:r w:rsidR="00420BD5" w:rsidRPr="0092230E">
        <w:rPr>
          <w:rFonts w:ascii="Arial" w:hAnsi="Arial" w:cs="Arial"/>
          <w:sz w:val="20"/>
        </w:rPr>
        <w:t>2</w:t>
      </w:r>
      <w:r w:rsidR="00FF6569">
        <w:rPr>
          <w:rFonts w:ascii="Arial" w:hAnsi="Arial" w:cs="Arial"/>
          <w:sz w:val="20"/>
        </w:rPr>
        <w:t>2</w:t>
      </w:r>
      <w:r w:rsidR="00420BD5"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may apply to one or more participating persons but not</w:t>
      </w:r>
      <w:r w:rsidR="00E31A85" w:rsidRPr="0092230E">
        <w:rPr>
          <w:rFonts w:ascii="Arial" w:hAnsi="Arial" w:cs="Arial"/>
          <w:sz w:val="20"/>
        </w:rPr>
        <w:t xml:space="preserve"> </w:t>
      </w:r>
      <w:r w:rsidRPr="0092230E">
        <w:rPr>
          <w:rFonts w:ascii="Arial" w:hAnsi="Arial" w:cs="Arial"/>
          <w:sz w:val="20"/>
        </w:rPr>
        <w:t xml:space="preserve">to all participating persons. The ACMA’s power to make declarations is therefore limited to </w:t>
      </w:r>
      <w:r w:rsidR="000F65A0">
        <w:rPr>
          <w:rFonts w:ascii="Arial" w:hAnsi="Arial" w:cs="Arial"/>
          <w:sz w:val="20"/>
        </w:rPr>
        <w:t xml:space="preserve">the </w:t>
      </w:r>
      <w:proofErr w:type="gramStart"/>
      <w:r w:rsidRPr="0092230E">
        <w:rPr>
          <w:rFonts w:ascii="Arial" w:hAnsi="Arial" w:cs="Arial"/>
          <w:sz w:val="20"/>
        </w:rPr>
        <w:t>particular participating</w:t>
      </w:r>
      <w:proofErr w:type="gramEnd"/>
      <w:r w:rsidRPr="0092230E">
        <w:rPr>
          <w:rFonts w:ascii="Arial" w:hAnsi="Arial" w:cs="Arial"/>
          <w:sz w:val="20"/>
        </w:rPr>
        <w:t xml:space="preserve"> person(s) who are specified in the declaration. </w:t>
      </w:r>
    </w:p>
    <w:p w14:paraId="6A49862A" w14:textId="77777777" w:rsidR="00067542" w:rsidRPr="0092230E" w:rsidRDefault="00067542" w:rsidP="004A51AD">
      <w:pPr>
        <w:pStyle w:val="ABABulletLevel1"/>
        <w:spacing w:after="120"/>
        <w:rPr>
          <w:rFonts w:ascii="Arial" w:hAnsi="Arial" w:cs="Arial"/>
          <w:b/>
          <w:sz w:val="20"/>
        </w:rPr>
      </w:pPr>
    </w:p>
    <w:p w14:paraId="21ACF677" w14:textId="5501F81E" w:rsidR="004A51AD" w:rsidRPr="0092230E" w:rsidRDefault="004A51AD" w:rsidP="004A51AD">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907988">
        <w:rPr>
          <w:rFonts w:ascii="Arial" w:hAnsi="Arial" w:cs="Arial"/>
          <w:b/>
          <w:sz w:val="20"/>
        </w:rPr>
        <w:t>3</w:t>
      </w:r>
      <w:r w:rsidR="00067542" w:rsidRPr="0092230E">
        <w:rPr>
          <w:rFonts w:ascii="Arial" w:hAnsi="Arial" w:cs="Arial"/>
          <w:b/>
          <w:sz w:val="20"/>
        </w:rPr>
        <w:t xml:space="preserve"> </w:t>
      </w:r>
      <w:r w:rsidRPr="0092230E">
        <w:rPr>
          <w:rFonts w:ascii="Arial" w:hAnsi="Arial" w:cs="Arial"/>
          <w:b/>
          <w:sz w:val="20"/>
        </w:rPr>
        <w:t>– Gross telecommunications sales revenue</w:t>
      </w:r>
    </w:p>
    <w:p w14:paraId="0377FAB7" w14:textId="4283525D" w:rsidR="004A51AD" w:rsidRPr="0092230E" w:rsidRDefault="004A51AD" w:rsidP="004A51AD">
      <w:pPr>
        <w:pStyle w:val="ABABulletLevel1"/>
        <w:spacing w:after="120"/>
        <w:rPr>
          <w:rFonts w:ascii="Arial" w:hAnsi="Arial" w:cs="Arial"/>
          <w:sz w:val="20"/>
        </w:rPr>
      </w:pPr>
      <w:r w:rsidRPr="0092230E">
        <w:rPr>
          <w:rFonts w:ascii="Arial" w:hAnsi="Arial" w:cs="Arial"/>
          <w:sz w:val="20"/>
        </w:rPr>
        <w:lastRenderedPageBreak/>
        <w:t xml:space="preserve">Section </w:t>
      </w:r>
      <w:r w:rsidR="00824F5F" w:rsidRPr="0092230E">
        <w:rPr>
          <w:rFonts w:ascii="Arial" w:hAnsi="Arial" w:cs="Arial"/>
          <w:sz w:val="20"/>
        </w:rPr>
        <w:t>2</w:t>
      </w:r>
      <w:r w:rsidR="00907988">
        <w:rPr>
          <w:rFonts w:ascii="Arial" w:hAnsi="Arial" w:cs="Arial"/>
          <w:sz w:val="20"/>
        </w:rPr>
        <w:t>3</w:t>
      </w:r>
      <w:r w:rsidR="00824F5F"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provides the </w:t>
      </w:r>
      <w:r w:rsidR="00824F5F" w:rsidRPr="0092230E">
        <w:rPr>
          <w:rFonts w:ascii="Arial" w:hAnsi="Arial" w:cs="Arial"/>
          <w:sz w:val="20"/>
        </w:rPr>
        <w:t xml:space="preserve">methodology </w:t>
      </w:r>
      <w:r w:rsidRPr="0092230E">
        <w:rPr>
          <w:rFonts w:ascii="Arial" w:hAnsi="Arial" w:cs="Arial"/>
          <w:sz w:val="20"/>
        </w:rPr>
        <w:t xml:space="preserve">for determining </w:t>
      </w:r>
      <w:r w:rsidR="00824F5F" w:rsidRPr="0092230E">
        <w:rPr>
          <w:rFonts w:ascii="Arial" w:hAnsi="Arial" w:cs="Arial"/>
          <w:sz w:val="20"/>
        </w:rPr>
        <w:t xml:space="preserve">a participating person’s </w:t>
      </w:r>
      <w:r w:rsidRPr="0092230E">
        <w:rPr>
          <w:rFonts w:ascii="Arial" w:hAnsi="Arial" w:cs="Arial"/>
          <w:sz w:val="20"/>
        </w:rPr>
        <w:t>gross telecommunications sales revenue</w:t>
      </w:r>
      <w:r w:rsidR="00824F5F" w:rsidRPr="0092230E">
        <w:rPr>
          <w:rFonts w:ascii="Arial" w:hAnsi="Arial" w:cs="Arial"/>
          <w:sz w:val="20"/>
        </w:rPr>
        <w:t xml:space="preserve"> for an eligible revenue period</w:t>
      </w:r>
      <w:r w:rsidRPr="0092230E">
        <w:rPr>
          <w:rFonts w:ascii="Arial" w:hAnsi="Arial" w:cs="Arial"/>
          <w:sz w:val="20"/>
        </w:rPr>
        <w:t>.</w:t>
      </w:r>
    </w:p>
    <w:p w14:paraId="2CD9FCE6" w14:textId="77777777" w:rsidR="00824F5F" w:rsidRPr="0092230E" w:rsidRDefault="00824F5F" w:rsidP="004A51AD">
      <w:pPr>
        <w:pStyle w:val="ABABulletLevel1"/>
        <w:spacing w:after="120"/>
        <w:rPr>
          <w:rFonts w:ascii="Arial" w:hAnsi="Arial" w:cs="Arial"/>
          <w:b/>
          <w:sz w:val="20"/>
        </w:rPr>
      </w:pPr>
    </w:p>
    <w:p w14:paraId="41C7C2CB" w14:textId="77777777" w:rsidR="00824F5F" w:rsidRPr="0092230E" w:rsidRDefault="00824F5F" w:rsidP="004A51AD">
      <w:pPr>
        <w:pStyle w:val="ABABulletLevel1"/>
        <w:spacing w:after="120"/>
        <w:rPr>
          <w:rFonts w:ascii="Arial" w:hAnsi="Arial" w:cs="Arial"/>
          <w:b/>
          <w:sz w:val="20"/>
        </w:rPr>
      </w:pPr>
      <w:r w:rsidRPr="0092230E">
        <w:rPr>
          <w:rFonts w:ascii="Arial" w:hAnsi="Arial" w:cs="Arial"/>
          <w:b/>
          <w:sz w:val="20"/>
        </w:rPr>
        <w:t>Part 4 – Net telecommunications sales revenue</w:t>
      </w:r>
    </w:p>
    <w:p w14:paraId="2788CB47" w14:textId="1BAE35EF" w:rsidR="003632AA" w:rsidRPr="0092230E" w:rsidRDefault="003632AA" w:rsidP="003632AA">
      <w:pPr>
        <w:pStyle w:val="ABABulletLevel1"/>
        <w:spacing w:after="120"/>
        <w:rPr>
          <w:rFonts w:ascii="Arial" w:hAnsi="Arial" w:cs="Arial"/>
          <w:sz w:val="20"/>
        </w:rPr>
      </w:pPr>
      <w:r w:rsidRPr="0092230E">
        <w:rPr>
          <w:rFonts w:ascii="Arial" w:hAnsi="Arial" w:cs="Arial"/>
          <w:sz w:val="20"/>
        </w:rPr>
        <w:t>Once a participating person’s gross telecommunications sales revenue for an eligible revenue period is calculated under Part 3</w:t>
      </w:r>
      <w:r w:rsidR="006B7E05">
        <w:rPr>
          <w:rFonts w:ascii="Arial" w:hAnsi="Arial" w:cs="Arial"/>
          <w:sz w:val="20"/>
        </w:rPr>
        <w:t xml:space="preserve"> of the instrument</w:t>
      </w:r>
      <w:r w:rsidRPr="0092230E">
        <w:rPr>
          <w:rFonts w:ascii="Arial" w:hAnsi="Arial" w:cs="Arial"/>
          <w:sz w:val="20"/>
        </w:rPr>
        <w:t xml:space="preserve">, the next step is to work out the participating person’s net telecommunications sales revenue for that period. </w:t>
      </w:r>
      <w:proofErr w:type="gramStart"/>
      <w:r w:rsidRPr="0092230E">
        <w:rPr>
          <w:rFonts w:ascii="Arial" w:hAnsi="Arial" w:cs="Arial"/>
          <w:sz w:val="20"/>
        </w:rPr>
        <w:t>Particular amounts</w:t>
      </w:r>
      <w:proofErr w:type="gramEnd"/>
      <w:r w:rsidRPr="0092230E">
        <w:rPr>
          <w:rFonts w:ascii="Arial" w:hAnsi="Arial" w:cs="Arial"/>
          <w:sz w:val="20"/>
        </w:rPr>
        <w:t xml:space="preserve"> detailed in sections </w:t>
      </w:r>
      <w:r w:rsidR="00341124" w:rsidRPr="0092230E">
        <w:rPr>
          <w:rFonts w:ascii="Arial" w:hAnsi="Arial" w:cs="Arial"/>
          <w:sz w:val="20"/>
        </w:rPr>
        <w:t>2</w:t>
      </w:r>
      <w:r w:rsidR="00907988">
        <w:rPr>
          <w:rFonts w:ascii="Arial" w:hAnsi="Arial" w:cs="Arial"/>
          <w:sz w:val="20"/>
        </w:rPr>
        <w:t>5</w:t>
      </w:r>
      <w:r w:rsidR="00341124" w:rsidRPr="0092230E">
        <w:rPr>
          <w:rFonts w:ascii="Arial" w:hAnsi="Arial" w:cs="Arial"/>
          <w:sz w:val="20"/>
        </w:rPr>
        <w:t xml:space="preserve"> </w:t>
      </w:r>
      <w:r w:rsidRPr="0092230E">
        <w:rPr>
          <w:rFonts w:ascii="Arial" w:hAnsi="Arial" w:cs="Arial"/>
          <w:sz w:val="20"/>
        </w:rPr>
        <w:t xml:space="preserve">to </w:t>
      </w:r>
      <w:r w:rsidR="00341124" w:rsidRPr="0092230E">
        <w:rPr>
          <w:rFonts w:ascii="Arial" w:hAnsi="Arial" w:cs="Arial"/>
          <w:sz w:val="20"/>
        </w:rPr>
        <w:t>3</w:t>
      </w:r>
      <w:r w:rsidR="00907988">
        <w:rPr>
          <w:rFonts w:ascii="Arial" w:hAnsi="Arial" w:cs="Arial"/>
          <w:sz w:val="20"/>
        </w:rPr>
        <w:t>2</w:t>
      </w:r>
      <w:r w:rsidRPr="0092230E">
        <w:rPr>
          <w:rFonts w:ascii="Arial" w:hAnsi="Arial" w:cs="Arial"/>
          <w:sz w:val="20"/>
        </w:rPr>
        <w:t>, and 3</w:t>
      </w:r>
      <w:r w:rsidR="00907988">
        <w:rPr>
          <w:rFonts w:ascii="Arial" w:hAnsi="Arial" w:cs="Arial"/>
          <w:sz w:val="20"/>
        </w:rPr>
        <w:t>5</w:t>
      </w:r>
      <w:r w:rsidR="006B7E05">
        <w:rPr>
          <w:rFonts w:ascii="Arial" w:hAnsi="Arial" w:cs="Arial"/>
          <w:sz w:val="20"/>
        </w:rPr>
        <w:t xml:space="preserve"> of the </w:t>
      </w:r>
      <w:proofErr w:type="gramStart"/>
      <w:r w:rsidR="006B7E05">
        <w:rPr>
          <w:rFonts w:ascii="Arial" w:hAnsi="Arial" w:cs="Arial"/>
          <w:sz w:val="20"/>
        </w:rPr>
        <w:t>instrument</w:t>
      </w:r>
      <w:proofErr w:type="gramEnd"/>
      <w:r w:rsidRPr="0092230E">
        <w:rPr>
          <w:rFonts w:ascii="Arial" w:hAnsi="Arial" w:cs="Arial"/>
          <w:sz w:val="20"/>
        </w:rPr>
        <w:t xml:space="preserve">, may be deducted from gross telecommunications sales revenue, </w:t>
      </w:r>
      <w:proofErr w:type="gramStart"/>
      <w:r w:rsidRPr="0092230E">
        <w:rPr>
          <w:rFonts w:ascii="Arial" w:hAnsi="Arial" w:cs="Arial"/>
          <w:sz w:val="20"/>
        </w:rPr>
        <w:t>in order to</w:t>
      </w:r>
      <w:proofErr w:type="gramEnd"/>
      <w:r w:rsidRPr="0092230E">
        <w:rPr>
          <w:rFonts w:ascii="Arial" w:hAnsi="Arial" w:cs="Arial"/>
          <w:sz w:val="20"/>
        </w:rPr>
        <w:t xml:space="preserve"> determine net telecommunications sales revenue.</w:t>
      </w:r>
    </w:p>
    <w:p w14:paraId="45EB1AFD" w14:textId="77777777" w:rsidR="00067542" w:rsidRPr="0092230E" w:rsidRDefault="00067542" w:rsidP="004A51AD">
      <w:pPr>
        <w:pStyle w:val="ABABulletLevel1"/>
        <w:spacing w:after="120"/>
        <w:rPr>
          <w:rFonts w:ascii="Arial" w:hAnsi="Arial" w:cs="Arial"/>
          <w:b/>
          <w:sz w:val="20"/>
        </w:rPr>
      </w:pPr>
    </w:p>
    <w:p w14:paraId="67773E97" w14:textId="0C8FE301" w:rsidR="00A25946" w:rsidRPr="0092230E" w:rsidRDefault="004A51AD" w:rsidP="00A25946">
      <w:pPr>
        <w:pStyle w:val="ABABulletLevel1"/>
        <w:keepNext/>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907988">
        <w:rPr>
          <w:rFonts w:ascii="Arial" w:hAnsi="Arial" w:cs="Arial"/>
          <w:b/>
          <w:sz w:val="20"/>
        </w:rPr>
        <w:t>4</w:t>
      </w:r>
      <w:r w:rsidR="00067542" w:rsidRPr="0092230E">
        <w:rPr>
          <w:rFonts w:ascii="Arial" w:hAnsi="Arial" w:cs="Arial"/>
          <w:b/>
          <w:sz w:val="20"/>
        </w:rPr>
        <w:t xml:space="preserve"> </w:t>
      </w:r>
      <w:r w:rsidR="002B7C05" w:rsidRPr="0092230E">
        <w:rPr>
          <w:rFonts w:ascii="Arial" w:hAnsi="Arial" w:cs="Arial"/>
          <w:b/>
          <w:sz w:val="20"/>
        </w:rPr>
        <w:t>– Purpose of Part</w:t>
      </w:r>
    </w:p>
    <w:p w14:paraId="64A90929" w14:textId="167018DA" w:rsidR="003203D5" w:rsidRPr="0092230E" w:rsidRDefault="004A51AD" w:rsidP="004A51AD">
      <w:pPr>
        <w:pStyle w:val="ABABulletLevel1"/>
        <w:spacing w:after="120"/>
        <w:rPr>
          <w:rFonts w:ascii="Arial" w:hAnsi="Arial" w:cs="Arial"/>
          <w:sz w:val="20"/>
        </w:rPr>
      </w:pPr>
      <w:r w:rsidRPr="0092230E">
        <w:rPr>
          <w:rFonts w:ascii="Arial" w:hAnsi="Arial" w:cs="Arial"/>
          <w:sz w:val="20"/>
        </w:rPr>
        <w:t xml:space="preserve">Section </w:t>
      </w:r>
      <w:r w:rsidR="003F7EE5" w:rsidRPr="0092230E">
        <w:rPr>
          <w:rFonts w:ascii="Arial" w:hAnsi="Arial" w:cs="Arial"/>
          <w:sz w:val="20"/>
        </w:rPr>
        <w:t>2</w:t>
      </w:r>
      <w:r w:rsidR="00907988">
        <w:rPr>
          <w:rFonts w:ascii="Arial" w:hAnsi="Arial" w:cs="Arial"/>
          <w:sz w:val="20"/>
        </w:rPr>
        <w:t>4</w:t>
      </w:r>
      <w:r w:rsidR="003F7EE5" w:rsidRPr="0092230E">
        <w:rPr>
          <w:rFonts w:ascii="Arial" w:hAnsi="Arial" w:cs="Arial"/>
          <w:sz w:val="20"/>
        </w:rPr>
        <w:t xml:space="preserve"> </w:t>
      </w:r>
      <w:r w:rsidR="003203D5" w:rsidRPr="0092230E">
        <w:rPr>
          <w:rFonts w:ascii="Arial" w:hAnsi="Arial" w:cs="Arial"/>
          <w:sz w:val="20"/>
        </w:rPr>
        <w:t>provides that the purpose of Part 4</w:t>
      </w:r>
      <w:r w:rsidR="006B7E05">
        <w:rPr>
          <w:rFonts w:ascii="Arial" w:hAnsi="Arial" w:cs="Arial"/>
          <w:sz w:val="20"/>
        </w:rPr>
        <w:t xml:space="preserve"> of the instrument</w:t>
      </w:r>
      <w:r w:rsidR="003203D5" w:rsidRPr="0092230E">
        <w:rPr>
          <w:rFonts w:ascii="Arial" w:hAnsi="Arial" w:cs="Arial"/>
          <w:sz w:val="20"/>
        </w:rPr>
        <w:t xml:space="preserve"> is to set out how the net telecommunications sales revenue of a participating person for an eligible revenue period is worked out. </w:t>
      </w:r>
      <w:r w:rsidR="008B311B" w:rsidRPr="0092230E">
        <w:rPr>
          <w:rFonts w:ascii="Arial" w:hAnsi="Arial" w:cs="Arial"/>
          <w:sz w:val="20"/>
        </w:rPr>
        <w:t xml:space="preserve">Part 4 </w:t>
      </w:r>
      <w:r w:rsidR="003203D5" w:rsidRPr="0092230E">
        <w:rPr>
          <w:rFonts w:ascii="Arial" w:hAnsi="Arial" w:cs="Arial"/>
          <w:sz w:val="20"/>
        </w:rPr>
        <w:t xml:space="preserve">outlines </w:t>
      </w:r>
      <w:proofErr w:type="gramStart"/>
      <w:r w:rsidR="003203D5" w:rsidRPr="0092230E">
        <w:rPr>
          <w:rFonts w:ascii="Arial" w:hAnsi="Arial" w:cs="Arial"/>
          <w:sz w:val="20"/>
        </w:rPr>
        <w:t>all of</w:t>
      </w:r>
      <w:proofErr w:type="gramEnd"/>
      <w:r w:rsidR="003203D5" w:rsidRPr="0092230E">
        <w:rPr>
          <w:rFonts w:ascii="Arial" w:hAnsi="Arial" w:cs="Arial"/>
          <w:sz w:val="20"/>
        </w:rPr>
        <w:t xml:space="preserve"> the applicable deductions</w:t>
      </w:r>
      <w:r w:rsidR="008B311B" w:rsidRPr="0092230E">
        <w:rPr>
          <w:rFonts w:ascii="Arial" w:hAnsi="Arial" w:cs="Arial"/>
          <w:sz w:val="20"/>
        </w:rPr>
        <w:t xml:space="preserve"> from gross telecommunications sales revenue</w:t>
      </w:r>
      <w:r w:rsidR="003203D5" w:rsidRPr="0092230E">
        <w:rPr>
          <w:rFonts w:ascii="Arial" w:hAnsi="Arial" w:cs="Arial"/>
          <w:sz w:val="20"/>
        </w:rPr>
        <w:t xml:space="preserve"> that can be made under the </w:t>
      </w:r>
      <w:r w:rsidR="00D224DF">
        <w:rPr>
          <w:rFonts w:ascii="Arial" w:hAnsi="Arial" w:cs="Arial"/>
          <w:sz w:val="20"/>
        </w:rPr>
        <w:t>instrument</w:t>
      </w:r>
      <w:r w:rsidR="00D224DF" w:rsidRPr="0092230E" w:rsidDel="00D224DF">
        <w:rPr>
          <w:rFonts w:ascii="Arial" w:hAnsi="Arial" w:cs="Arial"/>
          <w:sz w:val="20"/>
        </w:rPr>
        <w:t xml:space="preserve"> </w:t>
      </w:r>
      <w:r w:rsidR="008B311B" w:rsidRPr="0092230E">
        <w:rPr>
          <w:rFonts w:ascii="Arial" w:hAnsi="Arial" w:cs="Arial"/>
          <w:sz w:val="20"/>
        </w:rPr>
        <w:t>to calculate a participating person’s net telecommunications sales revenue for that period</w:t>
      </w:r>
      <w:r w:rsidR="003203D5" w:rsidRPr="0092230E">
        <w:rPr>
          <w:rFonts w:ascii="Arial" w:hAnsi="Arial" w:cs="Arial"/>
          <w:sz w:val="20"/>
        </w:rPr>
        <w:t xml:space="preserve">. </w:t>
      </w:r>
    </w:p>
    <w:p w14:paraId="43D14FB9" w14:textId="4E45DC58" w:rsidR="004A51AD" w:rsidRPr="0092230E" w:rsidRDefault="003203D5" w:rsidP="004A51AD">
      <w:pPr>
        <w:pStyle w:val="ABABulletLevel1"/>
        <w:spacing w:after="120"/>
        <w:rPr>
          <w:rFonts w:ascii="Arial" w:hAnsi="Arial" w:cs="Arial"/>
          <w:sz w:val="20"/>
        </w:rPr>
      </w:pPr>
      <w:r w:rsidRPr="0092230E">
        <w:rPr>
          <w:rFonts w:ascii="Arial" w:hAnsi="Arial" w:cs="Arial"/>
          <w:sz w:val="20"/>
        </w:rPr>
        <w:t xml:space="preserve">A participating person is not required to deduct an amount </w:t>
      </w:r>
      <w:r w:rsidR="00456497" w:rsidRPr="0092230E">
        <w:rPr>
          <w:rFonts w:ascii="Arial" w:hAnsi="Arial" w:cs="Arial"/>
          <w:sz w:val="20"/>
        </w:rPr>
        <w:t>under Part 4</w:t>
      </w:r>
      <w:r w:rsidR="006B7E05">
        <w:rPr>
          <w:rFonts w:ascii="Arial" w:hAnsi="Arial" w:cs="Arial"/>
          <w:sz w:val="20"/>
        </w:rPr>
        <w:t xml:space="preserve"> of the instrument</w:t>
      </w:r>
      <w:r w:rsidR="00456497" w:rsidRPr="0092230E">
        <w:rPr>
          <w:rFonts w:ascii="Arial" w:hAnsi="Arial" w:cs="Arial"/>
          <w:sz w:val="20"/>
        </w:rPr>
        <w:t xml:space="preserve"> </w:t>
      </w:r>
      <w:r w:rsidRPr="0092230E">
        <w:rPr>
          <w:rFonts w:ascii="Arial" w:hAnsi="Arial" w:cs="Arial"/>
          <w:sz w:val="20"/>
        </w:rPr>
        <w:t xml:space="preserve">from its gross telecommunications </w:t>
      </w:r>
      <w:proofErr w:type="gramStart"/>
      <w:r w:rsidRPr="0092230E">
        <w:rPr>
          <w:rFonts w:ascii="Arial" w:hAnsi="Arial" w:cs="Arial"/>
          <w:sz w:val="20"/>
        </w:rPr>
        <w:t>sales</w:t>
      </w:r>
      <w:proofErr w:type="gramEnd"/>
      <w:r w:rsidRPr="0092230E">
        <w:rPr>
          <w:rFonts w:ascii="Arial" w:hAnsi="Arial" w:cs="Arial"/>
          <w:sz w:val="20"/>
        </w:rPr>
        <w:t xml:space="preserve"> revenue. </w:t>
      </w:r>
    </w:p>
    <w:p w14:paraId="4FEC4047" w14:textId="5D46B11E" w:rsidR="00362DE0" w:rsidRPr="0092230E" w:rsidRDefault="001E2E62" w:rsidP="00795DAE">
      <w:pPr>
        <w:pStyle w:val="ABABulletLevel1"/>
        <w:spacing w:after="120"/>
        <w:rPr>
          <w:rFonts w:ascii="Arial" w:hAnsi="Arial" w:cs="Arial"/>
          <w:sz w:val="20"/>
        </w:rPr>
      </w:pPr>
      <w:r>
        <w:rPr>
          <w:rFonts w:ascii="Arial" w:hAnsi="Arial" w:cs="Arial"/>
          <w:sz w:val="20"/>
        </w:rPr>
        <w:t>I</w:t>
      </w:r>
      <w:r w:rsidR="004A3E33" w:rsidRPr="0092230E">
        <w:rPr>
          <w:rFonts w:ascii="Arial" w:hAnsi="Arial" w:cs="Arial"/>
          <w:sz w:val="20"/>
        </w:rPr>
        <w:t>t is intended that an entity may only deduct revenue under sections 2</w:t>
      </w:r>
      <w:r w:rsidR="00907988">
        <w:rPr>
          <w:rFonts w:ascii="Arial" w:hAnsi="Arial" w:cs="Arial"/>
          <w:sz w:val="20"/>
        </w:rPr>
        <w:t>5</w:t>
      </w:r>
      <w:r w:rsidR="004A3E33" w:rsidRPr="0092230E">
        <w:rPr>
          <w:rFonts w:ascii="Arial" w:hAnsi="Arial" w:cs="Arial"/>
          <w:sz w:val="20"/>
        </w:rPr>
        <w:t xml:space="preserve"> to </w:t>
      </w:r>
      <w:r w:rsidR="00701DAD">
        <w:rPr>
          <w:rFonts w:ascii="Arial" w:hAnsi="Arial" w:cs="Arial"/>
          <w:sz w:val="20"/>
        </w:rPr>
        <w:t>30</w:t>
      </w:r>
      <w:r w:rsidR="006B7E05">
        <w:rPr>
          <w:rFonts w:ascii="Arial" w:hAnsi="Arial" w:cs="Arial"/>
          <w:sz w:val="20"/>
        </w:rPr>
        <w:t xml:space="preserve"> of the instrument</w:t>
      </w:r>
      <w:r w:rsidR="004A3E33" w:rsidRPr="0092230E">
        <w:rPr>
          <w:rFonts w:ascii="Arial" w:hAnsi="Arial" w:cs="Arial"/>
          <w:sz w:val="20"/>
        </w:rPr>
        <w:t xml:space="preserve"> if that revenue was included in the entity’s initial sales revenue identified under section 1</w:t>
      </w:r>
      <w:r w:rsidR="00F268B7">
        <w:rPr>
          <w:rFonts w:ascii="Arial" w:hAnsi="Arial" w:cs="Arial"/>
          <w:sz w:val="20"/>
        </w:rPr>
        <w:t>7</w:t>
      </w:r>
      <w:r w:rsidR="006B7E05">
        <w:rPr>
          <w:rFonts w:ascii="Arial" w:hAnsi="Arial" w:cs="Arial"/>
          <w:sz w:val="20"/>
        </w:rPr>
        <w:t xml:space="preserve"> of the instrument</w:t>
      </w:r>
      <w:r w:rsidR="004A3E33" w:rsidRPr="0092230E">
        <w:rPr>
          <w:rFonts w:ascii="Arial" w:hAnsi="Arial" w:cs="Arial"/>
          <w:sz w:val="20"/>
        </w:rPr>
        <w:t xml:space="preserve">. </w:t>
      </w:r>
    </w:p>
    <w:p w14:paraId="3CA33FF0" w14:textId="77777777" w:rsidR="00F25BCE" w:rsidRPr="0092230E" w:rsidRDefault="00F25BCE" w:rsidP="00795DAE">
      <w:pPr>
        <w:pStyle w:val="ABABulletLevel1"/>
        <w:spacing w:after="120"/>
        <w:rPr>
          <w:rFonts w:ascii="Arial" w:hAnsi="Arial" w:cs="Arial"/>
          <w:sz w:val="20"/>
        </w:rPr>
      </w:pPr>
    </w:p>
    <w:p w14:paraId="356AB5FE" w14:textId="5831A409" w:rsidR="00795DAE" w:rsidRPr="0092230E" w:rsidRDefault="00795DAE" w:rsidP="00A7577C">
      <w:pPr>
        <w:pStyle w:val="ABABulletLevel1"/>
        <w:keepNext/>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907988">
        <w:rPr>
          <w:rFonts w:ascii="Arial" w:hAnsi="Arial" w:cs="Arial"/>
          <w:b/>
          <w:sz w:val="20"/>
        </w:rPr>
        <w:t>5</w:t>
      </w:r>
      <w:r w:rsidR="00067542" w:rsidRPr="0092230E">
        <w:rPr>
          <w:rFonts w:ascii="Arial" w:hAnsi="Arial" w:cs="Arial"/>
          <w:b/>
          <w:sz w:val="20"/>
        </w:rPr>
        <w:t xml:space="preserve"> </w:t>
      </w:r>
      <w:r w:rsidRPr="0092230E">
        <w:rPr>
          <w:rFonts w:ascii="Arial" w:hAnsi="Arial" w:cs="Arial"/>
          <w:b/>
          <w:sz w:val="20"/>
        </w:rPr>
        <w:t>– Deduction</w:t>
      </w:r>
      <w:r w:rsidR="004A51AD" w:rsidRPr="0092230E">
        <w:rPr>
          <w:rFonts w:ascii="Arial" w:hAnsi="Arial" w:cs="Arial"/>
          <w:b/>
          <w:sz w:val="20"/>
        </w:rPr>
        <w:t>s -</w:t>
      </w:r>
      <w:r w:rsidRPr="0092230E">
        <w:rPr>
          <w:rFonts w:ascii="Arial" w:hAnsi="Arial" w:cs="Arial"/>
          <w:b/>
          <w:sz w:val="20"/>
        </w:rPr>
        <w:t xml:space="preserve"> </w:t>
      </w:r>
      <w:r w:rsidR="004A51AD" w:rsidRPr="0092230E">
        <w:rPr>
          <w:rFonts w:ascii="Arial" w:hAnsi="Arial" w:cs="Arial"/>
          <w:b/>
          <w:sz w:val="20"/>
        </w:rPr>
        <w:t>o</w:t>
      </w:r>
      <w:r w:rsidRPr="0092230E">
        <w:rPr>
          <w:rFonts w:ascii="Arial" w:hAnsi="Arial" w:cs="Arial"/>
          <w:b/>
          <w:sz w:val="20"/>
        </w:rPr>
        <w:t>verseas activities</w:t>
      </w:r>
    </w:p>
    <w:p w14:paraId="59D48EB7" w14:textId="4C38AD90" w:rsidR="005B3246" w:rsidRPr="0092230E" w:rsidRDefault="00795DAE" w:rsidP="00795DAE">
      <w:pPr>
        <w:pStyle w:val="ABABulletLevel1"/>
        <w:spacing w:after="120"/>
        <w:rPr>
          <w:rFonts w:ascii="Arial" w:hAnsi="Arial" w:cs="Arial"/>
          <w:sz w:val="20"/>
        </w:rPr>
      </w:pPr>
      <w:r w:rsidRPr="0092230E">
        <w:rPr>
          <w:rFonts w:ascii="Arial" w:hAnsi="Arial" w:cs="Arial"/>
          <w:sz w:val="20"/>
        </w:rPr>
        <w:t xml:space="preserve">Section </w:t>
      </w:r>
      <w:r w:rsidR="003F7EE5" w:rsidRPr="0092230E">
        <w:rPr>
          <w:rFonts w:ascii="Arial" w:hAnsi="Arial" w:cs="Arial"/>
          <w:sz w:val="20"/>
        </w:rPr>
        <w:t>2</w:t>
      </w:r>
      <w:r w:rsidR="00907988">
        <w:rPr>
          <w:rFonts w:ascii="Arial" w:hAnsi="Arial" w:cs="Arial"/>
          <w:sz w:val="20"/>
        </w:rPr>
        <w:t>5</w:t>
      </w:r>
      <w:r w:rsidR="003F7EE5"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00700588" w:rsidRPr="0092230E">
        <w:rPr>
          <w:rFonts w:ascii="Arial" w:hAnsi="Arial" w:cs="Arial"/>
          <w:sz w:val="20"/>
        </w:rPr>
        <w:t xml:space="preserve">allows deduction of </w:t>
      </w:r>
      <w:r w:rsidR="00456497" w:rsidRPr="0092230E">
        <w:rPr>
          <w:rFonts w:ascii="Arial" w:hAnsi="Arial" w:cs="Arial"/>
          <w:sz w:val="20"/>
        </w:rPr>
        <w:t xml:space="preserve">telecommunications sales </w:t>
      </w:r>
      <w:r w:rsidR="00700588" w:rsidRPr="0092230E">
        <w:rPr>
          <w:rFonts w:ascii="Arial" w:hAnsi="Arial" w:cs="Arial"/>
          <w:sz w:val="20"/>
        </w:rPr>
        <w:t>revenue</w:t>
      </w:r>
      <w:r w:rsidRPr="0092230E">
        <w:rPr>
          <w:rFonts w:ascii="Arial" w:hAnsi="Arial" w:cs="Arial"/>
          <w:sz w:val="20"/>
        </w:rPr>
        <w:t xml:space="preserve"> </w:t>
      </w:r>
      <w:r w:rsidR="00456497" w:rsidRPr="0092230E">
        <w:rPr>
          <w:rFonts w:ascii="Arial" w:hAnsi="Arial" w:cs="Arial"/>
          <w:sz w:val="20"/>
        </w:rPr>
        <w:t>that was</w:t>
      </w:r>
      <w:r w:rsidR="004A51AD" w:rsidRPr="0092230E">
        <w:rPr>
          <w:rFonts w:ascii="Arial" w:hAnsi="Arial" w:cs="Arial"/>
          <w:sz w:val="20"/>
        </w:rPr>
        <w:t xml:space="preserve"> earned </w:t>
      </w:r>
      <w:r w:rsidR="00456497" w:rsidRPr="0092230E">
        <w:rPr>
          <w:rFonts w:ascii="Arial" w:hAnsi="Arial" w:cs="Arial"/>
          <w:sz w:val="20"/>
        </w:rPr>
        <w:t xml:space="preserve">by a participating person or a consolidated related party </w:t>
      </w:r>
      <w:r w:rsidR="005C48E5">
        <w:rPr>
          <w:rFonts w:ascii="Arial" w:hAnsi="Arial" w:cs="Arial"/>
          <w:sz w:val="20"/>
        </w:rPr>
        <w:t xml:space="preserve">of </w:t>
      </w:r>
      <w:proofErr w:type="gramStart"/>
      <w:r w:rsidR="0055042A">
        <w:rPr>
          <w:rFonts w:ascii="Arial" w:hAnsi="Arial" w:cs="Arial"/>
          <w:sz w:val="20"/>
        </w:rPr>
        <w:t xml:space="preserve">the </w:t>
      </w:r>
      <w:r w:rsidR="00456497" w:rsidRPr="0092230E">
        <w:rPr>
          <w:rFonts w:ascii="Arial" w:hAnsi="Arial" w:cs="Arial"/>
          <w:sz w:val="20"/>
        </w:rPr>
        <w:t xml:space="preserve"> participating</w:t>
      </w:r>
      <w:proofErr w:type="gramEnd"/>
      <w:r w:rsidR="00456497" w:rsidRPr="0092230E">
        <w:rPr>
          <w:rFonts w:ascii="Arial" w:hAnsi="Arial" w:cs="Arial"/>
          <w:sz w:val="20"/>
        </w:rPr>
        <w:t xml:space="preserve"> person, and the deduction of a proportion of telecommunications sales revenue earned by </w:t>
      </w:r>
      <w:r w:rsidR="00FF3D3B">
        <w:rPr>
          <w:rFonts w:ascii="Arial" w:hAnsi="Arial" w:cs="Arial"/>
          <w:sz w:val="20"/>
        </w:rPr>
        <w:t xml:space="preserve">a </w:t>
      </w:r>
      <w:r w:rsidR="00456497" w:rsidRPr="0092230E">
        <w:rPr>
          <w:rFonts w:ascii="Arial" w:hAnsi="Arial" w:cs="Arial"/>
          <w:sz w:val="20"/>
        </w:rPr>
        <w:t>declared related part</w:t>
      </w:r>
      <w:r w:rsidR="00FF3D3B">
        <w:rPr>
          <w:rFonts w:ascii="Arial" w:hAnsi="Arial" w:cs="Arial"/>
          <w:sz w:val="20"/>
        </w:rPr>
        <w:t>y of the participating person</w:t>
      </w:r>
      <w:r w:rsidR="00456497" w:rsidRPr="0092230E">
        <w:rPr>
          <w:rFonts w:ascii="Arial" w:hAnsi="Arial" w:cs="Arial"/>
          <w:sz w:val="20"/>
        </w:rPr>
        <w:t xml:space="preserve">, if the revenue was earned </w:t>
      </w:r>
      <w:r w:rsidR="004A51AD" w:rsidRPr="0092230E">
        <w:rPr>
          <w:rFonts w:ascii="Arial" w:hAnsi="Arial" w:cs="Arial"/>
          <w:sz w:val="20"/>
        </w:rPr>
        <w:t>from overseas activities</w:t>
      </w:r>
      <w:r w:rsidRPr="0092230E">
        <w:rPr>
          <w:rFonts w:ascii="Arial" w:hAnsi="Arial" w:cs="Arial"/>
          <w:sz w:val="20"/>
        </w:rPr>
        <w:t>.</w:t>
      </w:r>
      <w:r w:rsidR="008F29F3" w:rsidRPr="0092230E">
        <w:rPr>
          <w:rFonts w:ascii="Arial" w:hAnsi="Arial" w:cs="Arial"/>
          <w:sz w:val="20"/>
        </w:rPr>
        <w:t xml:space="preserve"> Subsection </w:t>
      </w:r>
      <w:r w:rsidR="003F7EE5" w:rsidRPr="0092230E">
        <w:rPr>
          <w:rFonts w:ascii="Arial" w:hAnsi="Arial" w:cs="Arial"/>
          <w:sz w:val="20"/>
        </w:rPr>
        <w:t>2</w:t>
      </w:r>
      <w:r w:rsidR="00701DAD">
        <w:rPr>
          <w:rFonts w:ascii="Arial" w:hAnsi="Arial" w:cs="Arial"/>
          <w:sz w:val="20"/>
        </w:rPr>
        <w:t>5</w:t>
      </w:r>
      <w:r w:rsidR="008F29F3" w:rsidRPr="0092230E">
        <w:rPr>
          <w:rFonts w:ascii="Arial" w:hAnsi="Arial" w:cs="Arial"/>
          <w:sz w:val="20"/>
        </w:rPr>
        <w:t xml:space="preserve">(4) </w:t>
      </w:r>
      <w:r w:rsidR="006B7E05">
        <w:rPr>
          <w:rFonts w:ascii="Arial" w:hAnsi="Arial" w:cs="Arial"/>
          <w:sz w:val="20"/>
        </w:rPr>
        <w:t>of the instrument</w:t>
      </w:r>
      <w:r w:rsidR="006B7E05" w:rsidRPr="0092230E">
        <w:rPr>
          <w:rFonts w:ascii="Arial" w:hAnsi="Arial" w:cs="Arial"/>
          <w:sz w:val="20"/>
        </w:rPr>
        <w:t xml:space="preserve"> </w:t>
      </w:r>
      <w:r w:rsidR="008F29F3" w:rsidRPr="0092230E">
        <w:rPr>
          <w:rFonts w:ascii="Arial" w:hAnsi="Arial" w:cs="Arial"/>
          <w:sz w:val="20"/>
        </w:rPr>
        <w:t xml:space="preserve">defines overseas activities as specific acts </w:t>
      </w:r>
      <w:r w:rsidR="00A25946" w:rsidRPr="0092230E">
        <w:rPr>
          <w:rFonts w:ascii="Arial" w:hAnsi="Arial" w:cs="Arial"/>
          <w:sz w:val="20"/>
        </w:rPr>
        <w:t>(specified in paragraphs (a)-(</w:t>
      </w:r>
      <w:r w:rsidR="0010558B" w:rsidRPr="0092230E">
        <w:rPr>
          <w:rFonts w:ascii="Arial" w:hAnsi="Arial" w:cs="Arial"/>
          <w:sz w:val="20"/>
        </w:rPr>
        <w:t>f</w:t>
      </w:r>
      <w:r w:rsidR="00A25946" w:rsidRPr="0092230E">
        <w:rPr>
          <w:rFonts w:ascii="Arial" w:hAnsi="Arial" w:cs="Arial"/>
          <w:sz w:val="20"/>
        </w:rPr>
        <w:t>) of the definition)</w:t>
      </w:r>
      <w:r w:rsidR="008F29F3" w:rsidRPr="0092230E">
        <w:rPr>
          <w:rFonts w:ascii="Arial" w:hAnsi="Arial" w:cs="Arial"/>
          <w:sz w:val="20"/>
        </w:rPr>
        <w:t xml:space="preserve"> that are </w:t>
      </w:r>
      <w:r w:rsidR="005B3246" w:rsidRPr="0092230E">
        <w:rPr>
          <w:rFonts w:ascii="Arial" w:hAnsi="Arial" w:cs="Arial"/>
          <w:sz w:val="20"/>
        </w:rPr>
        <w:t xml:space="preserve">carried out outside Australia, such as the supply of a carriage service that originates and terminates outside Australia, in a place outside Australia. </w:t>
      </w:r>
    </w:p>
    <w:p w14:paraId="4A73DA39" w14:textId="4E204C5E" w:rsidR="00AA349F" w:rsidRPr="0092230E" w:rsidRDefault="00795DAE" w:rsidP="00795DAE">
      <w:pPr>
        <w:pStyle w:val="ABABulletLevel1"/>
        <w:spacing w:after="120"/>
        <w:rPr>
          <w:rFonts w:ascii="Arial" w:hAnsi="Arial" w:cs="Arial"/>
          <w:sz w:val="20"/>
        </w:rPr>
      </w:pPr>
      <w:r w:rsidRPr="0092230E">
        <w:rPr>
          <w:rFonts w:ascii="Arial" w:hAnsi="Arial" w:cs="Arial"/>
          <w:sz w:val="20"/>
        </w:rPr>
        <w:t>The intention</w:t>
      </w:r>
      <w:r w:rsidR="000A5EBC" w:rsidRPr="0092230E">
        <w:rPr>
          <w:rFonts w:ascii="Arial" w:hAnsi="Arial" w:cs="Arial"/>
          <w:sz w:val="20"/>
        </w:rPr>
        <w:t xml:space="preserve"> of section </w:t>
      </w:r>
      <w:r w:rsidR="003F7EE5" w:rsidRPr="0092230E">
        <w:rPr>
          <w:rFonts w:ascii="Arial" w:hAnsi="Arial" w:cs="Arial"/>
          <w:sz w:val="20"/>
        </w:rPr>
        <w:t>2</w:t>
      </w:r>
      <w:r w:rsidR="00701DAD">
        <w:rPr>
          <w:rFonts w:ascii="Arial" w:hAnsi="Arial" w:cs="Arial"/>
          <w:sz w:val="20"/>
        </w:rPr>
        <w:t>5</w:t>
      </w:r>
      <w:r w:rsidR="006B7E05">
        <w:rPr>
          <w:rFonts w:ascii="Arial" w:hAnsi="Arial" w:cs="Arial"/>
          <w:sz w:val="20"/>
        </w:rPr>
        <w:t xml:space="preserve"> of the instrument</w:t>
      </w:r>
      <w:r w:rsidR="003F7EE5" w:rsidRPr="0092230E">
        <w:rPr>
          <w:rFonts w:ascii="Arial" w:hAnsi="Arial" w:cs="Arial"/>
          <w:sz w:val="20"/>
        </w:rPr>
        <w:t xml:space="preserve"> </w:t>
      </w:r>
      <w:r w:rsidRPr="0092230E">
        <w:rPr>
          <w:rFonts w:ascii="Arial" w:hAnsi="Arial" w:cs="Arial"/>
          <w:sz w:val="20"/>
        </w:rPr>
        <w:t xml:space="preserve">is to </w:t>
      </w:r>
      <w:r w:rsidR="00402192" w:rsidRPr="0092230E">
        <w:rPr>
          <w:rFonts w:ascii="Arial" w:hAnsi="Arial" w:cs="Arial"/>
          <w:sz w:val="20"/>
        </w:rPr>
        <w:t xml:space="preserve">allow a deduction of </w:t>
      </w:r>
      <w:r w:rsidR="005B3246" w:rsidRPr="0092230E">
        <w:rPr>
          <w:rFonts w:ascii="Arial" w:hAnsi="Arial" w:cs="Arial"/>
          <w:sz w:val="20"/>
        </w:rPr>
        <w:t xml:space="preserve">telecommunications sales </w:t>
      </w:r>
      <w:r w:rsidRPr="0092230E">
        <w:rPr>
          <w:rFonts w:ascii="Arial" w:hAnsi="Arial" w:cs="Arial"/>
          <w:sz w:val="20"/>
        </w:rPr>
        <w:t xml:space="preserve">revenue earned by participating persons, and their consolidated </w:t>
      </w:r>
      <w:r w:rsidR="00803BDE">
        <w:rPr>
          <w:rFonts w:ascii="Arial" w:hAnsi="Arial" w:cs="Arial"/>
          <w:sz w:val="20"/>
        </w:rPr>
        <w:t xml:space="preserve">related parties </w:t>
      </w:r>
      <w:r w:rsidRPr="0092230E">
        <w:rPr>
          <w:rFonts w:ascii="Arial" w:hAnsi="Arial" w:cs="Arial"/>
          <w:sz w:val="20"/>
        </w:rPr>
        <w:t>and declared related parties, from operating in telecommunications markets overseas.</w:t>
      </w:r>
      <w:r w:rsidR="002E21E5">
        <w:rPr>
          <w:rFonts w:ascii="Arial" w:hAnsi="Arial" w:cs="Arial"/>
          <w:sz w:val="20"/>
        </w:rPr>
        <w:t xml:space="preserve"> </w:t>
      </w:r>
      <w:r w:rsidRPr="0092230E">
        <w:rPr>
          <w:rFonts w:ascii="Arial" w:hAnsi="Arial" w:cs="Arial"/>
          <w:sz w:val="20"/>
        </w:rPr>
        <w:t xml:space="preserve">Revenue from these operations should not be counted for </w:t>
      </w:r>
      <w:r w:rsidR="005B3246" w:rsidRPr="0092230E">
        <w:rPr>
          <w:rFonts w:ascii="Arial" w:hAnsi="Arial" w:cs="Arial"/>
          <w:sz w:val="20"/>
        </w:rPr>
        <w:t xml:space="preserve">the purposes of determining a participating person’s contribution to the </w:t>
      </w:r>
      <w:r w:rsidRPr="0092230E">
        <w:rPr>
          <w:rFonts w:ascii="Arial" w:hAnsi="Arial" w:cs="Arial"/>
          <w:sz w:val="20"/>
        </w:rPr>
        <w:t xml:space="preserve">industry levy </w:t>
      </w:r>
      <w:r w:rsidR="005B3246" w:rsidRPr="0092230E">
        <w:rPr>
          <w:rFonts w:ascii="Arial" w:hAnsi="Arial" w:cs="Arial"/>
          <w:sz w:val="20"/>
        </w:rPr>
        <w:t xml:space="preserve">which is collected to facilitate the provision of public interest </w:t>
      </w:r>
      <w:r w:rsidR="004A3E33" w:rsidRPr="0092230E">
        <w:rPr>
          <w:rFonts w:ascii="Arial" w:hAnsi="Arial" w:cs="Arial"/>
          <w:sz w:val="20"/>
        </w:rPr>
        <w:t xml:space="preserve">carriage </w:t>
      </w:r>
      <w:r w:rsidR="008B311B" w:rsidRPr="0092230E">
        <w:rPr>
          <w:rFonts w:ascii="Arial" w:hAnsi="Arial" w:cs="Arial"/>
          <w:sz w:val="20"/>
        </w:rPr>
        <w:t>services</w:t>
      </w:r>
      <w:r w:rsidR="005B3246" w:rsidRPr="0092230E">
        <w:rPr>
          <w:rFonts w:ascii="Arial" w:hAnsi="Arial" w:cs="Arial"/>
          <w:sz w:val="20"/>
        </w:rPr>
        <w:t xml:space="preserve"> in Australia.</w:t>
      </w:r>
      <w:r w:rsidR="002E21E5">
        <w:rPr>
          <w:rFonts w:ascii="Arial" w:hAnsi="Arial" w:cs="Arial"/>
          <w:sz w:val="20"/>
        </w:rPr>
        <w:t xml:space="preserve">  </w:t>
      </w:r>
      <w:r w:rsidRPr="0092230E">
        <w:rPr>
          <w:rFonts w:ascii="Arial" w:hAnsi="Arial" w:cs="Arial"/>
          <w:sz w:val="20"/>
        </w:rPr>
        <w:t xml:space="preserve"> </w:t>
      </w:r>
    </w:p>
    <w:p w14:paraId="59878B15" w14:textId="515892DA" w:rsidR="00795DAE" w:rsidRPr="0092230E" w:rsidRDefault="00795DAE" w:rsidP="00795DAE">
      <w:pPr>
        <w:pStyle w:val="ABABulletLevel1"/>
        <w:spacing w:after="120"/>
        <w:rPr>
          <w:rFonts w:ascii="Arial" w:hAnsi="Arial" w:cs="Arial"/>
          <w:sz w:val="20"/>
        </w:rPr>
      </w:pPr>
      <w:r w:rsidRPr="0092230E">
        <w:rPr>
          <w:rFonts w:ascii="Arial" w:hAnsi="Arial" w:cs="Arial"/>
          <w:sz w:val="20"/>
        </w:rPr>
        <w:t xml:space="preserve">Section </w:t>
      </w:r>
      <w:r w:rsidR="003F7EE5" w:rsidRPr="0092230E">
        <w:rPr>
          <w:rFonts w:ascii="Arial" w:hAnsi="Arial" w:cs="Arial"/>
          <w:sz w:val="20"/>
        </w:rPr>
        <w:t>2</w:t>
      </w:r>
      <w:r w:rsidR="00B04BCF">
        <w:rPr>
          <w:rFonts w:ascii="Arial" w:hAnsi="Arial" w:cs="Arial"/>
          <w:sz w:val="20"/>
        </w:rPr>
        <w:t>5</w:t>
      </w:r>
      <w:r w:rsidR="003F7EE5"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allows deductions of revenue earned by participating persons and consolidated related parties and the deduction of a proportion of revenue earned by declared related parties, where the amount </w:t>
      </w:r>
      <w:r w:rsidR="00616930" w:rsidRPr="0092230E">
        <w:rPr>
          <w:rFonts w:ascii="Arial" w:hAnsi="Arial" w:cs="Arial"/>
          <w:sz w:val="20"/>
        </w:rPr>
        <w:t xml:space="preserve">of </w:t>
      </w:r>
      <w:r w:rsidRPr="0092230E">
        <w:rPr>
          <w:rFonts w:ascii="Arial" w:hAnsi="Arial" w:cs="Arial"/>
          <w:sz w:val="20"/>
        </w:rPr>
        <w:t xml:space="preserve">revenue claimed for </w:t>
      </w:r>
      <w:r w:rsidR="00883520" w:rsidRPr="0092230E">
        <w:rPr>
          <w:rFonts w:ascii="Arial" w:hAnsi="Arial" w:cs="Arial"/>
          <w:sz w:val="20"/>
        </w:rPr>
        <w:t>an</w:t>
      </w:r>
      <w:r w:rsidRPr="0092230E">
        <w:rPr>
          <w:rFonts w:ascii="Arial" w:hAnsi="Arial" w:cs="Arial"/>
          <w:sz w:val="20"/>
        </w:rPr>
        <w:t xml:space="preserve"> entity as a deduction was earned by the same entity in undertaking the </w:t>
      </w:r>
      <w:r w:rsidR="006747D9" w:rsidRPr="0092230E">
        <w:rPr>
          <w:rFonts w:ascii="Arial" w:hAnsi="Arial" w:cs="Arial"/>
          <w:sz w:val="20"/>
        </w:rPr>
        <w:t xml:space="preserve">overseas </w:t>
      </w:r>
      <w:r w:rsidRPr="0092230E">
        <w:rPr>
          <w:rFonts w:ascii="Arial" w:hAnsi="Arial" w:cs="Arial"/>
          <w:sz w:val="20"/>
        </w:rPr>
        <w:t>activity</w:t>
      </w:r>
      <w:r w:rsidR="004C1DCC" w:rsidRPr="0092230E">
        <w:rPr>
          <w:rFonts w:ascii="Arial" w:hAnsi="Arial" w:cs="Arial"/>
          <w:sz w:val="20"/>
        </w:rPr>
        <w:t>.</w:t>
      </w:r>
    </w:p>
    <w:p w14:paraId="3FEF7E52" w14:textId="79E867DB" w:rsidR="006E20FC" w:rsidRPr="0092230E" w:rsidRDefault="006E20FC" w:rsidP="00795DAE">
      <w:pPr>
        <w:pStyle w:val="ABABulletLevel1"/>
        <w:spacing w:after="120"/>
        <w:rPr>
          <w:rFonts w:ascii="Arial" w:hAnsi="Arial" w:cs="Arial"/>
          <w:sz w:val="20"/>
        </w:rPr>
      </w:pPr>
      <w:r w:rsidRPr="0092230E">
        <w:rPr>
          <w:rFonts w:ascii="Arial" w:hAnsi="Arial" w:cs="Arial"/>
          <w:sz w:val="20"/>
        </w:rPr>
        <w:t xml:space="preserve">Under section </w:t>
      </w:r>
      <w:r w:rsidR="003F7EE5" w:rsidRPr="0092230E">
        <w:rPr>
          <w:rFonts w:ascii="Arial" w:hAnsi="Arial" w:cs="Arial"/>
          <w:sz w:val="20"/>
        </w:rPr>
        <w:t>2</w:t>
      </w:r>
      <w:r w:rsidR="00B04BCF">
        <w:rPr>
          <w:rFonts w:ascii="Arial" w:hAnsi="Arial" w:cs="Arial"/>
          <w:sz w:val="20"/>
        </w:rPr>
        <w:t>5</w:t>
      </w:r>
      <w:r w:rsidR="006B7E05">
        <w:rPr>
          <w:rFonts w:ascii="Arial" w:hAnsi="Arial" w:cs="Arial"/>
          <w:sz w:val="20"/>
        </w:rPr>
        <w:t xml:space="preserve"> of the instrument</w:t>
      </w:r>
      <w:r w:rsidRPr="0092230E">
        <w:rPr>
          <w:rFonts w:ascii="Arial" w:hAnsi="Arial" w:cs="Arial"/>
          <w:sz w:val="20"/>
        </w:rPr>
        <w:t xml:space="preserve">, revenue is only deductible if it is earned from acts carried out overseas while providing telecommunications services overseas. For example, </w:t>
      </w:r>
      <w:r w:rsidR="00E568DD" w:rsidRPr="0092230E">
        <w:rPr>
          <w:rFonts w:ascii="Arial" w:hAnsi="Arial" w:cs="Arial"/>
          <w:sz w:val="20"/>
        </w:rPr>
        <w:t>revenue</w:t>
      </w:r>
      <w:r w:rsidR="00883520" w:rsidRPr="0092230E">
        <w:rPr>
          <w:rFonts w:ascii="Arial" w:hAnsi="Arial" w:cs="Arial"/>
          <w:sz w:val="20"/>
        </w:rPr>
        <w:t xml:space="preserve"> earned from </w:t>
      </w:r>
      <w:r w:rsidRPr="0092230E">
        <w:rPr>
          <w:rFonts w:ascii="Arial" w:hAnsi="Arial" w:cs="Arial"/>
          <w:sz w:val="20"/>
        </w:rPr>
        <w:t xml:space="preserve">operating </w:t>
      </w:r>
      <w:r w:rsidR="00883520" w:rsidRPr="0092230E">
        <w:rPr>
          <w:rFonts w:ascii="Arial" w:hAnsi="Arial" w:cs="Arial"/>
          <w:sz w:val="20"/>
        </w:rPr>
        <w:t>satellites</w:t>
      </w:r>
      <w:r w:rsidR="008B311B" w:rsidRPr="0092230E">
        <w:rPr>
          <w:rFonts w:ascii="Arial" w:hAnsi="Arial" w:cs="Arial"/>
          <w:sz w:val="20"/>
        </w:rPr>
        <w:t>,</w:t>
      </w:r>
      <w:r w:rsidR="00883520" w:rsidRPr="0092230E">
        <w:rPr>
          <w:rFonts w:ascii="Arial" w:hAnsi="Arial" w:cs="Arial"/>
          <w:sz w:val="20"/>
        </w:rPr>
        <w:t xml:space="preserve"> </w:t>
      </w:r>
      <w:r w:rsidRPr="0092230E">
        <w:rPr>
          <w:rFonts w:ascii="Arial" w:hAnsi="Arial" w:cs="Arial"/>
          <w:sz w:val="20"/>
        </w:rPr>
        <w:t xml:space="preserve">cables, networks or other facilities located </w:t>
      </w:r>
      <w:r w:rsidR="00402192" w:rsidRPr="0092230E">
        <w:rPr>
          <w:rFonts w:ascii="Arial" w:hAnsi="Arial" w:cs="Arial"/>
          <w:sz w:val="20"/>
        </w:rPr>
        <w:t xml:space="preserve">in or </w:t>
      </w:r>
      <w:r w:rsidRPr="0092230E">
        <w:rPr>
          <w:rFonts w:ascii="Arial" w:hAnsi="Arial" w:cs="Arial"/>
          <w:sz w:val="20"/>
        </w:rPr>
        <w:t xml:space="preserve">outside of Australia </w:t>
      </w:r>
      <w:r w:rsidR="00402192" w:rsidRPr="0092230E">
        <w:rPr>
          <w:rFonts w:ascii="Arial" w:hAnsi="Arial" w:cs="Arial"/>
          <w:sz w:val="20"/>
        </w:rPr>
        <w:t>would</w:t>
      </w:r>
      <w:r w:rsidRPr="0092230E">
        <w:rPr>
          <w:rFonts w:ascii="Arial" w:hAnsi="Arial" w:cs="Arial"/>
          <w:sz w:val="20"/>
        </w:rPr>
        <w:t xml:space="preserve"> only </w:t>
      </w:r>
      <w:r w:rsidR="00402192" w:rsidRPr="0092230E">
        <w:rPr>
          <w:rFonts w:ascii="Arial" w:hAnsi="Arial" w:cs="Arial"/>
          <w:sz w:val="20"/>
        </w:rPr>
        <w:t xml:space="preserve">be </w:t>
      </w:r>
      <w:r w:rsidRPr="0092230E">
        <w:rPr>
          <w:rFonts w:ascii="Arial" w:hAnsi="Arial" w:cs="Arial"/>
          <w:sz w:val="20"/>
        </w:rPr>
        <w:t>deductible when it is earned in relation to operations in or between countries other than Australia.</w:t>
      </w:r>
      <w:r w:rsidR="00402192" w:rsidRPr="0092230E">
        <w:rPr>
          <w:rFonts w:ascii="Arial" w:hAnsi="Arial" w:cs="Arial"/>
          <w:sz w:val="20"/>
        </w:rPr>
        <w:t xml:space="preserve"> Similarly, revenue earned from providing global roaming services would only be deductible</w:t>
      </w:r>
      <w:r w:rsidR="00791786" w:rsidRPr="0092230E">
        <w:rPr>
          <w:rFonts w:ascii="Arial" w:hAnsi="Arial" w:cs="Arial"/>
          <w:sz w:val="20"/>
        </w:rPr>
        <w:t xml:space="preserve"> under section </w:t>
      </w:r>
      <w:r w:rsidR="003F7EE5" w:rsidRPr="0092230E">
        <w:rPr>
          <w:rFonts w:ascii="Arial" w:hAnsi="Arial" w:cs="Arial"/>
          <w:sz w:val="20"/>
        </w:rPr>
        <w:t>2</w:t>
      </w:r>
      <w:r w:rsidR="00B04BCF">
        <w:rPr>
          <w:rFonts w:ascii="Arial" w:hAnsi="Arial" w:cs="Arial"/>
          <w:sz w:val="20"/>
        </w:rPr>
        <w:t>5</w:t>
      </w:r>
      <w:r w:rsidR="006B7E05">
        <w:rPr>
          <w:rFonts w:ascii="Arial" w:hAnsi="Arial" w:cs="Arial"/>
          <w:sz w:val="20"/>
        </w:rPr>
        <w:t xml:space="preserve"> of the instrument</w:t>
      </w:r>
      <w:r w:rsidR="003F7EE5" w:rsidRPr="0092230E">
        <w:rPr>
          <w:rFonts w:ascii="Arial" w:hAnsi="Arial" w:cs="Arial"/>
          <w:sz w:val="20"/>
        </w:rPr>
        <w:t xml:space="preserve"> </w:t>
      </w:r>
      <w:r w:rsidR="00402192" w:rsidRPr="0092230E">
        <w:rPr>
          <w:rFonts w:ascii="Arial" w:hAnsi="Arial" w:cs="Arial"/>
          <w:sz w:val="20"/>
        </w:rPr>
        <w:t>if the carriage service is supplied outside Australia and calls made using the service originate and terminate outside Australia.</w:t>
      </w:r>
      <w:r w:rsidR="002E21E5">
        <w:rPr>
          <w:rFonts w:ascii="Arial" w:hAnsi="Arial" w:cs="Arial"/>
          <w:sz w:val="20"/>
        </w:rPr>
        <w:t xml:space="preserve">  </w:t>
      </w:r>
      <w:r w:rsidR="00402192" w:rsidRPr="0092230E">
        <w:rPr>
          <w:rFonts w:ascii="Arial" w:hAnsi="Arial" w:cs="Arial"/>
          <w:sz w:val="20"/>
        </w:rPr>
        <w:t xml:space="preserve"> </w:t>
      </w:r>
    </w:p>
    <w:p w14:paraId="61CDD386" w14:textId="22B2D5ED" w:rsidR="00883520" w:rsidRPr="0092230E" w:rsidRDefault="00402192" w:rsidP="00795DAE">
      <w:pPr>
        <w:pStyle w:val="ABABulletLevel1"/>
        <w:spacing w:after="120"/>
        <w:rPr>
          <w:rFonts w:ascii="Arial" w:hAnsi="Arial" w:cs="Arial"/>
          <w:sz w:val="20"/>
        </w:rPr>
      </w:pPr>
      <w:r w:rsidRPr="0092230E">
        <w:rPr>
          <w:rFonts w:ascii="Arial" w:hAnsi="Arial" w:cs="Arial"/>
          <w:sz w:val="20"/>
        </w:rPr>
        <w:t xml:space="preserve">Subsection </w:t>
      </w:r>
      <w:r w:rsidR="003F7EE5" w:rsidRPr="0092230E">
        <w:rPr>
          <w:rFonts w:ascii="Arial" w:hAnsi="Arial" w:cs="Arial"/>
          <w:sz w:val="20"/>
        </w:rPr>
        <w:t>2</w:t>
      </w:r>
      <w:r w:rsidR="00B04BCF">
        <w:rPr>
          <w:rFonts w:ascii="Arial" w:hAnsi="Arial" w:cs="Arial"/>
          <w:sz w:val="20"/>
        </w:rPr>
        <w:t>5</w:t>
      </w:r>
      <w:r w:rsidRPr="0092230E">
        <w:rPr>
          <w:rFonts w:ascii="Arial" w:hAnsi="Arial" w:cs="Arial"/>
          <w:sz w:val="20"/>
        </w:rPr>
        <w:t>(3)</w:t>
      </w:r>
      <w:r w:rsidR="006B7E05">
        <w:rPr>
          <w:rFonts w:ascii="Arial" w:hAnsi="Arial" w:cs="Arial"/>
          <w:sz w:val="20"/>
        </w:rPr>
        <w:t xml:space="preserve"> of the instrument</w:t>
      </w:r>
      <w:r w:rsidRPr="0092230E">
        <w:rPr>
          <w:rFonts w:ascii="Arial" w:hAnsi="Arial" w:cs="Arial"/>
          <w:sz w:val="20"/>
        </w:rPr>
        <w:t xml:space="preserve"> provides, for the avoidance of doubt, that r</w:t>
      </w:r>
      <w:r w:rsidR="00883520" w:rsidRPr="0092230E">
        <w:rPr>
          <w:rFonts w:ascii="Arial" w:hAnsi="Arial" w:cs="Arial"/>
          <w:sz w:val="20"/>
        </w:rPr>
        <w:t xml:space="preserve">evenue earned from supplying </w:t>
      </w:r>
      <w:r w:rsidR="00270D4B" w:rsidRPr="0092230E">
        <w:rPr>
          <w:rFonts w:ascii="Arial" w:hAnsi="Arial" w:cs="Arial"/>
          <w:sz w:val="20"/>
        </w:rPr>
        <w:t>a</w:t>
      </w:r>
      <w:r w:rsidR="00883520" w:rsidRPr="0092230E">
        <w:rPr>
          <w:rFonts w:ascii="Arial" w:hAnsi="Arial" w:cs="Arial"/>
          <w:sz w:val="20"/>
        </w:rPr>
        <w:t xml:space="preserve"> telecommunications </w:t>
      </w:r>
      <w:r w:rsidR="008541E2">
        <w:rPr>
          <w:rFonts w:ascii="Arial" w:hAnsi="Arial" w:cs="Arial"/>
          <w:sz w:val="20"/>
        </w:rPr>
        <w:t xml:space="preserve">carriage </w:t>
      </w:r>
      <w:r w:rsidR="00883520" w:rsidRPr="0092230E">
        <w:rPr>
          <w:rFonts w:ascii="Arial" w:hAnsi="Arial" w:cs="Arial"/>
          <w:sz w:val="20"/>
        </w:rPr>
        <w:t>service to or from Australia is not deductible.</w:t>
      </w:r>
    </w:p>
    <w:p w14:paraId="30389D50" w14:textId="77777777" w:rsidR="00791786" w:rsidRPr="0092230E" w:rsidRDefault="00791786" w:rsidP="00700588">
      <w:pPr>
        <w:pStyle w:val="ABABulletLevel1"/>
        <w:spacing w:after="120"/>
        <w:rPr>
          <w:rFonts w:ascii="Arial" w:hAnsi="Arial" w:cs="Arial"/>
          <w:b/>
          <w:sz w:val="20"/>
        </w:rPr>
      </w:pPr>
    </w:p>
    <w:p w14:paraId="06F7D38B" w14:textId="74AE6531" w:rsidR="00700588" w:rsidRPr="0092230E" w:rsidRDefault="00700588" w:rsidP="00700588">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B04BCF">
        <w:rPr>
          <w:rFonts w:ascii="Arial" w:hAnsi="Arial" w:cs="Arial"/>
          <w:b/>
          <w:sz w:val="20"/>
        </w:rPr>
        <w:t>6</w:t>
      </w:r>
      <w:r w:rsidR="00067542" w:rsidRPr="0092230E">
        <w:rPr>
          <w:rFonts w:ascii="Arial" w:hAnsi="Arial" w:cs="Arial"/>
          <w:b/>
          <w:sz w:val="20"/>
        </w:rPr>
        <w:t xml:space="preserve"> </w:t>
      </w:r>
      <w:r w:rsidRPr="0092230E">
        <w:rPr>
          <w:rFonts w:ascii="Arial" w:hAnsi="Arial" w:cs="Arial"/>
          <w:b/>
          <w:sz w:val="20"/>
        </w:rPr>
        <w:t xml:space="preserve">– </w:t>
      </w:r>
      <w:r w:rsidR="00791786" w:rsidRPr="0092230E">
        <w:rPr>
          <w:rFonts w:ascii="Arial" w:hAnsi="Arial" w:cs="Arial"/>
          <w:b/>
          <w:sz w:val="20"/>
        </w:rPr>
        <w:t xml:space="preserve">Deductions – </w:t>
      </w:r>
      <w:r w:rsidR="00C95E63" w:rsidRPr="0092230E">
        <w:rPr>
          <w:rFonts w:ascii="Arial" w:hAnsi="Arial" w:cs="Arial"/>
          <w:b/>
          <w:sz w:val="20"/>
        </w:rPr>
        <w:t>a</w:t>
      </w:r>
      <w:r w:rsidRPr="0092230E">
        <w:rPr>
          <w:rFonts w:ascii="Arial" w:hAnsi="Arial" w:cs="Arial"/>
          <w:b/>
          <w:sz w:val="20"/>
        </w:rPr>
        <w:t xml:space="preserve">cts in Australia for overseas </w:t>
      </w:r>
      <w:r w:rsidR="00402192" w:rsidRPr="0092230E">
        <w:rPr>
          <w:rFonts w:ascii="Arial" w:hAnsi="Arial" w:cs="Arial"/>
          <w:b/>
          <w:sz w:val="20"/>
        </w:rPr>
        <w:t>services</w:t>
      </w:r>
    </w:p>
    <w:p w14:paraId="6C7B27ED" w14:textId="27737130" w:rsidR="00700588" w:rsidRPr="0092230E" w:rsidRDefault="00700588" w:rsidP="00700588">
      <w:pPr>
        <w:pStyle w:val="ABABulletLevel1"/>
        <w:spacing w:after="120"/>
        <w:rPr>
          <w:rFonts w:ascii="Arial" w:hAnsi="Arial" w:cs="Arial"/>
          <w:sz w:val="20"/>
        </w:rPr>
      </w:pPr>
      <w:r w:rsidRPr="0092230E">
        <w:rPr>
          <w:rFonts w:ascii="Arial" w:hAnsi="Arial" w:cs="Arial"/>
          <w:sz w:val="20"/>
        </w:rPr>
        <w:lastRenderedPageBreak/>
        <w:t xml:space="preserve">Section </w:t>
      </w:r>
      <w:r w:rsidR="003F7EE5" w:rsidRPr="0092230E">
        <w:rPr>
          <w:rFonts w:ascii="Arial" w:hAnsi="Arial" w:cs="Arial"/>
          <w:sz w:val="20"/>
        </w:rPr>
        <w:t>2</w:t>
      </w:r>
      <w:r w:rsidR="00B04BCF">
        <w:rPr>
          <w:rFonts w:ascii="Arial" w:hAnsi="Arial" w:cs="Arial"/>
          <w:sz w:val="20"/>
        </w:rPr>
        <w:t>6</w:t>
      </w:r>
      <w:r w:rsidR="003F7EE5"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provides for the deduction of revenue </w:t>
      </w:r>
      <w:r w:rsidR="00402192" w:rsidRPr="0092230E">
        <w:rPr>
          <w:rFonts w:ascii="Arial" w:hAnsi="Arial" w:cs="Arial"/>
          <w:sz w:val="20"/>
        </w:rPr>
        <w:t>that</w:t>
      </w:r>
      <w:r w:rsidRPr="0092230E">
        <w:rPr>
          <w:rFonts w:ascii="Arial" w:hAnsi="Arial" w:cs="Arial"/>
          <w:sz w:val="20"/>
        </w:rPr>
        <w:t xml:space="preserve"> has been earned from acts carried out in Australia</w:t>
      </w:r>
      <w:r w:rsidR="00616930" w:rsidRPr="0092230E">
        <w:rPr>
          <w:rFonts w:ascii="Arial" w:hAnsi="Arial" w:cs="Arial"/>
          <w:sz w:val="20"/>
        </w:rPr>
        <w:t xml:space="preserve"> </w:t>
      </w:r>
      <w:r w:rsidR="00402192" w:rsidRPr="0092230E">
        <w:rPr>
          <w:rFonts w:ascii="Arial" w:hAnsi="Arial" w:cs="Arial"/>
          <w:sz w:val="20"/>
        </w:rPr>
        <w:t xml:space="preserve">solely </w:t>
      </w:r>
      <w:r w:rsidR="00616930" w:rsidRPr="0092230E">
        <w:rPr>
          <w:rFonts w:ascii="Arial" w:hAnsi="Arial" w:cs="Arial"/>
          <w:sz w:val="20"/>
        </w:rPr>
        <w:t xml:space="preserve">for the </w:t>
      </w:r>
      <w:r w:rsidR="00402192" w:rsidRPr="0092230E">
        <w:rPr>
          <w:rFonts w:ascii="Arial" w:hAnsi="Arial" w:cs="Arial"/>
          <w:sz w:val="20"/>
        </w:rPr>
        <w:t xml:space="preserve">purposes of the </w:t>
      </w:r>
      <w:r w:rsidR="00616930" w:rsidRPr="0092230E">
        <w:rPr>
          <w:rFonts w:ascii="Arial" w:hAnsi="Arial" w:cs="Arial"/>
          <w:sz w:val="20"/>
        </w:rPr>
        <w:t>supply of a telecommunications carriage service</w:t>
      </w:r>
      <w:r w:rsidR="00402192" w:rsidRPr="0092230E">
        <w:rPr>
          <w:rFonts w:ascii="Arial" w:hAnsi="Arial" w:cs="Arial"/>
          <w:sz w:val="20"/>
        </w:rPr>
        <w:t>,</w:t>
      </w:r>
      <w:r w:rsidRPr="0092230E">
        <w:rPr>
          <w:rFonts w:ascii="Arial" w:hAnsi="Arial" w:cs="Arial"/>
          <w:sz w:val="20"/>
        </w:rPr>
        <w:t xml:space="preserve"> </w:t>
      </w:r>
      <w:r w:rsidR="00402192" w:rsidRPr="0092230E">
        <w:rPr>
          <w:rFonts w:ascii="Arial" w:hAnsi="Arial" w:cs="Arial"/>
          <w:sz w:val="20"/>
        </w:rPr>
        <w:t xml:space="preserve">in a place outside Australia </w:t>
      </w:r>
      <w:r w:rsidR="00010DCF" w:rsidRPr="0092230E">
        <w:rPr>
          <w:rFonts w:ascii="Arial" w:hAnsi="Arial" w:cs="Arial"/>
          <w:sz w:val="20"/>
        </w:rPr>
        <w:t xml:space="preserve">and which </w:t>
      </w:r>
      <w:r w:rsidR="00402192" w:rsidRPr="0092230E">
        <w:rPr>
          <w:rFonts w:ascii="Arial" w:hAnsi="Arial" w:cs="Arial"/>
          <w:sz w:val="20"/>
        </w:rPr>
        <w:t xml:space="preserve">originates and terminates outside Australia. </w:t>
      </w:r>
    </w:p>
    <w:p w14:paraId="4BB7A449" w14:textId="2523946F" w:rsidR="004A3E33" w:rsidRPr="0092230E" w:rsidRDefault="00700588" w:rsidP="004A3E33">
      <w:pPr>
        <w:pStyle w:val="ABABulletLevel1"/>
        <w:spacing w:after="120"/>
        <w:rPr>
          <w:rFonts w:ascii="Arial" w:hAnsi="Arial" w:cs="Arial"/>
          <w:sz w:val="20"/>
        </w:rPr>
      </w:pPr>
      <w:r w:rsidRPr="0092230E">
        <w:rPr>
          <w:rFonts w:ascii="Arial" w:hAnsi="Arial" w:cs="Arial"/>
          <w:sz w:val="20"/>
        </w:rPr>
        <w:t xml:space="preserve">The intention of section </w:t>
      </w:r>
      <w:r w:rsidR="003F7EE5" w:rsidRPr="0092230E">
        <w:rPr>
          <w:rFonts w:ascii="Arial" w:hAnsi="Arial" w:cs="Arial"/>
          <w:sz w:val="20"/>
        </w:rPr>
        <w:t>2</w:t>
      </w:r>
      <w:r w:rsidR="00B04BCF">
        <w:rPr>
          <w:rFonts w:ascii="Arial" w:hAnsi="Arial" w:cs="Arial"/>
          <w:sz w:val="20"/>
        </w:rPr>
        <w:t>6</w:t>
      </w:r>
      <w:r w:rsidR="006B7E05">
        <w:rPr>
          <w:rFonts w:ascii="Arial" w:hAnsi="Arial" w:cs="Arial"/>
          <w:sz w:val="20"/>
        </w:rPr>
        <w:t xml:space="preserve"> of the instrument</w:t>
      </w:r>
      <w:r w:rsidR="003F7EE5" w:rsidRPr="0092230E">
        <w:rPr>
          <w:rFonts w:ascii="Arial" w:hAnsi="Arial" w:cs="Arial"/>
          <w:sz w:val="20"/>
        </w:rPr>
        <w:t xml:space="preserve"> </w:t>
      </w:r>
      <w:r w:rsidRPr="0092230E">
        <w:rPr>
          <w:rFonts w:ascii="Arial" w:hAnsi="Arial" w:cs="Arial"/>
          <w:sz w:val="20"/>
        </w:rPr>
        <w:t xml:space="preserve">is to </w:t>
      </w:r>
      <w:r w:rsidR="00402192" w:rsidRPr="0092230E">
        <w:rPr>
          <w:rFonts w:ascii="Arial" w:hAnsi="Arial" w:cs="Arial"/>
          <w:sz w:val="20"/>
        </w:rPr>
        <w:t>allow a deduction of</w:t>
      </w:r>
      <w:r w:rsidRPr="0092230E">
        <w:rPr>
          <w:rFonts w:ascii="Arial" w:hAnsi="Arial" w:cs="Arial"/>
          <w:sz w:val="20"/>
        </w:rPr>
        <w:t xml:space="preserve"> revenue earned by participating persons, and their consolidated </w:t>
      </w:r>
      <w:r w:rsidR="00803BDE">
        <w:rPr>
          <w:rFonts w:ascii="Arial" w:hAnsi="Arial" w:cs="Arial"/>
          <w:sz w:val="20"/>
        </w:rPr>
        <w:t xml:space="preserve">related parties </w:t>
      </w:r>
      <w:r w:rsidRPr="0092230E">
        <w:rPr>
          <w:rFonts w:ascii="Arial" w:hAnsi="Arial" w:cs="Arial"/>
          <w:sz w:val="20"/>
        </w:rPr>
        <w:t>and declared related parties, from operating in telecommunications markets overseas</w:t>
      </w:r>
      <w:r w:rsidR="00616930" w:rsidRPr="0092230E">
        <w:rPr>
          <w:rFonts w:ascii="Arial" w:hAnsi="Arial" w:cs="Arial"/>
          <w:sz w:val="20"/>
        </w:rPr>
        <w:t>, even though acts may be done in Australia</w:t>
      </w:r>
      <w:r w:rsidR="00402192" w:rsidRPr="0092230E">
        <w:rPr>
          <w:rFonts w:ascii="Arial" w:hAnsi="Arial" w:cs="Arial"/>
          <w:sz w:val="20"/>
        </w:rPr>
        <w:t xml:space="preserve"> in relation to the provision of those services</w:t>
      </w:r>
      <w:r w:rsidRPr="0092230E">
        <w:rPr>
          <w:rFonts w:ascii="Arial" w:hAnsi="Arial" w:cs="Arial"/>
          <w:sz w:val="20"/>
        </w:rPr>
        <w:t>.</w:t>
      </w:r>
      <w:r w:rsidR="00616930" w:rsidRPr="0092230E">
        <w:rPr>
          <w:rFonts w:ascii="Arial" w:hAnsi="Arial" w:cs="Arial"/>
          <w:sz w:val="20"/>
        </w:rPr>
        <w:t xml:space="preserve"> Such acts include, for example, providing transit, switching, signalling or management services in Australia.</w:t>
      </w:r>
      <w:r w:rsidRPr="0092230E">
        <w:rPr>
          <w:rFonts w:ascii="Arial" w:hAnsi="Arial" w:cs="Arial"/>
          <w:sz w:val="20"/>
        </w:rPr>
        <w:t xml:space="preserve"> </w:t>
      </w:r>
      <w:r w:rsidR="00AA349F" w:rsidRPr="0092230E">
        <w:rPr>
          <w:rFonts w:ascii="Arial" w:hAnsi="Arial" w:cs="Arial"/>
          <w:sz w:val="20"/>
        </w:rPr>
        <w:t xml:space="preserve">It </w:t>
      </w:r>
      <w:r w:rsidR="00A13D30" w:rsidRPr="0092230E">
        <w:rPr>
          <w:rFonts w:ascii="Arial" w:hAnsi="Arial" w:cs="Arial"/>
          <w:sz w:val="20"/>
        </w:rPr>
        <w:t>is not</w:t>
      </w:r>
      <w:r w:rsidR="00AA349F" w:rsidRPr="0092230E">
        <w:rPr>
          <w:rFonts w:ascii="Arial" w:hAnsi="Arial" w:cs="Arial"/>
          <w:sz w:val="20"/>
        </w:rPr>
        <w:t xml:space="preserve"> intended that r</w:t>
      </w:r>
      <w:r w:rsidRPr="0092230E">
        <w:rPr>
          <w:rFonts w:ascii="Arial" w:hAnsi="Arial" w:cs="Arial"/>
          <w:sz w:val="20"/>
        </w:rPr>
        <w:t xml:space="preserve">evenue from these operations be counted for </w:t>
      </w:r>
      <w:r w:rsidR="00AA349F" w:rsidRPr="0092230E">
        <w:rPr>
          <w:rFonts w:ascii="Arial" w:hAnsi="Arial" w:cs="Arial"/>
          <w:sz w:val="20"/>
        </w:rPr>
        <w:t>the purposes of determining a person’s eligible revenue</w:t>
      </w:r>
      <w:r w:rsidRPr="0092230E">
        <w:rPr>
          <w:rFonts w:ascii="Arial" w:hAnsi="Arial" w:cs="Arial"/>
          <w:sz w:val="20"/>
        </w:rPr>
        <w:t>.</w:t>
      </w:r>
      <w:r w:rsidR="00B84402">
        <w:rPr>
          <w:rFonts w:ascii="Arial" w:hAnsi="Arial" w:cs="Arial"/>
          <w:sz w:val="20"/>
        </w:rPr>
        <w:t xml:space="preserve"> </w:t>
      </w:r>
      <w:r w:rsidR="004A3E33" w:rsidRPr="0092230E">
        <w:rPr>
          <w:rFonts w:ascii="Arial" w:hAnsi="Arial" w:cs="Arial"/>
          <w:sz w:val="20"/>
        </w:rPr>
        <w:t xml:space="preserve">It is not considered appropriate that revenue from a market segment that is mainly contested by persons other than participating persons should form part of a participating person’s eligible revenue and therefore be subject to levy. </w:t>
      </w:r>
    </w:p>
    <w:p w14:paraId="5F2661A7" w14:textId="304A6CA2" w:rsidR="00700588" w:rsidRPr="0092230E" w:rsidRDefault="00700588" w:rsidP="00700588">
      <w:pPr>
        <w:pStyle w:val="ABABulletLevel1"/>
        <w:spacing w:after="120"/>
        <w:rPr>
          <w:rFonts w:ascii="Arial" w:hAnsi="Arial" w:cs="Arial"/>
          <w:sz w:val="20"/>
        </w:rPr>
      </w:pPr>
      <w:r w:rsidRPr="0092230E">
        <w:rPr>
          <w:rFonts w:ascii="Arial" w:hAnsi="Arial" w:cs="Arial"/>
          <w:sz w:val="20"/>
        </w:rPr>
        <w:t xml:space="preserve">Section </w:t>
      </w:r>
      <w:r w:rsidR="003F7EE5" w:rsidRPr="0092230E">
        <w:rPr>
          <w:rFonts w:ascii="Arial" w:hAnsi="Arial" w:cs="Arial"/>
          <w:sz w:val="20"/>
        </w:rPr>
        <w:t>2</w:t>
      </w:r>
      <w:r w:rsidR="00B04BCF">
        <w:rPr>
          <w:rFonts w:ascii="Arial" w:hAnsi="Arial" w:cs="Arial"/>
          <w:sz w:val="20"/>
        </w:rPr>
        <w:t>6</w:t>
      </w:r>
      <w:r w:rsidR="003F7EE5"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allows deductions of revenue earned by participating persons and consolidated related parties and the deduction of a proportion of revenue earned by declared related parties, where the amount </w:t>
      </w:r>
      <w:r w:rsidR="00616930" w:rsidRPr="0092230E">
        <w:rPr>
          <w:rFonts w:ascii="Arial" w:hAnsi="Arial" w:cs="Arial"/>
          <w:sz w:val="20"/>
        </w:rPr>
        <w:t xml:space="preserve">of </w:t>
      </w:r>
      <w:r w:rsidRPr="0092230E">
        <w:rPr>
          <w:rFonts w:ascii="Arial" w:hAnsi="Arial" w:cs="Arial"/>
          <w:sz w:val="20"/>
        </w:rPr>
        <w:t>revenue claimed for an entity as a deduction was earned by the same entity in undertaking the activity.</w:t>
      </w:r>
    </w:p>
    <w:p w14:paraId="5E7D3B67" w14:textId="123F7B18" w:rsidR="00700588" w:rsidRPr="0092230E" w:rsidRDefault="00791786" w:rsidP="00700588">
      <w:pPr>
        <w:pStyle w:val="ABABulletLevel1"/>
        <w:spacing w:after="120"/>
        <w:rPr>
          <w:rFonts w:ascii="Arial" w:hAnsi="Arial" w:cs="Arial"/>
          <w:sz w:val="20"/>
        </w:rPr>
      </w:pPr>
      <w:r w:rsidRPr="0092230E">
        <w:rPr>
          <w:rFonts w:ascii="Arial" w:hAnsi="Arial" w:cs="Arial"/>
          <w:sz w:val="20"/>
        </w:rPr>
        <w:t xml:space="preserve">Subsection </w:t>
      </w:r>
      <w:r w:rsidR="003F7EE5" w:rsidRPr="0092230E">
        <w:rPr>
          <w:rFonts w:ascii="Arial" w:hAnsi="Arial" w:cs="Arial"/>
          <w:sz w:val="20"/>
        </w:rPr>
        <w:t>2</w:t>
      </w:r>
      <w:r w:rsidR="00B04BCF">
        <w:rPr>
          <w:rFonts w:ascii="Arial" w:hAnsi="Arial" w:cs="Arial"/>
          <w:sz w:val="20"/>
        </w:rPr>
        <w:t>6</w:t>
      </w:r>
      <w:r w:rsidRPr="0092230E">
        <w:rPr>
          <w:rFonts w:ascii="Arial" w:hAnsi="Arial" w:cs="Arial"/>
          <w:sz w:val="20"/>
        </w:rPr>
        <w:t xml:space="preserve">(3)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clarifies</w:t>
      </w:r>
      <w:r w:rsidR="004A3E33" w:rsidRPr="0092230E">
        <w:rPr>
          <w:rFonts w:ascii="Arial" w:hAnsi="Arial" w:cs="Arial"/>
          <w:sz w:val="20"/>
        </w:rPr>
        <w:t>, for the avoidance of doubt,</w:t>
      </w:r>
      <w:r w:rsidRPr="0092230E">
        <w:rPr>
          <w:rFonts w:ascii="Arial" w:hAnsi="Arial" w:cs="Arial"/>
          <w:sz w:val="20"/>
        </w:rPr>
        <w:t xml:space="preserve"> that r</w:t>
      </w:r>
      <w:r w:rsidR="00476373" w:rsidRPr="0092230E">
        <w:rPr>
          <w:rFonts w:ascii="Arial" w:hAnsi="Arial" w:cs="Arial"/>
          <w:sz w:val="20"/>
        </w:rPr>
        <w:t>evenue earned from acts relating to supply of a telecommunications</w:t>
      </w:r>
      <w:r w:rsidR="00CF69D3">
        <w:rPr>
          <w:rFonts w:ascii="Arial" w:hAnsi="Arial" w:cs="Arial"/>
          <w:sz w:val="20"/>
        </w:rPr>
        <w:t xml:space="preserve"> carriage</w:t>
      </w:r>
      <w:r w:rsidR="00476373" w:rsidRPr="0092230E">
        <w:rPr>
          <w:rFonts w:ascii="Arial" w:hAnsi="Arial" w:cs="Arial"/>
          <w:sz w:val="20"/>
        </w:rPr>
        <w:t xml:space="preserve"> service to or from Australia is not deductible.</w:t>
      </w:r>
    </w:p>
    <w:p w14:paraId="055CC24D" w14:textId="77777777" w:rsidR="00791786" w:rsidRPr="0092230E" w:rsidRDefault="00791786" w:rsidP="00700588">
      <w:pPr>
        <w:pStyle w:val="ABABulletLevel1"/>
        <w:spacing w:after="120"/>
        <w:rPr>
          <w:rFonts w:ascii="Arial" w:hAnsi="Arial" w:cs="Arial"/>
          <w:sz w:val="20"/>
        </w:rPr>
      </w:pPr>
    </w:p>
    <w:p w14:paraId="5296BC51" w14:textId="5CF4CCD4" w:rsidR="00E90D82" w:rsidRPr="0092230E" w:rsidRDefault="00E90D82" w:rsidP="00E90D82">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B04BCF">
        <w:rPr>
          <w:rFonts w:ascii="Arial" w:hAnsi="Arial" w:cs="Arial"/>
          <w:b/>
          <w:sz w:val="20"/>
        </w:rPr>
        <w:t>7</w:t>
      </w:r>
      <w:r w:rsidR="00067542" w:rsidRPr="0092230E">
        <w:rPr>
          <w:rFonts w:ascii="Arial" w:hAnsi="Arial" w:cs="Arial"/>
          <w:b/>
          <w:sz w:val="20"/>
        </w:rPr>
        <w:t xml:space="preserve"> </w:t>
      </w:r>
      <w:r w:rsidRPr="0092230E">
        <w:rPr>
          <w:rFonts w:ascii="Arial" w:hAnsi="Arial" w:cs="Arial"/>
          <w:b/>
          <w:sz w:val="20"/>
        </w:rPr>
        <w:t>– Deduction</w:t>
      </w:r>
      <w:r w:rsidR="00D4113A" w:rsidRPr="0092230E">
        <w:rPr>
          <w:rFonts w:ascii="Arial" w:hAnsi="Arial" w:cs="Arial"/>
          <w:b/>
          <w:sz w:val="20"/>
        </w:rPr>
        <w:t>s</w:t>
      </w:r>
      <w:r w:rsidRPr="0092230E">
        <w:rPr>
          <w:rFonts w:ascii="Arial" w:hAnsi="Arial" w:cs="Arial"/>
          <w:b/>
          <w:sz w:val="20"/>
        </w:rPr>
        <w:t xml:space="preserve"> </w:t>
      </w:r>
      <w:r w:rsidR="0016172B" w:rsidRPr="0092230E">
        <w:rPr>
          <w:rFonts w:ascii="Arial" w:hAnsi="Arial" w:cs="Arial"/>
          <w:b/>
          <w:sz w:val="20"/>
        </w:rPr>
        <w:t xml:space="preserve">– </w:t>
      </w:r>
      <w:r w:rsidR="00D4113A" w:rsidRPr="0092230E">
        <w:rPr>
          <w:rFonts w:ascii="Arial" w:hAnsi="Arial" w:cs="Arial"/>
          <w:b/>
          <w:sz w:val="20"/>
        </w:rPr>
        <w:t>c</w:t>
      </w:r>
      <w:r w:rsidRPr="0092230E">
        <w:rPr>
          <w:rFonts w:ascii="Arial" w:hAnsi="Arial" w:cs="Arial"/>
          <w:b/>
          <w:sz w:val="20"/>
        </w:rPr>
        <w:t xml:space="preserve">ustomer </w:t>
      </w:r>
      <w:r w:rsidR="00D4113A" w:rsidRPr="0092230E">
        <w:rPr>
          <w:rFonts w:ascii="Arial" w:hAnsi="Arial" w:cs="Arial"/>
          <w:b/>
          <w:sz w:val="20"/>
        </w:rPr>
        <w:t>e</w:t>
      </w:r>
      <w:r w:rsidRPr="0092230E">
        <w:rPr>
          <w:rFonts w:ascii="Arial" w:hAnsi="Arial" w:cs="Arial"/>
          <w:b/>
          <w:sz w:val="20"/>
        </w:rPr>
        <w:t>quipment</w:t>
      </w:r>
    </w:p>
    <w:p w14:paraId="7BC3600A" w14:textId="4839503E" w:rsidR="0042192F" w:rsidRPr="0092230E" w:rsidRDefault="00E90D82" w:rsidP="0042192F">
      <w:pPr>
        <w:pStyle w:val="ABABulletLevel1"/>
        <w:spacing w:after="120"/>
        <w:rPr>
          <w:rFonts w:ascii="Arial" w:hAnsi="Arial" w:cs="Arial"/>
          <w:sz w:val="20"/>
        </w:rPr>
      </w:pPr>
      <w:r w:rsidRPr="0092230E">
        <w:rPr>
          <w:rFonts w:ascii="Arial" w:hAnsi="Arial" w:cs="Arial"/>
          <w:sz w:val="20"/>
        </w:rPr>
        <w:t xml:space="preserve">Section </w:t>
      </w:r>
      <w:r w:rsidR="0016172B" w:rsidRPr="0092230E">
        <w:rPr>
          <w:rFonts w:ascii="Arial" w:hAnsi="Arial" w:cs="Arial"/>
          <w:sz w:val="20"/>
        </w:rPr>
        <w:t>2</w:t>
      </w:r>
      <w:r w:rsidR="00B04BCF">
        <w:rPr>
          <w:rFonts w:ascii="Arial" w:hAnsi="Arial" w:cs="Arial"/>
          <w:sz w:val="20"/>
        </w:rPr>
        <w:t>7</w:t>
      </w:r>
      <w:r w:rsidR="006B7E05">
        <w:rPr>
          <w:rFonts w:ascii="Arial" w:hAnsi="Arial" w:cs="Arial"/>
          <w:sz w:val="20"/>
        </w:rPr>
        <w:t xml:space="preserve"> of the instrument</w:t>
      </w:r>
      <w:r w:rsidR="0016172B" w:rsidRPr="0092230E">
        <w:rPr>
          <w:rFonts w:ascii="Arial" w:hAnsi="Arial" w:cs="Arial"/>
          <w:sz w:val="20"/>
        </w:rPr>
        <w:t xml:space="preserve"> </w:t>
      </w:r>
      <w:r w:rsidRPr="0092230E">
        <w:rPr>
          <w:rFonts w:ascii="Arial" w:hAnsi="Arial" w:cs="Arial"/>
          <w:sz w:val="20"/>
        </w:rPr>
        <w:t>provides</w:t>
      </w:r>
      <w:r w:rsidR="00D4113A" w:rsidRPr="0092230E">
        <w:rPr>
          <w:rFonts w:ascii="Arial" w:hAnsi="Arial" w:cs="Arial"/>
          <w:sz w:val="20"/>
        </w:rPr>
        <w:t xml:space="preserve"> a deduction for </w:t>
      </w:r>
      <w:r w:rsidRPr="0092230E">
        <w:rPr>
          <w:rFonts w:ascii="Arial" w:hAnsi="Arial" w:cs="Arial"/>
          <w:sz w:val="20"/>
        </w:rPr>
        <w:t>revenue earned from selling, installing, insuring, repairing or maintaining customer equipment</w:t>
      </w:r>
      <w:r w:rsidR="004C1DCC" w:rsidRPr="0092230E">
        <w:rPr>
          <w:rFonts w:ascii="Arial" w:hAnsi="Arial" w:cs="Arial"/>
          <w:sz w:val="20"/>
        </w:rPr>
        <w:t>, or</w:t>
      </w:r>
      <w:r w:rsidRPr="0092230E">
        <w:rPr>
          <w:rFonts w:ascii="Arial" w:hAnsi="Arial" w:cs="Arial"/>
          <w:sz w:val="20"/>
        </w:rPr>
        <w:t xml:space="preserve"> </w:t>
      </w:r>
      <w:r w:rsidR="004C1DCC" w:rsidRPr="0092230E">
        <w:rPr>
          <w:rFonts w:ascii="Arial" w:hAnsi="Arial" w:cs="Arial"/>
          <w:sz w:val="20"/>
        </w:rPr>
        <w:t xml:space="preserve">renting customer equipment to a customer. Customer equipment has the same meaning as </w:t>
      </w:r>
      <w:r w:rsidRPr="0092230E">
        <w:rPr>
          <w:rFonts w:ascii="Arial" w:hAnsi="Arial" w:cs="Arial"/>
          <w:sz w:val="20"/>
        </w:rPr>
        <w:t xml:space="preserve">in section 21 of the </w:t>
      </w:r>
      <w:r w:rsidRPr="0092230E">
        <w:rPr>
          <w:rFonts w:ascii="Arial" w:hAnsi="Arial" w:cs="Arial"/>
          <w:i/>
          <w:sz w:val="20"/>
        </w:rPr>
        <w:t>Telecommunications Act 1997</w:t>
      </w:r>
      <w:r w:rsidRPr="0092230E">
        <w:rPr>
          <w:rFonts w:ascii="Arial" w:hAnsi="Arial" w:cs="Arial"/>
          <w:sz w:val="20"/>
        </w:rPr>
        <w:t>.</w:t>
      </w:r>
      <w:r w:rsidR="00D4113A" w:rsidRPr="0092230E">
        <w:rPr>
          <w:rFonts w:ascii="Arial" w:hAnsi="Arial" w:cs="Arial"/>
          <w:sz w:val="20"/>
        </w:rPr>
        <w:t xml:space="preserve"> It is not considered appropriate t</w:t>
      </w:r>
      <w:r w:rsidR="0016172B" w:rsidRPr="0092230E">
        <w:rPr>
          <w:rFonts w:ascii="Arial" w:hAnsi="Arial" w:cs="Arial"/>
          <w:sz w:val="20"/>
        </w:rPr>
        <w:t>hat</w:t>
      </w:r>
      <w:r w:rsidR="00D4113A" w:rsidRPr="0092230E">
        <w:rPr>
          <w:rFonts w:ascii="Arial" w:hAnsi="Arial" w:cs="Arial"/>
          <w:sz w:val="20"/>
        </w:rPr>
        <w:t xml:space="preserve"> revenue from a market segment that is so widely contested by persons other than participating persons</w:t>
      </w:r>
      <w:r w:rsidR="0016172B" w:rsidRPr="0092230E">
        <w:rPr>
          <w:rFonts w:ascii="Arial" w:hAnsi="Arial" w:cs="Arial"/>
          <w:sz w:val="20"/>
        </w:rPr>
        <w:t xml:space="preserve"> should form part of a participating person’s eligible revenue and therefore be subject to levy</w:t>
      </w:r>
      <w:r w:rsidR="00D4113A" w:rsidRPr="0092230E">
        <w:rPr>
          <w:rFonts w:ascii="Arial" w:hAnsi="Arial" w:cs="Arial"/>
          <w:sz w:val="20"/>
        </w:rPr>
        <w:t xml:space="preserve">. </w:t>
      </w:r>
      <w:r w:rsidR="0042192F" w:rsidRPr="0092230E">
        <w:rPr>
          <w:rFonts w:ascii="Arial" w:hAnsi="Arial" w:cs="Arial"/>
          <w:sz w:val="20"/>
        </w:rPr>
        <w:t xml:space="preserve">Section </w:t>
      </w:r>
      <w:r w:rsidR="0016172B" w:rsidRPr="0092230E">
        <w:rPr>
          <w:rFonts w:ascii="Arial" w:hAnsi="Arial" w:cs="Arial"/>
          <w:sz w:val="20"/>
        </w:rPr>
        <w:t>2</w:t>
      </w:r>
      <w:r w:rsidR="00B04BCF">
        <w:rPr>
          <w:rFonts w:ascii="Arial" w:hAnsi="Arial" w:cs="Arial"/>
          <w:sz w:val="20"/>
        </w:rPr>
        <w:t>7</w:t>
      </w:r>
      <w:r w:rsidR="0016172B"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0042192F" w:rsidRPr="0092230E">
        <w:rPr>
          <w:rFonts w:ascii="Arial" w:hAnsi="Arial" w:cs="Arial"/>
          <w:sz w:val="20"/>
        </w:rPr>
        <w:t>allows deductions of revenue earned by participating persons and consolidated related parties and the deduction of a proportion of revenue earned by declared related parties, where the amount of revenue claimed for an entity as a deduction was earned by the same entity in undertaking the activity.</w:t>
      </w:r>
    </w:p>
    <w:p w14:paraId="11486010" w14:textId="77777777" w:rsidR="0016172B" w:rsidRPr="0092230E" w:rsidRDefault="0016172B" w:rsidP="00651F7E">
      <w:pPr>
        <w:pStyle w:val="ABABulletLevel1"/>
        <w:spacing w:after="120"/>
        <w:rPr>
          <w:rFonts w:ascii="Arial" w:hAnsi="Arial" w:cs="Arial"/>
          <w:b/>
          <w:sz w:val="20"/>
        </w:rPr>
      </w:pPr>
    </w:p>
    <w:p w14:paraId="209A062E" w14:textId="019C1BA6" w:rsidR="00651F7E" w:rsidRPr="0092230E" w:rsidRDefault="00651F7E" w:rsidP="00651F7E">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2</w:t>
      </w:r>
      <w:r w:rsidR="00B04BCF">
        <w:rPr>
          <w:rFonts w:ascii="Arial" w:hAnsi="Arial" w:cs="Arial"/>
          <w:b/>
          <w:sz w:val="20"/>
        </w:rPr>
        <w:t>8</w:t>
      </w:r>
      <w:r w:rsidR="00067542" w:rsidRPr="0092230E">
        <w:rPr>
          <w:rFonts w:ascii="Arial" w:hAnsi="Arial" w:cs="Arial"/>
          <w:b/>
          <w:sz w:val="20"/>
        </w:rPr>
        <w:t xml:space="preserve"> </w:t>
      </w:r>
      <w:r w:rsidRPr="0092230E">
        <w:rPr>
          <w:rFonts w:ascii="Arial" w:hAnsi="Arial" w:cs="Arial"/>
          <w:b/>
          <w:sz w:val="20"/>
        </w:rPr>
        <w:t>– Deductions – content services</w:t>
      </w:r>
    </w:p>
    <w:p w14:paraId="4FEBC74F" w14:textId="5AF50C05" w:rsidR="004C1DCC" w:rsidRPr="0092230E" w:rsidRDefault="00651F7E" w:rsidP="0062200F">
      <w:pPr>
        <w:pStyle w:val="ABABulletLevel1"/>
        <w:spacing w:after="120"/>
        <w:rPr>
          <w:rFonts w:ascii="Arial" w:hAnsi="Arial" w:cs="Arial"/>
          <w:sz w:val="20"/>
        </w:rPr>
      </w:pPr>
      <w:r w:rsidRPr="0092230E">
        <w:rPr>
          <w:rFonts w:ascii="Arial" w:hAnsi="Arial" w:cs="Arial"/>
          <w:sz w:val="20"/>
        </w:rPr>
        <w:t xml:space="preserve">Section </w:t>
      </w:r>
      <w:r w:rsidR="00AA56D6" w:rsidRPr="0092230E">
        <w:rPr>
          <w:rFonts w:ascii="Arial" w:hAnsi="Arial" w:cs="Arial"/>
          <w:sz w:val="20"/>
        </w:rPr>
        <w:t>2</w:t>
      </w:r>
      <w:r w:rsidR="00B04BCF">
        <w:rPr>
          <w:rFonts w:ascii="Arial" w:hAnsi="Arial" w:cs="Arial"/>
          <w:sz w:val="20"/>
        </w:rPr>
        <w:t>8</w:t>
      </w:r>
      <w:r w:rsidR="006B7E05">
        <w:rPr>
          <w:rFonts w:ascii="Arial" w:hAnsi="Arial" w:cs="Arial"/>
          <w:sz w:val="20"/>
        </w:rPr>
        <w:t xml:space="preserve"> of the instrument</w:t>
      </w:r>
      <w:r w:rsidR="00AA56D6" w:rsidRPr="0092230E">
        <w:rPr>
          <w:rFonts w:ascii="Arial" w:hAnsi="Arial" w:cs="Arial"/>
          <w:sz w:val="20"/>
        </w:rPr>
        <w:t xml:space="preserve"> </w:t>
      </w:r>
      <w:r w:rsidRPr="0092230E">
        <w:rPr>
          <w:rFonts w:ascii="Arial" w:hAnsi="Arial" w:cs="Arial"/>
          <w:sz w:val="20"/>
        </w:rPr>
        <w:t xml:space="preserve">provides for a deduction in relation to revenue earned from </w:t>
      </w:r>
      <w:r w:rsidR="004C1DCC" w:rsidRPr="0092230E">
        <w:rPr>
          <w:rFonts w:ascii="Arial" w:hAnsi="Arial" w:cs="Arial"/>
          <w:sz w:val="20"/>
        </w:rPr>
        <w:t xml:space="preserve">the content of </w:t>
      </w:r>
      <w:r w:rsidRPr="0092230E">
        <w:rPr>
          <w:rFonts w:ascii="Arial" w:hAnsi="Arial" w:cs="Arial"/>
          <w:sz w:val="20"/>
        </w:rPr>
        <w:t>content services. Revenue from content is not intended to be subject to the industry levy</w:t>
      </w:r>
      <w:r w:rsidR="005A7FB5" w:rsidRPr="0092230E">
        <w:rPr>
          <w:rFonts w:ascii="Arial" w:hAnsi="Arial" w:cs="Arial"/>
          <w:sz w:val="20"/>
        </w:rPr>
        <w:t xml:space="preserve">, given the focus of the levy scheme </w:t>
      </w:r>
      <w:r w:rsidR="004C1DCC" w:rsidRPr="0092230E">
        <w:rPr>
          <w:rFonts w:ascii="Arial" w:hAnsi="Arial" w:cs="Arial"/>
          <w:sz w:val="20"/>
        </w:rPr>
        <w:t xml:space="preserve">is </w:t>
      </w:r>
      <w:r w:rsidR="005A7FB5" w:rsidRPr="0092230E">
        <w:rPr>
          <w:rFonts w:ascii="Arial" w:hAnsi="Arial" w:cs="Arial"/>
          <w:sz w:val="20"/>
        </w:rPr>
        <w:t>on</w:t>
      </w:r>
      <w:r w:rsidR="005D2C10">
        <w:rPr>
          <w:rFonts w:ascii="Arial" w:hAnsi="Arial" w:cs="Arial"/>
          <w:sz w:val="20"/>
        </w:rPr>
        <w:t xml:space="preserve"> the</w:t>
      </w:r>
      <w:r w:rsidR="005A7FB5" w:rsidRPr="0092230E">
        <w:rPr>
          <w:rFonts w:ascii="Arial" w:hAnsi="Arial" w:cs="Arial"/>
          <w:sz w:val="20"/>
        </w:rPr>
        <w:t xml:space="preserve"> </w:t>
      </w:r>
      <w:r w:rsidR="004C1DCC" w:rsidRPr="0092230E">
        <w:rPr>
          <w:rFonts w:ascii="Arial" w:hAnsi="Arial" w:cs="Arial"/>
          <w:sz w:val="20"/>
        </w:rPr>
        <w:t xml:space="preserve">provision of </w:t>
      </w:r>
      <w:r w:rsidR="005A7FB5" w:rsidRPr="0092230E">
        <w:rPr>
          <w:rFonts w:ascii="Arial" w:hAnsi="Arial" w:cs="Arial"/>
          <w:sz w:val="20"/>
        </w:rPr>
        <w:t>carriage services</w:t>
      </w:r>
      <w:r w:rsidRPr="0092230E">
        <w:rPr>
          <w:rFonts w:ascii="Arial" w:hAnsi="Arial" w:cs="Arial"/>
          <w:sz w:val="20"/>
        </w:rPr>
        <w:t xml:space="preserve">. In earning revenue from </w:t>
      </w:r>
      <w:r w:rsidR="004C1DCC" w:rsidRPr="0092230E">
        <w:rPr>
          <w:rFonts w:ascii="Arial" w:hAnsi="Arial" w:cs="Arial"/>
          <w:sz w:val="20"/>
        </w:rPr>
        <w:t xml:space="preserve">the content of </w:t>
      </w:r>
      <w:r w:rsidRPr="0092230E">
        <w:rPr>
          <w:rFonts w:ascii="Arial" w:hAnsi="Arial" w:cs="Arial"/>
          <w:sz w:val="20"/>
        </w:rPr>
        <w:t>content services, participating persons may also compete with a range of entities that are not participating persons and therefore are not subject to the industry levy.</w:t>
      </w:r>
      <w:r w:rsidR="005A7FB5" w:rsidRPr="0092230E">
        <w:rPr>
          <w:rFonts w:ascii="Arial" w:hAnsi="Arial" w:cs="Arial"/>
          <w:sz w:val="20"/>
        </w:rPr>
        <w:t xml:space="preserve"> Subsection </w:t>
      </w:r>
      <w:r w:rsidR="00AA56D6" w:rsidRPr="0092230E">
        <w:rPr>
          <w:rFonts w:ascii="Arial" w:hAnsi="Arial" w:cs="Arial"/>
          <w:sz w:val="20"/>
        </w:rPr>
        <w:t>2</w:t>
      </w:r>
      <w:r w:rsidR="00B04BCF">
        <w:rPr>
          <w:rFonts w:ascii="Arial" w:hAnsi="Arial" w:cs="Arial"/>
          <w:sz w:val="20"/>
        </w:rPr>
        <w:t>8</w:t>
      </w:r>
      <w:r w:rsidR="005A7FB5" w:rsidRPr="0092230E">
        <w:rPr>
          <w:rFonts w:ascii="Arial" w:hAnsi="Arial" w:cs="Arial"/>
          <w:sz w:val="20"/>
        </w:rPr>
        <w:t xml:space="preserve">(3) </w:t>
      </w:r>
      <w:r w:rsidR="006B7E05">
        <w:rPr>
          <w:rFonts w:ascii="Arial" w:hAnsi="Arial" w:cs="Arial"/>
          <w:sz w:val="20"/>
        </w:rPr>
        <w:t>of the instrument</w:t>
      </w:r>
      <w:r w:rsidR="006B7E05" w:rsidRPr="0092230E">
        <w:rPr>
          <w:rFonts w:ascii="Arial" w:hAnsi="Arial" w:cs="Arial"/>
          <w:sz w:val="20"/>
        </w:rPr>
        <w:t xml:space="preserve"> </w:t>
      </w:r>
      <w:r w:rsidR="005A7FB5" w:rsidRPr="0092230E">
        <w:rPr>
          <w:rFonts w:ascii="Arial" w:hAnsi="Arial" w:cs="Arial"/>
          <w:sz w:val="20"/>
        </w:rPr>
        <w:t xml:space="preserve">clarifies that the section cannot be used to deduct an amount earned from </w:t>
      </w:r>
      <w:r w:rsidR="005A7FB5" w:rsidRPr="0092230E">
        <w:rPr>
          <w:rFonts w:ascii="Arial" w:hAnsi="Arial" w:cs="Arial"/>
          <w:i/>
          <w:sz w:val="20"/>
        </w:rPr>
        <w:t xml:space="preserve">carrying </w:t>
      </w:r>
      <w:r w:rsidR="005A7FB5" w:rsidRPr="0092230E">
        <w:rPr>
          <w:rFonts w:ascii="Arial" w:hAnsi="Arial" w:cs="Arial"/>
          <w:sz w:val="20"/>
        </w:rPr>
        <w:t xml:space="preserve">a content service. For example, revenue earned from </w:t>
      </w:r>
      <w:r w:rsidR="004C1DCC" w:rsidRPr="0092230E">
        <w:rPr>
          <w:rFonts w:ascii="Arial" w:hAnsi="Arial" w:cs="Arial"/>
          <w:sz w:val="20"/>
        </w:rPr>
        <w:t>fees charged</w:t>
      </w:r>
      <w:r w:rsidR="005A7FB5" w:rsidRPr="0092230E">
        <w:rPr>
          <w:rFonts w:ascii="Arial" w:hAnsi="Arial" w:cs="Arial"/>
          <w:sz w:val="20"/>
        </w:rPr>
        <w:t xml:space="preserve"> for access to </w:t>
      </w:r>
      <w:r w:rsidR="004C1DCC" w:rsidRPr="0092230E">
        <w:rPr>
          <w:rFonts w:ascii="Arial" w:hAnsi="Arial" w:cs="Arial"/>
          <w:sz w:val="20"/>
        </w:rPr>
        <w:t xml:space="preserve">content on subscription </w:t>
      </w:r>
      <w:r w:rsidR="0069539A">
        <w:rPr>
          <w:rFonts w:ascii="Arial" w:hAnsi="Arial" w:cs="Arial"/>
          <w:sz w:val="20"/>
        </w:rPr>
        <w:t>i</w:t>
      </w:r>
      <w:r w:rsidR="005A7FB5" w:rsidRPr="0092230E">
        <w:rPr>
          <w:rFonts w:ascii="Arial" w:hAnsi="Arial" w:cs="Arial"/>
          <w:sz w:val="20"/>
        </w:rPr>
        <w:t>nternet</w:t>
      </w:r>
      <w:r w:rsidR="004C1DCC" w:rsidRPr="0092230E">
        <w:rPr>
          <w:rFonts w:ascii="Arial" w:hAnsi="Arial" w:cs="Arial"/>
          <w:sz w:val="20"/>
        </w:rPr>
        <w:t xml:space="preserve"> services</w:t>
      </w:r>
      <w:r w:rsidR="005A7FB5" w:rsidRPr="0092230E">
        <w:rPr>
          <w:rFonts w:ascii="Arial" w:hAnsi="Arial" w:cs="Arial"/>
          <w:sz w:val="20"/>
        </w:rPr>
        <w:t xml:space="preserve"> is not </w:t>
      </w:r>
      <w:r w:rsidR="004C1DCC" w:rsidRPr="0092230E">
        <w:rPr>
          <w:rFonts w:ascii="Arial" w:hAnsi="Arial" w:cs="Arial"/>
          <w:sz w:val="20"/>
        </w:rPr>
        <w:t xml:space="preserve">usually deductible. </w:t>
      </w:r>
    </w:p>
    <w:p w14:paraId="234A0F2C" w14:textId="0C706156" w:rsidR="004C1DCC" w:rsidRPr="00303AEC" w:rsidRDefault="005A7FB5" w:rsidP="0062200F">
      <w:pPr>
        <w:pStyle w:val="ABABulletLevel1"/>
        <w:spacing w:after="120"/>
        <w:rPr>
          <w:rFonts w:ascii="Arial" w:hAnsi="Arial" w:cs="Arial"/>
          <w:sz w:val="20"/>
        </w:rPr>
      </w:pPr>
      <w:r w:rsidRPr="0092230E">
        <w:rPr>
          <w:rFonts w:ascii="Arial" w:hAnsi="Arial" w:cs="Arial"/>
          <w:sz w:val="20"/>
        </w:rPr>
        <w:t xml:space="preserve">Unbundling provisions in section </w:t>
      </w:r>
      <w:r w:rsidR="00AA56D6" w:rsidRPr="0092230E">
        <w:rPr>
          <w:rFonts w:ascii="Arial" w:hAnsi="Arial" w:cs="Arial"/>
          <w:sz w:val="20"/>
        </w:rPr>
        <w:t>1</w:t>
      </w:r>
      <w:r w:rsidR="001E60C9">
        <w:rPr>
          <w:rFonts w:ascii="Arial" w:hAnsi="Arial" w:cs="Arial"/>
          <w:sz w:val="20"/>
        </w:rPr>
        <w:t>5</w:t>
      </w:r>
      <w:r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enable content revenue bundled with other telecommunications sales revenue to be dealt with </w:t>
      </w:r>
      <w:r w:rsidR="004C1DCC" w:rsidRPr="0092230E">
        <w:rPr>
          <w:rFonts w:ascii="Arial" w:hAnsi="Arial" w:cs="Arial"/>
          <w:sz w:val="20"/>
        </w:rPr>
        <w:t xml:space="preserve">separately </w:t>
      </w:r>
      <w:r w:rsidRPr="0092230E">
        <w:rPr>
          <w:rFonts w:ascii="Arial" w:hAnsi="Arial" w:cs="Arial"/>
          <w:sz w:val="20"/>
        </w:rPr>
        <w:t xml:space="preserve">without significantly adding to the regulatory burden of participating persons. For example, revenue earned from the </w:t>
      </w:r>
      <w:r w:rsidRPr="0092230E">
        <w:rPr>
          <w:rFonts w:ascii="Arial" w:hAnsi="Arial" w:cs="Arial"/>
          <w:i/>
          <w:sz w:val="20"/>
        </w:rPr>
        <w:t xml:space="preserve">content </w:t>
      </w:r>
      <w:r w:rsidRPr="0092230E">
        <w:rPr>
          <w:rFonts w:ascii="Arial" w:hAnsi="Arial" w:cs="Arial"/>
          <w:sz w:val="20"/>
        </w:rPr>
        <w:t xml:space="preserve">of a pay TV service may be deductible, whereas revenue earned from the </w:t>
      </w:r>
      <w:r w:rsidRPr="0092230E">
        <w:rPr>
          <w:rFonts w:ascii="Arial" w:hAnsi="Arial" w:cs="Arial"/>
          <w:i/>
          <w:sz w:val="20"/>
        </w:rPr>
        <w:t xml:space="preserve">carriage </w:t>
      </w:r>
      <w:r w:rsidRPr="0092230E">
        <w:rPr>
          <w:rFonts w:ascii="Arial" w:hAnsi="Arial" w:cs="Arial"/>
          <w:sz w:val="20"/>
        </w:rPr>
        <w:t xml:space="preserve">of the pay TV service would not be deductible under section </w:t>
      </w:r>
      <w:r w:rsidR="00AA56D6" w:rsidRPr="0092230E">
        <w:rPr>
          <w:rFonts w:ascii="Arial" w:hAnsi="Arial" w:cs="Arial"/>
          <w:sz w:val="20"/>
        </w:rPr>
        <w:t>2</w:t>
      </w:r>
      <w:r w:rsidR="00B04BCF">
        <w:rPr>
          <w:rFonts w:ascii="Arial" w:hAnsi="Arial" w:cs="Arial"/>
          <w:sz w:val="20"/>
        </w:rPr>
        <w:t>8</w:t>
      </w:r>
      <w:r w:rsidR="006B7E05">
        <w:rPr>
          <w:rFonts w:ascii="Arial" w:hAnsi="Arial" w:cs="Arial"/>
          <w:sz w:val="20"/>
        </w:rPr>
        <w:t xml:space="preserve"> of the instrument</w:t>
      </w:r>
      <w:r w:rsidRPr="0092230E">
        <w:rPr>
          <w:rFonts w:ascii="Arial" w:hAnsi="Arial" w:cs="Arial"/>
          <w:sz w:val="20"/>
        </w:rPr>
        <w:t>. If the revenue</w:t>
      </w:r>
      <w:r w:rsidR="00F23150">
        <w:rPr>
          <w:rFonts w:ascii="Arial" w:hAnsi="Arial" w:cs="Arial"/>
          <w:sz w:val="20"/>
        </w:rPr>
        <w:t>s</w:t>
      </w:r>
      <w:r w:rsidRPr="0092230E">
        <w:rPr>
          <w:rFonts w:ascii="Arial" w:hAnsi="Arial" w:cs="Arial"/>
          <w:sz w:val="20"/>
        </w:rPr>
        <w:t xml:space="preserve"> from these two items are bundled together, they will have to be unbundled </w:t>
      </w:r>
      <w:r w:rsidR="00F24D18" w:rsidRPr="0092230E">
        <w:rPr>
          <w:rFonts w:ascii="Arial" w:hAnsi="Arial" w:cs="Arial"/>
          <w:sz w:val="20"/>
        </w:rPr>
        <w:t xml:space="preserve">under </w:t>
      </w:r>
      <w:r w:rsidR="004C1DCC" w:rsidRPr="0092230E">
        <w:rPr>
          <w:rFonts w:ascii="Arial" w:hAnsi="Arial" w:cs="Arial"/>
          <w:sz w:val="20"/>
        </w:rPr>
        <w:t xml:space="preserve">section </w:t>
      </w:r>
      <w:r w:rsidR="00AA56D6" w:rsidRPr="0092230E">
        <w:rPr>
          <w:rFonts w:ascii="Arial" w:hAnsi="Arial" w:cs="Arial"/>
          <w:sz w:val="20"/>
        </w:rPr>
        <w:t>1</w:t>
      </w:r>
      <w:r w:rsidR="001E60C9">
        <w:rPr>
          <w:rFonts w:ascii="Arial" w:hAnsi="Arial" w:cs="Arial"/>
          <w:sz w:val="20"/>
        </w:rPr>
        <w:t>5</w:t>
      </w:r>
      <w:r w:rsidR="006B7E05">
        <w:rPr>
          <w:rFonts w:ascii="Arial" w:hAnsi="Arial" w:cs="Arial"/>
          <w:sz w:val="20"/>
        </w:rPr>
        <w:t xml:space="preserve"> of the instrument</w:t>
      </w:r>
      <w:r w:rsidR="004C1DCC" w:rsidRPr="0092230E">
        <w:rPr>
          <w:rFonts w:ascii="Arial" w:hAnsi="Arial" w:cs="Arial"/>
          <w:sz w:val="20"/>
        </w:rPr>
        <w:t xml:space="preserve"> </w:t>
      </w:r>
      <w:r w:rsidRPr="0092230E">
        <w:rPr>
          <w:rFonts w:ascii="Arial" w:hAnsi="Arial" w:cs="Arial"/>
          <w:sz w:val="20"/>
        </w:rPr>
        <w:t xml:space="preserve">to identify the deductible and non-deductible amounts. </w:t>
      </w:r>
      <w:r w:rsidR="00031ECA">
        <w:rPr>
          <w:rFonts w:ascii="Arial" w:hAnsi="Arial" w:cs="Arial"/>
          <w:sz w:val="20"/>
        </w:rPr>
        <w:t xml:space="preserve">The term ‘carry’ is defined in section </w:t>
      </w:r>
      <w:r w:rsidR="005A3A09">
        <w:rPr>
          <w:rFonts w:ascii="Arial" w:hAnsi="Arial" w:cs="Arial"/>
          <w:sz w:val="20"/>
        </w:rPr>
        <w:t>6</w:t>
      </w:r>
      <w:r w:rsidR="006B7E05">
        <w:rPr>
          <w:rFonts w:ascii="Arial" w:hAnsi="Arial" w:cs="Arial"/>
          <w:sz w:val="20"/>
        </w:rPr>
        <w:t xml:space="preserve"> of the instrument</w:t>
      </w:r>
      <w:r w:rsidR="005A3A09">
        <w:rPr>
          <w:rFonts w:ascii="Arial" w:hAnsi="Arial" w:cs="Arial"/>
          <w:sz w:val="20"/>
        </w:rPr>
        <w:t xml:space="preserve"> as having the meaning affected by section 7 of the </w:t>
      </w:r>
      <w:r w:rsidR="005A3A09">
        <w:rPr>
          <w:rFonts w:ascii="Arial" w:hAnsi="Arial" w:cs="Arial"/>
          <w:i/>
          <w:iCs/>
          <w:sz w:val="20"/>
        </w:rPr>
        <w:t xml:space="preserve">Telecommunications Act 1997 </w:t>
      </w:r>
      <w:r w:rsidR="00303AEC">
        <w:rPr>
          <w:rFonts w:ascii="Arial" w:hAnsi="Arial" w:cs="Arial"/>
          <w:sz w:val="20"/>
        </w:rPr>
        <w:t xml:space="preserve">and includes to </w:t>
      </w:r>
      <w:r w:rsidR="004474DB">
        <w:rPr>
          <w:rFonts w:ascii="Arial" w:hAnsi="Arial" w:cs="Arial"/>
          <w:sz w:val="20"/>
        </w:rPr>
        <w:t>‘</w:t>
      </w:r>
      <w:r w:rsidR="00303AEC" w:rsidRPr="00303AEC">
        <w:rPr>
          <w:rFonts w:ascii="Arial" w:hAnsi="Arial" w:cs="Arial"/>
          <w:sz w:val="20"/>
        </w:rPr>
        <w:t>transmit, switch and receive.</w:t>
      </w:r>
      <w:r w:rsidR="004474DB">
        <w:rPr>
          <w:rFonts w:ascii="Arial" w:hAnsi="Arial" w:cs="Arial"/>
          <w:sz w:val="20"/>
        </w:rPr>
        <w:t>’</w:t>
      </w:r>
    </w:p>
    <w:p w14:paraId="6B34CCEB" w14:textId="57BD8541" w:rsidR="0062200F" w:rsidRPr="0092230E" w:rsidRDefault="0062200F" w:rsidP="0062200F">
      <w:pPr>
        <w:pStyle w:val="ABABulletLevel1"/>
        <w:spacing w:after="120"/>
        <w:rPr>
          <w:rFonts w:ascii="Arial" w:hAnsi="Arial" w:cs="Arial"/>
          <w:sz w:val="20"/>
        </w:rPr>
      </w:pPr>
      <w:r w:rsidRPr="0092230E">
        <w:rPr>
          <w:rFonts w:ascii="Arial" w:hAnsi="Arial" w:cs="Arial"/>
          <w:sz w:val="20"/>
        </w:rPr>
        <w:t xml:space="preserve">Section </w:t>
      </w:r>
      <w:r w:rsidR="00AA56D6" w:rsidRPr="0092230E">
        <w:rPr>
          <w:rFonts w:ascii="Arial" w:hAnsi="Arial" w:cs="Arial"/>
          <w:sz w:val="20"/>
        </w:rPr>
        <w:t>2</w:t>
      </w:r>
      <w:r w:rsidR="00B04BCF">
        <w:rPr>
          <w:rFonts w:ascii="Arial" w:hAnsi="Arial" w:cs="Arial"/>
          <w:sz w:val="20"/>
        </w:rPr>
        <w:t>8</w:t>
      </w:r>
      <w:r w:rsidR="00AA56D6"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allows deductions of revenue earned by participating persons and consolidated related parties and the deduction of a proportion of revenue earned by declared related parties where the amount of revenue claimed for an entity as a deduction was earned by the same entity in providing the content service.</w:t>
      </w:r>
    </w:p>
    <w:p w14:paraId="63A64D94" w14:textId="77777777" w:rsidR="008617A1" w:rsidRPr="0092230E" w:rsidRDefault="008617A1" w:rsidP="00651F7E">
      <w:pPr>
        <w:pStyle w:val="ABABulletLevel1"/>
        <w:spacing w:after="120"/>
        <w:rPr>
          <w:rFonts w:ascii="Arial" w:hAnsi="Arial" w:cs="Arial"/>
          <w:sz w:val="20"/>
        </w:rPr>
      </w:pPr>
    </w:p>
    <w:p w14:paraId="7DFB0A7E" w14:textId="690AA426" w:rsidR="00A01B65" w:rsidRPr="0092230E" w:rsidRDefault="00A01B65" w:rsidP="004C43F6">
      <w:pPr>
        <w:pStyle w:val="ABABulletLevel1"/>
        <w:keepNext/>
        <w:spacing w:after="120"/>
        <w:rPr>
          <w:rFonts w:ascii="Arial" w:hAnsi="Arial" w:cs="Arial"/>
          <w:b/>
          <w:sz w:val="20"/>
        </w:rPr>
      </w:pPr>
      <w:r w:rsidRPr="0092230E">
        <w:rPr>
          <w:rFonts w:ascii="Arial" w:hAnsi="Arial" w:cs="Arial"/>
          <w:b/>
          <w:sz w:val="20"/>
        </w:rPr>
        <w:lastRenderedPageBreak/>
        <w:t xml:space="preserve">Section </w:t>
      </w:r>
      <w:r w:rsidR="00067542" w:rsidRPr="0092230E">
        <w:rPr>
          <w:rFonts w:ascii="Arial" w:hAnsi="Arial" w:cs="Arial"/>
          <w:b/>
          <w:sz w:val="20"/>
        </w:rPr>
        <w:t>2</w:t>
      </w:r>
      <w:r w:rsidR="00B04BCF">
        <w:rPr>
          <w:rFonts w:ascii="Arial" w:hAnsi="Arial" w:cs="Arial"/>
          <w:b/>
          <w:sz w:val="20"/>
        </w:rPr>
        <w:t>9</w:t>
      </w:r>
      <w:r w:rsidR="00067542" w:rsidRPr="0092230E">
        <w:rPr>
          <w:rFonts w:ascii="Arial" w:hAnsi="Arial" w:cs="Arial"/>
          <w:b/>
          <w:sz w:val="20"/>
        </w:rPr>
        <w:t xml:space="preserve"> </w:t>
      </w:r>
      <w:r w:rsidRPr="0092230E">
        <w:rPr>
          <w:rFonts w:ascii="Arial" w:hAnsi="Arial" w:cs="Arial"/>
          <w:b/>
          <w:sz w:val="20"/>
        </w:rPr>
        <w:t>– Deductions – exempt base station</w:t>
      </w:r>
    </w:p>
    <w:p w14:paraId="22CE7AE9" w14:textId="302ED46B" w:rsidR="00F61058" w:rsidRPr="0092230E" w:rsidRDefault="00A01B65" w:rsidP="00A01B65">
      <w:pPr>
        <w:pStyle w:val="ABABulletLevel1"/>
        <w:spacing w:after="120"/>
        <w:rPr>
          <w:rFonts w:ascii="Arial" w:hAnsi="Arial" w:cs="Arial"/>
          <w:sz w:val="20"/>
        </w:rPr>
      </w:pPr>
      <w:r w:rsidRPr="0092230E">
        <w:rPr>
          <w:rFonts w:ascii="Arial" w:hAnsi="Arial" w:cs="Arial"/>
          <w:sz w:val="20"/>
        </w:rPr>
        <w:t>Section 2</w:t>
      </w:r>
      <w:r w:rsidR="00B04BCF">
        <w:rPr>
          <w:rFonts w:ascii="Arial" w:hAnsi="Arial" w:cs="Arial"/>
          <w:sz w:val="20"/>
        </w:rPr>
        <w:t>9</w:t>
      </w:r>
      <w:r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provides for a deduction of revenue earned from the use of an exempt base station. This exemption is intended to prevent revenue earned by any participating person or related party from the distribution of subscription or other broadcasting by microwave or other radiocommunications means being </w:t>
      </w:r>
      <w:r w:rsidR="00F61058" w:rsidRPr="0092230E">
        <w:rPr>
          <w:rFonts w:ascii="Arial" w:hAnsi="Arial" w:cs="Arial"/>
          <w:sz w:val="20"/>
        </w:rPr>
        <w:t xml:space="preserve">included as part of the participating person’s </w:t>
      </w:r>
      <w:r w:rsidRPr="0092230E">
        <w:rPr>
          <w:rFonts w:ascii="Arial" w:hAnsi="Arial" w:cs="Arial"/>
          <w:sz w:val="20"/>
        </w:rPr>
        <w:t xml:space="preserve">eligible revenue. Such an outcome could </w:t>
      </w:r>
      <w:r w:rsidR="00F61058" w:rsidRPr="0092230E">
        <w:rPr>
          <w:rFonts w:ascii="Arial" w:hAnsi="Arial" w:cs="Arial"/>
          <w:sz w:val="20"/>
        </w:rPr>
        <w:t xml:space="preserve">arise </w:t>
      </w:r>
      <w:r w:rsidRPr="0092230E">
        <w:rPr>
          <w:rFonts w:ascii="Arial" w:hAnsi="Arial" w:cs="Arial"/>
          <w:sz w:val="20"/>
        </w:rPr>
        <w:t xml:space="preserve">because such an activity falls within the definition of the telecommunications industry under section 7 of the </w:t>
      </w:r>
      <w:r w:rsidRPr="0092230E">
        <w:rPr>
          <w:rFonts w:ascii="Arial" w:hAnsi="Arial" w:cs="Arial"/>
          <w:i/>
          <w:sz w:val="20"/>
        </w:rPr>
        <w:t>Telecommunications Act 1997</w:t>
      </w:r>
      <w:r w:rsidRPr="0092230E">
        <w:rPr>
          <w:rFonts w:ascii="Arial" w:hAnsi="Arial" w:cs="Arial"/>
          <w:sz w:val="20"/>
        </w:rPr>
        <w:t>. The regulatory scheme of that Act, however, generally aims to exclude such terrestrial radiocommunications broadcasting activities from regulation; activity occurring under broadcasting licences is regulated under other legislation.</w:t>
      </w:r>
      <w:r w:rsidR="00CC1591" w:rsidRPr="0092230E">
        <w:rPr>
          <w:rFonts w:ascii="Arial" w:hAnsi="Arial" w:cs="Arial"/>
          <w:sz w:val="20"/>
        </w:rPr>
        <w:t xml:space="preserve"> </w:t>
      </w:r>
    </w:p>
    <w:p w14:paraId="664E0F4A" w14:textId="12C491D4" w:rsidR="00A01B65" w:rsidRPr="0092230E" w:rsidRDefault="00A01B65" w:rsidP="00A01B65">
      <w:pPr>
        <w:pStyle w:val="ABABulletLevel1"/>
        <w:spacing w:after="120"/>
        <w:rPr>
          <w:rFonts w:ascii="Arial" w:hAnsi="Arial" w:cs="Arial"/>
          <w:sz w:val="20"/>
        </w:rPr>
      </w:pPr>
      <w:r w:rsidRPr="0092230E">
        <w:rPr>
          <w:rFonts w:ascii="Arial" w:hAnsi="Arial" w:cs="Arial"/>
          <w:sz w:val="20"/>
        </w:rPr>
        <w:t xml:space="preserve">Section </w:t>
      </w:r>
      <w:r w:rsidR="00AA56D6" w:rsidRPr="0092230E">
        <w:rPr>
          <w:rFonts w:ascii="Arial" w:hAnsi="Arial" w:cs="Arial"/>
          <w:sz w:val="20"/>
        </w:rPr>
        <w:t>2</w:t>
      </w:r>
      <w:r w:rsidR="00B04BCF">
        <w:rPr>
          <w:rFonts w:ascii="Arial" w:hAnsi="Arial" w:cs="Arial"/>
          <w:sz w:val="20"/>
        </w:rPr>
        <w:t>9</w:t>
      </w:r>
      <w:r w:rsidR="00AA56D6"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allows deductions of revenue earned by participating persons and consolidated related parties and the deduction of a proportion of revenue earned by declared related parties where the amount of revenue claimed for an entity as a deduction was earned by the same entity in use of an exempt base station.</w:t>
      </w:r>
    </w:p>
    <w:p w14:paraId="5BAD7122" w14:textId="77777777" w:rsidR="00E50DE7" w:rsidRPr="0092230E" w:rsidRDefault="00E50DE7" w:rsidP="003214EE">
      <w:pPr>
        <w:pStyle w:val="ABABulletLevel1"/>
        <w:spacing w:after="120"/>
        <w:rPr>
          <w:rFonts w:ascii="Arial" w:hAnsi="Arial" w:cs="Arial"/>
          <w:b/>
          <w:sz w:val="20"/>
        </w:rPr>
      </w:pPr>
    </w:p>
    <w:p w14:paraId="27DA0ABB" w14:textId="56312313" w:rsidR="003214EE" w:rsidRPr="0092230E" w:rsidRDefault="003214EE" w:rsidP="003214EE">
      <w:pPr>
        <w:pStyle w:val="ABABulletLevel1"/>
        <w:spacing w:after="120"/>
        <w:rPr>
          <w:rFonts w:ascii="Arial" w:hAnsi="Arial" w:cs="Arial"/>
          <w:b/>
          <w:sz w:val="20"/>
        </w:rPr>
      </w:pPr>
      <w:r w:rsidRPr="0092230E">
        <w:rPr>
          <w:rFonts w:ascii="Arial" w:hAnsi="Arial" w:cs="Arial"/>
          <w:b/>
          <w:sz w:val="20"/>
        </w:rPr>
        <w:t xml:space="preserve">Section </w:t>
      </w:r>
      <w:r w:rsidR="001F1466">
        <w:rPr>
          <w:rFonts w:ascii="Arial" w:hAnsi="Arial" w:cs="Arial"/>
          <w:b/>
          <w:sz w:val="20"/>
        </w:rPr>
        <w:t>30</w:t>
      </w:r>
      <w:r w:rsidR="00067542" w:rsidRPr="0092230E">
        <w:rPr>
          <w:rFonts w:ascii="Arial" w:hAnsi="Arial" w:cs="Arial"/>
          <w:b/>
          <w:sz w:val="20"/>
        </w:rPr>
        <w:t xml:space="preserve"> </w:t>
      </w:r>
      <w:r w:rsidRPr="0092230E">
        <w:rPr>
          <w:rFonts w:ascii="Arial" w:hAnsi="Arial" w:cs="Arial"/>
          <w:b/>
          <w:sz w:val="20"/>
        </w:rPr>
        <w:t>– Deductions – infrastructure revenue</w:t>
      </w:r>
    </w:p>
    <w:p w14:paraId="72DA788E" w14:textId="5F669833" w:rsidR="00F61058" w:rsidRPr="0092230E" w:rsidRDefault="003214EE" w:rsidP="003214EE">
      <w:pPr>
        <w:pStyle w:val="ABABulletLevel1"/>
        <w:spacing w:after="120"/>
        <w:rPr>
          <w:rFonts w:ascii="Arial" w:hAnsi="Arial" w:cs="Arial"/>
          <w:sz w:val="20"/>
        </w:rPr>
      </w:pPr>
      <w:r w:rsidRPr="0092230E">
        <w:rPr>
          <w:rFonts w:ascii="Arial" w:hAnsi="Arial" w:cs="Arial"/>
          <w:sz w:val="20"/>
        </w:rPr>
        <w:t xml:space="preserve">Section </w:t>
      </w:r>
      <w:r w:rsidR="001F1466">
        <w:rPr>
          <w:rFonts w:ascii="Arial" w:hAnsi="Arial" w:cs="Arial"/>
          <w:sz w:val="20"/>
        </w:rPr>
        <w:t>30</w:t>
      </w:r>
      <w:r w:rsidR="00AA56D6"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provides </w:t>
      </w:r>
      <w:r w:rsidR="00A53AEF" w:rsidRPr="0092230E">
        <w:rPr>
          <w:rFonts w:ascii="Arial" w:hAnsi="Arial" w:cs="Arial"/>
          <w:sz w:val="20"/>
        </w:rPr>
        <w:t>a</w:t>
      </w:r>
      <w:r w:rsidRPr="0092230E">
        <w:rPr>
          <w:rFonts w:ascii="Arial" w:hAnsi="Arial" w:cs="Arial"/>
          <w:sz w:val="20"/>
        </w:rPr>
        <w:t xml:space="preserve"> deduction for revenue earned </w:t>
      </w:r>
      <w:r w:rsidR="0010762B" w:rsidRPr="0092230E">
        <w:rPr>
          <w:rFonts w:ascii="Arial" w:hAnsi="Arial" w:cs="Arial"/>
          <w:sz w:val="20"/>
        </w:rPr>
        <w:t>in the</w:t>
      </w:r>
      <w:r w:rsidRPr="0092230E">
        <w:rPr>
          <w:rFonts w:ascii="Arial" w:hAnsi="Arial" w:cs="Arial"/>
          <w:sz w:val="20"/>
        </w:rPr>
        <w:t xml:space="preserve"> construction</w:t>
      </w:r>
      <w:r w:rsidR="0010762B" w:rsidRPr="0092230E">
        <w:rPr>
          <w:rFonts w:ascii="Arial" w:hAnsi="Arial" w:cs="Arial"/>
          <w:sz w:val="20"/>
        </w:rPr>
        <w:t>,</w:t>
      </w:r>
      <w:r w:rsidRPr="0092230E">
        <w:rPr>
          <w:rFonts w:ascii="Arial" w:hAnsi="Arial" w:cs="Arial"/>
          <w:sz w:val="20"/>
        </w:rPr>
        <w:t xml:space="preserve"> installation or maintenance </w:t>
      </w:r>
      <w:r w:rsidR="00F61058" w:rsidRPr="0092230E">
        <w:rPr>
          <w:rFonts w:ascii="Arial" w:hAnsi="Arial" w:cs="Arial"/>
          <w:sz w:val="20"/>
        </w:rPr>
        <w:t xml:space="preserve">(or from management of the construction, installation or maintenance) </w:t>
      </w:r>
      <w:r w:rsidRPr="0092230E">
        <w:rPr>
          <w:rFonts w:ascii="Arial" w:hAnsi="Arial" w:cs="Arial"/>
          <w:sz w:val="20"/>
        </w:rPr>
        <w:t xml:space="preserve">of the infrastructure of a telecommunications network on the network side of the boundary of the telecommunications network. </w:t>
      </w:r>
      <w:r w:rsidR="0010762B" w:rsidRPr="0092230E">
        <w:rPr>
          <w:rFonts w:ascii="Arial" w:hAnsi="Arial" w:cs="Arial"/>
          <w:sz w:val="20"/>
        </w:rPr>
        <w:t>It is not considered appropriate t</w:t>
      </w:r>
      <w:r w:rsidR="00170DA5" w:rsidRPr="0092230E">
        <w:rPr>
          <w:rFonts w:ascii="Arial" w:hAnsi="Arial" w:cs="Arial"/>
          <w:sz w:val="20"/>
        </w:rPr>
        <w:t>hat</w:t>
      </w:r>
      <w:r w:rsidR="0010762B" w:rsidRPr="0092230E">
        <w:rPr>
          <w:rFonts w:ascii="Arial" w:hAnsi="Arial" w:cs="Arial"/>
          <w:sz w:val="20"/>
        </w:rPr>
        <w:t xml:space="preserve"> revenue from a market segment that is so widely contested by persons other than participating persons</w:t>
      </w:r>
      <w:r w:rsidR="00170DA5" w:rsidRPr="0092230E">
        <w:rPr>
          <w:rFonts w:ascii="Arial" w:hAnsi="Arial" w:cs="Arial"/>
          <w:sz w:val="20"/>
        </w:rPr>
        <w:t xml:space="preserve"> should form part of a participating person’s eligible revenue and therefore be subject to</w:t>
      </w:r>
      <w:r w:rsidR="00F170F3">
        <w:rPr>
          <w:rFonts w:ascii="Arial" w:hAnsi="Arial" w:cs="Arial"/>
          <w:sz w:val="20"/>
        </w:rPr>
        <w:t xml:space="preserve"> the</w:t>
      </w:r>
      <w:r w:rsidR="00170DA5" w:rsidRPr="0092230E">
        <w:rPr>
          <w:rFonts w:ascii="Arial" w:hAnsi="Arial" w:cs="Arial"/>
          <w:sz w:val="20"/>
        </w:rPr>
        <w:t xml:space="preserve"> levy</w:t>
      </w:r>
      <w:r w:rsidR="0010762B" w:rsidRPr="0092230E">
        <w:rPr>
          <w:rFonts w:ascii="Arial" w:hAnsi="Arial" w:cs="Arial"/>
          <w:sz w:val="20"/>
        </w:rPr>
        <w:t xml:space="preserve">. </w:t>
      </w:r>
    </w:p>
    <w:p w14:paraId="424FCA82" w14:textId="0A2C788A" w:rsidR="003214EE" w:rsidRPr="0092230E" w:rsidRDefault="0010762B" w:rsidP="003214EE">
      <w:pPr>
        <w:pStyle w:val="ABABulletLevel1"/>
        <w:spacing w:after="120"/>
        <w:rPr>
          <w:rFonts w:ascii="Arial" w:hAnsi="Arial" w:cs="Arial"/>
          <w:sz w:val="20"/>
        </w:rPr>
      </w:pPr>
      <w:r w:rsidRPr="0092230E">
        <w:rPr>
          <w:rFonts w:ascii="Arial" w:hAnsi="Arial" w:cs="Arial"/>
          <w:sz w:val="20"/>
        </w:rPr>
        <w:t xml:space="preserve">Section </w:t>
      </w:r>
      <w:r w:rsidR="001F1466">
        <w:rPr>
          <w:rFonts w:ascii="Arial" w:hAnsi="Arial" w:cs="Arial"/>
          <w:sz w:val="20"/>
        </w:rPr>
        <w:t>30</w:t>
      </w:r>
      <w:r w:rsidR="00AA56D6"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allows deductions of revenue earned by participating persons and consolidated related parties and the deduction of a proportion of revenue earned by declared related parties where the amount of revenue claimed for an entity as a deduction was earned by the same entity in undertaking the activity.</w:t>
      </w:r>
    </w:p>
    <w:p w14:paraId="0A18BEDD" w14:textId="6B7583F9" w:rsidR="00A25946" w:rsidRPr="0092230E" w:rsidRDefault="0010762B" w:rsidP="00A25946">
      <w:pPr>
        <w:pStyle w:val="ABABulletLevel1"/>
        <w:spacing w:after="120"/>
        <w:rPr>
          <w:rFonts w:ascii="Arial" w:hAnsi="Arial" w:cs="Arial"/>
          <w:sz w:val="20"/>
        </w:rPr>
      </w:pPr>
      <w:r w:rsidRPr="0092230E">
        <w:rPr>
          <w:rFonts w:ascii="Arial" w:hAnsi="Arial" w:cs="Arial"/>
          <w:sz w:val="20"/>
        </w:rPr>
        <w:t>Other revenue earned through telecommunications infrastructure, such as revenue from the supply of services using infrastructure or leasing of infrastructure is not deductible under this section.</w:t>
      </w:r>
      <w:r w:rsidR="009208BE" w:rsidRPr="0092230E">
        <w:rPr>
          <w:rFonts w:ascii="Arial" w:hAnsi="Arial" w:cs="Arial"/>
          <w:sz w:val="20"/>
        </w:rPr>
        <w:t xml:space="preserve"> </w:t>
      </w:r>
      <w:r w:rsidR="00482DE7">
        <w:rPr>
          <w:rFonts w:ascii="Arial" w:hAnsi="Arial" w:cs="Arial"/>
          <w:sz w:val="20"/>
        </w:rPr>
        <w:t>For example, revenue earned</w:t>
      </w:r>
      <w:r w:rsidR="008528D5">
        <w:rPr>
          <w:rFonts w:ascii="Arial" w:hAnsi="Arial" w:cs="Arial"/>
          <w:sz w:val="20"/>
        </w:rPr>
        <w:t xml:space="preserve"> from </w:t>
      </w:r>
      <w:r w:rsidR="00805596">
        <w:rPr>
          <w:rFonts w:ascii="Arial" w:hAnsi="Arial" w:cs="Arial"/>
          <w:sz w:val="20"/>
        </w:rPr>
        <w:t xml:space="preserve">the </w:t>
      </w:r>
      <w:r w:rsidR="008528D5">
        <w:rPr>
          <w:rFonts w:ascii="Arial" w:hAnsi="Arial" w:cs="Arial"/>
          <w:sz w:val="20"/>
        </w:rPr>
        <w:t xml:space="preserve">leasing </w:t>
      </w:r>
      <w:r w:rsidR="00805596">
        <w:rPr>
          <w:rFonts w:ascii="Arial" w:hAnsi="Arial" w:cs="Arial"/>
          <w:sz w:val="20"/>
        </w:rPr>
        <w:t xml:space="preserve">of </w:t>
      </w:r>
      <w:r w:rsidR="008528D5">
        <w:rPr>
          <w:rFonts w:ascii="Arial" w:hAnsi="Arial" w:cs="Arial"/>
          <w:sz w:val="20"/>
        </w:rPr>
        <w:t xml:space="preserve">tower sites to </w:t>
      </w:r>
      <w:r w:rsidR="00384475">
        <w:rPr>
          <w:rFonts w:ascii="Arial" w:hAnsi="Arial" w:cs="Arial"/>
          <w:sz w:val="20"/>
        </w:rPr>
        <w:t>enable telecommunications services to be provided from those sites</w:t>
      </w:r>
      <w:r w:rsidR="00F80923">
        <w:rPr>
          <w:rFonts w:ascii="Arial" w:hAnsi="Arial" w:cs="Arial"/>
          <w:sz w:val="20"/>
        </w:rPr>
        <w:t xml:space="preserve"> is not deductible</w:t>
      </w:r>
      <w:r w:rsidR="008528D5">
        <w:rPr>
          <w:rFonts w:ascii="Arial" w:hAnsi="Arial" w:cs="Arial"/>
          <w:sz w:val="20"/>
        </w:rPr>
        <w:t xml:space="preserve">. </w:t>
      </w:r>
    </w:p>
    <w:p w14:paraId="725ECB65" w14:textId="77777777" w:rsidR="003F25BC" w:rsidRPr="0092230E" w:rsidRDefault="003F25BC" w:rsidP="0051705D">
      <w:pPr>
        <w:pStyle w:val="ABABulletLevel1"/>
        <w:spacing w:after="120"/>
        <w:rPr>
          <w:rFonts w:ascii="Arial" w:hAnsi="Arial" w:cs="Arial"/>
          <w:b/>
          <w:sz w:val="20"/>
        </w:rPr>
      </w:pPr>
    </w:p>
    <w:p w14:paraId="39ADDADA" w14:textId="56F16D3B" w:rsidR="0051705D" w:rsidRPr="0092230E" w:rsidRDefault="0051705D" w:rsidP="0051705D">
      <w:pPr>
        <w:pStyle w:val="ABABulletLevel1"/>
        <w:spacing w:after="120"/>
        <w:rPr>
          <w:rFonts w:ascii="Arial" w:hAnsi="Arial" w:cs="Arial"/>
          <w:b/>
          <w:sz w:val="20"/>
        </w:rPr>
      </w:pPr>
      <w:r w:rsidRPr="0092230E">
        <w:rPr>
          <w:rFonts w:ascii="Arial" w:hAnsi="Arial" w:cs="Arial"/>
          <w:b/>
          <w:sz w:val="20"/>
        </w:rPr>
        <w:t>Section</w:t>
      </w:r>
      <w:r w:rsidR="006814BF" w:rsidRPr="0092230E">
        <w:rPr>
          <w:rFonts w:ascii="Arial" w:hAnsi="Arial" w:cs="Arial"/>
          <w:b/>
          <w:sz w:val="20"/>
        </w:rPr>
        <w:t xml:space="preserve"> </w:t>
      </w:r>
      <w:r w:rsidR="001E60C9">
        <w:rPr>
          <w:rFonts w:ascii="Arial" w:hAnsi="Arial" w:cs="Arial"/>
          <w:b/>
          <w:sz w:val="20"/>
        </w:rPr>
        <w:t>3</w:t>
      </w:r>
      <w:r w:rsidR="001F1466">
        <w:rPr>
          <w:rFonts w:ascii="Arial" w:hAnsi="Arial" w:cs="Arial"/>
          <w:b/>
          <w:sz w:val="20"/>
        </w:rPr>
        <w:t>1</w:t>
      </w:r>
      <w:r w:rsidR="00067542" w:rsidRPr="0092230E">
        <w:rPr>
          <w:rFonts w:ascii="Arial" w:hAnsi="Arial" w:cs="Arial"/>
          <w:b/>
          <w:sz w:val="20"/>
        </w:rPr>
        <w:t xml:space="preserve"> </w:t>
      </w:r>
      <w:r w:rsidRPr="0092230E">
        <w:rPr>
          <w:rFonts w:ascii="Arial" w:hAnsi="Arial" w:cs="Arial"/>
          <w:b/>
          <w:sz w:val="20"/>
        </w:rPr>
        <w:t xml:space="preserve">– Deductions – </w:t>
      </w:r>
      <w:r w:rsidR="00A53AEF" w:rsidRPr="0092230E">
        <w:rPr>
          <w:rFonts w:ascii="Arial" w:hAnsi="Arial" w:cs="Arial"/>
          <w:b/>
          <w:sz w:val="20"/>
        </w:rPr>
        <w:t>inter-person input payments</w:t>
      </w:r>
    </w:p>
    <w:p w14:paraId="5DB1AC18" w14:textId="34A65B0E" w:rsidR="007B48CA" w:rsidRPr="0092230E" w:rsidRDefault="00A53AEF" w:rsidP="00A53AEF">
      <w:pPr>
        <w:pStyle w:val="ABABulletLevel1"/>
        <w:spacing w:after="120"/>
        <w:rPr>
          <w:rFonts w:ascii="Arial" w:hAnsi="Arial" w:cs="Arial"/>
          <w:sz w:val="20"/>
        </w:rPr>
      </w:pPr>
      <w:r w:rsidRPr="0092230E">
        <w:rPr>
          <w:rFonts w:ascii="Arial" w:hAnsi="Arial" w:cs="Arial"/>
          <w:sz w:val="20"/>
        </w:rPr>
        <w:t xml:space="preserve">Section </w:t>
      </w:r>
      <w:r w:rsidR="001E60C9">
        <w:rPr>
          <w:rFonts w:ascii="Arial" w:hAnsi="Arial" w:cs="Arial"/>
          <w:sz w:val="20"/>
        </w:rPr>
        <w:t>3</w:t>
      </w:r>
      <w:r w:rsidR="001F1466">
        <w:rPr>
          <w:rFonts w:ascii="Arial" w:hAnsi="Arial" w:cs="Arial"/>
          <w:sz w:val="20"/>
        </w:rPr>
        <w:t>1</w:t>
      </w:r>
      <w:r w:rsidR="00AA56D6"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provides for the deduction of inter-person input payments. These have been defined in section </w:t>
      </w:r>
      <w:r w:rsidR="003F25BC" w:rsidRPr="0092230E">
        <w:rPr>
          <w:rFonts w:ascii="Arial" w:hAnsi="Arial" w:cs="Arial"/>
          <w:sz w:val="20"/>
        </w:rPr>
        <w:t>1</w:t>
      </w:r>
      <w:r w:rsidR="001F1466">
        <w:rPr>
          <w:rFonts w:ascii="Arial" w:hAnsi="Arial" w:cs="Arial"/>
          <w:sz w:val="20"/>
        </w:rPr>
        <w:t>2</w:t>
      </w:r>
      <w:r w:rsidR="003F25BC"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007B48CA" w:rsidRPr="0092230E">
        <w:rPr>
          <w:rFonts w:ascii="Arial" w:hAnsi="Arial" w:cs="Arial"/>
          <w:sz w:val="20"/>
        </w:rPr>
        <w:t xml:space="preserve">and relate to payments made by </w:t>
      </w:r>
      <w:r w:rsidR="006747D9" w:rsidRPr="0092230E">
        <w:rPr>
          <w:rFonts w:ascii="Arial" w:hAnsi="Arial" w:cs="Arial"/>
          <w:sz w:val="20"/>
        </w:rPr>
        <w:t xml:space="preserve">a </w:t>
      </w:r>
      <w:r w:rsidR="007B48CA" w:rsidRPr="0092230E">
        <w:rPr>
          <w:rFonts w:ascii="Arial" w:hAnsi="Arial" w:cs="Arial"/>
          <w:sz w:val="20"/>
        </w:rPr>
        <w:t>participating person</w:t>
      </w:r>
      <w:r w:rsidR="006B7E05">
        <w:rPr>
          <w:rFonts w:ascii="Arial" w:hAnsi="Arial" w:cs="Arial"/>
          <w:sz w:val="20"/>
        </w:rPr>
        <w:t xml:space="preserve"> </w:t>
      </w:r>
      <w:r w:rsidR="006B7E05" w:rsidRPr="0092230E">
        <w:rPr>
          <w:rFonts w:ascii="Arial" w:hAnsi="Arial" w:cs="Arial"/>
          <w:sz w:val="20"/>
        </w:rPr>
        <w:t>(</w:t>
      </w:r>
      <w:r w:rsidR="006B7E05" w:rsidRPr="0092230E">
        <w:rPr>
          <w:rFonts w:ascii="Arial" w:hAnsi="Arial" w:cs="Arial"/>
          <w:b/>
          <w:sz w:val="20"/>
        </w:rPr>
        <w:t>the</w:t>
      </w:r>
      <w:r w:rsidR="006B7E05" w:rsidRPr="0092230E">
        <w:rPr>
          <w:rFonts w:ascii="Arial" w:hAnsi="Arial" w:cs="Arial"/>
          <w:b/>
          <w:i/>
          <w:sz w:val="20"/>
        </w:rPr>
        <w:t xml:space="preserve"> </w:t>
      </w:r>
      <w:r w:rsidR="006B7E05" w:rsidRPr="0092230E">
        <w:rPr>
          <w:rFonts w:ascii="Arial" w:hAnsi="Arial" w:cs="Arial"/>
          <w:b/>
          <w:sz w:val="20"/>
        </w:rPr>
        <w:t>first participating person</w:t>
      </w:r>
      <w:r w:rsidR="006B7E05" w:rsidRPr="00896062">
        <w:rPr>
          <w:rFonts w:ascii="Arial" w:hAnsi="Arial" w:cs="Arial"/>
          <w:bCs/>
          <w:iCs/>
          <w:sz w:val="20"/>
        </w:rPr>
        <w:t>)</w:t>
      </w:r>
      <w:r w:rsidR="007B48CA" w:rsidRPr="0092230E">
        <w:rPr>
          <w:rFonts w:ascii="Arial" w:hAnsi="Arial" w:cs="Arial"/>
          <w:sz w:val="20"/>
        </w:rPr>
        <w:t xml:space="preserve"> or th</w:t>
      </w:r>
      <w:r w:rsidR="009630BF">
        <w:rPr>
          <w:rFonts w:ascii="Arial" w:hAnsi="Arial" w:cs="Arial"/>
          <w:sz w:val="20"/>
        </w:rPr>
        <w:t xml:space="preserve">at </w:t>
      </w:r>
      <w:r w:rsidR="006B7E05">
        <w:rPr>
          <w:rFonts w:ascii="Arial" w:hAnsi="Arial" w:cs="Arial"/>
          <w:sz w:val="20"/>
        </w:rPr>
        <w:t xml:space="preserve">first </w:t>
      </w:r>
      <w:r w:rsidR="009630BF">
        <w:rPr>
          <w:rFonts w:ascii="Arial" w:hAnsi="Arial" w:cs="Arial"/>
          <w:sz w:val="20"/>
        </w:rPr>
        <w:t xml:space="preserve">participating </w:t>
      </w:r>
      <w:r w:rsidR="007B48CA" w:rsidRPr="0092230E">
        <w:rPr>
          <w:rFonts w:ascii="Arial" w:hAnsi="Arial" w:cs="Arial"/>
          <w:sz w:val="20"/>
        </w:rPr>
        <w:t xml:space="preserve">person’s consolidated </w:t>
      </w:r>
      <w:r w:rsidR="00E27D14">
        <w:rPr>
          <w:rFonts w:ascii="Arial" w:hAnsi="Arial" w:cs="Arial"/>
          <w:sz w:val="20"/>
        </w:rPr>
        <w:t xml:space="preserve">related party </w:t>
      </w:r>
      <w:r w:rsidR="007B48CA" w:rsidRPr="0092230E">
        <w:rPr>
          <w:rFonts w:ascii="Arial" w:hAnsi="Arial" w:cs="Arial"/>
          <w:sz w:val="20"/>
        </w:rPr>
        <w:t>or declared related part</w:t>
      </w:r>
      <w:r w:rsidR="00E27D14">
        <w:rPr>
          <w:rFonts w:ascii="Arial" w:hAnsi="Arial" w:cs="Arial"/>
          <w:sz w:val="20"/>
        </w:rPr>
        <w:t>y</w:t>
      </w:r>
      <w:r w:rsidR="007B48CA" w:rsidRPr="0092230E">
        <w:rPr>
          <w:rFonts w:ascii="Arial" w:hAnsi="Arial" w:cs="Arial"/>
          <w:sz w:val="20"/>
        </w:rPr>
        <w:t>, to</w:t>
      </w:r>
      <w:r w:rsidR="00D30FF5">
        <w:rPr>
          <w:rFonts w:ascii="Arial" w:hAnsi="Arial" w:cs="Arial"/>
          <w:sz w:val="20"/>
        </w:rPr>
        <w:t xml:space="preserve"> a second person who </w:t>
      </w:r>
      <w:r w:rsidR="00406B98">
        <w:rPr>
          <w:rFonts w:ascii="Arial" w:hAnsi="Arial" w:cs="Arial"/>
          <w:sz w:val="20"/>
        </w:rPr>
        <w:t>may be either</w:t>
      </w:r>
      <w:r w:rsidR="007B48CA" w:rsidRPr="0092230E">
        <w:rPr>
          <w:rFonts w:ascii="Arial" w:hAnsi="Arial" w:cs="Arial"/>
          <w:sz w:val="20"/>
        </w:rPr>
        <w:t xml:space="preserve"> another participating person </w:t>
      </w:r>
      <w:r w:rsidR="00F53D23">
        <w:rPr>
          <w:rFonts w:ascii="Arial" w:hAnsi="Arial" w:cs="Arial"/>
          <w:sz w:val="20"/>
        </w:rPr>
        <w:t>(</w:t>
      </w:r>
      <w:r w:rsidR="00F53D23" w:rsidRPr="00896062">
        <w:rPr>
          <w:rFonts w:ascii="Arial" w:hAnsi="Arial" w:cs="Arial"/>
          <w:b/>
          <w:bCs/>
          <w:sz w:val="20"/>
        </w:rPr>
        <w:t>the second participating person</w:t>
      </w:r>
      <w:r w:rsidR="00F53D23">
        <w:rPr>
          <w:rFonts w:ascii="Arial" w:hAnsi="Arial" w:cs="Arial"/>
          <w:sz w:val="20"/>
        </w:rPr>
        <w:t xml:space="preserve">) </w:t>
      </w:r>
      <w:r w:rsidR="007B48CA" w:rsidRPr="0092230E">
        <w:rPr>
          <w:rFonts w:ascii="Arial" w:hAnsi="Arial" w:cs="Arial"/>
          <w:sz w:val="20"/>
        </w:rPr>
        <w:t xml:space="preserve">or </w:t>
      </w:r>
      <w:r w:rsidR="00D30FF5">
        <w:rPr>
          <w:rFonts w:ascii="Arial" w:hAnsi="Arial" w:cs="Arial"/>
          <w:sz w:val="20"/>
        </w:rPr>
        <w:t xml:space="preserve">a </w:t>
      </w:r>
      <w:r w:rsidR="007B48CA" w:rsidRPr="0092230E">
        <w:rPr>
          <w:rFonts w:ascii="Arial" w:hAnsi="Arial" w:cs="Arial"/>
          <w:sz w:val="20"/>
        </w:rPr>
        <w:t>non-participating person, or th</w:t>
      </w:r>
      <w:r w:rsidR="00D30FF5">
        <w:rPr>
          <w:rFonts w:ascii="Arial" w:hAnsi="Arial" w:cs="Arial"/>
          <w:sz w:val="20"/>
        </w:rPr>
        <w:t>at</w:t>
      </w:r>
      <w:r w:rsidR="007B48CA" w:rsidRPr="0092230E">
        <w:rPr>
          <w:rFonts w:ascii="Arial" w:hAnsi="Arial" w:cs="Arial"/>
          <w:sz w:val="20"/>
        </w:rPr>
        <w:t xml:space="preserve"> second person’s consolidated </w:t>
      </w:r>
      <w:r w:rsidR="004327B4">
        <w:rPr>
          <w:rFonts w:ascii="Arial" w:hAnsi="Arial" w:cs="Arial"/>
          <w:sz w:val="20"/>
        </w:rPr>
        <w:t xml:space="preserve">related party </w:t>
      </w:r>
      <w:r w:rsidR="007B48CA" w:rsidRPr="0092230E">
        <w:rPr>
          <w:rFonts w:ascii="Arial" w:hAnsi="Arial" w:cs="Arial"/>
          <w:sz w:val="20"/>
        </w:rPr>
        <w:t>or declared related part</w:t>
      </w:r>
      <w:r w:rsidR="004327B4">
        <w:rPr>
          <w:rFonts w:ascii="Arial" w:hAnsi="Arial" w:cs="Arial"/>
          <w:sz w:val="20"/>
        </w:rPr>
        <w:t>y</w:t>
      </w:r>
      <w:r w:rsidRPr="0092230E">
        <w:rPr>
          <w:rFonts w:ascii="Arial" w:hAnsi="Arial" w:cs="Arial"/>
          <w:sz w:val="20"/>
        </w:rPr>
        <w:t xml:space="preserve">. </w:t>
      </w:r>
      <w:r w:rsidR="003D5817" w:rsidRPr="0092230E">
        <w:rPr>
          <w:rFonts w:ascii="Arial" w:hAnsi="Arial" w:cs="Arial"/>
          <w:sz w:val="20"/>
        </w:rPr>
        <w:t xml:space="preserve">As defined in section </w:t>
      </w:r>
      <w:r w:rsidR="006A76D9" w:rsidRPr="0092230E">
        <w:rPr>
          <w:rFonts w:ascii="Arial" w:hAnsi="Arial" w:cs="Arial"/>
          <w:sz w:val="20"/>
        </w:rPr>
        <w:t>1</w:t>
      </w:r>
      <w:r w:rsidR="006A76D9">
        <w:rPr>
          <w:rFonts w:ascii="Arial" w:hAnsi="Arial" w:cs="Arial"/>
          <w:sz w:val="20"/>
        </w:rPr>
        <w:t>2</w:t>
      </w:r>
      <w:r w:rsidR="006B7E05">
        <w:rPr>
          <w:rFonts w:ascii="Arial" w:hAnsi="Arial" w:cs="Arial"/>
          <w:sz w:val="20"/>
        </w:rPr>
        <w:t xml:space="preserve"> of the instrument</w:t>
      </w:r>
      <w:r w:rsidR="003D5817" w:rsidRPr="0092230E">
        <w:rPr>
          <w:rFonts w:ascii="Arial" w:hAnsi="Arial" w:cs="Arial"/>
          <w:sz w:val="20"/>
        </w:rPr>
        <w:t xml:space="preserve">, an amount is an inter-person input payment only if the person receiving the payment includes the amount (or would be required to do so if they were a participating person) as part of their gross telecommunications sales revenue and does not claim the amount as a deduction under the </w:t>
      </w:r>
      <w:r w:rsidR="00D224DF">
        <w:rPr>
          <w:rFonts w:ascii="Arial" w:hAnsi="Arial" w:cs="Arial"/>
          <w:sz w:val="20"/>
        </w:rPr>
        <w:t>instrument</w:t>
      </w:r>
      <w:r w:rsidR="003D5817" w:rsidRPr="0092230E">
        <w:rPr>
          <w:rFonts w:ascii="Arial" w:hAnsi="Arial" w:cs="Arial"/>
          <w:sz w:val="20"/>
        </w:rPr>
        <w:t xml:space="preserve">. </w:t>
      </w:r>
    </w:p>
    <w:p w14:paraId="0423F8D4" w14:textId="475AFA49" w:rsidR="00F61058" w:rsidRPr="0092230E" w:rsidRDefault="00A53AEF" w:rsidP="00A53AEF">
      <w:pPr>
        <w:pStyle w:val="ABABulletLevel1"/>
        <w:spacing w:after="120"/>
        <w:rPr>
          <w:rFonts w:ascii="Arial" w:hAnsi="Arial" w:cs="Arial"/>
          <w:sz w:val="20"/>
        </w:rPr>
      </w:pPr>
      <w:r w:rsidRPr="0092230E">
        <w:rPr>
          <w:rFonts w:ascii="Arial" w:hAnsi="Arial" w:cs="Arial"/>
          <w:sz w:val="20"/>
        </w:rPr>
        <w:t xml:space="preserve">Section </w:t>
      </w:r>
      <w:r w:rsidR="001E60C9">
        <w:rPr>
          <w:rFonts w:ascii="Arial" w:hAnsi="Arial" w:cs="Arial"/>
          <w:sz w:val="20"/>
        </w:rPr>
        <w:t>3</w:t>
      </w:r>
      <w:r w:rsidR="00FD4D3F">
        <w:rPr>
          <w:rFonts w:ascii="Arial" w:hAnsi="Arial" w:cs="Arial"/>
          <w:sz w:val="20"/>
        </w:rPr>
        <w:t>1</w:t>
      </w:r>
      <w:r w:rsidR="006B7E05">
        <w:rPr>
          <w:rFonts w:ascii="Arial" w:hAnsi="Arial" w:cs="Arial"/>
          <w:sz w:val="20"/>
        </w:rPr>
        <w:t xml:space="preserve"> of the instrument</w:t>
      </w:r>
      <w:r w:rsidR="00AA56D6" w:rsidRPr="0092230E">
        <w:rPr>
          <w:rFonts w:ascii="Arial" w:hAnsi="Arial" w:cs="Arial"/>
          <w:sz w:val="20"/>
        </w:rPr>
        <w:t xml:space="preserve"> </w:t>
      </w:r>
      <w:r w:rsidRPr="0092230E">
        <w:rPr>
          <w:rFonts w:ascii="Arial" w:hAnsi="Arial" w:cs="Arial"/>
          <w:sz w:val="20"/>
        </w:rPr>
        <w:t xml:space="preserve">clarifies that </w:t>
      </w:r>
      <w:r w:rsidR="00F61058" w:rsidRPr="0092230E">
        <w:rPr>
          <w:rFonts w:ascii="Arial" w:hAnsi="Arial" w:cs="Arial"/>
          <w:sz w:val="20"/>
        </w:rPr>
        <w:t xml:space="preserve">such payments </w:t>
      </w:r>
      <w:r w:rsidRPr="0092230E">
        <w:rPr>
          <w:rFonts w:ascii="Arial" w:hAnsi="Arial" w:cs="Arial"/>
          <w:sz w:val="20"/>
        </w:rPr>
        <w:t xml:space="preserve">are only deductible if the </w:t>
      </w:r>
      <w:r w:rsidR="007B48CA" w:rsidRPr="0092230E">
        <w:rPr>
          <w:rFonts w:ascii="Arial" w:hAnsi="Arial" w:cs="Arial"/>
          <w:sz w:val="20"/>
        </w:rPr>
        <w:t xml:space="preserve">payment is made while the first </w:t>
      </w:r>
      <w:r w:rsidR="00BC7480" w:rsidRPr="0092230E">
        <w:rPr>
          <w:rFonts w:ascii="Arial" w:hAnsi="Arial" w:cs="Arial"/>
          <w:sz w:val="20"/>
        </w:rPr>
        <w:t xml:space="preserve">participating </w:t>
      </w:r>
      <w:r w:rsidR="007B48CA" w:rsidRPr="0092230E">
        <w:rPr>
          <w:rFonts w:ascii="Arial" w:hAnsi="Arial" w:cs="Arial"/>
          <w:sz w:val="20"/>
        </w:rPr>
        <w:t xml:space="preserve">person </w:t>
      </w:r>
      <w:r w:rsidR="009F20FA">
        <w:rPr>
          <w:rFonts w:ascii="Arial" w:hAnsi="Arial" w:cs="Arial"/>
          <w:sz w:val="20"/>
        </w:rPr>
        <w:t xml:space="preserve">and </w:t>
      </w:r>
      <w:r w:rsidR="007B48CA" w:rsidRPr="0092230E">
        <w:rPr>
          <w:rFonts w:ascii="Arial" w:hAnsi="Arial" w:cs="Arial"/>
          <w:sz w:val="20"/>
        </w:rPr>
        <w:t>the second person</w:t>
      </w:r>
      <w:r w:rsidR="004065B1" w:rsidRPr="0092230E">
        <w:rPr>
          <w:rFonts w:ascii="Arial" w:hAnsi="Arial" w:cs="Arial"/>
          <w:sz w:val="20"/>
        </w:rPr>
        <w:t xml:space="preserve"> </w:t>
      </w:r>
      <w:r w:rsidR="007403E0" w:rsidRPr="0092230E">
        <w:rPr>
          <w:rFonts w:ascii="Arial" w:hAnsi="Arial" w:cs="Arial"/>
          <w:sz w:val="20"/>
        </w:rPr>
        <w:t>a</w:t>
      </w:r>
      <w:r w:rsidR="007B48CA" w:rsidRPr="0092230E">
        <w:rPr>
          <w:rFonts w:ascii="Arial" w:hAnsi="Arial" w:cs="Arial"/>
          <w:sz w:val="20"/>
        </w:rPr>
        <w:t xml:space="preserve">re each either a </w:t>
      </w:r>
      <w:r w:rsidRPr="0092230E">
        <w:rPr>
          <w:rFonts w:ascii="Arial" w:hAnsi="Arial" w:cs="Arial"/>
          <w:sz w:val="20"/>
        </w:rPr>
        <w:t xml:space="preserve">carrier, </w:t>
      </w:r>
      <w:r w:rsidR="007B48CA" w:rsidRPr="0092230E">
        <w:rPr>
          <w:rFonts w:ascii="Arial" w:hAnsi="Arial" w:cs="Arial"/>
          <w:sz w:val="20"/>
        </w:rPr>
        <w:t xml:space="preserve">a </w:t>
      </w:r>
      <w:r w:rsidR="004A3E33" w:rsidRPr="0092230E">
        <w:rPr>
          <w:rFonts w:ascii="Arial" w:hAnsi="Arial" w:cs="Arial"/>
          <w:sz w:val="20"/>
        </w:rPr>
        <w:t xml:space="preserve">participating </w:t>
      </w:r>
      <w:r w:rsidRPr="0092230E">
        <w:rPr>
          <w:rFonts w:ascii="Arial" w:hAnsi="Arial" w:cs="Arial"/>
          <w:sz w:val="20"/>
        </w:rPr>
        <w:t>carriage service provider</w:t>
      </w:r>
      <w:r w:rsidR="00807D74">
        <w:rPr>
          <w:rFonts w:ascii="Arial" w:hAnsi="Arial" w:cs="Arial"/>
          <w:sz w:val="20"/>
        </w:rPr>
        <w:t xml:space="preserve"> or a </w:t>
      </w:r>
      <w:r w:rsidR="0008289F">
        <w:rPr>
          <w:rFonts w:ascii="Arial" w:hAnsi="Arial" w:cs="Arial"/>
          <w:sz w:val="20"/>
        </w:rPr>
        <w:t xml:space="preserve">prescribed </w:t>
      </w:r>
      <w:r w:rsidR="00807D74">
        <w:rPr>
          <w:rFonts w:ascii="Arial" w:hAnsi="Arial" w:cs="Arial"/>
          <w:sz w:val="20"/>
        </w:rPr>
        <w:t>participating person</w:t>
      </w:r>
      <w:r w:rsidRPr="0092230E">
        <w:rPr>
          <w:rFonts w:ascii="Arial" w:hAnsi="Arial" w:cs="Arial"/>
          <w:sz w:val="20"/>
        </w:rPr>
        <w:t xml:space="preserve">. </w:t>
      </w:r>
    </w:p>
    <w:p w14:paraId="730D83E7" w14:textId="08409BB0" w:rsidR="00A53AEF" w:rsidRPr="0092230E" w:rsidRDefault="00A53AEF" w:rsidP="00EB4948">
      <w:pPr>
        <w:pStyle w:val="ABABulletLevel1"/>
        <w:spacing w:after="120"/>
        <w:rPr>
          <w:rFonts w:ascii="Arial" w:hAnsi="Arial" w:cs="Arial"/>
          <w:sz w:val="20"/>
        </w:rPr>
      </w:pPr>
      <w:r w:rsidRPr="0092230E">
        <w:rPr>
          <w:rFonts w:ascii="Arial" w:hAnsi="Arial" w:cs="Arial"/>
          <w:sz w:val="20"/>
        </w:rPr>
        <w:t xml:space="preserve">Section </w:t>
      </w:r>
      <w:r w:rsidR="001E60C9">
        <w:rPr>
          <w:rFonts w:ascii="Arial" w:hAnsi="Arial" w:cs="Arial"/>
          <w:sz w:val="20"/>
        </w:rPr>
        <w:t>3</w:t>
      </w:r>
      <w:r w:rsidR="00FD4D3F">
        <w:rPr>
          <w:rFonts w:ascii="Arial" w:hAnsi="Arial" w:cs="Arial"/>
          <w:sz w:val="20"/>
        </w:rPr>
        <w:t>1</w:t>
      </w:r>
      <w:r w:rsidR="00AA56D6" w:rsidRPr="0092230E">
        <w:rPr>
          <w:rFonts w:ascii="Arial" w:hAnsi="Arial" w:cs="Arial"/>
          <w:sz w:val="20"/>
        </w:rPr>
        <w:t xml:space="preserve"> </w:t>
      </w:r>
      <w:r w:rsidR="006B7E05">
        <w:rPr>
          <w:rFonts w:ascii="Arial" w:hAnsi="Arial" w:cs="Arial"/>
          <w:sz w:val="20"/>
        </w:rPr>
        <w:t>of the instrument</w:t>
      </w:r>
      <w:r w:rsidR="006B7E05" w:rsidRPr="0092230E">
        <w:rPr>
          <w:rFonts w:ascii="Arial" w:hAnsi="Arial" w:cs="Arial"/>
          <w:sz w:val="20"/>
        </w:rPr>
        <w:t xml:space="preserve"> </w:t>
      </w:r>
      <w:r w:rsidRPr="0092230E">
        <w:rPr>
          <w:rFonts w:ascii="Arial" w:hAnsi="Arial" w:cs="Arial"/>
          <w:sz w:val="20"/>
        </w:rPr>
        <w:t xml:space="preserve">allows deductions of </w:t>
      </w:r>
      <w:r w:rsidR="00542109" w:rsidRPr="0092230E">
        <w:rPr>
          <w:rFonts w:ascii="Arial" w:hAnsi="Arial" w:cs="Arial"/>
          <w:sz w:val="20"/>
        </w:rPr>
        <w:t>payments made</w:t>
      </w:r>
      <w:r w:rsidRPr="0092230E">
        <w:rPr>
          <w:rFonts w:ascii="Arial" w:hAnsi="Arial" w:cs="Arial"/>
          <w:sz w:val="20"/>
        </w:rPr>
        <w:t xml:space="preserve"> by participating persons and consolidated related parties and the deduction of a proportion of </w:t>
      </w:r>
      <w:r w:rsidR="008D7353" w:rsidRPr="0092230E">
        <w:rPr>
          <w:rFonts w:ascii="Arial" w:hAnsi="Arial" w:cs="Arial"/>
          <w:sz w:val="20"/>
        </w:rPr>
        <w:t>any</w:t>
      </w:r>
      <w:r w:rsidR="00542109" w:rsidRPr="0092230E">
        <w:rPr>
          <w:rFonts w:ascii="Arial" w:hAnsi="Arial" w:cs="Arial"/>
          <w:sz w:val="20"/>
        </w:rPr>
        <w:t xml:space="preserve"> payments made</w:t>
      </w:r>
      <w:r w:rsidRPr="0092230E">
        <w:rPr>
          <w:rFonts w:ascii="Arial" w:hAnsi="Arial" w:cs="Arial"/>
          <w:sz w:val="20"/>
        </w:rPr>
        <w:t xml:space="preserve"> by declared related parties where the payment amount claimed for an entity as a deduction was </w:t>
      </w:r>
      <w:r w:rsidR="00542109" w:rsidRPr="0092230E">
        <w:rPr>
          <w:rFonts w:ascii="Arial" w:hAnsi="Arial" w:cs="Arial"/>
          <w:sz w:val="20"/>
        </w:rPr>
        <w:t>incurred</w:t>
      </w:r>
      <w:r w:rsidRPr="0092230E">
        <w:rPr>
          <w:rFonts w:ascii="Arial" w:hAnsi="Arial" w:cs="Arial"/>
          <w:sz w:val="20"/>
        </w:rPr>
        <w:t xml:space="preserve"> by the same entity </w:t>
      </w:r>
      <w:r w:rsidR="0092227D">
        <w:rPr>
          <w:rFonts w:ascii="Arial" w:hAnsi="Arial" w:cs="Arial"/>
          <w:sz w:val="20"/>
        </w:rPr>
        <w:t xml:space="preserve">providing </w:t>
      </w:r>
      <w:r w:rsidR="00542109" w:rsidRPr="0092230E">
        <w:rPr>
          <w:rFonts w:ascii="Arial" w:hAnsi="Arial" w:cs="Arial"/>
          <w:sz w:val="20"/>
        </w:rPr>
        <w:t xml:space="preserve">a </w:t>
      </w:r>
      <w:r w:rsidR="00134E23">
        <w:rPr>
          <w:rFonts w:ascii="Arial" w:hAnsi="Arial" w:cs="Arial"/>
          <w:sz w:val="20"/>
        </w:rPr>
        <w:t xml:space="preserve">telecommunications </w:t>
      </w:r>
      <w:r w:rsidR="00542109" w:rsidRPr="0092230E">
        <w:rPr>
          <w:rFonts w:ascii="Arial" w:hAnsi="Arial" w:cs="Arial"/>
          <w:sz w:val="20"/>
        </w:rPr>
        <w:t>carriage service</w:t>
      </w:r>
      <w:r w:rsidRPr="0092230E">
        <w:rPr>
          <w:rFonts w:ascii="Arial" w:hAnsi="Arial" w:cs="Arial"/>
          <w:sz w:val="20"/>
        </w:rPr>
        <w:t>.</w:t>
      </w:r>
    </w:p>
    <w:p w14:paraId="35453FDF" w14:textId="77777777" w:rsidR="00805596" w:rsidRDefault="00805596" w:rsidP="00A25946">
      <w:pPr>
        <w:pStyle w:val="ABABulletLevel1"/>
        <w:keepNext/>
        <w:spacing w:after="120"/>
        <w:rPr>
          <w:rFonts w:ascii="Arial" w:hAnsi="Arial" w:cs="Arial"/>
          <w:b/>
          <w:sz w:val="20"/>
        </w:rPr>
      </w:pPr>
    </w:p>
    <w:p w14:paraId="14F48853" w14:textId="4693F5B0" w:rsidR="00A25946" w:rsidRPr="0092230E" w:rsidRDefault="004E66E8" w:rsidP="00A25946">
      <w:pPr>
        <w:pStyle w:val="ABABulletLevel1"/>
        <w:keepNext/>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3</w:t>
      </w:r>
      <w:r w:rsidR="00FD4D3F">
        <w:rPr>
          <w:rFonts w:ascii="Arial" w:hAnsi="Arial" w:cs="Arial"/>
          <w:b/>
          <w:sz w:val="20"/>
        </w:rPr>
        <w:t>2</w:t>
      </w:r>
      <w:r w:rsidR="00067542" w:rsidRPr="0092230E">
        <w:rPr>
          <w:rFonts w:ascii="Arial" w:hAnsi="Arial" w:cs="Arial"/>
          <w:b/>
          <w:sz w:val="20"/>
        </w:rPr>
        <w:t xml:space="preserve"> </w:t>
      </w:r>
      <w:r w:rsidRPr="0092230E">
        <w:rPr>
          <w:rFonts w:ascii="Arial" w:hAnsi="Arial" w:cs="Arial"/>
          <w:b/>
          <w:sz w:val="20"/>
        </w:rPr>
        <w:t xml:space="preserve">– </w:t>
      </w:r>
      <w:r w:rsidR="003D5817" w:rsidRPr="0092230E">
        <w:rPr>
          <w:rFonts w:ascii="Arial" w:hAnsi="Arial" w:cs="Arial"/>
          <w:b/>
          <w:sz w:val="20"/>
        </w:rPr>
        <w:t>O</w:t>
      </w:r>
      <w:r w:rsidRPr="0092230E">
        <w:rPr>
          <w:rFonts w:ascii="Arial" w:hAnsi="Arial" w:cs="Arial"/>
          <w:b/>
          <w:sz w:val="20"/>
        </w:rPr>
        <w:t>ther input amounts</w:t>
      </w:r>
    </w:p>
    <w:p w14:paraId="041E9BBE" w14:textId="774D0D7A" w:rsidR="004E66E8" w:rsidRPr="0092230E" w:rsidRDefault="004E66E8" w:rsidP="004E66E8">
      <w:pPr>
        <w:pStyle w:val="ABABulletLevel1"/>
        <w:spacing w:after="120"/>
        <w:rPr>
          <w:rFonts w:ascii="Arial" w:hAnsi="Arial" w:cs="Arial"/>
          <w:sz w:val="20"/>
        </w:rPr>
      </w:pPr>
      <w:r w:rsidRPr="0092230E">
        <w:rPr>
          <w:rFonts w:ascii="Arial" w:hAnsi="Arial" w:cs="Arial"/>
          <w:sz w:val="20"/>
        </w:rPr>
        <w:t xml:space="preserve">Section </w:t>
      </w:r>
      <w:r w:rsidR="00AA56D6" w:rsidRPr="0092230E">
        <w:rPr>
          <w:rFonts w:ascii="Arial" w:hAnsi="Arial" w:cs="Arial"/>
          <w:sz w:val="20"/>
        </w:rPr>
        <w:t>3</w:t>
      </w:r>
      <w:r w:rsidR="00FD4D3F">
        <w:rPr>
          <w:rFonts w:ascii="Arial" w:hAnsi="Arial" w:cs="Arial"/>
          <w:sz w:val="20"/>
        </w:rPr>
        <w:t>2</w:t>
      </w:r>
      <w:r w:rsidR="00AA56D6"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provides that the ACMA may declare that a specified </w:t>
      </w:r>
      <w:r w:rsidR="00496C8F">
        <w:rPr>
          <w:rFonts w:ascii="Arial" w:hAnsi="Arial" w:cs="Arial"/>
          <w:sz w:val="20"/>
        </w:rPr>
        <w:t xml:space="preserve">amount paid or payable by a specified participating person, or a specified consolidated related party or declared related party of a participating person is an </w:t>
      </w:r>
      <w:r w:rsidRPr="0092230E">
        <w:rPr>
          <w:rFonts w:ascii="Arial" w:hAnsi="Arial" w:cs="Arial"/>
          <w:sz w:val="20"/>
        </w:rPr>
        <w:t xml:space="preserve">input amount. </w:t>
      </w:r>
      <w:r w:rsidR="00EF6158">
        <w:rPr>
          <w:rFonts w:ascii="Arial" w:hAnsi="Arial" w:cs="Arial"/>
          <w:sz w:val="20"/>
        </w:rPr>
        <w:t xml:space="preserve">Once declared, </w:t>
      </w:r>
      <w:r w:rsidRPr="0092230E">
        <w:rPr>
          <w:rFonts w:ascii="Arial" w:hAnsi="Arial" w:cs="Arial"/>
          <w:sz w:val="20"/>
        </w:rPr>
        <w:t xml:space="preserve">a participating person may </w:t>
      </w:r>
      <w:r w:rsidRPr="0092230E">
        <w:rPr>
          <w:rFonts w:ascii="Arial" w:hAnsi="Arial" w:cs="Arial"/>
          <w:sz w:val="20"/>
        </w:rPr>
        <w:lastRenderedPageBreak/>
        <w:t xml:space="preserve">deduct </w:t>
      </w:r>
      <w:r w:rsidR="00EF6158">
        <w:rPr>
          <w:rFonts w:ascii="Arial" w:hAnsi="Arial" w:cs="Arial"/>
          <w:sz w:val="20"/>
        </w:rPr>
        <w:t xml:space="preserve">that </w:t>
      </w:r>
      <w:r w:rsidRPr="0092230E">
        <w:rPr>
          <w:rFonts w:ascii="Arial" w:hAnsi="Arial" w:cs="Arial"/>
          <w:sz w:val="20"/>
        </w:rPr>
        <w:t xml:space="preserve">amount from its gross telecommunications </w:t>
      </w:r>
      <w:proofErr w:type="gramStart"/>
      <w:r w:rsidRPr="0092230E">
        <w:rPr>
          <w:rFonts w:ascii="Arial" w:hAnsi="Arial" w:cs="Arial"/>
          <w:sz w:val="20"/>
        </w:rPr>
        <w:t>sales</w:t>
      </w:r>
      <w:proofErr w:type="gramEnd"/>
      <w:r w:rsidRPr="0092230E">
        <w:rPr>
          <w:rFonts w:ascii="Arial" w:hAnsi="Arial" w:cs="Arial"/>
          <w:sz w:val="20"/>
        </w:rPr>
        <w:t xml:space="preserve"> revenue.</w:t>
      </w:r>
      <w:r w:rsidR="00AE28E6" w:rsidRPr="0092230E">
        <w:rPr>
          <w:rFonts w:ascii="Arial" w:hAnsi="Arial" w:cs="Arial"/>
          <w:sz w:val="20"/>
        </w:rPr>
        <w:t xml:space="preserve"> Subsection </w:t>
      </w:r>
      <w:r w:rsidR="00AA56D6" w:rsidRPr="0092230E">
        <w:rPr>
          <w:rFonts w:ascii="Arial" w:hAnsi="Arial" w:cs="Arial"/>
          <w:sz w:val="20"/>
        </w:rPr>
        <w:t>3</w:t>
      </w:r>
      <w:r w:rsidR="00FF6569">
        <w:rPr>
          <w:rFonts w:ascii="Arial" w:hAnsi="Arial" w:cs="Arial"/>
          <w:sz w:val="20"/>
        </w:rPr>
        <w:t>2</w:t>
      </w:r>
      <w:r w:rsidR="00AE28E6" w:rsidRPr="0092230E">
        <w:rPr>
          <w:rFonts w:ascii="Arial" w:hAnsi="Arial" w:cs="Arial"/>
          <w:sz w:val="20"/>
        </w:rPr>
        <w:t xml:space="preserve">(2) </w:t>
      </w:r>
      <w:r w:rsidR="00443DF8">
        <w:rPr>
          <w:rFonts w:ascii="Arial" w:hAnsi="Arial" w:cs="Arial"/>
          <w:sz w:val="20"/>
        </w:rPr>
        <w:t>of the instrument</w:t>
      </w:r>
      <w:r w:rsidR="00443DF8" w:rsidRPr="0092230E">
        <w:rPr>
          <w:rFonts w:ascii="Arial" w:hAnsi="Arial" w:cs="Arial"/>
          <w:sz w:val="20"/>
        </w:rPr>
        <w:t xml:space="preserve"> </w:t>
      </w:r>
      <w:r w:rsidR="00AE28E6" w:rsidRPr="0092230E">
        <w:rPr>
          <w:rFonts w:ascii="Arial" w:hAnsi="Arial" w:cs="Arial"/>
          <w:sz w:val="20"/>
        </w:rPr>
        <w:t xml:space="preserve">provides that the declaration may relate to one or more specified participating persons, but not all participating persons. </w:t>
      </w:r>
    </w:p>
    <w:p w14:paraId="2549755B" w14:textId="447D8964" w:rsidR="004E66E8" w:rsidRPr="0092230E" w:rsidRDefault="004E66E8" w:rsidP="004E66E8">
      <w:pPr>
        <w:pStyle w:val="ABABulletLevel1"/>
        <w:spacing w:after="120"/>
        <w:rPr>
          <w:rFonts w:ascii="Arial" w:hAnsi="Arial" w:cs="Arial"/>
          <w:sz w:val="20"/>
        </w:rPr>
      </w:pPr>
      <w:r w:rsidRPr="0092230E">
        <w:rPr>
          <w:rFonts w:ascii="Arial" w:hAnsi="Arial" w:cs="Arial"/>
          <w:sz w:val="20"/>
        </w:rPr>
        <w:t>This section provides scope for the ACMA to extend the provisions to enable participating persons, in calculating their eligible revenue, to deduct various declared input costs or amounts</w:t>
      </w:r>
      <w:r w:rsidR="00AE28E6" w:rsidRPr="0092230E">
        <w:rPr>
          <w:rFonts w:ascii="Arial" w:hAnsi="Arial" w:cs="Arial"/>
          <w:sz w:val="20"/>
        </w:rPr>
        <w:t xml:space="preserve"> which are not otherwise deductible under the </w:t>
      </w:r>
      <w:proofErr w:type="gramStart"/>
      <w:r w:rsidR="00D224DF">
        <w:rPr>
          <w:rFonts w:ascii="Arial" w:hAnsi="Arial" w:cs="Arial"/>
          <w:sz w:val="20"/>
        </w:rPr>
        <w:t>instrument</w:t>
      </w:r>
      <w:r w:rsidRPr="0092230E">
        <w:rPr>
          <w:rFonts w:ascii="Arial" w:hAnsi="Arial" w:cs="Arial"/>
          <w:sz w:val="20"/>
        </w:rPr>
        <w:t>, and</w:t>
      </w:r>
      <w:proofErr w:type="gramEnd"/>
      <w:r w:rsidRPr="0092230E">
        <w:rPr>
          <w:rFonts w:ascii="Arial" w:hAnsi="Arial" w:cs="Arial"/>
          <w:sz w:val="20"/>
        </w:rPr>
        <w:t xml:space="preserve"> thus make the definition of eligible revenue </w:t>
      </w:r>
      <w:r w:rsidR="00FB1C79">
        <w:rPr>
          <w:rFonts w:ascii="Arial" w:hAnsi="Arial" w:cs="Arial"/>
          <w:sz w:val="20"/>
        </w:rPr>
        <w:t xml:space="preserve">a </w:t>
      </w:r>
      <w:r w:rsidRPr="0092230E">
        <w:rPr>
          <w:rFonts w:ascii="Arial" w:hAnsi="Arial" w:cs="Arial"/>
          <w:sz w:val="20"/>
        </w:rPr>
        <w:t xml:space="preserve">better approximate </w:t>
      </w:r>
      <w:r w:rsidR="00FB1C79">
        <w:rPr>
          <w:rFonts w:ascii="Arial" w:hAnsi="Arial" w:cs="Arial"/>
          <w:sz w:val="20"/>
        </w:rPr>
        <w:t xml:space="preserve">as </w:t>
      </w:r>
      <w:r w:rsidRPr="0092230E">
        <w:rPr>
          <w:rFonts w:ascii="Arial" w:hAnsi="Arial" w:cs="Arial"/>
          <w:sz w:val="20"/>
        </w:rPr>
        <w:t>a value-added based levy.</w:t>
      </w:r>
    </w:p>
    <w:p w14:paraId="0E27F9C8" w14:textId="77777777" w:rsidR="00D02A4C" w:rsidRPr="0092230E" w:rsidRDefault="00D02A4C" w:rsidP="00003029">
      <w:pPr>
        <w:pStyle w:val="ABABulletLevel1"/>
        <w:spacing w:after="120"/>
        <w:rPr>
          <w:rFonts w:ascii="Arial" w:hAnsi="Arial" w:cs="Arial"/>
          <w:b/>
          <w:sz w:val="20"/>
        </w:rPr>
      </w:pPr>
    </w:p>
    <w:p w14:paraId="2EA61957" w14:textId="415AB316" w:rsidR="00003029" w:rsidRPr="0092230E" w:rsidRDefault="00003029" w:rsidP="00003029">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3</w:t>
      </w:r>
      <w:r w:rsidR="001D6D70">
        <w:rPr>
          <w:rFonts w:ascii="Arial" w:hAnsi="Arial" w:cs="Arial"/>
          <w:b/>
          <w:sz w:val="20"/>
        </w:rPr>
        <w:t>3</w:t>
      </w:r>
      <w:r w:rsidR="00067542" w:rsidRPr="0092230E">
        <w:rPr>
          <w:rFonts w:ascii="Arial" w:hAnsi="Arial" w:cs="Arial"/>
          <w:b/>
          <w:sz w:val="20"/>
        </w:rPr>
        <w:t xml:space="preserve"> </w:t>
      </w:r>
      <w:r w:rsidRPr="0092230E">
        <w:rPr>
          <w:rFonts w:ascii="Arial" w:hAnsi="Arial" w:cs="Arial"/>
          <w:b/>
          <w:sz w:val="20"/>
        </w:rPr>
        <w:t>– Limit on deductions</w:t>
      </w:r>
    </w:p>
    <w:p w14:paraId="3526F479" w14:textId="38E16D09" w:rsidR="00F33942" w:rsidRPr="0092230E" w:rsidRDefault="00003029" w:rsidP="00003029">
      <w:pPr>
        <w:pStyle w:val="ABABulletLevel1"/>
        <w:spacing w:after="120"/>
        <w:rPr>
          <w:rFonts w:ascii="Arial" w:hAnsi="Arial" w:cs="Arial"/>
          <w:sz w:val="20"/>
        </w:rPr>
      </w:pPr>
      <w:r w:rsidRPr="0092230E">
        <w:rPr>
          <w:rFonts w:ascii="Arial" w:hAnsi="Arial" w:cs="Arial"/>
          <w:sz w:val="20"/>
        </w:rPr>
        <w:t>S</w:t>
      </w:r>
      <w:r w:rsidR="00F91906" w:rsidRPr="0092230E">
        <w:rPr>
          <w:rFonts w:ascii="Arial" w:hAnsi="Arial" w:cs="Arial"/>
          <w:sz w:val="20"/>
        </w:rPr>
        <w:t>ubs</w:t>
      </w:r>
      <w:r w:rsidRPr="0092230E">
        <w:rPr>
          <w:rFonts w:ascii="Arial" w:hAnsi="Arial" w:cs="Arial"/>
          <w:sz w:val="20"/>
        </w:rPr>
        <w:t xml:space="preserve">ection </w:t>
      </w:r>
      <w:r w:rsidR="00AA56D6" w:rsidRPr="0092230E">
        <w:rPr>
          <w:rFonts w:ascii="Arial" w:hAnsi="Arial" w:cs="Arial"/>
          <w:sz w:val="20"/>
        </w:rPr>
        <w:t>3</w:t>
      </w:r>
      <w:r w:rsidR="001D6D70">
        <w:rPr>
          <w:rFonts w:ascii="Arial" w:hAnsi="Arial" w:cs="Arial"/>
          <w:sz w:val="20"/>
        </w:rPr>
        <w:t>3</w:t>
      </w:r>
      <w:r w:rsidR="00F91906" w:rsidRPr="0092230E">
        <w:rPr>
          <w:rFonts w:ascii="Arial" w:hAnsi="Arial" w:cs="Arial"/>
          <w:sz w:val="20"/>
        </w:rPr>
        <w:t xml:space="preserve">(1)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clarifies that an amount to be deducted under sections </w:t>
      </w:r>
      <w:r w:rsidR="00AA56D6" w:rsidRPr="0092230E">
        <w:rPr>
          <w:rFonts w:ascii="Arial" w:hAnsi="Arial" w:cs="Arial"/>
          <w:sz w:val="20"/>
        </w:rPr>
        <w:t>2</w:t>
      </w:r>
      <w:r w:rsidR="001D6D70">
        <w:rPr>
          <w:rFonts w:ascii="Arial" w:hAnsi="Arial" w:cs="Arial"/>
          <w:sz w:val="20"/>
        </w:rPr>
        <w:t>5</w:t>
      </w:r>
      <w:r w:rsidR="00AA56D6" w:rsidRPr="0092230E">
        <w:rPr>
          <w:rFonts w:ascii="Arial" w:hAnsi="Arial" w:cs="Arial"/>
          <w:sz w:val="20"/>
        </w:rPr>
        <w:t xml:space="preserve"> </w:t>
      </w:r>
      <w:r w:rsidRPr="0092230E">
        <w:rPr>
          <w:rFonts w:ascii="Arial" w:hAnsi="Arial" w:cs="Arial"/>
          <w:sz w:val="20"/>
        </w:rPr>
        <w:t xml:space="preserve">to </w:t>
      </w:r>
      <w:r w:rsidR="001D6D70">
        <w:rPr>
          <w:rFonts w:ascii="Arial" w:hAnsi="Arial" w:cs="Arial"/>
          <w:sz w:val="20"/>
        </w:rPr>
        <w:t>30</w:t>
      </w:r>
      <w:r w:rsidR="00AA56D6" w:rsidRPr="0092230E">
        <w:rPr>
          <w:rFonts w:ascii="Arial" w:hAnsi="Arial" w:cs="Arial"/>
          <w:sz w:val="20"/>
        </w:rPr>
        <w:t xml:space="preserve"> </w:t>
      </w:r>
      <w:r w:rsidRPr="0092230E">
        <w:rPr>
          <w:rFonts w:ascii="Arial" w:hAnsi="Arial" w:cs="Arial"/>
          <w:sz w:val="20"/>
        </w:rPr>
        <w:t xml:space="preserve">must not exceed the total </w:t>
      </w:r>
      <w:r w:rsidR="003D4F25">
        <w:rPr>
          <w:rFonts w:ascii="Arial" w:hAnsi="Arial" w:cs="Arial"/>
          <w:sz w:val="20"/>
        </w:rPr>
        <w:t xml:space="preserve">net </w:t>
      </w:r>
      <w:r w:rsidRPr="0092230E">
        <w:rPr>
          <w:rFonts w:ascii="Arial" w:hAnsi="Arial" w:cs="Arial"/>
          <w:sz w:val="20"/>
        </w:rPr>
        <w:t>amount received by the participating person</w:t>
      </w:r>
      <w:r w:rsidR="00DA1A76" w:rsidRPr="0092230E">
        <w:rPr>
          <w:rFonts w:ascii="Arial" w:hAnsi="Arial" w:cs="Arial"/>
          <w:sz w:val="20"/>
        </w:rPr>
        <w:t xml:space="preserve"> or its related party</w:t>
      </w:r>
      <w:r w:rsidRPr="0092230E">
        <w:rPr>
          <w:rFonts w:ascii="Arial" w:hAnsi="Arial" w:cs="Arial"/>
          <w:sz w:val="20"/>
        </w:rPr>
        <w:t xml:space="preserve"> in connection with the activity that created the deductible amount</w:t>
      </w:r>
      <w:r w:rsidR="004065B1" w:rsidRPr="0092230E">
        <w:rPr>
          <w:rFonts w:ascii="Arial" w:hAnsi="Arial" w:cs="Arial"/>
          <w:sz w:val="20"/>
        </w:rPr>
        <w:t>, in relation to the relevant eligible revenue period</w:t>
      </w:r>
      <w:r w:rsidRPr="0092230E">
        <w:rPr>
          <w:rFonts w:ascii="Arial" w:hAnsi="Arial" w:cs="Arial"/>
          <w:sz w:val="20"/>
        </w:rPr>
        <w:t xml:space="preserve">. </w:t>
      </w:r>
    </w:p>
    <w:p w14:paraId="327DA5F1" w14:textId="0D5F4B9E" w:rsidR="00003029" w:rsidRPr="0092230E" w:rsidRDefault="00003029" w:rsidP="00003029">
      <w:pPr>
        <w:pStyle w:val="ABABulletLevel1"/>
        <w:spacing w:after="120"/>
        <w:rPr>
          <w:rFonts w:ascii="Arial" w:hAnsi="Arial" w:cs="Arial"/>
          <w:sz w:val="20"/>
        </w:rPr>
      </w:pPr>
      <w:r w:rsidRPr="0092230E">
        <w:rPr>
          <w:rFonts w:ascii="Arial" w:hAnsi="Arial" w:cs="Arial"/>
          <w:sz w:val="20"/>
        </w:rPr>
        <w:t>Similarly,</w:t>
      </w:r>
      <w:r w:rsidR="00F33942" w:rsidRPr="0092230E">
        <w:rPr>
          <w:rFonts w:ascii="Arial" w:hAnsi="Arial" w:cs="Arial"/>
          <w:sz w:val="20"/>
        </w:rPr>
        <w:t xml:space="preserve"> subsection </w:t>
      </w:r>
      <w:r w:rsidR="00AA56D6" w:rsidRPr="0092230E">
        <w:rPr>
          <w:rFonts w:ascii="Arial" w:hAnsi="Arial" w:cs="Arial"/>
          <w:sz w:val="20"/>
        </w:rPr>
        <w:t>3</w:t>
      </w:r>
      <w:r w:rsidR="001D6D70">
        <w:rPr>
          <w:rFonts w:ascii="Arial" w:hAnsi="Arial" w:cs="Arial"/>
          <w:sz w:val="20"/>
        </w:rPr>
        <w:t>3</w:t>
      </w:r>
      <w:r w:rsidR="00F33942" w:rsidRPr="0092230E">
        <w:rPr>
          <w:rFonts w:ascii="Arial" w:hAnsi="Arial" w:cs="Arial"/>
          <w:sz w:val="20"/>
        </w:rPr>
        <w:t xml:space="preserve">(2) </w:t>
      </w:r>
      <w:r w:rsidR="00443DF8">
        <w:rPr>
          <w:rFonts w:ascii="Arial" w:hAnsi="Arial" w:cs="Arial"/>
          <w:sz w:val="20"/>
        </w:rPr>
        <w:t>of the instrument</w:t>
      </w:r>
      <w:r w:rsidR="00443DF8" w:rsidRPr="0092230E">
        <w:rPr>
          <w:rFonts w:ascii="Arial" w:hAnsi="Arial" w:cs="Arial"/>
          <w:sz w:val="20"/>
        </w:rPr>
        <w:t xml:space="preserve"> </w:t>
      </w:r>
      <w:r w:rsidR="00F33942" w:rsidRPr="0092230E">
        <w:rPr>
          <w:rFonts w:ascii="Arial" w:hAnsi="Arial" w:cs="Arial"/>
          <w:sz w:val="20"/>
        </w:rPr>
        <w:t>provides that</w:t>
      </w:r>
      <w:r w:rsidRPr="0092230E">
        <w:rPr>
          <w:rFonts w:ascii="Arial" w:hAnsi="Arial" w:cs="Arial"/>
          <w:sz w:val="20"/>
        </w:rPr>
        <w:t xml:space="preserve"> inter-person input payment amounts</w:t>
      </w:r>
      <w:r w:rsidR="004065B1" w:rsidRPr="0092230E">
        <w:rPr>
          <w:rFonts w:ascii="Arial" w:hAnsi="Arial" w:cs="Arial"/>
          <w:sz w:val="20"/>
        </w:rPr>
        <w:t xml:space="preserve"> </w:t>
      </w:r>
      <w:r w:rsidRPr="0092230E">
        <w:rPr>
          <w:rFonts w:ascii="Arial" w:hAnsi="Arial" w:cs="Arial"/>
          <w:sz w:val="20"/>
        </w:rPr>
        <w:t xml:space="preserve">to be deducted must not be greater than the total </w:t>
      </w:r>
      <w:r w:rsidR="00C109A5">
        <w:rPr>
          <w:rFonts w:ascii="Arial" w:hAnsi="Arial" w:cs="Arial"/>
          <w:sz w:val="20"/>
        </w:rPr>
        <w:t xml:space="preserve">net </w:t>
      </w:r>
      <w:r w:rsidRPr="0092230E">
        <w:rPr>
          <w:rFonts w:ascii="Arial" w:hAnsi="Arial" w:cs="Arial"/>
          <w:sz w:val="20"/>
        </w:rPr>
        <w:t xml:space="preserve">amount paid </w:t>
      </w:r>
      <w:r w:rsidR="004065B1" w:rsidRPr="0092230E">
        <w:rPr>
          <w:rFonts w:ascii="Arial" w:hAnsi="Arial" w:cs="Arial"/>
          <w:sz w:val="20"/>
        </w:rPr>
        <w:t xml:space="preserve">(or received) </w:t>
      </w:r>
      <w:r w:rsidRPr="0092230E">
        <w:rPr>
          <w:rFonts w:ascii="Arial" w:hAnsi="Arial" w:cs="Arial"/>
          <w:sz w:val="20"/>
        </w:rPr>
        <w:t>by or on behalf of the participating person in connection with the activity that led to the payment</w:t>
      </w:r>
      <w:r w:rsidR="004065B1" w:rsidRPr="0092230E">
        <w:rPr>
          <w:rFonts w:ascii="Arial" w:hAnsi="Arial" w:cs="Arial"/>
          <w:sz w:val="20"/>
        </w:rPr>
        <w:t>, in relation to the relevant eligible revenue period</w:t>
      </w:r>
      <w:r w:rsidRPr="0092230E">
        <w:rPr>
          <w:rFonts w:ascii="Arial" w:hAnsi="Arial" w:cs="Arial"/>
          <w:sz w:val="20"/>
        </w:rPr>
        <w:t>.</w:t>
      </w:r>
    </w:p>
    <w:p w14:paraId="1953DC2E" w14:textId="7353AAA6" w:rsidR="00A53AEF" w:rsidRPr="0092230E" w:rsidRDefault="00DA1A76" w:rsidP="00A53AEF">
      <w:pPr>
        <w:pStyle w:val="ABABulletLevel1"/>
        <w:spacing w:after="120"/>
        <w:rPr>
          <w:rFonts w:ascii="Arial" w:hAnsi="Arial" w:cs="Arial"/>
          <w:sz w:val="20"/>
        </w:rPr>
      </w:pPr>
      <w:r w:rsidRPr="0092230E">
        <w:rPr>
          <w:rFonts w:ascii="Arial" w:hAnsi="Arial" w:cs="Arial"/>
          <w:sz w:val="20"/>
        </w:rPr>
        <w:t xml:space="preserve">The amount of the deduction must also not be more than the proportion of the declared related party factor </w:t>
      </w:r>
      <w:r w:rsidR="00097543" w:rsidRPr="0092230E">
        <w:rPr>
          <w:rFonts w:ascii="Arial" w:hAnsi="Arial" w:cs="Arial"/>
          <w:sz w:val="20"/>
        </w:rPr>
        <w:t xml:space="preserve">(worked out under section </w:t>
      </w:r>
      <w:r w:rsidR="000D301F">
        <w:rPr>
          <w:rFonts w:ascii="Arial" w:hAnsi="Arial" w:cs="Arial"/>
          <w:sz w:val="20"/>
        </w:rPr>
        <w:t>10</w:t>
      </w:r>
      <w:r w:rsidR="00443DF8">
        <w:rPr>
          <w:rFonts w:ascii="Arial" w:hAnsi="Arial" w:cs="Arial"/>
          <w:sz w:val="20"/>
        </w:rPr>
        <w:t xml:space="preserve"> of the instrument</w:t>
      </w:r>
      <w:r w:rsidRPr="0092230E">
        <w:rPr>
          <w:rFonts w:ascii="Arial" w:hAnsi="Arial" w:cs="Arial"/>
          <w:sz w:val="20"/>
        </w:rPr>
        <w:t>) for any declared related party of the participating person</w:t>
      </w:r>
      <w:r w:rsidR="004065B1" w:rsidRPr="0092230E">
        <w:rPr>
          <w:rFonts w:ascii="Arial" w:hAnsi="Arial" w:cs="Arial"/>
          <w:sz w:val="20"/>
        </w:rPr>
        <w:t>, in relation to the relevant eligible revenue period</w:t>
      </w:r>
      <w:r w:rsidRPr="0092230E">
        <w:rPr>
          <w:rFonts w:ascii="Arial" w:hAnsi="Arial" w:cs="Arial"/>
          <w:sz w:val="20"/>
        </w:rPr>
        <w:t>.</w:t>
      </w:r>
    </w:p>
    <w:p w14:paraId="4B0E6B36" w14:textId="77777777" w:rsidR="00F973F3" w:rsidRPr="0092230E" w:rsidRDefault="00F973F3" w:rsidP="00BE13CB">
      <w:pPr>
        <w:pStyle w:val="ABABulletLevel1"/>
        <w:spacing w:after="120"/>
        <w:rPr>
          <w:rFonts w:ascii="Arial" w:hAnsi="Arial" w:cs="Arial"/>
          <w:b/>
          <w:sz w:val="20"/>
        </w:rPr>
      </w:pPr>
    </w:p>
    <w:p w14:paraId="0333D482" w14:textId="759E1EA2" w:rsidR="00BE13CB" w:rsidRPr="0092230E" w:rsidRDefault="00BE13CB" w:rsidP="00BE13CB">
      <w:pPr>
        <w:pStyle w:val="ABABulletLevel1"/>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3</w:t>
      </w:r>
      <w:r w:rsidR="001D6D70">
        <w:rPr>
          <w:rFonts w:ascii="Arial" w:hAnsi="Arial" w:cs="Arial"/>
          <w:b/>
          <w:sz w:val="20"/>
        </w:rPr>
        <w:t>4</w:t>
      </w:r>
      <w:r w:rsidR="00067542" w:rsidRPr="0092230E">
        <w:rPr>
          <w:rFonts w:ascii="Arial" w:hAnsi="Arial" w:cs="Arial"/>
          <w:b/>
          <w:sz w:val="20"/>
        </w:rPr>
        <w:t xml:space="preserve"> </w:t>
      </w:r>
      <w:r w:rsidRPr="0092230E">
        <w:rPr>
          <w:rFonts w:ascii="Arial" w:hAnsi="Arial" w:cs="Arial"/>
          <w:b/>
          <w:sz w:val="20"/>
        </w:rPr>
        <w:t>– Suspension of deduction entitlements</w:t>
      </w:r>
    </w:p>
    <w:p w14:paraId="766C2330" w14:textId="10CF967D" w:rsidR="002A2005" w:rsidRPr="0092230E" w:rsidRDefault="00BE13CB" w:rsidP="00BE13CB">
      <w:pPr>
        <w:pStyle w:val="ABABulletLevel1"/>
        <w:spacing w:after="120"/>
        <w:rPr>
          <w:rFonts w:ascii="Arial" w:hAnsi="Arial" w:cs="Arial"/>
          <w:sz w:val="20"/>
        </w:rPr>
      </w:pPr>
      <w:r w:rsidRPr="0092230E">
        <w:rPr>
          <w:rFonts w:ascii="Arial" w:hAnsi="Arial" w:cs="Arial"/>
          <w:sz w:val="20"/>
        </w:rPr>
        <w:t xml:space="preserve">Section </w:t>
      </w:r>
      <w:r w:rsidR="00B34935" w:rsidRPr="0092230E">
        <w:rPr>
          <w:rFonts w:ascii="Arial" w:hAnsi="Arial" w:cs="Arial"/>
          <w:sz w:val="20"/>
        </w:rPr>
        <w:t>3</w:t>
      </w:r>
      <w:r w:rsidR="001D6D70">
        <w:rPr>
          <w:rFonts w:ascii="Arial" w:hAnsi="Arial" w:cs="Arial"/>
          <w:sz w:val="20"/>
        </w:rPr>
        <w:t>4</w:t>
      </w:r>
      <w:r w:rsidR="00B34935"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provides that the ACMA may declare that one or more specified participating persons </w:t>
      </w:r>
      <w:r w:rsidR="00AE28E6" w:rsidRPr="0092230E">
        <w:rPr>
          <w:rFonts w:ascii="Arial" w:hAnsi="Arial" w:cs="Arial"/>
          <w:sz w:val="20"/>
        </w:rPr>
        <w:t xml:space="preserve">(but not all participating persons) </w:t>
      </w:r>
      <w:r w:rsidRPr="0092230E">
        <w:rPr>
          <w:rFonts w:ascii="Arial" w:hAnsi="Arial" w:cs="Arial"/>
          <w:sz w:val="20"/>
        </w:rPr>
        <w:t>are not entitled to deduct a specified amount or payment</w:t>
      </w:r>
      <w:r w:rsidR="00AE28E6" w:rsidRPr="0092230E">
        <w:rPr>
          <w:rFonts w:ascii="Arial" w:hAnsi="Arial" w:cs="Arial"/>
          <w:sz w:val="20"/>
        </w:rPr>
        <w:t xml:space="preserve"> under the </w:t>
      </w:r>
      <w:r w:rsidR="00D224DF">
        <w:rPr>
          <w:rFonts w:ascii="Arial" w:hAnsi="Arial" w:cs="Arial"/>
          <w:sz w:val="20"/>
        </w:rPr>
        <w:t>instrument</w:t>
      </w:r>
      <w:r w:rsidRPr="0092230E">
        <w:rPr>
          <w:rFonts w:ascii="Arial" w:hAnsi="Arial" w:cs="Arial"/>
          <w:sz w:val="20"/>
        </w:rPr>
        <w:t xml:space="preserve">. </w:t>
      </w:r>
      <w:r w:rsidR="00E23D1C">
        <w:rPr>
          <w:rFonts w:ascii="Arial" w:hAnsi="Arial" w:cs="Arial"/>
          <w:sz w:val="20"/>
        </w:rPr>
        <w:t xml:space="preserve">The declaration must state that the declaration is to have effect for a specified eligible revenue period or until the declaration is revoked. </w:t>
      </w:r>
      <w:r w:rsidRPr="0092230E">
        <w:rPr>
          <w:rFonts w:ascii="Arial" w:hAnsi="Arial" w:cs="Arial"/>
          <w:sz w:val="20"/>
        </w:rPr>
        <w:t>The ACMA’s ability to make such declarations is intended to enable the ACMA to restrict access to deductions where experience with the regime shows they are inappropriate or are being abused.</w:t>
      </w:r>
    </w:p>
    <w:p w14:paraId="4FBD5997" w14:textId="4417DF65" w:rsidR="00C749E3" w:rsidRPr="0092230E" w:rsidRDefault="00C749E3" w:rsidP="00C749E3">
      <w:pPr>
        <w:spacing w:after="120" w:line="240" w:lineRule="auto"/>
        <w:rPr>
          <w:rFonts w:ascii="Arial" w:hAnsi="Arial" w:cs="Arial"/>
          <w:szCs w:val="20"/>
        </w:rPr>
      </w:pPr>
    </w:p>
    <w:p w14:paraId="5F93B7D6" w14:textId="73AF2F06" w:rsidR="004C601C" w:rsidRPr="0092230E" w:rsidRDefault="004C601C" w:rsidP="00C749E3">
      <w:pPr>
        <w:spacing w:after="200" w:line="276" w:lineRule="auto"/>
        <w:rPr>
          <w:rFonts w:ascii="Arial" w:hAnsi="Arial" w:cs="Arial"/>
          <w:szCs w:val="20"/>
          <w:lang w:eastAsia="en-US"/>
        </w:rPr>
      </w:pPr>
      <w:r w:rsidRPr="0092230E">
        <w:rPr>
          <w:rFonts w:ascii="Arial" w:hAnsi="Arial" w:cs="Arial"/>
          <w:b/>
          <w:szCs w:val="20"/>
        </w:rPr>
        <w:t xml:space="preserve">Section </w:t>
      </w:r>
      <w:r w:rsidR="00067542" w:rsidRPr="0092230E">
        <w:rPr>
          <w:rFonts w:ascii="Arial" w:hAnsi="Arial" w:cs="Arial"/>
          <w:b/>
          <w:szCs w:val="20"/>
        </w:rPr>
        <w:t>3</w:t>
      </w:r>
      <w:r w:rsidR="001D6D70">
        <w:rPr>
          <w:rFonts w:ascii="Arial" w:hAnsi="Arial" w:cs="Arial"/>
          <w:b/>
          <w:szCs w:val="20"/>
        </w:rPr>
        <w:t>5</w:t>
      </w:r>
      <w:r w:rsidR="00067542" w:rsidRPr="0092230E">
        <w:rPr>
          <w:rFonts w:ascii="Arial" w:hAnsi="Arial" w:cs="Arial"/>
          <w:b/>
          <w:szCs w:val="20"/>
        </w:rPr>
        <w:t xml:space="preserve"> </w:t>
      </w:r>
      <w:r w:rsidRPr="0092230E">
        <w:rPr>
          <w:rFonts w:ascii="Arial" w:hAnsi="Arial" w:cs="Arial"/>
          <w:b/>
          <w:szCs w:val="20"/>
        </w:rPr>
        <w:t>– Declarations about deductible revenue</w:t>
      </w:r>
    </w:p>
    <w:p w14:paraId="41007771" w14:textId="1727CC92" w:rsidR="004C601C" w:rsidRPr="0092230E" w:rsidRDefault="004C601C" w:rsidP="004C601C">
      <w:pPr>
        <w:pStyle w:val="ABABulletLevel1"/>
        <w:spacing w:after="120"/>
        <w:rPr>
          <w:rFonts w:ascii="Arial" w:hAnsi="Arial" w:cs="Arial"/>
          <w:sz w:val="20"/>
        </w:rPr>
      </w:pPr>
      <w:r w:rsidRPr="0092230E">
        <w:rPr>
          <w:rFonts w:ascii="Arial" w:hAnsi="Arial" w:cs="Arial"/>
          <w:sz w:val="20"/>
        </w:rPr>
        <w:t xml:space="preserve">Section </w:t>
      </w:r>
      <w:r w:rsidR="00FA1D09" w:rsidRPr="0092230E">
        <w:rPr>
          <w:rFonts w:ascii="Arial" w:hAnsi="Arial" w:cs="Arial"/>
          <w:sz w:val="20"/>
        </w:rPr>
        <w:t>3</w:t>
      </w:r>
      <w:r w:rsidR="001D6D70">
        <w:rPr>
          <w:rFonts w:ascii="Arial" w:hAnsi="Arial" w:cs="Arial"/>
          <w:sz w:val="20"/>
        </w:rPr>
        <w:t>5</w:t>
      </w:r>
      <w:r w:rsidR="00443DF8">
        <w:rPr>
          <w:rFonts w:ascii="Arial" w:hAnsi="Arial" w:cs="Arial"/>
          <w:sz w:val="20"/>
        </w:rPr>
        <w:t xml:space="preserve"> of the instrument</w:t>
      </w:r>
      <w:r w:rsidR="00FA1D09" w:rsidRPr="0092230E">
        <w:rPr>
          <w:rFonts w:ascii="Arial" w:hAnsi="Arial" w:cs="Arial"/>
          <w:sz w:val="20"/>
        </w:rPr>
        <w:t xml:space="preserve"> </w:t>
      </w:r>
      <w:r w:rsidRPr="0092230E">
        <w:rPr>
          <w:rFonts w:ascii="Arial" w:hAnsi="Arial" w:cs="Arial"/>
          <w:sz w:val="20"/>
        </w:rPr>
        <w:t xml:space="preserve">provides that the ACMA may declare that a specified amount of gross telecommunications sales revenue </w:t>
      </w:r>
      <w:r w:rsidR="00AE28E6" w:rsidRPr="0092230E">
        <w:rPr>
          <w:rFonts w:ascii="Arial" w:hAnsi="Arial" w:cs="Arial"/>
          <w:sz w:val="20"/>
        </w:rPr>
        <w:t>of</w:t>
      </w:r>
      <w:r w:rsidRPr="0092230E">
        <w:rPr>
          <w:rFonts w:ascii="Arial" w:hAnsi="Arial" w:cs="Arial"/>
          <w:sz w:val="20"/>
        </w:rPr>
        <w:t xml:space="preserve"> one or more specified participating persons</w:t>
      </w:r>
      <w:r w:rsidR="00AE28E6" w:rsidRPr="0092230E">
        <w:rPr>
          <w:rFonts w:ascii="Arial" w:hAnsi="Arial" w:cs="Arial"/>
          <w:sz w:val="20"/>
        </w:rPr>
        <w:t xml:space="preserve"> (but not all participating persons) may be deducted</w:t>
      </w:r>
      <w:r w:rsidRPr="0092230E">
        <w:rPr>
          <w:rFonts w:ascii="Arial" w:hAnsi="Arial" w:cs="Arial"/>
          <w:sz w:val="20"/>
        </w:rPr>
        <w:t>. Th</w:t>
      </w:r>
      <w:r w:rsidR="00C16936">
        <w:rPr>
          <w:rFonts w:ascii="Arial" w:hAnsi="Arial" w:cs="Arial"/>
          <w:sz w:val="20"/>
        </w:rPr>
        <w:t xml:space="preserve">is </w:t>
      </w:r>
      <w:r w:rsidRPr="0092230E">
        <w:rPr>
          <w:rFonts w:ascii="Arial" w:hAnsi="Arial" w:cs="Arial"/>
          <w:sz w:val="20"/>
        </w:rPr>
        <w:t>declaration</w:t>
      </w:r>
      <w:r w:rsidR="00C16936">
        <w:rPr>
          <w:rFonts w:ascii="Arial" w:hAnsi="Arial" w:cs="Arial"/>
          <w:sz w:val="20"/>
        </w:rPr>
        <w:t xml:space="preserve"> could </w:t>
      </w:r>
      <w:r w:rsidRPr="0092230E">
        <w:rPr>
          <w:rFonts w:ascii="Arial" w:hAnsi="Arial" w:cs="Arial"/>
          <w:sz w:val="20"/>
        </w:rPr>
        <w:t xml:space="preserve">serve two purposes </w:t>
      </w:r>
      <w:r w:rsidR="00AE28E6" w:rsidRPr="0092230E">
        <w:rPr>
          <w:rFonts w:ascii="Arial" w:hAnsi="Arial" w:cs="Arial"/>
          <w:sz w:val="20"/>
        </w:rPr>
        <w:t xml:space="preserve">- </w:t>
      </w:r>
      <w:r w:rsidRPr="0092230E">
        <w:rPr>
          <w:rFonts w:ascii="Arial" w:hAnsi="Arial" w:cs="Arial"/>
          <w:sz w:val="20"/>
        </w:rPr>
        <w:t>to clarify what can be deducted</w:t>
      </w:r>
      <w:r w:rsidR="00CB26A9">
        <w:rPr>
          <w:rFonts w:ascii="Arial" w:hAnsi="Arial" w:cs="Arial"/>
          <w:sz w:val="20"/>
        </w:rPr>
        <w:t xml:space="preserve"> or </w:t>
      </w:r>
      <w:r w:rsidRPr="0092230E">
        <w:rPr>
          <w:rFonts w:ascii="Arial" w:hAnsi="Arial" w:cs="Arial"/>
          <w:sz w:val="20"/>
        </w:rPr>
        <w:t>extend the scope of allowable deductions</w:t>
      </w:r>
      <w:r w:rsidR="00AE28E6" w:rsidRPr="0092230E">
        <w:rPr>
          <w:rFonts w:ascii="Arial" w:hAnsi="Arial" w:cs="Arial"/>
          <w:sz w:val="20"/>
        </w:rPr>
        <w:t xml:space="preserve"> where appropriate</w:t>
      </w:r>
      <w:r w:rsidRPr="0092230E">
        <w:rPr>
          <w:rFonts w:ascii="Arial" w:hAnsi="Arial" w:cs="Arial"/>
          <w:sz w:val="20"/>
        </w:rPr>
        <w:t>.</w:t>
      </w:r>
    </w:p>
    <w:p w14:paraId="49F2F6B4" w14:textId="77777777" w:rsidR="001706CD" w:rsidRPr="0092230E" w:rsidRDefault="001706CD" w:rsidP="00A71F12">
      <w:pPr>
        <w:pStyle w:val="ABABulletLevel1"/>
        <w:spacing w:after="120"/>
        <w:rPr>
          <w:rFonts w:ascii="Arial" w:hAnsi="Arial" w:cs="Arial"/>
          <w:b/>
          <w:sz w:val="20"/>
        </w:rPr>
      </w:pPr>
    </w:p>
    <w:p w14:paraId="08EF2A44" w14:textId="3AD2D30A" w:rsidR="00A25946" w:rsidRPr="0092230E" w:rsidRDefault="00A71F12" w:rsidP="00A25946">
      <w:pPr>
        <w:pStyle w:val="ABABulletLevel1"/>
        <w:keepNext/>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3</w:t>
      </w:r>
      <w:r w:rsidR="001D6D70">
        <w:rPr>
          <w:rFonts w:ascii="Arial" w:hAnsi="Arial" w:cs="Arial"/>
          <w:b/>
          <w:sz w:val="20"/>
        </w:rPr>
        <w:t>6</w:t>
      </w:r>
      <w:r w:rsidR="00067542" w:rsidRPr="0092230E">
        <w:rPr>
          <w:rFonts w:ascii="Arial" w:hAnsi="Arial" w:cs="Arial"/>
          <w:b/>
          <w:sz w:val="20"/>
        </w:rPr>
        <w:t xml:space="preserve"> </w:t>
      </w:r>
      <w:r w:rsidRPr="0092230E">
        <w:rPr>
          <w:rFonts w:ascii="Arial" w:hAnsi="Arial" w:cs="Arial"/>
          <w:b/>
          <w:sz w:val="20"/>
        </w:rPr>
        <w:t>– Net telecommunications sales revenue</w:t>
      </w:r>
    </w:p>
    <w:p w14:paraId="5A352222" w14:textId="260D84FB" w:rsidR="00A71F12" w:rsidRPr="0092230E" w:rsidRDefault="00A71F12" w:rsidP="00A71F12">
      <w:pPr>
        <w:pStyle w:val="ABABulletLevel1"/>
        <w:spacing w:after="120"/>
        <w:rPr>
          <w:rFonts w:ascii="Arial" w:hAnsi="Arial" w:cs="Arial"/>
          <w:sz w:val="20"/>
        </w:rPr>
      </w:pPr>
      <w:r w:rsidRPr="0092230E">
        <w:rPr>
          <w:rFonts w:ascii="Arial" w:hAnsi="Arial" w:cs="Arial"/>
          <w:sz w:val="20"/>
        </w:rPr>
        <w:t xml:space="preserve">Section </w:t>
      </w:r>
      <w:r w:rsidR="00181A9E" w:rsidRPr="0092230E">
        <w:rPr>
          <w:rFonts w:ascii="Arial" w:hAnsi="Arial" w:cs="Arial"/>
          <w:sz w:val="20"/>
        </w:rPr>
        <w:t>3</w:t>
      </w:r>
      <w:r w:rsidR="001D6D70">
        <w:rPr>
          <w:rFonts w:ascii="Arial" w:hAnsi="Arial" w:cs="Arial"/>
          <w:sz w:val="20"/>
        </w:rPr>
        <w:t>6</w:t>
      </w:r>
      <w:r w:rsidR="00443DF8">
        <w:rPr>
          <w:rFonts w:ascii="Arial" w:hAnsi="Arial" w:cs="Arial"/>
          <w:sz w:val="20"/>
        </w:rPr>
        <w:t xml:space="preserve"> of the instrument</w:t>
      </w:r>
      <w:r w:rsidR="00181A9E" w:rsidRPr="0092230E">
        <w:rPr>
          <w:rFonts w:ascii="Arial" w:hAnsi="Arial" w:cs="Arial"/>
          <w:sz w:val="20"/>
        </w:rPr>
        <w:t xml:space="preserve"> provides th</w:t>
      </w:r>
      <w:r w:rsidR="00AE28E6" w:rsidRPr="0092230E">
        <w:rPr>
          <w:rFonts w:ascii="Arial" w:hAnsi="Arial" w:cs="Arial"/>
          <w:sz w:val="20"/>
        </w:rPr>
        <w:t xml:space="preserve">at the result of deducting amounts identified under sections </w:t>
      </w:r>
      <w:r w:rsidR="00FA1D09" w:rsidRPr="0092230E">
        <w:rPr>
          <w:rFonts w:ascii="Arial" w:hAnsi="Arial" w:cs="Arial"/>
          <w:sz w:val="20"/>
        </w:rPr>
        <w:t>2</w:t>
      </w:r>
      <w:r w:rsidR="001D6D70">
        <w:rPr>
          <w:rFonts w:ascii="Arial" w:hAnsi="Arial" w:cs="Arial"/>
          <w:sz w:val="20"/>
        </w:rPr>
        <w:t>5</w:t>
      </w:r>
      <w:r w:rsidR="00FA1D09" w:rsidRPr="0092230E">
        <w:rPr>
          <w:rFonts w:ascii="Arial" w:hAnsi="Arial" w:cs="Arial"/>
          <w:sz w:val="20"/>
        </w:rPr>
        <w:t xml:space="preserve"> </w:t>
      </w:r>
      <w:r w:rsidR="00AE28E6" w:rsidRPr="0092230E">
        <w:rPr>
          <w:rFonts w:ascii="Arial" w:hAnsi="Arial" w:cs="Arial"/>
          <w:sz w:val="20"/>
        </w:rPr>
        <w:t xml:space="preserve">to </w:t>
      </w:r>
      <w:r w:rsidR="00FA1D09" w:rsidRPr="0092230E">
        <w:rPr>
          <w:rFonts w:ascii="Arial" w:hAnsi="Arial" w:cs="Arial"/>
          <w:sz w:val="20"/>
        </w:rPr>
        <w:t>3</w:t>
      </w:r>
      <w:r w:rsidR="001D6D70">
        <w:rPr>
          <w:rFonts w:ascii="Arial" w:hAnsi="Arial" w:cs="Arial"/>
          <w:sz w:val="20"/>
        </w:rPr>
        <w:t>2</w:t>
      </w:r>
      <w:r w:rsidR="00FA1D09" w:rsidRPr="0092230E">
        <w:rPr>
          <w:rFonts w:ascii="Arial" w:hAnsi="Arial" w:cs="Arial"/>
          <w:sz w:val="20"/>
        </w:rPr>
        <w:t xml:space="preserve"> </w:t>
      </w:r>
      <w:r w:rsidR="00AE28E6" w:rsidRPr="0092230E">
        <w:rPr>
          <w:rFonts w:ascii="Arial" w:hAnsi="Arial" w:cs="Arial"/>
          <w:sz w:val="20"/>
        </w:rPr>
        <w:t xml:space="preserve">and </w:t>
      </w:r>
      <w:r w:rsidR="00FA1D09" w:rsidRPr="0092230E">
        <w:rPr>
          <w:rFonts w:ascii="Arial" w:hAnsi="Arial" w:cs="Arial"/>
          <w:sz w:val="20"/>
        </w:rPr>
        <w:t>3</w:t>
      </w:r>
      <w:r w:rsidR="001D6D70">
        <w:rPr>
          <w:rFonts w:ascii="Arial" w:hAnsi="Arial" w:cs="Arial"/>
          <w:sz w:val="20"/>
        </w:rPr>
        <w:t>5</w:t>
      </w:r>
      <w:r w:rsidR="00443DF8">
        <w:rPr>
          <w:rFonts w:ascii="Arial" w:hAnsi="Arial" w:cs="Arial"/>
          <w:sz w:val="20"/>
        </w:rPr>
        <w:t xml:space="preserve"> of the </w:t>
      </w:r>
      <w:proofErr w:type="gramStart"/>
      <w:r w:rsidR="00443DF8">
        <w:rPr>
          <w:rFonts w:ascii="Arial" w:hAnsi="Arial" w:cs="Arial"/>
          <w:sz w:val="20"/>
        </w:rPr>
        <w:t>instrument</w:t>
      </w:r>
      <w:proofErr w:type="gramEnd"/>
      <w:r w:rsidR="00FA1D09" w:rsidRPr="0092230E">
        <w:rPr>
          <w:rFonts w:ascii="Arial" w:hAnsi="Arial" w:cs="Arial"/>
          <w:sz w:val="20"/>
        </w:rPr>
        <w:t xml:space="preserve"> </w:t>
      </w:r>
      <w:r w:rsidR="00AE28E6" w:rsidRPr="0092230E">
        <w:rPr>
          <w:rFonts w:ascii="Arial" w:hAnsi="Arial" w:cs="Arial"/>
          <w:sz w:val="20"/>
        </w:rPr>
        <w:t xml:space="preserve">(as applicable) from a participating person’s gross telecommunications sales revenue for an eligible revenue period is that person’s </w:t>
      </w:r>
      <w:r w:rsidR="00181A9E" w:rsidRPr="0092230E">
        <w:rPr>
          <w:rFonts w:ascii="Arial" w:hAnsi="Arial" w:cs="Arial"/>
          <w:sz w:val="20"/>
        </w:rPr>
        <w:t>net telecommunications sales revenue</w:t>
      </w:r>
      <w:r w:rsidR="00AE28E6" w:rsidRPr="0092230E">
        <w:rPr>
          <w:rFonts w:ascii="Arial" w:hAnsi="Arial" w:cs="Arial"/>
          <w:sz w:val="20"/>
        </w:rPr>
        <w:t xml:space="preserve"> for that period</w:t>
      </w:r>
      <w:r w:rsidRPr="0092230E">
        <w:rPr>
          <w:rFonts w:ascii="Arial" w:hAnsi="Arial" w:cs="Arial"/>
          <w:sz w:val="20"/>
        </w:rPr>
        <w:t>.</w:t>
      </w:r>
      <w:r w:rsidR="00AE28E6" w:rsidRPr="0092230E">
        <w:rPr>
          <w:rFonts w:ascii="Arial" w:hAnsi="Arial" w:cs="Arial"/>
          <w:sz w:val="20"/>
        </w:rPr>
        <w:t xml:space="preserve"> A person is not required to deduct an amount from their gross telecommunications </w:t>
      </w:r>
      <w:proofErr w:type="gramStart"/>
      <w:r w:rsidR="00AE28E6" w:rsidRPr="0092230E">
        <w:rPr>
          <w:rFonts w:ascii="Arial" w:hAnsi="Arial" w:cs="Arial"/>
          <w:sz w:val="20"/>
        </w:rPr>
        <w:t>sales</w:t>
      </w:r>
      <w:proofErr w:type="gramEnd"/>
      <w:r w:rsidR="00AE28E6" w:rsidRPr="0092230E">
        <w:rPr>
          <w:rFonts w:ascii="Arial" w:hAnsi="Arial" w:cs="Arial"/>
          <w:sz w:val="20"/>
        </w:rPr>
        <w:t xml:space="preserve"> revenue. Hence, a person’s gross and net</w:t>
      </w:r>
      <w:r w:rsidR="00DF40AB" w:rsidRPr="0092230E">
        <w:rPr>
          <w:rFonts w:ascii="Arial" w:hAnsi="Arial" w:cs="Arial"/>
          <w:sz w:val="20"/>
        </w:rPr>
        <w:t xml:space="preserve"> telecommunications sales</w:t>
      </w:r>
      <w:r w:rsidR="00AE28E6" w:rsidRPr="0092230E">
        <w:rPr>
          <w:rFonts w:ascii="Arial" w:hAnsi="Arial" w:cs="Arial"/>
          <w:sz w:val="20"/>
        </w:rPr>
        <w:t xml:space="preserve"> revenue may be the same. </w:t>
      </w:r>
    </w:p>
    <w:p w14:paraId="436B4B5E" w14:textId="77777777" w:rsidR="00AE28E6" w:rsidRPr="0092230E" w:rsidRDefault="00AE28E6" w:rsidP="00A71F12">
      <w:pPr>
        <w:pStyle w:val="ABABulletLevel1"/>
        <w:spacing w:after="120"/>
        <w:rPr>
          <w:rFonts w:ascii="Arial" w:hAnsi="Arial" w:cs="Arial"/>
          <w:sz w:val="20"/>
        </w:rPr>
      </w:pPr>
    </w:p>
    <w:p w14:paraId="063726E6" w14:textId="77777777" w:rsidR="00AE28E6" w:rsidRPr="0092230E" w:rsidRDefault="00AE28E6" w:rsidP="00EB4772">
      <w:pPr>
        <w:pStyle w:val="ABABulletLevel1"/>
        <w:keepNext/>
        <w:spacing w:after="120"/>
        <w:rPr>
          <w:rFonts w:ascii="Arial" w:hAnsi="Arial" w:cs="Arial"/>
          <w:b/>
          <w:sz w:val="20"/>
        </w:rPr>
      </w:pPr>
      <w:r w:rsidRPr="0092230E">
        <w:rPr>
          <w:rFonts w:ascii="Arial" w:hAnsi="Arial" w:cs="Arial"/>
          <w:b/>
          <w:sz w:val="20"/>
        </w:rPr>
        <w:t>Part 5 – Eligible revenue</w:t>
      </w:r>
    </w:p>
    <w:p w14:paraId="0CDBFF8D" w14:textId="762EC6AD" w:rsidR="002A7A1A" w:rsidRPr="0092230E" w:rsidRDefault="002A7A1A" w:rsidP="00EB4772">
      <w:pPr>
        <w:pStyle w:val="ABABulletLevel1"/>
        <w:keepNext/>
        <w:spacing w:after="120"/>
        <w:rPr>
          <w:rFonts w:ascii="Arial" w:hAnsi="Arial" w:cs="Arial"/>
          <w:b/>
          <w:sz w:val="20"/>
        </w:rPr>
      </w:pPr>
      <w:r w:rsidRPr="0092230E">
        <w:rPr>
          <w:rFonts w:ascii="Arial" w:hAnsi="Arial" w:cs="Arial"/>
          <w:b/>
          <w:sz w:val="20"/>
        </w:rPr>
        <w:t xml:space="preserve">Section </w:t>
      </w:r>
      <w:r w:rsidR="00067542" w:rsidRPr="0092230E">
        <w:rPr>
          <w:rFonts w:ascii="Arial" w:hAnsi="Arial" w:cs="Arial"/>
          <w:b/>
          <w:sz w:val="20"/>
        </w:rPr>
        <w:t>3</w:t>
      </w:r>
      <w:r w:rsidR="00BF0B36">
        <w:rPr>
          <w:rFonts w:ascii="Arial" w:hAnsi="Arial" w:cs="Arial"/>
          <w:b/>
          <w:sz w:val="20"/>
        </w:rPr>
        <w:t>7</w:t>
      </w:r>
      <w:r w:rsidR="00067542" w:rsidRPr="0092230E">
        <w:rPr>
          <w:rFonts w:ascii="Arial" w:hAnsi="Arial" w:cs="Arial"/>
          <w:b/>
          <w:sz w:val="20"/>
        </w:rPr>
        <w:t xml:space="preserve"> </w:t>
      </w:r>
      <w:r w:rsidRPr="0092230E">
        <w:rPr>
          <w:rFonts w:ascii="Arial" w:hAnsi="Arial" w:cs="Arial"/>
          <w:b/>
          <w:sz w:val="20"/>
        </w:rPr>
        <w:t xml:space="preserve">– Purpose of Part </w:t>
      </w:r>
    </w:p>
    <w:p w14:paraId="6EE78E53" w14:textId="3649DA46" w:rsidR="002A7A1A" w:rsidRPr="0092230E" w:rsidRDefault="002A7A1A" w:rsidP="002A7A1A">
      <w:pPr>
        <w:pStyle w:val="ABABulletLevel1"/>
        <w:spacing w:after="120"/>
        <w:rPr>
          <w:rFonts w:ascii="Arial" w:hAnsi="Arial" w:cs="Arial"/>
          <w:sz w:val="20"/>
        </w:rPr>
      </w:pPr>
      <w:r w:rsidRPr="0092230E">
        <w:rPr>
          <w:rFonts w:ascii="Arial" w:hAnsi="Arial" w:cs="Arial"/>
          <w:sz w:val="20"/>
        </w:rPr>
        <w:t xml:space="preserve">Section </w:t>
      </w:r>
      <w:r w:rsidR="00103660" w:rsidRPr="0092230E">
        <w:rPr>
          <w:rFonts w:ascii="Arial" w:hAnsi="Arial" w:cs="Arial"/>
          <w:sz w:val="20"/>
        </w:rPr>
        <w:t>3</w:t>
      </w:r>
      <w:r w:rsidR="00BF0B36">
        <w:rPr>
          <w:rFonts w:ascii="Arial" w:hAnsi="Arial" w:cs="Arial"/>
          <w:sz w:val="20"/>
        </w:rPr>
        <w:t>7</w:t>
      </w:r>
      <w:r w:rsidR="00103660"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00845A66" w:rsidRPr="0092230E">
        <w:rPr>
          <w:rFonts w:ascii="Arial" w:hAnsi="Arial" w:cs="Arial"/>
          <w:sz w:val="20"/>
        </w:rPr>
        <w:t>provides that the purpose of Part 5</w:t>
      </w:r>
      <w:r w:rsidR="00443DF8">
        <w:rPr>
          <w:rFonts w:ascii="Arial" w:hAnsi="Arial" w:cs="Arial"/>
          <w:sz w:val="20"/>
        </w:rPr>
        <w:t xml:space="preserve"> of the instrument</w:t>
      </w:r>
      <w:r w:rsidR="00845A66" w:rsidRPr="0092230E">
        <w:rPr>
          <w:rFonts w:ascii="Arial" w:hAnsi="Arial" w:cs="Arial"/>
          <w:sz w:val="20"/>
        </w:rPr>
        <w:t xml:space="preserve"> is to set out how a participating person works out their eligible revenue </w:t>
      </w:r>
      <w:r w:rsidR="006B408D">
        <w:rPr>
          <w:rFonts w:ascii="Arial" w:hAnsi="Arial" w:cs="Arial"/>
          <w:sz w:val="20"/>
        </w:rPr>
        <w:t>for the eligible revenue period</w:t>
      </w:r>
      <w:r w:rsidR="00845A66" w:rsidRPr="0092230E">
        <w:rPr>
          <w:rFonts w:ascii="Arial" w:hAnsi="Arial" w:cs="Arial"/>
          <w:sz w:val="20"/>
        </w:rPr>
        <w:t xml:space="preserve">. </w:t>
      </w:r>
    </w:p>
    <w:p w14:paraId="444BF8A5" w14:textId="77777777" w:rsidR="00845A66" w:rsidRPr="0092230E" w:rsidRDefault="00845A66" w:rsidP="002A7A1A">
      <w:pPr>
        <w:pStyle w:val="ABABulletLevel1"/>
        <w:spacing w:after="120"/>
        <w:rPr>
          <w:rFonts w:ascii="Arial" w:hAnsi="Arial" w:cs="Arial"/>
          <w:sz w:val="20"/>
        </w:rPr>
      </w:pPr>
    </w:p>
    <w:p w14:paraId="318E9A66" w14:textId="7B9BEF89" w:rsidR="005121EC" w:rsidRPr="0092230E" w:rsidRDefault="005121EC" w:rsidP="001875E0">
      <w:pPr>
        <w:spacing w:after="200" w:line="276" w:lineRule="auto"/>
        <w:rPr>
          <w:rFonts w:ascii="Arial" w:hAnsi="Arial" w:cs="Arial"/>
          <w:b/>
        </w:rPr>
      </w:pPr>
      <w:r w:rsidRPr="0092230E">
        <w:rPr>
          <w:rFonts w:ascii="Arial" w:hAnsi="Arial" w:cs="Arial"/>
          <w:b/>
        </w:rPr>
        <w:t xml:space="preserve">Section </w:t>
      </w:r>
      <w:r w:rsidR="00067542" w:rsidRPr="0092230E">
        <w:rPr>
          <w:rFonts w:ascii="Arial" w:hAnsi="Arial" w:cs="Arial"/>
          <w:b/>
        </w:rPr>
        <w:t>3</w:t>
      </w:r>
      <w:r w:rsidR="00BF0B36">
        <w:rPr>
          <w:rFonts w:ascii="Arial" w:hAnsi="Arial" w:cs="Arial"/>
          <w:b/>
        </w:rPr>
        <w:t>8</w:t>
      </w:r>
      <w:r w:rsidR="00067542" w:rsidRPr="0092230E">
        <w:rPr>
          <w:rFonts w:ascii="Arial" w:hAnsi="Arial" w:cs="Arial"/>
          <w:b/>
        </w:rPr>
        <w:t xml:space="preserve"> </w:t>
      </w:r>
      <w:r w:rsidRPr="0092230E">
        <w:rPr>
          <w:rFonts w:ascii="Arial" w:hAnsi="Arial" w:cs="Arial"/>
          <w:b/>
        </w:rPr>
        <w:t>– Revenue accounted for on a group basis</w:t>
      </w:r>
    </w:p>
    <w:p w14:paraId="46C60755" w14:textId="5412B5FF" w:rsidR="00D75DB0" w:rsidRPr="0092230E" w:rsidRDefault="005121EC" w:rsidP="005A531D">
      <w:pPr>
        <w:pStyle w:val="ABABulletLevel1"/>
        <w:spacing w:after="120"/>
        <w:rPr>
          <w:rFonts w:ascii="Arial" w:hAnsi="Arial" w:cs="Arial"/>
          <w:sz w:val="20"/>
        </w:rPr>
      </w:pPr>
      <w:r w:rsidRPr="0092230E">
        <w:rPr>
          <w:rFonts w:ascii="Arial" w:hAnsi="Arial" w:cs="Arial"/>
          <w:sz w:val="20"/>
        </w:rPr>
        <w:lastRenderedPageBreak/>
        <w:t xml:space="preserve">Section </w:t>
      </w:r>
      <w:r w:rsidR="007B5B61" w:rsidRPr="0092230E">
        <w:rPr>
          <w:rFonts w:ascii="Arial" w:hAnsi="Arial" w:cs="Arial"/>
          <w:sz w:val="20"/>
        </w:rPr>
        <w:t>3</w:t>
      </w:r>
      <w:r w:rsidR="00BF0B36">
        <w:rPr>
          <w:rFonts w:ascii="Arial" w:hAnsi="Arial" w:cs="Arial"/>
          <w:sz w:val="20"/>
        </w:rPr>
        <w:t>8</w:t>
      </w:r>
      <w:r w:rsidR="007B5B61"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provides that if the </w:t>
      </w:r>
      <w:r w:rsidR="00D75DB0" w:rsidRPr="0092230E">
        <w:rPr>
          <w:rFonts w:ascii="Arial" w:hAnsi="Arial" w:cs="Arial"/>
          <w:sz w:val="20"/>
        </w:rPr>
        <w:t xml:space="preserve">net telecommunications sales </w:t>
      </w:r>
      <w:r w:rsidRPr="0092230E">
        <w:rPr>
          <w:rFonts w:ascii="Arial" w:hAnsi="Arial" w:cs="Arial"/>
          <w:sz w:val="20"/>
        </w:rPr>
        <w:t xml:space="preserve">revenue </w:t>
      </w:r>
      <w:r w:rsidR="00D75DB0" w:rsidRPr="0092230E">
        <w:rPr>
          <w:rFonts w:ascii="Arial" w:hAnsi="Arial" w:cs="Arial"/>
          <w:sz w:val="20"/>
        </w:rPr>
        <w:t xml:space="preserve">of two or more participating persons </w:t>
      </w:r>
      <w:r w:rsidRPr="0092230E">
        <w:rPr>
          <w:rFonts w:ascii="Arial" w:hAnsi="Arial" w:cs="Arial"/>
          <w:sz w:val="20"/>
        </w:rPr>
        <w:t xml:space="preserve">has been accounted </w:t>
      </w:r>
      <w:r w:rsidR="00D75DB0" w:rsidRPr="0092230E">
        <w:rPr>
          <w:rFonts w:ascii="Arial" w:hAnsi="Arial" w:cs="Arial"/>
          <w:sz w:val="20"/>
        </w:rPr>
        <w:t xml:space="preserve">for on a group basis </w:t>
      </w:r>
      <w:r w:rsidRPr="0092230E">
        <w:rPr>
          <w:rFonts w:ascii="Arial" w:hAnsi="Arial" w:cs="Arial"/>
          <w:sz w:val="20"/>
        </w:rPr>
        <w:t xml:space="preserve">(that is, </w:t>
      </w:r>
      <w:r w:rsidR="00D75DB0" w:rsidRPr="0092230E">
        <w:rPr>
          <w:rFonts w:ascii="Arial" w:hAnsi="Arial" w:cs="Arial"/>
          <w:sz w:val="20"/>
        </w:rPr>
        <w:t xml:space="preserve">revenue and deductions </w:t>
      </w:r>
      <w:r w:rsidRPr="0092230E">
        <w:rPr>
          <w:rFonts w:ascii="Arial" w:hAnsi="Arial" w:cs="Arial"/>
          <w:sz w:val="20"/>
        </w:rPr>
        <w:t xml:space="preserve">are </w:t>
      </w:r>
      <w:r w:rsidR="00D75DB0" w:rsidRPr="0092230E">
        <w:rPr>
          <w:rFonts w:ascii="Arial" w:hAnsi="Arial" w:cs="Arial"/>
          <w:sz w:val="20"/>
        </w:rPr>
        <w:t xml:space="preserve">accounted for and </w:t>
      </w:r>
      <w:r w:rsidRPr="0092230E">
        <w:rPr>
          <w:rFonts w:ascii="Arial" w:hAnsi="Arial" w:cs="Arial"/>
          <w:sz w:val="20"/>
        </w:rPr>
        <w:t xml:space="preserve">made on a </w:t>
      </w:r>
      <w:r w:rsidR="00D75DB0" w:rsidRPr="0092230E">
        <w:rPr>
          <w:rFonts w:ascii="Arial" w:hAnsi="Arial" w:cs="Arial"/>
          <w:sz w:val="20"/>
        </w:rPr>
        <w:t xml:space="preserve">group </w:t>
      </w:r>
      <w:r w:rsidRPr="0092230E">
        <w:rPr>
          <w:rFonts w:ascii="Arial" w:hAnsi="Arial" w:cs="Arial"/>
          <w:sz w:val="20"/>
        </w:rPr>
        <w:t>basis</w:t>
      </w:r>
      <w:r w:rsidR="00D75DB0" w:rsidRPr="0092230E">
        <w:rPr>
          <w:rFonts w:ascii="Arial" w:hAnsi="Arial" w:cs="Arial"/>
          <w:sz w:val="20"/>
        </w:rPr>
        <w:t xml:space="preserve">, </w:t>
      </w:r>
      <w:r w:rsidRPr="0092230E">
        <w:rPr>
          <w:rFonts w:ascii="Arial" w:hAnsi="Arial" w:cs="Arial"/>
          <w:sz w:val="20"/>
        </w:rPr>
        <w:t xml:space="preserve">under subsection </w:t>
      </w:r>
      <w:r w:rsidR="007B5B61" w:rsidRPr="0092230E">
        <w:rPr>
          <w:rFonts w:ascii="Arial" w:hAnsi="Arial" w:cs="Arial"/>
          <w:sz w:val="20"/>
        </w:rPr>
        <w:t>1</w:t>
      </w:r>
      <w:r w:rsidR="00D3610D">
        <w:rPr>
          <w:rFonts w:ascii="Arial" w:hAnsi="Arial" w:cs="Arial"/>
          <w:sz w:val="20"/>
        </w:rPr>
        <w:t>3</w:t>
      </w:r>
      <w:r w:rsidRPr="0092230E">
        <w:rPr>
          <w:rFonts w:ascii="Arial" w:hAnsi="Arial" w:cs="Arial"/>
          <w:sz w:val="20"/>
        </w:rPr>
        <w:t>(3)</w:t>
      </w:r>
      <w:r w:rsidR="00443DF8">
        <w:rPr>
          <w:rFonts w:ascii="Arial" w:hAnsi="Arial" w:cs="Arial"/>
          <w:sz w:val="20"/>
        </w:rPr>
        <w:t xml:space="preserve"> of the instrument</w:t>
      </w:r>
      <w:r w:rsidRPr="0092230E">
        <w:rPr>
          <w:rFonts w:ascii="Arial" w:hAnsi="Arial" w:cs="Arial"/>
          <w:sz w:val="20"/>
        </w:rPr>
        <w:t>), then the amount of net telecommunications sales re</w:t>
      </w:r>
      <w:r w:rsidR="005A531D" w:rsidRPr="0092230E">
        <w:rPr>
          <w:rFonts w:ascii="Arial" w:hAnsi="Arial" w:cs="Arial"/>
          <w:sz w:val="20"/>
        </w:rPr>
        <w:t xml:space="preserve">venue relating to each participating person </w:t>
      </w:r>
      <w:r w:rsidR="00D75DB0" w:rsidRPr="0092230E">
        <w:rPr>
          <w:rFonts w:ascii="Arial" w:hAnsi="Arial" w:cs="Arial"/>
          <w:sz w:val="20"/>
        </w:rPr>
        <w:t xml:space="preserve">in the group </w:t>
      </w:r>
      <w:r w:rsidR="005A531D" w:rsidRPr="0092230E">
        <w:rPr>
          <w:rFonts w:ascii="Arial" w:hAnsi="Arial" w:cs="Arial"/>
          <w:sz w:val="20"/>
        </w:rPr>
        <w:t>must now be separately identified</w:t>
      </w:r>
      <w:r w:rsidRPr="0092230E">
        <w:rPr>
          <w:rFonts w:ascii="Arial" w:hAnsi="Arial" w:cs="Arial"/>
          <w:sz w:val="20"/>
        </w:rPr>
        <w:t>.</w:t>
      </w:r>
      <w:r w:rsidR="005A531D" w:rsidRPr="0092230E">
        <w:rPr>
          <w:rFonts w:ascii="Arial" w:hAnsi="Arial" w:cs="Arial"/>
          <w:sz w:val="20"/>
        </w:rPr>
        <w:t xml:space="preserve"> </w:t>
      </w:r>
    </w:p>
    <w:p w14:paraId="36141E46" w14:textId="77777777" w:rsidR="00D75DB0" w:rsidRPr="0092230E" w:rsidRDefault="005A531D" w:rsidP="005A531D">
      <w:pPr>
        <w:pStyle w:val="ABABulletLevel1"/>
        <w:spacing w:after="120"/>
        <w:rPr>
          <w:rFonts w:ascii="Arial" w:hAnsi="Arial" w:cs="Arial"/>
          <w:sz w:val="20"/>
        </w:rPr>
      </w:pPr>
      <w:r w:rsidRPr="0092230E">
        <w:rPr>
          <w:rFonts w:ascii="Arial" w:hAnsi="Arial" w:cs="Arial"/>
          <w:sz w:val="20"/>
        </w:rPr>
        <w:t xml:space="preserve">After working out </w:t>
      </w:r>
      <w:r w:rsidR="00D75DB0" w:rsidRPr="0092230E">
        <w:rPr>
          <w:rFonts w:ascii="Arial" w:hAnsi="Arial" w:cs="Arial"/>
          <w:sz w:val="20"/>
        </w:rPr>
        <w:t xml:space="preserve">their net telecommunications </w:t>
      </w:r>
      <w:proofErr w:type="gramStart"/>
      <w:r w:rsidR="00D75DB0" w:rsidRPr="0092230E">
        <w:rPr>
          <w:rFonts w:ascii="Arial" w:hAnsi="Arial" w:cs="Arial"/>
          <w:sz w:val="20"/>
        </w:rPr>
        <w:t>sales</w:t>
      </w:r>
      <w:proofErr w:type="gramEnd"/>
      <w:r w:rsidR="00D75DB0" w:rsidRPr="0092230E">
        <w:rPr>
          <w:rFonts w:ascii="Arial" w:hAnsi="Arial" w:cs="Arial"/>
          <w:sz w:val="20"/>
        </w:rPr>
        <w:t xml:space="preserve"> revenue </w:t>
      </w:r>
      <w:r w:rsidRPr="0092230E">
        <w:rPr>
          <w:rFonts w:ascii="Arial" w:hAnsi="Arial" w:cs="Arial"/>
          <w:sz w:val="20"/>
        </w:rPr>
        <w:t xml:space="preserve">on a group basis, each participating person </w:t>
      </w:r>
      <w:r w:rsidR="00D75DB0" w:rsidRPr="0092230E">
        <w:rPr>
          <w:rFonts w:ascii="Arial" w:hAnsi="Arial" w:cs="Arial"/>
          <w:sz w:val="20"/>
        </w:rPr>
        <w:t xml:space="preserve">in the group </w:t>
      </w:r>
      <w:r w:rsidRPr="0092230E">
        <w:rPr>
          <w:rFonts w:ascii="Arial" w:hAnsi="Arial" w:cs="Arial"/>
          <w:sz w:val="20"/>
        </w:rPr>
        <w:t xml:space="preserve">must </w:t>
      </w:r>
      <w:r w:rsidR="00D75DB0" w:rsidRPr="0092230E">
        <w:rPr>
          <w:rFonts w:ascii="Arial" w:hAnsi="Arial" w:cs="Arial"/>
          <w:sz w:val="20"/>
        </w:rPr>
        <w:t xml:space="preserve">identify, from the accounts prepared on a group basis, </w:t>
      </w:r>
      <w:r w:rsidRPr="0092230E">
        <w:rPr>
          <w:rFonts w:ascii="Arial" w:hAnsi="Arial" w:cs="Arial"/>
          <w:sz w:val="20"/>
        </w:rPr>
        <w:t xml:space="preserve">how much of the </w:t>
      </w:r>
      <w:r w:rsidR="00D75DB0" w:rsidRPr="0092230E">
        <w:rPr>
          <w:rFonts w:ascii="Arial" w:hAnsi="Arial" w:cs="Arial"/>
          <w:sz w:val="20"/>
        </w:rPr>
        <w:t>net telecommunications sales revenue of the group is their net telecommunications sales revenue, and how much is the net telecommunications sales revenue of other participating persons or persons in the group</w:t>
      </w:r>
      <w:r w:rsidRPr="0092230E">
        <w:rPr>
          <w:rFonts w:ascii="Arial" w:hAnsi="Arial" w:cs="Arial"/>
          <w:sz w:val="20"/>
        </w:rPr>
        <w:t xml:space="preserve">. </w:t>
      </w:r>
    </w:p>
    <w:p w14:paraId="3CDA2777" w14:textId="77777777" w:rsidR="00D75DB0" w:rsidRPr="0092230E" w:rsidRDefault="00D75DB0" w:rsidP="005A531D">
      <w:pPr>
        <w:pStyle w:val="ABABulletLevel1"/>
        <w:spacing w:after="120"/>
        <w:rPr>
          <w:rFonts w:ascii="Arial" w:hAnsi="Arial" w:cs="Arial"/>
          <w:sz w:val="20"/>
        </w:rPr>
      </w:pPr>
      <w:r w:rsidRPr="0092230E">
        <w:rPr>
          <w:rFonts w:ascii="Arial" w:hAnsi="Arial" w:cs="Arial"/>
          <w:sz w:val="20"/>
        </w:rPr>
        <w:t xml:space="preserve">Eligible revenue is calculated on an individual, not group basis, hence it is necessary to determine the net telecommunications sales revenue of each individual participating person in a group. </w:t>
      </w:r>
    </w:p>
    <w:p w14:paraId="1828D760" w14:textId="2E11EF5A" w:rsidR="00782277" w:rsidRPr="0092230E" w:rsidRDefault="00A6675A" w:rsidP="003214EE">
      <w:pPr>
        <w:pStyle w:val="ABABulletLevel1"/>
        <w:spacing w:after="120"/>
        <w:rPr>
          <w:rFonts w:ascii="Arial" w:hAnsi="Arial" w:cs="Arial"/>
          <w:sz w:val="20"/>
        </w:rPr>
      </w:pPr>
      <w:r w:rsidRPr="0092230E">
        <w:rPr>
          <w:rFonts w:ascii="Arial" w:hAnsi="Arial" w:cs="Arial"/>
          <w:sz w:val="20"/>
        </w:rPr>
        <w:t xml:space="preserve">Subsection </w:t>
      </w:r>
      <w:r w:rsidR="007B5B61" w:rsidRPr="0092230E">
        <w:rPr>
          <w:rFonts w:ascii="Arial" w:hAnsi="Arial" w:cs="Arial"/>
          <w:sz w:val="20"/>
        </w:rPr>
        <w:t>3</w:t>
      </w:r>
      <w:r w:rsidR="00BF0B36">
        <w:rPr>
          <w:rFonts w:ascii="Arial" w:hAnsi="Arial" w:cs="Arial"/>
          <w:sz w:val="20"/>
        </w:rPr>
        <w:t>8</w:t>
      </w:r>
      <w:r w:rsidRPr="0092230E">
        <w:rPr>
          <w:rFonts w:ascii="Arial" w:hAnsi="Arial" w:cs="Arial"/>
          <w:sz w:val="20"/>
        </w:rPr>
        <w:t xml:space="preserve">(3)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provides that the ACMA may declare that the </w:t>
      </w:r>
      <w:r w:rsidR="009227B8">
        <w:rPr>
          <w:rFonts w:ascii="Arial" w:hAnsi="Arial" w:cs="Arial"/>
          <w:sz w:val="20"/>
        </w:rPr>
        <w:t xml:space="preserve">net telecommunications sales </w:t>
      </w:r>
      <w:r w:rsidRPr="009227B8">
        <w:rPr>
          <w:rFonts w:ascii="Arial" w:hAnsi="Arial" w:cs="Arial"/>
          <w:sz w:val="20"/>
        </w:rPr>
        <w:t>revenue</w:t>
      </w:r>
      <w:r w:rsidRPr="0092230E">
        <w:rPr>
          <w:rFonts w:ascii="Arial" w:hAnsi="Arial" w:cs="Arial"/>
          <w:sz w:val="20"/>
        </w:rPr>
        <w:t xml:space="preserve"> of a </w:t>
      </w:r>
      <w:r w:rsidR="00B63CA4" w:rsidRPr="0092230E">
        <w:rPr>
          <w:rFonts w:ascii="Arial" w:hAnsi="Arial" w:cs="Arial"/>
          <w:sz w:val="20"/>
        </w:rPr>
        <w:t xml:space="preserve">specified </w:t>
      </w:r>
      <w:r w:rsidRPr="0092230E">
        <w:rPr>
          <w:rFonts w:ascii="Arial" w:hAnsi="Arial" w:cs="Arial"/>
          <w:sz w:val="20"/>
        </w:rPr>
        <w:t xml:space="preserve">participating person is to be attributed in a </w:t>
      </w:r>
      <w:r w:rsidR="00B63CA4" w:rsidRPr="0092230E">
        <w:rPr>
          <w:rFonts w:ascii="Arial" w:hAnsi="Arial" w:cs="Arial"/>
          <w:sz w:val="20"/>
        </w:rPr>
        <w:t xml:space="preserve">specified </w:t>
      </w:r>
      <w:r w:rsidRPr="0092230E">
        <w:rPr>
          <w:rFonts w:ascii="Arial" w:hAnsi="Arial" w:cs="Arial"/>
          <w:sz w:val="20"/>
        </w:rPr>
        <w:t xml:space="preserve">way when it is being worked out by the person as a member of a group. This power is intended to enable the ACMA to deal with circumstances where it considers the way revenue is being attributed is inappropriate, for example, because it favours a particular participating person in a group to the disadvantage of others </w:t>
      </w:r>
      <w:r w:rsidR="00B63CA4" w:rsidRPr="0092230E">
        <w:rPr>
          <w:rFonts w:ascii="Arial" w:hAnsi="Arial" w:cs="Arial"/>
          <w:sz w:val="20"/>
        </w:rPr>
        <w:t xml:space="preserve">in </w:t>
      </w:r>
      <w:r w:rsidRPr="0092230E">
        <w:rPr>
          <w:rFonts w:ascii="Arial" w:hAnsi="Arial" w:cs="Arial"/>
          <w:sz w:val="20"/>
        </w:rPr>
        <w:t>the group.</w:t>
      </w:r>
    </w:p>
    <w:p w14:paraId="4142A9C1" w14:textId="77777777" w:rsidR="00C749E3" w:rsidRPr="0092230E" w:rsidRDefault="00C749E3" w:rsidP="00C749E3">
      <w:pPr>
        <w:spacing w:after="200" w:line="240" w:lineRule="auto"/>
        <w:rPr>
          <w:rFonts w:ascii="Arial" w:hAnsi="Arial" w:cs="Arial"/>
          <w:szCs w:val="20"/>
        </w:rPr>
      </w:pPr>
    </w:p>
    <w:p w14:paraId="026E2AF2" w14:textId="1333E418" w:rsidR="00DB1DA9" w:rsidRPr="0092230E" w:rsidRDefault="00866A73" w:rsidP="00C749E3">
      <w:pPr>
        <w:spacing w:after="200" w:line="276" w:lineRule="auto"/>
        <w:rPr>
          <w:rFonts w:ascii="Arial" w:hAnsi="Arial" w:cs="Arial"/>
          <w:szCs w:val="20"/>
          <w:lang w:eastAsia="en-US"/>
        </w:rPr>
      </w:pPr>
      <w:r w:rsidRPr="0092230E">
        <w:rPr>
          <w:rFonts w:ascii="Arial" w:hAnsi="Arial" w:cs="Arial"/>
          <w:b/>
          <w:szCs w:val="20"/>
        </w:rPr>
        <w:t>Section 3</w:t>
      </w:r>
      <w:r w:rsidR="00BF0B36">
        <w:rPr>
          <w:rFonts w:ascii="Arial" w:hAnsi="Arial" w:cs="Arial"/>
          <w:b/>
          <w:szCs w:val="20"/>
        </w:rPr>
        <w:t>9</w:t>
      </w:r>
      <w:r w:rsidRPr="0092230E">
        <w:rPr>
          <w:rFonts w:ascii="Arial" w:hAnsi="Arial" w:cs="Arial"/>
          <w:b/>
          <w:szCs w:val="20"/>
        </w:rPr>
        <w:t xml:space="preserve"> – Eligible revenue</w:t>
      </w:r>
    </w:p>
    <w:p w14:paraId="577246BA" w14:textId="7E2611CE" w:rsidR="00B63CA4" w:rsidRPr="0092230E" w:rsidRDefault="00DB1DA9" w:rsidP="00DB1DA9">
      <w:pPr>
        <w:pStyle w:val="ABABulletLevel1"/>
        <w:spacing w:after="120"/>
        <w:rPr>
          <w:rFonts w:ascii="Arial" w:hAnsi="Arial" w:cs="Arial"/>
          <w:sz w:val="20"/>
        </w:rPr>
      </w:pPr>
      <w:r w:rsidRPr="0092230E">
        <w:rPr>
          <w:rFonts w:ascii="Arial" w:hAnsi="Arial" w:cs="Arial"/>
          <w:sz w:val="20"/>
        </w:rPr>
        <w:t xml:space="preserve">Section </w:t>
      </w:r>
      <w:r w:rsidR="007B5B61" w:rsidRPr="0092230E">
        <w:rPr>
          <w:rFonts w:ascii="Arial" w:hAnsi="Arial" w:cs="Arial"/>
          <w:sz w:val="20"/>
        </w:rPr>
        <w:t>3</w:t>
      </w:r>
      <w:r w:rsidR="00BF0B36">
        <w:rPr>
          <w:rFonts w:ascii="Arial" w:hAnsi="Arial" w:cs="Arial"/>
          <w:sz w:val="20"/>
        </w:rPr>
        <w:t>9</w:t>
      </w:r>
      <w:r w:rsidR="007B5B61"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provides</w:t>
      </w:r>
      <w:r w:rsidR="00B63CA4" w:rsidRPr="0092230E">
        <w:rPr>
          <w:rFonts w:ascii="Arial" w:hAnsi="Arial" w:cs="Arial"/>
          <w:sz w:val="20"/>
        </w:rPr>
        <w:t xml:space="preserve"> that a participating person’s eligible revenue for an eligible revenue period is equal to the participating person’s net telecommunications sales revenue for that period</w:t>
      </w:r>
      <w:r w:rsidR="005827AD" w:rsidRPr="0092230E">
        <w:rPr>
          <w:rFonts w:ascii="Arial" w:hAnsi="Arial" w:cs="Arial"/>
          <w:sz w:val="20"/>
        </w:rPr>
        <w:t>, if their net telecommunications sales revenue is zero or more</w:t>
      </w:r>
      <w:r w:rsidR="00B63CA4" w:rsidRPr="0092230E">
        <w:rPr>
          <w:rFonts w:ascii="Arial" w:hAnsi="Arial" w:cs="Arial"/>
          <w:sz w:val="20"/>
        </w:rPr>
        <w:t xml:space="preserve">. If a participating person’s net telecommunications sales revenue is less than zero, then their eligible revenue is taken to be zero. </w:t>
      </w:r>
      <w:r w:rsidR="005827AD" w:rsidRPr="0092230E">
        <w:rPr>
          <w:rFonts w:ascii="Arial" w:hAnsi="Arial" w:cs="Arial"/>
          <w:sz w:val="20"/>
        </w:rPr>
        <w:t>If section 3</w:t>
      </w:r>
      <w:r w:rsidR="00BF0B36">
        <w:rPr>
          <w:rFonts w:ascii="Arial" w:hAnsi="Arial" w:cs="Arial"/>
          <w:sz w:val="20"/>
        </w:rPr>
        <w:t>8</w:t>
      </w:r>
      <w:r w:rsidR="005827AD" w:rsidRPr="0092230E">
        <w:rPr>
          <w:rFonts w:ascii="Arial" w:hAnsi="Arial" w:cs="Arial"/>
          <w:sz w:val="20"/>
        </w:rPr>
        <w:t xml:space="preserve"> applies, the net telecommunications sales revenue </w:t>
      </w:r>
      <w:r w:rsidR="00146E4F" w:rsidRPr="0092230E">
        <w:rPr>
          <w:rFonts w:ascii="Arial" w:hAnsi="Arial" w:cs="Arial"/>
          <w:sz w:val="20"/>
        </w:rPr>
        <w:t xml:space="preserve">of the participating person </w:t>
      </w:r>
      <w:r w:rsidR="005827AD" w:rsidRPr="0092230E">
        <w:rPr>
          <w:rFonts w:ascii="Arial" w:hAnsi="Arial" w:cs="Arial"/>
          <w:sz w:val="20"/>
        </w:rPr>
        <w:t xml:space="preserve">is ascertained in accordance with that section. </w:t>
      </w:r>
    </w:p>
    <w:p w14:paraId="65D73A2D" w14:textId="77777777" w:rsidR="004859D9" w:rsidRPr="0092230E" w:rsidRDefault="004859D9" w:rsidP="00DB1DA9">
      <w:pPr>
        <w:pStyle w:val="ABABulletLevel1"/>
        <w:spacing w:after="120"/>
        <w:rPr>
          <w:rFonts w:ascii="Arial" w:hAnsi="Arial" w:cs="Arial"/>
          <w:sz w:val="20"/>
        </w:rPr>
      </w:pPr>
    </w:p>
    <w:p w14:paraId="0CDFC4CA" w14:textId="77777777" w:rsidR="002630B0" w:rsidRPr="0092230E" w:rsidRDefault="002630B0" w:rsidP="00805596">
      <w:pPr>
        <w:pStyle w:val="ABABulletLevel1"/>
        <w:keepNext/>
        <w:spacing w:after="120"/>
        <w:rPr>
          <w:rFonts w:ascii="Arial" w:hAnsi="Arial" w:cs="Arial"/>
          <w:b/>
          <w:sz w:val="20"/>
        </w:rPr>
      </w:pPr>
      <w:r w:rsidRPr="0092230E">
        <w:rPr>
          <w:rFonts w:ascii="Arial" w:hAnsi="Arial" w:cs="Arial"/>
          <w:b/>
          <w:sz w:val="20"/>
        </w:rPr>
        <w:t xml:space="preserve">Part 6 – Miscellaneous </w:t>
      </w:r>
    </w:p>
    <w:p w14:paraId="7F8D3732" w14:textId="7ABDC029" w:rsidR="002630B0" w:rsidRPr="0092230E" w:rsidRDefault="002630B0" w:rsidP="00805596">
      <w:pPr>
        <w:pStyle w:val="ABABulletLevel1"/>
        <w:keepNext/>
        <w:spacing w:after="120"/>
        <w:rPr>
          <w:rFonts w:ascii="Arial" w:hAnsi="Arial" w:cs="Arial"/>
          <w:b/>
          <w:sz w:val="20"/>
        </w:rPr>
      </w:pPr>
      <w:r w:rsidRPr="0092230E">
        <w:rPr>
          <w:rFonts w:ascii="Arial" w:hAnsi="Arial" w:cs="Arial"/>
          <w:b/>
          <w:sz w:val="20"/>
        </w:rPr>
        <w:t xml:space="preserve">Section </w:t>
      </w:r>
      <w:r w:rsidR="00BF0B36">
        <w:rPr>
          <w:rFonts w:ascii="Arial" w:hAnsi="Arial" w:cs="Arial"/>
          <w:b/>
          <w:sz w:val="20"/>
        </w:rPr>
        <w:t>40</w:t>
      </w:r>
      <w:r w:rsidR="00067542" w:rsidRPr="0092230E">
        <w:rPr>
          <w:rFonts w:ascii="Arial" w:hAnsi="Arial" w:cs="Arial"/>
          <w:b/>
          <w:sz w:val="20"/>
        </w:rPr>
        <w:t xml:space="preserve"> </w:t>
      </w:r>
      <w:r w:rsidRPr="0092230E">
        <w:rPr>
          <w:rFonts w:ascii="Arial" w:hAnsi="Arial" w:cs="Arial"/>
          <w:b/>
          <w:sz w:val="20"/>
        </w:rPr>
        <w:t xml:space="preserve">– Engaging with affected participating persons before </w:t>
      </w:r>
      <w:r w:rsidR="000232DE">
        <w:rPr>
          <w:rFonts w:ascii="Arial" w:hAnsi="Arial" w:cs="Arial"/>
          <w:b/>
          <w:sz w:val="20"/>
        </w:rPr>
        <w:t xml:space="preserve">deciding whether to make a </w:t>
      </w:r>
      <w:r w:rsidRPr="0092230E">
        <w:rPr>
          <w:rFonts w:ascii="Arial" w:hAnsi="Arial" w:cs="Arial"/>
          <w:b/>
          <w:sz w:val="20"/>
        </w:rPr>
        <w:t>declaration</w:t>
      </w:r>
    </w:p>
    <w:p w14:paraId="678B73BF" w14:textId="05675A29" w:rsidR="00483F25" w:rsidRDefault="002630B0" w:rsidP="002630B0">
      <w:pPr>
        <w:pStyle w:val="ABABulletLevel1"/>
        <w:spacing w:after="120"/>
        <w:rPr>
          <w:rFonts w:ascii="Arial" w:hAnsi="Arial" w:cs="Arial"/>
          <w:sz w:val="20"/>
        </w:rPr>
      </w:pPr>
      <w:r w:rsidRPr="0092230E">
        <w:rPr>
          <w:rFonts w:ascii="Arial" w:hAnsi="Arial" w:cs="Arial"/>
          <w:sz w:val="20"/>
        </w:rPr>
        <w:t xml:space="preserve">Section </w:t>
      </w:r>
      <w:r w:rsidR="00BF0B36">
        <w:rPr>
          <w:rFonts w:ascii="Arial" w:hAnsi="Arial" w:cs="Arial"/>
          <w:sz w:val="20"/>
        </w:rPr>
        <w:t>40</w:t>
      </w:r>
      <w:r w:rsidR="002A508C"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provides that </w:t>
      </w:r>
      <w:r w:rsidR="00483F25" w:rsidRPr="0092230E">
        <w:rPr>
          <w:rFonts w:ascii="Arial" w:hAnsi="Arial" w:cs="Arial"/>
          <w:sz w:val="20"/>
        </w:rPr>
        <w:t>before</w:t>
      </w:r>
      <w:r w:rsidRPr="0092230E">
        <w:rPr>
          <w:rFonts w:ascii="Arial" w:hAnsi="Arial" w:cs="Arial"/>
          <w:sz w:val="20"/>
        </w:rPr>
        <w:t xml:space="preserve"> making a declaration under the </w:t>
      </w:r>
      <w:r w:rsidR="00D224DF">
        <w:rPr>
          <w:rFonts w:ascii="Arial" w:hAnsi="Arial" w:cs="Arial"/>
          <w:sz w:val="20"/>
        </w:rPr>
        <w:t>instrument</w:t>
      </w:r>
      <w:r w:rsidRPr="0092230E">
        <w:rPr>
          <w:rFonts w:ascii="Arial" w:hAnsi="Arial" w:cs="Arial"/>
          <w:sz w:val="20"/>
        </w:rPr>
        <w:t xml:space="preserve">, the ACMA must satisfy </w:t>
      </w:r>
      <w:proofErr w:type="gramStart"/>
      <w:r w:rsidRPr="0092230E">
        <w:rPr>
          <w:rFonts w:ascii="Arial" w:hAnsi="Arial" w:cs="Arial"/>
          <w:sz w:val="20"/>
        </w:rPr>
        <w:t>a number of</w:t>
      </w:r>
      <w:proofErr w:type="gramEnd"/>
      <w:r w:rsidRPr="0092230E">
        <w:rPr>
          <w:rFonts w:ascii="Arial" w:hAnsi="Arial" w:cs="Arial"/>
          <w:sz w:val="20"/>
        </w:rPr>
        <w:t xml:space="preserve"> requirements. </w:t>
      </w:r>
      <w:r w:rsidR="009D2DB6" w:rsidRPr="0092230E">
        <w:rPr>
          <w:rFonts w:ascii="Arial" w:hAnsi="Arial" w:cs="Arial"/>
          <w:sz w:val="20"/>
        </w:rPr>
        <w:t xml:space="preserve">Subsection </w:t>
      </w:r>
      <w:r w:rsidR="00BF0B36">
        <w:rPr>
          <w:rFonts w:ascii="Arial" w:hAnsi="Arial" w:cs="Arial"/>
          <w:sz w:val="20"/>
        </w:rPr>
        <w:t>40</w:t>
      </w:r>
      <w:r w:rsidR="009D2DB6" w:rsidRPr="0092230E">
        <w:rPr>
          <w:rFonts w:ascii="Arial" w:hAnsi="Arial" w:cs="Arial"/>
          <w:sz w:val="20"/>
        </w:rPr>
        <w:t>(2)</w:t>
      </w:r>
      <w:r w:rsidR="00443DF8">
        <w:rPr>
          <w:rFonts w:ascii="Arial" w:hAnsi="Arial" w:cs="Arial"/>
          <w:sz w:val="20"/>
        </w:rPr>
        <w:t xml:space="preserve"> of the instrument</w:t>
      </w:r>
      <w:r w:rsidR="009D2DB6" w:rsidRPr="0092230E">
        <w:rPr>
          <w:rFonts w:ascii="Arial" w:hAnsi="Arial" w:cs="Arial"/>
          <w:sz w:val="20"/>
        </w:rPr>
        <w:t xml:space="preserve"> requires t</w:t>
      </w:r>
      <w:r w:rsidRPr="0092230E">
        <w:rPr>
          <w:rFonts w:ascii="Arial" w:hAnsi="Arial" w:cs="Arial"/>
          <w:sz w:val="20"/>
        </w:rPr>
        <w:t xml:space="preserve">he ACMA </w:t>
      </w:r>
      <w:r w:rsidR="009D2DB6" w:rsidRPr="0092230E">
        <w:rPr>
          <w:rFonts w:ascii="Arial" w:hAnsi="Arial" w:cs="Arial"/>
          <w:sz w:val="20"/>
        </w:rPr>
        <w:t xml:space="preserve">to </w:t>
      </w:r>
      <w:r w:rsidR="00535252">
        <w:rPr>
          <w:rFonts w:ascii="Arial" w:hAnsi="Arial" w:cs="Arial"/>
          <w:sz w:val="20"/>
        </w:rPr>
        <w:t xml:space="preserve">give </w:t>
      </w:r>
      <w:r w:rsidRPr="0092230E">
        <w:rPr>
          <w:rFonts w:ascii="Arial" w:hAnsi="Arial" w:cs="Arial"/>
          <w:sz w:val="20"/>
        </w:rPr>
        <w:t xml:space="preserve">each participating person to whom the declaration </w:t>
      </w:r>
      <w:r w:rsidR="00535252">
        <w:rPr>
          <w:rFonts w:ascii="Arial" w:hAnsi="Arial" w:cs="Arial"/>
          <w:sz w:val="20"/>
        </w:rPr>
        <w:t xml:space="preserve">would </w:t>
      </w:r>
      <w:r w:rsidRPr="0092230E">
        <w:rPr>
          <w:rFonts w:ascii="Arial" w:hAnsi="Arial" w:cs="Arial"/>
          <w:sz w:val="20"/>
        </w:rPr>
        <w:t xml:space="preserve">apply </w:t>
      </w:r>
      <w:r w:rsidR="00535252">
        <w:rPr>
          <w:rFonts w:ascii="Arial" w:hAnsi="Arial" w:cs="Arial"/>
          <w:sz w:val="20"/>
        </w:rPr>
        <w:t>a notice that informs the person that the ACMA proposes to make the declaration and invit</w:t>
      </w:r>
      <w:r w:rsidR="00442E90">
        <w:rPr>
          <w:rFonts w:ascii="Arial" w:hAnsi="Arial" w:cs="Arial"/>
          <w:sz w:val="20"/>
        </w:rPr>
        <w:t xml:space="preserve">es </w:t>
      </w:r>
      <w:r w:rsidR="00535252">
        <w:rPr>
          <w:rFonts w:ascii="Arial" w:hAnsi="Arial" w:cs="Arial"/>
          <w:sz w:val="20"/>
        </w:rPr>
        <w:t>the person to make written submission</w:t>
      </w:r>
      <w:r w:rsidR="00E90939">
        <w:rPr>
          <w:rFonts w:ascii="Arial" w:hAnsi="Arial" w:cs="Arial"/>
          <w:sz w:val="20"/>
        </w:rPr>
        <w:t xml:space="preserve">s about the proposal. The ACMA </w:t>
      </w:r>
      <w:r w:rsidR="00406B98">
        <w:rPr>
          <w:rFonts w:ascii="Arial" w:hAnsi="Arial" w:cs="Arial"/>
          <w:sz w:val="20"/>
        </w:rPr>
        <w:t>must</w:t>
      </w:r>
      <w:r w:rsidR="00E90939">
        <w:rPr>
          <w:rFonts w:ascii="Arial" w:hAnsi="Arial" w:cs="Arial"/>
          <w:sz w:val="20"/>
        </w:rPr>
        <w:t xml:space="preserve"> consider any submissions received.</w:t>
      </w:r>
    </w:p>
    <w:p w14:paraId="5DAC7A74" w14:textId="19247D8D" w:rsidR="00DF268B" w:rsidRPr="0092230E" w:rsidRDefault="00DF268B" w:rsidP="002630B0">
      <w:pPr>
        <w:pStyle w:val="ABABulletLevel1"/>
        <w:spacing w:after="120"/>
        <w:rPr>
          <w:rFonts w:ascii="Arial" w:hAnsi="Arial" w:cs="Arial"/>
          <w:sz w:val="20"/>
        </w:rPr>
      </w:pPr>
      <w:r>
        <w:rPr>
          <w:rFonts w:ascii="Arial" w:hAnsi="Arial" w:cs="Arial"/>
          <w:sz w:val="20"/>
        </w:rPr>
        <w:t xml:space="preserve">Subsection 40(5) </w:t>
      </w:r>
      <w:r w:rsidR="00443DF8">
        <w:rPr>
          <w:rFonts w:ascii="Arial" w:hAnsi="Arial" w:cs="Arial"/>
          <w:sz w:val="20"/>
        </w:rPr>
        <w:t xml:space="preserve">of the instrument </w:t>
      </w:r>
      <w:r>
        <w:rPr>
          <w:rFonts w:ascii="Arial" w:hAnsi="Arial" w:cs="Arial"/>
          <w:sz w:val="20"/>
        </w:rPr>
        <w:t xml:space="preserve">provides that the ACMA may also consult with other persons about the ACMA’s proposal to make a declaration, and to do so in such manner as it sees fit. </w:t>
      </w:r>
    </w:p>
    <w:p w14:paraId="1B0CE4F4" w14:textId="77777777" w:rsidR="00F755A5" w:rsidRDefault="002630B0" w:rsidP="009D2DB6">
      <w:pPr>
        <w:pStyle w:val="ABABulletLevel1"/>
        <w:spacing w:after="120"/>
        <w:rPr>
          <w:rFonts w:ascii="Arial" w:hAnsi="Arial" w:cs="Arial"/>
          <w:sz w:val="20"/>
        </w:rPr>
      </w:pPr>
      <w:r w:rsidRPr="0092230E">
        <w:rPr>
          <w:rFonts w:ascii="Arial" w:hAnsi="Arial" w:cs="Arial"/>
          <w:sz w:val="20"/>
        </w:rPr>
        <w:t>If</w:t>
      </w:r>
      <w:r w:rsidR="00483F25" w:rsidRPr="0092230E">
        <w:rPr>
          <w:rFonts w:ascii="Arial" w:hAnsi="Arial" w:cs="Arial"/>
          <w:sz w:val="20"/>
        </w:rPr>
        <w:t xml:space="preserve">, after consultation, </w:t>
      </w:r>
      <w:r w:rsidRPr="0092230E">
        <w:rPr>
          <w:rFonts w:ascii="Arial" w:hAnsi="Arial" w:cs="Arial"/>
          <w:sz w:val="20"/>
        </w:rPr>
        <w:t xml:space="preserve">the ACMA makes a declaration it must </w:t>
      </w:r>
      <w:r w:rsidR="00963256">
        <w:rPr>
          <w:rFonts w:ascii="Arial" w:hAnsi="Arial" w:cs="Arial"/>
          <w:sz w:val="20"/>
        </w:rPr>
        <w:t xml:space="preserve">give each </w:t>
      </w:r>
      <w:r w:rsidRPr="0092230E">
        <w:rPr>
          <w:rFonts w:ascii="Arial" w:hAnsi="Arial" w:cs="Arial"/>
          <w:sz w:val="20"/>
        </w:rPr>
        <w:t xml:space="preserve">participating person to whom the declaration applies </w:t>
      </w:r>
      <w:r w:rsidR="00963256">
        <w:rPr>
          <w:rFonts w:ascii="Arial" w:hAnsi="Arial" w:cs="Arial"/>
          <w:sz w:val="20"/>
        </w:rPr>
        <w:t xml:space="preserve">a written notice </w:t>
      </w:r>
      <w:r w:rsidR="005827AD" w:rsidRPr="0092230E">
        <w:rPr>
          <w:rFonts w:ascii="Arial" w:hAnsi="Arial" w:cs="Arial"/>
          <w:sz w:val="20"/>
        </w:rPr>
        <w:t>of its decision</w:t>
      </w:r>
      <w:r w:rsidR="00D02702">
        <w:rPr>
          <w:rFonts w:ascii="Arial" w:hAnsi="Arial" w:cs="Arial"/>
          <w:sz w:val="20"/>
        </w:rPr>
        <w:t xml:space="preserve"> and a statement to the effect that</w:t>
      </w:r>
      <w:r w:rsidR="00406B98">
        <w:rPr>
          <w:i/>
          <w:iCs/>
        </w:rPr>
        <w:t xml:space="preserve"> </w:t>
      </w:r>
      <w:r w:rsidR="00D02702">
        <w:rPr>
          <w:rFonts w:ascii="Arial" w:hAnsi="Arial" w:cs="Arial"/>
          <w:sz w:val="20"/>
        </w:rPr>
        <w:t>if the person is adversely affected by the decision, the person may</w:t>
      </w:r>
      <w:r w:rsidR="00DF1BC6">
        <w:rPr>
          <w:rFonts w:ascii="Arial" w:hAnsi="Arial" w:cs="Arial"/>
          <w:sz w:val="20"/>
        </w:rPr>
        <w:t>,</w:t>
      </w:r>
      <w:r w:rsidR="00D02702">
        <w:rPr>
          <w:rFonts w:ascii="Arial" w:hAnsi="Arial" w:cs="Arial"/>
          <w:sz w:val="20"/>
        </w:rPr>
        <w:t xml:space="preserve"> </w:t>
      </w:r>
      <w:r w:rsidR="00406B98" w:rsidRPr="00E0361C">
        <w:rPr>
          <w:rFonts w:ascii="Arial" w:hAnsi="Arial" w:cs="Arial"/>
          <w:sz w:val="20"/>
        </w:rPr>
        <w:t>subject to the</w:t>
      </w:r>
      <w:r w:rsidR="00406B98" w:rsidRPr="00E0361C">
        <w:rPr>
          <w:rFonts w:ascii="Arial" w:hAnsi="Arial" w:cs="Arial"/>
          <w:i/>
          <w:iCs/>
          <w:sz w:val="20"/>
        </w:rPr>
        <w:t xml:space="preserve"> Administrative Review Tribunal Act 2024</w:t>
      </w:r>
      <w:r w:rsidR="00F755A5">
        <w:rPr>
          <w:rFonts w:ascii="Arial" w:hAnsi="Arial" w:cs="Arial"/>
          <w:sz w:val="20"/>
        </w:rPr>
        <w:t>:</w:t>
      </w:r>
    </w:p>
    <w:p w14:paraId="346395AD" w14:textId="31A16842" w:rsidR="00F755A5" w:rsidRDefault="00F755A5" w:rsidP="00F755A5">
      <w:pPr>
        <w:pStyle w:val="notepara"/>
        <w:spacing w:line="240" w:lineRule="auto"/>
        <w:ind w:left="369"/>
        <w:rPr>
          <w:rFonts w:ascii="Arial" w:hAnsi="Arial" w:cs="Arial"/>
          <w:sz w:val="20"/>
        </w:rPr>
      </w:pPr>
      <w:r>
        <w:rPr>
          <w:rFonts w:ascii="Arial" w:hAnsi="Arial" w:cs="Arial"/>
          <w:sz w:val="20"/>
        </w:rPr>
        <w:t>(a)</w:t>
      </w:r>
      <w:r>
        <w:rPr>
          <w:rFonts w:ascii="Arial" w:hAnsi="Arial" w:cs="Arial"/>
          <w:sz w:val="20"/>
        </w:rPr>
        <w:tab/>
      </w:r>
      <w:r w:rsidR="00D02702">
        <w:rPr>
          <w:rFonts w:ascii="Arial" w:hAnsi="Arial" w:cs="Arial"/>
          <w:sz w:val="20"/>
        </w:rPr>
        <w:t>make an application to the Administrative Review Tribunal for review of the decision</w:t>
      </w:r>
      <w:r>
        <w:rPr>
          <w:rFonts w:ascii="Arial" w:hAnsi="Arial" w:cs="Arial"/>
          <w:sz w:val="20"/>
        </w:rPr>
        <w:t>;</w:t>
      </w:r>
      <w:r w:rsidR="00406B98">
        <w:rPr>
          <w:rFonts w:ascii="Arial" w:hAnsi="Arial" w:cs="Arial"/>
          <w:sz w:val="20"/>
        </w:rPr>
        <w:t xml:space="preserve"> and</w:t>
      </w:r>
      <w:r w:rsidR="0062529E">
        <w:rPr>
          <w:rFonts w:ascii="Arial" w:hAnsi="Arial" w:cs="Arial"/>
          <w:sz w:val="20"/>
        </w:rPr>
        <w:t xml:space="preserve"> </w:t>
      </w:r>
    </w:p>
    <w:p w14:paraId="0963F1D4" w14:textId="77777777" w:rsidR="00F755A5" w:rsidRDefault="00F755A5" w:rsidP="00F755A5">
      <w:pPr>
        <w:pStyle w:val="notepara"/>
        <w:spacing w:line="240" w:lineRule="auto"/>
        <w:ind w:left="369"/>
        <w:rPr>
          <w:rFonts w:ascii="Arial" w:hAnsi="Arial" w:cs="Arial"/>
          <w:sz w:val="20"/>
        </w:rPr>
      </w:pPr>
      <w:r>
        <w:rPr>
          <w:rFonts w:ascii="Arial" w:hAnsi="Arial" w:cs="Arial"/>
          <w:sz w:val="20"/>
        </w:rPr>
        <w:t>(b)</w:t>
      </w:r>
      <w:r>
        <w:rPr>
          <w:rFonts w:ascii="Arial" w:hAnsi="Arial" w:cs="Arial"/>
          <w:sz w:val="20"/>
        </w:rPr>
        <w:tab/>
      </w:r>
      <w:r w:rsidR="00C2726E">
        <w:rPr>
          <w:rFonts w:ascii="Arial" w:hAnsi="Arial" w:cs="Arial"/>
          <w:sz w:val="20"/>
        </w:rPr>
        <w:t>request a statement of reasons for the decision</w:t>
      </w:r>
      <w:r w:rsidR="00406B98">
        <w:rPr>
          <w:rFonts w:ascii="Arial" w:hAnsi="Arial" w:cs="Arial"/>
          <w:sz w:val="20"/>
        </w:rPr>
        <w:t xml:space="preserve"> under that Act</w:t>
      </w:r>
      <w:r w:rsidR="00C2726E">
        <w:rPr>
          <w:rFonts w:ascii="Arial" w:hAnsi="Arial" w:cs="Arial"/>
          <w:sz w:val="20"/>
        </w:rPr>
        <w:t xml:space="preserve">. </w:t>
      </w:r>
    </w:p>
    <w:p w14:paraId="56D1AB45" w14:textId="77777777" w:rsidR="00F755A5" w:rsidRDefault="00F755A5" w:rsidP="00F755A5">
      <w:pPr>
        <w:pStyle w:val="notepara"/>
        <w:spacing w:line="240" w:lineRule="auto"/>
        <w:ind w:left="0" w:firstLine="0"/>
        <w:rPr>
          <w:rFonts w:ascii="Arial" w:hAnsi="Arial" w:cs="Arial"/>
          <w:sz w:val="20"/>
        </w:rPr>
      </w:pPr>
    </w:p>
    <w:p w14:paraId="6BE44684" w14:textId="08EBBD81" w:rsidR="00257430" w:rsidRPr="0092230E" w:rsidRDefault="00020697" w:rsidP="002472F5">
      <w:pPr>
        <w:pStyle w:val="notepara"/>
        <w:spacing w:line="240" w:lineRule="auto"/>
        <w:ind w:left="0" w:firstLine="0"/>
        <w:rPr>
          <w:rFonts w:ascii="Arial" w:hAnsi="Arial" w:cs="Arial"/>
          <w:sz w:val="20"/>
        </w:rPr>
      </w:pPr>
      <w:r>
        <w:rPr>
          <w:rFonts w:ascii="Arial" w:hAnsi="Arial" w:cs="Arial"/>
          <w:sz w:val="20"/>
        </w:rPr>
        <w:t>If the ACMA decides not to make a declaration, t</w:t>
      </w:r>
      <w:r w:rsidR="00C2726E">
        <w:rPr>
          <w:rFonts w:ascii="Arial" w:hAnsi="Arial" w:cs="Arial"/>
          <w:sz w:val="20"/>
        </w:rPr>
        <w:t xml:space="preserve">hese statements must also be provided to </w:t>
      </w:r>
      <w:r>
        <w:rPr>
          <w:rFonts w:ascii="Arial" w:hAnsi="Arial" w:cs="Arial"/>
          <w:sz w:val="20"/>
        </w:rPr>
        <w:t xml:space="preserve">a </w:t>
      </w:r>
      <w:r w:rsidR="005D2C10">
        <w:rPr>
          <w:rFonts w:ascii="Arial" w:hAnsi="Arial" w:cs="Arial"/>
          <w:sz w:val="20"/>
        </w:rPr>
        <w:t>participating</w:t>
      </w:r>
      <w:r w:rsidR="009C3D2E">
        <w:rPr>
          <w:rFonts w:ascii="Arial" w:hAnsi="Arial" w:cs="Arial"/>
          <w:sz w:val="20"/>
        </w:rPr>
        <w:t xml:space="preserve"> person adversely affected by </w:t>
      </w:r>
      <w:r>
        <w:rPr>
          <w:rFonts w:ascii="Arial" w:hAnsi="Arial" w:cs="Arial"/>
          <w:sz w:val="20"/>
        </w:rPr>
        <w:t xml:space="preserve">that </w:t>
      </w:r>
      <w:r w:rsidR="009C3D2E">
        <w:rPr>
          <w:rFonts w:ascii="Arial" w:hAnsi="Arial" w:cs="Arial"/>
          <w:sz w:val="20"/>
        </w:rPr>
        <w:t>decision.</w:t>
      </w:r>
      <w:r w:rsidR="002E21E5">
        <w:rPr>
          <w:rFonts w:ascii="Arial" w:hAnsi="Arial" w:cs="Arial"/>
          <w:sz w:val="20"/>
        </w:rPr>
        <w:t xml:space="preserve">  </w:t>
      </w:r>
    </w:p>
    <w:p w14:paraId="4259F38F" w14:textId="77777777" w:rsidR="00F755A5" w:rsidRDefault="00F755A5" w:rsidP="009D2DB6">
      <w:pPr>
        <w:pStyle w:val="ABABulletLevel1"/>
        <w:spacing w:after="120"/>
        <w:rPr>
          <w:rFonts w:ascii="Arial" w:hAnsi="Arial" w:cs="Arial"/>
          <w:sz w:val="20"/>
        </w:rPr>
      </w:pPr>
    </w:p>
    <w:p w14:paraId="2F7237E1" w14:textId="06A9FCF5" w:rsidR="009D2DB6" w:rsidRPr="0092230E" w:rsidRDefault="00257430" w:rsidP="009D2DB6">
      <w:pPr>
        <w:pStyle w:val="ABABulletLevel1"/>
        <w:spacing w:after="120"/>
        <w:rPr>
          <w:rFonts w:ascii="Arial" w:hAnsi="Arial" w:cs="Arial"/>
          <w:sz w:val="20"/>
        </w:rPr>
      </w:pPr>
      <w:r w:rsidRPr="0092230E">
        <w:rPr>
          <w:rFonts w:ascii="Arial" w:hAnsi="Arial" w:cs="Arial"/>
          <w:sz w:val="20"/>
        </w:rPr>
        <w:t xml:space="preserve">Subsection </w:t>
      </w:r>
      <w:r w:rsidR="00BF0B36">
        <w:rPr>
          <w:rFonts w:ascii="Arial" w:hAnsi="Arial" w:cs="Arial"/>
          <w:sz w:val="20"/>
        </w:rPr>
        <w:t>40</w:t>
      </w:r>
      <w:r w:rsidRPr="0092230E">
        <w:rPr>
          <w:rFonts w:ascii="Arial" w:hAnsi="Arial" w:cs="Arial"/>
          <w:sz w:val="20"/>
        </w:rPr>
        <w:t>(6)</w:t>
      </w:r>
      <w:r w:rsidR="00443DF8">
        <w:rPr>
          <w:rFonts w:ascii="Arial" w:hAnsi="Arial" w:cs="Arial"/>
          <w:sz w:val="20"/>
        </w:rPr>
        <w:t xml:space="preserve"> of the instrument</w:t>
      </w:r>
      <w:r w:rsidRPr="0092230E">
        <w:rPr>
          <w:rFonts w:ascii="Arial" w:hAnsi="Arial" w:cs="Arial"/>
          <w:sz w:val="20"/>
        </w:rPr>
        <w:t xml:space="preserve"> provides that a declaration that is made without complying with section </w:t>
      </w:r>
      <w:r w:rsidR="00BF0B36">
        <w:rPr>
          <w:rFonts w:ascii="Arial" w:hAnsi="Arial" w:cs="Arial"/>
          <w:sz w:val="20"/>
        </w:rPr>
        <w:t>40</w:t>
      </w:r>
      <w:r w:rsidR="002A508C" w:rsidRPr="0092230E">
        <w:rPr>
          <w:rFonts w:ascii="Arial" w:hAnsi="Arial" w:cs="Arial"/>
          <w:sz w:val="20"/>
        </w:rPr>
        <w:t xml:space="preserve"> </w:t>
      </w:r>
      <w:r w:rsidRPr="0092230E">
        <w:rPr>
          <w:rFonts w:ascii="Arial" w:hAnsi="Arial" w:cs="Arial"/>
          <w:sz w:val="20"/>
        </w:rPr>
        <w:t>has no effect.</w:t>
      </w:r>
      <w:r w:rsidR="00DC3936" w:rsidRPr="0092230E">
        <w:rPr>
          <w:rFonts w:ascii="Arial" w:hAnsi="Arial" w:cs="Arial"/>
          <w:sz w:val="20"/>
        </w:rPr>
        <w:t xml:space="preserve"> This provision recognises that a declaration could potentially have significant implications for a participating person and therefore emphasises the importance of following specified procedures when making a declaration</w:t>
      </w:r>
      <w:r w:rsidR="00B71701" w:rsidRPr="0092230E">
        <w:rPr>
          <w:rFonts w:ascii="Arial" w:hAnsi="Arial" w:cs="Arial"/>
          <w:sz w:val="20"/>
        </w:rPr>
        <w:t>.</w:t>
      </w:r>
    </w:p>
    <w:p w14:paraId="4BD68B61" w14:textId="61F02BA0" w:rsidR="002A508C" w:rsidRPr="0092230E" w:rsidRDefault="002A508C" w:rsidP="00B67477">
      <w:pPr>
        <w:pStyle w:val="ABABulletLevel1"/>
        <w:spacing w:after="120"/>
        <w:rPr>
          <w:rFonts w:ascii="Arial" w:hAnsi="Arial" w:cs="Arial"/>
          <w:b/>
          <w:sz w:val="20"/>
        </w:rPr>
      </w:pPr>
    </w:p>
    <w:p w14:paraId="00ADDD83" w14:textId="0530B1CF" w:rsidR="00B67477" w:rsidRPr="0092230E" w:rsidRDefault="00B67477" w:rsidP="00B67477">
      <w:pPr>
        <w:pStyle w:val="ABABulletLevel1"/>
        <w:spacing w:after="120"/>
        <w:rPr>
          <w:rFonts w:ascii="Arial" w:hAnsi="Arial" w:cs="Arial"/>
          <w:b/>
          <w:sz w:val="20"/>
        </w:rPr>
      </w:pPr>
      <w:r w:rsidRPr="0092230E">
        <w:rPr>
          <w:rFonts w:ascii="Arial" w:hAnsi="Arial" w:cs="Arial"/>
          <w:b/>
          <w:sz w:val="20"/>
        </w:rPr>
        <w:lastRenderedPageBreak/>
        <w:t xml:space="preserve">Section </w:t>
      </w:r>
      <w:r w:rsidR="00BF0B36">
        <w:rPr>
          <w:rFonts w:ascii="Arial" w:hAnsi="Arial" w:cs="Arial"/>
          <w:b/>
          <w:sz w:val="20"/>
        </w:rPr>
        <w:t>41</w:t>
      </w:r>
      <w:r w:rsidR="00067542" w:rsidRPr="0092230E">
        <w:rPr>
          <w:rFonts w:ascii="Arial" w:hAnsi="Arial" w:cs="Arial"/>
          <w:b/>
          <w:sz w:val="20"/>
        </w:rPr>
        <w:t xml:space="preserve"> </w:t>
      </w:r>
      <w:r w:rsidRPr="0092230E">
        <w:rPr>
          <w:rFonts w:ascii="Arial" w:hAnsi="Arial" w:cs="Arial"/>
          <w:b/>
          <w:sz w:val="20"/>
        </w:rPr>
        <w:t>– Review of decisions</w:t>
      </w:r>
    </w:p>
    <w:p w14:paraId="6D2A8297" w14:textId="6CE5614B" w:rsidR="00376AA5" w:rsidRDefault="00B67477" w:rsidP="00B67477">
      <w:pPr>
        <w:pStyle w:val="ABABulletLevel1"/>
        <w:spacing w:after="120"/>
        <w:rPr>
          <w:rFonts w:ascii="Arial" w:hAnsi="Arial" w:cs="Arial"/>
          <w:sz w:val="20"/>
        </w:rPr>
      </w:pPr>
      <w:r w:rsidRPr="0092230E">
        <w:rPr>
          <w:rFonts w:ascii="Arial" w:hAnsi="Arial" w:cs="Arial"/>
          <w:sz w:val="20"/>
        </w:rPr>
        <w:t xml:space="preserve">Section </w:t>
      </w:r>
      <w:r w:rsidR="00BF0B36">
        <w:rPr>
          <w:rFonts w:ascii="Arial" w:hAnsi="Arial" w:cs="Arial"/>
          <w:sz w:val="20"/>
        </w:rPr>
        <w:t>41</w:t>
      </w:r>
      <w:r w:rsidR="002A508C" w:rsidRPr="0092230E">
        <w:rPr>
          <w:rFonts w:ascii="Arial" w:hAnsi="Arial" w:cs="Arial"/>
          <w:sz w:val="20"/>
        </w:rPr>
        <w:t xml:space="preserve"> </w:t>
      </w:r>
      <w:r w:rsidR="00443DF8">
        <w:rPr>
          <w:rFonts w:ascii="Arial" w:hAnsi="Arial" w:cs="Arial"/>
          <w:sz w:val="20"/>
        </w:rPr>
        <w:t>of the instrument</w:t>
      </w:r>
      <w:r w:rsidR="00443DF8" w:rsidRPr="0092230E">
        <w:rPr>
          <w:rFonts w:ascii="Arial" w:hAnsi="Arial" w:cs="Arial"/>
          <w:sz w:val="20"/>
        </w:rPr>
        <w:t xml:space="preserve"> </w:t>
      </w:r>
      <w:r w:rsidRPr="0092230E">
        <w:rPr>
          <w:rFonts w:ascii="Arial" w:hAnsi="Arial" w:cs="Arial"/>
          <w:sz w:val="20"/>
        </w:rPr>
        <w:t xml:space="preserve">provides that </w:t>
      </w:r>
      <w:r w:rsidR="00483F25" w:rsidRPr="0092230E">
        <w:rPr>
          <w:rFonts w:ascii="Arial" w:hAnsi="Arial" w:cs="Arial"/>
          <w:sz w:val="20"/>
        </w:rPr>
        <w:t>a person who is adversely affected by a decision of the ACMA</w:t>
      </w:r>
      <w:r w:rsidR="00376AA5">
        <w:rPr>
          <w:rFonts w:ascii="Arial" w:hAnsi="Arial" w:cs="Arial"/>
          <w:sz w:val="20"/>
        </w:rPr>
        <w:t>:</w:t>
      </w:r>
    </w:p>
    <w:p w14:paraId="531318EF" w14:textId="2DB6E098" w:rsidR="00376AA5" w:rsidRDefault="00953920" w:rsidP="00376AA5">
      <w:pPr>
        <w:pStyle w:val="notetext"/>
        <w:numPr>
          <w:ilvl w:val="0"/>
          <w:numId w:val="28"/>
        </w:numPr>
        <w:spacing w:line="240" w:lineRule="auto"/>
        <w:rPr>
          <w:rFonts w:ascii="Arial" w:hAnsi="Arial" w:cs="Arial"/>
          <w:sz w:val="20"/>
        </w:rPr>
      </w:pPr>
      <w:r>
        <w:rPr>
          <w:rFonts w:ascii="Arial" w:hAnsi="Arial" w:cs="Arial"/>
          <w:sz w:val="20"/>
        </w:rPr>
        <w:t>made under subparagraph 14(3)(b)(ii)</w:t>
      </w:r>
      <w:r w:rsidR="00443DF8">
        <w:rPr>
          <w:rFonts w:ascii="Arial" w:hAnsi="Arial" w:cs="Arial"/>
          <w:sz w:val="20"/>
        </w:rPr>
        <w:t xml:space="preserve"> of the instrument</w:t>
      </w:r>
      <w:r>
        <w:rPr>
          <w:rFonts w:ascii="Arial" w:hAnsi="Arial" w:cs="Arial"/>
          <w:sz w:val="20"/>
        </w:rPr>
        <w:t xml:space="preserve"> (to decide </w:t>
      </w:r>
      <w:r w:rsidR="00F13B51">
        <w:rPr>
          <w:rFonts w:ascii="Arial" w:hAnsi="Arial" w:cs="Arial"/>
          <w:sz w:val="20"/>
        </w:rPr>
        <w:t>that a particular period is the most appropriate period for matching with a relevant period)</w:t>
      </w:r>
      <w:r w:rsidR="00376AA5">
        <w:rPr>
          <w:rFonts w:ascii="Arial" w:hAnsi="Arial" w:cs="Arial"/>
          <w:sz w:val="20"/>
        </w:rPr>
        <w:t xml:space="preserve">; </w:t>
      </w:r>
      <w:r w:rsidR="00B833E9">
        <w:rPr>
          <w:rFonts w:ascii="Arial" w:hAnsi="Arial" w:cs="Arial"/>
          <w:sz w:val="20"/>
        </w:rPr>
        <w:t>or</w:t>
      </w:r>
    </w:p>
    <w:p w14:paraId="29C2FC8C" w14:textId="77777777" w:rsidR="00376AA5" w:rsidRDefault="00483F25" w:rsidP="00376AA5">
      <w:pPr>
        <w:pStyle w:val="notetext"/>
        <w:numPr>
          <w:ilvl w:val="0"/>
          <w:numId w:val="28"/>
        </w:numPr>
        <w:spacing w:line="240" w:lineRule="auto"/>
        <w:rPr>
          <w:rFonts w:ascii="Arial" w:hAnsi="Arial" w:cs="Arial"/>
          <w:sz w:val="20"/>
        </w:rPr>
      </w:pPr>
      <w:r w:rsidRPr="0092230E">
        <w:rPr>
          <w:rFonts w:ascii="Arial" w:hAnsi="Arial" w:cs="Arial"/>
          <w:sz w:val="20"/>
        </w:rPr>
        <w:t>to make</w:t>
      </w:r>
      <w:r w:rsidR="00AD58CC">
        <w:rPr>
          <w:rFonts w:ascii="Arial" w:hAnsi="Arial" w:cs="Arial"/>
          <w:sz w:val="20"/>
        </w:rPr>
        <w:t xml:space="preserve"> or not to make</w:t>
      </w:r>
      <w:r w:rsidRPr="0092230E">
        <w:rPr>
          <w:rFonts w:ascii="Arial" w:hAnsi="Arial" w:cs="Arial"/>
          <w:sz w:val="20"/>
        </w:rPr>
        <w:t xml:space="preserve"> a declaration under the </w:t>
      </w:r>
      <w:r w:rsidR="00D224DF">
        <w:rPr>
          <w:rFonts w:ascii="Arial" w:hAnsi="Arial" w:cs="Arial"/>
          <w:sz w:val="20"/>
        </w:rPr>
        <w:t>instrument</w:t>
      </w:r>
      <w:r w:rsidR="00376AA5">
        <w:rPr>
          <w:rFonts w:ascii="Arial" w:hAnsi="Arial" w:cs="Arial"/>
          <w:sz w:val="20"/>
        </w:rPr>
        <w:t>,</w:t>
      </w:r>
    </w:p>
    <w:p w14:paraId="291792D4" w14:textId="55229498" w:rsidR="00782277" w:rsidRPr="0092230E" w:rsidRDefault="00483F25" w:rsidP="005A259C">
      <w:pPr>
        <w:pStyle w:val="notetext"/>
        <w:spacing w:line="240" w:lineRule="auto"/>
        <w:ind w:left="0" w:firstLine="0"/>
        <w:rPr>
          <w:rFonts w:ascii="Arial" w:hAnsi="Arial" w:cs="Arial"/>
          <w:sz w:val="20"/>
        </w:rPr>
      </w:pPr>
      <w:r w:rsidRPr="0092230E">
        <w:rPr>
          <w:rFonts w:ascii="Arial" w:hAnsi="Arial" w:cs="Arial"/>
          <w:sz w:val="20"/>
        </w:rPr>
        <w:t>may</w:t>
      </w:r>
      <w:r w:rsidR="00DF1BC6">
        <w:rPr>
          <w:rFonts w:ascii="Arial" w:hAnsi="Arial" w:cs="Arial"/>
          <w:sz w:val="20"/>
        </w:rPr>
        <w:t xml:space="preserve">, </w:t>
      </w:r>
      <w:r w:rsidR="00DF1BC6" w:rsidRPr="00E0361C">
        <w:rPr>
          <w:rFonts w:ascii="Arial" w:hAnsi="Arial" w:cs="Arial"/>
          <w:sz w:val="20"/>
        </w:rPr>
        <w:t>subject to the</w:t>
      </w:r>
      <w:r w:rsidR="00DF1BC6" w:rsidRPr="00E0361C">
        <w:rPr>
          <w:rFonts w:ascii="Arial" w:hAnsi="Arial" w:cs="Arial"/>
          <w:i/>
          <w:iCs/>
          <w:sz w:val="20"/>
        </w:rPr>
        <w:t xml:space="preserve"> Administrative Review Tribunal Act 2024</w:t>
      </w:r>
      <w:r w:rsidR="00DF1BC6">
        <w:rPr>
          <w:rFonts w:ascii="Arial" w:hAnsi="Arial" w:cs="Arial"/>
          <w:i/>
          <w:iCs/>
          <w:sz w:val="20"/>
        </w:rPr>
        <w:t>,</w:t>
      </w:r>
      <w:r w:rsidRPr="0092230E">
        <w:rPr>
          <w:rFonts w:ascii="Arial" w:hAnsi="Arial" w:cs="Arial"/>
          <w:sz w:val="20"/>
        </w:rPr>
        <w:t xml:space="preserve"> make an application</w:t>
      </w:r>
      <w:r w:rsidR="00B67477" w:rsidRPr="0092230E">
        <w:rPr>
          <w:rFonts w:ascii="Arial" w:hAnsi="Arial" w:cs="Arial"/>
          <w:sz w:val="20"/>
        </w:rPr>
        <w:t xml:space="preserve"> to the </w:t>
      </w:r>
      <w:r w:rsidR="003D0862">
        <w:rPr>
          <w:rFonts w:ascii="Arial" w:hAnsi="Arial" w:cs="Arial"/>
          <w:sz w:val="20"/>
        </w:rPr>
        <w:t xml:space="preserve">Administrative Review Tribunal </w:t>
      </w:r>
      <w:r w:rsidR="00B67477" w:rsidRPr="0092230E">
        <w:rPr>
          <w:rFonts w:ascii="Arial" w:hAnsi="Arial" w:cs="Arial"/>
          <w:sz w:val="20"/>
        </w:rPr>
        <w:t xml:space="preserve">for review of </w:t>
      </w:r>
      <w:r w:rsidRPr="0092230E">
        <w:rPr>
          <w:rFonts w:ascii="Arial" w:hAnsi="Arial" w:cs="Arial"/>
          <w:sz w:val="20"/>
        </w:rPr>
        <w:t>the</w:t>
      </w:r>
      <w:r w:rsidR="00B67477" w:rsidRPr="0092230E">
        <w:rPr>
          <w:rFonts w:ascii="Arial" w:hAnsi="Arial" w:cs="Arial"/>
          <w:sz w:val="20"/>
        </w:rPr>
        <w:t xml:space="preserve"> decision.</w:t>
      </w:r>
      <w:r w:rsidR="00A31EE8" w:rsidRPr="0092230E">
        <w:rPr>
          <w:rFonts w:ascii="Arial" w:hAnsi="Arial" w:cs="Arial"/>
          <w:sz w:val="20"/>
        </w:rPr>
        <w:t xml:space="preserve"> </w:t>
      </w:r>
    </w:p>
    <w:p w14:paraId="3A1E2C7B" w14:textId="77777777" w:rsidR="00C749E3" w:rsidRPr="0092230E" w:rsidRDefault="00C749E3" w:rsidP="00B67477">
      <w:pPr>
        <w:pStyle w:val="ABABulletLevel1"/>
        <w:spacing w:after="120"/>
        <w:rPr>
          <w:rFonts w:ascii="Arial" w:hAnsi="Arial" w:cs="Arial"/>
          <w:sz w:val="20"/>
        </w:rPr>
      </w:pPr>
    </w:p>
    <w:p w14:paraId="2F7F3520" w14:textId="5229894C" w:rsidR="007B649D" w:rsidRPr="0092230E" w:rsidRDefault="007B649D" w:rsidP="00C749E3">
      <w:pPr>
        <w:spacing w:after="200" w:line="276" w:lineRule="auto"/>
        <w:rPr>
          <w:rFonts w:ascii="Arial" w:hAnsi="Arial" w:cs="Arial"/>
          <w:szCs w:val="20"/>
          <w:lang w:eastAsia="en-US"/>
        </w:rPr>
      </w:pPr>
      <w:r w:rsidRPr="0092230E">
        <w:rPr>
          <w:rFonts w:ascii="Arial" w:hAnsi="Arial" w:cs="Arial"/>
          <w:b/>
          <w:szCs w:val="20"/>
        </w:rPr>
        <w:t xml:space="preserve">Section </w:t>
      </w:r>
      <w:r w:rsidR="00067542" w:rsidRPr="0092230E">
        <w:rPr>
          <w:rFonts w:ascii="Arial" w:hAnsi="Arial" w:cs="Arial"/>
          <w:b/>
          <w:szCs w:val="20"/>
        </w:rPr>
        <w:t>4</w:t>
      </w:r>
      <w:r w:rsidR="00BF0B36">
        <w:rPr>
          <w:rFonts w:ascii="Arial" w:hAnsi="Arial" w:cs="Arial"/>
          <w:b/>
          <w:szCs w:val="20"/>
        </w:rPr>
        <w:t>2</w:t>
      </w:r>
      <w:r w:rsidR="00067542" w:rsidRPr="0092230E">
        <w:rPr>
          <w:rFonts w:ascii="Arial" w:hAnsi="Arial" w:cs="Arial"/>
          <w:b/>
          <w:szCs w:val="20"/>
        </w:rPr>
        <w:t xml:space="preserve"> </w:t>
      </w:r>
      <w:r w:rsidRPr="0092230E">
        <w:rPr>
          <w:rFonts w:ascii="Arial" w:hAnsi="Arial" w:cs="Arial"/>
          <w:b/>
          <w:szCs w:val="20"/>
        </w:rPr>
        <w:t>– Period for lodging eligible revenue</w:t>
      </w:r>
      <w:r w:rsidR="000232DE">
        <w:rPr>
          <w:rFonts w:ascii="Arial" w:hAnsi="Arial" w:cs="Arial"/>
          <w:b/>
          <w:szCs w:val="20"/>
        </w:rPr>
        <w:t xml:space="preserve"> return</w:t>
      </w:r>
    </w:p>
    <w:p w14:paraId="3E25D7AB" w14:textId="7BF30BBF" w:rsidR="003214EE" w:rsidRPr="0092230E" w:rsidRDefault="007B649D" w:rsidP="007B2E7B">
      <w:pPr>
        <w:pStyle w:val="ABABulletLevel1"/>
        <w:spacing w:after="120"/>
        <w:rPr>
          <w:rFonts w:ascii="Arial" w:hAnsi="Arial" w:cs="Arial"/>
          <w:sz w:val="20"/>
        </w:rPr>
      </w:pPr>
      <w:r w:rsidRPr="0092230E">
        <w:rPr>
          <w:rFonts w:ascii="Arial" w:hAnsi="Arial" w:cs="Arial"/>
          <w:sz w:val="20"/>
        </w:rPr>
        <w:t xml:space="preserve">Section </w:t>
      </w:r>
      <w:r w:rsidR="00CE060B" w:rsidRPr="0092230E">
        <w:rPr>
          <w:rFonts w:ascii="Arial" w:hAnsi="Arial" w:cs="Arial"/>
          <w:sz w:val="20"/>
        </w:rPr>
        <w:t>4</w:t>
      </w:r>
      <w:r w:rsidR="00BF0B36">
        <w:rPr>
          <w:rFonts w:ascii="Arial" w:hAnsi="Arial" w:cs="Arial"/>
          <w:sz w:val="20"/>
        </w:rPr>
        <w:t>2</w:t>
      </w:r>
      <w:r w:rsidR="00443DF8">
        <w:rPr>
          <w:rFonts w:ascii="Arial" w:hAnsi="Arial" w:cs="Arial"/>
          <w:sz w:val="20"/>
        </w:rPr>
        <w:t xml:space="preserve"> of the instrument</w:t>
      </w:r>
      <w:r w:rsidR="00CE060B" w:rsidRPr="0092230E">
        <w:rPr>
          <w:rFonts w:ascii="Arial" w:hAnsi="Arial" w:cs="Arial"/>
          <w:sz w:val="20"/>
        </w:rPr>
        <w:t xml:space="preserve"> </w:t>
      </w:r>
      <w:r w:rsidR="00DF1BC6">
        <w:rPr>
          <w:rFonts w:ascii="Arial" w:hAnsi="Arial" w:cs="Arial"/>
          <w:sz w:val="20"/>
        </w:rPr>
        <w:t>specifies</w:t>
      </w:r>
      <w:r w:rsidR="00DF1BC6" w:rsidRPr="0092230E">
        <w:rPr>
          <w:rFonts w:ascii="Arial" w:hAnsi="Arial" w:cs="Arial"/>
          <w:sz w:val="20"/>
        </w:rPr>
        <w:t xml:space="preserve"> </w:t>
      </w:r>
      <w:r w:rsidRPr="0092230E">
        <w:rPr>
          <w:rFonts w:ascii="Arial" w:hAnsi="Arial" w:cs="Arial"/>
          <w:sz w:val="20"/>
        </w:rPr>
        <w:t>the period within which a participating person is required to lodge a</w:t>
      </w:r>
      <w:r w:rsidR="00921522">
        <w:rPr>
          <w:rFonts w:ascii="Arial" w:hAnsi="Arial" w:cs="Arial"/>
          <w:sz w:val="20"/>
        </w:rPr>
        <w:t>n</w:t>
      </w:r>
      <w:r w:rsidRPr="0092230E">
        <w:rPr>
          <w:rFonts w:ascii="Arial" w:hAnsi="Arial" w:cs="Arial"/>
          <w:sz w:val="20"/>
        </w:rPr>
        <w:t xml:space="preserve"> eligible revenue</w:t>
      </w:r>
      <w:r w:rsidR="00DF1BC6">
        <w:rPr>
          <w:rFonts w:ascii="Arial" w:hAnsi="Arial" w:cs="Arial"/>
          <w:sz w:val="20"/>
        </w:rPr>
        <w:t xml:space="preserve"> return</w:t>
      </w:r>
      <w:r w:rsidRPr="0092230E">
        <w:rPr>
          <w:rFonts w:ascii="Arial" w:hAnsi="Arial" w:cs="Arial"/>
          <w:sz w:val="20"/>
        </w:rPr>
        <w:t xml:space="preserve"> with the ACMA in accordance with paragraph </w:t>
      </w:r>
      <w:r w:rsidR="00BC7480" w:rsidRPr="0092230E">
        <w:rPr>
          <w:rFonts w:ascii="Arial" w:hAnsi="Arial" w:cs="Arial"/>
          <w:sz w:val="20"/>
        </w:rPr>
        <w:t>43</w:t>
      </w:r>
      <w:r w:rsidRPr="0092230E">
        <w:rPr>
          <w:rFonts w:ascii="Arial" w:hAnsi="Arial" w:cs="Arial"/>
          <w:sz w:val="20"/>
        </w:rPr>
        <w:t>(1)(b) of the Act.</w:t>
      </w:r>
      <w:r w:rsidR="002E21E5">
        <w:rPr>
          <w:rFonts w:ascii="Arial" w:hAnsi="Arial" w:cs="Arial"/>
          <w:sz w:val="20"/>
        </w:rPr>
        <w:t xml:space="preserve"> </w:t>
      </w:r>
      <w:r w:rsidR="00483F25" w:rsidRPr="0092230E">
        <w:rPr>
          <w:rFonts w:ascii="Arial" w:hAnsi="Arial" w:cs="Arial"/>
          <w:sz w:val="20"/>
        </w:rPr>
        <w:t xml:space="preserve">The period specified is 4 months after the eligible revenue period ends. For example, </w:t>
      </w:r>
      <w:r w:rsidR="00D4160A" w:rsidRPr="0092230E">
        <w:rPr>
          <w:rFonts w:ascii="Arial" w:hAnsi="Arial" w:cs="Arial"/>
          <w:sz w:val="20"/>
        </w:rPr>
        <w:t>if the eligible revenue period ends on 30 June 20</w:t>
      </w:r>
      <w:r w:rsidR="00D43285">
        <w:rPr>
          <w:rFonts w:ascii="Arial" w:hAnsi="Arial" w:cs="Arial"/>
          <w:sz w:val="20"/>
        </w:rPr>
        <w:t>2</w:t>
      </w:r>
      <w:r w:rsidR="00BC7480" w:rsidRPr="0092230E">
        <w:rPr>
          <w:rFonts w:ascii="Arial" w:hAnsi="Arial" w:cs="Arial"/>
          <w:sz w:val="20"/>
        </w:rPr>
        <w:t>6</w:t>
      </w:r>
      <w:r w:rsidR="00D4160A" w:rsidRPr="0092230E">
        <w:rPr>
          <w:rFonts w:ascii="Arial" w:hAnsi="Arial" w:cs="Arial"/>
          <w:sz w:val="20"/>
        </w:rPr>
        <w:t xml:space="preserve">, a participating person must give the ACMA </w:t>
      </w:r>
      <w:r w:rsidR="00DF1BC6">
        <w:rPr>
          <w:rFonts w:ascii="Arial" w:hAnsi="Arial" w:cs="Arial"/>
          <w:sz w:val="20"/>
        </w:rPr>
        <w:t>its</w:t>
      </w:r>
      <w:r w:rsidR="00D4160A" w:rsidRPr="0092230E">
        <w:rPr>
          <w:rFonts w:ascii="Arial" w:hAnsi="Arial" w:cs="Arial"/>
          <w:sz w:val="20"/>
        </w:rPr>
        <w:t xml:space="preserve"> eligible revenue</w:t>
      </w:r>
      <w:r w:rsidR="00DF1BC6">
        <w:rPr>
          <w:rFonts w:ascii="Arial" w:hAnsi="Arial" w:cs="Arial"/>
          <w:sz w:val="20"/>
        </w:rPr>
        <w:t xml:space="preserve"> return</w:t>
      </w:r>
      <w:r w:rsidR="00D4160A" w:rsidRPr="0092230E">
        <w:rPr>
          <w:rFonts w:ascii="Arial" w:hAnsi="Arial" w:cs="Arial"/>
          <w:sz w:val="20"/>
        </w:rPr>
        <w:t xml:space="preserve"> before 1 November 20</w:t>
      </w:r>
      <w:r w:rsidR="00D43285">
        <w:rPr>
          <w:rFonts w:ascii="Arial" w:hAnsi="Arial" w:cs="Arial"/>
          <w:sz w:val="20"/>
        </w:rPr>
        <w:t>2</w:t>
      </w:r>
      <w:r w:rsidR="00BC7480" w:rsidRPr="0092230E">
        <w:rPr>
          <w:rFonts w:ascii="Arial" w:hAnsi="Arial" w:cs="Arial"/>
          <w:sz w:val="20"/>
        </w:rPr>
        <w:t>6</w:t>
      </w:r>
      <w:r w:rsidR="00D4160A" w:rsidRPr="0092230E">
        <w:rPr>
          <w:rFonts w:ascii="Arial" w:hAnsi="Arial" w:cs="Arial"/>
          <w:sz w:val="20"/>
        </w:rPr>
        <w:t xml:space="preserve">. </w:t>
      </w:r>
    </w:p>
    <w:sectPr w:rsidR="003214EE" w:rsidRPr="0092230E" w:rsidSect="008E6C9B">
      <w:headerReference w:type="even" r:id="rId13"/>
      <w:headerReference w:type="default" r:id="rId14"/>
      <w:footerReference w:type="even" r:id="rId15"/>
      <w:footerReference w:type="default" r:id="rId16"/>
      <w:headerReference w:type="first" r:id="rId17"/>
      <w:footerReference w:type="first" r:id="rId18"/>
      <w:pgSz w:w="11906" w:h="16838" w:code="9"/>
      <w:pgMar w:top="1843" w:right="1797" w:bottom="868" w:left="1134" w:header="709" w:footer="3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4F4F" w14:textId="77777777" w:rsidR="00C71860" w:rsidRDefault="00C71860" w:rsidP="00291094">
      <w:pPr>
        <w:spacing w:line="240" w:lineRule="auto"/>
      </w:pPr>
      <w:r>
        <w:separator/>
      </w:r>
    </w:p>
  </w:endnote>
  <w:endnote w:type="continuationSeparator" w:id="0">
    <w:p w14:paraId="5586BF3A" w14:textId="77777777" w:rsidR="00C71860" w:rsidRDefault="00C71860" w:rsidP="00291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eueLT Std Lt">
    <w:altName w:val="Arial"/>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EBA4" w14:textId="316A3E06" w:rsidR="002A2005" w:rsidRDefault="00863DDD">
    <w:pPr>
      <w:pStyle w:val="Footer"/>
      <w:jc w:val="right"/>
    </w:pPr>
    <w:r>
      <w:rPr>
        <w:noProof/>
      </w:rPr>
      <mc:AlternateContent>
        <mc:Choice Requires="wps">
          <w:drawing>
            <wp:anchor distT="0" distB="0" distL="0" distR="0" simplePos="0" relativeHeight="251669504" behindDoc="0" locked="0" layoutInCell="1" allowOverlap="1" wp14:anchorId="53DA3F59" wp14:editId="64D266CE">
              <wp:simplePos x="635" y="635"/>
              <wp:positionH relativeFrom="page">
                <wp:align>center</wp:align>
              </wp:positionH>
              <wp:positionV relativeFrom="page">
                <wp:align>bottom</wp:align>
              </wp:positionV>
              <wp:extent cx="2178685" cy="376555"/>
              <wp:effectExtent l="0" t="0" r="12065" b="0"/>
              <wp:wrapNone/>
              <wp:docPr id="2083546747" name="Text Box 5" descr="OFFICIAL: Sensitive//Legal Privileg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52276788" w14:textId="4CBB9FA7" w:rsidR="00863DDD" w:rsidRPr="00863DDD" w:rsidRDefault="00863DDD" w:rsidP="00863DDD">
                          <w:pPr>
                            <w:rPr>
                              <w:rFonts w:ascii="Calibri" w:eastAsia="Calibri" w:hAnsi="Calibri" w:cs="Calibri"/>
                              <w:noProof/>
                              <w:color w:val="FF0000"/>
                              <w:sz w:val="24"/>
                            </w:rPr>
                          </w:pPr>
                          <w:r w:rsidRPr="00863DDD">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DA3F59" id="_x0000_t202" coordsize="21600,21600" o:spt="202" path="m,l,21600r21600,l21600,xe">
              <v:stroke joinstyle="miter"/>
              <v:path gradientshapeok="t" o:connecttype="rect"/>
            </v:shapetype>
            <v:shape id="Text Box 5" o:spid="_x0000_s1027" type="#_x0000_t202" alt="OFFICIAL: Sensitive//Legal Privilege" style="position:absolute;left:0;text-align:left;margin-left:0;margin-top:0;width:171.55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" filled="f" stroked="f">
              <v:textbox style="mso-fit-shape-to-text:t" inset="0,0,0,15pt">
                <w:txbxContent>
                  <w:p w14:paraId="52276788" w14:textId="4CBB9FA7" w:rsidR="00863DDD" w:rsidRPr="00863DDD" w:rsidRDefault="00863DDD" w:rsidP="00863DDD">
                    <w:pPr>
                      <w:rPr>
                        <w:rFonts w:ascii="Calibri" w:eastAsia="Calibri" w:hAnsi="Calibri" w:cs="Calibri"/>
                        <w:noProof/>
                        <w:color w:val="FF0000"/>
                        <w:sz w:val="24"/>
                      </w:rPr>
                    </w:pPr>
                    <w:r w:rsidRPr="00863DDD">
                      <w:rPr>
                        <w:rFonts w:ascii="Calibri" w:eastAsia="Calibri" w:hAnsi="Calibri" w:cs="Calibri"/>
                        <w:noProof/>
                        <w:color w:val="FF0000"/>
                        <w:sz w:val="24"/>
                      </w:rPr>
                      <w:t>OFFICIAL: Sensitive//Legal Privilege</w:t>
                    </w:r>
                  </w:p>
                </w:txbxContent>
              </v:textbox>
              <w10:wrap anchorx="page" anchory="page"/>
            </v:shape>
          </w:pict>
        </mc:Fallback>
      </mc:AlternateContent>
    </w:r>
    <w:r w:rsidR="002F7599">
      <w:fldChar w:fldCharType="begin"/>
    </w:r>
    <w:r w:rsidR="002F7599">
      <w:instrText xml:space="preserve"> PAGE   \* MERGEFORMAT </w:instrText>
    </w:r>
    <w:r w:rsidR="002F7599">
      <w:fldChar w:fldCharType="separate"/>
    </w:r>
    <w:r w:rsidR="002A2005">
      <w:rPr>
        <w:noProof/>
      </w:rPr>
      <w:t>2</w:t>
    </w:r>
    <w:r w:rsidR="002F7599">
      <w:rPr>
        <w:noProof/>
      </w:rPr>
      <w:fldChar w:fldCharType="end"/>
    </w:r>
  </w:p>
  <w:p w14:paraId="7044AF58" w14:textId="77777777" w:rsidR="002A2005" w:rsidRDefault="006B2D35" w:rsidP="000E5EB6">
    <w:pPr>
      <w:pStyle w:val="PageNumber"/>
    </w:pPr>
    <w:r>
      <w:rPr>
        <w:noProof/>
      </w:rPr>
      <mc:AlternateContent>
        <mc:Choice Requires="wpg">
          <w:drawing>
            <wp:anchor distT="0" distB="0" distL="114300" distR="114300" simplePos="0" relativeHeight="251658240" behindDoc="1" locked="1" layoutInCell="1" allowOverlap="1" wp14:anchorId="37E122FB" wp14:editId="5307C15D">
              <wp:simplePos x="0" y="0"/>
              <wp:positionH relativeFrom="page">
                <wp:posOffset>5563870</wp:posOffset>
              </wp:positionH>
              <wp:positionV relativeFrom="page">
                <wp:posOffset>10191750</wp:posOffset>
              </wp:positionV>
              <wp:extent cx="828675" cy="163830"/>
              <wp:effectExtent l="10795" t="9525" r="825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163830"/>
                        <a:chOff x="1133" y="16276"/>
                        <a:chExt cx="1305" cy="258"/>
                      </a:xfrm>
                    </wpg:grpSpPr>
                    <wps:wsp>
                      <wps:cNvPr id="2" name="Logo_acma_ftr"/>
                      <wps:cNvSpPr>
                        <a:spLocks noChangeAspect="1" noEditPoints="1"/>
                      </wps:cNvSpPr>
                      <wps:spPr bwMode="auto">
                        <a:xfrm>
                          <a:off x="1540" y="16386"/>
                          <a:ext cx="492" cy="113"/>
                        </a:xfrm>
                        <a:custGeom>
                          <a:avLst/>
                          <a:gdLst>
                            <a:gd name="T0" fmla="*/ 1568 w 10982"/>
                            <a:gd name="T1" fmla="*/ 1225 h 2496"/>
                            <a:gd name="T2" fmla="*/ 773 w 10982"/>
                            <a:gd name="T3" fmla="*/ 1662 h 2496"/>
                            <a:gd name="T4" fmla="*/ 96 w 10982"/>
                            <a:gd name="T5" fmla="*/ 796 h 2496"/>
                            <a:gd name="T6" fmla="*/ 1214 w 10982"/>
                            <a:gd name="T7" fmla="*/ 0 h 2496"/>
                            <a:gd name="T8" fmla="*/ 2314 w 10982"/>
                            <a:gd name="T9" fmla="*/ 1823 h 2496"/>
                            <a:gd name="T10" fmla="*/ 1628 w 10982"/>
                            <a:gd name="T11" fmla="*/ 2427 h 2496"/>
                            <a:gd name="T12" fmla="*/ 805 w 10982"/>
                            <a:gd name="T13" fmla="*/ 2496 h 2496"/>
                            <a:gd name="T14" fmla="*/ 1373 w 10982"/>
                            <a:gd name="T15" fmla="*/ 964 h 2496"/>
                            <a:gd name="T16" fmla="*/ 1205 w 10982"/>
                            <a:gd name="T17" fmla="*/ 500 h 2496"/>
                            <a:gd name="T18" fmla="*/ 96 w 10982"/>
                            <a:gd name="T19" fmla="*/ 796 h 2496"/>
                            <a:gd name="T20" fmla="*/ 3627 w 10982"/>
                            <a:gd name="T21" fmla="*/ 591 h 2496"/>
                            <a:gd name="T22" fmla="*/ 3586 w 10982"/>
                            <a:gd name="T23" fmla="*/ 1905 h 2496"/>
                            <a:gd name="T24" fmla="*/ 4777 w 10982"/>
                            <a:gd name="T25" fmla="*/ 1500 h 2496"/>
                            <a:gd name="T26" fmla="*/ 2354 w 10982"/>
                            <a:gd name="T27" fmla="*/ 1287 h 2496"/>
                            <a:gd name="T28" fmla="*/ 4754 w 10982"/>
                            <a:gd name="T29" fmla="*/ 932 h 2496"/>
                            <a:gd name="T30" fmla="*/ 4835 w 10982"/>
                            <a:gd name="T31" fmla="*/ 69 h 2496"/>
                            <a:gd name="T32" fmla="*/ 5585 w 10982"/>
                            <a:gd name="T33" fmla="*/ 391 h 2496"/>
                            <a:gd name="T34" fmla="*/ 6271 w 10982"/>
                            <a:gd name="T35" fmla="*/ 0 h 2496"/>
                            <a:gd name="T36" fmla="*/ 7694 w 10982"/>
                            <a:gd name="T37" fmla="*/ 0 h 2496"/>
                            <a:gd name="T38" fmla="*/ 8526 w 10982"/>
                            <a:gd name="T39" fmla="*/ 2427 h 2496"/>
                            <a:gd name="T40" fmla="*/ 7753 w 10982"/>
                            <a:gd name="T41" fmla="*/ 1041 h 2496"/>
                            <a:gd name="T42" fmla="*/ 7067 w 10982"/>
                            <a:gd name="T43" fmla="*/ 1273 h 2496"/>
                            <a:gd name="T44" fmla="*/ 6294 w 10982"/>
                            <a:gd name="T45" fmla="*/ 2427 h 2496"/>
                            <a:gd name="T46" fmla="*/ 6003 w 10982"/>
                            <a:gd name="T47" fmla="*/ 636 h 2496"/>
                            <a:gd name="T48" fmla="*/ 5607 w 10982"/>
                            <a:gd name="T49" fmla="*/ 2427 h 2496"/>
                            <a:gd name="T50" fmla="*/ 4835 w 10982"/>
                            <a:gd name="T51" fmla="*/ 69 h 2496"/>
                            <a:gd name="T52" fmla="*/ 10146 w 10982"/>
                            <a:gd name="T53" fmla="*/ 1243 h 2496"/>
                            <a:gd name="T54" fmla="*/ 9350 w 10982"/>
                            <a:gd name="T55" fmla="*/ 1670 h 2496"/>
                            <a:gd name="T56" fmla="*/ 8673 w 10982"/>
                            <a:gd name="T57" fmla="*/ 796 h 2496"/>
                            <a:gd name="T58" fmla="*/ 9791 w 10982"/>
                            <a:gd name="T59" fmla="*/ 0 h 2496"/>
                            <a:gd name="T60" fmla="*/ 10891 w 10982"/>
                            <a:gd name="T61" fmla="*/ 1823 h 2496"/>
                            <a:gd name="T62" fmla="*/ 10205 w 10982"/>
                            <a:gd name="T63" fmla="*/ 2427 h 2496"/>
                            <a:gd name="T64" fmla="*/ 9382 w 10982"/>
                            <a:gd name="T65" fmla="*/ 2496 h 2496"/>
                            <a:gd name="T66" fmla="*/ 9950 w 10982"/>
                            <a:gd name="T67" fmla="*/ 964 h 2496"/>
                            <a:gd name="T68" fmla="*/ 9782 w 10982"/>
                            <a:gd name="T69" fmla="*/ 500 h 2496"/>
                            <a:gd name="T70" fmla="*/ 8673 w 10982"/>
                            <a:gd name="T71" fmla="*/ 796 h 2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982" h="2496">
                              <a:moveTo>
                                <a:pt x="1096" y="1936"/>
                              </a:moveTo>
                              <a:cubicBezTo>
                                <a:pt x="1464" y="1936"/>
                                <a:pt x="1587" y="1722"/>
                                <a:pt x="1568" y="1225"/>
                              </a:cubicBezTo>
                              <a:cubicBezTo>
                                <a:pt x="1460" y="1295"/>
                                <a:pt x="1259" y="1309"/>
                                <a:pt x="1091" y="1355"/>
                              </a:cubicBezTo>
                              <a:cubicBezTo>
                                <a:pt x="919" y="1397"/>
                                <a:pt x="773" y="1471"/>
                                <a:pt x="773" y="1662"/>
                              </a:cubicBezTo>
                              <a:cubicBezTo>
                                <a:pt x="773" y="1857"/>
                                <a:pt x="923" y="1936"/>
                                <a:pt x="1096" y="1936"/>
                              </a:cubicBezTo>
                              <a:moveTo>
                                <a:pt x="96" y="796"/>
                              </a:moveTo>
                              <a:cubicBezTo>
                                <a:pt x="109" y="487"/>
                                <a:pt x="255" y="286"/>
                                <a:pt x="464" y="164"/>
                              </a:cubicBezTo>
                              <a:cubicBezTo>
                                <a:pt x="673" y="46"/>
                                <a:pt x="946" y="0"/>
                                <a:pt x="1214" y="0"/>
                              </a:cubicBezTo>
                              <a:cubicBezTo>
                                <a:pt x="1773" y="0"/>
                                <a:pt x="2314" y="123"/>
                                <a:pt x="2314" y="791"/>
                              </a:cubicBezTo>
                              <a:cubicBezTo>
                                <a:pt x="2314" y="1823"/>
                                <a:pt x="2314" y="1823"/>
                                <a:pt x="2314" y="1823"/>
                              </a:cubicBezTo>
                              <a:cubicBezTo>
                                <a:pt x="2314" y="2023"/>
                                <a:pt x="2314" y="2241"/>
                                <a:pt x="2405" y="2427"/>
                              </a:cubicBezTo>
                              <a:cubicBezTo>
                                <a:pt x="1628" y="2427"/>
                                <a:pt x="1628" y="2427"/>
                                <a:pt x="1628" y="2427"/>
                              </a:cubicBezTo>
                              <a:cubicBezTo>
                                <a:pt x="1601" y="2355"/>
                                <a:pt x="1591" y="2282"/>
                                <a:pt x="1582" y="2205"/>
                              </a:cubicBezTo>
                              <a:cubicBezTo>
                                <a:pt x="1382" y="2414"/>
                                <a:pt x="1087" y="2496"/>
                                <a:pt x="805" y="2496"/>
                              </a:cubicBezTo>
                              <a:cubicBezTo>
                                <a:pt x="355" y="2496"/>
                                <a:pt x="0" y="2268"/>
                                <a:pt x="0" y="1782"/>
                              </a:cubicBezTo>
                              <a:cubicBezTo>
                                <a:pt x="0" y="1014"/>
                                <a:pt x="837" y="1073"/>
                                <a:pt x="1373" y="964"/>
                              </a:cubicBezTo>
                              <a:cubicBezTo>
                                <a:pt x="1505" y="936"/>
                                <a:pt x="1578" y="891"/>
                                <a:pt x="1578" y="746"/>
                              </a:cubicBezTo>
                              <a:cubicBezTo>
                                <a:pt x="1578" y="568"/>
                                <a:pt x="1364" y="500"/>
                                <a:pt x="1205" y="500"/>
                              </a:cubicBezTo>
                              <a:cubicBezTo>
                                <a:pt x="991" y="500"/>
                                <a:pt x="855" y="596"/>
                                <a:pt x="819" y="796"/>
                              </a:cubicBezTo>
                              <a:lnTo>
                                <a:pt x="96" y="796"/>
                              </a:lnTo>
                              <a:close/>
                              <a:moveTo>
                                <a:pt x="4004" y="932"/>
                              </a:moveTo>
                              <a:cubicBezTo>
                                <a:pt x="4000" y="732"/>
                                <a:pt x="3823" y="591"/>
                                <a:pt x="3627" y="591"/>
                              </a:cubicBezTo>
                              <a:cubicBezTo>
                                <a:pt x="3195" y="591"/>
                                <a:pt x="3127" y="959"/>
                                <a:pt x="3127" y="1287"/>
                              </a:cubicBezTo>
                              <a:cubicBezTo>
                                <a:pt x="3127" y="1591"/>
                                <a:pt x="3259" y="1905"/>
                                <a:pt x="3586" y="1905"/>
                              </a:cubicBezTo>
                              <a:cubicBezTo>
                                <a:pt x="3854" y="1905"/>
                                <a:pt x="3991" y="1750"/>
                                <a:pt x="4027" y="1500"/>
                              </a:cubicBezTo>
                              <a:cubicBezTo>
                                <a:pt x="4777" y="1500"/>
                                <a:pt x="4777" y="1500"/>
                                <a:pt x="4777" y="1500"/>
                              </a:cubicBezTo>
                              <a:cubicBezTo>
                                <a:pt x="4708" y="2132"/>
                                <a:pt x="4218" y="2496"/>
                                <a:pt x="3591" y="2496"/>
                              </a:cubicBezTo>
                              <a:cubicBezTo>
                                <a:pt x="2882" y="2496"/>
                                <a:pt x="2354" y="2009"/>
                                <a:pt x="2354" y="1287"/>
                              </a:cubicBezTo>
                              <a:cubicBezTo>
                                <a:pt x="2354" y="537"/>
                                <a:pt x="2832" y="0"/>
                                <a:pt x="3591" y="0"/>
                              </a:cubicBezTo>
                              <a:cubicBezTo>
                                <a:pt x="4177" y="0"/>
                                <a:pt x="4700" y="309"/>
                                <a:pt x="4754" y="932"/>
                              </a:cubicBezTo>
                              <a:lnTo>
                                <a:pt x="4004" y="932"/>
                              </a:lnTo>
                              <a:close/>
                              <a:moveTo>
                                <a:pt x="4835" y="69"/>
                              </a:moveTo>
                              <a:cubicBezTo>
                                <a:pt x="5585" y="69"/>
                                <a:pt x="5585" y="69"/>
                                <a:pt x="5585" y="69"/>
                              </a:cubicBezTo>
                              <a:cubicBezTo>
                                <a:pt x="5585" y="391"/>
                                <a:pt x="5585" y="391"/>
                                <a:pt x="5585" y="391"/>
                              </a:cubicBezTo>
                              <a:cubicBezTo>
                                <a:pt x="5594" y="391"/>
                                <a:pt x="5594" y="391"/>
                                <a:pt x="5594" y="391"/>
                              </a:cubicBezTo>
                              <a:cubicBezTo>
                                <a:pt x="5735" y="155"/>
                                <a:pt x="5985" y="0"/>
                                <a:pt x="6271" y="0"/>
                              </a:cubicBezTo>
                              <a:cubicBezTo>
                                <a:pt x="6567" y="0"/>
                                <a:pt x="6831" y="96"/>
                                <a:pt x="6958" y="382"/>
                              </a:cubicBezTo>
                              <a:cubicBezTo>
                                <a:pt x="7144" y="132"/>
                                <a:pt x="7376" y="0"/>
                                <a:pt x="7694" y="0"/>
                              </a:cubicBezTo>
                              <a:cubicBezTo>
                                <a:pt x="8444" y="0"/>
                                <a:pt x="8526" y="568"/>
                                <a:pt x="8526" y="1019"/>
                              </a:cubicBezTo>
                              <a:cubicBezTo>
                                <a:pt x="8526" y="2427"/>
                                <a:pt x="8526" y="2427"/>
                                <a:pt x="8526" y="2427"/>
                              </a:cubicBezTo>
                              <a:cubicBezTo>
                                <a:pt x="7753" y="2427"/>
                                <a:pt x="7753" y="2427"/>
                                <a:pt x="7753" y="2427"/>
                              </a:cubicBezTo>
                              <a:cubicBezTo>
                                <a:pt x="7753" y="1041"/>
                                <a:pt x="7753" y="1041"/>
                                <a:pt x="7753" y="1041"/>
                              </a:cubicBezTo>
                              <a:cubicBezTo>
                                <a:pt x="7753" y="787"/>
                                <a:pt x="7631" y="636"/>
                                <a:pt x="7431" y="636"/>
                              </a:cubicBezTo>
                              <a:cubicBezTo>
                                <a:pt x="7099" y="636"/>
                                <a:pt x="7067" y="891"/>
                                <a:pt x="7067" y="1273"/>
                              </a:cubicBezTo>
                              <a:cubicBezTo>
                                <a:pt x="7067" y="2427"/>
                                <a:pt x="7067" y="2427"/>
                                <a:pt x="7067" y="2427"/>
                              </a:cubicBezTo>
                              <a:cubicBezTo>
                                <a:pt x="6294" y="2427"/>
                                <a:pt x="6294" y="2427"/>
                                <a:pt x="6294" y="2427"/>
                              </a:cubicBezTo>
                              <a:cubicBezTo>
                                <a:pt x="6294" y="1087"/>
                                <a:pt x="6294" y="1087"/>
                                <a:pt x="6294" y="1087"/>
                              </a:cubicBezTo>
                              <a:cubicBezTo>
                                <a:pt x="6294" y="809"/>
                                <a:pt x="6212" y="636"/>
                                <a:pt x="6003" y="636"/>
                              </a:cubicBezTo>
                              <a:cubicBezTo>
                                <a:pt x="5726" y="636"/>
                                <a:pt x="5607" y="796"/>
                                <a:pt x="5607" y="1277"/>
                              </a:cubicBezTo>
                              <a:cubicBezTo>
                                <a:pt x="5607" y="2427"/>
                                <a:pt x="5607" y="2427"/>
                                <a:pt x="5607" y="2427"/>
                              </a:cubicBezTo>
                              <a:cubicBezTo>
                                <a:pt x="4835" y="2427"/>
                                <a:pt x="4835" y="2427"/>
                                <a:pt x="4835" y="2427"/>
                              </a:cubicBezTo>
                              <a:lnTo>
                                <a:pt x="4835" y="69"/>
                              </a:lnTo>
                              <a:close/>
                              <a:moveTo>
                                <a:pt x="9673" y="1938"/>
                              </a:moveTo>
                              <a:cubicBezTo>
                                <a:pt x="10042" y="1938"/>
                                <a:pt x="10164" y="1729"/>
                                <a:pt x="10146" y="1243"/>
                              </a:cubicBezTo>
                              <a:cubicBezTo>
                                <a:pt x="10037" y="1311"/>
                                <a:pt x="9837" y="1324"/>
                                <a:pt x="9668" y="1369"/>
                              </a:cubicBezTo>
                              <a:cubicBezTo>
                                <a:pt x="9496" y="1411"/>
                                <a:pt x="9350" y="1483"/>
                                <a:pt x="9350" y="1670"/>
                              </a:cubicBezTo>
                              <a:cubicBezTo>
                                <a:pt x="9350" y="1861"/>
                                <a:pt x="9500" y="1938"/>
                                <a:pt x="9673" y="1938"/>
                              </a:cubicBezTo>
                              <a:moveTo>
                                <a:pt x="8673" y="796"/>
                              </a:moveTo>
                              <a:cubicBezTo>
                                <a:pt x="8687" y="487"/>
                                <a:pt x="8832" y="286"/>
                                <a:pt x="9041" y="164"/>
                              </a:cubicBezTo>
                              <a:cubicBezTo>
                                <a:pt x="9250" y="46"/>
                                <a:pt x="9523" y="0"/>
                                <a:pt x="9791" y="0"/>
                              </a:cubicBezTo>
                              <a:cubicBezTo>
                                <a:pt x="10350" y="0"/>
                                <a:pt x="10891" y="123"/>
                                <a:pt x="10891" y="791"/>
                              </a:cubicBezTo>
                              <a:cubicBezTo>
                                <a:pt x="10891" y="1823"/>
                                <a:pt x="10891" y="1823"/>
                                <a:pt x="10891" y="1823"/>
                              </a:cubicBezTo>
                              <a:cubicBezTo>
                                <a:pt x="10891" y="2023"/>
                                <a:pt x="10891" y="2241"/>
                                <a:pt x="10982" y="2427"/>
                              </a:cubicBezTo>
                              <a:cubicBezTo>
                                <a:pt x="10205" y="2427"/>
                                <a:pt x="10205" y="2427"/>
                                <a:pt x="10205" y="2427"/>
                              </a:cubicBezTo>
                              <a:cubicBezTo>
                                <a:pt x="10178" y="2355"/>
                                <a:pt x="10169" y="2282"/>
                                <a:pt x="10159" y="2205"/>
                              </a:cubicBezTo>
                              <a:cubicBezTo>
                                <a:pt x="9960" y="2414"/>
                                <a:pt x="9664" y="2496"/>
                                <a:pt x="9382" y="2496"/>
                              </a:cubicBezTo>
                              <a:cubicBezTo>
                                <a:pt x="8933" y="2496"/>
                                <a:pt x="8578" y="2268"/>
                                <a:pt x="8578" y="1782"/>
                              </a:cubicBezTo>
                              <a:cubicBezTo>
                                <a:pt x="8578" y="1014"/>
                                <a:pt x="9414" y="1073"/>
                                <a:pt x="9950" y="964"/>
                              </a:cubicBezTo>
                              <a:cubicBezTo>
                                <a:pt x="10082" y="936"/>
                                <a:pt x="10155" y="891"/>
                                <a:pt x="10155" y="746"/>
                              </a:cubicBezTo>
                              <a:cubicBezTo>
                                <a:pt x="10155" y="568"/>
                                <a:pt x="9941" y="500"/>
                                <a:pt x="9782" y="500"/>
                              </a:cubicBezTo>
                              <a:cubicBezTo>
                                <a:pt x="9569" y="500"/>
                                <a:pt x="9432" y="596"/>
                                <a:pt x="9396" y="796"/>
                              </a:cubicBezTo>
                              <a:lnTo>
                                <a:pt x="8673" y="7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3"/>
                      <wps:cNvCnPr>
                        <a:cxnSpLocks noChangeShapeType="1"/>
                      </wps:cNvCnPr>
                      <wps:spPr bwMode="auto">
                        <a:xfrm>
                          <a:off x="1133" y="16276"/>
                          <a:ext cx="1305" cy="0"/>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1393" y="16373"/>
                          <a:ext cx="0" cy="161"/>
                        </a:xfrm>
                        <a:prstGeom prst="line">
                          <a:avLst/>
                        </a:prstGeom>
                        <a:noFill/>
                        <a:ln w="508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D6F54D1" id="Group 1" o:spid="_x0000_s1026" style="position:absolute;margin-left:438.1pt;margin-top:802.5pt;width:65.25pt;height:12.9pt;z-index:-251658240;mso-position-horizontal-relative:page;mso-position-vertical-relative:page" coordorigin="1133,16276" coordsize="1305,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">
              <v:shape id="Logo_acma_ftr" o:spid="_x0000_s1027" style="position:absolute;left:1540;top:16386;width:492;height:113;visibility:visible;mso-wrap-style:square;v-text-anchor:top" coordsize="10982,2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" path="m1096,1936v368,,491,-214,472,-711c1460,1295,1259,1309,1091,1355v-172,42,-318,116,-318,307c773,1857,923,1936,1096,1936m96,796c109,487,255,286,464,164,673,46,946,,1214,v559,,1100,123,1100,791c2314,1823,2314,1823,2314,1823v,200,,418,91,604c1628,2427,1628,2427,1628,2427v-27,-72,-37,-145,-46,-222c1382,2414,1087,2496,805,2496,355,2496,,2268,,1782,,1014,837,1073,1373,964v132,-28,205,-73,205,-218c1578,568,1364,500,1205,500v-214,,-350,96,-386,296l96,796xm4004,932c4000,732,3823,591,3627,591v-432,,-500,368,-500,696c3127,1591,3259,1905,3586,1905v268,,405,-155,441,-405c4777,1500,4777,1500,4777,1500v-69,632,-559,996,-1186,996c2882,2496,2354,2009,2354,1287,2354,537,2832,,3591,v586,,1109,309,1163,932l4004,932xm4835,69v750,,750,,750,c5585,391,5585,391,5585,391v9,,9,,9,c5735,155,5985,,6271,v296,,560,96,687,382c7144,132,7376,,7694,v750,,832,568,832,1019c8526,2427,8526,2427,8526,2427v-773,,-773,,-773,c7753,1041,7753,1041,7753,1041v,-254,-122,-405,-322,-405c7099,636,7067,891,7067,1273v,1154,,1154,,1154c6294,2427,6294,2427,6294,2427v,-1340,,-1340,,-1340c6294,809,6212,636,6003,636v-277,,-396,160,-396,641c5607,2427,5607,2427,5607,2427v-772,,-772,,-772,l4835,69xm9673,1938v369,,491,-209,473,-695c10037,1311,9837,1324,9668,1369v-172,42,-318,114,-318,301c9350,1861,9500,1938,9673,1938m8673,796v14,-309,159,-510,368,-632c9250,46,9523,,9791,v559,,1100,123,1100,791c10891,1823,10891,1823,10891,1823v,200,,418,91,604c10205,2427,10205,2427,10205,2427v-27,-72,-36,-145,-46,-222c9960,2414,9664,2496,9382,2496v-449,,-804,-228,-804,-714c8578,1014,9414,1073,9950,964v132,-28,205,-73,205,-218c10155,568,9941,500,9782,500v-213,,-350,96,-386,296l8673,796xe" fillcolor="black" stroked="f">
                <v:path arrowok="t" o:connecttype="custom" o:connectlocs="70,55;35,75;4,36;54,0;104,83;73,110;36,113;62,44;54,23;4,36;162,27;161,86;214,68;105,58;213,42;217,3;250,18;281,0;345,0;382,110;347,47;317,58;282,110;269,29;251,110;217,3;455,56;419,76;389,36;439,0;488,83;457,110;420,113;446,44;438,23;389,36" o:connectangles="0,0,0,0,0,0,0,0,0,0,0,0,0,0,0,0,0,0,0,0,0,0,0,0,0,0,0,0,0,0,0,0,0,0,0,0"/>
                <o:lock v:ext="edit" aspectratio="t" verticies="t"/>
              </v:shape>
              <v:line id="Line 3" o:spid="_x0000_s1028" style="position:absolute;visibility:visible;mso-wrap-style:square" from="1133,16276" to="2438,16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1l0wQAAANoAAAAPAAAAZHJzL2Rvd25yZXYueG1sRI9BawIx&#10;FITvBf9DeEJvNWsL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PzbWXTBAAAA2gAAAA8AAAAA&#10;AAAAAAAAAAAABwIAAGRycy9kb3ducmV2LnhtbFBLBQYAAAAAAwADALcAAAD1AgAAAAA=&#10;" strokeweight=".4pt"/>
              <v:line id="Line 4" o:spid="_x0000_s1029" style="position:absolute;visibility:visible;mso-wrap-style:square" from="1393,16373" to="1393,1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" strokeweight=".4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81050" w14:textId="44B722E2" w:rsidR="00EB4772" w:rsidRPr="00EB4772" w:rsidRDefault="00EB4772" w:rsidP="00EB4772">
    <w:pPr>
      <w:pBdr>
        <w:top w:val="single" w:sz="4" w:space="1" w:color="auto"/>
      </w:pBdr>
      <w:spacing w:line="240" w:lineRule="auto"/>
      <w:jc w:val="center"/>
      <w:rPr>
        <w:rFonts w:ascii="Arial" w:hAnsi="Arial" w:cs="Arial"/>
        <w:bCs/>
        <w:i/>
        <w:sz w:val="18"/>
        <w:szCs w:val="18"/>
      </w:rPr>
    </w:pPr>
    <w:r w:rsidRPr="00EB4772">
      <w:rPr>
        <w:rFonts w:ascii="Arial" w:hAnsi="Arial" w:cs="Arial"/>
        <w:bCs/>
        <w:iCs/>
        <w:sz w:val="18"/>
        <w:szCs w:val="18"/>
      </w:rPr>
      <w:t>Explanatory Statement to the</w:t>
    </w:r>
    <w:r w:rsidRPr="00EB4772">
      <w:rPr>
        <w:rFonts w:ascii="Arial" w:hAnsi="Arial" w:cs="Arial"/>
        <w:bCs/>
        <w:i/>
        <w:sz w:val="18"/>
        <w:szCs w:val="18"/>
      </w:rPr>
      <w:t xml:space="preserve"> </w:t>
    </w:r>
    <w:r w:rsidRPr="00EB4772">
      <w:rPr>
        <w:rFonts w:ascii="Arial" w:hAnsi="Arial" w:cs="Arial"/>
        <w:bCs/>
        <w:i/>
        <w:sz w:val="18"/>
        <w:szCs w:val="18"/>
      </w:rPr>
      <w:t>Telecommunications (Eligible Revenue) Determination 2025</w:t>
    </w:r>
  </w:p>
  <w:p w14:paraId="47C602C2" w14:textId="409D1079" w:rsidR="002A2005" w:rsidRDefault="00EB4772" w:rsidP="00EB4772">
    <w:pPr>
      <w:pStyle w:val="Footer"/>
      <w:jc w:val="right"/>
    </w:pPr>
    <w:sdt>
      <w:sdtPr>
        <w:id w:val="14104846"/>
        <w:docPartObj>
          <w:docPartGallery w:val="Page Numbers (Bottom of Page)"/>
          <w:docPartUnique/>
        </w:docPartObj>
      </w:sdtPr>
      <w:sdtEndPr/>
      <w:sdtContent>
        <w:r w:rsidR="002F7599">
          <w:fldChar w:fldCharType="begin"/>
        </w:r>
        <w:r w:rsidR="002F7599">
          <w:instrText xml:space="preserve"> PAGE   \* MERGEFORMAT </w:instrText>
        </w:r>
        <w:r w:rsidR="002F7599">
          <w:fldChar w:fldCharType="separate"/>
        </w:r>
        <w:r w:rsidR="00F7203B">
          <w:rPr>
            <w:noProof/>
          </w:rPr>
          <w:t>17</w:t>
        </w:r>
        <w:r w:rsidR="002F7599">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D279" w14:textId="1982FEE0" w:rsidR="002A2005" w:rsidRDefault="00EB4772">
    <w:pPr>
      <w:pStyle w:val="Footer"/>
      <w:jc w:val="right"/>
    </w:pPr>
    <w:sdt>
      <w:sdtPr>
        <w:id w:val="14104849"/>
        <w:docPartObj>
          <w:docPartGallery w:val="Page Numbers (Bottom of Page)"/>
          <w:docPartUnique/>
        </w:docPartObj>
      </w:sdtPr>
      <w:sdtEndPr/>
      <w:sdtContent>
        <w:r w:rsidR="002F7599">
          <w:fldChar w:fldCharType="begin"/>
        </w:r>
        <w:r w:rsidR="002F7599">
          <w:instrText xml:space="preserve"> PAGE   \* MERGEFORMAT </w:instrText>
        </w:r>
        <w:r w:rsidR="002F7599">
          <w:fldChar w:fldCharType="separate"/>
        </w:r>
        <w:r w:rsidR="00F7203B">
          <w:rPr>
            <w:noProof/>
          </w:rPr>
          <w:t>1</w:t>
        </w:r>
        <w:r w:rsidR="002F7599">
          <w:rPr>
            <w:noProof/>
          </w:rPr>
          <w:fldChar w:fldCharType="end"/>
        </w:r>
      </w:sdtContent>
    </w:sdt>
  </w:p>
  <w:p w14:paraId="01EC3551" w14:textId="77777777" w:rsidR="002A2005" w:rsidRDefault="002A2005" w:rsidP="00487F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98BE5" w14:textId="77777777" w:rsidR="00C71860" w:rsidRDefault="00C71860" w:rsidP="00291094">
      <w:pPr>
        <w:spacing w:line="240" w:lineRule="auto"/>
      </w:pPr>
      <w:r>
        <w:separator/>
      </w:r>
    </w:p>
  </w:footnote>
  <w:footnote w:type="continuationSeparator" w:id="0">
    <w:p w14:paraId="42DA6E69" w14:textId="77777777" w:rsidR="00C71860" w:rsidRDefault="00C71860" w:rsidP="002910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D38F" w14:textId="16223410" w:rsidR="00085496" w:rsidRDefault="00863DDD">
    <w:pPr>
      <w:pStyle w:val="Header"/>
    </w:pPr>
    <w:r>
      <w:rPr>
        <w:noProof/>
      </w:rPr>
      <mc:AlternateContent>
        <mc:Choice Requires="wps">
          <w:drawing>
            <wp:anchor distT="0" distB="0" distL="0" distR="0" simplePos="0" relativeHeight="251666432" behindDoc="0" locked="0" layoutInCell="1" allowOverlap="1" wp14:anchorId="3933FD4A" wp14:editId="4371FC1B">
              <wp:simplePos x="635" y="635"/>
              <wp:positionH relativeFrom="page">
                <wp:align>center</wp:align>
              </wp:positionH>
              <wp:positionV relativeFrom="page">
                <wp:align>top</wp:align>
              </wp:positionV>
              <wp:extent cx="2178685" cy="376555"/>
              <wp:effectExtent l="0" t="0" r="12065" b="4445"/>
              <wp:wrapNone/>
              <wp:docPr id="792278165" name="Text Box 2" descr="OFFICIAL: Sensitive//Legal Privileg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78685" cy="376555"/>
                      </a:xfrm>
                      <a:prstGeom prst="rect">
                        <a:avLst/>
                      </a:prstGeom>
                      <a:noFill/>
                      <a:ln>
                        <a:noFill/>
                      </a:ln>
                    </wps:spPr>
                    <wps:txbx>
                      <w:txbxContent>
                        <w:p w14:paraId="0DDC0DFB" w14:textId="4E10FE0B" w:rsidR="00863DDD" w:rsidRPr="00863DDD" w:rsidRDefault="00863DDD" w:rsidP="00863DDD">
                          <w:pPr>
                            <w:rPr>
                              <w:rFonts w:ascii="Calibri" w:eastAsia="Calibri" w:hAnsi="Calibri" w:cs="Calibri"/>
                              <w:noProof/>
                              <w:color w:val="FF0000"/>
                              <w:sz w:val="24"/>
                            </w:rPr>
                          </w:pPr>
                          <w:r w:rsidRPr="00863DDD">
                            <w:rPr>
                              <w:rFonts w:ascii="Calibri" w:eastAsia="Calibri" w:hAnsi="Calibri" w:cs="Calibri"/>
                              <w:noProof/>
                              <w:color w:val="FF0000"/>
                              <w:sz w:val="24"/>
                            </w:rPr>
                            <w:t>OFFICIAL: Sensitive//Legal Privilege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33FD4A" id="_x0000_t202" coordsize="21600,21600" o:spt="202" path="m,l,21600r21600,l21600,xe">
              <v:stroke joinstyle="miter"/>
              <v:path gradientshapeok="t" o:connecttype="rect"/>
            </v:shapetype>
            <v:shape id="Text Box 2" o:spid="_x0000_s1026" type="#_x0000_t202" alt="OFFICIAL: Sensitive//Legal Privilege" style="position:absolute;margin-left:0;margin-top:0;width:171.55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" filled="f" stroked="f">
              <v:textbox style="mso-fit-shape-to-text:t" inset="0,15pt,0,0">
                <w:txbxContent>
                  <w:p w14:paraId="0DDC0DFB" w14:textId="4E10FE0B" w:rsidR="00863DDD" w:rsidRPr="00863DDD" w:rsidRDefault="00863DDD" w:rsidP="00863DDD">
                    <w:pPr>
                      <w:rPr>
                        <w:rFonts w:ascii="Calibri" w:eastAsia="Calibri" w:hAnsi="Calibri" w:cs="Calibri"/>
                        <w:noProof/>
                        <w:color w:val="FF0000"/>
                        <w:sz w:val="24"/>
                      </w:rPr>
                    </w:pPr>
                    <w:r w:rsidRPr="00863DDD">
                      <w:rPr>
                        <w:rFonts w:ascii="Calibri" w:eastAsia="Calibri" w:hAnsi="Calibri" w:cs="Calibri"/>
                        <w:noProof/>
                        <w:color w:val="FF0000"/>
                        <w:sz w:val="24"/>
                      </w:rPr>
                      <w:t>OFFICIAL: Sensitive//Legal Privilege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EE15A" w14:textId="77777777" w:rsidR="00EB4772" w:rsidRDefault="00EB4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00C5" w14:textId="38CE99FC" w:rsidR="002A2005" w:rsidRDefault="002A2005">
    <w:pPr>
      <w:pStyle w:val="Header"/>
    </w:pPr>
  </w:p>
  <w:p w14:paraId="02076182" w14:textId="77777777" w:rsidR="002A2005" w:rsidRDefault="002A20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3B6E3694"/>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1" w15:restartNumberingAfterBreak="0">
    <w:nsid w:val="05ED750E"/>
    <w:multiLevelType w:val="hybridMultilevel"/>
    <w:tmpl w:val="44CA5F66"/>
    <w:lvl w:ilvl="0" w:tplc="4594D1EE">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194331"/>
    <w:multiLevelType w:val="hybridMultilevel"/>
    <w:tmpl w:val="DF1A7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697282"/>
    <w:multiLevelType w:val="hybridMultilevel"/>
    <w:tmpl w:val="60DAFF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3F6106"/>
    <w:multiLevelType w:val="hybridMultilevel"/>
    <w:tmpl w:val="B94894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BF2AC1"/>
    <w:multiLevelType w:val="hybridMultilevel"/>
    <w:tmpl w:val="F6B654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71B96"/>
    <w:multiLevelType w:val="hybridMultilevel"/>
    <w:tmpl w:val="E13A1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CE236B"/>
    <w:multiLevelType w:val="hybridMultilevel"/>
    <w:tmpl w:val="9D1A5FAE"/>
    <w:lvl w:ilvl="0" w:tplc="D04814A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F397981"/>
    <w:multiLevelType w:val="hybridMultilevel"/>
    <w:tmpl w:val="34A63C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71422"/>
    <w:multiLevelType w:val="hybridMultilevel"/>
    <w:tmpl w:val="1ED07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0F4A71"/>
    <w:multiLevelType w:val="hybridMultilevel"/>
    <w:tmpl w:val="4B0A520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D13FB"/>
    <w:multiLevelType w:val="multilevel"/>
    <w:tmpl w:val="539A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432EAD"/>
    <w:multiLevelType w:val="hybridMultilevel"/>
    <w:tmpl w:val="B2C25D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EEF36A2"/>
    <w:multiLevelType w:val="hybridMultilevel"/>
    <w:tmpl w:val="2A4636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85543A"/>
    <w:multiLevelType w:val="hybridMultilevel"/>
    <w:tmpl w:val="5BB6D0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2B4621"/>
    <w:multiLevelType w:val="hybridMultilevel"/>
    <w:tmpl w:val="8D7C67FA"/>
    <w:lvl w:ilvl="0" w:tplc="27CC0948">
      <w:start w:val="1"/>
      <w:numFmt w:val="lowerRoman"/>
      <w:lvlText w:val="(%1)"/>
      <w:lvlJc w:val="left"/>
      <w:pPr>
        <w:ind w:left="1616" w:hanging="720"/>
      </w:pPr>
      <w:rPr>
        <w:rFonts w:hint="default"/>
      </w:rPr>
    </w:lvl>
    <w:lvl w:ilvl="1" w:tplc="0C090019" w:tentative="1">
      <w:start w:val="1"/>
      <w:numFmt w:val="lowerLetter"/>
      <w:lvlText w:val="%2."/>
      <w:lvlJc w:val="left"/>
      <w:pPr>
        <w:ind w:left="1976" w:hanging="360"/>
      </w:pPr>
    </w:lvl>
    <w:lvl w:ilvl="2" w:tplc="0C09001B" w:tentative="1">
      <w:start w:val="1"/>
      <w:numFmt w:val="lowerRoman"/>
      <w:lvlText w:val="%3."/>
      <w:lvlJc w:val="right"/>
      <w:pPr>
        <w:ind w:left="2696" w:hanging="180"/>
      </w:pPr>
    </w:lvl>
    <w:lvl w:ilvl="3" w:tplc="0C09000F" w:tentative="1">
      <w:start w:val="1"/>
      <w:numFmt w:val="decimal"/>
      <w:lvlText w:val="%4."/>
      <w:lvlJc w:val="left"/>
      <w:pPr>
        <w:ind w:left="3416" w:hanging="360"/>
      </w:pPr>
    </w:lvl>
    <w:lvl w:ilvl="4" w:tplc="0C090019" w:tentative="1">
      <w:start w:val="1"/>
      <w:numFmt w:val="lowerLetter"/>
      <w:lvlText w:val="%5."/>
      <w:lvlJc w:val="left"/>
      <w:pPr>
        <w:ind w:left="4136" w:hanging="360"/>
      </w:pPr>
    </w:lvl>
    <w:lvl w:ilvl="5" w:tplc="0C09001B" w:tentative="1">
      <w:start w:val="1"/>
      <w:numFmt w:val="lowerRoman"/>
      <w:lvlText w:val="%6."/>
      <w:lvlJc w:val="right"/>
      <w:pPr>
        <w:ind w:left="4856" w:hanging="180"/>
      </w:pPr>
    </w:lvl>
    <w:lvl w:ilvl="6" w:tplc="0C09000F" w:tentative="1">
      <w:start w:val="1"/>
      <w:numFmt w:val="decimal"/>
      <w:lvlText w:val="%7."/>
      <w:lvlJc w:val="left"/>
      <w:pPr>
        <w:ind w:left="5576" w:hanging="360"/>
      </w:pPr>
    </w:lvl>
    <w:lvl w:ilvl="7" w:tplc="0C090019" w:tentative="1">
      <w:start w:val="1"/>
      <w:numFmt w:val="lowerLetter"/>
      <w:lvlText w:val="%8."/>
      <w:lvlJc w:val="left"/>
      <w:pPr>
        <w:ind w:left="6296" w:hanging="360"/>
      </w:pPr>
    </w:lvl>
    <w:lvl w:ilvl="8" w:tplc="0C09001B" w:tentative="1">
      <w:start w:val="1"/>
      <w:numFmt w:val="lowerRoman"/>
      <w:lvlText w:val="%9."/>
      <w:lvlJc w:val="right"/>
      <w:pPr>
        <w:ind w:left="7016" w:hanging="180"/>
      </w:pPr>
    </w:lvl>
  </w:abstractNum>
  <w:abstractNum w:abstractNumId="17" w15:restartNumberingAfterBreak="0">
    <w:nsid w:val="3C0E31D3"/>
    <w:multiLevelType w:val="hybridMultilevel"/>
    <w:tmpl w:val="60FE524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8" w15:restartNumberingAfterBreak="0">
    <w:nsid w:val="3D9A6ECF"/>
    <w:multiLevelType w:val="hybridMultilevel"/>
    <w:tmpl w:val="A43E8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C250B"/>
    <w:multiLevelType w:val="hybridMultilevel"/>
    <w:tmpl w:val="978A2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6AC0118"/>
    <w:multiLevelType w:val="hybridMultilevel"/>
    <w:tmpl w:val="638415BE"/>
    <w:lvl w:ilvl="0" w:tplc="914A5AE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8F556F"/>
    <w:multiLevelType w:val="hybridMultilevel"/>
    <w:tmpl w:val="4B0A5202"/>
    <w:lvl w:ilvl="0" w:tplc="FDD0BCB6">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4B537E55"/>
    <w:multiLevelType w:val="hybridMultilevel"/>
    <w:tmpl w:val="149623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3A1725"/>
    <w:multiLevelType w:val="hybridMultilevel"/>
    <w:tmpl w:val="284EC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7F2AED"/>
    <w:multiLevelType w:val="hybridMultilevel"/>
    <w:tmpl w:val="F5DEC86C"/>
    <w:lvl w:ilvl="0" w:tplc="D04814A6">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B3A0DB4"/>
    <w:multiLevelType w:val="hybridMultilevel"/>
    <w:tmpl w:val="DF12450E"/>
    <w:lvl w:ilvl="0" w:tplc="EDDCA6BC">
      <w:start w:val="1"/>
      <w:numFmt w:val="bullet"/>
      <w:lvlText w:val=""/>
      <w:lvlJc w:val="left"/>
      <w:pPr>
        <w:tabs>
          <w:tab w:val="num" w:pos="540"/>
        </w:tabs>
        <w:ind w:left="540" w:hanging="360"/>
      </w:pPr>
      <w:rPr>
        <w:rFonts w:ascii="Symbol" w:hAnsi="Symbol" w:hint="default"/>
      </w:rPr>
    </w:lvl>
    <w:lvl w:ilvl="1" w:tplc="0C090001">
      <w:start w:val="1"/>
      <w:numFmt w:val="bullet"/>
      <w:lvlText w:val=""/>
      <w:lvlJc w:val="left"/>
      <w:pPr>
        <w:tabs>
          <w:tab w:val="num" w:pos="1080"/>
        </w:tabs>
        <w:ind w:left="1080" w:hanging="360"/>
      </w:pPr>
      <w:rPr>
        <w:rFonts w:ascii="Symbol" w:hAnsi="Symbol"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6" w15:restartNumberingAfterBreak="0">
    <w:nsid w:val="6FD802F8"/>
    <w:multiLevelType w:val="hybridMultilevel"/>
    <w:tmpl w:val="9D1A5FAE"/>
    <w:lvl w:ilvl="0" w:tplc="D04814A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9017780"/>
    <w:multiLevelType w:val="hybridMultilevel"/>
    <w:tmpl w:val="9D1A5FAE"/>
    <w:lvl w:ilvl="0" w:tplc="D04814A6">
      <w:start w:val="1"/>
      <w:numFmt w:val="low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24724148">
    <w:abstractNumId w:val="11"/>
  </w:num>
  <w:num w:numId="2" w16cid:durableId="397941818">
    <w:abstractNumId w:val="13"/>
  </w:num>
  <w:num w:numId="3" w16cid:durableId="1160927205">
    <w:abstractNumId w:val="2"/>
  </w:num>
  <w:num w:numId="4" w16cid:durableId="2142183734">
    <w:abstractNumId w:val="6"/>
  </w:num>
  <w:num w:numId="5" w16cid:durableId="1779566975">
    <w:abstractNumId w:val="0"/>
  </w:num>
  <w:num w:numId="6" w16cid:durableId="1720519811">
    <w:abstractNumId w:val="14"/>
  </w:num>
  <w:num w:numId="7" w16cid:durableId="1889758778">
    <w:abstractNumId w:val="20"/>
  </w:num>
  <w:num w:numId="8" w16cid:durableId="1910260793">
    <w:abstractNumId w:val="16"/>
  </w:num>
  <w:num w:numId="9" w16cid:durableId="1326013716">
    <w:abstractNumId w:val="22"/>
  </w:num>
  <w:num w:numId="10" w16cid:durableId="1248685915">
    <w:abstractNumId w:val="19"/>
  </w:num>
  <w:num w:numId="11" w16cid:durableId="401830337">
    <w:abstractNumId w:val="9"/>
  </w:num>
  <w:num w:numId="12" w16cid:durableId="1042176209">
    <w:abstractNumId w:val="18"/>
  </w:num>
  <w:num w:numId="13" w16cid:durableId="554465348">
    <w:abstractNumId w:val="7"/>
  </w:num>
  <w:num w:numId="14" w16cid:durableId="896090840">
    <w:abstractNumId w:val="26"/>
  </w:num>
  <w:num w:numId="15" w16cid:durableId="1156069978">
    <w:abstractNumId w:val="27"/>
  </w:num>
  <w:num w:numId="16" w16cid:durableId="726300865">
    <w:abstractNumId w:val="23"/>
  </w:num>
  <w:num w:numId="17" w16cid:durableId="1437478477">
    <w:abstractNumId w:val="8"/>
  </w:num>
  <w:num w:numId="18" w16cid:durableId="889994352">
    <w:abstractNumId w:val="3"/>
  </w:num>
  <w:num w:numId="19" w16cid:durableId="625621865">
    <w:abstractNumId w:val="17"/>
  </w:num>
  <w:num w:numId="20" w16cid:durableId="2042854540">
    <w:abstractNumId w:val="4"/>
  </w:num>
  <w:num w:numId="21" w16cid:durableId="1608467176">
    <w:abstractNumId w:val="21"/>
  </w:num>
  <w:num w:numId="22" w16cid:durableId="415134662">
    <w:abstractNumId w:val="5"/>
  </w:num>
  <w:num w:numId="23" w16cid:durableId="469321232">
    <w:abstractNumId w:val="25"/>
  </w:num>
  <w:num w:numId="24" w16cid:durableId="1219167520">
    <w:abstractNumId w:val="24"/>
  </w:num>
  <w:num w:numId="25" w16cid:durableId="132260832">
    <w:abstractNumId w:val="15"/>
  </w:num>
  <w:num w:numId="26" w16cid:durableId="1562474571">
    <w:abstractNumId w:val="1"/>
  </w:num>
  <w:num w:numId="27" w16cid:durableId="1705909111">
    <w:abstractNumId w:val="12"/>
  </w:num>
  <w:num w:numId="28" w16cid:durableId="602229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94"/>
    <w:rsid w:val="00003026"/>
    <w:rsid w:val="00003029"/>
    <w:rsid w:val="0000373F"/>
    <w:rsid w:val="00005AE5"/>
    <w:rsid w:val="00005CC5"/>
    <w:rsid w:val="0000717E"/>
    <w:rsid w:val="00010DCF"/>
    <w:rsid w:val="00013CA1"/>
    <w:rsid w:val="00020697"/>
    <w:rsid w:val="000209D2"/>
    <w:rsid w:val="00022FE6"/>
    <w:rsid w:val="000232DE"/>
    <w:rsid w:val="0002593D"/>
    <w:rsid w:val="00026017"/>
    <w:rsid w:val="00031ECA"/>
    <w:rsid w:val="00031EF3"/>
    <w:rsid w:val="000344FC"/>
    <w:rsid w:val="00037EED"/>
    <w:rsid w:val="00041CC7"/>
    <w:rsid w:val="000432D3"/>
    <w:rsid w:val="000448F5"/>
    <w:rsid w:val="0004506C"/>
    <w:rsid w:val="00050BD9"/>
    <w:rsid w:val="000526B4"/>
    <w:rsid w:val="00052890"/>
    <w:rsid w:val="000542DE"/>
    <w:rsid w:val="000549EC"/>
    <w:rsid w:val="00054D58"/>
    <w:rsid w:val="000553F6"/>
    <w:rsid w:val="00060D01"/>
    <w:rsid w:val="00063697"/>
    <w:rsid w:val="00063E09"/>
    <w:rsid w:val="00065510"/>
    <w:rsid w:val="00067542"/>
    <w:rsid w:val="000716EB"/>
    <w:rsid w:val="000731E0"/>
    <w:rsid w:val="00073EC3"/>
    <w:rsid w:val="00074B95"/>
    <w:rsid w:val="0008289F"/>
    <w:rsid w:val="00084265"/>
    <w:rsid w:val="00084630"/>
    <w:rsid w:val="00085496"/>
    <w:rsid w:val="000873C6"/>
    <w:rsid w:val="00087852"/>
    <w:rsid w:val="00090CFE"/>
    <w:rsid w:val="00094693"/>
    <w:rsid w:val="00097543"/>
    <w:rsid w:val="000A54A5"/>
    <w:rsid w:val="000A5EBC"/>
    <w:rsid w:val="000A6E8D"/>
    <w:rsid w:val="000B00C4"/>
    <w:rsid w:val="000B02F2"/>
    <w:rsid w:val="000B04F0"/>
    <w:rsid w:val="000B1B51"/>
    <w:rsid w:val="000B22AA"/>
    <w:rsid w:val="000B2F50"/>
    <w:rsid w:val="000B6599"/>
    <w:rsid w:val="000C0DAF"/>
    <w:rsid w:val="000C2F1E"/>
    <w:rsid w:val="000C323B"/>
    <w:rsid w:val="000D2458"/>
    <w:rsid w:val="000D301F"/>
    <w:rsid w:val="000D3823"/>
    <w:rsid w:val="000D3CE4"/>
    <w:rsid w:val="000D68A2"/>
    <w:rsid w:val="000D6B21"/>
    <w:rsid w:val="000D6E82"/>
    <w:rsid w:val="000E24CD"/>
    <w:rsid w:val="000E580E"/>
    <w:rsid w:val="000E5EB6"/>
    <w:rsid w:val="000E6525"/>
    <w:rsid w:val="000F01EA"/>
    <w:rsid w:val="000F47D2"/>
    <w:rsid w:val="000F635B"/>
    <w:rsid w:val="000F65A0"/>
    <w:rsid w:val="000F6BBB"/>
    <w:rsid w:val="000F7950"/>
    <w:rsid w:val="000F7CFE"/>
    <w:rsid w:val="000F7D49"/>
    <w:rsid w:val="00102190"/>
    <w:rsid w:val="001024B1"/>
    <w:rsid w:val="00102F60"/>
    <w:rsid w:val="00103660"/>
    <w:rsid w:val="0010464E"/>
    <w:rsid w:val="0010558B"/>
    <w:rsid w:val="0010762B"/>
    <w:rsid w:val="0011040F"/>
    <w:rsid w:val="00111676"/>
    <w:rsid w:val="00111A89"/>
    <w:rsid w:val="00121F56"/>
    <w:rsid w:val="001220F2"/>
    <w:rsid w:val="001226A9"/>
    <w:rsid w:val="00125D96"/>
    <w:rsid w:val="0012692F"/>
    <w:rsid w:val="00127742"/>
    <w:rsid w:val="00134E23"/>
    <w:rsid w:val="00136012"/>
    <w:rsid w:val="00140AB0"/>
    <w:rsid w:val="0014317C"/>
    <w:rsid w:val="001468E0"/>
    <w:rsid w:val="00146E4F"/>
    <w:rsid w:val="00146E77"/>
    <w:rsid w:val="00150143"/>
    <w:rsid w:val="00150D12"/>
    <w:rsid w:val="00151649"/>
    <w:rsid w:val="00152B8D"/>
    <w:rsid w:val="001531D0"/>
    <w:rsid w:val="0016119D"/>
    <w:rsid w:val="0016172B"/>
    <w:rsid w:val="00166F8A"/>
    <w:rsid w:val="00167535"/>
    <w:rsid w:val="001706CD"/>
    <w:rsid w:val="001708DE"/>
    <w:rsid w:val="00170A23"/>
    <w:rsid w:val="00170DA5"/>
    <w:rsid w:val="00181A9E"/>
    <w:rsid w:val="00182013"/>
    <w:rsid w:val="00183A3B"/>
    <w:rsid w:val="001875E0"/>
    <w:rsid w:val="001922B6"/>
    <w:rsid w:val="00192B36"/>
    <w:rsid w:val="0019363E"/>
    <w:rsid w:val="001938DE"/>
    <w:rsid w:val="001946A5"/>
    <w:rsid w:val="001A02D1"/>
    <w:rsid w:val="001A0656"/>
    <w:rsid w:val="001A31E4"/>
    <w:rsid w:val="001A46BD"/>
    <w:rsid w:val="001A6DE2"/>
    <w:rsid w:val="001A7604"/>
    <w:rsid w:val="001B02F8"/>
    <w:rsid w:val="001B22DA"/>
    <w:rsid w:val="001B2735"/>
    <w:rsid w:val="001B413A"/>
    <w:rsid w:val="001B491E"/>
    <w:rsid w:val="001B69D4"/>
    <w:rsid w:val="001C0A1F"/>
    <w:rsid w:val="001C5B4A"/>
    <w:rsid w:val="001C6282"/>
    <w:rsid w:val="001C7391"/>
    <w:rsid w:val="001C7A5A"/>
    <w:rsid w:val="001D6D70"/>
    <w:rsid w:val="001E0282"/>
    <w:rsid w:val="001E0A77"/>
    <w:rsid w:val="001E15C8"/>
    <w:rsid w:val="001E1D07"/>
    <w:rsid w:val="001E22BB"/>
    <w:rsid w:val="001E2E62"/>
    <w:rsid w:val="001E477D"/>
    <w:rsid w:val="001E60C9"/>
    <w:rsid w:val="001E6777"/>
    <w:rsid w:val="001F1466"/>
    <w:rsid w:val="001F2302"/>
    <w:rsid w:val="002013AE"/>
    <w:rsid w:val="00202FB7"/>
    <w:rsid w:val="002033FC"/>
    <w:rsid w:val="0020472A"/>
    <w:rsid w:val="00205F59"/>
    <w:rsid w:val="00207F69"/>
    <w:rsid w:val="002137DB"/>
    <w:rsid w:val="0021497D"/>
    <w:rsid w:val="002153F7"/>
    <w:rsid w:val="002154A4"/>
    <w:rsid w:val="00216460"/>
    <w:rsid w:val="0021795F"/>
    <w:rsid w:val="00220F3E"/>
    <w:rsid w:val="0022144E"/>
    <w:rsid w:val="00221F29"/>
    <w:rsid w:val="00222622"/>
    <w:rsid w:val="002249B9"/>
    <w:rsid w:val="00226A7E"/>
    <w:rsid w:val="00226B54"/>
    <w:rsid w:val="002272A6"/>
    <w:rsid w:val="00227905"/>
    <w:rsid w:val="00231293"/>
    <w:rsid w:val="00233144"/>
    <w:rsid w:val="00235A94"/>
    <w:rsid w:val="00235CAF"/>
    <w:rsid w:val="00236164"/>
    <w:rsid w:val="00236F89"/>
    <w:rsid w:val="0024041C"/>
    <w:rsid w:val="00240513"/>
    <w:rsid w:val="00240BFE"/>
    <w:rsid w:val="00241296"/>
    <w:rsid w:val="002412FA"/>
    <w:rsid w:val="00245D4A"/>
    <w:rsid w:val="002462C7"/>
    <w:rsid w:val="00247125"/>
    <w:rsid w:val="002472F5"/>
    <w:rsid w:val="00247C3A"/>
    <w:rsid w:val="00252DE6"/>
    <w:rsid w:val="002538AC"/>
    <w:rsid w:val="00254C7B"/>
    <w:rsid w:val="00257430"/>
    <w:rsid w:val="0026189F"/>
    <w:rsid w:val="002630B0"/>
    <w:rsid w:val="002642D5"/>
    <w:rsid w:val="002655D7"/>
    <w:rsid w:val="0026655C"/>
    <w:rsid w:val="00270D4B"/>
    <w:rsid w:val="0027369A"/>
    <w:rsid w:val="002767C8"/>
    <w:rsid w:val="00276D09"/>
    <w:rsid w:val="00277B3B"/>
    <w:rsid w:val="00280D5D"/>
    <w:rsid w:val="00281DF2"/>
    <w:rsid w:val="00283855"/>
    <w:rsid w:val="00286AFC"/>
    <w:rsid w:val="00291094"/>
    <w:rsid w:val="00291363"/>
    <w:rsid w:val="0029235C"/>
    <w:rsid w:val="002928CE"/>
    <w:rsid w:val="00294A6D"/>
    <w:rsid w:val="00296FA1"/>
    <w:rsid w:val="002A164D"/>
    <w:rsid w:val="002A2005"/>
    <w:rsid w:val="002A36E1"/>
    <w:rsid w:val="002A3D23"/>
    <w:rsid w:val="002A508C"/>
    <w:rsid w:val="002A7A1A"/>
    <w:rsid w:val="002B04F2"/>
    <w:rsid w:val="002B3768"/>
    <w:rsid w:val="002B430C"/>
    <w:rsid w:val="002B548C"/>
    <w:rsid w:val="002B5DC1"/>
    <w:rsid w:val="002B6308"/>
    <w:rsid w:val="002B75A7"/>
    <w:rsid w:val="002B7C05"/>
    <w:rsid w:val="002C3845"/>
    <w:rsid w:val="002C5CA4"/>
    <w:rsid w:val="002C7731"/>
    <w:rsid w:val="002D19FF"/>
    <w:rsid w:val="002D20AE"/>
    <w:rsid w:val="002D47E5"/>
    <w:rsid w:val="002D5556"/>
    <w:rsid w:val="002D5B9B"/>
    <w:rsid w:val="002D6B95"/>
    <w:rsid w:val="002D724D"/>
    <w:rsid w:val="002E1577"/>
    <w:rsid w:val="002E1C30"/>
    <w:rsid w:val="002E21E5"/>
    <w:rsid w:val="002E3247"/>
    <w:rsid w:val="002E6C50"/>
    <w:rsid w:val="002F05B6"/>
    <w:rsid w:val="002F118C"/>
    <w:rsid w:val="002F21BF"/>
    <w:rsid w:val="002F23E1"/>
    <w:rsid w:val="002F2D62"/>
    <w:rsid w:val="002F2F75"/>
    <w:rsid w:val="002F3722"/>
    <w:rsid w:val="002F416B"/>
    <w:rsid w:val="002F4B32"/>
    <w:rsid w:val="002F7599"/>
    <w:rsid w:val="002F7733"/>
    <w:rsid w:val="00302E49"/>
    <w:rsid w:val="00303AEC"/>
    <w:rsid w:val="003057C4"/>
    <w:rsid w:val="0030610C"/>
    <w:rsid w:val="003079F0"/>
    <w:rsid w:val="003109C0"/>
    <w:rsid w:val="003132A6"/>
    <w:rsid w:val="003148E0"/>
    <w:rsid w:val="003149B4"/>
    <w:rsid w:val="00316EFF"/>
    <w:rsid w:val="003177FA"/>
    <w:rsid w:val="003203D5"/>
    <w:rsid w:val="003214EE"/>
    <w:rsid w:val="00323D5A"/>
    <w:rsid w:val="00324B13"/>
    <w:rsid w:val="00333C5C"/>
    <w:rsid w:val="00334849"/>
    <w:rsid w:val="0033758C"/>
    <w:rsid w:val="00341124"/>
    <w:rsid w:val="00342D99"/>
    <w:rsid w:val="003445FE"/>
    <w:rsid w:val="00344B06"/>
    <w:rsid w:val="00345990"/>
    <w:rsid w:val="00345DD0"/>
    <w:rsid w:val="00355594"/>
    <w:rsid w:val="00360EE3"/>
    <w:rsid w:val="003612F3"/>
    <w:rsid w:val="00361B71"/>
    <w:rsid w:val="00362DE0"/>
    <w:rsid w:val="003632AA"/>
    <w:rsid w:val="003642D3"/>
    <w:rsid w:val="00364ED2"/>
    <w:rsid w:val="00365E68"/>
    <w:rsid w:val="00366321"/>
    <w:rsid w:val="00367D28"/>
    <w:rsid w:val="003714F2"/>
    <w:rsid w:val="00372366"/>
    <w:rsid w:val="0037274A"/>
    <w:rsid w:val="00372F09"/>
    <w:rsid w:val="00375686"/>
    <w:rsid w:val="00376AA5"/>
    <w:rsid w:val="00381640"/>
    <w:rsid w:val="00381A77"/>
    <w:rsid w:val="0038313E"/>
    <w:rsid w:val="00383986"/>
    <w:rsid w:val="003839B4"/>
    <w:rsid w:val="00384475"/>
    <w:rsid w:val="0038475C"/>
    <w:rsid w:val="00384AF6"/>
    <w:rsid w:val="00385BE9"/>
    <w:rsid w:val="00385E59"/>
    <w:rsid w:val="003865BB"/>
    <w:rsid w:val="0039204E"/>
    <w:rsid w:val="00395B20"/>
    <w:rsid w:val="00397584"/>
    <w:rsid w:val="003A4120"/>
    <w:rsid w:val="003A52FF"/>
    <w:rsid w:val="003A5D4E"/>
    <w:rsid w:val="003A6561"/>
    <w:rsid w:val="003A65E2"/>
    <w:rsid w:val="003A7023"/>
    <w:rsid w:val="003B2429"/>
    <w:rsid w:val="003B3335"/>
    <w:rsid w:val="003B5721"/>
    <w:rsid w:val="003B7913"/>
    <w:rsid w:val="003C213D"/>
    <w:rsid w:val="003C3289"/>
    <w:rsid w:val="003C4F7A"/>
    <w:rsid w:val="003C6646"/>
    <w:rsid w:val="003D0862"/>
    <w:rsid w:val="003D15AC"/>
    <w:rsid w:val="003D31D4"/>
    <w:rsid w:val="003D3741"/>
    <w:rsid w:val="003D4F25"/>
    <w:rsid w:val="003D5817"/>
    <w:rsid w:val="003D5EE8"/>
    <w:rsid w:val="003D694E"/>
    <w:rsid w:val="003E02C4"/>
    <w:rsid w:val="003E0F05"/>
    <w:rsid w:val="003E1636"/>
    <w:rsid w:val="003E1859"/>
    <w:rsid w:val="003E4B41"/>
    <w:rsid w:val="003E54C7"/>
    <w:rsid w:val="003E59D5"/>
    <w:rsid w:val="003E5BC4"/>
    <w:rsid w:val="003E7889"/>
    <w:rsid w:val="003F108E"/>
    <w:rsid w:val="003F25BC"/>
    <w:rsid w:val="003F3124"/>
    <w:rsid w:val="003F324D"/>
    <w:rsid w:val="003F71FE"/>
    <w:rsid w:val="003F7EE5"/>
    <w:rsid w:val="00400F4B"/>
    <w:rsid w:val="00402192"/>
    <w:rsid w:val="00402EDD"/>
    <w:rsid w:val="00403400"/>
    <w:rsid w:val="00404448"/>
    <w:rsid w:val="004065B1"/>
    <w:rsid w:val="00406B98"/>
    <w:rsid w:val="00407BAA"/>
    <w:rsid w:val="00407E31"/>
    <w:rsid w:val="00410CAF"/>
    <w:rsid w:val="00410D19"/>
    <w:rsid w:val="00411B8B"/>
    <w:rsid w:val="00412302"/>
    <w:rsid w:val="00412693"/>
    <w:rsid w:val="00414037"/>
    <w:rsid w:val="00420BD5"/>
    <w:rsid w:val="004218A1"/>
    <w:rsid w:val="0042192F"/>
    <w:rsid w:val="00422F4D"/>
    <w:rsid w:val="0042365E"/>
    <w:rsid w:val="00423E6D"/>
    <w:rsid w:val="004242F5"/>
    <w:rsid w:val="00426622"/>
    <w:rsid w:val="004327B4"/>
    <w:rsid w:val="004335B8"/>
    <w:rsid w:val="00434A67"/>
    <w:rsid w:val="00437979"/>
    <w:rsid w:val="00441EB5"/>
    <w:rsid w:val="0044215D"/>
    <w:rsid w:val="00442E90"/>
    <w:rsid w:val="00443BB0"/>
    <w:rsid w:val="00443DF8"/>
    <w:rsid w:val="00445504"/>
    <w:rsid w:val="00445E59"/>
    <w:rsid w:val="004474DB"/>
    <w:rsid w:val="00447C42"/>
    <w:rsid w:val="00451F05"/>
    <w:rsid w:val="00456497"/>
    <w:rsid w:val="004576E2"/>
    <w:rsid w:val="00460C2B"/>
    <w:rsid w:val="0046188E"/>
    <w:rsid w:val="00463B56"/>
    <w:rsid w:val="00466D4C"/>
    <w:rsid w:val="00470775"/>
    <w:rsid w:val="004712D8"/>
    <w:rsid w:val="0047304F"/>
    <w:rsid w:val="00476373"/>
    <w:rsid w:val="00480310"/>
    <w:rsid w:val="00481E7E"/>
    <w:rsid w:val="00482527"/>
    <w:rsid w:val="00482C46"/>
    <w:rsid w:val="00482DE7"/>
    <w:rsid w:val="00483F25"/>
    <w:rsid w:val="004859D9"/>
    <w:rsid w:val="00485C44"/>
    <w:rsid w:val="00486E2C"/>
    <w:rsid w:val="00487F6A"/>
    <w:rsid w:val="00490460"/>
    <w:rsid w:val="00492AB8"/>
    <w:rsid w:val="00495337"/>
    <w:rsid w:val="00496C8F"/>
    <w:rsid w:val="00497A0B"/>
    <w:rsid w:val="004A2D1A"/>
    <w:rsid w:val="004A38A8"/>
    <w:rsid w:val="004A38C7"/>
    <w:rsid w:val="004A3E33"/>
    <w:rsid w:val="004A4519"/>
    <w:rsid w:val="004A51AD"/>
    <w:rsid w:val="004A58E1"/>
    <w:rsid w:val="004A6591"/>
    <w:rsid w:val="004A6A13"/>
    <w:rsid w:val="004A7310"/>
    <w:rsid w:val="004A79AA"/>
    <w:rsid w:val="004B0D91"/>
    <w:rsid w:val="004B1CA8"/>
    <w:rsid w:val="004B217E"/>
    <w:rsid w:val="004B332F"/>
    <w:rsid w:val="004C1B7A"/>
    <w:rsid w:val="004C1DCC"/>
    <w:rsid w:val="004C2C02"/>
    <w:rsid w:val="004C43F6"/>
    <w:rsid w:val="004C601C"/>
    <w:rsid w:val="004D0BFF"/>
    <w:rsid w:val="004D21B0"/>
    <w:rsid w:val="004D49BE"/>
    <w:rsid w:val="004D4F56"/>
    <w:rsid w:val="004D787E"/>
    <w:rsid w:val="004D7B76"/>
    <w:rsid w:val="004E4886"/>
    <w:rsid w:val="004E66E8"/>
    <w:rsid w:val="004E6FC6"/>
    <w:rsid w:val="004E784C"/>
    <w:rsid w:val="004E7917"/>
    <w:rsid w:val="004F1ADA"/>
    <w:rsid w:val="004F7983"/>
    <w:rsid w:val="005022E7"/>
    <w:rsid w:val="00502703"/>
    <w:rsid w:val="005066F0"/>
    <w:rsid w:val="005105C0"/>
    <w:rsid w:val="005121EC"/>
    <w:rsid w:val="00514130"/>
    <w:rsid w:val="0051705D"/>
    <w:rsid w:val="00520BFC"/>
    <w:rsid w:val="00521574"/>
    <w:rsid w:val="00525030"/>
    <w:rsid w:val="00525167"/>
    <w:rsid w:val="005261C4"/>
    <w:rsid w:val="00530576"/>
    <w:rsid w:val="00531688"/>
    <w:rsid w:val="00532A1A"/>
    <w:rsid w:val="00534CDA"/>
    <w:rsid w:val="00534F20"/>
    <w:rsid w:val="00535061"/>
    <w:rsid w:val="00535252"/>
    <w:rsid w:val="005357CA"/>
    <w:rsid w:val="00537B2D"/>
    <w:rsid w:val="00542109"/>
    <w:rsid w:val="005421A1"/>
    <w:rsid w:val="005444C5"/>
    <w:rsid w:val="00546C0C"/>
    <w:rsid w:val="00547FE8"/>
    <w:rsid w:val="0055042A"/>
    <w:rsid w:val="00555384"/>
    <w:rsid w:val="00555B46"/>
    <w:rsid w:val="00556174"/>
    <w:rsid w:val="0056104F"/>
    <w:rsid w:val="00562AA1"/>
    <w:rsid w:val="00564B9C"/>
    <w:rsid w:val="00567195"/>
    <w:rsid w:val="0057025F"/>
    <w:rsid w:val="00570518"/>
    <w:rsid w:val="00571162"/>
    <w:rsid w:val="00574960"/>
    <w:rsid w:val="00576697"/>
    <w:rsid w:val="005827AD"/>
    <w:rsid w:val="005834DE"/>
    <w:rsid w:val="0058385D"/>
    <w:rsid w:val="0058708A"/>
    <w:rsid w:val="00587467"/>
    <w:rsid w:val="005874F4"/>
    <w:rsid w:val="00587EA5"/>
    <w:rsid w:val="0059040F"/>
    <w:rsid w:val="00591C4B"/>
    <w:rsid w:val="00592D80"/>
    <w:rsid w:val="00593EEB"/>
    <w:rsid w:val="0059456D"/>
    <w:rsid w:val="00597E47"/>
    <w:rsid w:val="005A259C"/>
    <w:rsid w:val="005A3A09"/>
    <w:rsid w:val="005A4DB4"/>
    <w:rsid w:val="005A531D"/>
    <w:rsid w:val="005A5982"/>
    <w:rsid w:val="005A6B64"/>
    <w:rsid w:val="005A7FB5"/>
    <w:rsid w:val="005B06C7"/>
    <w:rsid w:val="005B0EAC"/>
    <w:rsid w:val="005B1007"/>
    <w:rsid w:val="005B14B4"/>
    <w:rsid w:val="005B23B2"/>
    <w:rsid w:val="005B2865"/>
    <w:rsid w:val="005B3246"/>
    <w:rsid w:val="005B390B"/>
    <w:rsid w:val="005B4267"/>
    <w:rsid w:val="005B44C6"/>
    <w:rsid w:val="005B5011"/>
    <w:rsid w:val="005B5169"/>
    <w:rsid w:val="005B5BAD"/>
    <w:rsid w:val="005B70B2"/>
    <w:rsid w:val="005B73EB"/>
    <w:rsid w:val="005B7CE7"/>
    <w:rsid w:val="005C02A6"/>
    <w:rsid w:val="005C104F"/>
    <w:rsid w:val="005C37D0"/>
    <w:rsid w:val="005C48E5"/>
    <w:rsid w:val="005C4983"/>
    <w:rsid w:val="005C560D"/>
    <w:rsid w:val="005C67A2"/>
    <w:rsid w:val="005D2C10"/>
    <w:rsid w:val="005D4721"/>
    <w:rsid w:val="005D792C"/>
    <w:rsid w:val="005E0630"/>
    <w:rsid w:val="005E1897"/>
    <w:rsid w:val="005E29CE"/>
    <w:rsid w:val="005E4C0C"/>
    <w:rsid w:val="005E4C43"/>
    <w:rsid w:val="005E77AD"/>
    <w:rsid w:val="005F2A7A"/>
    <w:rsid w:val="005F5A79"/>
    <w:rsid w:val="005F6B8D"/>
    <w:rsid w:val="005F7E19"/>
    <w:rsid w:val="006026C7"/>
    <w:rsid w:val="006067B0"/>
    <w:rsid w:val="00610E13"/>
    <w:rsid w:val="00612267"/>
    <w:rsid w:val="00616930"/>
    <w:rsid w:val="00616A68"/>
    <w:rsid w:val="00616CD1"/>
    <w:rsid w:val="00617C84"/>
    <w:rsid w:val="00617D29"/>
    <w:rsid w:val="0062119E"/>
    <w:rsid w:val="00621800"/>
    <w:rsid w:val="00621E3F"/>
    <w:rsid w:val="0062200F"/>
    <w:rsid w:val="006232E7"/>
    <w:rsid w:val="006242D6"/>
    <w:rsid w:val="0062529E"/>
    <w:rsid w:val="00625AD1"/>
    <w:rsid w:val="0062653E"/>
    <w:rsid w:val="00631E34"/>
    <w:rsid w:val="00632512"/>
    <w:rsid w:val="0063457D"/>
    <w:rsid w:val="00635054"/>
    <w:rsid w:val="00636EE4"/>
    <w:rsid w:val="0063780D"/>
    <w:rsid w:val="00637FD1"/>
    <w:rsid w:val="00642183"/>
    <w:rsid w:val="006440F6"/>
    <w:rsid w:val="0064496F"/>
    <w:rsid w:val="00645564"/>
    <w:rsid w:val="00645584"/>
    <w:rsid w:val="00645760"/>
    <w:rsid w:val="00650225"/>
    <w:rsid w:val="00651F7E"/>
    <w:rsid w:val="00653C79"/>
    <w:rsid w:val="00654BD6"/>
    <w:rsid w:val="00655624"/>
    <w:rsid w:val="006568AD"/>
    <w:rsid w:val="0065701F"/>
    <w:rsid w:val="00657C38"/>
    <w:rsid w:val="00660909"/>
    <w:rsid w:val="006666B1"/>
    <w:rsid w:val="006674FC"/>
    <w:rsid w:val="00672160"/>
    <w:rsid w:val="00672C7D"/>
    <w:rsid w:val="006747D9"/>
    <w:rsid w:val="00675E68"/>
    <w:rsid w:val="006814BF"/>
    <w:rsid w:val="00685013"/>
    <w:rsid w:val="00685607"/>
    <w:rsid w:val="00685852"/>
    <w:rsid w:val="00686ABB"/>
    <w:rsid w:val="00686AD0"/>
    <w:rsid w:val="006873F2"/>
    <w:rsid w:val="00690B6D"/>
    <w:rsid w:val="006924DD"/>
    <w:rsid w:val="0069343B"/>
    <w:rsid w:val="006938BD"/>
    <w:rsid w:val="00694458"/>
    <w:rsid w:val="0069539A"/>
    <w:rsid w:val="006A084F"/>
    <w:rsid w:val="006A1B6E"/>
    <w:rsid w:val="006A5EB1"/>
    <w:rsid w:val="006A6A51"/>
    <w:rsid w:val="006A76D9"/>
    <w:rsid w:val="006B0C50"/>
    <w:rsid w:val="006B1D87"/>
    <w:rsid w:val="006B1F2A"/>
    <w:rsid w:val="006B2D35"/>
    <w:rsid w:val="006B3D7B"/>
    <w:rsid w:val="006B408D"/>
    <w:rsid w:val="006B623D"/>
    <w:rsid w:val="006B64D0"/>
    <w:rsid w:val="006B7E05"/>
    <w:rsid w:val="006C0AF9"/>
    <w:rsid w:val="006C14CA"/>
    <w:rsid w:val="006C230F"/>
    <w:rsid w:val="006C385E"/>
    <w:rsid w:val="006C54DA"/>
    <w:rsid w:val="006C5A28"/>
    <w:rsid w:val="006D02B7"/>
    <w:rsid w:val="006D07AF"/>
    <w:rsid w:val="006D1708"/>
    <w:rsid w:val="006D2CCB"/>
    <w:rsid w:val="006D5C6D"/>
    <w:rsid w:val="006D7AEE"/>
    <w:rsid w:val="006D7D19"/>
    <w:rsid w:val="006E20FC"/>
    <w:rsid w:val="006E3CD7"/>
    <w:rsid w:val="006E5524"/>
    <w:rsid w:val="006E5A5C"/>
    <w:rsid w:val="006E7433"/>
    <w:rsid w:val="006F18CB"/>
    <w:rsid w:val="006F1C8F"/>
    <w:rsid w:val="006F459B"/>
    <w:rsid w:val="006F608C"/>
    <w:rsid w:val="006F6AD1"/>
    <w:rsid w:val="006F7ACD"/>
    <w:rsid w:val="00700588"/>
    <w:rsid w:val="00701001"/>
    <w:rsid w:val="007015AC"/>
    <w:rsid w:val="00701C07"/>
    <w:rsid w:val="00701DAD"/>
    <w:rsid w:val="00702172"/>
    <w:rsid w:val="00702C3D"/>
    <w:rsid w:val="00702E4B"/>
    <w:rsid w:val="00704E55"/>
    <w:rsid w:val="007066E8"/>
    <w:rsid w:val="00712A09"/>
    <w:rsid w:val="00712B21"/>
    <w:rsid w:val="0071572C"/>
    <w:rsid w:val="0071622D"/>
    <w:rsid w:val="0071716F"/>
    <w:rsid w:val="00721D39"/>
    <w:rsid w:val="00723743"/>
    <w:rsid w:val="007262D6"/>
    <w:rsid w:val="007333F2"/>
    <w:rsid w:val="00737020"/>
    <w:rsid w:val="007403E0"/>
    <w:rsid w:val="00741EC0"/>
    <w:rsid w:val="00742C69"/>
    <w:rsid w:val="007444BB"/>
    <w:rsid w:val="00745E2E"/>
    <w:rsid w:val="007530AA"/>
    <w:rsid w:val="007530E9"/>
    <w:rsid w:val="00754227"/>
    <w:rsid w:val="00754A62"/>
    <w:rsid w:val="007556AF"/>
    <w:rsid w:val="0075670B"/>
    <w:rsid w:val="007573B6"/>
    <w:rsid w:val="00757989"/>
    <w:rsid w:val="00761B08"/>
    <w:rsid w:val="00763090"/>
    <w:rsid w:val="007633FE"/>
    <w:rsid w:val="007653D4"/>
    <w:rsid w:val="0076706B"/>
    <w:rsid w:val="00767D6B"/>
    <w:rsid w:val="007716E8"/>
    <w:rsid w:val="00774F54"/>
    <w:rsid w:val="007766AF"/>
    <w:rsid w:val="00782277"/>
    <w:rsid w:val="00785F11"/>
    <w:rsid w:val="0078705F"/>
    <w:rsid w:val="00787D46"/>
    <w:rsid w:val="00787ECE"/>
    <w:rsid w:val="00787EE4"/>
    <w:rsid w:val="00791786"/>
    <w:rsid w:val="00791F6D"/>
    <w:rsid w:val="00792915"/>
    <w:rsid w:val="00794393"/>
    <w:rsid w:val="00795DAE"/>
    <w:rsid w:val="0079773A"/>
    <w:rsid w:val="0079798D"/>
    <w:rsid w:val="007A2AE6"/>
    <w:rsid w:val="007A6888"/>
    <w:rsid w:val="007B0B28"/>
    <w:rsid w:val="007B2E7B"/>
    <w:rsid w:val="007B34A6"/>
    <w:rsid w:val="007B48CA"/>
    <w:rsid w:val="007B51E1"/>
    <w:rsid w:val="007B5B61"/>
    <w:rsid w:val="007B649D"/>
    <w:rsid w:val="007B6B13"/>
    <w:rsid w:val="007C3FEF"/>
    <w:rsid w:val="007C428C"/>
    <w:rsid w:val="007C51CF"/>
    <w:rsid w:val="007D343F"/>
    <w:rsid w:val="007E5F1C"/>
    <w:rsid w:val="007E732D"/>
    <w:rsid w:val="007F0C84"/>
    <w:rsid w:val="007F1172"/>
    <w:rsid w:val="007F1628"/>
    <w:rsid w:val="007F22DF"/>
    <w:rsid w:val="007F355D"/>
    <w:rsid w:val="007F3B16"/>
    <w:rsid w:val="007F3C95"/>
    <w:rsid w:val="007F4839"/>
    <w:rsid w:val="007F56F8"/>
    <w:rsid w:val="00802AA5"/>
    <w:rsid w:val="00803A92"/>
    <w:rsid w:val="00803BDE"/>
    <w:rsid w:val="00805596"/>
    <w:rsid w:val="00805DAC"/>
    <w:rsid w:val="008066F4"/>
    <w:rsid w:val="00807BC7"/>
    <w:rsid w:val="00807D74"/>
    <w:rsid w:val="00810315"/>
    <w:rsid w:val="00810C66"/>
    <w:rsid w:val="00810D09"/>
    <w:rsid w:val="00810D89"/>
    <w:rsid w:val="00812FDA"/>
    <w:rsid w:val="008142D0"/>
    <w:rsid w:val="00814805"/>
    <w:rsid w:val="00814D83"/>
    <w:rsid w:val="00815BAC"/>
    <w:rsid w:val="0081717D"/>
    <w:rsid w:val="0082105E"/>
    <w:rsid w:val="00823925"/>
    <w:rsid w:val="00823B06"/>
    <w:rsid w:val="008242BF"/>
    <w:rsid w:val="00824F5F"/>
    <w:rsid w:val="00826C55"/>
    <w:rsid w:val="00834C7C"/>
    <w:rsid w:val="00835304"/>
    <w:rsid w:val="008353D7"/>
    <w:rsid w:val="00835C74"/>
    <w:rsid w:val="00837B4F"/>
    <w:rsid w:val="00840B6D"/>
    <w:rsid w:val="00841D05"/>
    <w:rsid w:val="00842984"/>
    <w:rsid w:val="00842D8A"/>
    <w:rsid w:val="00844388"/>
    <w:rsid w:val="00845489"/>
    <w:rsid w:val="00845A66"/>
    <w:rsid w:val="00846B57"/>
    <w:rsid w:val="00846C8B"/>
    <w:rsid w:val="00847254"/>
    <w:rsid w:val="00847504"/>
    <w:rsid w:val="0085008C"/>
    <w:rsid w:val="008528D5"/>
    <w:rsid w:val="008541E2"/>
    <w:rsid w:val="00854CB9"/>
    <w:rsid w:val="00860D3A"/>
    <w:rsid w:val="008617A1"/>
    <w:rsid w:val="00862DAB"/>
    <w:rsid w:val="008633BE"/>
    <w:rsid w:val="00863DDD"/>
    <w:rsid w:val="00863FE8"/>
    <w:rsid w:val="00864F91"/>
    <w:rsid w:val="00866A73"/>
    <w:rsid w:val="00871792"/>
    <w:rsid w:val="00871B7E"/>
    <w:rsid w:val="008720FB"/>
    <w:rsid w:val="00874262"/>
    <w:rsid w:val="008750B4"/>
    <w:rsid w:val="008757CC"/>
    <w:rsid w:val="0087747B"/>
    <w:rsid w:val="00880865"/>
    <w:rsid w:val="00882D5E"/>
    <w:rsid w:val="00883520"/>
    <w:rsid w:val="00883686"/>
    <w:rsid w:val="008851F1"/>
    <w:rsid w:val="008877E6"/>
    <w:rsid w:val="00887CD2"/>
    <w:rsid w:val="008918A1"/>
    <w:rsid w:val="00892EC3"/>
    <w:rsid w:val="00893614"/>
    <w:rsid w:val="008950F7"/>
    <w:rsid w:val="00896062"/>
    <w:rsid w:val="00897B0D"/>
    <w:rsid w:val="008A1AC0"/>
    <w:rsid w:val="008A2028"/>
    <w:rsid w:val="008A25C9"/>
    <w:rsid w:val="008A2ACA"/>
    <w:rsid w:val="008A55CF"/>
    <w:rsid w:val="008A7D1A"/>
    <w:rsid w:val="008B0398"/>
    <w:rsid w:val="008B3008"/>
    <w:rsid w:val="008B311B"/>
    <w:rsid w:val="008B61CE"/>
    <w:rsid w:val="008C09D4"/>
    <w:rsid w:val="008C31EB"/>
    <w:rsid w:val="008C44BD"/>
    <w:rsid w:val="008C4649"/>
    <w:rsid w:val="008C619F"/>
    <w:rsid w:val="008C6BEA"/>
    <w:rsid w:val="008D0794"/>
    <w:rsid w:val="008D20E0"/>
    <w:rsid w:val="008D4061"/>
    <w:rsid w:val="008D5443"/>
    <w:rsid w:val="008D734F"/>
    <w:rsid w:val="008D7353"/>
    <w:rsid w:val="008E2E5E"/>
    <w:rsid w:val="008E6C9B"/>
    <w:rsid w:val="008F29F3"/>
    <w:rsid w:val="008F66DB"/>
    <w:rsid w:val="00900A62"/>
    <w:rsid w:val="00900D89"/>
    <w:rsid w:val="00903BE2"/>
    <w:rsid w:val="0090469B"/>
    <w:rsid w:val="00906830"/>
    <w:rsid w:val="00907988"/>
    <w:rsid w:val="00907A40"/>
    <w:rsid w:val="00910EDD"/>
    <w:rsid w:val="0091167A"/>
    <w:rsid w:val="00913ABE"/>
    <w:rsid w:val="009143E6"/>
    <w:rsid w:val="009164FD"/>
    <w:rsid w:val="009208BE"/>
    <w:rsid w:val="00921522"/>
    <w:rsid w:val="00921659"/>
    <w:rsid w:val="0092227D"/>
    <w:rsid w:val="0092230E"/>
    <w:rsid w:val="009227B8"/>
    <w:rsid w:val="0092301C"/>
    <w:rsid w:val="00924432"/>
    <w:rsid w:val="00924732"/>
    <w:rsid w:val="00925E09"/>
    <w:rsid w:val="00930103"/>
    <w:rsid w:val="00930259"/>
    <w:rsid w:val="00933960"/>
    <w:rsid w:val="009355B6"/>
    <w:rsid w:val="00937DF5"/>
    <w:rsid w:val="00943301"/>
    <w:rsid w:val="0094355F"/>
    <w:rsid w:val="00943CB8"/>
    <w:rsid w:val="009440EB"/>
    <w:rsid w:val="00944137"/>
    <w:rsid w:val="00944A86"/>
    <w:rsid w:val="00946118"/>
    <w:rsid w:val="009513D4"/>
    <w:rsid w:val="00952C85"/>
    <w:rsid w:val="00953920"/>
    <w:rsid w:val="009541F1"/>
    <w:rsid w:val="0096169F"/>
    <w:rsid w:val="00961890"/>
    <w:rsid w:val="00961AD7"/>
    <w:rsid w:val="00961E07"/>
    <w:rsid w:val="009630BF"/>
    <w:rsid w:val="00963256"/>
    <w:rsid w:val="00964E02"/>
    <w:rsid w:val="00965206"/>
    <w:rsid w:val="00970532"/>
    <w:rsid w:val="0097089F"/>
    <w:rsid w:val="00970F12"/>
    <w:rsid w:val="00971930"/>
    <w:rsid w:val="009742DB"/>
    <w:rsid w:val="009817C3"/>
    <w:rsid w:val="00981BFE"/>
    <w:rsid w:val="00983279"/>
    <w:rsid w:val="00986EEE"/>
    <w:rsid w:val="0098778E"/>
    <w:rsid w:val="00990B9F"/>
    <w:rsid w:val="00991402"/>
    <w:rsid w:val="009A043F"/>
    <w:rsid w:val="009A4385"/>
    <w:rsid w:val="009A64E1"/>
    <w:rsid w:val="009A7715"/>
    <w:rsid w:val="009A7C8D"/>
    <w:rsid w:val="009A7D0D"/>
    <w:rsid w:val="009B2635"/>
    <w:rsid w:val="009B2A80"/>
    <w:rsid w:val="009B4514"/>
    <w:rsid w:val="009B5CA8"/>
    <w:rsid w:val="009B600F"/>
    <w:rsid w:val="009C21AF"/>
    <w:rsid w:val="009C281B"/>
    <w:rsid w:val="009C3D2E"/>
    <w:rsid w:val="009C6E72"/>
    <w:rsid w:val="009D0867"/>
    <w:rsid w:val="009D1809"/>
    <w:rsid w:val="009D2029"/>
    <w:rsid w:val="009D2DB6"/>
    <w:rsid w:val="009D6755"/>
    <w:rsid w:val="009D6911"/>
    <w:rsid w:val="009E210C"/>
    <w:rsid w:val="009E2111"/>
    <w:rsid w:val="009E2907"/>
    <w:rsid w:val="009E36A6"/>
    <w:rsid w:val="009E5719"/>
    <w:rsid w:val="009F0718"/>
    <w:rsid w:val="009F20FA"/>
    <w:rsid w:val="009F59AD"/>
    <w:rsid w:val="009F62A9"/>
    <w:rsid w:val="009F6AC5"/>
    <w:rsid w:val="009F7395"/>
    <w:rsid w:val="00A002BF"/>
    <w:rsid w:val="00A01A61"/>
    <w:rsid w:val="00A01B65"/>
    <w:rsid w:val="00A01DDE"/>
    <w:rsid w:val="00A040CA"/>
    <w:rsid w:val="00A07373"/>
    <w:rsid w:val="00A10F0A"/>
    <w:rsid w:val="00A13D30"/>
    <w:rsid w:val="00A17ED8"/>
    <w:rsid w:val="00A21555"/>
    <w:rsid w:val="00A25946"/>
    <w:rsid w:val="00A3094C"/>
    <w:rsid w:val="00A31EE8"/>
    <w:rsid w:val="00A31FCA"/>
    <w:rsid w:val="00A327C4"/>
    <w:rsid w:val="00A3569D"/>
    <w:rsid w:val="00A379F4"/>
    <w:rsid w:val="00A40DCA"/>
    <w:rsid w:val="00A41A66"/>
    <w:rsid w:val="00A4438C"/>
    <w:rsid w:val="00A45697"/>
    <w:rsid w:val="00A45A47"/>
    <w:rsid w:val="00A53AEF"/>
    <w:rsid w:val="00A54072"/>
    <w:rsid w:val="00A543E1"/>
    <w:rsid w:val="00A56E96"/>
    <w:rsid w:val="00A6002B"/>
    <w:rsid w:val="00A61519"/>
    <w:rsid w:val="00A61678"/>
    <w:rsid w:val="00A61CD8"/>
    <w:rsid w:val="00A629AC"/>
    <w:rsid w:val="00A63B42"/>
    <w:rsid w:val="00A64EBE"/>
    <w:rsid w:val="00A6675A"/>
    <w:rsid w:val="00A66C70"/>
    <w:rsid w:val="00A67353"/>
    <w:rsid w:val="00A71EDC"/>
    <w:rsid w:val="00A71F12"/>
    <w:rsid w:val="00A73265"/>
    <w:rsid w:val="00A73AAC"/>
    <w:rsid w:val="00A74646"/>
    <w:rsid w:val="00A75707"/>
    <w:rsid w:val="00A7577C"/>
    <w:rsid w:val="00A76213"/>
    <w:rsid w:val="00A82DFC"/>
    <w:rsid w:val="00A85D63"/>
    <w:rsid w:val="00A86204"/>
    <w:rsid w:val="00A87926"/>
    <w:rsid w:val="00A93265"/>
    <w:rsid w:val="00A95EBE"/>
    <w:rsid w:val="00A96CF4"/>
    <w:rsid w:val="00AA349F"/>
    <w:rsid w:val="00AA56D6"/>
    <w:rsid w:val="00AA7A50"/>
    <w:rsid w:val="00AB2152"/>
    <w:rsid w:val="00AB21C4"/>
    <w:rsid w:val="00AB2626"/>
    <w:rsid w:val="00AB6BC0"/>
    <w:rsid w:val="00AB7A21"/>
    <w:rsid w:val="00AC17B3"/>
    <w:rsid w:val="00AC2F43"/>
    <w:rsid w:val="00AC3C1F"/>
    <w:rsid w:val="00AC6234"/>
    <w:rsid w:val="00AC74D7"/>
    <w:rsid w:val="00AD1F4D"/>
    <w:rsid w:val="00AD2C02"/>
    <w:rsid w:val="00AD3D17"/>
    <w:rsid w:val="00AD4582"/>
    <w:rsid w:val="00AD58CC"/>
    <w:rsid w:val="00AE115D"/>
    <w:rsid w:val="00AE21FB"/>
    <w:rsid w:val="00AE28E6"/>
    <w:rsid w:val="00AE6742"/>
    <w:rsid w:val="00AF2315"/>
    <w:rsid w:val="00AF2A38"/>
    <w:rsid w:val="00B00772"/>
    <w:rsid w:val="00B00792"/>
    <w:rsid w:val="00B0088F"/>
    <w:rsid w:val="00B0423B"/>
    <w:rsid w:val="00B04AB7"/>
    <w:rsid w:val="00B04BCF"/>
    <w:rsid w:val="00B07754"/>
    <w:rsid w:val="00B107EE"/>
    <w:rsid w:val="00B1518E"/>
    <w:rsid w:val="00B1600C"/>
    <w:rsid w:val="00B168C6"/>
    <w:rsid w:val="00B20B28"/>
    <w:rsid w:val="00B211CE"/>
    <w:rsid w:val="00B234CA"/>
    <w:rsid w:val="00B26613"/>
    <w:rsid w:val="00B26C96"/>
    <w:rsid w:val="00B26EC9"/>
    <w:rsid w:val="00B270DC"/>
    <w:rsid w:val="00B305AA"/>
    <w:rsid w:val="00B3119A"/>
    <w:rsid w:val="00B3189A"/>
    <w:rsid w:val="00B319C1"/>
    <w:rsid w:val="00B33CA5"/>
    <w:rsid w:val="00B34935"/>
    <w:rsid w:val="00B42943"/>
    <w:rsid w:val="00B432CF"/>
    <w:rsid w:val="00B43EF8"/>
    <w:rsid w:val="00B46701"/>
    <w:rsid w:val="00B52057"/>
    <w:rsid w:val="00B53264"/>
    <w:rsid w:val="00B54BB2"/>
    <w:rsid w:val="00B55BA7"/>
    <w:rsid w:val="00B568FA"/>
    <w:rsid w:val="00B60216"/>
    <w:rsid w:val="00B61835"/>
    <w:rsid w:val="00B61AB2"/>
    <w:rsid w:val="00B63CA4"/>
    <w:rsid w:val="00B63D71"/>
    <w:rsid w:val="00B6516E"/>
    <w:rsid w:val="00B653D4"/>
    <w:rsid w:val="00B66018"/>
    <w:rsid w:val="00B661FD"/>
    <w:rsid w:val="00B66AF3"/>
    <w:rsid w:val="00B67477"/>
    <w:rsid w:val="00B71222"/>
    <w:rsid w:val="00B71701"/>
    <w:rsid w:val="00B71D4C"/>
    <w:rsid w:val="00B71EE7"/>
    <w:rsid w:val="00B76A7C"/>
    <w:rsid w:val="00B81F52"/>
    <w:rsid w:val="00B833E9"/>
    <w:rsid w:val="00B84402"/>
    <w:rsid w:val="00B84589"/>
    <w:rsid w:val="00B84B53"/>
    <w:rsid w:val="00B850D4"/>
    <w:rsid w:val="00B94354"/>
    <w:rsid w:val="00B94D4A"/>
    <w:rsid w:val="00B95427"/>
    <w:rsid w:val="00BA0CA6"/>
    <w:rsid w:val="00BA3CBC"/>
    <w:rsid w:val="00BA6615"/>
    <w:rsid w:val="00BA7A8C"/>
    <w:rsid w:val="00BA7BDD"/>
    <w:rsid w:val="00BB227A"/>
    <w:rsid w:val="00BB342E"/>
    <w:rsid w:val="00BB454A"/>
    <w:rsid w:val="00BB45BD"/>
    <w:rsid w:val="00BB50F1"/>
    <w:rsid w:val="00BB69CD"/>
    <w:rsid w:val="00BC24CA"/>
    <w:rsid w:val="00BC28DE"/>
    <w:rsid w:val="00BC3C78"/>
    <w:rsid w:val="00BC6227"/>
    <w:rsid w:val="00BC7480"/>
    <w:rsid w:val="00BC7682"/>
    <w:rsid w:val="00BD115B"/>
    <w:rsid w:val="00BD537C"/>
    <w:rsid w:val="00BE0C98"/>
    <w:rsid w:val="00BE13CB"/>
    <w:rsid w:val="00BE4E7B"/>
    <w:rsid w:val="00BE5706"/>
    <w:rsid w:val="00BE7DB7"/>
    <w:rsid w:val="00BF0B36"/>
    <w:rsid w:val="00BF0B96"/>
    <w:rsid w:val="00BF0F34"/>
    <w:rsid w:val="00BF1FAB"/>
    <w:rsid w:val="00BF1FDA"/>
    <w:rsid w:val="00BF337E"/>
    <w:rsid w:val="00BF3803"/>
    <w:rsid w:val="00C00B38"/>
    <w:rsid w:val="00C02537"/>
    <w:rsid w:val="00C02CDC"/>
    <w:rsid w:val="00C031CE"/>
    <w:rsid w:val="00C04943"/>
    <w:rsid w:val="00C05E9F"/>
    <w:rsid w:val="00C109A5"/>
    <w:rsid w:val="00C13025"/>
    <w:rsid w:val="00C13E30"/>
    <w:rsid w:val="00C145D2"/>
    <w:rsid w:val="00C1489A"/>
    <w:rsid w:val="00C14ACC"/>
    <w:rsid w:val="00C14D1C"/>
    <w:rsid w:val="00C16936"/>
    <w:rsid w:val="00C21A58"/>
    <w:rsid w:val="00C21B14"/>
    <w:rsid w:val="00C21C5E"/>
    <w:rsid w:val="00C223C1"/>
    <w:rsid w:val="00C228EB"/>
    <w:rsid w:val="00C24AF8"/>
    <w:rsid w:val="00C262A9"/>
    <w:rsid w:val="00C2726E"/>
    <w:rsid w:val="00C27AD9"/>
    <w:rsid w:val="00C27F09"/>
    <w:rsid w:val="00C34A6C"/>
    <w:rsid w:val="00C3600B"/>
    <w:rsid w:val="00C37AA2"/>
    <w:rsid w:val="00C41250"/>
    <w:rsid w:val="00C43ABC"/>
    <w:rsid w:val="00C447E1"/>
    <w:rsid w:val="00C45707"/>
    <w:rsid w:val="00C50394"/>
    <w:rsid w:val="00C505CE"/>
    <w:rsid w:val="00C55B4E"/>
    <w:rsid w:val="00C55D81"/>
    <w:rsid w:val="00C56B20"/>
    <w:rsid w:val="00C605FD"/>
    <w:rsid w:val="00C61F00"/>
    <w:rsid w:val="00C62751"/>
    <w:rsid w:val="00C63319"/>
    <w:rsid w:val="00C6389A"/>
    <w:rsid w:val="00C65328"/>
    <w:rsid w:val="00C65A00"/>
    <w:rsid w:val="00C711F5"/>
    <w:rsid w:val="00C71860"/>
    <w:rsid w:val="00C749E3"/>
    <w:rsid w:val="00C752C7"/>
    <w:rsid w:val="00C757B8"/>
    <w:rsid w:val="00C80487"/>
    <w:rsid w:val="00C80776"/>
    <w:rsid w:val="00C81BC4"/>
    <w:rsid w:val="00C82C71"/>
    <w:rsid w:val="00C8491F"/>
    <w:rsid w:val="00C854AB"/>
    <w:rsid w:val="00C8565E"/>
    <w:rsid w:val="00C85E41"/>
    <w:rsid w:val="00C90C61"/>
    <w:rsid w:val="00C91835"/>
    <w:rsid w:val="00C95E63"/>
    <w:rsid w:val="00C978AC"/>
    <w:rsid w:val="00CA20C5"/>
    <w:rsid w:val="00CA40C6"/>
    <w:rsid w:val="00CA4AB4"/>
    <w:rsid w:val="00CA54AC"/>
    <w:rsid w:val="00CA54CE"/>
    <w:rsid w:val="00CA64F5"/>
    <w:rsid w:val="00CA7097"/>
    <w:rsid w:val="00CB26A9"/>
    <w:rsid w:val="00CB39E4"/>
    <w:rsid w:val="00CC1591"/>
    <w:rsid w:val="00CC17A1"/>
    <w:rsid w:val="00CC19B0"/>
    <w:rsid w:val="00CC444F"/>
    <w:rsid w:val="00CC6EC3"/>
    <w:rsid w:val="00CD039F"/>
    <w:rsid w:val="00CD20DE"/>
    <w:rsid w:val="00CD2323"/>
    <w:rsid w:val="00CD2CFE"/>
    <w:rsid w:val="00CD4475"/>
    <w:rsid w:val="00CD6932"/>
    <w:rsid w:val="00CE060B"/>
    <w:rsid w:val="00CE1E73"/>
    <w:rsid w:val="00CE4CC6"/>
    <w:rsid w:val="00CE52B3"/>
    <w:rsid w:val="00CF2564"/>
    <w:rsid w:val="00CF2D7F"/>
    <w:rsid w:val="00CF3162"/>
    <w:rsid w:val="00CF38D1"/>
    <w:rsid w:val="00CF4EC7"/>
    <w:rsid w:val="00CF6488"/>
    <w:rsid w:val="00CF69D3"/>
    <w:rsid w:val="00CF6CB1"/>
    <w:rsid w:val="00D00CCA"/>
    <w:rsid w:val="00D017C7"/>
    <w:rsid w:val="00D01C99"/>
    <w:rsid w:val="00D02702"/>
    <w:rsid w:val="00D02A4C"/>
    <w:rsid w:val="00D06BC3"/>
    <w:rsid w:val="00D10797"/>
    <w:rsid w:val="00D125AD"/>
    <w:rsid w:val="00D13191"/>
    <w:rsid w:val="00D13674"/>
    <w:rsid w:val="00D16A17"/>
    <w:rsid w:val="00D20C61"/>
    <w:rsid w:val="00D224DF"/>
    <w:rsid w:val="00D25091"/>
    <w:rsid w:val="00D25B32"/>
    <w:rsid w:val="00D27D1F"/>
    <w:rsid w:val="00D30BE7"/>
    <w:rsid w:val="00D30FF5"/>
    <w:rsid w:val="00D33EC1"/>
    <w:rsid w:val="00D355EE"/>
    <w:rsid w:val="00D3610D"/>
    <w:rsid w:val="00D4113A"/>
    <w:rsid w:val="00D4160A"/>
    <w:rsid w:val="00D41CEC"/>
    <w:rsid w:val="00D43285"/>
    <w:rsid w:val="00D50FDA"/>
    <w:rsid w:val="00D52E54"/>
    <w:rsid w:val="00D54FA7"/>
    <w:rsid w:val="00D5515D"/>
    <w:rsid w:val="00D62864"/>
    <w:rsid w:val="00D62900"/>
    <w:rsid w:val="00D67095"/>
    <w:rsid w:val="00D7245B"/>
    <w:rsid w:val="00D73FBC"/>
    <w:rsid w:val="00D75263"/>
    <w:rsid w:val="00D75763"/>
    <w:rsid w:val="00D759E7"/>
    <w:rsid w:val="00D75DB0"/>
    <w:rsid w:val="00D76052"/>
    <w:rsid w:val="00D81745"/>
    <w:rsid w:val="00D81A5A"/>
    <w:rsid w:val="00D826E0"/>
    <w:rsid w:val="00D900CB"/>
    <w:rsid w:val="00D91029"/>
    <w:rsid w:val="00D92783"/>
    <w:rsid w:val="00D93D7D"/>
    <w:rsid w:val="00D95160"/>
    <w:rsid w:val="00DA1A76"/>
    <w:rsid w:val="00DA1C03"/>
    <w:rsid w:val="00DA1DC5"/>
    <w:rsid w:val="00DA1E9F"/>
    <w:rsid w:val="00DA2906"/>
    <w:rsid w:val="00DA3571"/>
    <w:rsid w:val="00DA4BE9"/>
    <w:rsid w:val="00DA5F68"/>
    <w:rsid w:val="00DA5FCA"/>
    <w:rsid w:val="00DA78F2"/>
    <w:rsid w:val="00DB1211"/>
    <w:rsid w:val="00DB13A4"/>
    <w:rsid w:val="00DB1DA9"/>
    <w:rsid w:val="00DB1DC6"/>
    <w:rsid w:val="00DB1FAB"/>
    <w:rsid w:val="00DB2705"/>
    <w:rsid w:val="00DB2DAB"/>
    <w:rsid w:val="00DB6975"/>
    <w:rsid w:val="00DB7C47"/>
    <w:rsid w:val="00DC073E"/>
    <w:rsid w:val="00DC1DC1"/>
    <w:rsid w:val="00DC36AE"/>
    <w:rsid w:val="00DC3936"/>
    <w:rsid w:val="00DC4F15"/>
    <w:rsid w:val="00DC7A30"/>
    <w:rsid w:val="00DD3764"/>
    <w:rsid w:val="00DD480C"/>
    <w:rsid w:val="00DD482F"/>
    <w:rsid w:val="00DD59D9"/>
    <w:rsid w:val="00DD73C2"/>
    <w:rsid w:val="00DE3846"/>
    <w:rsid w:val="00DE534E"/>
    <w:rsid w:val="00DE65F9"/>
    <w:rsid w:val="00DE6FC9"/>
    <w:rsid w:val="00DF1781"/>
    <w:rsid w:val="00DF1BC6"/>
    <w:rsid w:val="00DF268B"/>
    <w:rsid w:val="00DF40AB"/>
    <w:rsid w:val="00DF433D"/>
    <w:rsid w:val="00DF7788"/>
    <w:rsid w:val="00E02F2E"/>
    <w:rsid w:val="00E03B27"/>
    <w:rsid w:val="00E03B3D"/>
    <w:rsid w:val="00E05516"/>
    <w:rsid w:val="00E0596D"/>
    <w:rsid w:val="00E05B56"/>
    <w:rsid w:val="00E10886"/>
    <w:rsid w:val="00E1275F"/>
    <w:rsid w:val="00E13D3A"/>
    <w:rsid w:val="00E1485A"/>
    <w:rsid w:val="00E1585B"/>
    <w:rsid w:val="00E16B2B"/>
    <w:rsid w:val="00E16B9F"/>
    <w:rsid w:val="00E23D1C"/>
    <w:rsid w:val="00E27D14"/>
    <w:rsid w:val="00E27E90"/>
    <w:rsid w:val="00E31A85"/>
    <w:rsid w:val="00E3581B"/>
    <w:rsid w:val="00E41DD1"/>
    <w:rsid w:val="00E43F0F"/>
    <w:rsid w:val="00E46003"/>
    <w:rsid w:val="00E476B4"/>
    <w:rsid w:val="00E478CB"/>
    <w:rsid w:val="00E50DE7"/>
    <w:rsid w:val="00E55D3C"/>
    <w:rsid w:val="00E568DD"/>
    <w:rsid w:val="00E57167"/>
    <w:rsid w:val="00E61CBA"/>
    <w:rsid w:val="00E62844"/>
    <w:rsid w:val="00E6443B"/>
    <w:rsid w:val="00E66071"/>
    <w:rsid w:val="00E755D3"/>
    <w:rsid w:val="00E8208D"/>
    <w:rsid w:val="00E85D9C"/>
    <w:rsid w:val="00E9073F"/>
    <w:rsid w:val="00E90939"/>
    <w:rsid w:val="00E90D82"/>
    <w:rsid w:val="00E930FA"/>
    <w:rsid w:val="00E94506"/>
    <w:rsid w:val="00E9458D"/>
    <w:rsid w:val="00E9539F"/>
    <w:rsid w:val="00E96838"/>
    <w:rsid w:val="00EA2D6A"/>
    <w:rsid w:val="00EA3705"/>
    <w:rsid w:val="00EA520C"/>
    <w:rsid w:val="00EA5EA5"/>
    <w:rsid w:val="00EB048E"/>
    <w:rsid w:val="00EB31CD"/>
    <w:rsid w:val="00EB4772"/>
    <w:rsid w:val="00EB4948"/>
    <w:rsid w:val="00EB5EE6"/>
    <w:rsid w:val="00EB7F8B"/>
    <w:rsid w:val="00EC1895"/>
    <w:rsid w:val="00EC5DC7"/>
    <w:rsid w:val="00ED1E7A"/>
    <w:rsid w:val="00ED362F"/>
    <w:rsid w:val="00ED3D26"/>
    <w:rsid w:val="00ED4FDB"/>
    <w:rsid w:val="00ED5B42"/>
    <w:rsid w:val="00ED6B03"/>
    <w:rsid w:val="00ED758D"/>
    <w:rsid w:val="00EE14DD"/>
    <w:rsid w:val="00EE35B1"/>
    <w:rsid w:val="00EE49A7"/>
    <w:rsid w:val="00EE584B"/>
    <w:rsid w:val="00EE64C9"/>
    <w:rsid w:val="00EE7192"/>
    <w:rsid w:val="00EE72BB"/>
    <w:rsid w:val="00EF1591"/>
    <w:rsid w:val="00EF28DC"/>
    <w:rsid w:val="00EF56B5"/>
    <w:rsid w:val="00EF60CB"/>
    <w:rsid w:val="00EF6158"/>
    <w:rsid w:val="00EF715A"/>
    <w:rsid w:val="00EF76AC"/>
    <w:rsid w:val="00F01D93"/>
    <w:rsid w:val="00F121E7"/>
    <w:rsid w:val="00F13B51"/>
    <w:rsid w:val="00F140B2"/>
    <w:rsid w:val="00F14C5A"/>
    <w:rsid w:val="00F17042"/>
    <w:rsid w:val="00F170F3"/>
    <w:rsid w:val="00F20140"/>
    <w:rsid w:val="00F23150"/>
    <w:rsid w:val="00F235F6"/>
    <w:rsid w:val="00F24D18"/>
    <w:rsid w:val="00F25BCE"/>
    <w:rsid w:val="00F26822"/>
    <w:rsid w:val="00F268B7"/>
    <w:rsid w:val="00F307D5"/>
    <w:rsid w:val="00F33942"/>
    <w:rsid w:val="00F34284"/>
    <w:rsid w:val="00F353BD"/>
    <w:rsid w:val="00F354B5"/>
    <w:rsid w:val="00F40C95"/>
    <w:rsid w:val="00F411C9"/>
    <w:rsid w:val="00F422D4"/>
    <w:rsid w:val="00F424C8"/>
    <w:rsid w:val="00F50E8B"/>
    <w:rsid w:val="00F51322"/>
    <w:rsid w:val="00F53D23"/>
    <w:rsid w:val="00F54234"/>
    <w:rsid w:val="00F55C02"/>
    <w:rsid w:val="00F61058"/>
    <w:rsid w:val="00F63302"/>
    <w:rsid w:val="00F63F4D"/>
    <w:rsid w:val="00F64B92"/>
    <w:rsid w:val="00F64BA5"/>
    <w:rsid w:val="00F654B3"/>
    <w:rsid w:val="00F677B9"/>
    <w:rsid w:val="00F67ED0"/>
    <w:rsid w:val="00F71C1B"/>
    <w:rsid w:val="00F7203B"/>
    <w:rsid w:val="00F755A5"/>
    <w:rsid w:val="00F7661F"/>
    <w:rsid w:val="00F77F4C"/>
    <w:rsid w:val="00F80923"/>
    <w:rsid w:val="00F81E25"/>
    <w:rsid w:val="00F827A4"/>
    <w:rsid w:val="00F83007"/>
    <w:rsid w:val="00F832B8"/>
    <w:rsid w:val="00F83764"/>
    <w:rsid w:val="00F84D46"/>
    <w:rsid w:val="00F852C2"/>
    <w:rsid w:val="00F85B0D"/>
    <w:rsid w:val="00F90530"/>
    <w:rsid w:val="00F91906"/>
    <w:rsid w:val="00F929CC"/>
    <w:rsid w:val="00F92EE4"/>
    <w:rsid w:val="00F966A5"/>
    <w:rsid w:val="00F973F3"/>
    <w:rsid w:val="00FA1D09"/>
    <w:rsid w:val="00FA60D5"/>
    <w:rsid w:val="00FA6A82"/>
    <w:rsid w:val="00FB1C79"/>
    <w:rsid w:val="00FB3B7C"/>
    <w:rsid w:val="00FB3C83"/>
    <w:rsid w:val="00FC202D"/>
    <w:rsid w:val="00FC2122"/>
    <w:rsid w:val="00FD1A92"/>
    <w:rsid w:val="00FD2860"/>
    <w:rsid w:val="00FD2CEA"/>
    <w:rsid w:val="00FD4D3F"/>
    <w:rsid w:val="00FD515E"/>
    <w:rsid w:val="00FD5A54"/>
    <w:rsid w:val="00FE12A4"/>
    <w:rsid w:val="00FE1FB9"/>
    <w:rsid w:val="00FE3BF9"/>
    <w:rsid w:val="00FE4D29"/>
    <w:rsid w:val="00FE75EC"/>
    <w:rsid w:val="00FF18B9"/>
    <w:rsid w:val="00FF2800"/>
    <w:rsid w:val="00FF3C80"/>
    <w:rsid w:val="00FF3C82"/>
    <w:rsid w:val="00FF3D3B"/>
    <w:rsid w:val="00FF65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5E1ED"/>
  <w15:docId w15:val="{2A4B8104-8D29-40FF-8409-53C9BBB3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094"/>
    <w:pPr>
      <w:spacing w:after="0" w:line="240" w:lineRule="atLeast"/>
    </w:pPr>
    <w:rPr>
      <w:rFonts w:ascii="HelveticaNeueLT Std Lt" w:eastAsia="Times New Roman" w:hAnsi="HelveticaNeueLT Std Lt" w:cs="Times New Roman"/>
      <w:sz w:val="20"/>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1094"/>
    <w:pPr>
      <w:tabs>
        <w:tab w:val="center" w:pos="4153"/>
        <w:tab w:val="right" w:pos="8306"/>
      </w:tabs>
      <w:spacing w:line="240" w:lineRule="auto"/>
    </w:pPr>
    <w:rPr>
      <w:sz w:val="16"/>
    </w:rPr>
  </w:style>
  <w:style w:type="character" w:customStyle="1" w:styleId="HeaderChar">
    <w:name w:val="Header Char"/>
    <w:basedOn w:val="DefaultParagraphFont"/>
    <w:link w:val="Header"/>
    <w:rsid w:val="00291094"/>
    <w:rPr>
      <w:rFonts w:ascii="HelveticaNeueLT Std Lt" w:eastAsia="Times New Roman" w:hAnsi="HelveticaNeueLT Std Lt" w:cs="Times New Roman"/>
      <w:sz w:val="16"/>
      <w:szCs w:val="24"/>
      <w:lang w:eastAsia="en-AU"/>
    </w:rPr>
  </w:style>
  <w:style w:type="paragraph" w:styleId="Footer">
    <w:name w:val="footer"/>
    <w:basedOn w:val="Normal"/>
    <w:link w:val="FooterChar"/>
    <w:uiPriority w:val="99"/>
    <w:rsid w:val="00291094"/>
    <w:pPr>
      <w:tabs>
        <w:tab w:val="center" w:pos="4153"/>
        <w:tab w:val="right" w:pos="8306"/>
      </w:tabs>
      <w:spacing w:line="240" w:lineRule="auto"/>
    </w:pPr>
    <w:rPr>
      <w:sz w:val="16"/>
    </w:rPr>
  </w:style>
  <w:style w:type="character" w:customStyle="1" w:styleId="FooterChar">
    <w:name w:val="Footer Char"/>
    <w:basedOn w:val="DefaultParagraphFont"/>
    <w:link w:val="Footer"/>
    <w:uiPriority w:val="99"/>
    <w:rsid w:val="00291094"/>
    <w:rPr>
      <w:rFonts w:ascii="HelveticaNeueLT Std Lt" w:eastAsia="Times New Roman" w:hAnsi="HelveticaNeueLT Std Lt" w:cs="Times New Roman"/>
      <w:sz w:val="16"/>
      <w:szCs w:val="24"/>
      <w:lang w:eastAsia="en-AU"/>
    </w:rPr>
  </w:style>
  <w:style w:type="paragraph" w:customStyle="1" w:styleId="PageNumber">
    <w:name w:val="PageNumber"/>
    <w:basedOn w:val="Normal"/>
    <w:rsid w:val="00291094"/>
    <w:pPr>
      <w:spacing w:line="240" w:lineRule="auto"/>
    </w:pPr>
    <w:rPr>
      <w:sz w:val="16"/>
    </w:rPr>
  </w:style>
  <w:style w:type="character" w:styleId="Hyperlink">
    <w:name w:val="Hyperlink"/>
    <w:basedOn w:val="DefaultParagraphFont"/>
    <w:rsid w:val="00291094"/>
    <w:rPr>
      <w:color w:val="0000FF"/>
      <w:u w:val="single"/>
    </w:rPr>
  </w:style>
  <w:style w:type="paragraph" w:customStyle="1" w:styleId="ACMABodyText">
    <w:name w:val="ACMA Body Text"/>
    <w:link w:val="ACMABodyTextChar"/>
    <w:rsid w:val="00291094"/>
    <w:pPr>
      <w:suppressAutoHyphens/>
      <w:spacing w:before="80" w:after="120" w:line="280" w:lineRule="atLeast"/>
    </w:pPr>
    <w:rPr>
      <w:rFonts w:ascii="Times New Roman" w:eastAsia="Times New Roman" w:hAnsi="Times New Roman" w:cs="Times New Roman"/>
      <w:snapToGrid w:val="0"/>
      <w:sz w:val="24"/>
      <w:szCs w:val="20"/>
    </w:rPr>
  </w:style>
  <w:style w:type="paragraph" w:customStyle="1" w:styleId="P1">
    <w:name w:val="P1"/>
    <w:aliases w:val="(a)"/>
    <w:basedOn w:val="Normal"/>
    <w:rsid w:val="00291094"/>
    <w:pPr>
      <w:tabs>
        <w:tab w:val="right" w:pos="1191"/>
      </w:tabs>
      <w:spacing w:before="60" w:line="260" w:lineRule="exact"/>
      <w:ind w:left="1418" w:hanging="1418"/>
      <w:jc w:val="both"/>
    </w:pPr>
    <w:rPr>
      <w:rFonts w:ascii="Times New Roman" w:hAnsi="Times New Roman"/>
      <w:sz w:val="24"/>
    </w:rPr>
  </w:style>
  <w:style w:type="character" w:customStyle="1" w:styleId="ACMABodyTextChar">
    <w:name w:val="ACMA Body Text Char"/>
    <w:basedOn w:val="DefaultParagraphFont"/>
    <w:link w:val="ACMABodyText"/>
    <w:rsid w:val="00291094"/>
    <w:rPr>
      <w:rFonts w:ascii="Times New Roman" w:eastAsia="Times New Roman" w:hAnsi="Times New Roman" w:cs="Times New Roman"/>
      <w:snapToGrid w:val="0"/>
      <w:sz w:val="24"/>
      <w:szCs w:val="20"/>
    </w:rPr>
  </w:style>
  <w:style w:type="paragraph" w:customStyle="1" w:styleId="ACMAHeading2">
    <w:name w:val="ACMA Heading 2"/>
    <w:next w:val="ACMABodyText"/>
    <w:rsid w:val="00291094"/>
    <w:pPr>
      <w:keepNext/>
      <w:suppressAutoHyphens/>
      <w:spacing w:before="240" w:after="0" w:line="240" w:lineRule="auto"/>
      <w:outlineLvl w:val="2"/>
    </w:pPr>
    <w:rPr>
      <w:rFonts w:ascii="Arial" w:eastAsia="Times New Roman" w:hAnsi="Arial" w:cs="Times New Roman"/>
      <w:b/>
      <w:caps/>
      <w:sz w:val="26"/>
      <w:szCs w:val="26"/>
      <w:lang w:val="en-US"/>
    </w:rPr>
  </w:style>
  <w:style w:type="paragraph" w:customStyle="1" w:styleId="ACMAHeading4">
    <w:name w:val="ACMA Heading 4"/>
    <w:next w:val="ACMABodyText"/>
    <w:rsid w:val="00291094"/>
    <w:pPr>
      <w:keepNext/>
      <w:suppressAutoHyphens/>
      <w:spacing w:before="80" w:after="0" w:line="240" w:lineRule="auto"/>
      <w:outlineLvl w:val="4"/>
    </w:pPr>
    <w:rPr>
      <w:rFonts w:ascii="Arial" w:eastAsia="Times New Roman" w:hAnsi="Arial" w:cs="Times New Roman"/>
      <w:b/>
      <w:i/>
      <w:sz w:val="20"/>
      <w:szCs w:val="20"/>
    </w:rPr>
  </w:style>
  <w:style w:type="paragraph" w:customStyle="1" w:styleId="ABABulletLevel1">
    <w:name w:val="ABA Bullet Level 1"/>
    <w:rsid w:val="00291094"/>
    <w:pPr>
      <w:spacing w:after="0" w:line="240" w:lineRule="auto"/>
    </w:pPr>
    <w:rPr>
      <w:rFonts w:ascii="Times New Roman" w:eastAsia="Times New Roman" w:hAnsi="Times New Roman" w:cs="Times New Roman"/>
      <w:sz w:val="24"/>
      <w:szCs w:val="20"/>
    </w:rPr>
  </w:style>
  <w:style w:type="paragraph" w:customStyle="1" w:styleId="ACMANumberedList">
    <w:name w:val="ACMA Numbered List"/>
    <w:rsid w:val="00291094"/>
    <w:pPr>
      <w:numPr>
        <w:numId w:val="1"/>
      </w:numPr>
      <w:spacing w:before="20" w:after="20" w:line="240" w:lineRule="auto"/>
    </w:pPr>
    <w:rPr>
      <w:rFonts w:ascii="Times New Roman" w:eastAsia="Times New Roman" w:hAnsi="Times New Roman" w:cs="Times New Roman"/>
      <w:sz w:val="24"/>
      <w:szCs w:val="20"/>
    </w:rPr>
  </w:style>
  <w:style w:type="character" w:styleId="FootnoteReference">
    <w:name w:val="footnote reference"/>
    <w:basedOn w:val="DefaultParagraphFont"/>
    <w:rsid w:val="00291094"/>
    <w:rPr>
      <w:rFonts w:ascii="Arial" w:hAnsi="Arial"/>
      <w:vertAlign w:val="superscript"/>
    </w:rPr>
  </w:style>
  <w:style w:type="paragraph" w:styleId="FootnoteText">
    <w:name w:val="footnote text"/>
    <w:aliases w:val="ACMA Footnote Text"/>
    <w:basedOn w:val="Normal"/>
    <w:link w:val="FootnoteTextChar"/>
    <w:rsid w:val="00291094"/>
    <w:rPr>
      <w:sz w:val="16"/>
      <w:szCs w:val="16"/>
    </w:rPr>
  </w:style>
  <w:style w:type="character" w:customStyle="1" w:styleId="FootnoteTextChar">
    <w:name w:val="Footnote Text Char"/>
    <w:aliases w:val="ACMA Footnote Text Char"/>
    <w:basedOn w:val="DefaultParagraphFont"/>
    <w:link w:val="FootnoteText"/>
    <w:rsid w:val="00291094"/>
    <w:rPr>
      <w:rFonts w:ascii="HelveticaNeueLT Std Lt" w:eastAsia="Times New Roman" w:hAnsi="HelveticaNeueLT Std Lt" w:cs="Times New Roman"/>
      <w:sz w:val="16"/>
      <w:szCs w:val="16"/>
      <w:lang w:eastAsia="en-AU"/>
    </w:rPr>
  </w:style>
  <w:style w:type="paragraph" w:customStyle="1" w:styleId="ACMAHeading1">
    <w:name w:val="ACMA Heading 1"/>
    <w:next w:val="ACMABodyText"/>
    <w:uiPriority w:val="99"/>
    <w:rsid w:val="00291094"/>
    <w:pPr>
      <w:keepNext/>
      <w:suppressAutoHyphens/>
      <w:spacing w:before="320" w:after="0" w:line="240" w:lineRule="auto"/>
      <w:outlineLvl w:val="1"/>
    </w:pPr>
    <w:rPr>
      <w:rFonts w:ascii="Arial" w:eastAsia="Times New Roman" w:hAnsi="Arial" w:cs="Times New Roman"/>
      <w:b/>
      <w:sz w:val="32"/>
      <w:szCs w:val="32"/>
      <w:lang w:val="en-US"/>
    </w:rPr>
  </w:style>
  <w:style w:type="paragraph" w:styleId="Caption">
    <w:name w:val="caption"/>
    <w:basedOn w:val="Normal"/>
    <w:next w:val="Normal"/>
    <w:qFormat/>
    <w:rsid w:val="00D62864"/>
    <w:rPr>
      <w:rFonts w:ascii="HelveticaNeueLT Std" w:hAnsi="HelveticaNeueLT Std"/>
      <w:b/>
      <w:bCs/>
      <w:color w:val="808285"/>
      <w:szCs w:val="20"/>
    </w:rPr>
  </w:style>
  <w:style w:type="paragraph" w:styleId="ListBullet2">
    <w:name w:val="List Bullet 2"/>
    <w:basedOn w:val="Normal"/>
    <w:rsid w:val="00D62864"/>
    <w:pPr>
      <w:numPr>
        <w:numId w:val="5"/>
      </w:numPr>
    </w:pPr>
  </w:style>
  <w:style w:type="paragraph" w:styleId="BalloonText">
    <w:name w:val="Balloon Text"/>
    <w:basedOn w:val="Normal"/>
    <w:link w:val="BalloonTextChar"/>
    <w:uiPriority w:val="99"/>
    <w:semiHidden/>
    <w:unhideWhenUsed/>
    <w:rsid w:val="00CD03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39F"/>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1938DE"/>
    <w:rPr>
      <w:sz w:val="16"/>
      <w:szCs w:val="16"/>
    </w:rPr>
  </w:style>
  <w:style w:type="paragraph" w:styleId="CommentText">
    <w:name w:val="annotation text"/>
    <w:basedOn w:val="Normal"/>
    <w:link w:val="CommentTextChar"/>
    <w:uiPriority w:val="99"/>
    <w:unhideWhenUsed/>
    <w:rsid w:val="001938DE"/>
    <w:pPr>
      <w:spacing w:line="240" w:lineRule="auto"/>
    </w:pPr>
    <w:rPr>
      <w:szCs w:val="20"/>
    </w:rPr>
  </w:style>
  <w:style w:type="character" w:customStyle="1" w:styleId="CommentTextChar">
    <w:name w:val="Comment Text Char"/>
    <w:basedOn w:val="DefaultParagraphFont"/>
    <w:link w:val="CommentText"/>
    <w:uiPriority w:val="99"/>
    <w:rsid w:val="001938DE"/>
    <w:rPr>
      <w:rFonts w:ascii="HelveticaNeueLT Std Lt" w:eastAsia="Times New Roman" w:hAnsi="HelveticaNeueLT Std L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938DE"/>
    <w:rPr>
      <w:b/>
      <w:bCs/>
    </w:rPr>
  </w:style>
  <w:style w:type="character" w:customStyle="1" w:styleId="CommentSubjectChar">
    <w:name w:val="Comment Subject Char"/>
    <w:basedOn w:val="CommentTextChar"/>
    <w:link w:val="CommentSubject"/>
    <w:uiPriority w:val="99"/>
    <w:semiHidden/>
    <w:rsid w:val="001938DE"/>
    <w:rPr>
      <w:rFonts w:ascii="HelveticaNeueLT Std Lt" w:eastAsia="Times New Roman" w:hAnsi="HelveticaNeueLT Std Lt" w:cs="Times New Roman"/>
      <w:b/>
      <w:bCs/>
      <w:sz w:val="20"/>
      <w:szCs w:val="20"/>
      <w:lang w:eastAsia="en-AU"/>
    </w:rPr>
  </w:style>
  <w:style w:type="paragraph" w:styleId="Revision">
    <w:name w:val="Revision"/>
    <w:hidden/>
    <w:uiPriority w:val="99"/>
    <w:semiHidden/>
    <w:rsid w:val="00C6389A"/>
    <w:pPr>
      <w:spacing w:after="0" w:line="240" w:lineRule="auto"/>
    </w:pPr>
    <w:rPr>
      <w:rFonts w:ascii="HelveticaNeueLT Std Lt" w:eastAsia="Times New Roman" w:hAnsi="HelveticaNeueLT Std Lt" w:cs="Times New Roman"/>
      <w:sz w:val="20"/>
      <w:szCs w:val="24"/>
      <w:lang w:eastAsia="en-AU"/>
    </w:rPr>
  </w:style>
  <w:style w:type="paragraph" w:styleId="ListParagraph">
    <w:name w:val="List Paragraph"/>
    <w:basedOn w:val="Normal"/>
    <w:uiPriority w:val="34"/>
    <w:qFormat/>
    <w:rsid w:val="0021795F"/>
    <w:pPr>
      <w:ind w:left="720"/>
      <w:contextualSpacing/>
    </w:pPr>
  </w:style>
  <w:style w:type="paragraph" w:customStyle="1" w:styleId="subsection">
    <w:name w:val="subsection"/>
    <w:aliases w:val="ss"/>
    <w:basedOn w:val="Normal"/>
    <w:rsid w:val="00B63CA4"/>
    <w:pPr>
      <w:tabs>
        <w:tab w:val="right" w:pos="1021"/>
      </w:tabs>
      <w:spacing w:before="180" w:line="240" w:lineRule="auto"/>
      <w:ind w:left="1134" w:hanging="1134"/>
    </w:pPr>
    <w:rPr>
      <w:rFonts w:ascii="Times New Roman" w:hAnsi="Times New Roman"/>
      <w:sz w:val="22"/>
      <w:szCs w:val="20"/>
    </w:rPr>
  </w:style>
  <w:style w:type="paragraph" w:customStyle="1" w:styleId="notetext">
    <w:name w:val="note(text)"/>
    <w:aliases w:val="n"/>
    <w:basedOn w:val="Normal"/>
    <w:rsid w:val="00B63CA4"/>
    <w:pPr>
      <w:spacing w:before="122" w:line="198" w:lineRule="exact"/>
      <w:ind w:left="1985" w:hanging="851"/>
    </w:pPr>
    <w:rPr>
      <w:rFonts w:ascii="Times New Roman" w:hAnsi="Times New Roman"/>
      <w:sz w:val="18"/>
      <w:szCs w:val="20"/>
    </w:rPr>
  </w:style>
  <w:style w:type="paragraph" w:customStyle="1" w:styleId="notepara">
    <w:name w:val="note(para)"/>
    <w:aliases w:val="na"/>
    <w:basedOn w:val="Normal"/>
    <w:rsid w:val="00F64B92"/>
    <w:pPr>
      <w:spacing w:before="40" w:line="198" w:lineRule="exact"/>
      <w:ind w:left="2354" w:hanging="369"/>
    </w:pPr>
    <w:rPr>
      <w:rFonts w:ascii="Times New Roman" w:hAnsi="Times New Roman"/>
      <w:sz w:val="18"/>
      <w:szCs w:val="20"/>
    </w:rPr>
  </w:style>
  <w:style w:type="paragraph" w:styleId="Quote">
    <w:name w:val="Quote"/>
    <w:basedOn w:val="Normal"/>
    <w:next w:val="Normal"/>
    <w:link w:val="QuoteChar"/>
    <w:uiPriority w:val="29"/>
    <w:qFormat/>
    <w:rsid w:val="00E61CBA"/>
    <w:rPr>
      <w:i/>
      <w:iCs/>
      <w:color w:val="000000" w:themeColor="text1"/>
    </w:rPr>
  </w:style>
  <w:style w:type="character" w:customStyle="1" w:styleId="QuoteChar">
    <w:name w:val="Quote Char"/>
    <w:basedOn w:val="DefaultParagraphFont"/>
    <w:link w:val="Quote"/>
    <w:uiPriority w:val="29"/>
    <w:rsid w:val="00E61CBA"/>
    <w:rPr>
      <w:rFonts w:ascii="HelveticaNeueLT Std Lt" w:eastAsia="Times New Roman" w:hAnsi="HelveticaNeueLT Std Lt" w:cs="Times New Roman"/>
      <w:i/>
      <w:iCs/>
      <w:color w:val="000000" w:themeColor="text1"/>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647427">
      <w:bodyDiv w:val="1"/>
      <w:marLeft w:val="0"/>
      <w:marRight w:val="0"/>
      <w:marTop w:val="0"/>
      <w:marBottom w:val="0"/>
      <w:divBdr>
        <w:top w:val="none" w:sz="0" w:space="0" w:color="auto"/>
        <w:left w:val="none" w:sz="0" w:space="0" w:color="auto"/>
        <w:bottom w:val="none" w:sz="0" w:space="0" w:color="auto"/>
        <w:right w:val="none" w:sz="0" w:space="0" w:color="auto"/>
      </w:divBdr>
    </w:div>
    <w:div w:id="471024165">
      <w:bodyDiv w:val="1"/>
      <w:marLeft w:val="0"/>
      <w:marRight w:val="0"/>
      <w:marTop w:val="0"/>
      <w:marBottom w:val="0"/>
      <w:divBdr>
        <w:top w:val="none" w:sz="0" w:space="0" w:color="auto"/>
        <w:left w:val="none" w:sz="0" w:space="0" w:color="auto"/>
        <w:bottom w:val="none" w:sz="0" w:space="0" w:color="auto"/>
        <w:right w:val="none" w:sz="0" w:space="0" w:color="auto"/>
      </w:divBdr>
    </w:div>
    <w:div w:id="1073813677">
      <w:bodyDiv w:val="1"/>
      <w:marLeft w:val="0"/>
      <w:marRight w:val="0"/>
      <w:marTop w:val="0"/>
      <w:marBottom w:val="0"/>
      <w:divBdr>
        <w:top w:val="none" w:sz="0" w:space="0" w:color="auto"/>
        <w:left w:val="none" w:sz="0" w:space="0" w:color="auto"/>
        <w:bottom w:val="none" w:sz="0" w:space="0" w:color="auto"/>
        <w:right w:val="none" w:sz="0" w:space="0" w:color="auto"/>
      </w:divBdr>
    </w:div>
    <w:div w:id="1317146058">
      <w:bodyDiv w:val="1"/>
      <w:marLeft w:val="0"/>
      <w:marRight w:val="0"/>
      <w:marTop w:val="0"/>
      <w:marBottom w:val="0"/>
      <w:divBdr>
        <w:top w:val="none" w:sz="0" w:space="0" w:color="auto"/>
        <w:left w:val="none" w:sz="0" w:space="0" w:color="auto"/>
        <w:bottom w:val="none" w:sz="0" w:space="0" w:color="auto"/>
        <w:right w:val="none" w:sz="0" w:space="0" w:color="auto"/>
      </w:divBdr>
    </w:div>
    <w:div w:id="1502114732">
      <w:bodyDiv w:val="1"/>
      <w:marLeft w:val="0"/>
      <w:marRight w:val="0"/>
      <w:marTop w:val="0"/>
      <w:marBottom w:val="0"/>
      <w:divBdr>
        <w:top w:val="none" w:sz="0" w:space="0" w:color="auto"/>
        <w:left w:val="none" w:sz="0" w:space="0" w:color="auto"/>
        <w:bottom w:val="none" w:sz="0" w:space="0" w:color="auto"/>
        <w:right w:val="none" w:sz="0" w:space="0" w:color="auto"/>
      </w:divBdr>
    </w:div>
    <w:div w:id="210294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033047a-93aa-421b-8aef-52cbfb63cf36" ContentTypeId="0x01010070E27D6A746B5B48ADF22C2128054D55"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ecord" ma:contentTypeID="0x01010070E27D6A746B5B48ADF22C2128054D5500EE817EA22CCD994CB2E127746CF12863" ma:contentTypeVersion="40" ma:contentTypeDescription="A document enhanced so that it is automatically captured by RecordPoint." ma:contentTypeScope="" ma:versionID="e4b41f60994b85d41917cbc701e8f128">
  <xsd:schema xmlns:xsd="http://www.w3.org/2001/XMLSchema" xmlns:xs="http://www.w3.org/2001/XMLSchema" xmlns:p="http://schemas.microsoft.com/office/2006/metadata/properties" xmlns:ns2="83630db1-6fc2-4dfd-b3fe-d61d34e1440c" xmlns:ns3="6db8f3c6-01a1-4322-b043-a3b2a190f7a8" xmlns:ns4="5e268b55-9e20-462b-aba6-694451a37717" xmlns:ns5="http://schemas.microsoft.com/sharepoint/v4" targetNamespace="http://schemas.microsoft.com/office/2006/metadata/properties" ma:root="true" ma:fieldsID="e9deb499b43edd75fe619984536fd035" ns2:_="" ns3:_="" ns4:_="" ns5:_="">
    <xsd:import namespace="83630db1-6fc2-4dfd-b3fe-d61d34e1440c"/>
    <xsd:import namespace="6db8f3c6-01a1-4322-b043-a3b2a190f7a8"/>
    <xsd:import namespace="5e268b55-9e20-462b-aba6-694451a37717"/>
    <xsd:import namespace="http://schemas.microsoft.com/sharepoint/v4"/>
    <xsd:element name="properties">
      <xsd:complexType>
        <xsd:sequence>
          <xsd:element name="documentManagement">
            <xsd:complexType>
              <xsd:all>
                <xsd:element ref="ns2:Legacy_x0020_Record_x0020_Number" minOccurs="0"/>
                <xsd:element ref="ns2:Record_x0020_Number" minOccurs="0"/>
                <xsd:element ref="ns3:_dlc_DocId" minOccurs="0"/>
                <xsd:element ref="ns3:_dlc_DocIdUrl" minOccurs="0"/>
                <xsd:element ref="ns3:_dlc_DocIdPersistId" minOccurs="0"/>
                <xsd:element ref="ns4:Category"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0db1-6fc2-4dfd-b3fe-d61d34e1440c" elementFormDefault="qualified">
    <xsd:import namespace="http://schemas.microsoft.com/office/2006/documentManagement/types"/>
    <xsd:import namespace="http://schemas.microsoft.com/office/infopath/2007/PartnerControls"/>
    <xsd:element name="Legacy_x0020_Record_x0020_Number" ma:index="8" nillable="true" ma:displayName="Legacy Record Number" ma:description="Captures legacy record numbers, eg from TRIM." ma:internalName="Legacy_x0020_Record_x0020_Number">
      <xsd:simpleType>
        <xsd:restriction base="dms:Text">
          <xsd:maxLength value="40"/>
        </xsd:restriction>
      </xsd:simpleType>
    </xsd:element>
    <xsd:element name="Record_x0020_Number" ma:index="9" nillable="true" ma:displayName="Record Number" ma:internalName="Record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b8f3c6-01a1-4322-b043-a3b2a190f7a8"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268b55-9e20-462b-aba6-694451a37717" elementFormDefault="qualified">
    <xsd:import namespace="http://schemas.microsoft.com/office/2006/documentManagement/types"/>
    <xsd:import namespace="http://schemas.microsoft.com/office/infopath/2007/PartnerControls"/>
    <xsd:element name="Category" ma:index="13"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db8f3c6-01a1-4322-b043-a3b2a190f7a8">KNAH4PPFC442-3114-563</_dlc_DocId>
    <_dlc_DocIdUrl xmlns="6db8f3c6-01a1-4322-b043-a3b2a190f7a8">
      <Url>http://collaboration/organisation/Auth/Chair/Auth/_layouts/DocIdRedir.aspx?ID=KNAH4PPFC442-3114-563</Url>
      <Description>KNAH4PPFC442-3114-563</Description>
    </_dlc_DocIdUrl>
    <Record_x0020_Number xmlns="83630db1-6fc2-4dfd-b3fe-d61d34e1440c">ER2015/132453</Record_x0020_Number>
    <Legacy_x0020_Record_x0020_Number xmlns="83630db1-6fc2-4dfd-b3fe-d61d34e1440c" xsi:nil="true"/>
    <IconOverlay xmlns="http://schemas.microsoft.com/sharepoint/v4" xsi:nil="true"/>
    <Category xmlns="5e268b55-9e20-462b-aba6-694451a37717">(none)</Category>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09953-75AE-45FD-B3FF-B9E5FAEB378B}">
  <ds:schemaRefs>
    <ds:schemaRef ds:uri="http://schemas.microsoft.com/sharepoint/events"/>
  </ds:schemaRefs>
</ds:datastoreItem>
</file>

<file path=customXml/itemProps2.xml><?xml version="1.0" encoding="utf-8"?>
<ds:datastoreItem xmlns:ds="http://schemas.openxmlformats.org/officeDocument/2006/customXml" ds:itemID="{3A8AC0DA-3242-41CF-BA8C-3A5A67B55559}">
  <ds:schemaRefs>
    <ds:schemaRef ds:uri="Microsoft.SharePoint.Taxonomy.ContentTypeSync"/>
  </ds:schemaRefs>
</ds:datastoreItem>
</file>

<file path=customXml/itemProps3.xml><?xml version="1.0" encoding="utf-8"?>
<ds:datastoreItem xmlns:ds="http://schemas.openxmlformats.org/officeDocument/2006/customXml" ds:itemID="{B07352A4-FE5C-4344-A128-88F45E7523B0}">
  <ds:schemaRefs>
    <ds:schemaRef ds:uri="http://schemas.openxmlformats.org/officeDocument/2006/bibliography"/>
  </ds:schemaRefs>
</ds:datastoreItem>
</file>

<file path=customXml/itemProps4.xml><?xml version="1.0" encoding="utf-8"?>
<ds:datastoreItem xmlns:ds="http://schemas.openxmlformats.org/officeDocument/2006/customXml" ds:itemID="{6DD3CF68-484B-490C-8C5C-B9372560F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630db1-6fc2-4dfd-b3fe-d61d34e1440c"/>
    <ds:schemaRef ds:uri="6db8f3c6-01a1-4322-b043-a3b2a190f7a8"/>
    <ds:schemaRef ds:uri="5e268b55-9e20-462b-aba6-694451a3771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87E64F-3E48-4529-9906-D16BFFC4B75F}">
  <ds:schemaRefs>
    <ds:schemaRef ds:uri="http://schemas.microsoft.com/office/2006/metadata/properties"/>
    <ds:schemaRef ds:uri="http://schemas.microsoft.com/office/infopath/2007/PartnerControls"/>
    <ds:schemaRef ds:uri="6db8f3c6-01a1-4322-b043-a3b2a190f7a8"/>
    <ds:schemaRef ds:uri="83630db1-6fc2-4dfd-b3fe-d61d34e1440c"/>
    <ds:schemaRef ds:uri="http://schemas.microsoft.com/sharepoint/v4"/>
    <ds:schemaRef ds:uri="5e268b55-9e20-462b-aba6-694451a37717"/>
  </ds:schemaRefs>
</ds:datastoreItem>
</file>

<file path=customXml/itemProps6.xml><?xml version="1.0" encoding="utf-8"?>
<ds:datastoreItem xmlns:ds="http://schemas.openxmlformats.org/officeDocument/2006/customXml" ds:itemID="{162F8B7F-B01C-4236-960D-9A83545A9A38}">
  <ds:schemaRefs>
    <ds:schemaRef ds:uri="http://schemas.microsoft.com/sharepoint/v3/contenttype/forms"/>
  </ds:schemaRefs>
</ds:datastoreItem>
</file>

<file path=docMetadata/LabelInfo.xml><?xml version="1.0" encoding="utf-8"?>
<clbl:labelList xmlns:clbl="http://schemas.microsoft.com/office/2020/mipLabelMetadata">
  <clbl:label id="{6040966a-4c60-4a4a-aa0d-25f9d5586ce1}" enabled="1" method="Privileged" siteId="{0dac7f39-d20c-4e71-8af3-71ee7e268a2b}"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18</Pages>
  <Words>9509</Words>
  <Characters>54203</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63585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amalik</dc:creator>
  <cp:lastModifiedBy>Morgan Vaudrey</cp:lastModifiedBy>
  <cp:revision>26</cp:revision>
  <cp:lastPrinted>2025-08-25T22:26:00Z</cp:lastPrinted>
  <dcterms:created xsi:type="dcterms:W3CDTF">2025-09-10T04:51:00Z</dcterms:created>
  <dcterms:modified xsi:type="dcterms:W3CDTF">2025-09-18T06:27:00Z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e5be41d6-4dc0-408c-8dbd-19d33cf18de7</vt:lpwstr>
  </property>
  <property fmtid="{D5CDD505-2E9C-101B-9397-08002B2CF9AE}" pid="3" name="ContentTypeId">
    <vt:lpwstr>0x01010070E27D6A746B5B48ADF22C2128054D5500EE817EA22CCD994CB2E127746CF12863</vt:lpwstr>
  </property>
  <property fmtid="{D5CDD505-2E9C-101B-9397-08002B2CF9AE}" pid="4" name="RecordPoint_SubmissionDate">
    <vt:lpwstr/>
  </property>
  <property fmtid="{D5CDD505-2E9C-101B-9397-08002B2CF9AE}" pid="5" name="RecordPoint_ActiveItemSiteId">
    <vt:lpwstr>{7ba5f3c1-1ab9-4cc3-a7c0-334d2b0aec73}</vt:lpwstr>
  </property>
  <property fmtid="{D5CDD505-2E9C-101B-9397-08002B2CF9AE}" pid="6" name="RecordPoint_ActiveItemListId">
    <vt:lpwstr>{f1c3c3d6-c421-46f6-a621-f79f6b29635f}</vt:lpwstr>
  </property>
  <property fmtid="{D5CDD505-2E9C-101B-9397-08002B2CF9AE}" pid="7" name="RecordPoint_RecordFormat">
    <vt:lpwstr/>
  </property>
  <property fmtid="{D5CDD505-2E9C-101B-9397-08002B2CF9AE}" pid="8" name="RecordPoint_ActiveItemUniqueId">
    <vt:lpwstr>{e5be41d6-4dc0-408c-8dbd-19d33cf18de7}</vt:lpwstr>
  </property>
  <property fmtid="{D5CDD505-2E9C-101B-9397-08002B2CF9AE}" pid="9" name="RecordPoint_SubmissionCompleted">
    <vt:lpwstr>2015-05-27T17:31:36.9198099+10:00</vt:lpwstr>
  </property>
  <property fmtid="{D5CDD505-2E9C-101B-9397-08002B2CF9AE}" pid="10" name="RecordPoint_ActiveItemMoved">
    <vt:lpwstr/>
  </property>
  <property fmtid="{D5CDD505-2E9C-101B-9397-08002B2CF9AE}" pid="11" name="RecordPoint_ActiveItemWebId">
    <vt:lpwstr>{e61cc4da-a431-400f-9f48-bf2ba12a7e9a}</vt:lpwstr>
  </property>
  <property fmtid="{D5CDD505-2E9C-101B-9397-08002B2CF9AE}" pid="12" name="RecordPoint_WorkflowType">
    <vt:lpwstr>ActiveSubmitStub</vt:lpwstr>
  </property>
  <property fmtid="{D5CDD505-2E9C-101B-9397-08002B2CF9AE}" pid="13" name="ClassificationContentMarkingHeaderShapeIds">
    <vt:lpwstr>68c94124,2f393495,cc345f1</vt:lpwstr>
  </property>
  <property fmtid="{D5CDD505-2E9C-101B-9397-08002B2CF9AE}" pid="14" name="ClassificationContentMarkingHeaderFontProps">
    <vt:lpwstr>#ff0000,12,Calibri</vt:lpwstr>
  </property>
  <property fmtid="{D5CDD505-2E9C-101B-9397-08002B2CF9AE}" pid="15" name="ClassificationContentMarkingHeaderText">
    <vt:lpwstr>OFFICIAL: Sensitive//Legal Privilege</vt:lpwstr>
  </property>
  <property fmtid="{D5CDD505-2E9C-101B-9397-08002B2CF9AE}" pid="16" name="ClassificationContentMarkingFooterShapeIds">
    <vt:lpwstr>2766afd0,7c30667b,4db4d757</vt:lpwstr>
  </property>
  <property fmtid="{D5CDD505-2E9C-101B-9397-08002B2CF9AE}" pid="17" name="ClassificationContentMarkingFooterFontProps">
    <vt:lpwstr>#ff0000,12,Calibri</vt:lpwstr>
  </property>
  <property fmtid="{D5CDD505-2E9C-101B-9397-08002B2CF9AE}" pid="18" name="ClassificationContentMarkingFooterText">
    <vt:lpwstr>OFFICIAL: Sensitive//Legal Privilege</vt:lpwstr>
  </property>
  <property fmtid="{D5CDD505-2E9C-101B-9397-08002B2CF9AE}" pid="19" name="MSIP_Label_6040966a-4c60-4a4a-aa0d-25f9d5586ce1_Enabled">
    <vt:lpwstr>true</vt:lpwstr>
  </property>
  <property fmtid="{D5CDD505-2E9C-101B-9397-08002B2CF9AE}" pid="20" name="MSIP_Label_6040966a-4c60-4a4a-aa0d-25f9d5586ce1_SetDate">
    <vt:lpwstr>2025-08-24T22:50:39Z</vt:lpwstr>
  </property>
  <property fmtid="{D5CDD505-2E9C-101B-9397-08002B2CF9AE}" pid="21" name="MSIP_Label_6040966a-4c60-4a4a-aa0d-25f9d5586ce1_Method">
    <vt:lpwstr>Privileged</vt:lpwstr>
  </property>
  <property fmtid="{D5CDD505-2E9C-101B-9397-08002B2CF9AE}" pid="22" name="MSIP_Label_6040966a-4c60-4a4a-aa0d-25f9d5586ce1_Name">
    <vt:lpwstr>bd0fd130-13f6-45ac-89d5-e6e70b7db6eb</vt:lpwstr>
  </property>
  <property fmtid="{D5CDD505-2E9C-101B-9397-08002B2CF9AE}" pid="23" name="MSIP_Label_6040966a-4c60-4a4a-aa0d-25f9d5586ce1_SiteId">
    <vt:lpwstr>0dac7f39-d20c-4e71-8af3-71ee7e268a2b</vt:lpwstr>
  </property>
  <property fmtid="{D5CDD505-2E9C-101B-9397-08002B2CF9AE}" pid="24" name="MSIP_Label_6040966a-4c60-4a4a-aa0d-25f9d5586ce1_ActionId">
    <vt:lpwstr>2764625a-f84f-46d5-80eb-025eb9e504da</vt:lpwstr>
  </property>
  <property fmtid="{D5CDD505-2E9C-101B-9397-08002B2CF9AE}" pid="25" name="MSIP_Label_6040966a-4c60-4a4a-aa0d-25f9d5586ce1_ContentBits">
    <vt:lpwstr>3</vt:lpwstr>
  </property>
  <property fmtid="{D5CDD505-2E9C-101B-9397-08002B2CF9AE}" pid="26" name="MSIP_Label_6040966a-4c60-4a4a-aa0d-25f9d5586ce1_Tag">
    <vt:lpwstr>10, 2, 1, 1</vt:lpwstr>
  </property>
</Properties>
</file>