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026A"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BCD7705" w14:textId="22879456" w:rsidR="007662C7" w:rsidRPr="003C5719" w:rsidRDefault="00F109D4" w:rsidP="004A27A8">
      <w:pPr>
        <w:pStyle w:val="Heading2"/>
        <w:jc w:val="center"/>
        <w:rPr>
          <w:sz w:val="24"/>
          <w:szCs w:val="24"/>
        </w:rPr>
      </w:pPr>
      <w:r w:rsidRPr="003C5719">
        <w:rPr>
          <w:sz w:val="24"/>
          <w:szCs w:val="24"/>
        </w:rPr>
        <w:t xml:space="preserve">Issued by authority of </w:t>
      </w:r>
      <w:r w:rsidR="0054700B">
        <w:rPr>
          <w:rStyle w:val="DefaultChar"/>
        </w:rPr>
        <w:t xml:space="preserve">the </w:t>
      </w:r>
      <w:r w:rsidR="00242D9D">
        <w:rPr>
          <w:rStyle w:val="DefaultChar"/>
        </w:rPr>
        <w:t xml:space="preserve">Assistant </w:t>
      </w:r>
      <w:r w:rsidR="0054700B">
        <w:rPr>
          <w:rStyle w:val="DefaultChar"/>
        </w:rPr>
        <w:t>Treasurer</w:t>
      </w:r>
      <w:r w:rsidR="00242D9D">
        <w:rPr>
          <w:rStyle w:val="DefaultChar"/>
        </w:rPr>
        <w:t xml:space="preserve"> and Minister for Financial Services</w:t>
      </w:r>
    </w:p>
    <w:p w14:paraId="100CF9BC" w14:textId="77777777" w:rsidR="00AA0F3D" w:rsidRPr="003C5719" w:rsidRDefault="00AA0F3D" w:rsidP="00AA0F3D">
      <w:pPr>
        <w:spacing w:before="240" w:after="240"/>
        <w:jc w:val="center"/>
        <w:rPr>
          <w:i/>
        </w:rPr>
      </w:pPr>
      <w:r w:rsidRPr="00FC68B6">
        <w:rPr>
          <w:i/>
          <w:iCs/>
        </w:rPr>
        <w:t>Commonwealth Inscribed Stock Act 1911</w:t>
      </w:r>
    </w:p>
    <w:p w14:paraId="1466E6D9" w14:textId="7B206885" w:rsidR="00F109D4" w:rsidRPr="003C5719" w:rsidRDefault="00130E0E" w:rsidP="004A27A8">
      <w:pPr>
        <w:tabs>
          <w:tab w:val="left" w:pos="1418"/>
        </w:tabs>
        <w:spacing w:before="0" w:after="240"/>
        <w:jc w:val="center"/>
        <w:rPr>
          <w:i/>
        </w:rPr>
      </w:pPr>
      <w:r w:rsidRPr="00CD1393">
        <w:rPr>
          <w:i/>
          <w:iCs/>
        </w:rPr>
        <w:t>Commonwealth Inscribed Stock Regulation</w:t>
      </w:r>
      <w:r>
        <w:rPr>
          <w:i/>
          <w:iCs/>
        </w:rPr>
        <w:t>s</w:t>
      </w:r>
      <w:r w:rsidRPr="00CD1393">
        <w:rPr>
          <w:i/>
          <w:iCs/>
        </w:rPr>
        <w:t xml:space="preserve"> 20</w:t>
      </w:r>
      <w:r>
        <w:rPr>
          <w:i/>
          <w:iCs/>
        </w:rPr>
        <w:t>25</w:t>
      </w:r>
    </w:p>
    <w:p w14:paraId="13A28451" w14:textId="77777777" w:rsidR="00055EA5" w:rsidRDefault="00055EA5" w:rsidP="00055EA5">
      <w:pPr>
        <w:spacing w:before="0" w:after="0"/>
      </w:pPr>
      <w:r>
        <w:t>Section 58</w:t>
      </w:r>
      <w:r w:rsidRPr="00503E44">
        <w:t xml:space="preserve"> of the </w:t>
      </w:r>
      <w:r w:rsidRPr="004C2F0E">
        <w:rPr>
          <w:i/>
        </w:rPr>
        <w:t>Commonwealth Inscribed Stock Act 1911</w:t>
      </w:r>
      <w:r w:rsidRPr="00503E44">
        <w:t xml:space="preserve"> (Act) provides that the Governor-General may make regulations</w:t>
      </w:r>
      <w:r>
        <w:t>, not inconsistent with the Act,</w:t>
      </w:r>
      <w:r w:rsidRPr="00503E44">
        <w:t xml:space="preserve"> prescribing </w:t>
      </w:r>
      <w:r>
        <w:t xml:space="preserve">all </w:t>
      </w:r>
      <w:r w:rsidRPr="00503E44">
        <w:t xml:space="preserve">matters required </w:t>
      </w:r>
      <w:r>
        <w:t>or necessary or convenient to be prescribed for carrying out or for giving effect to the Act or for the conduct of any business at or in connection with any Registry.</w:t>
      </w:r>
    </w:p>
    <w:p w14:paraId="06401E50" w14:textId="165404C2" w:rsidR="006B7D84" w:rsidRPr="00CD1393" w:rsidRDefault="00522159" w:rsidP="002B4303">
      <w:pPr>
        <w:spacing w:before="240"/>
      </w:pPr>
      <w:r w:rsidRPr="00CD1393">
        <w:t>The purpose of the </w:t>
      </w:r>
      <w:r w:rsidR="00207807">
        <w:rPr>
          <w:i/>
          <w:iCs/>
        </w:rPr>
        <w:t>Commonwealth Inscribed Stock</w:t>
      </w:r>
      <w:r w:rsidR="00C04CC4">
        <w:rPr>
          <w:i/>
        </w:rPr>
        <w:t xml:space="preserve"> Regulations </w:t>
      </w:r>
      <w:r w:rsidR="00207807">
        <w:rPr>
          <w:i/>
          <w:iCs/>
        </w:rPr>
        <w:t>2025</w:t>
      </w:r>
      <w:r w:rsidR="00C04CC4" w:rsidRPr="00CD1393">
        <w:rPr>
          <w:i/>
        </w:rPr>
        <w:t xml:space="preserve"> </w:t>
      </w:r>
      <w:r w:rsidRPr="00CD1393">
        <w:t>(the Regulations) is to remake the </w:t>
      </w:r>
      <w:r w:rsidRPr="00CD1393">
        <w:rPr>
          <w:i/>
        </w:rPr>
        <w:t>Commonwealth Inscribed Stock Regulation</w:t>
      </w:r>
      <w:r w:rsidR="00713FD8" w:rsidRPr="00CD1393">
        <w:rPr>
          <w:i/>
        </w:rPr>
        <w:t xml:space="preserve"> 2015, </w:t>
      </w:r>
      <w:r w:rsidR="00713FD8" w:rsidRPr="00CD1393">
        <w:t xml:space="preserve">which </w:t>
      </w:r>
      <w:r w:rsidR="005E1E3C" w:rsidRPr="00CD1393">
        <w:t>is</w:t>
      </w:r>
      <w:r w:rsidR="00713FD8" w:rsidRPr="00CD1393">
        <w:t xml:space="preserve"> due to sunset on 1 October 2025</w:t>
      </w:r>
      <w:r w:rsidR="00B5126F" w:rsidRPr="00CD1393">
        <w:t xml:space="preserve"> under the </w:t>
      </w:r>
      <w:bookmarkStart w:id="0" w:name="_Hlk202195879"/>
      <w:r w:rsidR="000823CA" w:rsidRPr="00CD1393">
        <w:rPr>
          <w:i/>
        </w:rPr>
        <w:t>Legislation Act 2003</w:t>
      </w:r>
      <w:bookmarkEnd w:id="0"/>
      <w:r w:rsidR="00B5126F" w:rsidRPr="00CD1393">
        <w:t xml:space="preserve">. The </w:t>
      </w:r>
      <w:r w:rsidR="007A6AF8" w:rsidRPr="00CD1393">
        <w:rPr>
          <w:i/>
        </w:rPr>
        <w:t>Legislation Act 2003</w:t>
      </w:r>
      <w:r w:rsidR="007A6AF8" w:rsidRPr="00CD1393">
        <w:t> </w:t>
      </w:r>
      <w:r w:rsidRPr="00CD1393">
        <w:t xml:space="preserve">provides that all legislative instruments, other than exempt instruments, progressively ‘sunset’ according to the timetable set out in the </w:t>
      </w:r>
      <w:r w:rsidR="002B37A9" w:rsidRPr="002B37A9">
        <w:rPr>
          <w:i/>
          <w:iCs/>
        </w:rPr>
        <w:t>Legislation Act 2003</w:t>
      </w:r>
      <w:r w:rsidRPr="00CD1393">
        <w:t>.</w:t>
      </w:r>
      <w:r w:rsidR="003E0A63" w:rsidRPr="00CD1393">
        <w:t xml:space="preserve"> </w:t>
      </w:r>
      <w:r w:rsidRPr="00CD1393">
        <w:t xml:space="preserve">When a </w:t>
      </w:r>
      <w:proofErr w:type="gramStart"/>
      <w:r w:rsidR="00DD7EC1" w:rsidRPr="00CD1393">
        <w:t>legislative instrument sunset</w:t>
      </w:r>
      <w:r w:rsidR="00D5308C">
        <w:t>s</w:t>
      </w:r>
      <w:proofErr w:type="gramEnd"/>
      <w:r w:rsidRPr="00CD1393">
        <w:t>, it is automatically repealed.</w:t>
      </w:r>
    </w:p>
    <w:p w14:paraId="347A7ACF" w14:textId="77777777" w:rsidR="008B7363" w:rsidRPr="00CD1393" w:rsidRDefault="008B7363" w:rsidP="008B7363">
      <w:pPr>
        <w:spacing w:before="240"/>
      </w:pPr>
      <w:r w:rsidRPr="00CD1393">
        <w:t xml:space="preserve">The Regulations are necessary to ensure the continued operation of the Commonwealth Inscribed Stock framework under the Act. They prescribe rules for the operation of the Registry, which is central to the administration of stock issued under the Act. This includes the maintenance of the inscribed stock ledger (the record of legal ownership), processes for transfer and transmission of ownership, and mechanisms for the replacement or payment of bearer securities. </w:t>
      </w:r>
    </w:p>
    <w:p w14:paraId="28807B8D" w14:textId="1E572D1E" w:rsidR="008C4FE3" w:rsidRPr="00CD1393" w:rsidRDefault="008C4FE3" w:rsidP="008C4FE3">
      <w:pPr>
        <w:spacing w:before="240"/>
      </w:pPr>
      <w:r w:rsidRPr="00CD1393">
        <w:t xml:space="preserve">Most stock on issue, as defined in the Act, though not all, is held by a central nominee such as the Australian Central Securities Depository. In these cases, investors hold and trade a beneficial interest in the stock rather than owning the stock directly or being recorded in the inscribed stock ledger. The inscribed stock ledger records only legal owners of stock. This includes both central nominees and individuals who hold stock directly in their own name. As a result, the Regulations apply only to those legal owners whose names appear in the </w:t>
      </w:r>
      <w:r w:rsidR="0022528E" w:rsidRPr="00CD1393">
        <w:t xml:space="preserve">stock </w:t>
      </w:r>
      <w:r w:rsidRPr="00CD1393">
        <w:t xml:space="preserve">ledger. Beneficial interests held by other investors, which are not recorded in the </w:t>
      </w:r>
      <w:r w:rsidR="00AB6CE7" w:rsidRPr="00CD1393">
        <w:t xml:space="preserve">stock </w:t>
      </w:r>
      <w:r w:rsidRPr="00CD1393">
        <w:t>ledger, are not within the scope of the Regulations.</w:t>
      </w:r>
    </w:p>
    <w:p w14:paraId="0589D816" w14:textId="24509085" w:rsidR="006B7D84" w:rsidRPr="00CD1393" w:rsidRDefault="00954D96" w:rsidP="002B4303">
      <w:pPr>
        <w:spacing w:before="240"/>
      </w:pPr>
      <w:r w:rsidRPr="00CD1393">
        <w:t>Under the Act, bearer securities were also issued, which are paid on presentation by the owner and not inscribed in a stock ledger.</w:t>
      </w:r>
      <w:r w:rsidR="00FF5AD5" w:rsidRPr="00CD1393">
        <w:t xml:space="preserve"> </w:t>
      </w:r>
      <w:r w:rsidR="004007AB" w:rsidRPr="00CD1393">
        <w:t>Although bearer securities are no longer issued, s</w:t>
      </w:r>
      <w:r w:rsidRPr="00CD1393">
        <w:t>ome bearer securities remain outstanding and are still payable on presentation.</w:t>
      </w:r>
      <w:r w:rsidR="00FF5AD5" w:rsidRPr="00CD1393">
        <w:t xml:space="preserve"> </w:t>
      </w:r>
      <w:r w:rsidRPr="00CD1393">
        <w:t>The Regulation</w:t>
      </w:r>
      <w:r w:rsidR="00A147CC" w:rsidRPr="00CD1393">
        <w:t>s</w:t>
      </w:r>
      <w:r w:rsidRPr="00CD1393">
        <w:t xml:space="preserve"> prescribe a mechanism for the payment of bearer securities issued under the Act that have been defaced, lost, stolen or destroyed.</w:t>
      </w:r>
      <w:r w:rsidR="00FF5AD5" w:rsidRPr="00CD1393">
        <w:t xml:space="preserve"> </w:t>
      </w:r>
      <w:r w:rsidR="009A39CE" w:rsidRPr="00CD1393">
        <w:t>These provisions ensure that holders of bearer securities can access appropriate remedies, while safeguarding against fraudulent claims.</w:t>
      </w:r>
    </w:p>
    <w:p w14:paraId="18358609" w14:textId="666E350D" w:rsidR="00D32B3F" w:rsidRPr="00D32B3F" w:rsidRDefault="00D32B3F" w:rsidP="00D32B3F">
      <w:pPr>
        <w:spacing w:before="240"/>
      </w:pPr>
      <w:r w:rsidRPr="00D32B3F">
        <w:t>The Reserve Bank of Australia, which is responsible for processing claims on historical bearer securities, undertakes anti-money laundering and counter-terrorism financing checks in accordance with Australian Government requirements. These include know-your-client procedures and legislative reporting obligations such as threshold transaction and suspicious matter reporting.</w:t>
      </w:r>
    </w:p>
    <w:p w14:paraId="2A8EAA68" w14:textId="435BF477" w:rsidR="004C5FBF" w:rsidRPr="00CD1393" w:rsidRDefault="004C5FBF" w:rsidP="002B4303">
      <w:pPr>
        <w:spacing w:before="240"/>
      </w:pPr>
      <w:r w:rsidRPr="00CD1393">
        <w:lastRenderedPageBreak/>
        <w:t>The Regulation</w:t>
      </w:r>
      <w:r w:rsidR="00A147CC" w:rsidRPr="00CD1393">
        <w:t>s</w:t>
      </w:r>
      <w:r w:rsidRPr="00CD1393">
        <w:t xml:space="preserve"> continue to </w:t>
      </w:r>
      <w:r w:rsidR="00CB4899" w:rsidRPr="00CD1393">
        <w:t>prescribe</w:t>
      </w:r>
      <w:r w:rsidRPr="00CD1393">
        <w:t xml:space="preserve"> securities that were previously issued under the Act as prescribed securities for the purposes of the Act. </w:t>
      </w:r>
      <w:r w:rsidR="00624B40" w:rsidRPr="00CD1393">
        <w:t>They</w:t>
      </w:r>
      <w:r w:rsidRPr="00CD1393">
        <w:t xml:space="preserve"> also provide that certain provisions of the </w:t>
      </w:r>
      <w:r w:rsidRPr="00CD1393">
        <w:rPr>
          <w:i/>
        </w:rPr>
        <w:t>Treasury Bills Act 1914</w:t>
      </w:r>
      <w:r w:rsidRPr="00CD1393">
        <w:t xml:space="preserve"> apply to those prescribed securities.</w:t>
      </w:r>
    </w:p>
    <w:p w14:paraId="5D545B31" w14:textId="28338092" w:rsidR="0021512B" w:rsidRDefault="00B9092B" w:rsidP="006C127A">
      <w:pPr>
        <w:spacing w:before="240"/>
      </w:pPr>
      <w:r w:rsidRPr="00CD1393">
        <w:t>The Act does not specify any conditions that need to be satisfied before the power to make the Regulations may be exercised.</w:t>
      </w:r>
    </w:p>
    <w:p w14:paraId="046178B5" w14:textId="1862206B" w:rsidR="00497707" w:rsidRPr="00CD1393" w:rsidRDefault="003308E8" w:rsidP="003308E8">
      <w:r>
        <w:rPr>
          <w:bCs/>
        </w:rPr>
        <w:t>Public consultation on the Regulations was undertaken in August 2025. No submissions were received.</w:t>
      </w:r>
    </w:p>
    <w:p w14:paraId="2C32B015" w14:textId="6D71ABBB" w:rsidR="00025F0E" w:rsidRPr="00CD1393" w:rsidRDefault="00242AB6" w:rsidP="00756045">
      <w:pPr>
        <w:spacing w:before="240"/>
      </w:pPr>
      <w:r w:rsidRPr="00CD1393">
        <w:t>The Regulation</w:t>
      </w:r>
      <w:r w:rsidR="00A147CC" w:rsidRPr="00CD1393">
        <w:t>s</w:t>
      </w:r>
      <w:r w:rsidRPr="00CD1393">
        <w:t xml:space="preserve"> are a legislative instrument for the purposes of the </w:t>
      </w:r>
      <w:r w:rsidR="007A6AF8" w:rsidRPr="00CD1393">
        <w:rPr>
          <w:i/>
        </w:rPr>
        <w:t>Legislation Act 2003</w:t>
      </w:r>
      <w:r w:rsidR="007A6AF8" w:rsidRPr="00CD1393">
        <w:t> </w:t>
      </w:r>
      <w:r w:rsidRPr="00CD1393">
        <w:t>and are subject to sunsetting and disallowance.</w:t>
      </w:r>
      <w:r w:rsidR="00D16930" w:rsidRPr="00CD1393">
        <w:t xml:space="preserve"> </w:t>
      </w:r>
      <w:r w:rsidR="00025F0E" w:rsidRPr="00CD1393">
        <w:t>The Regulation</w:t>
      </w:r>
      <w:r w:rsidR="00A147CC" w:rsidRPr="00CD1393">
        <w:t>s</w:t>
      </w:r>
      <w:r w:rsidR="00025F0E" w:rsidRPr="00CD1393">
        <w:t xml:space="preserve"> commence</w:t>
      </w:r>
      <w:r w:rsidR="00A71644" w:rsidRPr="00CD1393">
        <w:t xml:space="preserve"> </w:t>
      </w:r>
      <w:r w:rsidR="00025F0E" w:rsidRPr="00CD1393">
        <w:t>on</w:t>
      </w:r>
      <w:r w:rsidR="009F1025" w:rsidRPr="00CD1393">
        <w:t xml:space="preserve"> 1</w:t>
      </w:r>
      <w:r w:rsidR="00F20729">
        <w:t> </w:t>
      </w:r>
      <w:r w:rsidR="009F1025" w:rsidRPr="00CD1393">
        <w:t xml:space="preserve">October </w:t>
      </w:r>
      <w:r w:rsidR="00C45DAC" w:rsidRPr="00CD1393">
        <w:t>2025</w:t>
      </w:r>
      <w:r w:rsidR="00D93DE3" w:rsidRPr="00CD1393">
        <w:t>, the same day the current instrument sunsets</w:t>
      </w:r>
      <w:r w:rsidR="002A7961" w:rsidRPr="00CD1393">
        <w:t>.</w:t>
      </w:r>
    </w:p>
    <w:p w14:paraId="0333433B" w14:textId="09EFD8EA" w:rsidR="00A147CC" w:rsidRDefault="00A147CC" w:rsidP="00A147CC">
      <w:pPr>
        <w:spacing w:before="240"/>
      </w:pPr>
      <w:r w:rsidRPr="00CD1393">
        <w:t xml:space="preserve">Details of the Regulations are set out in </w:t>
      </w:r>
      <w:r w:rsidRPr="00CD1393">
        <w:rPr>
          <w:u w:val="single"/>
        </w:rPr>
        <w:t>Attachment A</w:t>
      </w:r>
      <w:r w:rsidRPr="00CD1393">
        <w:t xml:space="preserve">. A statement of Compatibility with Human Rights is at </w:t>
      </w:r>
      <w:r w:rsidRPr="00CD1393">
        <w:rPr>
          <w:u w:val="single"/>
        </w:rPr>
        <w:t>Attachment B.</w:t>
      </w:r>
      <w:r w:rsidRPr="00CD1393">
        <w:t xml:space="preserve"> </w:t>
      </w:r>
    </w:p>
    <w:p w14:paraId="5604BB44" w14:textId="166FAF92" w:rsidR="00EA4DD8" w:rsidRPr="003C5719" w:rsidRDefault="00EA4DD8" w:rsidP="004A27A8">
      <w:pPr>
        <w:pageBreakBefore/>
        <w:spacing w:before="240"/>
        <w:jc w:val="right"/>
        <w:rPr>
          <w:b/>
          <w:u w:val="single"/>
        </w:rPr>
      </w:pPr>
      <w:r w:rsidRPr="003C5719">
        <w:rPr>
          <w:b/>
          <w:u w:val="single"/>
        </w:rPr>
        <w:lastRenderedPageBreak/>
        <w:t xml:space="preserve">ATTACHMENT </w:t>
      </w:r>
      <w:r w:rsidR="00EA6DB9">
        <w:rPr>
          <w:b/>
          <w:u w:val="single"/>
        </w:rPr>
        <w:t>A</w:t>
      </w:r>
    </w:p>
    <w:p w14:paraId="0E91035C" w14:textId="0A360130" w:rsidR="00EA4DD8" w:rsidRPr="00CD1393" w:rsidRDefault="00EA4DD8" w:rsidP="00761DAE">
      <w:pPr>
        <w:keepNext/>
        <w:keepLines/>
        <w:spacing w:before="280"/>
        <w:ind w:left="1134" w:hanging="1134"/>
        <w:outlineLvl w:val="1"/>
        <w:rPr>
          <w:b/>
          <w:szCs w:val="24"/>
          <w:u w:val="single"/>
        </w:rPr>
      </w:pPr>
      <w:r w:rsidRPr="00CD1393">
        <w:rPr>
          <w:b/>
          <w:u w:val="single"/>
        </w:rPr>
        <w:t xml:space="preserve">Details of the </w:t>
      </w:r>
      <w:r w:rsidR="00DC75B0" w:rsidRPr="00CD1393">
        <w:rPr>
          <w:b/>
          <w:i/>
          <w:u w:val="single"/>
        </w:rPr>
        <w:t>Commonwealth Inscribed Stock Regulations 2025</w:t>
      </w:r>
      <w:r w:rsidRPr="00CD1393">
        <w:rPr>
          <w:b/>
          <w:u w:val="single"/>
        </w:rPr>
        <w:t xml:space="preserve"> </w:t>
      </w:r>
    </w:p>
    <w:p w14:paraId="233C860A" w14:textId="389143C8" w:rsidR="00EB2411" w:rsidRPr="00CD1393" w:rsidRDefault="00EB2411" w:rsidP="00EB2411">
      <w:pPr>
        <w:keepNext/>
        <w:keepLines/>
        <w:spacing w:before="280"/>
        <w:ind w:left="1134" w:hanging="1134"/>
        <w:outlineLvl w:val="1"/>
        <w:rPr>
          <w:b/>
          <w:kern w:val="28"/>
          <w:szCs w:val="24"/>
          <w:u w:val="single"/>
        </w:rPr>
      </w:pPr>
      <w:r w:rsidRPr="00CD1393">
        <w:rPr>
          <w:b/>
          <w:kern w:val="28"/>
          <w:szCs w:val="24"/>
          <w:u w:val="single"/>
        </w:rPr>
        <w:t>Part 1 — Preliminary</w:t>
      </w:r>
    </w:p>
    <w:p w14:paraId="6C3AAA39" w14:textId="4FEBC6F5" w:rsidR="00EA4DD8" w:rsidRPr="00CD1393" w:rsidRDefault="00EA4DD8" w:rsidP="004A27A8">
      <w:pPr>
        <w:spacing w:before="240"/>
        <w:rPr>
          <w:rFonts w:ascii="Calibri" w:hAnsi="Calibri"/>
          <w:b/>
          <w:sz w:val="22"/>
          <w:szCs w:val="22"/>
          <w:u w:val="single"/>
          <w:lang w:eastAsia="en-US"/>
        </w:rPr>
      </w:pPr>
      <w:r w:rsidRPr="00CD1393">
        <w:rPr>
          <w:b/>
          <w:u w:val="single"/>
        </w:rPr>
        <w:t xml:space="preserve">Section 1 – Name </w:t>
      </w:r>
    </w:p>
    <w:p w14:paraId="21A149B1" w14:textId="10D83325" w:rsidR="00EA4DD8" w:rsidRPr="00CD1393" w:rsidRDefault="00EA4DD8" w:rsidP="004A27A8">
      <w:pPr>
        <w:spacing w:before="240"/>
      </w:pPr>
      <w:r w:rsidRPr="00CD1393">
        <w:t xml:space="preserve">This section provides that the name of the </w:t>
      </w:r>
      <w:r w:rsidR="00A40493" w:rsidRPr="00CD1393">
        <w:t>R</w:t>
      </w:r>
      <w:r w:rsidRPr="00CD1393">
        <w:t>egulation</w:t>
      </w:r>
      <w:r w:rsidR="00A147CC" w:rsidRPr="00CD1393">
        <w:t>s</w:t>
      </w:r>
      <w:r w:rsidRPr="00CD1393">
        <w:t xml:space="preserve"> is the </w:t>
      </w:r>
      <w:r w:rsidR="000616EC" w:rsidRPr="00CD1393">
        <w:rPr>
          <w:i/>
        </w:rPr>
        <w:t xml:space="preserve">Commonwealth Inscribed Stock </w:t>
      </w:r>
      <w:r w:rsidR="002B32BE" w:rsidRPr="00CD1393">
        <w:rPr>
          <w:i/>
        </w:rPr>
        <w:t>R</w:t>
      </w:r>
      <w:r w:rsidR="000616EC" w:rsidRPr="00CD1393">
        <w:rPr>
          <w:i/>
        </w:rPr>
        <w:t>egulation</w:t>
      </w:r>
      <w:r w:rsidR="002B32BE" w:rsidRPr="00CD1393">
        <w:rPr>
          <w:i/>
        </w:rPr>
        <w:t>s</w:t>
      </w:r>
      <w:r w:rsidR="000616EC" w:rsidRPr="00CD1393">
        <w:rPr>
          <w:i/>
        </w:rPr>
        <w:t xml:space="preserve"> 2025</w:t>
      </w:r>
      <w:r w:rsidRPr="00CD1393">
        <w:rPr>
          <w:i/>
        </w:rPr>
        <w:t xml:space="preserve"> </w:t>
      </w:r>
      <w:r w:rsidRPr="00CD1393">
        <w:t>(the Regulations).</w:t>
      </w:r>
    </w:p>
    <w:p w14:paraId="4394BDE1" w14:textId="77777777" w:rsidR="00EA4DD8" w:rsidRPr="00CD1393" w:rsidRDefault="00EA4DD8" w:rsidP="004A27A8">
      <w:pPr>
        <w:spacing w:before="240"/>
        <w:rPr>
          <w:b/>
          <w:u w:val="single"/>
        </w:rPr>
      </w:pPr>
      <w:r w:rsidRPr="00CD1393">
        <w:rPr>
          <w:b/>
          <w:u w:val="single"/>
        </w:rPr>
        <w:t>Section 2 – Commencement</w:t>
      </w:r>
    </w:p>
    <w:p w14:paraId="6C31DD22" w14:textId="394654C1" w:rsidR="00363931" w:rsidRPr="00CD1393" w:rsidRDefault="00363931" w:rsidP="00363931">
      <w:pPr>
        <w:spacing w:before="240"/>
      </w:pPr>
      <w:r w:rsidRPr="00CD1393">
        <w:t>Schedule 1 to the Regulations commenced on 1 October 2025.</w:t>
      </w:r>
    </w:p>
    <w:p w14:paraId="44A34B6F" w14:textId="77777777" w:rsidR="00EA4DD8" w:rsidRPr="00CD1393" w:rsidRDefault="00EA4DD8" w:rsidP="004A27A8">
      <w:pPr>
        <w:spacing w:before="240"/>
        <w:rPr>
          <w:b/>
          <w:u w:val="single"/>
        </w:rPr>
      </w:pPr>
      <w:r w:rsidRPr="00CD1393">
        <w:rPr>
          <w:b/>
          <w:u w:val="single"/>
        </w:rPr>
        <w:t>Section 3 – Authority</w:t>
      </w:r>
    </w:p>
    <w:p w14:paraId="4791AB0E" w14:textId="7C877FC0" w:rsidR="00EA4DD8" w:rsidRPr="00CD1393" w:rsidRDefault="00EA4DD8" w:rsidP="004A27A8">
      <w:pPr>
        <w:spacing w:before="240"/>
      </w:pPr>
      <w:r w:rsidRPr="00CD1393">
        <w:t xml:space="preserve">The Regulations are made under the </w:t>
      </w:r>
      <w:r w:rsidR="00696071" w:rsidRPr="00CD1393">
        <w:rPr>
          <w:i/>
        </w:rPr>
        <w:t>Commonwealth Inscribed Stock Act 1911</w:t>
      </w:r>
      <w:r w:rsidRPr="00CD1393">
        <w:t xml:space="preserve"> (the Act).</w:t>
      </w:r>
    </w:p>
    <w:p w14:paraId="1C45AF0A" w14:textId="77777777" w:rsidR="009B21C9" w:rsidRPr="00CD1393" w:rsidRDefault="00EA4DD8" w:rsidP="009B21C9">
      <w:pPr>
        <w:spacing w:before="240"/>
        <w:rPr>
          <w:b/>
          <w:u w:val="single"/>
        </w:rPr>
      </w:pPr>
      <w:r w:rsidRPr="00CD1393">
        <w:rPr>
          <w:b/>
          <w:u w:val="single"/>
        </w:rPr>
        <w:t>Section 4 – Schedules</w:t>
      </w:r>
    </w:p>
    <w:p w14:paraId="3830CD97" w14:textId="1ED4807A" w:rsidR="009B21C9" w:rsidRPr="00CD1393" w:rsidRDefault="009B21C9" w:rsidP="009B21C9">
      <w:pPr>
        <w:spacing w:before="240"/>
        <w:rPr>
          <w:b/>
          <w:u w:val="single"/>
        </w:rPr>
      </w:pPr>
      <w:r w:rsidRPr="00CD1393">
        <w:t>This section provides that instruments listed in the Schedule are amended or repealed as stated in the Schedule.</w:t>
      </w:r>
      <w:r w:rsidR="00247C1F" w:rsidRPr="00CD1393">
        <w:t xml:space="preserve"> </w:t>
      </w:r>
      <w:r w:rsidRPr="00CD1393">
        <w:t>Schedule 1 repeals the prior </w:t>
      </w:r>
      <w:r w:rsidRPr="00CD1393">
        <w:rPr>
          <w:i/>
        </w:rPr>
        <w:t>Commonwealth Inscribed Stock Regulation</w:t>
      </w:r>
      <w:r w:rsidR="007A5CD5">
        <w:rPr>
          <w:i/>
        </w:rPr>
        <w:t xml:space="preserve"> 2015</w:t>
      </w:r>
      <w:r w:rsidRPr="00CD1393">
        <w:t>.</w:t>
      </w:r>
    </w:p>
    <w:p w14:paraId="352C9536" w14:textId="1B3415B0" w:rsidR="009B21C9" w:rsidRPr="00CD1393" w:rsidRDefault="009B21C9" w:rsidP="009B21C9">
      <w:pPr>
        <w:spacing w:before="240"/>
        <w:rPr>
          <w:b/>
          <w:u w:val="single"/>
        </w:rPr>
      </w:pPr>
      <w:r w:rsidRPr="00CD1393">
        <w:t>Under subsection 33(3) of the </w:t>
      </w:r>
      <w:r w:rsidRPr="00CD1393">
        <w:rPr>
          <w:i/>
        </w:rPr>
        <w:t>Acts Interpretation Act 1901, </w:t>
      </w:r>
      <w:r w:rsidRPr="00CD1393">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09F95F5" w14:textId="63724C2E" w:rsidR="00E13F9B" w:rsidRPr="00CD1393" w:rsidRDefault="00E13F9B" w:rsidP="00E13F9B">
      <w:pPr>
        <w:rPr>
          <w:b/>
          <w:szCs w:val="24"/>
          <w:u w:val="single"/>
        </w:rPr>
      </w:pPr>
      <w:r w:rsidRPr="00CD1393">
        <w:rPr>
          <w:b/>
          <w:szCs w:val="24"/>
          <w:u w:val="single"/>
        </w:rPr>
        <w:t xml:space="preserve">Section 5 </w:t>
      </w:r>
      <w:r w:rsidR="005952AE" w:rsidRPr="00CD1393">
        <w:rPr>
          <w:b/>
          <w:u w:val="single"/>
        </w:rPr>
        <w:t>–</w:t>
      </w:r>
      <w:r w:rsidRPr="00CD1393">
        <w:rPr>
          <w:b/>
          <w:szCs w:val="24"/>
          <w:u w:val="single"/>
        </w:rPr>
        <w:t xml:space="preserve"> Definitions</w:t>
      </w:r>
    </w:p>
    <w:p w14:paraId="37AB279F" w14:textId="29C0143D" w:rsidR="002E1BCD" w:rsidRPr="00CD1393" w:rsidRDefault="002E1BCD" w:rsidP="00FE7F82">
      <w:pPr>
        <w:rPr>
          <w:szCs w:val="24"/>
        </w:rPr>
      </w:pPr>
      <w:r w:rsidRPr="00CD1393">
        <w:rPr>
          <w:szCs w:val="24"/>
        </w:rPr>
        <w:t xml:space="preserve">The Regulations </w:t>
      </w:r>
      <w:r w:rsidR="00524FF6" w:rsidRPr="00CD1393">
        <w:rPr>
          <w:szCs w:val="24"/>
        </w:rPr>
        <w:t>include the following definitions:</w:t>
      </w:r>
    </w:p>
    <w:p w14:paraId="7371904D" w14:textId="1E72DD94" w:rsidR="00FE7F82" w:rsidRPr="00CD1393" w:rsidRDefault="00FE7F82" w:rsidP="00FE7F82">
      <w:pPr>
        <w:rPr>
          <w:i/>
          <w:szCs w:val="24"/>
        </w:rPr>
      </w:pPr>
      <w:r w:rsidRPr="00CD1393">
        <w:rPr>
          <w:b/>
          <w:i/>
          <w:szCs w:val="24"/>
        </w:rPr>
        <w:t>Act</w:t>
      </w:r>
      <w:r w:rsidRPr="00CD1393">
        <w:rPr>
          <w:szCs w:val="24"/>
        </w:rPr>
        <w:t xml:space="preserve"> means the </w:t>
      </w:r>
      <w:r w:rsidRPr="00CD1393">
        <w:rPr>
          <w:i/>
          <w:szCs w:val="24"/>
        </w:rPr>
        <w:t>Commonwealth Inscribed Stock Act 1911.</w:t>
      </w:r>
    </w:p>
    <w:p w14:paraId="66B9CB1D" w14:textId="29379993" w:rsidR="00FE7F82" w:rsidRPr="00CD1393" w:rsidRDefault="00FE7F82" w:rsidP="00FE7F82">
      <w:pPr>
        <w:rPr>
          <w:szCs w:val="24"/>
        </w:rPr>
      </w:pPr>
      <w:r w:rsidRPr="00CD1393">
        <w:rPr>
          <w:b/>
          <w:i/>
          <w:szCs w:val="24"/>
        </w:rPr>
        <w:t xml:space="preserve">approved form </w:t>
      </w:r>
      <w:r w:rsidRPr="00CD1393">
        <w:rPr>
          <w:szCs w:val="24"/>
        </w:rPr>
        <w:t>means a form</w:t>
      </w:r>
      <w:bookmarkStart w:id="1" w:name="BK_S3P1L22C53"/>
      <w:bookmarkEnd w:id="1"/>
      <w:r w:rsidR="007E3E83" w:rsidRPr="00CD1393">
        <w:rPr>
          <w:szCs w:val="24"/>
        </w:rPr>
        <w:t xml:space="preserve"> approved under section 24</w:t>
      </w:r>
      <w:r w:rsidR="005068F6">
        <w:rPr>
          <w:szCs w:val="24"/>
        </w:rPr>
        <w:t xml:space="preserve"> (see below)</w:t>
      </w:r>
      <w:r w:rsidRPr="00CD1393">
        <w:rPr>
          <w:szCs w:val="24"/>
        </w:rPr>
        <w:t>.</w:t>
      </w:r>
    </w:p>
    <w:p w14:paraId="00B1FC2B" w14:textId="67F79420" w:rsidR="00FE7F82" w:rsidRPr="00CD1393" w:rsidRDefault="00FE7F82" w:rsidP="00FE7F82">
      <w:pPr>
        <w:rPr>
          <w:szCs w:val="24"/>
        </w:rPr>
      </w:pPr>
      <w:r w:rsidRPr="00CD1393">
        <w:rPr>
          <w:b/>
          <w:i/>
          <w:szCs w:val="24"/>
        </w:rPr>
        <w:t xml:space="preserve">bearer security </w:t>
      </w:r>
      <w:r w:rsidR="00AB2A37" w:rsidRPr="00CD1393">
        <w:rPr>
          <w:szCs w:val="24"/>
        </w:rPr>
        <w:t>has the meaning given by section 19</w:t>
      </w:r>
      <w:r w:rsidR="008612A1">
        <w:rPr>
          <w:szCs w:val="24"/>
        </w:rPr>
        <w:t xml:space="preserve"> (see below)</w:t>
      </w:r>
      <w:r w:rsidR="00AB2A37" w:rsidRPr="00CD1393">
        <w:rPr>
          <w:szCs w:val="24"/>
        </w:rPr>
        <w:t>.</w:t>
      </w:r>
    </w:p>
    <w:p w14:paraId="4723AEEC" w14:textId="77777777" w:rsidR="00FE7F82" w:rsidRPr="00CD1393" w:rsidRDefault="00FE7F82" w:rsidP="00FE7F82">
      <w:pPr>
        <w:rPr>
          <w:szCs w:val="24"/>
        </w:rPr>
      </w:pPr>
      <w:r w:rsidRPr="00CD1393">
        <w:rPr>
          <w:b/>
          <w:i/>
          <w:szCs w:val="24"/>
        </w:rPr>
        <w:t xml:space="preserve">owner </w:t>
      </w:r>
      <w:r w:rsidRPr="00CD1393">
        <w:rPr>
          <w:szCs w:val="24"/>
        </w:rPr>
        <w:t>means an owner of stock or the owners of stock in a joint account.</w:t>
      </w:r>
    </w:p>
    <w:p w14:paraId="094CA1F3" w14:textId="77777777" w:rsidR="00D1641D" w:rsidRPr="00CD1393" w:rsidRDefault="00FE7F82" w:rsidP="00D1641D">
      <w:pPr>
        <w:rPr>
          <w:szCs w:val="24"/>
        </w:rPr>
      </w:pPr>
      <w:r w:rsidRPr="00CD1393">
        <w:rPr>
          <w:b/>
          <w:i/>
          <w:szCs w:val="24"/>
        </w:rPr>
        <w:t xml:space="preserve">stock ledger </w:t>
      </w:r>
      <w:r w:rsidRPr="00CD1393">
        <w:rPr>
          <w:szCs w:val="24"/>
        </w:rPr>
        <w:t>means a Stock Ledger at a Registry.</w:t>
      </w:r>
    </w:p>
    <w:p w14:paraId="0A1DC48D" w14:textId="30F347B7" w:rsidR="00851F8C" w:rsidRPr="00CD1393" w:rsidRDefault="00851F8C" w:rsidP="00761DAE">
      <w:pPr>
        <w:pStyle w:val="Definition"/>
        <w:ind w:left="0"/>
        <w:rPr>
          <w:szCs w:val="22"/>
        </w:rPr>
      </w:pPr>
      <w:r w:rsidRPr="00CD1393">
        <w:rPr>
          <w:b/>
          <w:i/>
          <w:sz w:val="24"/>
          <w:szCs w:val="22"/>
        </w:rPr>
        <w:t>Treasury Bill</w:t>
      </w:r>
      <w:r w:rsidRPr="00CD1393">
        <w:rPr>
          <w:sz w:val="24"/>
          <w:szCs w:val="22"/>
        </w:rPr>
        <w:t xml:space="preserve"> has the same meaning as in the </w:t>
      </w:r>
      <w:r w:rsidRPr="00CD1393">
        <w:rPr>
          <w:i/>
          <w:sz w:val="24"/>
          <w:szCs w:val="22"/>
        </w:rPr>
        <w:t>Treasury Bills Act 1914</w:t>
      </w:r>
      <w:r w:rsidRPr="00CD1393">
        <w:rPr>
          <w:sz w:val="24"/>
          <w:szCs w:val="22"/>
        </w:rPr>
        <w:t>.</w:t>
      </w:r>
      <w:r w:rsidR="004076B9">
        <w:rPr>
          <w:sz w:val="24"/>
          <w:szCs w:val="22"/>
        </w:rPr>
        <w:t xml:space="preserve"> </w:t>
      </w:r>
      <w:r w:rsidR="00215ECE">
        <w:rPr>
          <w:sz w:val="24"/>
          <w:szCs w:val="22"/>
        </w:rPr>
        <w:t xml:space="preserve">Under </w:t>
      </w:r>
      <w:r w:rsidR="00A26DFC">
        <w:rPr>
          <w:sz w:val="24"/>
          <w:szCs w:val="22"/>
        </w:rPr>
        <w:t>this Act</w:t>
      </w:r>
      <w:r w:rsidR="00C8203A">
        <w:rPr>
          <w:sz w:val="24"/>
          <w:szCs w:val="22"/>
        </w:rPr>
        <w:t xml:space="preserve"> </w:t>
      </w:r>
      <w:r w:rsidR="004076B9" w:rsidRPr="00B31E40">
        <w:rPr>
          <w:sz w:val="24"/>
          <w:szCs w:val="22"/>
        </w:rPr>
        <w:t>Treasury Bill means a Treasury Bill issued under this Act and includes any associated coupon</w:t>
      </w:r>
      <w:r w:rsidR="00A44593">
        <w:rPr>
          <w:sz w:val="24"/>
          <w:szCs w:val="22"/>
        </w:rPr>
        <w:t>s</w:t>
      </w:r>
      <w:r w:rsidR="004076B9" w:rsidRPr="00B31E40">
        <w:rPr>
          <w:sz w:val="24"/>
          <w:szCs w:val="22"/>
        </w:rPr>
        <w:t>.</w:t>
      </w:r>
    </w:p>
    <w:p w14:paraId="7A81BBEB" w14:textId="5CC02A5E" w:rsidR="002B4BA4" w:rsidRPr="00CD1393" w:rsidRDefault="002B4BA4" w:rsidP="00761DAE">
      <w:pPr>
        <w:keepNext/>
        <w:keepLines/>
        <w:spacing w:before="280"/>
        <w:ind w:left="1134" w:hanging="1134"/>
        <w:outlineLvl w:val="1"/>
        <w:rPr>
          <w:b/>
          <w:kern w:val="28"/>
          <w:szCs w:val="24"/>
          <w:u w:val="single"/>
        </w:rPr>
      </w:pPr>
      <w:r w:rsidRPr="00CD1393">
        <w:rPr>
          <w:b/>
          <w:kern w:val="28"/>
          <w:szCs w:val="24"/>
          <w:u w:val="single"/>
        </w:rPr>
        <w:t>Part 2</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Stock</w:t>
      </w:r>
    </w:p>
    <w:p w14:paraId="5BF4E81F" w14:textId="65E4FA12" w:rsidR="00D1641D" w:rsidRPr="00CD1393" w:rsidRDefault="00D1641D" w:rsidP="00D1641D">
      <w:pPr>
        <w:rPr>
          <w:szCs w:val="24"/>
        </w:rPr>
      </w:pPr>
      <w:r w:rsidRPr="00CD1393">
        <w:rPr>
          <w:b/>
          <w:szCs w:val="24"/>
          <w:u w:val="single"/>
        </w:rPr>
        <w:t>Section 6 </w:t>
      </w:r>
      <w:r w:rsidR="005952AE" w:rsidRPr="00CD1393">
        <w:rPr>
          <w:b/>
          <w:u w:val="single"/>
        </w:rPr>
        <w:t>–</w:t>
      </w:r>
      <w:r w:rsidRPr="00CD1393">
        <w:rPr>
          <w:b/>
          <w:szCs w:val="24"/>
          <w:u w:val="single"/>
        </w:rPr>
        <w:t> </w:t>
      </w:r>
      <w:r w:rsidR="00AB0C84" w:rsidRPr="00CD1393">
        <w:rPr>
          <w:b/>
          <w:szCs w:val="24"/>
          <w:u w:val="single"/>
        </w:rPr>
        <w:t>Definition of certified copy – prescribed persons</w:t>
      </w:r>
    </w:p>
    <w:p w14:paraId="0EBB5FCA" w14:textId="0383E535" w:rsidR="00D1641D" w:rsidRPr="00CD1393" w:rsidRDefault="00D1641D" w:rsidP="00FE7F82">
      <w:pPr>
        <w:rPr>
          <w:szCs w:val="24"/>
        </w:rPr>
      </w:pPr>
      <w:r w:rsidRPr="00CD1393">
        <w:rPr>
          <w:szCs w:val="24"/>
        </w:rPr>
        <w:t>This section define</w:t>
      </w:r>
      <w:r w:rsidR="00C915D7" w:rsidRPr="00CD1393">
        <w:rPr>
          <w:szCs w:val="24"/>
        </w:rPr>
        <w:t>s</w:t>
      </w:r>
      <w:r w:rsidRPr="00CD1393">
        <w:rPr>
          <w:szCs w:val="24"/>
        </w:rPr>
        <w:t xml:space="preserve"> who may certify a copy of an entry or an extract of an entry in a Stock Ledger or document under the Act.</w:t>
      </w:r>
    </w:p>
    <w:p w14:paraId="68C5D010" w14:textId="75FCCFA8" w:rsidR="000D3D20" w:rsidRPr="00CD1393" w:rsidRDefault="000D3D20" w:rsidP="000D3D20">
      <w:pPr>
        <w:keepNext/>
        <w:keepLines/>
        <w:spacing w:before="280"/>
        <w:ind w:left="1134" w:hanging="1134"/>
        <w:outlineLvl w:val="1"/>
        <w:rPr>
          <w:b/>
          <w:kern w:val="28"/>
          <w:szCs w:val="24"/>
          <w:u w:val="single"/>
        </w:rPr>
      </w:pPr>
      <w:bookmarkStart w:id="2" w:name="_Toc392238588"/>
      <w:r w:rsidRPr="00CD1393">
        <w:rPr>
          <w:b/>
          <w:kern w:val="28"/>
          <w:szCs w:val="24"/>
          <w:u w:val="single"/>
        </w:rPr>
        <w:lastRenderedPageBreak/>
        <w:t xml:space="preserve">Part </w:t>
      </w:r>
      <w:r w:rsidR="002B4BA4" w:rsidRPr="00CD1393">
        <w:rPr>
          <w:b/>
          <w:kern w:val="28"/>
          <w:szCs w:val="24"/>
          <w:u w:val="single"/>
        </w:rPr>
        <w:t>3</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Stock</w:t>
      </w:r>
      <w:bookmarkEnd w:id="2"/>
    </w:p>
    <w:p w14:paraId="07CBF173" w14:textId="77777777" w:rsidR="000D3D20" w:rsidRPr="00CD1393" w:rsidRDefault="000D3D20" w:rsidP="000D3D20">
      <w:pPr>
        <w:keepNext/>
        <w:keepLines/>
        <w:spacing w:before="240"/>
        <w:ind w:left="1134" w:hanging="1134"/>
        <w:outlineLvl w:val="2"/>
        <w:rPr>
          <w:b/>
          <w:kern w:val="28"/>
          <w:szCs w:val="24"/>
          <w:u w:val="single"/>
        </w:rPr>
      </w:pPr>
      <w:bookmarkStart w:id="3" w:name="_Toc392238589"/>
      <w:bookmarkStart w:id="4" w:name="_Toc392242716"/>
      <w:r w:rsidRPr="00CD1393">
        <w:rPr>
          <w:b/>
          <w:kern w:val="28"/>
          <w:szCs w:val="24"/>
          <w:u w:val="single"/>
        </w:rPr>
        <w:t>Division 1—Creation and issue of stock</w:t>
      </w:r>
      <w:bookmarkEnd w:id="3"/>
      <w:bookmarkEnd w:id="4"/>
    </w:p>
    <w:p w14:paraId="35FA7104" w14:textId="77777777" w:rsidR="000D3D20" w:rsidRPr="00CD1393" w:rsidRDefault="000D3D20" w:rsidP="000D3D20">
      <w:pPr>
        <w:rPr>
          <w:b/>
          <w:szCs w:val="24"/>
        </w:rPr>
      </w:pPr>
      <w:r w:rsidRPr="00CD1393">
        <w:rPr>
          <w:b/>
          <w:szCs w:val="24"/>
        </w:rPr>
        <w:t>Section 7 - Prescribed stock for subsection 4(1)</w:t>
      </w:r>
    </w:p>
    <w:p w14:paraId="63CE6EAF" w14:textId="77777777" w:rsidR="000D3D20" w:rsidRPr="00CD1393" w:rsidRDefault="000D3D20" w:rsidP="000D3D20">
      <w:pPr>
        <w:rPr>
          <w:szCs w:val="24"/>
        </w:rPr>
      </w:pPr>
      <w:r w:rsidRPr="00CD1393">
        <w:rPr>
          <w:szCs w:val="24"/>
        </w:rPr>
        <w:t>This section provides that Treasury Bills are prescribed as Stock under the Act.</w:t>
      </w:r>
    </w:p>
    <w:p w14:paraId="5349B160" w14:textId="02B235B9" w:rsidR="007A0AAF" w:rsidRPr="00CD1393" w:rsidRDefault="007A0AAF" w:rsidP="00863B62">
      <w:pPr>
        <w:keepNext/>
        <w:keepLines/>
        <w:spacing w:before="240"/>
        <w:outlineLvl w:val="2"/>
        <w:rPr>
          <w:b/>
          <w:kern w:val="28"/>
          <w:szCs w:val="24"/>
          <w:u w:val="single"/>
        </w:rPr>
      </w:pPr>
      <w:bookmarkStart w:id="5" w:name="_Toc392238591"/>
      <w:bookmarkStart w:id="6" w:name="_Toc392242718"/>
      <w:r w:rsidRPr="00CD1393">
        <w:rPr>
          <w:b/>
          <w:kern w:val="28"/>
          <w:szCs w:val="24"/>
          <w:u w:val="single"/>
        </w:rPr>
        <w:t>Division 2</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Registries</w:t>
      </w:r>
      <w:bookmarkEnd w:id="5"/>
      <w:bookmarkEnd w:id="6"/>
    </w:p>
    <w:p w14:paraId="4D269C4C" w14:textId="3C1D4664" w:rsidR="007A0AAF" w:rsidRPr="00CD1393" w:rsidRDefault="007A0AAF" w:rsidP="007A0AAF">
      <w:pPr>
        <w:keepNext/>
        <w:keepLines/>
        <w:rPr>
          <w:b/>
          <w:szCs w:val="24"/>
        </w:rPr>
      </w:pPr>
      <w:r w:rsidRPr="00CD1393">
        <w:rPr>
          <w:b/>
          <w:szCs w:val="24"/>
        </w:rPr>
        <w:t>Section 8</w:t>
      </w:r>
      <w:r w:rsidR="00466A3D" w:rsidRPr="00CD1393">
        <w:rPr>
          <w:b/>
          <w:szCs w:val="24"/>
        </w:rPr>
        <w:t xml:space="preserve"> - </w:t>
      </w:r>
      <w:r w:rsidRPr="00CD1393">
        <w:rPr>
          <w:b/>
          <w:szCs w:val="24"/>
        </w:rPr>
        <w:t xml:space="preserve">Correction of </w:t>
      </w:r>
      <w:r w:rsidR="002F3CAF" w:rsidRPr="00CD1393">
        <w:rPr>
          <w:b/>
          <w:szCs w:val="24"/>
        </w:rPr>
        <w:t xml:space="preserve">stock ledgers </w:t>
      </w:r>
    </w:p>
    <w:p w14:paraId="5D46E314" w14:textId="2B92FA07" w:rsidR="007A0AAF" w:rsidRPr="00CD1393" w:rsidRDefault="007A0AAF" w:rsidP="007A0AAF">
      <w:pPr>
        <w:keepNext/>
        <w:keepLines/>
        <w:rPr>
          <w:szCs w:val="24"/>
        </w:rPr>
      </w:pPr>
      <w:r w:rsidRPr="00CD1393">
        <w:rPr>
          <w:szCs w:val="24"/>
        </w:rPr>
        <w:t>This section specifies that the Registrar of stockholders under the Act must correct the register, if satisfied that a correction is required upon request from a person.</w:t>
      </w:r>
      <w:r w:rsidR="001F57BB" w:rsidRPr="00CD1393">
        <w:rPr>
          <w:szCs w:val="24"/>
        </w:rPr>
        <w:t xml:space="preserve"> </w:t>
      </w:r>
    </w:p>
    <w:p w14:paraId="03825D72" w14:textId="4B8C02AB" w:rsidR="007A0AAF" w:rsidRPr="00CD1393" w:rsidRDefault="007A0AAF" w:rsidP="007A0AAF">
      <w:pPr>
        <w:rPr>
          <w:b/>
          <w:szCs w:val="24"/>
        </w:rPr>
      </w:pPr>
      <w:r w:rsidRPr="00CD1393">
        <w:rPr>
          <w:b/>
          <w:szCs w:val="24"/>
        </w:rPr>
        <w:t xml:space="preserve">Section 9 </w:t>
      </w:r>
      <w:r w:rsidR="00466A3D" w:rsidRPr="00CD1393">
        <w:rPr>
          <w:b/>
          <w:szCs w:val="24"/>
        </w:rPr>
        <w:t>–</w:t>
      </w:r>
      <w:r w:rsidRPr="00CD1393">
        <w:rPr>
          <w:b/>
          <w:szCs w:val="24"/>
        </w:rPr>
        <w:t xml:space="preserve"> </w:t>
      </w:r>
      <w:r w:rsidR="00466A3D" w:rsidRPr="00CD1393">
        <w:rPr>
          <w:b/>
          <w:szCs w:val="24"/>
        </w:rPr>
        <w:t>Providing the Registrar with certain assistance</w:t>
      </w:r>
    </w:p>
    <w:p w14:paraId="52C4876D" w14:textId="77777777" w:rsidR="004E0BFC" w:rsidRPr="00CD1393" w:rsidRDefault="004E0BFC" w:rsidP="004E0BFC">
      <w:pPr>
        <w:rPr>
          <w:szCs w:val="24"/>
        </w:rPr>
      </w:pPr>
      <w:r w:rsidRPr="00CD1393">
        <w:rPr>
          <w:szCs w:val="24"/>
        </w:rPr>
        <w:t>This section provides that the Registrar may request a person to provide supporting documents, an indemnity to the Registrar’s satisfaction, or to verify their identity when a person requests the Registrar to perform a function or exercise a power under the Act.</w:t>
      </w:r>
    </w:p>
    <w:p w14:paraId="4464019C" w14:textId="77777777" w:rsidR="007A0AAF" w:rsidRPr="00CD1393" w:rsidRDefault="007A0AAF" w:rsidP="007A0AAF">
      <w:pPr>
        <w:rPr>
          <w:b/>
          <w:szCs w:val="24"/>
        </w:rPr>
      </w:pPr>
      <w:r w:rsidRPr="00CD1393">
        <w:rPr>
          <w:b/>
          <w:szCs w:val="24"/>
        </w:rPr>
        <w:t>Section 10 - Specimen signatures</w:t>
      </w:r>
    </w:p>
    <w:p w14:paraId="1E26724D" w14:textId="74DB37A8" w:rsidR="004E0BFC" w:rsidRPr="00CD1393" w:rsidRDefault="004E0BFC" w:rsidP="004E0BFC">
      <w:pPr>
        <w:rPr>
          <w:szCs w:val="24"/>
        </w:rPr>
      </w:pPr>
      <w:r w:rsidRPr="00CD1393">
        <w:rPr>
          <w:szCs w:val="24"/>
        </w:rPr>
        <w:t xml:space="preserve">This section provides that the Registrar may obtain specimen signatures from stock </w:t>
      </w:r>
      <w:r w:rsidR="008A59BF" w:rsidRPr="00CD1393">
        <w:rPr>
          <w:szCs w:val="24"/>
        </w:rPr>
        <w:t>owners and</w:t>
      </w:r>
      <w:r w:rsidRPr="00CD1393">
        <w:rPr>
          <w:szCs w:val="24"/>
        </w:rPr>
        <w:t xml:space="preserve"> may require these specimen signatures to be witnessed or signed before an officer of a Registry.</w:t>
      </w:r>
    </w:p>
    <w:p w14:paraId="20A8516D" w14:textId="77777777" w:rsidR="007A0AAF" w:rsidRPr="00CD1393" w:rsidRDefault="007A0AAF" w:rsidP="007A0AAF">
      <w:pPr>
        <w:rPr>
          <w:b/>
          <w:szCs w:val="24"/>
        </w:rPr>
      </w:pPr>
      <w:r w:rsidRPr="00CD1393">
        <w:rPr>
          <w:b/>
          <w:szCs w:val="24"/>
        </w:rPr>
        <w:t>Section 11 - Inscription of stock in names of unincorporated associations</w:t>
      </w:r>
    </w:p>
    <w:p w14:paraId="74487758" w14:textId="4684CE68" w:rsidR="007A0AAF" w:rsidRPr="00CD1393" w:rsidRDefault="007A0AAF" w:rsidP="007A0AAF">
      <w:pPr>
        <w:rPr>
          <w:szCs w:val="24"/>
        </w:rPr>
      </w:pPr>
      <w:r w:rsidRPr="00CD1393">
        <w:rPr>
          <w:szCs w:val="24"/>
        </w:rPr>
        <w:t xml:space="preserve">This section specifies the conditions </w:t>
      </w:r>
      <w:r w:rsidR="009C36B1" w:rsidRPr="00CD1393">
        <w:rPr>
          <w:szCs w:val="24"/>
        </w:rPr>
        <w:t xml:space="preserve">prescribed </w:t>
      </w:r>
      <w:r w:rsidRPr="00CD1393">
        <w:rPr>
          <w:szCs w:val="24"/>
        </w:rPr>
        <w:t xml:space="preserve">for </w:t>
      </w:r>
      <w:r w:rsidR="009C36B1" w:rsidRPr="00CD1393">
        <w:rPr>
          <w:szCs w:val="24"/>
        </w:rPr>
        <w:t xml:space="preserve">the purposes of </w:t>
      </w:r>
      <w:r w:rsidRPr="00CD1393">
        <w:rPr>
          <w:szCs w:val="24"/>
        </w:rPr>
        <w:t>subsection 22</w:t>
      </w:r>
      <w:proofErr w:type="gramStart"/>
      <w:r w:rsidRPr="00CD1393">
        <w:rPr>
          <w:szCs w:val="24"/>
        </w:rPr>
        <w:t>B(</w:t>
      </w:r>
      <w:proofErr w:type="gramEnd"/>
      <w:r w:rsidRPr="00CD1393">
        <w:rPr>
          <w:szCs w:val="24"/>
        </w:rPr>
        <w:t xml:space="preserve">1) of the Act </w:t>
      </w:r>
      <w:r w:rsidR="00763666" w:rsidRPr="00CD1393">
        <w:rPr>
          <w:szCs w:val="24"/>
        </w:rPr>
        <w:t xml:space="preserve">that must be met </w:t>
      </w:r>
      <w:r w:rsidRPr="00CD1393">
        <w:rPr>
          <w:szCs w:val="24"/>
        </w:rPr>
        <w:t>for the Registrar to record stock in the name of an unincorporated association in the register.</w:t>
      </w:r>
    </w:p>
    <w:p w14:paraId="1B176661" w14:textId="0CA58063" w:rsidR="007A0AAF" w:rsidRPr="00CD1393" w:rsidRDefault="007A0AAF" w:rsidP="007A0AAF">
      <w:pPr>
        <w:keepNext/>
        <w:keepLines/>
        <w:spacing w:before="240"/>
        <w:ind w:left="1134" w:hanging="1134"/>
        <w:outlineLvl w:val="2"/>
        <w:rPr>
          <w:b/>
          <w:kern w:val="28"/>
          <w:szCs w:val="24"/>
          <w:u w:val="single"/>
        </w:rPr>
      </w:pPr>
      <w:bookmarkStart w:id="7" w:name="_Toc392238596"/>
      <w:r w:rsidRPr="00CD1393">
        <w:rPr>
          <w:b/>
          <w:kern w:val="28"/>
          <w:szCs w:val="24"/>
          <w:u w:val="single"/>
        </w:rPr>
        <w:t>Division 3</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Transfer and transmission of stock</w:t>
      </w:r>
      <w:bookmarkEnd w:id="7"/>
    </w:p>
    <w:p w14:paraId="6BBF5101" w14:textId="77777777" w:rsidR="007A0AAF" w:rsidRPr="00CD1393" w:rsidRDefault="007A0AAF" w:rsidP="007A0AAF">
      <w:pPr>
        <w:rPr>
          <w:b/>
          <w:szCs w:val="24"/>
        </w:rPr>
      </w:pPr>
      <w:r w:rsidRPr="00CD1393">
        <w:rPr>
          <w:b/>
          <w:szCs w:val="24"/>
        </w:rPr>
        <w:t>Section 12 - Transfers of stock within a Registry</w:t>
      </w:r>
    </w:p>
    <w:p w14:paraId="2593954A" w14:textId="7BAD7FE5" w:rsidR="007A0AAF" w:rsidRPr="00CD1393" w:rsidRDefault="007A0AAF" w:rsidP="007A0AAF">
      <w:pPr>
        <w:rPr>
          <w:szCs w:val="24"/>
        </w:rPr>
      </w:pPr>
      <w:r w:rsidRPr="00CD1393">
        <w:rPr>
          <w:szCs w:val="24"/>
        </w:rPr>
        <w:t xml:space="preserve">This section specifies the requirements for the transfer of legal or equitable interests in stock for </w:t>
      </w:r>
      <w:r w:rsidR="002B7A14" w:rsidRPr="00CD1393">
        <w:rPr>
          <w:szCs w:val="24"/>
        </w:rPr>
        <w:t xml:space="preserve">the purposes of </w:t>
      </w:r>
      <w:r w:rsidRPr="00CD1393">
        <w:rPr>
          <w:szCs w:val="24"/>
        </w:rPr>
        <w:t>subsection 24(1) of the Act</w:t>
      </w:r>
      <w:r w:rsidR="00C21E1D" w:rsidRPr="00CD1393">
        <w:rPr>
          <w:szCs w:val="24"/>
        </w:rPr>
        <w:t xml:space="preserve"> to </w:t>
      </w:r>
      <w:r w:rsidR="002355EE" w:rsidRPr="00CD1393">
        <w:rPr>
          <w:szCs w:val="24"/>
        </w:rPr>
        <w:t xml:space="preserve">be made in accordance with an approved form set by the Regulator that is executed by both parties and </w:t>
      </w:r>
      <w:r w:rsidR="0036160B" w:rsidRPr="00CD1393">
        <w:rPr>
          <w:szCs w:val="24"/>
        </w:rPr>
        <w:t>registered at the Registry.</w:t>
      </w:r>
    </w:p>
    <w:p w14:paraId="29D31086" w14:textId="77777777" w:rsidR="007A0AAF" w:rsidRPr="00CD1393" w:rsidRDefault="007A0AAF" w:rsidP="007A0AAF">
      <w:pPr>
        <w:rPr>
          <w:b/>
          <w:szCs w:val="24"/>
        </w:rPr>
      </w:pPr>
      <w:r w:rsidRPr="00CD1393">
        <w:rPr>
          <w:b/>
          <w:szCs w:val="24"/>
        </w:rPr>
        <w:t>Section 13 - Section 27 of the Act does not apply to certain transactions</w:t>
      </w:r>
    </w:p>
    <w:p w14:paraId="212DB9F3" w14:textId="4A107152" w:rsidR="007A0AAF" w:rsidRPr="00CD1393" w:rsidRDefault="007A0AAF" w:rsidP="007A0AAF">
      <w:pPr>
        <w:rPr>
          <w:szCs w:val="24"/>
        </w:rPr>
      </w:pPr>
      <w:r w:rsidRPr="00CD1393">
        <w:rPr>
          <w:szCs w:val="24"/>
        </w:rPr>
        <w:t xml:space="preserve">This section specifies an alternate scheme for the timing of when transfers of legal or equitable interest can be recorded in the registry, which is, </w:t>
      </w:r>
      <w:proofErr w:type="gramStart"/>
      <w:r w:rsidRPr="00CD1393">
        <w:rPr>
          <w:szCs w:val="24"/>
        </w:rPr>
        <w:t>with the exception of</w:t>
      </w:r>
      <w:proofErr w:type="gramEnd"/>
      <w:r w:rsidRPr="00CD1393">
        <w:rPr>
          <w:szCs w:val="24"/>
        </w:rPr>
        <w:t xml:space="preserve"> Treasury Notes, not within </w:t>
      </w:r>
      <w:r w:rsidR="00F53863" w:rsidRPr="00CD1393">
        <w:rPr>
          <w:szCs w:val="24"/>
        </w:rPr>
        <w:t>seven</w:t>
      </w:r>
      <w:r w:rsidRPr="00CD1393">
        <w:rPr>
          <w:szCs w:val="24"/>
        </w:rPr>
        <w:t xml:space="preserve"> days of maturity.</w:t>
      </w:r>
    </w:p>
    <w:p w14:paraId="72436DE0" w14:textId="77777777" w:rsidR="007A0AAF" w:rsidRPr="00CD1393" w:rsidRDefault="007A0AAF" w:rsidP="007A0AAF">
      <w:pPr>
        <w:rPr>
          <w:b/>
          <w:szCs w:val="24"/>
        </w:rPr>
      </w:pPr>
      <w:r w:rsidRPr="00CD1393">
        <w:rPr>
          <w:b/>
          <w:szCs w:val="24"/>
        </w:rPr>
        <w:t>Section 14 - Transmission application</w:t>
      </w:r>
    </w:p>
    <w:p w14:paraId="1FDB18F9" w14:textId="079E90E8" w:rsidR="007A0AAF" w:rsidRPr="00CD1393" w:rsidRDefault="007A0AAF" w:rsidP="007A0AAF">
      <w:pPr>
        <w:rPr>
          <w:szCs w:val="24"/>
        </w:rPr>
      </w:pPr>
      <w:r w:rsidRPr="00CD1393">
        <w:rPr>
          <w:szCs w:val="24"/>
        </w:rPr>
        <w:t>This section specifies that for section 28 of the Act that a transmission application must be in the approved form, accompanied by evidence and given to</w:t>
      </w:r>
      <w:r w:rsidR="00B31E40">
        <w:rPr>
          <w:szCs w:val="24"/>
        </w:rPr>
        <w:t xml:space="preserve"> the</w:t>
      </w:r>
      <w:r w:rsidRPr="00CD1393">
        <w:rPr>
          <w:szCs w:val="24"/>
        </w:rPr>
        <w:t xml:space="preserve"> Registrar.</w:t>
      </w:r>
      <w:r w:rsidR="005068F6">
        <w:rPr>
          <w:szCs w:val="24"/>
        </w:rPr>
        <w:t xml:space="preserve"> This ensures </w:t>
      </w:r>
      <w:r w:rsidR="008445E5">
        <w:rPr>
          <w:szCs w:val="24"/>
        </w:rPr>
        <w:t xml:space="preserve">that </w:t>
      </w:r>
      <w:r w:rsidR="00873636">
        <w:rPr>
          <w:szCs w:val="24"/>
        </w:rPr>
        <w:t xml:space="preserve">appropriate protections apply </w:t>
      </w:r>
      <w:r w:rsidR="006512A3">
        <w:rPr>
          <w:szCs w:val="24"/>
        </w:rPr>
        <w:t>before a transmission occur</w:t>
      </w:r>
      <w:r w:rsidR="00AD70A2">
        <w:rPr>
          <w:szCs w:val="24"/>
        </w:rPr>
        <w:t>s</w:t>
      </w:r>
      <w:r w:rsidR="006512A3">
        <w:rPr>
          <w:szCs w:val="24"/>
        </w:rPr>
        <w:t>.</w:t>
      </w:r>
    </w:p>
    <w:p w14:paraId="3359BFD5" w14:textId="77777777" w:rsidR="007A0AAF" w:rsidRPr="00CD1393" w:rsidRDefault="007A0AAF" w:rsidP="007A0AAF">
      <w:pPr>
        <w:rPr>
          <w:b/>
          <w:szCs w:val="24"/>
        </w:rPr>
      </w:pPr>
      <w:r w:rsidRPr="00CD1393">
        <w:rPr>
          <w:b/>
          <w:szCs w:val="24"/>
        </w:rPr>
        <w:t>Section 15 - Prescribed amount of stock for subsection 29(2) of the Act (verification of transmission)</w:t>
      </w:r>
    </w:p>
    <w:p w14:paraId="457DB100" w14:textId="1F2C47D5" w:rsidR="00331983" w:rsidRPr="00CD1393" w:rsidRDefault="007A0AAF" w:rsidP="007A0AAF">
      <w:pPr>
        <w:rPr>
          <w:szCs w:val="24"/>
        </w:rPr>
      </w:pPr>
      <w:r w:rsidRPr="00CD1393">
        <w:rPr>
          <w:szCs w:val="24"/>
        </w:rPr>
        <w:t>This section empowers the Treasurer to approve transmissions of stock, recorded in the name of a person who has died, of amounts up to and including $25,000 without the verification required by subsection 29(1) of the Act.</w:t>
      </w:r>
    </w:p>
    <w:p w14:paraId="3D872269" w14:textId="77777777" w:rsidR="00331983" w:rsidRPr="00CD1393" w:rsidRDefault="00331983" w:rsidP="007A0AAF">
      <w:pPr>
        <w:rPr>
          <w:szCs w:val="24"/>
        </w:rPr>
      </w:pPr>
    </w:p>
    <w:p w14:paraId="2FA710D8" w14:textId="06E6209C" w:rsidR="007A0AAF" w:rsidRPr="00CD1393" w:rsidRDefault="007A0AAF" w:rsidP="007A0AAF">
      <w:pPr>
        <w:rPr>
          <w:b/>
          <w:szCs w:val="24"/>
        </w:rPr>
      </w:pPr>
      <w:r w:rsidRPr="00CD1393">
        <w:rPr>
          <w:b/>
          <w:szCs w:val="24"/>
        </w:rPr>
        <w:t>Section 16 - Death of joint owner of stock</w:t>
      </w:r>
    </w:p>
    <w:p w14:paraId="373DE9D0" w14:textId="236291EF" w:rsidR="007A0AAF" w:rsidRPr="00CD1393" w:rsidRDefault="007A0AAF" w:rsidP="00205CF7">
      <w:pPr>
        <w:rPr>
          <w:szCs w:val="24"/>
        </w:rPr>
      </w:pPr>
      <w:r w:rsidRPr="00CD1393">
        <w:rPr>
          <w:szCs w:val="24"/>
        </w:rPr>
        <w:t>This section specifies what occurs to stock when a joint owner of the stock dies.</w:t>
      </w:r>
      <w:r w:rsidR="00693EED">
        <w:rPr>
          <w:szCs w:val="24"/>
        </w:rPr>
        <w:t xml:space="preserve"> </w:t>
      </w:r>
      <w:r w:rsidR="00205CF7">
        <w:rPr>
          <w:szCs w:val="24"/>
        </w:rPr>
        <w:t xml:space="preserve">In these circumstances </w:t>
      </w:r>
      <w:r w:rsidR="00205CF7" w:rsidRPr="00205CF7">
        <w:rPr>
          <w:szCs w:val="24"/>
        </w:rPr>
        <w:t>the stock must be registered in the name of the survivor or survivors upon production to the Registrar of</w:t>
      </w:r>
      <w:r w:rsidR="00205CF7">
        <w:rPr>
          <w:szCs w:val="24"/>
        </w:rPr>
        <w:t xml:space="preserve"> appropriate specified evidence.</w:t>
      </w:r>
    </w:p>
    <w:p w14:paraId="5D3FA501" w14:textId="77777777" w:rsidR="007A0AAF" w:rsidRPr="00CD1393" w:rsidRDefault="007A0AAF" w:rsidP="00761DAE">
      <w:pPr>
        <w:keepNext/>
        <w:rPr>
          <w:b/>
          <w:szCs w:val="24"/>
        </w:rPr>
      </w:pPr>
      <w:r w:rsidRPr="00CD1393">
        <w:rPr>
          <w:b/>
          <w:szCs w:val="24"/>
        </w:rPr>
        <w:t>Section 17 - Transfer of stock to administrator of certain estates</w:t>
      </w:r>
    </w:p>
    <w:p w14:paraId="6DAA0C66" w14:textId="32CB4CCE" w:rsidR="007A0AAF" w:rsidRPr="00CD1393" w:rsidRDefault="007A0AAF" w:rsidP="00761DAE">
      <w:pPr>
        <w:keepNext/>
        <w:rPr>
          <w:szCs w:val="24"/>
        </w:rPr>
      </w:pPr>
      <w:r w:rsidRPr="00CD1393">
        <w:rPr>
          <w:szCs w:val="24"/>
        </w:rPr>
        <w:t xml:space="preserve">This section provides that the Treasurer can authorise the transfer of stock to an officer charged with administering the estates of missing persons or persons with </w:t>
      </w:r>
      <w:r w:rsidR="00E439E5">
        <w:rPr>
          <w:szCs w:val="24"/>
        </w:rPr>
        <w:t xml:space="preserve">a </w:t>
      </w:r>
      <w:r w:rsidRPr="00CD1393">
        <w:rPr>
          <w:szCs w:val="24"/>
        </w:rPr>
        <w:t xml:space="preserve">disability if </w:t>
      </w:r>
      <w:r w:rsidR="00FC3348">
        <w:rPr>
          <w:szCs w:val="24"/>
        </w:rPr>
        <w:t>the Treasurer is satisfied in the circumstances and the officer gives an appropriate indemnity.</w:t>
      </w:r>
    </w:p>
    <w:p w14:paraId="1C5F5B5C" w14:textId="77777777" w:rsidR="00901C91" w:rsidRPr="00CD1393" w:rsidRDefault="00901C91" w:rsidP="00761DAE">
      <w:pPr>
        <w:spacing w:before="0" w:after="0"/>
        <w:rPr>
          <w:b/>
          <w:szCs w:val="24"/>
        </w:rPr>
      </w:pPr>
      <w:r w:rsidRPr="00CD1393">
        <w:rPr>
          <w:b/>
          <w:szCs w:val="24"/>
        </w:rPr>
        <w:t>Section 18 - Marked transfers</w:t>
      </w:r>
    </w:p>
    <w:p w14:paraId="1140A6CD" w14:textId="577EB167" w:rsidR="00901C91" w:rsidRPr="00CD1393" w:rsidRDefault="00901C91" w:rsidP="00901C91">
      <w:pPr>
        <w:keepNext/>
        <w:keepLines/>
        <w:rPr>
          <w:szCs w:val="24"/>
        </w:rPr>
      </w:pPr>
      <w:r w:rsidRPr="00CD1393">
        <w:rPr>
          <w:szCs w:val="24"/>
        </w:rPr>
        <w:t>This section allows the Registrar to mark transactions to restrict transfers</w:t>
      </w:r>
      <w:r w:rsidR="00B527B9">
        <w:rPr>
          <w:szCs w:val="24"/>
        </w:rPr>
        <w:t xml:space="preserve"> for a specified period</w:t>
      </w:r>
      <w:r w:rsidRPr="00CD1393">
        <w:rPr>
          <w:szCs w:val="24"/>
        </w:rPr>
        <w:t xml:space="preserve"> whilst a security is marked.</w:t>
      </w:r>
    </w:p>
    <w:p w14:paraId="784BB9CC" w14:textId="1725ADDE" w:rsidR="00901C91" w:rsidRPr="00CD1393" w:rsidRDefault="00901C91" w:rsidP="00901C91">
      <w:pPr>
        <w:keepNext/>
        <w:keepLines/>
        <w:spacing w:before="280"/>
        <w:outlineLvl w:val="1"/>
        <w:rPr>
          <w:b/>
          <w:kern w:val="28"/>
          <w:szCs w:val="24"/>
          <w:u w:val="single"/>
        </w:rPr>
      </w:pPr>
      <w:bookmarkStart w:id="8" w:name="_Toc392238604"/>
      <w:r w:rsidRPr="00CD1393">
        <w:rPr>
          <w:b/>
          <w:kern w:val="28"/>
          <w:szCs w:val="24"/>
          <w:u w:val="single"/>
        </w:rPr>
        <w:t xml:space="preserve">Part </w:t>
      </w:r>
      <w:r w:rsidR="005952AE" w:rsidRPr="00CD1393">
        <w:rPr>
          <w:b/>
          <w:kern w:val="28"/>
          <w:szCs w:val="24"/>
          <w:u w:val="single"/>
        </w:rPr>
        <w:t>4</w:t>
      </w:r>
      <w:r w:rsidR="00B011AC" w:rsidRPr="00CD1393">
        <w:rPr>
          <w:b/>
          <w:kern w:val="28"/>
          <w:szCs w:val="24"/>
          <w:u w:val="single"/>
        </w:rPr>
        <w:t xml:space="preserve"> </w:t>
      </w:r>
      <w:r w:rsidRPr="00CD1393">
        <w:rPr>
          <w:b/>
          <w:kern w:val="28"/>
          <w:szCs w:val="24"/>
          <w:u w:val="single"/>
        </w:rPr>
        <w:t>—</w:t>
      </w:r>
      <w:bookmarkEnd w:id="8"/>
      <w:r w:rsidR="00B011AC" w:rsidRPr="00CD1393">
        <w:rPr>
          <w:b/>
          <w:kern w:val="28"/>
          <w:szCs w:val="24"/>
          <w:u w:val="single"/>
        </w:rPr>
        <w:t xml:space="preserve"> </w:t>
      </w:r>
      <w:r w:rsidRPr="00CD1393">
        <w:rPr>
          <w:b/>
          <w:kern w:val="28"/>
          <w:szCs w:val="24"/>
          <w:u w:val="single"/>
        </w:rPr>
        <w:t>Bearer securities</w:t>
      </w:r>
    </w:p>
    <w:p w14:paraId="13F8AD0A" w14:textId="5E5D3808" w:rsidR="00257B66" w:rsidRPr="00CD1393" w:rsidRDefault="00257B66" w:rsidP="00901C91">
      <w:pPr>
        <w:rPr>
          <w:b/>
          <w:szCs w:val="24"/>
        </w:rPr>
      </w:pPr>
      <w:r w:rsidRPr="00CD1393">
        <w:rPr>
          <w:b/>
          <w:szCs w:val="24"/>
        </w:rPr>
        <w:t xml:space="preserve">Section 19 </w:t>
      </w:r>
      <w:r w:rsidR="009B1029" w:rsidRPr="00CD1393">
        <w:rPr>
          <w:b/>
          <w:szCs w:val="24"/>
        </w:rPr>
        <w:t>-</w:t>
      </w:r>
      <w:r w:rsidRPr="00CD1393">
        <w:rPr>
          <w:b/>
          <w:szCs w:val="24"/>
        </w:rPr>
        <w:t xml:space="preserve"> Bearer securities</w:t>
      </w:r>
    </w:p>
    <w:p w14:paraId="6E7864F0" w14:textId="60E3EACE" w:rsidR="00900611" w:rsidRPr="00CD1393" w:rsidRDefault="00900611" w:rsidP="00900611">
      <w:pPr>
        <w:rPr>
          <w:szCs w:val="24"/>
        </w:rPr>
      </w:pPr>
      <w:r w:rsidRPr="00CD1393">
        <w:rPr>
          <w:szCs w:val="24"/>
        </w:rPr>
        <w:t>This section provides that a bearer security is a Treasury Bond, debenture or other prescribed security that was made under subsection 51</w:t>
      </w:r>
      <w:proofErr w:type="gramStart"/>
      <w:r w:rsidRPr="00CD1393">
        <w:rPr>
          <w:szCs w:val="24"/>
        </w:rPr>
        <w:t>A(</w:t>
      </w:r>
      <w:proofErr w:type="gramEnd"/>
      <w:r w:rsidRPr="00CD1393">
        <w:rPr>
          <w:szCs w:val="24"/>
        </w:rPr>
        <w:t>1) of the Act at any time before the commencement of subsection 51A(3) of the Act. This ensures that legacy bearer securities issued prior to 2 July 1984 (the commencement date of subsection 51</w:t>
      </w:r>
      <w:proofErr w:type="gramStart"/>
      <w:r w:rsidRPr="00CD1393">
        <w:rPr>
          <w:szCs w:val="24"/>
        </w:rPr>
        <w:t>A(</w:t>
      </w:r>
      <w:proofErr w:type="gramEnd"/>
      <w:r w:rsidRPr="00CD1393">
        <w:rPr>
          <w:szCs w:val="24"/>
        </w:rPr>
        <w:t>3)) continue to be recognised for the purposes of the Regulations.</w:t>
      </w:r>
    </w:p>
    <w:p w14:paraId="5D63093B" w14:textId="4A54C5D6" w:rsidR="00901C91" w:rsidRPr="00CD1393" w:rsidRDefault="00901C91" w:rsidP="00761DAE">
      <w:pPr>
        <w:rPr>
          <w:b/>
          <w:kern w:val="28"/>
          <w:szCs w:val="24"/>
        </w:rPr>
      </w:pPr>
      <w:r w:rsidRPr="00CD1393">
        <w:rPr>
          <w:b/>
          <w:szCs w:val="24"/>
        </w:rPr>
        <w:t>Section</w:t>
      </w:r>
      <w:r w:rsidRPr="00CD1393">
        <w:rPr>
          <w:b/>
          <w:kern w:val="28"/>
          <w:szCs w:val="24"/>
        </w:rPr>
        <w:t xml:space="preserve"> 2</w:t>
      </w:r>
      <w:r w:rsidR="009C6D1A" w:rsidRPr="00CD1393">
        <w:rPr>
          <w:b/>
          <w:kern w:val="28"/>
          <w:szCs w:val="24"/>
        </w:rPr>
        <w:t>0</w:t>
      </w:r>
      <w:r w:rsidRPr="00CD1393">
        <w:rPr>
          <w:b/>
          <w:kern w:val="28"/>
          <w:szCs w:val="24"/>
        </w:rPr>
        <w:t xml:space="preserve"> - Payment of defaced, lost, stolen or destroyed bearer securit</w:t>
      </w:r>
      <w:r w:rsidR="00D94A37">
        <w:rPr>
          <w:b/>
          <w:kern w:val="28"/>
          <w:szCs w:val="24"/>
        </w:rPr>
        <w:t>ies</w:t>
      </w:r>
      <w:r w:rsidRPr="00CD1393">
        <w:rPr>
          <w:b/>
          <w:kern w:val="28"/>
          <w:szCs w:val="24"/>
        </w:rPr>
        <w:t xml:space="preserve"> or coupon</w:t>
      </w:r>
      <w:r w:rsidR="00D94A37">
        <w:rPr>
          <w:b/>
          <w:kern w:val="28"/>
          <w:szCs w:val="24"/>
        </w:rPr>
        <w:t>s</w:t>
      </w:r>
    </w:p>
    <w:p w14:paraId="3B66008A" w14:textId="485D12D4" w:rsidR="00901C91" w:rsidRPr="00CD1393" w:rsidRDefault="00901C91" w:rsidP="00901C91">
      <w:pPr>
        <w:rPr>
          <w:szCs w:val="24"/>
        </w:rPr>
      </w:pPr>
      <w:r w:rsidRPr="00A44593">
        <w:rPr>
          <w:szCs w:val="24"/>
        </w:rPr>
        <w:t>This section allows the Treasurer to authorise payment of previously issued securities under the Act, that are payable by presentation, where the security has been defaced, lost,</w:t>
      </w:r>
      <w:r w:rsidRPr="00CD1393">
        <w:rPr>
          <w:szCs w:val="24"/>
        </w:rPr>
        <w:t xml:space="preserve"> stolen or destroyed.</w:t>
      </w:r>
      <w:r w:rsidR="000A18EC">
        <w:rPr>
          <w:szCs w:val="24"/>
        </w:rPr>
        <w:t xml:space="preserve"> </w:t>
      </w:r>
      <w:r w:rsidR="000A18EC" w:rsidRPr="000A18EC">
        <w:rPr>
          <w:szCs w:val="24"/>
        </w:rPr>
        <w:t>These bearer instruments, which do not record the name of the holder, are typically redeemed upon physical presentation. In circumstances where the original document is no longer available, this provision enables the rightful owner to apply for repayment.</w:t>
      </w:r>
    </w:p>
    <w:p w14:paraId="532F7B62" w14:textId="57B8C1C4" w:rsidR="00901C91" w:rsidRPr="00CD1393" w:rsidRDefault="00901C91" w:rsidP="00761DAE">
      <w:pPr>
        <w:rPr>
          <w:b/>
          <w:kern w:val="28"/>
          <w:szCs w:val="24"/>
        </w:rPr>
      </w:pPr>
      <w:r w:rsidRPr="00CD1393">
        <w:rPr>
          <w:b/>
          <w:kern w:val="28"/>
          <w:szCs w:val="24"/>
        </w:rPr>
        <w:t>Section 2</w:t>
      </w:r>
      <w:r w:rsidR="00906641" w:rsidRPr="00CD1393">
        <w:rPr>
          <w:b/>
          <w:kern w:val="28"/>
          <w:szCs w:val="24"/>
        </w:rPr>
        <w:t>1</w:t>
      </w:r>
      <w:r w:rsidRPr="00CD1393">
        <w:rPr>
          <w:b/>
          <w:kern w:val="28"/>
          <w:szCs w:val="24"/>
        </w:rPr>
        <w:t xml:space="preserve"> - Destruction of bearer security or coupon</w:t>
      </w:r>
    </w:p>
    <w:p w14:paraId="5F9D42DB" w14:textId="77777777" w:rsidR="00901C91" w:rsidRPr="00CD1393" w:rsidRDefault="00901C91" w:rsidP="00901C91">
      <w:pPr>
        <w:rPr>
          <w:szCs w:val="24"/>
        </w:rPr>
      </w:pPr>
      <w:r w:rsidRPr="00CD1393">
        <w:rPr>
          <w:szCs w:val="24"/>
        </w:rPr>
        <w:t>This section requires the destruction of bearer securities once cancelled.</w:t>
      </w:r>
    </w:p>
    <w:p w14:paraId="2F1AA6BF" w14:textId="039792F4" w:rsidR="00901C91" w:rsidRPr="00CD1393" w:rsidRDefault="00901C91" w:rsidP="00901C91">
      <w:pPr>
        <w:keepNext/>
        <w:keepLines/>
        <w:spacing w:before="280"/>
        <w:ind w:left="1134" w:hanging="1134"/>
        <w:outlineLvl w:val="1"/>
        <w:rPr>
          <w:b/>
          <w:kern w:val="28"/>
          <w:szCs w:val="24"/>
          <w:u w:val="single"/>
        </w:rPr>
      </w:pPr>
      <w:bookmarkStart w:id="9" w:name="_Toc392238610"/>
      <w:r w:rsidRPr="00CD1393">
        <w:rPr>
          <w:b/>
          <w:kern w:val="28"/>
          <w:szCs w:val="24"/>
          <w:u w:val="single"/>
        </w:rPr>
        <w:t xml:space="preserve">Part </w:t>
      </w:r>
      <w:r w:rsidR="00F840B0" w:rsidRPr="00CD1393">
        <w:rPr>
          <w:b/>
          <w:kern w:val="28"/>
          <w:szCs w:val="24"/>
          <w:u w:val="single"/>
        </w:rPr>
        <w:t>5</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bookmarkEnd w:id="9"/>
      <w:r w:rsidR="006639E9" w:rsidRPr="00CD1393">
        <w:rPr>
          <w:b/>
          <w:kern w:val="28"/>
          <w:szCs w:val="24"/>
          <w:u w:val="single"/>
        </w:rPr>
        <w:t>Application of the Treasury Bills Act 1914</w:t>
      </w:r>
    </w:p>
    <w:p w14:paraId="0A064DB2" w14:textId="105BEFC9" w:rsidR="006639E9" w:rsidRPr="00CD1393" w:rsidRDefault="006639E9" w:rsidP="00761DAE">
      <w:pPr>
        <w:rPr>
          <w:b/>
          <w:kern w:val="28"/>
          <w:szCs w:val="24"/>
        </w:rPr>
      </w:pPr>
      <w:r w:rsidRPr="00CD1393">
        <w:rPr>
          <w:b/>
          <w:kern w:val="28"/>
          <w:szCs w:val="24"/>
        </w:rPr>
        <w:t>Section 2</w:t>
      </w:r>
      <w:r w:rsidR="00A23F8B" w:rsidRPr="00CD1393">
        <w:rPr>
          <w:b/>
          <w:kern w:val="28"/>
          <w:szCs w:val="24"/>
        </w:rPr>
        <w:t>2</w:t>
      </w:r>
      <w:r w:rsidRPr="00CD1393">
        <w:rPr>
          <w:b/>
          <w:kern w:val="28"/>
          <w:szCs w:val="24"/>
        </w:rPr>
        <w:t xml:space="preserve"> - </w:t>
      </w:r>
      <w:r w:rsidRPr="00CD1393">
        <w:rPr>
          <w:b/>
          <w:szCs w:val="24"/>
        </w:rPr>
        <w:t xml:space="preserve">Application of </w:t>
      </w:r>
      <w:r w:rsidRPr="00CD1393">
        <w:rPr>
          <w:b/>
          <w:i/>
          <w:szCs w:val="24"/>
        </w:rPr>
        <w:t>Treasury Bills Act</w:t>
      </w:r>
      <w:r w:rsidR="00161508" w:rsidRPr="00CD1393">
        <w:rPr>
          <w:b/>
          <w:i/>
          <w:szCs w:val="24"/>
        </w:rPr>
        <w:t xml:space="preserve"> 1914</w:t>
      </w:r>
    </w:p>
    <w:p w14:paraId="24FEBEDF" w14:textId="10CD66FC" w:rsidR="006639E9" w:rsidRPr="00CD1393" w:rsidRDefault="006639E9" w:rsidP="006639E9">
      <w:pPr>
        <w:rPr>
          <w:szCs w:val="24"/>
        </w:rPr>
      </w:pPr>
      <w:r w:rsidRPr="00CD1393">
        <w:rPr>
          <w:szCs w:val="24"/>
        </w:rPr>
        <w:t xml:space="preserve">This section sets out </w:t>
      </w:r>
      <w:r w:rsidR="003F4695">
        <w:rPr>
          <w:szCs w:val="24"/>
        </w:rPr>
        <w:t xml:space="preserve">in a table </w:t>
      </w:r>
      <w:r w:rsidRPr="00CD1393">
        <w:rPr>
          <w:szCs w:val="24"/>
        </w:rPr>
        <w:t xml:space="preserve">which sections of the </w:t>
      </w:r>
      <w:r w:rsidRPr="00CD1393">
        <w:rPr>
          <w:i/>
          <w:szCs w:val="24"/>
        </w:rPr>
        <w:t>Treasury Bills Act 1914</w:t>
      </w:r>
      <w:r w:rsidRPr="00CD1393">
        <w:rPr>
          <w:szCs w:val="24"/>
        </w:rPr>
        <w:t xml:space="preserve"> do not apply to different security types</w:t>
      </w:r>
      <w:r w:rsidR="001C1919">
        <w:rPr>
          <w:szCs w:val="24"/>
        </w:rPr>
        <w:t>, including Treasury Bonds, Treasury Bills, Treasury Notes, Debentures, Special Bonds, Australian Savings Bonds and other prescribed securities</w:t>
      </w:r>
      <w:r w:rsidRPr="00CD1393">
        <w:rPr>
          <w:szCs w:val="24"/>
        </w:rPr>
        <w:t>.</w:t>
      </w:r>
    </w:p>
    <w:p w14:paraId="0307DBA9" w14:textId="3EBB9E9D" w:rsidR="006639E9" w:rsidRPr="00CD1393" w:rsidRDefault="00B22A25" w:rsidP="00B22A25">
      <w:pPr>
        <w:keepNext/>
        <w:keepLines/>
        <w:spacing w:before="280"/>
        <w:ind w:left="1134" w:hanging="1134"/>
        <w:outlineLvl w:val="1"/>
        <w:rPr>
          <w:b/>
          <w:kern w:val="28"/>
          <w:szCs w:val="24"/>
          <w:u w:val="single"/>
        </w:rPr>
      </w:pPr>
      <w:r w:rsidRPr="00CD1393">
        <w:rPr>
          <w:b/>
          <w:kern w:val="28"/>
          <w:szCs w:val="24"/>
          <w:u w:val="single"/>
        </w:rPr>
        <w:t>Part 6</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Miscellaneous</w:t>
      </w:r>
    </w:p>
    <w:p w14:paraId="2C7BC966" w14:textId="71DF228F" w:rsidR="00901C91" w:rsidRPr="00CD1393" w:rsidRDefault="00901C91" w:rsidP="00761DAE">
      <w:pPr>
        <w:rPr>
          <w:b/>
          <w:kern w:val="28"/>
          <w:szCs w:val="24"/>
        </w:rPr>
      </w:pPr>
      <w:bookmarkStart w:id="10" w:name="_Toc392238611"/>
      <w:bookmarkStart w:id="11" w:name="_Toc392242738"/>
      <w:r w:rsidRPr="00CD1393">
        <w:rPr>
          <w:b/>
          <w:kern w:val="28"/>
          <w:szCs w:val="24"/>
        </w:rPr>
        <w:t>Section 2</w:t>
      </w:r>
      <w:r w:rsidR="00784397" w:rsidRPr="00CD1393">
        <w:rPr>
          <w:b/>
          <w:kern w:val="28"/>
          <w:szCs w:val="24"/>
        </w:rPr>
        <w:t>3</w:t>
      </w:r>
      <w:r w:rsidRPr="00CD1393">
        <w:rPr>
          <w:b/>
          <w:kern w:val="28"/>
          <w:szCs w:val="24"/>
        </w:rPr>
        <w:t xml:space="preserve"> - Delegation of Treasurer</w:t>
      </w:r>
      <w:bookmarkStart w:id="12" w:name="BK_S3P19L3C29"/>
      <w:bookmarkEnd w:id="12"/>
      <w:r w:rsidRPr="00CD1393">
        <w:rPr>
          <w:b/>
          <w:kern w:val="28"/>
          <w:szCs w:val="24"/>
        </w:rPr>
        <w:t>’s powers</w:t>
      </w:r>
      <w:bookmarkEnd w:id="10"/>
      <w:bookmarkEnd w:id="11"/>
    </w:p>
    <w:p w14:paraId="37D418F5" w14:textId="77777777" w:rsidR="005C7C4A" w:rsidRDefault="00901C91" w:rsidP="00FF7B16">
      <w:pPr>
        <w:rPr>
          <w:szCs w:val="24"/>
        </w:rPr>
      </w:pPr>
      <w:r w:rsidRPr="00CD1393">
        <w:rPr>
          <w:szCs w:val="24"/>
        </w:rPr>
        <w:t>This section allows the Treasurer to delegate powers under the Regulation</w:t>
      </w:r>
      <w:r w:rsidR="00246DC3" w:rsidRPr="00CD1393">
        <w:rPr>
          <w:szCs w:val="24"/>
        </w:rPr>
        <w:t>s</w:t>
      </w:r>
      <w:r w:rsidRPr="00CD1393">
        <w:rPr>
          <w:szCs w:val="24"/>
        </w:rPr>
        <w:t xml:space="preserve"> to certain employees of the Department or the Reserve Bank of Australia.</w:t>
      </w:r>
      <w:r w:rsidR="00F1757F">
        <w:rPr>
          <w:szCs w:val="24"/>
        </w:rPr>
        <w:t xml:space="preserve"> </w:t>
      </w:r>
    </w:p>
    <w:p w14:paraId="434FC498" w14:textId="77777777" w:rsidR="005C7C4A" w:rsidRDefault="00F1757F" w:rsidP="00FF7B16">
      <w:pPr>
        <w:rPr>
          <w:szCs w:val="24"/>
        </w:rPr>
      </w:pPr>
      <w:r>
        <w:rPr>
          <w:szCs w:val="24"/>
        </w:rPr>
        <w:t>The Treasurer can delegate to</w:t>
      </w:r>
      <w:r w:rsidR="005C7C4A">
        <w:rPr>
          <w:szCs w:val="24"/>
        </w:rPr>
        <w:t>:</w:t>
      </w:r>
    </w:p>
    <w:p w14:paraId="21C42D7F" w14:textId="74046E05" w:rsidR="00FF7B16" w:rsidRPr="00FF7B16" w:rsidRDefault="00F1757F" w:rsidP="001F2C7E">
      <w:pPr>
        <w:pStyle w:val="Bullet"/>
        <w:rPr>
          <w:szCs w:val="24"/>
        </w:rPr>
      </w:pPr>
      <w:r>
        <w:rPr>
          <w:szCs w:val="24"/>
        </w:rPr>
        <w:t xml:space="preserve"> </w:t>
      </w:r>
      <w:r w:rsidR="00BC1502">
        <w:rPr>
          <w:szCs w:val="24"/>
        </w:rPr>
        <w:t>a Senior Executive Service Employee in Treasur</w:t>
      </w:r>
      <w:r w:rsidR="005C7C4A">
        <w:rPr>
          <w:szCs w:val="24"/>
        </w:rPr>
        <w:t>y</w:t>
      </w:r>
      <w:r w:rsidR="00E550AD">
        <w:t xml:space="preserve">; </w:t>
      </w:r>
      <w:r w:rsidR="00FF7B16" w:rsidRPr="00FF7B16">
        <w:rPr>
          <w:szCs w:val="24"/>
        </w:rPr>
        <w:t>or</w:t>
      </w:r>
    </w:p>
    <w:p w14:paraId="7E121AD4" w14:textId="1C6FAB3A" w:rsidR="00FF7B16" w:rsidRPr="00FF7B16" w:rsidRDefault="00FF7B16" w:rsidP="001F2C7E">
      <w:pPr>
        <w:pStyle w:val="Bullet"/>
        <w:rPr>
          <w:szCs w:val="24"/>
        </w:rPr>
      </w:pPr>
      <w:r w:rsidRPr="00FF7B16">
        <w:rPr>
          <w:szCs w:val="24"/>
        </w:rPr>
        <w:lastRenderedPageBreak/>
        <w:t xml:space="preserve">a staff member of the Reserve Bank </w:t>
      </w:r>
      <w:r w:rsidR="003D4038" w:rsidRPr="00FF7B16">
        <w:rPr>
          <w:szCs w:val="24"/>
        </w:rPr>
        <w:t xml:space="preserve">Service </w:t>
      </w:r>
      <w:r w:rsidR="0047695C">
        <w:rPr>
          <w:szCs w:val="24"/>
        </w:rPr>
        <w:t xml:space="preserve">engaged </w:t>
      </w:r>
      <w:r w:rsidRPr="00FF7B16">
        <w:rPr>
          <w:szCs w:val="24"/>
        </w:rPr>
        <w:t>at an equivalent level to:</w:t>
      </w:r>
    </w:p>
    <w:p w14:paraId="179C31FA" w14:textId="167CD221" w:rsidR="00FF7B16" w:rsidRPr="00FF7B16" w:rsidRDefault="00FF7B16" w:rsidP="001F2C7E">
      <w:pPr>
        <w:pStyle w:val="Dash"/>
        <w:rPr>
          <w:szCs w:val="24"/>
        </w:rPr>
      </w:pPr>
      <w:r w:rsidRPr="00FF7B16">
        <w:rPr>
          <w:szCs w:val="24"/>
        </w:rPr>
        <w:t xml:space="preserve">a </w:t>
      </w:r>
      <w:r w:rsidR="002B278A" w:rsidRPr="002B278A">
        <w:rPr>
          <w:szCs w:val="24"/>
        </w:rPr>
        <w:t>Senior Executive Service</w:t>
      </w:r>
      <w:r w:rsidRPr="00FF7B16">
        <w:rPr>
          <w:szCs w:val="24"/>
        </w:rPr>
        <w:t xml:space="preserve"> employee in </w:t>
      </w:r>
      <w:r w:rsidR="003D4038">
        <w:t>Treasury</w:t>
      </w:r>
      <w:r w:rsidRPr="00FF7B16">
        <w:rPr>
          <w:szCs w:val="24"/>
        </w:rPr>
        <w:t>; or</w:t>
      </w:r>
    </w:p>
    <w:p w14:paraId="67DB22DA" w14:textId="405A68B9" w:rsidR="005D05BE" w:rsidRDefault="00FF7B16" w:rsidP="003D4038">
      <w:pPr>
        <w:pStyle w:val="Dash"/>
      </w:pPr>
      <w:r w:rsidRPr="00FF7B16">
        <w:rPr>
          <w:szCs w:val="24"/>
        </w:rPr>
        <w:t xml:space="preserve">an </w:t>
      </w:r>
      <w:r w:rsidR="002B278A">
        <w:rPr>
          <w:szCs w:val="24"/>
        </w:rPr>
        <w:t>Australian Public Service</w:t>
      </w:r>
      <w:r w:rsidRPr="00FF7B16">
        <w:rPr>
          <w:szCs w:val="24"/>
        </w:rPr>
        <w:t xml:space="preserve"> </w:t>
      </w:r>
      <w:r w:rsidR="004D580C" w:rsidRPr="004D580C">
        <w:rPr>
          <w:szCs w:val="24"/>
        </w:rPr>
        <w:t>Executive Level 2</w:t>
      </w:r>
      <w:r w:rsidR="004D580C">
        <w:rPr>
          <w:szCs w:val="24"/>
        </w:rPr>
        <w:t xml:space="preserve"> </w:t>
      </w:r>
      <w:r w:rsidRPr="00FF7B16">
        <w:rPr>
          <w:szCs w:val="24"/>
        </w:rPr>
        <w:t xml:space="preserve">employee in the </w:t>
      </w:r>
      <w:r w:rsidR="002B278A">
        <w:rPr>
          <w:szCs w:val="24"/>
        </w:rPr>
        <w:t>Treasury</w:t>
      </w:r>
      <w:r w:rsidR="00F0530F">
        <w:rPr>
          <w:szCs w:val="24"/>
        </w:rPr>
        <w:t>.</w:t>
      </w:r>
    </w:p>
    <w:p w14:paraId="23EA29FE" w14:textId="34B98D8F" w:rsidR="00901C91" w:rsidRPr="00CD1393" w:rsidRDefault="005D05BE" w:rsidP="005D05BE">
      <w:pPr>
        <w:rPr>
          <w:szCs w:val="24"/>
        </w:rPr>
      </w:pPr>
      <w:r w:rsidRPr="00CD1393">
        <w:rPr>
          <w:szCs w:val="24"/>
        </w:rPr>
        <w:t>T</w:t>
      </w:r>
      <w:r w:rsidR="00853A8F" w:rsidRPr="00CD1393">
        <w:rPr>
          <w:szCs w:val="24"/>
        </w:rPr>
        <w:t>hese delegations are administrative in nature and are not legislative instruments for the purposes of</w:t>
      </w:r>
      <w:r w:rsidR="0013569C" w:rsidRPr="00CD1393">
        <w:rPr>
          <w:szCs w:val="24"/>
        </w:rPr>
        <w:t xml:space="preserve"> </w:t>
      </w:r>
      <w:r w:rsidR="00853A8F" w:rsidRPr="00CD1393">
        <w:rPr>
          <w:szCs w:val="24"/>
        </w:rPr>
        <w:t>the </w:t>
      </w:r>
      <w:r w:rsidR="00853A8F" w:rsidRPr="00CD1393">
        <w:rPr>
          <w:i/>
          <w:szCs w:val="24"/>
        </w:rPr>
        <w:t>Legislation Act 2003</w:t>
      </w:r>
      <w:r w:rsidR="00853A8F" w:rsidRPr="00CD1393">
        <w:rPr>
          <w:szCs w:val="24"/>
        </w:rPr>
        <w:t>, in accordance with items 1 and 2 of the table in subsection 6(1) of the </w:t>
      </w:r>
      <w:r w:rsidR="00853A8F" w:rsidRPr="00CD1393">
        <w:rPr>
          <w:i/>
          <w:szCs w:val="24"/>
        </w:rPr>
        <w:t>Legislation (Exemptions and Other Matters) Regulation 2015</w:t>
      </w:r>
      <w:r w:rsidR="00853A8F" w:rsidRPr="00CD1393">
        <w:rPr>
          <w:szCs w:val="24"/>
        </w:rPr>
        <w:t xml:space="preserve">. This means they are not subject to disallowance or sunsetting provisions under the </w:t>
      </w:r>
      <w:r w:rsidR="00615C9A" w:rsidRPr="00CD1393">
        <w:rPr>
          <w:i/>
          <w:szCs w:val="24"/>
        </w:rPr>
        <w:t>Legislation Act 2003</w:t>
      </w:r>
      <w:r w:rsidR="00853A8F" w:rsidRPr="00CD1393">
        <w:rPr>
          <w:szCs w:val="24"/>
        </w:rPr>
        <w:t>.</w:t>
      </w:r>
      <w:r w:rsidR="00B74490">
        <w:rPr>
          <w:szCs w:val="24"/>
        </w:rPr>
        <w:t xml:space="preserve"> </w:t>
      </w:r>
    </w:p>
    <w:p w14:paraId="11DF8160" w14:textId="62EFD62A" w:rsidR="002D763B" w:rsidRPr="00277915" w:rsidRDefault="002D763B" w:rsidP="002D763B">
      <w:pPr>
        <w:rPr>
          <w:kern w:val="28"/>
          <w:szCs w:val="24"/>
        </w:rPr>
      </w:pPr>
      <w:r w:rsidRPr="002D763B">
        <w:rPr>
          <w:bCs/>
          <w:kern w:val="28"/>
          <w:szCs w:val="24"/>
        </w:rPr>
        <w:t>The R</w:t>
      </w:r>
      <w:r w:rsidR="00760D05">
        <w:rPr>
          <w:bCs/>
          <w:kern w:val="28"/>
          <w:szCs w:val="24"/>
        </w:rPr>
        <w:t xml:space="preserve">eserve </w:t>
      </w:r>
      <w:r w:rsidRPr="002D763B">
        <w:rPr>
          <w:bCs/>
          <w:kern w:val="28"/>
          <w:szCs w:val="24"/>
        </w:rPr>
        <w:t>B</w:t>
      </w:r>
      <w:r w:rsidR="00760D05">
        <w:rPr>
          <w:bCs/>
          <w:kern w:val="28"/>
          <w:szCs w:val="24"/>
        </w:rPr>
        <w:t xml:space="preserve">ank </w:t>
      </w:r>
      <w:r w:rsidR="00C92FF6">
        <w:rPr>
          <w:bCs/>
          <w:kern w:val="28"/>
          <w:szCs w:val="24"/>
        </w:rPr>
        <w:t xml:space="preserve">of </w:t>
      </w:r>
      <w:r w:rsidRPr="002D763B">
        <w:rPr>
          <w:bCs/>
          <w:kern w:val="28"/>
          <w:szCs w:val="24"/>
        </w:rPr>
        <w:t>A</w:t>
      </w:r>
      <w:r w:rsidR="00C92FF6">
        <w:rPr>
          <w:bCs/>
          <w:kern w:val="28"/>
          <w:szCs w:val="24"/>
        </w:rPr>
        <w:t>ustralia</w:t>
      </w:r>
      <w:r w:rsidRPr="002D763B">
        <w:rPr>
          <w:bCs/>
          <w:kern w:val="28"/>
          <w:szCs w:val="24"/>
        </w:rPr>
        <w:t xml:space="preserve"> conducts encashment activities under contract with the A</w:t>
      </w:r>
      <w:r w:rsidR="00C37A7C">
        <w:rPr>
          <w:bCs/>
          <w:kern w:val="28"/>
          <w:szCs w:val="24"/>
        </w:rPr>
        <w:t xml:space="preserve">ustralian </w:t>
      </w:r>
      <w:r w:rsidRPr="002D763B">
        <w:rPr>
          <w:bCs/>
          <w:kern w:val="28"/>
          <w:szCs w:val="24"/>
        </w:rPr>
        <w:t>O</w:t>
      </w:r>
      <w:r w:rsidR="00C37A7C">
        <w:rPr>
          <w:bCs/>
          <w:kern w:val="28"/>
          <w:szCs w:val="24"/>
        </w:rPr>
        <w:t xml:space="preserve">ffice of </w:t>
      </w:r>
      <w:r w:rsidRPr="002D763B">
        <w:rPr>
          <w:bCs/>
          <w:kern w:val="28"/>
          <w:szCs w:val="24"/>
        </w:rPr>
        <w:t>F</w:t>
      </w:r>
      <w:r w:rsidR="00C37A7C">
        <w:rPr>
          <w:bCs/>
          <w:kern w:val="28"/>
          <w:szCs w:val="24"/>
        </w:rPr>
        <w:t xml:space="preserve">inancial </w:t>
      </w:r>
      <w:r w:rsidRPr="002D763B">
        <w:rPr>
          <w:bCs/>
          <w:kern w:val="28"/>
          <w:szCs w:val="24"/>
        </w:rPr>
        <w:t>M</w:t>
      </w:r>
      <w:r w:rsidR="00C37A7C">
        <w:rPr>
          <w:bCs/>
          <w:kern w:val="28"/>
          <w:szCs w:val="24"/>
        </w:rPr>
        <w:t>anagement</w:t>
      </w:r>
      <w:r w:rsidRPr="002D763B">
        <w:rPr>
          <w:bCs/>
          <w:kern w:val="28"/>
          <w:szCs w:val="24"/>
        </w:rPr>
        <w:t xml:space="preserve">. As these functions are operational, including certificate validation and destruction within 24 hours, they are overseen by an </w:t>
      </w:r>
      <w:r w:rsidR="00722A2A" w:rsidRPr="00722A2A">
        <w:rPr>
          <w:bCs/>
          <w:kern w:val="28"/>
          <w:szCs w:val="24"/>
        </w:rPr>
        <w:t>Executive Level 2</w:t>
      </w:r>
      <w:r w:rsidR="00722A2A">
        <w:rPr>
          <w:bCs/>
          <w:kern w:val="28"/>
          <w:szCs w:val="24"/>
        </w:rPr>
        <w:t xml:space="preserve"> equivalent</w:t>
      </w:r>
      <w:r w:rsidRPr="002D763B">
        <w:rPr>
          <w:bCs/>
          <w:kern w:val="28"/>
          <w:szCs w:val="24"/>
        </w:rPr>
        <w:t xml:space="preserve"> officer. Th</w:t>
      </w:r>
      <w:r w:rsidR="00AA7D25">
        <w:rPr>
          <w:bCs/>
          <w:kern w:val="28"/>
          <w:szCs w:val="24"/>
        </w:rPr>
        <w:t xml:space="preserve">e </w:t>
      </w:r>
      <w:r w:rsidRPr="002D763B">
        <w:rPr>
          <w:bCs/>
          <w:kern w:val="28"/>
          <w:szCs w:val="24"/>
        </w:rPr>
        <w:t xml:space="preserve">officer has relevant expertise and manages </w:t>
      </w:r>
      <w:r w:rsidR="004A3633" w:rsidRPr="00D32B3F">
        <w:t>anti-money laundering</w:t>
      </w:r>
      <w:r w:rsidR="009406F8" w:rsidRPr="00D32B3F">
        <w:t xml:space="preserve"> and </w:t>
      </w:r>
      <w:r w:rsidR="004A3633" w:rsidRPr="00D32B3F">
        <w:t>counter-terrorism financing</w:t>
      </w:r>
      <w:r w:rsidRPr="002D763B">
        <w:rPr>
          <w:bCs/>
          <w:kern w:val="28"/>
          <w:szCs w:val="24"/>
        </w:rPr>
        <w:t xml:space="preserve"> </w:t>
      </w:r>
      <w:proofErr w:type="gramStart"/>
      <w:r w:rsidRPr="002D763B">
        <w:rPr>
          <w:bCs/>
          <w:kern w:val="28"/>
          <w:szCs w:val="24"/>
        </w:rPr>
        <w:t>compliance</w:t>
      </w:r>
      <w:proofErr w:type="gramEnd"/>
      <w:r w:rsidRPr="002D763B">
        <w:rPr>
          <w:bCs/>
          <w:kern w:val="28"/>
          <w:szCs w:val="24"/>
        </w:rPr>
        <w:t xml:space="preserve"> and the bearer certificate register</w:t>
      </w:r>
      <w:r w:rsidR="00E30C65">
        <w:rPr>
          <w:bCs/>
          <w:kern w:val="28"/>
          <w:szCs w:val="24"/>
        </w:rPr>
        <w:t xml:space="preserve"> </w:t>
      </w:r>
      <w:r w:rsidR="00315A38">
        <w:rPr>
          <w:bCs/>
          <w:kern w:val="28"/>
          <w:szCs w:val="24"/>
        </w:rPr>
        <w:t xml:space="preserve">operational </w:t>
      </w:r>
      <w:r w:rsidR="00E30C65">
        <w:rPr>
          <w:bCs/>
          <w:kern w:val="28"/>
          <w:szCs w:val="24"/>
        </w:rPr>
        <w:t>function</w:t>
      </w:r>
      <w:r w:rsidR="00315A38">
        <w:rPr>
          <w:bCs/>
          <w:kern w:val="28"/>
          <w:szCs w:val="24"/>
        </w:rPr>
        <w:t>s</w:t>
      </w:r>
      <w:r w:rsidRPr="002D763B">
        <w:rPr>
          <w:bCs/>
          <w:kern w:val="28"/>
          <w:szCs w:val="24"/>
        </w:rPr>
        <w:t xml:space="preserve">. Delegation to this level </w:t>
      </w:r>
      <w:r w:rsidR="000456D3">
        <w:rPr>
          <w:bCs/>
          <w:kern w:val="28"/>
          <w:szCs w:val="24"/>
        </w:rPr>
        <w:t xml:space="preserve">at the Reserve Bank </w:t>
      </w:r>
      <w:r w:rsidR="00247B60">
        <w:rPr>
          <w:bCs/>
          <w:kern w:val="28"/>
          <w:szCs w:val="24"/>
        </w:rPr>
        <w:t xml:space="preserve">is appropriate as it </w:t>
      </w:r>
      <w:r w:rsidRPr="002D763B">
        <w:rPr>
          <w:bCs/>
          <w:kern w:val="28"/>
          <w:szCs w:val="24"/>
        </w:rPr>
        <w:t xml:space="preserve">reflects longstanding practice and ensures </w:t>
      </w:r>
      <w:r w:rsidR="009933D8">
        <w:rPr>
          <w:bCs/>
          <w:kern w:val="28"/>
          <w:szCs w:val="24"/>
        </w:rPr>
        <w:t xml:space="preserve">timely and </w:t>
      </w:r>
      <w:r w:rsidRPr="002D763B">
        <w:rPr>
          <w:bCs/>
          <w:kern w:val="28"/>
          <w:szCs w:val="24"/>
        </w:rPr>
        <w:t xml:space="preserve">efficient handling of </w:t>
      </w:r>
      <w:r w:rsidR="004D652D">
        <w:rPr>
          <w:bCs/>
          <w:kern w:val="28"/>
          <w:szCs w:val="24"/>
        </w:rPr>
        <w:t xml:space="preserve">these </w:t>
      </w:r>
      <w:r w:rsidRPr="002D763B">
        <w:rPr>
          <w:bCs/>
          <w:kern w:val="28"/>
          <w:szCs w:val="24"/>
        </w:rPr>
        <w:t xml:space="preserve">encashment </w:t>
      </w:r>
      <w:r w:rsidR="00980318">
        <w:rPr>
          <w:bCs/>
          <w:kern w:val="28"/>
          <w:szCs w:val="24"/>
        </w:rPr>
        <w:t xml:space="preserve">related </w:t>
      </w:r>
      <w:r w:rsidRPr="002D763B">
        <w:rPr>
          <w:bCs/>
          <w:kern w:val="28"/>
          <w:szCs w:val="24"/>
        </w:rPr>
        <w:t>processes.</w:t>
      </w:r>
      <w:r w:rsidR="0024402D">
        <w:rPr>
          <w:bCs/>
          <w:kern w:val="28"/>
          <w:szCs w:val="24"/>
        </w:rPr>
        <w:t xml:space="preserve"> Requiring </w:t>
      </w:r>
      <w:r w:rsidR="00B47DA6">
        <w:rPr>
          <w:bCs/>
          <w:kern w:val="28"/>
          <w:szCs w:val="24"/>
        </w:rPr>
        <w:t xml:space="preserve">this function to be directly </w:t>
      </w:r>
      <w:r w:rsidR="001F4F10">
        <w:rPr>
          <w:bCs/>
          <w:kern w:val="28"/>
          <w:szCs w:val="24"/>
        </w:rPr>
        <w:t xml:space="preserve">overseen by a </w:t>
      </w:r>
      <w:r w:rsidR="00703801">
        <w:rPr>
          <w:bCs/>
          <w:kern w:val="28"/>
          <w:szCs w:val="24"/>
        </w:rPr>
        <w:t>Senior Executive Service</w:t>
      </w:r>
      <w:r w:rsidR="001F4F10">
        <w:rPr>
          <w:bCs/>
          <w:kern w:val="28"/>
          <w:szCs w:val="24"/>
        </w:rPr>
        <w:t xml:space="preserve"> officer </w:t>
      </w:r>
      <w:r w:rsidR="001957D6">
        <w:rPr>
          <w:bCs/>
          <w:kern w:val="28"/>
          <w:szCs w:val="24"/>
        </w:rPr>
        <w:t xml:space="preserve">would mean that </w:t>
      </w:r>
      <w:r w:rsidR="00D70351">
        <w:rPr>
          <w:bCs/>
          <w:kern w:val="28"/>
          <w:szCs w:val="24"/>
        </w:rPr>
        <w:t xml:space="preserve">the </w:t>
      </w:r>
      <w:r w:rsidR="00267F14">
        <w:rPr>
          <w:bCs/>
          <w:kern w:val="28"/>
          <w:szCs w:val="24"/>
        </w:rPr>
        <w:t>key</w:t>
      </w:r>
      <w:r w:rsidR="00D70351">
        <w:rPr>
          <w:bCs/>
          <w:kern w:val="28"/>
          <w:szCs w:val="24"/>
        </w:rPr>
        <w:t xml:space="preserve"> </w:t>
      </w:r>
      <w:proofErr w:type="gramStart"/>
      <w:r w:rsidR="00D70351">
        <w:rPr>
          <w:bCs/>
          <w:kern w:val="28"/>
          <w:szCs w:val="24"/>
        </w:rPr>
        <w:t>24 hour</w:t>
      </w:r>
      <w:proofErr w:type="gramEnd"/>
      <w:r w:rsidR="00267F14">
        <w:rPr>
          <w:bCs/>
          <w:kern w:val="28"/>
          <w:szCs w:val="24"/>
        </w:rPr>
        <w:t xml:space="preserve"> timeline </w:t>
      </w:r>
      <w:r w:rsidR="00F211B8">
        <w:rPr>
          <w:bCs/>
          <w:kern w:val="28"/>
          <w:szCs w:val="24"/>
        </w:rPr>
        <w:t xml:space="preserve">within which </w:t>
      </w:r>
      <w:r w:rsidR="00267F14">
        <w:rPr>
          <w:bCs/>
          <w:kern w:val="28"/>
          <w:szCs w:val="24"/>
        </w:rPr>
        <w:t xml:space="preserve">to </w:t>
      </w:r>
      <w:r w:rsidR="002B09CC">
        <w:rPr>
          <w:bCs/>
          <w:kern w:val="28"/>
          <w:szCs w:val="24"/>
        </w:rPr>
        <w:t xml:space="preserve">undertake </w:t>
      </w:r>
      <w:r w:rsidR="00D70351">
        <w:rPr>
          <w:bCs/>
          <w:kern w:val="28"/>
          <w:szCs w:val="24"/>
        </w:rPr>
        <w:t xml:space="preserve">these </w:t>
      </w:r>
      <w:r w:rsidR="002B09CC">
        <w:rPr>
          <w:bCs/>
          <w:kern w:val="28"/>
          <w:szCs w:val="24"/>
        </w:rPr>
        <w:t>functions for security purposes could not be satisfied</w:t>
      </w:r>
      <w:r w:rsidR="00F36954">
        <w:rPr>
          <w:bCs/>
          <w:kern w:val="28"/>
          <w:szCs w:val="24"/>
        </w:rPr>
        <w:t xml:space="preserve"> given the </w:t>
      </w:r>
      <w:r w:rsidR="00703801">
        <w:rPr>
          <w:bCs/>
          <w:kern w:val="28"/>
          <w:szCs w:val="24"/>
        </w:rPr>
        <w:t xml:space="preserve">wide ranging duties of </w:t>
      </w:r>
      <w:r w:rsidR="00C51469">
        <w:rPr>
          <w:bCs/>
          <w:kern w:val="28"/>
          <w:szCs w:val="24"/>
        </w:rPr>
        <w:t xml:space="preserve">Reserve Bank of Australia </w:t>
      </w:r>
      <w:r w:rsidR="00703801" w:rsidRPr="00703801">
        <w:rPr>
          <w:bCs/>
          <w:kern w:val="28"/>
          <w:szCs w:val="24"/>
        </w:rPr>
        <w:t>Senior Executive Service officer</w:t>
      </w:r>
      <w:r w:rsidR="00D70351">
        <w:rPr>
          <w:bCs/>
          <w:kern w:val="28"/>
          <w:szCs w:val="24"/>
        </w:rPr>
        <w:t>s</w:t>
      </w:r>
      <w:r w:rsidR="00703801">
        <w:rPr>
          <w:bCs/>
          <w:kern w:val="28"/>
          <w:szCs w:val="24"/>
        </w:rPr>
        <w:t>.</w:t>
      </w:r>
    </w:p>
    <w:p w14:paraId="13B925BF" w14:textId="509B427C" w:rsidR="00D77AEF" w:rsidRPr="00CD1393" w:rsidRDefault="00D77AEF" w:rsidP="00D77AEF">
      <w:pPr>
        <w:rPr>
          <w:b/>
          <w:kern w:val="28"/>
          <w:szCs w:val="24"/>
        </w:rPr>
      </w:pPr>
      <w:r w:rsidRPr="00CD1393">
        <w:rPr>
          <w:b/>
          <w:kern w:val="28"/>
          <w:szCs w:val="24"/>
        </w:rPr>
        <w:t>Section 2</w:t>
      </w:r>
      <w:r w:rsidR="00784397" w:rsidRPr="00CD1393">
        <w:rPr>
          <w:b/>
          <w:kern w:val="28"/>
          <w:szCs w:val="24"/>
        </w:rPr>
        <w:t>4</w:t>
      </w:r>
      <w:r w:rsidRPr="00CD1393">
        <w:rPr>
          <w:b/>
          <w:kern w:val="28"/>
          <w:szCs w:val="24"/>
        </w:rPr>
        <w:t xml:space="preserve"> – Approved forms</w:t>
      </w:r>
    </w:p>
    <w:p w14:paraId="0181B96D" w14:textId="254DD735" w:rsidR="007F47F8" w:rsidRPr="00CD1393" w:rsidRDefault="00E95EC7" w:rsidP="00D77AEF">
      <w:pPr>
        <w:rPr>
          <w:kern w:val="28"/>
          <w:szCs w:val="24"/>
        </w:rPr>
      </w:pPr>
      <w:r w:rsidRPr="00CD1393">
        <w:rPr>
          <w:kern w:val="28"/>
          <w:szCs w:val="24"/>
        </w:rPr>
        <w:t xml:space="preserve">This section provides that the Treasurer may, in writing, approve one or more forms for the purposes of </w:t>
      </w:r>
      <w:r w:rsidR="007F47F8" w:rsidRPr="00CD1393">
        <w:rPr>
          <w:kern w:val="28"/>
          <w:szCs w:val="24"/>
        </w:rPr>
        <w:t>a provision of the Regulations that requires something to be done in an approved form. This ensures clarity and consistency in administrative processes and aligns with current drafting practice by conferring the power to approve forms through a standalone provision.</w:t>
      </w:r>
    </w:p>
    <w:p w14:paraId="4AB97E76" w14:textId="0316F8AF" w:rsidR="004F718B" w:rsidRPr="00CD1393" w:rsidRDefault="00FC63AE" w:rsidP="00D77AEF">
      <w:pPr>
        <w:rPr>
          <w:kern w:val="28"/>
          <w:szCs w:val="24"/>
        </w:rPr>
      </w:pPr>
      <w:r>
        <w:rPr>
          <w:kern w:val="28"/>
          <w:szCs w:val="24"/>
        </w:rPr>
        <w:t>A</w:t>
      </w:r>
      <w:r w:rsidR="004F4762">
        <w:rPr>
          <w:kern w:val="28"/>
          <w:szCs w:val="24"/>
        </w:rPr>
        <w:t>pproved for</w:t>
      </w:r>
      <w:r w:rsidR="00545809">
        <w:rPr>
          <w:kern w:val="28"/>
          <w:szCs w:val="24"/>
        </w:rPr>
        <w:t>ms made under section 24</w:t>
      </w:r>
      <w:r w:rsidR="004F718B" w:rsidRPr="004F718B">
        <w:rPr>
          <w:kern w:val="28"/>
          <w:szCs w:val="24"/>
        </w:rPr>
        <w:t xml:space="preserve"> are administrative in nature and are not legislative instruments for the purposes of the </w:t>
      </w:r>
      <w:r w:rsidR="004F718B" w:rsidRPr="006900B1">
        <w:rPr>
          <w:i/>
          <w:iCs/>
          <w:kern w:val="28"/>
          <w:szCs w:val="24"/>
        </w:rPr>
        <w:t>Legislation Act 2003</w:t>
      </w:r>
      <w:r w:rsidR="004F718B" w:rsidRPr="004F718B">
        <w:rPr>
          <w:kern w:val="28"/>
          <w:szCs w:val="24"/>
        </w:rPr>
        <w:t xml:space="preserve">, in accordance with item </w:t>
      </w:r>
      <w:r w:rsidR="004F718B">
        <w:rPr>
          <w:kern w:val="28"/>
          <w:szCs w:val="24"/>
        </w:rPr>
        <w:t>6</w:t>
      </w:r>
      <w:r w:rsidR="004F718B" w:rsidRPr="004F718B">
        <w:rPr>
          <w:kern w:val="28"/>
          <w:szCs w:val="24"/>
        </w:rPr>
        <w:t xml:space="preserve"> of the table in subsection 6(1) of the </w:t>
      </w:r>
      <w:r w:rsidR="004F718B" w:rsidRPr="006900B1">
        <w:rPr>
          <w:i/>
          <w:iCs/>
          <w:kern w:val="28"/>
          <w:szCs w:val="24"/>
        </w:rPr>
        <w:t>Legislation (Exemptions and Other Matters) Regulation 2015</w:t>
      </w:r>
      <w:r w:rsidR="004F718B" w:rsidRPr="004F718B">
        <w:rPr>
          <w:kern w:val="28"/>
          <w:szCs w:val="24"/>
        </w:rPr>
        <w:t xml:space="preserve">. This means they are not subject to disallowance or sunsetting provisions under the </w:t>
      </w:r>
      <w:r w:rsidR="004F718B" w:rsidRPr="006900B1">
        <w:rPr>
          <w:i/>
          <w:iCs/>
          <w:kern w:val="28"/>
          <w:szCs w:val="24"/>
        </w:rPr>
        <w:t>Legislation Act 2003</w:t>
      </w:r>
      <w:r w:rsidR="004F718B" w:rsidRPr="004F718B">
        <w:rPr>
          <w:kern w:val="28"/>
          <w:szCs w:val="24"/>
        </w:rPr>
        <w:t>.</w:t>
      </w:r>
    </w:p>
    <w:p w14:paraId="5772BCA2" w14:textId="65611C0D" w:rsidR="00C65BBA" w:rsidRPr="00CD1393" w:rsidRDefault="00C65BBA" w:rsidP="00761DAE">
      <w:pPr>
        <w:keepNext/>
        <w:keepLines/>
        <w:spacing w:before="280"/>
        <w:ind w:left="1134" w:hanging="1134"/>
        <w:outlineLvl w:val="1"/>
        <w:rPr>
          <w:b/>
          <w:kern w:val="28"/>
          <w:szCs w:val="24"/>
          <w:u w:val="single"/>
        </w:rPr>
      </w:pPr>
      <w:r w:rsidRPr="00CD1393">
        <w:rPr>
          <w:b/>
          <w:kern w:val="28"/>
          <w:szCs w:val="24"/>
          <w:u w:val="single"/>
        </w:rPr>
        <w:t>Part 7</w:t>
      </w:r>
      <w:r w:rsidR="00B011AC" w:rsidRPr="00CD1393">
        <w:rPr>
          <w:b/>
          <w:kern w:val="28"/>
          <w:szCs w:val="24"/>
          <w:u w:val="single"/>
        </w:rPr>
        <w:t xml:space="preserve"> </w:t>
      </w:r>
      <w:r w:rsidRPr="00CD1393">
        <w:rPr>
          <w:b/>
          <w:kern w:val="28"/>
          <w:szCs w:val="24"/>
          <w:u w:val="single"/>
        </w:rPr>
        <w:t>—</w:t>
      </w:r>
      <w:r w:rsidR="00B011AC" w:rsidRPr="00CD1393">
        <w:rPr>
          <w:b/>
          <w:kern w:val="28"/>
          <w:szCs w:val="24"/>
          <w:u w:val="single"/>
        </w:rPr>
        <w:t xml:space="preserve"> </w:t>
      </w:r>
      <w:r w:rsidRPr="00CD1393">
        <w:rPr>
          <w:b/>
          <w:kern w:val="28"/>
          <w:szCs w:val="24"/>
          <w:u w:val="single"/>
        </w:rPr>
        <w:t>Transitional provisions</w:t>
      </w:r>
    </w:p>
    <w:p w14:paraId="047467B8" w14:textId="465DEBD8" w:rsidR="009C6D1A" w:rsidRPr="00CD1393" w:rsidRDefault="009C6D1A" w:rsidP="009C6D1A">
      <w:pPr>
        <w:rPr>
          <w:b/>
          <w:szCs w:val="24"/>
        </w:rPr>
      </w:pPr>
      <w:r w:rsidRPr="00CD1393">
        <w:rPr>
          <w:b/>
          <w:szCs w:val="24"/>
        </w:rPr>
        <w:t xml:space="preserve">Section </w:t>
      </w:r>
      <w:r w:rsidR="00677AE4" w:rsidRPr="00CD1393">
        <w:rPr>
          <w:b/>
          <w:szCs w:val="24"/>
        </w:rPr>
        <w:t>2</w:t>
      </w:r>
      <w:r w:rsidR="00784397" w:rsidRPr="00CD1393">
        <w:rPr>
          <w:b/>
          <w:szCs w:val="24"/>
        </w:rPr>
        <w:t>5</w:t>
      </w:r>
      <w:r w:rsidRPr="00CD1393">
        <w:rPr>
          <w:b/>
          <w:szCs w:val="24"/>
        </w:rPr>
        <w:t xml:space="preserve"> - Prescribed securities made out under subsection 51</w:t>
      </w:r>
      <w:proofErr w:type="gramStart"/>
      <w:r w:rsidRPr="00CD1393">
        <w:rPr>
          <w:b/>
          <w:szCs w:val="24"/>
        </w:rPr>
        <w:t>A(</w:t>
      </w:r>
      <w:proofErr w:type="gramEnd"/>
      <w:r w:rsidRPr="00CD1393">
        <w:rPr>
          <w:b/>
          <w:szCs w:val="24"/>
        </w:rPr>
        <w:t>1)</w:t>
      </w:r>
      <w:r w:rsidR="00677AE4" w:rsidRPr="00CD1393">
        <w:rPr>
          <w:b/>
          <w:szCs w:val="24"/>
        </w:rPr>
        <w:t xml:space="preserve"> of the Act</w:t>
      </w:r>
    </w:p>
    <w:p w14:paraId="5D290AA0" w14:textId="39FE16A9" w:rsidR="009C6D1A" w:rsidRPr="00CF6432" w:rsidRDefault="009C6D1A" w:rsidP="00761DAE">
      <w:r w:rsidRPr="00CD1393">
        <w:rPr>
          <w:szCs w:val="24"/>
        </w:rPr>
        <w:t>This section specifies that any securities previously issued under section 51A of the Act continue to be prescribed securities for the purposes of the Act</w:t>
      </w:r>
      <w:r w:rsidR="0042509B">
        <w:rPr>
          <w:szCs w:val="24"/>
        </w:rPr>
        <w:t xml:space="preserve"> despite the repeal of the regulations under </w:t>
      </w:r>
      <w:r w:rsidR="001F2B5C">
        <w:rPr>
          <w:szCs w:val="24"/>
        </w:rPr>
        <w:t>sections 43</w:t>
      </w:r>
      <w:r w:rsidR="006E1E3B">
        <w:rPr>
          <w:szCs w:val="24"/>
        </w:rPr>
        <w:t>, 46, 46A and 48 of the repealed regulations</w:t>
      </w:r>
      <w:r w:rsidRPr="00CD1393">
        <w:rPr>
          <w:szCs w:val="24"/>
        </w:rPr>
        <w:t>.</w:t>
      </w:r>
    </w:p>
    <w:p w14:paraId="3765C1E0" w14:textId="3A5DF234" w:rsidR="0093421F" w:rsidRPr="003C5719" w:rsidRDefault="007A55A7" w:rsidP="0093421F">
      <w:pPr>
        <w:pageBreakBefore/>
        <w:spacing w:before="240"/>
        <w:jc w:val="right"/>
        <w:rPr>
          <w:b/>
          <w:u w:val="single"/>
        </w:rPr>
      </w:pPr>
      <w:r w:rsidRPr="003C5719">
        <w:rPr>
          <w:b/>
          <w:u w:val="single"/>
        </w:rPr>
        <w:lastRenderedPageBreak/>
        <w:t xml:space="preserve">ATTACHMENT </w:t>
      </w:r>
      <w:r w:rsidR="00EA6DB9">
        <w:rPr>
          <w:b/>
          <w:u w:val="single"/>
        </w:rPr>
        <w:t>B</w:t>
      </w:r>
    </w:p>
    <w:p w14:paraId="1ED2C2AD" w14:textId="77777777" w:rsidR="00757B95" w:rsidRPr="00757B95" w:rsidRDefault="00757B95" w:rsidP="003E2922">
      <w:pPr>
        <w:pStyle w:val="base-text-paragraph"/>
        <w:ind w:left="0"/>
      </w:pPr>
    </w:p>
    <w:p w14:paraId="168330F4" w14:textId="77777777" w:rsidR="00E4438C" w:rsidRPr="003C5719" w:rsidRDefault="00E4438C" w:rsidP="00883863">
      <w:pPr>
        <w:pStyle w:val="Heading3"/>
        <w:jc w:val="center"/>
      </w:pPr>
      <w:r w:rsidRPr="003C5719">
        <w:t>Statement of Compatibility with Human Rights</w:t>
      </w:r>
    </w:p>
    <w:p w14:paraId="41F9CCC5"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27316A06" w14:textId="6B4F1100" w:rsidR="00E4438C" w:rsidRPr="003C5719" w:rsidRDefault="003E2922" w:rsidP="004A27A8">
      <w:pPr>
        <w:pStyle w:val="Heading3"/>
        <w:jc w:val="center"/>
      </w:pPr>
      <w:r>
        <w:t>Commonwealth Inscribed Stock Regulation</w:t>
      </w:r>
      <w:r w:rsidR="00A41D89">
        <w:t>s</w:t>
      </w:r>
      <w:r>
        <w:t xml:space="preserve"> 2025</w:t>
      </w:r>
    </w:p>
    <w:p w14:paraId="0EEAF5B0" w14:textId="77777777" w:rsidR="005D5428" w:rsidRPr="003C5719" w:rsidRDefault="005D5428" w:rsidP="005D542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4E9242E5" w14:textId="77777777" w:rsidR="00E4438C" w:rsidRPr="003C5719" w:rsidRDefault="00E4438C" w:rsidP="004A27A8">
      <w:pPr>
        <w:pStyle w:val="Heading3"/>
      </w:pPr>
      <w:r w:rsidRPr="003C5719">
        <w:t>Overview of the Legislative Instrument</w:t>
      </w:r>
    </w:p>
    <w:p w14:paraId="22CF4C3C" w14:textId="28E79377" w:rsidR="00175998" w:rsidRDefault="00175998" w:rsidP="00175998">
      <w:r>
        <w:t xml:space="preserve">The </w:t>
      </w:r>
      <w:r>
        <w:rPr>
          <w:i/>
        </w:rPr>
        <w:t>Commonwealth Inscribed Stock Regulation</w:t>
      </w:r>
      <w:r w:rsidR="005D5428">
        <w:rPr>
          <w:i/>
        </w:rPr>
        <w:t>s</w:t>
      </w:r>
      <w:r>
        <w:rPr>
          <w:i/>
        </w:rPr>
        <w:t xml:space="preserve"> 20</w:t>
      </w:r>
      <w:r w:rsidR="005D5428">
        <w:rPr>
          <w:i/>
        </w:rPr>
        <w:t>25</w:t>
      </w:r>
      <w:r>
        <w:t xml:space="preserve"> prescribes matters in relation to the administration of </w:t>
      </w:r>
      <w:r w:rsidR="003F029F">
        <w:t>s</w:t>
      </w:r>
      <w:r>
        <w:t xml:space="preserve">tock issued under the </w:t>
      </w:r>
      <w:r>
        <w:rPr>
          <w:i/>
        </w:rPr>
        <w:t>Commonwealth Inscribed Stock Act 1911</w:t>
      </w:r>
      <w:r w:rsidR="00FD00EC">
        <w:rPr>
          <w:i/>
        </w:rPr>
        <w:t xml:space="preserve"> </w:t>
      </w:r>
      <w:r w:rsidR="00FD00EC" w:rsidRPr="00FD00EC">
        <w:rPr>
          <w:iCs/>
        </w:rPr>
        <w:t>(the Act)</w:t>
      </w:r>
      <w:r>
        <w:t>.</w:t>
      </w:r>
    </w:p>
    <w:p w14:paraId="13212FF7" w14:textId="08606341" w:rsidR="001C734B" w:rsidRDefault="001C734B" w:rsidP="00175998">
      <w:r w:rsidRPr="001C734B">
        <w:t xml:space="preserve">The </w:t>
      </w:r>
      <w:r w:rsidR="00AB490B">
        <w:t>Legislative Instrument</w:t>
      </w:r>
      <w:r w:rsidRPr="001C734B">
        <w:t xml:space="preserve"> support</w:t>
      </w:r>
      <w:r w:rsidR="00AB490B">
        <w:t>s</w:t>
      </w:r>
      <w:r w:rsidRPr="001C734B">
        <w:t xml:space="preserve"> the effective operation of the registry maintained under the Act by specifying administrative and procedural requirements for the inscription, transfer, and management of Commonwealth Government securities. This includes assisting the Registrar in performing their functions and exercising their powers under the Act.</w:t>
      </w:r>
    </w:p>
    <w:p w14:paraId="086D6B83" w14:textId="402C3D23" w:rsidR="005F3838" w:rsidRDefault="005F3838" w:rsidP="00175998">
      <w:r w:rsidRPr="005F3838">
        <w:t xml:space="preserve">The </w:t>
      </w:r>
      <w:r w:rsidR="004075FB">
        <w:t xml:space="preserve">Legislative Instrument </w:t>
      </w:r>
      <w:r w:rsidRPr="005F3838">
        <w:t xml:space="preserve">also prescribe the handling of personal information for the purposes of maintaining the register, confirming ownership, processing transfers, paying interest and principal, and providing statements or updates to investors. </w:t>
      </w:r>
      <w:r w:rsidR="00F961F0">
        <w:t xml:space="preserve">The Registry is required to adhere to the </w:t>
      </w:r>
      <w:r w:rsidR="00F961F0">
        <w:rPr>
          <w:i/>
        </w:rPr>
        <w:t>Privacy Act 1988</w:t>
      </w:r>
      <w:r w:rsidR="00F961F0">
        <w:t>.</w:t>
      </w:r>
    </w:p>
    <w:p w14:paraId="5C1D3597" w14:textId="502F4BA5" w:rsidR="00E4438C" w:rsidRPr="00175998" w:rsidRDefault="00D66302" w:rsidP="00175998">
      <w:r>
        <w:t>Additionally,</w:t>
      </w:r>
      <w:r w:rsidR="004075FB">
        <w:t xml:space="preserve"> the Legislative Instrument </w:t>
      </w:r>
      <w:r w:rsidR="00175998">
        <w:t>also specifies the process for replacement or payment of bearer securities previously issued under the Act where the securities have been lost, stolen, destroyed or mutilated.</w:t>
      </w:r>
    </w:p>
    <w:p w14:paraId="28CEF1FE" w14:textId="77777777" w:rsidR="00EB2BED" w:rsidRDefault="00E4438C" w:rsidP="004A27A8">
      <w:pPr>
        <w:pStyle w:val="Heading3"/>
      </w:pPr>
      <w:r w:rsidRPr="003C5719">
        <w:t>Human rights implications</w:t>
      </w:r>
      <w:r w:rsidR="006B520A">
        <w:t xml:space="preserve"> </w:t>
      </w:r>
    </w:p>
    <w:p w14:paraId="2BDFAEC7" w14:textId="630BE27F" w:rsidR="00E4438C" w:rsidRPr="003C5719" w:rsidRDefault="00454E2D" w:rsidP="004A27A8">
      <w:pPr>
        <w:spacing w:before="240"/>
      </w:pPr>
      <w:r>
        <w:t>This Legislative Instrument does not engage any of the applicable rights or freedoms.</w:t>
      </w:r>
    </w:p>
    <w:p w14:paraId="3F40DFBC" w14:textId="77777777" w:rsidR="00EB2BED" w:rsidRDefault="00E4438C" w:rsidP="004A27A8">
      <w:pPr>
        <w:pStyle w:val="Heading3"/>
      </w:pPr>
      <w:r w:rsidRPr="003C5719">
        <w:t>Conclusion</w:t>
      </w:r>
      <w:r w:rsidR="006D60D0">
        <w:t xml:space="preserve"> </w:t>
      </w:r>
    </w:p>
    <w:p w14:paraId="7F49F710" w14:textId="684EBBA0"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FADD" w14:textId="77777777" w:rsidR="0068218F" w:rsidRDefault="0068218F" w:rsidP="00954679">
      <w:pPr>
        <w:spacing w:before="0" w:after="0"/>
      </w:pPr>
      <w:r>
        <w:separator/>
      </w:r>
    </w:p>
  </w:endnote>
  <w:endnote w:type="continuationSeparator" w:id="0">
    <w:p w14:paraId="55B5CA6B" w14:textId="77777777" w:rsidR="0068218F" w:rsidRDefault="0068218F" w:rsidP="00954679">
      <w:pPr>
        <w:spacing w:before="0" w:after="0"/>
      </w:pPr>
      <w:r>
        <w:continuationSeparator/>
      </w:r>
    </w:p>
  </w:endnote>
  <w:endnote w:type="continuationNotice" w:id="1">
    <w:p w14:paraId="775D3CC9" w14:textId="77777777" w:rsidR="0068218F" w:rsidRDefault="006821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D540D2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FE0A" w14:textId="77777777" w:rsidR="0068218F" w:rsidRDefault="0068218F" w:rsidP="00954679">
      <w:pPr>
        <w:spacing w:before="0" w:after="0"/>
      </w:pPr>
      <w:r>
        <w:separator/>
      </w:r>
    </w:p>
  </w:footnote>
  <w:footnote w:type="continuationSeparator" w:id="0">
    <w:p w14:paraId="6F1DEFA5" w14:textId="77777777" w:rsidR="0068218F" w:rsidRDefault="0068218F" w:rsidP="00954679">
      <w:pPr>
        <w:spacing w:before="0" w:after="0"/>
      </w:pPr>
      <w:r>
        <w:continuationSeparator/>
      </w:r>
    </w:p>
  </w:footnote>
  <w:footnote w:type="continuationNotice" w:id="1">
    <w:p w14:paraId="35AACBFD" w14:textId="77777777" w:rsidR="0068218F" w:rsidRDefault="0068218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FF675A8"/>
    <w:multiLevelType w:val="multilevel"/>
    <w:tmpl w:val="FDC0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43C0B"/>
    <w:multiLevelType w:val="multilevel"/>
    <w:tmpl w:val="C4C079C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B4914F7"/>
    <w:multiLevelType w:val="multilevel"/>
    <w:tmpl w:val="0E64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19768">
    <w:abstractNumId w:val="2"/>
  </w:num>
  <w:num w:numId="2" w16cid:durableId="92435628">
    <w:abstractNumId w:val="4"/>
  </w:num>
  <w:num w:numId="3" w16cid:durableId="102648425">
    <w:abstractNumId w:val="1"/>
  </w:num>
  <w:num w:numId="4" w16cid:durableId="1451314351">
    <w:abstractNumId w:val="0"/>
  </w:num>
  <w:num w:numId="5" w16cid:durableId="1455824937">
    <w:abstractNumId w:val="4"/>
  </w:num>
  <w:num w:numId="6" w16cid:durableId="2012178582">
    <w:abstractNumId w:val="4"/>
  </w:num>
  <w:num w:numId="7" w16cid:durableId="1173374635">
    <w:abstractNumId w:val="4"/>
  </w:num>
  <w:num w:numId="8" w16cid:durableId="1074162301">
    <w:abstractNumId w:val="4"/>
  </w:num>
  <w:num w:numId="9" w16cid:durableId="1206795025">
    <w:abstractNumId w:val="4"/>
  </w:num>
  <w:num w:numId="10" w16cid:durableId="474571849">
    <w:abstractNumId w:val="4"/>
  </w:num>
  <w:num w:numId="11" w16cid:durableId="890385033">
    <w:abstractNumId w:val="4"/>
  </w:num>
  <w:num w:numId="12" w16cid:durableId="392780191">
    <w:abstractNumId w:val="4"/>
  </w:num>
  <w:num w:numId="13" w16cid:durableId="1793669345">
    <w:abstractNumId w:val="4"/>
  </w:num>
  <w:num w:numId="14" w16cid:durableId="2085832638">
    <w:abstractNumId w:val="4"/>
  </w:num>
  <w:num w:numId="15" w16cid:durableId="724838217">
    <w:abstractNumId w:val="4"/>
  </w:num>
  <w:num w:numId="16" w16cid:durableId="951398036">
    <w:abstractNumId w:val="4"/>
  </w:num>
  <w:num w:numId="17" w16cid:durableId="1913588388">
    <w:abstractNumId w:val="5"/>
  </w:num>
  <w:num w:numId="18" w16cid:durableId="195960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D5"/>
    <w:rsid w:val="00001D46"/>
    <w:rsid w:val="00002075"/>
    <w:rsid w:val="000026BE"/>
    <w:rsid w:val="00003189"/>
    <w:rsid w:val="000047F0"/>
    <w:rsid w:val="000059A5"/>
    <w:rsid w:val="00005B51"/>
    <w:rsid w:val="0000628C"/>
    <w:rsid w:val="00010595"/>
    <w:rsid w:val="0001326A"/>
    <w:rsid w:val="00013390"/>
    <w:rsid w:val="000136E6"/>
    <w:rsid w:val="00016EA2"/>
    <w:rsid w:val="0001765D"/>
    <w:rsid w:val="00020C0A"/>
    <w:rsid w:val="00020C88"/>
    <w:rsid w:val="0002546A"/>
    <w:rsid w:val="00025F0E"/>
    <w:rsid w:val="00031AE1"/>
    <w:rsid w:val="00033F72"/>
    <w:rsid w:val="000350D8"/>
    <w:rsid w:val="000375C9"/>
    <w:rsid w:val="00040482"/>
    <w:rsid w:val="00041C87"/>
    <w:rsid w:val="00043325"/>
    <w:rsid w:val="000444F6"/>
    <w:rsid w:val="0004559D"/>
    <w:rsid w:val="000455BA"/>
    <w:rsid w:val="000456D3"/>
    <w:rsid w:val="000458D4"/>
    <w:rsid w:val="00046513"/>
    <w:rsid w:val="0004736C"/>
    <w:rsid w:val="00050DA7"/>
    <w:rsid w:val="00051648"/>
    <w:rsid w:val="000524A9"/>
    <w:rsid w:val="00052B77"/>
    <w:rsid w:val="0005316A"/>
    <w:rsid w:val="000547DB"/>
    <w:rsid w:val="00055EA5"/>
    <w:rsid w:val="000616EC"/>
    <w:rsid w:val="00063663"/>
    <w:rsid w:val="0006438B"/>
    <w:rsid w:val="000652A0"/>
    <w:rsid w:val="00066C42"/>
    <w:rsid w:val="00067AD8"/>
    <w:rsid w:val="00071023"/>
    <w:rsid w:val="00072035"/>
    <w:rsid w:val="00072AC5"/>
    <w:rsid w:val="00073835"/>
    <w:rsid w:val="000747A5"/>
    <w:rsid w:val="00074CAE"/>
    <w:rsid w:val="00075A77"/>
    <w:rsid w:val="00076178"/>
    <w:rsid w:val="000769BE"/>
    <w:rsid w:val="00076E15"/>
    <w:rsid w:val="00076FF9"/>
    <w:rsid w:val="00077AB3"/>
    <w:rsid w:val="00080011"/>
    <w:rsid w:val="000805A4"/>
    <w:rsid w:val="00080673"/>
    <w:rsid w:val="00080727"/>
    <w:rsid w:val="00080E97"/>
    <w:rsid w:val="000823CA"/>
    <w:rsid w:val="0008287B"/>
    <w:rsid w:val="00083B75"/>
    <w:rsid w:val="00085275"/>
    <w:rsid w:val="000854E0"/>
    <w:rsid w:val="00085711"/>
    <w:rsid w:val="00086CC2"/>
    <w:rsid w:val="0008741E"/>
    <w:rsid w:val="00087638"/>
    <w:rsid w:val="00087EF2"/>
    <w:rsid w:val="000945B0"/>
    <w:rsid w:val="000945D3"/>
    <w:rsid w:val="00095211"/>
    <w:rsid w:val="00095C84"/>
    <w:rsid w:val="00096135"/>
    <w:rsid w:val="00096FA4"/>
    <w:rsid w:val="000974B6"/>
    <w:rsid w:val="00097DE5"/>
    <w:rsid w:val="000A0F10"/>
    <w:rsid w:val="000A18EC"/>
    <w:rsid w:val="000A664D"/>
    <w:rsid w:val="000A69C5"/>
    <w:rsid w:val="000B29B8"/>
    <w:rsid w:val="000B39A1"/>
    <w:rsid w:val="000B53E8"/>
    <w:rsid w:val="000B60F6"/>
    <w:rsid w:val="000B6A48"/>
    <w:rsid w:val="000B74DA"/>
    <w:rsid w:val="000C04D4"/>
    <w:rsid w:val="000C10DF"/>
    <w:rsid w:val="000C2451"/>
    <w:rsid w:val="000C2AD6"/>
    <w:rsid w:val="000C2E12"/>
    <w:rsid w:val="000C3ECC"/>
    <w:rsid w:val="000C4B61"/>
    <w:rsid w:val="000C5C40"/>
    <w:rsid w:val="000C6935"/>
    <w:rsid w:val="000C7FFC"/>
    <w:rsid w:val="000D0046"/>
    <w:rsid w:val="000D00AC"/>
    <w:rsid w:val="000D0454"/>
    <w:rsid w:val="000D11E5"/>
    <w:rsid w:val="000D12DD"/>
    <w:rsid w:val="000D2234"/>
    <w:rsid w:val="000D3D20"/>
    <w:rsid w:val="000D3DE4"/>
    <w:rsid w:val="000D54F9"/>
    <w:rsid w:val="000D5827"/>
    <w:rsid w:val="000D59B4"/>
    <w:rsid w:val="000D5F6D"/>
    <w:rsid w:val="000D6173"/>
    <w:rsid w:val="000D6724"/>
    <w:rsid w:val="000D6D7F"/>
    <w:rsid w:val="000D782B"/>
    <w:rsid w:val="000E2368"/>
    <w:rsid w:val="000E2874"/>
    <w:rsid w:val="000E32E3"/>
    <w:rsid w:val="000E3F17"/>
    <w:rsid w:val="000E6F61"/>
    <w:rsid w:val="000F0847"/>
    <w:rsid w:val="000F1331"/>
    <w:rsid w:val="000F1793"/>
    <w:rsid w:val="000F1F12"/>
    <w:rsid w:val="000F234F"/>
    <w:rsid w:val="000F3A05"/>
    <w:rsid w:val="000F4214"/>
    <w:rsid w:val="000F53D9"/>
    <w:rsid w:val="000F5A79"/>
    <w:rsid w:val="001002EC"/>
    <w:rsid w:val="0010030C"/>
    <w:rsid w:val="001012C2"/>
    <w:rsid w:val="00105223"/>
    <w:rsid w:val="001062AE"/>
    <w:rsid w:val="001062D0"/>
    <w:rsid w:val="00110286"/>
    <w:rsid w:val="0011177B"/>
    <w:rsid w:val="00111ECA"/>
    <w:rsid w:val="00112FD6"/>
    <w:rsid w:val="00113B45"/>
    <w:rsid w:val="00114003"/>
    <w:rsid w:val="0011527C"/>
    <w:rsid w:val="00116889"/>
    <w:rsid w:val="00117149"/>
    <w:rsid w:val="00117298"/>
    <w:rsid w:val="00117C02"/>
    <w:rsid w:val="001247A0"/>
    <w:rsid w:val="00125A1C"/>
    <w:rsid w:val="00127567"/>
    <w:rsid w:val="001276B4"/>
    <w:rsid w:val="001277E0"/>
    <w:rsid w:val="001307E8"/>
    <w:rsid w:val="001309A5"/>
    <w:rsid w:val="00130E0E"/>
    <w:rsid w:val="001319C8"/>
    <w:rsid w:val="00131DB0"/>
    <w:rsid w:val="001331B7"/>
    <w:rsid w:val="00133D7A"/>
    <w:rsid w:val="00133F8A"/>
    <w:rsid w:val="0013434D"/>
    <w:rsid w:val="0013569C"/>
    <w:rsid w:val="00136C7F"/>
    <w:rsid w:val="0013702A"/>
    <w:rsid w:val="00140A90"/>
    <w:rsid w:val="0014186B"/>
    <w:rsid w:val="00141F58"/>
    <w:rsid w:val="00142BCF"/>
    <w:rsid w:val="00144739"/>
    <w:rsid w:val="001450FA"/>
    <w:rsid w:val="00145A2D"/>
    <w:rsid w:val="0014608E"/>
    <w:rsid w:val="001463C4"/>
    <w:rsid w:val="0015022D"/>
    <w:rsid w:val="00150D99"/>
    <w:rsid w:val="001517CA"/>
    <w:rsid w:val="00151FE8"/>
    <w:rsid w:val="00152C7F"/>
    <w:rsid w:val="00153248"/>
    <w:rsid w:val="00153474"/>
    <w:rsid w:val="00154DC2"/>
    <w:rsid w:val="001550C8"/>
    <w:rsid w:val="00157512"/>
    <w:rsid w:val="001602B8"/>
    <w:rsid w:val="00161508"/>
    <w:rsid w:val="0016288D"/>
    <w:rsid w:val="00164116"/>
    <w:rsid w:val="001666AF"/>
    <w:rsid w:val="00170120"/>
    <w:rsid w:val="00172B5A"/>
    <w:rsid w:val="00174D4B"/>
    <w:rsid w:val="00175998"/>
    <w:rsid w:val="00176F61"/>
    <w:rsid w:val="001813A1"/>
    <w:rsid w:val="00181689"/>
    <w:rsid w:val="00183176"/>
    <w:rsid w:val="00185183"/>
    <w:rsid w:val="00187857"/>
    <w:rsid w:val="001901A1"/>
    <w:rsid w:val="00190810"/>
    <w:rsid w:val="0019250E"/>
    <w:rsid w:val="001938EF"/>
    <w:rsid w:val="00193AF3"/>
    <w:rsid w:val="00193DA5"/>
    <w:rsid w:val="00193EB0"/>
    <w:rsid w:val="00195649"/>
    <w:rsid w:val="001957D6"/>
    <w:rsid w:val="00195A29"/>
    <w:rsid w:val="00196F76"/>
    <w:rsid w:val="001A20B6"/>
    <w:rsid w:val="001A5DC8"/>
    <w:rsid w:val="001B006C"/>
    <w:rsid w:val="001B080E"/>
    <w:rsid w:val="001B11C7"/>
    <w:rsid w:val="001B1A63"/>
    <w:rsid w:val="001B2393"/>
    <w:rsid w:val="001B4919"/>
    <w:rsid w:val="001B5E29"/>
    <w:rsid w:val="001B7535"/>
    <w:rsid w:val="001B7EC2"/>
    <w:rsid w:val="001C0477"/>
    <w:rsid w:val="001C1919"/>
    <w:rsid w:val="001C2B73"/>
    <w:rsid w:val="001C4EC9"/>
    <w:rsid w:val="001C50DE"/>
    <w:rsid w:val="001C5847"/>
    <w:rsid w:val="001C608F"/>
    <w:rsid w:val="001C734B"/>
    <w:rsid w:val="001D06CE"/>
    <w:rsid w:val="001D2465"/>
    <w:rsid w:val="001D3083"/>
    <w:rsid w:val="001E1864"/>
    <w:rsid w:val="001E18C1"/>
    <w:rsid w:val="001E19E6"/>
    <w:rsid w:val="001E2124"/>
    <w:rsid w:val="001E6A74"/>
    <w:rsid w:val="001F03B0"/>
    <w:rsid w:val="001F12F3"/>
    <w:rsid w:val="001F2B5C"/>
    <w:rsid w:val="001F2C7E"/>
    <w:rsid w:val="001F334A"/>
    <w:rsid w:val="001F41D0"/>
    <w:rsid w:val="001F462C"/>
    <w:rsid w:val="001F4F10"/>
    <w:rsid w:val="001F57BB"/>
    <w:rsid w:val="001F5C96"/>
    <w:rsid w:val="001F5D8F"/>
    <w:rsid w:val="00201D06"/>
    <w:rsid w:val="00205838"/>
    <w:rsid w:val="00205CF7"/>
    <w:rsid w:val="00206A32"/>
    <w:rsid w:val="00207807"/>
    <w:rsid w:val="00207B35"/>
    <w:rsid w:val="00210F50"/>
    <w:rsid w:val="002136F4"/>
    <w:rsid w:val="0021512B"/>
    <w:rsid w:val="00215ECE"/>
    <w:rsid w:val="0021619F"/>
    <w:rsid w:val="00216576"/>
    <w:rsid w:val="00216B31"/>
    <w:rsid w:val="00217332"/>
    <w:rsid w:val="00220F16"/>
    <w:rsid w:val="00221082"/>
    <w:rsid w:val="002227A2"/>
    <w:rsid w:val="00224202"/>
    <w:rsid w:val="0022521A"/>
    <w:rsid w:val="0022528E"/>
    <w:rsid w:val="0022550C"/>
    <w:rsid w:val="0022627E"/>
    <w:rsid w:val="002265FB"/>
    <w:rsid w:val="00230B78"/>
    <w:rsid w:val="00231837"/>
    <w:rsid w:val="00232A5B"/>
    <w:rsid w:val="002349A0"/>
    <w:rsid w:val="00235430"/>
    <w:rsid w:val="002355EE"/>
    <w:rsid w:val="00237D80"/>
    <w:rsid w:val="002400F3"/>
    <w:rsid w:val="0024061D"/>
    <w:rsid w:val="00240B38"/>
    <w:rsid w:val="00240D31"/>
    <w:rsid w:val="0024245F"/>
    <w:rsid w:val="00242AB6"/>
    <w:rsid w:val="00242B82"/>
    <w:rsid w:val="00242D9D"/>
    <w:rsid w:val="002439CC"/>
    <w:rsid w:val="0024402D"/>
    <w:rsid w:val="00244450"/>
    <w:rsid w:val="002454AA"/>
    <w:rsid w:val="00245B43"/>
    <w:rsid w:val="00246DC3"/>
    <w:rsid w:val="00247B60"/>
    <w:rsid w:val="00247C1F"/>
    <w:rsid w:val="00247DFA"/>
    <w:rsid w:val="002516AC"/>
    <w:rsid w:val="00251BE2"/>
    <w:rsid w:val="00252A84"/>
    <w:rsid w:val="00252AA2"/>
    <w:rsid w:val="00254C5B"/>
    <w:rsid w:val="00255F71"/>
    <w:rsid w:val="00257B66"/>
    <w:rsid w:val="002603A3"/>
    <w:rsid w:val="002604A0"/>
    <w:rsid w:val="002617C1"/>
    <w:rsid w:val="00261A3B"/>
    <w:rsid w:val="0026308F"/>
    <w:rsid w:val="002640E7"/>
    <w:rsid w:val="0026423E"/>
    <w:rsid w:val="002643DD"/>
    <w:rsid w:val="00264563"/>
    <w:rsid w:val="00264C93"/>
    <w:rsid w:val="00267013"/>
    <w:rsid w:val="00267F14"/>
    <w:rsid w:val="00270EF5"/>
    <w:rsid w:val="00270F96"/>
    <w:rsid w:val="0027118E"/>
    <w:rsid w:val="00271DDE"/>
    <w:rsid w:val="002725F4"/>
    <w:rsid w:val="002734F1"/>
    <w:rsid w:val="00275D03"/>
    <w:rsid w:val="002761F2"/>
    <w:rsid w:val="00277080"/>
    <w:rsid w:val="002771E5"/>
    <w:rsid w:val="00277840"/>
    <w:rsid w:val="00277915"/>
    <w:rsid w:val="0028558F"/>
    <w:rsid w:val="00287C5A"/>
    <w:rsid w:val="0029035F"/>
    <w:rsid w:val="0029091C"/>
    <w:rsid w:val="00291693"/>
    <w:rsid w:val="00293839"/>
    <w:rsid w:val="00295FAC"/>
    <w:rsid w:val="00297B86"/>
    <w:rsid w:val="002A10DD"/>
    <w:rsid w:val="002A1236"/>
    <w:rsid w:val="002A3C80"/>
    <w:rsid w:val="002A6DA4"/>
    <w:rsid w:val="002A7961"/>
    <w:rsid w:val="002A7B74"/>
    <w:rsid w:val="002A7E1F"/>
    <w:rsid w:val="002B09CC"/>
    <w:rsid w:val="002B11AA"/>
    <w:rsid w:val="002B2051"/>
    <w:rsid w:val="002B278A"/>
    <w:rsid w:val="002B32BE"/>
    <w:rsid w:val="002B37A9"/>
    <w:rsid w:val="002B4303"/>
    <w:rsid w:val="002B4BA4"/>
    <w:rsid w:val="002B4C7E"/>
    <w:rsid w:val="002B6B9A"/>
    <w:rsid w:val="002B7A14"/>
    <w:rsid w:val="002C01EC"/>
    <w:rsid w:val="002C0792"/>
    <w:rsid w:val="002C0A5A"/>
    <w:rsid w:val="002C226C"/>
    <w:rsid w:val="002C3115"/>
    <w:rsid w:val="002C3EE2"/>
    <w:rsid w:val="002C6F45"/>
    <w:rsid w:val="002C7662"/>
    <w:rsid w:val="002C7A8B"/>
    <w:rsid w:val="002C7E21"/>
    <w:rsid w:val="002D17EE"/>
    <w:rsid w:val="002D3A84"/>
    <w:rsid w:val="002D4344"/>
    <w:rsid w:val="002D44F7"/>
    <w:rsid w:val="002D4B55"/>
    <w:rsid w:val="002D52D2"/>
    <w:rsid w:val="002D6F9C"/>
    <w:rsid w:val="002D763B"/>
    <w:rsid w:val="002E13EC"/>
    <w:rsid w:val="002E1BCD"/>
    <w:rsid w:val="002E20FB"/>
    <w:rsid w:val="002E21D2"/>
    <w:rsid w:val="002E29B2"/>
    <w:rsid w:val="002E3B3F"/>
    <w:rsid w:val="002E6B45"/>
    <w:rsid w:val="002E73BB"/>
    <w:rsid w:val="002F022D"/>
    <w:rsid w:val="002F0C70"/>
    <w:rsid w:val="002F10E2"/>
    <w:rsid w:val="002F1FC6"/>
    <w:rsid w:val="002F2541"/>
    <w:rsid w:val="002F3B48"/>
    <w:rsid w:val="002F3CAF"/>
    <w:rsid w:val="002F6BB1"/>
    <w:rsid w:val="002F7AAD"/>
    <w:rsid w:val="002F7C3E"/>
    <w:rsid w:val="00301719"/>
    <w:rsid w:val="003018F8"/>
    <w:rsid w:val="00302931"/>
    <w:rsid w:val="00302B3E"/>
    <w:rsid w:val="0030367E"/>
    <w:rsid w:val="003037F8"/>
    <w:rsid w:val="003041FA"/>
    <w:rsid w:val="00306002"/>
    <w:rsid w:val="00306414"/>
    <w:rsid w:val="0030725F"/>
    <w:rsid w:val="00307353"/>
    <w:rsid w:val="00307662"/>
    <w:rsid w:val="003102EB"/>
    <w:rsid w:val="00311629"/>
    <w:rsid w:val="0031204B"/>
    <w:rsid w:val="00312A68"/>
    <w:rsid w:val="00314E35"/>
    <w:rsid w:val="00315A38"/>
    <w:rsid w:val="00317853"/>
    <w:rsid w:val="003308E8"/>
    <w:rsid w:val="00330F83"/>
    <w:rsid w:val="00331983"/>
    <w:rsid w:val="00332669"/>
    <w:rsid w:val="0033367B"/>
    <w:rsid w:val="003342CD"/>
    <w:rsid w:val="0033477F"/>
    <w:rsid w:val="00335042"/>
    <w:rsid w:val="003356B1"/>
    <w:rsid w:val="00335E6B"/>
    <w:rsid w:val="00336650"/>
    <w:rsid w:val="0034018D"/>
    <w:rsid w:val="00341642"/>
    <w:rsid w:val="00346490"/>
    <w:rsid w:val="003502AD"/>
    <w:rsid w:val="00352093"/>
    <w:rsid w:val="00352B8A"/>
    <w:rsid w:val="0035304E"/>
    <w:rsid w:val="003530BC"/>
    <w:rsid w:val="00353EB5"/>
    <w:rsid w:val="00354112"/>
    <w:rsid w:val="00354CFB"/>
    <w:rsid w:val="00355872"/>
    <w:rsid w:val="00357733"/>
    <w:rsid w:val="00357EC9"/>
    <w:rsid w:val="00357F53"/>
    <w:rsid w:val="00360C0A"/>
    <w:rsid w:val="0036160B"/>
    <w:rsid w:val="00362B70"/>
    <w:rsid w:val="00363931"/>
    <w:rsid w:val="00363949"/>
    <w:rsid w:val="0036468A"/>
    <w:rsid w:val="00364DEE"/>
    <w:rsid w:val="00364ECA"/>
    <w:rsid w:val="00370395"/>
    <w:rsid w:val="0037180D"/>
    <w:rsid w:val="00372C21"/>
    <w:rsid w:val="00373853"/>
    <w:rsid w:val="003738F5"/>
    <w:rsid w:val="00376506"/>
    <w:rsid w:val="0037681A"/>
    <w:rsid w:val="00376B93"/>
    <w:rsid w:val="0038153F"/>
    <w:rsid w:val="00384CB3"/>
    <w:rsid w:val="003851E7"/>
    <w:rsid w:val="00385B19"/>
    <w:rsid w:val="00386C89"/>
    <w:rsid w:val="00386FAE"/>
    <w:rsid w:val="00387C84"/>
    <w:rsid w:val="00391387"/>
    <w:rsid w:val="003917E3"/>
    <w:rsid w:val="00392BBA"/>
    <w:rsid w:val="00392C0C"/>
    <w:rsid w:val="00392E44"/>
    <w:rsid w:val="003933F4"/>
    <w:rsid w:val="003954FD"/>
    <w:rsid w:val="003955BF"/>
    <w:rsid w:val="00395BFE"/>
    <w:rsid w:val="00397A9A"/>
    <w:rsid w:val="003A1063"/>
    <w:rsid w:val="003A46FC"/>
    <w:rsid w:val="003A4BBF"/>
    <w:rsid w:val="003A6E0D"/>
    <w:rsid w:val="003A7867"/>
    <w:rsid w:val="003B0E66"/>
    <w:rsid w:val="003B1130"/>
    <w:rsid w:val="003B15B8"/>
    <w:rsid w:val="003B19DD"/>
    <w:rsid w:val="003B31F4"/>
    <w:rsid w:val="003B4356"/>
    <w:rsid w:val="003B4B8C"/>
    <w:rsid w:val="003C0E60"/>
    <w:rsid w:val="003C1F59"/>
    <w:rsid w:val="003C229C"/>
    <w:rsid w:val="003C2399"/>
    <w:rsid w:val="003C2D04"/>
    <w:rsid w:val="003C2F71"/>
    <w:rsid w:val="003C3878"/>
    <w:rsid w:val="003C41CA"/>
    <w:rsid w:val="003C445C"/>
    <w:rsid w:val="003C5719"/>
    <w:rsid w:val="003C6D1E"/>
    <w:rsid w:val="003C6EE0"/>
    <w:rsid w:val="003C7907"/>
    <w:rsid w:val="003C7B82"/>
    <w:rsid w:val="003D012E"/>
    <w:rsid w:val="003D0B99"/>
    <w:rsid w:val="003D0F0C"/>
    <w:rsid w:val="003D2656"/>
    <w:rsid w:val="003D392B"/>
    <w:rsid w:val="003D3B47"/>
    <w:rsid w:val="003D4038"/>
    <w:rsid w:val="003D4CD3"/>
    <w:rsid w:val="003D60D7"/>
    <w:rsid w:val="003D6800"/>
    <w:rsid w:val="003D6E3F"/>
    <w:rsid w:val="003E0411"/>
    <w:rsid w:val="003E0A63"/>
    <w:rsid w:val="003E1C8F"/>
    <w:rsid w:val="003E1CE3"/>
    <w:rsid w:val="003E2922"/>
    <w:rsid w:val="003E41B9"/>
    <w:rsid w:val="003E4CCE"/>
    <w:rsid w:val="003E77BC"/>
    <w:rsid w:val="003F029F"/>
    <w:rsid w:val="003F17A4"/>
    <w:rsid w:val="003F3B86"/>
    <w:rsid w:val="003F4325"/>
    <w:rsid w:val="003F4695"/>
    <w:rsid w:val="003F6229"/>
    <w:rsid w:val="004000AE"/>
    <w:rsid w:val="004001E7"/>
    <w:rsid w:val="004007AB"/>
    <w:rsid w:val="004011D5"/>
    <w:rsid w:val="0040208E"/>
    <w:rsid w:val="004024C6"/>
    <w:rsid w:val="004025D0"/>
    <w:rsid w:val="00402A7A"/>
    <w:rsid w:val="00403BCF"/>
    <w:rsid w:val="004049A9"/>
    <w:rsid w:val="00404DC5"/>
    <w:rsid w:val="0040694D"/>
    <w:rsid w:val="00407454"/>
    <w:rsid w:val="004075FB"/>
    <w:rsid w:val="004076B9"/>
    <w:rsid w:val="00410FC2"/>
    <w:rsid w:val="00412B19"/>
    <w:rsid w:val="00412BB6"/>
    <w:rsid w:val="00413F6A"/>
    <w:rsid w:val="0041551E"/>
    <w:rsid w:val="00416261"/>
    <w:rsid w:val="00416887"/>
    <w:rsid w:val="004176A4"/>
    <w:rsid w:val="00422BFA"/>
    <w:rsid w:val="00422F15"/>
    <w:rsid w:val="004244D0"/>
    <w:rsid w:val="00424E18"/>
    <w:rsid w:val="0042509B"/>
    <w:rsid w:val="00425A1C"/>
    <w:rsid w:val="00427A52"/>
    <w:rsid w:val="00430078"/>
    <w:rsid w:val="00430EE9"/>
    <w:rsid w:val="00431079"/>
    <w:rsid w:val="004318B7"/>
    <w:rsid w:val="004330D7"/>
    <w:rsid w:val="0043386E"/>
    <w:rsid w:val="00434379"/>
    <w:rsid w:val="00435342"/>
    <w:rsid w:val="00435870"/>
    <w:rsid w:val="00436952"/>
    <w:rsid w:val="00440E50"/>
    <w:rsid w:val="0044230B"/>
    <w:rsid w:val="0044315A"/>
    <w:rsid w:val="0044390B"/>
    <w:rsid w:val="00443EDF"/>
    <w:rsid w:val="00446388"/>
    <w:rsid w:val="004477D7"/>
    <w:rsid w:val="00450145"/>
    <w:rsid w:val="00451E13"/>
    <w:rsid w:val="00453E70"/>
    <w:rsid w:val="00454E2D"/>
    <w:rsid w:val="004551BA"/>
    <w:rsid w:val="00455A84"/>
    <w:rsid w:val="00456546"/>
    <w:rsid w:val="004577E7"/>
    <w:rsid w:val="00460422"/>
    <w:rsid w:val="004604DE"/>
    <w:rsid w:val="00461447"/>
    <w:rsid w:val="00461862"/>
    <w:rsid w:val="0046207C"/>
    <w:rsid w:val="00462095"/>
    <w:rsid w:val="0046218E"/>
    <w:rsid w:val="00464356"/>
    <w:rsid w:val="004666EB"/>
    <w:rsid w:val="00466731"/>
    <w:rsid w:val="00466733"/>
    <w:rsid w:val="00466A3D"/>
    <w:rsid w:val="00466DD5"/>
    <w:rsid w:val="00467926"/>
    <w:rsid w:val="00467E83"/>
    <w:rsid w:val="00470243"/>
    <w:rsid w:val="0047265F"/>
    <w:rsid w:val="00473647"/>
    <w:rsid w:val="00473B71"/>
    <w:rsid w:val="004755FE"/>
    <w:rsid w:val="0047695C"/>
    <w:rsid w:val="004818AF"/>
    <w:rsid w:val="00482B81"/>
    <w:rsid w:val="00482D4C"/>
    <w:rsid w:val="00483475"/>
    <w:rsid w:val="004838E4"/>
    <w:rsid w:val="0048463A"/>
    <w:rsid w:val="004848F3"/>
    <w:rsid w:val="004860E1"/>
    <w:rsid w:val="004871D5"/>
    <w:rsid w:val="004905B6"/>
    <w:rsid w:val="004906EA"/>
    <w:rsid w:val="004912BA"/>
    <w:rsid w:val="00491AE8"/>
    <w:rsid w:val="004922A4"/>
    <w:rsid w:val="00492BC3"/>
    <w:rsid w:val="00492BF6"/>
    <w:rsid w:val="004931E9"/>
    <w:rsid w:val="0049322F"/>
    <w:rsid w:val="00493265"/>
    <w:rsid w:val="00497707"/>
    <w:rsid w:val="004A0CC8"/>
    <w:rsid w:val="004A10CE"/>
    <w:rsid w:val="004A1638"/>
    <w:rsid w:val="004A27A8"/>
    <w:rsid w:val="004A3018"/>
    <w:rsid w:val="004A3633"/>
    <w:rsid w:val="004A4499"/>
    <w:rsid w:val="004A7251"/>
    <w:rsid w:val="004A7688"/>
    <w:rsid w:val="004A7B62"/>
    <w:rsid w:val="004B1741"/>
    <w:rsid w:val="004B3C0F"/>
    <w:rsid w:val="004B4A3C"/>
    <w:rsid w:val="004C02C2"/>
    <w:rsid w:val="004C05E4"/>
    <w:rsid w:val="004C09BF"/>
    <w:rsid w:val="004C0CE0"/>
    <w:rsid w:val="004C28DF"/>
    <w:rsid w:val="004C3C66"/>
    <w:rsid w:val="004C5FBF"/>
    <w:rsid w:val="004C63D1"/>
    <w:rsid w:val="004C7CE8"/>
    <w:rsid w:val="004D2E33"/>
    <w:rsid w:val="004D4AE5"/>
    <w:rsid w:val="004D580C"/>
    <w:rsid w:val="004D652D"/>
    <w:rsid w:val="004D74C7"/>
    <w:rsid w:val="004D75E0"/>
    <w:rsid w:val="004E0BFC"/>
    <w:rsid w:val="004E1197"/>
    <w:rsid w:val="004E1293"/>
    <w:rsid w:val="004E2EE7"/>
    <w:rsid w:val="004E3590"/>
    <w:rsid w:val="004E39E1"/>
    <w:rsid w:val="004E5278"/>
    <w:rsid w:val="004E5DA7"/>
    <w:rsid w:val="004E666B"/>
    <w:rsid w:val="004F00BA"/>
    <w:rsid w:val="004F011F"/>
    <w:rsid w:val="004F03F4"/>
    <w:rsid w:val="004F1475"/>
    <w:rsid w:val="004F2519"/>
    <w:rsid w:val="004F2E4A"/>
    <w:rsid w:val="004F4762"/>
    <w:rsid w:val="004F48E1"/>
    <w:rsid w:val="004F4C00"/>
    <w:rsid w:val="004F56D0"/>
    <w:rsid w:val="004F718B"/>
    <w:rsid w:val="004F7443"/>
    <w:rsid w:val="004F7FE7"/>
    <w:rsid w:val="005018CB"/>
    <w:rsid w:val="0050235E"/>
    <w:rsid w:val="00503A99"/>
    <w:rsid w:val="00503E44"/>
    <w:rsid w:val="00504A2F"/>
    <w:rsid w:val="005068F6"/>
    <w:rsid w:val="0050777E"/>
    <w:rsid w:val="00510E00"/>
    <w:rsid w:val="00513A46"/>
    <w:rsid w:val="00513FE8"/>
    <w:rsid w:val="0051429B"/>
    <w:rsid w:val="00514C4B"/>
    <w:rsid w:val="00515283"/>
    <w:rsid w:val="00515ED0"/>
    <w:rsid w:val="005164EA"/>
    <w:rsid w:val="00517705"/>
    <w:rsid w:val="00517FF2"/>
    <w:rsid w:val="00520AE7"/>
    <w:rsid w:val="00520FB8"/>
    <w:rsid w:val="00522159"/>
    <w:rsid w:val="005227CE"/>
    <w:rsid w:val="005231C5"/>
    <w:rsid w:val="00524FF6"/>
    <w:rsid w:val="00530732"/>
    <w:rsid w:val="00533330"/>
    <w:rsid w:val="00533926"/>
    <w:rsid w:val="005351DD"/>
    <w:rsid w:val="005378ED"/>
    <w:rsid w:val="00537FB7"/>
    <w:rsid w:val="005407E3"/>
    <w:rsid w:val="005411D1"/>
    <w:rsid w:val="005419EB"/>
    <w:rsid w:val="0054268E"/>
    <w:rsid w:val="00542873"/>
    <w:rsid w:val="0054482A"/>
    <w:rsid w:val="00545809"/>
    <w:rsid w:val="00546A45"/>
    <w:rsid w:val="0054700B"/>
    <w:rsid w:val="00547CAB"/>
    <w:rsid w:val="00552D81"/>
    <w:rsid w:val="00553048"/>
    <w:rsid w:val="0055554D"/>
    <w:rsid w:val="0055675D"/>
    <w:rsid w:val="005573C4"/>
    <w:rsid w:val="00563DE1"/>
    <w:rsid w:val="00566E8F"/>
    <w:rsid w:val="00567333"/>
    <w:rsid w:val="00567D62"/>
    <w:rsid w:val="00567D8A"/>
    <w:rsid w:val="005705FA"/>
    <w:rsid w:val="005709DE"/>
    <w:rsid w:val="00570C44"/>
    <w:rsid w:val="005726BA"/>
    <w:rsid w:val="00572AE2"/>
    <w:rsid w:val="00573FFC"/>
    <w:rsid w:val="0057422E"/>
    <w:rsid w:val="00576658"/>
    <w:rsid w:val="00576818"/>
    <w:rsid w:val="00576AA8"/>
    <w:rsid w:val="00580612"/>
    <w:rsid w:val="00580E3A"/>
    <w:rsid w:val="00581B66"/>
    <w:rsid w:val="00582320"/>
    <w:rsid w:val="005833BE"/>
    <w:rsid w:val="0058364F"/>
    <w:rsid w:val="005858FB"/>
    <w:rsid w:val="00586051"/>
    <w:rsid w:val="0058761F"/>
    <w:rsid w:val="005876C7"/>
    <w:rsid w:val="00587831"/>
    <w:rsid w:val="00587C20"/>
    <w:rsid w:val="005914B5"/>
    <w:rsid w:val="0059302A"/>
    <w:rsid w:val="005947AC"/>
    <w:rsid w:val="005952AE"/>
    <w:rsid w:val="005A1AE8"/>
    <w:rsid w:val="005A1BCF"/>
    <w:rsid w:val="005A1CDF"/>
    <w:rsid w:val="005A2572"/>
    <w:rsid w:val="005A29D3"/>
    <w:rsid w:val="005A2A20"/>
    <w:rsid w:val="005A37FE"/>
    <w:rsid w:val="005A4BE7"/>
    <w:rsid w:val="005A56F2"/>
    <w:rsid w:val="005A5AD5"/>
    <w:rsid w:val="005B03D9"/>
    <w:rsid w:val="005B225B"/>
    <w:rsid w:val="005B3AF1"/>
    <w:rsid w:val="005B3EE3"/>
    <w:rsid w:val="005B460C"/>
    <w:rsid w:val="005C032C"/>
    <w:rsid w:val="005C07FF"/>
    <w:rsid w:val="005C20D9"/>
    <w:rsid w:val="005C2D45"/>
    <w:rsid w:val="005C2D7F"/>
    <w:rsid w:val="005C3C8F"/>
    <w:rsid w:val="005C3CBD"/>
    <w:rsid w:val="005C3CDB"/>
    <w:rsid w:val="005C52AD"/>
    <w:rsid w:val="005C56BD"/>
    <w:rsid w:val="005C73D6"/>
    <w:rsid w:val="005C7C4A"/>
    <w:rsid w:val="005D05BE"/>
    <w:rsid w:val="005D11AC"/>
    <w:rsid w:val="005D160D"/>
    <w:rsid w:val="005D2008"/>
    <w:rsid w:val="005D202B"/>
    <w:rsid w:val="005D2168"/>
    <w:rsid w:val="005D225D"/>
    <w:rsid w:val="005D42B1"/>
    <w:rsid w:val="005D5428"/>
    <w:rsid w:val="005D786C"/>
    <w:rsid w:val="005D7D5A"/>
    <w:rsid w:val="005D7E35"/>
    <w:rsid w:val="005E1E3C"/>
    <w:rsid w:val="005E3829"/>
    <w:rsid w:val="005E4792"/>
    <w:rsid w:val="005E4BAC"/>
    <w:rsid w:val="005E580A"/>
    <w:rsid w:val="005E5956"/>
    <w:rsid w:val="005E5DE4"/>
    <w:rsid w:val="005E6EE9"/>
    <w:rsid w:val="005F0ABE"/>
    <w:rsid w:val="005F0B09"/>
    <w:rsid w:val="005F1BC2"/>
    <w:rsid w:val="005F25D6"/>
    <w:rsid w:val="005F3838"/>
    <w:rsid w:val="005F4B72"/>
    <w:rsid w:val="005F4BE4"/>
    <w:rsid w:val="005F6C35"/>
    <w:rsid w:val="005F721A"/>
    <w:rsid w:val="0060130D"/>
    <w:rsid w:val="0060193C"/>
    <w:rsid w:val="00602D5A"/>
    <w:rsid w:val="006044EE"/>
    <w:rsid w:val="00605911"/>
    <w:rsid w:val="00606671"/>
    <w:rsid w:val="00607206"/>
    <w:rsid w:val="006072C4"/>
    <w:rsid w:val="006075DC"/>
    <w:rsid w:val="006100E5"/>
    <w:rsid w:val="00610E87"/>
    <w:rsid w:val="00612329"/>
    <w:rsid w:val="006137A6"/>
    <w:rsid w:val="00613B16"/>
    <w:rsid w:val="00614786"/>
    <w:rsid w:val="00615574"/>
    <w:rsid w:val="00615C9A"/>
    <w:rsid w:val="0062045F"/>
    <w:rsid w:val="0062271C"/>
    <w:rsid w:val="00622D7F"/>
    <w:rsid w:val="00622FDB"/>
    <w:rsid w:val="00623F9C"/>
    <w:rsid w:val="006243C6"/>
    <w:rsid w:val="00624B40"/>
    <w:rsid w:val="00630267"/>
    <w:rsid w:val="00630382"/>
    <w:rsid w:val="00630893"/>
    <w:rsid w:val="00630E27"/>
    <w:rsid w:val="0063230B"/>
    <w:rsid w:val="006329A1"/>
    <w:rsid w:val="006345F0"/>
    <w:rsid w:val="006350A9"/>
    <w:rsid w:val="00637DC3"/>
    <w:rsid w:val="00640DAD"/>
    <w:rsid w:val="0064129F"/>
    <w:rsid w:val="00641F28"/>
    <w:rsid w:val="0064309D"/>
    <w:rsid w:val="00643C94"/>
    <w:rsid w:val="00645669"/>
    <w:rsid w:val="006464BF"/>
    <w:rsid w:val="006468D2"/>
    <w:rsid w:val="00646B01"/>
    <w:rsid w:val="006471F1"/>
    <w:rsid w:val="00647BB7"/>
    <w:rsid w:val="006512A3"/>
    <w:rsid w:val="00651E7D"/>
    <w:rsid w:val="006534B4"/>
    <w:rsid w:val="00653F6D"/>
    <w:rsid w:val="00654C7F"/>
    <w:rsid w:val="00657DCC"/>
    <w:rsid w:val="0066021E"/>
    <w:rsid w:val="00660499"/>
    <w:rsid w:val="00660F56"/>
    <w:rsid w:val="006618AF"/>
    <w:rsid w:val="00661E68"/>
    <w:rsid w:val="006639E9"/>
    <w:rsid w:val="00666175"/>
    <w:rsid w:val="00666676"/>
    <w:rsid w:val="006666E4"/>
    <w:rsid w:val="0066702C"/>
    <w:rsid w:val="0066703B"/>
    <w:rsid w:val="00667124"/>
    <w:rsid w:val="00670665"/>
    <w:rsid w:val="00670BAF"/>
    <w:rsid w:val="006711DF"/>
    <w:rsid w:val="0067141B"/>
    <w:rsid w:val="00672123"/>
    <w:rsid w:val="006724A7"/>
    <w:rsid w:val="006733CB"/>
    <w:rsid w:val="0067687D"/>
    <w:rsid w:val="00677AE4"/>
    <w:rsid w:val="00680297"/>
    <w:rsid w:val="00680379"/>
    <w:rsid w:val="0068046D"/>
    <w:rsid w:val="00680752"/>
    <w:rsid w:val="00680871"/>
    <w:rsid w:val="00681DBC"/>
    <w:rsid w:val="0068218F"/>
    <w:rsid w:val="00683956"/>
    <w:rsid w:val="00684191"/>
    <w:rsid w:val="00684CB0"/>
    <w:rsid w:val="0068604D"/>
    <w:rsid w:val="006873CE"/>
    <w:rsid w:val="00687694"/>
    <w:rsid w:val="006900B1"/>
    <w:rsid w:val="00691007"/>
    <w:rsid w:val="00691F50"/>
    <w:rsid w:val="0069205F"/>
    <w:rsid w:val="00692A20"/>
    <w:rsid w:val="00693EED"/>
    <w:rsid w:val="00696071"/>
    <w:rsid w:val="006960EC"/>
    <w:rsid w:val="006A0786"/>
    <w:rsid w:val="006A11D6"/>
    <w:rsid w:val="006A169D"/>
    <w:rsid w:val="006A4CFB"/>
    <w:rsid w:val="006A5012"/>
    <w:rsid w:val="006A7986"/>
    <w:rsid w:val="006B0309"/>
    <w:rsid w:val="006B1018"/>
    <w:rsid w:val="006B161C"/>
    <w:rsid w:val="006B2D4B"/>
    <w:rsid w:val="006B351F"/>
    <w:rsid w:val="006B4DF9"/>
    <w:rsid w:val="006B520A"/>
    <w:rsid w:val="006B523A"/>
    <w:rsid w:val="006B67B7"/>
    <w:rsid w:val="006B697C"/>
    <w:rsid w:val="006B7D84"/>
    <w:rsid w:val="006C127A"/>
    <w:rsid w:val="006C170A"/>
    <w:rsid w:val="006C3545"/>
    <w:rsid w:val="006C3A64"/>
    <w:rsid w:val="006C617B"/>
    <w:rsid w:val="006D10EC"/>
    <w:rsid w:val="006D1C95"/>
    <w:rsid w:val="006D3151"/>
    <w:rsid w:val="006D478B"/>
    <w:rsid w:val="006D4DAA"/>
    <w:rsid w:val="006D554B"/>
    <w:rsid w:val="006D60D0"/>
    <w:rsid w:val="006D672B"/>
    <w:rsid w:val="006D6839"/>
    <w:rsid w:val="006E04DB"/>
    <w:rsid w:val="006E0573"/>
    <w:rsid w:val="006E0840"/>
    <w:rsid w:val="006E0852"/>
    <w:rsid w:val="006E0CBA"/>
    <w:rsid w:val="006E1670"/>
    <w:rsid w:val="006E1E3B"/>
    <w:rsid w:val="006E2824"/>
    <w:rsid w:val="006E3AB4"/>
    <w:rsid w:val="006E50D1"/>
    <w:rsid w:val="006E5255"/>
    <w:rsid w:val="006E6321"/>
    <w:rsid w:val="006E69E4"/>
    <w:rsid w:val="006F044E"/>
    <w:rsid w:val="006F06C1"/>
    <w:rsid w:val="006F0896"/>
    <w:rsid w:val="006F1BC3"/>
    <w:rsid w:val="006F366E"/>
    <w:rsid w:val="006F4946"/>
    <w:rsid w:val="006F4CF3"/>
    <w:rsid w:val="006F683C"/>
    <w:rsid w:val="006F6C2A"/>
    <w:rsid w:val="006F74AB"/>
    <w:rsid w:val="007001C0"/>
    <w:rsid w:val="007013D9"/>
    <w:rsid w:val="0070169C"/>
    <w:rsid w:val="00701E1A"/>
    <w:rsid w:val="00701F57"/>
    <w:rsid w:val="00703801"/>
    <w:rsid w:val="00704105"/>
    <w:rsid w:val="00704603"/>
    <w:rsid w:val="00704CCA"/>
    <w:rsid w:val="00705171"/>
    <w:rsid w:val="007051B7"/>
    <w:rsid w:val="007053B0"/>
    <w:rsid w:val="00710E94"/>
    <w:rsid w:val="00711153"/>
    <w:rsid w:val="00713FD8"/>
    <w:rsid w:val="007146CB"/>
    <w:rsid w:val="00716F86"/>
    <w:rsid w:val="00717EF6"/>
    <w:rsid w:val="00720FA5"/>
    <w:rsid w:val="00722A2A"/>
    <w:rsid w:val="007244ED"/>
    <w:rsid w:val="00724F19"/>
    <w:rsid w:val="00727D8A"/>
    <w:rsid w:val="00730DA8"/>
    <w:rsid w:val="00731267"/>
    <w:rsid w:val="00731FEA"/>
    <w:rsid w:val="007323F4"/>
    <w:rsid w:val="007338C8"/>
    <w:rsid w:val="00735921"/>
    <w:rsid w:val="0073599B"/>
    <w:rsid w:val="00736F61"/>
    <w:rsid w:val="00737A83"/>
    <w:rsid w:val="0074185E"/>
    <w:rsid w:val="00741C1F"/>
    <w:rsid w:val="00742253"/>
    <w:rsid w:val="007436F0"/>
    <w:rsid w:val="0074422A"/>
    <w:rsid w:val="00745369"/>
    <w:rsid w:val="0074565F"/>
    <w:rsid w:val="0074728E"/>
    <w:rsid w:val="00747E6F"/>
    <w:rsid w:val="00750C88"/>
    <w:rsid w:val="00751D37"/>
    <w:rsid w:val="00751DFC"/>
    <w:rsid w:val="00753146"/>
    <w:rsid w:val="00753ECA"/>
    <w:rsid w:val="00755F06"/>
    <w:rsid w:val="00756045"/>
    <w:rsid w:val="0075708D"/>
    <w:rsid w:val="00757B95"/>
    <w:rsid w:val="0076011C"/>
    <w:rsid w:val="00760D05"/>
    <w:rsid w:val="00761DAE"/>
    <w:rsid w:val="00761EDA"/>
    <w:rsid w:val="00763666"/>
    <w:rsid w:val="00764495"/>
    <w:rsid w:val="007652F6"/>
    <w:rsid w:val="007657CE"/>
    <w:rsid w:val="007662C7"/>
    <w:rsid w:val="007709CA"/>
    <w:rsid w:val="00772FAF"/>
    <w:rsid w:val="00775251"/>
    <w:rsid w:val="007752E4"/>
    <w:rsid w:val="00776306"/>
    <w:rsid w:val="00776B61"/>
    <w:rsid w:val="00777306"/>
    <w:rsid w:val="0078028F"/>
    <w:rsid w:val="007816DA"/>
    <w:rsid w:val="007816E2"/>
    <w:rsid w:val="00781F17"/>
    <w:rsid w:val="00781F7C"/>
    <w:rsid w:val="00782644"/>
    <w:rsid w:val="007829B4"/>
    <w:rsid w:val="0078391D"/>
    <w:rsid w:val="00784281"/>
    <w:rsid w:val="00784397"/>
    <w:rsid w:val="0078502B"/>
    <w:rsid w:val="0078702B"/>
    <w:rsid w:val="00791B84"/>
    <w:rsid w:val="00791E0A"/>
    <w:rsid w:val="00795828"/>
    <w:rsid w:val="00795CD3"/>
    <w:rsid w:val="007A0AAF"/>
    <w:rsid w:val="007A0EF8"/>
    <w:rsid w:val="007A1887"/>
    <w:rsid w:val="007A24BC"/>
    <w:rsid w:val="007A33F8"/>
    <w:rsid w:val="007A3948"/>
    <w:rsid w:val="007A3A29"/>
    <w:rsid w:val="007A503C"/>
    <w:rsid w:val="007A55A7"/>
    <w:rsid w:val="007A57BC"/>
    <w:rsid w:val="007A5CD5"/>
    <w:rsid w:val="007A6AF8"/>
    <w:rsid w:val="007B1F10"/>
    <w:rsid w:val="007B2143"/>
    <w:rsid w:val="007B3095"/>
    <w:rsid w:val="007B335E"/>
    <w:rsid w:val="007B4A9D"/>
    <w:rsid w:val="007C137D"/>
    <w:rsid w:val="007C1F24"/>
    <w:rsid w:val="007C2176"/>
    <w:rsid w:val="007C51F0"/>
    <w:rsid w:val="007C5B8B"/>
    <w:rsid w:val="007C5BDF"/>
    <w:rsid w:val="007C7D64"/>
    <w:rsid w:val="007C7F79"/>
    <w:rsid w:val="007D14BF"/>
    <w:rsid w:val="007D2FD5"/>
    <w:rsid w:val="007D6771"/>
    <w:rsid w:val="007E0180"/>
    <w:rsid w:val="007E018D"/>
    <w:rsid w:val="007E22AF"/>
    <w:rsid w:val="007E2412"/>
    <w:rsid w:val="007E2DDB"/>
    <w:rsid w:val="007E3E83"/>
    <w:rsid w:val="007E40C0"/>
    <w:rsid w:val="007E5568"/>
    <w:rsid w:val="007E5EB5"/>
    <w:rsid w:val="007E6A45"/>
    <w:rsid w:val="007E6D96"/>
    <w:rsid w:val="007E7BD4"/>
    <w:rsid w:val="007E7FC5"/>
    <w:rsid w:val="007F1601"/>
    <w:rsid w:val="007F1B71"/>
    <w:rsid w:val="007F32BE"/>
    <w:rsid w:val="007F4228"/>
    <w:rsid w:val="007F47F8"/>
    <w:rsid w:val="007F54CD"/>
    <w:rsid w:val="007F5AAB"/>
    <w:rsid w:val="007F6D98"/>
    <w:rsid w:val="00802968"/>
    <w:rsid w:val="0080320B"/>
    <w:rsid w:val="008046D7"/>
    <w:rsid w:val="008051AF"/>
    <w:rsid w:val="00806323"/>
    <w:rsid w:val="00807B50"/>
    <w:rsid w:val="00807E7D"/>
    <w:rsid w:val="008119A9"/>
    <w:rsid w:val="00812E4A"/>
    <w:rsid w:val="008145BA"/>
    <w:rsid w:val="00814FCD"/>
    <w:rsid w:val="00815801"/>
    <w:rsid w:val="00815A38"/>
    <w:rsid w:val="0082311A"/>
    <w:rsid w:val="008249BE"/>
    <w:rsid w:val="00824E64"/>
    <w:rsid w:val="00825B5C"/>
    <w:rsid w:val="00825CA5"/>
    <w:rsid w:val="0082763E"/>
    <w:rsid w:val="00827D54"/>
    <w:rsid w:val="00831675"/>
    <w:rsid w:val="008317B6"/>
    <w:rsid w:val="00833654"/>
    <w:rsid w:val="00833888"/>
    <w:rsid w:val="008404AD"/>
    <w:rsid w:val="00842873"/>
    <w:rsid w:val="00842B11"/>
    <w:rsid w:val="008445E5"/>
    <w:rsid w:val="00844849"/>
    <w:rsid w:val="00845A80"/>
    <w:rsid w:val="00847496"/>
    <w:rsid w:val="00847798"/>
    <w:rsid w:val="008510C1"/>
    <w:rsid w:val="00851916"/>
    <w:rsid w:val="00851F8C"/>
    <w:rsid w:val="00852648"/>
    <w:rsid w:val="00852652"/>
    <w:rsid w:val="00852F6B"/>
    <w:rsid w:val="00853A8F"/>
    <w:rsid w:val="008552D6"/>
    <w:rsid w:val="00855DA3"/>
    <w:rsid w:val="008563F0"/>
    <w:rsid w:val="00856785"/>
    <w:rsid w:val="00860BB5"/>
    <w:rsid w:val="008612A1"/>
    <w:rsid w:val="00862443"/>
    <w:rsid w:val="008627B2"/>
    <w:rsid w:val="00863B62"/>
    <w:rsid w:val="00863DF5"/>
    <w:rsid w:val="00864381"/>
    <w:rsid w:val="008651A5"/>
    <w:rsid w:val="008664DD"/>
    <w:rsid w:val="00866653"/>
    <w:rsid w:val="008708A4"/>
    <w:rsid w:val="00870C25"/>
    <w:rsid w:val="008716D6"/>
    <w:rsid w:val="00871EDC"/>
    <w:rsid w:val="00873636"/>
    <w:rsid w:val="00873C2D"/>
    <w:rsid w:val="00874E71"/>
    <w:rsid w:val="00877071"/>
    <w:rsid w:val="008775CB"/>
    <w:rsid w:val="008779B4"/>
    <w:rsid w:val="00877A2F"/>
    <w:rsid w:val="0088138D"/>
    <w:rsid w:val="00882911"/>
    <w:rsid w:val="00883863"/>
    <w:rsid w:val="0088467C"/>
    <w:rsid w:val="00884DDB"/>
    <w:rsid w:val="008853B9"/>
    <w:rsid w:val="00885AA3"/>
    <w:rsid w:val="00886DC9"/>
    <w:rsid w:val="00887925"/>
    <w:rsid w:val="00890CED"/>
    <w:rsid w:val="008911E7"/>
    <w:rsid w:val="00891875"/>
    <w:rsid w:val="00891F21"/>
    <w:rsid w:val="00892D3B"/>
    <w:rsid w:val="00892D5A"/>
    <w:rsid w:val="00894512"/>
    <w:rsid w:val="00894579"/>
    <w:rsid w:val="008968EA"/>
    <w:rsid w:val="008A03FF"/>
    <w:rsid w:val="008A1E0A"/>
    <w:rsid w:val="008A2BDB"/>
    <w:rsid w:val="008A4986"/>
    <w:rsid w:val="008A59BF"/>
    <w:rsid w:val="008A5B67"/>
    <w:rsid w:val="008A5CCD"/>
    <w:rsid w:val="008A6A6D"/>
    <w:rsid w:val="008A6B84"/>
    <w:rsid w:val="008B29E7"/>
    <w:rsid w:val="008B2C4E"/>
    <w:rsid w:val="008B33DF"/>
    <w:rsid w:val="008B361E"/>
    <w:rsid w:val="008B3AE6"/>
    <w:rsid w:val="008B4CC2"/>
    <w:rsid w:val="008B583C"/>
    <w:rsid w:val="008B5C0B"/>
    <w:rsid w:val="008B66DD"/>
    <w:rsid w:val="008B70AE"/>
    <w:rsid w:val="008B7363"/>
    <w:rsid w:val="008C2216"/>
    <w:rsid w:val="008C4FE3"/>
    <w:rsid w:val="008C6334"/>
    <w:rsid w:val="008C66F8"/>
    <w:rsid w:val="008D07E2"/>
    <w:rsid w:val="008D08E1"/>
    <w:rsid w:val="008D12DE"/>
    <w:rsid w:val="008D16F7"/>
    <w:rsid w:val="008D1990"/>
    <w:rsid w:val="008D40FA"/>
    <w:rsid w:val="008D4835"/>
    <w:rsid w:val="008D6018"/>
    <w:rsid w:val="008D77D3"/>
    <w:rsid w:val="008E13EB"/>
    <w:rsid w:val="008E1427"/>
    <w:rsid w:val="008E2EC9"/>
    <w:rsid w:val="008E39FE"/>
    <w:rsid w:val="008E52C7"/>
    <w:rsid w:val="008E5798"/>
    <w:rsid w:val="008E5A1D"/>
    <w:rsid w:val="008E7F0B"/>
    <w:rsid w:val="008F0C50"/>
    <w:rsid w:val="008F1298"/>
    <w:rsid w:val="008F2084"/>
    <w:rsid w:val="008F2529"/>
    <w:rsid w:val="008F39C0"/>
    <w:rsid w:val="008F4561"/>
    <w:rsid w:val="008F7337"/>
    <w:rsid w:val="008F778A"/>
    <w:rsid w:val="008F7E33"/>
    <w:rsid w:val="00900611"/>
    <w:rsid w:val="0090130A"/>
    <w:rsid w:val="009013FD"/>
    <w:rsid w:val="00901C91"/>
    <w:rsid w:val="00902C5A"/>
    <w:rsid w:val="00902ED6"/>
    <w:rsid w:val="0090320B"/>
    <w:rsid w:val="00906037"/>
    <w:rsid w:val="00906641"/>
    <w:rsid w:val="009069E8"/>
    <w:rsid w:val="00906E8C"/>
    <w:rsid w:val="009101EC"/>
    <w:rsid w:val="0091280A"/>
    <w:rsid w:val="009129C4"/>
    <w:rsid w:val="009143A0"/>
    <w:rsid w:val="0091483C"/>
    <w:rsid w:val="00916A35"/>
    <w:rsid w:val="00916CCA"/>
    <w:rsid w:val="00917C9A"/>
    <w:rsid w:val="00921B5A"/>
    <w:rsid w:val="009245E3"/>
    <w:rsid w:val="00925124"/>
    <w:rsid w:val="00925635"/>
    <w:rsid w:val="00926271"/>
    <w:rsid w:val="00927C59"/>
    <w:rsid w:val="00931113"/>
    <w:rsid w:val="009316E2"/>
    <w:rsid w:val="00931881"/>
    <w:rsid w:val="009328B2"/>
    <w:rsid w:val="00933439"/>
    <w:rsid w:val="0093421F"/>
    <w:rsid w:val="00934680"/>
    <w:rsid w:val="009368EA"/>
    <w:rsid w:val="00936902"/>
    <w:rsid w:val="009406F8"/>
    <w:rsid w:val="00942170"/>
    <w:rsid w:val="0094240C"/>
    <w:rsid w:val="0094486D"/>
    <w:rsid w:val="00945468"/>
    <w:rsid w:val="0094580D"/>
    <w:rsid w:val="00947923"/>
    <w:rsid w:val="00950C83"/>
    <w:rsid w:val="00950E58"/>
    <w:rsid w:val="0095185C"/>
    <w:rsid w:val="00951B7C"/>
    <w:rsid w:val="00951CCE"/>
    <w:rsid w:val="00952030"/>
    <w:rsid w:val="00952DF0"/>
    <w:rsid w:val="00954679"/>
    <w:rsid w:val="00954D96"/>
    <w:rsid w:val="009552FE"/>
    <w:rsid w:val="009554C9"/>
    <w:rsid w:val="00955673"/>
    <w:rsid w:val="009562E9"/>
    <w:rsid w:val="00956D44"/>
    <w:rsid w:val="00957DF1"/>
    <w:rsid w:val="009605F2"/>
    <w:rsid w:val="00964BDF"/>
    <w:rsid w:val="00964FC2"/>
    <w:rsid w:val="009655DA"/>
    <w:rsid w:val="00965BBC"/>
    <w:rsid w:val="009673D0"/>
    <w:rsid w:val="00970F8C"/>
    <w:rsid w:val="00971455"/>
    <w:rsid w:val="00972823"/>
    <w:rsid w:val="00972AE9"/>
    <w:rsid w:val="00973904"/>
    <w:rsid w:val="00974996"/>
    <w:rsid w:val="00980318"/>
    <w:rsid w:val="0098447E"/>
    <w:rsid w:val="0098737D"/>
    <w:rsid w:val="00987443"/>
    <w:rsid w:val="009907E2"/>
    <w:rsid w:val="0099096B"/>
    <w:rsid w:val="00990BE6"/>
    <w:rsid w:val="00992FD9"/>
    <w:rsid w:val="009933D8"/>
    <w:rsid w:val="009975D2"/>
    <w:rsid w:val="009975E1"/>
    <w:rsid w:val="009A1D8D"/>
    <w:rsid w:val="009A2167"/>
    <w:rsid w:val="009A39CE"/>
    <w:rsid w:val="009A3CD1"/>
    <w:rsid w:val="009A49F0"/>
    <w:rsid w:val="009A5307"/>
    <w:rsid w:val="009A5871"/>
    <w:rsid w:val="009B06BD"/>
    <w:rsid w:val="009B1029"/>
    <w:rsid w:val="009B21C9"/>
    <w:rsid w:val="009B7A38"/>
    <w:rsid w:val="009C0051"/>
    <w:rsid w:val="009C0752"/>
    <w:rsid w:val="009C2381"/>
    <w:rsid w:val="009C2CD2"/>
    <w:rsid w:val="009C36B1"/>
    <w:rsid w:val="009C51B4"/>
    <w:rsid w:val="009C5FE5"/>
    <w:rsid w:val="009C6A1E"/>
    <w:rsid w:val="009C6D1A"/>
    <w:rsid w:val="009D0536"/>
    <w:rsid w:val="009D0872"/>
    <w:rsid w:val="009D15C0"/>
    <w:rsid w:val="009D1FF7"/>
    <w:rsid w:val="009D2241"/>
    <w:rsid w:val="009D2F0C"/>
    <w:rsid w:val="009D477C"/>
    <w:rsid w:val="009D6B18"/>
    <w:rsid w:val="009D70E6"/>
    <w:rsid w:val="009E0634"/>
    <w:rsid w:val="009E0774"/>
    <w:rsid w:val="009E0E2C"/>
    <w:rsid w:val="009E27A5"/>
    <w:rsid w:val="009E2F86"/>
    <w:rsid w:val="009E4BBA"/>
    <w:rsid w:val="009E5564"/>
    <w:rsid w:val="009E75BD"/>
    <w:rsid w:val="009E76A0"/>
    <w:rsid w:val="009F09AF"/>
    <w:rsid w:val="009F1025"/>
    <w:rsid w:val="009F1423"/>
    <w:rsid w:val="009F2811"/>
    <w:rsid w:val="009F566F"/>
    <w:rsid w:val="009F7F36"/>
    <w:rsid w:val="00A064D5"/>
    <w:rsid w:val="00A06B75"/>
    <w:rsid w:val="00A0706D"/>
    <w:rsid w:val="00A07B87"/>
    <w:rsid w:val="00A12209"/>
    <w:rsid w:val="00A147CC"/>
    <w:rsid w:val="00A157FD"/>
    <w:rsid w:val="00A16A95"/>
    <w:rsid w:val="00A1754F"/>
    <w:rsid w:val="00A17EC4"/>
    <w:rsid w:val="00A218B6"/>
    <w:rsid w:val="00A23F8B"/>
    <w:rsid w:val="00A26DFC"/>
    <w:rsid w:val="00A27C2D"/>
    <w:rsid w:val="00A27CC3"/>
    <w:rsid w:val="00A31484"/>
    <w:rsid w:val="00A31681"/>
    <w:rsid w:val="00A32808"/>
    <w:rsid w:val="00A32887"/>
    <w:rsid w:val="00A34CA4"/>
    <w:rsid w:val="00A366B8"/>
    <w:rsid w:val="00A368DE"/>
    <w:rsid w:val="00A36DF3"/>
    <w:rsid w:val="00A377E0"/>
    <w:rsid w:val="00A40493"/>
    <w:rsid w:val="00A41D89"/>
    <w:rsid w:val="00A4441D"/>
    <w:rsid w:val="00A44593"/>
    <w:rsid w:val="00A46477"/>
    <w:rsid w:val="00A5241A"/>
    <w:rsid w:val="00A532DD"/>
    <w:rsid w:val="00A548C0"/>
    <w:rsid w:val="00A5522E"/>
    <w:rsid w:val="00A5658E"/>
    <w:rsid w:val="00A57FA1"/>
    <w:rsid w:val="00A600DD"/>
    <w:rsid w:val="00A60243"/>
    <w:rsid w:val="00A60CA0"/>
    <w:rsid w:val="00A622C8"/>
    <w:rsid w:val="00A649B6"/>
    <w:rsid w:val="00A64E69"/>
    <w:rsid w:val="00A65237"/>
    <w:rsid w:val="00A67122"/>
    <w:rsid w:val="00A679EE"/>
    <w:rsid w:val="00A70ED0"/>
    <w:rsid w:val="00A71644"/>
    <w:rsid w:val="00A74B90"/>
    <w:rsid w:val="00A75107"/>
    <w:rsid w:val="00A7523A"/>
    <w:rsid w:val="00A760F0"/>
    <w:rsid w:val="00A80BCF"/>
    <w:rsid w:val="00A81510"/>
    <w:rsid w:val="00A817D9"/>
    <w:rsid w:val="00A825D1"/>
    <w:rsid w:val="00A83100"/>
    <w:rsid w:val="00A8369C"/>
    <w:rsid w:val="00A842F3"/>
    <w:rsid w:val="00A86579"/>
    <w:rsid w:val="00A90212"/>
    <w:rsid w:val="00A90CC4"/>
    <w:rsid w:val="00A91BA6"/>
    <w:rsid w:val="00A92D39"/>
    <w:rsid w:val="00A92DB6"/>
    <w:rsid w:val="00A9332D"/>
    <w:rsid w:val="00A93A2D"/>
    <w:rsid w:val="00A9401D"/>
    <w:rsid w:val="00A947A0"/>
    <w:rsid w:val="00A94ACE"/>
    <w:rsid w:val="00A957D0"/>
    <w:rsid w:val="00A96AFB"/>
    <w:rsid w:val="00A96C2D"/>
    <w:rsid w:val="00AA0F3D"/>
    <w:rsid w:val="00AA1555"/>
    <w:rsid w:val="00AA1689"/>
    <w:rsid w:val="00AA264C"/>
    <w:rsid w:val="00AA496F"/>
    <w:rsid w:val="00AA5770"/>
    <w:rsid w:val="00AA57C1"/>
    <w:rsid w:val="00AA61CD"/>
    <w:rsid w:val="00AA70DB"/>
    <w:rsid w:val="00AA7D25"/>
    <w:rsid w:val="00AA7FD2"/>
    <w:rsid w:val="00AB0C84"/>
    <w:rsid w:val="00AB2A37"/>
    <w:rsid w:val="00AB2E70"/>
    <w:rsid w:val="00AB33C1"/>
    <w:rsid w:val="00AB3DFC"/>
    <w:rsid w:val="00AB3E03"/>
    <w:rsid w:val="00AB3ED8"/>
    <w:rsid w:val="00AB44A3"/>
    <w:rsid w:val="00AB490B"/>
    <w:rsid w:val="00AB5080"/>
    <w:rsid w:val="00AB6148"/>
    <w:rsid w:val="00AB6CE7"/>
    <w:rsid w:val="00AB72C9"/>
    <w:rsid w:val="00AC1D15"/>
    <w:rsid w:val="00AC2BA2"/>
    <w:rsid w:val="00AC37F8"/>
    <w:rsid w:val="00AC3FC8"/>
    <w:rsid w:val="00AC5078"/>
    <w:rsid w:val="00AC5205"/>
    <w:rsid w:val="00AC6EFA"/>
    <w:rsid w:val="00AC7C8E"/>
    <w:rsid w:val="00AD035B"/>
    <w:rsid w:val="00AD22F2"/>
    <w:rsid w:val="00AD3095"/>
    <w:rsid w:val="00AD35FC"/>
    <w:rsid w:val="00AD369C"/>
    <w:rsid w:val="00AD44C6"/>
    <w:rsid w:val="00AD6036"/>
    <w:rsid w:val="00AD70A2"/>
    <w:rsid w:val="00AD7103"/>
    <w:rsid w:val="00AE2CAB"/>
    <w:rsid w:val="00AE460D"/>
    <w:rsid w:val="00AE4EA2"/>
    <w:rsid w:val="00AE7668"/>
    <w:rsid w:val="00AE7A8C"/>
    <w:rsid w:val="00AE7F82"/>
    <w:rsid w:val="00AF0F4B"/>
    <w:rsid w:val="00AF1EFB"/>
    <w:rsid w:val="00AF4156"/>
    <w:rsid w:val="00AF532F"/>
    <w:rsid w:val="00AF53CF"/>
    <w:rsid w:val="00AF5791"/>
    <w:rsid w:val="00AF79E5"/>
    <w:rsid w:val="00AF7AEF"/>
    <w:rsid w:val="00AF7B30"/>
    <w:rsid w:val="00B011AC"/>
    <w:rsid w:val="00B01600"/>
    <w:rsid w:val="00B01A06"/>
    <w:rsid w:val="00B01DAE"/>
    <w:rsid w:val="00B0527A"/>
    <w:rsid w:val="00B05764"/>
    <w:rsid w:val="00B06E46"/>
    <w:rsid w:val="00B07B0C"/>
    <w:rsid w:val="00B101DA"/>
    <w:rsid w:val="00B112A0"/>
    <w:rsid w:val="00B11B09"/>
    <w:rsid w:val="00B120F9"/>
    <w:rsid w:val="00B1459E"/>
    <w:rsid w:val="00B1599E"/>
    <w:rsid w:val="00B168EC"/>
    <w:rsid w:val="00B1724C"/>
    <w:rsid w:val="00B207CB"/>
    <w:rsid w:val="00B21F54"/>
    <w:rsid w:val="00B229A3"/>
    <w:rsid w:val="00B22A25"/>
    <w:rsid w:val="00B22C5B"/>
    <w:rsid w:val="00B23228"/>
    <w:rsid w:val="00B23CDB"/>
    <w:rsid w:val="00B23E2F"/>
    <w:rsid w:val="00B2438B"/>
    <w:rsid w:val="00B25563"/>
    <w:rsid w:val="00B25E1A"/>
    <w:rsid w:val="00B26D48"/>
    <w:rsid w:val="00B2789F"/>
    <w:rsid w:val="00B27F91"/>
    <w:rsid w:val="00B31D8C"/>
    <w:rsid w:val="00B31E40"/>
    <w:rsid w:val="00B32357"/>
    <w:rsid w:val="00B32CB4"/>
    <w:rsid w:val="00B3575A"/>
    <w:rsid w:val="00B362DF"/>
    <w:rsid w:val="00B3742A"/>
    <w:rsid w:val="00B40949"/>
    <w:rsid w:val="00B40D80"/>
    <w:rsid w:val="00B41F7B"/>
    <w:rsid w:val="00B421BA"/>
    <w:rsid w:val="00B42EE1"/>
    <w:rsid w:val="00B440D1"/>
    <w:rsid w:val="00B45D79"/>
    <w:rsid w:val="00B46397"/>
    <w:rsid w:val="00B46454"/>
    <w:rsid w:val="00B47A59"/>
    <w:rsid w:val="00B47DA6"/>
    <w:rsid w:val="00B5126F"/>
    <w:rsid w:val="00B520A3"/>
    <w:rsid w:val="00B527B9"/>
    <w:rsid w:val="00B52B0E"/>
    <w:rsid w:val="00B5349B"/>
    <w:rsid w:val="00B5509D"/>
    <w:rsid w:val="00B5649C"/>
    <w:rsid w:val="00B6194F"/>
    <w:rsid w:val="00B67075"/>
    <w:rsid w:val="00B7138A"/>
    <w:rsid w:val="00B732FA"/>
    <w:rsid w:val="00B74490"/>
    <w:rsid w:val="00B75855"/>
    <w:rsid w:val="00B772D8"/>
    <w:rsid w:val="00B802F2"/>
    <w:rsid w:val="00B804DF"/>
    <w:rsid w:val="00B825A6"/>
    <w:rsid w:val="00B8293D"/>
    <w:rsid w:val="00B83CD5"/>
    <w:rsid w:val="00B87204"/>
    <w:rsid w:val="00B87A49"/>
    <w:rsid w:val="00B87A6A"/>
    <w:rsid w:val="00B9092B"/>
    <w:rsid w:val="00B90C16"/>
    <w:rsid w:val="00B91ECE"/>
    <w:rsid w:val="00B921D0"/>
    <w:rsid w:val="00B92478"/>
    <w:rsid w:val="00B943FB"/>
    <w:rsid w:val="00B956D5"/>
    <w:rsid w:val="00B97463"/>
    <w:rsid w:val="00BA13A1"/>
    <w:rsid w:val="00BA1864"/>
    <w:rsid w:val="00BA1C89"/>
    <w:rsid w:val="00BA25B4"/>
    <w:rsid w:val="00BA2D9A"/>
    <w:rsid w:val="00BA376C"/>
    <w:rsid w:val="00BA5B8C"/>
    <w:rsid w:val="00BA5E62"/>
    <w:rsid w:val="00BA6188"/>
    <w:rsid w:val="00BB00B1"/>
    <w:rsid w:val="00BB075A"/>
    <w:rsid w:val="00BB54B9"/>
    <w:rsid w:val="00BB608E"/>
    <w:rsid w:val="00BB6C40"/>
    <w:rsid w:val="00BB7567"/>
    <w:rsid w:val="00BB7F7A"/>
    <w:rsid w:val="00BC12E8"/>
    <w:rsid w:val="00BC1502"/>
    <w:rsid w:val="00BC1FB9"/>
    <w:rsid w:val="00BC2B38"/>
    <w:rsid w:val="00BC361A"/>
    <w:rsid w:val="00BC529B"/>
    <w:rsid w:val="00BC63BA"/>
    <w:rsid w:val="00BC63C4"/>
    <w:rsid w:val="00BC6677"/>
    <w:rsid w:val="00BC68C2"/>
    <w:rsid w:val="00BC6B9F"/>
    <w:rsid w:val="00BD15DA"/>
    <w:rsid w:val="00BD1983"/>
    <w:rsid w:val="00BD2045"/>
    <w:rsid w:val="00BD3450"/>
    <w:rsid w:val="00BD3D7D"/>
    <w:rsid w:val="00BD49F7"/>
    <w:rsid w:val="00BD4D8D"/>
    <w:rsid w:val="00BD5396"/>
    <w:rsid w:val="00BD61A2"/>
    <w:rsid w:val="00BD6D80"/>
    <w:rsid w:val="00BD6F86"/>
    <w:rsid w:val="00BE28BA"/>
    <w:rsid w:val="00BE2D85"/>
    <w:rsid w:val="00BE484D"/>
    <w:rsid w:val="00BF10FC"/>
    <w:rsid w:val="00BF132F"/>
    <w:rsid w:val="00BF2596"/>
    <w:rsid w:val="00BF2BEC"/>
    <w:rsid w:val="00BF38E3"/>
    <w:rsid w:val="00BF6915"/>
    <w:rsid w:val="00BF7CA8"/>
    <w:rsid w:val="00C00836"/>
    <w:rsid w:val="00C00B11"/>
    <w:rsid w:val="00C00D83"/>
    <w:rsid w:val="00C01C02"/>
    <w:rsid w:val="00C0232E"/>
    <w:rsid w:val="00C04CC4"/>
    <w:rsid w:val="00C1115F"/>
    <w:rsid w:val="00C1394E"/>
    <w:rsid w:val="00C15010"/>
    <w:rsid w:val="00C15406"/>
    <w:rsid w:val="00C16006"/>
    <w:rsid w:val="00C165CA"/>
    <w:rsid w:val="00C21092"/>
    <w:rsid w:val="00C21C84"/>
    <w:rsid w:val="00C21E1D"/>
    <w:rsid w:val="00C224B6"/>
    <w:rsid w:val="00C23484"/>
    <w:rsid w:val="00C246DE"/>
    <w:rsid w:val="00C24EDE"/>
    <w:rsid w:val="00C362E6"/>
    <w:rsid w:val="00C36F61"/>
    <w:rsid w:val="00C37A6E"/>
    <w:rsid w:val="00C37A7C"/>
    <w:rsid w:val="00C37E05"/>
    <w:rsid w:val="00C41BBC"/>
    <w:rsid w:val="00C42577"/>
    <w:rsid w:val="00C4270A"/>
    <w:rsid w:val="00C45D76"/>
    <w:rsid w:val="00C45DAC"/>
    <w:rsid w:val="00C47789"/>
    <w:rsid w:val="00C51469"/>
    <w:rsid w:val="00C51528"/>
    <w:rsid w:val="00C52172"/>
    <w:rsid w:val="00C53B97"/>
    <w:rsid w:val="00C55CBB"/>
    <w:rsid w:val="00C55D29"/>
    <w:rsid w:val="00C56F2E"/>
    <w:rsid w:val="00C57B79"/>
    <w:rsid w:val="00C62B3A"/>
    <w:rsid w:val="00C64653"/>
    <w:rsid w:val="00C65174"/>
    <w:rsid w:val="00C65BBA"/>
    <w:rsid w:val="00C66691"/>
    <w:rsid w:val="00C66C56"/>
    <w:rsid w:val="00C7097E"/>
    <w:rsid w:val="00C7269E"/>
    <w:rsid w:val="00C7376C"/>
    <w:rsid w:val="00C779BE"/>
    <w:rsid w:val="00C77E47"/>
    <w:rsid w:val="00C80091"/>
    <w:rsid w:val="00C81172"/>
    <w:rsid w:val="00C81987"/>
    <w:rsid w:val="00C81BE1"/>
    <w:rsid w:val="00C8203A"/>
    <w:rsid w:val="00C83120"/>
    <w:rsid w:val="00C837FF"/>
    <w:rsid w:val="00C83DB6"/>
    <w:rsid w:val="00C84FA0"/>
    <w:rsid w:val="00C86F6D"/>
    <w:rsid w:val="00C90226"/>
    <w:rsid w:val="00C909BF"/>
    <w:rsid w:val="00C90C90"/>
    <w:rsid w:val="00C915D7"/>
    <w:rsid w:val="00C916BF"/>
    <w:rsid w:val="00C92FF6"/>
    <w:rsid w:val="00C93A59"/>
    <w:rsid w:val="00C93DAC"/>
    <w:rsid w:val="00C948D8"/>
    <w:rsid w:val="00C95B75"/>
    <w:rsid w:val="00C979F5"/>
    <w:rsid w:val="00CA0BE9"/>
    <w:rsid w:val="00CA102A"/>
    <w:rsid w:val="00CA138D"/>
    <w:rsid w:val="00CA1DB1"/>
    <w:rsid w:val="00CA57D9"/>
    <w:rsid w:val="00CA5D67"/>
    <w:rsid w:val="00CB025F"/>
    <w:rsid w:val="00CB08F5"/>
    <w:rsid w:val="00CB2B85"/>
    <w:rsid w:val="00CB41E2"/>
    <w:rsid w:val="00CB4899"/>
    <w:rsid w:val="00CB4EFB"/>
    <w:rsid w:val="00CB684F"/>
    <w:rsid w:val="00CB7BFE"/>
    <w:rsid w:val="00CC1B58"/>
    <w:rsid w:val="00CC220F"/>
    <w:rsid w:val="00CC2AFE"/>
    <w:rsid w:val="00CC3478"/>
    <w:rsid w:val="00CC566D"/>
    <w:rsid w:val="00CC62FA"/>
    <w:rsid w:val="00CC7641"/>
    <w:rsid w:val="00CC797F"/>
    <w:rsid w:val="00CC7C86"/>
    <w:rsid w:val="00CD1393"/>
    <w:rsid w:val="00CD2498"/>
    <w:rsid w:val="00CD372A"/>
    <w:rsid w:val="00CE0B46"/>
    <w:rsid w:val="00CE269F"/>
    <w:rsid w:val="00CE3130"/>
    <w:rsid w:val="00CE4EFB"/>
    <w:rsid w:val="00CE6791"/>
    <w:rsid w:val="00CE6E45"/>
    <w:rsid w:val="00CE6E89"/>
    <w:rsid w:val="00CE7D19"/>
    <w:rsid w:val="00CF0681"/>
    <w:rsid w:val="00CF14A2"/>
    <w:rsid w:val="00CF1965"/>
    <w:rsid w:val="00CF1A94"/>
    <w:rsid w:val="00CF2515"/>
    <w:rsid w:val="00CF3A8F"/>
    <w:rsid w:val="00CF3E79"/>
    <w:rsid w:val="00CF5C00"/>
    <w:rsid w:val="00CF6432"/>
    <w:rsid w:val="00CF73DC"/>
    <w:rsid w:val="00D03381"/>
    <w:rsid w:val="00D03503"/>
    <w:rsid w:val="00D03876"/>
    <w:rsid w:val="00D04887"/>
    <w:rsid w:val="00D05E61"/>
    <w:rsid w:val="00D074A2"/>
    <w:rsid w:val="00D11C99"/>
    <w:rsid w:val="00D12A51"/>
    <w:rsid w:val="00D13794"/>
    <w:rsid w:val="00D14AD4"/>
    <w:rsid w:val="00D1641D"/>
    <w:rsid w:val="00D16930"/>
    <w:rsid w:val="00D207A3"/>
    <w:rsid w:val="00D218E7"/>
    <w:rsid w:val="00D24052"/>
    <w:rsid w:val="00D24386"/>
    <w:rsid w:val="00D25C5C"/>
    <w:rsid w:val="00D27CC6"/>
    <w:rsid w:val="00D308AC"/>
    <w:rsid w:val="00D31575"/>
    <w:rsid w:val="00D31A89"/>
    <w:rsid w:val="00D32155"/>
    <w:rsid w:val="00D32290"/>
    <w:rsid w:val="00D32B3F"/>
    <w:rsid w:val="00D3324F"/>
    <w:rsid w:val="00D34626"/>
    <w:rsid w:val="00D34FB4"/>
    <w:rsid w:val="00D359BA"/>
    <w:rsid w:val="00D407B1"/>
    <w:rsid w:val="00D4257A"/>
    <w:rsid w:val="00D428A3"/>
    <w:rsid w:val="00D42E4D"/>
    <w:rsid w:val="00D433F0"/>
    <w:rsid w:val="00D4402F"/>
    <w:rsid w:val="00D456A9"/>
    <w:rsid w:val="00D45990"/>
    <w:rsid w:val="00D46B58"/>
    <w:rsid w:val="00D46F67"/>
    <w:rsid w:val="00D511B4"/>
    <w:rsid w:val="00D520F0"/>
    <w:rsid w:val="00D52798"/>
    <w:rsid w:val="00D52DB3"/>
    <w:rsid w:val="00D5308C"/>
    <w:rsid w:val="00D5341C"/>
    <w:rsid w:val="00D53AD8"/>
    <w:rsid w:val="00D5468A"/>
    <w:rsid w:val="00D555B4"/>
    <w:rsid w:val="00D55EC7"/>
    <w:rsid w:val="00D5668D"/>
    <w:rsid w:val="00D61745"/>
    <w:rsid w:val="00D62473"/>
    <w:rsid w:val="00D62665"/>
    <w:rsid w:val="00D645AC"/>
    <w:rsid w:val="00D652B2"/>
    <w:rsid w:val="00D66302"/>
    <w:rsid w:val="00D66C71"/>
    <w:rsid w:val="00D66D7C"/>
    <w:rsid w:val="00D675A0"/>
    <w:rsid w:val="00D70205"/>
    <w:rsid w:val="00D70351"/>
    <w:rsid w:val="00D71E16"/>
    <w:rsid w:val="00D72EB1"/>
    <w:rsid w:val="00D735EF"/>
    <w:rsid w:val="00D738B6"/>
    <w:rsid w:val="00D73D03"/>
    <w:rsid w:val="00D74EBB"/>
    <w:rsid w:val="00D7609F"/>
    <w:rsid w:val="00D76ED0"/>
    <w:rsid w:val="00D77AEF"/>
    <w:rsid w:val="00D80690"/>
    <w:rsid w:val="00D81039"/>
    <w:rsid w:val="00D81AA7"/>
    <w:rsid w:val="00D82E47"/>
    <w:rsid w:val="00D82ECA"/>
    <w:rsid w:val="00D8386E"/>
    <w:rsid w:val="00D84A01"/>
    <w:rsid w:val="00D85AF1"/>
    <w:rsid w:val="00D8671B"/>
    <w:rsid w:val="00D87995"/>
    <w:rsid w:val="00D9046F"/>
    <w:rsid w:val="00D93DE3"/>
    <w:rsid w:val="00D94233"/>
    <w:rsid w:val="00D9472D"/>
    <w:rsid w:val="00D94A37"/>
    <w:rsid w:val="00D970B3"/>
    <w:rsid w:val="00D977EA"/>
    <w:rsid w:val="00DA2D3F"/>
    <w:rsid w:val="00DA37E0"/>
    <w:rsid w:val="00DA4090"/>
    <w:rsid w:val="00DA4215"/>
    <w:rsid w:val="00DA4B99"/>
    <w:rsid w:val="00DA7659"/>
    <w:rsid w:val="00DB148C"/>
    <w:rsid w:val="00DB1566"/>
    <w:rsid w:val="00DB1A31"/>
    <w:rsid w:val="00DB202E"/>
    <w:rsid w:val="00DB296A"/>
    <w:rsid w:val="00DB4F78"/>
    <w:rsid w:val="00DB585B"/>
    <w:rsid w:val="00DB5ECD"/>
    <w:rsid w:val="00DC005A"/>
    <w:rsid w:val="00DC027B"/>
    <w:rsid w:val="00DC0CDE"/>
    <w:rsid w:val="00DC1A85"/>
    <w:rsid w:val="00DC498E"/>
    <w:rsid w:val="00DC4D72"/>
    <w:rsid w:val="00DC4FA8"/>
    <w:rsid w:val="00DC53A1"/>
    <w:rsid w:val="00DC6525"/>
    <w:rsid w:val="00DC7018"/>
    <w:rsid w:val="00DC75B0"/>
    <w:rsid w:val="00DD05C8"/>
    <w:rsid w:val="00DD12B0"/>
    <w:rsid w:val="00DD438C"/>
    <w:rsid w:val="00DD5610"/>
    <w:rsid w:val="00DD68F9"/>
    <w:rsid w:val="00DD7EC1"/>
    <w:rsid w:val="00DE0AE8"/>
    <w:rsid w:val="00DE31D7"/>
    <w:rsid w:val="00DE36B5"/>
    <w:rsid w:val="00DE4232"/>
    <w:rsid w:val="00DE5F0C"/>
    <w:rsid w:val="00DF0CB3"/>
    <w:rsid w:val="00DF21A9"/>
    <w:rsid w:val="00DF2887"/>
    <w:rsid w:val="00DF2D4C"/>
    <w:rsid w:val="00DF494C"/>
    <w:rsid w:val="00DF4CE5"/>
    <w:rsid w:val="00DF500B"/>
    <w:rsid w:val="00DF6D0B"/>
    <w:rsid w:val="00DF7061"/>
    <w:rsid w:val="00DF7290"/>
    <w:rsid w:val="00DF7E0D"/>
    <w:rsid w:val="00E00188"/>
    <w:rsid w:val="00E019C7"/>
    <w:rsid w:val="00E036D6"/>
    <w:rsid w:val="00E0624D"/>
    <w:rsid w:val="00E105DE"/>
    <w:rsid w:val="00E11204"/>
    <w:rsid w:val="00E1134E"/>
    <w:rsid w:val="00E13F9B"/>
    <w:rsid w:val="00E14529"/>
    <w:rsid w:val="00E16F05"/>
    <w:rsid w:val="00E179D4"/>
    <w:rsid w:val="00E17D7A"/>
    <w:rsid w:val="00E20023"/>
    <w:rsid w:val="00E2213E"/>
    <w:rsid w:val="00E23032"/>
    <w:rsid w:val="00E2350E"/>
    <w:rsid w:val="00E24558"/>
    <w:rsid w:val="00E30C65"/>
    <w:rsid w:val="00E32B97"/>
    <w:rsid w:val="00E33D0E"/>
    <w:rsid w:val="00E353A3"/>
    <w:rsid w:val="00E35C9D"/>
    <w:rsid w:val="00E36D60"/>
    <w:rsid w:val="00E374D1"/>
    <w:rsid w:val="00E37FF7"/>
    <w:rsid w:val="00E41B4D"/>
    <w:rsid w:val="00E4213C"/>
    <w:rsid w:val="00E42428"/>
    <w:rsid w:val="00E4338C"/>
    <w:rsid w:val="00E439E5"/>
    <w:rsid w:val="00E4438C"/>
    <w:rsid w:val="00E457F3"/>
    <w:rsid w:val="00E50663"/>
    <w:rsid w:val="00E50E16"/>
    <w:rsid w:val="00E5114D"/>
    <w:rsid w:val="00E528ED"/>
    <w:rsid w:val="00E52BC8"/>
    <w:rsid w:val="00E52F5F"/>
    <w:rsid w:val="00E550AD"/>
    <w:rsid w:val="00E55F9B"/>
    <w:rsid w:val="00E56D43"/>
    <w:rsid w:val="00E576F5"/>
    <w:rsid w:val="00E57A6A"/>
    <w:rsid w:val="00E60AE5"/>
    <w:rsid w:val="00E64771"/>
    <w:rsid w:val="00E6585E"/>
    <w:rsid w:val="00E66902"/>
    <w:rsid w:val="00E66DCB"/>
    <w:rsid w:val="00E73CC1"/>
    <w:rsid w:val="00E7469A"/>
    <w:rsid w:val="00E7558D"/>
    <w:rsid w:val="00E765F0"/>
    <w:rsid w:val="00E766B9"/>
    <w:rsid w:val="00E76BD1"/>
    <w:rsid w:val="00E8363A"/>
    <w:rsid w:val="00E84BD7"/>
    <w:rsid w:val="00E8578A"/>
    <w:rsid w:val="00E8627B"/>
    <w:rsid w:val="00E86357"/>
    <w:rsid w:val="00E871B9"/>
    <w:rsid w:val="00E87284"/>
    <w:rsid w:val="00E91007"/>
    <w:rsid w:val="00E9201B"/>
    <w:rsid w:val="00E937C9"/>
    <w:rsid w:val="00E95388"/>
    <w:rsid w:val="00E95EC7"/>
    <w:rsid w:val="00E96E6B"/>
    <w:rsid w:val="00E97664"/>
    <w:rsid w:val="00EA13FE"/>
    <w:rsid w:val="00EA447D"/>
    <w:rsid w:val="00EA4DD8"/>
    <w:rsid w:val="00EA6DB9"/>
    <w:rsid w:val="00EA7959"/>
    <w:rsid w:val="00EB2411"/>
    <w:rsid w:val="00EB2AEF"/>
    <w:rsid w:val="00EB2BED"/>
    <w:rsid w:val="00EB39C2"/>
    <w:rsid w:val="00EB3B36"/>
    <w:rsid w:val="00EB50C5"/>
    <w:rsid w:val="00EB745D"/>
    <w:rsid w:val="00EB7E71"/>
    <w:rsid w:val="00EC0A30"/>
    <w:rsid w:val="00EC3854"/>
    <w:rsid w:val="00ED123E"/>
    <w:rsid w:val="00ED1F15"/>
    <w:rsid w:val="00ED216B"/>
    <w:rsid w:val="00ED21DD"/>
    <w:rsid w:val="00ED23A4"/>
    <w:rsid w:val="00ED247E"/>
    <w:rsid w:val="00ED2A65"/>
    <w:rsid w:val="00ED3055"/>
    <w:rsid w:val="00ED4988"/>
    <w:rsid w:val="00EE051B"/>
    <w:rsid w:val="00EE3649"/>
    <w:rsid w:val="00EE4277"/>
    <w:rsid w:val="00EE4716"/>
    <w:rsid w:val="00EE47C9"/>
    <w:rsid w:val="00EE4B1C"/>
    <w:rsid w:val="00EF02A8"/>
    <w:rsid w:val="00EF1F6C"/>
    <w:rsid w:val="00EF2788"/>
    <w:rsid w:val="00EF3103"/>
    <w:rsid w:val="00EF3D87"/>
    <w:rsid w:val="00EF6595"/>
    <w:rsid w:val="00EF6E9B"/>
    <w:rsid w:val="00EF7714"/>
    <w:rsid w:val="00EF7FB2"/>
    <w:rsid w:val="00F023DB"/>
    <w:rsid w:val="00F0252B"/>
    <w:rsid w:val="00F044D3"/>
    <w:rsid w:val="00F051F1"/>
    <w:rsid w:val="00F0530F"/>
    <w:rsid w:val="00F060B1"/>
    <w:rsid w:val="00F06EAF"/>
    <w:rsid w:val="00F07E5A"/>
    <w:rsid w:val="00F109D4"/>
    <w:rsid w:val="00F10A6F"/>
    <w:rsid w:val="00F11A9D"/>
    <w:rsid w:val="00F15EE9"/>
    <w:rsid w:val="00F1757F"/>
    <w:rsid w:val="00F20729"/>
    <w:rsid w:val="00F2089C"/>
    <w:rsid w:val="00F20A5C"/>
    <w:rsid w:val="00F211B8"/>
    <w:rsid w:val="00F211D6"/>
    <w:rsid w:val="00F213E2"/>
    <w:rsid w:val="00F22510"/>
    <w:rsid w:val="00F23606"/>
    <w:rsid w:val="00F24347"/>
    <w:rsid w:val="00F24432"/>
    <w:rsid w:val="00F24736"/>
    <w:rsid w:val="00F25BA9"/>
    <w:rsid w:val="00F26F71"/>
    <w:rsid w:val="00F27344"/>
    <w:rsid w:val="00F305CD"/>
    <w:rsid w:val="00F3169E"/>
    <w:rsid w:val="00F337DA"/>
    <w:rsid w:val="00F343AA"/>
    <w:rsid w:val="00F36488"/>
    <w:rsid w:val="00F36954"/>
    <w:rsid w:val="00F41FC7"/>
    <w:rsid w:val="00F4231A"/>
    <w:rsid w:val="00F4241B"/>
    <w:rsid w:val="00F46704"/>
    <w:rsid w:val="00F46C17"/>
    <w:rsid w:val="00F47585"/>
    <w:rsid w:val="00F4773B"/>
    <w:rsid w:val="00F47CFD"/>
    <w:rsid w:val="00F50306"/>
    <w:rsid w:val="00F50471"/>
    <w:rsid w:val="00F5077C"/>
    <w:rsid w:val="00F51086"/>
    <w:rsid w:val="00F51AA1"/>
    <w:rsid w:val="00F51E8A"/>
    <w:rsid w:val="00F52036"/>
    <w:rsid w:val="00F521AA"/>
    <w:rsid w:val="00F52D6A"/>
    <w:rsid w:val="00F53600"/>
    <w:rsid w:val="00F53863"/>
    <w:rsid w:val="00F54264"/>
    <w:rsid w:val="00F57EE5"/>
    <w:rsid w:val="00F6249C"/>
    <w:rsid w:val="00F62FF1"/>
    <w:rsid w:val="00F640FD"/>
    <w:rsid w:val="00F64AC1"/>
    <w:rsid w:val="00F64B79"/>
    <w:rsid w:val="00F667C9"/>
    <w:rsid w:val="00F678B8"/>
    <w:rsid w:val="00F7078E"/>
    <w:rsid w:val="00F70A5C"/>
    <w:rsid w:val="00F73A5C"/>
    <w:rsid w:val="00F75BDB"/>
    <w:rsid w:val="00F77C4F"/>
    <w:rsid w:val="00F81232"/>
    <w:rsid w:val="00F8291C"/>
    <w:rsid w:val="00F840B0"/>
    <w:rsid w:val="00F857A2"/>
    <w:rsid w:val="00F85E6F"/>
    <w:rsid w:val="00F864BF"/>
    <w:rsid w:val="00F8753D"/>
    <w:rsid w:val="00F879AE"/>
    <w:rsid w:val="00F87C02"/>
    <w:rsid w:val="00F905D0"/>
    <w:rsid w:val="00F906AC"/>
    <w:rsid w:val="00F90A59"/>
    <w:rsid w:val="00F93C4C"/>
    <w:rsid w:val="00F95449"/>
    <w:rsid w:val="00F96111"/>
    <w:rsid w:val="00F961F0"/>
    <w:rsid w:val="00F971EC"/>
    <w:rsid w:val="00FA16E0"/>
    <w:rsid w:val="00FA1942"/>
    <w:rsid w:val="00FA1E34"/>
    <w:rsid w:val="00FA2194"/>
    <w:rsid w:val="00FA333F"/>
    <w:rsid w:val="00FA375A"/>
    <w:rsid w:val="00FA380A"/>
    <w:rsid w:val="00FA4F3C"/>
    <w:rsid w:val="00FA5478"/>
    <w:rsid w:val="00FB2EE1"/>
    <w:rsid w:val="00FB3BE4"/>
    <w:rsid w:val="00FB6428"/>
    <w:rsid w:val="00FB7930"/>
    <w:rsid w:val="00FC0489"/>
    <w:rsid w:val="00FC0B5E"/>
    <w:rsid w:val="00FC11DF"/>
    <w:rsid w:val="00FC1CFE"/>
    <w:rsid w:val="00FC2965"/>
    <w:rsid w:val="00FC2CB5"/>
    <w:rsid w:val="00FC3348"/>
    <w:rsid w:val="00FC38D9"/>
    <w:rsid w:val="00FC3A8F"/>
    <w:rsid w:val="00FC42FE"/>
    <w:rsid w:val="00FC4D25"/>
    <w:rsid w:val="00FC5080"/>
    <w:rsid w:val="00FC595E"/>
    <w:rsid w:val="00FC63AE"/>
    <w:rsid w:val="00FC66CB"/>
    <w:rsid w:val="00FC68B6"/>
    <w:rsid w:val="00FD00EC"/>
    <w:rsid w:val="00FD0440"/>
    <w:rsid w:val="00FD19DE"/>
    <w:rsid w:val="00FD19F7"/>
    <w:rsid w:val="00FD38CB"/>
    <w:rsid w:val="00FD3A22"/>
    <w:rsid w:val="00FD5D54"/>
    <w:rsid w:val="00FD7402"/>
    <w:rsid w:val="00FE0132"/>
    <w:rsid w:val="00FE04E4"/>
    <w:rsid w:val="00FE2DD7"/>
    <w:rsid w:val="00FE60DE"/>
    <w:rsid w:val="00FE73F9"/>
    <w:rsid w:val="00FE79A3"/>
    <w:rsid w:val="00FE7F82"/>
    <w:rsid w:val="00FF020A"/>
    <w:rsid w:val="00FF1057"/>
    <w:rsid w:val="00FF20CE"/>
    <w:rsid w:val="00FF2BEE"/>
    <w:rsid w:val="00FF3E25"/>
    <w:rsid w:val="00FF5AD5"/>
    <w:rsid w:val="00FF5CC7"/>
    <w:rsid w:val="00FF5FB7"/>
    <w:rsid w:val="00FF5FD8"/>
    <w:rsid w:val="00FF6842"/>
    <w:rsid w:val="00FF7540"/>
    <w:rsid w:val="00FF7B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Definition">
    <w:name w:val="Definition"/>
    <w:aliases w:val="dd"/>
    <w:basedOn w:val="Normal"/>
    <w:rsid w:val="00851F8C"/>
    <w:pPr>
      <w:spacing w:before="180" w:after="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437">
      <w:bodyDiv w:val="1"/>
      <w:marLeft w:val="0"/>
      <w:marRight w:val="0"/>
      <w:marTop w:val="0"/>
      <w:marBottom w:val="0"/>
      <w:divBdr>
        <w:top w:val="none" w:sz="0" w:space="0" w:color="auto"/>
        <w:left w:val="none" w:sz="0" w:space="0" w:color="auto"/>
        <w:bottom w:val="none" w:sz="0" w:space="0" w:color="auto"/>
        <w:right w:val="none" w:sz="0" w:space="0" w:color="auto"/>
      </w:divBdr>
      <w:divsChild>
        <w:div w:id="139935384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4793128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6528804">
      <w:bodyDiv w:val="1"/>
      <w:marLeft w:val="0"/>
      <w:marRight w:val="0"/>
      <w:marTop w:val="0"/>
      <w:marBottom w:val="0"/>
      <w:divBdr>
        <w:top w:val="none" w:sz="0" w:space="0" w:color="auto"/>
        <w:left w:val="none" w:sz="0" w:space="0" w:color="auto"/>
        <w:bottom w:val="none" w:sz="0" w:space="0" w:color="auto"/>
        <w:right w:val="none" w:sz="0" w:space="0" w:color="auto"/>
      </w:divBdr>
    </w:div>
    <w:div w:id="119080303">
      <w:bodyDiv w:val="1"/>
      <w:marLeft w:val="0"/>
      <w:marRight w:val="0"/>
      <w:marTop w:val="0"/>
      <w:marBottom w:val="0"/>
      <w:divBdr>
        <w:top w:val="none" w:sz="0" w:space="0" w:color="auto"/>
        <w:left w:val="none" w:sz="0" w:space="0" w:color="auto"/>
        <w:bottom w:val="none" w:sz="0" w:space="0" w:color="auto"/>
        <w:right w:val="none" w:sz="0" w:space="0" w:color="auto"/>
      </w:divBdr>
    </w:div>
    <w:div w:id="158546333">
      <w:bodyDiv w:val="1"/>
      <w:marLeft w:val="0"/>
      <w:marRight w:val="0"/>
      <w:marTop w:val="0"/>
      <w:marBottom w:val="0"/>
      <w:divBdr>
        <w:top w:val="none" w:sz="0" w:space="0" w:color="auto"/>
        <w:left w:val="none" w:sz="0" w:space="0" w:color="auto"/>
        <w:bottom w:val="none" w:sz="0" w:space="0" w:color="auto"/>
        <w:right w:val="none" w:sz="0" w:space="0" w:color="auto"/>
      </w:divBdr>
    </w:div>
    <w:div w:id="167141017">
      <w:bodyDiv w:val="1"/>
      <w:marLeft w:val="0"/>
      <w:marRight w:val="0"/>
      <w:marTop w:val="0"/>
      <w:marBottom w:val="0"/>
      <w:divBdr>
        <w:top w:val="none" w:sz="0" w:space="0" w:color="auto"/>
        <w:left w:val="none" w:sz="0" w:space="0" w:color="auto"/>
        <w:bottom w:val="none" w:sz="0" w:space="0" w:color="auto"/>
        <w:right w:val="none" w:sz="0" w:space="0" w:color="auto"/>
      </w:divBdr>
    </w:div>
    <w:div w:id="182280675">
      <w:bodyDiv w:val="1"/>
      <w:marLeft w:val="0"/>
      <w:marRight w:val="0"/>
      <w:marTop w:val="0"/>
      <w:marBottom w:val="0"/>
      <w:divBdr>
        <w:top w:val="none" w:sz="0" w:space="0" w:color="auto"/>
        <w:left w:val="none" w:sz="0" w:space="0" w:color="auto"/>
        <w:bottom w:val="none" w:sz="0" w:space="0" w:color="auto"/>
        <w:right w:val="none" w:sz="0" w:space="0" w:color="auto"/>
      </w:divBdr>
    </w:div>
    <w:div w:id="194856153">
      <w:bodyDiv w:val="1"/>
      <w:marLeft w:val="0"/>
      <w:marRight w:val="0"/>
      <w:marTop w:val="0"/>
      <w:marBottom w:val="0"/>
      <w:divBdr>
        <w:top w:val="none" w:sz="0" w:space="0" w:color="auto"/>
        <w:left w:val="none" w:sz="0" w:space="0" w:color="auto"/>
        <w:bottom w:val="none" w:sz="0" w:space="0" w:color="auto"/>
        <w:right w:val="none" w:sz="0" w:space="0" w:color="auto"/>
      </w:divBdr>
    </w:div>
    <w:div w:id="198862259">
      <w:bodyDiv w:val="1"/>
      <w:marLeft w:val="0"/>
      <w:marRight w:val="0"/>
      <w:marTop w:val="0"/>
      <w:marBottom w:val="0"/>
      <w:divBdr>
        <w:top w:val="none" w:sz="0" w:space="0" w:color="auto"/>
        <w:left w:val="none" w:sz="0" w:space="0" w:color="auto"/>
        <w:bottom w:val="none" w:sz="0" w:space="0" w:color="auto"/>
        <w:right w:val="none" w:sz="0" w:space="0" w:color="auto"/>
      </w:divBdr>
      <w:divsChild>
        <w:div w:id="1709523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15207">
      <w:bodyDiv w:val="1"/>
      <w:marLeft w:val="0"/>
      <w:marRight w:val="0"/>
      <w:marTop w:val="0"/>
      <w:marBottom w:val="0"/>
      <w:divBdr>
        <w:top w:val="none" w:sz="0" w:space="0" w:color="auto"/>
        <w:left w:val="none" w:sz="0" w:space="0" w:color="auto"/>
        <w:bottom w:val="none" w:sz="0" w:space="0" w:color="auto"/>
        <w:right w:val="none" w:sz="0" w:space="0" w:color="auto"/>
      </w:divBdr>
      <w:divsChild>
        <w:div w:id="214442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721034">
      <w:bodyDiv w:val="1"/>
      <w:marLeft w:val="0"/>
      <w:marRight w:val="0"/>
      <w:marTop w:val="0"/>
      <w:marBottom w:val="0"/>
      <w:divBdr>
        <w:top w:val="none" w:sz="0" w:space="0" w:color="auto"/>
        <w:left w:val="none" w:sz="0" w:space="0" w:color="auto"/>
        <w:bottom w:val="none" w:sz="0" w:space="0" w:color="auto"/>
        <w:right w:val="none" w:sz="0" w:space="0" w:color="auto"/>
      </w:divBdr>
    </w:div>
    <w:div w:id="262539275">
      <w:bodyDiv w:val="1"/>
      <w:marLeft w:val="0"/>
      <w:marRight w:val="0"/>
      <w:marTop w:val="0"/>
      <w:marBottom w:val="0"/>
      <w:divBdr>
        <w:top w:val="none" w:sz="0" w:space="0" w:color="auto"/>
        <w:left w:val="none" w:sz="0" w:space="0" w:color="auto"/>
        <w:bottom w:val="none" w:sz="0" w:space="0" w:color="auto"/>
        <w:right w:val="none" w:sz="0" w:space="0" w:color="auto"/>
      </w:divBdr>
    </w:div>
    <w:div w:id="278881339">
      <w:bodyDiv w:val="1"/>
      <w:marLeft w:val="0"/>
      <w:marRight w:val="0"/>
      <w:marTop w:val="0"/>
      <w:marBottom w:val="0"/>
      <w:divBdr>
        <w:top w:val="none" w:sz="0" w:space="0" w:color="auto"/>
        <w:left w:val="none" w:sz="0" w:space="0" w:color="auto"/>
        <w:bottom w:val="none" w:sz="0" w:space="0" w:color="auto"/>
        <w:right w:val="none" w:sz="0" w:space="0" w:color="auto"/>
      </w:divBdr>
    </w:div>
    <w:div w:id="279537160">
      <w:bodyDiv w:val="1"/>
      <w:marLeft w:val="0"/>
      <w:marRight w:val="0"/>
      <w:marTop w:val="0"/>
      <w:marBottom w:val="0"/>
      <w:divBdr>
        <w:top w:val="none" w:sz="0" w:space="0" w:color="auto"/>
        <w:left w:val="none" w:sz="0" w:space="0" w:color="auto"/>
        <w:bottom w:val="none" w:sz="0" w:space="0" w:color="auto"/>
        <w:right w:val="none" w:sz="0" w:space="0" w:color="auto"/>
      </w:divBdr>
    </w:div>
    <w:div w:id="284773995">
      <w:bodyDiv w:val="1"/>
      <w:marLeft w:val="0"/>
      <w:marRight w:val="0"/>
      <w:marTop w:val="0"/>
      <w:marBottom w:val="0"/>
      <w:divBdr>
        <w:top w:val="none" w:sz="0" w:space="0" w:color="auto"/>
        <w:left w:val="none" w:sz="0" w:space="0" w:color="auto"/>
        <w:bottom w:val="none" w:sz="0" w:space="0" w:color="auto"/>
        <w:right w:val="none" w:sz="0" w:space="0" w:color="auto"/>
      </w:divBdr>
    </w:div>
    <w:div w:id="363793700">
      <w:bodyDiv w:val="1"/>
      <w:marLeft w:val="0"/>
      <w:marRight w:val="0"/>
      <w:marTop w:val="0"/>
      <w:marBottom w:val="0"/>
      <w:divBdr>
        <w:top w:val="none" w:sz="0" w:space="0" w:color="auto"/>
        <w:left w:val="none" w:sz="0" w:space="0" w:color="auto"/>
        <w:bottom w:val="none" w:sz="0" w:space="0" w:color="auto"/>
        <w:right w:val="none" w:sz="0" w:space="0" w:color="auto"/>
      </w:divBdr>
      <w:divsChild>
        <w:div w:id="181825521">
          <w:marLeft w:val="0"/>
          <w:marRight w:val="0"/>
          <w:marTop w:val="120"/>
          <w:marBottom w:val="60"/>
          <w:divBdr>
            <w:top w:val="none" w:sz="0" w:space="0" w:color="auto"/>
            <w:left w:val="none" w:sz="0" w:space="0" w:color="auto"/>
            <w:bottom w:val="none" w:sz="0" w:space="0" w:color="auto"/>
            <w:right w:val="none" w:sz="0" w:space="0" w:color="auto"/>
          </w:divBdr>
        </w:div>
      </w:divsChild>
    </w:div>
    <w:div w:id="379287227">
      <w:bodyDiv w:val="1"/>
      <w:marLeft w:val="0"/>
      <w:marRight w:val="0"/>
      <w:marTop w:val="0"/>
      <w:marBottom w:val="0"/>
      <w:divBdr>
        <w:top w:val="none" w:sz="0" w:space="0" w:color="auto"/>
        <w:left w:val="none" w:sz="0" w:space="0" w:color="auto"/>
        <w:bottom w:val="none" w:sz="0" w:space="0" w:color="auto"/>
        <w:right w:val="none" w:sz="0" w:space="0" w:color="auto"/>
      </w:divBdr>
    </w:div>
    <w:div w:id="387801669">
      <w:bodyDiv w:val="1"/>
      <w:marLeft w:val="0"/>
      <w:marRight w:val="0"/>
      <w:marTop w:val="0"/>
      <w:marBottom w:val="0"/>
      <w:divBdr>
        <w:top w:val="none" w:sz="0" w:space="0" w:color="auto"/>
        <w:left w:val="none" w:sz="0" w:space="0" w:color="auto"/>
        <w:bottom w:val="none" w:sz="0" w:space="0" w:color="auto"/>
        <w:right w:val="none" w:sz="0" w:space="0" w:color="auto"/>
      </w:divBdr>
      <w:divsChild>
        <w:div w:id="9707176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82038703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415708936">
      <w:bodyDiv w:val="1"/>
      <w:marLeft w:val="0"/>
      <w:marRight w:val="0"/>
      <w:marTop w:val="0"/>
      <w:marBottom w:val="0"/>
      <w:divBdr>
        <w:top w:val="none" w:sz="0" w:space="0" w:color="auto"/>
        <w:left w:val="none" w:sz="0" w:space="0" w:color="auto"/>
        <w:bottom w:val="none" w:sz="0" w:space="0" w:color="auto"/>
        <w:right w:val="none" w:sz="0" w:space="0" w:color="auto"/>
      </w:divBdr>
    </w:div>
    <w:div w:id="418645499">
      <w:bodyDiv w:val="1"/>
      <w:marLeft w:val="0"/>
      <w:marRight w:val="0"/>
      <w:marTop w:val="0"/>
      <w:marBottom w:val="0"/>
      <w:divBdr>
        <w:top w:val="none" w:sz="0" w:space="0" w:color="auto"/>
        <w:left w:val="none" w:sz="0" w:space="0" w:color="auto"/>
        <w:bottom w:val="none" w:sz="0" w:space="0" w:color="auto"/>
        <w:right w:val="none" w:sz="0" w:space="0" w:color="auto"/>
      </w:divBdr>
    </w:div>
    <w:div w:id="425880145">
      <w:bodyDiv w:val="1"/>
      <w:marLeft w:val="0"/>
      <w:marRight w:val="0"/>
      <w:marTop w:val="0"/>
      <w:marBottom w:val="0"/>
      <w:divBdr>
        <w:top w:val="none" w:sz="0" w:space="0" w:color="auto"/>
        <w:left w:val="none" w:sz="0" w:space="0" w:color="auto"/>
        <w:bottom w:val="none" w:sz="0" w:space="0" w:color="auto"/>
        <w:right w:val="none" w:sz="0" w:space="0" w:color="auto"/>
      </w:divBdr>
    </w:div>
    <w:div w:id="454645584">
      <w:bodyDiv w:val="1"/>
      <w:marLeft w:val="0"/>
      <w:marRight w:val="0"/>
      <w:marTop w:val="0"/>
      <w:marBottom w:val="0"/>
      <w:divBdr>
        <w:top w:val="none" w:sz="0" w:space="0" w:color="auto"/>
        <w:left w:val="none" w:sz="0" w:space="0" w:color="auto"/>
        <w:bottom w:val="none" w:sz="0" w:space="0" w:color="auto"/>
        <w:right w:val="none" w:sz="0" w:space="0" w:color="auto"/>
      </w:divBdr>
    </w:div>
    <w:div w:id="472874776">
      <w:bodyDiv w:val="1"/>
      <w:marLeft w:val="0"/>
      <w:marRight w:val="0"/>
      <w:marTop w:val="0"/>
      <w:marBottom w:val="0"/>
      <w:divBdr>
        <w:top w:val="none" w:sz="0" w:space="0" w:color="auto"/>
        <w:left w:val="none" w:sz="0" w:space="0" w:color="auto"/>
        <w:bottom w:val="none" w:sz="0" w:space="0" w:color="auto"/>
        <w:right w:val="none" w:sz="0" w:space="0" w:color="auto"/>
      </w:divBdr>
    </w:div>
    <w:div w:id="548886240">
      <w:bodyDiv w:val="1"/>
      <w:marLeft w:val="0"/>
      <w:marRight w:val="0"/>
      <w:marTop w:val="0"/>
      <w:marBottom w:val="0"/>
      <w:divBdr>
        <w:top w:val="none" w:sz="0" w:space="0" w:color="auto"/>
        <w:left w:val="none" w:sz="0" w:space="0" w:color="auto"/>
        <w:bottom w:val="none" w:sz="0" w:space="0" w:color="auto"/>
        <w:right w:val="none" w:sz="0" w:space="0" w:color="auto"/>
      </w:divBdr>
    </w:div>
    <w:div w:id="549614384">
      <w:bodyDiv w:val="1"/>
      <w:marLeft w:val="0"/>
      <w:marRight w:val="0"/>
      <w:marTop w:val="0"/>
      <w:marBottom w:val="0"/>
      <w:divBdr>
        <w:top w:val="none" w:sz="0" w:space="0" w:color="auto"/>
        <w:left w:val="none" w:sz="0" w:space="0" w:color="auto"/>
        <w:bottom w:val="none" w:sz="0" w:space="0" w:color="auto"/>
        <w:right w:val="none" w:sz="0" w:space="0" w:color="auto"/>
      </w:divBdr>
    </w:div>
    <w:div w:id="579295725">
      <w:bodyDiv w:val="1"/>
      <w:marLeft w:val="0"/>
      <w:marRight w:val="0"/>
      <w:marTop w:val="0"/>
      <w:marBottom w:val="0"/>
      <w:divBdr>
        <w:top w:val="none" w:sz="0" w:space="0" w:color="auto"/>
        <w:left w:val="none" w:sz="0" w:space="0" w:color="auto"/>
        <w:bottom w:val="none" w:sz="0" w:space="0" w:color="auto"/>
        <w:right w:val="none" w:sz="0" w:space="0" w:color="auto"/>
      </w:divBdr>
    </w:div>
    <w:div w:id="609289036">
      <w:bodyDiv w:val="1"/>
      <w:marLeft w:val="0"/>
      <w:marRight w:val="0"/>
      <w:marTop w:val="0"/>
      <w:marBottom w:val="0"/>
      <w:divBdr>
        <w:top w:val="none" w:sz="0" w:space="0" w:color="auto"/>
        <w:left w:val="none" w:sz="0" w:space="0" w:color="auto"/>
        <w:bottom w:val="none" w:sz="0" w:space="0" w:color="auto"/>
        <w:right w:val="none" w:sz="0" w:space="0" w:color="auto"/>
      </w:divBdr>
    </w:div>
    <w:div w:id="610554614">
      <w:bodyDiv w:val="1"/>
      <w:marLeft w:val="0"/>
      <w:marRight w:val="0"/>
      <w:marTop w:val="0"/>
      <w:marBottom w:val="0"/>
      <w:divBdr>
        <w:top w:val="none" w:sz="0" w:space="0" w:color="auto"/>
        <w:left w:val="none" w:sz="0" w:space="0" w:color="auto"/>
        <w:bottom w:val="none" w:sz="0" w:space="0" w:color="auto"/>
        <w:right w:val="none" w:sz="0" w:space="0" w:color="auto"/>
      </w:divBdr>
    </w:div>
    <w:div w:id="631789366">
      <w:bodyDiv w:val="1"/>
      <w:marLeft w:val="0"/>
      <w:marRight w:val="0"/>
      <w:marTop w:val="0"/>
      <w:marBottom w:val="0"/>
      <w:divBdr>
        <w:top w:val="none" w:sz="0" w:space="0" w:color="auto"/>
        <w:left w:val="none" w:sz="0" w:space="0" w:color="auto"/>
        <w:bottom w:val="none" w:sz="0" w:space="0" w:color="auto"/>
        <w:right w:val="none" w:sz="0" w:space="0" w:color="auto"/>
      </w:divBdr>
    </w:div>
    <w:div w:id="679501590">
      <w:bodyDiv w:val="1"/>
      <w:marLeft w:val="0"/>
      <w:marRight w:val="0"/>
      <w:marTop w:val="0"/>
      <w:marBottom w:val="0"/>
      <w:divBdr>
        <w:top w:val="none" w:sz="0" w:space="0" w:color="auto"/>
        <w:left w:val="none" w:sz="0" w:space="0" w:color="auto"/>
        <w:bottom w:val="none" w:sz="0" w:space="0" w:color="auto"/>
        <w:right w:val="none" w:sz="0" w:space="0" w:color="auto"/>
      </w:divBdr>
    </w:div>
    <w:div w:id="711153131">
      <w:bodyDiv w:val="1"/>
      <w:marLeft w:val="0"/>
      <w:marRight w:val="0"/>
      <w:marTop w:val="0"/>
      <w:marBottom w:val="0"/>
      <w:divBdr>
        <w:top w:val="none" w:sz="0" w:space="0" w:color="auto"/>
        <w:left w:val="none" w:sz="0" w:space="0" w:color="auto"/>
        <w:bottom w:val="none" w:sz="0" w:space="0" w:color="auto"/>
        <w:right w:val="none" w:sz="0" w:space="0" w:color="auto"/>
      </w:divBdr>
    </w:div>
    <w:div w:id="742945788">
      <w:bodyDiv w:val="1"/>
      <w:marLeft w:val="0"/>
      <w:marRight w:val="0"/>
      <w:marTop w:val="0"/>
      <w:marBottom w:val="0"/>
      <w:divBdr>
        <w:top w:val="none" w:sz="0" w:space="0" w:color="auto"/>
        <w:left w:val="none" w:sz="0" w:space="0" w:color="auto"/>
        <w:bottom w:val="none" w:sz="0" w:space="0" w:color="auto"/>
        <w:right w:val="none" w:sz="0" w:space="0" w:color="auto"/>
      </w:divBdr>
    </w:div>
    <w:div w:id="799960186">
      <w:bodyDiv w:val="1"/>
      <w:marLeft w:val="0"/>
      <w:marRight w:val="0"/>
      <w:marTop w:val="0"/>
      <w:marBottom w:val="0"/>
      <w:divBdr>
        <w:top w:val="none" w:sz="0" w:space="0" w:color="auto"/>
        <w:left w:val="none" w:sz="0" w:space="0" w:color="auto"/>
        <w:bottom w:val="none" w:sz="0" w:space="0" w:color="auto"/>
        <w:right w:val="none" w:sz="0" w:space="0" w:color="auto"/>
      </w:divBdr>
      <w:divsChild>
        <w:div w:id="1916360474">
          <w:marLeft w:val="0"/>
          <w:marRight w:val="0"/>
          <w:marTop w:val="120"/>
          <w:marBottom w:val="60"/>
          <w:divBdr>
            <w:top w:val="none" w:sz="0" w:space="0" w:color="auto"/>
            <w:left w:val="none" w:sz="0" w:space="0" w:color="auto"/>
            <w:bottom w:val="none" w:sz="0" w:space="0" w:color="auto"/>
            <w:right w:val="none" w:sz="0" w:space="0" w:color="auto"/>
          </w:divBdr>
        </w:div>
      </w:divsChild>
    </w:div>
    <w:div w:id="817309169">
      <w:bodyDiv w:val="1"/>
      <w:marLeft w:val="0"/>
      <w:marRight w:val="0"/>
      <w:marTop w:val="0"/>
      <w:marBottom w:val="0"/>
      <w:divBdr>
        <w:top w:val="none" w:sz="0" w:space="0" w:color="auto"/>
        <w:left w:val="none" w:sz="0" w:space="0" w:color="auto"/>
        <w:bottom w:val="none" w:sz="0" w:space="0" w:color="auto"/>
        <w:right w:val="none" w:sz="0" w:space="0" w:color="auto"/>
      </w:divBdr>
    </w:div>
    <w:div w:id="871462152">
      <w:bodyDiv w:val="1"/>
      <w:marLeft w:val="0"/>
      <w:marRight w:val="0"/>
      <w:marTop w:val="0"/>
      <w:marBottom w:val="0"/>
      <w:divBdr>
        <w:top w:val="none" w:sz="0" w:space="0" w:color="auto"/>
        <w:left w:val="none" w:sz="0" w:space="0" w:color="auto"/>
        <w:bottom w:val="none" w:sz="0" w:space="0" w:color="auto"/>
        <w:right w:val="none" w:sz="0" w:space="0" w:color="auto"/>
      </w:divBdr>
      <w:divsChild>
        <w:div w:id="1182547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100123">
      <w:bodyDiv w:val="1"/>
      <w:marLeft w:val="0"/>
      <w:marRight w:val="0"/>
      <w:marTop w:val="0"/>
      <w:marBottom w:val="0"/>
      <w:divBdr>
        <w:top w:val="none" w:sz="0" w:space="0" w:color="auto"/>
        <w:left w:val="none" w:sz="0" w:space="0" w:color="auto"/>
        <w:bottom w:val="none" w:sz="0" w:space="0" w:color="auto"/>
        <w:right w:val="none" w:sz="0" w:space="0" w:color="auto"/>
      </w:divBdr>
    </w:div>
    <w:div w:id="973171798">
      <w:bodyDiv w:val="1"/>
      <w:marLeft w:val="0"/>
      <w:marRight w:val="0"/>
      <w:marTop w:val="0"/>
      <w:marBottom w:val="0"/>
      <w:divBdr>
        <w:top w:val="none" w:sz="0" w:space="0" w:color="auto"/>
        <w:left w:val="none" w:sz="0" w:space="0" w:color="auto"/>
        <w:bottom w:val="none" w:sz="0" w:space="0" w:color="auto"/>
        <w:right w:val="none" w:sz="0" w:space="0" w:color="auto"/>
      </w:divBdr>
    </w:div>
    <w:div w:id="988438178">
      <w:bodyDiv w:val="1"/>
      <w:marLeft w:val="0"/>
      <w:marRight w:val="0"/>
      <w:marTop w:val="0"/>
      <w:marBottom w:val="0"/>
      <w:divBdr>
        <w:top w:val="none" w:sz="0" w:space="0" w:color="auto"/>
        <w:left w:val="none" w:sz="0" w:space="0" w:color="auto"/>
        <w:bottom w:val="none" w:sz="0" w:space="0" w:color="auto"/>
        <w:right w:val="none" w:sz="0" w:space="0" w:color="auto"/>
      </w:divBdr>
    </w:div>
    <w:div w:id="1092966531">
      <w:bodyDiv w:val="1"/>
      <w:marLeft w:val="0"/>
      <w:marRight w:val="0"/>
      <w:marTop w:val="0"/>
      <w:marBottom w:val="0"/>
      <w:divBdr>
        <w:top w:val="none" w:sz="0" w:space="0" w:color="auto"/>
        <w:left w:val="none" w:sz="0" w:space="0" w:color="auto"/>
        <w:bottom w:val="none" w:sz="0" w:space="0" w:color="auto"/>
        <w:right w:val="none" w:sz="0" w:space="0" w:color="auto"/>
      </w:divBdr>
    </w:div>
    <w:div w:id="1142112906">
      <w:bodyDiv w:val="1"/>
      <w:marLeft w:val="0"/>
      <w:marRight w:val="0"/>
      <w:marTop w:val="0"/>
      <w:marBottom w:val="0"/>
      <w:divBdr>
        <w:top w:val="none" w:sz="0" w:space="0" w:color="auto"/>
        <w:left w:val="none" w:sz="0" w:space="0" w:color="auto"/>
        <w:bottom w:val="none" w:sz="0" w:space="0" w:color="auto"/>
        <w:right w:val="none" w:sz="0" w:space="0" w:color="auto"/>
      </w:divBdr>
    </w:div>
    <w:div w:id="1160467210">
      <w:bodyDiv w:val="1"/>
      <w:marLeft w:val="0"/>
      <w:marRight w:val="0"/>
      <w:marTop w:val="0"/>
      <w:marBottom w:val="0"/>
      <w:divBdr>
        <w:top w:val="none" w:sz="0" w:space="0" w:color="auto"/>
        <w:left w:val="none" w:sz="0" w:space="0" w:color="auto"/>
        <w:bottom w:val="none" w:sz="0" w:space="0" w:color="auto"/>
        <w:right w:val="none" w:sz="0" w:space="0" w:color="auto"/>
      </w:divBdr>
    </w:div>
    <w:div w:id="1185442482">
      <w:bodyDiv w:val="1"/>
      <w:marLeft w:val="0"/>
      <w:marRight w:val="0"/>
      <w:marTop w:val="0"/>
      <w:marBottom w:val="0"/>
      <w:divBdr>
        <w:top w:val="none" w:sz="0" w:space="0" w:color="auto"/>
        <w:left w:val="none" w:sz="0" w:space="0" w:color="auto"/>
        <w:bottom w:val="none" w:sz="0" w:space="0" w:color="auto"/>
        <w:right w:val="none" w:sz="0" w:space="0" w:color="auto"/>
      </w:divBdr>
    </w:div>
    <w:div w:id="1196692329">
      <w:bodyDiv w:val="1"/>
      <w:marLeft w:val="0"/>
      <w:marRight w:val="0"/>
      <w:marTop w:val="0"/>
      <w:marBottom w:val="0"/>
      <w:divBdr>
        <w:top w:val="none" w:sz="0" w:space="0" w:color="auto"/>
        <w:left w:val="none" w:sz="0" w:space="0" w:color="auto"/>
        <w:bottom w:val="none" w:sz="0" w:space="0" w:color="auto"/>
        <w:right w:val="none" w:sz="0" w:space="0" w:color="auto"/>
      </w:divBdr>
    </w:div>
    <w:div w:id="1206529009">
      <w:bodyDiv w:val="1"/>
      <w:marLeft w:val="0"/>
      <w:marRight w:val="0"/>
      <w:marTop w:val="0"/>
      <w:marBottom w:val="0"/>
      <w:divBdr>
        <w:top w:val="none" w:sz="0" w:space="0" w:color="auto"/>
        <w:left w:val="none" w:sz="0" w:space="0" w:color="auto"/>
        <w:bottom w:val="none" w:sz="0" w:space="0" w:color="auto"/>
        <w:right w:val="none" w:sz="0" w:space="0" w:color="auto"/>
      </w:divBdr>
    </w:div>
    <w:div w:id="1282615604">
      <w:bodyDiv w:val="1"/>
      <w:marLeft w:val="0"/>
      <w:marRight w:val="0"/>
      <w:marTop w:val="0"/>
      <w:marBottom w:val="0"/>
      <w:divBdr>
        <w:top w:val="none" w:sz="0" w:space="0" w:color="auto"/>
        <w:left w:val="none" w:sz="0" w:space="0" w:color="auto"/>
        <w:bottom w:val="none" w:sz="0" w:space="0" w:color="auto"/>
        <w:right w:val="none" w:sz="0" w:space="0" w:color="auto"/>
      </w:divBdr>
    </w:div>
    <w:div w:id="1289816414">
      <w:bodyDiv w:val="1"/>
      <w:marLeft w:val="0"/>
      <w:marRight w:val="0"/>
      <w:marTop w:val="0"/>
      <w:marBottom w:val="0"/>
      <w:divBdr>
        <w:top w:val="none" w:sz="0" w:space="0" w:color="auto"/>
        <w:left w:val="none" w:sz="0" w:space="0" w:color="auto"/>
        <w:bottom w:val="none" w:sz="0" w:space="0" w:color="auto"/>
        <w:right w:val="none" w:sz="0" w:space="0" w:color="auto"/>
      </w:divBdr>
    </w:div>
    <w:div w:id="1313875741">
      <w:bodyDiv w:val="1"/>
      <w:marLeft w:val="0"/>
      <w:marRight w:val="0"/>
      <w:marTop w:val="0"/>
      <w:marBottom w:val="0"/>
      <w:divBdr>
        <w:top w:val="none" w:sz="0" w:space="0" w:color="auto"/>
        <w:left w:val="none" w:sz="0" w:space="0" w:color="auto"/>
        <w:bottom w:val="none" w:sz="0" w:space="0" w:color="auto"/>
        <w:right w:val="none" w:sz="0" w:space="0" w:color="auto"/>
      </w:divBdr>
    </w:div>
    <w:div w:id="1320039003">
      <w:bodyDiv w:val="1"/>
      <w:marLeft w:val="0"/>
      <w:marRight w:val="0"/>
      <w:marTop w:val="0"/>
      <w:marBottom w:val="0"/>
      <w:divBdr>
        <w:top w:val="none" w:sz="0" w:space="0" w:color="auto"/>
        <w:left w:val="none" w:sz="0" w:space="0" w:color="auto"/>
        <w:bottom w:val="none" w:sz="0" w:space="0" w:color="auto"/>
        <w:right w:val="none" w:sz="0" w:space="0" w:color="auto"/>
      </w:divBdr>
    </w:div>
    <w:div w:id="1325938606">
      <w:bodyDiv w:val="1"/>
      <w:marLeft w:val="0"/>
      <w:marRight w:val="0"/>
      <w:marTop w:val="0"/>
      <w:marBottom w:val="0"/>
      <w:divBdr>
        <w:top w:val="none" w:sz="0" w:space="0" w:color="auto"/>
        <w:left w:val="none" w:sz="0" w:space="0" w:color="auto"/>
        <w:bottom w:val="none" w:sz="0" w:space="0" w:color="auto"/>
        <w:right w:val="none" w:sz="0" w:space="0" w:color="auto"/>
      </w:divBdr>
      <w:divsChild>
        <w:div w:id="982387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598285">
      <w:bodyDiv w:val="1"/>
      <w:marLeft w:val="0"/>
      <w:marRight w:val="0"/>
      <w:marTop w:val="0"/>
      <w:marBottom w:val="0"/>
      <w:divBdr>
        <w:top w:val="none" w:sz="0" w:space="0" w:color="auto"/>
        <w:left w:val="none" w:sz="0" w:space="0" w:color="auto"/>
        <w:bottom w:val="none" w:sz="0" w:space="0" w:color="auto"/>
        <w:right w:val="none" w:sz="0" w:space="0" w:color="auto"/>
      </w:divBdr>
      <w:divsChild>
        <w:div w:id="1853061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730080">
      <w:bodyDiv w:val="1"/>
      <w:marLeft w:val="0"/>
      <w:marRight w:val="0"/>
      <w:marTop w:val="0"/>
      <w:marBottom w:val="0"/>
      <w:divBdr>
        <w:top w:val="none" w:sz="0" w:space="0" w:color="auto"/>
        <w:left w:val="none" w:sz="0" w:space="0" w:color="auto"/>
        <w:bottom w:val="none" w:sz="0" w:space="0" w:color="auto"/>
        <w:right w:val="none" w:sz="0" w:space="0" w:color="auto"/>
      </w:divBdr>
    </w:div>
    <w:div w:id="1371884353">
      <w:bodyDiv w:val="1"/>
      <w:marLeft w:val="0"/>
      <w:marRight w:val="0"/>
      <w:marTop w:val="0"/>
      <w:marBottom w:val="0"/>
      <w:divBdr>
        <w:top w:val="none" w:sz="0" w:space="0" w:color="auto"/>
        <w:left w:val="none" w:sz="0" w:space="0" w:color="auto"/>
        <w:bottom w:val="none" w:sz="0" w:space="0" w:color="auto"/>
        <w:right w:val="none" w:sz="0" w:space="0" w:color="auto"/>
      </w:divBdr>
    </w:div>
    <w:div w:id="1432122097">
      <w:bodyDiv w:val="1"/>
      <w:marLeft w:val="0"/>
      <w:marRight w:val="0"/>
      <w:marTop w:val="0"/>
      <w:marBottom w:val="0"/>
      <w:divBdr>
        <w:top w:val="none" w:sz="0" w:space="0" w:color="auto"/>
        <w:left w:val="none" w:sz="0" w:space="0" w:color="auto"/>
        <w:bottom w:val="none" w:sz="0" w:space="0" w:color="auto"/>
        <w:right w:val="none" w:sz="0" w:space="0" w:color="auto"/>
      </w:divBdr>
    </w:div>
    <w:div w:id="1450929054">
      <w:bodyDiv w:val="1"/>
      <w:marLeft w:val="0"/>
      <w:marRight w:val="0"/>
      <w:marTop w:val="0"/>
      <w:marBottom w:val="0"/>
      <w:divBdr>
        <w:top w:val="none" w:sz="0" w:space="0" w:color="auto"/>
        <w:left w:val="none" w:sz="0" w:space="0" w:color="auto"/>
        <w:bottom w:val="none" w:sz="0" w:space="0" w:color="auto"/>
        <w:right w:val="none" w:sz="0" w:space="0" w:color="auto"/>
      </w:divBdr>
    </w:div>
    <w:div w:id="1451970678">
      <w:bodyDiv w:val="1"/>
      <w:marLeft w:val="0"/>
      <w:marRight w:val="0"/>
      <w:marTop w:val="0"/>
      <w:marBottom w:val="0"/>
      <w:divBdr>
        <w:top w:val="none" w:sz="0" w:space="0" w:color="auto"/>
        <w:left w:val="none" w:sz="0" w:space="0" w:color="auto"/>
        <w:bottom w:val="none" w:sz="0" w:space="0" w:color="auto"/>
        <w:right w:val="none" w:sz="0" w:space="0" w:color="auto"/>
      </w:divBdr>
    </w:div>
    <w:div w:id="1452020656">
      <w:bodyDiv w:val="1"/>
      <w:marLeft w:val="0"/>
      <w:marRight w:val="0"/>
      <w:marTop w:val="0"/>
      <w:marBottom w:val="0"/>
      <w:divBdr>
        <w:top w:val="none" w:sz="0" w:space="0" w:color="auto"/>
        <w:left w:val="none" w:sz="0" w:space="0" w:color="auto"/>
        <w:bottom w:val="none" w:sz="0" w:space="0" w:color="auto"/>
        <w:right w:val="none" w:sz="0" w:space="0" w:color="auto"/>
      </w:divBdr>
      <w:divsChild>
        <w:div w:id="812673080">
          <w:marLeft w:val="0"/>
          <w:marRight w:val="0"/>
          <w:marTop w:val="120"/>
          <w:marBottom w:val="60"/>
          <w:divBdr>
            <w:top w:val="none" w:sz="0" w:space="0" w:color="auto"/>
            <w:left w:val="none" w:sz="0" w:space="0" w:color="auto"/>
            <w:bottom w:val="none" w:sz="0" w:space="0" w:color="auto"/>
            <w:right w:val="none" w:sz="0" w:space="0" w:color="auto"/>
          </w:divBdr>
        </w:div>
      </w:divsChild>
    </w:div>
    <w:div w:id="1491403098">
      <w:bodyDiv w:val="1"/>
      <w:marLeft w:val="0"/>
      <w:marRight w:val="0"/>
      <w:marTop w:val="0"/>
      <w:marBottom w:val="0"/>
      <w:divBdr>
        <w:top w:val="none" w:sz="0" w:space="0" w:color="auto"/>
        <w:left w:val="none" w:sz="0" w:space="0" w:color="auto"/>
        <w:bottom w:val="none" w:sz="0" w:space="0" w:color="auto"/>
        <w:right w:val="none" w:sz="0" w:space="0" w:color="auto"/>
      </w:divBdr>
    </w:div>
    <w:div w:id="1491941066">
      <w:bodyDiv w:val="1"/>
      <w:marLeft w:val="0"/>
      <w:marRight w:val="0"/>
      <w:marTop w:val="0"/>
      <w:marBottom w:val="0"/>
      <w:divBdr>
        <w:top w:val="none" w:sz="0" w:space="0" w:color="auto"/>
        <w:left w:val="none" w:sz="0" w:space="0" w:color="auto"/>
        <w:bottom w:val="none" w:sz="0" w:space="0" w:color="auto"/>
        <w:right w:val="none" w:sz="0" w:space="0" w:color="auto"/>
      </w:divBdr>
    </w:div>
    <w:div w:id="1495990707">
      <w:bodyDiv w:val="1"/>
      <w:marLeft w:val="0"/>
      <w:marRight w:val="0"/>
      <w:marTop w:val="0"/>
      <w:marBottom w:val="0"/>
      <w:divBdr>
        <w:top w:val="none" w:sz="0" w:space="0" w:color="auto"/>
        <w:left w:val="none" w:sz="0" w:space="0" w:color="auto"/>
        <w:bottom w:val="none" w:sz="0" w:space="0" w:color="auto"/>
        <w:right w:val="none" w:sz="0" w:space="0" w:color="auto"/>
      </w:divBdr>
      <w:divsChild>
        <w:div w:id="86186453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35527439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21121306">
      <w:bodyDiv w:val="1"/>
      <w:marLeft w:val="0"/>
      <w:marRight w:val="0"/>
      <w:marTop w:val="0"/>
      <w:marBottom w:val="0"/>
      <w:divBdr>
        <w:top w:val="none" w:sz="0" w:space="0" w:color="auto"/>
        <w:left w:val="none" w:sz="0" w:space="0" w:color="auto"/>
        <w:bottom w:val="none" w:sz="0" w:space="0" w:color="auto"/>
        <w:right w:val="none" w:sz="0" w:space="0" w:color="auto"/>
      </w:divBdr>
    </w:div>
    <w:div w:id="1527907542">
      <w:bodyDiv w:val="1"/>
      <w:marLeft w:val="0"/>
      <w:marRight w:val="0"/>
      <w:marTop w:val="0"/>
      <w:marBottom w:val="0"/>
      <w:divBdr>
        <w:top w:val="none" w:sz="0" w:space="0" w:color="auto"/>
        <w:left w:val="none" w:sz="0" w:space="0" w:color="auto"/>
        <w:bottom w:val="none" w:sz="0" w:space="0" w:color="auto"/>
        <w:right w:val="none" w:sz="0" w:space="0" w:color="auto"/>
      </w:divBdr>
    </w:div>
    <w:div w:id="1530869898">
      <w:bodyDiv w:val="1"/>
      <w:marLeft w:val="0"/>
      <w:marRight w:val="0"/>
      <w:marTop w:val="0"/>
      <w:marBottom w:val="0"/>
      <w:divBdr>
        <w:top w:val="none" w:sz="0" w:space="0" w:color="auto"/>
        <w:left w:val="none" w:sz="0" w:space="0" w:color="auto"/>
        <w:bottom w:val="none" w:sz="0" w:space="0" w:color="auto"/>
        <w:right w:val="none" w:sz="0" w:space="0" w:color="auto"/>
      </w:divBdr>
      <w:divsChild>
        <w:div w:id="206374771">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81929966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57469439">
      <w:bodyDiv w:val="1"/>
      <w:marLeft w:val="0"/>
      <w:marRight w:val="0"/>
      <w:marTop w:val="0"/>
      <w:marBottom w:val="0"/>
      <w:divBdr>
        <w:top w:val="none" w:sz="0" w:space="0" w:color="auto"/>
        <w:left w:val="none" w:sz="0" w:space="0" w:color="auto"/>
        <w:bottom w:val="none" w:sz="0" w:space="0" w:color="auto"/>
        <w:right w:val="none" w:sz="0" w:space="0" w:color="auto"/>
      </w:divBdr>
    </w:div>
    <w:div w:id="1572932734">
      <w:bodyDiv w:val="1"/>
      <w:marLeft w:val="0"/>
      <w:marRight w:val="0"/>
      <w:marTop w:val="0"/>
      <w:marBottom w:val="0"/>
      <w:divBdr>
        <w:top w:val="none" w:sz="0" w:space="0" w:color="auto"/>
        <w:left w:val="none" w:sz="0" w:space="0" w:color="auto"/>
        <w:bottom w:val="none" w:sz="0" w:space="0" w:color="auto"/>
        <w:right w:val="none" w:sz="0" w:space="0" w:color="auto"/>
      </w:divBdr>
      <w:divsChild>
        <w:div w:id="105527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4140">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6663033">
      <w:bodyDiv w:val="1"/>
      <w:marLeft w:val="0"/>
      <w:marRight w:val="0"/>
      <w:marTop w:val="0"/>
      <w:marBottom w:val="0"/>
      <w:divBdr>
        <w:top w:val="none" w:sz="0" w:space="0" w:color="auto"/>
        <w:left w:val="none" w:sz="0" w:space="0" w:color="auto"/>
        <w:bottom w:val="none" w:sz="0" w:space="0" w:color="auto"/>
        <w:right w:val="none" w:sz="0" w:space="0" w:color="auto"/>
      </w:divBdr>
    </w:div>
    <w:div w:id="1680035910">
      <w:bodyDiv w:val="1"/>
      <w:marLeft w:val="0"/>
      <w:marRight w:val="0"/>
      <w:marTop w:val="0"/>
      <w:marBottom w:val="0"/>
      <w:divBdr>
        <w:top w:val="none" w:sz="0" w:space="0" w:color="auto"/>
        <w:left w:val="none" w:sz="0" w:space="0" w:color="auto"/>
        <w:bottom w:val="none" w:sz="0" w:space="0" w:color="auto"/>
        <w:right w:val="none" w:sz="0" w:space="0" w:color="auto"/>
      </w:divBdr>
    </w:div>
    <w:div w:id="1683706379">
      <w:bodyDiv w:val="1"/>
      <w:marLeft w:val="0"/>
      <w:marRight w:val="0"/>
      <w:marTop w:val="0"/>
      <w:marBottom w:val="0"/>
      <w:divBdr>
        <w:top w:val="none" w:sz="0" w:space="0" w:color="auto"/>
        <w:left w:val="none" w:sz="0" w:space="0" w:color="auto"/>
        <w:bottom w:val="none" w:sz="0" w:space="0" w:color="auto"/>
        <w:right w:val="none" w:sz="0" w:space="0" w:color="auto"/>
      </w:divBdr>
    </w:div>
    <w:div w:id="1685863560">
      <w:bodyDiv w:val="1"/>
      <w:marLeft w:val="0"/>
      <w:marRight w:val="0"/>
      <w:marTop w:val="0"/>
      <w:marBottom w:val="0"/>
      <w:divBdr>
        <w:top w:val="none" w:sz="0" w:space="0" w:color="auto"/>
        <w:left w:val="none" w:sz="0" w:space="0" w:color="auto"/>
        <w:bottom w:val="none" w:sz="0" w:space="0" w:color="auto"/>
        <w:right w:val="none" w:sz="0" w:space="0" w:color="auto"/>
      </w:divBdr>
    </w:div>
    <w:div w:id="1688557252">
      <w:bodyDiv w:val="1"/>
      <w:marLeft w:val="0"/>
      <w:marRight w:val="0"/>
      <w:marTop w:val="0"/>
      <w:marBottom w:val="0"/>
      <w:divBdr>
        <w:top w:val="none" w:sz="0" w:space="0" w:color="auto"/>
        <w:left w:val="none" w:sz="0" w:space="0" w:color="auto"/>
        <w:bottom w:val="none" w:sz="0" w:space="0" w:color="auto"/>
        <w:right w:val="none" w:sz="0" w:space="0" w:color="auto"/>
      </w:divBdr>
    </w:div>
    <w:div w:id="1721006148">
      <w:bodyDiv w:val="1"/>
      <w:marLeft w:val="0"/>
      <w:marRight w:val="0"/>
      <w:marTop w:val="0"/>
      <w:marBottom w:val="0"/>
      <w:divBdr>
        <w:top w:val="none" w:sz="0" w:space="0" w:color="auto"/>
        <w:left w:val="none" w:sz="0" w:space="0" w:color="auto"/>
        <w:bottom w:val="none" w:sz="0" w:space="0" w:color="auto"/>
        <w:right w:val="none" w:sz="0" w:space="0" w:color="auto"/>
      </w:divBdr>
    </w:div>
    <w:div w:id="1725372686">
      <w:bodyDiv w:val="1"/>
      <w:marLeft w:val="0"/>
      <w:marRight w:val="0"/>
      <w:marTop w:val="0"/>
      <w:marBottom w:val="0"/>
      <w:divBdr>
        <w:top w:val="none" w:sz="0" w:space="0" w:color="auto"/>
        <w:left w:val="none" w:sz="0" w:space="0" w:color="auto"/>
        <w:bottom w:val="none" w:sz="0" w:space="0" w:color="auto"/>
        <w:right w:val="none" w:sz="0" w:space="0" w:color="auto"/>
      </w:divBdr>
      <w:divsChild>
        <w:div w:id="220411910">
          <w:marLeft w:val="0"/>
          <w:marRight w:val="0"/>
          <w:marTop w:val="120"/>
          <w:marBottom w:val="60"/>
          <w:divBdr>
            <w:top w:val="none" w:sz="0" w:space="0" w:color="auto"/>
            <w:left w:val="none" w:sz="0" w:space="0" w:color="auto"/>
            <w:bottom w:val="none" w:sz="0" w:space="0" w:color="auto"/>
            <w:right w:val="none" w:sz="0" w:space="0" w:color="auto"/>
          </w:divBdr>
        </w:div>
      </w:divsChild>
    </w:div>
    <w:div w:id="1759013554">
      <w:bodyDiv w:val="1"/>
      <w:marLeft w:val="0"/>
      <w:marRight w:val="0"/>
      <w:marTop w:val="0"/>
      <w:marBottom w:val="0"/>
      <w:divBdr>
        <w:top w:val="none" w:sz="0" w:space="0" w:color="auto"/>
        <w:left w:val="none" w:sz="0" w:space="0" w:color="auto"/>
        <w:bottom w:val="none" w:sz="0" w:space="0" w:color="auto"/>
        <w:right w:val="none" w:sz="0" w:space="0" w:color="auto"/>
      </w:divBdr>
    </w:div>
    <w:div w:id="1763531868">
      <w:bodyDiv w:val="1"/>
      <w:marLeft w:val="0"/>
      <w:marRight w:val="0"/>
      <w:marTop w:val="0"/>
      <w:marBottom w:val="0"/>
      <w:divBdr>
        <w:top w:val="none" w:sz="0" w:space="0" w:color="auto"/>
        <w:left w:val="none" w:sz="0" w:space="0" w:color="auto"/>
        <w:bottom w:val="none" w:sz="0" w:space="0" w:color="auto"/>
        <w:right w:val="none" w:sz="0" w:space="0" w:color="auto"/>
      </w:divBdr>
    </w:div>
    <w:div w:id="1781408511">
      <w:bodyDiv w:val="1"/>
      <w:marLeft w:val="0"/>
      <w:marRight w:val="0"/>
      <w:marTop w:val="0"/>
      <w:marBottom w:val="0"/>
      <w:divBdr>
        <w:top w:val="none" w:sz="0" w:space="0" w:color="auto"/>
        <w:left w:val="none" w:sz="0" w:space="0" w:color="auto"/>
        <w:bottom w:val="none" w:sz="0" w:space="0" w:color="auto"/>
        <w:right w:val="none" w:sz="0" w:space="0" w:color="auto"/>
      </w:divBdr>
    </w:div>
    <w:div w:id="1811093076">
      <w:bodyDiv w:val="1"/>
      <w:marLeft w:val="0"/>
      <w:marRight w:val="0"/>
      <w:marTop w:val="0"/>
      <w:marBottom w:val="0"/>
      <w:divBdr>
        <w:top w:val="none" w:sz="0" w:space="0" w:color="auto"/>
        <w:left w:val="none" w:sz="0" w:space="0" w:color="auto"/>
        <w:bottom w:val="none" w:sz="0" w:space="0" w:color="auto"/>
        <w:right w:val="none" w:sz="0" w:space="0" w:color="auto"/>
      </w:divBdr>
      <w:divsChild>
        <w:div w:id="179405893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30076546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58079387">
      <w:bodyDiv w:val="1"/>
      <w:marLeft w:val="0"/>
      <w:marRight w:val="0"/>
      <w:marTop w:val="0"/>
      <w:marBottom w:val="0"/>
      <w:divBdr>
        <w:top w:val="none" w:sz="0" w:space="0" w:color="auto"/>
        <w:left w:val="none" w:sz="0" w:space="0" w:color="auto"/>
        <w:bottom w:val="none" w:sz="0" w:space="0" w:color="auto"/>
        <w:right w:val="none" w:sz="0" w:space="0" w:color="auto"/>
      </w:divBdr>
      <w:divsChild>
        <w:div w:id="1328442108">
          <w:marLeft w:val="0"/>
          <w:marRight w:val="0"/>
          <w:marTop w:val="120"/>
          <w:marBottom w:val="60"/>
          <w:divBdr>
            <w:top w:val="none" w:sz="0" w:space="0" w:color="auto"/>
            <w:left w:val="none" w:sz="0" w:space="0" w:color="auto"/>
            <w:bottom w:val="none" w:sz="0" w:space="0" w:color="auto"/>
            <w:right w:val="none" w:sz="0" w:space="0" w:color="auto"/>
          </w:divBdr>
        </w:div>
      </w:divsChild>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sChild>
        <w:div w:id="21162563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07108080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863474153">
      <w:bodyDiv w:val="1"/>
      <w:marLeft w:val="0"/>
      <w:marRight w:val="0"/>
      <w:marTop w:val="0"/>
      <w:marBottom w:val="0"/>
      <w:divBdr>
        <w:top w:val="none" w:sz="0" w:space="0" w:color="auto"/>
        <w:left w:val="none" w:sz="0" w:space="0" w:color="auto"/>
        <w:bottom w:val="none" w:sz="0" w:space="0" w:color="auto"/>
        <w:right w:val="none" w:sz="0" w:space="0" w:color="auto"/>
      </w:divBdr>
    </w:div>
    <w:div w:id="1873298303">
      <w:bodyDiv w:val="1"/>
      <w:marLeft w:val="0"/>
      <w:marRight w:val="0"/>
      <w:marTop w:val="0"/>
      <w:marBottom w:val="0"/>
      <w:divBdr>
        <w:top w:val="none" w:sz="0" w:space="0" w:color="auto"/>
        <w:left w:val="none" w:sz="0" w:space="0" w:color="auto"/>
        <w:bottom w:val="none" w:sz="0" w:space="0" w:color="auto"/>
        <w:right w:val="none" w:sz="0" w:space="0" w:color="auto"/>
      </w:divBdr>
    </w:div>
    <w:div w:id="1891306518">
      <w:bodyDiv w:val="1"/>
      <w:marLeft w:val="0"/>
      <w:marRight w:val="0"/>
      <w:marTop w:val="0"/>
      <w:marBottom w:val="0"/>
      <w:divBdr>
        <w:top w:val="none" w:sz="0" w:space="0" w:color="auto"/>
        <w:left w:val="none" w:sz="0" w:space="0" w:color="auto"/>
        <w:bottom w:val="none" w:sz="0" w:space="0" w:color="auto"/>
        <w:right w:val="none" w:sz="0" w:space="0" w:color="auto"/>
      </w:divBdr>
      <w:divsChild>
        <w:div w:id="993610026">
          <w:marLeft w:val="0"/>
          <w:marRight w:val="0"/>
          <w:marTop w:val="120"/>
          <w:marBottom w:val="60"/>
          <w:divBdr>
            <w:top w:val="none" w:sz="0" w:space="0" w:color="auto"/>
            <w:left w:val="none" w:sz="0" w:space="0" w:color="auto"/>
            <w:bottom w:val="none" w:sz="0" w:space="0" w:color="auto"/>
            <w:right w:val="none" w:sz="0" w:space="0" w:color="auto"/>
          </w:divBdr>
        </w:div>
      </w:divsChild>
    </w:div>
    <w:div w:id="1895852450">
      <w:bodyDiv w:val="1"/>
      <w:marLeft w:val="0"/>
      <w:marRight w:val="0"/>
      <w:marTop w:val="0"/>
      <w:marBottom w:val="0"/>
      <w:divBdr>
        <w:top w:val="none" w:sz="0" w:space="0" w:color="auto"/>
        <w:left w:val="none" w:sz="0" w:space="0" w:color="auto"/>
        <w:bottom w:val="none" w:sz="0" w:space="0" w:color="auto"/>
        <w:right w:val="none" w:sz="0" w:space="0" w:color="auto"/>
      </w:divBdr>
    </w:div>
    <w:div w:id="1899583065">
      <w:bodyDiv w:val="1"/>
      <w:marLeft w:val="0"/>
      <w:marRight w:val="0"/>
      <w:marTop w:val="0"/>
      <w:marBottom w:val="0"/>
      <w:divBdr>
        <w:top w:val="none" w:sz="0" w:space="0" w:color="auto"/>
        <w:left w:val="none" w:sz="0" w:space="0" w:color="auto"/>
        <w:bottom w:val="none" w:sz="0" w:space="0" w:color="auto"/>
        <w:right w:val="none" w:sz="0" w:space="0" w:color="auto"/>
      </w:divBdr>
    </w:div>
    <w:div w:id="1900894847">
      <w:bodyDiv w:val="1"/>
      <w:marLeft w:val="0"/>
      <w:marRight w:val="0"/>
      <w:marTop w:val="0"/>
      <w:marBottom w:val="0"/>
      <w:divBdr>
        <w:top w:val="none" w:sz="0" w:space="0" w:color="auto"/>
        <w:left w:val="none" w:sz="0" w:space="0" w:color="auto"/>
        <w:bottom w:val="none" w:sz="0" w:space="0" w:color="auto"/>
        <w:right w:val="none" w:sz="0" w:space="0" w:color="auto"/>
      </w:divBdr>
    </w:div>
    <w:div w:id="1901749200">
      <w:bodyDiv w:val="1"/>
      <w:marLeft w:val="0"/>
      <w:marRight w:val="0"/>
      <w:marTop w:val="0"/>
      <w:marBottom w:val="0"/>
      <w:divBdr>
        <w:top w:val="none" w:sz="0" w:space="0" w:color="auto"/>
        <w:left w:val="none" w:sz="0" w:space="0" w:color="auto"/>
        <w:bottom w:val="none" w:sz="0" w:space="0" w:color="auto"/>
        <w:right w:val="none" w:sz="0" w:space="0" w:color="auto"/>
      </w:divBdr>
    </w:div>
    <w:div w:id="1920287475">
      <w:bodyDiv w:val="1"/>
      <w:marLeft w:val="0"/>
      <w:marRight w:val="0"/>
      <w:marTop w:val="0"/>
      <w:marBottom w:val="0"/>
      <w:divBdr>
        <w:top w:val="none" w:sz="0" w:space="0" w:color="auto"/>
        <w:left w:val="none" w:sz="0" w:space="0" w:color="auto"/>
        <w:bottom w:val="none" w:sz="0" w:space="0" w:color="auto"/>
        <w:right w:val="none" w:sz="0" w:space="0" w:color="auto"/>
      </w:divBdr>
    </w:div>
    <w:div w:id="1979264886">
      <w:bodyDiv w:val="1"/>
      <w:marLeft w:val="0"/>
      <w:marRight w:val="0"/>
      <w:marTop w:val="0"/>
      <w:marBottom w:val="0"/>
      <w:divBdr>
        <w:top w:val="none" w:sz="0" w:space="0" w:color="auto"/>
        <w:left w:val="none" w:sz="0" w:space="0" w:color="auto"/>
        <w:bottom w:val="none" w:sz="0" w:space="0" w:color="auto"/>
        <w:right w:val="none" w:sz="0" w:space="0" w:color="auto"/>
      </w:divBdr>
    </w:div>
    <w:div w:id="1995331028">
      <w:bodyDiv w:val="1"/>
      <w:marLeft w:val="0"/>
      <w:marRight w:val="0"/>
      <w:marTop w:val="0"/>
      <w:marBottom w:val="0"/>
      <w:divBdr>
        <w:top w:val="none" w:sz="0" w:space="0" w:color="auto"/>
        <w:left w:val="none" w:sz="0" w:space="0" w:color="auto"/>
        <w:bottom w:val="none" w:sz="0" w:space="0" w:color="auto"/>
        <w:right w:val="none" w:sz="0" w:space="0" w:color="auto"/>
      </w:divBdr>
    </w:div>
    <w:div w:id="2030443401">
      <w:bodyDiv w:val="1"/>
      <w:marLeft w:val="0"/>
      <w:marRight w:val="0"/>
      <w:marTop w:val="0"/>
      <w:marBottom w:val="0"/>
      <w:divBdr>
        <w:top w:val="none" w:sz="0" w:space="0" w:color="auto"/>
        <w:left w:val="none" w:sz="0" w:space="0" w:color="auto"/>
        <w:bottom w:val="none" w:sz="0" w:space="0" w:color="auto"/>
        <w:right w:val="none" w:sz="0" w:space="0" w:color="auto"/>
      </w:divBdr>
    </w:div>
    <w:div w:id="2031906836">
      <w:bodyDiv w:val="1"/>
      <w:marLeft w:val="0"/>
      <w:marRight w:val="0"/>
      <w:marTop w:val="0"/>
      <w:marBottom w:val="0"/>
      <w:divBdr>
        <w:top w:val="none" w:sz="0" w:space="0" w:color="auto"/>
        <w:left w:val="none" w:sz="0" w:space="0" w:color="auto"/>
        <w:bottom w:val="none" w:sz="0" w:space="0" w:color="auto"/>
        <w:right w:val="none" w:sz="0" w:space="0" w:color="auto"/>
      </w:divBdr>
    </w:div>
    <w:div w:id="2034451744">
      <w:bodyDiv w:val="1"/>
      <w:marLeft w:val="0"/>
      <w:marRight w:val="0"/>
      <w:marTop w:val="0"/>
      <w:marBottom w:val="0"/>
      <w:divBdr>
        <w:top w:val="none" w:sz="0" w:space="0" w:color="auto"/>
        <w:left w:val="none" w:sz="0" w:space="0" w:color="auto"/>
        <w:bottom w:val="none" w:sz="0" w:space="0" w:color="auto"/>
        <w:right w:val="none" w:sz="0" w:space="0" w:color="auto"/>
      </w:divBdr>
    </w:div>
    <w:div w:id="2047290288">
      <w:bodyDiv w:val="1"/>
      <w:marLeft w:val="0"/>
      <w:marRight w:val="0"/>
      <w:marTop w:val="0"/>
      <w:marBottom w:val="0"/>
      <w:divBdr>
        <w:top w:val="none" w:sz="0" w:space="0" w:color="auto"/>
        <w:left w:val="none" w:sz="0" w:space="0" w:color="auto"/>
        <w:bottom w:val="none" w:sz="0" w:space="0" w:color="auto"/>
        <w:right w:val="none" w:sz="0" w:space="0" w:color="auto"/>
      </w:divBdr>
    </w:div>
    <w:div w:id="2075083511">
      <w:bodyDiv w:val="1"/>
      <w:marLeft w:val="0"/>
      <w:marRight w:val="0"/>
      <w:marTop w:val="0"/>
      <w:marBottom w:val="0"/>
      <w:divBdr>
        <w:top w:val="none" w:sz="0" w:space="0" w:color="auto"/>
        <w:left w:val="none" w:sz="0" w:space="0" w:color="auto"/>
        <w:bottom w:val="none" w:sz="0" w:space="0" w:color="auto"/>
        <w:right w:val="none" w:sz="0" w:space="0" w:color="auto"/>
      </w:divBdr>
    </w:div>
    <w:div w:id="2081513605">
      <w:bodyDiv w:val="1"/>
      <w:marLeft w:val="0"/>
      <w:marRight w:val="0"/>
      <w:marTop w:val="0"/>
      <w:marBottom w:val="0"/>
      <w:divBdr>
        <w:top w:val="none" w:sz="0" w:space="0" w:color="auto"/>
        <w:left w:val="none" w:sz="0" w:space="0" w:color="auto"/>
        <w:bottom w:val="none" w:sz="0" w:space="0" w:color="auto"/>
        <w:right w:val="none" w:sz="0" w:space="0" w:color="auto"/>
      </w:divBdr>
    </w:div>
    <w:div w:id="2092190758">
      <w:bodyDiv w:val="1"/>
      <w:marLeft w:val="0"/>
      <w:marRight w:val="0"/>
      <w:marTop w:val="0"/>
      <w:marBottom w:val="0"/>
      <w:divBdr>
        <w:top w:val="none" w:sz="0" w:space="0" w:color="auto"/>
        <w:left w:val="none" w:sz="0" w:space="0" w:color="auto"/>
        <w:bottom w:val="none" w:sz="0" w:space="0" w:color="auto"/>
        <w:right w:val="none" w:sz="0" w:space="0" w:color="auto"/>
      </w:divBdr>
    </w:div>
    <w:div w:id="210645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2025-09-18T06:00:00Z</dcterms:created>
  <dcterms:modified xsi:type="dcterms:W3CDTF">2025-09-18T06:00:00Z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2025-09-18T06:00:20Z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b86ddf7a-6cb7-4ffd-b6fd-d4cbecc670aa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