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2F12" w14:textId="2DF6A2D1" w:rsidR="00715914" w:rsidRPr="001D5CC1" w:rsidRDefault="003904F4" w:rsidP="009460DC">
      <w:pPr>
        <w:spacing w:after="600"/>
        <w:rPr>
          <w:sz w:val="28"/>
        </w:rPr>
      </w:pPr>
      <w:r w:rsidRPr="001D5CC1">
        <w:rPr>
          <w:noProof/>
        </w:rPr>
        <w:drawing>
          <wp:inline distT="0" distB="0" distL="0" distR="0" wp14:anchorId="55BD11BD" wp14:editId="49B7DF19">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45369291" w14:textId="6FFB7D96" w:rsidR="00243EC0" w:rsidRPr="001D5CC1" w:rsidRDefault="00447DB4" w:rsidP="003B28C3">
      <w:pPr>
        <w:pStyle w:val="LI-Title"/>
        <w:pBdr>
          <w:bottom w:val="single" w:sz="4" w:space="1" w:color="auto"/>
        </w:pBdr>
      </w:pPr>
      <w:r w:rsidRPr="001D5CC1">
        <w:t>A</w:t>
      </w:r>
      <w:r w:rsidR="00327DDF" w:rsidRPr="001D5CC1">
        <w:t xml:space="preserve">SIC Corporations </w:t>
      </w:r>
      <w:r w:rsidR="00653CB2" w:rsidRPr="001D5CC1">
        <w:t>(</w:t>
      </w:r>
      <w:r w:rsidR="00953ABE" w:rsidRPr="001D5CC1">
        <w:t>Electronic Disclosure</w:t>
      </w:r>
      <w:r w:rsidR="00653CB2" w:rsidRPr="001D5CC1">
        <w:t xml:space="preserve">) Instrument </w:t>
      </w:r>
      <w:r w:rsidR="00953ABE" w:rsidRPr="001D5CC1">
        <w:t>2025</w:t>
      </w:r>
      <w:r w:rsidR="00653CB2" w:rsidRPr="001D5CC1">
        <w:t>/</w:t>
      </w:r>
      <w:r w:rsidR="00606F8E" w:rsidRPr="001D5CC1">
        <w:t>447</w:t>
      </w:r>
    </w:p>
    <w:p w14:paraId="59A19406" w14:textId="3BCBB2DF" w:rsidR="00F171A1" w:rsidRPr="001D5CC1" w:rsidRDefault="00F171A1" w:rsidP="00005446">
      <w:pPr>
        <w:pStyle w:val="LI-Fronttext"/>
        <w:rPr>
          <w:sz w:val="24"/>
          <w:szCs w:val="24"/>
        </w:rPr>
      </w:pPr>
      <w:r w:rsidRPr="001D5CC1">
        <w:rPr>
          <w:sz w:val="24"/>
          <w:szCs w:val="24"/>
        </w:rPr>
        <w:t xml:space="preserve">I, </w:t>
      </w:r>
      <w:r w:rsidR="00897787" w:rsidRPr="001D5CC1">
        <w:rPr>
          <w:sz w:val="24"/>
          <w:szCs w:val="24"/>
        </w:rPr>
        <w:t>Kate Metz</w:t>
      </w:r>
      <w:r w:rsidR="00C0544A" w:rsidRPr="001D5CC1">
        <w:rPr>
          <w:sz w:val="24"/>
          <w:szCs w:val="24"/>
        </w:rPr>
        <w:t>, delegate of the Australian Securities and Investments Commission</w:t>
      </w:r>
      <w:r w:rsidRPr="001D5CC1">
        <w:rPr>
          <w:sz w:val="24"/>
          <w:szCs w:val="24"/>
        </w:rPr>
        <w:t xml:space="preserve">, make the following </w:t>
      </w:r>
      <w:r w:rsidR="008C0F29" w:rsidRPr="001D5CC1">
        <w:rPr>
          <w:sz w:val="24"/>
          <w:szCs w:val="24"/>
        </w:rPr>
        <w:t>legislative instrument</w:t>
      </w:r>
      <w:r w:rsidRPr="001D5CC1">
        <w:rPr>
          <w:sz w:val="24"/>
          <w:szCs w:val="24"/>
        </w:rPr>
        <w:t>.</w:t>
      </w:r>
    </w:p>
    <w:p w14:paraId="26B891BC" w14:textId="77777777" w:rsidR="003A2A48" w:rsidRPr="001D5CC1" w:rsidRDefault="003A2A48" w:rsidP="00005446">
      <w:pPr>
        <w:pStyle w:val="LI-Fronttext"/>
      </w:pPr>
    </w:p>
    <w:p w14:paraId="11BB8DD3" w14:textId="215900D4" w:rsidR="006554FF" w:rsidRPr="001D5CC1" w:rsidRDefault="00F171A1" w:rsidP="00005446">
      <w:pPr>
        <w:pStyle w:val="LI-Fronttext"/>
        <w:rPr>
          <w:sz w:val="24"/>
          <w:szCs w:val="24"/>
        </w:rPr>
      </w:pPr>
      <w:r w:rsidRPr="001D5CC1">
        <w:rPr>
          <w:sz w:val="24"/>
          <w:szCs w:val="24"/>
        </w:rPr>
        <w:t>Date</w:t>
      </w:r>
      <w:r w:rsidRPr="001D5CC1">
        <w:rPr>
          <w:sz w:val="24"/>
          <w:szCs w:val="24"/>
        </w:rPr>
        <w:tab/>
      </w:r>
      <w:bookmarkStart w:id="0" w:name="BKCheck15B_1"/>
      <w:bookmarkEnd w:id="0"/>
      <w:r w:rsidR="003E17A0" w:rsidRPr="001D5CC1">
        <w:rPr>
          <w:sz w:val="24"/>
          <w:szCs w:val="24"/>
        </w:rPr>
        <w:t>1</w:t>
      </w:r>
      <w:r w:rsidR="000F2910" w:rsidRPr="001D5CC1">
        <w:rPr>
          <w:sz w:val="24"/>
          <w:szCs w:val="24"/>
        </w:rPr>
        <w:t>7</w:t>
      </w:r>
      <w:r w:rsidR="003E17A0" w:rsidRPr="001D5CC1">
        <w:rPr>
          <w:sz w:val="24"/>
          <w:szCs w:val="24"/>
        </w:rPr>
        <w:t xml:space="preserve"> September </w:t>
      </w:r>
      <w:r w:rsidR="00CE6D42" w:rsidRPr="001D5CC1">
        <w:rPr>
          <w:sz w:val="24"/>
          <w:szCs w:val="24"/>
        </w:rPr>
        <w:t>20</w:t>
      </w:r>
      <w:r w:rsidR="00E67AEE" w:rsidRPr="001D5CC1">
        <w:rPr>
          <w:sz w:val="24"/>
          <w:szCs w:val="24"/>
        </w:rPr>
        <w:t>2</w:t>
      </w:r>
      <w:r w:rsidR="00953ABE" w:rsidRPr="001D5CC1">
        <w:rPr>
          <w:sz w:val="24"/>
          <w:szCs w:val="24"/>
        </w:rPr>
        <w:t>5</w:t>
      </w:r>
    </w:p>
    <w:p w14:paraId="633C97CA" w14:textId="6F49D75B" w:rsidR="000D041F" w:rsidRPr="001D5CC1" w:rsidRDefault="000D041F" w:rsidP="00005446">
      <w:pPr>
        <w:pStyle w:val="LI-Fronttext"/>
        <w:rPr>
          <w:color w:val="FF0000"/>
          <w:sz w:val="24"/>
          <w:szCs w:val="24"/>
        </w:rPr>
      </w:pPr>
    </w:p>
    <w:p w14:paraId="22FCC4FB" w14:textId="77777777" w:rsidR="003E0E96" w:rsidRPr="001D5CC1" w:rsidRDefault="003E0E96" w:rsidP="003E0E96">
      <w:pPr>
        <w:rPr>
          <w:lang w:eastAsia="en-AU"/>
        </w:rPr>
      </w:pPr>
    </w:p>
    <w:p w14:paraId="32300E4F" w14:textId="096F729C" w:rsidR="00F171A1" w:rsidRPr="001D5CC1" w:rsidRDefault="00897787" w:rsidP="00465DC1">
      <w:pPr>
        <w:pStyle w:val="LI-Fronttext"/>
        <w:pBdr>
          <w:bottom w:val="single" w:sz="4" w:space="1" w:color="auto"/>
        </w:pBdr>
        <w:rPr>
          <w:sz w:val="24"/>
          <w:szCs w:val="24"/>
        </w:rPr>
      </w:pPr>
      <w:r w:rsidRPr="001D5CC1">
        <w:rPr>
          <w:sz w:val="24"/>
          <w:szCs w:val="24"/>
        </w:rPr>
        <w:t>Kate Metz</w:t>
      </w:r>
    </w:p>
    <w:p w14:paraId="78A1AD82" w14:textId="77777777" w:rsidR="00715914" w:rsidRPr="001D5CC1" w:rsidRDefault="00715914" w:rsidP="00715914">
      <w:pPr>
        <w:pStyle w:val="Header"/>
        <w:tabs>
          <w:tab w:val="clear" w:pos="4150"/>
          <w:tab w:val="clear" w:pos="8307"/>
        </w:tabs>
      </w:pPr>
    </w:p>
    <w:p w14:paraId="6D8A58FF" w14:textId="77777777" w:rsidR="00715914" w:rsidRPr="001D5CC1" w:rsidRDefault="00715914" w:rsidP="00715914">
      <w:pPr>
        <w:sectPr w:rsidR="00715914" w:rsidRPr="001D5CC1"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F8529BE" w14:textId="77777777" w:rsidR="00F67BCA" w:rsidRPr="001D5CC1" w:rsidRDefault="00715914" w:rsidP="00E2168B">
      <w:pPr>
        <w:spacing w:before="280" w:after="240"/>
        <w:rPr>
          <w:sz w:val="36"/>
        </w:rPr>
      </w:pPr>
      <w:r w:rsidRPr="001D5CC1">
        <w:rPr>
          <w:b/>
          <w:sz w:val="32"/>
          <w:szCs w:val="32"/>
        </w:rPr>
        <w:lastRenderedPageBreak/>
        <w:t>Contents</w:t>
      </w:r>
    </w:p>
    <w:p w14:paraId="7370CD4E" w14:textId="0AD5359A" w:rsidR="00FC1F25" w:rsidRPr="001D5CC1" w:rsidRDefault="00FC1F25">
      <w:pPr>
        <w:pStyle w:val="TOC1"/>
        <w:rPr>
          <w:rFonts w:asciiTheme="minorHAnsi" w:eastAsiaTheme="minorEastAsia" w:hAnsiTheme="minorHAnsi" w:cstheme="minorBidi"/>
          <w:b w:val="0"/>
          <w:noProof/>
          <w:kern w:val="2"/>
          <w:szCs w:val="24"/>
          <w14:ligatures w14:val="standardContextual"/>
        </w:rPr>
      </w:pPr>
      <w:bookmarkStart w:id="1" w:name="BKCheck15B_2"/>
      <w:bookmarkEnd w:id="1"/>
      <w:r w:rsidRPr="001D5CC1">
        <w:rPr>
          <w:rStyle w:val="Hyperlink"/>
          <w:noProof/>
          <w:color w:val="auto"/>
          <w:u w:val="none"/>
        </w:rPr>
        <w:t>Part 1—Preliminary</w:t>
      </w:r>
      <w:r w:rsidRPr="001D5CC1">
        <w:rPr>
          <w:noProof/>
          <w:webHidden/>
        </w:rPr>
        <w:tab/>
        <w:t>3</w:t>
      </w:r>
    </w:p>
    <w:p w14:paraId="49812425" w14:textId="782B19D2" w:rsidR="00FC1F25" w:rsidRPr="001D5CC1"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1</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Name of legislative instrument</w:t>
      </w:r>
      <w:r w:rsidRPr="001D5CC1">
        <w:rPr>
          <w:noProof/>
          <w:webHidden/>
        </w:rPr>
        <w:tab/>
        <w:t>3</w:t>
      </w:r>
    </w:p>
    <w:p w14:paraId="7A546E30" w14:textId="22D4E38F" w:rsidR="00FC1F25" w:rsidRPr="001D5CC1"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2</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Commencement</w:t>
      </w:r>
      <w:r w:rsidRPr="001D5CC1">
        <w:rPr>
          <w:noProof/>
          <w:webHidden/>
        </w:rPr>
        <w:tab/>
        <w:t>3</w:t>
      </w:r>
    </w:p>
    <w:p w14:paraId="141423F9" w14:textId="20BA66B2" w:rsidR="00FC1F25" w:rsidRPr="001D5CC1"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3</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Authority</w:t>
      </w:r>
      <w:r w:rsidRPr="001D5CC1">
        <w:rPr>
          <w:noProof/>
          <w:webHidden/>
        </w:rPr>
        <w:tab/>
        <w:t>3</w:t>
      </w:r>
    </w:p>
    <w:p w14:paraId="63B4B6BC" w14:textId="607E3761" w:rsidR="00FC1F25" w:rsidRPr="001D5CC1"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4</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Simplified outline of this instrument</w:t>
      </w:r>
      <w:r w:rsidRPr="001D5CC1">
        <w:rPr>
          <w:noProof/>
          <w:webHidden/>
        </w:rPr>
        <w:tab/>
        <w:t>3</w:t>
      </w:r>
    </w:p>
    <w:p w14:paraId="26D33BBD" w14:textId="692DE6DE" w:rsidR="00FC1F25" w:rsidRPr="001D5CC1"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5</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Definitions</w:t>
      </w:r>
      <w:r w:rsidRPr="001D5CC1">
        <w:rPr>
          <w:noProof/>
          <w:webHidden/>
        </w:rPr>
        <w:tab/>
        <w:t>3</w:t>
      </w:r>
    </w:p>
    <w:p w14:paraId="10A79BA7" w14:textId="48C226AB" w:rsidR="00FC1F25" w:rsidRPr="001D5CC1" w:rsidRDefault="00FC1F25">
      <w:pPr>
        <w:pStyle w:val="TOC1"/>
        <w:rPr>
          <w:rFonts w:asciiTheme="minorHAnsi" w:eastAsiaTheme="minorEastAsia" w:hAnsiTheme="minorHAnsi" w:cstheme="minorBidi"/>
          <w:b w:val="0"/>
          <w:noProof/>
          <w:kern w:val="2"/>
          <w:szCs w:val="24"/>
          <w14:ligatures w14:val="standardContextual"/>
        </w:rPr>
      </w:pPr>
      <w:r w:rsidRPr="001D5CC1">
        <w:rPr>
          <w:rStyle w:val="Hyperlink"/>
          <w:noProof/>
          <w:color w:val="auto"/>
          <w:u w:val="none"/>
        </w:rPr>
        <w:t>Part 2—Declarations facilitating electronic delivery</w:t>
      </w:r>
      <w:r w:rsidRPr="001D5CC1">
        <w:rPr>
          <w:noProof/>
          <w:webHidden/>
        </w:rPr>
        <w:tab/>
        <w:t>5</w:t>
      </w:r>
    </w:p>
    <w:p w14:paraId="090B0EEB" w14:textId="4FB1111A" w:rsidR="00FC1F25" w:rsidRPr="001D5CC1"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6</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Simplified outline of this Part</w:t>
      </w:r>
      <w:r w:rsidRPr="001D5CC1">
        <w:rPr>
          <w:noProof/>
          <w:webHidden/>
        </w:rPr>
        <w:tab/>
        <w:t>5</w:t>
      </w:r>
    </w:p>
    <w:p w14:paraId="0847F829" w14:textId="6814A7EF" w:rsidR="00FC1F25" w:rsidRPr="001D5CC1"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7</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Facilitating electronic delivery of financial services disclosures</w:t>
      </w:r>
      <w:r w:rsidRPr="001D5CC1">
        <w:rPr>
          <w:noProof/>
          <w:webHidden/>
        </w:rPr>
        <w:tab/>
        <w:t>5</w:t>
      </w:r>
    </w:p>
    <w:p w14:paraId="4C07E581" w14:textId="1D667C1E" w:rsidR="00FC1F25" w:rsidRPr="001D5CC1" w:rsidRDefault="00FC1F25">
      <w:pPr>
        <w:pStyle w:val="TOC1"/>
        <w:rPr>
          <w:rFonts w:asciiTheme="minorHAnsi" w:eastAsiaTheme="minorEastAsia" w:hAnsiTheme="minorHAnsi" w:cstheme="minorBidi"/>
          <w:b w:val="0"/>
          <w:noProof/>
          <w:kern w:val="2"/>
          <w:szCs w:val="24"/>
          <w14:ligatures w14:val="standardContextual"/>
        </w:rPr>
      </w:pPr>
      <w:r w:rsidRPr="001D5CC1">
        <w:rPr>
          <w:rStyle w:val="Hyperlink"/>
          <w:noProof/>
          <w:color w:val="auto"/>
          <w:u w:val="none"/>
        </w:rPr>
        <w:t>Part 3—Declarations removing barriers to electronic disclosure</w:t>
      </w:r>
      <w:r w:rsidRPr="001D5CC1">
        <w:rPr>
          <w:noProof/>
          <w:webHidden/>
        </w:rPr>
        <w:tab/>
        <w:t>16</w:t>
      </w:r>
    </w:p>
    <w:p w14:paraId="65FC70EF" w14:textId="51F81BB2" w:rsidR="00FC1F25" w:rsidRPr="001D5CC1"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8</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Simplified outline of this Part</w:t>
      </w:r>
      <w:r w:rsidRPr="001D5CC1">
        <w:rPr>
          <w:noProof/>
          <w:webHidden/>
        </w:rPr>
        <w:tab/>
        <w:t>16</w:t>
      </w:r>
    </w:p>
    <w:p w14:paraId="20857052" w14:textId="1024D004" w:rsidR="00FC1F25" w:rsidRPr="001D5CC1"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9</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Words required to be used on the cover of, or at or near the front of, a disclosure</w:t>
      </w:r>
      <w:r w:rsidRPr="001D5CC1">
        <w:rPr>
          <w:noProof/>
          <w:webHidden/>
        </w:rPr>
        <w:tab/>
        <w:t>16</w:t>
      </w:r>
    </w:p>
    <w:p w14:paraId="3A32B80E" w14:textId="228C386D" w:rsidR="00FC1F25" w:rsidRPr="001D5CC1"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10</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Page length for electronic Shorter PDSs</w:t>
      </w:r>
      <w:r w:rsidRPr="001D5CC1">
        <w:rPr>
          <w:noProof/>
          <w:webHidden/>
        </w:rPr>
        <w:tab/>
        <w:t>17</w:t>
      </w:r>
    </w:p>
    <w:p w14:paraId="46CBC8C0" w14:textId="767CDDB6" w:rsidR="00FC1F25" w:rsidRPr="001D5CC1"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11</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Giving a copy of an electronic Shorter PDS</w:t>
      </w:r>
      <w:r w:rsidRPr="001D5CC1">
        <w:rPr>
          <w:noProof/>
          <w:webHidden/>
        </w:rPr>
        <w:tab/>
        <w:t>17</w:t>
      </w:r>
    </w:p>
    <w:p w14:paraId="12E15B86" w14:textId="46556507" w:rsidR="00FC1F25" w:rsidRPr="001D5CC1" w:rsidRDefault="00FC1F25">
      <w:pPr>
        <w:pStyle w:val="TOC1"/>
        <w:rPr>
          <w:rFonts w:asciiTheme="minorHAnsi" w:eastAsiaTheme="minorEastAsia" w:hAnsiTheme="minorHAnsi" w:cstheme="minorBidi"/>
          <w:b w:val="0"/>
          <w:noProof/>
          <w:kern w:val="2"/>
          <w:szCs w:val="24"/>
          <w14:ligatures w14:val="standardContextual"/>
        </w:rPr>
      </w:pPr>
      <w:r w:rsidRPr="001D5CC1">
        <w:rPr>
          <w:rStyle w:val="Hyperlink"/>
          <w:noProof/>
          <w:color w:val="auto"/>
          <w:u w:val="none"/>
        </w:rPr>
        <w:t>Part 4—Repeal</w:t>
      </w:r>
      <w:r w:rsidRPr="001D5CC1">
        <w:rPr>
          <w:noProof/>
          <w:webHidden/>
        </w:rPr>
        <w:tab/>
        <w:t>20</w:t>
      </w:r>
    </w:p>
    <w:p w14:paraId="6A80DB20" w14:textId="6ADAFD5A" w:rsidR="00FC1F25" w:rsidRPr="0023259E" w:rsidRDefault="00FC1F25">
      <w:pPr>
        <w:pStyle w:val="TOC2"/>
        <w:tabs>
          <w:tab w:val="left" w:pos="1474"/>
        </w:tabs>
        <w:rPr>
          <w:rFonts w:asciiTheme="minorHAnsi" w:eastAsiaTheme="minorEastAsia" w:hAnsiTheme="minorHAnsi" w:cstheme="minorBidi"/>
          <w:noProof/>
          <w:kern w:val="2"/>
          <w:szCs w:val="24"/>
          <w14:ligatures w14:val="standardContextual"/>
        </w:rPr>
      </w:pPr>
      <w:r w:rsidRPr="001D5CC1">
        <w:rPr>
          <w:rStyle w:val="Hyperlink"/>
          <w:noProof/>
          <w:color w:val="auto"/>
          <w:u w:val="none"/>
        </w:rPr>
        <w:t>12</w:t>
      </w:r>
      <w:r w:rsidRPr="001D5CC1">
        <w:rPr>
          <w:rFonts w:asciiTheme="minorHAnsi" w:eastAsiaTheme="minorEastAsia" w:hAnsiTheme="minorHAnsi" w:cstheme="minorBidi"/>
          <w:noProof/>
          <w:kern w:val="2"/>
          <w:szCs w:val="24"/>
          <w14:ligatures w14:val="standardContextual"/>
        </w:rPr>
        <w:tab/>
      </w:r>
      <w:r w:rsidRPr="001D5CC1">
        <w:rPr>
          <w:rStyle w:val="Hyperlink"/>
          <w:noProof/>
          <w:color w:val="auto"/>
          <w:u w:val="none"/>
        </w:rPr>
        <w:t>Repeal</w:t>
      </w:r>
      <w:r w:rsidRPr="001D5CC1">
        <w:rPr>
          <w:noProof/>
          <w:webHidden/>
        </w:rPr>
        <w:tab/>
        <w:t>20</w:t>
      </w:r>
    </w:p>
    <w:p w14:paraId="34C1D0AC" w14:textId="760DCF43" w:rsidR="00670EA1" w:rsidRPr="00F61B09" w:rsidRDefault="00670EA1" w:rsidP="00715914"/>
    <w:p w14:paraId="0A6F21F1"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6475CAA7" w14:textId="77777777" w:rsidR="00FA31DE" w:rsidRPr="00F61B09" w:rsidRDefault="00FA31DE" w:rsidP="006554FF">
      <w:pPr>
        <w:pStyle w:val="LI-Heading1"/>
      </w:pPr>
      <w:bookmarkStart w:id="2" w:name="BK_S3P1L1C1"/>
      <w:bookmarkStart w:id="3" w:name="_Toc208929242"/>
      <w:bookmarkEnd w:id="2"/>
      <w:r w:rsidRPr="006554FF">
        <w:lastRenderedPageBreak/>
        <w:t>Part</w:t>
      </w:r>
      <w:r w:rsidR="00F61B09" w:rsidRPr="006554FF">
        <w:t> </w:t>
      </w:r>
      <w:r w:rsidRPr="006E5320">
        <w:t>1</w:t>
      </w:r>
      <w:r w:rsidRPr="00F61B09">
        <w:t>—</w:t>
      </w:r>
      <w:r w:rsidRPr="00005446">
        <w:t>Preliminary</w:t>
      </w:r>
      <w:bookmarkEnd w:id="3"/>
    </w:p>
    <w:p w14:paraId="15EC5A0A" w14:textId="4DA7F60F" w:rsidR="00FA31DE" w:rsidRDefault="008A7E37" w:rsidP="00C11452">
      <w:pPr>
        <w:pStyle w:val="LI-Heading2"/>
        <w:rPr>
          <w:szCs w:val="24"/>
        </w:rPr>
      </w:pPr>
      <w:bookmarkStart w:id="4" w:name="_Toc208929243"/>
      <w:r>
        <w:rPr>
          <w:szCs w:val="24"/>
        </w:rPr>
        <w:t>1</w:t>
      </w:r>
      <w:r w:rsidR="00AF62E4">
        <w:rPr>
          <w:szCs w:val="24"/>
        </w:rPr>
        <w:tab/>
      </w:r>
      <w:r w:rsidR="00FA31DE" w:rsidRPr="008C0F29">
        <w:rPr>
          <w:szCs w:val="24"/>
        </w:rPr>
        <w:t xml:space="preserve">Name of </w:t>
      </w:r>
      <w:r w:rsidR="008C0F29" w:rsidRPr="008C0F29">
        <w:rPr>
          <w:szCs w:val="24"/>
        </w:rPr>
        <w:t>legislative instrument</w:t>
      </w:r>
      <w:bookmarkEnd w:id="4"/>
      <w:r w:rsidR="008F7B27">
        <w:rPr>
          <w:szCs w:val="24"/>
        </w:rPr>
        <w:t xml:space="preserve"> </w:t>
      </w:r>
    </w:p>
    <w:p w14:paraId="2746DE4B" w14:textId="0B5BE8CD" w:rsidR="00FA31DE" w:rsidRDefault="00FA31DE" w:rsidP="00005446">
      <w:pPr>
        <w:pStyle w:val="LI-BodyTextUnnumbered"/>
        <w:rPr>
          <w:szCs w:val="24"/>
        </w:rPr>
      </w:pPr>
      <w:r w:rsidRPr="008C0F29">
        <w:rPr>
          <w:szCs w:val="24"/>
        </w:rPr>
        <w:t xml:space="preserve">This </w:t>
      </w:r>
      <w:r w:rsidR="008C0F29" w:rsidRPr="008C0F29">
        <w:rPr>
          <w:szCs w:val="24"/>
        </w:rPr>
        <w:t>is</w:t>
      </w:r>
      <w:r w:rsidR="009D195A">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C11452" w:rsidRPr="005D3D41">
        <w:rPr>
          <w:i/>
          <w:szCs w:val="24"/>
        </w:rPr>
        <w:t>(</w:t>
      </w:r>
      <w:r w:rsidR="00E82BA2" w:rsidRPr="00E82BA2">
        <w:rPr>
          <w:i/>
          <w:szCs w:val="24"/>
        </w:rPr>
        <w:t>Electronic Disclosure</w:t>
      </w:r>
      <w:r w:rsidR="00C11452" w:rsidRPr="005D3D41">
        <w:rPr>
          <w:i/>
          <w:szCs w:val="24"/>
        </w:rPr>
        <w:t xml:space="preserve">) Instrument </w:t>
      </w:r>
      <w:r w:rsidR="00E82BA2">
        <w:rPr>
          <w:i/>
          <w:szCs w:val="24"/>
        </w:rPr>
        <w:t>2025</w:t>
      </w:r>
      <w:r w:rsidR="00FD13CC">
        <w:rPr>
          <w:i/>
          <w:szCs w:val="24"/>
        </w:rPr>
        <w:t>/</w:t>
      </w:r>
      <w:r w:rsidR="004239FC">
        <w:rPr>
          <w:i/>
          <w:szCs w:val="24"/>
        </w:rPr>
        <w:t>447</w:t>
      </w:r>
      <w:r w:rsidRPr="005D3D41">
        <w:rPr>
          <w:szCs w:val="24"/>
        </w:rPr>
        <w:t>.</w:t>
      </w:r>
    </w:p>
    <w:p w14:paraId="64CAA09C" w14:textId="1ADE3966" w:rsidR="00FA31DE" w:rsidRPr="008C0F29" w:rsidRDefault="008A7E37" w:rsidP="00C11452">
      <w:pPr>
        <w:pStyle w:val="LI-Heading2"/>
        <w:rPr>
          <w:szCs w:val="24"/>
        </w:rPr>
      </w:pPr>
      <w:bookmarkStart w:id="5" w:name="_Toc208929244"/>
      <w:r>
        <w:rPr>
          <w:szCs w:val="24"/>
        </w:rPr>
        <w:t>2</w:t>
      </w:r>
      <w:r w:rsidR="00FC3EB8">
        <w:rPr>
          <w:szCs w:val="24"/>
        </w:rPr>
        <w:tab/>
      </w:r>
      <w:r w:rsidR="00FA31DE" w:rsidRPr="008C0F29">
        <w:rPr>
          <w:szCs w:val="24"/>
        </w:rPr>
        <w:t>Commencement</w:t>
      </w:r>
      <w:bookmarkEnd w:id="5"/>
    </w:p>
    <w:p w14:paraId="4C8077CF" w14:textId="77777777"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 the day </w:t>
      </w:r>
      <w:r w:rsidR="004823C0">
        <w:rPr>
          <w:szCs w:val="24"/>
        </w:rPr>
        <w:t xml:space="preserve">after it is </w:t>
      </w:r>
      <w:r w:rsidR="0077506D">
        <w:rPr>
          <w:szCs w:val="24"/>
        </w:rPr>
        <w:t>registered on</w:t>
      </w:r>
      <w:r w:rsidR="004823C0">
        <w:rPr>
          <w:szCs w:val="24"/>
        </w:rPr>
        <w:t xml:space="preserve"> the Federal Register of Legislati</w:t>
      </w:r>
      <w:r w:rsidR="001F02B1">
        <w:rPr>
          <w:szCs w:val="24"/>
        </w:rPr>
        <w:t>on</w:t>
      </w:r>
      <w:r w:rsidRPr="008C0F29">
        <w:rPr>
          <w:szCs w:val="24"/>
        </w:rPr>
        <w:t>.</w:t>
      </w:r>
    </w:p>
    <w:p w14:paraId="778112B1" w14:textId="3B61E04B"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r w:rsidR="00F047D8" w:rsidRPr="00567761">
        <w:t>www.legislation.gov.au</w:t>
      </w:r>
      <w:r w:rsidR="004823C0">
        <w:t>.</w:t>
      </w:r>
    </w:p>
    <w:p w14:paraId="2DB70FFB" w14:textId="53C04ECC" w:rsidR="00FA31DE" w:rsidRPr="008C0F29" w:rsidRDefault="008A7E37" w:rsidP="00EC4757">
      <w:pPr>
        <w:pStyle w:val="LI-Heading2"/>
        <w:spacing w:before="240"/>
        <w:rPr>
          <w:szCs w:val="24"/>
        </w:rPr>
      </w:pPr>
      <w:bookmarkStart w:id="6" w:name="_Toc208929245"/>
      <w:r>
        <w:rPr>
          <w:szCs w:val="24"/>
        </w:rPr>
        <w:t>3</w:t>
      </w:r>
      <w:r w:rsidR="00FC3EB8">
        <w:rPr>
          <w:szCs w:val="24"/>
        </w:rPr>
        <w:tab/>
      </w:r>
      <w:r w:rsidR="00FA31DE" w:rsidRPr="008C0F29">
        <w:rPr>
          <w:szCs w:val="24"/>
        </w:rPr>
        <w:t>Authority</w:t>
      </w:r>
      <w:bookmarkEnd w:id="6"/>
    </w:p>
    <w:p w14:paraId="62ECD770" w14:textId="3A7C7AC9"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E7059E" w:rsidRPr="00E7059E">
        <w:rPr>
          <w:szCs w:val="24"/>
        </w:rPr>
        <w:t>paragraphs 951B(1)(c) and 1020F(1)(c)</w:t>
      </w:r>
      <w:r w:rsidR="008C0F29" w:rsidRPr="005D3D41">
        <w:rPr>
          <w:szCs w:val="24"/>
        </w:rPr>
        <w:t xml:space="preserve"> </w:t>
      </w:r>
      <w:r w:rsidRPr="005D3D41">
        <w:rPr>
          <w:szCs w:val="24"/>
        </w:rPr>
        <w:t xml:space="preserve">of </w:t>
      </w:r>
      <w:r w:rsidR="00157F66">
        <w:rPr>
          <w:szCs w:val="24"/>
        </w:rPr>
        <w:t xml:space="preserve">the </w:t>
      </w:r>
      <w:r w:rsidR="00157F66" w:rsidRPr="00157F66">
        <w:rPr>
          <w:i/>
          <w:szCs w:val="24"/>
        </w:rPr>
        <w:t>Corporations Act 2001</w:t>
      </w:r>
      <w:r w:rsidRPr="008C0F29">
        <w:rPr>
          <w:szCs w:val="24"/>
        </w:rPr>
        <w:t>.</w:t>
      </w:r>
    </w:p>
    <w:p w14:paraId="3C5E469D" w14:textId="47B265D5" w:rsidR="008A7E37" w:rsidRDefault="008A7E37" w:rsidP="008A7E37">
      <w:pPr>
        <w:pStyle w:val="LI-Heading2"/>
        <w:rPr>
          <w:szCs w:val="24"/>
        </w:rPr>
      </w:pPr>
      <w:bookmarkStart w:id="7" w:name="_Toc208929246"/>
      <w:r>
        <w:rPr>
          <w:szCs w:val="24"/>
        </w:rPr>
        <w:t>4</w:t>
      </w:r>
      <w:r>
        <w:rPr>
          <w:szCs w:val="24"/>
        </w:rPr>
        <w:tab/>
        <w:t>Simplified outline of this instrument</w:t>
      </w:r>
      <w:bookmarkEnd w:id="7"/>
    </w:p>
    <w:p w14:paraId="07C7CE6E" w14:textId="77777777" w:rsidR="008A7E37" w:rsidRDefault="008A7E37" w:rsidP="008A7E37">
      <w:pPr>
        <w:pStyle w:val="LI-Heading2"/>
        <w:spacing w:before="120"/>
      </w:pPr>
    </w:p>
    <w:tbl>
      <w:tblPr>
        <w:tblStyle w:val="TableGrid"/>
        <w:tblW w:w="0" w:type="auto"/>
        <w:tblInd w:w="567" w:type="dxa"/>
        <w:tblLook w:val="04A0" w:firstRow="1" w:lastRow="0" w:firstColumn="1" w:lastColumn="0" w:noHBand="0" w:noVBand="1"/>
      </w:tblPr>
      <w:tblGrid>
        <w:gridCol w:w="7736"/>
      </w:tblGrid>
      <w:tr w:rsidR="008A7E37" w14:paraId="02EB475D" w14:textId="77777777" w:rsidTr="005B2FEE">
        <w:trPr>
          <w:trHeight w:val="3088"/>
        </w:trPr>
        <w:tc>
          <w:tcPr>
            <w:tcW w:w="7736" w:type="dxa"/>
          </w:tcPr>
          <w:p w14:paraId="1746F9D3" w14:textId="77777777" w:rsidR="008A7E37" w:rsidRDefault="008A7E37" w:rsidP="001408AF">
            <w:pPr>
              <w:pStyle w:val="LI-BodyTextNumbered"/>
              <w:spacing w:before="120" w:after="120"/>
              <w:ind w:left="0" w:firstLine="0"/>
            </w:pPr>
            <w:r>
              <w:t xml:space="preserve">This instrument modifies various requirements in the Act and Regulations relating to the electronic delivery of financial services disclosures. </w:t>
            </w:r>
          </w:p>
          <w:p w14:paraId="18EADF68" w14:textId="77777777" w:rsidR="008A7E37" w:rsidRDefault="008A7E37" w:rsidP="001408AF">
            <w:pPr>
              <w:pStyle w:val="LI-BodyTextNumbered"/>
              <w:spacing w:before="120" w:after="120"/>
              <w:ind w:left="0" w:firstLine="0"/>
            </w:pPr>
            <w:r>
              <w:t>Part 2 contains modifications that allow financial services disclosures to be delivered electronically via a specified method (known as a nominated electronic means), if conditions are met.</w:t>
            </w:r>
          </w:p>
          <w:p w14:paraId="058964C3" w14:textId="77777777" w:rsidR="008A7E37" w:rsidRPr="00EC0905" w:rsidRDefault="008A7E37" w:rsidP="001408AF">
            <w:pPr>
              <w:pStyle w:val="LI-BodyTextUnnumbered"/>
              <w:spacing w:before="120" w:after="120"/>
              <w:ind w:left="0"/>
            </w:pPr>
            <w:r>
              <w:t>Part 3 contains modifications relating to disclosure documents in electronic form. These modify requirements relating to the location of words required to be used in disclosure documents, page length limits of Shorter PDSs and how Shorter PDSs that include unprintable content may be given.</w:t>
            </w:r>
          </w:p>
        </w:tc>
      </w:tr>
    </w:tbl>
    <w:p w14:paraId="3311D9ED" w14:textId="4AEC5902" w:rsidR="00FA31DE" w:rsidRPr="00BB5C17" w:rsidRDefault="00AF62E4" w:rsidP="00EC4757">
      <w:pPr>
        <w:pStyle w:val="LI-Heading2"/>
        <w:spacing w:before="240"/>
        <w:rPr>
          <w:szCs w:val="24"/>
        </w:rPr>
      </w:pPr>
      <w:bookmarkStart w:id="8" w:name="_Toc208929247"/>
      <w:r>
        <w:rPr>
          <w:szCs w:val="24"/>
        </w:rPr>
        <w:t>5</w:t>
      </w:r>
      <w:r w:rsidR="00FC3EB8">
        <w:rPr>
          <w:szCs w:val="24"/>
        </w:rPr>
        <w:tab/>
      </w:r>
      <w:r w:rsidR="00FA31DE" w:rsidRPr="00BB5C17">
        <w:rPr>
          <w:szCs w:val="24"/>
        </w:rPr>
        <w:t>Definitions</w:t>
      </w:r>
      <w:bookmarkEnd w:id="8"/>
    </w:p>
    <w:p w14:paraId="4EE224B3"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357113A4" w14:textId="77777777" w:rsidR="007B3507" w:rsidRPr="007B3507" w:rsidRDefault="007B3507" w:rsidP="007B3507">
      <w:pPr>
        <w:pStyle w:val="LI-BodyTextUnnumbered"/>
        <w:rPr>
          <w:b/>
          <w:i/>
        </w:rPr>
      </w:pPr>
      <w:r w:rsidRPr="007B3507">
        <w:rPr>
          <w:b/>
          <w:bCs/>
          <w:i/>
          <w:iCs/>
        </w:rPr>
        <w:t>Act</w:t>
      </w:r>
      <w:r w:rsidRPr="007B3507">
        <w:rPr>
          <w:bCs/>
          <w:iCs/>
        </w:rPr>
        <w:t xml:space="preserve"> means the </w:t>
      </w:r>
      <w:r w:rsidRPr="007B3507">
        <w:rPr>
          <w:bCs/>
          <w:i/>
        </w:rPr>
        <w:t>Corporations Act 2001</w:t>
      </w:r>
      <w:r w:rsidRPr="007B3507">
        <w:rPr>
          <w:b/>
          <w:i/>
        </w:rPr>
        <w:t>.</w:t>
      </w:r>
    </w:p>
    <w:p w14:paraId="22E647BA" w14:textId="77777777" w:rsidR="007B3507" w:rsidRPr="007B3507" w:rsidRDefault="007B3507" w:rsidP="007B3507">
      <w:pPr>
        <w:pStyle w:val="LI-BodyTextUnnumbered"/>
        <w:rPr>
          <w:b/>
          <w:i/>
        </w:rPr>
      </w:pPr>
      <w:r w:rsidRPr="007B3507">
        <w:rPr>
          <w:b/>
          <w:bCs/>
          <w:i/>
          <w:iCs/>
        </w:rPr>
        <w:t>ASX </w:t>
      </w:r>
      <w:r w:rsidRPr="007B3507">
        <w:rPr>
          <w:bCs/>
          <w:iCs/>
        </w:rPr>
        <w:t>means ASX Limited ACN 008 624 691</w:t>
      </w:r>
      <w:r w:rsidRPr="007B3507">
        <w:rPr>
          <w:b/>
          <w:i/>
        </w:rPr>
        <w:t>.</w:t>
      </w:r>
    </w:p>
    <w:p w14:paraId="64603B4B" w14:textId="0C6D90E3" w:rsidR="007B3507" w:rsidRPr="007B3507" w:rsidRDefault="007B3507" w:rsidP="007B3507">
      <w:pPr>
        <w:pStyle w:val="LI-BodyTextUnnumbered"/>
        <w:rPr>
          <w:b/>
          <w:i/>
        </w:rPr>
      </w:pPr>
      <w:r w:rsidRPr="007B3507">
        <w:rPr>
          <w:b/>
          <w:bCs/>
          <w:i/>
          <w:iCs/>
        </w:rPr>
        <w:t>Cboe </w:t>
      </w:r>
      <w:r w:rsidRPr="007B3507">
        <w:rPr>
          <w:bCs/>
          <w:iCs/>
        </w:rPr>
        <w:t>means Cboe Australia Pty Ltd ACN 129 584 667</w:t>
      </w:r>
      <w:r w:rsidRPr="007B3507">
        <w:rPr>
          <w:b/>
          <w:i/>
        </w:rPr>
        <w:t>.</w:t>
      </w:r>
    </w:p>
    <w:p w14:paraId="3218294F" w14:textId="532EF5A2" w:rsidR="001802CB" w:rsidRPr="007B3507" w:rsidRDefault="007B3507" w:rsidP="009C6872">
      <w:pPr>
        <w:pStyle w:val="LI-BodyTextUnnumbered"/>
        <w:rPr>
          <w:b/>
          <w:i/>
        </w:rPr>
      </w:pPr>
      <w:r w:rsidRPr="007B3507">
        <w:rPr>
          <w:b/>
          <w:bCs/>
          <w:i/>
          <w:iCs/>
        </w:rPr>
        <w:t>Regulations</w:t>
      </w:r>
      <w:r w:rsidRPr="007B3507">
        <w:rPr>
          <w:b/>
          <w:i/>
          <w:iCs/>
        </w:rPr>
        <w:t xml:space="preserve"> </w:t>
      </w:r>
      <w:r w:rsidRPr="007B3507">
        <w:rPr>
          <w:bCs/>
          <w:iCs/>
        </w:rPr>
        <w:t>means the</w:t>
      </w:r>
      <w:r w:rsidRPr="007B3507">
        <w:rPr>
          <w:bCs/>
          <w:i/>
          <w:iCs/>
        </w:rPr>
        <w:t xml:space="preserve"> Corporations Regulations 2001</w:t>
      </w:r>
      <w:r w:rsidRPr="007B3507">
        <w:rPr>
          <w:b/>
          <w:i/>
        </w:rPr>
        <w:t>.</w:t>
      </w:r>
      <w:r w:rsidR="009C6872" w:rsidRPr="007B3507">
        <w:rPr>
          <w:b/>
          <w:i/>
        </w:rPr>
        <w:t xml:space="preserve"> </w:t>
      </w:r>
    </w:p>
    <w:p w14:paraId="6771F1AA" w14:textId="781023F8" w:rsidR="00AF62E4" w:rsidRPr="00A66AF7" w:rsidRDefault="00AF62E4" w:rsidP="00AF62E4">
      <w:pPr>
        <w:pStyle w:val="LI-BodyTextUnnumbered"/>
      </w:pPr>
      <w:r w:rsidRPr="00A66AF7">
        <w:rPr>
          <w:b/>
          <w:bCs/>
          <w:i/>
          <w:iCs/>
        </w:rPr>
        <w:t>simple managed investment scheme </w:t>
      </w:r>
      <w:r w:rsidRPr="00A66AF7">
        <w:t>has the same meaning as in regulation 1.0.02 of the Regulations.</w:t>
      </w:r>
    </w:p>
    <w:p w14:paraId="1950FA60" w14:textId="77777777" w:rsidR="00AF62E4" w:rsidRPr="00A66AF7" w:rsidRDefault="00AF62E4" w:rsidP="00AF62E4">
      <w:pPr>
        <w:pStyle w:val="LI-BodyTextUnnumbered"/>
      </w:pPr>
      <w:r w:rsidRPr="00A66AF7">
        <w:rPr>
          <w:b/>
          <w:i/>
        </w:rPr>
        <w:lastRenderedPageBreak/>
        <w:t xml:space="preserve">simple sub-fund product </w:t>
      </w:r>
      <w:r w:rsidRPr="00A66AF7">
        <w:t>has the same meaning as in regulation 1.0.02 of the Regulations.</w:t>
      </w:r>
    </w:p>
    <w:p w14:paraId="117EDC22" w14:textId="77777777" w:rsidR="00AF62E4" w:rsidRPr="007B3507" w:rsidRDefault="00AF62E4" w:rsidP="007B3507">
      <w:pPr>
        <w:pStyle w:val="LI-BodyTextUnnumbered"/>
        <w:rPr>
          <w:bCs/>
          <w:iCs/>
        </w:rPr>
      </w:pPr>
    </w:p>
    <w:p w14:paraId="473221E9" w14:textId="77777777" w:rsidR="007B3507" w:rsidRPr="001C7D58" w:rsidRDefault="007B3507" w:rsidP="00005446">
      <w:pPr>
        <w:pStyle w:val="LI-BodyTextUnnumbered"/>
        <w:rPr>
          <w:bCs/>
          <w:iCs/>
        </w:rPr>
      </w:pPr>
    </w:p>
    <w:p w14:paraId="2427F01C" w14:textId="32F46AF8" w:rsidR="0040053F" w:rsidRDefault="0040053F" w:rsidP="00FC3EB8">
      <w:pPr>
        <w:pStyle w:val="LI-BodyTextParaa"/>
        <w:sectPr w:rsidR="0040053F" w:rsidSect="007D230B">
          <w:headerReference w:type="even" r:id="rId26"/>
          <w:headerReference w:type="default" r:id="rId27"/>
          <w:footerReference w:type="even" r:id="rId28"/>
          <w:headerReference w:type="first" r:id="rId29"/>
          <w:footerReference w:type="first" r:id="rId30"/>
          <w:pgSz w:w="11907" w:h="16839" w:code="9"/>
          <w:pgMar w:top="1534" w:right="1797" w:bottom="1440" w:left="1797" w:header="720" w:footer="709" w:gutter="0"/>
          <w:cols w:space="708"/>
          <w:docGrid w:linePitch="360"/>
        </w:sectPr>
      </w:pPr>
    </w:p>
    <w:p w14:paraId="48898CDA" w14:textId="1A718F0B" w:rsidR="00A15512" w:rsidRPr="00F61B09" w:rsidRDefault="00A15512" w:rsidP="006554FF">
      <w:pPr>
        <w:pStyle w:val="LI-Heading1"/>
      </w:pPr>
      <w:bookmarkStart w:id="9" w:name="_Toc208929248"/>
      <w:r w:rsidRPr="006E5320">
        <w:lastRenderedPageBreak/>
        <w:t>Part </w:t>
      </w:r>
      <w:r w:rsidR="009E0299">
        <w:t>2</w:t>
      </w:r>
      <w:r w:rsidRPr="006554FF">
        <w:t>—</w:t>
      </w:r>
      <w:r>
        <w:t>Declaration</w:t>
      </w:r>
      <w:r w:rsidR="00EB6595">
        <w:t xml:space="preserve">s </w:t>
      </w:r>
      <w:r w:rsidR="00E05B01">
        <w:t xml:space="preserve">facilitating </w:t>
      </w:r>
      <w:r w:rsidR="00EB6595">
        <w:t>electronic delivery</w:t>
      </w:r>
      <w:bookmarkEnd w:id="9"/>
    </w:p>
    <w:p w14:paraId="656DC3F3" w14:textId="49D5EF2C" w:rsidR="00F65650" w:rsidRDefault="00AF62E4" w:rsidP="00F65650">
      <w:pPr>
        <w:pStyle w:val="LI-Heading2"/>
        <w:rPr>
          <w:szCs w:val="24"/>
        </w:rPr>
      </w:pPr>
      <w:bookmarkStart w:id="10" w:name="_Toc420481764"/>
      <w:bookmarkStart w:id="11" w:name="_Toc148009491"/>
      <w:bookmarkStart w:id="12" w:name="_Toc208929249"/>
      <w:bookmarkStart w:id="13" w:name="_Toc175299718"/>
      <w:r>
        <w:t>6</w:t>
      </w:r>
      <w:r w:rsidR="00E51AA1">
        <w:tab/>
      </w:r>
      <w:bookmarkEnd w:id="10"/>
      <w:bookmarkEnd w:id="11"/>
      <w:r w:rsidR="00F65650">
        <w:rPr>
          <w:szCs w:val="24"/>
        </w:rPr>
        <w:t>Simplified outline of this Part</w:t>
      </w:r>
      <w:bookmarkEnd w:id="12"/>
      <w:r w:rsidR="00F65650">
        <w:rPr>
          <w:szCs w:val="24"/>
        </w:rPr>
        <w:t xml:space="preserve"> </w:t>
      </w:r>
    </w:p>
    <w:p w14:paraId="3F033B56" w14:textId="77777777" w:rsidR="00F65650" w:rsidRDefault="00F65650" w:rsidP="00F65650">
      <w:pPr>
        <w:pStyle w:val="LI-Heading2"/>
        <w:spacing w:before="120"/>
      </w:pPr>
    </w:p>
    <w:tbl>
      <w:tblPr>
        <w:tblStyle w:val="TableGrid"/>
        <w:tblW w:w="0" w:type="auto"/>
        <w:tblInd w:w="567" w:type="dxa"/>
        <w:tblLook w:val="04A0" w:firstRow="1" w:lastRow="0" w:firstColumn="1" w:lastColumn="0" w:noHBand="0" w:noVBand="1"/>
      </w:tblPr>
      <w:tblGrid>
        <w:gridCol w:w="7736"/>
      </w:tblGrid>
      <w:tr w:rsidR="00F65650" w14:paraId="71BE6243" w14:textId="77777777" w:rsidTr="00843E1F">
        <w:trPr>
          <w:trHeight w:val="1085"/>
        </w:trPr>
        <w:tc>
          <w:tcPr>
            <w:tcW w:w="7736" w:type="dxa"/>
          </w:tcPr>
          <w:p w14:paraId="145D97D3" w14:textId="443B7712" w:rsidR="006C4E7E" w:rsidRDefault="00060CF0" w:rsidP="00963E19">
            <w:pPr>
              <w:pStyle w:val="LI-BodyTextUnnumbered"/>
              <w:spacing w:before="120" w:after="120"/>
              <w:ind w:left="0"/>
            </w:pPr>
            <w:r>
              <w:t xml:space="preserve">This Part </w:t>
            </w:r>
            <w:r w:rsidR="00926F9B">
              <w:t xml:space="preserve">modifies </w:t>
            </w:r>
            <w:r w:rsidR="009D7569">
              <w:t>the Act</w:t>
            </w:r>
            <w:r w:rsidR="003058D8">
              <w:t xml:space="preserve"> and Regulations</w:t>
            </w:r>
            <w:r w:rsidR="009D7569">
              <w:t xml:space="preserve"> to</w:t>
            </w:r>
            <w:r w:rsidR="00A004BE">
              <w:t xml:space="preserve"> allow</w:t>
            </w:r>
            <w:r w:rsidR="006C4E7E">
              <w:t>:</w:t>
            </w:r>
          </w:p>
          <w:p w14:paraId="620283FB" w14:textId="571059E5" w:rsidR="006C4E7E" w:rsidRDefault="00807E12" w:rsidP="005B2FEE">
            <w:pPr>
              <w:pStyle w:val="LI-BodyTextUnnumbered"/>
              <w:spacing w:before="120" w:after="120"/>
              <w:ind w:left="601" w:hanging="601"/>
            </w:pPr>
            <w:r>
              <w:t>(a)</w:t>
            </w:r>
            <w:r>
              <w:tab/>
            </w:r>
            <w:r w:rsidR="00875BA5">
              <w:t>certain</w:t>
            </w:r>
            <w:r w:rsidR="00831013">
              <w:t xml:space="preserve"> </w:t>
            </w:r>
            <w:r w:rsidR="00BA6E13">
              <w:t>financial services disclosures</w:t>
            </w:r>
            <w:r w:rsidR="00BF738E">
              <w:t xml:space="preserve"> </w:t>
            </w:r>
            <w:r w:rsidR="00BA6E13">
              <w:t xml:space="preserve">to be </w:t>
            </w:r>
            <w:r w:rsidR="004B247D">
              <w:t xml:space="preserve">given </w:t>
            </w:r>
            <w:r w:rsidR="006C4E7E">
              <w:t xml:space="preserve">to </w:t>
            </w:r>
            <w:r w:rsidR="00A004BE">
              <w:t>a</w:t>
            </w:r>
            <w:r w:rsidR="006C4E7E">
              <w:t xml:space="preserve"> client, or their agent, </w:t>
            </w:r>
            <w:r w:rsidR="00F25586">
              <w:t>by a nominated electronic means</w:t>
            </w:r>
            <w:r w:rsidR="00AC3B25">
              <w:t>, as defined in th</w:t>
            </w:r>
            <w:r w:rsidR="00964EBD">
              <w:t>is Part</w:t>
            </w:r>
            <w:r w:rsidR="006C4E7E">
              <w:t>; and</w:t>
            </w:r>
          </w:p>
          <w:p w14:paraId="7284F52B" w14:textId="6FE60A18" w:rsidR="00F65650" w:rsidRPr="00EC0905" w:rsidRDefault="00807E12" w:rsidP="005B2FEE">
            <w:pPr>
              <w:spacing w:before="120" w:after="120"/>
              <w:ind w:left="601" w:hanging="601"/>
            </w:pPr>
            <w:r>
              <w:rPr>
                <w:rFonts w:eastAsia="Times New Roman"/>
                <w:sz w:val="24"/>
                <w:lang w:eastAsia="en-AU"/>
              </w:rPr>
              <w:t>(b)</w:t>
            </w:r>
            <w:r>
              <w:rPr>
                <w:rFonts w:eastAsia="Times New Roman"/>
                <w:sz w:val="24"/>
                <w:lang w:eastAsia="en-AU"/>
              </w:rPr>
              <w:tab/>
            </w:r>
            <w:r w:rsidR="00C14B3B" w:rsidRPr="00A30213">
              <w:rPr>
                <w:rFonts w:eastAsia="Times New Roman"/>
                <w:sz w:val="24"/>
                <w:lang w:eastAsia="en-AU"/>
              </w:rPr>
              <w:t xml:space="preserve">a </w:t>
            </w:r>
            <w:r w:rsidR="006C4E7E" w:rsidRPr="00A30213">
              <w:rPr>
                <w:rFonts w:eastAsia="Times New Roman"/>
                <w:sz w:val="24"/>
                <w:lang w:eastAsia="en-AU"/>
              </w:rPr>
              <w:t xml:space="preserve">trustee of a </w:t>
            </w:r>
            <w:r w:rsidR="00CB33EB" w:rsidRPr="00A30213">
              <w:rPr>
                <w:rFonts w:eastAsia="Times New Roman"/>
                <w:sz w:val="24"/>
                <w:lang w:eastAsia="en-AU"/>
              </w:rPr>
              <w:t xml:space="preserve">standard employer-sponsored </w:t>
            </w:r>
            <w:r w:rsidR="006C4E7E" w:rsidRPr="00A30213">
              <w:rPr>
                <w:rFonts w:eastAsia="Times New Roman"/>
                <w:sz w:val="24"/>
                <w:lang w:eastAsia="en-AU"/>
              </w:rPr>
              <w:t xml:space="preserve">superannuation fund to </w:t>
            </w:r>
            <w:r w:rsidR="00043884" w:rsidRPr="00A30213">
              <w:rPr>
                <w:rFonts w:eastAsia="Times New Roman"/>
                <w:sz w:val="24"/>
                <w:lang w:eastAsia="en-AU"/>
              </w:rPr>
              <w:t xml:space="preserve">make </w:t>
            </w:r>
            <w:r w:rsidR="003B12C3" w:rsidRPr="00A30213">
              <w:rPr>
                <w:rFonts w:eastAsia="Times New Roman"/>
                <w:sz w:val="24"/>
                <w:lang w:eastAsia="en-AU"/>
              </w:rPr>
              <w:t xml:space="preserve">disclosures </w:t>
            </w:r>
            <w:r w:rsidR="00043884" w:rsidRPr="00A30213">
              <w:rPr>
                <w:rFonts w:eastAsia="Times New Roman"/>
                <w:sz w:val="24"/>
                <w:lang w:eastAsia="en-AU"/>
              </w:rPr>
              <w:t xml:space="preserve">available to a member using </w:t>
            </w:r>
            <w:r w:rsidR="006C4E7E" w:rsidRPr="00A30213">
              <w:rPr>
                <w:rFonts w:eastAsia="Times New Roman"/>
                <w:sz w:val="24"/>
                <w:lang w:eastAsia="en-AU"/>
              </w:rPr>
              <w:t>an employer</w:t>
            </w:r>
            <w:r w:rsidR="00C312D2" w:rsidRPr="00A30213">
              <w:rPr>
                <w:rFonts w:eastAsia="Times New Roman"/>
                <w:sz w:val="24"/>
                <w:lang w:eastAsia="en-AU"/>
              </w:rPr>
              <w:t>-</w:t>
            </w:r>
            <w:r w:rsidR="006C4E7E" w:rsidRPr="00A30213">
              <w:rPr>
                <w:rFonts w:eastAsia="Times New Roman"/>
                <w:sz w:val="24"/>
                <w:lang w:eastAsia="en-AU"/>
              </w:rPr>
              <w:t xml:space="preserve">supplied email address </w:t>
            </w:r>
            <w:r w:rsidR="003B12C3" w:rsidRPr="00A30213">
              <w:rPr>
                <w:rFonts w:eastAsia="Times New Roman"/>
                <w:sz w:val="24"/>
                <w:lang w:eastAsia="en-AU"/>
              </w:rPr>
              <w:t xml:space="preserve">for </w:t>
            </w:r>
            <w:r w:rsidR="00325EB2" w:rsidRPr="005B2FEE">
              <w:rPr>
                <w:rFonts w:eastAsia="Times New Roman"/>
                <w:sz w:val="24"/>
                <w:lang w:eastAsia="en-AU"/>
              </w:rPr>
              <w:t>the</w:t>
            </w:r>
            <w:r w:rsidR="003B12C3" w:rsidRPr="00A30213">
              <w:rPr>
                <w:rFonts w:eastAsia="Times New Roman"/>
                <w:sz w:val="24"/>
                <w:lang w:eastAsia="en-AU"/>
              </w:rPr>
              <w:t xml:space="preserve"> member, </w:t>
            </w:r>
            <w:r w:rsidR="006C4E7E" w:rsidRPr="00A30213">
              <w:rPr>
                <w:rFonts w:eastAsia="Times New Roman"/>
                <w:sz w:val="24"/>
                <w:lang w:eastAsia="en-AU"/>
              </w:rPr>
              <w:t xml:space="preserve">if </w:t>
            </w:r>
            <w:r w:rsidR="00C312D2" w:rsidRPr="00A30213">
              <w:rPr>
                <w:rFonts w:eastAsia="Times New Roman"/>
                <w:sz w:val="24"/>
                <w:lang w:eastAsia="en-AU"/>
              </w:rPr>
              <w:t xml:space="preserve">specified </w:t>
            </w:r>
            <w:r w:rsidR="006C4E7E" w:rsidRPr="00A30213">
              <w:rPr>
                <w:rFonts w:eastAsia="Times New Roman"/>
                <w:sz w:val="24"/>
                <w:lang w:eastAsia="en-AU"/>
              </w:rPr>
              <w:t>conditions are met.</w:t>
            </w:r>
            <w:r w:rsidR="00060CF0">
              <w:t xml:space="preserve"> </w:t>
            </w:r>
          </w:p>
        </w:tc>
      </w:tr>
    </w:tbl>
    <w:p w14:paraId="4767884B" w14:textId="34A59C9A" w:rsidR="00E51AA1" w:rsidRPr="005D3D41" w:rsidRDefault="00F65650" w:rsidP="00E51AA1">
      <w:pPr>
        <w:pStyle w:val="LI-Heading2"/>
      </w:pPr>
      <w:bookmarkStart w:id="14" w:name="_Toc208929250"/>
      <w:r>
        <w:t>7</w:t>
      </w:r>
      <w:r>
        <w:tab/>
      </w:r>
      <w:r w:rsidR="00E51AA1" w:rsidRPr="002B5A70">
        <w:t>Facilitating electronic delivery of financial services disclosures</w:t>
      </w:r>
      <w:bookmarkEnd w:id="13"/>
      <w:bookmarkEnd w:id="14"/>
      <w:r w:rsidR="001E1AE8">
        <w:t xml:space="preserve"> </w:t>
      </w:r>
    </w:p>
    <w:p w14:paraId="69E48F44" w14:textId="40A7DDC7" w:rsidR="00E51AA1" w:rsidRPr="007A0E06" w:rsidRDefault="00E51AA1" w:rsidP="00E51AA1">
      <w:pPr>
        <w:tabs>
          <w:tab w:val="left" w:pos="6104"/>
        </w:tabs>
        <w:spacing w:before="240" w:line="240" w:lineRule="auto"/>
        <w:ind w:firstLine="567"/>
        <w:textAlignment w:val="baseline"/>
        <w:rPr>
          <w:rFonts w:ascii="Segoe UI" w:eastAsia="Times New Roman" w:hAnsi="Segoe UI" w:cs="Segoe UI"/>
          <w:sz w:val="18"/>
          <w:szCs w:val="18"/>
          <w:lang w:eastAsia="en-AU"/>
        </w:rPr>
      </w:pPr>
      <w:r w:rsidRPr="007A0E06">
        <w:rPr>
          <w:rFonts w:eastAsia="Times New Roman"/>
          <w:i/>
          <w:iCs/>
          <w:sz w:val="24"/>
          <w:szCs w:val="24"/>
          <w:lang w:eastAsia="en-AU"/>
        </w:rPr>
        <w:t>Definition of ETF an</w:t>
      </w:r>
      <w:r w:rsidRPr="00B50ACF">
        <w:rPr>
          <w:rFonts w:eastAsia="Times New Roman"/>
          <w:i/>
          <w:iCs/>
          <w:sz w:val="24"/>
          <w:szCs w:val="24"/>
          <w:lang w:eastAsia="en-AU"/>
        </w:rPr>
        <w:t xml:space="preserve">d </w:t>
      </w:r>
      <w:r w:rsidRPr="007A0E06">
        <w:rPr>
          <w:rFonts w:eastAsia="Times New Roman"/>
          <w:i/>
          <w:iCs/>
          <w:sz w:val="24"/>
          <w:szCs w:val="24"/>
          <w:lang w:eastAsia="en-AU"/>
        </w:rPr>
        <w:t>nominated electronic means</w:t>
      </w:r>
    </w:p>
    <w:p w14:paraId="005924BC" w14:textId="02F3F656" w:rsidR="00E51AA1" w:rsidRPr="007A0E06" w:rsidRDefault="00E51AA1" w:rsidP="00E51AA1">
      <w:pPr>
        <w:pStyle w:val="ListParagraph"/>
        <w:numPr>
          <w:ilvl w:val="0"/>
          <w:numId w:val="15"/>
        </w:numPr>
        <w:spacing w:before="240" w:line="240" w:lineRule="auto"/>
        <w:contextualSpacing w:val="0"/>
        <w:textAlignment w:val="baseline"/>
        <w:rPr>
          <w:rFonts w:eastAsia="Times New Roman" w:cs="Times New Roman"/>
          <w:sz w:val="24"/>
          <w:szCs w:val="24"/>
          <w:lang w:eastAsia="en-AU"/>
        </w:rPr>
      </w:pPr>
      <w:r w:rsidRPr="007A0E06">
        <w:rPr>
          <w:rFonts w:eastAsia="Times New Roman" w:cs="Times New Roman"/>
          <w:sz w:val="24"/>
          <w:szCs w:val="24"/>
          <w:lang w:eastAsia="en-AU"/>
        </w:rPr>
        <w:t xml:space="preserve">Parts 7.7 and 7.9 of the Act apply in relation to a financial services licensee, an authorised representative of a financial services licensee, a financial product in relation to which a Product Disclosure Statement, a Supplementary Product Disclosure Statement or a Replacement Product Disclosure Statement is required or prepared, a CGS depository interest, a responsible person for a Product Disclosure Statement, an issuer of a financial product, a trustee of a superannuation entity and an RSA provider as if section </w:t>
      </w:r>
      <w:r w:rsidR="0040504C">
        <w:rPr>
          <w:rFonts w:eastAsia="Times New Roman" w:cs="Times New Roman"/>
          <w:sz w:val="24"/>
          <w:szCs w:val="24"/>
          <w:lang w:eastAsia="en-AU"/>
        </w:rPr>
        <w:t>9</w:t>
      </w:r>
      <w:r w:rsidRPr="007A0E06">
        <w:rPr>
          <w:rFonts w:eastAsia="Times New Roman" w:cs="Times New Roman"/>
          <w:sz w:val="24"/>
          <w:szCs w:val="24"/>
          <w:lang w:eastAsia="en-AU"/>
        </w:rPr>
        <w:t xml:space="preserve"> were modified or varied by inserting:</w:t>
      </w:r>
    </w:p>
    <w:p w14:paraId="76E2EB87" w14:textId="452C086B" w:rsidR="00E51AA1" w:rsidRPr="00274745" w:rsidRDefault="00E51AA1" w:rsidP="00E51AA1">
      <w:pPr>
        <w:pStyle w:val="LI-SectionSubsectionText"/>
        <w:ind w:left="1701" w:firstLine="0"/>
      </w:pPr>
      <w:r>
        <w:t>“</w:t>
      </w:r>
      <w:r w:rsidRPr="5D2E89F3">
        <w:rPr>
          <w:b/>
          <w:bCs/>
          <w:i/>
          <w:iCs/>
        </w:rPr>
        <w:t>ETF</w:t>
      </w:r>
      <w:r>
        <w:t xml:space="preserve"> (short for exchange traded fund) means a registered scheme or a sub-fund of a CCIV in relation to which all of the following are satisfied:</w:t>
      </w:r>
    </w:p>
    <w:p w14:paraId="7A7292D3" w14:textId="7E02ED3B" w:rsidR="00E51AA1" w:rsidRPr="00274745" w:rsidRDefault="00E51AA1" w:rsidP="00E51AA1">
      <w:pPr>
        <w:pStyle w:val="LI-SectionSubsectionText"/>
        <w:ind w:left="2281" w:hanging="580"/>
      </w:pPr>
      <w:r>
        <w:t>(a)</w:t>
      </w:r>
      <w:r>
        <w:tab/>
      </w:r>
      <w:r w:rsidRPr="00274745">
        <w:t>interests in the scheme or shares in the sub-fund are in a class that is able to be traded on a financial market operated by ASX or Cboe, but the scheme or sub-fund is not listed on either of those markets;</w:t>
      </w:r>
    </w:p>
    <w:p w14:paraId="1877AFC0" w14:textId="48204B26" w:rsidR="00E51AA1" w:rsidRPr="00274745" w:rsidRDefault="00E51AA1" w:rsidP="00C27D2B">
      <w:pPr>
        <w:pStyle w:val="LI-SectionSubsectionText"/>
        <w:ind w:left="2281" w:hanging="580"/>
      </w:pPr>
      <w:r>
        <w:t>(b)</w:t>
      </w:r>
      <w:r>
        <w:tab/>
      </w:r>
      <w:r w:rsidRPr="00274745">
        <w:t xml:space="preserve">the responsible entity or CCIV has the power and approval to issue interests or shares in that class on any day that those interests or shares are able to be traded on the relevant financial market; </w:t>
      </w:r>
    </w:p>
    <w:p w14:paraId="429E1F68" w14:textId="3A632968" w:rsidR="00E51AA1" w:rsidRPr="007A0E06" w:rsidRDefault="00E51AA1" w:rsidP="00E51AA1">
      <w:pPr>
        <w:pStyle w:val="LI-SectionSubsectionText"/>
        <w:ind w:left="2281" w:hanging="580"/>
      </w:pPr>
      <w:r>
        <w:t>(c)</w:t>
      </w:r>
      <w:r>
        <w:tab/>
        <w:t>the responsible entity or CCIV allows applications for, and redemptions of, interests or shares in that class on any day that those interests or shares are able to be traded on the relevant financial market.</w:t>
      </w:r>
    </w:p>
    <w:p w14:paraId="4727BDA2" w14:textId="1AFE9DA7" w:rsidR="00E51AA1" w:rsidRPr="007A0E06" w:rsidRDefault="00E51AA1" w:rsidP="00E51AA1">
      <w:pPr>
        <w:spacing w:before="240" w:line="240" w:lineRule="auto"/>
        <w:ind w:left="1695"/>
        <w:textAlignment w:val="baseline"/>
        <w:rPr>
          <w:rFonts w:eastAsia="Times New Roman"/>
          <w:sz w:val="24"/>
          <w:szCs w:val="24"/>
          <w:lang w:eastAsia="en-AU"/>
        </w:rPr>
      </w:pPr>
      <w:r w:rsidRPr="007A0E06">
        <w:rPr>
          <w:rFonts w:eastAsia="Times New Roman"/>
          <w:b/>
          <w:bCs/>
          <w:i/>
          <w:iCs/>
          <w:sz w:val="24"/>
          <w:szCs w:val="24"/>
          <w:lang w:eastAsia="en-AU"/>
        </w:rPr>
        <w:t>nominated electronic means</w:t>
      </w:r>
      <w:r w:rsidRPr="007A0E06">
        <w:rPr>
          <w:rFonts w:eastAsia="Times New Roman"/>
          <w:sz w:val="24"/>
          <w:szCs w:val="24"/>
          <w:lang w:eastAsia="en-AU"/>
        </w:rPr>
        <w:t xml:space="preserve">: a document, information, statement or notification (each a </w:t>
      </w:r>
      <w:r w:rsidRPr="007A0E06">
        <w:rPr>
          <w:rFonts w:eastAsia="Times New Roman"/>
          <w:b/>
          <w:bCs/>
          <w:i/>
          <w:iCs/>
          <w:sz w:val="24"/>
          <w:szCs w:val="24"/>
          <w:lang w:eastAsia="en-AU"/>
        </w:rPr>
        <w:t>relevant communication</w:t>
      </w:r>
      <w:r w:rsidRPr="007A0E06">
        <w:rPr>
          <w:rFonts w:eastAsia="Times New Roman"/>
          <w:sz w:val="24"/>
          <w:szCs w:val="24"/>
          <w:lang w:eastAsia="en-AU"/>
        </w:rPr>
        <w:t xml:space="preserve">) is made available by a </w:t>
      </w:r>
      <w:r w:rsidRPr="007A0E06">
        <w:rPr>
          <w:rFonts w:eastAsia="Times New Roman"/>
          <w:sz w:val="24"/>
          <w:szCs w:val="24"/>
          <w:lang w:eastAsia="en-AU"/>
        </w:rPr>
        <w:lastRenderedPageBreak/>
        <w:t>person (</w:t>
      </w:r>
      <w:r w:rsidRPr="007A0E06">
        <w:rPr>
          <w:rFonts w:eastAsia="Times New Roman"/>
          <w:b/>
          <w:bCs/>
          <w:i/>
          <w:iCs/>
          <w:sz w:val="24"/>
          <w:szCs w:val="24"/>
          <w:lang w:eastAsia="en-AU"/>
        </w:rPr>
        <w:t>providing person</w:t>
      </w:r>
      <w:r w:rsidRPr="007A0E06">
        <w:rPr>
          <w:rFonts w:eastAsia="Times New Roman"/>
          <w:sz w:val="24"/>
          <w:szCs w:val="24"/>
          <w:lang w:eastAsia="en-AU"/>
        </w:rPr>
        <w:t>) to another person (</w:t>
      </w:r>
      <w:r w:rsidRPr="007A0E06">
        <w:rPr>
          <w:rFonts w:eastAsia="Times New Roman"/>
          <w:b/>
          <w:bCs/>
          <w:i/>
          <w:iCs/>
          <w:sz w:val="24"/>
          <w:szCs w:val="24"/>
          <w:lang w:eastAsia="en-AU"/>
        </w:rPr>
        <w:t>receiving person</w:t>
      </w:r>
      <w:r w:rsidRPr="007A0E06">
        <w:rPr>
          <w:rFonts w:eastAsia="Times New Roman"/>
          <w:sz w:val="24"/>
          <w:szCs w:val="24"/>
          <w:lang w:eastAsia="en-AU"/>
        </w:rPr>
        <w:t xml:space="preserve">) by a </w:t>
      </w:r>
      <w:r w:rsidRPr="007A0E06">
        <w:rPr>
          <w:rFonts w:eastAsia="Times New Roman"/>
          <w:b/>
          <w:bCs/>
          <w:i/>
          <w:iCs/>
          <w:sz w:val="24"/>
          <w:szCs w:val="24"/>
          <w:lang w:eastAsia="en-AU"/>
        </w:rPr>
        <w:t>nominated electronic means</w:t>
      </w:r>
      <w:r w:rsidRPr="007A0E06">
        <w:rPr>
          <w:rFonts w:eastAsia="Times New Roman"/>
          <w:sz w:val="24"/>
          <w:szCs w:val="24"/>
          <w:lang w:eastAsia="en-AU"/>
        </w:rPr>
        <w:t xml:space="preserve"> if and only if the following are satisfied:</w:t>
      </w:r>
    </w:p>
    <w:p w14:paraId="58D5C9E0" w14:textId="42D2DB09" w:rsidR="00D27229" w:rsidRPr="007922E8" w:rsidRDefault="00E51AA1" w:rsidP="0074154F">
      <w:pPr>
        <w:pStyle w:val="LI-SectionSubsectionText"/>
      </w:pPr>
      <w:r>
        <w:t>(a)</w:t>
      </w:r>
      <w:r>
        <w:tab/>
      </w:r>
      <w:r w:rsidRPr="00FC6F11">
        <w:t xml:space="preserve">the providing person makes the relevant communication available </w:t>
      </w:r>
      <w:r w:rsidRPr="009A6682">
        <w:t>by an electronic means and:</w:t>
      </w:r>
      <w:r w:rsidR="00D27229">
        <w:tab/>
      </w:r>
    </w:p>
    <w:p w14:paraId="34EEFCA4" w14:textId="77777777" w:rsidR="00E51AA1" w:rsidRPr="007A0E06" w:rsidRDefault="00E51AA1" w:rsidP="00E51AA1">
      <w:pPr>
        <w:spacing w:before="240" w:line="240" w:lineRule="auto"/>
        <w:ind w:left="2835" w:hanging="555"/>
        <w:textAlignment w:val="baseline"/>
        <w:rPr>
          <w:rFonts w:eastAsia="Times New Roman"/>
          <w:sz w:val="24"/>
          <w:szCs w:val="24"/>
          <w:lang w:eastAsia="en-AU"/>
        </w:rPr>
      </w:pPr>
      <w:r w:rsidRPr="007A0E06">
        <w:rPr>
          <w:rFonts w:eastAsia="Times New Roman"/>
          <w:sz w:val="24"/>
          <w:szCs w:val="24"/>
          <w:lang w:eastAsia="en-AU"/>
        </w:rPr>
        <w:t>(i)</w:t>
      </w:r>
      <w:r w:rsidRPr="007A0E06">
        <w:rPr>
          <w:rFonts w:ascii="Calibri" w:eastAsia="Times New Roman" w:hAnsi="Calibri" w:cs="Calibri"/>
          <w:sz w:val="24"/>
          <w:szCs w:val="24"/>
          <w:lang w:eastAsia="en-AU"/>
        </w:rPr>
        <w:tab/>
      </w:r>
      <w:r w:rsidRPr="007A0E06">
        <w:rPr>
          <w:rFonts w:eastAsia="Times New Roman"/>
          <w:sz w:val="24"/>
          <w:szCs w:val="24"/>
          <w:lang w:eastAsia="en-AU"/>
        </w:rPr>
        <w:t>if subparagraph (b)(i) or (ii) applies—notifies the receiving person orally or by giving the receiving person a notice in printed or electronic form: </w:t>
      </w:r>
    </w:p>
    <w:p w14:paraId="4F5EFE83" w14:textId="77777777" w:rsidR="00E51AA1" w:rsidRPr="007A0E06" w:rsidRDefault="00E51AA1" w:rsidP="00E51AA1">
      <w:pPr>
        <w:spacing w:before="240" w:line="240" w:lineRule="auto"/>
        <w:ind w:left="3390" w:hanging="555"/>
        <w:textAlignment w:val="baseline"/>
        <w:rPr>
          <w:rFonts w:ascii="Segoe UI" w:eastAsia="Times New Roman" w:hAnsi="Segoe UI" w:cs="Segoe UI"/>
          <w:sz w:val="18"/>
          <w:szCs w:val="18"/>
          <w:lang w:eastAsia="en-AU"/>
        </w:rPr>
      </w:pPr>
      <w:r w:rsidRPr="007A0E06">
        <w:rPr>
          <w:rFonts w:eastAsia="Times New Roman"/>
          <w:sz w:val="24"/>
          <w:szCs w:val="24"/>
          <w:lang w:eastAsia="en-AU"/>
        </w:rPr>
        <w:t>(A)</w:t>
      </w:r>
      <w:r w:rsidRPr="007A0E06">
        <w:rPr>
          <w:rFonts w:ascii="Calibri" w:eastAsia="Times New Roman" w:hAnsi="Calibri" w:cs="Calibri"/>
          <w:sz w:val="24"/>
          <w:szCs w:val="24"/>
          <w:lang w:eastAsia="en-AU"/>
        </w:rPr>
        <w:tab/>
      </w:r>
      <w:r w:rsidRPr="007A0E06">
        <w:rPr>
          <w:rFonts w:eastAsia="Times New Roman"/>
          <w:sz w:val="24"/>
          <w:szCs w:val="24"/>
          <w:lang w:eastAsia="en-AU"/>
        </w:rPr>
        <w:t>that the providing person has made the relevant communication available by the electronic means; and </w:t>
      </w:r>
    </w:p>
    <w:p w14:paraId="0A56C6C1" w14:textId="77777777" w:rsidR="00E51AA1" w:rsidRPr="007A0E06" w:rsidRDefault="00E51AA1" w:rsidP="00E51AA1">
      <w:pPr>
        <w:spacing w:before="240" w:line="240" w:lineRule="auto"/>
        <w:ind w:left="3390" w:hanging="555"/>
        <w:textAlignment w:val="baseline"/>
        <w:rPr>
          <w:rFonts w:eastAsia="Times New Roman"/>
          <w:sz w:val="24"/>
          <w:szCs w:val="24"/>
          <w:lang w:eastAsia="en-AU"/>
        </w:rPr>
      </w:pPr>
      <w:r w:rsidRPr="007A0E06">
        <w:rPr>
          <w:rFonts w:eastAsia="Times New Roman"/>
          <w:sz w:val="24"/>
          <w:szCs w:val="24"/>
          <w:lang w:eastAsia="en-AU"/>
        </w:rPr>
        <w:t>(B)</w:t>
      </w:r>
      <w:r w:rsidRPr="007A0E06">
        <w:rPr>
          <w:rFonts w:ascii="Calibri" w:eastAsia="Times New Roman" w:hAnsi="Calibri" w:cs="Calibri"/>
          <w:sz w:val="24"/>
          <w:szCs w:val="24"/>
          <w:lang w:eastAsia="en-AU"/>
        </w:rPr>
        <w:tab/>
      </w:r>
      <w:r w:rsidRPr="007A0E06">
        <w:rPr>
          <w:rFonts w:eastAsia="Times New Roman"/>
          <w:sz w:val="24"/>
          <w:szCs w:val="24"/>
          <w:lang w:eastAsia="en-AU"/>
        </w:rPr>
        <w:t>how the receiving person can obtain the relevant communications through, or by using, the electronic means; and </w:t>
      </w:r>
    </w:p>
    <w:p w14:paraId="3E138173" w14:textId="77777777" w:rsidR="00E51AA1" w:rsidRDefault="00E51AA1" w:rsidP="00E51AA1">
      <w:pPr>
        <w:spacing w:before="240" w:line="240" w:lineRule="auto"/>
        <w:ind w:left="2835" w:hanging="555"/>
        <w:textAlignment w:val="baseline"/>
        <w:rPr>
          <w:rFonts w:eastAsia="Times New Roman"/>
          <w:sz w:val="24"/>
          <w:szCs w:val="24"/>
          <w:lang w:eastAsia="en-AU"/>
        </w:rPr>
      </w:pPr>
      <w:r w:rsidRPr="007A0E06">
        <w:rPr>
          <w:rFonts w:eastAsia="Times New Roman"/>
          <w:sz w:val="24"/>
          <w:szCs w:val="24"/>
          <w:lang w:eastAsia="en-AU"/>
        </w:rPr>
        <w:t>(ii)</w:t>
      </w:r>
      <w:r w:rsidRPr="007A0E06">
        <w:rPr>
          <w:rFonts w:ascii="Calibri" w:eastAsia="Times New Roman" w:hAnsi="Calibri" w:cs="Calibri"/>
          <w:sz w:val="24"/>
          <w:szCs w:val="24"/>
          <w:lang w:eastAsia="en-AU"/>
        </w:rPr>
        <w:tab/>
      </w:r>
      <w:r w:rsidRPr="00DE7B64">
        <w:rPr>
          <w:rFonts w:eastAsia="Times New Roman"/>
          <w:sz w:val="24"/>
          <w:szCs w:val="24"/>
          <w:lang w:eastAsia="en-AU"/>
        </w:rPr>
        <w:t xml:space="preserve">if subparagraph (b)(iii) applies to a relevant communication that is a periodic statement—a notification that the relevant communication is available </w:t>
      </w:r>
      <w:r w:rsidRPr="004E7324">
        <w:rPr>
          <w:rFonts w:eastAsia="Times New Roman"/>
          <w:sz w:val="24"/>
          <w:szCs w:val="24"/>
          <w:lang w:eastAsia="en-AU"/>
        </w:rPr>
        <w:t>is included</w:t>
      </w:r>
      <w:r w:rsidRPr="00DE7B64">
        <w:rPr>
          <w:rFonts w:eastAsia="Times New Roman"/>
          <w:sz w:val="24"/>
          <w:szCs w:val="24"/>
          <w:lang w:eastAsia="en-AU"/>
        </w:rPr>
        <w:t xml:space="preserve"> on the website identified in the notice referred to in sub-subparagraph (b)(iii)(A);</w:t>
      </w:r>
    </w:p>
    <w:p w14:paraId="0D5A007B" w14:textId="77777777" w:rsidR="00E51AA1" w:rsidRPr="007A0E06" w:rsidRDefault="00E51AA1" w:rsidP="00E51AA1">
      <w:pPr>
        <w:spacing w:before="240" w:line="240" w:lineRule="auto"/>
        <w:ind w:left="2835" w:hanging="555"/>
        <w:textAlignment w:val="baseline"/>
        <w:rPr>
          <w:rFonts w:ascii="Segoe UI" w:eastAsia="Times New Roman" w:hAnsi="Segoe UI" w:cs="Segoe UI"/>
          <w:sz w:val="18"/>
          <w:szCs w:val="18"/>
          <w:lang w:eastAsia="en-AU"/>
        </w:rPr>
      </w:pPr>
      <w:r w:rsidRPr="007A0E06">
        <w:rPr>
          <w:rFonts w:eastAsia="Times New Roman"/>
          <w:sz w:val="18"/>
          <w:szCs w:val="18"/>
          <w:lang w:eastAsia="en-AU"/>
        </w:rPr>
        <w:t xml:space="preserve">Note: </w:t>
      </w:r>
      <w:r w:rsidRPr="007A0E06">
        <w:rPr>
          <w:rFonts w:ascii="Calibri" w:eastAsia="Times New Roman" w:hAnsi="Calibri" w:cs="Calibri"/>
          <w:sz w:val="18"/>
          <w:szCs w:val="18"/>
          <w:lang w:eastAsia="en-AU"/>
        </w:rPr>
        <w:tab/>
      </w:r>
      <w:r w:rsidRPr="007A0E06">
        <w:rPr>
          <w:rFonts w:eastAsia="Times New Roman"/>
          <w:sz w:val="18"/>
          <w:szCs w:val="18"/>
          <w:lang w:eastAsia="en-AU"/>
        </w:rPr>
        <w:t>A notification under subparagraph (a)(i) or (ii) must be made each time a relevant communication is made by a nominated electronic means. A standing notice may be given for the purposes of subparagraph (b)(ii) and sub-subparagraph (b)(iii)(A).</w:t>
      </w:r>
    </w:p>
    <w:p w14:paraId="50D13125" w14:textId="14BB7910" w:rsidR="00E51AA1" w:rsidRPr="007A0E06" w:rsidRDefault="00E51AA1" w:rsidP="00E51AA1">
      <w:pPr>
        <w:spacing w:before="240" w:line="240" w:lineRule="auto"/>
        <w:ind w:left="2265" w:hanging="555"/>
        <w:textAlignment w:val="baseline"/>
        <w:rPr>
          <w:rFonts w:ascii="Segoe UI" w:eastAsia="Times New Roman" w:hAnsi="Segoe UI" w:cs="Segoe UI"/>
          <w:sz w:val="18"/>
          <w:szCs w:val="18"/>
          <w:lang w:eastAsia="en-AU"/>
        </w:rPr>
      </w:pPr>
      <w:r w:rsidRPr="007A0E06">
        <w:rPr>
          <w:rFonts w:eastAsia="Times New Roman"/>
          <w:sz w:val="24"/>
          <w:szCs w:val="24"/>
          <w:lang w:eastAsia="en-AU"/>
        </w:rPr>
        <w:t>(b)</w:t>
      </w:r>
      <w:r w:rsidRPr="007A0E06">
        <w:rPr>
          <w:rFonts w:ascii="Calibri" w:eastAsia="Times New Roman" w:hAnsi="Calibri" w:cs="Calibri"/>
          <w:sz w:val="24"/>
          <w:szCs w:val="24"/>
          <w:lang w:eastAsia="en-AU"/>
        </w:rPr>
        <w:tab/>
      </w:r>
      <w:r w:rsidRPr="007A0E06">
        <w:rPr>
          <w:rFonts w:eastAsia="Times New Roman"/>
          <w:sz w:val="24"/>
          <w:szCs w:val="24"/>
          <w:lang w:eastAsia="en-AU"/>
        </w:rPr>
        <w:t>any of the following is satisfied:</w:t>
      </w:r>
    </w:p>
    <w:p w14:paraId="045736B5" w14:textId="77777777" w:rsidR="00E51AA1" w:rsidRPr="007A0E06" w:rsidRDefault="00E51AA1" w:rsidP="00E51AA1">
      <w:pPr>
        <w:spacing w:before="240" w:line="240" w:lineRule="auto"/>
        <w:ind w:left="2835" w:hanging="555"/>
        <w:textAlignment w:val="baseline"/>
        <w:rPr>
          <w:rFonts w:ascii="Segoe UI" w:eastAsia="Times New Roman" w:hAnsi="Segoe UI" w:cs="Segoe UI"/>
          <w:sz w:val="18"/>
          <w:szCs w:val="18"/>
          <w:lang w:eastAsia="en-AU"/>
        </w:rPr>
      </w:pPr>
      <w:r w:rsidRPr="007A0E06">
        <w:rPr>
          <w:rFonts w:eastAsia="Times New Roman"/>
          <w:sz w:val="24"/>
          <w:szCs w:val="24"/>
          <w:lang w:eastAsia="en-AU"/>
        </w:rPr>
        <w:t>(i)</w:t>
      </w:r>
      <w:r w:rsidRPr="007A0E06">
        <w:rPr>
          <w:rFonts w:ascii="Calibri" w:eastAsia="Times New Roman" w:hAnsi="Calibri" w:cs="Calibri"/>
          <w:sz w:val="24"/>
          <w:szCs w:val="24"/>
          <w:lang w:eastAsia="en-AU"/>
        </w:rPr>
        <w:tab/>
      </w:r>
      <w:r w:rsidRPr="007A0E06">
        <w:rPr>
          <w:rFonts w:eastAsia="Times New Roman"/>
          <w:sz w:val="24"/>
          <w:szCs w:val="24"/>
          <w:lang w:eastAsia="en-AU"/>
        </w:rPr>
        <w:t>the receiving person and the providing person have agreed that the relevant communication, or relevant communications of that type, could be made available to the receiving person by the electronic means</w:t>
      </w:r>
      <w:r>
        <w:rPr>
          <w:rFonts w:eastAsia="Times New Roman"/>
          <w:sz w:val="24"/>
          <w:szCs w:val="24"/>
          <w:lang w:eastAsia="en-AU"/>
        </w:rPr>
        <w:t>;</w:t>
      </w:r>
    </w:p>
    <w:p w14:paraId="20DA5E33" w14:textId="77777777" w:rsidR="00E51AA1" w:rsidRPr="007A0E06" w:rsidRDefault="00E51AA1" w:rsidP="00E51AA1">
      <w:pPr>
        <w:spacing w:before="240" w:line="240" w:lineRule="auto"/>
        <w:ind w:left="2835" w:hanging="555"/>
        <w:textAlignment w:val="baseline"/>
        <w:rPr>
          <w:rFonts w:ascii="Segoe UI" w:eastAsia="Times New Roman" w:hAnsi="Segoe UI" w:cs="Segoe UI"/>
          <w:sz w:val="18"/>
          <w:szCs w:val="18"/>
          <w:lang w:eastAsia="en-AU"/>
        </w:rPr>
      </w:pPr>
      <w:r w:rsidRPr="007A0E06">
        <w:rPr>
          <w:rFonts w:eastAsia="Times New Roman"/>
          <w:sz w:val="24"/>
          <w:szCs w:val="24"/>
          <w:lang w:eastAsia="en-AU"/>
        </w:rPr>
        <w:t>(ii)</w:t>
      </w:r>
      <w:r w:rsidRPr="007A0E06">
        <w:rPr>
          <w:rFonts w:ascii="Calibri" w:eastAsia="Times New Roman" w:hAnsi="Calibri" w:cs="Calibri"/>
          <w:sz w:val="24"/>
          <w:szCs w:val="24"/>
          <w:lang w:eastAsia="en-AU"/>
        </w:rPr>
        <w:tab/>
      </w:r>
      <w:r w:rsidRPr="007A0E06">
        <w:rPr>
          <w:rFonts w:eastAsia="Times New Roman"/>
          <w:sz w:val="24"/>
          <w:szCs w:val="24"/>
          <w:lang w:eastAsia="en-AU"/>
        </w:rPr>
        <w:t>the providing person has given the receiving person a notice in printed or electronic form that states that:</w:t>
      </w:r>
    </w:p>
    <w:p w14:paraId="745C96F4" w14:textId="77777777" w:rsidR="00E51AA1" w:rsidRPr="007A0E06" w:rsidRDefault="00E51AA1" w:rsidP="00E51AA1">
      <w:pPr>
        <w:spacing w:before="240" w:line="240" w:lineRule="auto"/>
        <w:ind w:left="3390" w:hanging="555"/>
        <w:textAlignment w:val="baseline"/>
        <w:rPr>
          <w:rFonts w:eastAsia="Times New Roman"/>
          <w:sz w:val="24"/>
          <w:szCs w:val="24"/>
          <w:lang w:eastAsia="en-AU"/>
        </w:rPr>
      </w:pPr>
      <w:r w:rsidRPr="007A0E06">
        <w:rPr>
          <w:rFonts w:eastAsia="Times New Roman"/>
          <w:sz w:val="24"/>
          <w:szCs w:val="24"/>
          <w:lang w:eastAsia="en-AU"/>
        </w:rPr>
        <w:t>(A)</w:t>
      </w:r>
      <w:r w:rsidRPr="007A0E06">
        <w:rPr>
          <w:rFonts w:ascii="Calibri" w:eastAsia="Times New Roman" w:hAnsi="Calibri" w:cs="Calibri"/>
          <w:sz w:val="24"/>
          <w:szCs w:val="24"/>
          <w:lang w:eastAsia="en-AU"/>
        </w:rPr>
        <w:tab/>
      </w:r>
      <w:r w:rsidRPr="007A0E06">
        <w:rPr>
          <w:rFonts w:eastAsia="Times New Roman"/>
          <w:sz w:val="24"/>
          <w:szCs w:val="24"/>
          <w:lang w:eastAsia="en-AU"/>
        </w:rPr>
        <w:t>the providing person may use the electronic means to make the relevant communication, or relevant communications of that type, available to the receiving person unless the receiving person elects, by a means reasonably specified in the notice, not to receive relevant communications by the electronic means; and</w:t>
      </w:r>
    </w:p>
    <w:p w14:paraId="1F17F2F9" w14:textId="77777777" w:rsidR="00E51AA1" w:rsidRPr="007A0E06" w:rsidRDefault="00E51AA1" w:rsidP="00E51AA1">
      <w:pPr>
        <w:spacing w:before="240" w:line="240" w:lineRule="auto"/>
        <w:ind w:left="3390" w:hanging="555"/>
        <w:textAlignment w:val="baseline"/>
        <w:rPr>
          <w:rFonts w:eastAsia="Times New Roman"/>
          <w:sz w:val="24"/>
          <w:szCs w:val="24"/>
          <w:lang w:eastAsia="en-AU"/>
        </w:rPr>
      </w:pPr>
      <w:r w:rsidRPr="007A0E06">
        <w:rPr>
          <w:rFonts w:eastAsia="Times New Roman"/>
          <w:sz w:val="24"/>
          <w:szCs w:val="24"/>
          <w:lang w:eastAsia="en-AU"/>
        </w:rPr>
        <w:t>(B)</w:t>
      </w:r>
      <w:r w:rsidRPr="007A0E06">
        <w:rPr>
          <w:rFonts w:ascii="Calibri" w:eastAsia="Times New Roman" w:hAnsi="Calibri" w:cs="Calibri"/>
          <w:sz w:val="24"/>
          <w:szCs w:val="24"/>
          <w:lang w:eastAsia="en-AU"/>
        </w:rPr>
        <w:tab/>
      </w:r>
      <w:r w:rsidRPr="007A0E06">
        <w:rPr>
          <w:rFonts w:eastAsia="Times New Roman"/>
          <w:sz w:val="24"/>
          <w:szCs w:val="24"/>
          <w:lang w:eastAsia="en-AU"/>
        </w:rPr>
        <w:t>an election referred to in sub-subparagraph (A) will apply to relevant communications made after the election; and</w:t>
      </w:r>
    </w:p>
    <w:p w14:paraId="74D0F652" w14:textId="77777777" w:rsidR="00E51AA1" w:rsidRPr="00CF1F7F" w:rsidRDefault="00E51AA1" w:rsidP="00E51AA1">
      <w:pPr>
        <w:spacing w:before="240" w:line="240" w:lineRule="auto"/>
        <w:ind w:left="3390" w:hanging="555"/>
        <w:textAlignment w:val="baseline"/>
        <w:rPr>
          <w:rFonts w:eastAsia="Times New Roman"/>
          <w:sz w:val="24"/>
          <w:szCs w:val="24"/>
          <w:lang w:eastAsia="en-AU"/>
        </w:rPr>
      </w:pPr>
      <w:r w:rsidRPr="007A0E06">
        <w:rPr>
          <w:rFonts w:eastAsia="Times New Roman"/>
          <w:sz w:val="24"/>
          <w:szCs w:val="24"/>
          <w:lang w:eastAsia="en-AU"/>
        </w:rPr>
        <w:lastRenderedPageBreak/>
        <w:t>(C)</w:t>
      </w:r>
      <w:r w:rsidRPr="007A0E06">
        <w:rPr>
          <w:rFonts w:ascii="Calibri" w:eastAsia="Times New Roman" w:hAnsi="Calibri" w:cs="Calibri"/>
          <w:sz w:val="24"/>
          <w:szCs w:val="24"/>
          <w:lang w:eastAsia="en-AU"/>
        </w:rPr>
        <w:tab/>
      </w:r>
      <w:r w:rsidRPr="007A0E06">
        <w:rPr>
          <w:rFonts w:eastAsia="Times New Roman"/>
          <w:sz w:val="24"/>
          <w:szCs w:val="24"/>
          <w:lang w:eastAsia="en-AU"/>
        </w:rPr>
        <w:t>if the receiving person makes the election within 7 days after the providing person has given the notice, the election will also apply to any relevant communications made in the period between the notice being given and the election being made, provided that the notice need not include such a statement if the providing person has no reasonable grounds for believing that it will make a notification referred to in paragraph (a) in the period of 7 days from the time it gives the notice;</w:t>
      </w:r>
    </w:p>
    <w:p w14:paraId="0F86AD04" w14:textId="4F8F37D9" w:rsidR="00E51AA1" w:rsidRPr="00561329" w:rsidRDefault="00E51AA1" w:rsidP="00E51AA1">
      <w:pPr>
        <w:spacing w:before="240" w:line="240" w:lineRule="auto"/>
        <w:ind w:left="2835" w:hanging="555"/>
        <w:textAlignment w:val="baseline"/>
        <w:rPr>
          <w:rFonts w:eastAsia="Times New Roman"/>
          <w:sz w:val="24"/>
          <w:szCs w:val="24"/>
          <w:lang w:eastAsia="en-AU"/>
        </w:rPr>
      </w:pPr>
      <w:r w:rsidRPr="00561329">
        <w:rPr>
          <w:rFonts w:eastAsia="Times New Roman"/>
          <w:sz w:val="24"/>
          <w:szCs w:val="24"/>
          <w:lang w:eastAsia="en-AU"/>
        </w:rPr>
        <w:t>(iii)</w:t>
      </w:r>
      <w:r w:rsidRPr="00561329">
        <w:rPr>
          <w:rFonts w:ascii="Calibri" w:eastAsia="Times New Roman" w:hAnsi="Calibri" w:cs="Calibri"/>
          <w:sz w:val="24"/>
          <w:szCs w:val="24"/>
          <w:lang w:eastAsia="en-AU"/>
        </w:rPr>
        <w:tab/>
      </w:r>
      <w:r w:rsidRPr="00561329">
        <w:rPr>
          <w:rFonts w:eastAsia="Times New Roman"/>
          <w:sz w:val="24"/>
          <w:szCs w:val="24"/>
          <w:lang w:eastAsia="en-AU"/>
        </w:rPr>
        <w:t>if the providing person is an issuer of interests or shares in an</w:t>
      </w:r>
      <w:r w:rsidR="00950350">
        <w:rPr>
          <w:rFonts w:eastAsia="Times New Roman"/>
          <w:sz w:val="24"/>
          <w:szCs w:val="24"/>
          <w:lang w:eastAsia="en-AU"/>
        </w:rPr>
        <w:t xml:space="preserve"> </w:t>
      </w:r>
      <w:r w:rsidRPr="00561329">
        <w:rPr>
          <w:rFonts w:eastAsia="Times New Roman"/>
          <w:sz w:val="24"/>
          <w:szCs w:val="24"/>
          <w:lang w:eastAsia="en-AU"/>
        </w:rPr>
        <w:t>ETF, or of quoted ED securities, and the relevant communication is a periodic statement:</w:t>
      </w:r>
    </w:p>
    <w:p w14:paraId="3CA8246E" w14:textId="34F2D5F4" w:rsidR="00E51AA1" w:rsidRPr="00561329" w:rsidRDefault="00E51AA1" w:rsidP="00E51AA1">
      <w:pPr>
        <w:spacing w:before="240" w:line="240" w:lineRule="auto"/>
        <w:ind w:left="3390" w:hanging="555"/>
        <w:textAlignment w:val="baseline"/>
        <w:rPr>
          <w:rFonts w:eastAsia="Times New Roman"/>
          <w:sz w:val="24"/>
          <w:szCs w:val="24"/>
          <w:lang w:eastAsia="en-AU"/>
        </w:rPr>
      </w:pPr>
      <w:r w:rsidRPr="00561329">
        <w:rPr>
          <w:rFonts w:eastAsia="Times New Roman"/>
          <w:sz w:val="24"/>
          <w:szCs w:val="24"/>
          <w:lang w:eastAsia="en-AU"/>
        </w:rPr>
        <w:t>(A)</w:t>
      </w:r>
      <w:r w:rsidRPr="00561329">
        <w:rPr>
          <w:rFonts w:ascii="Calibri" w:eastAsia="Times New Roman" w:hAnsi="Calibri" w:cs="Calibri"/>
          <w:sz w:val="24"/>
          <w:szCs w:val="24"/>
          <w:lang w:eastAsia="en-AU"/>
        </w:rPr>
        <w:tab/>
      </w:r>
      <w:r w:rsidRPr="00561329">
        <w:rPr>
          <w:rFonts w:eastAsia="Times New Roman"/>
          <w:sz w:val="24"/>
          <w:szCs w:val="24"/>
          <w:lang w:eastAsia="en-AU"/>
        </w:rPr>
        <w:t>the providing person has given the receiving person a notice in printed or electronic form that explains how the receiving person can access their periodic statements by the electronic means and that states that, after the date of the notice, notifications of when a periodic statement becomes available will be made on (as applicable) the website for market announcements operated by ASX or Cboe (as applicable), the issuer’s website or the website of the registry service provider for the issuer; and</w:t>
      </w:r>
    </w:p>
    <w:p w14:paraId="198A6FB9" w14:textId="77777777" w:rsidR="00E51AA1" w:rsidRPr="00561329" w:rsidRDefault="00E51AA1" w:rsidP="00E51AA1">
      <w:pPr>
        <w:spacing w:before="240" w:line="240" w:lineRule="auto"/>
        <w:ind w:left="3390" w:hanging="555"/>
        <w:textAlignment w:val="baseline"/>
        <w:rPr>
          <w:rFonts w:eastAsia="Times New Roman"/>
          <w:sz w:val="24"/>
          <w:szCs w:val="24"/>
          <w:lang w:eastAsia="en-AU"/>
        </w:rPr>
      </w:pPr>
      <w:r w:rsidRPr="00561329">
        <w:rPr>
          <w:rFonts w:eastAsia="Times New Roman"/>
          <w:sz w:val="24"/>
          <w:szCs w:val="24"/>
          <w:lang w:eastAsia="en-AU"/>
        </w:rPr>
        <w:t>(B)</w:t>
      </w:r>
      <w:r w:rsidRPr="00561329">
        <w:rPr>
          <w:rFonts w:ascii="Calibri" w:eastAsia="Times New Roman" w:hAnsi="Calibri" w:cs="Calibri"/>
          <w:sz w:val="24"/>
          <w:szCs w:val="24"/>
          <w:lang w:eastAsia="en-AU"/>
        </w:rPr>
        <w:tab/>
      </w:r>
      <w:r w:rsidRPr="00561329">
        <w:rPr>
          <w:rFonts w:eastAsia="Times New Roman"/>
          <w:sz w:val="24"/>
          <w:szCs w:val="24"/>
          <w:lang w:eastAsia="en-AU"/>
        </w:rPr>
        <w:t>unless the receiving person has subsequently notified the providing person that they wish to access their periodic statements by the electronic means and to be notified by way of an announcement on the website referred to in the notice under sub-subparagraph (A) when a periodic statement is available—the receiving person has not notified the providing person before 30 November 2024 that they wish to receive periodic statements in hard copy form;</w:t>
      </w:r>
    </w:p>
    <w:p w14:paraId="6EECC4ED" w14:textId="77777777" w:rsidR="00E51AA1" w:rsidRPr="007A0E06" w:rsidRDefault="00E51AA1" w:rsidP="00E51AA1">
      <w:pPr>
        <w:spacing w:before="240" w:line="240" w:lineRule="auto"/>
        <w:ind w:left="2265" w:hanging="556"/>
        <w:textAlignment w:val="baseline"/>
        <w:rPr>
          <w:rFonts w:ascii="Segoe UI" w:eastAsia="Times New Roman" w:hAnsi="Segoe UI" w:cs="Segoe UI"/>
          <w:sz w:val="18"/>
          <w:szCs w:val="18"/>
          <w:lang w:eastAsia="en-AU"/>
        </w:rPr>
      </w:pPr>
      <w:r w:rsidRPr="007A0E06">
        <w:rPr>
          <w:rFonts w:eastAsia="Times New Roman"/>
          <w:sz w:val="24"/>
          <w:szCs w:val="24"/>
          <w:lang w:eastAsia="en-AU"/>
        </w:rPr>
        <w:t>(c)</w:t>
      </w:r>
      <w:r w:rsidRPr="007A0E06">
        <w:rPr>
          <w:rFonts w:ascii="Calibri" w:eastAsia="Times New Roman" w:hAnsi="Calibri" w:cs="Calibri"/>
          <w:sz w:val="24"/>
          <w:szCs w:val="24"/>
          <w:lang w:eastAsia="en-AU"/>
        </w:rPr>
        <w:tab/>
      </w:r>
      <w:r w:rsidRPr="007A0E06">
        <w:rPr>
          <w:rFonts w:eastAsia="Times New Roman"/>
          <w:sz w:val="24"/>
          <w:szCs w:val="24"/>
          <w:lang w:eastAsia="en-AU"/>
        </w:rPr>
        <w:t>if subparagraph (b)(ii) applies—the receiving person has not made an election referred to in subparagraph (b)(ii) as at the later of:</w:t>
      </w:r>
    </w:p>
    <w:p w14:paraId="0C4BA532" w14:textId="77777777" w:rsidR="00E51AA1" w:rsidRPr="007A0E06" w:rsidRDefault="00E51AA1" w:rsidP="00E51AA1">
      <w:pPr>
        <w:spacing w:before="240" w:line="240" w:lineRule="auto"/>
        <w:ind w:left="2835" w:hanging="556"/>
        <w:textAlignment w:val="baseline"/>
        <w:rPr>
          <w:rFonts w:ascii="Segoe UI" w:eastAsia="Times New Roman" w:hAnsi="Segoe UI" w:cs="Segoe UI"/>
          <w:sz w:val="18"/>
          <w:szCs w:val="18"/>
          <w:lang w:eastAsia="en-AU"/>
        </w:rPr>
      </w:pPr>
      <w:r w:rsidRPr="007A0E06">
        <w:rPr>
          <w:rFonts w:eastAsia="Times New Roman"/>
          <w:sz w:val="24"/>
          <w:szCs w:val="24"/>
          <w:lang w:eastAsia="en-AU"/>
        </w:rPr>
        <w:t>(i)</w:t>
      </w:r>
      <w:r w:rsidRPr="007A0E06">
        <w:rPr>
          <w:rFonts w:ascii="Calibri" w:eastAsia="Times New Roman" w:hAnsi="Calibri" w:cs="Calibri"/>
          <w:sz w:val="24"/>
          <w:szCs w:val="24"/>
          <w:lang w:eastAsia="en-AU"/>
        </w:rPr>
        <w:tab/>
      </w:r>
      <w:r w:rsidRPr="007A0E06">
        <w:rPr>
          <w:rFonts w:eastAsia="Times New Roman"/>
          <w:sz w:val="24"/>
          <w:szCs w:val="24"/>
          <w:lang w:eastAsia="en-AU"/>
        </w:rPr>
        <w:t>the time the providing person gives the notice referred to in paragraph (a);</w:t>
      </w:r>
    </w:p>
    <w:p w14:paraId="4D0D349F" w14:textId="77777777" w:rsidR="00E51AA1" w:rsidRPr="007A0E06" w:rsidRDefault="00E51AA1" w:rsidP="00E51AA1">
      <w:pPr>
        <w:spacing w:before="240" w:line="240" w:lineRule="auto"/>
        <w:ind w:left="2835" w:hanging="556"/>
        <w:textAlignment w:val="baseline"/>
        <w:rPr>
          <w:rFonts w:ascii="Segoe UI" w:eastAsia="Times New Roman" w:hAnsi="Segoe UI" w:cs="Segoe UI"/>
          <w:sz w:val="18"/>
          <w:szCs w:val="18"/>
          <w:lang w:eastAsia="en-AU"/>
        </w:rPr>
      </w:pPr>
      <w:r w:rsidRPr="007A0E06">
        <w:rPr>
          <w:rFonts w:eastAsia="Times New Roman"/>
          <w:sz w:val="24"/>
          <w:szCs w:val="24"/>
          <w:lang w:eastAsia="en-AU"/>
        </w:rPr>
        <w:t>(ii)</w:t>
      </w:r>
      <w:r w:rsidRPr="007A0E06">
        <w:rPr>
          <w:rFonts w:ascii="Calibri" w:eastAsia="Times New Roman" w:hAnsi="Calibri" w:cs="Calibri"/>
          <w:sz w:val="24"/>
          <w:szCs w:val="24"/>
          <w:lang w:eastAsia="en-AU"/>
        </w:rPr>
        <w:tab/>
      </w:r>
      <w:r w:rsidRPr="007A0E06">
        <w:rPr>
          <w:rFonts w:eastAsia="Times New Roman"/>
          <w:sz w:val="24"/>
          <w:szCs w:val="24"/>
          <w:lang w:eastAsia="en-AU"/>
        </w:rPr>
        <w:t>7 days after the providing person gives the notice referred to in subparagraph (b)(ii);</w:t>
      </w:r>
    </w:p>
    <w:p w14:paraId="0EA8A037" w14:textId="77777777" w:rsidR="00E51AA1" w:rsidRDefault="00E51AA1" w:rsidP="00E51AA1">
      <w:pPr>
        <w:spacing w:before="240" w:line="240" w:lineRule="auto"/>
        <w:ind w:left="3391" w:hanging="556"/>
        <w:textAlignment w:val="baseline"/>
        <w:rPr>
          <w:rFonts w:eastAsia="Times New Roman"/>
          <w:sz w:val="18"/>
          <w:szCs w:val="18"/>
          <w:lang w:eastAsia="en-AU"/>
        </w:rPr>
      </w:pPr>
      <w:r w:rsidRPr="007A0E06">
        <w:rPr>
          <w:rFonts w:eastAsia="Times New Roman"/>
          <w:sz w:val="18"/>
          <w:szCs w:val="18"/>
          <w:lang w:eastAsia="en-AU"/>
        </w:rPr>
        <w:lastRenderedPageBreak/>
        <w:t xml:space="preserve">Note: </w:t>
      </w:r>
      <w:r w:rsidRPr="007A0E06">
        <w:rPr>
          <w:rFonts w:ascii="Calibri" w:eastAsia="Times New Roman" w:hAnsi="Calibri" w:cs="Calibri"/>
          <w:sz w:val="18"/>
          <w:szCs w:val="18"/>
          <w:lang w:eastAsia="en-AU"/>
        </w:rPr>
        <w:tab/>
      </w:r>
      <w:r w:rsidRPr="007A0E06">
        <w:rPr>
          <w:rFonts w:eastAsia="Times New Roman"/>
          <w:sz w:val="18"/>
          <w:szCs w:val="18"/>
          <w:lang w:eastAsia="en-AU"/>
        </w:rPr>
        <w:t>This means that if subparagraph (b)(ii) applies, it can only be determined whether a relevant communication has been given by a nominated electronic means as at the later of these times.</w:t>
      </w:r>
    </w:p>
    <w:p w14:paraId="76171965" w14:textId="77777777" w:rsidR="00E51AA1" w:rsidRPr="007A0E06" w:rsidRDefault="00E51AA1" w:rsidP="00E51AA1">
      <w:pPr>
        <w:spacing w:before="240" w:line="240" w:lineRule="auto"/>
        <w:ind w:left="2268" w:hanging="567"/>
        <w:textAlignment w:val="baseline"/>
        <w:rPr>
          <w:rFonts w:ascii="Segoe UI" w:eastAsia="Times New Roman" w:hAnsi="Segoe UI" w:cs="Segoe UI"/>
          <w:sz w:val="18"/>
          <w:szCs w:val="18"/>
          <w:lang w:eastAsia="en-AU"/>
        </w:rPr>
      </w:pPr>
      <w:r w:rsidRPr="007A0E06">
        <w:rPr>
          <w:rFonts w:eastAsia="Times New Roman"/>
          <w:sz w:val="24"/>
          <w:szCs w:val="24"/>
          <w:lang w:eastAsia="en-AU"/>
        </w:rPr>
        <w:t>(d)</w:t>
      </w:r>
      <w:r w:rsidRPr="007A0E06">
        <w:rPr>
          <w:rFonts w:ascii="Calibri" w:eastAsia="Times New Roman" w:hAnsi="Calibri" w:cs="Calibri"/>
          <w:sz w:val="24"/>
          <w:szCs w:val="24"/>
          <w:lang w:eastAsia="en-AU"/>
        </w:rPr>
        <w:tab/>
      </w:r>
      <w:r w:rsidRPr="007A0E06">
        <w:rPr>
          <w:rFonts w:eastAsia="Times New Roman"/>
          <w:sz w:val="24"/>
          <w:szCs w:val="24"/>
          <w:lang w:eastAsia="en-AU"/>
        </w:rPr>
        <w:t>if the providing person gives a notice referred to in paragraph (a) or subparagraph (b)(ii</w:t>
      </w:r>
      <w:r w:rsidRPr="00561329">
        <w:rPr>
          <w:rFonts w:eastAsia="Times New Roman"/>
          <w:sz w:val="24"/>
          <w:szCs w:val="24"/>
          <w:lang w:eastAsia="en-AU"/>
        </w:rPr>
        <w:t xml:space="preserve">) </w:t>
      </w:r>
      <w:r w:rsidRPr="00EA183D">
        <w:rPr>
          <w:rFonts w:eastAsia="Times New Roman"/>
          <w:sz w:val="24"/>
          <w:szCs w:val="24"/>
          <w:lang w:eastAsia="en-AU"/>
        </w:rPr>
        <w:t xml:space="preserve">or (iii) </w:t>
      </w:r>
      <w:r w:rsidRPr="009C19B5">
        <w:rPr>
          <w:rFonts w:eastAsia="Times New Roman"/>
          <w:sz w:val="24"/>
          <w:szCs w:val="24"/>
          <w:lang w:eastAsia="en-AU"/>
        </w:rPr>
        <w:t>in</w:t>
      </w:r>
      <w:r w:rsidRPr="00561329">
        <w:rPr>
          <w:rFonts w:eastAsia="Times New Roman"/>
          <w:sz w:val="24"/>
          <w:szCs w:val="24"/>
          <w:lang w:eastAsia="en-AU"/>
        </w:rPr>
        <w:t xml:space="preserve"> </w:t>
      </w:r>
      <w:r w:rsidRPr="007A0E06">
        <w:rPr>
          <w:rFonts w:eastAsia="Times New Roman"/>
          <w:sz w:val="24"/>
          <w:szCs w:val="24"/>
          <w:lang w:eastAsia="en-AU"/>
        </w:rPr>
        <w:t>printed or electronic form, the providing person gives the notice to the receiving person:</w:t>
      </w:r>
    </w:p>
    <w:p w14:paraId="6F363977" w14:textId="77777777" w:rsidR="00E51AA1" w:rsidRPr="007A0E06" w:rsidRDefault="00E51AA1" w:rsidP="00E51AA1">
      <w:pPr>
        <w:spacing w:before="240" w:line="240" w:lineRule="auto"/>
        <w:ind w:left="2835" w:hanging="556"/>
        <w:textAlignment w:val="baseline"/>
        <w:rPr>
          <w:rFonts w:ascii="Segoe UI" w:eastAsia="Times New Roman" w:hAnsi="Segoe UI" w:cs="Segoe UI"/>
          <w:sz w:val="18"/>
          <w:szCs w:val="18"/>
          <w:lang w:eastAsia="en-AU"/>
        </w:rPr>
      </w:pPr>
      <w:r w:rsidRPr="007A0E06">
        <w:rPr>
          <w:rFonts w:eastAsia="Times New Roman"/>
          <w:sz w:val="24"/>
          <w:szCs w:val="24"/>
          <w:lang w:eastAsia="en-AU"/>
        </w:rPr>
        <w:t>(i)</w:t>
      </w:r>
      <w:r w:rsidRPr="007A0E06">
        <w:rPr>
          <w:rFonts w:ascii="Calibri" w:eastAsia="Times New Roman" w:hAnsi="Calibri" w:cs="Calibri"/>
          <w:sz w:val="24"/>
          <w:szCs w:val="24"/>
          <w:lang w:eastAsia="en-AU"/>
        </w:rPr>
        <w:tab/>
      </w:r>
      <w:r w:rsidRPr="007A0E06">
        <w:rPr>
          <w:rFonts w:eastAsia="Times New Roman"/>
          <w:sz w:val="24"/>
          <w:szCs w:val="24"/>
          <w:lang w:eastAsia="en-AU"/>
        </w:rPr>
        <w:t>personally; or</w:t>
      </w:r>
    </w:p>
    <w:p w14:paraId="0E477B27" w14:textId="77777777" w:rsidR="00E51AA1" w:rsidRPr="007A0E06" w:rsidRDefault="00E51AA1" w:rsidP="00E51AA1">
      <w:pPr>
        <w:spacing w:before="240" w:line="240" w:lineRule="auto"/>
        <w:ind w:left="2835" w:hanging="556"/>
        <w:textAlignment w:val="baseline"/>
        <w:rPr>
          <w:rFonts w:ascii="Segoe UI" w:eastAsia="Times New Roman" w:hAnsi="Segoe UI" w:cs="Segoe UI"/>
          <w:sz w:val="18"/>
          <w:szCs w:val="18"/>
          <w:lang w:eastAsia="en-AU"/>
        </w:rPr>
      </w:pPr>
      <w:r w:rsidRPr="007A0E06">
        <w:rPr>
          <w:rFonts w:eastAsia="Times New Roman"/>
          <w:sz w:val="24"/>
          <w:szCs w:val="24"/>
          <w:lang w:eastAsia="en-AU"/>
        </w:rPr>
        <w:t>(ii)</w:t>
      </w:r>
      <w:r w:rsidRPr="007A0E06">
        <w:rPr>
          <w:rFonts w:ascii="Calibri" w:eastAsia="Times New Roman" w:hAnsi="Calibri" w:cs="Calibri"/>
          <w:sz w:val="24"/>
          <w:szCs w:val="24"/>
          <w:lang w:eastAsia="en-AU"/>
        </w:rPr>
        <w:tab/>
      </w:r>
      <w:r w:rsidRPr="007A0E06">
        <w:rPr>
          <w:rFonts w:eastAsia="Times New Roman"/>
          <w:sz w:val="24"/>
          <w:szCs w:val="24"/>
          <w:lang w:eastAsia="en-AU"/>
        </w:rPr>
        <w:t>by sending the notice to the receiving person at an address (including an electronic address) or fax number nominated by the receiving person; or</w:t>
      </w:r>
    </w:p>
    <w:p w14:paraId="674C3074" w14:textId="77777777" w:rsidR="00E51AA1" w:rsidRPr="007A0E06" w:rsidRDefault="00E51AA1" w:rsidP="00E51AA1">
      <w:pPr>
        <w:spacing w:before="240" w:line="240" w:lineRule="auto"/>
        <w:ind w:left="2835" w:hanging="556"/>
        <w:textAlignment w:val="baseline"/>
        <w:rPr>
          <w:rFonts w:ascii="Segoe UI" w:eastAsia="Times New Roman" w:hAnsi="Segoe UI" w:cs="Segoe UI"/>
          <w:sz w:val="18"/>
          <w:szCs w:val="18"/>
          <w:lang w:eastAsia="en-AU"/>
        </w:rPr>
      </w:pPr>
      <w:r w:rsidRPr="007A0E06">
        <w:rPr>
          <w:rFonts w:eastAsia="Times New Roman"/>
          <w:sz w:val="24"/>
          <w:szCs w:val="24"/>
          <w:lang w:eastAsia="en-AU"/>
        </w:rPr>
        <w:t>(iii)</w:t>
      </w:r>
      <w:r w:rsidRPr="007A0E06">
        <w:rPr>
          <w:rFonts w:ascii="Calibri" w:eastAsia="Times New Roman" w:hAnsi="Calibri" w:cs="Calibri"/>
          <w:sz w:val="24"/>
          <w:szCs w:val="24"/>
          <w:lang w:eastAsia="en-AU"/>
        </w:rPr>
        <w:tab/>
      </w:r>
      <w:r w:rsidRPr="007A0E06">
        <w:rPr>
          <w:rFonts w:eastAsia="Times New Roman"/>
          <w:sz w:val="24"/>
          <w:szCs w:val="24"/>
          <w:lang w:eastAsia="en-AU"/>
        </w:rPr>
        <w:t>by making the notice available to the receiving person in any way that is agreed to by the receiving person; or</w:t>
      </w:r>
    </w:p>
    <w:p w14:paraId="70EBAF33" w14:textId="3AF17129" w:rsidR="00E51AA1" w:rsidRDefault="00E51AA1" w:rsidP="00E51AA1">
      <w:pPr>
        <w:spacing w:before="240" w:line="240" w:lineRule="auto"/>
        <w:ind w:left="2835" w:hanging="556"/>
        <w:textAlignment w:val="baseline"/>
        <w:rPr>
          <w:rFonts w:eastAsia="Times New Roman"/>
          <w:sz w:val="24"/>
          <w:szCs w:val="24"/>
          <w:lang w:eastAsia="en-AU"/>
        </w:rPr>
      </w:pPr>
      <w:r w:rsidRPr="007A0E06">
        <w:rPr>
          <w:rFonts w:eastAsia="Times New Roman"/>
          <w:sz w:val="24"/>
          <w:szCs w:val="24"/>
          <w:lang w:eastAsia="en-AU"/>
        </w:rPr>
        <w:t>(iv)</w:t>
      </w:r>
      <w:r w:rsidRPr="007A0E06">
        <w:rPr>
          <w:rFonts w:ascii="Calibri" w:eastAsia="Times New Roman" w:hAnsi="Calibri" w:cs="Calibri"/>
          <w:sz w:val="24"/>
          <w:szCs w:val="24"/>
          <w:lang w:eastAsia="en-AU"/>
        </w:rPr>
        <w:tab/>
      </w:r>
      <w:r w:rsidRPr="007A0E06">
        <w:rPr>
          <w:rFonts w:eastAsia="Times New Roman"/>
          <w:sz w:val="24"/>
          <w:szCs w:val="24"/>
          <w:lang w:eastAsia="en-AU"/>
        </w:rPr>
        <w:t>if the providing person is a trustee of a standard employer-sponsored fund (</w:t>
      </w:r>
      <w:r w:rsidRPr="007A0E06">
        <w:rPr>
          <w:rFonts w:eastAsia="Times New Roman"/>
          <w:b/>
          <w:bCs/>
          <w:i/>
          <w:iCs/>
          <w:sz w:val="24"/>
          <w:szCs w:val="24"/>
          <w:lang w:eastAsia="en-AU"/>
        </w:rPr>
        <w:t>relevant fund</w:t>
      </w:r>
      <w:r w:rsidRPr="007A0E06">
        <w:rPr>
          <w:rFonts w:eastAsia="Times New Roman"/>
          <w:sz w:val="24"/>
          <w:szCs w:val="24"/>
          <w:lang w:eastAsia="en-AU"/>
        </w:rPr>
        <w:t>) by sending the notice to an electronic address provided to the providing person or another trustee of a standard employer-sponsored fund by the receiving person’s employer (as at the time the address was provided) if the following are satisfied:</w:t>
      </w:r>
    </w:p>
    <w:p w14:paraId="1CAD284C" w14:textId="77777777" w:rsidR="00E51AA1" w:rsidRPr="007A0E06" w:rsidRDefault="00E51AA1" w:rsidP="00E51AA1">
      <w:pPr>
        <w:spacing w:before="240" w:line="240" w:lineRule="auto"/>
        <w:ind w:left="3390" w:hanging="556"/>
        <w:textAlignment w:val="baseline"/>
        <w:rPr>
          <w:rFonts w:ascii="Segoe UI" w:eastAsia="Times New Roman" w:hAnsi="Segoe UI" w:cs="Segoe UI"/>
          <w:sz w:val="18"/>
          <w:szCs w:val="18"/>
          <w:lang w:eastAsia="en-AU"/>
        </w:rPr>
      </w:pPr>
      <w:r w:rsidRPr="007A0E06">
        <w:rPr>
          <w:rFonts w:eastAsia="Times New Roman"/>
          <w:sz w:val="24"/>
          <w:szCs w:val="24"/>
          <w:lang w:eastAsia="en-AU"/>
        </w:rPr>
        <w:t>(A)</w:t>
      </w:r>
      <w:r w:rsidRPr="007A0E06">
        <w:rPr>
          <w:rFonts w:ascii="Calibri" w:eastAsia="Times New Roman" w:hAnsi="Calibri" w:cs="Calibri"/>
          <w:sz w:val="24"/>
          <w:szCs w:val="24"/>
          <w:lang w:eastAsia="en-AU"/>
        </w:rPr>
        <w:tab/>
      </w:r>
      <w:r w:rsidRPr="007A0E06">
        <w:rPr>
          <w:rFonts w:eastAsia="Times New Roman"/>
          <w:sz w:val="24"/>
          <w:szCs w:val="24"/>
          <w:lang w:eastAsia="en-AU"/>
        </w:rPr>
        <w:t>section 1015C, 1017B, 1017D or 1017DA applies to the giving of the relevant communication;</w:t>
      </w:r>
    </w:p>
    <w:p w14:paraId="39EFAD52" w14:textId="77777777" w:rsidR="00E51AA1" w:rsidRDefault="00E51AA1" w:rsidP="00E51AA1">
      <w:pPr>
        <w:spacing w:before="240" w:line="240" w:lineRule="auto"/>
        <w:ind w:left="3390" w:hanging="556"/>
        <w:textAlignment w:val="baseline"/>
        <w:rPr>
          <w:rFonts w:eastAsia="Times New Roman"/>
          <w:sz w:val="24"/>
          <w:szCs w:val="24"/>
          <w:lang w:eastAsia="en-AU"/>
        </w:rPr>
      </w:pPr>
      <w:r w:rsidRPr="007A0E06">
        <w:rPr>
          <w:rFonts w:eastAsia="Times New Roman"/>
          <w:sz w:val="24"/>
          <w:szCs w:val="24"/>
          <w:lang w:eastAsia="en-AU"/>
        </w:rPr>
        <w:t>(B)</w:t>
      </w:r>
      <w:r w:rsidRPr="007A0E06">
        <w:rPr>
          <w:rFonts w:ascii="Calibri" w:eastAsia="Times New Roman" w:hAnsi="Calibri" w:cs="Calibri"/>
          <w:sz w:val="24"/>
          <w:szCs w:val="24"/>
          <w:lang w:eastAsia="en-AU"/>
        </w:rPr>
        <w:tab/>
      </w:r>
      <w:r w:rsidRPr="007A0E06">
        <w:rPr>
          <w:rFonts w:eastAsia="Times New Roman"/>
          <w:sz w:val="24"/>
          <w:szCs w:val="24"/>
          <w:lang w:eastAsia="en-AU"/>
        </w:rPr>
        <w:t xml:space="preserve">the employer contributes, or has contributed, to the relevant fund for the benefit of the receiving person in the absence of there being a chosen fund (within the meaning of the </w:t>
      </w:r>
      <w:r w:rsidRPr="00FD24A2">
        <w:rPr>
          <w:rFonts w:eastAsia="Times New Roman"/>
          <w:i/>
          <w:iCs/>
          <w:sz w:val="24"/>
          <w:szCs w:val="24"/>
          <w:lang w:eastAsia="en-AU"/>
        </w:rPr>
        <w:t>Superannuation Guarantee (Administration) Act 1992</w:t>
      </w:r>
      <w:r w:rsidRPr="007A0E06">
        <w:rPr>
          <w:rFonts w:eastAsia="Times New Roman"/>
          <w:sz w:val="24"/>
          <w:szCs w:val="24"/>
          <w:lang w:eastAsia="en-AU"/>
        </w:rPr>
        <w:t>) for the receiving person;</w:t>
      </w:r>
    </w:p>
    <w:p w14:paraId="3AD90818" w14:textId="77777777" w:rsidR="00E51AA1" w:rsidRDefault="00E51AA1" w:rsidP="00E51AA1">
      <w:pPr>
        <w:spacing w:before="240" w:line="240" w:lineRule="auto"/>
        <w:ind w:left="3390" w:hanging="556"/>
        <w:textAlignment w:val="baseline"/>
        <w:rPr>
          <w:rFonts w:eastAsia="Times New Roman"/>
          <w:sz w:val="24"/>
          <w:szCs w:val="24"/>
          <w:lang w:eastAsia="en-AU"/>
        </w:rPr>
      </w:pPr>
      <w:r w:rsidRPr="007A0E06">
        <w:rPr>
          <w:rFonts w:eastAsia="Times New Roman"/>
          <w:sz w:val="24"/>
          <w:szCs w:val="24"/>
          <w:lang w:eastAsia="en-AU"/>
        </w:rPr>
        <w:t>(C)</w:t>
      </w:r>
      <w:r w:rsidRPr="007A0E06">
        <w:rPr>
          <w:rFonts w:ascii="Calibri" w:eastAsia="Times New Roman" w:hAnsi="Calibri" w:cs="Calibri"/>
          <w:sz w:val="24"/>
          <w:szCs w:val="24"/>
          <w:lang w:eastAsia="en-AU"/>
        </w:rPr>
        <w:tab/>
      </w:r>
      <w:r w:rsidRPr="007A0E06">
        <w:rPr>
          <w:rFonts w:eastAsia="Times New Roman"/>
          <w:sz w:val="24"/>
          <w:szCs w:val="24"/>
          <w:lang w:eastAsia="en-AU"/>
        </w:rPr>
        <w:t>the employer provided the electronic address as part of providing contact details for the receiving person;</w:t>
      </w:r>
    </w:p>
    <w:p w14:paraId="33184A60" w14:textId="77777777" w:rsidR="00E51AA1" w:rsidRDefault="00E51AA1" w:rsidP="00E51AA1">
      <w:pPr>
        <w:spacing w:before="240" w:line="240" w:lineRule="auto"/>
        <w:ind w:left="3390" w:hanging="556"/>
        <w:textAlignment w:val="baseline"/>
        <w:rPr>
          <w:rFonts w:eastAsia="Times New Roman"/>
          <w:sz w:val="24"/>
          <w:szCs w:val="24"/>
          <w:lang w:eastAsia="en-AU"/>
        </w:rPr>
      </w:pPr>
      <w:r w:rsidRPr="007A0E06">
        <w:rPr>
          <w:rFonts w:eastAsia="Times New Roman"/>
          <w:sz w:val="24"/>
          <w:szCs w:val="24"/>
          <w:lang w:eastAsia="en-AU"/>
        </w:rPr>
        <w:t>(D)</w:t>
      </w:r>
      <w:r w:rsidRPr="007A0E06">
        <w:rPr>
          <w:rFonts w:ascii="Calibri" w:eastAsia="Times New Roman" w:hAnsi="Calibri" w:cs="Calibri"/>
          <w:sz w:val="24"/>
          <w:szCs w:val="24"/>
          <w:lang w:eastAsia="en-AU"/>
        </w:rPr>
        <w:tab/>
      </w:r>
      <w:r w:rsidRPr="007A0E06">
        <w:rPr>
          <w:rFonts w:eastAsia="Times New Roman"/>
          <w:sz w:val="24"/>
          <w:szCs w:val="24"/>
          <w:lang w:eastAsia="en-AU"/>
        </w:rPr>
        <w:t>the notice is accompanied by a statement that, if requested, the providing person will send the notice and other communications to another electronic or postal address nominated by the receiving person;</w:t>
      </w:r>
    </w:p>
    <w:p w14:paraId="45EA0D8E" w14:textId="77777777" w:rsidR="00E51AA1" w:rsidRDefault="00E51AA1" w:rsidP="00E51AA1">
      <w:pPr>
        <w:spacing w:before="240" w:line="240" w:lineRule="auto"/>
        <w:ind w:left="3390" w:hanging="556"/>
        <w:textAlignment w:val="baseline"/>
        <w:rPr>
          <w:rFonts w:eastAsia="Times New Roman"/>
          <w:sz w:val="24"/>
          <w:szCs w:val="24"/>
          <w:lang w:eastAsia="en-AU"/>
        </w:rPr>
      </w:pPr>
      <w:r w:rsidRPr="007A0E06">
        <w:rPr>
          <w:rFonts w:eastAsia="Times New Roman"/>
          <w:sz w:val="24"/>
          <w:szCs w:val="24"/>
          <w:lang w:eastAsia="en-AU"/>
        </w:rPr>
        <w:t>(E)</w:t>
      </w:r>
      <w:r w:rsidRPr="007A0E06">
        <w:rPr>
          <w:rFonts w:ascii="Calibri" w:eastAsia="Times New Roman" w:hAnsi="Calibri" w:cs="Calibri"/>
          <w:sz w:val="24"/>
          <w:szCs w:val="24"/>
          <w:lang w:eastAsia="en-AU"/>
        </w:rPr>
        <w:tab/>
      </w:r>
      <w:r w:rsidRPr="007A0E06">
        <w:rPr>
          <w:rFonts w:eastAsia="Times New Roman"/>
          <w:sz w:val="24"/>
          <w:szCs w:val="24"/>
          <w:lang w:eastAsia="en-AU"/>
        </w:rPr>
        <w:t>the receiving person has not requested that the providing person send the notice to another electronic or postal address;</w:t>
      </w:r>
    </w:p>
    <w:p w14:paraId="3F16E1C5" w14:textId="77777777" w:rsidR="00E51AA1" w:rsidRDefault="00E51AA1" w:rsidP="00E51AA1">
      <w:pPr>
        <w:spacing w:before="240" w:line="240" w:lineRule="auto"/>
        <w:ind w:left="3390" w:hanging="556"/>
        <w:textAlignment w:val="baseline"/>
        <w:rPr>
          <w:rFonts w:eastAsia="Times New Roman"/>
          <w:sz w:val="24"/>
          <w:szCs w:val="24"/>
          <w:lang w:eastAsia="en-AU"/>
        </w:rPr>
      </w:pPr>
      <w:r w:rsidRPr="007A0E06">
        <w:rPr>
          <w:rFonts w:eastAsia="Times New Roman"/>
          <w:sz w:val="24"/>
          <w:szCs w:val="24"/>
          <w:lang w:eastAsia="en-AU"/>
        </w:rPr>
        <w:t>(F)</w:t>
      </w:r>
      <w:r w:rsidRPr="007A0E06">
        <w:rPr>
          <w:rFonts w:ascii="Calibri" w:eastAsia="Times New Roman" w:hAnsi="Calibri" w:cs="Calibri"/>
          <w:sz w:val="24"/>
          <w:szCs w:val="24"/>
          <w:lang w:eastAsia="en-AU"/>
        </w:rPr>
        <w:tab/>
      </w:r>
      <w:r w:rsidRPr="007A0E06">
        <w:rPr>
          <w:rFonts w:eastAsia="Times New Roman"/>
          <w:sz w:val="24"/>
          <w:szCs w:val="24"/>
          <w:lang w:eastAsia="en-AU"/>
        </w:rPr>
        <w:t xml:space="preserve">the providing person has no reasonable grounds for believing that the electronic address is not a </w:t>
      </w:r>
      <w:r w:rsidRPr="007A0E06">
        <w:rPr>
          <w:rFonts w:eastAsia="Times New Roman"/>
          <w:sz w:val="24"/>
          <w:szCs w:val="24"/>
          <w:lang w:eastAsia="en-AU"/>
        </w:rPr>
        <w:lastRenderedPageBreak/>
        <w:t>current electronic address for the receiving person.”.</w:t>
      </w:r>
    </w:p>
    <w:p w14:paraId="6BE00C98" w14:textId="77777777" w:rsidR="00E51AA1" w:rsidRDefault="00E51AA1" w:rsidP="00E51AA1">
      <w:pPr>
        <w:spacing w:before="240" w:after="120" w:line="240" w:lineRule="auto"/>
        <w:contextualSpacing/>
        <w:textAlignment w:val="baseline"/>
        <w:rPr>
          <w:rFonts w:eastAsia="Times New Roman"/>
          <w:sz w:val="24"/>
          <w:szCs w:val="24"/>
          <w:lang w:eastAsia="en-AU"/>
        </w:rPr>
      </w:pPr>
    </w:p>
    <w:p w14:paraId="0D500EBF" w14:textId="22CA82B7" w:rsidR="00E51AA1" w:rsidRDefault="00E51AA1" w:rsidP="00E51AA1">
      <w:pPr>
        <w:spacing w:before="240" w:line="240" w:lineRule="auto"/>
        <w:ind w:left="555"/>
        <w:textAlignment w:val="baseline"/>
        <w:rPr>
          <w:rFonts w:eastAsia="Times New Roman"/>
          <w:i/>
          <w:iCs/>
          <w:sz w:val="24"/>
          <w:szCs w:val="24"/>
          <w:lang w:eastAsia="en-AU"/>
        </w:rPr>
      </w:pPr>
      <w:r w:rsidRPr="00C65079">
        <w:rPr>
          <w:rFonts w:eastAsia="Times New Roman"/>
          <w:i/>
          <w:iCs/>
          <w:sz w:val="24"/>
          <w:szCs w:val="24"/>
          <w:lang w:eastAsia="en-AU"/>
        </w:rPr>
        <w:t>Financial Services Guides</w:t>
      </w:r>
      <w:r w:rsidR="00E33E91">
        <w:rPr>
          <w:rFonts w:eastAsia="Times New Roman"/>
          <w:i/>
          <w:iCs/>
          <w:sz w:val="24"/>
          <w:szCs w:val="24"/>
          <w:lang w:eastAsia="en-AU"/>
        </w:rPr>
        <w:t>,</w:t>
      </w:r>
      <w:r w:rsidRPr="00C65079">
        <w:rPr>
          <w:rFonts w:eastAsia="Times New Roman"/>
          <w:i/>
          <w:iCs/>
          <w:sz w:val="24"/>
          <w:szCs w:val="24"/>
          <w:lang w:eastAsia="en-AU"/>
        </w:rPr>
        <w:t xml:space="preserve"> Statements of Advice</w:t>
      </w:r>
      <w:r w:rsidR="00B8142A">
        <w:rPr>
          <w:rFonts w:eastAsia="Times New Roman"/>
          <w:i/>
          <w:iCs/>
          <w:sz w:val="24"/>
          <w:szCs w:val="24"/>
          <w:lang w:eastAsia="en-AU"/>
        </w:rPr>
        <w:t xml:space="preserve"> and </w:t>
      </w:r>
      <w:r w:rsidR="00E33E91">
        <w:rPr>
          <w:rFonts w:eastAsia="Times New Roman"/>
          <w:i/>
          <w:iCs/>
          <w:sz w:val="24"/>
          <w:szCs w:val="24"/>
          <w:lang w:eastAsia="en-AU"/>
        </w:rPr>
        <w:t>Cash Settlement Fact Sheets</w:t>
      </w:r>
    </w:p>
    <w:p w14:paraId="53525BAD" w14:textId="6306B3A7" w:rsidR="00E51AA1" w:rsidRDefault="00E51AA1" w:rsidP="00E51AA1">
      <w:pPr>
        <w:spacing w:before="240" w:line="240" w:lineRule="auto"/>
        <w:ind w:left="1134" w:hanging="579"/>
        <w:textAlignment w:val="baseline"/>
        <w:rPr>
          <w:rFonts w:eastAsia="Times New Roman"/>
          <w:sz w:val="24"/>
          <w:szCs w:val="24"/>
          <w:lang w:eastAsia="en-AU"/>
        </w:rPr>
      </w:pPr>
      <w:r w:rsidRPr="00C65079">
        <w:rPr>
          <w:rFonts w:eastAsia="Times New Roman"/>
          <w:sz w:val="24"/>
          <w:szCs w:val="24"/>
          <w:lang w:eastAsia="en-AU"/>
        </w:rPr>
        <w:t>(2)</w:t>
      </w:r>
      <w:r w:rsidRPr="00C65079">
        <w:rPr>
          <w:rFonts w:ascii="Calibri" w:eastAsia="Times New Roman" w:hAnsi="Calibri" w:cs="Calibri"/>
          <w:sz w:val="24"/>
          <w:szCs w:val="24"/>
          <w:lang w:eastAsia="en-AU"/>
        </w:rPr>
        <w:tab/>
      </w:r>
      <w:r w:rsidRPr="00C65079">
        <w:rPr>
          <w:rFonts w:eastAsia="Times New Roman"/>
          <w:sz w:val="24"/>
          <w:szCs w:val="24"/>
          <w:lang w:eastAsia="en-AU"/>
        </w:rPr>
        <w:t>Part 7.7 of the Act applies in relation to a financial services licensee and an authorised representative of a financial services licensee as if section 940C were modified or varied as follows:</w:t>
      </w:r>
    </w:p>
    <w:p w14:paraId="1993CEB9" w14:textId="77777777" w:rsidR="00E51AA1" w:rsidRDefault="00E51AA1" w:rsidP="00E51AA1">
      <w:pPr>
        <w:spacing w:before="240" w:line="240" w:lineRule="auto"/>
        <w:ind w:left="1713" w:hanging="579"/>
        <w:textAlignment w:val="baseline"/>
        <w:rPr>
          <w:rFonts w:eastAsia="Times New Roman"/>
          <w:sz w:val="24"/>
          <w:szCs w:val="24"/>
          <w:lang w:eastAsia="en-AU"/>
        </w:rPr>
      </w:pPr>
      <w:r w:rsidRPr="00C65079">
        <w:rPr>
          <w:rFonts w:eastAsia="Times New Roman"/>
          <w:sz w:val="24"/>
          <w:szCs w:val="24"/>
          <w:lang w:eastAsia="en-AU"/>
        </w:rPr>
        <w:t>(a)</w:t>
      </w:r>
      <w:r w:rsidRPr="00C65079">
        <w:rPr>
          <w:rFonts w:ascii="Calibri" w:eastAsia="Times New Roman" w:hAnsi="Calibri" w:cs="Calibri"/>
          <w:sz w:val="24"/>
          <w:szCs w:val="24"/>
          <w:lang w:eastAsia="en-AU"/>
        </w:rPr>
        <w:tab/>
      </w:r>
      <w:r w:rsidRPr="00C65079">
        <w:rPr>
          <w:rFonts w:eastAsia="Times New Roman"/>
          <w:sz w:val="24"/>
          <w:szCs w:val="24"/>
          <w:lang w:eastAsia="en-AU"/>
        </w:rPr>
        <w:t>after subparagraph (1)(a)(ii) insert:</w:t>
      </w:r>
    </w:p>
    <w:p w14:paraId="566E3EA3" w14:textId="77777777" w:rsidR="00E51AA1" w:rsidRDefault="00E51AA1" w:rsidP="00E51AA1">
      <w:pPr>
        <w:spacing w:before="240" w:line="240" w:lineRule="auto"/>
        <w:ind w:left="2274" w:hanging="579"/>
        <w:textAlignment w:val="baseline"/>
        <w:rPr>
          <w:rFonts w:eastAsia="Times New Roman"/>
          <w:sz w:val="24"/>
          <w:szCs w:val="24"/>
          <w:lang w:eastAsia="en-AU"/>
        </w:rPr>
      </w:pPr>
      <w:r w:rsidRPr="00C65079">
        <w:rPr>
          <w:rFonts w:eastAsia="Times New Roman"/>
          <w:sz w:val="24"/>
          <w:szCs w:val="24"/>
          <w:lang w:eastAsia="en-AU"/>
        </w:rPr>
        <w:t>“(iia) made available to the client, or the client’s agent, by a nominated electronic means; or”; and</w:t>
      </w:r>
    </w:p>
    <w:p w14:paraId="5E65CC3A" w14:textId="77777777" w:rsidR="00E51AA1" w:rsidRDefault="00E51AA1" w:rsidP="00E51AA1">
      <w:pPr>
        <w:spacing w:before="240" w:line="240" w:lineRule="auto"/>
        <w:ind w:left="1701" w:hanging="567"/>
        <w:textAlignment w:val="baseline"/>
        <w:rPr>
          <w:rFonts w:eastAsia="Times New Roman"/>
          <w:sz w:val="24"/>
          <w:szCs w:val="24"/>
          <w:lang w:eastAsia="en-AU"/>
        </w:rPr>
      </w:pPr>
      <w:r w:rsidRPr="00C65079">
        <w:rPr>
          <w:rFonts w:eastAsia="Times New Roman"/>
          <w:sz w:val="24"/>
          <w:szCs w:val="24"/>
          <w:lang w:eastAsia="en-AU"/>
        </w:rPr>
        <w:t>(b)</w:t>
      </w:r>
      <w:r>
        <w:rPr>
          <w:rFonts w:eastAsia="Times New Roman"/>
          <w:sz w:val="24"/>
          <w:szCs w:val="24"/>
          <w:lang w:eastAsia="en-AU"/>
        </w:rPr>
        <w:tab/>
      </w:r>
      <w:r w:rsidRPr="00C65079">
        <w:rPr>
          <w:rFonts w:eastAsia="Times New Roman"/>
          <w:sz w:val="24"/>
          <w:szCs w:val="24"/>
          <w:lang w:eastAsia="en-AU"/>
        </w:rPr>
        <w:t>after subparagraph (2)(b)(ii) insert:</w:t>
      </w:r>
    </w:p>
    <w:p w14:paraId="0258C52F" w14:textId="680037F2" w:rsidR="00E51AA1" w:rsidRDefault="00E51AA1" w:rsidP="00E51AA1">
      <w:pPr>
        <w:spacing w:before="240" w:line="240" w:lineRule="auto"/>
        <w:ind w:left="2268" w:hanging="567"/>
        <w:textAlignment w:val="baseline"/>
        <w:rPr>
          <w:rFonts w:eastAsia="Times New Roman"/>
          <w:sz w:val="24"/>
          <w:szCs w:val="24"/>
          <w:lang w:eastAsia="en-AU"/>
        </w:rPr>
      </w:pPr>
      <w:r w:rsidRPr="5D206298">
        <w:rPr>
          <w:rFonts w:eastAsia="Times New Roman"/>
          <w:sz w:val="24"/>
          <w:szCs w:val="24"/>
          <w:lang w:eastAsia="en-AU"/>
        </w:rPr>
        <w:t>“(ii</w:t>
      </w:r>
      <w:r w:rsidR="00B056D1" w:rsidRPr="5D206298">
        <w:rPr>
          <w:rFonts w:eastAsia="Times New Roman"/>
          <w:sz w:val="24"/>
          <w:szCs w:val="24"/>
          <w:lang w:eastAsia="en-AU"/>
        </w:rPr>
        <w:t>a</w:t>
      </w:r>
      <w:r w:rsidRPr="5D206298">
        <w:rPr>
          <w:rFonts w:eastAsia="Times New Roman"/>
          <w:sz w:val="24"/>
          <w:szCs w:val="24"/>
          <w:lang w:eastAsia="en-AU"/>
        </w:rPr>
        <w:t>)</w:t>
      </w:r>
      <w:r>
        <w:tab/>
      </w:r>
      <w:r w:rsidRPr="5D206298">
        <w:rPr>
          <w:rFonts w:eastAsia="Times New Roman"/>
          <w:sz w:val="24"/>
          <w:szCs w:val="24"/>
          <w:lang w:eastAsia="en-AU"/>
        </w:rPr>
        <w:t>made available to the client, or the client’s agent, by a nominated electronic means; or”.</w:t>
      </w:r>
    </w:p>
    <w:p w14:paraId="22915612" w14:textId="77777777" w:rsidR="00E51AA1" w:rsidRDefault="00E51AA1" w:rsidP="00E51AA1">
      <w:pPr>
        <w:spacing w:before="240" w:line="240" w:lineRule="auto"/>
        <w:ind w:left="1287" w:hanging="567"/>
        <w:textAlignment w:val="baseline"/>
        <w:rPr>
          <w:rFonts w:eastAsia="Times New Roman"/>
          <w:sz w:val="24"/>
          <w:szCs w:val="24"/>
          <w:lang w:eastAsia="en-AU"/>
        </w:rPr>
      </w:pPr>
      <w:r w:rsidRPr="00C65079">
        <w:rPr>
          <w:rFonts w:eastAsia="Times New Roman"/>
          <w:sz w:val="24"/>
          <w:szCs w:val="24"/>
          <w:lang w:eastAsia="en-AU"/>
        </w:rPr>
        <w:t>(3)</w:t>
      </w:r>
      <w:r w:rsidRPr="00C65079">
        <w:rPr>
          <w:rFonts w:ascii="Calibri" w:eastAsia="Times New Roman" w:hAnsi="Calibri" w:cs="Calibri"/>
          <w:sz w:val="24"/>
          <w:szCs w:val="24"/>
          <w:lang w:eastAsia="en-AU"/>
        </w:rPr>
        <w:tab/>
      </w:r>
      <w:r w:rsidRPr="00C65079">
        <w:rPr>
          <w:rFonts w:eastAsia="Times New Roman"/>
          <w:sz w:val="24"/>
          <w:szCs w:val="24"/>
          <w:lang w:eastAsia="en-AU"/>
        </w:rPr>
        <w:t>Part 7.7 of the Act applies in relation to a financial services licensee and an authorised representative of a financial services licensee as if regulation 7.7.01 of the Regulations were modified or varied as follows:</w:t>
      </w:r>
    </w:p>
    <w:p w14:paraId="3C9FBAA5" w14:textId="77777777" w:rsidR="00E51AA1" w:rsidRDefault="00E51AA1" w:rsidP="00E51AA1">
      <w:pPr>
        <w:spacing w:before="240" w:line="240" w:lineRule="auto"/>
        <w:ind w:left="1854" w:hanging="567"/>
        <w:textAlignment w:val="baseline"/>
        <w:rPr>
          <w:rFonts w:eastAsia="Times New Roman"/>
          <w:sz w:val="24"/>
          <w:szCs w:val="24"/>
          <w:lang w:eastAsia="en-AU"/>
        </w:rPr>
      </w:pPr>
      <w:r w:rsidRPr="00C65079">
        <w:rPr>
          <w:rFonts w:eastAsia="Times New Roman"/>
          <w:sz w:val="24"/>
          <w:szCs w:val="24"/>
          <w:lang w:eastAsia="en-AU"/>
        </w:rPr>
        <w:t>(a)</w:t>
      </w:r>
      <w:r>
        <w:rPr>
          <w:rFonts w:eastAsia="Times New Roman"/>
          <w:sz w:val="24"/>
          <w:szCs w:val="24"/>
          <w:lang w:eastAsia="en-AU"/>
        </w:rPr>
        <w:tab/>
      </w:r>
      <w:r w:rsidRPr="00C65079">
        <w:rPr>
          <w:rFonts w:eastAsia="Times New Roman"/>
          <w:sz w:val="24"/>
          <w:szCs w:val="24"/>
          <w:lang w:eastAsia="en-AU"/>
        </w:rPr>
        <w:t>in subregulation (2) omit “Financial Services Guide”, substitute “Financial Services Guide, a Supplementary Financial Services Guide”;</w:t>
      </w:r>
    </w:p>
    <w:p w14:paraId="56C82F12" w14:textId="77777777" w:rsidR="00E51AA1" w:rsidRDefault="00E51AA1" w:rsidP="00E51AA1">
      <w:pPr>
        <w:spacing w:before="240" w:line="240" w:lineRule="auto"/>
        <w:ind w:left="1854" w:hanging="567"/>
        <w:textAlignment w:val="baseline"/>
        <w:rPr>
          <w:rFonts w:eastAsia="Times New Roman"/>
          <w:sz w:val="24"/>
          <w:szCs w:val="24"/>
          <w:lang w:eastAsia="en-AU"/>
        </w:rPr>
      </w:pPr>
      <w:r w:rsidRPr="00C65079">
        <w:rPr>
          <w:rFonts w:eastAsia="Times New Roman"/>
          <w:sz w:val="24"/>
          <w:szCs w:val="24"/>
          <w:lang w:eastAsia="en-AU"/>
        </w:rPr>
        <w:t>(b)</w:t>
      </w:r>
      <w:r>
        <w:rPr>
          <w:rFonts w:eastAsia="Times New Roman"/>
          <w:sz w:val="24"/>
          <w:szCs w:val="24"/>
          <w:lang w:eastAsia="en-AU"/>
        </w:rPr>
        <w:tab/>
      </w:r>
      <w:r w:rsidRPr="00C65079">
        <w:rPr>
          <w:rFonts w:eastAsia="Times New Roman"/>
          <w:sz w:val="24"/>
          <w:szCs w:val="24"/>
          <w:lang w:eastAsia="en-AU"/>
        </w:rPr>
        <w:t>after subregulation (2) insert:</w:t>
      </w:r>
    </w:p>
    <w:p w14:paraId="58C2AB4A" w14:textId="77777777" w:rsidR="00E51AA1" w:rsidRDefault="00E51AA1" w:rsidP="00E51AA1">
      <w:pPr>
        <w:spacing w:before="240" w:line="240" w:lineRule="auto"/>
        <w:ind w:left="2421" w:hanging="567"/>
        <w:textAlignment w:val="baseline"/>
        <w:rPr>
          <w:rFonts w:eastAsia="Times New Roman"/>
          <w:sz w:val="24"/>
          <w:szCs w:val="24"/>
          <w:lang w:eastAsia="en-AU"/>
        </w:rPr>
      </w:pPr>
      <w:r w:rsidRPr="00C65079">
        <w:rPr>
          <w:rFonts w:eastAsia="Times New Roman"/>
          <w:sz w:val="24"/>
          <w:szCs w:val="24"/>
          <w:lang w:eastAsia="en-AU"/>
        </w:rPr>
        <w:t>“(2A) Subregulation (2) does not apply to a Financial Services Guide, a Supplementary Financial Services Guide or a Statement of Advice that is made available to a person, or a person’s agent, by a nominated electronic means.”.</w:t>
      </w:r>
    </w:p>
    <w:p w14:paraId="552565B7" w14:textId="00A96821" w:rsidR="002C7C57" w:rsidRPr="00C65079" w:rsidRDefault="002C7C57" w:rsidP="002C7C57">
      <w:pPr>
        <w:spacing w:before="240" w:line="240" w:lineRule="auto"/>
        <w:ind w:left="1137" w:hanging="567"/>
        <w:textAlignment w:val="baseline"/>
        <w:rPr>
          <w:rFonts w:ascii="Segoe UI" w:eastAsia="Times New Roman" w:hAnsi="Segoe UI" w:cs="Segoe UI"/>
          <w:i/>
          <w:iCs/>
          <w:sz w:val="18"/>
          <w:szCs w:val="18"/>
          <w:lang w:eastAsia="en-AU"/>
        </w:rPr>
      </w:pPr>
      <w:r w:rsidRPr="00C65079">
        <w:rPr>
          <w:rFonts w:eastAsia="Times New Roman"/>
          <w:i/>
          <w:iCs/>
          <w:sz w:val="24"/>
          <w:szCs w:val="24"/>
          <w:lang w:eastAsia="en-AU"/>
        </w:rPr>
        <w:t>Product Disclosure Statements</w:t>
      </w:r>
    </w:p>
    <w:p w14:paraId="16BC0EB3" w14:textId="77777777" w:rsidR="002C7C57" w:rsidRDefault="002C7C57" w:rsidP="002C7C57">
      <w:pPr>
        <w:spacing w:before="240" w:line="240" w:lineRule="auto"/>
        <w:ind w:left="1125" w:hanging="555"/>
        <w:textAlignment w:val="baseline"/>
        <w:rPr>
          <w:rFonts w:eastAsia="Times New Roman"/>
          <w:sz w:val="24"/>
          <w:szCs w:val="24"/>
          <w:lang w:eastAsia="en-AU"/>
        </w:rPr>
      </w:pPr>
      <w:r w:rsidRPr="00C65079">
        <w:rPr>
          <w:rFonts w:eastAsia="Times New Roman"/>
          <w:sz w:val="24"/>
          <w:szCs w:val="24"/>
          <w:lang w:eastAsia="en-AU"/>
        </w:rPr>
        <w:t>(4)</w:t>
      </w:r>
      <w:r w:rsidRPr="00C65079">
        <w:rPr>
          <w:rFonts w:ascii="Calibri" w:eastAsia="Times New Roman" w:hAnsi="Calibri" w:cs="Calibri"/>
          <w:sz w:val="24"/>
          <w:szCs w:val="24"/>
          <w:lang w:eastAsia="en-AU"/>
        </w:rPr>
        <w:tab/>
      </w:r>
      <w:r w:rsidRPr="00C65079">
        <w:rPr>
          <w:rFonts w:eastAsia="Times New Roman"/>
          <w:sz w:val="24"/>
          <w:szCs w:val="24"/>
          <w:lang w:eastAsia="en-AU"/>
        </w:rPr>
        <w:t xml:space="preserve">Part 7.9 of the Act applies in relation to a financial product in relation to which a Product Disclosure Statement, Supplementary Product Disclosure Statement or </w:t>
      </w:r>
      <w:r w:rsidRPr="002247AF">
        <w:rPr>
          <w:rFonts w:eastAsia="Times New Roman"/>
          <w:sz w:val="24"/>
          <w:szCs w:val="24"/>
          <w:lang w:eastAsia="en-AU"/>
        </w:rPr>
        <w:t>Replacement Product Disclosure Statement</w:t>
      </w:r>
      <w:r w:rsidRPr="00C65079">
        <w:rPr>
          <w:rFonts w:eastAsia="Times New Roman"/>
          <w:sz w:val="24"/>
          <w:szCs w:val="24"/>
          <w:lang w:eastAsia="en-AU"/>
        </w:rPr>
        <w:t xml:space="preserve"> is required or prepared as if subsection 1015C(1) were modified or varied as follows:</w:t>
      </w:r>
    </w:p>
    <w:p w14:paraId="478CAE1C" w14:textId="77777777" w:rsidR="002C7C57" w:rsidRDefault="002C7C57" w:rsidP="002C7C57">
      <w:pPr>
        <w:spacing w:before="240" w:line="240" w:lineRule="auto"/>
        <w:ind w:left="1680" w:hanging="555"/>
        <w:textAlignment w:val="baseline"/>
        <w:rPr>
          <w:rFonts w:eastAsia="Times New Roman"/>
          <w:sz w:val="24"/>
          <w:szCs w:val="24"/>
          <w:lang w:eastAsia="en-AU"/>
        </w:rPr>
      </w:pPr>
      <w:r w:rsidRPr="00C65079">
        <w:rPr>
          <w:rFonts w:eastAsia="Times New Roman"/>
          <w:sz w:val="24"/>
          <w:szCs w:val="24"/>
          <w:lang w:eastAsia="en-AU"/>
        </w:rPr>
        <w:t>(a)</w:t>
      </w:r>
      <w:r w:rsidRPr="00C65079">
        <w:rPr>
          <w:rFonts w:ascii="Calibri" w:eastAsia="Times New Roman" w:hAnsi="Calibri" w:cs="Calibri"/>
          <w:sz w:val="24"/>
          <w:szCs w:val="24"/>
          <w:lang w:eastAsia="en-AU"/>
        </w:rPr>
        <w:tab/>
      </w:r>
      <w:r w:rsidRPr="00C65079">
        <w:rPr>
          <w:rFonts w:eastAsia="Times New Roman"/>
          <w:sz w:val="24"/>
          <w:szCs w:val="24"/>
          <w:lang w:eastAsia="en-AU"/>
        </w:rPr>
        <w:t>in subparagraph (a)(ii) omit “and”, substitute “or”;</w:t>
      </w:r>
    </w:p>
    <w:p w14:paraId="7B005424" w14:textId="77777777" w:rsidR="002C7C57" w:rsidRDefault="002C7C57" w:rsidP="002C7C57">
      <w:pPr>
        <w:spacing w:before="240" w:line="240" w:lineRule="auto"/>
        <w:ind w:left="1680" w:hanging="555"/>
        <w:textAlignment w:val="baseline"/>
        <w:rPr>
          <w:rFonts w:eastAsia="Times New Roman"/>
          <w:sz w:val="24"/>
          <w:szCs w:val="24"/>
          <w:lang w:eastAsia="en-AU"/>
        </w:rPr>
      </w:pPr>
      <w:r w:rsidRPr="00C65079">
        <w:rPr>
          <w:rFonts w:eastAsia="Times New Roman"/>
          <w:sz w:val="24"/>
          <w:szCs w:val="24"/>
          <w:lang w:eastAsia="en-AU"/>
        </w:rPr>
        <w:t>(b)</w:t>
      </w:r>
      <w:r w:rsidRPr="00C65079">
        <w:rPr>
          <w:rFonts w:ascii="Calibri" w:eastAsia="Times New Roman" w:hAnsi="Calibri" w:cs="Calibri"/>
          <w:sz w:val="24"/>
          <w:szCs w:val="24"/>
          <w:lang w:eastAsia="en-AU"/>
        </w:rPr>
        <w:tab/>
      </w:r>
      <w:r w:rsidRPr="00C65079">
        <w:rPr>
          <w:rFonts w:eastAsia="Times New Roman"/>
          <w:sz w:val="24"/>
          <w:szCs w:val="24"/>
          <w:lang w:eastAsia="en-AU"/>
        </w:rPr>
        <w:t>after subparagraph (a)(ii) insert:</w:t>
      </w:r>
    </w:p>
    <w:p w14:paraId="56A8DF77" w14:textId="77777777" w:rsidR="002C7C57" w:rsidRDefault="002C7C57" w:rsidP="002C7C57">
      <w:pPr>
        <w:spacing w:before="240" w:line="240" w:lineRule="auto"/>
        <w:ind w:left="2235" w:hanging="555"/>
        <w:textAlignment w:val="baseline"/>
        <w:rPr>
          <w:rFonts w:eastAsia="Times New Roman"/>
          <w:sz w:val="24"/>
          <w:szCs w:val="24"/>
          <w:lang w:eastAsia="en-AU"/>
        </w:rPr>
      </w:pPr>
      <w:r w:rsidRPr="00C65079">
        <w:rPr>
          <w:rFonts w:eastAsia="Times New Roman"/>
          <w:sz w:val="24"/>
          <w:szCs w:val="24"/>
          <w:lang w:eastAsia="en-AU"/>
        </w:rPr>
        <w:t xml:space="preserve">“(iii) </w:t>
      </w:r>
      <w:r w:rsidRPr="00C65079">
        <w:rPr>
          <w:rFonts w:ascii="Calibri" w:eastAsia="Times New Roman" w:hAnsi="Calibri" w:cs="Calibri"/>
          <w:sz w:val="24"/>
          <w:szCs w:val="24"/>
          <w:lang w:eastAsia="en-AU"/>
        </w:rPr>
        <w:tab/>
      </w:r>
      <w:r w:rsidRPr="00C65079">
        <w:rPr>
          <w:rFonts w:eastAsia="Times New Roman"/>
          <w:sz w:val="24"/>
          <w:szCs w:val="24"/>
          <w:lang w:eastAsia="en-AU"/>
        </w:rPr>
        <w:t>made available to the person, or the person’s agent, by a nominated electronic means; and”.</w:t>
      </w:r>
    </w:p>
    <w:p w14:paraId="2791B1C6" w14:textId="77777777" w:rsidR="002C7C57" w:rsidRDefault="002C7C57" w:rsidP="002C7C57">
      <w:pPr>
        <w:spacing w:before="240" w:line="240" w:lineRule="auto"/>
        <w:ind w:left="1275" w:hanging="555"/>
        <w:textAlignment w:val="baseline"/>
        <w:rPr>
          <w:rFonts w:eastAsia="Times New Roman"/>
          <w:sz w:val="24"/>
          <w:szCs w:val="24"/>
          <w:lang w:eastAsia="en-AU"/>
        </w:rPr>
      </w:pPr>
      <w:r w:rsidRPr="00C65079">
        <w:rPr>
          <w:rFonts w:eastAsia="Times New Roman"/>
          <w:sz w:val="24"/>
          <w:szCs w:val="24"/>
          <w:lang w:eastAsia="en-AU"/>
        </w:rPr>
        <w:lastRenderedPageBreak/>
        <w:t>(5)</w:t>
      </w:r>
      <w:r w:rsidRPr="00C65079">
        <w:rPr>
          <w:rFonts w:ascii="Calibri" w:eastAsia="Times New Roman" w:hAnsi="Calibri" w:cs="Calibri"/>
          <w:sz w:val="24"/>
          <w:szCs w:val="24"/>
          <w:lang w:eastAsia="en-AU"/>
        </w:rPr>
        <w:tab/>
      </w:r>
      <w:r w:rsidRPr="00C65079">
        <w:rPr>
          <w:rFonts w:eastAsia="Times New Roman"/>
          <w:sz w:val="24"/>
          <w:szCs w:val="24"/>
          <w:lang w:eastAsia="en-AU"/>
        </w:rPr>
        <w:t>Part 7.9 of the Act applies in relation to a financial product in relation to which a Product Disclosure Statement, Supplementary Product Disclosure Statement or Replacement Product Disclosure Statement is required or prepared as if regulation 7.9.02A of the Regulations were modified or varied by, after subregulation (1), inserting:</w:t>
      </w:r>
    </w:p>
    <w:p w14:paraId="1B5DAEBB" w14:textId="7316C8AF" w:rsidR="002C7C57" w:rsidRDefault="002C7C57" w:rsidP="002C7C57">
      <w:pPr>
        <w:spacing w:before="240" w:line="240" w:lineRule="auto"/>
        <w:ind w:left="1830" w:hanging="555"/>
        <w:textAlignment w:val="baseline"/>
        <w:rPr>
          <w:rFonts w:eastAsia="Times New Roman"/>
          <w:sz w:val="24"/>
          <w:szCs w:val="24"/>
          <w:lang w:eastAsia="en-AU"/>
        </w:rPr>
      </w:pPr>
      <w:r w:rsidRPr="00C65079">
        <w:rPr>
          <w:rFonts w:eastAsia="Times New Roman"/>
          <w:sz w:val="24"/>
          <w:szCs w:val="24"/>
          <w:lang w:eastAsia="en-AU"/>
        </w:rPr>
        <w:t xml:space="preserve">“(1A) </w:t>
      </w:r>
      <w:r w:rsidR="005F0C5F">
        <w:rPr>
          <w:rFonts w:eastAsia="Times New Roman"/>
          <w:sz w:val="24"/>
          <w:szCs w:val="24"/>
          <w:lang w:eastAsia="en-AU"/>
        </w:rPr>
        <w:t>S</w:t>
      </w:r>
      <w:r w:rsidRPr="00C65079">
        <w:rPr>
          <w:rFonts w:eastAsia="Times New Roman"/>
          <w:sz w:val="24"/>
          <w:szCs w:val="24"/>
          <w:lang w:eastAsia="en-AU"/>
        </w:rPr>
        <w:t>ubregulation (1) does not apply to a Statement that is made available to a person, or a person’s agent, by a nominated electronic means.”.</w:t>
      </w:r>
    </w:p>
    <w:p w14:paraId="7404FF71" w14:textId="7A22AFAC" w:rsidR="002C7C57" w:rsidRDefault="002C7C57" w:rsidP="002C7C57">
      <w:pPr>
        <w:spacing w:before="240" w:line="240" w:lineRule="auto"/>
        <w:ind w:left="1125" w:hanging="555"/>
        <w:textAlignment w:val="baseline"/>
        <w:rPr>
          <w:rFonts w:eastAsia="Times New Roman"/>
          <w:i/>
          <w:iCs/>
          <w:sz w:val="24"/>
          <w:szCs w:val="24"/>
          <w:lang w:eastAsia="en-AU"/>
        </w:rPr>
      </w:pPr>
      <w:r w:rsidRPr="00C65079">
        <w:rPr>
          <w:rFonts w:eastAsia="Times New Roman"/>
          <w:i/>
          <w:iCs/>
          <w:sz w:val="24"/>
          <w:szCs w:val="24"/>
          <w:lang w:eastAsia="en-AU"/>
        </w:rPr>
        <w:t>CGS depository interest statements</w:t>
      </w:r>
    </w:p>
    <w:p w14:paraId="7EC88523" w14:textId="77777777" w:rsidR="002C7C57" w:rsidRDefault="002C7C57" w:rsidP="002C7C57">
      <w:pPr>
        <w:spacing w:before="240" w:line="240" w:lineRule="auto"/>
        <w:ind w:left="1125" w:hanging="555"/>
        <w:textAlignment w:val="baseline"/>
        <w:rPr>
          <w:rFonts w:eastAsia="Times New Roman"/>
          <w:sz w:val="24"/>
          <w:szCs w:val="24"/>
          <w:lang w:eastAsia="en-AU"/>
        </w:rPr>
      </w:pPr>
      <w:r w:rsidRPr="00C65079">
        <w:rPr>
          <w:rFonts w:eastAsia="Times New Roman"/>
          <w:sz w:val="24"/>
          <w:szCs w:val="24"/>
          <w:lang w:eastAsia="en-AU"/>
        </w:rPr>
        <w:t>(6)</w:t>
      </w:r>
      <w:r w:rsidRPr="00C65079">
        <w:rPr>
          <w:rFonts w:ascii="Calibri" w:eastAsia="Times New Roman" w:hAnsi="Calibri" w:cs="Calibri"/>
          <w:sz w:val="24"/>
          <w:szCs w:val="24"/>
          <w:lang w:eastAsia="en-AU"/>
        </w:rPr>
        <w:tab/>
      </w:r>
      <w:r w:rsidRPr="00C65079">
        <w:rPr>
          <w:rFonts w:eastAsia="Times New Roman"/>
          <w:sz w:val="24"/>
          <w:szCs w:val="24"/>
          <w:lang w:eastAsia="en-AU"/>
        </w:rPr>
        <w:t>Part 7.9 of the Act applies in relation to a CGS depository interest as if subsection 1020AK(1) were modified or varied as follows:</w:t>
      </w:r>
    </w:p>
    <w:p w14:paraId="6DA88FEA" w14:textId="77777777" w:rsidR="002C7C57" w:rsidRDefault="002C7C57" w:rsidP="002C7C57">
      <w:pPr>
        <w:spacing w:before="240" w:line="240" w:lineRule="auto"/>
        <w:ind w:left="1680" w:hanging="555"/>
        <w:textAlignment w:val="baseline"/>
        <w:rPr>
          <w:rFonts w:eastAsia="Times New Roman"/>
          <w:sz w:val="24"/>
          <w:szCs w:val="24"/>
          <w:lang w:eastAsia="en-AU"/>
        </w:rPr>
      </w:pPr>
      <w:r w:rsidRPr="00C65079">
        <w:rPr>
          <w:rFonts w:eastAsia="Times New Roman"/>
          <w:sz w:val="24"/>
          <w:szCs w:val="24"/>
          <w:lang w:eastAsia="en-AU"/>
        </w:rPr>
        <w:t>(a)</w:t>
      </w:r>
      <w:r w:rsidRPr="00C65079">
        <w:rPr>
          <w:rFonts w:ascii="Calibri" w:eastAsia="Times New Roman" w:hAnsi="Calibri" w:cs="Calibri"/>
          <w:sz w:val="24"/>
          <w:szCs w:val="24"/>
          <w:lang w:eastAsia="en-AU"/>
        </w:rPr>
        <w:tab/>
      </w:r>
      <w:r w:rsidRPr="00C65079">
        <w:rPr>
          <w:rFonts w:eastAsia="Times New Roman"/>
          <w:sz w:val="24"/>
          <w:szCs w:val="24"/>
          <w:lang w:eastAsia="en-AU"/>
        </w:rPr>
        <w:t>in subparagraph (a)(ii) omit “and”, substitute “or”;</w:t>
      </w:r>
    </w:p>
    <w:p w14:paraId="76A5FC1D" w14:textId="77777777" w:rsidR="002C7C57" w:rsidRDefault="002C7C57" w:rsidP="002C7C57">
      <w:pPr>
        <w:spacing w:before="240" w:line="240" w:lineRule="auto"/>
        <w:ind w:left="1680" w:hanging="555"/>
        <w:textAlignment w:val="baseline"/>
        <w:rPr>
          <w:rFonts w:eastAsia="Times New Roman"/>
          <w:sz w:val="24"/>
          <w:szCs w:val="24"/>
          <w:lang w:eastAsia="en-AU"/>
        </w:rPr>
      </w:pPr>
      <w:r w:rsidRPr="00C65079">
        <w:rPr>
          <w:rFonts w:eastAsia="Times New Roman"/>
          <w:sz w:val="24"/>
          <w:szCs w:val="24"/>
          <w:lang w:eastAsia="en-AU"/>
        </w:rPr>
        <w:t>(b)</w:t>
      </w:r>
      <w:r w:rsidRPr="00C65079">
        <w:rPr>
          <w:rFonts w:ascii="Calibri" w:eastAsia="Times New Roman" w:hAnsi="Calibri" w:cs="Calibri"/>
          <w:sz w:val="24"/>
          <w:szCs w:val="24"/>
          <w:lang w:eastAsia="en-AU"/>
        </w:rPr>
        <w:tab/>
      </w:r>
      <w:r w:rsidRPr="00C65079">
        <w:rPr>
          <w:rFonts w:eastAsia="Times New Roman"/>
          <w:sz w:val="24"/>
          <w:szCs w:val="24"/>
          <w:lang w:eastAsia="en-AU"/>
        </w:rPr>
        <w:t>after subparagraph (a)(ii) insert:</w:t>
      </w:r>
    </w:p>
    <w:p w14:paraId="58C5EB54" w14:textId="77777777" w:rsidR="002C7C57" w:rsidRDefault="002C7C57" w:rsidP="002C7C57">
      <w:pPr>
        <w:spacing w:before="240" w:line="240" w:lineRule="auto"/>
        <w:ind w:left="2235" w:hanging="555"/>
        <w:textAlignment w:val="baseline"/>
        <w:rPr>
          <w:rFonts w:eastAsia="Times New Roman"/>
          <w:sz w:val="24"/>
          <w:szCs w:val="24"/>
          <w:lang w:eastAsia="en-AU"/>
        </w:rPr>
      </w:pPr>
      <w:r w:rsidRPr="00C65079">
        <w:rPr>
          <w:rFonts w:eastAsia="Times New Roman"/>
          <w:sz w:val="24"/>
          <w:szCs w:val="24"/>
          <w:lang w:eastAsia="en-AU"/>
        </w:rPr>
        <w:t xml:space="preserve">“(iii) </w:t>
      </w:r>
      <w:r w:rsidRPr="00C65079">
        <w:rPr>
          <w:rFonts w:ascii="Calibri" w:eastAsia="Times New Roman" w:hAnsi="Calibri" w:cs="Calibri"/>
          <w:sz w:val="24"/>
          <w:szCs w:val="24"/>
          <w:lang w:eastAsia="en-AU"/>
        </w:rPr>
        <w:tab/>
      </w:r>
      <w:r w:rsidRPr="00C65079">
        <w:rPr>
          <w:rFonts w:eastAsia="Times New Roman"/>
          <w:sz w:val="24"/>
          <w:szCs w:val="24"/>
          <w:lang w:eastAsia="en-AU"/>
        </w:rPr>
        <w:t>made available to the person, or the person’s agent, by a nominated electronic means; or</w:t>
      </w:r>
    </w:p>
    <w:p w14:paraId="3BE1ED07" w14:textId="661B9344" w:rsidR="002C7C57" w:rsidRDefault="00D83B8C" w:rsidP="002C7C57">
      <w:pPr>
        <w:spacing w:before="240" w:line="240" w:lineRule="auto"/>
        <w:ind w:left="2235" w:hanging="555"/>
        <w:textAlignment w:val="baseline"/>
        <w:rPr>
          <w:rFonts w:eastAsia="Times New Roman"/>
          <w:sz w:val="24"/>
          <w:szCs w:val="24"/>
          <w:lang w:eastAsia="en-AU"/>
        </w:rPr>
      </w:pPr>
      <w:r>
        <w:rPr>
          <w:rFonts w:eastAsia="Times New Roman"/>
          <w:sz w:val="24"/>
          <w:szCs w:val="24"/>
          <w:lang w:eastAsia="en-AU"/>
        </w:rPr>
        <w:t xml:space="preserve">  </w:t>
      </w:r>
      <w:r w:rsidR="002C7C57" w:rsidRPr="00C65079">
        <w:rPr>
          <w:rFonts w:eastAsia="Times New Roman"/>
          <w:sz w:val="24"/>
          <w:szCs w:val="24"/>
          <w:lang w:eastAsia="en-AU"/>
        </w:rPr>
        <w:t>(iv)</w:t>
      </w:r>
      <w:r w:rsidR="002C7C57" w:rsidRPr="00C65079">
        <w:rPr>
          <w:rFonts w:ascii="Calibri" w:eastAsia="Times New Roman" w:hAnsi="Calibri" w:cs="Calibri"/>
          <w:sz w:val="24"/>
          <w:szCs w:val="24"/>
          <w:lang w:eastAsia="en-AU"/>
        </w:rPr>
        <w:tab/>
      </w:r>
      <w:r w:rsidR="002C7C57" w:rsidRPr="00C65079">
        <w:rPr>
          <w:rFonts w:eastAsia="Times New Roman"/>
          <w:sz w:val="24"/>
          <w:szCs w:val="24"/>
          <w:lang w:eastAsia="en-AU"/>
        </w:rPr>
        <w:t>made available to the person in any other way that:</w:t>
      </w:r>
    </w:p>
    <w:p w14:paraId="654EF484" w14:textId="77777777" w:rsidR="002C7C57" w:rsidRDefault="002C7C57" w:rsidP="002C7C57">
      <w:pPr>
        <w:spacing w:before="240" w:line="240" w:lineRule="auto"/>
        <w:ind w:left="2790" w:hanging="555"/>
        <w:textAlignment w:val="baseline"/>
        <w:rPr>
          <w:rFonts w:eastAsia="Times New Roman"/>
          <w:sz w:val="24"/>
          <w:szCs w:val="24"/>
          <w:lang w:eastAsia="en-AU"/>
        </w:rPr>
      </w:pPr>
      <w:r w:rsidRPr="00C65079">
        <w:rPr>
          <w:rFonts w:eastAsia="Times New Roman"/>
          <w:sz w:val="24"/>
          <w:szCs w:val="24"/>
          <w:lang w:eastAsia="en-AU"/>
        </w:rPr>
        <w:t>(A)</w:t>
      </w:r>
      <w:r w:rsidRPr="00C65079">
        <w:rPr>
          <w:rFonts w:ascii="Calibri" w:eastAsia="Times New Roman" w:hAnsi="Calibri" w:cs="Calibri"/>
          <w:sz w:val="24"/>
          <w:szCs w:val="24"/>
          <w:lang w:eastAsia="en-AU"/>
        </w:rPr>
        <w:tab/>
      </w:r>
      <w:r w:rsidRPr="00C65079">
        <w:rPr>
          <w:rFonts w:eastAsia="Times New Roman"/>
          <w:sz w:val="24"/>
          <w:szCs w:val="24"/>
          <w:lang w:eastAsia="en-AU"/>
        </w:rPr>
        <w:t>is agreed to by the person; and</w:t>
      </w:r>
    </w:p>
    <w:p w14:paraId="21075707" w14:textId="77777777" w:rsidR="002C7C57" w:rsidRDefault="002C7C57" w:rsidP="002C7C57">
      <w:pPr>
        <w:spacing w:before="240" w:line="240" w:lineRule="auto"/>
        <w:ind w:left="2790" w:hanging="555"/>
        <w:textAlignment w:val="baseline"/>
        <w:rPr>
          <w:rFonts w:eastAsia="Times New Roman"/>
          <w:sz w:val="24"/>
          <w:szCs w:val="24"/>
          <w:lang w:eastAsia="en-AU"/>
        </w:rPr>
      </w:pPr>
      <w:r w:rsidRPr="00C65079">
        <w:rPr>
          <w:rFonts w:eastAsia="Times New Roman"/>
          <w:sz w:val="24"/>
          <w:szCs w:val="24"/>
          <w:lang w:eastAsia="en-AU"/>
        </w:rPr>
        <w:t>(B)</w:t>
      </w:r>
      <w:r w:rsidRPr="00C65079">
        <w:rPr>
          <w:rFonts w:ascii="Calibri" w:eastAsia="Times New Roman" w:hAnsi="Calibri" w:cs="Calibri"/>
          <w:sz w:val="24"/>
          <w:szCs w:val="24"/>
          <w:lang w:eastAsia="en-AU"/>
        </w:rPr>
        <w:tab/>
      </w:r>
      <w:r w:rsidRPr="00C65079">
        <w:rPr>
          <w:rFonts w:eastAsia="Times New Roman"/>
          <w:sz w:val="24"/>
          <w:szCs w:val="24"/>
          <w:lang w:eastAsia="en-AU"/>
        </w:rPr>
        <w:t>allows the regulated person to be satisfied, on reasonable grounds, that the person has received the information statement; or</w:t>
      </w:r>
    </w:p>
    <w:p w14:paraId="31A270AD" w14:textId="13A014C3" w:rsidR="002C7C57" w:rsidRDefault="00D83B8C" w:rsidP="002C7C57">
      <w:pPr>
        <w:spacing w:before="240" w:line="240" w:lineRule="auto"/>
        <w:ind w:left="2268" w:hanging="567"/>
        <w:textAlignment w:val="baseline"/>
        <w:rPr>
          <w:rFonts w:eastAsia="Times New Roman"/>
          <w:sz w:val="24"/>
          <w:szCs w:val="24"/>
          <w:lang w:eastAsia="en-AU"/>
        </w:rPr>
      </w:pPr>
      <w:r>
        <w:rPr>
          <w:rFonts w:eastAsia="Times New Roman"/>
          <w:sz w:val="24"/>
          <w:szCs w:val="24"/>
          <w:lang w:eastAsia="en-AU"/>
        </w:rPr>
        <w:t xml:space="preserve">  </w:t>
      </w:r>
      <w:r w:rsidR="002C7C57" w:rsidRPr="00C65079">
        <w:rPr>
          <w:rFonts w:eastAsia="Times New Roman"/>
          <w:sz w:val="24"/>
          <w:szCs w:val="24"/>
          <w:lang w:eastAsia="en-AU"/>
        </w:rPr>
        <w:t>(v)</w:t>
      </w:r>
      <w:r w:rsidR="002C7C57" w:rsidRPr="00C65079">
        <w:rPr>
          <w:rFonts w:ascii="Calibri" w:eastAsia="Times New Roman" w:hAnsi="Calibri" w:cs="Calibri"/>
          <w:sz w:val="24"/>
          <w:szCs w:val="24"/>
          <w:lang w:eastAsia="en-AU"/>
        </w:rPr>
        <w:tab/>
      </w:r>
      <w:r w:rsidR="002C7C57" w:rsidRPr="00C65079">
        <w:rPr>
          <w:rFonts w:eastAsia="Times New Roman"/>
          <w:sz w:val="24"/>
          <w:szCs w:val="24"/>
          <w:lang w:eastAsia="en-AU"/>
        </w:rPr>
        <w:t>made available to the person’s agent in any other way that:</w:t>
      </w:r>
    </w:p>
    <w:p w14:paraId="3FC95B1D" w14:textId="77777777" w:rsidR="002C7C57" w:rsidRDefault="002C7C57" w:rsidP="002C7C57">
      <w:pPr>
        <w:spacing w:before="240" w:line="240" w:lineRule="auto"/>
        <w:ind w:left="2835" w:hanging="567"/>
        <w:textAlignment w:val="baseline"/>
        <w:rPr>
          <w:rFonts w:eastAsia="Times New Roman"/>
          <w:sz w:val="24"/>
          <w:szCs w:val="24"/>
          <w:lang w:eastAsia="en-AU"/>
        </w:rPr>
      </w:pPr>
      <w:r w:rsidRPr="00C65079">
        <w:rPr>
          <w:rFonts w:eastAsia="Times New Roman"/>
          <w:sz w:val="24"/>
          <w:szCs w:val="24"/>
          <w:lang w:eastAsia="en-AU"/>
        </w:rPr>
        <w:t>(A)</w:t>
      </w:r>
      <w:r w:rsidRPr="00C65079">
        <w:rPr>
          <w:rFonts w:ascii="Calibri" w:eastAsia="Times New Roman" w:hAnsi="Calibri" w:cs="Calibri"/>
          <w:sz w:val="24"/>
          <w:szCs w:val="24"/>
          <w:lang w:eastAsia="en-AU"/>
        </w:rPr>
        <w:tab/>
      </w:r>
      <w:r w:rsidRPr="00C65079">
        <w:rPr>
          <w:rFonts w:eastAsia="Times New Roman"/>
          <w:sz w:val="24"/>
          <w:szCs w:val="24"/>
          <w:lang w:eastAsia="en-AU"/>
        </w:rPr>
        <w:t>is agreed to by the agent; and</w:t>
      </w:r>
    </w:p>
    <w:p w14:paraId="2AB93F34" w14:textId="77777777" w:rsidR="002C7C57" w:rsidRDefault="002C7C57" w:rsidP="002C7C57">
      <w:pPr>
        <w:spacing w:before="240" w:line="240" w:lineRule="auto"/>
        <w:ind w:left="2835" w:hanging="567"/>
        <w:textAlignment w:val="baseline"/>
        <w:rPr>
          <w:rFonts w:eastAsia="Times New Roman"/>
          <w:sz w:val="24"/>
          <w:szCs w:val="24"/>
          <w:lang w:eastAsia="en-AU"/>
        </w:rPr>
      </w:pPr>
      <w:r w:rsidRPr="00C65079">
        <w:rPr>
          <w:rFonts w:eastAsia="Times New Roman"/>
          <w:sz w:val="24"/>
          <w:szCs w:val="24"/>
          <w:lang w:eastAsia="en-AU"/>
        </w:rPr>
        <w:t>(B)</w:t>
      </w:r>
      <w:r w:rsidRPr="00C65079">
        <w:rPr>
          <w:rFonts w:ascii="Calibri" w:eastAsia="Times New Roman" w:hAnsi="Calibri" w:cs="Calibri"/>
          <w:sz w:val="24"/>
          <w:szCs w:val="24"/>
          <w:lang w:eastAsia="en-AU"/>
        </w:rPr>
        <w:tab/>
      </w:r>
      <w:r w:rsidRPr="00C65079">
        <w:rPr>
          <w:rFonts w:eastAsia="Times New Roman"/>
          <w:sz w:val="24"/>
          <w:szCs w:val="24"/>
          <w:lang w:eastAsia="en-AU"/>
        </w:rPr>
        <w:t>allows the regulated person to be satisfied, on reasonable grounds, that the agent has received the information statement; and”.</w:t>
      </w:r>
    </w:p>
    <w:p w14:paraId="3BB62319" w14:textId="50FF6C3E" w:rsidR="008326CF" w:rsidRPr="00C65079" w:rsidRDefault="0047362A" w:rsidP="008326CF">
      <w:pPr>
        <w:spacing w:before="240" w:line="240" w:lineRule="auto"/>
        <w:ind w:left="1137" w:hanging="567"/>
        <w:textAlignment w:val="baseline"/>
        <w:rPr>
          <w:rFonts w:ascii="Segoe UI" w:eastAsia="Times New Roman" w:hAnsi="Segoe UI" w:cs="Segoe UI"/>
          <w:i/>
          <w:iCs/>
          <w:sz w:val="18"/>
          <w:szCs w:val="18"/>
          <w:lang w:eastAsia="en-AU"/>
        </w:rPr>
      </w:pPr>
      <w:r>
        <w:rPr>
          <w:rFonts w:eastAsia="Times New Roman"/>
          <w:i/>
          <w:iCs/>
          <w:sz w:val="24"/>
          <w:szCs w:val="24"/>
          <w:lang w:eastAsia="en-AU"/>
        </w:rPr>
        <w:t>A</w:t>
      </w:r>
      <w:r w:rsidR="008326CF" w:rsidRPr="00C65079">
        <w:rPr>
          <w:rFonts w:eastAsia="Times New Roman"/>
          <w:i/>
          <w:iCs/>
          <w:sz w:val="24"/>
          <w:szCs w:val="24"/>
          <w:lang w:eastAsia="en-AU"/>
        </w:rPr>
        <w:t>dditional information on request</w:t>
      </w:r>
    </w:p>
    <w:p w14:paraId="556D4ECC" w14:textId="77777777" w:rsidR="008326CF" w:rsidRDefault="008326CF" w:rsidP="008326CF">
      <w:pPr>
        <w:spacing w:before="240" w:line="240" w:lineRule="auto"/>
        <w:ind w:left="1125" w:hanging="555"/>
        <w:textAlignment w:val="baseline"/>
        <w:rPr>
          <w:rFonts w:eastAsia="Times New Roman"/>
          <w:sz w:val="24"/>
          <w:szCs w:val="24"/>
          <w:lang w:eastAsia="en-AU"/>
        </w:rPr>
      </w:pPr>
      <w:r w:rsidRPr="00C65079">
        <w:rPr>
          <w:rFonts w:eastAsia="Times New Roman"/>
          <w:sz w:val="24"/>
          <w:szCs w:val="24"/>
          <w:lang w:eastAsia="en-AU"/>
        </w:rPr>
        <w:t>(7)</w:t>
      </w:r>
      <w:r w:rsidRPr="00C65079">
        <w:rPr>
          <w:rFonts w:ascii="Calibri" w:eastAsia="Times New Roman" w:hAnsi="Calibri" w:cs="Calibri"/>
          <w:sz w:val="24"/>
          <w:szCs w:val="24"/>
          <w:lang w:eastAsia="en-AU"/>
        </w:rPr>
        <w:tab/>
      </w:r>
      <w:r w:rsidRPr="00C65079">
        <w:rPr>
          <w:rFonts w:eastAsia="Times New Roman"/>
          <w:sz w:val="24"/>
          <w:szCs w:val="24"/>
          <w:lang w:eastAsia="en-AU"/>
        </w:rPr>
        <w:t>Part 7.9 of the Act applies in relation to a responsible person for a Product Disclosure Statement as if subsection 1017A(4) were modified or varied as follows:</w:t>
      </w:r>
    </w:p>
    <w:p w14:paraId="5D74C458" w14:textId="77777777" w:rsidR="008326CF" w:rsidRDefault="008326CF" w:rsidP="008326CF">
      <w:pPr>
        <w:spacing w:before="240" w:line="240" w:lineRule="auto"/>
        <w:ind w:left="1680" w:hanging="555"/>
        <w:textAlignment w:val="baseline"/>
        <w:rPr>
          <w:rFonts w:eastAsia="Times New Roman"/>
          <w:sz w:val="24"/>
          <w:szCs w:val="24"/>
          <w:lang w:eastAsia="en-AU"/>
        </w:rPr>
      </w:pPr>
      <w:r w:rsidRPr="00C65079">
        <w:rPr>
          <w:rFonts w:eastAsia="Times New Roman"/>
          <w:sz w:val="24"/>
          <w:szCs w:val="24"/>
          <w:lang w:eastAsia="en-AU"/>
        </w:rPr>
        <w:t>(a)</w:t>
      </w:r>
      <w:r w:rsidRPr="00C65079">
        <w:rPr>
          <w:rFonts w:ascii="Calibri" w:eastAsia="Times New Roman" w:hAnsi="Calibri" w:cs="Calibri"/>
          <w:sz w:val="24"/>
          <w:szCs w:val="24"/>
          <w:lang w:eastAsia="en-AU"/>
        </w:rPr>
        <w:tab/>
      </w:r>
      <w:r w:rsidRPr="00C65079">
        <w:rPr>
          <w:rFonts w:eastAsia="Times New Roman"/>
          <w:sz w:val="24"/>
          <w:szCs w:val="24"/>
          <w:lang w:eastAsia="en-AU"/>
        </w:rPr>
        <w:t>in paragraph (b) omit “.”, substitute “; or”;</w:t>
      </w:r>
    </w:p>
    <w:p w14:paraId="639D54CF" w14:textId="77777777" w:rsidR="008326CF" w:rsidRDefault="008326CF" w:rsidP="008326CF">
      <w:pPr>
        <w:spacing w:before="240" w:line="240" w:lineRule="auto"/>
        <w:ind w:left="1680" w:hanging="555"/>
        <w:textAlignment w:val="baseline"/>
        <w:rPr>
          <w:rFonts w:eastAsia="Times New Roman"/>
          <w:sz w:val="24"/>
          <w:szCs w:val="24"/>
          <w:lang w:eastAsia="en-AU"/>
        </w:rPr>
      </w:pPr>
      <w:r w:rsidRPr="00C65079">
        <w:rPr>
          <w:rFonts w:eastAsia="Times New Roman"/>
          <w:sz w:val="24"/>
          <w:szCs w:val="24"/>
          <w:lang w:eastAsia="en-AU"/>
        </w:rPr>
        <w:t>(b)</w:t>
      </w:r>
      <w:r w:rsidRPr="00C65079">
        <w:rPr>
          <w:rFonts w:ascii="Calibri" w:eastAsia="Times New Roman" w:hAnsi="Calibri" w:cs="Calibri"/>
          <w:sz w:val="24"/>
          <w:szCs w:val="24"/>
          <w:lang w:eastAsia="en-AU"/>
        </w:rPr>
        <w:tab/>
      </w:r>
      <w:r w:rsidRPr="00C65079">
        <w:rPr>
          <w:rFonts w:eastAsia="Times New Roman"/>
          <w:sz w:val="24"/>
          <w:szCs w:val="24"/>
          <w:lang w:eastAsia="en-AU"/>
        </w:rPr>
        <w:t>after paragraph (b) insert:</w:t>
      </w:r>
    </w:p>
    <w:p w14:paraId="25CB782C" w14:textId="77777777" w:rsidR="008326CF" w:rsidRDefault="008326CF" w:rsidP="008326CF">
      <w:pPr>
        <w:spacing w:before="240" w:line="240" w:lineRule="auto"/>
        <w:ind w:left="2235" w:hanging="555"/>
        <w:textAlignment w:val="baseline"/>
        <w:rPr>
          <w:rFonts w:eastAsia="Times New Roman"/>
          <w:sz w:val="24"/>
          <w:szCs w:val="24"/>
          <w:lang w:eastAsia="en-AU"/>
        </w:rPr>
      </w:pPr>
      <w:r w:rsidRPr="00C65079">
        <w:rPr>
          <w:rFonts w:eastAsia="Times New Roman"/>
          <w:sz w:val="24"/>
          <w:szCs w:val="24"/>
          <w:lang w:eastAsia="en-AU"/>
        </w:rPr>
        <w:t xml:space="preserve">“(c) </w:t>
      </w:r>
      <w:r w:rsidRPr="00C65079">
        <w:rPr>
          <w:rFonts w:ascii="Calibri" w:eastAsia="Times New Roman" w:hAnsi="Calibri" w:cs="Calibri"/>
          <w:sz w:val="24"/>
          <w:szCs w:val="24"/>
          <w:lang w:eastAsia="en-AU"/>
        </w:rPr>
        <w:tab/>
      </w:r>
      <w:r w:rsidRPr="00C65079">
        <w:rPr>
          <w:rFonts w:eastAsia="Times New Roman"/>
          <w:sz w:val="24"/>
          <w:szCs w:val="24"/>
          <w:lang w:eastAsia="en-AU"/>
        </w:rPr>
        <w:t>by making the information available to the person making the request by a nominated electronic means.”.</w:t>
      </w:r>
    </w:p>
    <w:p w14:paraId="4964CB52" w14:textId="26BF08DE" w:rsidR="00B056D1" w:rsidRDefault="0047362A" w:rsidP="00B056D1">
      <w:pPr>
        <w:spacing w:before="240" w:line="240" w:lineRule="auto"/>
        <w:ind w:left="555"/>
        <w:textAlignment w:val="baseline"/>
        <w:rPr>
          <w:rFonts w:eastAsia="Times New Roman"/>
          <w:i/>
          <w:iCs/>
          <w:sz w:val="24"/>
          <w:szCs w:val="24"/>
          <w:lang w:eastAsia="en-AU"/>
        </w:rPr>
      </w:pPr>
      <w:r>
        <w:rPr>
          <w:rFonts w:eastAsia="Times New Roman"/>
          <w:i/>
          <w:iCs/>
          <w:sz w:val="24"/>
          <w:szCs w:val="24"/>
          <w:lang w:eastAsia="en-AU"/>
        </w:rPr>
        <w:lastRenderedPageBreak/>
        <w:t>O</w:t>
      </w:r>
      <w:r w:rsidR="00B056D1" w:rsidRPr="00C65471">
        <w:rPr>
          <w:rFonts w:eastAsia="Times New Roman"/>
          <w:i/>
          <w:iCs/>
          <w:sz w:val="24"/>
          <w:szCs w:val="24"/>
          <w:lang w:eastAsia="en-AU"/>
        </w:rPr>
        <w:t>ngoing disclosures, periodic statements and additional information</w:t>
      </w:r>
    </w:p>
    <w:p w14:paraId="3AD8DB23" w14:textId="77777777" w:rsidR="00B056D1" w:rsidRDefault="00B056D1" w:rsidP="00B056D1">
      <w:pPr>
        <w:spacing w:before="240" w:line="240" w:lineRule="auto"/>
        <w:ind w:left="1134" w:hanging="579"/>
        <w:textAlignment w:val="baseline"/>
        <w:rPr>
          <w:rFonts w:eastAsia="Times New Roman"/>
          <w:sz w:val="24"/>
          <w:szCs w:val="24"/>
          <w:lang w:eastAsia="en-AU"/>
        </w:rPr>
      </w:pPr>
      <w:r w:rsidRPr="00C65471">
        <w:rPr>
          <w:rFonts w:eastAsia="Times New Roman"/>
          <w:sz w:val="24"/>
          <w:szCs w:val="24"/>
          <w:lang w:eastAsia="en-AU"/>
        </w:rPr>
        <w:t>(8)</w:t>
      </w:r>
      <w:r w:rsidRPr="00C65471">
        <w:rPr>
          <w:rFonts w:ascii="Calibri" w:eastAsia="Times New Roman" w:hAnsi="Calibri" w:cs="Calibri"/>
          <w:sz w:val="24"/>
          <w:szCs w:val="24"/>
          <w:lang w:eastAsia="en-AU"/>
        </w:rPr>
        <w:tab/>
      </w:r>
      <w:r w:rsidRPr="00C65471">
        <w:rPr>
          <w:rFonts w:eastAsia="Times New Roman"/>
          <w:sz w:val="24"/>
          <w:szCs w:val="24"/>
          <w:lang w:eastAsia="en-AU"/>
        </w:rPr>
        <w:t>Part 7.9 of the Act applies in relation to an issuer of a financial product, a trustee of a superannuation entity and an RSA provider as if regulation 7.9.75A of the Regulations were modified or varied as follows:</w:t>
      </w:r>
    </w:p>
    <w:p w14:paraId="2C5B9918" w14:textId="77777777" w:rsidR="00B056D1" w:rsidRDefault="00B056D1" w:rsidP="00B056D1">
      <w:pPr>
        <w:spacing w:before="240" w:line="240" w:lineRule="auto"/>
        <w:ind w:left="1713" w:hanging="579"/>
        <w:textAlignment w:val="baseline"/>
        <w:rPr>
          <w:rFonts w:eastAsia="Times New Roman"/>
          <w:sz w:val="24"/>
          <w:szCs w:val="24"/>
          <w:lang w:eastAsia="en-AU"/>
        </w:rPr>
      </w:pPr>
      <w:r w:rsidRPr="00C65471">
        <w:rPr>
          <w:rFonts w:eastAsia="Times New Roman"/>
          <w:sz w:val="24"/>
          <w:szCs w:val="24"/>
          <w:lang w:eastAsia="en-AU"/>
        </w:rPr>
        <w:t>(a)</w:t>
      </w:r>
      <w:r w:rsidRPr="00C65471">
        <w:rPr>
          <w:rFonts w:ascii="Calibri" w:eastAsia="Times New Roman" w:hAnsi="Calibri" w:cs="Calibri"/>
          <w:sz w:val="24"/>
          <w:szCs w:val="24"/>
          <w:lang w:eastAsia="en-AU"/>
        </w:rPr>
        <w:tab/>
      </w:r>
      <w:r w:rsidRPr="00C65471">
        <w:rPr>
          <w:rFonts w:eastAsia="Times New Roman"/>
          <w:sz w:val="24"/>
          <w:szCs w:val="24"/>
          <w:lang w:eastAsia="en-AU"/>
        </w:rPr>
        <w:t>in subregulation (1) omit “a responsible person”, substitute “an issuer”;</w:t>
      </w:r>
    </w:p>
    <w:p w14:paraId="510CFD38" w14:textId="77777777" w:rsidR="00B056D1" w:rsidRDefault="00B056D1" w:rsidP="00B056D1">
      <w:pPr>
        <w:spacing w:before="240" w:line="240" w:lineRule="auto"/>
        <w:ind w:left="1713" w:hanging="579"/>
        <w:textAlignment w:val="baseline"/>
        <w:rPr>
          <w:rFonts w:eastAsia="Times New Roman"/>
          <w:sz w:val="24"/>
          <w:szCs w:val="24"/>
          <w:lang w:eastAsia="en-AU"/>
        </w:rPr>
      </w:pPr>
      <w:r w:rsidRPr="00C65471">
        <w:rPr>
          <w:rFonts w:eastAsia="Times New Roman"/>
          <w:sz w:val="24"/>
          <w:szCs w:val="24"/>
          <w:lang w:eastAsia="en-AU"/>
        </w:rPr>
        <w:t>(b)</w:t>
      </w:r>
      <w:r w:rsidRPr="00C65471">
        <w:rPr>
          <w:rFonts w:ascii="Calibri" w:eastAsia="Times New Roman" w:hAnsi="Calibri" w:cs="Calibri"/>
          <w:sz w:val="24"/>
          <w:szCs w:val="24"/>
          <w:lang w:eastAsia="en-AU"/>
        </w:rPr>
        <w:tab/>
      </w:r>
      <w:r w:rsidRPr="00C65471">
        <w:rPr>
          <w:rFonts w:eastAsia="Times New Roman"/>
          <w:sz w:val="24"/>
          <w:szCs w:val="24"/>
          <w:lang w:eastAsia="en-AU"/>
        </w:rPr>
        <w:t>in paragraph (1)(b) omit “.”, substitute “;”;</w:t>
      </w:r>
    </w:p>
    <w:p w14:paraId="7A5B1C77" w14:textId="77777777" w:rsidR="00B056D1" w:rsidRDefault="00B056D1" w:rsidP="00B056D1">
      <w:pPr>
        <w:spacing w:before="240" w:line="240" w:lineRule="auto"/>
        <w:ind w:left="1713" w:hanging="579"/>
        <w:textAlignment w:val="baseline"/>
        <w:rPr>
          <w:rFonts w:eastAsia="Times New Roman"/>
          <w:sz w:val="24"/>
          <w:szCs w:val="24"/>
          <w:lang w:eastAsia="en-AU"/>
        </w:rPr>
      </w:pPr>
      <w:r w:rsidRPr="00C65471">
        <w:rPr>
          <w:rFonts w:eastAsia="Times New Roman"/>
          <w:sz w:val="24"/>
          <w:szCs w:val="24"/>
          <w:lang w:eastAsia="en-AU"/>
        </w:rPr>
        <w:t>(c)</w:t>
      </w:r>
      <w:r w:rsidRPr="00C65471">
        <w:rPr>
          <w:rFonts w:ascii="Calibri" w:eastAsia="Times New Roman" w:hAnsi="Calibri" w:cs="Calibri"/>
          <w:sz w:val="24"/>
          <w:szCs w:val="24"/>
          <w:lang w:eastAsia="en-AU"/>
        </w:rPr>
        <w:tab/>
      </w:r>
      <w:r w:rsidRPr="00C65471">
        <w:rPr>
          <w:rFonts w:eastAsia="Times New Roman"/>
          <w:sz w:val="24"/>
          <w:szCs w:val="24"/>
          <w:lang w:eastAsia="en-AU"/>
        </w:rPr>
        <w:t>after paragraph (1)(b) insert:</w:t>
      </w:r>
    </w:p>
    <w:p w14:paraId="145FFA3E" w14:textId="77777777" w:rsidR="00B056D1" w:rsidRDefault="00B056D1" w:rsidP="00B056D1">
      <w:pPr>
        <w:spacing w:before="240" w:line="240" w:lineRule="auto"/>
        <w:ind w:left="2274" w:hanging="579"/>
        <w:textAlignment w:val="baseline"/>
        <w:rPr>
          <w:rFonts w:eastAsia="Times New Roman"/>
          <w:sz w:val="24"/>
          <w:szCs w:val="24"/>
          <w:lang w:eastAsia="en-AU"/>
        </w:rPr>
      </w:pPr>
      <w:r w:rsidRPr="00C65471">
        <w:rPr>
          <w:rFonts w:eastAsia="Times New Roman"/>
          <w:sz w:val="24"/>
          <w:szCs w:val="24"/>
          <w:lang w:eastAsia="en-AU"/>
        </w:rPr>
        <w:t xml:space="preserve">“(c) </w:t>
      </w:r>
      <w:r w:rsidRPr="00C65471">
        <w:rPr>
          <w:rFonts w:ascii="Calibri" w:eastAsia="Times New Roman" w:hAnsi="Calibri" w:cs="Calibri"/>
          <w:sz w:val="24"/>
          <w:szCs w:val="24"/>
          <w:lang w:eastAsia="en-AU"/>
        </w:rPr>
        <w:tab/>
      </w:r>
      <w:r w:rsidRPr="00C65471">
        <w:rPr>
          <w:rFonts w:eastAsia="Times New Roman"/>
          <w:sz w:val="24"/>
          <w:szCs w:val="24"/>
          <w:lang w:eastAsia="en-AU"/>
        </w:rPr>
        <w:t>making the notification available to the holder, or the holder’s agent, by a nominated electronic means.”;</w:t>
      </w:r>
    </w:p>
    <w:p w14:paraId="410FDD7D" w14:textId="77777777" w:rsidR="00B056D1" w:rsidRDefault="00B056D1" w:rsidP="00B056D1">
      <w:pPr>
        <w:spacing w:before="240" w:line="240" w:lineRule="auto"/>
        <w:ind w:left="1719" w:hanging="579"/>
        <w:textAlignment w:val="baseline"/>
        <w:rPr>
          <w:rFonts w:eastAsia="Times New Roman"/>
          <w:sz w:val="24"/>
          <w:szCs w:val="24"/>
          <w:lang w:eastAsia="en-AU"/>
        </w:rPr>
      </w:pPr>
      <w:r w:rsidRPr="00C65471">
        <w:rPr>
          <w:rFonts w:eastAsia="Times New Roman"/>
          <w:sz w:val="24"/>
          <w:szCs w:val="24"/>
          <w:lang w:eastAsia="en-AU"/>
        </w:rPr>
        <w:t>(d)</w:t>
      </w:r>
      <w:r w:rsidRPr="00C65471">
        <w:rPr>
          <w:rFonts w:ascii="Calibri" w:eastAsia="Times New Roman" w:hAnsi="Calibri" w:cs="Calibri"/>
          <w:sz w:val="24"/>
          <w:szCs w:val="24"/>
          <w:lang w:eastAsia="en-AU"/>
        </w:rPr>
        <w:tab/>
      </w:r>
      <w:r w:rsidRPr="00C65471">
        <w:rPr>
          <w:rFonts w:eastAsia="Times New Roman"/>
          <w:sz w:val="24"/>
          <w:szCs w:val="24"/>
          <w:lang w:eastAsia="en-AU"/>
        </w:rPr>
        <w:t>in paragraph (2)(b) omit “.”, substitute “;”;</w:t>
      </w:r>
    </w:p>
    <w:p w14:paraId="18B0CA65" w14:textId="77777777" w:rsidR="00B056D1" w:rsidRDefault="00B056D1" w:rsidP="00B056D1">
      <w:pPr>
        <w:spacing w:before="240" w:line="240" w:lineRule="auto"/>
        <w:ind w:left="1719" w:hanging="579"/>
        <w:textAlignment w:val="baseline"/>
        <w:rPr>
          <w:rFonts w:eastAsia="Times New Roman"/>
          <w:sz w:val="24"/>
          <w:szCs w:val="24"/>
          <w:lang w:eastAsia="en-AU"/>
        </w:rPr>
      </w:pPr>
      <w:r w:rsidRPr="00C65471">
        <w:rPr>
          <w:rFonts w:eastAsia="Times New Roman"/>
          <w:sz w:val="24"/>
          <w:szCs w:val="24"/>
          <w:lang w:eastAsia="en-AU"/>
        </w:rPr>
        <w:t>(e)</w:t>
      </w:r>
      <w:r w:rsidRPr="00C65471">
        <w:rPr>
          <w:rFonts w:ascii="Calibri" w:eastAsia="Times New Roman" w:hAnsi="Calibri" w:cs="Calibri"/>
          <w:sz w:val="24"/>
          <w:szCs w:val="24"/>
          <w:lang w:eastAsia="en-AU"/>
        </w:rPr>
        <w:tab/>
      </w:r>
      <w:r w:rsidRPr="00C65471">
        <w:rPr>
          <w:rFonts w:eastAsia="Times New Roman"/>
          <w:sz w:val="24"/>
          <w:szCs w:val="24"/>
          <w:lang w:eastAsia="en-AU"/>
        </w:rPr>
        <w:t>after paragraph (2)(b) insert:</w:t>
      </w:r>
    </w:p>
    <w:p w14:paraId="51515131" w14:textId="77777777" w:rsidR="00B056D1" w:rsidRDefault="00B056D1" w:rsidP="00B056D1">
      <w:pPr>
        <w:spacing w:before="240" w:line="240" w:lineRule="auto"/>
        <w:ind w:left="2274" w:hanging="579"/>
        <w:textAlignment w:val="baseline"/>
        <w:rPr>
          <w:rFonts w:eastAsia="Times New Roman"/>
          <w:sz w:val="24"/>
          <w:szCs w:val="24"/>
          <w:lang w:eastAsia="en-AU"/>
        </w:rPr>
      </w:pPr>
      <w:r w:rsidRPr="00C65471">
        <w:rPr>
          <w:rFonts w:eastAsia="Times New Roman"/>
          <w:sz w:val="24"/>
          <w:szCs w:val="24"/>
          <w:lang w:eastAsia="en-AU"/>
        </w:rPr>
        <w:t xml:space="preserve">“(c) </w:t>
      </w:r>
      <w:r w:rsidRPr="00C65471">
        <w:rPr>
          <w:rFonts w:ascii="Calibri" w:eastAsia="Times New Roman" w:hAnsi="Calibri" w:cs="Calibri"/>
          <w:sz w:val="24"/>
          <w:szCs w:val="24"/>
          <w:lang w:eastAsia="en-AU"/>
        </w:rPr>
        <w:tab/>
      </w:r>
      <w:r w:rsidRPr="00C65471">
        <w:rPr>
          <w:rFonts w:eastAsia="Times New Roman"/>
          <w:sz w:val="24"/>
          <w:szCs w:val="24"/>
          <w:lang w:eastAsia="en-AU"/>
        </w:rPr>
        <w:t>making the periodic statement available to the holder, or the holder’s agent, by a nominated electronic means.”;</w:t>
      </w:r>
    </w:p>
    <w:p w14:paraId="37A4B019" w14:textId="497A6090" w:rsidR="00B056D1" w:rsidRDefault="00B056D1" w:rsidP="00B056D1">
      <w:pPr>
        <w:spacing w:before="240" w:line="240" w:lineRule="auto"/>
        <w:ind w:left="1719" w:hanging="579"/>
        <w:textAlignment w:val="baseline"/>
        <w:rPr>
          <w:rFonts w:eastAsia="Times New Roman"/>
          <w:sz w:val="24"/>
          <w:szCs w:val="24"/>
          <w:lang w:eastAsia="en-AU"/>
        </w:rPr>
      </w:pPr>
      <w:r w:rsidRPr="00C65471">
        <w:rPr>
          <w:rFonts w:eastAsia="Times New Roman"/>
          <w:sz w:val="24"/>
          <w:szCs w:val="24"/>
          <w:lang w:eastAsia="en-AU"/>
        </w:rPr>
        <w:t>(f)</w:t>
      </w:r>
      <w:r w:rsidRPr="00C65471">
        <w:rPr>
          <w:rFonts w:ascii="Calibri" w:eastAsia="Times New Roman" w:hAnsi="Calibri" w:cs="Calibri"/>
          <w:sz w:val="24"/>
          <w:szCs w:val="24"/>
          <w:lang w:eastAsia="en-AU"/>
        </w:rPr>
        <w:tab/>
      </w:r>
      <w:r w:rsidRPr="00C65471">
        <w:rPr>
          <w:rFonts w:eastAsia="Times New Roman"/>
          <w:sz w:val="24"/>
          <w:szCs w:val="24"/>
          <w:lang w:eastAsia="en-AU"/>
        </w:rPr>
        <w:t xml:space="preserve">in </w:t>
      </w:r>
      <w:r w:rsidRPr="00561329">
        <w:rPr>
          <w:rFonts w:eastAsia="Times New Roman"/>
          <w:sz w:val="24"/>
          <w:szCs w:val="24"/>
          <w:lang w:eastAsia="en-AU"/>
        </w:rPr>
        <w:t>paragraph 3(e)</w:t>
      </w:r>
      <w:r>
        <w:rPr>
          <w:rFonts w:eastAsia="Times New Roman"/>
          <w:sz w:val="24"/>
          <w:szCs w:val="24"/>
          <w:lang w:eastAsia="en-AU"/>
        </w:rPr>
        <w:t xml:space="preserve"> o</w:t>
      </w:r>
      <w:r w:rsidRPr="00C65471">
        <w:rPr>
          <w:rFonts w:eastAsia="Times New Roman"/>
          <w:sz w:val="24"/>
          <w:szCs w:val="24"/>
          <w:lang w:eastAsia="en-AU"/>
        </w:rPr>
        <w:t>mit “.”, substitute “;”;</w:t>
      </w:r>
    </w:p>
    <w:p w14:paraId="44048D1E" w14:textId="77777777" w:rsidR="00B056D1" w:rsidRDefault="00B056D1" w:rsidP="00B056D1">
      <w:pPr>
        <w:spacing w:before="240" w:line="240" w:lineRule="auto"/>
        <w:ind w:left="1719" w:hanging="579"/>
        <w:textAlignment w:val="baseline"/>
        <w:rPr>
          <w:rFonts w:eastAsia="Times New Roman"/>
          <w:sz w:val="24"/>
          <w:szCs w:val="24"/>
          <w:lang w:eastAsia="en-AU"/>
        </w:rPr>
      </w:pPr>
      <w:r w:rsidRPr="00C65471">
        <w:rPr>
          <w:rFonts w:eastAsia="Times New Roman"/>
          <w:sz w:val="24"/>
          <w:szCs w:val="24"/>
          <w:lang w:eastAsia="en-AU"/>
        </w:rPr>
        <w:t>(g)</w:t>
      </w:r>
      <w:r w:rsidRPr="00C65471">
        <w:rPr>
          <w:rFonts w:ascii="Calibri" w:eastAsia="Times New Roman" w:hAnsi="Calibri" w:cs="Calibri"/>
          <w:sz w:val="24"/>
          <w:szCs w:val="24"/>
          <w:lang w:eastAsia="en-AU"/>
        </w:rPr>
        <w:tab/>
      </w:r>
      <w:r w:rsidRPr="00C65471">
        <w:rPr>
          <w:rFonts w:eastAsia="Times New Roman"/>
          <w:sz w:val="24"/>
          <w:szCs w:val="24"/>
          <w:lang w:eastAsia="en-AU"/>
        </w:rPr>
        <w:t>after paragraph (3)(e) insert:</w:t>
      </w:r>
    </w:p>
    <w:p w14:paraId="7DA69029" w14:textId="77777777" w:rsidR="00B056D1" w:rsidRDefault="00B056D1" w:rsidP="00B056D1">
      <w:pPr>
        <w:spacing w:before="240" w:line="240" w:lineRule="auto"/>
        <w:ind w:left="2298" w:hanging="579"/>
        <w:textAlignment w:val="baseline"/>
        <w:rPr>
          <w:rFonts w:eastAsia="Times New Roman"/>
          <w:sz w:val="24"/>
          <w:szCs w:val="24"/>
          <w:lang w:eastAsia="en-AU"/>
        </w:rPr>
      </w:pPr>
      <w:r w:rsidRPr="00C65471">
        <w:rPr>
          <w:rFonts w:eastAsia="Times New Roman"/>
          <w:sz w:val="24"/>
          <w:szCs w:val="24"/>
          <w:lang w:eastAsia="en-AU"/>
        </w:rPr>
        <w:t>“(f)</w:t>
      </w:r>
      <w:r w:rsidRPr="00C65471">
        <w:rPr>
          <w:rFonts w:ascii="Calibri" w:eastAsia="Times New Roman" w:hAnsi="Calibri" w:cs="Calibri"/>
          <w:sz w:val="24"/>
          <w:szCs w:val="24"/>
          <w:lang w:eastAsia="en-AU"/>
        </w:rPr>
        <w:tab/>
      </w:r>
      <w:r w:rsidRPr="00C65471">
        <w:rPr>
          <w:rFonts w:eastAsia="Times New Roman"/>
          <w:sz w:val="24"/>
          <w:szCs w:val="24"/>
          <w:lang w:eastAsia="en-AU"/>
        </w:rPr>
        <w:t>making information available to the person, or the person’s agent, by a nominated electronic means.”.</w:t>
      </w:r>
    </w:p>
    <w:p w14:paraId="3D657399" w14:textId="6A9C0F4B" w:rsidR="00FF1222" w:rsidRDefault="0047362A" w:rsidP="00FF1222">
      <w:pPr>
        <w:spacing w:before="240" w:line="240" w:lineRule="auto"/>
        <w:ind w:left="567" w:firstLine="3"/>
        <w:textAlignment w:val="baseline"/>
        <w:rPr>
          <w:rFonts w:eastAsia="Times New Roman"/>
          <w:i/>
          <w:iCs/>
          <w:sz w:val="24"/>
          <w:szCs w:val="24"/>
          <w:lang w:eastAsia="en-AU"/>
        </w:rPr>
      </w:pPr>
      <w:r>
        <w:rPr>
          <w:rFonts w:eastAsia="Times New Roman"/>
          <w:i/>
          <w:iCs/>
          <w:sz w:val="24"/>
          <w:szCs w:val="24"/>
          <w:lang w:eastAsia="en-AU"/>
        </w:rPr>
        <w:t>E</w:t>
      </w:r>
      <w:r w:rsidR="00FF1222" w:rsidRPr="00C65471">
        <w:rPr>
          <w:rFonts w:eastAsia="Times New Roman"/>
          <w:i/>
          <w:iCs/>
          <w:sz w:val="24"/>
          <w:szCs w:val="24"/>
          <w:lang w:eastAsia="en-AU"/>
        </w:rPr>
        <w:t>lectronic addresses supplied by employers to trustees of standard employer-sponsored superannuation funds</w:t>
      </w:r>
    </w:p>
    <w:p w14:paraId="78109AA2" w14:textId="12311AEB" w:rsidR="00FF1222" w:rsidRDefault="00FF1222" w:rsidP="00FF1222">
      <w:pPr>
        <w:spacing w:before="240" w:line="240" w:lineRule="auto"/>
        <w:ind w:left="1134" w:hanging="564"/>
        <w:textAlignment w:val="baseline"/>
        <w:rPr>
          <w:rFonts w:eastAsia="Times New Roman"/>
          <w:sz w:val="24"/>
          <w:szCs w:val="24"/>
          <w:lang w:eastAsia="en-AU"/>
        </w:rPr>
      </w:pPr>
      <w:r w:rsidRPr="00C65471">
        <w:rPr>
          <w:rFonts w:eastAsia="Times New Roman"/>
          <w:sz w:val="24"/>
          <w:szCs w:val="24"/>
          <w:lang w:eastAsia="en-AU"/>
        </w:rPr>
        <w:t>(9)</w:t>
      </w:r>
      <w:r w:rsidRPr="00C65471">
        <w:rPr>
          <w:rFonts w:ascii="Calibri" w:eastAsia="Times New Roman" w:hAnsi="Calibri" w:cs="Calibri"/>
          <w:sz w:val="24"/>
          <w:szCs w:val="24"/>
          <w:lang w:eastAsia="en-AU"/>
        </w:rPr>
        <w:tab/>
      </w:r>
      <w:r w:rsidRPr="00C65471">
        <w:rPr>
          <w:rFonts w:eastAsia="Times New Roman"/>
          <w:sz w:val="24"/>
          <w:szCs w:val="24"/>
          <w:lang w:eastAsia="en-AU"/>
        </w:rPr>
        <w:t>Part 7.9 of the Act applies in relation to a trustee of a standard employer-sponsored fund as if:</w:t>
      </w:r>
    </w:p>
    <w:p w14:paraId="300921D4" w14:textId="77777777" w:rsidR="00FF1222" w:rsidRDefault="00FF1222" w:rsidP="00FF1222">
      <w:pPr>
        <w:spacing w:before="240" w:line="240" w:lineRule="auto"/>
        <w:ind w:left="1698" w:hanging="564"/>
        <w:textAlignment w:val="baseline"/>
        <w:rPr>
          <w:rFonts w:eastAsia="Times New Roman"/>
          <w:sz w:val="24"/>
          <w:szCs w:val="24"/>
          <w:lang w:eastAsia="en-AU"/>
        </w:rPr>
      </w:pPr>
      <w:r w:rsidRPr="00C65471">
        <w:rPr>
          <w:rFonts w:eastAsia="Times New Roman"/>
          <w:sz w:val="24"/>
          <w:szCs w:val="24"/>
          <w:lang w:eastAsia="en-AU"/>
        </w:rPr>
        <w:t>(a)</w:t>
      </w:r>
      <w:r w:rsidRPr="00C65471">
        <w:rPr>
          <w:rFonts w:ascii="Calibri" w:eastAsia="Times New Roman" w:hAnsi="Calibri" w:cs="Calibri"/>
          <w:sz w:val="24"/>
          <w:szCs w:val="24"/>
          <w:lang w:eastAsia="en-AU"/>
        </w:rPr>
        <w:tab/>
      </w:r>
      <w:r w:rsidRPr="00C65471">
        <w:rPr>
          <w:rFonts w:eastAsia="Times New Roman"/>
          <w:sz w:val="24"/>
          <w:szCs w:val="24"/>
          <w:lang w:eastAsia="en-AU"/>
        </w:rPr>
        <w:t xml:space="preserve">section 1015C were modified or varied by, </w:t>
      </w:r>
      <w:r w:rsidRPr="005B5BE4">
        <w:rPr>
          <w:rFonts w:eastAsia="Times New Roman"/>
          <w:sz w:val="24"/>
          <w:szCs w:val="24"/>
          <w:lang w:eastAsia="en-AU"/>
        </w:rPr>
        <w:t>after subsection (4),</w:t>
      </w:r>
      <w:r w:rsidRPr="00C65471">
        <w:rPr>
          <w:rFonts w:eastAsia="Times New Roman"/>
          <w:sz w:val="24"/>
          <w:szCs w:val="24"/>
          <w:lang w:eastAsia="en-AU"/>
        </w:rPr>
        <w:t xml:space="preserve"> inserting:</w:t>
      </w:r>
    </w:p>
    <w:p w14:paraId="696387EC" w14:textId="095B2820" w:rsidR="00FF1222" w:rsidRDefault="00FF1222" w:rsidP="00FF1222">
      <w:pPr>
        <w:spacing w:before="240" w:line="240" w:lineRule="auto"/>
        <w:ind w:left="2410" w:hanging="709"/>
        <w:textAlignment w:val="baseline"/>
        <w:rPr>
          <w:rFonts w:eastAsia="Times New Roman"/>
          <w:sz w:val="24"/>
          <w:szCs w:val="24"/>
          <w:lang w:eastAsia="en-AU"/>
        </w:rPr>
      </w:pPr>
      <w:r w:rsidRPr="00C65471">
        <w:rPr>
          <w:rFonts w:eastAsia="Times New Roman"/>
          <w:sz w:val="24"/>
          <w:szCs w:val="24"/>
          <w:lang w:eastAsia="en-AU"/>
        </w:rPr>
        <w:t>“(4A)</w:t>
      </w:r>
      <w:r>
        <w:rPr>
          <w:rFonts w:eastAsia="Times New Roman"/>
          <w:sz w:val="24"/>
          <w:szCs w:val="24"/>
          <w:lang w:eastAsia="en-AU"/>
        </w:rPr>
        <w:tab/>
      </w:r>
      <w:r w:rsidRPr="00C65471">
        <w:rPr>
          <w:rFonts w:eastAsia="Times New Roman"/>
          <w:sz w:val="24"/>
          <w:szCs w:val="24"/>
          <w:lang w:eastAsia="en-AU"/>
        </w:rPr>
        <w:t>If the regulated person is a trustee of a standard employer-sponsored fund (</w:t>
      </w:r>
      <w:r w:rsidRPr="00C65471">
        <w:rPr>
          <w:rFonts w:eastAsia="Times New Roman"/>
          <w:b/>
          <w:bCs/>
          <w:i/>
          <w:iCs/>
          <w:sz w:val="24"/>
          <w:szCs w:val="24"/>
          <w:lang w:eastAsia="en-AU"/>
        </w:rPr>
        <w:t>relevant fund</w:t>
      </w:r>
      <w:r w:rsidRPr="00C65471">
        <w:rPr>
          <w:rFonts w:eastAsia="Times New Roman"/>
          <w:sz w:val="24"/>
          <w:szCs w:val="24"/>
          <w:lang w:eastAsia="en-AU"/>
        </w:rPr>
        <w:t>) , the regulated person may instead send the Statement to an electronic address provided to the regulated person or another trustee of a standard employer-sponsored fund by the person’s employer (as at the time the address was provided) if:</w:t>
      </w:r>
    </w:p>
    <w:p w14:paraId="2A6254A2" w14:textId="77777777" w:rsidR="00FF1222" w:rsidRDefault="00FF1222" w:rsidP="00FF1222">
      <w:pPr>
        <w:spacing w:before="240" w:line="240" w:lineRule="auto"/>
        <w:ind w:left="2974" w:hanging="564"/>
        <w:textAlignment w:val="baseline"/>
        <w:rPr>
          <w:rFonts w:eastAsia="Times New Roman"/>
          <w:sz w:val="24"/>
          <w:szCs w:val="24"/>
          <w:lang w:eastAsia="en-AU"/>
        </w:rPr>
      </w:pPr>
      <w:r w:rsidRPr="00C65471">
        <w:rPr>
          <w:rFonts w:eastAsia="Times New Roman"/>
          <w:sz w:val="24"/>
          <w:szCs w:val="24"/>
          <w:lang w:eastAsia="en-AU"/>
        </w:rPr>
        <w:t>(a)</w:t>
      </w:r>
      <w:r w:rsidRPr="00C65471">
        <w:rPr>
          <w:rFonts w:ascii="Calibri" w:eastAsia="Times New Roman" w:hAnsi="Calibri" w:cs="Calibri"/>
          <w:sz w:val="24"/>
          <w:szCs w:val="24"/>
          <w:lang w:eastAsia="en-AU"/>
        </w:rPr>
        <w:tab/>
      </w:r>
      <w:r w:rsidRPr="00C65471">
        <w:rPr>
          <w:rFonts w:eastAsia="Times New Roman"/>
          <w:sz w:val="24"/>
          <w:szCs w:val="24"/>
          <w:lang w:eastAsia="en-AU"/>
        </w:rPr>
        <w:t xml:space="preserve">the employer contributes, or has contributed, to the relevant fund for the benefit of the person in the absence of there being a chosen fund (within the meaning of the </w:t>
      </w:r>
      <w:r w:rsidRPr="00C65471">
        <w:rPr>
          <w:rFonts w:eastAsia="Times New Roman"/>
          <w:i/>
          <w:iCs/>
          <w:sz w:val="24"/>
          <w:szCs w:val="24"/>
          <w:lang w:eastAsia="en-AU"/>
        </w:rPr>
        <w:t>Superannuation Guarantee (Administration) Act 1992</w:t>
      </w:r>
      <w:r w:rsidRPr="00C65471">
        <w:rPr>
          <w:rFonts w:eastAsia="Times New Roman"/>
          <w:sz w:val="24"/>
          <w:szCs w:val="24"/>
          <w:lang w:eastAsia="en-AU"/>
        </w:rPr>
        <w:t>) for the person; and</w:t>
      </w:r>
    </w:p>
    <w:p w14:paraId="195593E9" w14:textId="77777777" w:rsidR="00FF1222" w:rsidRDefault="00FF1222" w:rsidP="00FF1222">
      <w:pPr>
        <w:spacing w:before="240" w:line="240" w:lineRule="auto"/>
        <w:ind w:left="2974" w:hanging="564"/>
        <w:textAlignment w:val="baseline"/>
        <w:rPr>
          <w:rFonts w:eastAsia="Times New Roman"/>
          <w:sz w:val="24"/>
          <w:szCs w:val="24"/>
          <w:lang w:eastAsia="en-AU"/>
        </w:rPr>
      </w:pPr>
      <w:r w:rsidRPr="00C65471">
        <w:rPr>
          <w:rFonts w:eastAsia="Times New Roman"/>
          <w:sz w:val="24"/>
          <w:szCs w:val="24"/>
          <w:lang w:eastAsia="en-AU"/>
        </w:rPr>
        <w:lastRenderedPageBreak/>
        <w:t>(b)</w:t>
      </w:r>
      <w:r w:rsidRPr="00C65471">
        <w:rPr>
          <w:rFonts w:ascii="Calibri" w:eastAsia="Times New Roman" w:hAnsi="Calibri" w:cs="Calibri"/>
          <w:sz w:val="24"/>
          <w:szCs w:val="24"/>
          <w:lang w:eastAsia="en-AU"/>
        </w:rPr>
        <w:tab/>
      </w:r>
      <w:r w:rsidRPr="00C65471">
        <w:rPr>
          <w:rFonts w:eastAsia="Times New Roman"/>
          <w:sz w:val="24"/>
          <w:szCs w:val="24"/>
          <w:lang w:eastAsia="en-AU"/>
        </w:rPr>
        <w:t>the employer provided the electronic address as part of providing contact details for the person; and</w:t>
      </w:r>
    </w:p>
    <w:p w14:paraId="031808F2" w14:textId="77777777" w:rsidR="00FF1222" w:rsidRDefault="00FF1222" w:rsidP="00FF1222">
      <w:pPr>
        <w:spacing w:before="240" w:line="240" w:lineRule="auto"/>
        <w:ind w:left="2974" w:hanging="564"/>
        <w:textAlignment w:val="baseline"/>
        <w:rPr>
          <w:rFonts w:eastAsia="Times New Roman"/>
          <w:sz w:val="24"/>
          <w:szCs w:val="24"/>
          <w:lang w:eastAsia="en-AU"/>
        </w:rPr>
      </w:pPr>
      <w:r w:rsidRPr="00C65471">
        <w:rPr>
          <w:rFonts w:eastAsia="Times New Roman"/>
          <w:sz w:val="24"/>
          <w:szCs w:val="24"/>
          <w:lang w:eastAsia="en-AU"/>
        </w:rPr>
        <w:t>(c)</w:t>
      </w:r>
      <w:r w:rsidRPr="00C65471">
        <w:rPr>
          <w:rFonts w:ascii="Calibri" w:eastAsia="Times New Roman" w:hAnsi="Calibri" w:cs="Calibri"/>
          <w:sz w:val="24"/>
          <w:szCs w:val="24"/>
          <w:lang w:eastAsia="en-AU"/>
        </w:rPr>
        <w:tab/>
      </w:r>
      <w:r w:rsidRPr="00C65471">
        <w:rPr>
          <w:rFonts w:eastAsia="Times New Roman"/>
          <w:sz w:val="24"/>
          <w:szCs w:val="24"/>
          <w:lang w:eastAsia="en-AU"/>
        </w:rPr>
        <w:t>the Statement is accompanied by a statement that, if requested, the regulated person will send the Statement and other communications to another electronic or postal address nominated by the person; and</w:t>
      </w:r>
    </w:p>
    <w:p w14:paraId="4C1BE156" w14:textId="77777777" w:rsidR="00FF1222" w:rsidRDefault="00FF1222" w:rsidP="00FF1222">
      <w:pPr>
        <w:spacing w:before="240" w:line="240" w:lineRule="auto"/>
        <w:ind w:left="2974" w:hanging="564"/>
        <w:textAlignment w:val="baseline"/>
        <w:rPr>
          <w:rFonts w:eastAsia="Times New Roman"/>
          <w:sz w:val="24"/>
          <w:szCs w:val="24"/>
          <w:lang w:eastAsia="en-AU"/>
        </w:rPr>
      </w:pPr>
      <w:r w:rsidRPr="00C65471">
        <w:rPr>
          <w:rFonts w:eastAsia="Times New Roman"/>
          <w:sz w:val="24"/>
          <w:szCs w:val="24"/>
          <w:lang w:eastAsia="en-AU"/>
        </w:rPr>
        <w:t>(d)</w:t>
      </w:r>
      <w:r w:rsidRPr="00C65471">
        <w:rPr>
          <w:rFonts w:ascii="Calibri" w:eastAsia="Times New Roman" w:hAnsi="Calibri" w:cs="Calibri"/>
          <w:sz w:val="24"/>
          <w:szCs w:val="24"/>
          <w:lang w:eastAsia="en-AU"/>
        </w:rPr>
        <w:tab/>
      </w:r>
      <w:r w:rsidRPr="00C65471">
        <w:rPr>
          <w:rFonts w:eastAsia="Times New Roman"/>
          <w:sz w:val="24"/>
          <w:szCs w:val="24"/>
          <w:lang w:eastAsia="en-AU"/>
        </w:rPr>
        <w:t>the person has not requested that the issuer send the Statement to another electronic or postal address; and</w:t>
      </w:r>
    </w:p>
    <w:p w14:paraId="64A08DA3" w14:textId="77777777" w:rsidR="00FF1222" w:rsidRDefault="00FF1222" w:rsidP="00FF1222">
      <w:pPr>
        <w:spacing w:before="240" w:line="240" w:lineRule="auto"/>
        <w:ind w:left="2974" w:hanging="564"/>
        <w:textAlignment w:val="baseline"/>
        <w:rPr>
          <w:rFonts w:eastAsia="Times New Roman"/>
          <w:sz w:val="24"/>
          <w:szCs w:val="24"/>
          <w:lang w:eastAsia="en-AU"/>
        </w:rPr>
      </w:pPr>
      <w:r w:rsidRPr="00C65471">
        <w:rPr>
          <w:rFonts w:eastAsia="Times New Roman"/>
          <w:sz w:val="24"/>
          <w:szCs w:val="24"/>
          <w:lang w:eastAsia="en-AU"/>
        </w:rPr>
        <w:t>(e)</w:t>
      </w:r>
      <w:r w:rsidRPr="00C65471">
        <w:rPr>
          <w:rFonts w:ascii="Calibri" w:eastAsia="Times New Roman" w:hAnsi="Calibri" w:cs="Calibri"/>
          <w:sz w:val="24"/>
          <w:szCs w:val="24"/>
          <w:lang w:eastAsia="en-AU"/>
        </w:rPr>
        <w:tab/>
      </w:r>
      <w:r w:rsidRPr="00C65471">
        <w:rPr>
          <w:rFonts w:eastAsia="Times New Roman"/>
          <w:sz w:val="24"/>
          <w:szCs w:val="24"/>
          <w:lang w:eastAsia="en-AU"/>
        </w:rPr>
        <w:t>the regulated person has no reasonable grounds for believing that the electronic address is not a current electronic address for the person.</w:t>
      </w:r>
    </w:p>
    <w:p w14:paraId="7E669E8C" w14:textId="77777777" w:rsidR="00FF1222" w:rsidRDefault="00FF1222" w:rsidP="00FF1222">
      <w:pPr>
        <w:keepNext/>
        <w:spacing w:before="240" w:line="240" w:lineRule="auto"/>
        <w:ind w:left="2410" w:hanging="567"/>
        <w:textAlignment w:val="baseline"/>
        <w:rPr>
          <w:rFonts w:eastAsia="Times New Roman"/>
          <w:sz w:val="24"/>
          <w:szCs w:val="24"/>
          <w:lang w:eastAsia="en-AU"/>
        </w:rPr>
      </w:pPr>
      <w:r w:rsidRPr="00C65471">
        <w:rPr>
          <w:rFonts w:eastAsia="Times New Roman"/>
          <w:sz w:val="24"/>
          <w:szCs w:val="24"/>
          <w:lang w:eastAsia="en-AU"/>
        </w:rPr>
        <w:t>(4B)</w:t>
      </w:r>
      <w:r>
        <w:rPr>
          <w:rFonts w:eastAsia="Times New Roman"/>
          <w:sz w:val="24"/>
          <w:szCs w:val="24"/>
          <w:lang w:eastAsia="en-AU"/>
        </w:rPr>
        <w:tab/>
      </w:r>
      <w:r w:rsidRPr="00C65471">
        <w:rPr>
          <w:rFonts w:eastAsia="Times New Roman"/>
          <w:sz w:val="24"/>
          <w:szCs w:val="24"/>
          <w:lang w:eastAsia="en-AU"/>
        </w:rPr>
        <w:t>If, within 14 days after sending:</w:t>
      </w:r>
    </w:p>
    <w:p w14:paraId="41DD561F" w14:textId="77777777" w:rsidR="00FF1222" w:rsidRDefault="00FF1222" w:rsidP="00FF1222">
      <w:pPr>
        <w:keepNext/>
        <w:spacing w:before="240" w:line="240" w:lineRule="auto"/>
        <w:ind w:left="2977" w:hanging="567"/>
        <w:textAlignment w:val="baseline"/>
        <w:rPr>
          <w:rFonts w:eastAsia="Times New Roman"/>
          <w:sz w:val="24"/>
          <w:szCs w:val="24"/>
          <w:lang w:eastAsia="en-AU"/>
        </w:rPr>
      </w:pPr>
      <w:r w:rsidRPr="00C65471">
        <w:rPr>
          <w:rFonts w:eastAsia="Times New Roman"/>
          <w:sz w:val="24"/>
          <w:szCs w:val="24"/>
          <w:lang w:eastAsia="en-AU"/>
        </w:rPr>
        <w:t>(a)</w:t>
      </w:r>
      <w:r w:rsidRPr="00C65471">
        <w:rPr>
          <w:rFonts w:ascii="Calibri" w:eastAsia="Times New Roman" w:hAnsi="Calibri" w:cs="Calibri"/>
          <w:sz w:val="24"/>
          <w:szCs w:val="24"/>
          <w:lang w:eastAsia="en-AU"/>
        </w:rPr>
        <w:tab/>
      </w:r>
      <w:r w:rsidRPr="00C65471">
        <w:rPr>
          <w:rFonts w:eastAsia="Times New Roman"/>
          <w:sz w:val="24"/>
          <w:szCs w:val="24"/>
          <w:lang w:eastAsia="en-AU"/>
        </w:rPr>
        <w:t>a Statement to a person at an electronic address in accordance with subsection (4A); or</w:t>
      </w:r>
    </w:p>
    <w:p w14:paraId="633DC770" w14:textId="091F09F4" w:rsidR="00FF1222" w:rsidRDefault="00FF1222" w:rsidP="00FF1222">
      <w:pPr>
        <w:keepNext/>
        <w:spacing w:before="240" w:line="240" w:lineRule="auto"/>
        <w:ind w:left="2977" w:hanging="567"/>
        <w:textAlignment w:val="baseline"/>
        <w:rPr>
          <w:rFonts w:eastAsia="Times New Roman"/>
          <w:sz w:val="24"/>
          <w:szCs w:val="24"/>
          <w:lang w:eastAsia="en-AU"/>
        </w:rPr>
      </w:pPr>
      <w:r w:rsidRPr="00C65471">
        <w:rPr>
          <w:rFonts w:eastAsia="Times New Roman"/>
          <w:sz w:val="24"/>
          <w:szCs w:val="24"/>
          <w:lang w:eastAsia="en-AU"/>
        </w:rPr>
        <w:t>(b)</w:t>
      </w:r>
      <w:r w:rsidRPr="00C65471">
        <w:rPr>
          <w:rFonts w:ascii="Calibri" w:eastAsia="Times New Roman" w:hAnsi="Calibri" w:cs="Calibri"/>
          <w:sz w:val="24"/>
          <w:szCs w:val="24"/>
          <w:lang w:eastAsia="en-AU"/>
        </w:rPr>
        <w:tab/>
      </w:r>
      <w:r w:rsidRPr="00C65471">
        <w:rPr>
          <w:rFonts w:eastAsia="Times New Roman"/>
          <w:sz w:val="24"/>
          <w:szCs w:val="24"/>
          <w:lang w:eastAsia="en-AU"/>
        </w:rPr>
        <w:t xml:space="preserve">a notice to a person at an electronic address in accordance with subparagraph (d)(iv) of the definition of </w:t>
      </w:r>
      <w:r w:rsidRPr="00C65471">
        <w:rPr>
          <w:rFonts w:eastAsia="Times New Roman"/>
          <w:b/>
          <w:bCs/>
          <w:i/>
          <w:iCs/>
          <w:sz w:val="24"/>
          <w:szCs w:val="24"/>
          <w:lang w:eastAsia="en-AU"/>
        </w:rPr>
        <w:t xml:space="preserve">nominated electronic means </w:t>
      </w:r>
      <w:r w:rsidRPr="00C65471">
        <w:rPr>
          <w:rFonts w:eastAsia="Times New Roman"/>
          <w:sz w:val="24"/>
          <w:szCs w:val="24"/>
          <w:lang w:eastAsia="en-AU"/>
        </w:rPr>
        <w:t xml:space="preserve">in section </w:t>
      </w:r>
      <w:r w:rsidR="00397173">
        <w:rPr>
          <w:rFonts w:eastAsia="Times New Roman"/>
          <w:sz w:val="24"/>
          <w:szCs w:val="24"/>
          <w:lang w:eastAsia="en-AU"/>
        </w:rPr>
        <w:t>9</w:t>
      </w:r>
      <w:r w:rsidRPr="00C65471">
        <w:rPr>
          <w:rFonts w:eastAsia="Times New Roman"/>
          <w:sz w:val="24"/>
          <w:szCs w:val="24"/>
          <w:lang w:eastAsia="en-AU"/>
        </w:rPr>
        <w:t xml:space="preserve"> in the course of making a Statement available to the person by a nominated electronic means;</w:t>
      </w:r>
    </w:p>
    <w:p w14:paraId="54190E45" w14:textId="77777777" w:rsidR="00FF1222" w:rsidRDefault="00FF1222" w:rsidP="00FF1222">
      <w:pPr>
        <w:keepNext/>
        <w:spacing w:before="240" w:line="240" w:lineRule="auto"/>
        <w:ind w:left="2410"/>
        <w:textAlignment w:val="baseline"/>
        <w:rPr>
          <w:rFonts w:eastAsia="Times New Roman"/>
          <w:sz w:val="24"/>
          <w:szCs w:val="24"/>
          <w:lang w:eastAsia="en-AU"/>
        </w:rPr>
      </w:pPr>
      <w:r w:rsidRPr="00C65471">
        <w:rPr>
          <w:rFonts w:eastAsia="Times New Roman"/>
          <w:sz w:val="24"/>
          <w:szCs w:val="24"/>
          <w:lang w:eastAsia="en-AU"/>
        </w:rPr>
        <w:t>a trustee of a standard employer-sponsored fund has reasonable grounds for believing that the electronic address is not a current electronic address for the person, the trustee must give the Statement to the person:</w:t>
      </w:r>
    </w:p>
    <w:p w14:paraId="60454D33" w14:textId="77777777" w:rsidR="00FF1222" w:rsidRDefault="00FF1222" w:rsidP="00FF1222">
      <w:pPr>
        <w:keepNext/>
        <w:spacing w:before="240" w:line="240" w:lineRule="auto"/>
        <w:ind w:left="2977" w:hanging="567"/>
        <w:textAlignment w:val="baseline"/>
        <w:rPr>
          <w:rFonts w:eastAsia="Times New Roman"/>
          <w:sz w:val="24"/>
          <w:szCs w:val="24"/>
          <w:lang w:eastAsia="en-AU"/>
        </w:rPr>
      </w:pPr>
      <w:r w:rsidRPr="00C65471">
        <w:rPr>
          <w:rFonts w:eastAsia="Times New Roman"/>
          <w:sz w:val="24"/>
          <w:szCs w:val="24"/>
          <w:lang w:eastAsia="en-AU"/>
        </w:rPr>
        <w:t>(c)</w:t>
      </w:r>
      <w:r w:rsidRPr="00C65471">
        <w:rPr>
          <w:rFonts w:ascii="Calibri" w:eastAsia="Times New Roman" w:hAnsi="Calibri" w:cs="Calibri"/>
          <w:sz w:val="24"/>
          <w:szCs w:val="24"/>
          <w:lang w:eastAsia="en-AU"/>
        </w:rPr>
        <w:tab/>
      </w:r>
      <w:r w:rsidRPr="00C65471">
        <w:rPr>
          <w:rFonts w:eastAsia="Times New Roman"/>
          <w:sz w:val="24"/>
          <w:szCs w:val="24"/>
          <w:lang w:eastAsia="en-AU"/>
        </w:rPr>
        <w:t>within 14 days after having the reasonable grounds; and</w:t>
      </w:r>
    </w:p>
    <w:p w14:paraId="5DAF7917" w14:textId="77777777" w:rsidR="00FF1222" w:rsidRDefault="00FF1222" w:rsidP="00FF1222">
      <w:pPr>
        <w:keepNext/>
        <w:spacing w:before="240" w:line="240" w:lineRule="auto"/>
        <w:ind w:left="2977" w:hanging="567"/>
        <w:textAlignment w:val="baseline"/>
        <w:rPr>
          <w:rFonts w:eastAsia="Times New Roman"/>
          <w:sz w:val="24"/>
          <w:szCs w:val="24"/>
          <w:lang w:eastAsia="en-AU"/>
        </w:rPr>
      </w:pPr>
      <w:r w:rsidRPr="00C65471">
        <w:rPr>
          <w:rFonts w:eastAsia="Times New Roman"/>
          <w:sz w:val="24"/>
          <w:szCs w:val="24"/>
          <w:lang w:eastAsia="en-AU"/>
        </w:rPr>
        <w:t>(d)</w:t>
      </w:r>
      <w:r w:rsidRPr="00C65471">
        <w:rPr>
          <w:rFonts w:ascii="Calibri" w:eastAsia="Times New Roman" w:hAnsi="Calibri" w:cs="Calibri"/>
          <w:sz w:val="24"/>
          <w:szCs w:val="24"/>
          <w:lang w:eastAsia="en-AU"/>
        </w:rPr>
        <w:tab/>
      </w:r>
      <w:r w:rsidRPr="00C65471">
        <w:rPr>
          <w:rFonts w:eastAsia="Times New Roman"/>
          <w:sz w:val="24"/>
          <w:szCs w:val="24"/>
          <w:lang w:eastAsia="en-AU"/>
        </w:rPr>
        <w:t>in accordance with this section.”; and</w:t>
      </w:r>
    </w:p>
    <w:p w14:paraId="2FC53FD9" w14:textId="77777777" w:rsidR="00FF1222" w:rsidRDefault="00FF1222" w:rsidP="00FF1222">
      <w:pPr>
        <w:keepNext/>
        <w:spacing w:before="240" w:line="240" w:lineRule="auto"/>
        <w:ind w:left="1701" w:hanging="567"/>
        <w:textAlignment w:val="baseline"/>
        <w:rPr>
          <w:rFonts w:eastAsia="Times New Roman"/>
          <w:sz w:val="24"/>
          <w:szCs w:val="24"/>
          <w:lang w:eastAsia="en-AU"/>
        </w:rPr>
      </w:pPr>
      <w:r w:rsidRPr="00C65471">
        <w:rPr>
          <w:rFonts w:eastAsia="Times New Roman"/>
          <w:sz w:val="24"/>
          <w:szCs w:val="24"/>
          <w:lang w:eastAsia="en-AU"/>
        </w:rPr>
        <w:t>(b)</w:t>
      </w:r>
      <w:r w:rsidRPr="00C65471">
        <w:rPr>
          <w:rFonts w:ascii="Calibri" w:eastAsia="Times New Roman" w:hAnsi="Calibri" w:cs="Calibri"/>
          <w:sz w:val="24"/>
          <w:szCs w:val="24"/>
          <w:lang w:eastAsia="en-AU"/>
        </w:rPr>
        <w:tab/>
      </w:r>
      <w:r w:rsidRPr="00C65471">
        <w:rPr>
          <w:rFonts w:eastAsia="Times New Roman"/>
          <w:sz w:val="24"/>
          <w:szCs w:val="24"/>
          <w:lang w:eastAsia="en-AU"/>
        </w:rPr>
        <w:t>section 1017B were modified or varied by, after subsection (3), inserting:</w:t>
      </w:r>
    </w:p>
    <w:p w14:paraId="3D2F2F2A" w14:textId="16024649" w:rsidR="00FF1222" w:rsidRDefault="00FF1222" w:rsidP="00FF1222">
      <w:pPr>
        <w:keepNext/>
        <w:spacing w:before="240" w:line="240" w:lineRule="auto"/>
        <w:ind w:left="2410" w:hanging="709"/>
        <w:textAlignment w:val="baseline"/>
        <w:rPr>
          <w:rFonts w:eastAsia="Times New Roman"/>
          <w:sz w:val="24"/>
          <w:szCs w:val="24"/>
          <w:lang w:eastAsia="en-AU"/>
        </w:rPr>
      </w:pPr>
      <w:r w:rsidRPr="00C65471">
        <w:rPr>
          <w:rFonts w:eastAsia="Times New Roman"/>
          <w:sz w:val="24"/>
          <w:szCs w:val="24"/>
          <w:lang w:eastAsia="en-AU"/>
        </w:rPr>
        <w:t>“(3A)</w:t>
      </w:r>
      <w:r>
        <w:rPr>
          <w:rFonts w:eastAsia="Times New Roman"/>
          <w:sz w:val="24"/>
          <w:szCs w:val="24"/>
          <w:lang w:eastAsia="en-AU"/>
        </w:rPr>
        <w:tab/>
      </w:r>
      <w:r w:rsidRPr="005B5BE4">
        <w:rPr>
          <w:rFonts w:eastAsia="Times New Roman"/>
          <w:sz w:val="24"/>
          <w:szCs w:val="24"/>
          <w:lang w:eastAsia="en-AU"/>
        </w:rPr>
        <w:t>If the issuer is a trustee of a standard employer-sponsored fund</w:t>
      </w:r>
      <w:r w:rsidRPr="00C65471">
        <w:rPr>
          <w:rFonts w:eastAsia="Times New Roman"/>
          <w:sz w:val="24"/>
          <w:szCs w:val="24"/>
          <w:lang w:eastAsia="en-AU"/>
        </w:rPr>
        <w:t xml:space="preserve"> (</w:t>
      </w:r>
      <w:r w:rsidRPr="00C65471">
        <w:rPr>
          <w:rFonts w:eastAsia="Times New Roman"/>
          <w:b/>
          <w:bCs/>
          <w:i/>
          <w:iCs/>
          <w:sz w:val="24"/>
          <w:szCs w:val="24"/>
          <w:lang w:eastAsia="en-AU"/>
        </w:rPr>
        <w:t>relevant fund</w:t>
      </w:r>
      <w:r w:rsidRPr="00C65471">
        <w:rPr>
          <w:rFonts w:eastAsia="Times New Roman"/>
          <w:sz w:val="24"/>
          <w:szCs w:val="24"/>
          <w:lang w:eastAsia="en-AU"/>
        </w:rPr>
        <w:t>), the issuer may instead notify the holder by sending the notice to an electronic address provided to the issuer or another trustee of a standard employer-sponsored fund by the holder’s employer (as at the time the address was provided) if:</w:t>
      </w:r>
    </w:p>
    <w:p w14:paraId="56313519" w14:textId="77777777" w:rsidR="00FF1222" w:rsidRDefault="00FF1222" w:rsidP="00FF1222">
      <w:pPr>
        <w:keepNext/>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(a)</w:t>
      </w:r>
      <w:r w:rsidRPr="00C65471">
        <w:rPr>
          <w:rFonts w:ascii="Calibri" w:eastAsia="Times New Roman" w:hAnsi="Calibri" w:cs="Calibri"/>
          <w:sz w:val="24"/>
          <w:szCs w:val="24"/>
          <w:lang w:eastAsia="en-AU"/>
        </w:rPr>
        <w:tab/>
      </w:r>
      <w:r w:rsidRPr="00C65471">
        <w:rPr>
          <w:rFonts w:eastAsia="Times New Roman"/>
          <w:sz w:val="24"/>
          <w:szCs w:val="24"/>
          <w:lang w:eastAsia="en-AU"/>
        </w:rPr>
        <w:t xml:space="preserve">the employer contributes, or has contributed, to the relevant fund for the benefit of the holder in the absence of there being a chosen fund (within the </w:t>
      </w:r>
      <w:r w:rsidRPr="00C65471">
        <w:rPr>
          <w:rFonts w:eastAsia="Times New Roman"/>
          <w:sz w:val="24"/>
          <w:szCs w:val="24"/>
          <w:lang w:eastAsia="en-AU"/>
        </w:rPr>
        <w:lastRenderedPageBreak/>
        <w:t xml:space="preserve">meaning of the </w:t>
      </w:r>
      <w:r w:rsidRPr="00C65471">
        <w:rPr>
          <w:rFonts w:eastAsia="Times New Roman"/>
          <w:i/>
          <w:iCs/>
          <w:sz w:val="24"/>
          <w:szCs w:val="24"/>
          <w:lang w:eastAsia="en-AU"/>
        </w:rPr>
        <w:t>Superannuation Guarantee (Administration) Act 1992</w:t>
      </w:r>
      <w:r w:rsidRPr="00C65471">
        <w:rPr>
          <w:rFonts w:eastAsia="Times New Roman"/>
          <w:sz w:val="24"/>
          <w:szCs w:val="24"/>
          <w:lang w:eastAsia="en-AU"/>
        </w:rPr>
        <w:t>) for the holder; and</w:t>
      </w:r>
    </w:p>
    <w:p w14:paraId="38CEEDED" w14:textId="77777777" w:rsidR="00FF1222" w:rsidRDefault="00FF1222" w:rsidP="00FF1222">
      <w:pPr>
        <w:keepNext/>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(b)</w:t>
      </w:r>
      <w:r w:rsidRPr="00C65471">
        <w:rPr>
          <w:rFonts w:ascii="Calibri" w:eastAsia="Times New Roman" w:hAnsi="Calibri" w:cs="Calibri"/>
          <w:sz w:val="24"/>
          <w:szCs w:val="24"/>
          <w:lang w:eastAsia="en-AU"/>
        </w:rPr>
        <w:tab/>
      </w:r>
      <w:r w:rsidRPr="00C65471">
        <w:rPr>
          <w:rFonts w:eastAsia="Times New Roman"/>
          <w:sz w:val="24"/>
          <w:szCs w:val="24"/>
          <w:lang w:eastAsia="en-AU"/>
        </w:rPr>
        <w:t>the employer provided the electronic address as part of providing contact details for the holder; and</w:t>
      </w:r>
    </w:p>
    <w:p w14:paraId="758A81E0" w14:textId="77777777" w:rsidR="00FF1222" w:rsidRDefault="00FF1222" w:rsidP="00FF1222">
      <w:pPr>
        <w:keepNext/>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(c)</w:t>
      </w:r>
      <w:r w:rsidRPr="00C65471">
        <w:rPr>
          <w:rFonts w:ascii="Calibri" w:eastAsia="Times New Roman" w:hAnsi="Calibri" w:cs="Calibri"/>
          <w:sz w:val="24"/>
          <w:szCs w:val="24"/>
          <w:lang w:eastAsia="en-AU"/>
        </w:rPr>
        <w:tab/>
      </w:r>
      <w:r w:rsidRPr="00C65471">
        <w:rPr>
          <w:rFonts w:eastAsia="Times New Roman"/>
          <w:sz w:val="24"/>
          <w:szCs w:val="24"/>
          <w:lang w:eastAsia="en-AU"/>
        </w:rPr>
        <w:t>the notice is accompanied by a statement that, if requested, the issuer will send the notice and other communications to another electronic or postal address nominated by the holder; and</w:t>
      </w:r>
    </w:p>
    <w:p w14:paraId="5DA553FA" w14:textId="77777777" w:rsidR="00FF1222" w:rsidRDefault="00FF1222" w:rsidP="00FF1222">
      <w:pPr>
        <w:keepNext/>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(d)</w:t>
      </w:r>
      <w:r w:rsidRPr="00C65471">
        <w:rPr>
          <w:rFonts w:ascii="Calibri" w:eastAsia="Times New Roman" w:hAnsi="Calibri" w:cs="Calibri"/>
          <w:sz w:val="24"/>
          <w:szCs w:val="24"/>
          <w:lang w:eastAsia="en-AU"/>
        </w:rPr>
        <w:tab/>
      </w:r>
      <w:r w:rsidRPr="00C65471">
        <w:rPr>
          <w:rFonts w:eastAsia="Times New Roman"/>
          <w:sz w:val="24"/>
          <w:szCs w:val="24"/>
          <w:lang w:eastAsia="en-AU"/>
        </w:rPr>
        <w:t>the holder has not requested that the issuer send the notice to another electronic or postal address; and</w:t>
      </w:r>
    </w:p>
    <w:p w14:paraId="2A93835A" w14:textId="77777777" w:rsidR="00FF1222" w:rsidRDefault="00FF1222" w:rsidP="00FF1222">
      <w:pPr>
        <w:keepNext/>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(e)</w:t>
      </w:r>
      <w:r w:rsidRPr="00C65471">
        <w:rPr>
          <w:rFonts w:ascii="Calibri" w:eastAsia="Times New Roman" w:hAnsi="Calibri" w:cs="Calibri"/>
          <w:sz w:val="24"/>
          <w:szCs w:val="24"/>
          <w:lang w:eastAsia="en-AU"/>
        </w:rPr>
        <w:tab/>
      </w:r>
      <w:r w:rsidRPr="00C65471">
        <w:rPr>
          <w:rFonts w:eastAsia="Times New Roman"/>
          <w:sz w:val="24"/>
          <w:szCs w:val="24"/>
          <w:lang w:eastAsia="en-AU"/>
        </w:rPr>
        <w:t>the issuer has no reasonable grounds for believing that the electronic address is not a current electronic address for the holder.</w:t>
      </w:r>
    </w:p>
    <w:p w14:paraId="7822CBE3" w14:textId="77777777" w:rsidR="00FF1222" w:rsidRDefault="00FF1222" w:rsidP="00FF1222">
      <w:pPr>
        <w:keepNext/>
        <w:spacing w:before="240" w:line="240" w:lineRule="auto"/>
        <w:ind w:left="2268" w:hanging="567"/>
        <w:textAlignment w:val="baseline"/>
        <w:rPr>
          <w:rFonts w:eastAsia="Times New Roman"/>
          <w:sz w:val="24"/>
          <w:szCs w:val="24"/>
          <w:lang w:eastAsia="en-AU"/>
        </w:rPr>
      </w:pPr>
      <w:r w:rsidRPr="00C65471">
        <w:rPr>
          <w:rFonts w:eastAsia="Times New Roman"/>
          <w:sz w:val="24"/>
          <w:szCs w:val="24"/>
          <w:lang w:eastAsia="en-AU"/>
        </w:rPr>
        <w:t>(3B)</w:t>
      </w:r>
      <w:r w:rsidRPr="00C65471">
        <w:rPr>
          <w:rFonts w:ascii="Calibri" w:eastAsia="Times New Roman" w:hAnsi="Calibri" w:cs="Calibri"/>
          <w:sz w:val="24"/>
          <w:szCs w:val="24"/>
          <w:lang w:eastAsia="en-AU"/>
        </w:rPr>
        <w:tab/>
      </w:r>
      <w:r w:rsidRPr="00C65471">
        <w:rPr>
          <w:rFonts w:eastAsia="Times New Roman"/>
          <w:sz w:val="24"/>
          <w:szCs w:val="24"/>
          <w:lang w:eastAsia="en-AU"/>
        </w:rPr>
        <w:t>If, within 14 days after sending:</w:t>
      </w:r>
    </w:p>
    <w:p w14:paraId="69F4CC82" w14:textId="77777777" w:rsidR="00FF1222" w:rsidRDefault="00FF1222" w:rsidP="00FF1222">
      <w:pPr>
        <w:keepNext/>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(a)</w:t>
      </w:r>
      <w:r w:rsidRPr="00C65471">
        <w:rPr>
          <w:rFonts w:ascii="Calibri" w:eastAsia="Times New Roman" w:hAnsi="Calibri" w:cs="Calibri"/>
          <w:sz w:val="24"/>
          <w:szCs w:val="24"/>
          <w:lang w:eastAsia="en-AU"/>
        </w:rPr>
        <w:tab/>
      </w:r>
      <w:r w:rsidRPr="00C65471">
        <w:rPr>
          <w:rFonts w:eastAsia="Times New Roman"/>
          <w:sz w:val="24"/>
          <w:szCs w:val="24"/>
          <w:lang w:eastAsia="en-AU"/>
        </w:rPr>
        <w:t>a notice (</w:t>
      </w:r>
      <w:r w:rsidRPr="00C65471">
        <w:rPr>
          <w:rFonts w:eastAsia="Times New Roman"/>
          <w:b/>
          <w:bCs/>
          <w:i/>
          <w:iCs/>
          <w:sz w:val="24"/>
          <w:szCs w:val="24"/>
          <w:lang w:eastAsia="en-AU"/>
        </w:rPr>
        <w:t>first notice</w:t>
      </w:r>
      <w:r w:rsidRPr="00C65471">
        <w:rPr>
          <w:rFonts w:eastAsia="Times New Roman"/>
          <w:sz w:val="24"/>
          <w:szCs w:val="24"/>
          <w:lang w:eastAsia="en-AU"/>
        </w:rPr>
        <w:t>) to a person at an electronic address in accordance with subsection (3A); or</w:t>
      </w:r>
    </w:p>
    <w:p w14:paraId="6F56799B" w14:textId="24E6A013" w:rsidR="00FF1222" w:rsidRDefault="00FF1222" w:rsidP="00FF1222">
      <w:pPr>
        <w:keepNext/>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(b)</w:t>
      </w:r>
      <w:r w:rsidRPr="00C65471">
        <w:rPr>
          <w:rFonts w:ascii="Calibri" w:eastAsia="Times New Roman" w:hAnsi="Calibri" w:cs="Calibri"/>
          <w:sz w:val="24"/>
          <w:szCs w:val="24"/>
          <w:lang w:eastAsia="en-AU"/>
        </w:rPr>
        <w:tab/>
      </w:r>
      <w:r w:rsidRPr="00C65471">
        <w:rPr>
          <w:rFonts w:eastAsia="Times New Roman"/>
          <w:sz w:val="24"/>
          <w:szCs w:val="24"/>
          <w:lang w:eastAsia="en-AU"/>
        </w:rPr>
        <w:t>a notice (</w:t>
      </w:r>
      <w:r w:rsidRPr="00C65471">
        <w:rPr>
          <w:rFonts w:eastAsia="Times New Roman"/>
          <w:b/>
          <w:bCs/>
          <w:i/>
          <w:iCs/>
          <w:sz w:val="24"/>
          <w:szCs w:val="24"/>
          <w:lang w:eastAsia="en-AU"/>
        </w:rPr>
        <w:t>second notice</w:t>
      </w:r>
      <w:r w:rsidRPr="00C65471">
        <w:rPr>
          <w:rFonts w:eastAsia="Times New Roman"/>
          <w:sz w:val="24"/>
          <w:szCs w:val="24"/>
          <w:lang w:eastAsia="en-AU"/>
        </w:rPr>
        <w:t xml:space="preserve">) to a person at an electronic address in accordance with subparagraph (d)(iv) of the definition of </w:t>
      </w:r>
      <w:r w:rsidRPr="00C65471">
        <w:rPr>
          <w:rFonts w:eastAsia="Times New Roman"/>
          <w:b/>
          <w:bCs/>
          <w:i/>
          <w:iCs/>
          <w:sz w:val="24"/>
          <w:szCs w:val="24"/>
          <w:lang w:eastAsia="en-AU"/>
        </w:rPr>
        <w:t xml:space="preserve">nominated electronic means </w:t>
      </w:r>
      <w:r w:rsidRPr="00C65471">
        <w:rPr>
          <w:rFonts w:eastAsia="Times New Roman"/>
          <w:sz w:val="24"/>
          <w:szCs w:val="24"/>
          <w:lang w:eastAsia="en-AU"/>
        </w:rPr>
        <w:t xml:space="preserve">in section </w:t>
      </w:r>
      <w:r w:rsidR="00397173">
        <w:rPr>
          <w:rFonts w:eastAsia="Times New Roman"/>
          <w:sz w:val="24"/>
          <w:szCs w:val="24"/>
          <w:lang w:eastAsia="en-AU"/>
        </w:rPr>
        <w:t>9</w:t>
      </w:r>
      <w:r w:rsidRPr="00C65471">
        <w:rPr>
          <w:rFonts w:eastAsia="Times New Roman"/>
          <w:sz w:val="24"/>
          <w:szCs w:val="24"/>
          <w:lang w:eastAsia="en-AU"/>
        </w:rPr>
        <w:t xml:space="preserve"> in the course of making a notice (</w:t>
      </w:r>
      <w:r w:rsidRPr="00C65471">
        <w:rPr>
          <w:rFonts w:eastAsia="Times New Roman"/>
          <w:b/>
          <w:bCs/>
          <w:i/>
          <w:iCs/>
          <w:sz w:val="24"/>
          <w:szCs w:val="24"/>
          <w:lang w:eastAsia="en-AU"/>
        </w:rPr>
        <w:t>first notice</w:t>
      </w:r>
      <w:r w:rsidRPr="00C65471">
        <w:rPr>
          <w:rFonts w:eastAsia="Times New Roman"/>
          <w:sz w:val="24"/>
          <w:szCs w:val="24"/>
          <w:lang w:eastAsia="en-AU"/>
        </w:rPr>
        <w:t>) available to the person by a nominated electronic means in accordance with the regulations;</w:t>
      </w:r>
    </w:p>
    <w:p w14:paraId="63841C1A" w14:textId="77777777" w:rsidR="00FF1222" w:rsidRDefault="00FF1222" w:rsidP="00FF1222">
      <w:pPr>
        <w:keepNext/>
        <w:spacing w:before="240" w:line="240" w:lineRule="auto"/>
        <w:ind w:left="2410"/>
        <w:textAlignment w:val="baseline"/>
        <w:rPr>
          <w:rFonts w:eastAsia="Times New Roman"/>
          <w:sz w:val="24"/>
          <w:szCs w:val="24"/>
          <w:lang w:eastAsia="en-AU"/>
        </w:rPr>
      </w:pPr>
      <w:r w:rsidRPr="00C65471">
        <w:rPr>
          <w:rFonts w:eastAsia="Times New Roman"/>
          <w:sz w:val="24"/>
          <w:szCs w:val="24"/>
          <w:lang w:eastAsia="en-AU"/>
        </w:rPr>
        <w:t>a trustee of a standard employer-sponsored fund has reasonable grounds for believing that the electronic address is not a current electronic address for the person, the trustee must give the first notice to the person:</w:t>
      </w:r>
    </w:p>
    <w:p w14:paraId="5E3707C1" w14:textId="77777777" w:rsidR="00FF1222" w:rsidRDefault="00FF1222" w:rsidP="00FF1222">
      <w:pPr>
        <w:keepNext/>
        <w:spacing w:before="240" w:line="240" w:lineRule="auto"/>
        <w:ind w:left="2410"/>
        <w:textAlignment w:val="baseline"/>
        <w:rPr>
          <w:rFonts w:eastAsia="Times New Roman"/>
          <w:sz w:val="24"/>
          <w:szCs w:val="24"/>
          <w:lang w:eastAsia="en-AU"/>
        </w:rPr>
      </w:pPr>
      <w:r w:rsidRPr="00C65471">
        <w:rPr>
          <w:rFonts w:eastAsia="Times New Roman"/>
          <w:sz w:val="24"/>
          <w:szCs w:val="24"/>
          <w:lang w:eastAsia="en-AU"/>
        </w:rPr>
        <w:t>(c)</w:t>
      </w:r>
      <w:r w:rsidRPr="00C65471">
        <w:rPr>
          <w:rFonts w:ascii="Calibri" w:eastAsia="Times New Roman" w:hAnsi="Calibri" w:cs="Calibri"/>
          <w:sz w:val="24"/>
          <w:szCs w:val="24"/>
          <w:lang w:eastAsia="en-AU"/>
        </w:rPr>
        <w:tab/>
      </w:r>
      <w:r w:rsidRPr="00C65471">
        <w:rPr>
          <w:rFonts w:eastAsia="Times New Roman"/>
          <w:sz w:val="24"/>
          <w:szCs w:val="24"/>
          <w:lang w:eastAsia="en-AU"/>
        </w:rPr>
        <w:t>within 14 days after having the reasonable grounds; and</w:t>
      </w:r>
    </w:p>
    <w:p w14:paraId="0031700D" w14:textId="77777777" w:rsidR="00FF1222" w:rsidRDefault="00FF1222" w:rsidP="00FF1222">
      <w:pPr>
        <w:keepNext/>
        <w:spacing w:before="240" w:line="240" w:lineRule="auto"/>
        <w:ind w:left="2410"/>
        <w:textAlignment w:val="baseline"/>
        <w:rPr>
          <w:rFonts w:eastAsia="Times New Roman"/>
          <w:sz w:val="24"/>
          <w:szCs w:val="24"/>
          <w:lang w:eastAsia="en-AU"/>
        </w:rPr>
      </w:pPr>
      <w:r w:rsidRPr="00C65471">
        <w:rPr>
          <w:rFonts w:eastAsia="Times New Roman"/>
          <w:sz w:val="24"/>
          <w:szCs w:val="24"/>
          <w:lang w:eastAsia="en-AU"/>
        </w:rPr>
        <w:t>(d)</w:t>
      </w:r>
      <w:r w:rsidRPr="00C65471">
        <w:rPr>
          <w:rFonts w:ascii="Calibri" w:eastAsia="Times New Roman" w:hAnsi="Calibri" w:cs="Calibri"/>
          <w:sz w:val="24"/>
          <w:szCs w:val="24"/>
          <w:lang w:eastAsia="en-AU"/>
        </w:rPr>
        <w:tab/>
      </w:r>
      <w:r w:rsidRPr="00C65471">
        <w:rPr>
          <w:rFonts w:eastAsia="Times New Roman"/>
          <w:sz w:val="24"/>
          <w:szCs w:val="24"/>
          <w:lang w:eastAsia="en-AU"/>
        </w:rPr>
        <w:t>in accordance with subsection (3).”; and</w:t>
      </w:r>
    </w:p>
    <w:p w14:paraId="03A45CA5" w14:textId="77777777" w:rsidR="00FF1222" w:rsidRDefault="00FF1222" w:rsidP="00FF1222">
      <w:pPr>
        <w:keepNext/>
        <w:spacing w:before="240" w:line="240" w:lineRule="auto"/>
        <w:ind w:left="1701" w:hanging="567"/>
        <w:textAlignment w:val="baseline"/>
        <w:rPr>
          <w:rFonts w:eastAsia="Times New Roman"/>
          <w:sz w:val="24"/>
          <w:szCs w:val="24"/>
          <w:lang w:eastAsia="en-AU"/>
        </w:rPr>
      </w:pPr>
      <w:r w:rsidRPr="00C65471">
        <w:rPr>
          <w:rFonts w:eastAsia="Times New Roman"/>
          <w:sz w:val="24"/>
          <w:szCs w:val="24"/>
          <w:lang w:eastAsia="en-AU"/>
        </w:rPr>
        <w:t>(c)</w:t>
      </w:r>
      <w:r w:rsidRPr="00C65471">
        <w:rPr>
          <w:rFonts w:ascii="Calibri" w:eastAsia="Times New Roman" w:hAnsi="Calibri" w:cs="Calibri"/>
          <w:sz w:val="24"/>
          <w:szCs w:val="24"/>
          <w:lang w:eastAsia="en-AU"/>
        </w:rPr>
        <w:tab/>
      </w:r>
      <w:r w:rsidRPr="00C65471">
        <w:rPr>
          <w:rFonts w:eastAsia="Times New Roman"/>
          <w:sz w:val="24"/>
          <w:szCs w:val="24"/>
          <w:lang w:eastAsia="en-AU"/>
        </w:rPr>
        <w:t>section 1017D were modified or varied by, after subsection (6), inserting:</w:t>
      </w:r>
    </w:p>
    <w:p w14:paraId="5382E914" w14:textId="7A5B4A29" w:rsidR="00FF1222" w:rsidRDefault="00FF1222" w:rsidP="00FF1222">
      <w:pPr>
        <w:keepNext/>
        <w:spacing w:before="240" w:line="240" w:lineRule="auto"/>
        <w:ind w:left="2421" w:hanging="720"/>
        <w:textAlignment w:val="baseline"/>
        <w:rPr>
          <w:rFonts w:eastAsia="Times New Roman"/>
          <w:sz w:val="24"/>
          <w:szCs w:val="24"/>
          <w:lang w:eastAsia="en-AU"/>
        </w:rPr>
      </w:pPr>
      <w:r w:rsidRPr="00C65471">
        <w:rPr>
          <w:rFonts w:eastAsia="Times New Roman"/>
          <w:sz w:val="24"/>
          <w:szCs w:val="24"/>
          <w:lang w:eastAsia="en-AU"/>
        </w:rPr>
        <w:t>“(6A)</w:t>
      </w:r>
      <w:r w:rsidRPr="00C65471">
        <w:rPr>
          <w:rFonts w:ascii="Calibri" w:eastAsia="Times New Roman" w:hAnsi="Calibri" w:cs="Calibri"/>
          <w:sz w:val="24"/>
          <w:szCs w:val="24"/>
          <w:lang w:eastAsia="en-AU"/>
        </w:rPr>
        <w:tab/>
      </w:r>
      <w:r w:rsidRPr="00C65471">
        <w:rPr>
          <w:rFonts w:eastAsia="Times New Roman"/>
          <w:sz w:val="24"/>
          <w:szCs w:val="24"/>
          <w:lang w:eastAsia="en-AU"/>
        </w:rPr>
        <w:t>If the issuer is a trustee of a standard employer-sponsored fund (</w:t>
      </w:r>
      <w:r w:rsidRPr="00C65471">
        <w:rPr>
          <w:rFonts w:eastAsia="Times New Roman"/>
          <w:b/>
          <w:bCs/>
          <w:i/>
          <w:iCs/>
          <w:sz w:val="24"/>
          <w:szCs w:val="24"/>
          <w:lang w:eastAsia="en-AU"/>
        </w:rPr>
        <w:t>relevant fund</w:t>
      </w:r>
      <w:r w:rsidRPr="00C65471">
        <w:rPr>
          <w:rFonts w:eastAsia="Times New Roman"/>
          <w:sz w:val="24"/>
          <w:szCs w:val="24"/>
          <w:lang w:eastAsia="en-AU"/>
        </w:rPr>
        <w:t xml:space="preserve">), the issuer may instead give the periodic statement by sending it to an electronic address provided to the issuer or another trustee of a standard </w:t>
      </w:r>
      <w:r w:rsidRPr="00C65471">
        <w:rPr>
          <w:rFonts w:eastAsia="Times New Roman"/>
          <w:sz w:val="24"/>
          <w:szCs w:val="24"/>
          <w:lang w:eastAsia="en-AU"/>
        </w:rPr>
        <w:lastRenderedPageBreak/>
        <w:t>employer-sponsored fund by the holder’s employer (as at the time the address was provided) if:</w:t>
      </w:r>
    </w:p>
    <w:p w14:paraId="603482E2" w14:textId="77777777" w:rsidR="00FF1222" w:rsidRDefault="00FF1222" w:rsidP="00FF1222">
      <w:pPr>
        <w:keepNext/>
        <w:spacing w:before="240" w:line="240" w:lineRule="auto"/>
        <w:ind w:left="3141" w:hanging="720"/>
        <w:textAlignment w:val="baseline"/>
        <w:rPr>
          <w:rFonts w:eastAsia="Times New Roman"/>
          <w:sz w:val="24"/>
          <w:szCs w:val="24"/>
          <w:lang w:eastAsia="en-AU"/>
        </w:rPr>
      </w:pPr>
      <w:r w:rsidRPr="00C65471">
        <w:rPr>
          <w:rFonts w:eastAsia="Times New Roman"/>
          <w:sz w:val="24"/>
          <w:szCs w:val="24"/>
          <w:lang w:eastAsia="en-AU"/>
        </w:rPr>
        <w:t>(a)</w:t>
      </w:r>
      <w:r w:rsidRPr="00C65471">
        <w:rPr>
          <w:rFonts w:ascii="Calibri" w:eastAsia="Times New Roman" w:hAnsi="Calibri" w:cs="Calibri"/>
          <w:sz w:val="24"/>
          <w:szCs w:val="24"/>
          <w:lang w:eastAsia="en-AU"/>
        </w:rPr>
        <w:tab/>
      </w:r>
      <w:r w:rsidRPr="00C65471">
        <w:rPr>
          <w:rFonts w:eastAsia="Times New Roman"/>
          <w:sz w:val="24"/>
          <w:szCs w:val="24"/>
          <w:lang w:eastAsia="en-AU"/>
        </w:rPr>
        <w:t xml:space="preserve">the employer contributes, or has contributed, to the relevant fund for the benefit of the holder in the absence of there being a chosen fund (within the meaning of the </w:t>
      </w:r>
      <w:r w:rsidRPr="00C65471">
        <w:rPr>
          <w:rFonts w:eastAsia="Times New Roman"/>
          <w:i/>
          <w:iCs/>
          <w:sz w:val="24"/>
          <w:szCs w:val="24"/>
          <w:lang w:eastAsia="en-AU"/>
        </w:rPr>
        <w:t>Superannuation Guarantee (Administration) Act 1992</w:t>
      </w:r>
      <w:r w:rsidRPr="00C65471">
        <w:rPr>
          <w:rFonts w:eastAsia="Times New Roman"/>
          <w:sz w:val="24"/>
          <w:szCs w:val="24"/>
          <w:lang w:eastAsia="en-AU"/>
        </w:rPr>
        <w:t>) for the holder; and</w:t>
      </w:r>
    </w:p>
    <w:p w14:paraId="598E1142" w14:textId="77777777" w:rsidR="00FF1222" w:rsidRDefault="00FF1222" w:rsidP="00FF1222">
      <w:pPr>
        <w:keepNext/>
        <w:spacing w:before="240" w:line="240" w:lineRule="auto"/>
        <w:ind w:left="3141" w:hanging="720"/>
        <w:textAlignment w:val="baseline"/>
        <w:rPr>
          <w:rFonts w:eastAsia="Times New Roman"/>
          <w:sz w:val="24"/>
          <w:szCs w:val="24"/>
          <w:lang w:eastAsia="en-AU"/>
        </w:rPr>
      </w:pPr>
      <w:r w:rsidRPr="00C65471">
        <w:rPr>
          <w:rFonts w:eastAsia="Times New Roman"/>
          <w:sz w:val="24"/>
          <w:szCs w:val="24"/>
          <w:lang w:eastAsia="en-AU"/>
        </w:rPr>
        <w:t>(b)</w:t>
      </w:r>
      <w:r w:rsidRPr="00C65471">
        <w:rPr>
          <w:rFonts w:ascii="Calibri" w:eastAsia="Times New Roman" w:hAnsi="Calibri" w:cs="Calibri"/>
          <w:sz w:val="24"/>
          <w:szCs w:val="24"/>
          <w:lang w:eastAsia="en-AU"/>
        </w:rPr>
        <w:tab/>
      </w:r>
      <w:r w:rsidRPr="00C65471">
        <w:rPr>
          <w:rFonts w:eastAsia="Times New Roman"/>
          <w:sz w:val="24"/>
          <w:szCs w:val="24"/>
          <w:lang w:eastAsia="en-AU"/>
        </w:rPr>
        <w:t>the employer provided the electronic address as part of providing contact details for the holder; and</w:t>
      </w:r>
    </w:p>
    <w:p w14:paraId="3A39062A" w14:textId="77777777" w:rsidR="00FF1222" w:rsidRDefault="00FF1222" w:rsidP="00FF1222">
      <w:pPr>
        <w:keepNext/>
        <w:spacing w:before="240" w:line="240" w:lineRule="auto"/>
        <w:ind w:left="3141" w:hanging="720"/>
        <w:textAlignment w:val="baseline"/>
        <w:rPr>
          <w:rFonts w:eastAsia="Times New Roman"/>
          <w:sz w:val="24"/>
          <w:szCs w:val="24"/>
          <w:lang w:eastAsia="en-AU"/>
        </w:rPr>
      </w:pPr>
      <w:r w:rsidRPr="00C65471">
        <w:rPr>
          <w:rFonts w:eastAsia="Times New Roman"/>
          <w:sz w:val="24"/>
          <w:szCs w:val="24"/>
          <w:lang w:eastAsia="en-AU"/>
        </w:rPr>
        <w:t>(c)</w:t>
      </w:r>
      <w:r w:rsidRPr="00C65471">
        <w:rPr>
          <w:rFonts w:ascii="Calibri" w:eastAsia="Times New Roman" w:hAnsi="Calibri" w:cs="Calibri"/>
          <w:sz w:val="24"/>
          <w:szCs w:val="24"/>
          <w:lang w:eastAsia="en-AU"/>
        </w:rPr>
        <w:tab/>
      </w:r>
      <w:r w:rsidRPr="00C65471">
        <w:rPr>
          <w:rFonts w:eastAsia="Times New Roman"/>
          <w:sz w:val="24"/>
          <w:szCs w:val="24"/>
          <w:lang w:eastAsia="en-AU"/>
        </w:rPr>
        <w:t>the periodic statement is accompanied by a statement that, if requested, the issuer will send the periodic statement and other communications to another electronic or postal address nominated by the holder; and</w:t>
      </w:r>
    </w:p>
    <w:p w14:paraId="38AE5665" w14:textId="77777777" w:rsidR="00FF1222" w:rsidRDefault="00FF1222" w:rsidP="00FF1222">
      <w:pPr>
        <w:keepNext/>
        <w:spacing w:before="240" w:line="240" w:lineRule="auto"/>
        <w:ind w:left="3141" w:hanging="720"/>
        <w:textAlignment w:val="baseline"/>
        <w:rPr>
          <w:rFonts w:eastAsia="Times New Roman"/>
          <w:sz w:val="24"/>
          <w:szCs w:val="24"/>
          <w:lang w:eastAsia="en-AU"/>
        </w:rPr>
      </w:pPr>
      <w:r w:rsidRPr="00C65471">
        <w:rPr>
          <w:rFonts w:eastAsia="Times New Roman"/>
          <w:sz w:val="24"/>
          <w:szCs w:val="24"/>
          <w:lang w:eastAsia="en-AU"/>
        </w:rPr>
        <w:t>(d)</w:t>
      </w:r>
      <w:r w:rsidRPr="00C65471">
        <w:rPr>
          <w:rFonts w:ascii="Calibri" w:eastAsia="Times New Roman" w:hAnsi="Calibri" w:cs="Calibri"/>
          <w:sz w:val="24"/>
          <w:szCs w:val="24"/>
          <w:lang w:eastAsia="en-AU"/>
        </w:rPr>
        <w:tab/>
      </w:r>
      <w:r w:rsidRPr="00C65471">
        <w:rPr>
          <w:rFonts w:eastAsia="Times New Roman"/>
          <w:sz w:val="24"/>
          <w:szCs w:val="24"/>
          <w:lang w:eastAsia="en-AU"/>
        </w:rPr>
        <w:t>the holder has not requested that the issuer send the periodic statement to another electronic or postal address; and</w:t>
      </w:r>
    </w:p>
    <w:p w14:paraId="13353211" w14:textId="77777777" w:rsidR="00FF1222" w:rsidRDefault="00FF1222" w:rsidP="00FF1222">
      <w:pPr>
        <w:keepNext/>
        <w:spacing w:before="240" w:line="240" w:lineRule="auto"/>
        <w:ind w:left="3141" w:hanging="720"/>
        <w:textAlignment w:val="baseline"/>
        <w:rPr>
          <w:rFonts w:eastAsia="Times New Roman"/>
          <w:sz w:val="24"/>
          <w:szCs w:val="24"/>
          <w:lang w:eastAsia="en-AU"/>
        </w:rPr>
      </w:pPr>
      <w:r w:rsidRPr="00C65471">
        <w:rPr>
          <w:rFonts w:eastAsia="Times New Roman"/>
          <w:sz w:val="24"/>
          <w:szCs w:val="24"/>
          <w:lang w:eastAsia="en-AU"/>
        </w:rPr>
        <w:t>(e)</w:t>
      </w:r>
      <w:r w:rsidRPr="00C65471">
        <w:rPr>
          <w:rFonts w:ascii="Calibri" w:eastAsia="Times New Roman" w:hAnsi="Calibri" w:cs="Calibri"/>
          <w:sz w:val="24"/>
          <w:szCs w:val="24"/>
          <w:lang w:eastAsia="en-AU"/>
        </w:rPr>
        <w:tab/>
      </w:r>
      <w:r w:rsidRPr="00C65471">
        <w:rPr>
          <w:rFonts w:eastAsia="Times New Roman"/>
          <w:sz w:val="24"/>
          <w:szCs w:val="24"/>
          <w:lang w:eastAsia="en-AU"/>
        </w:rPr>
        <w:t>the issuer has no reasonable grounds for believing that the electronic address is not a current electronic address for the holder.</w:t>
      </w:r>
    </w:p>
    <w:p w14:paraId="7ACE73B0" w14:textId="77777777" w:rsidR="00FF1222" w:rsidRDefault="00FF1222" w:rsidP="00FF1222">
      <w:pPr>
        <w:keepNext/>
        <w:spacing w:before="240" w:line="240" w:lineRule="auto"/>
        <w:ind w:left="2410" w:hanging="709"/>
        <w:textAlignment w:val="baseline"/>
        <w:rPr>
          <w:rFonts w:eastAsia="Times New Roman"/>
          <w:sz w:val="24"/>
          <w:szCs w:val="24"/>
          <w:lang w:eastAsia="en-AU"/>
        </w:rPr>
      </w:pPr>
      <w:r w:rsidRPr="00C65471">
        <w:rPr>
          <w:rFonts w:eastAsia="Times New Roman"/>
          <w:sz w:val="24"/>
          <w:szCs w:val="24"/>
          <w:lang w:eastAsia="en-AU"/>
        </w:rPr>
        <w:t>(6B)</w:t>
      </w:r>
      <w:r w:rsidRPr="00C65471">
        <w:rPr>
          <w:rFonts w:ascii="Calibri" w:eastAsia="Times New Roman" w:hAnsi="Calibri" w:cs="Calibri"/>
          <w:sz w:val="24"/>
          <w:szCs w:val="24"/>
          <w:lang w:eastAsia="en-AU"/>
        </w:rPr>
        <w:tab/>
      </w:r>
      <w:r w:rsidRPr="00C65471">
        <w:rPr>
          <w:rFonts w:eastAsia="Times New Roman"/>
          <w:sz w:val="24"/>
          <w:szCs w:val="24"/>
          <w:lang w:eastAsia="en-AU"/>
        </w:rPr>
        <w:t>If, within 14 days after sending:</w:t>
      </w:r>
    </w:p>
    <w:p w14:paraId="5D392C02" w14:textId="77777777" w:rsidR="00FF1222" w:rsidRDefault="00FF1222" w:rsidP="00FF1222">
      <w:pPr>
        <w:keepNext/>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(a)</w:t>
      </w:r>
      <w:r w:rsidRPr="00C65471">
        <w:rPr>
          <w:rFonts w:ascii="Calibri" w:eastAsia="Times New Roman" w:hAnsi="Calibri" w:cs="Calibri"/>
          <w:sz w:val="24"/>
          <w:szCs w:val="24"/>
          <w:lang w:eastAsia="en-AU"/>
        </w:rPr>
        <w:tab/>
      </w:r>
      <w:r w:rsidRPr="00C65471">
        <w:rPr>
          <w:rFonts w:eastAsia="Times New Roman"/>
          <w:sz w:val="24"/>
          <w:szCs w:val="24"/>
          <w:lang w:eastAsia="en-AU"/>
        </w:rPr>
        <w:t>a periodic statement to a person at an electronic address in accordance with subsection (6A); or</w:t>
      </w:r>
    </w:p>
    <w:p w14:paraId="755A3957" w14:textId="1B38F019" w:rsidR="00FF1222" w:rsidRDefault="00FF1222" w:rsidP="00FF1222">
      <w:pPr>
        <w:keepNext/>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(b)</w:t>
      </w:r>
      <w:r w:rsidRPr="00C65471">
        <w:rPr>
          <w:rFonts w:ascii="Calibri" w:eastAsia="Times New Roman" w:hAnsi="Calibri" w:cs="Calibri"/>
          <w:sz w:val="24"/>
          <w:szCs w:val="24"/>
          <w:lang w:eastAsia="en-AU"/>
        </w:rPr>
        <w:tab/>
      </w:r>
      <w:r w:rsidRPr="00C65471">
        <w:rPr>
          <w:rFonts w:eastAsia="Times New Roman"/>
          <w:sz w:val="24"/>
          <w:szCs w:val="24"/>
          <w:lang w:eastAsia="en-AU"/>
        </w:rPr>
        <w:t xml:space="preserve">a notice to a person at an electronic address in accordance with subparagraph (d)(iv) of the definition of </w:t>
      </w:r>
      <w:r w:rsidRPr="00D140B0">
        <w:rPr>
          <w:rFonts w:eastAsia="Times New Roman"/>
          <w:b/>
          <w:bCs/>
          <w:i/>
          <w:iCs/>
          <w:sz w:val="24"/>
          <w:szCs w:val="24"/>
          <w:lang w:eastAsia="en-AU"/>
        </w:rPr>
        <w:t>nominated electronic means</w:t>
      </w:r>
      <w:r w:rsidRPr="00C65471">
        <w:rPr>
          <w:rFonts w:eastAsia="Times New Roman"/>
          <w:sz w:val="24"/>
          <w:szCs w:val="24"/>
          <w:lang w:eastAsia="en-AU"/>
        </w:rPr>
        <w:t xml:space="preserve"> in section </w:t>
      </w:r>
      <w:r w:rsidR="00397173">
        <w:rPr>
          <w:rFonts w:eastAsia="Times New Roman"/>
          <w:sz w:val="24"/>
          <w:szCs w:val="24"/>
          <w:lang w:eastAsia="en-AU"/>
        </w:rPr>
        <w:t>9</w:t>
      </w:r>
      <w:r w:rsidRPr="00C65471">
        <w:rPr>
          <w:rFonts w:eastAsia="Times New Roman"/>
          <w:sz w:val="24"/>
          <w:szCs w:val="24"/>
          <w:lang w:eastAsia="en-AU"/>
        </w:rPr>
        <w:t xml:space="preserve"> in the course of making a periodic statement available to the person by a nominated electronic means in accordance with the regulations;</w:t>
      </w:r>
    </w:p>
    <w:p w14:paraId="2156BF09" w14:textId="77777777" w:rsidR="00FF1222" w:rsidRDefault="00FF1222" w:rsidP="00FF1222">
      <w:pPr>
        <w:keepNext/>
        <w:spacing w:before="240" w:line="240" w:lineRule="auto"/>
        <w:ind w:left="2410"/>
        <w:textAlignment w:val="baseline"/>
        <w:rPr>
          <w:rFonts w:eastAsia="Times New Roman"/>
          <w:sz w:val="24"/>
          <w:szCs w:val="24"/>
          <w:lang w:eastAsia="en-AU"/>
        </w:rPr>
      </w:pPr>
      <w:r w:rsidRPr="00C65471">
        <w:rPr>
          <w:rFonts w:eastAsia="Times New Roman"/>
          <w:sz w:val="24"/>
          <w:szCs w:val="24"/>
          <w:lang w:eastAsia="en-AU"/>
        </w:rPr>
        <w:t xml:space="preserve">a trustee of a standard employer-sponsored fund has reasonable grounds for believing that the electronic address </w:t>
      </w:r>
      <w:r w:rsidRPr="00C65471">
        <w:rPr>
          <w:rFonts w:eastAsia="Times New Roman"/>
          <w:sz w:val="24"/>
          <w:szCs w:val="24"/>
          <w:lang w:eastAsia="en-AU"/>
        </w:rPr>
        <w:lastRenderedPageBreak/>
        <w:t>is not a current electronic address for the person, the trustee must give the periodic statement to the person:</w:t>
      </w:r>
    </w:p>
    <w:p w14:paraId="17EB7CA3" w14:textId="77777777" w:rsidR="00FF1222" w:rsidRDefault="00FF1222" w:rsidP="00FF1222">
      <w:pPr>
        <w:keepNext/>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(c)</w:t>
      </w:r>
      <w:r w:rsidRPr="00C65471">
        <w:rPr>
          <w:rFonts w:ascii="Calibri" w:eastAsia="Times New Roman" w:hAnsi="Calibri" w:cs="Calibri"/>
          <w:sz w:val="24"/>
          <w:szCs w:val="24"/>
          <w:lang w:eastAsia="en-AU"/>
        </w:rPr>
        <w:tab/>
      </w:r>
      <w:r w:rsidRPr="00C65471">
        <w:rPr>
          <w:rFonts w:eastAsia="Times New Roman"/>
          <w:sz w:val="24"/>
          <w:szCs w:val="24"/>
          <w:lang w:eastAsia="en-AU"/>
        </w:rPr>
        <w:t>within 14 days after having the reasonable grounds; and</w:t>
      </w:r>
    </w:p>
    <w:p w14:paraId="40192DD1" w14:textId="77777777" w:rsidR="00FF1222" w:rsidRDefault="00FF1222" w:rsidP="00FF1222">
      <w:pPr>
        <w:keepNext/>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(d)</w:t>
      </w:r>
      <w:r w:rsidRPr="00C65471">
        <w:rPr>
          <w:rFonts w:ascii="Calibri" w:eastAsia="Times New Roman" w:hAnsi="Calibri" w:cs="Calibri"/>
          <w:sz w:val="24"/>
          <w:szCs w:val="24"/>
          <w:lang w:eastAsia="en-AU"/>
        </w:rPr>
        <w:tab/>
      </w:r>
      <w:r w:rsidRPr="00C65471">
        <w:rPr>
          <w:rFonts w:eastAsia="Times New Roman"/>
          <w:sz w:val="24"/>
          <w:szCs w:val="24"/>
          <w:lang w:eastAsia="en-AU"/>
        </w:rPr>
        <w:t>in accordance with subsection (6).”; and</w:t>
      </w:r>
    </w:p>
    <w:p w14:paraId="20FF7209" w14:textId="77777777" w:rsidR="00FF1222" w:rsidRDefault="00FF1222" w:rsidP="00FF1222">
      <w:pPr>
        <w:keepNext/>
        <w:spacing w:before="240" w:line="240" w:lineRule="auto"/>
        <w:ind w:left="1701" w:hanging="567"/>
        <w:textAlignment w:val="baseline"/>
        <w:rPr>
          <w:rFonts w:eastAsia="Times New Roman"/>
          <w:sz w:val="24"/>
          <w:szCs w:val="24"/>
          <w:lang w:eastAsia="en-AU"/>
        </w:rPr>
      </w:pPr>
      <w:r w:rsidRPr="00C65471">
        <w:rPr>
          <w:rFonts w:eastAsia="Times New Roman"/>
          <w:sz w:val="24"/>
          <w:szCs w:val="24"/>
          <w:lang w:eastAsia="en-AU"/>
        </w:rPr>
        <w:t>(d)</w:t>
      </w:r>
      <w:r w:rsidRPr="00C65471">
        <w:rPr>
          <w:rFonts w:ascii="Calibri" w:eastAsia="Times New Roman" w:hAnsi="Calibri" w:cs="Calibri"/>
          <w:sz w:val="24"/>
          <w:szCs w:val="24"/>
          <w:lang w:eastAsia="en-AU"/>
        </w:rPr>
        <w:tab/>
      </w:r>
      <w:r w:rsidRPr="00C65471">
        <w:rPr>
          <w:rFonts w:eastAsia="Times New Roman"/>
          <w:sz w:val="24"/>
          <w:szCs w:val="24"/>
          <w:lang w:eastAsia="en-AU"/>
        </w:rPr>
        <w:t>section 1017DA were modified or varied by, after subsection (3C) (as notionally inserted by regulation 7.9.60A and Part 14 of Schedule 10A to the Regulations), inserting:</w:t>
      </w:r>
    </w:p>
    <w:p w14:paraId="02C68536" w14:textId="7CECB8FC" w:rsidR="00FF1222" w:rsidRDefault="00FF1222" w:rsidP="00FF1222">
      <w:pPr>
        <w:keepNext/>
        <w:spacing w:before="240" w:line="240" w:lineRule="auto"/>
        <w:ind w:left="2410" w:hanging="709"/>
        <w:textAlignment w:val="baseline"/>
        <w:rPr>
          <w:rFonts w:eastAsia="Times New Roman"/>
          <w:sz w:val="24"/>
          <w:szCs w:val="24"/>
          <w:lang w:eastAsia="en-AU"/>
        </w:rPr>
      </w:pPr>
      <w:r w:rsidRPr="00C65471">
        <w:rPr>
          <w:rFonts w:eastAsia="Times New Roman"/>
          <w:sz w:val="24"/>
          <w:szCs w:val="24"/>
          <w:lang w:eastAsia="en-AU"/>
        </w:rPr>
        <w:t>“(3D)</w:t>
      </w:r>
      <w:r>
        <w:rPr>
          <w:rFonts w:eastAsia="Times New Roman"/>
          <w:sz w:val="24"/>
          <w:szCs w:val="24"/>
          <w:lang w:eastAsia="en-AU"/>
        </w:rPr>
        <w:tab/>
      </w:r>
      <w:r w:rsidRPr="00C65471">
        <w:rPr>
          <w:rFonts w:eastAsia="Times New Roman"/>
          <w:sz w:val="24"/>
          <w:szCs w:val="24"/>
          <w:lang w:eastAsia="en-AU"/>
        </w:rPr>
        <w:t>If a trustee of a standard employer-sponsored fund (</w:t>
      </w:r>
      <w:r w:rsidRPr="00C65471">
        <w:rPr>
          <w:rFonts w:eastAsia="Times New Roman"/>
          <w:b/>
          <w:bCs/>
          <w:i/>
          <w:iCs/>
          <w:sz w:val="24"/>
          <w:szCs w:val="24"/>
          <w:lang w:eastAsia="en-AU"/>
        </w:rPr>
        <w:t>relevant fund</w:t>
      </w:r>
      <w:r w:rsidRPr="00C65471">
        <w:rPr>
          <w:rFonts w:eastAsia="Times New Roman"/>
          <w:sz w:val="24"/>
          <w:szCs w:val="24"/>
          <w:lang w:eastAsia="en-AU"/>
        </w:rPr>
        <w:t>) is required to provide information to a person in accordance with regulations dealing with how the information is to be provided, the trustee may instead send the information to an electronic address provided to the trustee or another trustee of a standard employer-sponsored fund by the person’s employer (as at the time the address was provided) if:</w:t>
      </w:r>
    </w:p>
    <w:p w14:paraId="14F1161A" w14:textId="77777777" w:rsidR="00FF1222" w:rsidRDefault="00FF1222" w:rsidP="00FF1222">
      <w:pPr>
        <w:spacing w:before="240" w:line="240" w:lineRule="auto"/>
        <w:ind w:left="3110" w:hanging="700"/>
        <w:textAlignment w:val="baseline"/>
        <w:rPr>
          <w:rFonts w:eastAsia="Times New Roman"/>
          <w:sz w:val="24"/>
          <w:szCs w:val="24"/>
          <w:lang w:eastAsia="en-AU"/>
        </w:rPr>
      </w:pPr>
      <w:r w:rsidRPr="00C65471">
        <w:rPr>
          <w:rFonts w:eastAsia="Times New Roman"/>
          <w:sz w:val="24"/>
          <w:szCs w:val="24"/>
          <w:lang w:eastAsia="en-AU"/>
        </w:rPr>
        <w:t>(a)</w:t>
      </w:r>
      <w:r w:rsidRPr="00C65471">
        <w:rPr>
          <w:rFonts w:ascii="Calibri" w:eastAsia="Times New Roman" w:hAnsi="Calibri" w:cs="Calibri"/>
          <w:sz w:val="24"/>
          <w:szCs w:val="24"/>
          <w:lang w:eastAsia="en-AU"/>
        </w:rPr>
        <w:tab/>
      </w:r>
      <w:r w:rsidRPr="00C65471">
        <w:rPr>
          <w:rFonts w:eastAsia="Times New Roman"/>
          <w:sz w:val="24"/>
          <w:szCs w:val="24"/>
          <w:lang w:eastAsia="en-AU"/>
        </w:rPr>
        <w:t xml:space="preserve">the employer contributes, or has contributed, to the relevant fund for the benefit of the person </w:t>
      </w:r>
      <w:r w:rsidRPr="00A73027">
        <w:rPr>
          <w:rFonts w:eastAsia="Times New Roman"/>
          <w:sz w:val="24"/>
          <w:szCs w:val="24"/>
          <w:lang w:eastAsia="en-AU"/>
        </w:rPr>
        <w:t xml:space="preserve">in the absence of there being a chosen fund (within the meaning of the </w:t>
      </w:r>
      <w:r w:rsidRPr="00A73027">
        <w:rPr>
          <w:rFonts w:eastAsia="Times New Roman"/>
          <w:i/>
          <w:iCs/>
          <w:sz w:val="24"/>
          <w:szCs w:val="24"/>
          <w:lang w:eastAsia="en-AU"/>
        </w:rPr>
        <w:t>Superannuation Guarantee (Administration) Act 1992</w:t>
      </w:r>
      <w:r w:rsidRPr="00A73027">
        <w:rPr>
          <w:rFonts w:eastAsia="Times New Roman"/>
          <w:sz w:val="24"/>
          <w:szCs w:val="24"/>
          <w:lang w:eastAsia="en-AU"/>
        </w:rPr>
        <w:t>) for the person</w:t>
      </w:r>
      <w:r w:rsidRPr="00C65471">
        <w:rPr>
          <w:rFonts w:eastAsia="Times New Roman"/>
          <w:sz w:val="24"/>
          <w:szCs w:val="24"/>
          <w:lang w:eastAsia="en-AU"/>
        </w:rPr>
        <w:t>; and</w:t>
      </w:r>
    </w:p>
    <w:p w14:paraId="7FE9A0BC" w14:textId="77777777" w:rsidR="00FF1222" w:rsidRDefault="00FF1222" w:rsidP="00FF1222">
      <w:pPr>
        <w:spacing w:before="240" w:line="240" w:lineRule="auto"/>
        <w:ind w:left="3110" w:hanging="700"/>
        <w:textAlignment w:val="baseline"/>
        <w:rPr>
          <w:rFonts w:eastAsia="Times New Roman"/>
          <w:sz w:val="24"/>
          <w:szCs w:val="24"/>
          <w:lang w:eastAsia="en-AU"/>
        </w:rPr>
      </w:pPr>
      <w:r w:rsidRPr="00C65471">
        <w:rPr>
          <w:rFonts w:eastAsia="Times New Roman"/>
          <w:sz w:val="24"/>
          <w:szCs w:val="24"/>
          <w:lang w:eastAsia="en-AU"/>
        </w:rPr>
        <w:t>(b)</w:t>
      </w:r>
      <w:r w:rsidRPr="00C65471">
        <w:rPr>
          <w:rFonts w:ascii="Calibri" w:eastAsia="Times New Roman" w:hAnsi="Calibri" w:cs="Calibri"/>
          <w:sz w:val="24"/>
          <w:szCs w:val="24"/>
          <w:lang w:eastAsia="en-AU"/>
        </w:rPr>
        <w:tab/>
      </w:r>
      <w:r w:rsidRPr="00C65471">
        <w:rPr>
          <w:rFonts w:eastAsia="Times New Roman"/>
          <w:sz w:val="24"/>
          <w:szCs w:val="24"/>
          <w:lang w:eastAsia="en-AU"/>
        </w:rPr>
        <w:t>the employer provided the electronic address as part of providing contact details for the person; and</w:t>
      </w:r>
    </w:p>
    <w:p w14:paraId="40C85378" w14:textId="77777777" w:rsidR="00FF1222" w:rsidRDefault="00FF1222" w:rsidP="00FF1222">
      <w:pPr>
        <w:spacing w:before="240" w:line="240" w:lineRule="auto"/>
        <w:ind w:left="3110" w:hanging="700"/>
        <w:textAlignment w:val="baseline"/>
        <w:rPr>
          <w:rFonts w:eastAsia="Times New Roman"/>
          <w:sz w:val="24"/>
          <w:szCs w:val="24"/>
          <w:lang w:eastAsia="en-AU"/>
        </w:rPr>
      </w:pPr>
      <w:r w:rsidRPr="00C65471">
        <w:rPr>
          <w:rFonts w:eastAsia="Times New Roman"/>
          <w:sz w:val="24"/>
          <w:szCs w:val="24"/>
          <w:lang w:eastAsia="en-AU"/>
        </w:rPr>
        <w:t>(c)</w:t>
      </w:r>
      <w:r w:rsidRPr="00C65471">
        <w:rPr>
          <w:rFonts w:ascii="Calibri" w:eastAsia="Times New Roman" w:hAnsi="Calibri" w:cs="Calibri"/>
          <w:sz w:val="24"/>
          <w:szCs w:val="24"/>
          <w:lang w:eastAsia="en-AU"/>
        </w:rPr>
        <w:tab/>
      </w:r>
      <w:r w:rsidRPr="00C65471">
        <w:rPr>
          <w:rFonts w:eastAsia="Times New Roman"/>
          <w:sz w:val="24"/>
          <w:szCs w:val="24"/>
          <w:lang w:eastAsia="en-AU"/>
        </w:rPr>
        <w:t>the notification is accompanied by a statement that, if requested, the trustee will send the information and other communications to another electronic or postal address nominated by the person; and</w:t>
      </w:r>
    </w:p>
    <w:p w14:paraId="6036F025" w14:textId="77777777" w:rsidR="00FF1222" w:rsidRDefault="00FF1222" w:rsidP="00FF1222">
      <w:pPr>
        <w:spacing w:before="240" w:line="240" w:lineRule="auto"/>
        <w:ind w:left="3110" w:hanging="700"/>
        <w:textAlignment w:val="baseline"/>
        <w:rPr>
          <w:rFonts w:eastAsia="Times New Roman"/>
          <w:sz w:val="24"/>
          <w:szCs w:val="24"/>
          <w:lang w:eastAsia="en-AU"/>
        </w:rPr>
      </w:pPr>
      <w:r w:rsidRPr="00C65471">
        <w:rPr>
          <w:rFonts w:eastAsia="Times New Roman"/>
          <w:sz w:val="24"/>
          <w:szCs w:val="24"/>
          <w:lang w:eastAsia="en-AU"/>
        </w:rPr>
        <w:t>(d)</w:t>
      </w:r>
      <w:r w:rsidRPr="00C65471">
        <w:rPr>
          <w:rFonts w:ascii="Calibri" w:eastAsia="Times New Roman" w:hAnsi="Calibri" w:cs="Calibri"/>
          <w:sz w:val="24"/>
          <w:szCs w:val="24"/>
          <w:lang w:eastAsia="en-AU"/>
        </w:rPr>
        <w:tab/>
      </w:r>
      <w:r w:rsidRPr="00C65471">
        <w:rPr>
          <w:rFonts w:eastAsia="Times New Roman"/>
          <w:sz w:val="24"/>
          <w:szCs w:val="24"/>
          <w:lang w:eastAsia="en-AU"/>
        </w:rPr>
        <w:t>the person has not requested that the trustee send the information to another electronic or postal address; and</w:t>
      </w:r>
    </w:p>
    <w:p w14:paraId="36A79535" w14:textId="77777777" w:rsidR="00FF1222" w:rsidRDefault="00FF1222" w:rsidP="00FF1222">
      <w:pPr>
        <w:spacing w:before="240" w:line="240" w:lineRule="auto"/>
        <w:ind w:left="3110" w:hanging="700"/>
        <w:textAlignment w:val="baseline"/>
        <w:rPr>
          <w:rFonts w:eastAsia="Times New Roman"/>
          <w:sz w:val="24"/>
          <w:szCs w:val="24"/>
          <w:lang w:eastAsia="en-AU"/>
        </w:rPr>
      </w:pPr>
      <w:r w:rsidRPr="00C65471">
        <w:rPr>
          <w:rFonts w:eastAsia="Times New Roman"/>
          <w:sz w:val="24"/>
          <w:szCs w:val="24"/>
          <w:lang w:eastAsia="en-AU"/>
        </w:rPr>
        <w:t>(e)</w:t>
      </w:r>
      <w:r w:rsidRPr="00C65471">
        <w:rPr>
          <w:rFonts w:ascii="Calibri" w:eastAsia="Times New Roman" w:hAnsi="Calibri" w:cs="Calibri"/>
          <w:sz w:val="24"/>
          <w:szCs w:val="24"/>
          <w:lang w:eastAsia="en-AU"/>
        </w:rPr>
        <w:tab/>
      </w:r>
      <w:r w:rsidRPr="00C65471">
        <w:rPr>
          <w:rFonts w:eastAsia="Times New Roman"/>
          <w:sz w:val="24"/>
          <w:szCs w:val="24"/>
          <w:lang w:eastAsia="en-AU"/>
        </w:rPr>
        <w:t>the trustee has no reasonable grounds for believing that the electronic address is not a current electronic address for the person.</w:t>
      </w:r>
    </w:p>
    <w:p w14:paraId="5613DCF5" w14:textId="77777777" w:rsidR="00FF1222" w:rsidRDefault="00FF1222" w:rsidP="00FF1222">
      <w:pPr>
        <w:spacing w:before="240" w:line="240" w:lineRule="auto"/>
        <w:ind w:left="2410" w:hanging="709"/>
        <w:textAlignment w:val="baseline"/>
        <w:rPr>
          <w:rFonts w:eastAsia="Times New Roman"/>
          <w:sz w:val="24"/>
          <w:szCs w:val="24"/>
          <w:lang w:eastAsia="en-AU"/>
        </w:rPr>
      </w:pPr>
      <w:r w:rsidRPr="00C65471">
        <w:rPr>
          <w:rFonts w:eastAsia="Times New Roman"/>
          <w:sz w:val="24"/>
          <w:szCs w:val="24"/>
          <w:lang w:eastAsia="en-AU"/>
        </w:rPr>
        <w:t>(3E)</w:t>
      </w:r>
      <w:r w:rsidRPr="00C65471">
        <w:rPr>
          <w:rFonts w:ascii="Calibri" w:eastAsia="Times New Roman" w:hAnsi="Calibri" w:cs="Calibri"/>
          <w:sz w:val="24"/>
          <w:szCs w:val="24"/>
          <w:lang w:eastAsia="en-AU"/>
        </w:rPr>
        <w:tab/>
      </w:r>
      <w:r w:rsidRPr="00C65471">
        <w:rPr>
          <w:rFonts w:eastAsia="Times New Roman"/>
          <w:sz w:val="24"/>
          <w:szCs w:val="24"/>
          <w:lang w:eastAsia="en-AU"/>
        </w:rPr>
        <w:t>If, within 14 days after sending:</w:t>
      </w:r>
    </w:p>
    <w:p w14:paraId="53108083" w14:textId="77777777" w:rsidR="00FF1222" w:rsidRDefault="00FF1222" w:rsidP="00FF1222">
      <w:pPr>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(a)</w:t>
      </w:r>
      <w:r w:rsidRPr="00C65471">
        <w:rPr>
          <w:rFonts w:ascii="Calibri" w:eastAsia="Times New Roman" w:hAnsi="Calibri" w:cs="Calibri"/>
          <w:sz w:val="24"/>
          <w:szCs w:val="24"/>
          <w:lang w:eastAsia="en-AU"/>
        </w:rPr>
        <w:tab/>
      </w:r>
      <w:r w:rsidRPr="00C65471">
        <w:rPr>
          <w:rFonts w:eastAsia="Times New Roman"/>
          <w:sz w:val="24"/>
          <w:szCs w:val="24"/>
          <w:lang w:eastAsia="en-AU"/>
        </w:rPr>
        <w:t>information to a person at an electronic address in accordance with subsection (3D); or</w:t>
      </w:r>
    </w:p>
    <w:p w14:paraId="3B1F15CE" w14:textId="2081A292" w:rsidR="00FF1222" w:rsidRDefault="00FF1222" w:rsidP="00FF1222">
      <w:pPr>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(b)</w:t>
      </w:r>
      <w:r w:rsidRPr="00C65471">
        <w:rPr>
          <w:rFonts w:ascii="Calibri" w:eastAsia="Times New Roman" w:hAnsi="Calibri" w:cs="Calibri"/>
          <w:sz w:val="24"/>
          <w:szCs w:val="24"/>
          <w:lang w:eastAsia="en-AU"/>
        </w:rPr>
        <w:tab/>
      </w:r>
      <w:r w:rsidRPr="00C65471">
        <w:rPr>
          <w:rFonts w:eastAsia="Times New Roman"/>
          <w:sz w:val="24"/>
          <w:szCs w:val="24"/>
          <w:lang w:eastAsia="en-AU"/>
        </w:rPr>
        <w:t xml:space="preserve">a notice to a person at an electronic address in accordance with subparagraph (d)(iv) of the </w:t>
      </w:r>
      <w:r w:rsidRPr="00C65471">
        <w:rPr>
          <w:rFonts w:eastAsia="Times New Roman"/>
          <w:sz w:val="24"/>
          <w:szCs w:val="24"/>
          <w:lang w:eastAsia="en-AU"/>
        </w:rPr>
        <w:lastRenderedPageBreak/>
        <w:t xml:space="preserve">definition of </w:t>
      </w:r>
      <w:r w:rsidRPr="00D140B0">
        <w:rPr>
          <w:rFonts w:eastAsia="Times New Roman"/>
          <w:b/>
          <w:bCs/>
          <w:i/>
          <w:iCs/>
          <w:sz w:val="24"/>
          <w:szCs w:val="24"/>
          <w:lang w:eastAsia="en-AU"/>
        </w:rPr>
        <w:t>nominated electronic means</w:t>
      </w:r>
      <w:r w:rsidRPr="00C65471">
        <w:rPr>
          <w:rFonts w:eastAsia="Times New Roman"/>
          <w:sz w:val="24"/>
          <w:szCs w:val="24"/>
          <w:lang w:eastAsia="en-AU"/>
        </w:rPr>
        <w:t xml:space="preserve"> in section </w:t>
      </w:r>
      <w:r w:rsidR="00354317">
        <w:rPr>
          <w:rFonts w:eastAsia="Times New Roman"/>
          <w:sz w:val="24"/>
          <w:szCs w:val="24"/>
          <w:lang w:eastAsia="en-AU"/>
        </w:rPr>
        <w:t>9</w:t>
      </w:r>
      <w:r w:rsidR="00397173">
        <w:rPr>
          <w:rFonts w:eastAsia="Times New Roman"/>
          <w:sz w:val="24"/>
          <w:szCs w:val="24"/>
          <w:lang w:eastAsia="en-AU"/>
        </w:rPr>
        <w:t xml:space="preserve"> </w:t>
      </w:r>
      <w:r w:rsidRPr="00C65471">
        <w:rPr>
          <w:rFonts w:eastAsia="Times New Roman"/>
          <w:sz w:val="24"/>
          <w:szCs w:val="24"/>
          <w:lang w:eastAsia="en-AU"/>
        </w:rPr>
        <w:t>in the course of making information available to the person by a nominated electronic means in accordance with the regulations;</w:t>
      </w:r>
    </w:p>
    <w:p w14:paraId="32944F1C" w14:textId="77777777" w:rsidR="00FF1222" w:rsidRDefault="00FF1222" w:rsidP="00FF1222">
      <w:pPr>
        <w:spacing w:before="240" w:line="240" w:lineRule="auto"/>
        <w:ind w:left="2410"/>
        <w:textAlignment w:val="baseline"/>
        <w:rPr>
          <w:rFonts w:eastAsia="Times New Roman"/>
          <w:sz w:val="24"/>
          <w:szCs w:val="24"/>
          <w:lang w:eastAsia="en-AU"/>
        </w:rPr>
      </w:pPr>
      <w:r w:rsidRPr="00C65471">
        <w:rPr>
          <w:rFonts w:eastAsia="Times New Roman"/>
          <w:sz w:val="24"/>
          <w:szCs w:val="24"/>
          <w:lang w:eastAsia="en-AU"/>
        </w:rPr>
        <w:t>a trustee of a standard employer-sponsored fund has reasonable grounds for believing that the electronic address is not a current electronic address for the person, the trustee must provide the information to the person:</w:t>
      </w:r>
    </w:p>
    <w:p w14:paraId="46BD8314" w14:textId="77777777" w:rsidR="00FF1222" w:rsidRDefault="00FF1222" w:rsidP="00FF1222">
      <w:pPr>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(c)</w:t>
      </w:r>
      <w:r w:rsidRPr="00C65471">
        <w:rPr>
          <w:rFonts w:ascii="Calibri" w:eastAsia="Times New Roman" w:hAnsi="Calibri" w:cs="Calibri"/>
          <w:sz w:val="24"/>
          <w:szCs w:val="24"/>
          <w:lang w:eastAsia="en-AU"/>
        </w:rPr>
        <w:tab/>
      </w:r>
      <w:r w:rsidRPr="00C65471">
        <w:rPr>
          <w:rFonts w:eastAsia="Times New Roman"/>
          <w:sz w:val="24"/>
          <w:szCs w:val="24"/>
          <w:lang w:eastAsia="en-AU"/>
        </w:rPr>
        <w:t>within 14 days after having the reasonable grounds; and</w:t>
      </w:r>
    </w:p>
    <w:p w14:paraId="7A434216" w14:textId="12CFBE20" w:rsidR="00203A35" w:rsidRDefault="00FF1222" w:rsidP="00FF1222">
      <w:pPr>
        <w:spacing w:before="240" w:line="240" w:lineRule="auto"/>
        <w:ind w:left="3119" w:hanging="709"/>
        <w:textAlignment w:val="baseline"/>
        <w:rPr>
          <w:rFonts w:eastAsia="Times New Roman"/>
          <w:sz w:val="24"/>
          <w:szCs w:val="24"/>
          <w:lang w:eastAsia="en-AU"/>
        </w:rPr>
      </w:pPr>
      <w:r w:rsidRPr="00C65471">
        <w:rPr>
          <w:rFonts w:eastAsia="Times New Roman"/>
          <w:sz w:val="24"/>
          <w:szCs w:val="24"/>
          <w:lang w:eastAsia="en-AU"/>
        </w:rPr>
        <w:t>(d)</w:t>
      </w:r>
      <w:r w:rsidRPr="00C65471">
        <w:rPr>
          <w:rFonts w:ascii="Calibri" w:eastAsia="Times New Roman" w:hAnsi="Calibri" w:cs="Calibri"/>
          <w:sz w:val="24"/>
          <w:szCs w:val="24"/>
          <w:lang w:eastAsia="en-AU"/>
        </w:rPr>
        <w:tab/>
      </w:r>
      <w:r w:rsidRPr="00C65471">
        <w:rPr>
          <w:rFonts w:eastAsia="Times New Roman"/>
          <w:sz w:val="24"/>
          <w:szCs w:val="24"/>
          <w:lang w:eastAsia="en-AU"/>
        </w:rPr>
        <w:t>in accordance with regulations dealing with how the information is to be provided.”.</w:t>
      </w:r>
    </w:p>
    <w:p w14:paraId="64DA23FB" w14:textId="4F9503FA" w:rsidR="007C3268" w:rsidRPr="00F61B09" w:rsidRDefault="007C3268" w:rsidP="007C3268">
      <w:pPr>
        <w:pStyle w:val="LI-Heading1"/>
      </w:pPr>
      <w:bookmarkStart w:id="15" w:name="_Toc208929251"/>
      <w:r w:rsidRPr="006E5320">
        <w:t>Part </w:t>
      </w:r>
      <w:r>
        <w:t>3</w:t>
      </w:r>
      <w:r w:rsidRPr="006554FF">
        <w:t>—</w:t>
      </w:r>
      <w:r>
        <w:t xml:space="preserve">Declarations </w:t>
      </w:r>
      <w:r w:rsidR="00CE7DCD">
        <w:t xml:space="preserve">removing </w:t>
      </w:r>
      <w:r w:rsidR="002917DF">
        <w:t>barriers</w:t>
      </w:r>
      <w:r w:rsidR="00B001AB">
        <w:t xml:space="preserve"> to electronic disclosure</w:t>
      </w:r>
      <w:bookmarkEnd w:id="15"/>
      <w:r w:rsidR="00CE7DCD">
        <w:t xml:space="preserve"> </w:t>
      </w:r>
      <w:r w:rsidR="002917DF">
        <w:t xml:space="preserve"> </w:t>
      </w:r>
    </w:p>
    <w:p w14:paraId="0C408FF4" w14:textId="5B8CDCE5" w:rsidR="00335186" w:rsidRPr="0053611B" w:rsidRDefault="004536FF" w:rsidP="0053611B">
      <w:pPr>
        <w:pStyle w:val="LI-Heading2"/>
      </w:pPr>
      <w:bookmarkStart w:id="16" w:name="_Toc208929252"/>
      <w:r>
        <w:t>8</w:t>
      </w:r>
      <w:r w:rsidR="0053611B">
        <w:tab/>
      </w:r>
      <w:bookmarkStart w:id="17" w:name="_Toc119684255"/>
      <w:bookmarkStart w:id="18" w:name="_Toc190866532"/>
      <w:bookmarkStart w:id="19" w:name="_Toc190866530"/>
      <w:r w:rsidR="00335186" w:rsidRPr="0053611B">
        <w:t xml:space="preserve">Simplified outline of this </w:t>
      </w:r>
      <w:r w:rsidR="009063D1" w:rsidRPr="0053611B">
        <w:t>Part</w:t>
      </w:r>
      <w:bookmarkEnd w:id="16"/>
      <w:r w:rsidR="009063D1" w:rsidRPr="0053611B">
        <w:t xml:space="preserve"> </w:t>
      </w:r>
    </w:p>
    <w:p w14:paraId="23DF3372" w14:textId="77777777" w:rsidR="00335186" w:rsidRDefault="00335186" w:rsidP="00335186">
      <w:pPr>
        <w:pStyle w:val="LI-Heading2"/>
        <w:spacing w:before="120"/>
      </w:pPr>
    </w:p>
    <w:tbl>
      <w:tblPr>
        <w:tblStyle w:val="TableGrid"/>
        <w:tblW w:w="0" w:type="auto"/>
        <w:tblInd w:w="567" w:type="dxa"/>
        <w:tblLook w:val="04A0" w:firstRow="1" w:lastRow="0" w:firstColumn="1" w:lastColumn="0" w:noHBand="0" w:noVBand="1"/>
      </w:tblPr>
      <w:tblGrid>
        <w:gridCol w:w="7736"/>
      </w:tblGrid>
      <w:tr w:rsidR="00335186" w14:paraId="7593C232" w14:textId="77777777" w:rsidTr="00D140B0">
        <w:trPr>
          <w:trHeight w:val="1397"/>
        </w:trPr>
        <w:tc>
          <w:tcPr>
            <w:tcW w:w="7736" w:type="dxa"/>
          </w:tcPr>
          <w:p w14:paraId="56F49938" w14:textId="22C03782" w:rsidR="008C497F" w:rsidRDefault="002D2F69" w:rsidP="00963E19">
            <w:pPr>
              <w:pStyle w:val="LI-BodyTextUnnumbered"/>
              <w:spacing w:before="120" w:after="120"/>
              <w:ind w:left="34"/>
            </w:pPr>
            <w:r>
              <w:t xml:space="preserve">This Part </w:t>
            </w:r>
            <w:r w:rsidR="00413458">
              <w:t xml:space="preserve">modifies the Act and </w:t>
            </w:r>
            <w:r w:rsidR="001D0B8A">
              <w:t xml:space="preserve">the </w:t>
            </w:r>
            <w:r w:rsidR="00413458">
              <w:t>Regulations</w:t>
            </w:r>
            <w:r w:rsidR="008C497F">
              <w:t xml:space="preserve"> </w:t>
            </w:r>
            <w:r w:rsidR="00325EB2">
              <w:t>so</w:t>
            </w:r>
            <w:r w:rsidR="008B2BD6">
              <w:t xml:space="preserve"> that</w:t>
            </w:r>
            <w:r w:rsidR="008C497F">
              <w:t>:</w:t>
            </w:r>
          </w:p>
          <w:p w14:paraId="13EA4DD9" w14:textId="2BB9E07C" w:rsidR="00D95801" w:rsidRDefault="00392D35" w:rsidP="00EF3B5F">
            <w:pPr>
              <w:pStyle w:val="LI-BodyTextUnnumbered"/>
              <w:spacing w:before="120" w:after="120"/>
              <w:ind w:left="601" w:hanging="567"/>
            </w:pPr>
            <w:r>
              <w:t>(a)</w:t>
            </w:r>
            <w:r>
              <w:tab/>
            </w:r>
            <w:r w:rsidR="00C10B13">
              <w:t xml:space="preserve">requirements dealing with the location of </w:t>
            </w:r>
            <w:r w:rsidR="00025495">
              <w:t xml:space="preserve">specified </w:t>
            </w:r>
            <w:r w:rsidR="00C10B13">
              <w:t>words</w:t>
            </w:r>
            <w:r w:rsidR="00FF517E">
              <w:t xml:space="preserve"> </w:t>
            </w:r>
            <w:r w:rsidR="0059178F">
              <w:t>in certain disclosure documents</w:t>
            </w:r>
            <w:r w:rsidR="00E86D23">
              <w:t xml:space="preserve"> </w:t>
            </w:r>
            <w:r w:rsidR="00D95801">
              <w:t>can be</w:t>
            </w:r>
            <w:r w:rsidR="00056077">
              <w:t xml:space="preserve"> satisfied by including th</w:t>
            </w:r>
            <w:r w:rsidR="00025495">
              <w:t>os</w:t>
            </w:r>
            <w:r w:rsidR="00056077">
              <w:t>e words</w:t>
            </w:r>
            <w:r w:rsidR="00D95801">
              <w:t xml:space="preserve"> at </w:t>
            </w:r>
            <w:r w:rsidR="00540A5E">
              <w:t xml:space="preserve">or near </w:t>
            </w:r>
            <w:r w:rsidR="00D95801">
              <w:t>the beginning of the disclosure document</w:t>
            </w:r>
            <w:r w:rsidR="002862A8">
              <w:t>;</w:t>
            </w:r>
            <w:r w:rsidR="00D95801">
              <w:t xml:space="preserve">  </w:t>
            </w:r>
          </w:p>
          <w:p w14:paraId="7ED17850" w14:textId="2E90CBFA" w:rsidR="008C497F" w:rsidRDefault="00392D35" w:rsidP="00EF3B5F">
            <w:pPr>
              <w:pStyle w:val="LI-BodyTextUnnumbered"/>
              <w:spacing w:before="120" w:after="120"/>
              <w:ind w:left="601" w:hanging="567"/>
            </w:pPr>
            <w:r>
              <w:t>(b)</w:t>
            </w:r>
            <w:r>
              <w:tab/>
            </w:r>
            <w:r w:rsidR="008C497F">
              <w:t xml:space="preserve">the page length requirements for </w:t>
            </w:r>
            <w:r w:rsidR="00807E12">
              <w:t>S</w:t>
            </w:r>
            <w:r w:rsidR="001E3B48">
              <w:t xml:space="preserve">horter </w:t>
            </w:r>
            <w:r w:rsidR="008C497F">
              <w:t>PDSs</w:t>
            </w:r>
            <w:r w:rsidR="00A20C52">
              <w:t xml:space="preserve"> </w:t>
            </w:r>
            <w:r w:rsidR="008C497F">
              <w:t xml:space="preserve">apply only to the extent that the PDS </w:t>
            </w:r>
            <w:r w:rsidR="000252C0">
              <w:t>can</w:t>
            </w:r>
            <w:r w:rsidR="008C497F">
              <w:t xml:space="preserve"> be printed;</w:t>
            </w:r>
            <w:r w:rsidR="00D95801">
              <w:t xml:space="preserve"> and</w:t>
            </w:r>
          </w:p>
          <w:p w14:paraId="2C41DBA3" w14:textId="03EE0F70" w:rsidR="00335186" w:rsidRPr="00EC0905" w:rsidRDefault="00392D35" w:rsidP="00EF3B5F">
            <w:pPr>
              <w:pStyle w:val="LI-BodyTextUnnumbered"/>
              <w:spacing w:before="120" w:after="120"/>
              <w:ind w:left="601" w:hanging="567"/>
            </w:pPr>
            <w:r>
              <w:t>(c)</w:t>
            </w:r>
            <w:r>
              <w:tab/>
            </w:r>
            <w:r w:rsidR="00D3740C" w:rsidRPr="00D3740C">
              <w:t xml:space="preserve">if a </w:t>
            </w:r>
            <w:r w:rsidR="003F1622">
              <w:t>Shorter</w:t>
            </w:r>
            <w:r w:rsidR="00D3740C" w:rsidRPr="00D3740C">
              <w:t xml:space="preserve"> </w:t>
            </w:r>
            <w:r w:rsidR="00D1592B">
              <w:t xml:space="preserve">PDS </w:t>
            </w:r>
            <w:r w:rsidR="00D3740C" w:rsidRPr="00D3740C">
              <w:t>is in an electronic form and not able to be printed, the requirements that apply if a person requests a copy of the PDS</w:t>
            </w:r>
            <w:r w:rsidR="004C119E">
              <w:t xml:space="preserve"> are modified</w:t>
            </w:r>
            <w:r w:rsidR="00D95801">
              <w:t>.</w:t>
            </w:r>
          </w:p>
        </w:tc>
      </w:tr>
    </w:tbl>
    <w:p w14:paraId="21C27548" w14:textId="2CBFA327" w:rsidR="00277A76" w:rsidRDefault="00F65650" w:rsidP="00277A76">
      <w:pPr>
        <w:pStyle w:val="LI-Heading2"/>
      </w:pPr>
      <w:bookmarkStart w:id="20" w:name="_Toc208929253"/>
      <w:r>
        <w:t>9</w:t>
      </w:r>
      <w:r w:rsidR="00335186">
        <w:tab/>
      </w:r>
      <w:r w:rsidR="00773258">
        <w:t>W</w:t>
      </w:r>
      <w:r w:rsidR="00277A76">
        <w:t>ords required to be used on the cover of, or at or near the front of, a disclosure</w:t>
      </w:r>
      <w:bookmarkEnd w:id="17"/>
      <w:bookmarkEnd w:id="18"/>
      <w:bookmarkEnd w:id="20"/>
    </w:p>
    <w:p w14:paraId="3C1A0680" w14:textId="77777777" w:rsidR="00277A76" w:rsidRDefault="00277A76" w:rsidP="00277A76">
      <w:pPr>
        <w:pStyle w:val="LI-BodyTextNumbered"/>
      </w:pPr>
      <w:r w:rsidRPr="005D3D41">
        <w:tab/>
      </w:r>
      <w:r>
        <w:t>Parts 7.7 and 7.9 of the Act apply in relation to a financial services licensee, an authorised representative of a financial services licensee and a financial product in relation to which a Product Disclosure Statement, a Supplementary Product Disclosure Statement, a Replacement Product Disclosure Statement, a Short-Form PDS or a Supplementary Short-Form PDS is required or prepared as if the following provisions:</w:t>
      </w:r>
    </w:p>
    <w:p w14:paraId="4D7830F2" w14:textId="3C1BCC5A" w:rsidR="00277A76" w:rsidRDefault="00277A76" w:rsidP="00277A76">
      <w:pPr>
        <w:pStyle w:val="li-bodytextnumbered0"/>
        <w:shd w:val="clear" w:color="auto" w:fill="FFFFFF"/>
        <w:spacing w:before="240" w:beforeAutospacing="0" w:after="0" w:afterAutospacing="0"/>
        <w:ind w:left="1701" w:hanging="567"/>
        <w:rPr>
          <w:color w:val="000000"/>
        </w:rPr>
      </w:pPr>
      <w:r>
        <w:rPr>
          <w:color w:val="000000"/>
        </w:rPr>
        <w:t>(a)</w:t>
      </w:r>
      <w:r>
        <w:rPr>
          <w:color w:val="000000"/>
        </w:rPr>
        <w:tab/>
        <w:t xml:space="preserve">subsections 942A(1), 942D(2), 942D(4), 943B(1),  947A(1), </w:t>
      </w:r>
      <w:r w:rsidR="00D426D7">
        <w:rPr>
          <w:color w:val="000000"/>
        </w:rPr>
        <w:t>94</w:t>
      </w:r>
      <w:r w:rsidR="0051122F">
        <w:rPr>
          <w:color w:val="000000"/>
        </w:rPr>
        <w:t>8</w:t>
      </w:r>
      <w:r w:rsidR="00D426D7">
        <w:rPr>
          <w:color w:val="000000"/>
        </w:rPr>
        <w:t xml:space="preserve">E(1), </w:t>
      </w:r>
      <w:r>
        <w:rPr>
          <w:color w:val="000000"/>
        </w:rPr>
        <w:t>1013B(1), 1013L(2), 1013L(4), 1014B(1) and 1014K(2) of the Act;</w:t>
      </w:r>
    </w:p>
    <w:p w14:paraId="16FA8297" w14:textId="77777777" w:rsidR="00277A76" w:rsidRDefault="00277A76" w:rsidP="00277A76">
      <w:pPr>
        <w:pStyle w:val="li-bodytextnumbered0"/>
        <w:shd w:val="clear" w:color="auto" w:fill="FFFFFF"/>
        <w:spacing w:before="240" w:beforeAutospacing="0" w:after="0" w:afterAutospacing="0"/>
        <w:ind w:left="1701" w:hanging="567"/>
        <w:rPr>
          <w:color w:val="000000"/>
        </w:rPr>
      </w:pPr>
      <w:r>
        <w:rPr>
          <w:color w:val="000000"/>
        </w:rPr>
        <w:lastRenderedPageBreak/>
        <w:t>(b)</w:t>
      </w:r>
      <w:r>
        <w:rPr>
          <w:color w:val="000000"/>
        </w:rPr>
        <w:tab/>
        <w:t>item 3.1 of Part 3 of Schedule 10BA to the Regulations, in notional subsections 1017J(1) and 1017M(1) of the Act;</w:t>
      </w:r>
    </w:p>
    <w:p w14:paraId="2370AA0F" w14:textId="77777777" w:rsidR="00277A76" w:rsidRDefault="00277A76" w:rsidP="00277A76">
      <w:pPr>
        <w:pStyle w:val="li-bodytextnumbered0"/>
        <w:shd w:val="clear" w:color="auto" w:fill="FFFFFF"/>
        <w:spacing w:before="240" w:beforeAutospacing="0" w:after="0" w:afterAutospacing="0"/>
        <w:ind w:left="1701" w:hanging="567"/>
        <w:rPr>
          <w:color w:val="000000"/>
        </w:rPr>
      </w:pPr>
      <w:r>
        <w:rPr>
          <w:color w:val="000000"/>
        </w:rPr>
        <w:t>(c)</w:t>
      </w:r>
      <w:r>
        <w:rPr>
          <w:color w:val="000000"/>
        </w:rPr>
        <w:tab/>
        <w:t>paragraphs 7.7.03(6)(a), 7.7.06(6)(a), 7.7.08A(2)(c) and 7.7.08A(3)(d) and subparagraphs 7.9.11E(3)(c)(ii), 7.9.11P(3)(c)(ii), 7.9.11X(3)(c)(ii) and 7.9.11.ZF(3)(c)(ii) of the Regulations;</w:t>
      </w:r>
    </w:p>
    <w:p w14:paraId="3438B4B4" w14:textId="77777777" w:rsidR="00277A76" w:rsidRDefault="00277A76" w:rsidP="00277A76">
      <w:pPr>
        <w:pStyle w:val="li-bodytextnumbered0"/>
        <w:shd w:val="clear" w:color="auto" w:fill="FFFFFF"/>
        <w:spacing w:before="240" w:beforeAutospacing="0" w:after="0" w:afterAutospacing="0" w:line="276" w:lineRule="auto"/>
        <w:ind w:left="1701" w:hanging="567"/>
      </w:pPr>
      <w:r>
        <w:rPr>
          <w:color w:val="000000"/>
        </w:rPr>
        <w:t>were modified or varied by after “the front”, inserting “or beginning”.</w:t>
      </w:r>
    </w:p>
    <w:p w14:paraId="7DD3A18E" w14:textId="77777777" w:rsidR="00A0070C" w:rsidRDefault="00277A76" w:rsidP="00A0070C">
      <w:pPr>
        <w:pStyle w:val="LI-SectionNote"/>
        <w:ind w:left="1701"/>
      </w:pPr>
      <w:r>
        <w:t xml:space="preserve">Note: </w:t>
      </w:r>
      <w:r>
        <w:tab/>
        <w:t xml:space="preserve">Regulation 7.9.61AA of the Regulations notionally inserts the definitions of </w:t>
      </w:r>
      <w:r w:rsidRPr="00243165">
        <w:rPr>
          <w:b/>
          <w:bCs/>
          <w:i/>
          <w:iCs/>
        </w:rPr>
        <w:t xml:space="preserve">Short-Form PDS </w:t>
      </w:r>
      <w:r>
        <w:t>and</w:t>
      </w:r>
      <w:r w:rsidRPr="00243165">
        <w:rPr>
          <w:b/>
          <w:bCs/>
          <w:i/>
          <w:iCs/>
        </w:rPr>
        <w:t xml:space="preserve"> Supplementary Short-Form PDS</w:t>
      </w:r>
      <w:r>
        <w:t xml:space="preserve"> into section 9 of the Act for Parts 7.7, 7.8 and 7.9 of the Act.  </w:t>
      </w:r>
    </w:p>
    <w:p w14:paraId="48971571" w14:textId="77E38646" w:rsidR="00AF62E4" w:rsidRDefault="00F65650" w:rsidP="00A0070C">
      <w:pPr>
        <w:pStyle w:val="LI-Heading2"/>
      </w:pPr>
      <w:bookmarkStart w:id="21" w:name="_Toc208929254"/>
      <w:r>
        <w:t>10</w:t>
      </w:r>
      <w:r w:rsidR="00AF62E4">
        <w:tab/>
      </w:r>
      <w:bookmarkEnd w:id="19"/>
      <w:r w:rsidR="0068116C">
        <w:t>Page length for electronic</w:t>
      </w:r>
      <w:r w:rsidR="008E168C">
        <w:t xml:space="preserve"> Shorter</w:t>
      </w:r>
      <w:r w:rsidR="0068116C">
        <w:t xml:space="preserve"> PDSs</w:t>
      </w:r>
      <w:bookmarkEnd w:id="21"/>
    </w:p>
    <w:p w14:paraId="671E6F95" w14:textId="77777777" w:rsidR="00AF62E4" w:rsidRDefault="00AF62E4" w:rsidP="00AF62E4">
      <w:pPr>
        <w:pStyle w:val="LI-BodyTextNumbered"/>
        <w:ind w:firstLine="0"/>
      </w:pPr>
      <w:r>
        <w:t>Part 7.9 of the Act applies in relation to a standard margin lending facility</w:t>
      </w:r>
      <w:r w:rsidRPr="006430E5">
        <w:t>,</w:t>
      </w:r>
      <w:r>
        <w:t xml:space="preserve"> a superannuation product to which Subdivision 4.2B of Division 4 of Part 7.9 of the Regulations applies, a simple managed investment scheme to which Subdivision 4.2C of Division 4 of Part 7.9 of the Regulations applies and a simple sub-fund product to which Subdivision 4.2D of Division 4 of Part 7.9 of the Regulations applies as if Schedules 10C, 10D, 10E and 10F to the Regulations were modified or varied by inserting after subclause 1(2) in each of those Schedules:</w:t>
      </w:r>
    </w:p>
    <w:p w14:paraId="15AB97AD" w14:textId="77777777" w:rsidR="00AF62E4" w:rsidRDefault="00AF62E4" w:rsidP="00AF62E4">
      <w:pPr>
        <w:pStyle w:val="LI-BodyTextUnnumbered"/>
        <w:ind w:left="1985" w:hanging="709"/>
        <w:rPr>
          <w:color w:val="000000"/>
          <w:shd w:val="clear" w:color="auto" w:fill="FFFFFF"/>
        </w:rPr>
      </w:pPr>
      <w:r>
        <w:rPr>
          <w:color w:val="000000"/>
          <w:shd w:val="clear" w:color="auto" w:fill="FFFFFF"/>
        </w:rPr>
        <w:t>“(3)</w:t>
      </w:r>
      <w:r>
        <w:rPr>
          <w:color w:val="000000"/>
          <w:shd w:val="clear" w:color="auto" w:fill="FFFFFF"/>
        </w:rPr>
        <w:tab/>
        <w:t xml:space="preserve">The requirement in subclause 1(1) only applies to the extent that material contained in the Statement is of a kind that is able to be printed.”. </w:t>
      </w:r>
    </w:p>
    <w:p w14:paraId="0E133C78" w14:textId="642B87E0" w:rsidR="00AF62E4" w:rsidRDefault="00335186" w:rsidP="00AF62E4">
      <w:pPr>
        <w:pStyle w:val="LI-Heading2"/>
      </w:pPr>
      <w:bookmarkStart w:id="22" w:name="_Toc119684254"/>
      <w:bookmarkStart w:id="23" w:name="_Toc190866531"/>
      <w:bookmarkStart w:id="24" w:name="_Toc208929255"/>
      <w:r>
        <w:t>1</w:t>
      </w:r>
      <w:r w:rsidR="00F65650">
        <w:t>1</w:t>
      </w:r>
      <w:r w:rsidR="00AF62E4">
        <w:tab/>
        <w:t xml:space="preserve">Giving a copy of an electronic </w:t>
      </w:r>
      <w:r w:rsidR="00EA79AB">
        <w:t xml:space="preserve">Shorter </w:t>
      </w:r>
      <w:r w:rsidR="00AF62E4">
        <w:t>PDS</w:t>
      </w:r>
      <w:bookmarkEnd w:id="22"/>
      <w:bookmarkEnd w:id="23"/>
      <w:bookmarkEnd w:id="24"/>
      <w:r w:rsidR="00AF62E4">
        <w:t xml:space="preserve">  </w:t>
      </w:r>
    </w:p>
    <w:p w14:paraId="13036DE3" w14:textId="77777777" w:rsidR="00AF62E4" w:rsidRDefault="00AF62E4" w:rsidP="00AF62E4">
      <w:pPr>
        <w:pStyle w:val="LI-BodyTextNumbered"/>
      </w:pPr>
      <w:r w:rsidRPr="005D3D41">
        <w:tab/>
      </w:r>
      <w:r>
        <w:rPr>
          <w:shd w:val="clear" w:color="auto" w:fill="FFFFFF"/>
        </w:rPr>
        <w:t xml:space="preserve">Part 7.9 of the </w:t>
      </w:r>
      <w:r w:rsidRPr="00026276">
        <w:t>Act</w:t>
      </w:r>
      <w:r>
        <w:rPr>
          <w:shd w:val="clear" w:color="auto" w:fill="FFFFFF"/>
        </w:rPr>
        <w:t xml:space="preserve"> applies in relation to a </w:t>
      </w:r>
      <w:r>
        <w:t>standard margin lending facility</w:t>
      </w:r>
      <w:r>
        <w:rPr>
          <w:shd w:val="clear" w:color="auto" w:fill="FFFFFF"/>
        </w:rPr>
        <w:t>, a superannuation product to which Subdivision 4.2B of Division 4 of Part 7.9 of the Regulations applies, a simple managed investment scheme to which Subdivision 4.2C of Division 4 of Part 7.9 of the Regulations applies and a simple sub-fund product to which Subdivision 4.2D of Division 4 of Part 7.9 of the Regulations applies as if:</w:t>
      </w:r>
    </w:p>
    <w:p w14:paraId="059B49FA" w14:textId="77777777" w:rsidR="00AF62E4" w:rsidRDefault="00AF62E4" w:rsidP="00AF62E4">
      <w:pPr>
        <w:pStyle w:val="LI-BodyTextParaa"/>
        <w:rPr>
          <w:color w:val="000000"/>
          <w:shd w:val="clear" w:color="auto" w:fill="FFFFFF"/>
        </w:rPr>
      </w:pPr>
      <w:r>
        <w:t>(a)</w:t>
      </w:r>
      <w:r>
        <w:tab/>
        <w:t>s</w:t>
      </w:r>
      <w:r>
        <w:rPr>
          <w:color w:val="000000"/>
          <w:shd w:val="clear" w:color="auto" w:fill="FFFFFF"/>
        </w:rPr>
        <w:t>ection 1015C were modified or varied by, after subsection (5), inserting:</w:t>
      </w:r>
    </w:p>
    <w:p w14:paraId="3171AB40" w14:textId="63C4269B" w:rsidR="00AF62E4" w:rsidRDefault="00AF62E4" w:rsidP="00FD24A2">
      <w:pPr>
        <w:pStyle w:val="li-sectionsubsectiontext0"/>
        <w:shd w:val="clear" w:color="auto" w:fill="FFFFFF"/>
        <w:spacing w:before="240" w:beforeAutospacing="0" w:after="0" w:afterAutospacing="0"/>
        <w:ind w:left="1996" w:hanging="295"/>
        <w:rPr>
          <w:color w:val="000000"/>
        </w:rPr>
      </w:pPr>
      <w:r>
        <w:rPr>
          <w:color w:val="000000"/>
        </w:rPr>
        <w:t>“(5A)</w:t>
      </w:r>
      <w:r w:rsidR="00EF25C8">
        <w:rPr>
          <w:color w:val="000000"/>
        </w:rPr>
        <w:t xml:space="preserve">  </w:t>
      </w:r>
      <w:r>
        <w:rPr>
          <w:color w:val="000000"/>
        </w:rPr>
        <w:t>If:</w:t>
      </w:r>
    </w:p>
    <w:p w14:paraId="70C38F43" w14:textId="77777777" w:rsidR="00AF62E4" w:rsidRDefault="00AF62E4" w:rsidP="00FD24A2">
      <w:pPr>
        <w:pStyle w:val="li-sectionparaa0"/>
        <w:shd w:val="clear" w:color="auto" w:fill="FFFFFF"/>
        <w:spacing w:before="240" w:beforeAutospacing="0" w:after="0" w:afterAutospacing="0"/>
        <w:ind w:left="2727" w:hanging="567"/>
        <w:rPr>
          <w:color w:val="000000"/>
        </w:rPr>
      </w:pPr>
      <w:r>
        <w:rPr>
          <w:color w:val="000000"/>
        </w:rPr>
        <w:t>(a)</w:t>
      </w:r>
      <w:r>
        <w:rPr>
          <w:color w:val="000000"/>
        </w:rPr>
        <w:tab/>
        <w:t>a Statement for a financial product is in an electronic form and some or all of the material contained in the Statement is of a kind that is not able to be printed; and</w:t>
      </w:r>
    </w:p>
    <w:p w14:paraId="195BF574" w14:textId="77777777" w:rsidR="00AF62E4" w:rsidRDefault="00AF62E4" w:rsidP="00FD24A2">
      <w:pPr>
        <w:pStyle w:val="li-sectionparaa0"/>
        <w:shd w:val="clear" w:color="auto" w:fill="FFFFFF"/>
        <w:spacing w:before="240" w:beforeAutospacing="0" w:after="0" w:afterAutospacing="0"/>
        <w:ind w:left="2727" w:hanging="567"/>
        <w:rPr>
          <w:color w:val="000000"/>
        </w:rPr>
      </w:pPr>
      <w:r>
        <w:rPr>
          <w:color w:val="000000"/>
        </w:rPr>
        <w:t>(b)</w:t>
      </w:r>
      <w:r>
        <w:rPr>
          <w:color w:val="000000"/>
        </w:rPr>
        <w:tab/>
        <w:t xml:space="preserve">a request by a person for a copy of the </w:t>
      </w:r>
      <w:r w:rsidRPr="00AB3519">
        <w:rPr>
          <w:color w:val="000000"/>
        </w:rPr>
        <w:t>Product Disclosure Statement</w:t>
      </w:r>
      <w:r>
        <w:rPr>
          <w:color w:val="000000"/>
        </w:rPr>
        <w:t xml:space="preserve"> does not nominate a </w:t>
      </w:r>
      <w:r w:rsidRPr="00FD24A2">
        <w:rPr>
          <w:b/>
          <w:bCs/>
          <w:i/>
          <w:iCs/>
          <w:color w:val="000000"/>
        </w:rPr>
        <w:t>relevant electronic means</w:t>
      </w:r>
      <w:r>
        <w:rPr>
          <w:color w:val="000000"/>
        </w:rPr>
        <w:t xml:space="preserve"> for the person to receive a copy of the Statement;</w:t>
      </w:r>
    </w:p>
    <w:p w14:paraId="77E41D35" w14:textId="77777777" w:rsidR="00AF62E4" w:rsidRDefault="00AF62E4" w:rsidP="00FD24A2">
      <w:pPr>
        <w:pStyle w:val="li-sectionsubsectiontext0"/>
        <w:shd w:val="clear" w:color="auto" w:fill="FFFFFF"/>
        <w:spacing w:before="240" w:beforeAutospacing="0" w:after="0" w:afterAutospacing="0"/>
        <w:ind w:left="2727" w:hanging="567"/>
        <w:rPr>
          <w:color w:val="000000"/>
        </w:rPr>
      </w:pPr>
      <w:r>
        <w:rPr>
          <w:color w:val="000000"/>
        </w:rPr>
        <w:lastRenderedPageBreak/>
        <w:t>then:</w:t>
      </w:r>
    </w:p>
    <w:p w14:paraId="054171B2" w14:textId="77777777" w:rsidR="00AF62E4" w:rsidRDefault="00AF62E4" w:rsidP="00FD24A2">
      <w:pPr>
        <w:pStyle w:val="li-sectionparaa0"/>
        <w:shd w:val="clear" w:color="auto" w:fill="FFFFFF" w:themeFill="background1"/>
        <w:spacing w:before="240" w:beforeAutospacing="0" w:after="0" w:afterAutospacing="0"/>
        <w:ind w:left="2727" w:hanging="567"/>
        <w:rPr>
          <w:color w:val="000000"/>
        </w:rPr>
      </w:pPr>
      <w:r w:rsidRPr="1F64D038">
        <w:rPr>
          <w:color w:val="000000" w:themeColor="text1"/>
        </w:rPr>
        <w:t>(c)</w:t>
      </w:r>
      <w:r>
        <w:tab/>
      </w:r>
      <w:r w:rsidRPr="1F64D038">
        <w:rPr>
          <w:color w:val="000000" w:themeColor="text1"/>
        </w:rPr>
        <w:t>paragraphs 7.9.11G(2)(a), 7.9.11R(2)(a), 7.9.11Z(2)(a) and 7.9.11ZH(2)(a) of the </w:t>
      </w:r>
      <w:r w:rsidRPr="1F64D038">
        <w:rPr>
          <w:i/>
          <w:iCs/>
          <w:color w:val="000000" w:themeColor="text1"/>
        </w:rPr>
        <w:t xml:space="preserve">Corporations Regulations </w:t>
      </w:r>
      <w:r w:rsidRPr="00CE51C7">
        <w:rPr>
          <w:i/>
          <w:iCs/>
          <w:color w:val="000000"/>
        </w:rPr>
        <w:t>2001</w:t>
      </w:r>
      <w:r w:rsidRPr="1F64D038">
        <w:rPr>
          <w:color w:val="000000" w:themeColor="text1"/>
        </w:rPr>
        <w:t> do not apply in relation to that request; and</w:t>
      </w:r>
    </w:p>
    <w:p w14:paraId="3AB35B75" w14:textId="77777777" w:rsidR="00AF62E4" w:rsidRDefault="00AF62E4" w:rsidP="00FD24A2">
      <w:pPr>
        <w:pStyle w:val="li-sectionparaa0"/>
        <w:shd w:val="clear" w:color="auto" w:fill="FFFFFF"/>
        <w:spacing w:before="240" w:beforeAutospacing="0" w:after="0" w:afterAutospacing="0"/>
        <w:ind w:left="2727" w:hanging="567"/>
        <w:rPr>
          <w:color w:val="000000"/>
        </w:rPr>
      </w:pPr>
      <w:r>
        <w:rPr>
          <w:color w:val="000000"/>
        </w:rPr>
        <w:t>(d)</w:t>
      </w:r>
      <w:r>
        <w:rPr>
          <w:color w:val="000000"/>
        </w:rPr>
        <w:tab/>
        <w:t>within 8 business days, the responsible person for the Statement must notify the person who made the request:</w:t>
      </w:r>
    </w:p>
    <w:p w14:paraId="0DC86E46" w14:textId="77777777" w:rsidR="00AF62E4" w:rsidRDefault="00AF62E4" w:rsidP="00FD24A2">
      <w:pPr>
        <w:pStyle w:val="li-sectionsubparai0"/>
        <w:shd w:val="clear" w:color="auto" w:fill="FFFFFF"/>
        <w:spacing w:before="240" w:beforeAutospacing="0" w:after="0" w:afterAutospacing="0"/>
        <w:ind w:left="3294" w:hanging="567"/>
        <w:rPr>
          <w:color w:val="000000"/>
        </w:rPr>
      </w:pPr>
      <w:r>
        <w:rPr>
          <w:color w:val="000000"/>
        </w:rPr>
        <w:t>(i)</w:t>
      </w:r>
      <w:r>
        <w:rPr>
          <w:color w:val="000000"/>
        </w:rPr>
        <w:tab/>
        <w:t xml:space="preserve">of each </w:t>
      </w:r>
      <w:r w:rsidRPr="00FD24A2">
        <w:rPr>
          <w:b/>
          <w:bCs/>
          <w:i/>
          <w:iCs/>
          <w:color w:val="000000"/>
        </w:rPr>
        <w:t>relevant electronic means</w:t>
      </w:r>
      <w:r>
        <w:rPr>
          <w:color w:val="000000"/>
        </w:rPr>
        <w:t xml:space="preserve"> and that the person must nominate one of those electronic means in order to receive a copy of the Statement; and</w:t>
      </w:r>
    </w:p>
    <w:p w14:paraId="5D3B33F1" w14:textId="77777777" w:rsidR="00AF62E4" w:rsidRDefault="00AF62E4" w:rsidP="00FD24A2">
      <w:pPr>
        <w:pStyle w:val="li-sectionsubparai0"/>
        <w:shd w:val="clear" w:color="auto" w:fill="FFFFFF"/>
        <w:spacing w:before="240" w:beforeAutospacing="0" w:after="0" w:afterAutospacing="0"/>
        <w:ind w:left="3294" w:hanging="567"/>
        <w:rPr>
          <w:color w:val="000000"/>
        </w:rPr>
      </w:pPr>
      <w:r>
        <w:rPr>
          <w:color w:val="000000"/>
        </w:rPr>
        <w:t>(ii)</w:t>
      </w:r>
      <w:r>
        <w:rPr>
          <w:color w:val="000000"/>
        </w:rPr>
        <w:tab/>
        <w:t>if there is another Statement for the financial product that is in use and is able to be printed—a statement that that is the case and that the person may request a copy of that Statement.</w:t>
      </w:r>
    </w:p>
    <w:p w14:paraId="43448D73" w14:textId="77777777" w:rsidR="00AF62E4" w:rsidRDefault="00AF62E4" w:rsidP="00AF62E4">
      <w:pPr>
        <w:pStyle w:val="li-sectionsubsectiontext0"/>
        <w:shd w:val="clear" w:color="auto" w:fill="FFFFFF"/>
        <w:spacing w:before="240" w:beforeAutospacing="0" w:after="0" w:afterAutospacing="0"/>
        <w:ind w:left="2268" w:hanging="567"/>
        <w:rPr>
          <w:color w:val="000000"/>
        </w:rPr>
      </w:pPr>
      <w:r>
        <w:rPr>
          <w:color w:val="000000"/>
        </w:rPr>
        <w:t>(5B)</w:t>
      </w:r>
      <w:r>
        <w:rPr>
          <w:color w:val="000000"/>
        </w:rPr>
        <w:tab/>
        <w:t>In this section, </w:t>
      </w:r>
      <w:r>
        <w:rPr>
          <w:b/>
          <w:bCs/>
          <w:i/>
          <w:iCs/>
          <w:color w:val="000000"/>
        </w:rPr>
        <w:t>relevant electronic means</w:t>
      </w:r>
      <w:r>
        <w:rPr>
          <w:color w:val="000000"/>
        </w:rPr>
        <w:t> in relation to a Statement for a financial product means an electronic means which the responsible person for the Statement uses to make the Statement available to persons who acquire the financial product.”; and</w:t>
      </w:r>
    </w:p>
    <w:p w14:paraId="37F35A02" w14:textId="77777777" w:rsidR="00AF62E4" w:rsidRDefault="00AF62E4" w:rsidP="00FD24A2">
      <w:pPr>
        <w:pStyle w:val="LI-BodyTextParaa"/>
        <w:ind w:left="2835"/>
        <w:rPr>
          <w:color w:val="000000"/>
          <w:shd w:val="clear" w:color="auto" w:fill="FFFFFF"/>
        </w:rPr>
      </w:pPr>
      <w:r>
        <w:t>(b)</w:t>
      </w:r>
      <w:r>
        <w:tab/>
      </w:r>
      <w:r>
        <w:rPr>
          <w:color w:val="000000"/>
          <w:shd w:val="clear" w:color="auto" w:fill="FFFFFF"/>
        </w:rPr>
        <w:t>Schedule 10C to the Regulations were modified or varied as follows:</w:t>
      </w:r>
    </w:p>
    <w:p w14:paraId="0DD0C16B" w14:textId="77777777" w:rsidR="00AF62E4" w:rsidRDefault="00AF62E4" w:rsidP="00FD24A2">
      <w:pPr>
        <w:pStyle w:val="li-bodytextnumbered0"/>
        <w:shd w:val="clear" w:color="auto" w:fill="FFFFFF"/>
        <w:spacing w:before="240" w:beforeAutospacing="0" w:after="0" w:afterAutospacing="0"/>
        <w:ind w:left="3402" w:hanging="567"/>
        <w:rPr>
          <w:color w:val="000000"/>
        </w:rPr>
      </w:pPr>
      <w:r>
        <w:rPr>
          <w:color w:val="000000"/>
        </w:rPr>
        <w:t>(i)</w:t>
      </w:r>
      <w:r>
        <w:rPr>
          <w:color w:val="000000"/>
        </w:rPr>
        <w:tab/>
        <w:t>in paragraph 2(2)(b) omit “.”, substitute “; and”;</w:t>
      </w:r>
    </w:p>
    <w:p w14:paraId="1C98CC50" w14:textId="77777777" w:rsidR="00AF62E4" w:rsidRDefault="00AF62E4" w:rsidP="00FD24A2">
      <w:pPr>
        <w:pStyle w:val="li-bodytextnumbered0"/>
        <w:shd w:val="clear" w:color="auto" w:fill="FFFFFF"/>
        <w:spacing w:before="240" w:beforeAutospacing="0" w:after="0" w:afterAutospacing="0"/>
        <w:ind w:left="3402" w:hanging="567"/>
        <w:rPr>
          <w:color w:val="000000"/>
        </w:rPr>
      </w:pPr>
      <w:r>
        <w:rPr>
          <w:color w:val="000000"/>
        </w:rPr>
        <w:t>(ii)</w:t>
      </w:r>
      <w:r>
        <w:rPr>
          <w:color w:val="000000"/>
        </w:rPr>
        <w:tab/>
        <w:t>after paragraph 2(2)(b) insert:</w:t>
      </w:r>
    </w:p>
    <w:p w14:paraId="2CE2D382" w14:textId="77777777" w:rsidR="00AF62E4" w:rsidRDefault="00AF62E4" w:rsidP="00FD24A2">
      <w:pPr>
        <w:pStyle w:val="li-sectionparaa0"/>
        <w:shd w:val="clear" w:color="auto" w:fill="FFFFFF"/>
        <w:spacing w:before="240" w:beforeAutospacing="0" w:after="0" w:afterAutospacing="0"/>
        <w:ind w:left="3969" w:hanging="567"/>
        <w:rPr>
          <w:color w:val="000000"/>
        </w:rPr>
      </w:pPr>
      <w:r>
        <w:rPr>
          <w:color w:val="000000"/>
        </w:rPr>
        <w:t>“(c)</w:t>
      </w:r>
      <w:r>
        <w:rPr>
          <w:color w:val="000000"/>
        </w:rPr>
        <w:tab/>
        <w:t>if the Statement is in an electronic form and some or all of the Statement is of a kind that is not able to be printed:</w:t>
      </w:r>
    </w:p>
    <w:p w14:paraId="14D8EFC8" w14:textId="77777777" w:rsidR="00AF62E4" w:rsidRDefault="00AF62E4" w:rsidP="00FD24A2">
      <w:pPr>
        <w:pStyle w:val="li-sectionsubparai0"/>
        <w:numPr>
          <w:ilvl w:val="0"/>
          <w:numId w:val="16"/>
        </w:numPr>
        <w:shd w:val="clear" w:color="auto" w:fill="FFFFFF"/>
        <w:spacing w:before="240" w:beforeAutospacing="0" w:after="0" w:afterAutospacing="0"/>
        <w:ind w:left="4689"/>
        <w:rPr>
          <w:color w:val="000000"/>
        </w:rPr>
      </w:pPr>
      <w:r>
        <w:rPr>
          <w:color w:val="000000"/>
        </w:rPr>
        <w:t>a description of the electronic means by which the responsible person for the Statement makes the Statement available; and</w:t>
      </w:r>
    </w:p>
    <w:p w14:paraId="61737F0E" w14:textId="77777777" w:rsidR="00AF62E4" w:rsidRDefault="00AF62E4" w:rsidP="00FD24A2">
      <w:pPr>
        <w:pStyle w:val="li-sectionsubparai0"/>
        <w:numPr>
          <w:ilvl w:val="0"/>
          <w:numId w:val="16"/>
        </w:numPr>
        <w:shd w:val="clear" w:color="auto" w:fill="FFFFFF"/>
        <w:spacing w:before="240" w:beforeAutospacing="0" w:after="0" w:afterAutospacing="0"/>
        <w:ind w:left="4689"/>
        <w:rPr>
          <w:color w:val="000000"/>
        </w:rPr>
      </w:pPr>
      <w:r>
        <w:rPr>
          <w:color w:val="000000"/>
        </w:rPr>
        <w:t>a statement that a person who requests a copy of the Statement must nominate one of those electronic means in order to receive a copy of the Statement; and</w:t>
      </w:r>
    </w:p>
    <w:p w14:paraId="26DE2D28" w14:textId="77777777" w:rsidR="00AF62E4" w:rsidRDefault="00AF62E4" w:rsidP="00FD24A2">
      <w:pPr>
        <w:pStyle w:val="li-sectionsubparai0"/>
        <w:shd w:val="clear" w:color="auto" w:fill="FFFFFF"/>
        <w:spacing w:before="240" w:beforeAutospacing="0" w:after="0" w:afterAutospacing="0"/>
        <w:ind w:left="4536" w:hanging="567"/>
        <w:rPr>
          <w:color w:val="000000"/>
        </w:rPr>
      </w:pPr>
      <w:r>
        <w:rPr>
          <w:color w:val="000000"/>
        </w:rPr>
        <w:t>(iii)</w:t>
      </w:r>
      <w:r>
        <w:rPr>
          <w:color w:val="000000"/>
        </w:rPr>
        <w:tab/>
        <w:t xml:space="preserve">if there is another Product Disclosure Statement for the standard margin lending facility that is in use and is </w:t>
      </w:r>
      <w:r>
        <w:rPr>
          <w:color w:val="000000"/>
        </w:rPr>
        <w:lastRenderedPageBreak/>
        <w:t>able to be printed, a statement that that is the case and that a person may request a copy of that Statement.”; and</w:t>
      </w:r>
    </w:p>
    <w:p w14:paraId="34770EAE" w14:textId="77777777" w:rsidR="00AF62E4" w:rsidRDefault="00AF62E4" w:rsidP="00FD24A2">
      <w:pPr>
        <w:pStyle w:val="li-bodytextnumbered0"/>
        <w:shd w:val="clear" w:color="auto" w:fill="FFFFFF"/>
        <w:spacing w:before="240" w:beforeAutospacing="0" w:after="0" w:afterAutospacing="0"/>
        <w:ind w:left="2835" w:hanging="567"/>
        <w:rPr>
          <w:color w:val="000000"/>
        </w:rPr>
      </w:pPr>
      <w:r>
        <w:rPr>
          <w:color w:val="000000"/>
        </w:rPr>
        <w:t>(c)</w:t>
      </w:r>
      <w:r>
        <w:rPr>
          <w:color w:val="000000"/>
        </w:rPr>
        <w:tab/>
        <w:t>Schedule 10D to the Regulations were modified or varied as follows:</w:t>
      </w:r>
    </w:p>
    <w:p w14:paraId="567AF70F" w14:textId="77777777" w:rsidR="00AF62E4" w:rsidRDefault="00AF62E4" w:rsidP="00FD24A2">
      <w:pPr>
        <w:pStyle w:val="li-bodytextnumbered0"/>
        <w:shd w:val="clear" w:color="auto" w:fill="FFFFFF"/>
        <w:spacing w:before="240" w:beforeAutospacing="0" w:after="0" w:afterAutospacing="0"/>
        <w:ind w:left="3402" w:hanging="567"/>
        <w:rPr>
          <w:color w:val="000000"/>
        </w:rPr>
      </w:pPr>
      <w:r>
        <w:rPr>
          <w:color w:val="000000"/>
        </w:rPr>
        <w:t>(i)</w:t>
      </w:r>
      <w:r>
        <w:rPr>
          <w:color w:val="000000"/>
        </w:rPr>
        <w:tab/>
        <w:t>in paragraph 2(3)(b) omit “.”, substitute “; and”;</w:t>
      </w:r>
    </w:p>
    <w:p w14:paraId="4664F016" w14:textId="77777777" w:rsidR="00AF62E4" w:rsidRDefault="00AF62E4" w:rsidP="00FD24A2">
      <w:pPr>
        <w:pStyle w:val="li-bodytextnumbered0"/>
        <w:shd w:val="clear" w:color="auto" w:fill="FFFFFF"/>
        <w:spacing w:before="240" w:beforeAutospacing="0" w:after="0" w:afterAutospacing="0"/>
        <w:ind w:left="3402" w:hanging="567"/>
        <w:rPr>
          <w:color w:val="000000"/>
        </w:rPr>
      </w:pPr>
      <w:r>
        <w:rPr>
          <w:color w:val="000000"/>
        </w:rPr>
        <w:t>(ii)</w:t>
      </w:r>
      <w:r>
        <w:rPr>
          <w:color w:val="000000"/>
        </w:rPr>
        <w:tab/>
        <w:t>after paragraph 2(3)(b) insert:</w:t>
      </w:r>
    </w:p>
    <w:p w14:paraId="295B5C94" w14:textId="77777777" w:rsidR="00AF62E4" w:rsidRDefault="00AF62E4" w:rsidP="00FD24A2">
      <w:pPr>
        <w:pStyle w:val="li-sectionparaa0"/>
        <w:shd w:val="clear" w:color="auto" w:fill="FFFFFF"/>
        <w:spacing w:before="240" w:beforeAutospacing="0" w:after="0" w:afterAutospacing="0"/>
        <w:ind w:left="3969" w:hanging="567"/>
        <w:rPr>
          <w:color w:val="000000"/>
        </w:rPr>
      </w:pPr>
      <w:r>
        <w:rPr>
          <w:color w:val="000000"/>
        </w:rPr>
        <w:t>“(c)</w:t>
      </w:r>
      <w:r>
        <w:rPr>
          <w:color w:val="000000"/>
        </w:rPr>
        <w:tab/>
        <w:t>if the Statement is in an electronic form and some or all of the Statement is of a kind that is not able to be printed:</w:t>
      </w:r>
    </w:p>
    <w:p w14:paraId="30FB526A" w14:textId="77777777" w:rsidR="00AF62E4" w:rsidRDefault="00AF62E4" w:rsidP="00FD24A2">
      <w:pPr>
        <w:pStyle w:val="li-sectionsubparai0"/>
        <w:numPr>
          <w:ilvl w:val="0"/>
          <w:numId w:val="17"/>
        </w:numPr>
        <w:shd w:val="clear" w:color="auto" w:fill="FFFFFF"/>
        <w:spacing w:before="240" w:beforeAutospacing="0" w:after="0" w:afterAutospacing="0"/>
        <w:ind w:left="4689"/>
        <w:rPr>
          <w:color w:val="000000"/>
        </w:rPr>
      </w:pPr>
      <w:r>
        <w:rPr>
          <w:color w:val="000000"/>
        </w:rPr>
        <w:t>a description of the electronic means by which the responsible person for the Statement makes the Statement available; and</w:t>
      </w:r>
    </w:p>
    <w:p w14:paraId="34956C46" w14:textId="77777777" w:rsidR="00AF62E4" w:rsidRDefault="00AF62E4" w:rsidP="00FD24A2">
      <w:pPr>
        <w:pStyle w:val="li-sectionsubparai0"/>
        <w:numPr>
          <w:ilvl w:val="0"/>
          <w:numId w:val="17"/>
        </w:numPr>
        <w:shd w:val="clear" w:color="auto" w:fill="FFFFFF"/>
        <w:spacing w:before="240" w:beforeAutospacing="0" w:after="0" w:afterAutospacing="0"/>
        <w:ind w:left="4689"/>
        <w:rPr>
          <w:color w:val="000000"/>
        </w:rPr>
      </w:pPr>
      <w:r>
        <w:rPr>
          <w:color w:val="000000"/>
        </w:rPr>
        <w:t>a statement that a person who requests a copy of the Statement must nominate one of those electronic means in order to receive a copy of the Statement; and</w:t>
      </w:r>
    </w:p>
    <w:p w14:paraId="63678302" w14:textId="77777777" w:rsidR="00AF62E4" w:rsidRDefault="00AF62E4" w:rsidP="00FD24A2">
      <w:pPr>
        <w:pStyle w:val="li-sectionsubparai0"/>
        <w:shd w:val="clear" w:color="auto" w:fill="FFFFFF"/>
        <w:spacing w:before="240" w:beforeAutospacing="0" w:after="0" w:afterAutospacing="0"/>
        <w:ind w:left="4536" w:hanging="567"/>
        <w:rPr>
          <w:color w:val="000000"/>
        </w:rPr>
      </w:pPr>
      <w:r>
        <w:rPr>
          <w:color w:val="000000"/>
        </w:rPr>
        <w:t>(iii)</w:t>
      </w:r>
      <w:r>
        <w:rPr>
          <w:color w:val="000000"/>
        </w:rPr>
        <w:tab/>
        <w:t>if there is another Product Disclosure Statement for the superannuation product that is in use and is able to be printed, a statement that that is the case and that a person may request a copy of that Statement.”; and</w:t>
      </w:r>
    </w:p>
    <w:p w14:paraId="1519CBCE" w14:textId="77777777" w:rsidR="00AF62E4" w:rsidRDefault="00AF62E4" w:rsidP="00FD24A2">
      <w:pPr>
        <w:pStyle w:val="li-bodytextnumbered0"/>
        <w:shd w:val="clear" w:color="auto" w:fill="FFFFFF"/>
        <w:spacing w:before="240" w:beforeAutospacing="0" w:after="0" w:afterAutospacing="0"/>
        <w:ind w:left="2835" w:hanging="567"/>
        <w:rPr>
          <w:color w:val="000000"/>
        </w:rPr>
      </w:pPr>
      <w:r>
        <w:rPr>
          <w:color w:val="000000"/>
        </w:rPr>
        <w:t>(d)</w:t>
      </w:r>
      <w:r>
        <w:rPr>
          <w:color w:val="000000"/>
        </w:rPr>
        <w:tab/>
        <w:t>Schedule 10E to the Regulations were modified or varied as follows:</w:t>
      </w:r>
    </w:p>
    <w:p w14:paraId="19AC5CC7" w14:textId="77777777" w:rsidR="00AF62E4" w:rsidRDefault="00AF62E4" w:rsidP="00FD24A2">
      <w:pPr>
        <w:pStyle w:val="li-bodytextnumbered0"/>
        <w:shd w:val="clear" w:color="auto" w:fill="FFFFFF"/>
        <w:spacing w:before="240" w:beforeAutospacing="0" w:after="0" w:afterAutospacing="0"/>
        <w:ind w:left="3402" w:hanging="567"/>
        <w:rPr>
          <w:color w:val="000000"/>
        </w:rPr>
      </w:pPr>
      <w:r>
        <w:rPr>
          <w:color w:val="000000"/>
        </w:rPr>
        <w:t>(i)</w:t>
      </w:r>
      <w:r>
        <w:rPr>
          <w:color w:val="000000"/>
        </w:rPr>
        <w:tab/>
        <w:t>in paragraph 2(2)(b) omit “.”, substitute “; and”;</w:t>
      </w:r>
    </w:p>
    <w:p w14:paraId="047007F4" w14:textId="77777777" w:rsidR="00AF62E4" w:rsidRDefault="00AF62E4" w:rsidP="00FD24A2">
      <w:pPr>
        <w:pStyle w:val="li-bodytextnumbered0"/>
        <w:shd w:val="clear" w:color="auto" w:fill="FFFFFF"/>
        <w:spacing w:before="240" w:beforeAutospacing="0" w:after="0" w:afterAutospacing="0"/>
        <w:ind w:left="3402" w:hanging="567"/>
        <w:rPr>
          <w:color w:val="000000"/>
        </w:rPr>
      </w:pPr>
      <w:r>
        <w:rPr>
          <w:color w:val="000000"/>
        </w:rPr>
        <w:t>(ii)</w:t>
      </w:r>
      <w:r>
        <w:rPr>
          <w:color w:val="000000"/>
        </w:rPr>
        <w:tab/>
        <w:t>after paragraph 2(2)(b) insert:</w:t>
      </w:r>
    </w:p>
    <w:p w14:paraId="58EDBDF5" w14:textId="77777777" w:rsidR="00AF62E4" w:rsidRDefault="00AF62E4" w:rsidP="00FD24A2">
      <w:pPr>
        <w:pStyle w:val="li-sectionparaa0"/>
        <w:shd w:val="clear" w:color="auto" w:fill="FFFFFF"/>
        <w:spacing w:before="240" w:beforeAutospacing="0" w:after="0" w:afterAutospacing="0"/>
        <w:ind w:left="3969" w:hanging="567"/>
        <w:rPr>
          <w:color w:val="000000"/>
        </w:rPr>
      </w:pPr>
      <w:r>
        <w:rPr>
          <w:color w:val="000000"/>
        </w:rPr>
        <w:t>“(c)</w:t>
      </w:r>
      <w:r>
        <w:rPr>
          <w:color w:val="000000"/>
        </w:rPr>
        <w:tab/>
        <w:t>if the Statement is in an electronic form and some or all of the Statement is of a kind that is not able to be printed:</w:t>
      </w:r>
    </w:p>
    <w:p w14:paraId="339D4130" w14:textId="77777777" w:rsidR="00AF62E4" w:rsidRDefault="00AF62E4" w:rsidP="00FD24A2">
      <w:pPr>
        <w:pStyle w:val="li-sectionsubparai0"/>
        <w:numPr>
          <w:ilvl w:val="0"/>
          <w:numId w:val="18"/>
        </w:numPr>
        <w:shd w:val="clear" w:color="auto" w:fill="FFFFFF"/>
        <w:spacing w:before="240" w:beforeAutospacing="0" w:after="0" w:afterAutospacing="0"/>
        <w:ind w:left="4689"/>
        <w:rPr>
          <w:color w:val="000000"/>
        </w:rPr>
      </w:pPr>
      <w:r>
        <w:rPr>
          <w:color w:val="000000"/>
        </w:rPr>
        <w:t>a description of the electronic means by which the responsible person for the Statement makes the Statement available; and</w:t>
      </w:r>
    </w:p>
    <w:p w14:paraId="32DA9878" w14:textId="77777777" w:rsidR="00AF62E4" w:rsidRDefault="00AF62E4" w:rsidP="00FD24A2">
      <w:pPr>
        <w:pStyle w:val="li-sectionsubparai0"/>
        <w:numPr>
          <w:ilvl w:val="0"/>
          <w:numId w:val="18"/>
        </w:numPr>
        <w:shd w:val="clear" w:color="auto" w:fill="FFFFFF"/>
        <w:spacing w:before="240" w:beforeAutospacing="0" w:after="0" w:afterAutospacing="0"/>
        <w:ind w:left="4689"/>
        <w:rPr>
          <w:color w:val="000000"/>
        </w:rPr>
      </w:pPr>
      <w:r>
        <w:rPr>
          <w:color w:val="000000"/>
        </w:rPr>
        <w:lastRenderedPageBreak/>
        <w:t>a statement that a person who requests a copy of the Statement must nominate one of those electronic means in order to receive a copy of the Statement; and</w:t>
      </w:r>
    </w:p>
    <w:p w14:paraId="0717F8C2" w14:textId="77777777" w:rsidR="00AF62E4" w:rsidRDefault="00AF62E4" w:rsidP="00FD24A2">
      <w:pPr>
        <w:pStyle w:val="li-sectionsubparai0"/>
        <w:shd w:val="clear" w:color="auto" w:fill="FFFFFF"/>
        <w:spacing w:before="240" w:beforeAutospacing="0" w:after="0" w:afterAutospacing="0"/>
        <w:ind w:left="4536" w:hanging="567"/>
        <w:rPr>
          <w:color w:val="000000"/>
        </w:rPr>
      </w:pPr>
      <w:r>
        <w:rPr>
          <w:color w:val="000000"/>
        </w:rPr>
        <w:t>(iii)</w:t>
      </w:r>
      <w:r>
        <w:rPr>
          <w:color w:val="000000"/>
        </w:rPr>
        <w:tab/>
        <w:t>if there is another Product Disclosure Statement for the simple managed investment scheme that is in use and is able to be printed, a statement that that is the case and that a person may request a copy of that Statement.”; and</w:t>
      </w:r>
    </w:p>
    <w:p w14:paraId="3DAED0B1" w14:textId="77777777" w:rsidR="00AF62E4" w:rsidRDefault="00AF62E4" w:rsidP="00FD24A2">
      <w:pPr>
        <w:pStyle w:val="li-sectionsubparai0"/>
        <w:shd w:val="clear" w:color="auto" w:fill="FFFFFF"/>
        <w:spacing w:before="240" w:beforeAutospacing="0" w:after="0" w:afterAutospacing="0"/>
        <w:ind w:left="2835" w:hanging="567"/>
      </w:pPr>
      <w:r>
        <w:rPr>
          <w:color w:val="000000"/>
        </w:rPr>
        <w:t>(e)</w:t>
      </w:r>
      <w:r>
        <w:rPr>
          <w:color w:val="000000"/>
        </w:rPr>
        <w:tab/>
        <w:t>Schedule 10F to the Regulations were modified or varied as follows:</w:t>
      </w:r>
    </w:p>
    <w:p w14:paraId="7688E233" w14:textId="77777777" w:rsidR="00AF62E4" w:rsidRDefault="00AF62E4" w:rsidP="00FD24A2">
      <w:pPr>
        <w:pStyle w:val="LI-BodyTextSubparai"/>
        <w:ind w:left="3492" w:hanging="657"/>
      </w:pPr>
      <w:r>
        <w:t>(i)</w:t>
      </w:r>
      <w:r>
        <w:tab/>
        <w:t xml:space="preserve">in paragraph 2(2)(b) omit “.”, substitute “; and”; </w:t>
      </w:r>
    </w:p>
    <w:p w14:paraId="7C5ABECD" w14:textId="77777777" w:rsidR="00AF62E4" w:rsidRDefault="00AF62E4" w:rsidP="00FD24A2">
      <w:pPr>
        <w:pStyle w:val="LI-BodyTextSubparai"/>
        <w:ind w:left="3492" w:hanging="657"/>
      </w:pPr>
      <w:r>
        <w:t>(ii)</w:t>
      </w:r>
      <w:r>
        <w:tab/>
        <w:t>after paragraph 2(2)(b) insert:</w:t>
      </w:r>
    </w:p>
    <w:p w14:paraId="4056BD7A" w14:textId="77777777" w:rsidR="00AF62E4" w:rsidRDefault="00AF62E4" w:rsidP="00FD24A2">
      <w:pPr>
        <w:pStyle w:val="LI-BodyTextParaa"/>
        <w:ind w:left="4059"/>
      </w:pPr>
      <w:r>
        <w:t>“(c)</w:t>
      </w:r>
      <w:r>
        <w:tab/>
        <w:t xml:space="preserve">if the Statement is in an electronic form and some or all of the Statement is of a kind that is not able to be printed: </w:t>
      </w:r>
    </w:p>
    <w:p w14:paraId="5AAFC6AA" w14:textId="77777777" w:rsidR="00AF62E4" w:rsidRDefault="00AF62E4" w:rsidP="00FD24A2">
      <w:pPr>
        <w:pStyle w:val="LI-BodyTextSubparai"/>
        <w:ind w:left="4716" w:hanging="657"/>
      </w:pPr>
      <w:r>
        <w:t>(i)</w:t>
      </w:r>
      <w:r>
        <w:tab/>
        <w:t>a description of the electronic means by which the responsible person for the Statement makes the Statement available; and</w:t>
      </w:r>
    </w:p>
    <w:p w14:paraId="24653D54" w14:textId="77777777" w:rsidR="00AF62E4" w:rsidRDefault="00AF62E4" w:rsidP="00FD24A2">
      <w:pPr>
        <w:pStyle w:val="LI-BodyTextSubparai"/>
        <w:ind w:left="4716" w:hanging="657"/>
      </w:pPr>
      <w:r>
        <w:t>(ii)</w:t>
      </w:r>
      <w:r>
        <w:tab/>
        <w:t>a statement that a person who requests a copy of the Statement must nominate one of those electronic means in order to receive a copy of the Statement; and</w:t>
      </w:r>
    </w:p>
    <w:p w14:paraId="448F3F08" w14:textId="0AB215D9" w:rsidR="00DC2723" w:rsidRDefault="00AF62E4" w:rsidP="00FD24A2">
      <w:pPr>
        <w:pStyle w:val="li-sectionsubparai0"/>
        <w:shd w:val="clear" w:color="auto" w:fill="FFFFFF"/>
        <w:spacing w:before="240" w:beforeAutospacing="0" w:after="0" w:afterAutospacing="0"/>
        <w:ind w:left="4626" w:hanging="567"/>
      </w:pPr>
      <w:r>
        <w:t>(iii)</w:t>
      </w:r>
      <w:r>
        <w:tab/>
        <w:t>if there is another Product Disclosure Statement for the simple sub-fund product that is in use and is able to be printed, a statement that that is the case and that a person may request a copy of that Statement.”.</w:t>
      </w:r>
    </w:p>
    <w:p w14:paraId="21A3E39F" w14:textId="0C78E63A" w:rsidR="008C330E" w:rsidRDefault="008C330E" w:rsidP="008C330E">
      <w:pPr>
        <w:pStyle w:val="LI-Heading1"/>
      </w:pPr>
      <w:bookmarkStart w:id="25" w:name="_Toc208929256"/>
      <w:r w:rsidRPr="006E5320">
        <w:t>Part </w:t>
      </w:r>
      <w:r w:rsidR="009063D1">
        <w:t>4</w:t>
      </w:r>
      <w:r w:rsidRPr="006554FF">
        <w:t>—</w:t>
      </w:r>
      <w:r>
        <w:t>Repeal</w:t>
      </w:r>
      <w:bookmarkEnd w:id="25"/>
    </w:p>
    <w:p w14:paraId="27601D8F" w14:textId="2E7BA524" w:rsidR="008C330E" w:rsidRPr="008C330E" w:rsidRDefault="00AF62E4" w:rsidP="008C330E">
      <w:pPr>
        <w:pStyle w:val="LI-Heading2"/>
      </w:pPr>
      <w:bookmarkStart w:id="26" w:name="_Toc208929257"/>
      <w:r>
        <w:t>1</w:t>
      </w:r>
      <w:r w:rsidR="00F65650">
        <w:t>2</w:t>
      </w:r>
      <w:r w:rsidR="008C330E">
        <w:tab/>
        <w:t>Repeal</w:t>
      </w:r>
      <w:bookmarkEnd w:id="26"/>
    </w:p>
    <w:p w14:paraId="0E621A12" w14:textId="53629656" w:rsidR="008C330E" w:rsidRDefault="008C330E" w:rsidP="00E308D7">
      <w:pPr>
        <w:pStyle w:val="LI-BodyTextNumbered"/>
        <w:ind w:firstLine="0"/>
      </w:pPr>
      <w:r>
        <w:rPr>
          <w:shd w:val="clear" w:color="auto" w:fill="FFFFFF"/>
        </w:rPr>
        <w:t xml:space="preserve">This instrument is </w:t>
      </w:r>
      <w:r w:rsidRPr="00FE4DD2">
        <w:t>repealed</w:t>
      </w:r>
      <w:r>
        <w:rPr>
          <w:shd w:val="clear" w:color="auto" w:fill="FFFFFF"/>
        </w:rPr>
        <w:t xml:space="preserve"> at the start of </w:t>
      </w:r>
      <w:r w:rsidR="003203D0">
        <w:rPr>
          <w:shd w:val="clear" w:color="auto" w:fill="FFFFFF"/>
        </w:rPr>
        <w:t>1 October 2030</w:t>
      </w:r>
      <w:r>
        <w:rPr>
          <w:shd w:val="clear" w:color="auto" w:fill="FFFFFF"/>
        </w:rPr>
        <w:t>.</w:t>
      </w:r>
    </w:p>
    <w:sectPr w:rsidR="008C330E" w:rsidSect="0040053F">
      <w:headerReference w:type="even" r:id="rId31"/>
      <w:headerReference w:type="default" r:id="rId32"/>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0521" w14:textId="77777777" w:rsidR="0080279A" w:rsidRDefault="0080279A" w:rsidP="00715914">
      <w:pPr>
        <w:spacing w:line="240" w:lineRule="auto"/>
      </w:pPr>
      <w:r>
        <w:separator/>
      </w:r>
    </w:p>
  </w:endnote>
  <w:endnote w:type="continuationSeparator" w:id="0">
    <w:p w14:paraId="3E6095AF" w14:textId="77777777" w:rsidR="0080279A" w:rsidRDefault="0080279A" w:rsidP="00715914">
      <w:pPr>
        <w:spacing w:line="240" w:lineRule="auto"/>
      </w:pPr>
      <w:r>
        <w:continuationSeparator/>
      </w:r>
    </w:p>
  </w:endnote>
  <w:endnote w:type="continuationNotice" w:id="1">
    <w:p w14:paraId="35B7B20C" w14:textId="77777777" w:rsidR="0080279A" w:rsidRDefault="008027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13"/>
    </w:tblGrid>
    <w:tr w:rsidR="00102CA6" w:rsidRPr="00081794" w14:paraId="57A59285" w14:textId="77777777" w:rsidTr="00081794">
      <w:tc>
        <w:tcPr>
          <w:tcW w:w="8472" w:type="dxa"/>
        </w:tcPr>
        <w:p w14:paraId="4FCBC731" w14:textId="018B84B6" w:rsidR="00102CA6" w:rsidRPr="00081794" w:rsidRDefault="003904F4" w:rsidP="00081794">
          <w:pPr>
            <w:jc w:val="right"/>
            <w:rPr>
              <w:sz w:val="18"/>
            </w:rPr>
          </w:pPr>
          <w:r>
            <w:rPr>
              <w:noProof/>
            </w:rPr>
            <mc:AlternateContent>
              <mc:Choice Requires="wps">
                <w:drawing>
                  <wp:anchor distT="0" distB="0" distL="114300" distR="114300" simplePos="0" relativeHeight="251658243" behindDoc="1" locked="0" layoutInCell="1" allowOverlap="1" wp14:anchorId="55A6A095" wp14:editId="0128492A">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A09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05F2CB7E"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4604" w14:textId="6B988EFB" w:rsidR="00102CA6" w:rsidRDefault="003904F4" w:rsidP="007500C8">
    <w:pPr>
      <w:pStyle w:val="Footer"/>
    </w:pPr>
    <w:r>
      <w:rPr>
        <w:noProof/>
      </w:rPr>
      <mc:AlternateContent>
        <mc:Choice Requires="wps">
          <w:drawing>
            <wp:anchor distT="0" distB="0" distL="114300" distR="114300" simplePos="0" relativeHeight="251658242" behindDoc="1" locked="0" layoutInCell="1" allowOverlap="1" wp14:anchorId="746B4679" wp14:editId="5357D523">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67A1440"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4679"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67A1440"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79351983" w14:textId="77777777" w:rsidTr="00081794">
      <w:tc>
        <w:tcPr>
          <w:tcW w:w="8472" w:type="dxa"/>
        </w:tcPr>
        <w:p w14:paraId="198AB456" w14:textId="77777777" w:rsidR="00102CA6" w:rsidRPr="00081794" w:rsidRDefault="00102CA6" w:rsidP="00102CA6">
          <w:pPr>
            <w:rPr>
              <w:sz w:val="18"/>
            </w:rPr>
          </w:pPr>
        </w:p>
      </w:tc>
    </w:tr>
  </w:tbl>
  <w:p w14:paraId="0520A15E"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C19"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0424"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04F2"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BE07" w14:textId="77777777" w:rsidR="00102CA6" w:rsidRPr="00243EC0"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4</w:t>
    </w:r>
    <w:r w:rsidRPr="00A52B0F">
      <w:fldChar w:fldCharType="end"/>
    </w:r>
    <w:r>
      <w:t xml:space="preserve"> </w:t>
    </w:r>
    <w:r w:rsidR="00243EC0"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B010" w14:textId="77777777" w:rsidR="00102CA6" w:rsidRPr="00E33C1C" w:rsidRDefault="00102CA6"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0F6883EA" w14:textId="77777777" w:rsidTr="00081794">
      <w:tc>
        <w:tcPr>
          <w:tcW w:w="1384" w:type="dxa"/>
          <w:tcBorders>
            <w:top w:val="nil"/>
            <w:left w:val="nil"/>
            <w:bottom w:val="nil"/>
            <w:right w:val="nil"/>
          </w:tcBorders>
        </w:tcPr>
        <w:p w14:paraId="69A506F7" w14:textId="77777777" w:rsidR="00102CA6" w:rsidRPr="00081794" w:rsidRDefault="00102CA6" w:rsidP="00081794">
          <w:pPr>
            <w:spacing w:line="0" w:lineRule="atLeast"/>
            <w:rPr>
              <w:sz w:val="18"/>
            </w:rPr>
          </w:pPr>
        </w:p>
      </w:tc>
      <w:tc>
        <w:tcPr>
          <w:tcW w:w="6379" w:type="dxa"/>
          <w:tcBorders>
            <w:top w:val="nil"/>
            <w:left w:val="nil"/>
            <w:bottom w:val="nil"/>
            <w:right w:val="nil"/>
          </w:tcBorders>
        </w:tcPr>
        <w:p w14:paraId="7B09118F" w14:textId="77777777" w:rsidR="00102CA6" w:rsidRPr="00081794" w:rsidRDefault="00102CA6"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C35DAF">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tcPr>
        <w:p w14:paraId="25F3A75E" w14:textId="77777777" w:rsidR="00102CA6" w:rsidRPr="00081794" w:rsidRDefault="00102CA6"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00BC7183" w:rsidRPr="00081794">
            <w:rPr>
              <w:i/>
              <w:noProof/>
              <w:sz w:val="18"/>
            </w:rPr>
            <w:t>4</w:t>
          </w:r>
          <w:r w:rsidRPr="00081794">
            <w:rPr>
              <w:i/>
              <w:sz w:val="18"/>
            </w:rPr>
            <w:fldChar w:fldCharType="end"/>
          </w:r>
        </w:p>
      </w:tc>
    </w:tr>
    <w:tr w:rsidR="00102CA6" w:rsidRPr="00081794" w14:paraId="106EA033"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799556A" w14:textId="77777777" w:rsidR="00102CA6" w:rsidRPr="00081794" w:rsidRDefault="00FA31DE" w:rsidP="00102CA6">
          <w:pPr>
            <w:rPr>
              <w:sz w:val="18"/>
            </w:rPr>
          </w:pPr>
          <w:r w:rsidRPr="00081794">
            <w:rPr>
              <w:i/>
              <w:noProof/>
              <w:sz w:val="18"/>
            </w:rPr>
            <w:t>I14KE197.v01.docx</w:t>
          </w:r>
          <w:r w:rsidR="00102CA6" w:rsidRPr="00081794">
            <w:rPr>
              <w:i/>
              <w:sz w:val="18"/>
            </w:rPr>
            <w:t xml:space="preserve"> </w:t>
          </w:r>
          <w:r w:rsidRPr="00081794">
            <w:rPr>
              <w:i/>
              <w:noProof/>
              <w:sz w:val="18"/>
            </w:rPr>
            <w:t>13/6/2014 3:07 PM</w:t>
          </w:r>
        </w:p>
      </w:tc>
    </w:tr>
  </w:tbl>
  <w:p w14:paraId="7F046C16" w14:textId="77777777" w:rsidR="00102CA6" w:rsidRPr="00ED79B6" w:rsidRDefault="00102CA6"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E0E6" w14:textId="77777777" w:rsidR="0080279A" w:rsidRDefault="0080279A" w:rsidP="00715914">
      <w:pPr>
        <w:spacing w:line="240" w:lineRule="auto"/>
      </w:pPr>
      <w:r>
        <w:separator/>
      </w:r>
    </w:p>
  </w:footnote>
  <w:footnote w:type="continuationSeparator" w:id="0">
    <w:p w14:paraId="041CAD14" w14:textId="77777777" w:rsidR="0080279A" w:rsidRDefault="0080279A" w:rsidP="00715914">
      <w:pPr>
        <w:spacing w:line="240" w:lineRule="auto"/>
      </w:pPr>
      <w:r>
        <w:continuationSeparator/>
      </w:r>
    </w:p>
  </w:footnote>
  <w:footnote w:type="continuationNotice" w:id="1">
    <w:p w14:paraId="3F3AB60A" w14:textId="77777777" w:rsidR="0080279A" w:rsidRDefault="008027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66CA" w14:textId="5299A77C"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053B90F5" wp14:editId="592DF194">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B90F5"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D10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4DA33BD5" w14:textId="77777777" w:rsidTr="00BF75C9">
      <w:tc>
        <w:tcPr>
          <w:tcW w:w="6804" w:type="dxa"/>
        </w:tcPr>
        <w:p w14:paraId="52B0B84F" w14:textId="5381A7A4" w:rsidR="00F4215A" w:rsidRDefault="00EF3B5F" w:rsidP="00E40FF8">
          <w:pPr>
            <w:pStyle w:val="LI-Header"/>
            <w:pBdr>
              <w:bottom w:val="none" w:sz="0" w:space="0" w:color="auto"/>
            </w:pBdr>
            <w:jc w:val="left"/>
          </w:pPr>
          <w:r>
            <w:fldChar w:fldCharType="begin"/>
          </w:r>
          <w:r>
            <w:instrText xml:space="preserve"> STYLEREF  "LI - Title" </w:instrText>
          </w:r>
          <w:r>
            <w:fldChar w:fldCharType="separate"/>
          </w:r>
          <w:r w:rsidR="001D5CC1">
            <w:rPr>
              <w:noProof/>
            </w:rPr>
            <w:t>ASIC Corporations (Electronic Disclosure) Instrument 2025/447</w:t>
          </w:r>
          <w:r>
            <w:rPr>
              <w:noProof/>
            </w:rPr>
            <w:fldChar w:fldCharType="end"/>
          </w:r>
        </w:p>
      </w:tc>
      <w:tc>
        <w:tcPr>
          <w:tcW w:w="1509" w:type="dxa"/>
        </w:tcPr>
        <w:p w14:paraId="609BA203" w14:textId="6BAF3EDE" w:rsidR="00F4215A" w:rsidRDefault="00EF3B5F" w:rsidP="00E40FF8">
          <w:pPr>
            <w:pStyle w:val="LI-Header"/>
            <w:pBdr>
              <w:bottom w:val="none" w:sz="0" w:space="0" w:color="auto"/>
            </w:pBdr>
          </w:pPr>
          <w:r>
            <w:fldChar w:fldCharType="begin"/>
          </w:r>
          <w:r>
            <w:instrText xml:space="preserve"> STYLEREF  "LI - Heading 1" </w:instrText>
          </w:r>
          <w:r>
            <w:fldChar w:fldCharType="separate"/>
          </w:r>
          <w:r w:rsidR="001D5CC1">
            <w:rPr>
              <w:noProof/>
            </w:rPr>
            <w:t>Part 4—Repeal</w:t>
          </w:r>
          <w:r>
            <w:rPr>
              <w:noProof/>
            </w:rPr>
            <w:fldChar w:fldCharType="end"/>
          </w:r>
        </w:p>
      </w:tc>
    </w:tr>
  </w:tbl>
  <w:p w14:paraId="0A3B460E" w14:textId="77777777" w:rsidR="0040053F" w:rsidRPr="00F4215A" w:rsidRDefault="0040053F"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19BC" w14:textId="6630AF8B"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5934B23C" wp14:editId="6CADE4D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ACDECEA"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4B23C"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0ACDECEA"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8467"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288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363D7B5" w14:textId="77777777" w:rsidTr="00BF75C9">
      <w:tc>
        <w:tcPr>
          <w:tcW w:w="6804" w:type="dxa"/>
        </w:tcPr>
        <w:p w14:paraId="7D4B953D" w14:textId="04939154" w:rsidR="00F4215A" w:rsidRDefault="00EF3B5F" w:rsidP="00E40FF8">
          <w:pPr>
            <w:pStyle w:val="LI-Header"/>
            <w:pBdr>
              <w:bottom w:val="none" w:sz="0" w:space="0" w:color="auto"/>
            </w:pBdr>
            <w:jc w:val="left"/>
          </w:pPr>
          <w:r>
            <w:fldChar w:fldCharType="begin"/>
          </w:r>
          <w:r>
            <w:instrText xml:space="preserve"> STYLEREF  "LI - Title" </w:instrText>
          </w:r>
          <w:r>
            <w:fldChar w:fldCharType="separate"/>
          </w:r>
          <w:r w:rsidR="001D5CC1">
            <w:rPr>
              <w:noProof/>
            </w:rPr>
            <w:t>ASIC Corporations (Electronic Disclosure) Instrument 2025/447</w:t>
          </w:r>
          <w:r>
            <w:rPr>
              <w:noProof/>
            </w:rPr>
            <w:fldChar w:fldCharType="end"/>
          </w:r>
        </w:p>
      </w:tc>
      <w:tc>
        <w:tcPr>
          <w:tcW w:w="1509" w:type="dxa"/>
        </w:tcPr>
        <w:p w14:paraId="57A9425D" w14:textId="77777777" w:rsidR="00F4215A" w:rsidRDefault="00F4215A" w:rsidP="00E40FF8">
          <w:pPr>
            <w:pStyle w:val="LI-Header"/>
            <w:pBdr>
              <w:bottom w:val="none" w:sz="0" w:space="0" w:color="auto"/>
            </w:pBdr>
          </w:pPr>
        </w:p>
      </w:tc>
    </w:tr>
  </w:tbl>
  <w:p w14:paraId="78570022"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784B"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A95E" w14:textId="77777777" w:rsidR="00102CA6" w:rsidRPr="00243EC0" w:rsidRDefault="00243EC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 xml:space="preserve">Part </w:t>
    </w:r>
    <w:r w:rsidR="00E2168B">
      <w:t>2</w:t>
    </w:r>
    <w:r>
      <w:t>—</w:t>
    </w:r>
    <w:r w:rsidR="00E2168B">
      <w:t>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1D4C9972" w14:textId="77777777" w:rsidTr="00BF75C9">
      <w:tc>
        <w:tcPr>
          <w:tcW w:w="6804" w:type="dxa"/>
        </w:tcPr>
        <w:p w14:paraId="0DC4E02D" w14:textId="43CE225C" w:rsidR="00F4215A" w:rsidRDefault="00EF3B5F" w:rsidP="00E40FF8">
          <w:pPr>
            <w:pStyle w:val="LI-Header"/>
            <w:pBdr>
              <w:bottom w:val="none" w:sz="0" w:space="0" w:color="auto"/>
            </w:pBdr>
            <w:jc w:val="left"/>
          </w:pPr>
          <w:r>
            <w:fldChar w:fldCharType="begin"/>
          </w:r>
          <w:r>
            <w:instrText xml:space="preserve"> STYLEREF  "LI - Title" </w:instrText>
          </w:r>
          <w:r>
            <w:fldChar w:fldCharType="separate"/>
          </w:r>
          <w:r w:rsidR="001D5CC1">
            <w:rPr>
              <w:noProof/>
            </w:rPr>
            <w:t>ASIC Corporations (Electronic Disclosure) Instrument 2025/447</w:t>
          </w:r>
          <w:r>
            <w:rPr>
              <w:noProof/>
            </w:rPr>
            <w:fldChar w:fldCharType="end"/>
          </w:r>
        </w:p>
      </w:tc>
      <w:tc>
        <w:tcPr>
          <w:tcW w:w="1509" w:type="dxa"/>
        </w:tcPr>
        <w:p w14:paraId="54D8D412" w14:textId="32981D20" w:rsidR="00F4215A" w:rsidRDefault="00EF3B5F" w:rsidP="00E40FF8">
          <w:pPr>
            <w:pStyle w:val="LI-Header"/>
            <w:pBdr>
              <w:bottom w:val="none" w:sz="0" w:space="0" w:color="auto"/>
            </w:pBdr>
          </w:pPr>
          <w:r>
            <w:fldChar w:fldCharType="begin"/>
          </w:r>
          <w:r>
            <w:instrText xml:space="preserve"> STYLEREF  "LI - Heading 1" </w:instrText>
          </w:r>
          <w:r>
            <w:fldChar w:fldCharType="separate"/>
          </w:r>
          <w:r w:rsidR="001D5CC1">
            <w:rPr>
              <w:noProof/>
            </w:rPr>
            <w:t>Part 1—Preliminary</w:t>
          </w:r>
          <w:r>
            <w:rPr>
              <w:noProof/>
            </w:rPr>
            <w:fldChar w:fldCharType="end"/>
          </w:r>
        </w:p>
      </w:tc>
    </w:tr>
  </w:tbl>
  <w:p w14:paraId="1EA77B44" w14:textId="77777777" w:rsidR="00D341C4" w:rsidRPr="00F4215A" w:rsidRDefault="00D341C4"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7A7C" w14:textId="77777777" w:rsidR="00102CA6" w:rsidRPr="007A1328" w:rsidRDefault="00102CA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F7D85"/>
    <w:multiLevelType w:val="hybridMultilevel"/>
    <w:tmpl w:val="7E2E3EE2"/>
    <w:lvl w:ilvl="0" w:tplc="A086D8DE">
      <w:start w:val="1"/>
      <w:numFmt w:val="decimal"/>
      <w:lvlText w:val="(%1)"/>
      <w:lvlJc w:val="left"/>
      <w:pPr>
        <w:ind w:left="1130" w:hanging="5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1150A37"/>
    <w:multiLevelType w:val="hybridMultilevel"/>
    <w:tmpl w:val="8F2899EA"/>
    <w:lvl w:ilvl="0" w:tplc="4AE6CBBC">
      <w:start w:val="1"/>
      <w:numFmt w:val="lowerRoman"/>
      <w:lvlText w:val="(%1)"/>
      <w:lvlJc w:val="left"/>
      <w:pPr>
        <w:ind w:left="3555" w:hanging="720"/>
      </w:pPr>
    </w:lvl>
    <w:lvl w:ilvl="1" w:tplc="0C090019">
      <w:start w:val="1"/>
      <w:numFmt w:val="lowerLetter"/>
      <w:lvlText w:val="%2."/>
      <w:lvlJc w:val="left"/>
      <w:pPr>
        <w:ind w:left="3915" w:hanging="360"/>
      </w:pPr>
    </w:lvl>
    <w:lvl w:ilvl="2" w:tplc="0C09001B">
      <w:start w:val="1"/>
      <w:numFmt w:val="lowerRoman"/>
      <w:lvlText w:val="%3."/>
      <w:lvlJc w:val="right"/>
      <w:pPr>
        <w:ind w:left="4635" w:hanging="180"/>
      </w:pPr>
    </w:lvl>
    <w:lvl w:ilvl="3" w:tplc="0C09000F">
      <w:start w:val="1"/>
      <w:numFmt w:val="decimal"/>
      <w:lvlText w:val="%4."/>
      <w:lvlJc w:val="left"/>
      <w:pPr>
        <w:ind w:left="5355" w:hanging="360"/>
      </w:pPr>
    </w:lvl>
    <w:lvl w:ilvl="4" w:tplc="0C090019">
      <w:start w:val="1"/>
      <w:numFmt w:val="lowerLetter"/>
      <w:lvlText w:val="%5."/>
      <w:lvlJc w:val="left"/>
      <w:pPr>
        <w:ind w:left="6075" w:hanging="360"/>
      </w:pPr>
    </w:lvl>
    <w:lvl w:ilvl="5" w:tplc="0C09001B">
      <w:start w:val="1"/>
      <w:numFmt w:val="lowerRoman"/>
      <w:lvlText w:val="%6."/>
      <w:lvlJc w:val="right"/>
      <w:pPr>
        <w:ind w:left="6795" w:hanging="180"/>
      </w:pPr>
    </w:lvl>
    <w:lvl w:ilvl="6" w:tplc="0C09000F">
      <w:start w:val="1"/>
      <w:numFmt w:val="decimal"/>
      <w:lvlText w:val="%7."/>
      <w:lvlJc w:val="left"/>
      <w:pPr>
        <w:ind w:left="7515" w:hanging="360"/>
      </w:pPr>
    </w:lvl>
    <w:lvl w:ilvl="7" w:tplc="0C090019">
      <w:start w:val="1"/>
      <w:numFmt w:val="lowerLetter"/>
      <w:lvlText w:val="%8."/>
      <w:lvlJc w:val="left"/>
      <w:pPr>
        <w:ind w:left="8235" w:hanging="360"/>
      </w:pPr>
    </w:lvl>
    <w:lvl w:ilvl="8" w:tplc="0C09001B">
      <w:start w:val="1"/>
      <w:numFmt w:val="lowerRoman"/>
      <w:lvlText w:val="%9."/>
      <w:lvlJc w:val="right"/>
      <w:pPr>
        <w:ind w:left="8955" w:hanging="180"/>
      </w:pPr>
    </w:lvl>
  </w:abstractNum>
  <w:abstractNum w:abstractNumId="15"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3D0240"/>
    <w:multiLevelType w:val="hybridMultilevel"/>
    <w:tmpl w:val="E45E7A22"/>
    <w:lvl w:ilvl="0" w:tplc="D0A01264">
      <w:start w:val="1"/>
      <w:numFmt w:val="lowerRoman"/>
      <w:lvlText w:val="(%1)"/>
      <w:lvlJc w:val="left"/>
      <w:pPr>
        <w:ind w:left="3555" w:hanging="720"/>
      </w:pPr>
    </w:lvl>
    <w:lvl w:ilvl="1" w:tplc="0C090019">
      <w:start w:val="1"/>
      <w:numFmt w:val="lowerLetter"/>
      <w:lvlText w:val="%2."/>
      <w:lvlJc w:val="left"/>
      <w:pPr>
        <w:ind w:left="3915" w:hanging="360"/>
      </w:pPr>
    </w:lvl>
    <w:lvl w:ilvl="2" w:tplc="0C09001B">
      <w:start w:val="1"/>
      <w:numFmt w:val="lowerRoman"/>
      <w:lvlText w:val="%3."/>
      <w:lvlJc w:val="right"/>
      <w:pPr>
        <w:ind w:left="4635" w:hanging="180"/>
      </w:pPr>
    </w:lvl>
    <w:lvl w:ilvl="3" w:tplc="0C09000F">
      <w:start w:val="1"/>
      <w:numFmt w:val="decimal"/>
      <w:lvlText w:val="%4."/>
      <w:lvlJc w:val="left"/>
      <w:pPr>
        <w:ind w:left="5355" w:hanging="360"/>
      </w:pPr>
    </w:lvl>
    <w:lvl w:ilvl="4" w:tplc="0C090019">
      <w:start w:val="1"/>
      <w:numFmt w:val="lowerLetter"/>
      <w:lvlText w:val="%5."/>
      <w:lvlJc w:val="left"/>
      <w:pPr>
        <w:ind w:left="6075" w:hanging="360"/>
      </w:pPr>
    </w:lvl>
    <w:lvl w:ilvl="5" w:tplc="0C09001B">
      <w:start w:val="1"/>
      <w:numFmt w:val="lowerRoman"/>
      <w:lvlText w:val="%6."/>
      <w:lvlJc w:val="right"/>
      <w:pPr>
        <w:ind w:left="6795" w:hanging="180"/>
      </w:pPr>
    </w:lvl>
    <w:lvl w:ilvl="6" w:tplc="0C09000F">
      <w:start w:val="1"/>
      <w:numFmt w:val="decimal"/>
      <w:lvlText w:val="%7."/>
      <w:lvlJc w:val="left"/>
      <w:pPr>
        <w:ind w:left="7515" w:hanging="360"/>
      </w:pPr>
    </w:lvl>
    <w:lvl w:ilvl="7" w:tplc="0C090019">
      <w:start w:val="1"/>
      <w:numFmt w:val="lowerLetter"/>
      <w:lvlText w:val="%8."/>
      <w:lvlJc w:val="left"/>
      <w:pPr>
        <w:ind w:left="8235" w:hanging="360"/>
      </w:pPr>
    </w:lvl>
    <w:lvl w:ilvl="8" w:tplc="0C09001B">
      <w:start w:val="1"/>
      <w:numFmt w:val="lowerRoman"/>
      <w:lvlText w:val="%9."/>
      <w:lvlJc w:val="right"/>
      <w:pPr>
        <w:ind w:left="8955" w:hanging="180"/>
      </w:pPr>
    </w:lvl>
  </w:abstractNum>
  <w:abstractNum w:abstractNumId="17" w15:restartNumberingAfterBreak="0">
    <w:nsid w:val="658E4C0F"/>
    <w:multiLevelType w:val="hybridMultilevel"/>
    <w:tmpl w:val="2C204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4242EF"/>
    <w:multiLevelType w:val="hybridMultilevel"/>
    <w:tmpl w:val="7FF8E1D8"/>
    <w:lvl w:ilvl="0" w:tplc="65EA33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1D2F33"/>
    <w:multiLevelType w:val="hybridMultilevel"/>
    <w:tmpl w:val="D5B2B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AB42DE"/>
    <w:multiLevelType w:val="hybridMultilevel"/>
    <w:tmpl w:val="FC5A92CC"/>
    <w:lvl w:ilvl="0" w:tplc="3AC0415C">
      <w:start w:val="1"/>
      <w:numFmt w:val="lowerRoman"/>
      <w:lvlText w:val="(%1)"/>
      <w:lvlJc w:val="left"/>
      <w:pPr>
        <w:ind w:left="3555" w:hanging="720"/>
      </w:pPr>
    </w:lvl>
    <w:lvl w:ilvl="1" w:tplc="0C090019">
      <w:start w:val="1"/>
      <w:numFmt w:val="lowerLetter"/>
      <w:lvlText w:val="%2."/>
      <w:lvlJc w:val="left"/>
      <w:pPr>
        <w:ind w:left="3915" w:hanging="360"/>
      </w:pPr>
    </w:lvl>
    <w:lvl w:ilvl="2" w:tplc="0C09001B">
      <w:start w:val="1"/>
      <w:numFmt w:val="lowerRoman"/>
      <w:lvlText w:val="%3."/>
      <w:lvlJc w:val="right"/>
      <w:pPr>
        <w:ind w:left="4635" w:hanging="180"/>
      </w:pPr>
    </w:lvl>
    <w:lvl w:ilvl="3" w:tplc="0C09000F">
      <w:start w:val="1"/>
      <w:numFmt w:val="decimal"/>
      <w:lvlText w:val="%4."/>
      <w:lvlJc w:val="left"/>
      <w:pPr>
        <w:ind w:left="5355" w:hanging="360"/>
      </w:pPr>
    </w:lvl>
    <w:lvl w:ilvl="4" w:tplc="0C090019">
      <w:start w:val="1"/>
      <w:numFmt w:val="lowerLetter"/>
      <w:lvlText w:val="%5."/>
      <w:lvlJc w:val="left"/>
      <w:pPr>
        <w:ind w:left="6075" w:hanging="360"/>
      </w:pPr>
    </w:lvl>
    <w:lvl w:ilvl="5" w:tplc="0C09001B">
      <w:start w:val="1"/>
      <w:numFmt w:val="lowerRoman"/>
      <w:lvlText w:val="%6."/>
      <w:lvlJc w:val="right"/>
      <w:pPr>
        <w:ind w:left="6795" w:hanging="180"/>
      </w:pPr>
    </w:lvl>
    <w:lvl w:ilvl="6" w:tplc="0C09000F">
      <w:start w:val="1"/>
      <w:numFmt w:val="decimal"/>
      <w:lvlText w:val="%7."/>
      <w:lvlJc w:val="left"/>
      <w:pPr>
        <w:ind w:left="7515" w:hanging="360"/>
      </w:pPr>
    </w:lvl>
    <w:lvl w:ilvl="7" w:tplc="0C090019">
      <w:start w:val="1"/>
      <w:numFmt w:val="lowerLetter"/>
      <w:lvlText w:val="%8."/>
      <w:lvlJc w:val="left"/>
      <w:pPr>
        <w:ind w:left="8235" w:hanging="360"/>
      </w:pPr>
    </w:lvl>
    <w:lvl w:ilvl="8" w:tplc="0C09001B">
      <w:start w:val="1"/>
      <w:numFmt w:val="lowerRoman"/>
      <w:lvlText w:val="%9."/>
      <w:lvlJc w:val="right"/>
      <w:pPr>
        <w:ind w:left="8955" w:hanging="180"/>
      </w:pPr>
    </w:lvl>
  </w:abstractNum>
  <w:num w:numId="1" w16cid:durableId="1330449743">
    <w:abstractNumId w:val="9"/>
  </w:num>
  <w:num w:numId="2" w16cid:durableId="1117261685">
    <w:abstractNumId w:val="7"/>
  </w:num>
  <w:num w:numId="3" w16cid:durableId="829710759">
    <w:abstractNumId w:val="6"/>
  </w:num>
  <w:num w:numId="4" w16cid:durableId="1719545867">
    <w:abstractNumId w:val="5"/>
  </w:num>
  <w:num w:numId="5" w16cid:durableId="901332037">
    <w:abstractNumId w:val="4"/>
  </w:num>
  <w:num w:numId="6" w16cid:durableId="658077834">
    <w:abstractNumId w:val="8"/>
  </w:num>
  <w:num w:numId="7" w16cid:durableId="1422676074">
    <w:abstractNumId w:val="3"/>
  </w:num>
  <w:num w:numId="8" w16cid:durableId="596640051">
    <w:abstractNumId w:val="2"/>
  </w:num>
  <w:num w:numId="9" w16cid:durableId="1132098209">
    <w:abstractNumId w:val="1"/>
  </w:num>
  <w:num w:numId="10" w16cid:durableId="1935741434">
    <w:abstractNumId w:val="0"/>
  </w:num>
  <w:num w:numId="11" w16cid:durableId="1225872208">
    <w:abstractNumId w:val="13"/>
  </w:num>
  <w:num w:numId="12" w16cid:durableId="2011325484">
    <w:abstractNumId w:val="11"/>
  </w:num>
  <w:num w:numId="13" w16cid:durableId="1560164308">
    <w:abstractNumId w:val="12"/>
  </w:num>
  <w:num w:numId="14" w16cid:durableId="1266616556">
    <w:abstractNumId w:val="15"/>
  </w:num>
  <w:num w:numId="15" w16cid:durableId="477040919">
    <w:abstractNumId w:val="10"/>
  </w:num>
  <w:num w:numId="16" w16cid:durableId="1106731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89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31281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7644771">
    <w:abstractNumId w:val="19"/>
  </w:num>
  <w:num w:numId="20" w16cid:durableId="1221676573">
    <w:abstractNumId w:val="17"/>
  </w:num>
  <w:num w:numId="21" w16cid:durableId="16298941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15AA"/>
    <w:rsid w:val="000028B1"/>
    <w:rsid w:val="00002D5B"/>
    <w:rsid w:val="0000308D"/>
    <w:rsid w:val="00004470"/>
    <w:rsid w:val="00005446"/>
    <w:rsid w:val="0000657C"/>
    <w:rsid w:val="00006A98"/>
    <w:rsid w:val="00007ECD"/>
    <w:rsid w:val="00012B49"/>
    <w:rsid w:val="000136AF"/>
    <w:rsid w:val="00013B8D"/>
    <w:rsid w:val="00015719"/>
    <w:rsid w:val="000167B4"/>
    <w:rsid w:val="000201F0"/>
    <w:rsid w:val="00020C71"/>
    <w:rsid w:val="00023D53"/>
    <w:rsid w:val="00024549"/>
    <w:rsid w:val="00024B0E"/>
    <w:rsid w:val="000252C0"/>
    <w:rsid w:val="00025495"/>
    <w:rsid w:val="0002553F"/>
    <w:rsid w:val="000303A6"/>
    <w:rsid w:val="00034F55"/>
    <w:rsid w:val="00036D5C"/>
    <w:rsid w:val="00037A84"/>
    <w:rsid w:val="00037B16"/>
    <w:rsid w:val="000437C1"/>
    <w:rsid w:val="00043884"/>
    <w:rsid w:val="00046522"/>
    <w:rsid w:val="000469CC"/>
    <w:rsid w:val="00047669"/>
    <w:rsid w:val="00050720"/>
    <w:rsid w:val="0005175E"/>
    <w:rsid w:val="0005365D"/>
    <w:rsid w:val="00056077"/>
    <w:rsid w:val="0005698E"/>
    <w:rsid w:val="00060CF0"/>
    <w:rsid w:val="00060EBF"/>
    <w:rsid w:val="00061213"/>
    <w:rsid w:val="000614BF"/>
    <w:rsid w:val="000615AE"/>
    <w:rsid w:val="0006250C"/>
    <w:rsid w:val="000632A6"/>
    <w:rsid w:val="00063CC8"/>
    <w:rsid w:val="000640A3"/>
    <w:rsid w:val="0006506D"/>
    <w:rsid w:val="0006594B"/>
    <w:rsid w:val="00067697"/>
    <w:rsid w:val="000718CB"/>
    <w:rsid w:val="0007200E"/>
    <w:rsid w:val="00074DD0"/>
    <w:rsid w:val="00074F2E"/>
    <w:rsid w:val="00075528"/>
    <w:rsid w:val="00077C4D"/>
    <w:rsid w:val="00080B1A"/>
    <w:rsid w:val="00081794"/>
    <w:rsid w:val="00082FFB"/>
    <w:rsid w:val="00084FF4"/>
    <w:rsid w:val="0009232C"/>
    <w:rsid w:val="00092BB8"/>
    <w:rsid w:val="000942BF"/>
    <w:rsid w:val="00094428"/>
    <w:rsid w:val="000956A4"/>
    <w:rsid w:val="000974DF"/>
    <w:rsid w:val="000A142F"/>
    <w:rsid w:val="000A3259"/>
    <w:rsid w:val="000A41EA"/>
    <w:rsid w:val="000A6C39"/>
    <w:rsid w:val="000A70F5"/>
    <w:rsid w:val="000B532B"/>
    <w:rsid w:val="000B58FA"/>
    <w:rsid w:val="000B669C"/>
    <w:rsid w:val="000B68F8"/>
    <w:rsid w:val="000C4E21"/>
    <w:rsid w:val="000C55A0"/>
    <w:rsid w:val="000D041F"/>
    <w:rsid w:val="000D05EF"/>
    <w:rsid w:val="000D26AE"/>
    <w:rsid w:val="000D42E2"/>
    <w:rsid w:val="000E17D2"/>
    <w:rsid w:val="000E188E"/>
    <w:rsid w:val="000E1D4D"/>
    <w:rsid w:val="000E2261"/>
    <w:rsid w:val="000E2AD7"/>
    <w:rsid w:val="000E3C2E"/>
    <w:rsid w:val="000E489F"/>
    <w:rsid w:val="000E4F59"/>
    <w:rsid w:val="000E5E81"/>
    <w:rsid w:val="000E7093"/>
    <w:rsid w:val="000E79BC"/>
    <w:rsid w:val="000E79E7"/>
    <w:rsid w:val="000F21C1"/>
    <w:rsid w:val="000F2910"/>
    <w:rsid w:val="000F496A"/>
    <w:rsid w:val="000F515C"/>
    <w:rsid w:val="000F537E"/>
    <w:rsid w:val="000F5D1B"/>
    <w:rsid w:val="000F60E0"/>
    <w:rsid w:val="000F628C"/>
    <w:rsid w:val="000F72C1"/>
    <w:rsid w:val="00101BD5"/>
    <w:rsid w:val="00102CA6"/>
    <w:rsid w:val="00106A2B"/>
    <w:rsid w:val="0010745C"/>
    <w:rsid w:val="001078EE"/>
    <w:rsid w:val="001115B6"/>
    <w:rsid w:val="001122D1"/>
    <w:rsid w:val="00113E8A"/>
    <w:rsid w:val="001153D0"/>
    <w:rsid w:val="00115F0C"/>
    <w:rsid w:val="00115F84"/>
    <w:rsid w:val="001168A8"/>
    <w:rsid w:val="00117AA6"/>
    <w:rsid w:val="00117B36"/>
    <w:rsid w:val="00125141"/>
    <w:rsid w:val="00125D26"/>
    <w:rsid w:val="00126C29"/>
    <w:rsid w:val="001277D5"/>
    <w:rsid w:val="001301DA"/>
    <w:rsid w:val="001304CD"/>
    <w:rsid w:val="00132CEB"/>
    <w:rsid w:val="00133F3A"/>
    <w:rsid w:val="00135747"/>
    <w:rsid w:val="00137B58"/>
    <w:rsid w:val="001400A5"/>
    <w:rsid w:val="00140AE9"/>
    <w:rsid w:val="00140CC9"/>
    <w:rsid w:val="00140D67"/>
    <w:rsid w:val="00142B62"/>
    <w:rsid w:val="0014509E"/>
    <w:rsid w:val="001467F3"/>
    <w:rsid w:val="001513B7"/>
    <w:rsid w:val="001528CE"/>
    <w:rsid w:val="00152D72"/>
    <w:rsid w:val="00152EFA"/>
    <w:rsid w:val="00153116"/>
    <w:rsid w:val="00153B32"/>
    <w:rsid w:val="00155259"/>
    <w:rsid w:val="00157B8B"/>
    <w:rsid w:val="00157CD4"/>
    <w:rsid w:val="00157F66"/>
    <w:rsid w:val="00160633"/>
    <w:rsid w:val="00163993"/>
    <w:rsid w:val="00164BAD"/>
    <w:rsid w:val="00165685"/>
    <w:rsid w:val="00165A5E"/>
    <w:rsid w:val="00166C2F"/>
    <w:rsid w:val="00171888"/>
    <w:rsid w:val="00171A6E"/>
    <w:rsid w:val="00171BC3"/>
    <w:rsid w:val="00172F7C"/>
    <w:rsid w:val="001755A1"/>
    <w:rsid w:val="0017616E"/>
    <w:rsid w:val="001802CB"/>
    <w:rsid w:val="001809D7"/>
    <w:rsid w:val="001939E1"/>
    <w:rsid w:val="00194C3E"/>
    <w:rsid w:val="00195382"/>
    <w:rsid w:val="00195BD4"/>
    <w:rsid w:val="00195E92"/>
    <w:rsid w:val="001A1BCA"/>
    <w:rsid w:val="001A1BF2"/>
    <w:rsid w:val="001A2A5C"/>
    <w:rsid w:val="001A308A"/>
    <w:rsid w:val="001A76D9"/>
    <w:rsid w:val="001A7A04"/>
    <w:rsid w:val="001B4B21"/>
    <w:rsid w:val="001B60F3"/>
    <w:rsid w:val="001C09C9"/>
    <w:rsid w:val="001C20F5"/>
    <w:rsid w:val="001C2F60"/>
    <w:rsid w:val="001C4971"/>
    <w:rsid w:val="001C61C5"/>
    <w:rsid w:val="001C69C4"/>
    <w:rsid w:val="001C6E45"/>
    <w:rsid w:val="001C7D58"/>
    <w:rsid w:val="001C7ECA"/>
    <w:rsid w:val="001D0B8A"/>
    <w:rsid w:val="001D21F3"/>
    <w:rsid w:val="001D2D41"/>
    <w:rsid w:val="001D338E"/>
    <w:rsid w:val="001D37D4"/>
    <w:rsid w:val="001D37EF"/>
    <w:rsid w:val="001D5CC1"/>
    <w:rsid w:val="001E1865"/>
    <w:rsid w:val="001E1AE8"/>
    <w:rsid w:val="001E3126"/>
    <w:rsid w:val="001E3590"/>
    <w:rsid w:val="001E3B48"/>
    <w:rsid w:val="001E58A3"/>
    <w:rsid w:val="001E6145"/>
    <w:rsid w:val="001E7407"/>
    <w:rsid w:val="001F02B1"/>
    <w:rsid w:val="001F0DCF"/>
    <w:rsid w:val="001F232A"/>
    <w:rsid w:val="001F2861"/>
    <w:rsid w:val="001F2AE4"/>
    <w:rsid w:val="001F2C63"/>
    <w:rsid w:val="001F46B3"/>
    <w:rsid w:val="001F4C1F"/>
    <w:rsid w:val="001F5784"/>
    <w:rsid w:val="001F5C9E"/>
    <w:rsid w:val="001F5D5E"/>
    <w:rsid w:val="001F61B2"/>
    <w:rsid w:val="001F6219"/>
    <w:rsid w:val="001F6CD4"/>
    <w:rsid w:val="00200429"/>
    <w:rsid w:val="00201DD4"/>
    <w:rsid w:val="0020216F"/>
    <w:rsid w:val="00203032"/>
    <w:rsid w:val="002032BE"/>
    <w:rsid w:val="00203A35"/>
    <w:rsid w:val="00206C4D"/>
    <w:rsid w:val="0021053C"/>
    <w:rsid w:val="00211247"/>
    <w:rsid w:val="002128C5"/>
    <w:rsid w:val="00213457"/>
    <w:rsid w:val="00215AF1"/>
    <w:rsid w:val="00216458"/>
    <w:rsid w:val="002247AF"/>
    <w:rsid w:val="002321E8"/>
    <w:rsid w:val="0023259E"/>
    <w:rsid w:val="0023297E"/>
    <w:rsid w:val="00236EEC"/>
    <w:rsid w:val="002373D7"/>
    <w:rsid w:val="002375B9"/>
    <w:rsid w:val="00237C07"/>
    <w:rsid w:val="0024010F"/>
    <w:rsid w:val="00240749"/>
    <w:rsid w:val="00243018"/>
    <w:rsid w:val="00243C78"/>
    <w:rsid w:val="00243EC0"/>
    <w:rsid w:val="00244742"/>
    <w:rsid w:val="00247FB2"/>
    <w:rsid w:val="002529FD"/>
    <w:rsid w:val="002564A4"/>
    <w:rsid w:val="00256C2D"/>
    <w:rsid w:val="00263B5F"/>
    <w:rsid w:val="002645F8"/>
    <w:rsid w:val="0026736C"/>
    <w:rsid w:val="00267543"/>
    <w:rsid w:val="00273746"/>
    <w:rsid w:val="00275037"/>
    <w:rsid w:val="00275768"/>
    <w:rsid w:val="0027643D"/>
    <w:rsid w:val="002765DE"/>
    <w:rsid w:val="002772F7"/>
    <w:rsid w:val="002774EB"/>
    <w:rsid w:val="00277A76"/>
    <w:rsid w:val="002800E0"/>
    <w:rsid w:val="002802F4"/>
    <w:rsid w:val="00281308"/>
    <w:rsid w:val="00281813"/>
    <w:rsid w:val="002837FD"/>
    <w:rsid w:val="00284719"/>
    <w:rsid w:val="00284A6C"/>
    <w:rsid w:val="00285A0C"/>
    <w:rsid w:val="002862A8"/>
    <w:rsid w:val="00286A99"/>
    <w:rsid w:val="002903A2"/>
    <w:rsid w:val="002917DF"/>
    <w:rsid w:val="00294A72"/>
    <w:rsid w:val="00296387"/>
    <w:rsid w:val="0029737E"/>
    <w:rsid w:val="00297587"/>
    <w:rsid w:val="0029775E"/>
    <w:rsid w:val="00297ECB"/>
    <w:rsid w:val="002A01CD"/>
    <w:rsid w:val="002A0CEC"/>
    <w:rsid w:val="002A307F"/>
    <w:rsid w:val="002A6062"/>
    <w:rsid w:val="002A68FA"/>
    <w:rsid w:val="002A6C7C"/>
    <w:rsid w:val="002A7328"/>
    <w:rsid w:val="002A7BCF"/>
    <w:rsid w:val="002B19F3"/>
    <w:rsid w:val="002B1AB0"/>
    <w:rsid w:val="002B4A0D"/>
    <w:rsid w:val="002B65A1"/>
    <w:rsid w:val="002C054B"/>
    <w:rsid w:val="002C4D7B"/>
    <w:rsid w:val="002C4FDF"/>
    <w:rsid w:val="002C592C"/>
    <w:rsid w:val="002C7B6F"/>
    <w:rsid w:val="002C7C57"/>
    <w:rsid w:val="002D043A"/>
    <w:rsid w:val="002D2F69"/>
    <w:rsid w:val="002D3988"/>
    <w:rsid w:val="002D4484"/>
    <w:rsid w:val="002D45EE"/>
    <w:rsid w:val="002D6224"/>
    <w:rsid w:val="002D6397"/>
    <w:rsid w:val="002D7CFA"/>
    <w:rsid w:val="002E3F4B"/>
    <w:rsid w:val="002E5A48"/>
    <w:rsid w:val="002E602F"/>
    <w:rsid w:val="002E7BDB"/>
    <w:rsid w:val="002F070C"/>
    <w:rsid w:val="002F4542"/>
    <w:rsid w:val="00304F8B"/>
    <w:rsid w:val="003058D8"/>
    <w:rsid w:val="00307031"/>
    <w:rsid w:val="00312B22"/>
    <w:rsid w:val="0031378A"/>
    <w:rsid w:val="00316756"/>
    <w:rsid w:val="003177D4"/>
    <w:rsid w:val="003203D0"/>
    <w:rsid w:val="00323B3E"/>
    <w:rsid w:val="00324708"/>
    <w:rsid w:val="00325EB2"/>
    <w:rsid w:val="00326354"/>
    <w:rsid w:val="00326D2B"/>
    <w:rsid w:val="00327DDF"/>
    <w:rsid w:val="00332BEE"/>
    <w:rsid w:val="00332E61"/>
    <w:rsid w:val="00333461"/>
    <w:rsid w:val="0033486E"/>
    <w:rsid w:val="00335186"/>
    <w:rsid w:val="003354D2"/>
    <w:rsid w:val="00335BC6"/>
    <w:rsid w:val="003378BC"/>
    <w:rsid w:val="003378DC"/>
    <w:rsid w:val="00340354"/>
    <w:rsid w:val="003415D3"/>
    <w:rsid w:val="003427CD"/>
    <w:rsid w:val="0034307A"/>
    <w:rsid w:val="00343EAF"/>
    <w:rsid w:val="00344701"/>
    <w:rsid w:val="003475F1"/>
    <w:rsid w:val="0035000F"/>
    <w:rsid w:val="00351122"/>
    <w:rsid w:val="003528DA"/>
    <w:rsid w:val="00352B0F"/>
    <w:rsid w:val="00354317"/>
    <w:rsid w:val="00354AB3"/>
    <w:rsid w:val="00354EC5"/>
    <w:rsid w:val="00356690"/>
    <w:rsid w:val="00357663"/>
    <w:rsid w:val="00357DD0"/>
    <w:rsid w:val="00360459"/>
    <w:rsid w:val="00361289"/>
    <w:rsid w:val="00361535"/>
    <w:rsid w:val="00362670"/>
    <w:rsid w:val="00362CD7"/>
    <w:rsid w:val="00365497"/>
    <w:rsid w:val="00367279"/>
    <w:rsid w:val="003676EA"/>
    <w:rsid w:val="003727B1"/>
    <w:rsid w:val="003733DE"/>
    <w:rsid w:val="00374930"/>
    <w:rsid w:val="00375D46"/>
    <w:rsid w:val="00377D3E"/>
    <w:rsid w:val="00380764"/>
    <w:rsid w:val="00380791"/>
    <w:rsid w:val="003818BD"/>
    <w:rsid w:val="003842DE"/>
    <w:rsid w:val="0038770A"/>
    <w:rsid w:val="00387A96"/>
    <w:rsid w:val="003904F4"/>
    <w:rsid w:val="0039119B"/>
    <w:rsid w:val="003915DF"/>
    <w:rsid w:val="003925FB"/>
    <w:rsid w:val="00392D35"/>
    <w:rsid w:val="0039324F"/>
    <w:rsid w:val="00397173"/>
    <w:rsid w:val="00397A96"/>
    <w:rsid w:val="003A1C5F"/>
    <w:rsid w:val="003A2A48"/>
    <w:rsid w:val="003A360A"/>
    <w:rsid w:val="003A40B1"/>
    <w:rsid w:val="003A6444"/>
    <w:rsid w:val="003A7B86"/>
    <w:rsid w:val="003B003D"/>
    <w:rsid w:val="003B12C3"/>
    <w:rsid w:val="003B28C3"/>
    <w:rsid w:val="003B2CB4"/>
    <w:rsid w:val="003B41E3"/>
    <w:rsid w:val="003B4ECD"/>
    <w:rsid w:val="003B732F"/>
    <w:rsid w:val="003B74EE"/>
    <w:rsid w:val="003B7F00"/>
    <w:rsid w:val="003C5347"/>
    <w:rsid w:val="003C6231"/>
    <w:rsid w:val="003D0BFE"/>
    <w:rsid w:val="003D0DC5"/>
    <w:rsid w:val="003D5700"/>
    <w:rsid w:val="003D5F50"/>
    <w:rsid w:val="003E0E96"/>
    <w:rsid w:val="003E0F91"/>
    <w:rsid w:val="003E0F99"/>
    <w:rsid w:val="003E17A0"/>
    <w:rsid w:val="003E1E35"/>
    <w:rsid w:val="003E341B"/>
    <w:rsid w:val="003E3A42"/>
    <w:rsid w:val="003E46B9"/>
    <w:rsid w:val="003E4B14"/>
    <w:rsid w:val="003E629E"/>
    <w:rsid w:val="003F01EE"/>
    <w:rsid w:val="003F1622"/>
    <w:rsid w:val="003F2701"/>
    <w:rsid w:val="003F2C6F"/>
    <w:rsid w:val="003F39CA"/>
    <w:rsid w:val="003F5CBB"/>
    <w:rsid w:val="0040053F"/>
    <w:rsid w:val="0040504C"/>
    <w:rsid w:val="004065FE"/>
    <w:rsid w:val="004116CD"/>
    <w:rsid w:val="0041237F"/>
    <w:rsid w:val="00413458"/>
    <w:rsid w:val="004144EC"/>
    <w:rsid w:val="00416736"/>
    <w:rsid w:val="00417EB9"/>
    <w:rsid w:val="00422F50"/>
    <w:rsid w:val="004239FC"/>
    <w:rsid w:val="0042468D"/>
    <w:rsid w:val="00424CA9"/>
    <w:rsid w:val="0043021F"/>
    <w:rsid w:val="00431E9B"/>
    <w:rsid w:val="00432C4C"/>
    <w:rsid w:val="00434021"/>
    <w:rsid w:val="00436C1E"/>
    <w:rsid w:val="004379E3"/>
    <w:rsid w:val="00437AA8"/>
    <w:rsid w:val="0044015E"/>
    <w:rsid w:val="0044291A"/>
    <w:rsid w:val="00443C3D"/>
    <w:rsid w:val="00444ABD"/>
    <w:rsid w:val="00447DB4"/>
    <w:rsid w:val="0045034C"/>
    <w:rsid w:val="004536FF"/>
    <w:rsid w:val="00453EEB"/>
    <w:rsid w:val="00453FD7"/>
    <w:rsid w:val="004542B8"/>
    <w:rsid w:val="0045476D"/>
    <w:rsid w:val="00460F1D"/>
    <w:rsid w:val="00461458"/>
    <w:rsid w:val="00461DB2"/>
    <w:rsid w:val="0046347F"/>
    <w:rsid w:val="00465DC1"/>
    <w:rsid w:val="00467661"/>
    <w:rsid w:val="0046766E"/>
    <w:rsid w:val="004705B7"/>
    <w:rsid w:val="00472DBE"/>
    <w:rsid w:val="00473253"/>
    <w:rsid w:val="0047362A"/>
    <w:rsid w:val="00474A19"/>
    <w:rsid w:val="004757A2"/>
    <w:rsid w:val="00475FD5"/>
    <w:rsid w:val="00480BBA"/>
    <w:rsid w:val="00482267"/>
    <w:rsid w:val="004823C0"/>
    <w:rsid w:val="004825D8"/>
    <w:rsid w:val="0048276B"/>
    <w:rsid w:val="00484539"/>
    <w:rsid w:val="004877F4"/>
    <w:rsid w:val="0049272B"/>
    <w:rsid w:val="00496B5F"/>
    <w:rsid w:val="00496F97"/>
    <w:rsid w:val="004A0594"/>
    <w:rsid w:val="004A0F42"/>
    <w:rsid w:val="004A12E8"/>
    <w:rsid w:val="004A1B09"/>
    <w:rsid w:val="004A44FC"/>
    <w:rsid w:val="004B1372"/>
    <w:rsid w:val="004B16A0"/>
    <w:rsid w:val="004B247D"/>
    <w:rsid w:val="004B2C9A"/>
    <w:rsid w:val="004B36CF"/>
    <w:rsid w:val="004B3D3A"/>
    <w:rsid w:val="004B3EB0"/>
    <w:rsid w:val="004B5B44"/>
    <w:rsid w:val="004B5FED"/>
    <w:rsid w:val="004B7049"/>
    <w:rsid w:val="004C119E"/>
    <w:rsid w:val="004C1CB1"/>
    <w:rsid w:val="004C292D"/>
    <w:rsid w:val="004C3BE8"/>
    <w:rsid w:val="004C3E67"/>
    <w:rsid w:val="004C436C"/>
    <w:rsid w:val="004C5DF3"/>
    <w:rsid w:val="004D051D"/>
    <w:rsid w:val="004D34D3"/>
    <w:rsid w:val="004D416B"/>
    <w:rsid w:val="004D4952"/>
    <w:rsid w:val="004D5A75"/>
    <w:rsid w:val="004D7399"/>
    <w:rsid w:val="004E063A"/>
    <w:rsid w:val="004E0FBE"/>
    <w:rsid w:val="004E2D74"/>
    <w:rsid w:val="004E4BF7"/>
    <w:rsid w:val="004E4EF3"/>
    <w:rsid w:val="004E641A"/>
    <w:rsid w:val="004E6A87"/>
    <w:rsid w:val="004E7324"/>
    <w:rsid w:val="004E7BEC"/>
    <w:rsid w:val="004F220B"/>
    <w:rsid w:val="004F2A55"/>
    <w:rsid w:val="004F43E1"/>
    <w:rsid w:val="004F5CDC"/>
    <w:rsid w:val="0050044F"/>
    <w:rsid w:val="00503CBB"/>
    <w:rsid w:val="00504479"/>
    <w:rsid w:val="00505199"/>
    <w:rsid w:val="00505D3D"/>
    <w:rsid w:val="00506AF6"/>
    <w:rsid w:val="00506BD9"/>
    <w:rsid w:val="00507335"/>
    <w:rsid w:val="0050760B"/>
    <w:rsid w:val="00507785"/>
    <w:rsid w:val="00507D75"/>
    <w:rsid w:val="0051122F"/>
    <w:rsid w:val="00513095"/>
    <w:rsid w:val="00516737"/>
    <w:rsid w:val="00516B8D"/>
    <w:rsid w:val="0051798C"/>
    <w:rsid w:val="00517E56"/>
    <w:rsid w:val="00520E89"/>
    <w:rsid w:val="00524E62"/>
    <w:rsid w:val="00530EC0"/>
    <w:rsid w:val="00532049"/>
    <w:rsid w:val="0053434A"/>
    <w:rsid w:val="005356A7"/>
    <w:rsid w:val="0053611B"/>
    <w:rsid w:val="00536184"/>
    <w:rsid w:val="005371BA"/>
    <w:rsid w:val="00537FBC"/>
    <w:rsid w:val="00540A5E"/>
    <w:rsid w:val="00542BFA"/>
    <w:rsid w:val="00543984"/>
    <w:rsid w:val="00547372"/>
    <w:rsid w:val="005505FD"/>
    <w:rsid w:val="005512D9"/>
    <w:rsid w:val="00556B30"/>
    <w:rsid w:val="005574D1"/>
    <w:rsid w:val="00561217"/>
    <w:rsid w:val="00564E78"/>
    <w:rsid w:val="005657FE"/>
    <w:rsid w:val="00567761"/>
    <w:rsid w:val="0057214F"/>
    <w:rsid w:val="005725BE"/>
    <w:rsid w:val="00572BB1"/>
    <w:rsid w:val="005738DC"/>
    <w:rsid w:val="00573E66"/>
    <w:rsid w:val="0057670F"/>
    <w:rsid w:val="00580800"/>
    <w:rsid w:val="00581C59"/>
    <w:rsid w:val="00584811"/>
    <w:rsid w:val="00585784"/>
    <w:rsid w:val="005915EC"/>
    <w:rsid w:val="0059178F"/>
    <w:rsid w:val="00593AA6"/>
    <w:rsid w:val="00594161"/>
    <w:rsid w:val="00594749"/>
    <w:rsid w:val="00595D21"/>
    <w:rsid w:val="005A092E"/>
    <w:rsid w:val="005A106F"/>
    <w:rsid w:val="005A1F58"/>
    <w:rsid w:val="005A2471"/>
    <w:rsid w:val="005A798F"/>
    <w:rsid w:val="005B0B94"/>
    <w:rsid w:val="005B2FEE"/>
    <w:rsid w:val="005B3491"/>
    <w:rsid w:val="005B3B5F"/>
    <w:rsid w:val="005B4067"/>
    <w:rsid w:val="005B43E2"/>
    <w:rsid w:val="005B4FEB"/>
    <w:rsid w:val="005B5BE4"/>
    <w:rsid w:val="005B6651"/>
    <w:rsid w:val="005B6F1E"/>
    <w:rsid w:val="005B780C"/>
    <w:rsid w:val="005C187A"/>
    <w:rsid w:val="005C3F41"/>
    <w:rsid w:val="005C4148"/>
    <w:rsid w:val="005C4654"/>
    <w:rsid w:val="005C467F"/>
    <w:rsid w:val="005C589A"/>
    <w:rsid w:val="005C598B"/>
    <w:rsid w:val="005D0489"/>
    <w:rsid w:val="005D0559"/>
    <w:rsid w:val="005D2D09"/>
    <w:rsid w:val="005D3D41"/>
    <w:rsid w:val="005D582A"/>
    <w:rsid w:val="005D65F0"/>
    <w:rsid w:val="005D711D"/>
    <w:rsid w:val="005E0AD3"/>
    <w:rsid w:val="005E0F1E"/>
    <w:rsid w:val="005E2B3E"/>
    <w:rsid w:val="005E434E"/>
    <w:rsid w:val="005E4810"/>
    <w:rsid w:val="005E6876"/>
    <w:rsid w:val="005E6CA5"/>
    <w:rsid w:val="005F0C5F"/>
    <w:rsid w:val="005F1047"/>
    <w:rsid w:val="005F17CD"/>
    <w:rsid w:val="005F25E2"/>
    <w:rsid w:val="005F2AFD"/>
    <w:rsid w:val="005F3B75"/>
    <w:rsid w:val="005F3E47"/>
    <w:rsid w:val="005F4140"/>
    <w:rsid w:val="005F522D"/>
    <w:rsid w:val="005F65CD"/>
    <w:rsid w:val="005F7DF2"/>
    <w:rsid w:val="00600219"/>
    <w:rsid w:val="006038DA"/>
    <w:rsid w:val="00603DC4"/>
    <w:rsid w:val="006052CF"/>
    <w:rsid w:val="006061C1"/>
    <w:rsid w:val="006068EE"/>
    <w:rsid w:val="00606F8E"/>
    <w:rsid w:val="00607A71"/>
    <w:rsid w:val="006106E1"/>
    <w:rsid w:val="006117CB"/>
    <w:rsid w:val="0061295B"/>
    <w:rsid w:val="00620076"/>
    <w:rsid w:val="00622A50"/>
    <w:rsid w:val="00622B8E"/>
    <w:rsid w:val="00623158"/>
    <w:rsid w:val="00623811"/>
    <w:rsid w:val="00623DC2"/>
    <w:rsid w:val="006264B0"/>
    <w:rsid w:val="00627E31"/>
    <w:rsid w:val="00631F03"/>
    <w:rsid w:val="00634044"/>
    <w:rsid w:val="006348C2"/>
    <w:rsid w:val="00635AF2"/>
    <w:rsid w:val="00635D61"/>
    <w:rsid w:val="00640161"/>
    <w:rsid w:val="00640DEA"/>
    <w:rsid w:val="00643EB5"/>
    <w:rsid w:val="00645DB2"/>
    <w:rsid w:val="00650005"/>
    <w:rsid w:val="00652769"/>
    <w:rsid w:val="00653261"/>
    <w:rsid w:val="00653B24"/>
    <w:rsid w:val="00653CB2"/>
    <w:rsid w:val="0065524C"/>
    <w:rsid w:val="0065542F"/>
    <w:rsid w:val="006554FF"/>
    <w:rsid w:val="006568D0"/>
    <w:rsid w:val="0065734F"/>
    <w:rsid w:val="00663629"/>
    <w:rsid w:val="00664164"/>
    <w:rsid w:val="00664753"/>
    <w:rsid w:val="00670BBA"/>
    <w:rsid w:val="00670EA1"/>
    <w:rsid w:val="0067600F"/>
    <w:rsid w:val="00676718"/>
    <w:rsid w:val="00676CD8"/>
    <w:rsid w:val="00677AF1"/>
    <w:rsid w:val="00677CB5"/>
    <w:rsid w:val="00677CC2"/>
    <w:rsid w:val="0068116C"/>
    <w:rsid w:val="006837B9"/>
    <w:rsid w:val="006869BD"/>
    <w:rsid w:val="006905DE"/>
    <w:rsid w:val="00690D68"/>
    <w:rsid w:val="0069207B"/>
    <w:rsid w:val="006928C2"/>
    <w:rsid w:val="00692A05"/>
    <w:rsid w:val="00692A83"/>
    <w:rsid w:val="00693F3D"/>
    <w:rsid w:val="0069407D"/>
    <w:rsid w:val="006A1DB8"/>
    <w:rsid w:val="006A3E64"/>
    <w:rsid w:val="006A4A7E"/>
    <w:rsid w:val="006A4ADC"/>
    <w:rsid w:val="006A62BA"/>
    <w:rsid w:val="006B0F15"/>
    <w:rsid w:val="006B141C"/>
    <w:rsid w:val="006B53BA"/>
    <w:rsid w:val="006B560C"/>
    <w:rsid w:val="006B5789"/>
    <w:rsid w:val="006B581C"/>
    <w:rsid w:val="006C0DE3"/>
    <w:rsid w:val="006C1BAF"/>
    <w:rsid w:val="006C30C5"/>
    <w:rsid w:val="006C404A"/>
    <w:rsid w:val="006C45B6"/>
    <w:rsid w:val="006C48FA"/>
    <w:rsid w:val="006C4964"/>
    <w:rsid w:val="006C4E7E"/>
    <w:rsid w:val="006C597D"/>
    <w:rsid w:val="006C71EF"/>
    <w:rsid w:val="006C7924"/>
    <w:rsid w:val="006C7F8C"/>
    <w:rsid w:val="006D3FD8"/>
    <w:rsid w:val="006D43FC"/>
    <w:rsid w:val="006D46E1"/>
    <w:rsid w:val="006D64D0"/>
    <w:rsid w:val="006D7272"/>
    <w:rsid w:val="006D7288"/>
    <w:rsid w:val="006E02EB"/>
    <w:rsid w:val="006E30ED"/>
    <w:rsid w:val="006E3D59"/>
    <w:rsid w:val="006E5320"/>
    <w:rsid w:val="006E6246"/>
    <w:rsid w:val="006E6261"/>
    <w:rsid w:val="006F0ED5"/>
    <w:rsid w:val="006F2294"/>
    <w:rsid w:val="006F318F"/>
    <w:rsid w:val="006F4226"/>
    <w:rsid w:val="006F4FA0"/>
    <w:rsid w:val="006F599C"/>
    <w:rsid w:val="006F6025"/>
    <w:rsid w:val="0070017E"/>
    <w:rsid w:val="00700B2C"/>
    <w:rsid w:val="00701150"/>
    <w:rsid w:val="00702EFD"/>
    <w:rsid w:val="00703979"/>
    <w:rsid w:val="007050A2"/>
    <w:rsid w:val="00705310"/>
    <w:rsid w:val="00707BDC"/>
    <w:rsid w:val="00712515"/>
    <w:rsid w:val="00712B20"/>
    <w:rsid w:val="00713084"/>
    <w:rsid w:val="0071399B"/>
    <w:rsid w:val="007143B2"/>
    <w:rsid w:val="00714B04"/>
    <w:rsid w:val="00714D59"/>
    <w:rsid w:val="00714F20"/>
    <w:rsid w:val="0071590F"/>
    <w:rsid w:val="00715914"/>
    <w:rsid w:val="007218E4"/>
    <w:rsid w:val="0072222B"/>
    <w:rsid w:val="007227E0"/>
    <w:rsid w:val="00722949"/>
    <w:rsid w:val="00724258"/>
    <w:rsid w:val="007256D9"/>
    <w:rsid w:val="00727F00"/>
    <w:rsid w:val="007302CD"/>
    <w:rsid w:val="00730331"/>
    <w:rsid w:val="00730E03"/>
    <w:rsid w:val="00731673"/>
    <w:rsid w:val="00731E00"/>
    <w:rsid w:val="00731F93"/>
    <w:rsid w:val="0073251F"/>
    <w:rsid w:val="0073317E"/>
    <w:rsid w:val="00734711"/>
    <w:rsid w:val="0074154F"/>
    <w:rsid w:val="00741EE8"/>
    <w:rsid w:val="0074261A"/>
    <w:rsid w:val="007440B7"/>
    <w:rsid w:val="00745D32"/>
    <w:rsid w:val="00747E3F"/>
    <w:rsid w:val="00747FE9"/>
    <w:rsid w:val="007500C8"/>
    <w:rsid w:val="00751576"/>
    <w:rsid w:val="00751BFB"/>
    <w:rsid w:val="00752798"/>
    <w:rsid w:val="00756272"/>
    <w:rsid w:val="00756E85"/>
    <w:rsid w:val="00760E53"/>
    <w:rsid w:val="00762334"/>
    <w:rsid w:val="007662B5"/>
    <w:rsid w:val="0076681A"/>
    <w:rsid w:val="007679B4"/>
    <w:rsid w:val="00767BAC"/>
    <w:rsid w:val="007715C9"/>
    <w:rsid w:val="00771613"/>
    <w:rsid w:val="00772AB0"/>
    <w:rsid w:val="00773258"/>
    <w:rsid w:val="0077449C"/>
    <w:rsid w:val="00774EDD"/>
    <w:rsid w:val="00774FA2"/>
    <w:rsid w:val="0077506D"/>
    <w:rsid w:val="007757EC"/>
    <w:rsid w:val="00780626"/>
    <w:rsid w:val="007838B0"/>
    <w:rsid w:val="00783E89"/>
    <w:rsid w:val="00785A9E"/>
    <w:rsid w:val="00785C91"/>
    <w:rsid w:val="00786063"/>
    <w:rsid w:val="007922E8"/>
    <w:rsid w:val="00793915"/>
    <w:rsid w:val="0079707F"/>
    <w:rsid w:val="00797489"/>
    <w:rsid w:val="007A5949"/>
    <w:rsid w:val="007B0C00"/>
    <w:rsid w:val="007B1D3D"/>
    <w:rsid w:val="007B2181"/>
    <w:rsid w:val="007B2F83"/>
    <w:rsid w:val="007B3507"/>
    <w:rsid w:val="007B398B"/>
    <w:rsid w:val="007B4C4F"/>
    <w:rsid w:val="007B6A77"/>
    <w:rsid w:val="007B6DA6"/>
    <w:rsid w:val="007C1625"/>
    <w:rsid w:val="007C2253"/>
    <w:rsid w:val="007C3268"/>
    <w:rsid w:val="007C4AF6"/>
    <w:rsid w:val="007C4B01"/>
    <w:rsid w:val="007C6B28"/>
    <w:rsid w:val="007D0B40"/>
    <w:rsid w:val="007D230B"/>
    <w:rsid w:val="007D2FD9"/>
    <w:rsid w:val="007D33AD"/>
    <w:rsid w:val="007D3ACB"/>
    <w:rsid w:val="007D6032"/>
    <w:rsid w:val="007E163D"/>
    <w:rsid w:val="007E2CC3"/>
    <w:rsid w:val="007E4B3D"/>
    <w:rsid w:val="007E5C33"/>
    <w:rsid w:val="007E667A"/>
    <w:rsid w:val="007E6798"/>
    <w:rsid w:val="007E7BBF"/>
    <w:rsid w:val="007F0FD4"/>
    <w:rsid w:val="007F1DE5"/>
    <w:rsid w:val="007F20CC"/>
    <w:rsid w:val="007F28C9"/>
    <w:rsid w:val="007F427D"/>
    <w:rsid w:val="007F45E4"/>
    <w:rsid w:val="007F5E16"/>
    <w:rsid w:val="00801518"/>
    <w:rsid w:val="0080279A"/>
    <w:rsid w:val="0080312D"/>
    <w:rsid w:val="00803587"/>
    <w:rsid w:val="008040B8"/>
    <w:rsid w:val="00807E12"/>
    <w:rsid w:val="008117E9"/>
    <w:rsid w:val="00812007"/>
    <w:rsid w:val="00812924"/>
    <w:rsid w:val="00813B14"/>
    <w:rsid w:val="00816089"/>
    <w:rsid w:val="00821B12"/>
    <w:rsid w:val="00824498"/>
    <w:rsid w:val="00825B9E"/>
    <w:rsid w:val="00825EBF"/>
    <w:rsid w:val="008265DB"/>
    <w:rsid w:val="008269B5"/>
    <w:rsid w:val="00831013"/>
    <w:rsid w:val="00831C3E"/>
    <w:rsid w:val="008326CF"/>
    <w:rsid w:val="00835248"/>
    <w:rsid w:val="00835270"/>
    <w:rsid w:val="00840442"/>
    <w:rsid w:val="00840836"/>
    <w:rsid w:val="00841304"/>
    <w:rsid w:val="00843E1F"/>
    <w:rsid w:val="0084496A"/>
    <w:rsid w:val="00844A83"/>
    <w:rsid w:val="0084611F"/>
    <w:rsid w:val="008527C0"/>
    <w:rsid w:val="00852CFD"/>
    <w:rsid w:val="00853DA5"/>
    <w:rsid w:val="00855843"/>
    <w:rsid w:val="00855D77"/>
    <w:rsid w:val="00856A31"/>
    <w:rsid w:val="00860B58"/>
    <w:rsid w:val="00863712"/>
    <w:rsid w:val="008643A2"/>
    <w:rsid w:val="0086711A"/>
    <w:rsid w:val="00867744"/>
    <w:rsid w:val="00867B37"/>
    <w:rsid w:val="00867EBC"/>
    <w:rsid w:val="00870B6C"/>
    <w:rsid w:val="00871017"/>
    <w:rsid w:val="00871219"/>
    <w:rsid w:val="008718DD"/>
    <w:rsid w:val="00872BD4"/>
    <w:rsid w:val="008745EE"/>
    <w:rsid w:val="008754D0"/>
    <w:rsid w:val="00875BA5"/>
    <w:rsid w:val="0088055F"/>
    <w:rsid w:val="0088089A"/>
    <w:rsid w:val="00880EBE"/>
    <w:rsid w:val="008855C9"/>
    <w:rsid w:val="00886456"/>
    <w:rsid w:val="008868CE"/>
    <w:rsid w:val="00887C2F"/>
    <w:rsid w:val="00891112"/>
    <w:rsid w:val="00891C25"/>
    <w:rsid w:val="008945E0"/>
    <w:rsid w:val="0089494A"/>
    <w:rsid w:val="00894BA4"/>
    <w:rsid w:val="0089527F"/>
    <w:rsid w:val="00895E56"/>
    <w:rsid w:val="00897787"/>
    <w:rsid w:val="00897954"/>
    <w:rsid w:val="008A362B"/>
    <w:rsid w:val="008A3803"/>
    <w:rsid w:val="008A46E1"/>
    <w:rsid w:val="008A47E5"/>
    <w:rsid w:val="008A4F43"/>
    <w:rsid w:val="008A5472"/>
    <w:rsid w:val="008A7E37"/>
    <w:rsid w:val="008B2706"/>
    <w:rsid w:val="008B2BD6"/>
    <w:rsid w:val="008B2C87"/>
    <w:rsid w:val="008B3AC4"/>
    <w:rsid w:val="008B4491"/>
    <w:rsid w:val="008B56C8"/>
    <w:rsid w:val="008B66EC"/>
    <w:rsid w:val="008C046A"/>
    <w:rsid w:val="008C0F29"/>
    <w:rsid w:val="008C330E"/>
    <w:rsid w:val="008C497F"/>
    <w:rsid w:val="008C49D6"/>
    <w:rsid w:val="008C5981"/>
    <w:rsid w:val="008C6A3F"/>
    <w:rsid w:val="008D06B7"/>
    <w:rsid w:val="008D0782"/>
    <w:rsid w:val="008D0EE0"/>
    <w:rsid w:val="008D23CA"/>
    <w:rsid w:val="008D3422"/>
    <w:rsid w:val="008D4479"/>
    <w:rsid w:val="008D52C1"/>
    <w:rsid w:val="008E168C"/>
    <w:rsid w:val="008E3331"/>
    <w:rsid w:val="008E4745"/>
    <w:rsid w:val="008E4F15"/>
    <w:rsid w:val="008E5045"/>
    <w:rsid w:val="008E540C"/>
    <w:rsid w:val="008E6067"/>
    <w:rsid w:val="008E72C7"/>
    <w:rsid w:val="008E7B72"/>
    <w:rsid w:val="008E7C05"/>
    <w:rsid w:val="008F02FF"/>
    <w:rsid w:val="008F0B6D"/>
    <w:rsid w:val="008F1BD6"/>
    <w:rsid w:val="008F3259"/>
    <w:rsid w:val="008F4CBB"/>
    <w:rsid w:val="008F54E7"/>
    <w:rsid w:val="008F7B27"/>
    <w:rsid w:val="0090026D"/>
    <w:rsid w:val="009016BE"/>
    <w:rsid w:val="009023D7"/>
    <w:rsid w:val="00903422"/>
    <w:rsid w:val="009063D1"/>
    <w:rsid w:val="00910F32"/>
    <w:rsid w:val="00914619"/>
    <w:rsid w:val="009157B9"/>
    <w:rsid w:val="00915DF9"/>
    <w:rsid w:val="009211C1"/>
    <w:rsid w:val="0092549F"/>
    <w:rsid w:val="009254C3"/>
    <w:rsid w:val="009258BB"/>
    <w:rsid w:val="00926940"/>
    <w:rsid w:val="00926F9B"/>
    <w:rsid w:val="00927817"/>
    <w:rsid w:val="00930A0A"/>
    <w:rsid w:val="00930B39"/>
    <w:rsid w:val="00931B37"/>
    <w:rsid w:val="00932377"/>
    <w:rsid w:val="0093466E"/>
    <w:rsid w:val="00934C31"/>
    <w:rsid w:val="00936E1E"/>
    <w:rsid w:val="00941738"/>
    <w:rsid w:val="00941BB3"/>
    <w:rsid w:val="00941CB5"/>
    <w:rsid w:val="00944FCE"/>
    <w:rsid w:val="009460DC"/>
    <w:rsid w:val="0094629C"/>
    <w:rsid w:val="00947430"/>
    <w:rsid w:val="00947D5A"/>
    <w:rsid w:val="00950350"/>
    <w:rsid w:val="00951B4A"/>
    <w:rsid w:val="009532A5"/>
    <w:rsid w:val="00953ABE"/>
    <w:rsid w:val="0095528E"/>
    <w:rsid w:val="00956215"/>
    <w:rsid w:val="0095699B"/>
    <w:rsid w:val="00960763"/>
    <w:rsid w:val="00961659"/>
    <w:rsid w:val="009626C0"/>
    <w:rsid w:val="00962DD1"/>
    <w:rsid w:val="00963496"/>
    <w:rsid w:val="0096380D"/>
    <w:rsid w:val="00963E19"/>
    <w:rsid w:val="00964258"/>
    <w:rsid w:val="00964EBD"/>
    <w:rsid w:val="00964FBF"/>
    <w:rsid w:val="009672B0"/>
    <w:rsid w:val="0096753E"/>
    <w:rsid w:val="00971908"/>
    <w:rsid w:val="00971A95"/>
    <w:rsid w:val="00971CDC"/>
    <w:rsid w:val="00972DFF"/>
    <w:rsid w:val="009755CC"/>
    <w:rsid w:val="009773BE"/>
    <w:rsid w:val="009777CF"/>
    <w:rsid w:val="00977EF4"/>
    <w:rsid w:val="00982242"/>
    <w:rsid w:val="0098268D"/>
    <w:rsid w:val="009826C8"/>
    <w:rsid w:val="00983337"/>
    <w:rsid w:val="00983EAC"/>
    <w:rsid w:val="00985B8D"/>
    <w:rsid w:val="00985E52"/>
    <w:rsid w:val="009863C0"/>
    <w:rsid w:val="009868E9"/>
    <w:rsid w:val="009944E6"/>
    <w:rsid w:val="00994AED"/>
    <w:rsid w:val="009A41BB"/>
    <w:rsid w:val="009A49C9"/>
    <w:rsid w:val="009A76BB"/>
    <w:rsid w:val="009B193B"/>
    <w:rsid w:val="009B2E5C"/>
    <w:rsid w:val="009B6EFE"/>
    <w:rsid w:val="009B7E7E"/>
    <w:rsid w:val="009C0212"/>
    <w:rsid w:val="009C04EF"/>
    <w:rsid w:val="009C0696"/>
    <w:rsid w:val="009C09DA"/>
    <w:rsid w:val="009C251A"/>
    <w:rsid w:val="009C336B"/>
    <w:rsid w:val="009C4550"/>
    <w:rsid w:val="009C6789"/>
    <w:rsid w:val="009C6872"/>
    <w:rsid w:val="009C7F0C"/>
    <w:rsid w:val="009D06FC"/>
    <w:rsid w:val="009D1818"/>
    <w:rsid w:val="009D195A"/>
    <w:rsid w:val="009D2960"/>
    <w:rsid w:val="009D4049"/>
    <w:rsid w:val="009D7569"/>
    <w:rsid w:val="009E0299"/>
    <w:rsid w:val="009E328D"/>
    <w:rsid w:val="009E34BC"/>
    <w:rsid w:val="009E5CFC"/>
    <w:rsid w:val="009F1B16"/>
    <w:rsid w:val="009F3E86"/>
    <w:rsid w:val="009F4481"/>
    <w:rsid w:val="009F4EDF"/>
    <w:rsid w:val="009F4F1D"/>
    <w:rsid w:val="00A004BE"/>
    <w:rsid w:val="00A0070C"/>
    <w:rsid w:val="00A02E29"/>
    <w:rsid w:val="00A079CB"/>
    <w:rsid w:val="00A11B9E"/>
    <w:rsid w:val="00A12128"/>
    <w:rsid w:val="00A12F48"/>
    <w:rsid w:val="00A14909"/>
    <w:rsid w:val="00A15512"/>
    <w:rsid w:val="00A159B5"/>
    <w:rsid w:val="00A17B0F"/>
    <w:rsid w:val="00A20C52"/>
    <w:rsid w:val="00A21D4C"/>
    <w:rsid w:val="00A22C98"/>
    <w:rsid w:val="00A231E2"/>
    <w:rsid w:val="00A2632D"/>
    <w:rsid w:val="00A27817"/>
    <w:rsid w:val="00A30213"/>
    <w:rsid w:val="00A302D4"/>
    <w:rsid w:val="00A32F07"/>
    <w:rsid w:val="00A33D55"/>
    <w:rsid w:val="00A34412"/>
    <w:rsid w:val="00A34719"/>
    <w:rsid w:val="00A37057"/>
    <w:rsid w:val="00A378C7"/>
    <w:rsid w:val="00A40424"/>
    <w:rsid w:val="00A41226"/>
    <w:rsid w:val="00A41642"/>
    <w:rsid w:val="00A416FB"/>
    <w:rsid w:val="00A41CFC"/>
    <w:rsid w:val="00A41D45"/>
    <w:rsid w:val="00A43E67"/>
    <w:rsid w:val="00A46E6F"/>
    <w:rsid w:val="00A5014B"/>
    <w:rsid w:val="00A50508"/>
    <w:rsid w:val="00A52B0F"/>
    <w:rsid w:val="00A5632E"/>
    <w:rsid w:val="00A565DD"/>
    <w:rsid w:val="00A60FC2"/>
    <w:rsid w:val="00A64912"/>
    <w:rsid w:val="00A6576E"/>
    <w:rsid w:val="00A6733F"/>
    <w:rsid w:val="00A6734C"/>
    <w:rsid w:val="00A70A74"/>
    <w:rsid w:val="00A73027"/>
    <w:rsid w:val="00A744DB"/>
    <w:rsid w:val="00A80931"/>
    <w:rsid w:val="00A81A28"/>
    <w:rsid w:val="00A833CE"/>
    <w:rsid w:val="00A86565"/>
    <w:rsid w:val="00A86596"/>
    <w:rsid w:val="00A86917"/>
    <w:rsid w:val="00A86A5F"/>
    <w:rsid w:val="00A87159"/>
    <w:rsid w:val="00A9190C"/>
    <w:rsid w:val="00A91966"/>
    <w:rsid w:val="00A9487E"/>
    <w:rsid w:val="00A95CA6"/>
    <w:rsid w:val="00A9681A"/>
    <w:rsid w:val="00AA14C5"/>
    <w:rsid w:val="00AA1B77"/>
    <w:rsid w:val="00AA31AB"/>
    <w:rsid w:val="00AA347A"/>
    <w:rsid w:val="00AA43AE"/>
    <w:rsid w:val="00AA66AC"/>
    <w:rsid w:val="00AA7453"/>
    <w:rsid w:val="00AB04CC"/>
    <w:rsid w:val="00AB1DE8"/>
    <w:rsid w:val="00AB263C"/>
    <w:rsid w:val="00AB3523"/>
    <w:rsid w:val="00AB413E"/>
    <w:rsid w:val="00AB50B7"/>
    <w:rsid w:val="00AC0886"/>
    <w:rsid w:val="00AC0BCD"/>
    <w:rsid w:val="00AC0EDE"/>
    <w:rsid w:val="00AC2BC6"/>
    <w:rsid w:val="00AC3B25"/>
    <w:rsid w:val="00AC4485"/>
    <w:rsid w:val="00AC4BD3"/>
    <w:rsid w:val="00AD1F73"/>
    <w:rsid w:val="00AD25F8"/>
    <w:rsid w:val="00AD3F2C"/>
    <w:rsid w:val="00AD3F58"/>
    <w:rsid w:val="00AD4162"/>
    <w:rsid w:val="00AD42EE"/>
    <w:rsid w:val="00AD5315"/>
    <w:rsid w:val="00AD5641"/>
    <w:rsid w:val="00AD65D2"/>
    <w:rsid w:val="00AD7889"/>
    <w:rsid w:val="00AD7EA6"/>
    <w:rsid w:val="00AE0F7E"/>
    <w:rsid w:val="00AE15ED"/>
    <w:rsid w:val="00AE1F34"/>
    <w:rsid w:val="00AE3272"/>
    <w:rsid w:val="00AE44FE"/>
    <w:rsid w:val="00AE4E3D"/>
    <w:rsid w:val="00AE5B43"/>
    <w:rsid w:val="00AE78F3"/>
    <w:rsid w:val="00AE7934"/>
    <w:rsid w:val="00AF021B"/>
    <w:rsid w:val="00AF06CF"/>
    <w:rsid w:val="00AF176E"/>
    <w:rsid w:val="00AF19AE"/>
    <w:rsid w:val="00AF230F"/>
    <w:rsid w:val="00AF23D4"/>
    <w:rsid w:val="00AF3989"/>
    <w:rsid w:val="00AF41B6"/>
    <w:rsid w:val="00AF5A76"/>
    <w:rsid w:val="00AF616F"/>
    <w:rsid w:val="00AF62E4"/>
    <w:rsid w:val="00AF6763"/>
    <w:rsid w:val="00AF7D5A"/>
    <w:rsid w:val="00B001AB"/>
    <w:rsid w:val="00B02D6D"/>
    <w:rsid w:val="00B04F45"/>
    <w:rsid w:val="00B055CD"/>
    <w:rsid w:val="00B056D1"/>
    <w:rsid w:val="00B07CDB"/>
    <w:rsid w:val="00B07CE2"/>
    <w:rsid w:val="00B1152B"/>
    <w:rsid w:val="00B11E95"/>
    <w:rsid w:val="00B13634"/>
    <w:rsid w:val="00B13C13"/>
    <w:rsid w:val="00B14050"/>
    <w:rsid w:val="00B16A31"/>
    <w:rsid w:val="00B170DB"/>
    <w:rsid w:val="00B17DFD"/>
    <w:rsid w:val="00B2051C"/>
    <w:rsid w:val="00B20E56"/>
    <w:rsid w:val="00B26056"/>
    <w:rsid w:val="00B2799D"/>
    <w:rsid w:val="00B308FE"/>
    <w:rsid w:val="00B328E0"/>
    <w:rsid w:val="00B33709"/>
    <w:rsid w:val="00B33B3C"/>
    <w:rsid w:val="00B33BD1"/>
    <w:rsid w:val="00B356E3"/>
    <w:rsid w:val="00B37F56"/>
    <w:rsid w:val="00B4151B"/>
    <w:rsid w:val="00B41EFD"/>
    <w:rsid w:val="00B46120"/>
    <w:rsid w:val="00B50ADC"/>
    <w:rsid w:val="00B564CC"/>
    <w:rsid w:val="00B566B1"/>
    <w:rsid w:val="00B626CB"/>
    <w:rsid w:val="00B63834"/>
    <w:rsid w:val="00B6618A"/>
    <w:rsid w:val="00B6751A"/>
    <w:rsid w:val="00B706DB"/>
    <w:rsid w:val="00B70856"/>
    <w:rsid w:val="00B70C09"/>
    <w:rsid w:val="00B71082"/>
    <w:rsid w:val="00B7211C"/>
    <w:rsid w:val="00B72513"/>
    <w:rsid w:val="00B72734"/>
    <w:rsid w:val="00B74343"/>
    <w:rsid w:val="00B75550"/>
    <w:rsid w:val="00B761C4"/>
    <w:rsid w:val="00B76A35"/>
    <w:rsid w:val="00B77AE9"/>
    <w:rsid w:val="00B80199"/>
    <w:rsid w:val="00B8035D"/>
    <w:rsid w:val="00B8142A"/>
    <w:rsid w:val="00B82D81"/>
    <w:rsid w:val="00B83204"/>
    <w:rsid w:val="00B83B00"/>
    <w:rsid w:val="00B84CF1"/>
    <w:rsid w:val="00B869D8"/>
    <w:rsid w:val="00B9126E"/>
    <w:rsid w:val="00B97410"/>
    <w:rsid w:val="00BA220B"/>
    <w:rsid w:val="00BA3A57"/>
    <w:rsid w:val="00BA5238"/>
    <w:rsid w:val="00BA6E13"/>
    <w:rsid w:val="00BA75D6"/>
    <w:rsid w:val="00BA768D"/>
    <w:rsid w:val="00BB163C"/>
    <w:rsid w:val="00BB20BD"/>
    <w:rsid w:val="00BB4E1A"/>
    <w:rsid w:val="00BB5C17"/>
    <w:rsid w:val="00BB6C93"/>
    <w:rsid w:val="00BC015E"/>
    <w:rsid w:val="00BC0E67"/>
    <w:rsid w:val="00BC2063"/>
    <w:rsid w:val="00BC3979"/>
    <w:rsid w:val="00BC45A3"/>
    <w:rsid w:val="00BC62A0"/>
    <w:rsid w:val="00BC7183"/>
    <w:rsid w:val="00BC76AC"/>
    <w:rsid w:val="00BD0ECB"/>
    <w:rsid w:val="00BD3701"/>
    <w:rsid w:val="00BD3B71"/>
    <w:rsid w:val="00BD52F9"/>
    <w:rsid w:val="00BD6BDC"/>
    <w:rsid w:val="00BD6F2A"/>
    <w:rsid w:val="00BE2155"/>
    <w:rsid w:val="00BE2213"/>
    <w:rsid w:val="00BE388C"/>
    <w:rsid w:val="00BE3898"/>
    <w:rsid w:val="00BE3D6B"/>
    <w:rsid w:val="00BE557A"/>
    <w:rsid w:val="00BE5ABF"/>
    <w:rsid w:val="00BE7098"/>
    <w:rsid w:val="00BE719A"/>
    <w:rsid w:val="00BE720A"/>
    <w:rsid w:val="00BF0D73"/>
    <w:rsid w:val="00BF2465"/>
    <w:rsid w:val="00BF5B03"/>
    <w:rsid w:val="00BF738E"/>
    <w:rsid w:val="00BF73AA"/>
    <w:rsid w:val="00BF7415"/>
    <w:rsid w:val="00BF75C9"/>
    <w:rsid w:val="00C00398"/>
    <w:rsid w:val="00C0544A"/>
    <w:rsid w:val="00C10B13"/>
    <w:rsid w:val="00C11452"/>
    <w:rsid w:val="00C14689"/>
    <w:rsid w:val="00C14B3B"/>
    <w:rsid w:val="00C21121"/>
    <w:rsid w:val="00C25E7F"/>
    <w:rsid w:val="00C2746F"/>
    <w:rsid w:val="00C27D2B"/>
    <w:rsid w:val="00C30D34"/>
    <w:rsid w:val="00C312D2"/>
    <w:rsid w:val="00C31328"/>
    <w:rsid w:val="00C31B69"/>
    <w:rsid w:val="00C31F89"/>
    <w:rsid w:val="00C324A0"/>
    <w:rsid w:val="00C32C9B"/>
    <w:rsid w:val="00C3300F"/>
    <w:rsid w:val="00C34E77"/>
    <w:rsid w:val="00C35875"/>
    <w:rsid w:val="00C35DAF"/>
    <w:rsid w:val="00C362C3"/>
    <w:rsid w:val="00C36F32"/>
    <w:rsid w:val="00C37125"/>
    <w:rsid w:val="00C37B6E"/>
    <w:rsid w:val="00C4157B"/>
    <w:rsid w:val="00C42BF8"/>
    <w:rsid w:val="00C430B2"/>
    <w:rsid w:val="00C441B6"/>
    <w:rsid w:val="00C45171"/>
    <w:rsid w:val="00C454F2"/>
    <w:rsid w:val="00C4584A"/>
    <w:rsid w:val="00C4664C"/>
    <w:rsid w:val="00C50043"/>
    <w:rsid w:val="00C50B97"/>
    <w:rsid w:val="00C51C7D"/>
    <w:rsid w:val="00C5271C"/>
    <w:rsid w:val="00C55359"/>
    <w:rsid w:val="00C57779"/>
    <w:rsid w:val="00C62ECF"/>
    <w:rsid w:val="00C63D5D"/>
    <w:rsid w:val="00C6434E"/>
    <w:rsid w:val="00C645E3"/>
    <w:rsid w:val="00C65163"/>
    <w:rsid w:val="00C70AE0"/>
    <w:rsid w:val="00C70CA8"/>
    <w:rsid w:val="00C71312"/>
    <w:rsid w:val="00C7436F"/>
    <w:rsid w:val="00C7573B"/>
    <w:rsid w:val="00C7761F"/>
    <w:rsid w:val="00C80003"/>
    <w:rsid w:val="00C8038C"/>
    <w:rsid w:val="00C831FA"/>
    <w:rsid w:val="00C83B3D"/>
    <w:rsid w:val="00C84ACB"/>
    <w:rsid w:val="00C84BBD"/>
    <w:rsid w:val="00C854F4"/>
    <w:rsid w:val="00C863B7"/>
    <w:rsid w:val="00C93C03"/>
    <w:rsid w:val="00C942D6"/>
    <w:rsid w:val="00C97485"/>
    <w:rsid w:val="00CA0637"/>
    <w:rsid w:val="00CA4811"/>
    <w:rsid w:val="00CA66DC"/>
    <w:rsid w:val="00CB10F4"/>
    <w:rsid w:val="00CB2C8E"/>
    <w:rsid w:val="00CB31C8"/>
    <w:rsid w:val="00CB33EB"/>
    <w:rsid w:val="00CB459F"/>
    <w:rsid w:val="00CB45BB"/>
    <w:rsid w:val="00CB4E55"/>
    <w:rsid w:val="00CB602E"/>
    <w:rsid w:val="00CC5DB3"/>
    <w:rsid w:val="00CC60D0"/>
    <w:rsid w:val="00CC6AC2"/>
    <w:rsid w:val="00CC7B1F"/>
    <w:rsid w:val="00CD2E90"/>
    <w:rsid w:val="00CD41B5"/>
    <w:rsid w:val="00CD47EC"/>
    <w:rsid w:val="00CD6CCD"/>
    <w:rsid w:val="00CD7D59"/>
    <w:rsid w:val="00CE051D"/>
    <w:rsid w:val="00CE1335"/>
    <w:rsid w:val="00CE1F8E"/>
    <w:rsid w:val="00CE20E8"/>
    <w:rsid w:val="00CE347F"/>
    <w:rsid w:val="00CE3D2A"/>
    <w:rsid w:val="00CE493D"/>
    <w:rsid w:val="00CE653A"/>
    <w:rsid w:val="00CE6D42"/>
    <w:rsid w:val="00CE6D60"/>
    <w:rsid w:val="00CE7DCD"/>
    <w:rsid w:val="00CF07FA"/>
    <w:rsid w:val="00CF0BB2"/>
    <w:rsid w:val="00CF2941"/>
    <w:rsid w:val="00CF2A39"/>
    <w:rsid w:val="00CF3EE8"/>
    <w:rsid w:val="00CF4CED"/>
    <w:rsid w:val="00CF774D"/>
    <w:rsid w:val="00D00597"/>
    <w:rsid w:val="00D0448F"/>
    <w:rsid w:val="00D04494"/>
    <w:rsid w:val="00D050E6"/>
    <w:rsid w:val="00D058B5"/>
    <w:rsid w:val="00D100CB"/>
    <w:rsid w:val="00D11B26"/>
    <w:rsid w:val="00D13441"/>
    <w:rsid w:val="00D140B0"/>
    <w:rsid w:val="00D14833"/>
    <w:rsid w:val="00D150E7"/>
    <w:rsid w:val="00D1592B"/>
    <w:rsid w:val="00D22F8B"/>
    <w:rsid w:val="00D233E1"/>
    <w:rsid w:val="00D2555E"/>
    <w:rsid w:val="00D25884"/>
    <w:rsid w:val="00D27229"/>
    <w:rsid w:val="00D32583"/>
    <w:rsid w:val="00D32F65"/>
    <w:rsid w:val="00D3311A"/>
    <w:rsid w:val="00D33400"/>
    <w:rsid w:val="00D33ADC"/>
    <w:rsid w:val="00D341C4"/>
    <w:rsid w:val="00D35486"/>
    <w:rsid w:val="00D3740C"/>
    <w:rsid w:val="00D41FDD"/>
    <w:rsid w:val="00D426D7"/>
    <w:rsid w:val="00D431E8"/>
    <w:rsid w:val="00D43375"/>
    <w:rsid w:val="00D44025"/>
    <w:rsid w:val="00D452E6"/>
    <w:rsid w:val="00D45D71"/>
    <w:rsid w:val="00D46626"/>
    <w:rsid w:val="00D466E9"/>
    <w:rsid w:val="00D4696C"/>
    <w:rsid w:val="00D52200"/>
    <w:rsid w:val="00D52DC2"/>
    <w:rsid w:val="00D53BCC"/>
    <w:rsid w:val="00D5434B"/>
    <w:rsid w:val="00D56C1E"/>
    <w:rsid w:val="00D6086E"/>
    <w:rsid w:val="00D61834"/>
    <w:rsid w:val="00D6634A"/>
    <w:rsid w:val="00D6693E"/>
    <w:rsid w:val="00D702DE"/>
    <w:rsid w:val="00D70DFB"/>
    <w:rsid w:val="00D71AB2"/>
    <w:rsid w:val="00D72FB3"/>
    <w:rsid w:val="00D73C22"/>
    <w:rsid w:val="00D73CBC"/>
    <w:rsid w:val="00D766DF"/>
    <w:rsid w:val="00D80DD7"/>
    <w:rsid w:val="00D81055"/>
    <w:rsid w:val="00D820A5"/>
    <w:rsid w:val="00D821F1"/>
    <w:rsid w:val="00D82FEC"/>
    <w:rsid w:val="00D83B8C"/>
    <w:rsid w:val="00D8596E"/>
    <w:rsid w:val="00D863BD"/>
    <w:rsid w:val="00D87E42"/>
    <w:rsid w:val="00D91016"/>
    <w:rsid w:val="00D92293"/>
    <w:rsid w:val="00D92F8F"/>
    <w:rsid w:val="00D95516"/>
    <w:rsid w:val="00D95801"/>
    <w:rsid w:val="00D95B3E"/>
    <w:rsid w:val="00D97E6A"/>
    <w:rsid w:val="00DA186E"/>
    <w:rsid w:val="00DA3639"/>
    <w:rsid w:val="00DA4116"/>
    <w:rsid w:val="00DA6B71"/>
    <w:rsid w:val="00DB1D54"/>
    <w:rsid w:val="00DB251C"/>
    <w:rsid w:val="00DB285D"/>
    <w:rsid w:val="00DB38AD"/>
    <w:rsid w:val="00DB4630"/>
    <w:rsid w:val="00DB4DAA"/>
    <w:rsid w:val="00DC246F"/>
    <w:rsid w:val="00DC2723"/>
    <w:rsid w:val="00DC4445"/>
    <w:rsid w:val="00DC44AD"/>
    <w:rsid w:val="00DC4F88"/>
    <w:rsid w:val="00DC59F5"/>
    <w:rsid w:val="00DD03AE"/>
    <w:rsid w:val="00DD3462"/>
    <w:rsid w:val="00DD3CEE"/>
    <w:rsid w:val="00DD409E"/>
    <w:rsid w:val="00DD4197"/>
    <w:rsid w:val="00DD7112"/>
    <w:rsid w:val="00DE0B54"/>
    <w:rsid w:val="00DE2C8A"/>
    <w:rsid w:val="00DE3543"/>
    <w:rsid w:val="00DE4347"/>
    <w:rsid w:val="00DE79F9"/>
    <w:rsid w:val="00DE7B64"/>
    <w:rsid w:val="00DF05F2"/>
    <w:rsid w:val="00DF2734"/>
    <w:rsid w:val="00DF2F47"/>
    <w:rsid w:val="00DF4CE1"/>
    <w:rsid w:val="00DF73B9"/>
    <w:rsid w:val="00DF789B"/>
    <w:rsid w:val="00E0316C"/>
    <w:rsid w:val="00E05704"/>
    <w:rsid w:val="00E05B01"/>
    <w:rsid w:val="00E06CC3"/>
    <w:rsid w:val="00E079F9"/>
    <w:rsid w:val="00E11E44"/>
    <w:rsid w:val="00E1211A"/>
    <w:rsid w:val="00E12EBB"/>
    <w:rsid w:val="00E13622"/>
    <w:rsid w:val="00E13AFA"/>
    <w:rsid w:val="00E15389"/>
    <w:rsid w:val="00E153D4"/>
    <w:rsid w:val="00E1546B"/>
    <w:rsid w:val="00E1677C"/>
    <w:rsid w:val="00E16806"/>
    <w:rsid w:val="00E20107"/>
    <w:rsid w:val="00E2168B"/>
    <w:rsid w:val="00E21F03"/>
    <w:rsid w:val="00E23452"/>
    <w:rsid w:val="00E23B71"/>
    <w:rsid w:val="00E23D3E"/>
    <w:rsid w:val="00E24D83"/>
    <w:rsid w:val="00E253A4"/>
    <w:rsid w:val="00E25C26"/>
    <w:rsid w:val="00E26AA0"/>
    <w:rsid w:val="00E2732B"/>
    <w:rsid w:val="00E27C9F"/>
    <w:rsid w:val="00E308D7"/>
    <w:rsid w:val="00E338EF"/>
    <w:rsid w:val="00E33AF5"/>
    <w:rsid w:val="00E33B7E"/>
    <w:rsid w:val="00E33E91"/>
    <w:rsid w:val="00E34B0B"/>
    <w:rsid w:val="00E34B65"/>
    <w:rsid w:val="00E35830"/>
    <w:rsid w:val="00E40FF8"/>
    <w:rsid w:val="00E41745"/>
    <w:rsid w:val="00E4372B"/>
    <w:rsid w:val="00E43AA1"/>
    <w:rsid w:val="00E4568E"/>
    <w:rsid w:val="00E478F9"/>
    <w:rsid w:val="00E50032"/>
    <w:rsid w:val="00E50325"/>
    <w:rsid w:val="00E506E4"/>
    <w:rsid w:val="00E51AA1"/>
    <w:rsid w:val="00E5233D"/>
    <w:rsid w:val="00E544BB"/>
    <w:rsid w:val="00E54706"/>
    <w:rsid w:val="00E554DF"/>
    <w:rsid w:val="00E556CE"/>
    <w:rsid w:val="00E56084"/>
    <w:rsid w:val="00E578DD"/>
    <w:rsid w:val="00E578EC"/>
    <w:rsid w:val="00E60423"/>
    <w:rsid w:val="00E649D7"/>
    <w:rsid w:val="00E65093"/>
    <w:rsid w:val="00E66164"/>
    <w:rsid w:val="00E662CB"/>
    <w:rsid w:val="00E66581"/>
    <w:rsid w:val="00E66A1F"/>
    <w:rsid w:val="00E677BF"/>
    <w:rsid w:val="00E67AEE"/>
    <w:rsid w:val="00E7059E"/>
    <w:rsid w:val="00E715AA"/>
    <w:rsid w:val="00E71B18"/>
    <w:rsid w:val="00E72161"/>
    <w:rsid w:val="00E74B07"/>
    <w:rsid w:val="00E74DC7"/>
    <w:rsid w:val="00E7504C"/>
    <w:rsid w:val="00E753F9"/>
    <w:rsid w:val="00E775CA"/>
    <w:rsid w:val="00E77B99"/>
    <w:rsid w:val="00E8075A"/>
    <w:rsid w:val="00E818A6"/>
    <w:rsid w:val="00E82BA2"/>
    <w:rsid w:val="00E835B0"/>
    <w:rsid w:val="00E85A91"/>
    <w:rsid w:val="00E869D0"/>
    <w:rsid w:val="00E86B16"/>
    <w:rsid w:val="00E86D23"/>
    <w:rsid w:val="00E87718"/>
    <w:rsid w:val="00E90E81"/>
    <w:rsid w:val="00E90F14"/>
    <w:rsid w:val="00E92E9E"/>
    <w:rsid w:val="00E94D5E"/>
    <w:rsid w:val="00E9586A"/>
    <w:rsid w:val="00E95CA1"/>
    <w:rsid w:val="00E9680D"/>
    <w:rsid w:val="00E96BF6"/>
    <w:rsid w:val="00EA01D4"/>
    <w:rsid w:val="00EA14C8"/>
    <w:rsid w:val="00EA46F5"/>
    <w:rsid w:val="00EA7100"/>
    <w:rsid w:val="00EA79AB"/>
    <w:rsid w:val="00EA7F9F"/>
    <w:rsid w:val="00EB05E7"/>
    <w:rsid w:val="00EB0E70"/>
    <w:rsid w:val="00EB1274"/>
    <w:rsid w:val="00EB3051"/>
    <w:rsid w:val="00EB43A9"/>
    <w:rsid w:val="00EB5ADD"/>
    <w:rsid w:val="00EB6595"/>
    <w:rsid w:val="00EB7753"/>
    <w:rsid w:val="00EC119B"/>
    <w:rsid w:val="00EC13F4"/>
    <w:rsid w:val="00EC1744"/>
    <w:rsid w:val="00EC2403"/>
    <w:rsid w:val="00EC2B32"/>
    <w:rsid w:val="00EC2E1F"/>
    <w:rsid w:val="00EC4757"/>
    <w:rsid w:val="00EC48A8"/>
    <w:rsid w:val="00EC4F33"/>
    <w:rsid w:val="00EC6025"/>
    <w:rsid w:val="00EC7EDB"/>
    <w:rsid w:val="00ED2BB6"/>
    <w:rsid w:val="00ED2EDC"/>
    <w:rsid w:val="00ED3002"/>
    <w:rsid w:val="00ED34E1"/>
    <w:rsid w:val="00ED3B8D"/>
    <w:rsid w:val="00ED6452"/>
    <w:rsid w:val="00ED708A"/>
    <w:rsid w:val="00EE0233"/>
    <w:rsid w:val="00EE16E8"/>
    <w:rsid w:val="00EE3C76"/>
    <w:rsid w:val="00EE5970"/>
    <w:rsid w:val="00EE6010"/>
    <w:rsid w:val="00EE727A"/>
    <w:rsid w:val="00EF09EA"/>
    <w:rsid w:val="00EF15D3"/>
    <w:rsid w:val="00EF25C8"/>
    <w:rsid w:val="00EF2E3A"/>
    <w:rsid w:val="00EF3B5F"/>
    <w:rsid w:val="00EF41E9"/>
    <w:rsid w:val="00EF41EE"/>
    <w:rsid w:val="00EF56E0"/>
    <w:rsid w:val="00EF5D03"/>
    <w:rsid w:val="00F01581"/>
    <w:rsid w:val="00F01C93"/>
    <w:rsid w:val="00F0261E"/>
    <w:rsid w:val="00F02EF9"/>
    <w:rsid w:val="00F0375A"/>
    <w:rsid w:val="00F047D8"/>
    <w:rsid w:val="00F04FFF"/>
    <w:rsid w:val="00F05DB6"/>
    <w:rsid w:val="00F072A7"/>
    <w:rsid w:val="00F078DC"/>
    <w:rsid w:val="00F113F3"/>
    <w:rsid w:val="00F13591"/>
    <w:rsid w:val="00F14593"/>
    <w:rsid w:val="00F160EA"/>
    <w:rsid w:val="00F16DC3"/>
    <w:rsid w:val="00F171A1"/>
    <w:rsid w:val="00F22334"/>
    <w:rsid w:val="00F25586"/>
    <w:rsid w:val="00F2565D"/>
    <w:rsid w:val="00F317BE"/>
    <w:rsid w:val="00F31B96"/>
    <w:rsid w:val="00F31F55"/>
    <w:rsid w:val="00F325C7"/>
    <w:rsid w:val="00F32BA8"/>
    <w:rsid w:val="00F339F4"/>
    <w:rsid w:val="00F349F1"/>
    <w:rsid w:val="00F359DA"/>
    <w:rsid w:val="00F379AA"/>
    <w:rsid w:val="00F407BF"/>
    <w:rsid w:val="00F4134A"/>
    <w:rsid w:val="00F4215A"/>
    <w:rsid w:val="00F4350D"/>
    <w:rsid w:val="00F45558"/>
    <w:rsid w:val="00F47701"/>
    <w:rsid w:val="00F47A9B"/>
    <w:rsid w:val="00F50532"/>
    <w:rsid w:val="00F51268"/>
    <w:rsid w:val="00F53DD4"/>
    <w:rsid w:val="00F56155"/>
    <w:rsid w:val="00F567F7"/>
    <w:rsid w:val="00F61480"/>
    <w:rsid w:val="00F61B09"/>
    <w:rsid w:val="00F62036"/>
    <w:rsid w:val="00F65650"/>
    <w:rsid w:val="00F65B52"/>
    <w:rsid w:val="00F661F4"/>
    <w:rsid w:val="00F67BCA"/>
    <w:rsid w:val="00F70C5F"/>
    <w:rsid w:val="00F715EC"/>
    <w:rsid w:val="00F72DCC"/>
    <w:rsid w:val="00F73BD6"/>
    <w:rsid w:val="00F76B6C"/>
    <w:rsid w:val="00F76F6C"/>
    <w:rsid w:val="00F80F14"/>
    <w:rsid w:val="00F8191E"/>
    <w:rsid w:val="00F81960"/>
    <w:rsid w:val="00F81AC9"/>
    <w:rsid w:val="00F82350"/>
    <w:rsid w:val="00F83989"/>
    <w:rsid w:val="00F85099"/>
    <w:rsid w:val="00F85B99"/>
    <w:rsid w:val="00F863A3"/>
    <w:rsid w:val="00F915C2"/>
    <w:rsid w:val="00F933B6"/>
    <w:rsid w:val="00F9379C"/>
    <w:rsid w:val="00F94F74"/>
    <w:rsid w:val="00F95722"/>
    <w:rsid w:val="00F9632C"/>
    <w:rsid w:val="00FA1E52"/>
    <w:rsid w:val="00FA31DE"/>
    <w:rsid w:val="00FA58A8"/>
    <w:rsid w:val="00FA752F"/>
    <w:rsid w:val="00FA7D17"/>
    <w:rsid w:val="00FB2731"/>
    <w:rsid w:val="00FB31B7"/>
    <w:rsid w:val="00FB3A7C"/>
    <w:rsid w:val="00FB5976"/>
    <w:rsid w:val="00FB69A3"/>
    <w:rsid w:val="00FB7372"/>
    <w:rsid w:val="00FC19EB"/>
    <w:rsid w:val="00FC1F25"/>
    <w:rsid w:val="00FC3EB8"/>
    <w:rsid w:val="00FC7D25"/>
    <w:rsid w:val="00FD13CC"/>
    <w:rsid w:val="00FD2345"/>
    <w:rsid w:val="00FD24A2"/>
    <w:rsid w:val="00FD5CD3"/>
    <w:rsid w:val="00FD5E0F"/>
    <w:rsid w:val="00FD652D"/>
    <w:rsid w:val="00FD7C0F"/>
    <w:rsid w:val="00FE054F"/>
    <w:rsid w:val="00FE40EE"/>
    <w:rsid w:val="00FE4688"/>
    <w:rsid w:val="00FE4BFD"/>
    <w:rsid w:val="00FE4D96"/>
    <w:rsid w:val="00FE6772"/>
    <w:rsid w:val="00FE685C"/>
    <w:rsid w:val="00FE689C"/>
    <w:rsid w:val="00FE72D6"/>
    <w:rsid w:val="00FE79D0"/>
    <w:rsid w:val="00FF0610"/>
    <w:rsid w:val="00FF1222"/>
    <w:rsid w:val="00FF14F3"/>
    <w:rsid w:val="00FF1A82"/>
    <w:rsid w:val="00FF4BA3"/>
    <w:rsid w:val="00FF517E"/>
    <w:rsid w:val="00FF522F"/>
    <w:rsid w:val="4794031A"/>
    <w:rsid w:val="524D6752"/>
    <w:rsid w:val="5D2062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3F50"/>
  <w15:chartTrackingRefBased/>
  <w15:docId w15:val="{37253156-0E4C-4FFE-B40B-C4D98EFE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E51AA1"/>
    <w:pPr>
      <w:ind w:left="720"/>
      <w:contextualSpacing/>
    </w:pPr>
    <w:rPr>
      <w:rFonts w:eastAsiaTheme="minorHAnsi" w:cstheme="minorBidi"/>
    </w:rPr>
  </w:style>
  <w:style w:type="paragraph" w:styleId="Revision">
    <w:name w:val="Revision"/>
    <w:hidden/>
    <w:uiPriority w:val="99"/>
    <w:semiHidden/>
    <w:rsid w:val="00B056D1"/>
    <w:rPr>
      <w:sz w:val="22"/>
      <w:lang w:eastAsia="en-US"/>
    </w:rPr>
  </w:style>
  <w:style w:type="paragraph" w:customStyle="1" w:styleId="ActHead5">
    <w:name w:val="ActHead 5"/>
    <w:aliases w:val="s"/>
    <w:basedOn w:val="OPCParaBase"/>
    <w:next w:val="Normal"/>
    <w:link w:val="ActHead5Char"/>
    <w:qFormat/>
    <w:rsid w:val="00FF1222"/>
    <w:pPr>
      <w:keepNext/>
      <w:keepLines/>
      <w:spacing w:before="280" w:line="240" w:lineRule="auto"/>
      <w:ind w:left="1134" w:hanging="1134"/>
      <w:outlineLvl w:val="4"/>
    </w:pPr>
    <w:rPr>
      <w:b/>
      <w:kern w:val="28"/>
      <w:sz w:val="24"/>
    </w:rPr>
  </w:style>
  <w:style w:type="character" w:customStyle="1" w:styleId="ActHead5Char">
    <w:name w:val="ActHead 5 Char"/>
    <w:aliases w:val="s Char"/>
    <w:basedOn w:val="DefaultParagraphFont"/>
    <w:link w:val="ActHead5"/>
    <w:rsid w:val="00FF1222"/>
    <w:rPr>
      <w:rFonts w:eastAsia="Times New Roman"/>
      <w:b/>
      <w:kern w:val="28"/>
      <w:sz w:val="24"/>
    </w:rPr>
  </w:style>
  <w:style w:type="character" w:styleId="UnresolvedMention">
    <w:name w:val="Unresolved Mention"/>
    <w:basedOn w:val="DefaultParagraphFont"/>
    <w:uiPriority w:val="99"/>
    <w:semiHidden/>
    <w:unhideWhenUsed/>
    <w:rsid w:val="005B43E2"/>
    <w:rPr>
      <w:color w:val="605E5C"/>
      <w:shd w:val="clear" w:color="auto" w:fill="E1DFDD"/>
    </w:rPr>
  </w:style>
  <w:style w:type="character" w:styleId="Mention">
    <w:name w:val="Mention"/>
    <w:basedOn w:val="DefaultParagraphFont"/>
    <w:uiPriority w:val="99"/>
    <w:unhideWhenUsed/>
    <w:rsid w:val="005B43E2"/>
    <w:rPr>
      <w:color w:val="2B579A"/>
      <w:shd w:val="clear" w:color="auto" w:fill="E1DFDD"/>
    </w:rPr>
  </w:style>
  <w:style w:type="paragraph" w:customStyle="1" w:styleId="li-sectionsubsectiontext0">
    <w:name w:val="li-sectionsubsectiontext"/>
    <w:basedOn w:val="Normal"/>
    <w:rsid w:val="00AF62E4"/>
    <w:pPr>
      <w:spacing w:before="100" w:beforeAutospacing="1" w:after="100" w:afterAutospacing="1" w:line="240" w:lineRule="auto"/>
    </w:pPr>
    <w:rPr>
      <w:rFonts w:eastAsia="Times New Roman"/>
      <w:sz w:val="24"/>
      <w:szCs w:val="24"/>
      <w:lang w:eastAsia="en-AU"/>
    </w:rPr>
  </w:style>
  <w:style w:type="paragraph" w:customStyle="1" w:styleId="li-sectionparaa0">
    <w:name w:val="li-sectionparaa"/>
    <w:basedOn w:val="Normal"/>
    <w:rsid w:val="00AF62E4"/>
    <w:pPr>
      <w:spacing w:before="100" w:beforeAutospacing="1" w:after="100" w:afterAutospacing="1" w:line="240" w:lineRule="auto"/>
    </w:pPr>
    <w:rPr>
      <w:rFonts w:eastAsia="Times New Roman"/>
      <w:sz w:val="24"/>
      <w:szCs w:val="24"/>
      <w:lang w:eastAsia="en-AU"/>
    </w:rPr>
  </w:style>
  <w:style w:type="paragraph" w:customStyle="1" w:styleId="li-sectionsubparai0">
    <w:name w:val="li-sectionsubparai"/>
    <w:basedOn w:val="Normal"/>
    <w:rsid w:val="00AF62E4"/>
    <w:pPr>
      <w:spacing w:before="100" w:beforeAutospacing="1" w:after="100" w:afterAutospacing="1" w:line="240" w:lineRule="auto"/>
    </w:pPr>
    <w:rPr>
      <w:rFonts w:eastAsia="Times New Roman"/>
      <w:sz w:val="24"/>
      <w:szCs w:val="24"/>
      <w:lang w:eastAsia="en-AU"/>
    </w:rPr>
  </w:style>
  <w:style w:type="paragraph" w:customStyle="1" w:styleId="li-bodytextnumbered0">
    <w:name w:val="li-bodytextnumbered"/>
    <w:basedOn w:val="Normal"/>
    <w:rsid w:val="00AF62E4"/>
    <w:pPr>
      <w:spacing w:before="100" w:beforeAutospacing="1" w:after="100" w:afterAutospacing="1" w:line="240" w:lineRule="auto"/>
    </w:pPr>
    <w:rPr>
      <w:rFonts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773815">
      <w:bodyDiv w:val="1"/>
      <w:marLeft w:val="0"/>
      <w:marRight w:val="0"/>
      <w:marTop w:val="0"/>
      <w:marBottom w:val="0"/>
      <w:divBdr>
        <w:top w:val="none" w:sz="0" w:space="0" w:color="auto"/>
        <w:left w:val="none" w:sz="0" w:space="0" w:color="auto"/>
        <w:bottom w:val="none" w:sz="0" w:space="0" w:color="auto"/>
        <w:right w:val="none" w:sz="0" w:space="0" w:color="auto"/>
      </w:divBdr>
    </w:div>
    <w:div w:id="210969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426599DE28ADE74DA0B90B035B913FB0" ma:contentTypeVersion="25" ma:contentTypeDescription="Create a new document." ma:contentTypeScope="" ma:versionID="8113ade41900a7bc1079cd99dca8ecb4">
  <xsd:schema xmlns:xsd="http://www.w3.org/2001/XMLSchema" xmlns:xs="http://www.w3.org/2001/XMLSchema" xmlns:p="http://schemas.microsoft.com/office/2006/metadata/properties" xmlns:ns2="db2b92ca-6ed0-4085-802d-4c686a2e8c3f" xmlns:ns3="6d01ba57-bcb9-4c1f-9f73-80759da4b854" targetNamespace="http://schemas.microsoft.com/office/2006/metadata/properties" ma:root="true" ma:fieldsID="e16c524076ad0c65a69563821fb64933" ns2:_="" ns3:_="">
    <xsd:import namespace="db2b92ca-6ed0-4085-802d-4c686a2e8c3f"/>
    <xsd:import namespace="6d01ba57-bcb9-4c1f-9f73-80759da4b854"/>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5da22b1-9180-4a81-8ed3-1b22e6fc70b0}" ma:internalName="TaxCatchAll" ma:showField="CatchAllData"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5da22b1-9180-4a81-8ed3-1b22e6fc70b0}" ma:internalName="TaxCatchAllLabel" ma:readOnly="true" ma:showField="CatchAllDataLabel"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1ba57-bcb9-4c1f-9f73-80759da4b85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f302855-5de3-48f9-83c2-fc1acc0f760b" ContentTypeId="0x010100B5F685A1365F544391EF8C813B164F3A"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DocumentNotes xmlns="db2b92ca-6ed0-4085-802d-4c686a2e8c3f" xsi:nil="true"/>
    <NAPReason xmlns="db2b92ca-6ed0-4085-802d-4c686a2e8c3f" xsi:nil="true"/>
    <_dlc_DocId xmlns="6d01ba57-bcb9-4c1f-9f73-80759da4b854">010950-1892519869-2084</_dlc_DocId>
    <_dlc_DocIdUrl xmlns="6d01ba57-bcb9-4c1f-9f73-80759da4b854">
      <Url>https://asiclink.sharepoint.com/teams/010950/_layouts/15/DocIdRedir.aspx?ID=010950-1892519869-2084</Url>
      <Description>010950-1892519869-2084</Description>
    </_dlc_DocIdUrl>
    <TaxCatchAll xmlns="db2b92ca-6ed0-4085-802d-4c686a2e8c3f">
      <Value>4</Value>
    </TaxCatchAl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0C325-1D02-4DE0-B6B4-0A841017D537}">
  <ds:schemaRefs>
    <ds:schemaRef ds:uri="http://schemas.openxmlformats.org/officeDocument/2006/bibliography"/>
  </ds:schemaRefs>
</ds:datastoreItem>
</file>

<file path=customXml/itemProps2.xml><?xml version="1.0" encoding="utf-8"?>
<ds:datastoreItem xmlns:ds="http://schemas.openxmlformats.org/officeDocument/2006/customXml" ds:itemID="{E5CEBABF-8A80-41DD-A5FF-09F19037DFB8}">
  <ds:schemaRefs>
    <ds:schemaRef ds:uri="http://schemas.microsoft.com/sharepoint/events"/>
  </ds:schemaRefs>
</ds:datastoreItem>
</file>

<file path=customXml/itemProps3.xml><?xml version="1.0" encoding="utf-8"?>
<ds:datastoreItem xmlns:ds="http://schemas.openxmlformats.org/officeDocument/2006/customXml" ds:itemID="{D478DAAD-75FE-4E14-B022-C7922B086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6d01ba57-bcb9-4c1f-9f73-80759da4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651C0-A86C-4CEB-8DA1-5987CFBF4EE7}">
  <ds:schemaRefs>
    <ds:schemaRef ds:uri="Microsoft.SharePoint.Taxonomy.ContentTypeSync"/>
  </ds:schemaRefs>
</ds:datastoreItem>
</file>

<file path=customXml/itemProps5.xml><?xml version="1.0" encoding="utf-8"?>
<ds:datastoreItem xmlns:ds="http://schemas.openxmlformats.org/officeDocument/2006/customXml" ds:itemID="{223173C1-BD6D-4396-AB5C-7E2E3BED973B}">
  <ds:schemaRefs>
    <ds:schemaRef ds:uri="http://schemas.microsoft.com/office/2006/metadata/longProperties"/>
  </ds:schemaRefs>
</ds:datastoreItem>
</file>

<file path=customXml/itemProps6.xml><?xml version="1.0" encoding="utf-8"?>
<ds:datastoreItem xmlns:ds="http://schemas.openxmlformats.org/officeDocument/2006/customXml" ds:itemID="{62E809C2-6D9B-4B70-B79C-921106471BAC}">
  <ds:schemaRefs>
    <ds:schemaRef ds:uri="http://schemas.microsoft.com/office/2006/metadata/properties"/>
    <ds:schemaRef ds:uri="http://schemas.microsoft.com/office/infopath/2007/PartnerControls"/>
    <ds:schemaRef ds:uri="db2b92ca-6ed0-4085-802d-4c686a2e8c3f"/>
    <ds:schemaRef ds:uri="6d01ba57-bcb9-4c1f-9f73-80759da4b854"/>
  </ds:schemaRefs>
</ds:datastoreItem>
</file>

<file path=customXml/itemProps7.xml><?xml version="1.0" encoding="utf-8"?>
<ds:datastoreItem xmlns:ds="http://schemas.openxmlformats.org/officeDocument/2006/customXml" ds:itemID="{32FEC130-133E-40A3-B4C6-AAA05054D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Template>
  <TotalTime>9</TotalTime>
  <Pages>20</Pages>
  <Words>4555</Words>
  <Characters>25966</Characters>
  <Application>Microsoft Office Word</Application>
  <DocSecurity>0</DocSecurity>
  <PresentationFormat/>
  <Lines>216</Lines>
  <Paragraphs>60</Paragraphs>
  <ScaleCrop>false</ScaleCrop>
  <HeadingPairs>
    <vt:vector size="2" baseType="variant">
      <vt:variant>
        <vt:lpstr>Title</vt:lpstr>
      </vt:variant>
      <vt:variant>
        <vt:i4>1</vt:i4>
      </vt:variant>
    </vt:vector>
  </HeadingPairs>
  <TitlesOfParts>
    <vt:vector size="1" baseType="lpstr">
      <vt:lpstr>DRAFT - 647</vt:lpstr>
    </vt:vector>
  </TitlesOfParts>
  <Company>ASIC</Company>
  <LinksUpToDate>false</LinksUpToDate>
  <CharactersWithSpaces>30461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- 647</dc:title>
  <dc:subject/>
  <dc:creator>Anthony Graham</dc:creator>
  <cp:keywords/>
  <cp:lastModifiedBy>Narelle Kane</cp:lastModifiedBy>
  <cp:revision>16</cp:revision>
  <cp:lastPrinted>2014-06-18T05:38:00Z</cp:lastPrinted>
  <dcterms:created xsi:type="dcterms:W3CDTF">2025-09-16T05:16:00Z</dcterms:created>
  <dcterms:modified xsi:type="dcterms:W3CDTF">2025-09-17T01:38:00Z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{acdd1afa-b056-4008-858c-995c828f7cb3}</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R20150000005028</vt:lpwstr>
  </property>
  <property fmtid="{D5CDD505-2E9C-101B-9397-08002B2CF9AE}" pid="47" name="RecordPoint_SubmissionCompleted">
    <vt:lpwstr>2022-03-18T15:31:50.4310568+11:00</vt:lpwstr>
  </property>
  <property fmtid="{D5CDD505-2E9C-101B-9397-08002B2CF9AE}" pid="48" name="RecordPoint_RecordNumberSubmitted">
    <vt:lpwstr>R20150000005028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4;#OFFICIAL - Sensitive|6eccc17f-024b-41b0-b6b1-faf98d2aff85</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Tony Tong</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0x010100B5F685A1365F544391EF8C813B164F3A00426599DE28ADE74DA0B90B035B913FB0</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000853-1726373233-7</vt:lpwstr>
  </property>
  <property fmtid="{D5CDD505-2E9C-101B-9397-08002B2CF9AE}" pid="74" name="_dlc_DocIdUrl">
    <vt:lpwstr>https://asiclink.sharepoint.com/teams/000853/_layouts/15/DocIdRedir.aspx?ID=000853-1726373233-7, 000853-1726373233-7</vt:lpwstr>
  </property>
  <property fmtid="{D5CDD505-2E9C-101B-9397-08002B2CF9AE}" pid="75" name="MSIP_Label_a6aead41-07f8-4767-ac8e-ef1c9c793766_Enabled">
    <vt:lpwstr>true</vt:lpwstr>
  </property>
  <property fmtid="{D5CDD505-2E9C-101B-9397-08002B2CF9AE}" pid="76" name="MSIP_Label_a6aead41-07f8-4767-ac8e-ef1c9c793766_SetDate">
    <vt:lpwstr>2023-08-16T23:30:51Z</vt:lpwstr>
  </property>
  <property fmtid="{D5CDD505-2E9C-101B-9397-08002B2CF9AE}" pid="77" name="MSIP_Label_a6aead41-07f8-4767-ac8e-ef1c9c793766_Method">
    <vt:lpwstr>Standard</vt:lpwstr>
  </property>
  <property fmtid="{D5CDD505-2E9C-101B-9397-08002B2CF9AE}" pid="78" name="MSIP_Label_a6aead41-07f8-4767-ac8e-ef1c9c793766_Name">
    <vt:lpwstr>OFFICIAL</vt:lpwstr>
  </property>
  <property fmtid="{D5CDD505-2E9C-101B-9397-08002B2CF9AE}" pid="79" name="MSIP_Label_a6aead41-07f8-4767-ac8e-ef1c9c793766_SiteId">
    <vt:lpwstr>5f1de7c6-55cd-4bb2-902d-514c78cf10f4</vt:lpwstr>
  </property>
  <property fmtid="{D5CDD505-2E9C-101B-9397-08002B2CF9AE}" pid="80" name="MSIP_Label_a6aead41-07f8-4767-ac8e-ef1c9c793766_ActionId">
    <vt:lpwstr>7762a810-eda9-4d8d-986d-be8e0820832b</vt:lpwstr>
  </property>
  <property fmtid="{D5CDD505-2E9C-101B-9397-08002B2CF9AE}" pid="81" name="MSIP_Label_a6aead41-07f8-4767-ac8e-ef1c9c793766_ContentBits">
    <vt:lpwstr>0</vt:lpwstr>
  </property>
  <property fmtid="{D5CDD505-2E9C-101B-9397-08002B2CF9AE}" pid="82" name="Order">
    <vt:r8>106800</vt:r8>
  </property>
  <property fmtid="{D5CDD505-2E9C-101B-9397-08002B2CF9AE}" pid="83" name="_dlc_DocIdItemGuid">
    <vt:lpwstr>f6116b78-6833-42de-8732-99a06613f2e2</vt:lpwstr>
  </property>
  <property fmtid="{D5CDD505-2E9C-101B-9397-08002B2CF9AE}" pid="84" name="docLang">
    <vt:lpwstr>en</vt:lpwstr>
  </property>
</Properties>
</file>